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41E70" w:rsidTr="00C13808">
        <w:trPr>
          <w:trHeight w:val="1760"/>
        </w:trPr>
        <w:tc>
          <w:tcPr>
            <w:tcW w:w="4243" w:type="dxa"/>
          </w:tcPr>
          <w:p w:rsidR="000D7780" w:rsidRPr="00041E70" w:rsidRDefault="000D7780" w:rsidP="00F45372"/>
        </w:tc>
        <w:tc>
          <w:tcPr>
            <w:tcW w:w="1646" w:type="dxa"/>
            <w:vAlign w:val="center"/>
          </w:tcPr>
          <w:p w:rsidR="000D7780" w:rsidRPr="00041E70" w:rsidRDefault="00745D66" w:rsidP="00F45372">
            <w:pPr>
              <w:pStyle w:val="LogoUPOV"/>
            </w:pPr>
            <w:r w:rsidRPr="00041E70">
              <w:rPr>
                <w:noProof/>
                <w:lang w:val="en-US"/>
              </w:rPr>
              <w:drawing>
                <wp:inline distT="0" distB="0" distL="0" distR="0" wp14:anchorId="4EADA029" wp14:editId="75E613A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41E70" w:rsidRDefault="00A47CDB" w:rsidP="00F45372">
            <w:pPr>
              <w:pStyle w:val="Lettrine"/>
            </w:pPr>
            <w:r w:rsidRPr="00041E70">
              <w:t>S</w:t>
            </w:r>
          </w:p>
          <w:p w:rsidR="000D7780" w:rsidRPr="00041E70" w:rsidRDefault="009A0B1E" w:rsidP="003E7998">
            <w:pPr>
              <w:pStyle w:val="Docoriginal"/>
              <w:ind w:left="880"/>
            </w:pPr>
            <w:r w:rsidRPr="00041E70">
              <w:t>C/49</w:t>
            </w:r>
            <w:r w:rsidR="00E80F31" w:rsidRPr="00041E70">
              <w:t>/</w:t>
            </w:r>
            <w:bookmarkStart w:id="0" w:name="Code"/>
            <w:bookmarkEnd w:id="0"/>
            <w:r w:rsidR="001E266D" w:rsidRPr="00041E70">
              <w:t>10</w:t>
            </w:r>
          </w:p>
          <w:p w:rsidR="000D7780" w:rsidRPr="00041E70" w:rsidRDefault="0061555F" w:rsidP="003E7998">
            <w:pPr>
              <w:pStyle w:val="Docoriginal"/>
              <w:ind w:left="880"/>
              <w:rPr>
                <w:b w:val="0"/>
                <w:spacing w:val="0"/>
              </w:rPr>
            </w:pPr>
            <w:r w:rsidRPr="00041E70">
              <w:rPr>
                <w:rStyle w:val="StyleDoclangBold"/>
                <w:b/>
                <w:bCs/>
                <w:spacing w:val="0"/>
                <w:lang w:val="es-ES_tradnl"/>
              </w:rPr>
              <w:t>ORIGINAL</w:t>
            </w:r>
            <w:r w:rsidR="000D7780" w:rsidRPr="00041E70">
              <w:rPr>
                <w:rStyle w:val="StyleDoclangBold"/>
                <w:b/>
                <w:bCs/>
                <w:spacing w:val="0"/>
                <w:lang w:val="es-ES_tradnl"/>
              </w:rPr>
              <w:t>:</w:t>
            </w:r>
            <w:r w:rsidRPr="00041E70">
              <w:rPr>
                <w:rStyle w:val="StyleDocoriginalNotBold1"/>
                <w:spacing w:val="0"/>
                <w:lang w:val="es-ES_tradnl"/>
              </w:rPr>
              <w:t xml:space="preserve"> </w:t>
            </w:r>
            <w:r w:rsidR="000D7780" w:rsidRPr="00041E70">
              <w:rPr>
                <w:rStyle w:val="StyleDocoriginalNotBold1"/>
                <w:spacing w:val="0"/>
                <w:lang w:val="es-ES_tradnl"/>
              </w:rPr>
              <w:t xml:space="preserve"> </w:t>
            </w:r>
            <w:bookmarkStart w:id="1" w:name="Original"/>
            <w:bookmarkEnd w:id="1"/>
            <w:r w:rsidR="00A47CDB" w:rsidRPr="00041E70">
              <w:rPr>
                <w:b w:val="0"/>
                <w:spacing w:val="0"/>
              </w:rPr>
              <w:t>Inglés</w:t>
            </w:r>
          </w:p>
          <w:p w:rsidR="000D7780" w:rsidRPr="00041E70" w:rsidRDefault="00A47CDB" w:rsidP="002A7B40">
            <w:pPr>
              <w:pStyle w:val="Docoriginal"/>
              <w:ind w:left="880"/>
            </w:pPr>
            <w:r w:rsidRPr="002A7B40">
              <w:rPr>
                <w:spacing w:val="0"/>
              </w:rPr>
              <w:t>FECHA</w:t>
            </w:r>
            <w:r w:rsidR="000D7780" w:rsidRPr="002A7B40">
              <w:rPr>
                <w:spacing w:val="0"/>
              </w:rPr>
              <w:t>:</w:t>
            </w:r>
            <w:r w:rsidR="0061555F" w:rsidRPr="002A7B40">
              <w:rPr>
                <w:b w:val="0"/>
                <w:spacing w:val="0"/>
              </w:rPr>
              <w:t xml:space="preserve"> </w:t>
            </w:r>
            <w:r w:rsidR="000D7780" w:rsidRPr="002A7B40">
              <w:rPr>
                <w:rStyle w:val="StyleDocoriginalNotBold1"/>
                <w:spacing w:val="0"/>
                <w:lang w:val="es-ES_tradnl"/>
              </w:rPr>
              <w:t xml:space="preserve"> </w:t>
            </w:r>
            <w:bookmarkStart w:id="2" w:name="Date"/>
            <w:bookmarkEnd w:id="2"/>
            <w:r w:rsidR="002A7B40" w:rsidRPr="002A7B40">
              <w:rPr>
                <w:b w:val="0"/>
                <w:spacing w:val="0"/>
              </w:rPr>
              <w:t xml:space="preserve">14 de septiembre </w:t>
            </w:r>
            <w:r w:rsidR="001E266D" w:rsidRPr="002A7B40">
              <w:rPr>
                <w:b w:val="0"/>
                <w:spacing w:val="0"/>
              </w:rPr>
              <w:t>de 2015</w:t>
            </w:r>
          </w:p>
        </w:tc>
      </w:tr>
      <w:tr w:rsidR="000D7780" w:rsidRPr="00041E70" w:rsidTr="00C13808">
        <w:tc>
          <w:tcPr>
            <w:tcW w:w="10131" w:type="dxa"/>
            <w:gridSpan w:val="3"/>
          </w:tcPr>
          <w:p w:rsidR="000D7780" w:rsidRPr="00041E70" w:rsidRDefault="00A47CDB" w:rsidP="00F45372">
            <w:pPr>
              <w:pStyle w:val="upove"/>
              <w:rPr>
                <w:sz w:val="28"/>
              </w:rPr>
            </w:pPr>
            <w:r w:rsidRPr="00041E70">
              <w:rPr>
                <w:spacing w:val="2"/>
              </w:rPr>
              <w:t>UNIÓN INTERNACIONAL PARA LA PROTECCIÓN DE LAS OBTENCIONES VEGETALES</w:t>
            </w:r>
          </w:p>
        </w:tc>
      </w:tr>
      <w:tr w:rsidR="000D7780" w:rsidRPr="00041E70" w:rsidTr="00C13808">
        <w:tc>
          <w:tcPr>
            <w:tcW w:w="10131" w:type="dxa"/>
            <w:gridSpan w:val="3"/>
          </w:tcPr>
          <w:p w:rsidR="000D7780" w:rsidRPr="00041E70" w:rsidRDefault="00A47CDB" w:rsidP="00F45372">
            <w:pPr>
              <w:pStyle w:val="Country"/>
            </w:pPr>
            <w:r w:rsidRPr="00041E70">
              <w:t>Ginebra</w:t>
            </w:r>
          </w:p>
        </w:tc>
      </w:tr>
    </w:tbl>
    <w:p w:rsidR="000D7780" w:rsidRPr="00041E70" w:rsidRDefault="00E80F31" w:rsidP="00F45372">
      <w:pPr>
        <w:pStyle w:val="Sessiontc"/>
      </w:pPr>
      <w:r w:rsidRPr="00041E70">
        <w:t>CONSEJO</w:t>
      </w:r>
    </w:p>
    <w:p w:rsidR="00361821" w:rsidRPr="00041E70" w:rsidRDefault="00A47CDB" w:rsidP="00F45372">
      <w:pPr>
        <w:pStyle w:val="Sessiontcplacedate"/>
      </w:pPr>
      <w:r w:rsidRPr="00041E70">
        <w:t xml:space="preserve">Cuadragésima </w:t>
      </w:r>
      <w:r w:rsidR="009A0B1E" w:rsidRPr="00041E70">
        <w:t xml:space="preserve">novena </w:t>
      </w:r>
      <w:r w:rsidR="00142198" w:rsidRPr="00041E70">
        <w:t>sesión ordinaria</w:t>
      </w:r>
      <w:r w:rsidRPr="00041E70">
        <w:br/>
        <w:t xml:space="preserve">Ginebra, </w:t>
      </w:r>
      <w:r w:rsidR="009A0B1E" w:rsidRPr="00041E70">
        <w:t>29</w:t>
      </w:r>
      <w:r w:rsidR="00E80F31" w:rsidRPr="00041E70">
        <w:t xml:space="preserve"> de </w:t>
      </w:r>
      <w:r w:rsidR="00F73179" w:rsidRPr="00041E70">
        <w:t xml:space="preserve">octubre </w:t>
      </w:r>
      <w:r w:rsidR="00E80F31" w:rsidRPr="00041E70">
        <w:t xml:space="preserve">de </w:t>
      </w:r>
      <w:r w:rsidRPr="00041E70">
        <w:t>201</w:t>
      </w:r>
      <w:r w:rsidR="009A0B1E" w:rsidRPr="00041E70">
        <w:t>5</w:t>
      </w:r>
    </w:p>
    <w:p w:rsidR="000D7780" w:rsidRPr="00041E70" w:rsidRDefault="001E266D" w:rsidP="00F45372">
      <w:pPr>
        <w:pStyle w:val="Titleofdoc0"/>
      </w:pPr>
      <w:bookmarkStart w:id="3" w:name="TitleOfDoc"/>
      <w:bookmarkEnd w:id="3"/>
      <w:r w:rsidRPr="00041E70">
        <w:t xml:space="preserve">Informe sobre la marcha de los trabajos del Comité Técnico, </w:t>
      </w:r>
      <w:r w:rsidRPr="00041E70">
        <w:br/>
        <w:t>de los Grupos de Trabajo Técnico y del Grupo de Trabajo sobre Técnicas Bioquímicas y Moleculares, y Perfiles de ADN en Particular</w:t>
      </w:r>
    </w:p>
    <w:p w:rsidR="000D7780" w:rsidRPr="00041E70" w:rsidRDefault="00A47CDB" w:rsidP="00F45372">
      <w:pPr>
        <w:pStyle w:val="preparedby1"/>
      </w:pPr>
      <w:bookmarkStart w:id="4" w:name="Prepared"/>
      <w:bookmarkEnd w:id="4"/>
      <w:proofErr w:type="gramStart"/>
      <w:r w:rsidRPr="00041E70">
        <w:t>preparado</w:t>
      </w:r>
      <w:proofErr w:type="gramEnd"/>
      <w:r w:rsidRPr="00041E70">
        <w:t xml:space="preserve"> por la Oficina de la Unión</w:t>
      </w:r>
      <w:r w:rsidR="0000571E" w:rsidRPr="00041E70">
        <w:br/>
      </w:r>
      <w:r w:rsidR="0000571E" w:rsidRPr="00041E70">
        <w:br/>
      </w:r>
      <w:r w:rsidR="001C5971" w:rsidRPr="00041E70">
        <w:rPr>
          <w:color w:val="A6A6A6"/>
        </w:rPr>
        <w:t>Descargo de responsabilidad:  el presente documento no constituye</w:t>
      </w:r>
      <w:r w:rsidR="001C5971" w:rsidRPr="00041E70">
        <w:rPr>
          <w:color w:val="A6A6A6"/>
        </w:rPr>
        <w:br/>
        <w:t>un documento de política u orientación de la UPOV</w:t>
      </w:r>
    </w:p>
    <w:p w:rsidR="001E266D" w:rsidRPr="00041E70" w:rsidRDefault="001E266D" w:rsidP="001E266D">
      <w:pPr>
        <w:pStyle w:val="Heading1"/>
        <w:rPr>
          <w:lang w:val="es-ES_tradnl"/>
        </w:rPr>
      </w:pPr>
      <w:bookmarkStart w:id="5" w:name="_Toc429150753"/>
      <w:r w:rsidRPr="00041E70">
        <w:rPr>
          <w:lang w:val="es-ES_tradnl"/>
        </w:rPr>
        <w:t>Resumen</w:t>
      </w:r>
      <w:bookmarkEnd w:id="5"/>
    </w:p>
    <w:p w:rsidR="001E266D" w:rsidRPr="00041E70" w:rsidRDefault="001E266D" w:rsidP="001E266D"/>
    <w:p w:rsidR="001E266D" w:rsidRPr="00041E70" w:rsidRDefault="001E266D" w:rsidP="001E266D">
      <w:pPr>
        <w:rPr>
          <w:szCs w:val="24"/>
        </w:rPr>
      </w:pPr>
      <w:r w:rsidRPr="00041E70">
        <w:fldChar w:fldCharType="begin"/>
      </w:r>
      <w:r w:rsidRPr="00041E70">
        <w:instrText xml:space="preserve"> AUTONUM  </w:instrText>
      </w:r>
      <w:r w:rsidRPr="00041E70">
        <w:fldChar w:fldCharType="end"/>
      </w:r>
      <w:r w:rsidRPr="00041E70">
        <w:tab/>
      </w:r>
      <w:r w:rsidRPr="00041E70">
        <w:rPr>
          <w:szCs w:val="24"/>
        </w:rPr>
        <w:t>En el presente documento se expone un informe sobre la marcha de la labor del Comité Técnico (TC) y sus Grupos de Trabajo Técnico (TWP), incluido el Grupo de Trabajo sobre Técnicas Bioquímicas y Moleculares, y Perfiles de ADN en particular (BMT).</w:t>
      </w:r>
    </w:p>
    <w:p w:rsidR="001E266D" w:rsidRPr="00041E70" w:rsidRDefault="001E266D" w:rsidP="001E266D">
      <w:pPr>
        <w:rPr>
          <w:szCs w:val="24"/>
        </w:rPr>
      </w:pPr>
    </w:p>
    <w:p w:rsidR="00213743" w:rsidRPr="00041E70" w:rsidRDefault="00213743" w:rsidP="00213743">
      <w:r w:rsidRPr="00041E70">
        <w:fldChar w:fldCharType="begin"/>
      </w:r>
      <w:r w:rsidRPr="00041E70">
        <w:instrText xml:space="preserve"> AUTONUM  </w:instrText>
      </w:r>
      <w:r w:rsidRPr="00041E70">
        <w:fldChar w:fldCharType="end"/>
      </w:r>
      <w:r w:rsidRPr="00041E70">
        <w:tab/>
        <w:t>Se invitará al Consejo a:</w:t>
      </w:r>
    </w:p>
    <w:p w:rsidR="00213743" w:rsidRPr="00041E70" w:rsidRDefault="00213743" w:rsidP="00213743"/>
    <w:p w:rsidR="00213743" w:rsidRPr="00041E70" w:rsidRDefault="00213743" w:rsidP="00213743">
      <w:r w:rsidRPr="00041E70">
        <w:tab/>
        <w:t>a)</w:t>
      </w:r>
      <w:r w:rsidRPr="00041E70">
        <w:tab/>
        <w:t>tomar nota de la labor realizada por el TC y de la labor realizada por los TWP y el BMT y presentada al TC, según se expone en el presente documento;  y</w:t>
      </w:r>
    </w:p>
    <w:p w:rsidR="00213743" w:rsidRPr="00041E70" w:rsidRDefault="00213743" w:rsidP="00213743"/>
    <w:p w:rsidR="00213743" w:rsidRPr="00041E70" w:rsidRDefault="00213743" w:rsidP="00213743">
      <w:r w:rsidRPr="00041E70">
        <w:tab/>
        <w:t>b)</w:t>
      </w:r>
      <w:r w:rsidRPr="00041E70">
        <w:tab/>
        <w:t>aprobar el programa de trabajo del TC y los programas de trabajo de los TWP y el BMT presentados al TC, según se expone en el presente documento.</w:t>
      </w:r>
    </w:p>
    <w:p w:rsidR="001E266D" w:rsidRPr="00041E70" w:rsidRDefault="001E266D" w:rsidP="001E266D">
      <w:pPr>
        <w:rPr>
          <w:szCs w:val="24"/>
        </w:rPr>
      </w:pPr>
    </w:p>
    <w:p w:rsidR="001E266D" w:rsidRPr="00041E70" w:rsidRDefault="001E266D" w:rsidP="001E266D">
      <w:r w:rsidRPr="00041E70">
        <w:fldChar w:fldCharType="begin"/>
      </w:r>
      <w:r w:rsidRPr="00041E70">
        <w:instrText xml:space="preserve"> AUTONUM  </w:instrText>
      </w:r>
      <w:r w:rsidRPr="00041E70">
        <w:fldChar w:fldCharType="end"/>
      </w:r>
      <w:r w:rsidRPr="00041E70">
        <w:tab/>
        <w:t>En el presente documento se utilizan las abreviaturas siguientes:</w:t>
      </w:r>
    </w:p>
    <w:p w:rsidR="001E266D" w:rsidRPr="00041E70" w:rsidRDefault="001E266D" w:rsidP="001E266D"/>
    <w:p w:rsidR="001E266D" w:rsidRPr="00041E70" w:rsidRDefault="001E266D" w:rsidP="001E266D">
      <w:pPr>
        <w:tabs>
          <w:tab w:val="left" w:pos="567"/>
        </w:tabs>
        <w:ind w:left="2552" w:right="-1" w:hanging="2552"/>
        <w:jc w:val="left"/>
      </w:pPr>
      <w:r w:rsidRPr="00041E70">
        <w:tab/>
        <w:t>CAJ:</w:t>
      </w:r>
      <w:r w:rsidRPr="00041E70">
        <w:tab/>
        <w:t xml:space="preserve">Comité Administrativo y Jurídico </w:t>
      </w:r>
    </w:p>
    <w:p w:rsidR="001E266D" w:rsidRPr="00041E70" w:rsidRDefault="001E266D" w:rsidP="001E266D">
      <w:pPr>
        <w:tabs>
          <w:tab w:val="left" w:pos="567"/>
        </w:tabs>
        <w:ind w:left="2552" w:right="-1" w:hanging="2552"/>
        <w:jc w:val="left"/>
      </w:pPr>
      <w:r w:rsidRPr="00041E70">
        <w:tab/>
        <w:t>TC:</w:t>
      </w:r>
      <w:r w:rsidRPr="00041E70">
        <w:tab/>
        <w:t>Comité Técnico</w:t>
      </w:r>
    </w:p>
    <w:p w:rsidR="001E266D" w:rsidRPr="00041E70" w:rsidRDefault="001E266D" w:rsidP="001E266D">
      <w:pPr>
        <w:tabs>
          <w:tab w:val="left" w:pos="567"/>
        </w:tabs>
        <w:ind w:left="2552" w:right="-1" w:hanging="2552"/>
        <w:jc w:val="left"/>
      </w:pPr>
      <w:r w:rsidRPr="00041E70">
        <w:tab/>
        <w:t>TC</w:t>
      </w:r>
      <w:r w:rsidRPr="00041E70">
        <w:noBreakHyphen/>
        <w:t>EDC:</w:t>
      </w:r>
      <w:r w:rsidRPr="00041E70">
        <w:tab/>
        <w:t>Comité de Redacción Ampliado</w:t>
      </w:r>
    </w:p>
    <w:p w:rsidR="001E266D" w:rsidRPr="00041E70" w:rsidRDefault="001E266D" w:rsidP="001E266D">
      <w:pPr>
        <w:tabs>
          <w:tab w:val="left" w:pos="567"/>
        </w:tabs>
        <w:ind w:left="2552" w:right="-1" w:hanging="2552"/>
        <w:jc w:val="left"/>
      </w:pPr>
      <w:r w:rsidRPr="00041E70">
        <w:tab/>
        <w:t>TWP:</w:t>
      </w:r>
      <w:r w:rsidRPr="00041E70">
        <w:tab/>
        <w:t>Grupos de Trabajo Técnico</w:t>
      </w:r>
    </w:p>
    <w:p w:rsidR="001E266D" w:rsidRPr="00041E70" w:rsidRDefault="001E266D" w:rsidP="001E266D">
      <w:pPr>
        <w:tabs>
          <w:tab w:val="left" w:pos="567"/>
        </w:tabs>
        <w:ind w:left="2552" w:right="-1" w:hanging="2552"/>
        <w:jc w:val="left"/>
      </w:pPr>
      <w:r w:rsidRPr="00041E70">
        <w:tab/>
        <w:t>TWA:</w:t>
      </w:r>
      <w:r w:rsidRPr="00041E70">
        <w:tab/>
        <w:t>Grupo de Trabajo Técnico sobre Plantas Agrícolas</w:t>
      </w:r>
    </w:p>
    <w:p w:rsidR="001E266D" w:rsidRPr="00041E70" w:rsidRDefault="001E266D" w:rsidP="001E266D">
      <w:pPr>
        <w:tabs>
          <w:tab w:val="left" w:pos="567"/>
        </w:tabs>
        <w:ind w:left="2552" w:right="-1" w:hanging="2552"/>
        <w:jc w:val="left"/>
      </w:pPr>
      <w:r w:rsidRPr="00041E70">
        <w:tab/>
        <w:t>TWC:</w:t>
      </w:r>
      <w:r w:rsidRPr="00041E70">
        <w:tab/>
        <w:t>Grupo de Trabajo Técnico sobre Automatización y Programas Informáticos</w:t>
      </w:r>
    </w:p>
    <w:p w:rsidR="001E266D" w:rsidRPr="00041E70" w:rsidRDefault="001E266D" w:rsidP="001E266D">
      <w:pPr>
        <w:tabs>
          <w:tab w:val="left" w:pos="567"/>
        </w:tabs>
        <w:ind w:left="2552" w:right="-1" w:hanging="2552"/>
        <w:jc w:val="left"/>
      </w:pPr>
      <w:r w:rsidRPr="00041E70">
        <w:tab/>
        <w:t xml:space="preserve">TWF:  </w:t>
      </w:r>
      <w:r w:rsidRPr="00041E70">
        <w:tab/>
        <w:t>Grupo de Trabajo Técnico sobre Plantas Frutales</w:t>
      </w:r>
    </w:p>
    <w:p w:rsidR="001E266D" w:rsidRPr="00041E70" w:rsidRDefault="001E266D" w:rsidP="001E266D">
      <w:pPr>
        <w:tabs>
          <w:tab w:val="left" w:pos="567"/>
        </w:tabs>
        <w:ind w:left="2552" w:right="-1" w:hanging="2552"/>
        <w:jc w:val="left"/>
      </w:pPr>
      <w:r w:rsidRPr="00041E70">
        <w:tab/>
        <w:t>TWO:</w:t>
      </w:r>
      <w:r w:rsidRPr="00041E70">
        <w:tab/>
        <w:t>Grupo de Trabajo Técnico sobre Plantas Ornamentales y Árboles Forestales</w:t>
      </w:r>
    </w:p>
    <w:p w:rsidR="001E266D" w:rsidRPr="00041E70" w:rsidRDefault="001E266D" w:rsidP="001E266D">
      <w:pPr>
        <w:tabs>
          <w:tab w:val="left" w:pos="567"/>
        </w:tabs>
        <w:ind w:left="2552" w:right="-1" w:hanging="2552"/>
        <w:jc w:val="left"/>
      </w:pPr>
      <w:r w:rsidRPr="00041E70">
        <w:tab/>
        <w:t>TWV:</w:t>
      </w:r>
      <w:r w:rsidRPr="00041E70">
        <w:tab/>
        <w:t>Grupo de Trabajo Técnico sobre Hortalizas</w:t>
      </w:r>
    </w:p>
    <w:p w:rsidR="001E266D" w:rsidRPr="00041E70" w:rsidRDefault="001E266D" w:rsidP="001E266D">
      <w:pPr>
        <w:tabs>
          <w:tab w:val="left" w:pos="567"/>
        </w:tabs>
        <w:ind w:left="2552" w:right="-1" w:hanging="2552"/>
        <w:jc w:val="left"/>
      </w:pPr>
      <w:r w:rsidRPr="00041E70">
        <w:tab/>
        <w:t>BMT:</w:t>
      </w:r>
      <w:r w:rsidRPr="00041E70">
        <w:tab/>
        <w:t>Grupo de Trabajo sobre Técnicas Bioquímicas y Moleculares, y Perfiles de ADN en particular</w:t>
      </w:r>
    </w:p>
    <w:p w:rsidR="001E266D" w:rsidRPr="00041E70" w:rsidRDefault="001E266D" w:rsidP="001E266D">
      <w:pPr>
        <w:tabs>
          <w:tab w:val="left" w:pos="567"/>
        </w:tabs>
        <w:ind w:left="2552" w:right="-1" w:hanging="2552"/>
        <w:jc w:val="left"/>
        <w:rPr>
          <w:rFonts w:cs="Arial"/>
        </w:rPr>
      </w:pPr>
      <w:r w:rsidRPr="00041E70">
        <w:rPr>
          <w:rFonts w:cs="Arial"/>
        </w:rPr>
        <w:tab/>
        <w:t>DHE:</w:t>
      </w:r>
      <w:r w:rsidRPr="00041E70">
        <w:rPr>
          <w:rFonts w:cs="Arial"/>
        </w:rPr>
        <w:tab/>
        <w:t xml:space="preserve">Distinción, Homogeneidad y Estabilidad </w:t>
      </w:r>
    </w:p>
    <w:p w:rsidR="001E266D" w:rsidRPr="00041E70" w:rsidRDefault="001E266D" w:rsidP="001E266D">
      <w:pPr>
        <w:tabs>
          <w:tab w:val="left" w:pos="567"/>
        </w:tabs>
        <w:ind w:left="2552" w:right="-1" w:hanging="2552"/>
        <w:jc w:val="left"/>
        <w:rPr>
          <w:rFonts w:cs="Arial"/>
        </w:rPr>
      </w:pPr>
      <w:r w:rsidRPr="00041E70">
        <w:rPr>
          <w:rFonts w:cs="Arial"/>
        </w:rPr>
        <w:tab/>
        <w:t>Oficina:</w:t>
      </w:r>
      <w:r w:rsidRPr="00041E70">
        <w:rPr>
          <w:rFonts w:cs="Arial"/>
        </w:rPr>
        <w:tab/>
        <w:t>Oficina de la Unión</w:t>
      </w:r>
    </w:p>
    <w:p w:rsidR="001E266D" w:rsidRPr="00041E70" w:rsidRDefault="001E266D" w:rsidP="001E266D">
      <w:pPr>
        <w:rPr>
          <w:rFonts w:cs="Arial"/>
        </w:rPr>
      </w:pPr>
    </w:p>
    <w:p w:rsidR="001E266D" w:rsidRPr="00041E70" w:rsidRDefault="001E266D" w:rsidP="001E266D"/>
    <w:p w:rsidR="001E266D" w:rsidRPr="00041E70" w:rsidRDefault="001E266D" w:rsidP="001E266D">
      <w:pPr>
        <w:rPr>
          <w:rFonts w:cs="Arial"/>
        </w:rPr>
      </w:pPr>
      <w:r w:rsidRPr="00041E70">
        <w:rPr>
          <w:rFonts w:cs="Arial"/>
        </w:rPr>
        <w:br w:type="page"/>
      </w:r>
    </w:p>
    <w:p w:rsidR="001E266D" w:rsidRPr="00041E70" w:rsidRDefault="001E266D" w:rsidP="001E266D">
      <w:pPr>
        <w:rPr>
          <w:u w:val="single"/>
        </w:rPr>
      </w:pPr>
      <w:r w:rsidRPr="00041E70">
        <w:rPr>
          <w:u w:val="single"/>
        </w:rPr>
        <w:lastRenderedPageBreak/>
        <w:t>ÏNDICE</w:t>
      </w:r>
    </w:p>
    <w:p w:rsidR="001E266D" w:rsidRPr="00041E70" w:rsidRDefault="001E266D" w:rsidP="001E266D"/>
    <w:p w:rsidR="00A716D0" w:rsidRDefault="001E266D">
      <w:pPr>
        <w:pStyle w:val="TOC1"/>
        <w:rPr>
          <w:rFonts w:asciiTheme="minorHAnsi" w:eastAsiaTheme="minorEastAsia" w:hAnsiTheme="minorHAnsi" w:cstheme="minorBidi"/>
          <w:caps w:val="0"/>
          <w:sz w:val="22"/>
          <w:szCs w:val="22"/>
        </w:rPr>
      </w:pPr>
      <w:r w:rsidRPr="00041E70">
        <w:rPr>
          <w:snapToGrid w:val="0"/>
          <w:highlight w:val="yellow"/>
          <w:lang w:val="es-ES_tradnl"/>
        </w:rPr>
        <w:fldChar w:fldCharType="begin"/>
      </w:r>
      <w:r w:rsidRPr="00041E70">
        <w:rPr>
          <w:snapToGrid w:val="0"/>
          <w:highlight w:val="yellow"/>
          <w:lang w:val="es-ES_tradnl"/>
        </w:rPr>
        <w:instrText xml:space="preserve"> TOC \o "1-3" \h \z \u </w:instrText>
      </w:r>
      <w:r w:rsidRPr="00041E70">
        <w:rPr>
          <w:snapToGrid w:val="0"/>
          <w:highlight w:val="yellow"/>
          <w:lang w:val="es-ES_tradnl"/>
        </w:rPr>
        <w:fldChar w:fldCharType="separate"/>
      </w:r>
      <w:hyperlink w:anchor="_Toc429150753" w:history="1">
        <w:r w:rsidR="00A716D0" w:rsidRPr="00C05FA2">
          <w:rPr>
            <w:rStyle w:val="Hyperlink"/>
            <w:lang w:val="es-ES_tradnl"/>
          </w:rPr>
          <w:t>Resumen</w:t>
        </w:r>
        <w:r w:rsidR="00A716D0">
          <w:rPr>
            <w:webHidden/>
          </w:rPr>
          <w:tab/>
        </w:r>
        <w:r w:rsidR="00A716D0">
          <w:rPr>
            <w:webHidden/>
          </w:rPr>
          <w:fldChar w:fldCharType="begin"/>
        </w:r>
        <w:r w:rsidR="00A716D0">
          <w:rPr>
            <w:webHidden/>
          </w:rPr>
          <w:instrText xml:space="preserve"> PAGEREF _Toc429150753 \h </w:instrText>
        </w:r>
        <w:r w:rsidR="00A716D0">
          <w:rPr>
            <w:webHidden/>
          </w:rPr>
        </w:r>
        <w:r w:rsidR="00A716D0">
          <w:rPr>
            <w:webHidden/>
          </w:rPr>
          <w:fldChar w:fldCharType="separate"/>
        </w:r>
        <w:r w:rsidR="004B46F6">
          <w:rPr>
            <w:webHidden/>
          </w:rPr>
          <w:t>1</w:t>
        </w:r>
        <w:r w:rsidR="00A716D0">
          <w:rPr>
            <w:webHidden/>
          </w:rPr>
          <w:fldChar w:fldCharType="end"/>
        </w:r>
      </w:hyperlink>
    </w:p>
    <w:p w:rsidR="00A716D0" w:rsidRDefault="002A7B40">
      <w:pPr>
        <w:pStyle w:val="TOC1"/>
        <w:rPr>
          <w:rFonts w:asciiTheme="minorHAnsi" w:eastAsiaTheme="minorEastAsia" w:hAnsiTheme="minorHAnsi" w:cstheme="minorBidi"/>
          <w:caps w:val="0"/>
          <w:sz w:val="22"/>
          <w:szCs w:val="22"/>
        </w:rPr>
      </w:pPr>
      <w:hyperlink w:anchor="_Toc429150754" w:history="1">
        <w:r w:rsidR="00A716D0" w:rsidRPr="00C05FA2">
          <w:rPr>
            <w:rStyle w:val="Hyperlink"/>
            <w:lang w:val="es-ES_tradnl"/>
          </w:rPr>
          <w:t>INFORME SOBRE LA MARCHA DE LA LABOR DEL COMITÉ TÉCNICO</w:t>
        </w:r>
        <w:r w:rsidR="00A716D0">
          <w:rPr>
            <w:webHidden/>
          </w:rPr>
          <w:tab/>
        </w:r>
        <w:r w:rsidR="00A716D0">
          <w:rPr>
            <w:webHidden/>
          </w:rPr>
          <w:fldChar w:fldCharType="begin"/>
        </w:r>
        <w:r w:rsidR="00A716D0">
          <w:rPr>
            <w:webHidden/>
          </w:rPr>
          <w:instrText xml:space="preserve"> PAGEREF _Toc429150754 \h </w:instrText>
        </w:r>
        <w:r w:rsidR="00A716D0">
          <w:rPr>
            <w:webHidden/>
          </w:rPr>
        </w:r>
        <w:r w:rsidR="00A716D0">
          <w:rPr>
            <w:webHidden/>
          </w:rPr>
          <w:fldChar w:fldCharType="separate"/>
        </w:r>
        <w:r w:rsidR="004B46F6">
          <w:rPr>
            <w:webHidden/>
          </w:rPr>
          <w:t>3</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55" w:history="1">
        <w:r w:rsidR="00A716D0" w:rsidRPr="00C05FA2">
          <w:rPr>
            <w:rStyle w:val="Hyperlink"/>
          </w:rPr>
          <w:t>Informe sobre las novedades acaecidas en la UPOV, donde figuran las cuestiones pertinentes examinadas en las últimas sesiones del Comité Administrativo y Jurídico, el Comité Consultivo y el Consejo (informe verbal del Secretario General Adjunto)</w:t>
        </w:r>
        <w:r w:rsidR="00A716D0">
          <w:rPr>
            <w:webHidden/>
          </w:rPr>
          <w:tab/>
        </w:r>
        <w:r w:rsidR="00A716D0">
          <w:rPr>
            <w:webHidden/>
          </w:rPr>
          <w:fldChar w:fldCharType="begin"/>
        </w:r>
        <w:r w:rsidR="00A716D0">
          <w:rPr>
            <w:webHidden/>
          </w:rPr>
          <w:instrText xml:space="preserve"> PAGEREF _Toc429150755 \h </w:instrText>
        </w:r>
        <w:r w:rsidR="00A716D0">
          <w:rPr>
            <w:webHidden/>
          </w:rPr>
        </w:r>
        <w:r w:rsidR="00A716D0">
          <w:rPr>
            <w:webHidden/>
          </w:rPr>
          <w:fldChar w:fldCharType="separate"/>
        </w:r>
        <w:r w:rsidR="004B46F6">
          <w:rPr>
            <w:webHidden/>
          </w:rPr>
          <w:t>3</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56" w:history="1">
        <w:r w:rsidR="00A716D0" w:rsidRPr="00C05FA2">
          <w:rPr>
            <w:rStyle w:val="Hyperlink"/>
          </w:rPr>
          <w:t>Cuestiones presentadas por los Grupos de Trabajo Técnico</w:t>
        </w:r>
        <w:r w:rsidR="00A716D0">
          <w:rPr>
            <w:webHidden/>
          </w:rPr>
          <w:tab/>
        </w:r>
        <w:r w:rsidR="00A716D0">
          <w:rPr>
            <w:webHidden/>
          </w:rPr>
          <w:fldChar w:fldCharType="begin"/>
        </w:r>
        <w:r w:rsidR="00A716D0">
          <w:rPr>
            <w:webHidden/>
          </w:rPr>
          <w:instrText xml:space="preserve"> PAGEREF _Toc429150756 \h </w:instrText>
        </w:r>
        <w:r w:rsidR="00A716D0">
          <w:rPr>
            <w:webHidden/>
          </w:rPr>
        </w:r>
        <w:r w:rsidR="00A716D0">
          <w:rPr>
            <w:webHidden/>
          </w:rPr>
          <w:fldChar w:fldCharType="separate"/>
        </w:r>
        <w:r w:rsidR="004B46F6">
          <w:rPr>
            <w:webHidden/>
          </w:rPr>
          <w:t>3</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57" w:history="1">
        <w:r w:rsidR="00A716D0" w:rsidRPr="00C05FA2">
          <w:rPr>
            <w:rStyle w:val="Hyperlink"/>
          </w:rPr>
          <w:t>Documentos TGP</w:t>
        </w:r>
        <w:r w:rsidR="00A716D0">
          <w:rPr>
            <w:webHidden/>
          </w:rPr>
          <w:tab/>
        </w:r>
        <w:r w:rsidR="00A716D0">
          <w:rPr>
            <w:webHidden/>
          </w:rPr>
          <w:fldChar w:fldCharType="begin"/>
        </w:r>
        <w:r w:rsidR="00A716D0">
          <w:rPr>
            <w:webHidden/>
          </w:rPr>
          <w:instrText xml:space="preserve"> PAGEREF _Toc429150757 \h </w:instrText>
        </w:r>
        <w:r w:rsidR="00A716D0">
          <w:rPr>
            <w:webHidden/>
          </w:rPr>
        </w:r>
        <w:r w:rsidR="00A716D0">
          <w:rPr>
            <w:webHidden/>
          </w:rPr>
          <w:fldChar w:fldCharType="separate"/>
        </w:r>
        <w:r w:rsidR="004B46F6">
          <w:rPr>
            <w:webHidden/>
          </w:rPr>
          <w:t>3</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58" w:history="1">
        <w:r w:rsidR="00A716D0" w:rsidRPr="00C05FA2">
          <w:rPr>
            <w:rStyle w:val="Hyperlink"/>
            <w:lang w:val="es-ES_tradnl"/>
          </w:rPr>
          <w:t>Asuntos sujetos a aprobación por el Consejo en 2015</w:t>
        </w:r>
        <w:r w:rsidR="00A716D0">
          <w:rPr>
            <w:webHidden/>
          </w:rPr>
          <w:tab/>
        </w:r>
        <w:r w:rsidR="00A716D0">
          <w:rPr>
            <w:webHidden/>
          </w:rPr>
          <w:fldChar w:fldCharType="begin"/>
        </w:r>
        <w:r w:rsidR="00A716D0">
          <w:rPr>
            <w:webHidden/>
          </w:rPr>
          <w:instrText xml:space="preserve"> PAGEREF _Toc429150758 \h </w:instrText>
        </w:r>
        <w:r w:rsidR="00A716D0">
          <w:rPr>
            <w:webHidden/>
          </w:rPr>
        </w:r>
        <w:r w:rsidR="00A716D0">
          <w:rPr>
            <w:webHidden/>
          </w:rPr>
          <w:fldChar w:fldCharType="separate"/>
        </w:r>
        <w:r w:rsidR="004B46F6">
          <w:rPr>
            <w:webHidden/>
          </w:rPr>
          <w:t>3</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59" w:history="1">
        <w:r w:rsidR="00A716D0" w:rsidRPr="00C05FA2">
          <w:rPr>
            <w:rStyle w:val="Hyperlink"/>
            <w:snapToGrid w:val="0"/>
            <w:lang w:val="es-ES_tradnl"/>
          </w:rPr>
          <w:t>Futura revisión de documentos TGP</w:t>
        </w:r>
        <w:r w:rsidR="00A716D0">
          <w:rPr>
            <w:webHidden/>
          </w:rPr>
          <w:tab/>
        </w:r>
        <w:r w:rsidR="00A716D0">
          <w:rPr>
            <w:webHidden/>
          </w:rPr>
          <w:fldChar w:fldCharType="begin"/>
        </w:r>
        <w:r w:rsidR="00A716D0">
          <w:rPr>
            <w:webHidden/>
          </w:rPr>
          <w:instrText xml:space="preserve"> PAGEREF _Toc429150759 \h </w:instrText>
        </w:r>
        <w:r w:rsidR="00A716D0">
          <w:rPr>
            <w:webHidden/>
          </w:rPr>
        </w:r>
        <w:r w:rsidR="00A716D0">
          <w:rPr>
            <w:webHidden/>
          </w:rPr>
          <w:fldChar w:fldCharType="separate"/>
        </w:r>
        <w:r w:rsidR="004B46F6">
          <w:rPr>
            <w:webHidden/>
          </w:rPr>
          <w:t>6</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60" w:history="1">
        <w:r w:rsidR="00A716D0" w:rsidRPr="00C05FA2">
          <w:rPr>
            <w:rStyle w:val="Hyperlink"/>
            <w:lang w:val="es-ES_tradnl"/>
          </w:rPr>
          <w:t>Posible futura revisión de documentos TGP</w:t>
        </w:r>
        <w:r w:rsidR="00A716D0">
          <w:rPr>
            <w:webHidden/>
          </w:rPr>
          <w:tab/>
        </w:r>
        <w:r w:rsidR="00A716D0">
          <w:rPr>
            <w:webHidden/>
          </w:rPr>
          <w:fldChar w:fldCharType="begin"/>
        </w:r>
        <w:r w:rsidR="00A716D0">
          <w:rPr>
            <w:webHidden/>
          </w:rPr>
          <w:instrText xml:space="preserve"> PAGEREF _Toc429150760 \h </w:instrText>
        </w:r>
        <w:r w:rsidR="00A716D0">
          <w:rPr>
            <w:webHidden/>
          </w:rPr>
        </w:r>
        <w:r w:rsidR="00A716D0">
          <w:rPr>
            <w:webHidden/>
          </w:rPr>
          <w:fldChar w:fldCharType="separate"/>
        </w:r>
        <w:r w:rsidR="004B46F6">
          <w:rPr>
            <w:webHidden/>
          </w:rPr>
          <w:t>9</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61" w:history="1">
        <w:r w:rsidR="00A716D0" w:rsidRPr="00C05FA2">
          <w:rPr>
            <w:rStyle w:val="Hyperlink"/>
            <w:lang w:val="es-ES_tradnl"/>
          </w:rPr>
          <w:t>Programa para la elaboración de los documentos TGP</w:t>
        </w:r>
        <w:r w:rsidR="00A716D0">
          <w:rPr>
            <w:webHidden/>
          </w:rPr>
          <w:tab/>
        </w:r>
        <w:r w:rsidR="00A716D0">
          <w:rPr>
            <w:webHidden/>
          </w:rPr>
          <w:fldChar w:fldCharType="begin"/>
        </w:r>
        <w:r w:rsidR="00A716D0">
          <w:rPr>
            <w:webHidden/>
          </w:rPr>
          <w:instrText xml:space="preserve"> PAGEREF _Toc429150761 \h </w:instrText>
        </w:r>
        <w:r w:rsidR="00A716D0">
          <w:rPr>
            <w:webHidden/>
          </w:rPr>
        </w:r>
        <w:r w:rsidR="00A716D0">
          <w:rPr>
            <w:webHidden/>
          </w:rPr>
          <w:fldChar w:fldCharType="separate"/>
        </w:r>
        <w:r w:rsidR="004B46F6">
          <w:rPr>
            <w:webHidden/>
          </w:rPr>
          <w:t>10</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62" w:history="1">
        <w:r w:rsidR="00A716D0" w:rsidRPr="00C05FA2">
          <w:rPr>
            <w:rStyle w:val="Hyperlink"/>
          </w:rPr>
          <w:t>Técnicas moleculares</w:t>
        </w:r>
        <w:r w:rsidR="00A716D0">
          <w:rPr>
            <w:webHidden/>
          </w:rPr>
          <w:tab/>
        </w:r>
        <w:r w:rsidR="00A716D0">
          <w:rPr>
            <w:webHidden/>
          </w:rPr>
          <w:fldChar w:fldCharType="begin"/>
        </w:r>
        <w:r w:rsidR="00A716D0">
          <w:rPr>
            <w:webHidden/>
          </w:rPr>
          <w:instrText xml:space="preserve"> PAGEREF _Toc429150762 \h </w:instrText>
        </w:r>
        <w:r w:rsidR="00A716D0">
          <w:rPr>
            <w:webHidden/>
          </w:rPr>
        </w:r>
        <w:r w:rsidR="00A716D0">
          <w:rPr>
            <w:webHidden/>
          </w:rPr>
          <w:fldChar w:fldCharType="separate"/>
        </w:r>
        <w:r w:rsidR="004B46F6">
          <w:rPr>
            <w:webHidden/>
          </w:rPr>
          <w:t>10</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63" w:history="1">
        <w:r w:rsidR="00A716D0" w:rsidRPr="00C05FA2">
          <w:rPr>
            <w:rStyle w:val="Hyperlink"/>
            <w:lang w:val="es-ES_tradnl"/>
          </w:rPr>
          <w:t>Debate sobre técnicas moleculares</w:t>
        </w:r>
        <w:r w:rsidR="00A716D0">
          <w:rPr>
            <w:webHidden/>
          </w:rPr>
          <w:tab/>
        </w:r>
        <w:r w:rsidR="00A716D0">
          <w:rPr>
            <w:webHidden/>
          </w:rPr>
          <w:fldChar w:fldCharType="begin"/>
        </w:r>
        <w:r w:rsidR="00A716D0">
          <w:rPr>
            <w:webHidden/>
          </w:rPr>
          <w:instrText xml:space="preserve"> PAGEREF _Toc429150763 \h </w:instrText>
        </w:r>
        <w:r w:rsidR="00A716D0">
          <w:rPr>
            <w:webHidden/>
          </w:rPr>
        </w:r>
        <w:r w:rsidR="00A716D0">
          <w:rPr>
            <w:webHidden/>
          </w:rPr>
          <w:fldChar w:fldCharType="separate"/>
        </w:r>
        <w:r w:rsidR="004B46F6">
          <w:rPr>
            <w:webHidden/>
          </w:rPr>
          <w:t>10</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64" w:history="1">
        <w:r w:rsidR="00A716D0" w:rsidRPr="00C05FA2">
          <w:rPr>
            <w:rStyle w:val="Hyperlink"/>
          </w:rPr>
          <w:t>Denominación de variedades</w:t>
        </w:r>
        <w:r w:rsidR="00A716D0">
          <w:rPr>
            <w:webHidden/>
          </w:rPr>
          <w:tab/>
        </w:r>
        <w:r w:rsidR="00A716D0">
          <w:rPr>
            <w:webHidden/>
          </w:rPr>
          <w:fldChar w:fldCharType="begin"/>
        </w:r>
        <w:r w:rsidR="00A716D0">
          <w:rPr>
            <w:webHidden/>
          </w:rPr>
          <w:instrText xml:space="preserve"> PAGEREF _Toc429150764 \h </w:instrText>
        </w:r>
        <w:r w:rsidR="00A716D0">
          <w:rPr>
            <w:webHidden/>
          </w:rPr>
        </w:r>
        <w:r w:rsidR="00A716D0">
          <w:rPr>
            <w:webHidden/>
          </w:rPr>
          <w:fldChar w:fldCharType="separate"/>
        </w:r>
        <w:r w:rsidR="004B46F6">
          <w:rPr>
            <w:webHidden/>
          </w:rPr>
          <w:t>12</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65" w:history="1">
        <w:r w:rsidR="00A716D0" w:rsidRPr="00C05FA2">
          <w:rPr>
            <w:rStyle w:val="Hyperlink"/>
          </w:rPr>
          <w:t>Información y bases de datos</w:t>
        </w:r>
        <w:r w:rsidR="00A716D0">
          <w:rPr>
            <w:webHidden/>
          </w:rPr>
          <w:tab/>
        </w:r>
        <w:r w:rsidR="00A716D0">
          <w:rPr>
            <w:webHidden/>
          </w:rPr>
          <w:fldChar w:fldCharType="begin"/>
        </w:r>
        <w:r w:rsidR="00A716D0">
          <w:rPr>
            <w:webHidden/>
          </w:rPr>
          <w:instrText xml:space="preserve"> PAGEREF _Toc429150765 \h </w:instrText>
        </w:r>
        <w:r w:rsidR="00A716D0">
          <w:rPr>
            <w:webHidden/>
          </w:rPr>
        </w:r>
        <w:r w:rsidR="00A716D0">
          <w:rPr>
            <w:webHidden/>
          </w:rPr>
          <w:fldChar w:fldCharType="separate"/>
        </w:r>
        <w:r w:rsidR="004B46F6">
          <w:rPr>
            <w:webHidden/>
          </w:rPr>
          <w:t>12</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66" w:history="1">
        <w:r w:rsidR="00A716D0" w:rsidRPr="00C05FA2">
          <w:rPr>
            <w:rStyle w:val="Hyperlink"/>
            <w:lang w:val="es-ES_tradnl"/>
          </w:rPr>
          <w:t>a)</w:t>
        </w:r>
        <w:r w:rsidR="00A716D0">
          <w:rPr>
            <w:rFonts w:asciiTheme="minorHAnsi" w:eastAsiaTheme="minorEastAsia" w:hAnsiTheme="minorHAnsi" w:cstheme="minorBidi"/>
            <w:sz w:val="22"/>
            <w:szCs w:val="22"/>
            <w:lang w:val="en-US"/>
          </w:rPr>
          <w:tab/>
        </w:r>
        <w:r w:rsidR="00A716D0" w:rsidRPr="00C05FA2">
          <w:rPr>
            <w:rStyle w:val="Hyperlink"/>
            <w:lang w:val="es-ES_tradnl"/>
          </w:rPr>
          <w:t>Bases de datos de información de la UPOV</w:t>
        </w:r>
        <w:r w:rsidR="00A716D0">
          <w:rPr>
            <w:webHidden/>
          </w:rPr>
          <w:tab/>
        </w:r>
        <w:r w:rsidR="00A716D0">
          <w:rPr>
            <w:webHidden/>
          </w:rPr>
          <w:fldChar w:fldCharType="begin"/>
        </w:r>
        <w:r w:rsidR="00A716D0">
          <w:rPr>
            <w:webHidden/>
          </w:rPr>
          <w:instrText xml:space="preserve"> PAGEREF _Toc429150766 \h </w:instrText>
        </w:r>
        <w:r w:rsidR="00A716D0">
          <w:rPr>
            <w:webHidden/>
          </w:rPr>
        </w:r>
        <w:r w:rsidR="00A716D0">
          <w:rPr>
            <w:webHidden/>
          </w:rPr>
          <w:fldChar w:fldCharType="separate"/>
        </w:r>
        <w:r w:rsidR="004B46F6">
          <w:rPr>
            <w:webHidden/>
          </w:rPr>
          <w:t>12</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67" w:history="1">
        <w:r w:rsidR="00A716D0" w:rsidRPr="00C05FA2">
          <w:rPr>
            <w:rStyle w:val="Hyperlink"/>
            <w:lang w:val="es-ES_tradnl"/>
          </w:rPr>
          <w:t>b)</w:t>
        </w:r>
        <w:r w:rsidR="00A716D0">
          <w:rPr>
            <w:rFonts w:asciiTheme="minorHAnsi" w:eastAsiaTheme="minorEastAsia" w:hAnsiTheme="minorHAnsi" w:cstheme="minorBidi"/>
            <w:sz w:val="22"/>
            <w:szCs w:val="22"/>
            <w:lang w:val="en-US"/>
          </w:rPr>
          <w:tab/>
        </w:r>
        <w:r w:rsidR="00A716D0" w:rsidRPr="00C05FA2">
          <w:rPr>
            <w:rStyle w:val="Hyperlink"/>
            <w:lang w:val="es-ES_tradnl"/>
          </w:rPr>
          <w:t>Sistemas de presentación electrónica de solicitudes</w:t>
        </w:r>
        <w:r w:rsidR="00A716D0">
          <w:rPr>
            <w:webHidden/>
          </w:rPr>
          <w:tab/>
        </w:r>
        <w:r w:rsidR="00A716D0">
          <w:rPr>
            <w:webHidden/>
          </w:rPr>
          <w:fldChar w:fldCharType="begin"/>
        </w:r>
        <w:r w:rsidR="00A716D0">
          <w:rPr>
            <w:webHidden/>
          </w:rPr>
          <w:instrText xml:space="preserve"> PAGEREF _Toc429150767 \h </w:instrText>
        </w:r>
        <w:r w:rsidR="00A716D0">
          <w:rPr>
            <w:webHidden/>
          </w:rPr>
        </w:r>
        <w:r w:rsidR="00A716D0">
          <w:rPr>
            <w:webHidden/>
          </w:rPr>
          <w:fldChar w:fldCharType="separate"/>
        </w:r>
        <w:r w:rsidR="004B46F6">
          <w:rPr>
            <w:webHidden/>
          </w:rPr>
          <w:t>13</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68" w:history="1">
        <w:r w:rsidR="00A716D0" w:rsidRPr="00C05FA2">
          <w:rPr>
            <w:rStyle w:val="Hyperlink"/>
            <w:lang w:val="es-ES_tradnl"/>
          </w:rPr>
          <w:t>c)</w:t>
        </w:r>
        <w:r w:rsidR="00A716D0">
          <w:rPr>
            <w:rFonts w:asciiTheme="minorHAnsi" w:eastAsiaTheme="minorEastAsia" w:hAnsiTheme="minorHAnsi" w:cstheme="minorBidi"/>
            <w:sz w:val="22"/>
            <w:szCs w:val="22"/>
            <w:lang w:val="en-US"/>
          </w:rPr>
          <w:tab/>
        </w:r>
        <w:r w:rsidR="00A716D0" w:rsidRPr="00C05FA2">
          <w:rPr>
            <w:rStyle w:val="Hyperlink"/>
            <w:lang w:val="es-ES_tradnl"/>
          </w:rPr>
          <w:t>Programas informáticos para intercambio</w:t>
        </w:r>
        <w:r w:rsidR="00A716D0">
          <w:rPr>
            <w:webHidden/>
          </w:rPr>
          <w:tab/>
        </w:r>
        <w:r w:rsidR="00A716D0">
          <w:rPr>
            <w:webHidden/>
          </w:rPr>
          <w:fldChar w:fldCharType="begin"/>
        </w:r>
        <w:r w:rsidR="00A716D0">
          <w:rPr>
            <w:webHidden/>
          </w:rPr>
          <w:instrText xml:space="preserve"> PAGEREF _Toc429150768 \h </w:instrText>
        </w:r>
        <w:r w:rsidR="00A716D0">
          <w:rPr>
            <w:webHidden/>
          </w:rPr>
        </w:r>
        <w:r w:rsidR="00A716D0">
          <w:rPr>
            <w:webHidden/>
          </w:rPr>
          <w:fldChar w:fldCharType="separate"/>
        </w:r>
        <w:r w:rsidR="004B46F6">
          <w:rPr>
            <w:webHidden/>
          </w:rPr>
          <w:t>13</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69" w:history="1">
        <w:r w:rsidR="00A716D0" w:rsidRPr="00C05FA2">
          <w:rPr>
            <w:rStyle w:val="Hyperlink"/>
            <w:lang w:val="es-ES_tradnl"/>
          </w:rPr>
          <w:t>d)</w:t>
        </w:r>
        <w:r w:rsidR="00A716D0">
          <w:rPr>
            <w:rFonts w:asciiTheme="minorHAnsi" w:eastAsiaTheme="minorEastAsia" w:hAnsiTheme="minorHAnsi" w:cstheme="minorBidi"/>
            <w:sz w:val="22"/>
            <w:szCs w:val="22"/>
            <w:lang w:val="en-US"/>
          </w:rPr>
          <w:tab/>
        </w:r>
        <w:r w:rsidR="00A716D0" w:rsidRPr="00C05FA2">
          <w:rPr>
            <w:rStyle w:val="Hyperlink"/>
            <w:lang w:val="es-ES_tradnl"/>
          </w:rPr>
          <w:t>Bases de datos de descripciones de variedades</w:t>
        </w:r>
        <w:r w:rsidR="00A716D0">
          <w:rPr>
            <w:webHidden/>
          </w:rPr>
          <w:tab/>
        </w:r>
        <w:r w:rsidR="00A716D0">
          <w:rPr>
            <w:webHidden/>
          </w:rPr>
          <w:fldChar w:fldCharType="begin"/>
        </w:r>
        <w:r w:rsidR="00A716D0">
          <w:rPr>
            <w:webHidden/>
          </w:rPr>
          <w:instrText xml:space="preserve"> PAGEREF _Toc429150769 \h </w:instrText>
        </w:r>
        <w:r w:rsidR="00A716D0">
          <w:rPr>
            <w:webHidden/>
          </w:rPr>
        </w:r>
        <w:r w:rsidR="00A716D0">
          <w:rPr>
            <w:webHidden/>
          </w:rPr>
          <w:fldChar w:fldCharType="separate"/>
        </w:r>
        <w:r w:rsidR="004B46F6">
          <w:rPr>
            <w:webHidden/>
          </w:rPr>
          <w:t>14</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70" w:history="1">
        <w:r w:rsidR="00A716D0" w:rsidRPr="00C05FA2">
          <w:rPr>
            <w:rStyle w:val="Hyperlink"/>
          </w:rPr>
          <w:t>Asuntos relativos a las descripciones de variedades</w:t>
        </w:r>
        <w:r w:rsidR="00A716D0">
          <w:rPr>
            <w:webHidden/>
          </w:rPr>
          <w:tab/>
        </w:r>
        <w:r w:rsidR="00A716D0">
          <w:rPr>
            <w:webHidden/>
          </w:rPr>
          <w:fldChar w:fldCharType="begin"/>
        </w:r>
        <w:r w:rsidR="00A716D0">
          <w:rPr>
            <w:webHidden/>
          </w:rPr>
          <w:instrText xml:space="preserve"> PAGEREF _Toc429150770 \h </w:instrText>
        </w:r>
        <w:r w:rsidR="00A716D0">
          <w:rPr>
            <w:webHidden/>
          </w:rPr>
        </w:r>
        <w:r w:rsidR="00A716D0">
          <w:rPr>
            <w:webHidden/>
          </w:rPr>
          <w:fldChar w:fldCharType="separate"/>
        </w:r>
        <w:r w:rsidR="004B46F6">
          <w:rPr>
            <w:webHidden/>
          </w:rPr>
          <w:t>14</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71" w:history="1">
        <w:r w:rsidR="00A716D0" w:rsidRPr="00C05FA2">
          <w:rPr>
            <w:rStyle w:val="Hyperlink"/>
            <w:lang w:val="es-ES_tradnl"/>
          </w:rPr>
          <w:t>Control del mantenimiento de la variedad</w:t>
        </w:r>
        <w:r w:rsidR="00A716D0">
          <w:rPr>
            <w:webHidden/>
          </w:rPr>
          <w:tab/>
        </w:r>
        <w:r w:rsidR="00A716D0">
          <w:rPr>
            <w:webHidden/>
          </w:rPr>
          <w:fldChar w:fldCharType="begin"/>
        </w:r>
        <w:r w:rsidR="00A716D0">
          <w:rPr>
            <w:webHidden/>
          </w:rPr>
          <w:instrText xml:space="preserve"> PAGEREF _Toc429150771 \h </w:instrText>
        </w:r>
        <w:r w:rsidR="00A716D0">
          <w:rPr>
            <w:webHidden/>
          </w:rPr>
        </w:r>
        <w:r w:rsidR="00A716D0">
          <w:rPr>
            <w:webHidden/>
          </w:rPr>
          <w:fldChar w:fldCharType="separate"/>
        </w:r>
        <w:r w:rsidR="004B46F6">
          <w:rPr>
            <w:webHidden/>
          </w:rPr>
          <w:t>14</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72" w:history="1">
        <w:r w:rsidR="00A716D0" w:rsidRPr="00C05FA2">
          <w:rPr>
            <w:rStyle w:val="Hyperlink"/>
            <w:lang w:val="es-ES_tradnl"/>
          </w:rPr>
          <w:t>Asuntos relativos a las descripciones de variedades</w:t>
        </w:r>
        <w:r w:rsidR="00A716D0">
          <w:rPr>
            <w:webHidden/>
          </w:rPr>
          <w:tab/>
        </w:r>
        <w:r w:rsidR="00A716D0">
          <w:rPr>
            <w:webHidden/>
          </w:rPr>
          <w:fldChar w:fldCharType="begin"/>
        </w:r>
        <w:r w:rsidR="00A716D0">
          <w:rPr>
            <w:webHidden/>
          </w:rPr>
          <w:instrText xml:space="preserve"> PAGEREF _Toc429150772 \h </w:instrText>
        </w:r>
        <w:r w:rsidR="00A716D0">
          <w:rPr>
            <w:webHidden/>
          </w:rPr>
        </w:r>
        <w:r w:rsidR="00A716D0">
          <w:rPr>
            <w:webHidden/>
          </w:rPr>
          <w:fldChar w:fldCharType="separate"/>
        </w:r>
        <w:r w:rsidR="004B46F6">
          <w:rPr>
            <w:webHidden/>
          </w:rPr>
          <w:t>15</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73" w:history="1">
        <w:r w:rsidR="00A716D0" w:rsidRPr="00C05FA2">
          <w:rPr>
            <w:rStyle w:val="Hyperlink"/>
          </w:rPr>
          <w:t>Debate sobre la mejora de la eficacia del Comité Técnico, los Grupos de Trabajo Técnico y los talleres preparatorios</w:t>
        </w:r>
        <w:r w:rsidR="00A716D0">
          <w:rPr>
            <w:webHidden/>
          </w:rPr>
          <w:tab/>
        </w:r>
        <w:r w:rsidR="00A716D0">
          <w:rPr>
            <w:webHidden/>
          </w:rPr>
          <w:fldChar w:fldCharType="begin"/>
        </w:r>
        <w:r w:rsidR="00A716D0">
          <w:rPr>
            <w:webHidden/>
          </w:rPr>
          <w:instrText xml:space="preserve"> PAGEREF _Toc429150773 \h </w:instrText>
        </w:r>
        <w:r w:rsidR="00A716D0">
          <w:rPr>
            <w:webHidden/>
          </w:rPr>
        </w:r>
        <w:r w:rsidR="00A716D0">
          <w:rPr>
            <w:webHidden/>
          </w:rPr>
          <w:fldChar w:fldCharType="separate"/>
        </w:r>
        <w:r w:rsidR="004B46F6">
          <w:rPr>
            <w:webHidden/>
          </w:rPr>
          <w:t>15</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74" w:history="1">
        <w:r w:rsidR="00A716D0" w:rsidRPr="00C05FA2">
          <w:rPr>
            <w:rStyle w:val="Hyperlink"/>
          </w:rPr>
          <w:t>Talleres preparatorios</w:t>
        </w:r>
        <w:r w:rsidR="00A716D0">
          <w:rPr>
            <w:webHidden/>
          </w:rPr>
          <w:tab/>
        </w:r>
        <w:r w:rsidR="00A716D0">
          <w:rPr>
            <w:webHidden/>
          </w:rPr>
          <w:fldChar w:fldCharType="begin"/>
        </w:r>
        <w:r w:rsidR="00A716D0">
          <w:rPr>
            <w:webHidden/>
          </w:rPr>
          <w:instrText xml:space="preserve"> PAGEREF _Toc429150774 \h </w:instrText>
        </w:r>
        <w:r w:rsidR="00A716D0">
          <w:rPr>
            <w:webHidden/>
          </w:rPr>
        </w:r>
        <w:r w:rsidR="00A716D0">
          <w:rPr>
            <w:webHidden/>
          </w:rPr>
          <w:fldChar w:fldCharType="separate"/>
        </w:r>
        <w:r w:rsidR="004B46F6">
          <w:rPr>
            <w:webHidden/>
          </w:rPr>
          <w:t>16</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75" w:history="1">
        <w:r w:rsidR="00A716D0" w:rsidRPr="00C05FA2">
          <w:rPr>
            <w:rStyle w:val="Hyperlink"/>
          </w:rPr>
          <w:t>Directrices de Examen</w:t>
        </w:r>
        <w:r w:rsidR="00A716D0">
          <w:rPr>
            <w:webHidden/>
          </w:rPr>
          <w:tab/>
        </w:r>
        <w:r w:rsidR="00A716D0">
          <w:rPr>
            <w:webHidden/>
          </w:rPr>
          <w:fldChar w:fldCharType="begin"/>
        </w:r>
        <w:r w:rsidR="00A716D0">
          <w:rPr>
            <w:webHidden/>
          </w:rPr>
          <w:instrText xml:space="preserve"> PAGEREF _Toc429150775 \h </w:instrText>
        </w:r>
        <w:r w:rsidR="00A716D0">
          <w:rPr>
            <w:webHidden/>
          </w:rPr>
        </w:r>
        <w:r w:rsidR="00A716D0">
          <w:rPr>
            <w:webHidden/>
          </w:rPr>
          <w:fldChar w:fldCharType="separate"/>
        </w:r>
        <w:r w:rsidR="004B46F6">
          <w:rPr>
            <w:webHidden/>
          </w:rPr>
          <w:t>16</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76" w:history="1">
        <w:r w:rsidR="00A716D0" w:rsidRPr="00C05FA2">
          <w:rPr>
            <w:rStyle w:val="Hyperlink"/>
            <w:lang w:val="es-ES_tradnl"/>
          </w:rPr>
          <w:t>Correcciones de directrices de examen</w:t>
        </w:r>
        <w:r w:rsidR="00A716D0">
          <w:rPr>
            <w:webHidden/>
          </w:rPr>
          <w:tab/>
        </w:r>
        <w:r w:rsidR="00A716D0">
          <w:rPr>
            <w:webHidden/>
          </w:rPr>
          <w:fldChar w:fldCharType="begin"/>
        </w:r>
        <w:r w:rsidR="00A716D0">
          <w:rPr>
            <w:webHidden/>
          </w:rPr>
          <w:instrText xml:space="preserve"> PAGEREF _Toc429150776 \h </w:instrText>
        </w:r>
        <w:r w:rsidR="00A716D0">
          <w:rPr>
            <w:webHidden/>
          </w:rPr>
        </w:r>
        <w:r w:rsidR="00A716D0">
          <w:rPr>
            <w:webHidden/>
          </w:rPr>
          <w:fldChar w:fldCharType="separate"/>
        </w:r>
        <w:r w:rsidR="004B46F6">
          <w:rPr>
            <w:webHidden/>
          </w:rPr>
          <w:t>19</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77" w:history="1">
        <w:r w:rsidR="00A716D0" w:rsidRPr="00C05FA2">
          <w:rPr>
            <w:rStyle w:val="Hyperlink"/>
            <w:lang w:val="es-ES_tradnl"/>
          </w:rPr>
          <w:t>Proyectos de directrices de examen debatidos en los Grupos de Trabajo Técnico en 2014</w:t>
        </w:r>
        <w:r w:rsidR="00A716D0">
          <w:rPr>
            <w:webHidden/>
          </w:rPr>
          <w:tab/>
        </w:r>
        <w:r w:rsidR="00A716D0">
          <w:rPr>
            <w:webHidden/>
          </w:rPr>
          <w:fldChar w:fldCharType="begin"/>
        </w:r>
        <w:r w:rsidR="00A716D0">
          <w:rPr>
            <w:webHidden/>
          </w:rPr>
          <w:instrText xml:space="preserve"> PAGEREF _Toc429150777 \h </w:instrText>
        </w:r>
        <w:r w:rsidR="00A716D0">
          <w:rPr>
            <w:webHidden/>
          </w:rPr>
        </w:r>
        <w:r w:rsidR="00A716D0">
          <w:rPr>
            <w:webHidden/>
          </w:rPr>
          <w:fldChar w:fldCharType="separate"/>
        </w:r>
        <w:r w:rsidR="004B46F6">
          <w:rPr>
            <w:webHidden/>
          </w:rPr>
          <w:t>19</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78" w:history="1">
        <w:r w:rsidR="00A716D0" w:rsidRPr="00C05FA2">
          <w:rPr>
            <w:rStyle w:val="Hyperlink"/>
            <w:lang w:val="es-ES_tradnl"/>
          </w:rPr>
          <w:t>Proyectos de directrices de examen que han de debatirse en los Grupos de Trabajo Técnico en 2015</w:t>
        </w:r>
        <w:r w:rsidR="00A716D0">
          <w:rPr>
            <w:webHidden/>
          </w:rPr>
          <w:tab/>
        </w:r>
        <w:r w:rsidR="00A716D0">
          <w:rPr>
            <w:webHidden/>
          </w:rPr>
          <w:fldChar w:fldCharType="begin"/>
        </w:r>
        <w:r w:rsidR="00A716D0">
          <w:rPr>
            <w:webHidden/>
          </w:rPr>
          <w:instrText xml:space="preserve"> PAGEREF _Toc429150778 \h </w:instrText>
        </w:r>
        <w:r w:rsidR="00A716D0">
          <w:rPr>
            <w:webHidden/>
          </w:rPr>
        </w:r>
        <w:r w:rsidR="00A716D0">
          <w:rPr>
            <w:webHidden/>
          </w:rPr>
          <w:fldChar w:fldCharType="separate"/>
        </w:r>
        <w:r w:rsidR="004B46F6">
          <w:rPr>
            <w:webHidden/>
          </w:rPr>
          <w:t>19</w:t>
        </w:r>
        <w:r w:rsidR="00A716D0">
          <w:rPr>
            <w:webHidden/>
          </w:rPr>
          <w:fldChar w:fldCharType="end"/>
        </w:r>
      </w:hyperlink>
    </w:p>
    <w:p w:rsidR="00A716D0" w:rsidRDefault="002A7B40" w:rsidP="00A716D0">
      <w:pPr>
        <w:pStyle w:val="TOC3"/>
        <w:rPr>
          <w:rFonts w:asciiTheme="minorHAnsi" w:eastAsiaTheme="minorEastAsia" w:hAnsiTheme="minorHAnsi" w:cstheme="minorBidi"/>
          <w:sz w:val="22"/>
          <w:szCs w:val="22"/>
          <w:lang w:val="en-US"/>
        </w:rPr>
      </w:pPr>
      <w:hyperlink w:anchor="_Toc429150779" w:history="1">
        <w:r w:rsidR="00A716D0" w:rsidRPr="00C05FA2">
          <w:rPr>
            <w:rStyle w:val="Hyperlink"/>
            <w:lang w:val="es-ES_tradnl"/>
          </w:rPr>
          <w:t>Directrices de examen publicadas en el sitio web de la UPOV</w:t>
        </w:r>
        <w:r w:rsidR="00A716D0">
          <w:rPr>
            <w:webHidden/>
          </w:rPr>
          <w:tab/>
        </w:r>
        <w:r w:rsidR="00A716D0">
          <w:rPr>
            <w:webHidden/>
          </w:rPr>
          <w:fldChar w:fldCharType="begin"/>
        </w:r>
        <w:r w:rsidR="00A716D0">
          <w:rPr>
            <w:webHidden/>
          </w:rPr>
          <w:instrText xml:space="preserve"> PAGEREF _Toc429150779 \h </w:instrText>
        </w:r>
        <w:r w:rsidR="00A716D0">
          <w:rPr>
            <w:webHidden/>
          </w:rPr>
        </w:r>
        <w:r w:rsidR="00A716D0">
          <w:rPr>
            <w:webHidden/>
          </w:rPr>
          <w:fldChar w:fldCharType="separate"/>
        </w:r>
        <w:r w:rsidR="004B46F6">
          <w:rPr>
            <w:webHidden/>
          </w:rPr>
          <w:t>20</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80" w:history="1">
        <w:r w:rsidR="00A716D0" w:rsidRPr="00C05FA2">
          <w:rPr>
            <w:rStyle w:val="Hyperlink"/>
          </w:rPr>
          <w:t>Plantilla en Internet de los documentos TG</w:t>
        </w:r>
        <w:r w:rsidR="00A716D0">
          <w:rPr>
            <w:webHidden/>
          </w:rPr>
          <w:tab/>
        </w:r>
        <w:r w:rsidR="00A716D0">
          <w:rPr>
            <w:webHidden/>
          </w:rPr>
          <w:fldChar w:fldCharType="begin"/>
        </w:r>
        <w:r w:rsidR="00A716D0">
          <w:rPr>
            <w:webHidden/>
          </w:rPr>
          <w:instrText xml:space="preserve"> PAGEREF _Toc429150780 \h </w:instrText>
        </w:r>
        <w:r w:rsidR="00A716D0">
          <w:rPr>
            <w:webHidden/>
          </w:rPr>
        </w:r>
        <w:r w:rsidR="00A716D0">
          <w:rPr>
            <w:webHidden/>
          </w:rPr>
          <w:fldChar w:fldCharType="separate"/>
        </w:r>
        <w:r w:rsidR="004B46F6">
          <w:rPr>
            <w:webHidden/>
          </w:rPr>
          <w:t>20</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81" w:history="1">
        <w:r w:rsidR="00A716D0" w:rsidRPr="00C05FA2">
          <w:rPr>
            <w:rStyle w:val="Hyperlink"/>
          </w:rPr>
          <w:t>Lista de géneros y especies respecto de las cuales las autoridades poseen experiencia práctica en el examen de la distinción, la homogeneidad y la estabilidad</w:t>
        </w:r>
        <w:r w:rsidR="00A716D0">
          <w:rPr>
            <w:webHidden/>
          </w:rPr>
          <w:tab/>
        </w:r>
        <w:r w:rsidR="00A716D0">
          <w:rPr>
            <w:webHidden/>
          </w:rPr>
          <w:fldChar w:fldCharType="begin"/>
        </w:r>
        <w:r w:rsidR="00A716D0">
          <w:rPr>
            <w:webHidden/>
          </w:rPr>
          <w:instrText xml:space="preserve"> PAGEREF _Toc429150781 \h </w:instrText>
        </w:r>
        <w:r w:rsidR="00A716D0">
          <w:rPr>
            <w:webHidden/>
          </w:rPr>
        </w:r>
        <w:r w:rsidR="00A716D0">
          <w:rPr>
            <w:webHidden/>
          </w:rPr>
          <w:fldChar w:fldCharType="separate"/>
        </w:r>
        <w:r w:rsidR="004B46F6">
          <w:rPr>
            <w:webHidden/>
          </w:rPr>
          <w:t>20</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82" w:history="1">
        <w:r w:rsidR="00A716D0" w:rsidRPr="00C05FA2">
          <w:rPr>
            <w:rStyle w:val="Hyperlink"/>
          </w:rPr>
          <w:t>Programa de la quincuagésima segunda sesión</w:t>
        </w:r>
        <w:r w:rsidR="00A716D0">
          <w:rPr>
            <w:webHidden/>
          </w:rPr>
          <w:tab/>
        </w:r>
        <w:r w:rsidR="00A716D0">
          <w:rPr>
            <w:webHidden/>
          </w:rPr>
          <w:fldChar w:fldCharType="begin"/>
        </w:r>
        <w:r w:rsidR="00A716D0">
          <w:rPr>
            <w:webHidden/>
          </w:rPr>
          <w:instrText xml:space="preserve"> PAGEREF _Toc429150782 \h </w:instrText>
        </w:r>
        <w:r w:rsidR="00A716D0">
          <w:rPr>
            <w:webHidden/>
          </w:rPr>
        </w:r>
        <w:r w:rsidR="00A716D0">
          <w:rPr>
            <w:webHidden/>
          </w:rPr>
          <w:fldChar w:fldCharType="separate"/>
        </w:r>
        <w:r w:rsidR="004B46F6">
          <w:rPr>
            <w:webHidden/>
          </w:rPr>
          <w:t>20</w:t>
        </w:r>
        <w:r w:rsidR="00A716D0">
          <w:rPr>
            <w:webHidden/>
          </w:rPr>
          <w:fldChar w:fldCharType="end"/>
        </w:r>
      </w:hyperlink>
    </w:p>
    <w:p w:rsidR="00A716D0" w:rsidRDefault="002A7B40">
      <w:pPr>
        <w:pStyle w:val="TOC1"/>
        <w:rPr>
          <w:rFonts w:asciiTheme="minorHAnsi" w:eastAsiaTheme="minorEastAsia" w:hAnsiTheme="minorHAnsi" w:cstheme="minorBidi"/>
          <w:caps w:val="0"/>
          <w:sz w:val="22"/>
          <w:szCs w:val="22"/>
        </w:rPr>
      </w:pPr>
      <w:hyperlink w:anchor="_Toc429150783" w:history="1">
        <w:r w:rsidR="00A716D0" w:rsidRPr="00C05FA2">
          <w:rPr>
            <w:rStyle w:val="Hyperlink"/>
            <w:lang w:val="es-ES_tradnl"/>
          </w:rPr>
          <w:t>INFORME SOBRE LA MARCHA DE LA LABOR REALIZADA EN 2014 POR LOS GRUPOS DE TRABAJO TÉCNICO Y EL GRUPO DE TRABAJO SOBRE TÉCNICAS BIOQUÍMICAS Y MOLECULARES, Y PERFILES DE ADN EN PARTICULAR</w:t>
        </w:r>
        <w:r w:rsidR="00A716D0">
          <w:rPr>
            <w:webHidden/>
          </w:rPr>
          <w:tab/>
        </w:r>
        <w:r w:rsidR="00A716D0">
          <w:rPr>
            <w:webHidden/>
          </w:rPr>
          <w:fldChar w:fldCharType="begin"/>
        </w:r>
        <w:r w:rsidR="00A716D0">
          <w:rPr>
            <w:webHidden/>
          </w:rPr>
          <w:instrText xml:space="preserve"> PAGEREF _Toc429150783 \h </w:instrText>
        </w:r>
        <w:r w:rsidR="00A716D0">
          <w:rPr>
            <w:webHidden/>
          </w:rPr>
        </w:r>
        <w:r w:rsidR="00A716D0">
          <w:rPr>
            <w:webHidden/>
          </w:rPr>
          <w:fldChar w:fldCharType="separate"/>
        </w:r>
        <w:r w:rsidR="004B46F6">
          <w:rPr>
            <w:webHidden/>
          </w:rPr>
          <w:t>21</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84" w:history="1">
        <w:r w:rsidR="00A716D0" w:rsidRPr="00C05FA2">
          <w:rPr>
            <w:rStyle w:val="Hyperlink"/>
          </w:rPr>
          <w:t>Grupo de Trabajo Técnico sobre Plantas Agrícolas (TWA)</w:t>
        </w:r>
        <w:r w:rsidR="00A716D0">
          <w:rPr>
            <w:webHidden/>
          </w:rPr>
          <w:tab/>
        </w:r>
        <w:r w:rsidR="00A716D0">
          <w:rPr>
            <w:webHidden/>
          </w:rPr>
          <w:fldChar w:fldCharType="begin"/>
        </w:r>
        <w:r w:rsidR="00A716D0">
          <w:rPr>
            <w:webHidden/>
          </w:rPr>
          <w:instrText xml:space="preserve"> PAGEREF _Toc429150784 \h </w:instrText>
        </w:r>
        <w:r w:rsidR="00A716D0">
          <w:rPr>
            <w:webHidden/>
          </w:rPr>
        </w:r>
        <w:r w:rsidR="00A716D0">
          <w:rPr>
            <w:webHidden/>
          </w:rPr>
          <w:fldChar w:fldCharType="separate"/>
        </w:r>
        <w:r w:rsidR="004B46F6">
          <w:rPr>
            <w:webHidden/>
          </w:rPr>
          <w:t>21</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85" w:history="1">
        <w:r w:rsidR="00A716D0" w:rsidRPr="00C05FA2">
          <w:rPr>
            <w:rStyle w:val="Hyperlink"/>
          </w:rPr>
          <w:t>Grupo de Trabajo Técnico sobre Automatización y Programas Informáticos (TWC)</w:t>
        </w:r>
        <w:r w:rsidR="00A716D0">
          <w:rPr>
            <w:webHidden/>
          </w:rPr>
          <w:tab/>
        </w:r>
        <w:r w:rsidR="00A716D0">
          <w:rPr>
            <w:webHidden/>
          </w:rPr>
          <w:fldChar w:fldCharType="begin"/>
        </w:r>
        <w:r w:rsidR="00A716D0">
          <w:rPr>
            <w:webHidden/>
          </w:rPr>
          <w:instrText xml:space="preserve"> PAGEREF _Toc429150785 \h </w:instrText>
        </w:r>
        <w:r w:rsidR="00A716D0">
          <w:rPr>
            <w:webHidden/>
          </w:rPr>
        </w:r>
        <w:r w:rsidR="00A716D0">
          <w:rPr>
            <w:webHidden/>
          </w:rPr>
          <w:fldChar w:fldCharType="separate"/>
        </w:r>
        <w:r w:rsidR="004B46F6">
          <w:rPr>
            <w:webHidden/>
          </w:rPr>
          <w:t>24</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86" w:history="1">
        <w:r w:rsidR="00A716D0" w:rsidRPr="00C05FA2">
          <w:rPr>
            <w:rStyle w:val="Hyperlink"/>
          </w:rPr>
          <w:t>Grupo de Trabajo Técnico sobre Plantas Frutales (TWF)</w:t>
        </w:r>
        <w:r w:rsidR="00A716D0">
          <w:rPr>
            <w:webHidden/>
          </w:rPr>
          <w:tab/>
        </w:r>
        <w:r w:rsidR="00A716D0">
          <w:rPr>
            <w:webHidden/>
          </w:rPr>
          <w:fldChar w:fldCharType="begin"/>
        </w:r>
        <w:r w:rsidR="00A716D0">
          <w:rPr>
            <w:webHidden/>
          </w:rPr>
          <w:instrText xml:space="preserve"> PAGEREF _Toc429150786 \h </w:instrText>
        </w:r>
        <w:r w:rsidR="00A716D0">
          <w:rPr>
            <w:webHidden/>
          </w:rPr>
        </w:r>
        <w:r w:rsidR="00A716D0">
          <w:rPr>
            <w:webHidden/>
          </w:rPr>
          <w:fldChar w:fldCharType="separate"/>
        </w:r>
        <w:r w:rsidR="004B46F6">
          <w:rPr>
            <w:webHidden/>
          </w:rPr>
          <w:t>27</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87" w:history="1">
        <w:r w:rsidR="00A716D0" w:rsidRPr="00C05FA2">
          <w:rPr>
            <w:rStyle w:val="Hyperlink"/>
          </w:rPr>
          <w:t>Grupo de Trabajo Técnico sobre Plantas Ornamentales y Árboles Forestales (TWO)</w:t>
        </w:r>
        <w:r w:rsidR="00A716D0">
          <w:rPr>
            <w:webHidden/>
          </w:rPr>
          <w:tab/>
        </w:r>
        <w:r w:rsidR="00A716D0">
          <w:rPr>
            <w:webHidden/>
          </w:rPr>
          <w:fldChar w:fldCharType="begin"/>
        </w:r>
        <w:r w:rsidR="00A716D0">
          <w:rPr>
            <w:webHidden/>
          </w:rPr>
          <w:instrText xml:space="preserve"> PAGEREF _Toc429150787 \h </w:instrText>
        </w:r>
        <w:r w:rsidR="00A716D0">
          <w:rPr>
            <w:webHidden/>
          </w:rPr>
        </w:r>
        <w:r w:rsidR="00A716D0">
          <w:rPr>
            <w:webHidden/>
          </w:rPr>
          <w:fldChar w:fldCharType="separate"/>
        </w:r>
        <w:r w:rsidR="004B46F6">
          <w:rPr>
            <w:webHidden/>
          </w:rPr>
          <w:t>29</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88" w:history="1">
        <w:r w:rsidR="00A716D0" w:rsidRPr="00C05FA2">
          <w:rPr>
            <w:rStyle w:val="Hyperlink"/>
          </w:rPr>
          <w:t>Grupo de Trabajo Técnico sobre Hortalizas (TWV)</w:t>
        </w:r>
        <w:r w:rsidR="00A716D0">
          <w:rPr>
            <w:webHidden/>
          </w:rPr>
          <w:tab/>
        </w:r>
        <w:r w:rsidR="00A716D0">
          <w:rPr>
            <w:webHidden/>
          </w:rPr>
          <w:fldChar w:fldCharType="begin"/>
        </w:r>
        <w:r w:rsidR="00A716D0">
          <w:rPr>
            <w:webHidden/>
          </w:rPr>
          <w:instrText xml:space="preserve"> PAGEREF _Toc429150788 \h </w:instrText>
        </w:r>
        <w:r w:rsidR="00A716D0">
          <w:rPr>
            <w:webHidden/>
          </w:rPr>
        </w:r>
        <w:r w:rsidR="00A716D0">
          <w:rPr>
            <w:webHidden/>
          </w:rPr>
          <w:fldChar w:fldCharType="separate"/>
        </w:r>
        <w:r w:rsidR="004B46F6">
          <w:rPr>
            <w:webHidden/>
          </w:rPr>
          <w:t>31</w:t>
        </w:r>
        <w:r w:rsidR="00A716D0">
          <w:rPr>
            <w:webHidden/>
          </w:rPr>
          <w:fldChar w:fldCharType="end"/>
        </w:r>
      </w:hyperlink>
    </w:p>
    <w:p w:rsidR="00A716D0" w:rsidRDefault="002A7B40" w:rsidP="00A716D0">
      <w:pPr>
        <w:pStyle w:val="TOC2"/>
        <w:rPr>
          <w:rFonts w:asciiTheme="minorHAnsi" w:eastAsiaTheme="minorEastAsia" w:hAnsiTheme="minorHAnsi" w:cstheme="minorBidi"/>
          <w:sz w:val="22"/>
          <w:szCs w:val="22"/>
        </w:rPr>
      </w:pPr>
      <w:hyperlink w:anchor="_Toc429150789" w:history="1">
        <w:r w:rsidR="00A716D0" w:rsidRPr="00C05FA2">
          <w:rPr>
            <w:rStyle w:val="Hyperlink"/>
          </w:rPr>
          <w:t>Grupo de Trabajo sobre Técnicas Bioquímicas y Moleculares y Perfiles de ADN en particular (BMT)</w:t>
        </w:r>
        <w:r w:rsidR="00A716D0">
          <w:rPr>
            <w:webHidden/>
          </w:rPr>
          <w:tab/>
        </w:r>
        <w:r w:rsidR="00A716D0">
          <w:rPr>
            <w:webHidden/>
          </w:rPr>
          <w:fldChar w:fldCharType="begin"/>
        </w:r>
        <w:r w:rsidR="00A716D0">
          <w:rPr>
            <w:webHidden/>
          </w:rPr>
          <w:instrText xml:space="preserve"> PAGEREF _Toc429150789 \h </w:instrText>
        </w:r>
        <w:r w:rsidR="00A716D0">
          <w:rPr>
            <w:webHidden/>
          </w:rPr>
        </w:r>
        <w:r w:rsidR="00A716D0">
          <w:rPr>
            <w:webHidden/>
          </w:rPr>
          <w:fldChar w:fldCharType="separate"/>
        </w:r>
        <w:r w:rsidR="004B46F6">
          <w:rPr>
            <w:webHidden/>
          </w:rPr>
          <w:t>33</w:t>
        </w:r>
        <w:r w:rsidR="00A716D0">
          <w:rPr>
            <w:webHidden/>
          </w:rPr>
          <w:fldChar w:fldCharType="end"/>
        </w:r>
      </w:hyperlink>
    </w:p>
    <w:p w:rsidR="001E266D" w:rsidRPr="00041E70" w:rsidRDefault="001E266D" w:rsidP="001E266D">
      <w:pPr>
        <w:pStyle w:val="TOC1"/>
        <w:rPr>
          <w:snapToGrid w:val="0"/>
          <w:highlight w:val="yellow"/>
          <w:lang w:val="es-ES_tradnl"/>
        </w:rPr>
      </w:pPr>
      <w:r w:rsidRPr="00041E70">
        <w:rPr>
          <w:snapToGrid w:val="0"/>
          <w:highlight w:val="yellow"/>
          <w:lang w:val="es-ES_tradnl"/>
        </w:rPr>
        <w:fldChar w:fldCharType="end"/>
      </w:r>
    </w:p>
    <w:p w:rsidR="001E266D" w:rsidRPr="00041E70" w:rsidRDefault="001E266D" w:rsidP="001E266D">
      <w:pPr>
        <w:tabs>
          <w:tab w:val="left" w:pos="1418"/>
        </w:tabs>
      </w:pPr>
      <w:r w:rsidRPr="00041E70">
        <w:t>ANEXO:</w:t>
      </w:r>
      <w:r w:rsidRPr="00041E70">
        <w:tab/>
        <w:t>PROGRAMA PARA LA ELABORACIÓN DE LOS DOCUMENTOS TGP</w:t>
      </w:r>
    </w:p>
    <w:p w:rsidR="001E266D" w:rsidRPr="00041E70" w:rsidRDefault="001E266D" w:rsidP="001E266D">
      <w:pPr>
        <w:tabs>
          <w:tab w:val="left" w:pos="1418"/>
        </w:tabs>
      </w:pPr>
    </w:p>
    <w:p w:rsidR="001E266D" w:rsidRPr="00041E70" w:rsidRDefault="001E266D" w:rsidP="001E266D">
      <w:pPr>
        <w:tabs>
          <w:tab w:val="left" w:pos="1418"/>
        </w:tabs>
      </w:pPr>
      <w:r w:rsidRPr="00041E70">
        <w:t>APÉNDICE:</w:t>
      </w:r>
      <w:r w:rsidRPr="00041E70">
        <w:tab/>
        <w:t>PROGRAMA PARA LA REVISIÓN DEL DOCUMENTO TGP/8</w:t>
      </w:r>
    </w:p>
    <w:p w:rsidR="001E266D" w:rsidRPr="00041E70" w:rsidRDefault="001E266D" w:rsidP="001E266D">
      <w:pPr>
        <w:jc w:val="left"/>
      </w:pPr>
      <w:r w:rsidRPr="00041E70">
        <w:br w:type="page"/>
      </w:r>
    </w:p>
    <w:p w:rsidR="001E266D" w:rsidRPr="00041E70" w:rsidRDefault="00B07FF0" w:rsidP="001E266D">
      <w:pPr>
        <w:pStyle w:val="Heading1"/>
        <w:rPr>
          <w:highlight w:val="lightGray"/>
          <w:lang w:val="es-ES_tradnl"/>
        </w:rPr>
      </w:pPr>
      <w:bookmarkStart w:id="6" w:name="_Toc429150754"/>
      <w:r w:rsidRPr="00041E70">
        <w:rPr>
          <w:lang w:val="es-ES_tradnl"/>
        </w:rPr>
        <w:lastRenderedPageBreak/>
        <w:t>INFORME SOBRE LA MARCHA DE LA LABOR DEL COMITÉ TÉCNICO</w:t>
      </w:r>
      <w:bookmarkEnd w:id="6"/>
    </w:p>
    <w:p w:rsidR="001E266D" w:rsidRPr="00041E70" w:rsidRDefault="001E266D" w:rsidP="001E266D">
      <w:pPr>
        <w:rPr>
          <w:snapToGrid w:val="0"/>
          <w:highlight w:val="lightGray"/>
          <w:u w:val="single"/>
        </w:rPr>
      </w:pPr>
    </w:p>
    <w:p w:rsidR="002A39B2" w:rsidRPr="00041E70" w:rsidRDefault="002A39B2" w:rsidP="002A39B2">
      <w:r w:rsidRPr="00041E70">
        <w:fldChar w:fldCharType="begin"/>
      </w:r>
      <w:r w:rsidRPr="00041E70">
        <w:instrText xml:space="preserve"> AUTONUM  \* Arabic </w:instrText>
      </w:r>
      <w:r w:rsidRPr="00041E70">
        <w:fldChar w:fldCharType="end"/>
      </w:r>
      <w:r w:rsidRPr="00041E70">
        <w:tab/>
        <w:t>El Comité Técnico (TC) celebró su quincuagésima primera sesión en Ginebra del 23 al 25 de marzo de 2015, bajo la presidencia del Sr. Alejandro Barrientos Priego (México), Presidente del TC.  El informe sobre las conclusiones de la sesión figura en el documento TC/51/39 “Informe”.</w:t>
      </w:r>
    </w:p>
    <w:p w:rsidR="002A39B2" w:rsidRPr="00041E70" w:rsidRDefault="002A39B2" w:rsidP="002A39B2">
      <w:pPr>
        <w:rPr>
          <w:snapToGrid w:val="0"/>
        </w:rPr>
      </w:pPr>
    </w:p>
    <w:p w:rsidR="002A39B2" w:rsidRPr="00041E70" w:rsidRDefault="002A39B2" w:rsidP="002A39B2">
      <w:pPr>
        <w:rPr>
          <w:snapToGrid w:val="0"/>
        </w:rPr>
      </w:pPr>
      <w:r w:rsidRPr="00041E70">
        <w:rPr>
          <w:snapToGrid w:val="0"/>
        </w:rPr>
        <w:fldChar w:fldCharType="begin"/>
      </w:r>
      <w:r w:rsidRPr="00041E70">
        <w:rPr>
          <w:snapToGrid w:val="0"/>
        </w:rPr>
        <w:instrText xml:space="preserve"> AUTONUM  </w:instrText>
      </w:r>
      <w:r w:rsidRPr="00041E70">
        <w:rPr>
          <w:snapToGrid w:val="0"/>
        </w:rPr>
        <w:fldChar w:fldCharType="end"/>
      </w:r>
      <w:r w:rsidRPr="00041E70">
        <w:rPr>
          <w:snapToGrid w:val="0"/>
        </w:rPr>
        <w:tab/>
        <w:t>Asistieron a la sesión 80 participantes procedentes de 44 miembros de la Unión, un Estado en calidad de observador y siete organizaciones en calidad de observadoras.</w:t>
      </w:r>
    </w:p>
    <w:p w:rsidR="002A39B2" w:rsidRPr="00041E70" w:rsidRDefault="002A39B2" w:rsidP="001E266D">
      <w:pPr>
        <w:rPr>
          <w:highlight w:val="lightGray"/>
        </w:rPr>
      </w:pPr>
    </w:p>
    <w:p w:rsidR="002A39B2" w:rsidRPr="00041E70" w:rsidRDefault="002A39B2" w:rsidP="001E266D">
      <w:pPr>
        <w:rPr>
          <w:highlight w:val="lightGray"/>
        </w:rPr>
      </w:pPr>
    </w:p>
    <w:p w:rsidR="001E266D" w:rsidRPr="00041E70" w:rsidRDefault="002A39B2" w:rsidP="001E266D">
      <w:pPr>
        <w:pStyle w:val="Heading2"/>
      </w:pPr>
      <w:bookmarkStart w:id="7" w:name="_Toc395703343"/>
      <w:bookmarkStart w:id="8" w:name="_Toc429150755"/>
      <w:r w:rsidRPr="00041E70">
        <w:t>Informe sobre las novedades acaecidas en la UPOV, donde figuran las cuestiones pertinentes examinadas en las últimas sesiones del Comité Administrativo y Jurídico, el Comité Consultivo y el Consejo (informe verbal del Secretario General Adjunto)</w:t>
      </w:r>
      <w:bookmarkEnd w:id="7"/>
      <w:bookmarkEnd w:id="8"/>
    </w:p>
    <w:p w:rsidR="001E266D" w:rsidRPr="00041E70" w:rsidRDefault="001E266D" w:rsidP="001E266D">
      <w:pPr>
        <w:keepNext/>
        <w:rPr>
          <w:snapToGrid w:val="0"/>
        </w:rPr>
      </w:pPr>
    </w:p>
    <w:p w:rsidR="003C0BF3" w:rsidRPr="00041E70" w:rsidRDefault="003C0BF3" w:rsidP="003C0BF3">
      <w:pPr>
        <w:keepNext/>
      </w:pPr>
      <w:r w:rsidRPr="00041E70">
        <w:fldChar w:fldCharType="begin"/>
      </w:r>
      <w:r w:rsidRPr="00041E70">
        <w:instrText xml:space="preserve"> AUTONUM  </w:instrText>
      </w:r>
      <w:r w:rsidRPr="00041E70">
        <w:fldChar w:fldCharType="end"/>
      </w:r>
      <w:r w:rsidRPr="00041E70">
        <w:tab/>
      </w:r>
      <w:r w:rsidRPr="00041E70">
        <w:rPr>
          <w:color w:val="000000"/>
        </w:rPr>
        <w:t xml:space="preserve">El TC examinó el documento TC/51/10 y escuchó un informe verbal del Secretario General Adjunto. </w:t>
      </w:r>
    </w:p>
    <w:p w:rsidR="003C0BF3" w:rsidRPr="00041E70" w:rsidRDefault="003C0BF3" w:rsidP="003C0BF3"/>
    <w:p w:rsidR="003C0BF3" w:rsidRPr="00041E70" w:rsidRDefault="003C0BF3" w:rsidP="003C0BF3">
      <w:pPr>
        <w:rPr>
          <w:snapToGrid w:val="0"/>
        </w:rPr>
      </w:pPr>
      <w:r w:rsidRPr="00041E70">
        <w:fldChar w:fldCharType="begin"/>
      </w:r>
      <w:r w:rsidRPr="00041E70">
        <w:instrText xml:space="preserve"> AUTONUM  </w:instrText>
      </w:r>
      <w:r w:rsidRPr="00041E70">
        <w:fldChar w:fldCharType="end"/>
      </w:r>
      <w:r w:rsidRPr="00041E70">
        <w:tab/>
        <w:t>El TC tomó nota de las novedades acaecidas en la UPOV, incluidas las cuestiones pertinentes debatidas en las últimas sesiones del Comité Administrativo y Jurídico, el Comité Consultivo y el Consejo, según lo expuesto en los párrafos 3 a 35 del documento TC/51/10.</w:t>
      </w:r>
    </w:p>
    <w:p w:rsidR="003C0BF3" w:rsidRPr="00041E70" w:rsidRDefault="003C0BF3" w:rsidP="003C0BF3">
      <w:pPr>
        <w:keepNext/>
        <w:rPr>
          <w:snapToGrid w:val="0"/>
          <w:color w:val="000000"/>
        </w:rPr>
      </w:pPr>
    </w:p>
    <w:p w:rsidR="003C0BF3" w:rsidRPr="00041E70" w:rsidRDefault="003C0BF3" w:rsidP="003C0BF3">
      <w:pPr>
        <w:keepNext/>
        <w:rPr>
          <w:snapToGrid w:val="0"/>
        </w:rPr>
      </w:pPr>
      <w:r w:rsidRPr="00041E70">
        <w:rPr>
          <w:snapToGrid w:val="0"/>
          <w:color w:val="000000"/>
        </w:rPr>
        <w:fldChar w:fldCharType="begin"/>
      </w:r>
      <w:r w:rsidRPr="00041E70">
        <w:rPr>
          <w:snapToGrid w:val="0"/>
          <w:color w:val="000000"/>
        </w:rPr>
        <w:instrText xml:space="preserve"> AUTONUM  </w:instrText>
      </w:r>
      <w:r w:rsidRPr="00041E70">
        <w:rPr>
          <w:snapToGrid w:val="0"/>
          <w:color w:val="000000"/>
        </w:rPr>
        <w:fldChar w:fldCharType="end"/>
      </w:r>
      <w:r w:rsidRPr="00041E70">
        <w:rPr>
          <w:snapToGrid w:val="0"/>
          <w:color w:val="000000"/>
        </w:rPr>
        <w:tab/>
        <w:t xml:space="preserve">La Delegación de España informó de que, en su país, los cursos de enseñanza a distancia de la UPOV se utilizan para formar a funcionarios gubernamentales que no trabajan en la Oficina de Protección de las Obtenciones Vegetales, como oficiales de policía y agentes de control fronterizo.  El Secretario General Adjunto acogió con agrado el informe de España y recordó que los cursos de enseñanza a distancia de la UPOV son gratuitos para los funcionarios gubernamentales de miembros de la Unión designados por el representante pertinente ante el Consejo de la UPOV.  También expresó su agradecimiento a los expertos procedentes de los miembros de la Unión que ejercen de tutores de manera voluntaria en los cursos de enseñanza a distancia de la UPOV, ya que sin ellos no sería posible mantener dichos cursos con la misma frecuencia. </w:t>
      </w:r>
    </w:p>
    <w:p w:rsidR="001E266D" w:rsidRPr="00041E70" w:rsidRDefault="001E266D" w:rsidP="001E266D"/>
    <w:p w:rsidR="001E266D" w:rsidRPr="00041E70" w:rsidRDefault="001E266D" w:rsidP="001E266D"/>
    <w:p w:rsidR="001E266D" w:rsidRPr="00041E70" w:rsidRDefault="00B7224D" w:rsidP="001E266D">
      <w:pPr>
        <w:pStyle w:val="Heading2"/>
      </w:pPr>
      <w:bookmarkStart w:id="9" w:name="_Toc429150756"/>
      <w:r w:rsidRPr="00041E70">
        <w:t>Cuestiones presentadas por los Grupos de Trabajo Técnico</w:t>
      </w:r>
      <w:bookmarkEnd w:id="9"/>
    </w:p>
    <w:p w:rsidR="001E266D" w:rsidRPr="00041E70" w:rsidRDefault="001E266D" w:rsidP="001E266D">
      <w:pPr>
        <w:keepNext/>
      </w:pPr>
    </w:p>
    <w:p w:rsidR="00B7224D" w:rsidRPr="00041E70" w:rsidRDefault="00B7224D" w:rsidP="00B7224D">
      <w:pPr>
        <w:keepNext/>
      </w:pPr>
      <w:r w:rsidRPr="00041E70">
        <w:fldChar w:fldCharType="begin"/>
      </w:r>
      <w:r w:rsidRPr="00041E70">
        <w:instrText xml:space="preserve"> AUTONUM  \* Arabic </w:instrText>
      </w:r>
      <w:r w:rsidRPr="00041E70">
        <w:fldChar w:fldCharType="end"/>
      </w:r>
      <w:r w:rsidRPr="00041E70">
        <w:tab/>
        <w:t>El TC examinó el documento TC/51/3 y tomó nota de las novedades acaecidas en los TWP en relación con las siguientes cuestiones:</w:t>
      </w:r>
    </w:p>
    <w:p w:rsidR="00B7224D" w:rsidRPr="00041E70" w:rsidRDefault="00B7224D" w:rsidP="00B7224D">
      <w:pPr>
        <w:rPr>
          <w:color w:val="000000"/>
        </w:rPr>
      </w:pPr>
    </w:p>
    <w:p w:rsidR="00B7224D" w:rsidRPr="00041E70" w:rsidRDefault="00B7224D" w:rsidP="00B7224D">
      <w:pPr>
        <w:ind w:left="567"/>
      </w:pPr>
      <w:r w:rsidRPr="00041E70">
        <w:t>a)</w:t>
      </w:r>
      <w:r w:rsidRPr="00041E70">
        <w:tab/>
        <w:t>duración de los exámenes DHE en el sector frutícola;</w:t>
      </w:r>
    </w:p>
    <w:p w:rsidR="00B7224D" w:rsidRPr="00041E70" w:rsidRDefault="00B7224D" w:rsidP="00B7224D">
      <w:pPr>
        <w:ind w:left="567"/>
      </w:pPr>
      <w:r w:rsidRPr="00041E70">
        <w:t>b)</w:t>
      </w:r>
      <w:r w:rsidRPr="00041E70">
        <w:tab/>
        <w:t>utilización de caracteres de resistencia a las enfermedades en el examen DHE;</w:t>
      </w:r>
    </w:p>
    <w:p w:rsidR="00B7224D" w:rsidRPr="00041E70" w:rsidRDefault="00B7224D" w:rsidP="00B7224D">
      <w:pPr>
        <w:ind w:left="567"/>
        <w:rPr>
          <w:color w:val="000000"/>
        </w:rPr>
      </w:pPr>
      <w:r w:rsidRPr="00041E70">
        <w:rPr>
          <w:color w:val="000000"/>
        </w:rPr>
        <w:t>c)</w:t>
      </w:r>
      <w:r w:rsidRPr="00041E70">
        <w:rPr>
          <w:color w:val="000000"/>
        </w:rPr>
        <w:tab/>
        <w:t>registro de datos;</w:t>
      </w:r>
    </w:p>
    <w:p w:rsidR="00B7224D" w:rsidRPr="00041E70" w:rsidRDefault="00B7224D" w:rsidP="00B7224D">
      <w:pPr>
        <w:ind w:left="567"/>
      </w:pPr>
      <w:r w:rsidRPr="00041E70">
        <w:t>d)</w:t>
      </w:r>
      <w:r w:rsidRPr="00041E70">
        <w:tab/>
        <w:t>experiencias con nuevos tipos y especies;</w:t>
      </w:r>
    </w:p>
    <w:p w:rsidR="00B7224D" w:rsidRPr="00041E70" w:rsidRDefault="00B7224D" w:rsidP="00B7224D">
      <w:pPr>
        <w:ind w:left="567"/>
      </w:pPr>
      <w:r w:rsidRPr="00041E70">
        <w:t>e)</w:t>
      </w:r>
      <w:r w:rsidRPr="00041E70">
        <w:tab/>
        <w:t>gestión de las colecciones de variedades a los efectos del examen DHE;  y</w:t>
      </w:r>
    </w:p>
    <w:p w:rsidR="00B7224D" w:rsidRPr="00041E70" w:rsidRDefault="00B7224D" w:rsidP="00B7224D">
      <w:pPr>
        <w:ind w:left="567"/>
      </w:pPr>
      <w:r w:rsidRPr="00041E70">
        <w:t>f)</w:t>
      </w:r>
      <w:r w:rsidRPr="00041E70">
        <w:tab/>
        <w:t>utilización de métodos estadísticos en el examen DHE.</w:t>
      </w:r>
    </w:p>
    <w:p w:rsidR="00B7224D" w:rsidRPr="00041E70" w:rsidRDefault="00B7224D" w:rsidP="00B7224D">
      <w:pPr>
        <w:rPr>
          <w:color w:val="000000"/>
        </w:rPr>
      </w:pPr>
    </w:p>
    <w:p w:rsidR="00B7224D" w:rsidRPr="00041E70" w:rsidRDefault="00B7224D" w:rsidP="00B7224D">
      <w:pPr>
        <w:rPr>
          <w:color w:val="000000"/>
        </w:rPr>
      </w:pPr>
      <w:r w:rsidRPr="00041E70">
        <w:fldChar w:fldCharType="begin"/>
      </w:r>
      <w:r w:rsidRPr="00041E70">
        <w:instrText xml:space="preserve"> AUTONUM  </w:instrText>
      </w:r>
      <w:r w:rsidRPr="00041E70">
        <w:fldChar w:fldCharType="end"/>
      </w:r>
      <w:r w:rsidRPr="00041E70">
        <w:tab/>
        <w:t xml:space="preserve">El TC tomó nota de que la Oficina Comunitaria de Variedades Vegetales (OCVV) de la Unión Europea presentará en 2016 en el TWA una ponencia sobre los resultados de un estudio de evaluación de los posibles efectos de la infección por endófitos en la expresión de los caracteres DHE del </w:t>
      </w:r>
      <w:proofErr w:type="spellStart"/>
      <w:r w:rsidRPr="00041E70">
        <w:t>raygrás</w:t>
      </w:r>
      <w:proofErr w:type="spellEnd"/>
      <w:r w:rsidRPr="00041E70">
        <w:t xml:space="preserve"> y la </w:t>
      </w:r>
      <w:proofErr w:type="spellStart"/>
      <w:r w:rsidRPr="00041E70">
        <w:t>festuca</w:t>
      </w:r>
      <w:proofErr w:type="spellEnd"/>
      <w:r w:rsidRPr="00041E70">
        <w:t xml:space="preserve"> alta.  </w:t>
      </w:r>
      <w:r w:rsidRPr="00041E70">
        <w:rPr>
          <w:color w:val="000000"/>
        </w:rPr>
        <w:t>El TC tomó nota asimismo de que expertos de la Unión Europea recopilarán las opciones formuladas por los expertos principales e intentarán elaborar otras posibles opciones de nuevo texto estándar referente a la duración mínima del examen DHE y el número de ciclos de cultivo para ciertas directrices de examen de frutales.  La Unión Europea sugirió que este ejercicio también puede resultar útil en otros TWP.</w:t>
      </w:r>
    </w:p>
    <w:p w:rsidR="00B7224D" w:rsidRPr="00041E70" w:rsidRDefault="00B7224D" w:rsidP="00B7224D">
      <w:pPr>
        <w:rPr>
          <w:color w:val="000000"/>
        </w:rPr>
      </w:pPr>
    </w:p>
    <w:p w:rsidR="00B7224D" w:rsidRPr="00041E70" w:rsidRDefault="00B7224D" w:rsidP="00B7224D">
      <w:pPr>
        <w:rPr>
          <w:color w:val="000000"/>
        </w:rPr>
      </w:pPr>
    </w:p>
    <w:p w:rsidR="00B7224D" w:rsidRPr="00041E70" w:rsidRDefault="00B7224D" w:rsidP="00B7224D">
      <w:pPr>
        <w:pStyle w:val="Heading2"/>
      </w:pPr>
      <w:bookmarkStart w:id="10" w:name="_Toc429150757"/>
      <w:r w:rsidRPr="00041E70">
        <w:t>Documentos TGP</w:t>
      </w:r>
      <w:bookmarkEnd w:id="10"/>
    </w:p>
    <w:p w:rsidR="00B7224D" w:rsidRPr="00041E70" w:rsidRDefault="00B7224D" w:rsidP="00B7224D">
      <w:pPr>
        <w:keepNext/>
        <w:ind w:left="567" w:hanging="567"/>
      </w:pPr>
    </w:p>
    <w:p w:rsidR="00B7224D" w:rsidRPr="00041E70" w:rsidRDefault="00B7224D" w:rsidP="00B7224D">
      <w:pPr>
        <w:pStyle w:val="Heading3"/>
        <w:rPr>
          <w:lang w:val="es-ES_tradnl"/>
        </w:rPr>
      </w:pPr>
      <w:bookmarkStart w:id="11" w:name="_Toc429150758"/>
      <w:r w:rsidRPr="00041E70">
        <w:rPr>
          <w:lang w:val="es-ES_tradnl"/>
        </w:rPr>
        <w:t>Asuntos sujetos a aprobación por el Consejo en 2015</w:t>
      </w:r>
      <w:bookmarkEnd w:id="11"/>
    </w:p>
    <w:p w:rsidR="00B7224D" w:rsidRPr="00041E70" w:rsidRDefault="00B7224D" w:rsidP="00B7224D">
      <w:pPr>
        <w:keepNext/>
        <w:ind w:left="567" w:hanging="567"/>
      </w:pPr>
    </w:p>
    <w:p w:rsidR="00B7224D" w:rsidRPr="00041E70" w:rsidRDefault="00B7224D" w:rsidP="00B7224D">
      <w:pPr>
        <w:pStyle w:val="Heading4"/>
        <w:rPr>
          <w:lang w:val="es-ES_tradnl"/>
        </w:rPr>
      </w:pPr>
      <w:r w:rsidRPr="00041E70">
        <w:rPr>
          <w:lang w:val="es-ES_tradnl"/>
        </w:rPr>
        <w:t>TGP/0</w:t>
      </w:r>
      <w:proofErr w:type="gramStart"/>
      <w:r w:rsidRPr="00041E70">
        <w:rPr>
          <w:lang w:val="es-ES_tradnl"/>
        </w:rPr>
        <w:t>:  Lista</w:t>
      </w:r>
      <w:proofErr w:type="gramEnd"/>
      <w:r w:rsidRPr="00041E70">
        <w:rPr>
          <w:lang w:val="es-ES_tradnl"/>
        </w:rPr>
        <w:t xml:space="preserve"> de documentos TGP y fechas de última publicación</w:t>
      </w:r>
    </w:p>
    <w:p w:rsidR="00B7224D" w:rsidRPr="00041E70" w:rsidRDefault="00B7224D" w:rsidP="00B7224D">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examinó el documento TC/51/5 “Documentos TGP” y señaló que se invitará al Consejo a que apruebe el documento TGP/0/8, para reflejar la aprobación de los documentos TGP.</w:t>
      </w:r>
    </w:p>
    <w:p w:rsidR="00B7224D" w:rsidRPr="00041E70" w:rsidRDefault="00B7224D" w:rsidP="00B7224D"/>
    <w:p w:rsidR="00B7224D" w:rsidRPr="00041E70" w:rsidRDefault="00B7224D" w:rsidP="00B7224D">
      <w:pPr>
        <w:pStyle w:val="Heading4"/>
        <w:rPr>
          <w:lang w:val="es-ES_tradnl"/>
        </w:rPr>
      </w:pPr>
      <w:r w:rsidRPr="00041E70">
        <w:rPr>
          <w:lang w:val="es-ES_tradnl"/>
        </w:rPr>
        <w:t>TGP/9</w:t>
      </w:r>
      <w:proofErr w:type="gramStart"/>
      <w:r w:rsidRPr="00041E70">
        <w:rPr>
          <w:lang w:val="es-ES_tradnl"/>
        </w:rPr>
        <w:t>:  Examen</w:t>
      </w:r>
      <w:proofErr w:type="gramEnd"/>
      <w:r w:rsidRPr="00041E70">
        <w:rPr>
          <w:lang w:val="es-ES_tradnl"/>
        </w:rPr>
        <w:t xml:space="preserve"> de la distinción</w:t>
      </w:r>
    </w:p>
    <w:p w:rsidR="00B7224D" w:rsidRPr="00041E70" w:rsidRDefault="00B7224D" w:rsidP="00B7224D">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 nueva sección del documento TGP/9 titulada “Orientación sobre el número de plantas que se ha de examinar (para determinar la distinción)”, ya aprobada por el TC, según consta en el Anexo I del documento TC/51/5.</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examinó el documento TC/51/23 y las propuestas de las secciones siguientes del documento TGP/9:</w:t>
      </w:r>
    </w:p>
    <w:p w:rsidR="00B7224D" w:rsidRPr="00041E70" w:rsidRDefault="00B7224D" w:rsidP="00B7224D"/>
    <w:p w:rsidR="00B7224D" w:rsidRPr="00041E70" w:rsidRDefault="00B7224D" w:rsidP="00B7224D">
      <w:pPr>
        <w:pStyle w:val="Heading5"/>
        <w:numPr>
          <w:ilvl w:val="0"/>
          <w:numId w:val="45"/>
        </w:numPr>
        <w:rPr>
          <w:lang w:val="es-ES_tradnl"/>
        </w:rPr>
      </w:pPr>
      <w:r w:rsidRPr="00041E70">
        <w:rPr>
          <w:lang w:val="es-ES_tradnl"/>
        </w:rPr>
        <w:t xml:space="preserve">Revisión de la sección 1.6 “Esquema de los documentos TGP relativos a la distinción” del </w:t>
      </w:r>
      <w:proofErr w:type="spellStart"/>
      <w:r w:rsidRPr="00041E70">
        <w:rPr>
          <w:lang w:val="es-ES_tradnl"/>
        </w:rPr>
        <w:t>document</w:t>
      </w:r>
      <w:proofErr w:type="spellEnd"/>
      <w:r w:rsidRPr="00041E70">
        <w:rPr>
          <w:lang w:val="es-ES_tradnl"/>
        </w:rPr>
        <w:t> TGP/9</w:t>
      </w:r>
    </w:p>
    <w:p w:rsidR="00B7224D" w:rsidRPr="00041E70" w:rsidRDefault="00B7224D" w:rsidP="00B7224D">
      <w:pPr>
        <w:keepNext/>
        <w:ind w:left="1418" w:hanging="851"/>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convino en que se revise el diagrama que figura en la sección 1.6 “Esquema de los documentos TGP relativos a la distinción” del documento TGP/9, según consta en los Anexos I y II del documento TC/51/23.</w:t>
      </w:r>
    </w:p>
    <w:p w:rsidR="00B7224D" w:rsidRPr="00041E70" w:rsidRDefault="00B7224D" w:rsidP="00B7224D"/>
    <w:p w:rsidR="00B7224D" w:rsidRPr="00041E70" w:rsidRDefault="00B7224D" w:rsidP="00B7224D">
      <w:pPr>
        <w:pStyle w:val="Heading5"/>
        <w:numPr>
          <w:ilvl w:val="0"/>
          <w:numId w:val="45"/>
        </w:numPr>
        <w:rPr>
          <w:lang w:val="es-ES_tradnl"/>
        </w:rPr>
      </w:pPr>
      <w:r w:rsidRPr="00041E70">
        <w:rPr>
          <w:lang w:val="es-ES_tradnl"/>
        </w:rPr>
        <w:t xml:space="preserve">Revisión de la sección 2.5 “Fotografías” del documento TGP/9 </w:t>
      </w:r>
    </w:p>
    <w:p w:rsidR="00B7224D" w:rsidRPr="00041E70" w:rsidRDefault="00B7224D" w:rsidP="00B7224D">
      <w:pPr>
        <w:ind w:left="1418" w:hanging="851"/>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examinó la orientación propuesta sobre fotografías, para su inclusión en la sección 2.5 “Fotografías” del documento TGP/9, y acordó que el texto de la orientación sea el siguiente:</w:t>
      </w:r>
    </w:p>
    <w:p w:rsidR="00B7224D" w:rsidRPr="00041E70" w:rsidRDefault="00B7224D" w:rsidP="00B7224D"/>
    <w:p w:rsidR="00B7224D" w:rsidRPr="00041E70" w:rsidRDefault="00B7224D" w:rsidP="00B7224D">
      <w:pPr>
        <w:autoSpaceDE w:val="0"/>
        <w:autoSpaceDN w:val="0"/>
        <w:adjustRightInd w:val="0"/>
        <w:ind w:left="567" w:right="567"/>
      </w:pPr>
      <w:r w:rsidRPr="00041E70">
        <w:rPr>
          <w:rFonts w:cs="Arial"/>
          <w:sz w:val="18"/>
        </w:rPr>
        <w:t>“2.5.3</w:t>
      </w:r>
      <w:r w:rsidRPr="00041E70">
        <w:rPr>
          <w:rFonts w:cs="Arial"/>
          <w:sz w:val="18"/>
        </w:rPr>
        <w:tab/>
        <w:t>La idoneidad de las fotografías para la identificación de variedades similares depende en gran medida de la calidad de las fotografías tomadas por la autoridad de las variedades de la colección de referencia y de la fotografía de la variedad candidata proporcionada por el solicitante junto con el Cuestionario Técnico.  En la GN 35 del documento TGP/7 se ofrece orientación completa para la toma de fotografías adecuadas.  La orientación se elaboró, en particular, para que los solicitantes presentasen fotografías adecuadas de la variedad candidata.  Las mismas instrucciones son importantes y útiles para la toma de fotografías por las autoridades, en condiciones normalizadas, de las variedades que figuran en la colección de variedades.</w:t>
      </w:r>
      <w:r w:rsidRPr="00041E70">
        <w:rPr>
          <w:rFonts w:cs="Arial"/>
          <w:color w:val="000000"/>
          <w:sz w:val="18"/>
        </w:rPr>
        <w:t>”</w:t>
      </w:r>
    </w:p>
    <w:p w:rsidR="00B7224D" w:rsidRPr="00041E70" w:rsidRDefault="00B7224D" w:rsidP="00B7224D">
      <w:pPr>
        <w:ind w:left="1418" w:hanging="851"/>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es necesario introducir cambios de redacción en el proyecto de texto en alemán y recordó que se solicitará a los expertos en idiomas del Comité de Redacción que verifiquen las traducciones al español, el alemán y el francés de todos los documentos antes de que se preparen para su aprobación por el Consejo.</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texto de la traducción al alemán debe ser el siguiente:</w:t>
      </w:r>
    </w:p>
    <w:p w:rsidR="00B7224D" w:rsidRPr="00041E70" w:rsidRDefault="00B7224D" w:rsidP="00B7224D"/>
    <w:p w:rsidR="00B7224D" w:rsidRPr="001A77B1" w:rsidRDefault="00B7224D" w:rsidP="00B7224D">
      <w:pPr>
        <w:ind w:left="567" w:right="567"/>
        <w:rPr>
          <w:lang w:val="de-DE"/>
        </w:rPr>
      </w:pPr>
      <w:r w:rsidRPr="001A77B1">
        <w:rPr>
          <w:sz w:val="18"/>
          <w:lang w:val="de-DE"/>
        </w:rPr>
        <w:t>“</w:t>
      </w:r>
      <w:r w:rsidRPr="001A77B1">
        <w:rPr>
          <w:rFonts w:cs="Arial"/>
          <w:sz w:val="18"/>
          <w:lang w:val="de-DE"/>
        </w:rPr>
        <w:t>2.5.3</w:t>
      </w:r>
      <w:r w:rsidRPr="001A77B1">
        <w:rPr>
          <w:rFonts w:cs="Arial"/>
          <w:sz w:val="18"/>
          <w:lang w:val="de-DE"/>
        </w:rPr>
        <w:tab/>
        <w:t>Die Eignung von Fotos für die Identifikation ähnlicher Sorten wird durch die Qualität der von der Behörde für die Sorten in der Sortensammlung erstellten Fotos und der vom Antragsteller zusammen mit dem Technischen Fragebogen eingereichten Fotos stark beeinflußt. Eine ausführliche Anleitung für die Aufnahme geeigneter Fotos wird in Dokument TGP/7, GN 35, erteilt. Die Anleitung wurde insbesondere für die Antragsteller ausgearbeitet, damit sie geeignete Fotos der Kandidatensorte einreichen. Dieselben Anweisungen sind auch für die Behörden wichtig und zweckdienlich, um Fotos der Sorten in der Sortensammlung unter genormten Bedingungen zu erstellen.”</w:t>
      </w:r>
    </w:p>
    <w:p w:rsidR="00B7224D" w:rsidRPr="002A7B40" w:rsidRDefault="00B7224D" w:rsidP="00B7224D">
      <w:pPr>
        <w:rPr>
          <w:lang w:val="de-DE"/>
        </w:rPr>
      </w:pPr>
    </w:p>
    <w:p w:rsidR="00B7224D" w:rsidRPr="00041E70" w:rsidRDefault="00B7224D" w:rsidP="00B7224D">
      <w:pPr>
        <w:pStyle w:val="Heading5"/>
        <w:numPr>
          <w:ilvl w:val="0"/>
          <w:numId w:val="45"/>
        </w:numPr>
        <w:rPr>
          <w:lang w:val="es-ES_tradnl"/>
        </w:rPr>
      </w:pPr>
      <w:r w:rsidRPr="00041E70">
        <w:rPr>
          <w:lang w:val="es-ES_tradnl"/>
        </w:rPr>
        <w:t>Revisión del documento TGP/9</w:t>
      </w:r>
      <w:proofErr w:type="gramStart"/>
      <w:r w:rsidRPr="00041E70">
        <w:rPr>
          <w:lang w:val="es-ES_tradnl"/>
        </w:rPr>
        <w:t>:  Sección</w:t>
      </w:r>
      <w:proofErr w:type="gramEnd"/>
      <w:r w:rsidRPr="00041E70">
        <w:rPr>
          <w:lang w:val="es-ES_tradnl"/>
        </w:rPr>
        <w:t> 4.3.2: “Registro único de un grupo de plantas o partes de plantas (G)” y Sección 4.3.4: “Resumen esquemático”</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examinó el ejemplo de un registro único de un grupo de plantas (MG) tomado de partes de plantas propuesto con el objeto de incluirlo en la sección 4.3.2 “Registro único de un grupo de plantas o partes de plantas (G)” y la sección 4.3.4 “Resumen esquemático” del documento TGP/9, y acordó que la orientación rece como sigue: </w:t>
      </w:r>
    </w:p>
    <w:p w:rsidR="00B7224D" w:rsidRPr="00041E70" w:rsidRDefault="00B7224D" w:rsidP="00B7224D"/>
    <w:p w:rsidR="00B7224D" w:rsidRPr="00041E70" w:rsidRDefault="00B7224D" w:rsidP="00B7224D">
      <w:pPr>
        <w:autoSpaceDE w:val="0"/>
        <w:autoSpaceDN w:val="0"/>
        <w:adjustRightInd w:val="0"/>
        <w:ind w:left="567" w:right="567"/>
        <w:rPr>
          <w:rFonts w:cs="Arial"/>
          <w:sz w:val="18"/>
        </w:rPr>
      </w:pPr>
      <w:r w:rsidRPr="00041E70">
        <w:rPr>
          <w:rFonts w:cs="Arial"/>
          <w:sz w:val="18"/>
        </w:rPr>
        <w:t>“</w:t>
      </w:r>
      <w:r w:rsidRPr="00041E70">
        <w:rPr>
          <w:rFonts w:cs="Arial"/>
          <w:i/>
          <w:sz w:val="18"/>
        </w:rPr>
        <w:t>Ejemplo (MG)</w:t>
      </w:r>
    </w:p>
    <w:p w:rsidR="00B7224D" w:rsidRPr="00041E70" w:rsidRDefault="00B7224D" w:rsidP="00B7224D">
      <w:pPr>
        <w:autoSpaceDE w:val="0"/>
        <w:autoSpaceDN w:val="0"/>
        <w:adjustRightInd w:val="0"/>
        <w:ind w:left="567" w:right="567"/>
        <w:rPr>
          <w:rFonts w:cs="Arial"/>
          <w:sz w:val="18"/>
        </w:rPr>
      </w:pPr>
    </w:p>
    <w:p w:rsidR="00B7224D" w:rsidRPr="00041E70" w:rsidRDefault="00B7224D" w:rsidP="00B7224D">
      <w:pPr>
        <w:autoSpaceDE w:val="0"/>
        <w:autoSpaceDN w:val="0"/>
        <w:adjustRightInd w:val="0"/>
        <w:ind w:left="567" w:right="567"/>
        <w:rPr>
          <w:rFonts w:cs="Arial"/>
          <w:sz w:val="18"/>
        </w:rPr>
      </w:pPr>
      <w:r w:rsidRPr="00041E70">
        <w:rPr>
          <w:rFonts w:cs="Arial"/>
          <w:sz w:val="18"/>
        </w:rPr>
        <w:t xml:space="preserve">“Medición (MG): Limbo: anchura” en </w:t>
      </w:r>
      <w:proofErr w:type="spellStart"/>
      <w:r w:rsidRPr="00041E70">
        <w:rPr>
          <w:rFonts w:cs="Arial"/>
          <w:sz w:val="18"/>
        </w:rPr>
        <w:t>Hosta</w:t>
      </w:r>
      <w:proofErr w:type="spellEnd"/>
      <w:r w:rsidRPr="00041E70">
        <w:rPr>
          <w:rFonts w:cs="Arial"/>
          <w:sz w:val="18"/>
        </w:rPr>
        <w:t xml:space="preserve"> (de multiplicación vegetativa): una medición representativa en la parcela.”</w:t>
      </w:r>
    </w:p>
    <w:p w:rsidR="00B7224D" w:rsidRPr="00041E70" w:rsidRDefault="00B7224D" w:rsidP="00B7224D">
      <w:pPr>
        <w:rPr>
          <w:rFonts w:cs="Arial"/>
        </w:rPr>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que la ilustración que ha de incluirse en la subsección 4.3.4 debería modificarse para ser como se indica a continuación:</w:t>
      </w:r>
    </w:p>
    <w:p w:rsidR="00B7224D" w:rsidRPr="00041E70" w:rsidRDefault="00B7224D" w:rsidP="00B7224D">
      <w:pPr>
        <w:rPr>
          <w:sz w:val="14"/>
        </w:rPr>
      </w:pPr>
    </w:p>
    <w:p w:rsidR="00B7224D" w:rsidRPr="00041E70" w:rsidRDefault="00B7224D" w:rsidP="00B7224D">
      <w:pPr>
        <w:ind w:left="567"/>
      </w:pPr>
      <w:r w:rsidRPr="00041E70">
        <w:rPr>
          <w:noProof/>
          <w:sz w:val="14"/>
          <w:lang w:val="en-US"/>
        </w:rPr>
        <mc:AlternateContent>
          <mc:Choice Requires="wpg">
            <w:drawing>
              <wp:anchor distT="0" distB="0" distL="114300" distR="114300" simplePos="0" relativeHeight="251659264" behindDoc="0" locked="0" layoutInCell="1" allowOverlap="1" wp14:anchorId="168C771D" wp14:editId="25C242D1">
                <wp:simplePos x="0" y="0"/>
                <wp:positionH relativeFrom="column">
                  <wp:posOffset>433070</wp:posOffset>
                </wp:positionH>
                <wp:positionV relativeFrom="paragraph">
                  <wp:posOffset>0</wp:posOffset>
                </wp:positionV>
                <wp:extent cx="1299210" cy="2425065"/>
                <wp:effectExtent l="4445" t="0" r="1270" b="381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210" cy="2425065"/>
                          <a:chOff x="1816" y="4719"/>
                          <a:chExt cx="2046" cy="3819"/>
                        </a:xfrm>
                      </wpg:grpSpPr>
                      <wps:wsp>
                        <wps:cNvPr id="4" name="Text Box 2"/>
                        <wps:cNvSpPr txBox="1">
                          <a:spLocks noChangeArrowheads="1"/>
                        </wps:cNvSpPr>
                        <wps:spPr bwMode="auto">
                          <a:xfrm>
                            <a:off x="1816" y="4719"/>
                            <a:ext cx="2046" cy="1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396" w:rsidRPr="00BD5706" w:rsidRDefault="00833396" w:rsidP="00B7224D">
                              <w:pPr>
                                <w:jc w:val="center"/>
                                <w:rPr>
                                  <w:rFonts w:ascii="Times New Roman" w:hAnsi="Times New Roman"/>
                                  <w:i/>
                                  <w:sz w:val="17"/>
                                  <w:szCs w:val="17"/>
                                </w:rPr>
                              </w:pPr>
                              <w:r w:rsidRPr="00BD5706">
                                <w:rPr>
                                  <w:rFonts w:ascii="Times New Roman" w:hAnsi="Times New Roman"/>
                                  <w:i/>
                                  <w:sz w:val="17"/>
                                  <w:szCs w:val="17"/>
                                </w:rPr>
                                <w:t>Sección 4.3.2.3</w:t>
                              </w:r>
                            </w:p>
                            <w:p w:rsidR="00833396" w:rsidRPr="00BD5706" w:rsidRDefault="00833396" w:rsidP="00B7224D">
                              <w:pPr>
                                <w:jc w:val="center"/>
                                <w:rPr>
                                  <w:rFonts w:ascii="Times New Roman" w:hAnsi="Times New Roman"/>
                                  <w:sz w:val="17"/>
                                  <w:szCs w:val="17"/>
                                </w:rPr>
                              </w:pPr>
                              <w:r w:rsidRPr="00BD5706">
                                <w:rPr>
                                  <w:rFonts w:ascii="Times New Roman" w:hAnsi="Times New Roman"/>
                                  <w:i/>
                                  <w:sz w:val="17"/>
                                  <w:szCs w:val="17"/>
                                </w:rPr>
                                <w:t>Ejemplo (MG)</w:t>
                              </w:r>
                              <w:proofErr w:type="gramStart"/>
                              <w:r w:rsidRPr="00BD5706">
                                <w:rPr>
                                  <w:rFonts w:ascii="Times New Roman" w:hAnsi="Times New Roman"/>
                                  <w:i/>
                                  <w:sz w:val="17"/>
                                  <w:szCs w:val="17"/>
                                </w:rPr>
                                <w:t xml:space="preserve">:  </w:t>
                              </w:r>
                              <w:r w:rsidRPr="00BD5706">
                                <w:rPr>
                                  <w:rFonts w:ascii="Times New Roman" w:hAnsi="Times New Roman"/>
                                  <w:sz w:val="17"/>
                                  <w:szCs w:val="17"/>
                                </w:rPr>
                                <w:t>Limbo</w:t>
                              </w:r>
                              <w:proofErr w:type="gramEnd"/>
                              <w:r w:rsidRPr="00BD5706">
                                <w:rPr>
                                  <w:rFonts w:ascii="Times New Roman" w:hAnsi="Times New Roman"/>
                                  <w:sz w:val="17"/>
                                  <w:szCs w:val="17"/>
                                </w:rPr>
                                <w:t>:</w:t>
                              </w:r>
                            </w:p>
                            <w:p w:rsidR="00833396" w:rsidRPr="00BD5706" w:rsidRDefault="00833396" w:rsidP="00B7224D">
                              <w:pPr>
                                <w:jc w:val="center"/>
                                <w:rPr>
                                  <w:rFonts w:ascii="Times New Roman" w:hAnsi="Times New Roman"/>
                                  <w:sz w:val="17"/>
                                  <w:szCs w:val="17"/>
                                </w:rPr>
                              </w:pPr>
                              <w:proofErr w:type="gramStart"/>
                              <w:r w:rsidRPr="00BD5706">
                                <w:rPr>
                                  <w:rFonts w:ascii="Times New Roman" w:hAnsi="Times New Roman"/>
                                  <w:sz w:val="17"/>
                                  <w:szCs w:val="17"/>
                                </w:rPr>
                                <w:t>anchura</w:t>
                              </w:r>
                              <w:proofErr w:type="gramEnd"/>
                            </w:p>
                            <w:p w:rsidR="00833396" w:rsidRPr="00BD5706" w:rsidRDefault="00833396" w:rsidP="00B7224D">
                              <w:pPr>
                                <w:jc w:val="center"/>
                                <w:rPr>
                                  <w:rFonts w:ascii="Times New Roman" w:hAnsi="Times New Roman"/>
                                  <w:sz w:val="17"/>
                                  <w:szCs w:val="17"/>
                                </w:rPr>
                              </w:pPr>
                              <w:r w:rsidRPr="00BD5706">
                                <w:rPr>
                                  <w:rFonts w:ascii="Times New Roman" w:hAnsi="Times New Roman"/>
                                  <w:sz w:val="17"/>
                                  <w:szCs w:val="17"/>
                                </w:rPr>
                                <w:t>(</w:t>
                              </w:r>
                              <w:proofErr w:type="spellStart"/>
                              <w:r w:rsidRPr="00BD5706">
                                <w:rPr>
                                  <w:rFonts w:ascii="Times New Roman" w:hAnsi="Times New Roman"/>
                                  <w:sz w:val="17"/>
                                  <w:szCs w:val="17"/>
                                </w:rPr>
                                <w:t>Hosta</w:t>
                              </w:r>
                              <w:proofErr w:type="spellEnd"/>
                              <w:proofErr w:type="gramStart"/>
                              <w:r w:rsidRPr="00BD5706">
                                <w:rPr>
                                  <w:rFonts w:ascii="Times New Roman" w:hAnsi="Times New Roman"/>
                                  <w:sz w:val="17"/>
                                  <w:szCs w:val="17"/>
                                </w:rPr>
                                <w:t>:  multiplicación</w:t>
                              </w:r>
                              <w:proofErr w:type="gramEnd"/>
                              <w:r w:rsidRPr="00BD5706">
                                <w:rPr>
                                  <w:rFonts w:ascii="Times New Roman" w:hAnsi="Times New Roman"/>
                                  <w:sz w:val="17"/>
                                  <w:szCs w:val="17"/>
                                </w:rPr>
                                <w:t xml:space="preserve"> vegetativa)</w:t>
                              </w:r>
                            </w:p>
                          </w:txbxContent>
                        </wps:txbx>
                        <wps:bodyPr rot="0" vert="horz" wrap="square" lIns="91440" tIns="45720" rIns="91440" bIns="45720" anchor="t" anchorCtr="0" upright="1">
                          <a:spAutoFit/>
                        </wps:bodyPr>
                      </wps:wsp>
                      <wps:wsp>
                        <wps:cNvPr id="5" name="Text Box 3"/>
                        <wps:cNvSpPr txBox="1">
                          <a:spLocks noChangeArrowheads="1"/>
                        </wps:cNvSpPr>
                        <wps:spPr bwMode="auto">
                          <a:xfrm>
                            <a:off x="2120" y="8147"/>
                            <a:ext cx="1277"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396" w:rsidRPr="00BD5706" w:rsidRDefault="00833396" w:rsidP="00B7224D">
                              <w:pPr>
                                <w:jc w:val="center"/>
                                <w:rPr>
                                  <w:rFonts w:ascii="Times New Roman" w:hAnsi="Times New Roman"/>
                                  <w:sz w:val="17"/>
                                  <w:szCs w:val="17"/>
                                </w:rPr>
                              </w:pPr>
                              <w:proofErr w:type="gramStart"/>
                              <w:r>
                                <w:rPr>
                                  <w:rFonts w:ascii="Times New Roman" w:hAnsi="Times New Roman"/>
                                  <w:i/>
                                  <w:sz w:val="17"/>
                                  <w:szCs w:val="17"/>
                                </w:rPr>
                                <w:t>registro</w:t>
                              </w:r>
                              <w:proofErr w:type="gramEnd"/>
                              <w:r>
                                <w:rPr>
                                  <w:rFonts w:ascii="Times New Roman" w:hAnsi="Times New Roman"/>
                                  <w:i/>
                                  <w:sz w:val="17"/>
                                  <w:szCs w:val="17"/>
                                </w:rPr>
                                <w:t xml:space="preserve"> único por variedad</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34.1pt;margin-top:0;width:102.3pt;height:190.95pt;z-index:251659264" coordorigin="1816,4719" coordsize="2046,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5b+MgMAAOMJAAAOAAAAZHJzL2Uyb0RvYy54bWzsVm1v0zAQ/o7Ef7D8vUucpS+Jlk5764Q0&#10;YNLGD3ATJ7FI7GC7Swfiv3O203Z0Q0wDgZDoh9TO2ed7nrvn4qPjddugO6Y0lyLD5CDEiIlcFlxU&#10;Gf5wuxjNMNKGioI2UrAM3zONj+evXx31XcoiWcumYAqBE6HTvstwbUyXBoHOa9ZSfSA7JsBYStVS&#10;A1NVBYWiPXhvmyAKw0nQS1V0SuZMa3h77o147vyXJcvN+7LUzKAmwxCbcU/lnkv7DOZHNK0U7Wqe&#10;D2HQF0TRUi7g0K2rc2ooWin+yFXLcyW1LM1BLttAliXPmcMAaEi4h+ZSyVXnsFRpX3VbmoDaPZ5e&#10;7DZ/d3etEC8yfIiRoC2kyJ2KYktN31UprLhU3U13rTw+GF7J/KMGc7Bvt/PKL0bL/q0swB1dGemo&#10;WZeqtS4ANFq7DNxvM8DWBuXwkkRJEhFIVA62KI7G4WTsc5TXkEi7j8zIBCMwx1OSbGwXw/4ojMFo&#10;Nx/OvDWgqT/YBTsEZ5FBvekdpfrXKL2pacdcprQlbKA03lB6a/GdyjWKPKtukaUUmTW8BlCOIe2Z&#10;RUKe1VRU7EQp2deMFhAdsTsBw3arx6Ctk59R/QRlG8J3hBES+TM2hNG0U9pcMtkiO8iwAjW5OOnd&#10;lTY2nN0Sm1gtG14seNO4iaqWZ41CdxSUt3A/h2BvWSPsYiHtNu/Rv4H44Axrs5E6JX1JSBSHp1Ey&#10;Wkxm01G8iMejZBrORiFJTpNJGCfx+eKrDZDEac2LgokrLthG1SR+XoqH/uL16HSN+gwn42jsc/RD&#10;kKH7PQWy5QaaXMPbDM+2i2hqM3shCoBNU0N548fB9+E7loGDzb9jxdWBTb0vArNersGLLY6lLO6h&#10;IpSEfIGMoDPDoJbqM0Y9dLkM608rqhhGzRsBVZWQOLZt0U3i8TSCiXpoWT60UJGDqwwbjPzwzPhW&#10;uuoUr2o4aVPHJyD6BXc1sotqqF+Q3R/S3/iR/g7/iv4iYnmFpjQj8dRG4KvaN7zpdGhYyX/5wbfw&#10;H5Wf+4S6BO7q/dkq3Cpwqz4YeOXB4Deqzn0D4Sbhmslw67FXlYdzp9Ld3Wz+DQAA//8DAFBLAwQU&#10;AAYACAAAACEAg/70VN4AAAAHAQAADwAAAGRycy9kb3ducmV2LnhtbEyPQUvDQBSE74L/YXmCN7tJ&#10;ijVNsymlqKcitBXE2zb7moRm34bsNkn/vc+THocZZr7J15NtxYC9bxwpiGcRCKTSmYYqBZ/Ht6cU&#10;hA+ajG4doYIbelgX93e5zowbaY/DIVSCS8hnWkEdQpdJ6csarfYz1yGxd3a91YFlX0nT65HLbSuT&#10;KFpIqxvihVp3uK2xvByuVsH7qMfNPH4ddpfz9vZ9fP742sWo1OPDtFmBCDiFvzD84jM6FMx0clcy&#10;XrQKFmnCSQV8iN3kJeEjJwXzNF6CLHL5n7/4AQAA//8DAFBLAQItABQABgAIAAAAIQC2gziS/gAA&#10;AOEBAAATAAAAAAAAAAAAAAAAAAAAAABbQ29udGVudF9UeXBlc10ueG1sUEsBAi0AFAAGAAgAAAAh&#10;ADj9If/WAAAAlAEAAAsAAAAAAAAAAAAAAAAALwEAAF9yZWxzLy5yZWxzUEsBAi0AFAAGAAgAAAAh&#10;ADVblv4yAwAA4wkAAA4AAAAAAAAAAAAAAAAALgIAAGRycy9lMm9Eb2MueG1sUEsBAi0AFAAGAAgA&#10;AAAhAIP+9FTeAAAABwEAAA8AAAAAAAAAAAAAAAAAjAUAAGRycy9kb3ducmV2LnhtbFBLBQYAAAAA&#10;BAAEAPMAAACXBgAAAAA=&#10;">
                <v:shapetype id="_x0000_t202" coordsize="21600,21600" o:spt="202" path="m,l,21600r21600,l21600,xe">
                  <v:stroke joinstyle="miter"/>
                  <v:path gradientshapeok="t" o:connecttype="rect"/>
                </v:shapetype>
                <v:shape id="Text Box 2" o:spid="_x0000_s1027" type="#_x0000_t202" style="position:absolute;left:1816;top:4719;width:2046;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0msIA&#10;AADaAAAADwAAAGRycy9kb3ducmV2LnhtbESPX2vCMBTF3wf7DuEOfFtTZ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3SawgAAANoAAAAPAAAAAAAAAAAAAAAAAJgCAABkcnMvZG93&#10;bnJldi54bWxQSwUGAAAAAAQABAD1AAAAhwMAAAAA&#10;" stroked="f">
                  <v:textbox style="mso-fit-shape-to-text:t">
                    <w:txbxContent>
                      <w:p w:rsidR="00833396" w:rsidRPr="00BD5706" w:rsidRDefault="00833396" w:rsidP="00B7224D">
                        <w:pPr>
                          <w:jc w:val="center"/>
                          <w:rPr>
                            <w:rFonts w:ascii="Times New Roman" w:hAnsi="Times New Roman"/>
                            <w:i/>
                            <w:sz w:val="17"/>
                            <w:szCs w:val="17"/>
                          </w:rPr>
                        </w:pPr>
                        <w:r w:rsidRPr="00BD5706">
                          <w:rPr>
                            <w:rFonts w:ascii="Times New Roman" w:hAnsi="Times New Roman"/>
                            <w:i/>
                            <w:sz w:val="17"/>
                            <w:szCs w:val="17"/>
                          </w:rPr>
                          <w:t>Sección 4.3.2.3</w:t>
                        </w:r>
                      </w:p>
                      <w:p w:rsidR="00833396" w:rsidRPr="00BD5706" w:rsidRDefault="00833396" w:rsidP="00B7224D">
                        <w:pPr>
                          <w:jc w:val="center"/>
                          <w:rPr>
                            <w:rFonts w:ascii="Times New Roman" w:hAnsi="Times New Roman"/>
                            <w:sz w:val="17"/>
                            <w:szCs w:val="17"/>
                          </w:rPr>
                        </w:pPr>
                        <w:r w:rsidRPr="00BD5706">
                          <w:rPr>
                            <w:rFonts w:ascii="Times New Roman" w:hAnsi="Times New Roman"/>
                            <w:i/>
                            <w:sz w:val="17"/>
                            <w:szCs w:val="17"/>
                          </w:rPr>
                          <w:t>Ejemplo (MG)</w:t>
                        </w:r>
                        <w:proofErr w:type="gramStart"/>
                        <w:r w:rsidRPr="00BD5706">
                          <w:rPr>
                            <w:rFonts w:ascii="Times New Roman" w:hAnsi="Times New Roman"/>
                            <w:i/>
                            <w:sz w:val="17"/>
                            <w:szCs w:val="17"/>
                          </w:rPr>
                          <w:t xml:space="preserve">:  </w:t>
                        </w:r>
                        <w:r w:rsidRPr="00BD5706">
                          <w:rPr>
                            <w:rFonts w:ascii="Times New Roman" w:hAnsi="Times New Roman"/>
                            <w:sz w:val="17"/>
                            <w:szCs w:val="17"/>
                          </w:rPr>
                          <w:t>Limbo</w:t>
                        </w:r>
                        <w:proofErr w:type="gramEnd"/>
                        <w:r w:rsidRPr="00BD5706">
                          <w:rPr>
                            <w:rFonts w:ascii="Times New Roman" w:hAnsi="Times New Roman"/>
                            <w:sz w:val="17"/>
                            <w:szCs w:val="17"/>
                          </w:rPr>
                          <w:t>:</w:t>
                        </w:r>
                      </w:p>
                      <w:p w:rsidR="00833396" w:rsidRPr="00BD5706" w:rsidRDefault="00833396" w:rsidP="00B7224D">
                        <w:pPr>
                          <w:jc w:val="center"/>
                          <w:rPr>
                            <w:rFonts w:ascii="Times New Roman" w:hAnsi="Times New Roman"/>
                            <w:sz w:val="17"/>
                            <w:szCs w:val="17"/>
                          </w:rPr>
                        </w:pPr>
                        <w:proofErr w:type="gramStart"/>
                        <w:r w:rsidRPr="00BD5706">
                          <w:rPr>
                            <w:rFonts w:ascii="Times New Roman" w:hAnsi="Times New Roman"/>
                            <w:sz w:val="17"/>
                            <w:szCs w:val="17"/>
                          </w:rPr>
                          <w:t>anchura</w:t>
                        </w:r>
                        <w:proofErr w:type="gramEnd"/>
                      </w:p>
                      <w:p w:rsidR="00833396" w:rsidRPr="00BD5706" w:rsidRDefault="00833396" w:rsidP="00B7224D">
                        <w:pPr>
                          <w:jc w:val="center"/>
                          <w:rPr>
                            <w:rFonts w:ascii="Times New Roman" w:hAnsi="Times New Roman"/>
                            <w:sz w:val="17"/>
                            <w:szCs w:val="17"/>
                          </w:rPr>
                        </w:pPr>
                        <w:r w:rsidRPr="00BD5706">
                          <w:rPr>
                            <w:rFonts w:ascii="Times New Roman" w:hAnsi="Times New Roman"/>
                            <w:sz w:val="17"/>
                            <w:szCs w:val="17"/>
                          </w:rPr>
                          <w:t>(</w:t>
                        </w:r>
                        <w:proofErr w:type="spellStart"/>
                        <w:r w:rsidRPr="00BD5706">
                          <w:rPr>
                            <w:rFonts w:ascii="Times New Roman" w:hAnsi="Times New Roman"/>
                            <w:sz w:val="17"/>
                            <w:szCs w:val="17"/>
                          </w:rPr>
                          <w:t>Hosta</w:t>
                        </w:r>
                        <w:proofErr w:type="spellEnd"/>
                        <w:proofErr w:type="gramStart"/>
                        <w:r w:rsidRPr="00BD5706">
                          <w:rPr>
                            <w:rFonts w:ascii="Times New Roman" w:hAnsi="Times New Roman"/>
                            <w:sz w:val="17"/>
                            <w:szCs w:val="17"/>
                          </w:rPr>
                          <w:t>:  multiplicación</w:t>
                        </w:r>
                        <w:proofErr w:type="gramEnd"/>
                        <w:r w:rsidRPr="00BD5706">
                          <w:rPr>
                            <w:rFonts w:ascii="Times New Roman" w:hAnsi="Times New Roman"/>
                            <w:sz w:val="17"/>
                            <w:szCs w:val="17"/>
                          </w:rPr>
                          <w:t xml:space="preserve"> vegetativa)</w:t>
                        </w:r>
                      </w:p>
                    </w:txbxContent>
                  </v:textbox>
                </v:shape>
                <v:shape id="Text Box 3" o:spid="_x0000_s1028" type="#_x0000_t202" style="position:absolute;left:2120;top:8147;width:1277;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p8UA&#10;AADaAAAADwAAAGRycy9kb3ducmV2LnhtbESPQWsCMRSE74X+h/AKvZSarVqRrVFELFgv0q0Xb4/N&#10;c7Pt5mVJsrr+e1MQPA4z8w0zW/S2ESfyoXas4G2QgSAuna65UrD/+XydgggRWWPjmBRcKMBi/vgw&#10;w1y7M3/TqYiVSBAOOSowMba5lKE0ZDEMXEucvKPzFmOSvpLa4znBbSOHWTaRFmtOCwZbWhkq/4rO&#10;KtiNDzvz0h3X2+V45L/23WryWxVKPT/1yw8Qkfp4D9/aG63gHf6vp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KnxQAAANoAAAAPAAAAAAAAAAAAAAAAAJgCAABkcnMv&#10;ZG93bnJldi54bWxQSwUGAAAAAAQABAD1AAAAigMAAAAA&#10;" stroked="f">
                  <v:textbox style="mso-fit-shape-to-text:t" inset="0,0,0,0">
                    <w:txbxContent>
                      <w:p w:rsidR="00833396" w:rsidRPr="00BD5706" w:rsidRDefault="00833396" w:rsidP="00B7224D">
                        <w:pPr>
                          <w:jc w:val="center"/>
                          <w:rPr>
                            <w:rFonts w:ascii="Times New Roman" w:hAnsi="Times New Roman"/>
                            <w:sz w:val="17"/>
                            <w:szCs w:val="17"/>
                          </w:rPr>
                        </w:pPr>
                        <w:proofErr w:type="gramStart"/>
                        <w:r>
                          <w:rPr>
                            <w:rFonts w:ascii="Times New Roman" w:hAnsi="Times New Roman"/>
                            <w:i/>
                            <w:sz w:val="17"/>
                            <w:szCs w:val="17"/>
                          </w:rPr>
                          <w:t>registro</w:t>
                        </w:r>
                        <w:proofErr w:type="gramEnd"/>
                        <w:r>
                          <w:rPr>
                            <w:rFonts w:ascii="Times New Roman" w:hAnsi="Times New Roman"/>
                            <w:i/>
                            <w:sz w:val="17"/>
                            <w:szCs w:val="17"/>
                          </w:rPr>
                          <w:t xml:space="preserve"> único por variedad</w:t>
                        </w:r>
                      </w:p>
                    </w:txbxContent>
                  </v:textbox>
                </v:shape>
              </v:group>
            </w:pict>
          </mc:Fallback>
        </mc:AlternateContent>
      </w:r>
      <w:r w:rsidRPr="00041E70">
        <w:rPr>
          <w:noProof/>
          <w:lang w:val="en-US"/>
        </w:rPr>
        <w:drawing>
          <wp:inline distT="0" distB="0" distL="0" distR="0" wp14:anchorId="288A1701" wp14:editId="54A15B5A">
            <wp:extent cx="1431925" cy="25019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31925" cy="2501900"/>
                    </a:xfrm>
                    <a:prstGeom prst="rect">
                      <a:avLst/>
                    </a:prstGeom>
                    <a:noFill/>
                    <a:ln w="9525">
                      <a:noFill/>
                      <a:miter lim="800000"/>
                      <a:headEnd/>
                      <a:tailEnd/>
                    </a:ln>
                  </pic:spPr>
                </pic:pic>
              </a:graphicData>
            </a:graphic>
          </wp:inline>
        </w:drawing>
      </w:r>
    </w:p>
    <w:p w:rsidR="00B7224D" w:rsidRPr="00041E70" w:rsidRDefault="00B7224D" w:rsidP="00B7224D"/>
    <w:p w:rsidR="00B7224D" w:rsidRPr="00041E70" w:rsidRDefault="00B7224D" w:rsidP="00B7224D">
      <w:pPr>
        <w:pStyle w:val="Heading4"/>
        <w:rPr>
          <w:lang w:val="es-ES_tradnl"/>
        </w:rPr>
      </w:pPr>
      <w:r w:rsidRPr="00041E70">
        <w:rPr>
          <w:lang w:val="es-ES_tradnl"/>
        </w:rPr>
        <w:t>TGP/14</w:t>
      </w:r>
      <w:proofErr w:type="gramStart"/>
      <w:r w:rsidRPr="00041E70">
        <w:rPr>
          <w:lang w:val="es-ES_tradnl"/>
        </w:rPr>
        <w:t>:  Glosario</w:t>
      </w:r>
      <w:proofErr w:type="gramEnd"/>
      <w:r w:rsidRPr="00041E70">
        <w:rPr>
          <w:lang w:val="es-ES_tradnl"/>
        </w:rPr>
        <w:t xml:space="preserve"> de términos utilizados en los documentos de la UPOV </w:t>
      </w:r>
    </w:p>
    <w:p w:rsidR="00B7224D" w:rsidRPr="00041E70" w:rsidRDefault="00B7224D" w:rsidP="00B7224D"/>
    <w:p w:rsidR="00B7224D" w:rsidRPr="00041E70" w:rsidRDefault="00B7224D" w:rsidP="00B7224D">
      <w:pPr>
        <w:pStyle w:val="Heading5"/>
        <w:numPr>
          <w:ilvl w:val="0"/>
          <w:numId w:val="46"/>
        </w:numPr>
        <w:rPr>
          <w:lang w:val="es-ES_tradnl"/>
        </w:rPr>
      </w:pPr>
      <w:r w:rsidRPr="00041E70">
        <w:rPr>
          <w:lang w:val="es-ES_tradnl"/>
        </w:rPr>
        <w:t>Sección 2.4</w:t>
      </w:r>
      <w:proofErr w:type="gramStart"/>
      <w:r w:rsidRPr="00041E70">
        <w:rPr>
          <w:lang w:val="es-ES_tradnl"/>
        </w:rPr>
        <w:t>:  Caracteres</w:t>
      </w:r>
      <w:proofErr w:type="gramEnd"/>
      <w:r w:rsidRPr="00041E70">
        <w:rPr>
          <w:lang w:val="es-ES_tradnl"/>
        </w:rPr>
        <w:t xml:space="preserve"> de la forma del ápice/punta</w:t>
      </w:r>
    </w:p>
    <w:p w:rsidR="00B7224D" w:rsidRPr="00041E70" w:rsidRDefault="00B7224D" w:rsidP="00B7224D"/>
    <w:p w:rsidR="00B7224D" w:rsidRPr="00041E70" w:rsidRDefault="00B7224D" w:rsidP="00B7224D">
      <w:pPr>
        <w:keepNext/>
      </w:pPr>
      <w:r w:rsidRPr="00041E70">
        <w:fldChar w:fldCharType="begin"/>
      </w:r>
      <w:r w:rsidRPr="00041E70">
        <w:instrText xml:space="preserve"> AUTONUM  </w:instrText>
      </w:r>
      <w:r w:rsidRPr="00041E70">
        <w:fldChar w:fldCharType="end"/>
      </w:r>
      <w:r w:rsidRPr="00041E70">
        <w:tab/>
        <w:t xml:space="preserve">El TC examinó la revisión de la sección 2.4 del documento TGP/14, </w:t>
      </w:r>
      <w:proofErr w:type="gramStart"/>
      <w:r w:rsidRPr="00041E70">
        <w:t>presentada</w:t>
      </w:r>
      <w:proofErr w:type="gramEnd"/>
      <w:r w:rsidRPr="00041E70">
        <w:t xml:space="preserve"> en el documento TC/51/25, y acordó que su texto debería ser el siguiente:</w:t>
      </w:r>
    </w:p>
    <w:p w:rsidR="00B7224D" w:rsidRPr="00041E70" w:rsidRDefault="00B7224D" w:rsidP="00B7224D"/>
    <w:p w:rsidR="00B7224D" w:rsidRPr="00041E70" w:rsidRDefault="00B7224D" w:rsidP="00B7224D">
      <w:pPr>
        <w:keepNext/>
        <w:ind w:left="567"/>
        <w:outlineLvl w:val="3"/>
        <w:rPr>
          <w:i/>
          <w:sz w:val="18"/>
        </w:rPr>
      </w:pPr>
      <w:r w:rsidRPr="00041E70">
        <w:rPr>
          <w:i/>
          <w:sz w:val="18"/>
        </w:rPr>
        <w:t>“2.4</w:t>
      </w:r>
      <w:r w:rsidRPr="00041E70">
        <w:rPr>
          <w:i/>
          <w:sz w:val="18"/>
        </w:rPr>
        <w:tab/>
        <w:t>Caracteres de la forma del ápice/punta</w:t>
      </w:r>
    </w:p>
    <w:p w:rsidR="00B7224D" w:rsidRPr="00041E70" w:rsidRDefault="00B7224D" w:rsidP="00B7224D">
      <w:pPr>
        <w:keepNext/>
        <w:ind w:left="567" w:right="567"/>
        <w:rPr>
          <w:rFonts w:cs="Arial"/>
          <w:sz w:val="18"/>
        </w:rPr>
      </w:pPr>
    </w:p>
    <w:p w:rsidR="00B7224D" w:rsidRPr="00041E70" w:rsidRDefault="00B7224D" w:rsidP="00B7224D">
      <w:pPr>
        <w:keepNext/>
        <w:ind w:left="567" w:right="567"/>
        <w:rPr>
          <w:sz w:val="18"/>
        </w:rPr>
      </w:pPr>
      <w:r w:rsidRPr="00041E70">
        <w:rPr>
          <w:sz w:val="18"/>
        </w:rPr>
        <w:t>2.4.1</w:t>
      </w:r>
      <w:r w:rsidRPr="00041E70">
        <w:rPr>
          <w:sz w:val="18"/>
        </w:rPr>
        <w:tab/>
        <w:t>El ÁPICE (parte apical o distal) de un órgano o de una parte de una planta es el extremo más alejado del punto de inserción.  En algunos casos, la extremidad distal del ápice puede adoptar la forma de “PUNTA” diferenciada.</w:t>
      </w:r>
    </w:p>
    <w:p w:rsidR="00B7224D" w:rsidRPr="00041E70" w:rsidRDefault="00B7224D" w:rsidP="00B7224D">
      <w:pPr>
        <w:keepNext/>
        <w:ind w:left="567" w:right="567"/>
        <w:rPr>
          <w:sz w:val="18"/>
        </w:rPr>
      </w:pPr>
    </w:p>
    <w:p w:rsidR="00B7224D" w:rsidRPr="00041E70" w:rsidRDefault="00B7224D" w:rsidP="00B7224D">
      <w:pPr>
        <w:ind w:left="567" w:right="567"/>
        <w:rPr>
          <w:sz w:val="18"/>
        </w:rPr>
      </w:pPr>
      <w:r w:rsidRPr="00041E70">
        <w:rPr>
          <w:sz w:val="18"/>
          <w:shd w:val="clear" w:color="auto" w:fill="FFFFFF"/>
        </w:rPr>
        <w:t>2.4.2</w:t>
      </w:r>
      <w:r w:rsidRPr="00041E70">
        <w:rPr>
          <w:sz w:val="18"/>
          <w:shd w:val="clear" w:color="auto" w:fill="FFFFFF"/>
        </w:rPr>
        <w:tab/>
        <w:t>Al analizar el planteamiento para describir el ápice, deberían tenerse en cuenta el tamaño del órgano y el número de formas del ápice.  Los caracteres relativos al ápice se pueden describir en términos sencillos y la presencia de una punta diferenciada, en su caso, debería describirse aparte, como carácter independiente.  Por lo general, no es necesario separar el carácter de la forma del ápice en los caracteres de punta diferenciada y ápice.</w:t>
      </w:r>
      <w:r w:rsidRPr="00041E70">
        <w:rPr>
          <w:sz w:val="18"/>
        </w:rPr>
        <w:t xml:space="preserve"> </w:t>
      </w:r>
    </w:p>
    <w:p w:rsidR="00B7224D" w:rsidRPr="00041E70" w:rsidRDefault="00B7224D" w:rsidP="00B7224D">
      <w:pPr>
        <w:ind w:left="567" w:right="567"/>
        <w:rPr>
          <w:sz w:val="18"/>
        </w:rPr>
      </w:pPr>
    </w:p>
    <w:p w:rsidR="00B7224D" w:rsidRPr="00041E70" w:rsidRDefault="00B7224D" w:rsidP="00B7224D">
      <w:pPr>
        <w:ind w:left="567" w:right="567"/>
        <w:rPr>
          <w:sz w:val="18"/>
        </w:rPr>
      </w:pPr>
      <w:r w:rsidRPr="00041E70">
        <w:rPr>
          <w:sz w:val="18"/>
        </w:rPr>
        <w:t>2.4.3</w:t>
      </w:r>
      <w:r w:rsidRPr="00041E70">
        <w:rPr>
          <w:sz w:val="18"/>
        </w:rPr>
        <w:tab/>
        <w:t>En los casos en que sea pertinente separar los caracteres de la punta diferenciada y el ápice, se adopta como forma general la forma del ápice, excluyendo la punta diferenciada (si la hubiere) y la separación de la punta y el ápice deberá indicarse en la explicación del carácter.  Por ejemplo:</w:t>
      </w:r>
    </w:p>
    <w:p w:rsidR="00B7224D" w:rsidRPr="00041E70" w:rsidRDefault="00B7224D" w:rsidP="00B7224D">
      <w:pPr>
        <w:ind w:left="567" w:right="567"/>
        <w:rPr>
          <w:sz w:val="18"/>
        </w:rPr>
      </w:pPr>
    </w:p>
    <w:p w:rsidR="00B7224D" w:rsidRPr="00041E70" w:rsidRDefault="00B7224D" w:rsidP="00B7224D">
      <w:pPr>
        <w:ind w:left="567" w:right="567"/>
        <w:rPr>
          <w:sz w:val="18"/>
        </w:rPr>
      </w:pPr>
      <w:r w:rsidRPr="00041E70">
        <w:rPr>
          <w:sz w:val="18"/>
        </w:rPr>
        <w:t>[…]”</w:t>
      </w:r>
    </w:p>
    <w:p w:rsidR="00B7224D" w:rsidRPr="00041E70" w:rsidRDefault="00B7224D" w:rsidP="00B7224D">
      <w:pPr>
        <w:ind w:left="567" w:right="567"/>
        <w:rPr>
          <w:sz w:val="18"/>
        </w:rPr>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han de introducirse cambios de redacción en el proyecto de texto en alemán y recordó que se solicitará a los expertos en idiomas del Comité de Redacción que verifiquen las traducciones al español, el alemán y el francés de todos los documentos antes de que se preparen para su aprobación por el Consejo.</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texto de la traducción al alemán debe ser el siguiente:</w:t>
      </w:r>
    </w:p>
    <w:p w:rsidR="00B7224D" w:rsidRPr="00041E70" w:rsidRDefault="00B7224D" w:rsidP="00B7224D">
      <w:pPr>
        <w:ind w:firstLine="567"/>
      </w:pPr>
    </w:p>
    <w:p w:rsidR="00B7224D" w:rsidRPr="00E4782E" w:rsidRDefault="00B7224D" w:rsidP="00B7224D">
      <w:pPr>
        <w:ind w:left="567" w:right="567"/>
        <w:rPr>
          <w:i/>
          <w:sz w:val="18"/>
          <w:lang w:val="de-DE"/>
        </w:rPr>
      </w:pPr>
      <w:r w:rsidRPr="00E4782E">
        <w:rPr>
          <w:i/>
          <w:sz w:val="18"/>
          <w:lang w:val="de-DE"/>
        </w:rPr>
        <w:t>“2.4</w:t>
      </w:r>
      <w:r w:rsidRPr="00E4782E">
        <w:rPr>
          <w:i/>
          <w:sz w:val="18"/>
          <w:lang w:val="de-DE"/>
        </w:rPr>
        <w:tab/>
      </w:r>
      <w:r w:rsidRPr="00E4782E">
        <w:rPr>
          <w:i/>
          <w:sz w:val="18"/>
          <w:szCs w:val="18"/>
          <w:lang w:val="de-DE"/>
        </w:rPr>
        <w:t>Merkmale für die Form des Apex/der Spitze</w:t>
      </w:r>
    </w:p>
    <w:p w:rsidR="00B7224D" w:rsidRPr="00E4782E" w:rsidRDefault="00B7224D" w:rsidP="00B7224D">
      <w:pPr>
        <w:ind w:left="567" w:right="567"/>
        <w:rPr>
          <w:rFonts w:cs="Arial"/>
          <w:sz w:val="18"/>
          <w:lang w:val="de-DE"/>
        </w:rPr>
      </w:pPr>
    </w:p>
    <w:p w:rsidR="00B7224D" w:rsidRPr="00E4782E" w:rsidRDefault="00B7224D" w:rsidP="00B7224D">
      <w:pPr>
        <w:ind w:left="567" w:right="567"/>
        <w:rPr>
          <w:sz w:val="18"/>
          <w:szCs w:val="18"/>
          <w:lang w:val="de-DE"/>
        </w:rPr>
      </w:pPr>
      <w:r w:rsidRPr="00E4782E">
        <w:rPr>
          <w:sz w:val="18"/>
          <w:szCs w:val="18"/>
          <w:lang w:val="de-DE"/>
        </w:rPr>
        <w:t>2.4.1</w:t>
      </w:r>
      <w:r w:rsidRPr="00E4782E">
        <w:rPr>
          <w:sz w:val="18"/>
          <w:szCs w:val="18"/>
          <w:lang w:val="de-DE"/>
        </w:rPr>
        <w:tab/>
        <w:t>Der APEX (apikaler oder distaler Teil) eines Organs oder eines Pflanzenteils ist das am weitesten von der Ansatzstelle entfernte Ende. In einigen Fällen kann das distale Ende des Apex in eine ‚AUFGESETZTE SPITZE‘ differenziert sein.</w:t>
      </w:r>
    </w:p>
    <w:p w:rsidR="00B7224D" w:rsidRPr="00E4782E" w:rsidRDefault="00B7224D" w:rsidP="00B7224D">
      <w:pPr>
        <w:ind w:left="567" w:right="567"/>
        <w:rPr>
          <w:sz w:val="18"/>
          <w:szCs w:val="18"/>
          <w:lang w:val="de-DE"/>
        </w:rPr>
      </w:pPr>
    </w:p>
    <w:p w:rsidR="00B7224D" w:rsidRPr="00E4782E" w:rsidRDefault="00B7224D" w:rsidP="00B7224D">
      <w:pPr>
        <w:ind w:left="567" w:right="567"/>
        <w:rPr>
          <w:sz w:val="18"/>
          <w:szCs w:val="18"/>
          <w:lang w:val="de-DE"/>
        </w:rPr>
      </w:pPr>
      <w:r w:rsidRPr="00E4782E">
        <w:rPr>
          <w:sz w:val="18"/>
          <w:szCs w:val="18"/>
          <w:lang w:val="de-DE"/>
        </w:rPr>
        <w:t>2.4.2</w:t>
      </w:r>
      <w:r w:rsidRPr="00E4782E">
        <w:rPr>
          <w:sz w:val="18"/>
          <w:szCs w:val="18"/>
          <w:lang w:val="de-DE"/>
        </w:rPr>
        <w:tab/>
        <w:t>Die Vorgehensweise zur Beschreibung des Apex sollte die Größe des Organs und die Anzahl der Formen für den Apex berücksichtigen. Die Merkmale für den Apex lassen sich in einfachen Begriffen beschreiben. Wenn eine differenzierte Spitze vorhanden ist, könnte diese als getrenntes Merkmal näher beschrieben werden. In der Regel ist es jedoch nicht notwendig, die Merkmale für die Apex</w:t>
      </w:r>
      <w:r w:rsidRPr="00E4782E">
        <w:rPr>
          <w:sz w:val="18"/>
          <w:szCs w:val="18"/>
          <w:lang w:val="de-DE"/>
        </w:rPr>
        <w:noBreakHyphen/>
        <w:t>Form in aufgesetzte Spitze und Apex aufzuteilen.</w:t>
      </w:r>
    </w:p>
    <w:p w:rsidR="00B7224D" w:rsidRPr="00E4782E" w:rsidRDefault="00B7224D" w:rsidP="00B7224D">
      <w:pPr>
        <w:ind w:left="567" w:right="567"/>
        <w:rPr>
          <w:sz w:val="18"/>
          <w:szCs w:val="18"/>
          <w:lang w:val="de-DE"/>
        </w:rPr>
      </w:pPr>
    </w:p>
    <w:p w:rsidR="00B7224D" w:rsidRPr="00E4782E" w:rsidRDefault="00B7224D" w:rsidP="00E4782E">
      <w:pPr>
        <w:keepNext/>
        <w:ind w:left="567" w:right="567"/>
        <w:rPr>
          <w:sz w:val="18"/>
          <w:lang w:val="de-DE"/>
        </w:rPr>
      </w:pPr>
      <w:r w:rsidRPr="00E4782E">
        <w:rPr>
          <w:sz w:val="18"/>
          <w:szCs w:val="18"/>
          <w:lang w:val="de-DE"/>
        </w:rPr>
        <w:t>2.4.3</w:t>
      </w:r>
      <w:r w:rsidRPr="00E4782E">
        <w:rPr>
          <w:sz w:val="18"/>
          <w:szCs w:val="18"/>
          <w:lang w:val="de-DE"/>
        </w:rPr>
        <w:tab/>
        <w:t xml:space="preserve">Wenn es angebracht ist, differenzierte Spitze und Apex in getrennte Merkmale aufzuteilen, wird die Form des Apex als allgemeine Form, ohne differenzierte Spitze (sofern vorhanden), angenommen, und die Aufteilung von aufgesetzter Spitze und Apex sollte in der Erläuterung des Merkmals angegeben werden, </w:t>
      </w:r>
      <w:r w:rsidRPr="00E4782E">
        <w:rPr>
          <w:sz w:val="18"/>
          <w:lang w:val="de-DE"/>
        </w:rPr>
        <w:t>beispielsweise:</w:t>
      </w:r>
    </w:p>
    <w:p w:rsidR="00B7224D" w:rsidRPr="00E4782E" w:rsidRDefault="00B7224D" w:rsidP="00E4782E">
      <w:pPr>
        <w:keepNext/>
        <w:ind w:left="567" w:right="567"/>
        <w:rPr>
          <w:sz w:val="18"/>
          <w:lang w:val="de-DE"/>
        </w:rPr>
      </w:pPr>
    </w:p>
    <w:p w:rsidR="00B7224D" w:rsidRPr="00E4782E" w:rsidRDefault="00B7224D" w:rsidP="00B7224D">
      <w:pPr>
        <w:ind w:left="567" w:right="567"/>
        <w:rPr>
          <w:sz w:val="18"/>
          <w:lang w:val="de-DE"/>
        </w:rPr>
      </w:pPr>
      <w:r w:rsidRPr="00E4782E">
        <w:rPr>
          <w:sz w:val="18"/>
          <w:lang w:val="de-DE"/>
        </w:rPr>
        <w:t>[…]”</w:t>
      </w:r>
    </w:p>
    <w:p w:rsidR="00B7224D" w:rsidRPr="00041E70" w:rsidRDefault="00B7224D" w:rsidP="00B7224D">
      <w:pPr>
        <w:ind w:left="567" w:right="567"/>
        <w:rPr>
          <w:sz w:val="18"/>
        </w:rPr>
      </w:pPr>
    </w:p>
    <w:p w:rsidR="00B7224D" w:rsidRPr="00041E70" w:rsidRDefault="00B7224D" w:rsidP="00B7224D">
      <w:pPr>
        <w:ind w:left="567" w:right="567"/>
        <w:rPr>
          <w:sz w:val="18"/>
        </w:rPr>
      </w:pPr>
    </w:p>
    <w:p w:rsidR="00B7224D" w:rsidRPr="00041E70" w:rsidRDefault="00B7224D" w:rsidP="005F33AB">
      <w:pPr>
        <w:pStyle w:val="Heading5"/>
        <w:numPr>
          <w:ilvl w:val="0"/>
          <w:numId w:val="46"/>
        </w:numPr>
        <w:rPr>
          <w:lang w:val="es-ES_tradnl"/>
        </w:rPr>
      </w:pPr>
      <w:r w:rsidRPr="00041E70">
        <w:rPr>
          <w:lang w:val="es-ES_tradnl"/>
        </w:rPr>
        <w:t>Subsección 3</w:t>
      </w:r>
      <w:proofErr w:type="gramStart"/>
      <w:r w:rsidRPr="00041E70">
        <w:rPr>
          <w:lang w:val="es-ES_tradnl"/>
        </w:rPr>
        <w:t>:  “</w:t>
      </w:r>
      <w:proofErr w:type="gramEnd"/>
      <w:r w:rsidRPr="00041E70">
        <w:rPr>
          <w:lang w:val="es-ES_tradnl"/>
        </w:rPr>
        <w:t>Color”</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 corrección de la traducción al francés del grupo de color “rojo púrpura oscuro” para que figure “</w:t>
      </w:r>
      <w:r w:rsidRPr="00041E70">
        <w:rPr>
          <w:i/>
        </w:rPr>
        <w:t>rouge-</w:t>
      </w:r>
      <w:proofErr w:type="spellStart"/>
      <w:r w:rsidRPr="00041E70">
        <w:rPr>
          <w:i/>
        </w:rPr>
        <w:t>pourpre</w:t>
      </w:r>
      <w:proofErr w:type="spellEnd"/>
      <w:r w:rsidRPr="00041E70">
        <w:rPr>
          <w:i/>
        </w:rPr>
        <w:t xml:space="preserve"> </w:t>
      </w:r>
      <w:proofErr w:type="spellStart"/>
      <w:r w:rsidRPr="00041E70">
        <w:rPr>
          <w:i/>
        </w:rPr>
        <w:t>foncé</w:t>
      </w:r>
      <w:proofErr w:type="spellEnd"/>
      <w:r w:rsidRPr="00041E70">
        <w:t>” en la subsección 3 “Color” del documento TGP/14.</w:t>
      </w:r>
    </w:p>
    <w:p w:rsidR="00B7224D" w:rsidRPr="00041E70" w:rsidRDefault="00B7224D" w:rsidP="00B7224D"/>
    <w:p w:rsidR="00B7224D" w:rsidRPr="00041E70" w:rsidRDefault="00B7224D" w:rsidP="00B7224D">
      <w:pPr>
        <w:pStyle w:val="Heading3"/>
        <w:rPr>
          <w:snapToGrid w:val="0"/>
          <w:lang w:val="es-ES_tradnl"/>
        </w:rPr>
      </w:pPr>
      <w:bookmarkStart w:id="12" w:name="_Toc429150759"/>
      <w:r w:rsidRPr="00041E70">
        <w:rPr>
          <w:snapToGrid w:val="0"/>
          <w:lang w:val="es-ES_tradnl"/>
        </w:rPr>
        <w:t>Futura revisión de documentos TGP</w:t>
      </w:r>
      <w:bookmarkEnd w:id="12"/>
    </w:p>
    <w:p w:rsidR="00B7224D" w:rsidRPr="00041E70" w:rsidRDefault="00B7224D" w:rsidP="00B7224D">
      <w:pPr>
        <w:keepNext/>
      </w:pPr>
    </w:p>
    <w:p w:rsidR="00B7224D" w:rsidRPr="00041E70" w:rsidRDefault="00B7224D" w:rsidP="00B7224D">
      <w:pPr>
        <w:pStyle w:val="Heading4"/>
        <w:rPr>
          <w:lang w:val="es-ES_tradnl"/>
        </w:rPr>
      </w:pPr>
      <w:r w:rsidRPr="00041E70">
        <w:rPr>
          <w:lang w:val="es-ES_tradnl"/>
        </w:rPr>
        <w:t>TGP/7 “Elaboración de las Directrices de Examen”</w:t>
      </w:r>
    </w:p>
    <w:p w:rsidR="00B7224D" w:rsidRPr="00041E70" w:rsidRDefault="00B7224D" w:rsidP="00B7224D">
      <w:pPr>
        <w:keepNext/>
      </w:pPr>
    </w:p>
    <w:p w:rsidR="00B7224D" w:rsidRPr="00041E70" w:rsidRDefault="00B7224D" w:rsidP="00B7224D">
      <w:pPr>
        <w:pStyle w:val="Heading5"/>
        <w:numPr>
          <w:ilvl w:val="0"/>
          <w:numId w:val="44"/>
        </w:numPr>
        <w:rPr>
          <w:lang w:val="es-ES_tradnl"/>
        </w:rPr>
      </w:pPr>
      <w:r w:rsidRPr="00041E70">
        <w:rPr>
          <w:lang w:val="es-ES_tradnl"/>
        </w:rPr>
        <w:t>Revisión del documento TGP/7</w:t>
      </w:r>
      <w:proofErr w:type="gramStart"/>
      <w:r w:rsidRPr="00041E70">
        <w:rPr>
          <w:lang w:val="es-ES_tradnl"/>
        </w:rPr>
        <w:t>:  Carpeta</w:t>
      </w:r>
      <w:proofErr w:type="gramEnd"/>
      <w:r w:rsidRPr="00041E70">
        <w:rPr>
          <w:lang w:val="es-ES_tradnl"/>
        </w:rPr>
        <w:t xml:space="preserve"> de material para los redactores de directrices de examen</w:t>
      </w:r>
    </w:p>
    <w:p w:rsidR="00B7224D" w:rsidRPr="00041E70" w:rsidRDefault="00B7224D" w:rsidP="00B7224D">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que se presente a los TWP, en sus sesiones del año 2015, una propuesta detallada de revisión del documento TGP/7 a fin de que incluya la introducción de la plantilla en Internet de los documentos TG.</w:t>
      </w:r>
    </w:p>
    <w:p w:rsidR="00B7224D" w:rsidRPr="00041E70" w:rsidRDefault="00B7224D" w:rsidP="00B7224D"/>
    <w:p w:rsidR="00B7224D" w:rsidRPr="00041E70" w:rsidRDefault="00B7224D" w:rsidP="00B7224D">
      <w:pPr>
        <w:pStyle w:val="Heading5"/>
        <w:numPr>
          <w:ilvl w:val="0"/>
          <w:numId w:val="44"/>
        </w:numPr>
        <w:rPr>
          <w:lang w:val="es-ES_tradnl"/>
        </w:rPr>
      </w:pPr>
      <w:r w:rsidRPr="00041E70">
        <w:rPr>
          <w:lang w:val="es-ES_tradnl"/>
        </w:rPr>
        <w:t>Revisión del documento TGP/7</w:t>
      </w:r>
      <w:proofErr w:type="gramStart"/>
      <w:r w:rsidRPr="00041E70">
        <w:rPr>
          <w:lang w:val="es-ES_tradnl"/>
        </w:rPr>
        <w:t>:  Material</w:t>
      </w:r>
      <w:proofErr w:type="gramEnd"/>
      <w:r w:rsidRPr="00041E70">
        <w:rPr>
          <w:lang w:val="es-ES_tradnl"/>
        </w:rPr>
        <w:t xml:space="preserve"> vegetal presentado para el examen</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 información presentada en el documento TC/51/14 Rev.</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convino en que no deben elaborarse nuevas orientaciones para abordar las cuestiones referentes al material vegetal presentado para el examen además de las que ya se ofrecen en los documentos TG/1/3 “Introducción general al examen de la distinción, la homogeneidad y la estabilidad y a la elaboración de descripciones armonizadas de las obtenciones vegetales”, TGP/7 “Elaboración de las directrices de examen” y TGP/9 “Examen de la distinción”.</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convino en que las autoridades deben proporcionar orientación sobre los requisitos del material presentado para el examen DHE con objeto de evitar posibles efectos del método de reproducción o multiplicación (por ejemplo, la </w:t>
      </w:r>
      <w:proofErr w:type="spellStart"/>
      <w:r w:rsidRPr="00041E70">
        <w:t>micropropagación</w:t>
      </w:r>
      <w:proofErr w:type="spellEnd"/>
      <w:r w:rsidRPr="00041E70">
        <w:t xml:space="preserve">) en la expresión de los caracteres DHE. </w:t>
      </w:r>
    </w:p>
    <w:p w:rsidR="00B7224D" w:rsidRPr="00041E70" w:rsidRDefault="00B7224D" w:rsidP="00B7224D"/>
    <w:p w:rsidR="00B7224D" w:rsidRPr="00041E70" w:rsidRDefault="00B7224D" w:rsidP="00B7224D">
      <w:pPr>
        <w:pStyle w:val="Heading5"/>
        <w:numPr>
          <w:ilvl w:val="0"/>
          <w:numId w:val="44"/>
        </w:numPr>
        <w:rPr>
          <w:lang w:val="es-ES_tradnl"/>
        </w:rPr>
      </w:pPr>
      <w:bookmarkStart w:id="13" w:name="_Toc412193724"/>
      <w:r w:rsidRPr="00041E70">
        <w:rPr>
          <w:lang w:val="es-ES_tradnl"/>
        </w:rPr>
        <w:t>Revisión del documento TGP/7</w:t>
      </w:r>
      <w:proofErr w:type="gramStart"/>
      <w:r w:rsidRPr="00041E70">
        <w:rPr>
          <w:lang w:val="es-ES_tradnl"/>
        </w:rPr>
        <w:t xml:space="preserve">:  </w:t>
      </w:r>
      <w:bookmarkEnd w:id="13"/>
      <w:r w:rsidRPr="00041E70">
        <w:rPr>
          <w:lang w:val="es-ES_tradnl"/>
        </w:rPr>
        <w:t>Cobertura</w:t>
      </w:r>
      <w:proofErr w:type="gramEnd"/>
      <w:r w:rsidRPr="00041E70">
        <w:rPr>
          <w:lang w:val="es-ES_tradnl"/>
        </w:rPr>
        <w:t xml:space="preserve"> de las directrices de examen</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Comité examinó el documento TC/51/15.</w:t>
      </w:r>
    </w:p>
    <w:p w:rsidR="00B7224D" w:rsidRPr="00041E70" w:rsidRDefault="00B7224D" w:rsidP="00B7224D"/>
    <w:p w:rsidR="00B7224D" w:rsidRPr="00041E70" w:rsidRDefault="00B7224D" w:rsidP="00B7224D">
      <w:pPr>
        <w:rPr>
          <w:rFonts w:cs="Arial"/>
        </w:rPr>
      </w:pPr>
      <w:r w:rsidRPr="00041E70">
        <w:fldChar w:fldCharType="begin"/>
      </w:r>
      <w:r w:rsidRPr="00041E70">
        <w:instrText xml:space="preserve"> AUTONUM  </w:instrText>
      </w:r>
      <w:r w:rsidRPr="00041E70">
        <w:fldChar w:fldCharType="end"/>
      </w:r>
      <w:r w:rsidRPr="00041E70">
        <w:tab/>
        <w:t>El TC aprobó la propuesta de modificación del documento TGP/7 para añadir nuevo texto estándar al capítulo 4.2 “Homogeneidad” de la plantilla de los documentos TG, y de modificación del ASW 8 c) para proporcionar orientaciones sobre las directrices de examen que se redactan a partir de variedades con un determinado tipo de multiplicación o reproducción aun cuando es posible que en el futuro se obtengan variedades con otros tipos de multiplicación o reproducción, según se expone a continuación:</w:t>
      </w:r>
    </w:p>
    <w:p w:rsidR="00B7224D" w:rsidRPr="00041E70" w:rsidRDefault="00B7224D" w:rsidP="00B7224D"/>
    <w:p w:rsidR="00B7224D" w:rsidRPr="00041E70" w:rsidRDefault="00B7224D" w:rsidP="00B7224D">
      <w:pPr>
        <w:ind w:left="567"/>
        <w:rPr>
          <w:sz w:val="18"/>
          <w:szCs w:val="18"/>
        </w:rPr>
      </w:pPr>
      <w:bookmarkStart w:id="14" w:name="_Toc410382487"/>
      <w:r w:rsidRPr="00041E70">
        <w:rPr>
          <w:sz w:val="18"/>
          <w:szCs w:val="18"/>
        </w:rPr>
        <w:t>Nuevo texto estándar</w:t>
      </w:r>
      <w:proofErr w:type="gramStart"/>
      <w:r w:rsidRPr="00041E70">
        <w:rPr>
          <w:sz w:val="18"/>
          <w:szCs w:val="18"/>
        </w:rPr>
        <w:t xml:space="preserve">:  </w:t>
      </w:r>
      <w:bookmarkEnd w:id="14"/>
      <w:r w:rsidRPr="00041E70">
        <w:rPr>
          <w:sz w:val="18"/>
          <w:szCs w:val="18"/>
        </w:rPr>
        <w:t>Plantilla</w:t>
      </w:r>
      <w:proofErr w:type="gramEnd"/>
      <w:r w:rsidRPr="00041E70">
        <w:rPr>
          <w:sz w:val="18"/>
          <w:szCs w:val="18"/>
        </w:rPr>
        <w:t xml:space="preserve"> de los documentos TG, capítulo 4.2:</w:t>
      </w:r>
    </w:p>
    <w:p w:rsidR="00B7224D" w:rsidRPr="00041E70" w:rsidRDefault="00B7224D" w:rsidP="00B7224D"/>
    <w:p w:rsidR="00B7224D" w:rsidRPr="00041E70" w:rsidRDefault="00B7224D" w:rsidP="00B7224D">
      <w:pPr>
        <w:autoSpaceDE w:val="0"/>
        <w:autoSpaceDN w:val="0"/>
        <w:adjustRightInd w:val="0"/>
        <w:ind w:left="1134" w:right="567"/>
        <w:rPr>
          <w:sz w:val="16"/>
        </w:rPr>
      </w:pPr>
      <w:r w:rsidRPr="00041E70">
        <w:rPr>
          <w:sz w:val="16"/>
        </w:rPr>
        <w:t>“Las presentes directrices de examen se aplican a variedades [</w:t>
      </w:r>
      <w:r w:rsidRPr="00041E70">
        <w:rPr>
          <w:i/>
          <w:sz w:val="16"/>
        </w:rPr>
        <w:t>tipo o tipos de reproducción o multiplicación</w:t>
      </w:r>
      <w:r w:rsidRPr="00041E70">
        <w:rPr>
          <w:sz w:val="16"/>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p w:rsidR="00B7224D" w:rsidRPr="00041E70" w:rsidRDefault="00B7224D" w:rsidP="00B7224D"/>
    <w:p w:rsidR="00B7224D" w:rsidRPr="00041E70" w:rsidRDefault="00B7224D" w:rsidP="00B7224D">
      <w:pPr>
        <w:ind w:left="567"/>
        <w:rPr>
          <w:sz w:val="18"/>
          <w:szCs w:val="18"/>
        </w:rPr>
      </w:pPr>
      <w:bookmarkStart w:id="15" w:name="_Toc410382488"/>
      <w:r w:rsidRPr="00041E70">
        <w:rPr>
          <w:sz w:val="18"/>
          <w:szCs w:val="18"/>
        </w:rPr>
        <w:t>ASW 8 c)</w:t>
      </w:r>
      <w:bookmarkEnd w:id="15"/>
    </w:p>
    <w:p w:rsidR="00B7224D" w:rsidRPr="00041E70" w:rsidRDefault="00B7224D" w:rsidP="00B7224D"/>
    <w:p w:rsidR="00B7224D" w:rsidRPr="00041E70" w:rsidRDefault="00B7224D" w:rsidP="00B7224D">
      <w:pPr>
        <w:autoSpaceDE w:val="0"/>
        <w:autoSpaceDN w:val="0"/>
        <w:adjustRightInd w:val="0"/>
        <w:ind w:left="1134" w:right="567"/>
        <w:rPr>
          <w:i/>
          <w:iCs/>
          <w:sz w:val="16"/>
        </w:rPr>
      </w:pPr>
      <w:r w:rsidRPr="00041E70">
        <w:rPr>
          <w:i/>
          <w:iCs/>
          <w:sz w:val="16"/>
        </w:rPr>
        <w:t>“c)</w:t>
      </w:r>
      <w:r w:rsidRPr="00041E70">
        <w:rPr>
          <w:i/>
          <w:iCs/>
          <w:sz w:val="16"/>
        </w:rPr>
        <w:tab/>
        <w:t xml:space="preserve">Evaluación de la homogeneidad mediante plantas fuera de tipo (todos los caracteres observados en el mismo tamaño de muestra) </w:t>
      </w:r>
    </w:p>
    <w:p w:rsidR="00B7224D" w:rsidRPr="00041E70" w:rsidRDefault="00B7224D" w:rsidP="00B7224D">
      <w:pPr>
        <w:autoSpaceDE w:val="0"/>
        <w:autoSpaceDN w:val="0"/>
        <w:adjustRightInd w:val="0"/>
        <w:ind w:left="1134" w:right="567"/>
        <w:rPr>
          <w:i/>
          <w:iCs/>
          <w:sz w:val="16"/>
        </w:rPr>
      </w:pPr>
    </w:p>
    <w:p w:rsidR="00B7224D" w:rsidRPr="00041E70" w:rsidRDefault="00B7224D" w:rsidP="00B7224D">
      <w:pPr>
        <w:autoSpaceDE w:val="0"/>
        <w:autoSpaceDN w:val="0"/>
        <w:adjustRightInd w:val="0"/>
        <w:ind w:left="1134" w:right="567"/>
        <w:rPr>
          <w:sz w:val="16"/>
        </w:rPr>
      </w:pPr>
      <w:r w:rsidRPr="00041E70">
        <w:rPr>
          <w:sz w:val="16"/>
        </w:rPr>
        <w:t>Para la evaluación de la homogeneidad de las variedades [</w:t>
      </w:r>
      <w:proofErr w:type="spellStart"/>
      <w:r w:rsidRPr="00041E70">
        <w:rPr>
          <w:sz w:val="16"/>
        </w:rPr>
        <w:t>autógamas</w:t>
      </w:r>
      <w:proofErr w:type="spellEnd"/>
      <w:r w:rsidRPr="00041E70">
        <w:rPr>
          <w:sz w:val="16"/>
        </w:rPr>
        <w:t xml:space="preserve">] [de multiplicación vegetativa] [propagadas mediante semillas], deberá aplicarse una población estándar del </w:t>
      </w:r>
      <w:proofErr w:type="gramStart"/>
      <w:r w:rsidRPr="00041E70">
        <w:rPr>
          <w:sz w:val="16"/>
        </w:rPr>
        <w:t>{ x</w:t>
      </w:r>
      <w:proofErr w:type="gramEnd"/>
      <w:r w:rsidRPr="00041E70">
        <w:rPr>
          <w:sz w:val="16"/>
        </w:rPr>
        <w:t xml:space="preserve"> }% y una probabilidad de aceptación del { y }%, como mínimo.  En el caso de un tamaño de muestra de </w:t>
      </w:r>
      <w:proofErr w:type="gramStart"/>
      <w:r w:rsidRPr="00041E70">
        <w:rPr>
          <w:sz w:val="16"/>
        </w:rPr>
        <w:t>{ a</w:t>
      </w:r>
      <w:proofErr w:type="gramEnd"/>
      <w:r w:rsidRPr="00041E70">
        <w:rPr>
          <w:sz w:val="16"/>
        </w:rPr>
        <w:t> } plantas, se permitirán [{ b } plantas fuera de tipo] / [una planta fuera de tipo].”</w:t>
      </w:r>
    </w:p>
    <w:p w:rsidR="00B7224D" w:rsidRPr="00041E70" w:rsidRDefault="00B7224D" w:rsidP="00B7224D"/>
    <w:p w:rsidR="00B7224D" w:rsidRPr="00041E70" w:rsidRDefault="00B7224D" w:rsidP="00B7224D"/>
    <w:p w:rsidR="00B7224D" w:rsidRPr="00041E70" w:rsidRDefault="00B7224D" w:rsidP="005F33AB">
      <w:pPr>
        <w:pStyle w:val="Heading4"/>
        <w:rPr>
          <w:lang w:val="es-ES_tradnl"/>
        </w:rPr>
      </w:pPr>
      <w:r w:rsidRPr="00041E70">
        <w:rPr>
          <w:lang w:val="es-ES_tradnl"/>
        </w:rPr>
        <w:t>TGP/8 “Diseño de ensayos y técnicas utilizadas en el examen de la distinción, la homogeneidad y la estabilidad”</w:t>
      </w:r>
    </w:p>
    <w:p w:rsidR="00B7224D" w:rsidRPr="00041E70" w:rsidRDefault="00B7224D" w:rsidP="005F33AB">
      <w:pPr>
        <w:keepNext/>
      </w:pPr>
    </w:p>
    <w:p w:rsidR="00B7224D" w:rsidRPr="00041E70" w:rsidRDefault="00B7224D" w:rsidP="005F33AB">
      <w:pPr>
        <w:keepNext/>
        <w:ind w:left="1134" w:hanging="567"/>
        <w:outlineLvl w:val="4"/>
        <w:rPr>
          <w:rFonts w:cs="Arial"/>
          <w:snapToGrid w:val="0"/>
        </w:rPr>
      </w:pPr>
      <w:bookmarkStart w:id="16" w:name="_Toc412193726"/>
      <w:bookmarkStart w:id="17" w:name="_Toc374385130"/>
      <w:bookmarkStart w:id="18" w:name="_Toc374631068"/>
      <w:bookmarkStart w:id="19" w:name="_Toc374632540"/>
      <w:bookmarkStart w:id="20" w:name="_Toc374635740"/>
      <w:bookmarkStart w:id="21" w:name="_Toc378251530"/>
      <w:bookmarkStart w:id="22" w:name="_Toc381279991"/>
      <w:r w:rsidRPr="00041E70">
        <w:rPr>
          <w:rFonts w:cs="Arial"/>
          <w:snapToGrid w:val="0"/>
        </w:rPr>
        <w:t>i)</w:t>
      </w:r>
      <w:r w:rsidRPr="00041E70">
        <w:rPr>
          <w:rFonts w:cs="Arial"/>
          <w:snapToGrid w:val="0"/>
        </w:rPr>
        <w:tab/>
      </w:r>
      <w:bookmarkEnd w:id="16"/>
      <w:r w:rsidRPr="00041E70">
        <w:rPr>
          <w:rFonts w:cs="Arial"/>
          <w:snapToGrid w:val="0"/>
        </w:rPr>
        <w:t>Revisión del documento TGP/8</w:t>
      </w:r>
      <w:proofErr w:type="gramStart"/>
      <w:r w:rsidRPr="00041E70">
        <w:rPr>
          <w:rFonts w:cs="Arial"/>
          <w:snapToGrid w:val="0"/>
        </w:rPr>
        <w:t>:  Parte</w:t>
      </w:r>
      <w:proofErr w:type="gramEnd"/>
      <w:r w:rsidRPr="00041E70">
        <w:rPr>
          <w:rFonts w:cs="Arial"/>
          <w:snapToGrid w:val="0"/>
        </w:rPr>
        <w:t> I:  Diseño de los ensayos DHE y análisis de datos, nueva sección:  minimizar la variación resultante de la ejecución de los ensayos por distintos observadores</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examinó el documento TC/51/16 y el proyecto de orientación, para su inclusión en el documento TGP/8, sobre la manera de minimizar la variación resultante de la ejecución de los ensayos por distintos observadores, que se reproduce en el Anexo del documento TC/51/16, junto con las observaciones formuladas por los TWP en sus sesiones de 2014.</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solicitar al experto de Australia que siga elaborando el documento que se presentará a los TWP en sus sesiones de 2015 y que modifique el título de modo que coincida con el que se utiliza en el Anexo del documento TC/51/16 “Minimizar la variación resultante de la ejecución de los ensayos por distintos observadores”.</w:t>
      </w:r>
    </w:p>
    <w:p w:rsidR="00B7224D" w:rsidRPr="00041E70" w:rsidRDefault="00B7224D" w:rsidP="00B7224D"/>
    <w:p w:rsidR="00B7224D" w:rsidRPr="00041E70" w:rsidRDefault="00B7224D" w:rsidP="005F33AB">
      <w:pPr>
        <w:keepNext/>
        <w:ind w:left="1134" w:hanging="567"/>
        <w:outlineLvl w:val="4"/>
        <w:rPr>
          <w:rFonts w:cs="Arial"/>
          <w:snapToGrid w:val="0"/>
        </w:rPr>
      </w:pPr>
      <w:r w:rsidRPr="00041E70">
        <w:rPr>
          <w:rFonts w:cs="Arial"/>
          <w:snapToGrid w:val="0"/>
        </w:rPr>
        <w:t>ii)</w:t>
      </w:r>
      <w:r w:rsidRPr="00041E70">
        <w:rPr>
          <w:rFonts w:cs="Arial"/>
          <w:snapToGrid w:val="0"/>
        </w:rPr>
        <w:tab/>
        <w:t>Revisión del documento TGP/8</w:t>
      </w:r>
      <w:proofErr w:type="gramStart"/>
      <w:r w:rsidRPr="00041E70">
        <w:rPr>
          <w:rFonts w:cs="Arial"/>
          <w:snapToGrid w:val="0"/>
        </w:rPr>
        <w:t>:  Parte</w:t>
      </w:r>
      <w:proofErr w:type="gramEnd"/>
      <w:r w:rsidRPr="00041E70">
        <w:rPr>
          <w:rFonts w:cs="Arial"/>
          <w:snapToGrid w:val="0"/>
        </w:rPr>
        <w:t> II:  Técnicas utilizadas en el examen DHE, Sección 9:  el criterio combinado interanual de homogeneidad (COYU)</w:t>
      </w:r>
    </w:p>
    <w:p w:rsidR="00B7224D" w:rsidRPr="00041E70" w:rsidRDefault="00B7224D" w:rsidP="00B7224D">
      <w:pPr>
        <w:keepNext/>
      </w:pPr>
    </w:p>
    <w:p w:rsidR="00B7224D" w:rsidRPr="00041E70" w:rsidRDefault="00B7224D" w:rsidP="00B7224D">
      <w:pPr>
        <w:keepNext/>
      </w:pPr>
      <w:r w:rsidRPr="00041E70">
        <w:fldChar w:fldCharType="begin"/>
      </w:r>
      <w:r w:rsidRPr="00041E70">
        <w:instrText xml:space="preserve"> AUTONUM  </w:instrText>
      </w:r>
      <w:r w:rsidRPr="00041E70">
        <w:fldChar w:fldCharType="end"/>
      </w:r>
      <w:r w:rsidRPr="00041E70">
        <w:tab/>
        <w:t>El TC examinó el documento TC/51/17, relativo a las novedades que se han producido en el ámbito del método de cálculo del COYU y a un ejercicio práctico con datos reales para comparar las decisiones tomadas con el método actual y con el método mejorado propuesto.</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los participantes en el ejercicio de prueba del programa informático sobre el nuevo método de cálculo del COYU deben:</w:t>
      </w:r>
    </w:p>
    <w:p w:rsidR="00B7224D" w:rsidRPr="00041E70" w:rsidRDefault="00B7224D" w:rsidP="00B7224D"/>
    <w:p w:rsidR="00B7224D" w:rsidRPr="00041E70" w:rsidRDefault="00B7224D" w:rsidP="00B7224D">
      <w:pPr>
        <w:ind w:left="567"/>
      </w:pPr>
      <w:r w:rsidRPr="00041E70">
        <w:t>i)</w:t>
      </w:r>
      <w:r w:rsidRPr="00041E70">
        <w:tab/>
        <w:t xml:space="preserve">procurar definir los niveles de probabilidad para que las decisiones sean equiparables a las tomadas con el anterior método de cálculo del COYU; </w:t>
      </w:r>
    </w:p>
    <w:p w:rsidR="00B7224D" w:rsidRPr="00041E70" w:rsidRDefault="00B7224D" w:rsidP="00B7224D">
      <w:pPr>
        <w:ind w:left="567"/>
      </w:pPr>
      <w:r w:rsidRPr="00041E70">
        <w:t>ii)</w:t>
      </w:r>
      <w:r w:rsidRPr="00041E70">
        <w:tab/>
        <w:t>ejecutar la prueba con probabilidades de rechazo del 1, 2 y el 5%;  y</w:t>
      </w:r>
    </w:p>
    <w:p w:rsidR="00B7224D" w:rsidRPr="00041E70" w:rsidRDefault="00B7224D" w:rsidP="00B7224D">
      <w:pPr>
        <w:ind w:left="567"/>
      </w:pPr>
      <w:r w:rsidRPr="00041E70">
        <w:t>iii)</w:t>
      </w:r>
      <w:r w:rsidRPr="00041E70">
        <w:tab/>
        <w:t>evaluar si los resultados son coherentes en todos los cultivos.</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el experto del Reino Unido había facilitado el módulo del programa informático para el cálculo del COYU y el documento de orientación a los participantes en el ejercicio.</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tomó nota de que los expertos de Alemania, Finlandia, Francia, </w:t>
      </w:r>
      <w:proofErr w:type="spellStart"/>
      <w:r w:rsidRPr="00041E70">
        <w:t>Kenya</w:t>
      </w:r>
      <w:proofErr w:type="spellEnd"/>
      <w:r w:rsidRPr="00041E70">
        <w:t>, Polonia, la República Checa y el Reino Unido participarán en el ejercicio de prueba del nuevo programa informático para el cálculo del COYU</w:t>
      </w:r>
      <w:r w:rsidRPr="00041E70">
        <w:rPr>
          <w:iCs/>
          <w:spacing w:val="-4"/>
          <w:lang w:eastAsia="ja-JP"/>
        </w:rPr>
        <w:t>.</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en la trigésima tercera sesión del TWC se presentará un informe sobre el ejercicio práctico y la elaboración del módulo DUST</w:t>
      </w:r>
      <w:r w:rsidRPr="00041E70">
        <w:rPr>
          <w:iCs/>
          <w:spacing w:val="-4"/>
          <w:lang w:eastAsia="ja-JP"/>
        </w:rPr>
        <w:t>.</w:t>
      </w:r>
    </w:p>
    <w:p w:rsidR="00B7224D" w:rsidRPr="00041E70" w:rsidRDefault="00B7224D" w:rsidP="00B7224D"/>
    <w:p w:rsidR="00B7224D" w:rsidRPr="00041E70" w:rsidRDefault="00B7224D" w:rsidP="005F33AB">
      <w:pPr>
        <w:keepNext/>
        <w:ind w:left="1134" w:hanging="567"/>
        <w:outlineLvl w:val="4"/>
        <w:rPr>
          <w:rFonts w:cs="Arial"/>
          <w:snapToGrid w:val="0"/>
        </w:rPr>
      </w:pPr>
      <w:bookmarkStart w:id="23" w:name="_Toc374385128"/>
      <w:bookmarkStart w:id="24" w:name="_Toc374631066"/>
      <w:bookmarkStart w:id="25" w:name="_Toc374632538"/>
      <w:bookmarkStart w:id="26" w:name="_Toc374635738"/>
      <w:bookmarkStart w:id="27" w:name="_Toc378251528"/>
      <w:bookmarkStart w:id="28" w:name="_Toc381279989"/>
      <w:r w:rsidRPr="00041E70">
        <w:rPr>
          <w:rFonts w:cs="Arial"/>
          <w:snapToGrid w:val="0"/>
        </w:rPr>
        <w:t>iii)</w:t>
      </w:r>
      <w:r w:rsidRPr="00041E70">
        <w:rPr>
          <w:rFonts w:cs="Arial"/>
          <w:snapToGrid w:val="0"/>
        </w:rPr>
        <w:tab/>
        <w:t>Revisión del documento TGP/8</w:t>
      </w:r>
      <w:proofErr w:type="gramStart"/>
      <w:r w:rsidRPr="00041E70">
        <w:rPr>
          <w:rFonts w:cs="Arial"/>
          <w:snapToGrid w:val="0"/>
        </w:rPr>
        <w:t>:  Parte</w:t>
      </w:r>
      <w:proofErr w:type="gramEnd"/>
      <w:r w:rsidRPr="00041E70">
        <w:rPr>
          <w:rFonts w:cs="Arial"/>
          <w:snapToGrid w:val="0"/>
        </w:rPr>
        <w:t xml:space="preserve"> II:  Técnicas utilizadas en el examen DHE, nueva sección:  Examen DHE de muestras en bloque</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Comité examinó el documento TC/51/18.</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acordó solicitar a los expertos de los Países Bajos que proporcionen información adicional acerca de la medición sistemática del contenido de </w:t>
      </w:r>
      <w:proofErr w:type="spellStart"/>
      <w:r w:rsidRPr="00041E70">
        <w:t>glucorrafanina</w:t>
      </w:r>
      <w:proofErr w:type="spellEnd"/>
      <w:r w:rsidRPr="00041E70">
        <w:t>, según figura en el Anexo del documento TC/51/18.</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convino en que procede ofrecer información adicional relativa al cumplimiento de los requisitos de un carácter DHE en el ejemplo de un carácter examinado a partir de muestras en bloque, según figura en el Anexo del documento TC/51/18.</w:t>
      </w:r>
    </w:p>
    <w:p w:rsidR="00B7224D" w:rsidRPr="00041E70" w:rsidRDefault="00B7224D" w:rsidP="00B7224D"/>
    <w:p w:rsidR="00B7224D" w:rsidRPr="00041E70" w:rsidRDefault="00B7224D" w:rsidP="00B7224D">
      <w:pPr>
        <w:rPr>
          <w:lang w:eastAsia="ja-JP"/>
        </w:rPr>
      </w:pPr>
      <w:r w:rsidRPr="00041E70">
        <w:fldChar w:fldCharType="begin"/>
      </w:r>
      <w:r w:rsidRPr="00041E70">
        <w:instrText xml:space="preserve"> AUTONUM  </w:instrText>
      </w:r>
      <w:r w:rsidRPr="00041E70">
        <w:fldChar w:fldCharType="end"/>
      </w:r>
      <w:r w:rsidRPr="00041E70">
        <w:tab/>
        <w:t>El TC acordó considerar si es necesario analizar plantas individuales para validar los caracteres examinados a partir de muestras en bloque, y la posible repercusión en el costo</w:t>
      </w:r>
      <w:r w:rsidRPr="00041E70">
        <w:rPr>
          <w:lang w:eastAsia="ja-JP"/>
        </w:rPr>
        <w:t xml:space="preserve">, e invitó a los TWP a proponer métodos alternativos para el examen de la homogeneidad.  A ese respecto, se propuso comenzar por revisar la labor previa del TWC en relación con la utilización de </w:t>
      </w:r>
      <w:proofErr w:type="spellStart"/>
      <w:r w:rsidRPr="00041E70">
        <w:rPr>
          <w:lang w:eastAsia="ja-JP"/>
        </w:rPr>
        <w:t>submuestras</w:t>
      </w:r>
      <w:proofErr w:type="spellEnd"/>
      <w:r w:rsidRPr="00041E70">
        <w:rPr>
          <w:lang w:eastAsia="ja-JP"/>
        </w:rPr>
        <w:t>.</w:t>
      </w:r>
    </w:p>
    <w:p w:rsidR="00B7224D" w:rsidRPr="00041E70" w:rsidRDefault="00B7224D" w:rsidP="00B7224D">
      <w:pPr>
        <w:rPr>
          <w:lang w:eastAsia="ja-JP"/>
        </w:rPr>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considerar si los caracteres examinados a partir de muestras en bloque deben analizarse basándose en el número de plantas recomendado en el capítulo 4.1.4 de las directrices de examen.</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convino en que la determinación de los niveles de expresión debe basarse en la variación existente entre variedades y teniendo en cuenta la influencia del medio ambiente.</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acogió con agrado el ofrecimiento de Francia de proporcionar otros ejemplos de caracteres establecidos a partir de muestras en bloque e invitó a los demás miembros a aportar ejemplos.</w:t>
      </w:r>
    </w:p>
    <w:p w:rsidR="00B7224D" w:rsidRPr="00041E70" w:rsidRDefault="00B7224D" w:rsidP="00B7224D"/>
    <w:p w:rsidR="00B7224D" w:rsidRPr="00041E70" w:rsidRDefault="00B7224D" w:rsidP="005F33AB">
      <w:pPr>
        <w:keepNext/>
        <w:ind w:left="1134" w:hanging="567"/>
        <w:outlineLvl w:val="4"/>
        <w:rPr>
          <w:rFonts w:cs="Arial"/>
          <w:snapToGrid w:val="0"/>
        </w:rPr>
      </w:pPr>
      <w:r w:rsidRPr="00041E70">
        <w:rPr>
          <w:rFonts w:cs="Arial"/>
          <w:snapToGrid w:val="0"/>
        </w:rPr>
        <w:t>iv)</w:t>
      </w:r>
      <w:r w:rsidRPr="00041E70">
        <w:rPr>
          <w:rFonts w:cs="Arial"/>
          <w:snapToGrid w:val="0"/>
        </w:rPr>
        <w:tab/>
        <w:t>Revisión del documento TGP/8</w:t>
      </w:r>
      <w:proofErr w:type="gramStart"/>
      <w:r w:rsidRPr="00041E70">
        <w:rPr>
          <w:rFonts w:cs="Arial"/>
          <w:snapToGrid w:val="0"/>
        </w:rPr>
        <w:t>:  Parte</w:t>
      </w:r>
      <w:proofErr w:type="gramEnd"/>
      <w:r w:rsidRPr="00041E70">
        <w:rPr>
          <w:rFonts w:cs="Arial"/>
          <w:snapToGrid w:val="0"/>
        </w:rPr>
        <w:t xml:space="preserve"> II:  Técnicas utilizadas en el examen DHE, nueva sección:  Tratamiento de datos para la evaluación de la distinción y la elaboración de descripciones de variedades</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 información presentada en el documento TC/51/19.</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acogió con agrado la propuesta formulada por el TWC, presentada en el párrafo 32 del documento TC/51/19, de comparar los resultados del ejercicio práctico presentados por los diferentes participantes a fin de determinar las diferencias en los resultados obtenidos para entender mejor los distintos métodos, con el propósito de que el TWC la examine en su trigésima tercera sesión que se celebrará en Natal (Brasil).</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La Unión Europea informó de la cancelación del proyecto de “</w:t>
      </w:r>
      <w:r w:rsidRPr="00041E70">
        <w:rPr>
          <w:i/>
        </w:rPr>
        <w:t>ring test</w:t>
      </w:r>
      <w:r w:rsidRPr="00041E70">
        <w:t xml:space="preserve">” en el manzano para gestionar la descripción de variedades, que se iba a iniciar en 2015, debido al elevado costo que conlleva. </w:t>
      </w:r>
    </w:p>
    <w:p w:rsidR="00B7224D" w:rsidRPr="00041E70" w:rsidRDefault="00B7224D" w:rsidP="00B7224D"/>
    <w:p w:rsidR="00B7224D" w:rsidRPr="00041E70" w:rsidRDefault="00B7224D" w:rsidP="005F33AB">
      <w:pPr>
        <w:keepNext/>
        <w:ind w:left="1134" w:hanging="567"/>
        <w:outlineLvl w:val="4"/>
        <w:rPr>
          <w:rFonts w:cs="Arial"/>
          <w:snapToGrid w:val="0"/>
        </w:rPr>
      </w:pPr>
      <w:r w:rsidRPr="00041E70">
        <w:rPr>
          <w:rFonts w:cs="Arial"/>
          <w:snapToGrid w:val="0"/>
        </w:rPr>
        <w:t>v)</w:t>
      </w:r>
      <w:r w:rsidRPr="00041E70">
        <w:rPr>
          <w:rFonts w:cs="Arial"/>
          <w:snapToGrid w:val="0"/>
        </w:rPr>
        <w:tab/>
        <w:t>Revisión del documento TGP/8</w:t>
      </w:r>
      <w:proofErr w:type="gramStart"/>
      <w:r w:rsidRPr="00041E70">
        <w:rPr>
          <w:rFonts w:cs="Arial"/>
          <w:snapToGrid w:val="0"/>
        </w:rPr>
        <w:t>:  Parte</w:t>
      </w:r>
      <w:proofErr w:type="gramEnd"/>
      <w:r w:rsidRPr="00041E70">
        <w:rPr>
          <w:rFonts w:cs="Arial"/>
          <w:snapToGrid w:val="0"/>
        </w:rPr>
        <w:t xml:space="preserve"> II:  Técnicas utilizadas en el examen DHE, nueva sección:  Orientación sobre el análisis de datos de ensayos aleatorios “a ciegas”</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Comité examinó el documento TC/51/20. </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los ensayos aleatorios “a ciegas” no se utilizan habitualmente y convino en que las orientaciones que figuran actualmente en el documento TGP/8</w:t>
      </w:r>
      <w:proofErr w:type="gramStart"/>
      <w:r w:rsidRPr="00041E70">
        <w:t>:  Parte</w:t>
      </w:r>
      <w:proofErr w:type="gramEnd"/>
      <w:r w:rsidRPr="00041E70">
        <w:t> I:  Diseño de los ensayos DHE y análisis de datos” y en el documento TGP/9 “Examen de la distinción” son suficientes para abordar la cuestión.</w:t>
      </w:r>
    </w:p>
    <w:p w:rsidR="00B7224D" w:rsidRPr="00041E70" w:rsidRDefault="00B7224D" w:rsidP="00B7224D"/>
    <w:bookmarkEnd w:id="23"/>
    <w:bookmarkEnd w:id="24"/>
    <w:bookmarkEnd w:id="25"/>
    <w:bookmarkEnd w:id="26"/>
    <w:bookmarkEnd w:id="27"/>
    <w:bookmarkEnd w:id="28"/>
    <w:p w:rsidR="00B7224D" w:rsidRPr="00041E70" w:rsidRDefault="00B7224D" w:rsidP="005F33AB">
      <w:pPr>
        <w:keepNext/>
        <w:ind w:left="1134" w:hanging="567"/>
        <w:outlineLvl w:val="4"/>
        <w:rPr>
          <w:rFonts w:cs="Arial"/>
          <w:snapToGrid w:val="0"/>
        </w:rPr>
      </w:pPr>
      <w:proofErr w:type="gramStart"/>
      <w:r w:rsidRPr="00041E70">
        <w:rPr>
          <w:rFonts w:cs="Arial"/>
          <w:snapToGrid w:val="0"/>
        </w:rPr>
        <w:t>vi</w:t>
      </w:r>
      <w:proofErr w:type="gramEnd"/>
      <w:r w:rsidRPr="00041E70">
        <w:rPr>
          <w:rFonts w:cs="Arial"/>
          <w:snapToGrid w:val="0"/>
        </w:rPr>
        <w:t>)</w:t>
      </w:r>
      <w:r w:rsidRPr="00041E70">
        <w:rPr>
          <w:rFonts w:cs="Arial"/>
          <w:snapToGrid w:val="0"/>
        </w:rPr>
        <w:tab/>
        <w:t xml:space="preserve">Revisión del documento TGP/8:  Parte II:  Técnicas utilizadas en el examen DHE, nueva sección:  Examen de caracteres mediante el análisis de imagen </w:t>
      </w:r>
    </w:p>
    <w:p w:rsidR="00B7224D" w:rsidRPr="00041E70" w:rsidRDefault="00B7224D" w:rsidP="00B7224D">
      <w:pPr>
        <w:keepNext/>
      </w:pPr>
    </w:p>
    <w:p w:rsidR="00B7224D" w:rsidRPr="00041E70" w:rsidRDefault="00B7224D" w:rsidP="00B7224D">
      <w:pPr>
        <w:rPr>
          <w:iCs/>
          <w:spacing w:val="-4"/>
          <w:lang w:eastAsia="ja-JP"/>
        </w:rPr>
      </w:pPr>
      <w:r w:rsidRPr="00041E70">
        <w:fldChar w:fldCharType="begin"/>
      </w:r>
      <w:r w:rsidRPr="00041E70">
        <w:instrText xml:space="preserve"> AUTONUM  </w:instrText>
      </w:r>
      <w:r w:rsidRPr="00041E70">
        <w:fldChar w:fldCharType="end"/>
      </w:r>
      <w:r w:rsidRPr="00041E70">
        <w:tab/>
      </w:r>
      <w:r w:rsidRPr="00041E70">
        <w:rPr>
          <w:iCs/>
          <w:spacing w:val="-4"/>
        </w:rPr>
        <w:t xml:space="preserve">El TC examinó el documento TC/51/21 y el proyecto de orientación propuesto sobre el “Examen de caracteres mediante el análisis de imagen”, que se presenta en el Anexo </w:t>
      </w:r>
      <w:r w:rsidRPr="00041E70">
        <w:rPr>
          <w:iCs/>
          <w:spacing w:val="-4"/>
          <w:lang w:eastAsia="ja-JP"/>
        </w:rPr>
        <w:t xml:space="preserve">del </w:t>
      </w:r>
      <w:r w:rsidRPr="00041E70">
        <w:t>documento TC/51/21</w:t>
      </w:r>
      <w:r w:rsidRPr="00041E70">
        <w:rPr>
          <w:iCs/>
          <w:spacing w:val="-4"/>
        </w:rPr>
        <w:t>, junto con los comentarios efectuados por el TC-EDC en su reunión de</w:t>
      </w:r>
      <w:r w:rsidRPr="00041E70">
        <w:rPr>
          <w:lang w:eastAsia="ja-JP"/>
        </w:rPr>
        <w:t xml:space="preserve"> 2015, </w:t>
      </w:r>
      <w:r w:rsidRPr="00041E70">
        <w:rPr>
          <w:iCs/>
          <w:spacing w:val="-4"/>
          <w:lang w:eastAsia="ja-JP"/>
        </w:rPr>
        <w:t xml:space="preserve">que se indican en el párrafo 16 del </w:t>
      </w:r>
      <w:r w:rsidRPr="00041E70">
        <w:t>documento TC/51/21</w:t>
      </w:r>
      <w:r w:rsidRPr="00041E70">
        <w:rPr>
          <w:iCs/>
          <w:spacing w:val="-4"/>
          <w:lang w:eastAsia="ja-JP"/>
        </w:rPr>
        <w:t>.</w:t>
      </w:r>
    </w:p>
    <w:p w:rsidR="00B7224D" w:rsidRPr="00041E70" w:rsidRDefault="00B7224D" w:rsidP="00B7224D">
      <w:pPr>
        <w:rPr>
          <w:iCs/>
          <w:spacing w:val="-4"/>
          <w:lang w:eastAsia="ja-JP"/>
        </w:rPr>
      </w:pPr>
    </w:p>
    <w:p w:rsidR="00B7224D" w:rsidRPr="00041E70" w:rsidRDefault="00B7224D" w:rsidP="00B7224D">
      <w:pPr>
        <w:rPr>
          <w:iCs/>
          <w:spacing w:val="-4"/>
          <w:lang w:eastAsia="ja-JP"/>
        </w:rPr>
      </w:pPr>
      <w:r w:rsidRPr="00041E70">
        <w:rPr>
          <w:iCs/>
          <w:spacing w:val="-4"/>
          <w:lang w:eastAsia="ja-JP"/>
        </w:rPr>
        <w:fldChar w:fldCharType="begin"/>
      </w:r>
      <w:r w:rsidRPr="00041E70">
        <w:rPr>
          <w:iCs/>
          <w:spacing w:val="-4"/>
          <w:lang w:eastAsia="ja-JP"/>
        </w:rPr>
        <w:instrText xml:space="preserve"> AUTONUM  </w:instrText>
      </w:r>
      <w:r w:rsidRPr="00041E70">
        <w:rPr>
          <w:iCs/>
          <w:spacing w:val="-4"/>
          <w:lang w:eastAsia="ja-JP"/>
        </w:rPr>
        <w:fldChar w:fldCharType="end"/>
      </w:r>
      <w:r w:rsidRPr="00041E70">
        <w:rPr>
          <w:iCs/>
          <w:spacing w:val="-4"/>
          <w:lang w:eastAsia="ja-JP"/>
        </w:rPr>
        <w:tab/>
        <w:t xml:space="preserve">El TC aceptó la orientación propuesta </w:t>
      </w:r>
      <w:r w:rsidRPr="00041E70">
        <w:t>sobre el “</w:t>
      </w:r>
      <w:r w:rsidRPr="00041E70">
        <w:rPr>
          <w:iCs/>
          <w:spacing w:val="-4"/>
        </w:rPr>
        <w:t>Examen de caracteres mediante el análisis de imagen</w:t>
      </w:r>
      <w:r w:rsidRPr="00041E70">
        <w:t>”, siempre y cuando se introduzcan las modificaciones siguientes:</w:t>
      </w:r>
      <w:r w:rsidRPr="00041E70">
        <w:rPr>
          <w:iCs/>
          <w:spacing w:val="-4"/>
          <w:lang w:eastAsia="ja-JP"/>
        </w:rPr>
        <w:t xml:space="preserve"> </w:t>
      </w:r>
    </w:p>
    <w:p w:rsidR="00B7224D" w:rsidRPr="00041E70" w:rsidRDefault="00B7224D" w:rsidP="00B7224D">
      <w:pPr>
        <w:rPr>
          <w:iCs/>
          <w:spacing w:val="-4"/>
          <w:lang w:eastAsia="ja-JP"/>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B7224D" w:rsidRPr="00041E70" w:rsidTr="00B7224D">
        <w:tc>
          <w:tcPr>
            <w:tcW w:w="2122" w:type="dxa"/>
          </w:tcPr>
          <w:p w:rsidR="00B7224D" w:rsidRPr="00041E70" w:rsidRDefault="00B7224D" w:rsidP="00B7224D">
            <w:pPr>
              <w:keepNext/>
              <w:jc w:val="left"/>
              <w:rPr>
                <w:rFonts w:cs="Arial"/>
              </w:rPr>
            </w:pPr>
            <w:r w:rsidRPr="00041E70">
              <w:rPr>
                <w:rFonts w:cs="Arial"/>
              </w:rPr>
              <w:t>Párrafo 5 del Anexo</w:t>
            </w:r>
          </w:p>
        </w:tc>
        <w:tc>
          <w:tcPr>
            <w:tcW w:w="7659" w:type="dxa"/>
          </w:tcPr>
          <w:p w:rsidR="00B7224D" w:rsidRPr="00041E70" w:rsidRDefault="00B7224D" w:rsidP="00B7224D">
            <w:pPr>
              <w:keepNext/>
              <w:rPr>
                <w:rFonts w:cs="Arial"/>
              </w:rPr>
            </w:pPr>
            <w:r w:rsidRPr="00041E70">
              <w:rPr>
                <w:rFonts w:cs="Arial"/>
              </w:rPr>
              <w:t>añadir “en los casos en que el análisis de imagen sea automático” al final de la primera frase</w:t>
            </w:r>
          </w:p>
        </w:tc>
      </w:tr>
      <w:tr w:rsidR="00B7224D" w:rsidRPr="00041E70" w:rsidTr="00B7224D">
        <w:tc>
          <w:tcPr>
            <w:tcW w:w="2122" w:type="dxa"/>
          </w:tcPr>
          <w:p w:rsidR="00B7224D" w:rsidRPr="00041E70" w:rsidRDefault="00B7224D" w:rsidP="00B7224D">
            <w:pPr>
              <w:keepNext/>
              <w:jc w:val="left"/>
              <w:rPr>
                <w:rFonts w:cs="Arial"/>
              </w:rPr>
            </w:pPr>
            <w:r w:rsidRPr="00041E70">
              <w:rPr>
                <w:rFonts w:cs="Arial"/>
              </w:rPr>
              <w:t>Párrafo 14 del Anexo</w:t>
            </w:r>
          </w:p>
        </w:tc>
        <w:tc>
          <w:tcPr>
            <w:tcW w:w="7659" w:type="dxa"/>
          </w:tcPr>
          <w:p w:rsidR="00B7224D" w:rsidRPr="00041E70" w:rsidRDefault="00B7224D" w:rsidP="00B7224D">
            <w:pPr>
              <w:keepNext/>
              <w:rPr>
                <w:rFonts w:cs="Arial"/>
              </w:rPr>
            </w:pPr>
            <w:r w:rsidRPr="00041E70">
              <w:rPr>
                <w:rFonts w:cs="Arial"/>
              </w:rPr>
              <w:t>eliminar el título anterior al párrafo</w:t>
            </w:r>
          </w:p>
        </w:tc>
      </w:tr>
      <w:tr w:rsidR="00B7224D" w:rsidRPr="00041E70" w:rsidTr="00B7224D">
        <w:tc>
          <w:tcPr>
            <w:tcW w:w="2122" w:type="dxa"/>
          </w:tcPr>
          <w:p w:rsidR="00B7224D" w:rsidRPr="00041E70" w:rsidRDefault="00B7224D" w:rsidP="00B7224D">
            <w:pPr>
              <w:jc w:val="left"/>
              <w:rPr>
                <w:rFonts w:cs="Arial"/>
              </w:rPr>
            </w:pPr>
            <w:r w:rsidRPr="00041E70">
              <w:rPr>
                <w:rFonts w:cs="Arial"/>
              </w:rPr>
              <w:t>Párrafo 18 del Anexo</w:t>
            </w:r>
          </w:p>
        </w:tc>
        <w:tc>
          <w:tcPr>
            <w:tcW w:w="7659" w:type="dxa"/>
          </w:tcPr>
          <w:p w:rsidR="00B7224D" w:rsidRPr="00041E70" w:rsidRDefault="00B7224D" w:rsidP="00B7224D">
            <w:pPr>
              <w:keepNext/>
              <w:rPr>
                <w:rFonts w:cs="Arial"/>
              </w:rPr>
            </w:pPr>
            <w:r w:rsidRPr="00041E70">
              <w:rPr>
                <w:rFonts w:cs="Arial"/>
              </w:rPr>
              <w:t>corríjase la ortografía de:  “</w:t>
            </w:r>
            <w:r w:rsidRPr="00041E70">
              <w:rPr>
                <w:rFonts w:cs="Arial"/>
                <w:i/>
              </w:rPr>
              <w:t xml:space="preserve">RHS </w:t>
            </w:r>
            <w:proofErr w:type="spellStart"/>
            <w:r w:rsidRPr="00041E70">
              <w:rPr>
                <w:rFonts w:cs="Arial"/>
                <w:i/>
                <w:u w:val="single"/>
              </w:rPr>
              <w:t>colour</w:t>
            </w:r>
            <w:proofErr w:type="spellEnd"/>
            <w:r w:rsidRPr="00041E70">
              <w:rPr>
                <w:rFonts w:cs="Arial"/>
                <w:i/>
              </w:rPr>
              <w:t xml:space="preserve"> Chart</w:t>
            </w:r>
            <w:r w:rsidRPr="00041E70">
              <w:rPr>
                <w:rFonts w:cs="Arial"/>
              </w:rPr>
              <w:t>” (en la versión inglesa)</w:t>
            </w:r>
          </w:p>
        </w:tc>
      </w:tr>
      <w:tr w:rsidR="00B7224D" w:rsidRPr="00041E70" w:rsidTr="00B7224D">
        <w:tc>
          <w:tcPr>
            <w:tcW w:w="2122" w:type="dxa"/>
          </w:tcPr>
          <w:p w:rsidR="00B7224D" w:rsidRPr="00041E70" w:rsidRDefault="00B7224D" w:rsidP="00B7224D">
            <w:pPr>
              <w:jc w:val="left"/>
              <w:rPr>
                <w:rFonts w:cs="Arial"/>
              </w:rPr>
            </w:pPr>
            <w:r w:rsidRPr="00041E70">
              <w:rPr>
                <w:rFonts w:cs="Arial"/>
              </w:rPr>
              <w:t>Párrafo 19 del Anexo</w:t>
            </w:r>
          </w:p>
        </w:tc>
        <w:tc>
          <w:tcPr>
            <w:tcW w:w="7659" w:type="dxa"/>
          </w:tcPr>
          <w:p w:rsidR="00B7224D" w:rsidRPr="00041E70" w:rsidRDefault="00B7224D" w:rsidP="00B7224D">
            <w:pPr>
              <w:keepNext/>
              <w:rPr>
                <w:rFonts w:cs="Arial"/>
              </w:rPr>
            </w:pPr>
            <w:r w:rsidRPr="00041E70">
              <w:rPr>
                <w:rFonts w:cs="Arial"/>
              </w:rPr>
              <w:t>suprimirlo</w:t>
            </w:r>
          </w:p>
        </w:tc>
      </w:tr>
      <w:tr w:rsidR="00B7224D" w:rsidRPr="00041E70" w:rsidTr="00B7224D">
        <w:tc>
          <w:tcPr>
            <w:tcW w:w="2122" w:type="dxa"/>
          </w:tcPr>
          <w:p w:rsidR="00B7224D" w:rsidRPr="00041E70" w:rsidRDefault="00B7224D" w:rsidP="00B7224D">
            <w:pPr>
              <w:jc w:val="left"/>
              <w:rPr>
                <w:rFonts w:cs="Arial"/>
              </w:rPr>
            </w:pPr>
            <w:r w:rsidRPr="00041E70">
              <w:rPr>
                <w:rFonts w:cs="Arial"/>
              </w:rPr>
              <w:t>Párrafo 20 del Anexo</w:t>
            </w:r>
          </w:p>
        </w:tc>
        <w:tc>
          <w:tcPr>
            <w:tcW w:w="7659" w:type="dxa"/>
          </w:tcPr>
          <w:p w:rsidR="00B7224D" w:rsidRPr="00041E70" w:rsidRDefault="00B7224D" w:rsidP="00B7224D">
            <w:pPr>
              <w:pStyle w:val="ListParagraph"/>
              <w:ind w:left="0"/>
              <w:rPr>
                <w:rFonts w:cs="Arial"/>
              </w:rPr>
            </w:pPr>
            <w:r w:rsidRPr="00041E70">
              <w:rPr>
                <w:rFonts w:cs="Arial"/>
              </w:rPr>
              <w:t>sustituir “desarrollado especialmente” por “interno”</w:t>
            </w:r>
          </w:p>
        </w:tc>
      </w:tr>
      <w:tr w:rsidR="00B7224D" w:rsidRPr="00041E70" w:rsidTr="00B7224D">
        <w:tc>
          <w:tcPr>
            <w:tcW w:w="2122" w:type="dxa"/>
          </w:tcPr>
          <w:p w:rsidR="00B7224D" w:rsidRPr="00041E70" w:rsidRDefault="00B7224D" w:rsidP="00B7224D">
            <w:pPr>
              <w:jc w:val="left"/>
              <w:rPr>
                <w:rFonts w:cs="Arial"/>
              </w:rPr>
            </w:pPr>
            <w:r w:rsidRPr="00041E70">
              <w:rPr>
                <w:rFonts w:cs="Arial"/>
              </w:rPr>
              <w:t>Párrafo 22 del Anexo</w:t>
            </w:r>
          </w:p>
        </w:tc>
        <w:tc>
          <w:tcPr>
            <w:tcW w:w="7659" w:type="dxa"/>
          </w:tcPr>
          <w:p w:rsidR="00B7224D" w:rsidRPr="00041E70" w:rsidRDefault="00B7224D" w:rsidP="00B7224D">
            <w:pPr>
              <w:pStyle w:val="ListParagraph"/>
              <w:ind w:left="0"/>
              <w:rPr>
                <w:rFonts w:cs="Arial"/>
              </w:rPr>
            </w:pPr>
            <w:proofErr w:type="gramStart"/>
            <w:r w:rsidRPr="00041E70">
              <w:rPr>
                <w:rFonts w:cs="Arial"/>
              </w:rPr>
              <w:t>el</w:t>
            </w:r>
            <w:proofErr w:type="gramEnd"/>
            <w:r w:rsidRPr="00041E70">
              <w:rPr>
                <w:rFonts w:cs="Arial"/>
              </w:rPr>
              <w:t xml:space="preserve"> texto debe ser “…</w:t>
            </w:r>
            <w:r w:rsidRPr="00041E70">
              <w:t xml:space="preserve">en el futuro será posible utilizarlo para </w:t>
            </w:r>
            <w:r w:rsidRPr="00041E70">
              <w:rPr>
                <w:rFonts w:cs="Arial"/>
              </w:rPr>
              <w:t xml:space="preserve">una variedad más amplia de caracteres </w:t>
            </w:r>
            <w:r w:rsidRPr="00041E70">
              <w:rPr>
                <w:rFonts w:cs="Arial"/>
                <w:u w:val="single"/>
              </w:rPr>
              <w:t>estándar de la UPOV</w:t>
            </w:r>
            <w:r w:rsidRPr="00041E70">
              <w:rPr>
                <w:rFonts w:cs="Arial"/>
              </w:rPr>
              <w:t xml:space="preserve">”. </w:t>
            </w:r>
          </w:p>
        </w:tc>
      </w:tr>
    </w:tbl>
    <w:p w:rsidR="00B7224D" w:rsidRPr="00041E70" w:rsidRDefault="00B7224D" w:rsidP="00B7224D">
      <w:pPr>
        <w:rPr>
          <w:iCs/>
          <w:spacing w:val="-4"/>
          <w:lang w:eastAsia="ja-JP"/>
        </w:rPr>
      </w:pPr>
    </w:p>
    <w:bookmarkEnd w:id="17"/>
    <w:bookmarkEnd w:id="18"/>
    <w:bookmarkEnd w:id="19"/>
    <w:bookmarkEnd w:id="20"/>
    <w:bookmarkEnd w:id="21"/>
    <w:bookmarkEnd w:id="22"/>
    <w:p w:rsidR="00B7224D" w:rsidRPr="00041E70" w:rsidRDefault="00B7224D" w:rsidP="005F33AB">
      <w:pPr>
        <w:keepNext/>
        <w:ind w:left="1134" w:hanging="567"/>
        <w:outlineLvl w:val="4"/>
        <w:rPr>
          <w:rFonts w:cs="Arial"/>
          <w:snapToGrid w:val="0"/>
        </w:rPr>
      </w:pPr>
      <w:r w:rsidRPr="00041E70">
        <w:rPr>
          <w:rFonts w:cs="Arial"/>
          <w:snapToGrid w:val="0"/>
        </w:rPr>
        <w:t>vii)</w:t>
      </w:r>
      <w:r w:rsidRPr="00041E70">
        <w:rPr>
          <w:rFonts w:cs="Arial"/>
          <w:snapToGrid w:val="0"/>
        </w:rPr>
        <w:tab/>
        <w:t>Revisión del documento TGP/8</w:t>
      </w:r>
      <w:proofErr w:type="gramStart"/>
      <w:r w:rsidRPr="00041E70">
        <w:rPr>
          <w:rFonts w:cs="Arial"/>
          <w:snapToGrid w:val="0"/>
        </w:rPr>
        <w:t>:  Parte</w:t>
      </w:r>
      <w:proofErr w:type="gramEnd"/>
      <w:r w:rsidRPr="00041E70">
        <w:rPr>
          <w:rFonts w:cs="Arial"/>
          <w:snapToGrid w:val="0"/>
        </w:rPr>
        <w:t> II:  Técnicas utilizadas en el examen DHE, nueva sección:  Métodos estadísticos aplicados a caracteres observados visualmente</w:t>
      </w:r>
    </w:p>
    <w:p w:rsidR="00B7224D" w:rsidRPr="00041E70" w:rsidRDefault="00B7224D" w:rsidP="00B7224D"/>
    <w:p w:rsidR="00B7224D" w:rsidRPr="00041E70" w:rsidRDefault="00B7224D" w:rsidP="00B7224D">
      <w:pPr>
        <w:rPr>
          <w:rFonts w:cs="Arial"/>
          <w:snapToGrid w:val="0"/>
        </w:rPr>
      </w:pPr>
      <w:r w:rsidRPr="00041E70">
        <w:fldChar w:fldCharType="begin"/>
      </w:r>
      <w:r w:rsidRPr="00041E70">
        <w:instrText xml:space="preserve"> AUTONUM  </w:instrText>
      </w:r>
      <w:r w:rsidRPr="00041E70">
        <w:fldChar w:fldCharType="end"/>
      </w:r>
      <w:r w:rsidRPr="00041E70">
        <w:tab/>
        <w:t>El Comité examinó el documento TC/51/22.</w:t>
      </w:r>
    </w:p>
    <w:p w:rsidR="00B7224D" w:rsidRPr="00041E70" w:rsidRDefault="00B7224D" w:rsidP="00B7224D">
      <w:pPr>
        <w:rPr>
          <w:rFonts w:cs="Arial"/>
          <w:snapToGrid w:val="0"/>
        </w:rPr>
      </w:pPr>
    </w:p>
    <w:p w:rsidR="00B7224D" w:rsidRPr="00041E70" w:rsidRDefault="00B7224D" w:rsidP="00B7224D">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 xml:space="preserve">El TC </w:t>
      </w:r>
      <w:r w:rsidRPr="00041E70">
        <w:rPr>
          <w:lang w:eastAsia="ja-JP"/>
        </w:rPr>
        <w:t>instó a los miembros de la Unión a presentar a los TWP la manera en que tienen previsto emplear el nuevo método estadístico para los caracteres observados visualmente en el examen DHE</w:t>
      </w:r>
      <w:r w:rsidRPr="00041E70">
        <w:rPr>
          <w:rFonts w:cs="Arial"/>
        </w:rPr>
        <w:t>.</w:t>
      </w:r>
    </w:p>
    <w:p w:rsidR="00B7224D" w:rsidRPr="00041E70" w:rsidRDefault="00B7224D" w:rsidP="00B7224D">
      <w:pPr>
        <w:rPr>
          <w:rFonts w:cs="Arial"/>
        </w:rPr>
      </w:pPr>
    </w:p>
    <w:p w:rsidR="00B7224D" w:rsidRPr="00041E70" w:rsidRDefault="00B7224D" w:rsidP="00B7224D">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TC convino en eliminar el documento “Métodos estadísticos aplicados a caracteres observados visualmente” del programa de revisión del documento TGP/8 y examinar la cuestión en un punto diferente del orden del día.</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tomó nota de que se ha invitado a un experto de China a presentar una ponencia, en la próxima sesión del TWC, sobre el análisis de los caracteres observados visualmente con el conjunto de programas informáticos DUST China (DUSTC), empleando el conjunto de datos de </w:t>
      </w:r>
      <w:proofErr w:type="spellStart"/>
      <w:r w:rsidRPr="00041E70">
        <w:t>festuca</w:t>
      </w:r>
      <w:proofErr w:type="spellEnd"/>
      <w:r w:rsidRPr="00041E70">
        <w:t xml:space="preserve"> pratense facilitado por Finlandia.</w:t>
      </w:r>
    </w:p>
    <w:p w:rsidR="00B7224D" w:rsidRPr="00041E70" w:rsidRDefault="00B7224D" w:rsidP="00B7224D"/>
    <w:p w:rsidR="00B7224D" w:rsidRPr="00041E70" w:rsidRDefault="00B7224D" w:rsidP="00B7224D">
      <w:pPr>
        <w:pStyle w:val="Heading4"/>
        <w:rPr>
          <w:lang w:val="es-ES_tradnl"/>
        </w:rPr>
      </w:pPr>
      <w:r w:rsidRPr="00041E70">
        <w:rPr>
          <w:lang w:val="es-ES_tradnl"/>
        </w:rPr>
        <w:t>TGP/10 “Examen de la homogeneidad”</w:t>
      </w:r>
    </w:p>
    <w:p w:rsidR="00B7224D" w:rsidRPr="00041E70" w:rsidRDefault="00B7224D" w:rsidP="00B7224D">
      <w:pPr>
        <w:keepNext/>
        <w:ind w:left="567"/>
        <w:rPr>
          <w:rFonts w:cs="Arial"/>
          <w:snapToGrid w:val="0"/>
        </w:rPr>
      </w:pPr>
    </w:p>
    <w:p w:rsidR="00B7224D" w:rsidRPr="00041E70" w:rsidRDefault="00B7224D" w:rsidP="00B7224D">
      <w:pPr>
        <w:pStyle w:val="Heading4"/>
        <w:rPr>
          <w:lang w:val="es-ES_tradnl"/>
        </w:rPr>
      </w:pPr>
      <w:r w:rsidRPr="00041E70">
        <w:rPr>
          <w:lang w:val="es-ES_tradnl"/>
        </w:rPr>
        <w:t>Revisión del documento TGP/10</w:t>
      </w:r>
      <w:proofErr w:type="gramStart"/>
      <w:r w:rsidRPr="00041E70">
        <w:rPr>
          <w:lang w:val="es-ES_tradnl"/>
        </w:rPr>
        <w:t>:  nueva</w:t>
      </w:r>
      <w:proofErr w:type="gramEnd"/>
      <w:r w:rsidRPr="00041E70">
        <w:rPr>
          <w:lang w:val="es-ES_tradnl"/>
        </w:rPr>
        <w:t xml:space="preserve"> sección:  Evaluación de la homogeneidad de las plantas fuera de tipo mediante la observación de más de una muestra o </w:t>
      </w:r>
      <w:proofErr w:type="spellStart"/>
      <w:r w:rsidRPr="00041E70">
        <w:rPr>
          <w:lang w:val="es-ES_tradnl"/>
        </w:rPr>
        <w:t>submuestras</w:t>
      </w:r>
      <w:proofErr w:type="spellEnd"/>
      <w:r w:rsidRPr="00041E70">
        <w:rPr>
          <w:lang w:val="es-ES_tradnl"/>
        </w:rPr>
        <w:t xml:space="preserve"> </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Comité examinó el documento TC/51/24.</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estuvo de acuerdo con las propuestas formuladas por los TWP en sus sesiones de 2014 y por el TC-EDC en su reunión de enero de 2015 relativas al proyecto de orientación para inclusión en una futura revisión del documento TGP/10, según consta en los Anexos I a IV del documento TC/51/24.</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convino en que se debe modificar el título del documento de modo que rece “Evaluación de la homogeneidad de las plantas fuera de tipo mediante la observación de más de un ciclo de cultivo o mediante la observación de </w:t>
      </w:r>
      <w:proofErr w:type="spellStart"/>
      <w:r w:rsidRPr="00041E70">
        <w:t>submuestras</w:t>
      </w:r>
      <w:proofErr w:type="spellEnd"/>
      <w:r w:rsidRPr="00041E70">
        <w:t>”.</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que se combinen las situaciones A y B, según constan en los Anexos I y II del documento TC/51/24, con una aclaración en la que se indique que podrían desarrollarse dos ciclos de cultivo independientes en un único lugar en diferentes años o en diferentes lugares en el mismo año, según se indica en las secciones 1.2 y 1.3 de la parte I del documento TGP/8.</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acordó invitar a los miembros de la Unión a que presenten a los TWP y al TC información sobre los riesgos, los beneficios, la repercusión en el costo y otros aspectos pertinentes a efectos de su elección del método 1 o 2 cuando evalúen la homogeneidad de las plantas fuera de tipo mediante la observación de más de una muestra o </w:t>
      </w:r>
      <w:proofErr w:type="spellStart"/>
      <w:r w:rsidRPr="00041E70">
        <w:t>submuestra</w:t>
      </w:r>
      <w:proofErr w:type="spellEnd"/>
      <w:r w:rsidRPr="00041E70">
        <w:t>, según consta en los Anexos I y II del documento TC/51/24.</w:t>
      </w:r>
    </w:p>
    <w:p w:rsidR="00B7224D" w:rsidRPr="00041E70" w:rsidRDefault="00B7224D" w:rsidP="00B7224D"/>
    <w:p w:rsidR="00B7224D" w:rsidRPr="00041E70" w:rsidRDefault="00B7224D" w:rsidP="005F33AB">
      <w:r w:rsidRPr="00041E70">
        <w:fldChar w:fldCharType="begin"/>
      </w:r>
      <w:r w:rsidRPr="00041E70">
        <w:instrText xml:space="preserve"> AUTONUM  </w:instrText>
      </w:r>
      <w:r w:rsidRPr="00041E70">
        <w:fldChar w:fldCharType="end"/>
      </w:r>
      <w:r w:rsidRPr="00041E70">
        <w:tab/>
        <w:t>El TC acordó aclarar la posibilidad de rechazar una variedad por falta de homogeneidad tras un único ciclo de cultivo.  Asimismo, acordó revisar el quinto ejemplo a fin de que resulte más realista, dado que una variedad con 10 plantas fuera de tipo en el primer ciclo de cultivo probablemente se rechazaría tras dicho ciclo.</w:t>
      </w:r>
    </w:p>
    <w:p w:rsidR="005F33AB" w:rsidRPr="00041E70" w:rsidRDefault="005F33AB" w:rsidP="005F33AB"/>
    <w:p w:rsidR="00B7224D" w:rsidRPr="00041E70" w:rsidRDefault="00B7224D" w:rsidP="00B7224D">
      <w:pPr>
        <w:pStyle w:val="Heading3"/>
        <w:rPr>
          <w:lang w:val="es-ES_tradnl"/>
        </w:rPr>
      </w:pPr>
      <w:bookmarkStart w:id="29" w:name="_Toc429150760"/>
      <w:r w:rsidRPr="00041E70">
        <w:rPr>
          <w:lang w:val="es-ES_tradnl"/>
        </w:rPr>
        <w:t>Posible futura revisión de documentos TGP</w:t>
      </w:r>
      <w:bookmarkEnd w:id="29"/>
    </w:p>
    <w:p w:rsidR="00B7224D" w:rsidRPr="00041E70" w:rsidRDefault="00B7224D" w:rsidP="00B7224D">
      <w:pPr>
        <w:keepNext/>
        <w:ind w:left="567" w:hanging="567"/>
      </w:pPr>
    </w:p>
    <w:p w:rsidR="00B7224D" w:rsidRPr="00041E70" w:rsidRDefault="00B7224D" w:rsidP="00B7224D">
      <w:pPr>
        <w:pStyle w:val="Heading4"/>
        <w:rPr>
          <w:lang w:val="es-ES_tradnl"/>
        </w:rPr>
      </w:pPr>
      <w:bookmarkStart w:id="30" w:name="_Toc378251507"/>
      <w:bookmarkStart w:id="31" w:name="_Toc381279968"/>
      <w:bookmarkStart w:id="32" w:name="_Toc386185974"/>
      <w:r w:rsidRPr="00041E70">
        <w:rPr>
          <w:lang w:val="es-ES_tradnl"/>
        </w:rPr>
        <w:t>TGP/5</w:t>
      </w:r>
      <w:proofErr w:type="gramStart"/>
      <w:r w:rsidRPr="00041E70">
        <w:rPr>
          <w:lang w:val="es-ES_tradnl"/>
        </w:rPr>
        <w:t>:  Experiencia</w:t>
      </w:r>
      <w:proofErr w:type="gramEnd"/>
      <w:r w:rsidRPr="00041E70">
        <w:rPr>
          <w:lang w:val="es-ES_tradnl"/>
        </w:rPr>
        <w:t xml:space="preserve"> y cooperación en el examen DHE</w:t>
      </w:r>
    </w:p>
    <w:p w:rsidR="00B7224D" w:rsidRPr="00041E70" w:rsidRDefault="00B7224D" w:rsidP="00B7224D"/>
    <w:p w:rsidR="00B7224D" w:rsidRPr="00041E70" w:rsidRDefault="00B7224D" w:rsidP="00B7224D">
      <w:pPr>
        <w:pStyle w:val="Heading4"/>
        <w:rPr>
          <w:lang w:val="es-ES_tradnl"/>
        </w:rPr>
      </w:pPr>
      <w:r w:rsidRPr="00041E70">
        <w:rPr>
          <w:lang w:val="es-ES_tradnl"/>
        </w:rPr>
        <w:t>i)</w:t>
      </w:r>
      <w:r w:rsidRPr="00041E70">
        <w:rPr>
          <w:lang w:val="es-ES_tradnl"/>
        </w:rPr>
        <w:tab/>
        <w:t>Revisión del documento TGP/5</w:t>
      </w:r>
      <w:proofErr w:type="gramStart"/>
      <w:r w:rsidRPr="00041E70">
        <w:rPr>
          <w:lang w:val="es-ES_tradnl"/>
        </w:rPr>
        <w:t>:  Sección</w:t>
      </w:r>
      <w:proofErr w:type="gramEnd"/>
      <w:r w:rsidRPr="00041E70">
        <w:rPr>
          <w:lang w:val="es-ES_tradnl"/>
        </w:rPr>
        <w:t> 3:  Cuestionario técnico que deberá rellenarse con las solicitudes de derechos de obtentor</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que el texto del documento TGP/5</w:t>
      </w:r>
      <w:proofErr w:type="gramStart"/>
      <w:r w:rsidRPr="00041E70">
        <w:t>:  Sección</w:t>
      </w:r>
      <w:proofErr w:type="gramEnd"/>
      <w:r w:rsidRPr="00041E70">
        <w:t> 3 debería ser el siguiente:</w:t>
      </w:r>
    </w:p>
    <w:p w:rsidR="00B7224D" w:rsidRPr="00041E70" w:rsidRDefault="00B7224D" w:rsidP="00B7224D"/>
    <w:p w:rsidR="00B7224D" w:rsidRPr="00041E70" w:rsidRDefault="00B7224D" w:rsidP="00B7224D">
      <w:pPr>
        <w:ind w:left="567" w:right="567" w:firstLine="567"/>
        <w:rPr>
          <w:sz w:val="18"/>
        </w:rPr>
      </w:pPr>
      <w:r w:rsidRPr="00041E70">
        <w:rPr>
          <w:sz w:val="18"/>
        </w:rPr>
        <w:t>“En el Capítulo 10 del Anexo I: Plantilla de los documentos TG del documento TGP/7, “Elaboración de las directrices de examen”, figura un cuestionario técnico tipo.  Las directrices de examen de la UPOV (http://www.upov.int/es/publications/tg-rom/index.html) incluyen, en el Capítulo 10, un cuestionario técnico destinado específicamente a variedades cubiertas por esas directrices de examen.”</w:t>
      </w:r>
    </w:p>
    <w:p w:rsidR="00B7224D" w:rsidRPr="00041E70" w:rsidRDefault="00B7224D" w:rsidP="00B7224D">
      <w:pPr>
        <w:ind w:left="567" w:right="567" w:firstLine="567"/>
        <w:rPr>
          <w:sz w:val="18"/>
        </w:rPr>
      </w:pPr>
    </w:p>
    <w:bookmarkEnd w:id="30"/>
    <w:bookmarkEnd w:id="31"/>
    <w:bookmarkEnd w:id="32"/>
    <w:p w:rsidR="00B7224D" w:rsidRPr="00041E70" w:rsidRDefault="00B7224D" w:rsidP="00B7224D">
      <w:pPr>
        <w:pStyle w:val="Heading4"/>
        <w:rPr>
          <w:lang w:val="es-ES_tradnl"/>
        </w:rPr>
      </w:pPr>
      <w:r w:rsidRPr="00041E70">
        <w:rPr>
          <w:lang w:val="es-ES_tradnl"/>
        </w:rPr>
        <w:t>ii)</w:t>
      </w:r>
      <w:r w:rsidRPr="00041E70">
        <w:rPr>
          <w:lang w:val="es-ES_tradnl"/>
        </w:rPr>
        <w:tab/>
        <w:t>Revisión del documento TGP/5</w:t>
      </w:r>
      <w:proofErr w:type="gramStart"/>
      <w:r w:rsidRPr="00041E70">
        <w:rPr>
          <w:lang w:val="es-ES_tradnl"/>
        </w:rPr>
        <w:t>:  Sección</w:t>
      </w:r>
      <w:proofErr w:type="gramEnd"/>
      <w:r w:rsidRPr="00041E70">
        <w:rPr>
          <w:lang w:val="es-ES_tradnl"/>
        </w:rPr>
        <w:t> 8:  Cooperación en el examen</w:t>
      </w:r>
    </w:p>
    <w:p w:rsidR="00B7224D" w:rsidRPr="00041E70" w:rsidRDefault="00B7224D" w:rsidP="00B7224D">
      <w:pPr>
        <w:jc w:val="center"/>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que en el documento TGP/5 </w:t>
      </w:r>
      <w:proofErr w:type="spellStart"/>
      <w:r w:rsidRPr="00041E70">
        <w:t>Draft</w:t>
      </w:r>
      <w:proofErr w:type="spellEnd"/>
      <w:r w:rsidRPr="00041E70">
        <w:t> 8 se introduzcan las siguientes modificaciones:</w:t>
      </w:r>
    </w:p>
    <w:p w:rsidR="00B7224D" w:rsidRPr="00041E70" w:rsidRDefault="00B7224D" w:rsidP="00B7224D"/>
    <w:p w:rsidR="00B7224D" w:rsidRPr="00041E70" w:rsidRDefault="00B7224D" w:rsidP="00B7224D">
      <w:pPr>
        <w:ind w:left="567" w:right="567"/>
        <w:rPr>
          <w:sz w:val="18"/>
        </w:rPr>
      </w:pPr>
      <w:r w:rsidRPr="00041E70">
        <w:rPr>
          <w:sz w:val="18"/>
        </w:rPr>
        <w:tab/>
        <w:t>“Un resumen de las actividades de cooperación en materia de examen entre las autoridades figura en forma de documento del Consejo:</w:t>
      </w:r>
    </w:p>
    <w:p w:rsidR="00B7224D" w:rsidRPr="00041E70" w:rsidRDefault="00B7224D" w:rsidP="00B7224D">
      <w:pPr>
        <w:ind w:left="567" w:right="567"/>
        <w:rPr>
          <w:sz w:val="18"/>
        </w:rPr>
      </w:pPr>
    </w:p>
    <w:p w:rsidR="00B7224D" w:rsidRPr="00041E70" w:rsidRDefault="00B7224D" w:rsidP="00B7224D">
      <w:pPr>
        <w:ind w:left="567" w:right="567" w:firstLine="567"/>
        <w:rPr>
          <w:sz w:val="18"/>
        </w:rPr>
      </w:pPr>
      <w:r w:rsidRPr="00041E70">
        <w:rPr>
          <w:sz w:val="18"/>
        </w:rPr>
        <w:t>C</w:t>
      </w:r>
      <w:proofErr w:type="gramStart"/>
      <w:r w:rsidRPr="00041E70">
        <w:rPr>
          <w:sz w:val="18"/>
        </w:rPr>
        <w:t>/[</w:t>
      </w:r>
      <w:proofErr w:type="gramEnd"/>
      <w:r w:rsidRPr="00041E70">
        <w:rPr>
          <w:sz w:val="18"/>
        </w:rPr>
        <w:t>sesión]/5 (por ejemplo, C/49/5), (</w:t>
      </w:r>
      <w:r w:rsidRPr="00041E70">
        <w:rPr>
          <w:sz w:val="18"/>
          <w:u w:val="single"/>
        </w:rPr>
        <w:t>http://www.upov.int/meetings/es/</w:t>
      </w:r>
      <w:proofErr w:type="spellStart"/>
      <w:r w:rsidRPr="00041E70">
        <w:rPr>
          <w:sz w:val="18"/>
          <w:u w:val="single"/>
        </w:rPr>
        <w:t>topic.jsp?group_id</w:t>
      </w:r>
      <w:proofErr w:type="spellEnd"/>
      <w:r w:rsidRPr="00041E70">
        <w:rPr>
          <w:sz w:val="18"/>
          <w:u w:val="single"/>
        </w:rPr>
        <w:t>=251</w:t>
      </w:r>
      <w:r w:rsidRPr="00041E70">
        <w:rPr>
          <w:sz w:val="18"/>
        </w:rPr>
        <w:t>).”</w:t>
      </w:r>
    </w:p>
    <w:p w:rsidR="00B7224D" w:rsidRPr="00041E70" w:rsidRDefault="00B7224D" w:rsidP="00B7224D"/>
    <w:p w:rsidR="00B7224D" w:rsidRPr="00041E70" w:rsidRDefault="00B7224D" w:rsidP="00B7224D">
      <w:pPr>
        <w:pStyle w:val="Heading4"/>
        <w:rPr>
          <w:lang w:val="es-ES_tradnl"/>
        </w:rPr>
      </w:pPr>
      <w:r w:rsidRPr="00041E70">
        <w:rPr>
          <w:lang w:val="es-ES_tradnl"/>
        </w:rPr>
        <w:t>iii)</w:t>
      </w:r>
      <w:r w:rsidRPr="00041E70">
        <w:rPr>
          <w:lang w:val="es-ES_tradnl"/>
        </w:rPr>
        <w:tab/>
        <w:t>Revisión del documento TGP/5</w:t>
      </w:r>
      <w:proofErr w:type="gramStart"/>
      <w:r w:rsidRPr="00041E70">
        <w:rPr>
          <w:lang w:val="es-ES_tradnl"/>
        </w:rPr>
        <w:t>:  Sección</w:t>
      </w:r>
      <w:proofErr w:type="gramEnd"/>
      <w:r w:rsidRPr="00041E70">
        <w:rPr>
          <w:lang w:val="es-ES_tradnl"/>
        </w:rPr>
        <w:t> 9:  Listado de las especies respecto de las que se han adquirido conocimientos prácticos o para las que se han establecido directrices de examen nacionales</w:t>
      </w:r>
    </w:p>
    <w:p w:rsidR="00B7224D" w:rsidRPr="00041E70" w:rsidRDefault="00B7224D" w:rsidP="00B7224D">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que el texto del documento TGP/5</w:t>
      </w:r>
      <w:proofErr w:type="gramStart"/>
      <w:r w:rsidRPr="00041E70">
        <w:t>:  Sección</w:t>
      </w:r>
      <w:proofErr w:type="gramEnd"/>
      <w:r w:rsidRPr="00041E70">
        <w:t> 9 debería ser el siguiente:</w:t>
      </w:r>
    </w:p>
    <w:p w:rsidR="00B7224D" w:rsidRPr="00041E70" w:rsidRDefault="00B7224D" w:rsidP="00B7224D"/>
    <w:p w:rsidR="00B7224D" w:rsidRPr="00041E70" w:rsidRDefault="00B7224D" w:rsidP="00B7224D">
      <w:pPr>
        <w:ind w:left="567" w:right="567" w:firstLine="567"/>
        <w:rPr>
          <w:sz w:val="18"/>
        </w:rPr>
      </w:pPr>
      <w:r w:rsidRPr="00041E70">
        <w:rPr>
          <w:sz w:val="18"/>
        </w:rPr>
        <w:t>“Una lista de géneros y especies respecto de las que se han adquirido conocimientos prácticos o para las que se han establecido directrices de examen nacionales figura en el documento del Comité Técnico:</w:t>
      </w:r>
    </w:p>
    <w:p w:rsidR="00B7224D" w:rsidRPr="00041E70" w:rsidRDefault="00B7224D" w:rsidP="00B7224D">
      <w:pPr>
        <w:ind w:left="567" w:right="567"/>
        <w:rPr>
          <w:sz w:val="18"/>
        </w:rPr>
      </w:pPr>
    </w:p>
    <w:p w:rsidR="00B7224D" w:rsidRPr="00041E70" w:rsidRDefault="00B7224D" w:rsidP="00B7224D">
      <w:pPr>
        <w:ind w:left="567" w:right="567" w:firstLine="567"/>
        <w:rPr>
          <w:sz w:val="18"/>
        </w:rPr>
      </w:pPr>
      <w:r w:rsidRPr="00041E70">
        <w:rPr>
          <w:sz w:val="18"/>
        </w:rPr>
        <w:t>TC</w:t>
      </w:r>
      <w:proofErr w:type="gramStart"/>
      <w:r w:rsidRPr="00041E70">
        <w:rPr>
          <w:sz w:val="18"/>
        </w:rPr>
        <w:t>/[</w:t>
      </w:r>
      <w:proofErr w:type="gramEnd"/>
      <w:r w:rsidRPr="00041E70">
        <w:rPr>
          <w:sz w:val="18"/>
        </w:rPr>
        <w:t>sesión]/4 (por ejemplo, TC/51/4), (</w:t>
      </w:r>
      <w:r w:rsidRPr="00041E70">
        <w:rPr>
          <w:sz w:val="18"/>
          <w:u w:val="single"/>
        </w:rPr>
        <w:t>http://www.upov.int/meetings/es/</w:t>
      </w:r>
      <w:proofErr w:type="spellStart"/>
      <w:r w:rsidRPr="00041E70">
        <w:rPr>
          <w:sz w:val="18"/>
          <w:u w:val="single"/>
        </w:rPr>
        <w:t>topic.jsp?group_id</w:t>
      </w:r>
      <w:proofErr w:type="spellEnd"/>
      <w:r w:rsidRPr="00041E70">
        <w:rPr>
          <w:sz w:val="18"/>
          <w:u w:val="single"/>
        </w:rPr>
        <w:t>=254</w:t>
      </w:r>
      <w:r w:rsidRPr="00041E70">
        <w:rPr>
          <w:sz w:val="18"/>
        </w:rPr>
        <w:t>).”</w:t>
      </w:r>
    </w:p>
    <w:p w:rsidR="00B7224D" w:rsidRPr="00041E70" w:rsidRDefault="00B7224D" w:rsidP="00B7224D">
      <w:pPr>
        <w:keepNext/>
        <w:ind w:left="567" w:hanging="567"/>
      </w:pPr>
    </w:p>
    <w:p w:rsidR="00B7224D" w:rsidRPr="00041E70" w:rsidRDefault="00B7224D" w:rsidP="00B7224D">
      <w:pPr>
        <w:pStyle w:val="Heading4"/>
        <w:rPr>
          <w:lang w:val="es-ES_tradnl"/>
        </w:rPr>
      </w:pPr>
      <w:r w:rsidRPr="00041E70">
        <w:rPr>
          <w:lang w:val="es-ES_tradnl"/>
        </w:rPr>
        <w:t>TGP/7 “Elaboración de las Directrices de Examen”</w:t>
      </w:r>
    </w:p>
    <w:p w:rsidR="00B7224D" w:rsidRPr="00041E70" w:rsidRDefault="00B7224D" w:rsidP="00B7224D">
      <w:pPr>
        <w:keepNext/>
      </w:pPr>
    </w:p>
    <w:p w:rsidR="00B7224D" w:rsidRPr="00041E70" w:rsidRDefault="00B7224D" w:rsidP="005F33AB">
      <w:pPr>
        <w:ind w:left="1134" w:hanging="567"/>
        <w:rPr>
          <w:i/>
          <w:snapToGrid w:val="0"/>
          <w:sz w:val="18"/>
        </w:rPr>
      </w:pPr>
      <w:r w:rsidRPr="00041E70">
        <w:rPr>
          <w:snapToGrid w:val="0"/>
          <w:sz w:val="18"/>
        </w:rPr>
        <w:t>i)</w:t>
      </w:r>
      <w:r w:rsidRPr="00041E70">
        <w:rPr>
          <w:snapToGrid w:val="0"/>
          <w:sz w:val="18"/>
        </w:rPr>
        <w:tab/>
        <w:t>Uso en las directrices de examen de fotografías e ilustraciones amparadas por derechos de propiedad intelectual</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convino en que deben elaborarse orientaciones para los redactores relativas al texto, las fotografías o las ilustraciones que puedan estar amparados por derechos de terceros.</w:t>
      </w:r>
    </w:p>
    <w:p w:rsidR="00B7224D" w:rsidRPr="00041E70" w:rsidRDefault="00B7224D" w:rsidP="00B7224D"/>
    <w:p w:rsidR="00B7224D" w:rsidRPr="00041E70" w:rsidRDefault="00B7224D" w:rsidP="005F33AB">
      <w:pPr>
        <w:ind w:left="1134" w:hanging="567"/>
        <w:rPr>
          <w:snapToGrid w:val="0"/>
          <w:sz w:val="18"/>
        </w:rPr>
      </w:pPr>
      <w:r w:rsidRPr="00041E70">
        <w:rPr>
          <w:snapToGrid w:val="0"/>
          <w:sz w:val="18"/>
        </w:rPr>
        <w:t>ii)</w:t>
      </w:r>
      <w:r w:rsidRPr="00041E70">
        <w:rPr>
          <w:snapToGrid w:val="0"/>
          <w:sz w:val="18"/>
        </w:rPr>
        <w:tab/>
        <w:t>Conjuntos regionales de variedades ejemplo</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que se elaboren orientaciones relativas al término “región” y el fundamento de la selección de variedades ejemplo en una región en relación con el establecimiento de conjuntos regionales de variedades ejemplo en las directrices de examen.</w:t>
      </w:r>
    </w:p>
    <w:p w:rsidR="00B7224D" w:rsidRPr="00041E70" w:rsidRDefault="00B7224D" w:rsidP="00B7224D"/>
    <w:p w:rsidR="00B7224D" w:rsidRPr="00041E70" w:rsidRDefault="00B7224D" w:rsidP="00B7224D">
      <w:pPr>
        <w:pStyle w:val="Heading4"/>
        <w:rPr>
          <w:lang w:val="es-ES_tradnl"/>
        </w:rPr>
      </w:pPr>
      <w:r w:rsidRPr="00041E70">
        <w:rPr>
          <w:lang w:val="es-ES_tradnl"/>
        </w:rPr>
        <w:t>TGP/14</w:t>
      </w:r>
      <w:proofErr w:type="gramStart"/>
      <w:r w:rsidRPr="00041E70">
        <w:rPr>
          <w:lang w:val="es-ES_tradnl"/>
        </w:rPr>
        <w:t>:  Glosario</w:t>
      </w:r>
      <w:proofErr w:type="gramEnd"/>
      <w:r w:rsidRPr="00041E70">
        <w:rPr>
          <w:lang w:val="es-ES_tradnl"/>
        </w:rPr>
        <w:t xml:space="preserve"> de términos utilizados en los documentos de la UPOV</w:t>
      </w:r>
    </w:p>
    <w:p w:rsidR="00B7224D" w:rsidRPr="00041E70" w:rsidRDefault="00B7224D" w:rsidP="00B7224D"/>
    <w:p w:rsidR="00B7224D" w:rsidRPr="00041E70" w:rsidRDefault="00B7224D" w:rsidP="005F33AB">
      <w:pPr>
        <w:ind w:left="1134" w:hanging="567"/>
        <w:rPr>
          <w:snapToGrid w:val="0"/>
          <w:sz w:val="18"/>
        </w:rPr>
      </w:pPr>
      <w:r w:rsidRPr="00041E70">
        <w:rPr>
          <w:snapToGrid w:val="0"/>
          <w:sz w:val="18"/>
        </w:rPr>
        <w:t>i)</w:t>
      </w:r>
      <w:r w:rsidRPr="00041E70">
        <w:rPr>
          <w:snapToGrid w:val="0"/>
          <w:sz w:val="18"/>
        </w:rPr>
        <w:tab/>
        <w:t>Definición de grupos de color en referencia a la carta de colores RHS</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invitar a los miembros de la Unión a que presenten a los TWP, en sus sesiones de 2015, ponencias acerca del modo en que se asignan actualmente las variedades a los grupos de color.</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Asimismo, el TC convino en que debería invitarse a representantes de la </w:t>
      </w:r>
      <w:r w:rsidRPr="00041E70">
        <w:rPr>
          <w:i/>
        </w:rPr>
        <w:t xml:space="preserve">Royal Horticultural </w:t>
      </w:r>
      <w:proofErr w:type="spellStart"/>
      <w:r w:rsidRPr="00041E70">
        <w:rPr>
          <w:i/>
        </w:rPr>
        <w:t>Society</w:t>
      </w:r>
      <w:proofErr w:type="spellEnd"/>
      <w:r w:rsidRPr="00041E70">
        <w:rPr>
          <w:i/>
        </w:rPr>
        <w:t xml:space="preserve"> </w:t>
      </w:r>
      <w:r w:rsidRPr="00041E70">
        <w:t>(RHS) a participar en el examen de esta cuestión en la próxima sesión del TWO, que se celebrará en Cambridge (Reino Unido) en 2015, con miras a una posible armonización de la terminología.</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convino en que el examen de esta cuestión debería abordarse en un punto independiente del orden del día, al margen de la revisión del documento TGP/14.</w:t>
      </w:r>
    </w:p>
    <w:p w:rsidR="00B7224D" w:rsidRPr="00041E70" w:rsidRDefault="00B7224D" w:rsidP="00B7224D"/>
    <w:p w:rsidR="00B7224D" w:rsidRPr="00041E70" w:rsidRDefault="00B7224D" w:rsidP="00B7224D">
      <w:pPr>
        <w:pStyle w:val="Heading3"/>
        <w:rPr>
          <w:lang w:val="es-ES_tradnl"/>
        </w:rPr>
      </w:pPr>
      <w:bookmarkStart w:id="33" w:name="_Toc429150761"/>
      <w:r w:rsidRPr="00041E70">
        <w:rPr>
          <w:lang w:val="es-ES_tradnl"/>
        </w:rPr>
        <w:t>Programa para la elaboración de los documentos TGP</w:t>
      </w:r>
      <w:bookmarkEnd w:id="33"/>
    </w:p>
    <w:p w:rsidR="00B7224D" w:rsidRPr="00041E70" w:rsidRDefault="00B7224D" w:rsidP="00B7224D">
      <w:pPr>
        <w:keepNext/>
        <w:rPr>
          <w:rFonts w:cs="Arial"/>
          <w:i/>
          <w:color w:val="000000"/>
          <w:lang w:eastAsia="ja-JP"/>
        </w:rPr>
      </w:pPr>
    </w:p>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aprobó el programa para la elaboración de los documentos TGP que figura en el Anexo II del documento TC/51/5, con sujeción a las conclusiones expuestas anteriormente. </w:t>
      </w:r>
    </w:p>
    <w:p w:rsidR="00B7224D" w:rsidRPr="00041E70" w:rsidRDefault="00B7224D" w:rsidP="00B7224D"/>
    <w:p w:rsidR="00B7224D" w:rsidRPr="00041E70" w:rsidRDefault="00B7224D" w:rsidP="00B7224D">
      <w:pPr>
        <w:keepNext/>
        <w:rPr>
          <w:u w:val="single"/>
        </w:rPr>
      </w:pPr>
    </w:p>
    <w:p w:rsidR="00B7224D" w:rsidRPr="00041E70" w:rsidRDefault="00B7224D" w:rsidP="005F33AB">
      <w:pPr>
        <w:pStyle w:val="Heading2"/>
      </w:pPr>
      <w:bookmarkStart w:id="34" w:name="_Toc429150762"/>
      <w:r w:rsidRPr="00041E70">
        <w:t>Técnicas moleculares</w:t>
      </w:r>
      <w:bookmarkEnd w:id="34"/>
    </w:p>
    <w:p w:rsidR="00B7224D" w:rsidRPr="00041E70" w:rsidRDefault="00B7224D" w:rsidP="00B7224D">
      <w:pPr>
        <w:keepNext/>
        <w:rPr>
          <w:u w:val="single"/>
        </w:rPr>
      </w:pPr>
    </w:p>
    <w:p w:rsidR="00B7224D" w:rsidRPr="00041E70" w:rsidRDefault="00B7224D" w:rsidP="00833396">
      <w:pPr>
        <w:pStyle w:val="Heading3"/>
        <w:rPr>
          <w:lang w:val="es-ES_tradnl"/>
        </w:rPr>
      </w:pPr>
      <w:bookmarkStart w:id="35" w:name="_Toc429150763"/>
      <w:r w:rsidRPr="00041E70">
        <w:rPr>
          <w:lang w:val="es-ES_tradnl"/>
        </w:rPr>
        <w:t>Debate sobre técnicas moleculares</w:t>
      </w:r>
      <w:bookmarkEnd w:id="35"/>
    </w:p>
    <w:p w:rsidR="00B7224D" w:rsidRPr="00041E70" w:rsidRDefault="00B7224D" w:rsidP="00B7224D">
      <w:pPr>
        <w:keepNext/>
        <w:rPr>
          <w:u w:val="single"/>
        </w:rPr>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asistió a las siguientes ponencias sobre técnicas moleculares (por orden de presentación):</w:t>
      </w:r>
    </w:p>
    <w:p w:rsidR="00B7224D" w:rsidRPr="00041E70" w:rsidRDefault="00B7224D" w:rsidP="00B7224D"/>
    <w:tbl>
      <w:tblPr>
        <w:tblW w:w="9497" w:type="dxa"/>
        <w:tblInd w:w="392" w:type="dxa"/>
        <w:tblLook w:val="00A0" w:firstRow="1" w:lastRow="0" w:firstColumn="1" w:lastColumn="0" w:noHBand="0" w:noVBand="0"/>
      </w:tblPr>
      <w:tblGrid>
        <w:gridCol w:w="5670"/>
        <w:gridCol w:w="3827"/>
      </w:tblGrid>
      <w:tr w:rsidR="00B7224D" w:rsidRPr="00041E70" w:rsidTr="00833396">
        <w:trPr>
          <w:cantSplit/>
        </w:trPr>
        <w:tc>
          <w:tcPr>
            <w:tcW w:w="5670" w:type="dxa"/>
            <w:vAlign w:val="center"/>
          </w:tcPr>
          <w:p w:rsidR="00B7224D" w:rsidRPr="00041E70" w:rsidRDefault="00B7224D" w:rsidP="00B7224D">
            <w:pPr>
              <w:spacing w:before="60" w:after="60"/>
              <w:ind w:right="34"/>
              <w:rPr>
                <w:rFonts w:eastAsia="MS Mincho"/>
              </w:rPr>
            </w:pPr>
            <w:r w:rsidRPr="00041E70">
              <w:rPr>
                <w:rFonts w:eastAsia="MS Mincho"/>
              </w:rPr>
              <w:t xml:space="preserve">Informe sobre las novedades acaecidas en la UPOV en relación con las técnicas bioquímicas y moleculares </w:t>
            </w:r>
          </w:p>
        </w:tc>
        <w:tc>
          <w:tcPr>
            <w:tcW w:w="3827" w:type="dxa"/>
          </w:tcPr>
          <w:p w:rsidR="00B7224D" w:rsidRPr="00041E70" w:rsidRDefault="00B7224D" w:rsidP="00833396">
            <w:pPr>
              <w:spacing w:before="60" w:after="60"/>
              <w:ind w:left="34" w:right="-108"/>
              <w:jc w:val="left"/>
              <w:rPr>
                <w:rFonts w:eastAsia="MS Mincho"/>
              </w:rPr>
            </w:pPr>
            <w:r w:rsidRPr="00041E70">
              <w:rPr>
                <w:rFonts w:eastAsia="MS Mincho"/>
              </w:rPr>
              <w:t>Oficina de la UPOV</w:t>
            </w:r>
          </w:p>
        </w:tc>
      </w:tr>
      <w:tr w:rsidR="00B7224D" w:rsidRPr="002A7B40" w:rsidTr="00833396">
        <w:trPr>
          <w:cantSplit/>
        </w:trPr>
        <w:tc>
          <w:tcPr>
            <w:tcW w:w="5670" w:type="dxa"/>
            <w:vAlign w:val="center"/>
          </w:tcPr>
          <w:p w:rsidR="00B7224D" w:rsidRPr="00041E70" w:rsidRDefault="00B7224D" w:rsidP="00B7224D">
            <w:pPr>
              <w:spacing w:before="60" w:after="60"/>
              <w:ind w:right="34"/>
              <w:rPr>
                <w:rFonts w:eastAsia="MS Mincho"/>
              </w:rPr>
            </w:pPr>
            <w:r w:rsidRPr="00041E70">
              <w:rPr>
                <w:rFonts w:eastAsia="MS Mincho"/>
              </w:rPr>
              <w:t>Selección de variedades similares con ayuda de marcadores en el examen DHE</w:t>
            </w:r>
          </w:p>
        </w:tc>
        <w:tc>
          <w:tcPr>
            <w:tcW w:w="3827" w:type="dxa"/>
          </w:tcPr>
          <w:p w:rsidR="00B7224D" w:rsidRPr="002A7B40" w:rsidRDefault="00B7224D" w:rsidP="00833396">
            <w:pPr>
              <w:spacing w:before="60" w:after="60"/>
              <w:ind w:left="34" w:right="-108"/>
              <w:jc w:val="left"/>
              <w:rPr>
                <w:rFonts w:eastAsia="MS Mincho"/>
                <w:lang w:val="pt-BR"/>
              </w:rPr>
            </w:pPr>
            <w:r w:rsidRPr="002A7B40">
              <w:rPr>
                <w:rFonts w:eastAsia="MS Mincho"/>
                <w:lang w:val="pt-BR"/>
              </w:rPr>
              <w:t>República de Corea (Sr. </w:t>
            </w:r>
            <w:r w:rsidRPr="002A7B40">
              <w:rPr>
                <w:rFonts w:eastAsia="MS Mincho" w:cs="Arial"/>
                <w:lang w:val="pt-BR" w:eastAsia="zh-CN"/>
              </w:rPr>
              <w:t>Seung-In Yi)</w:t>
            </w:r>
          </w:p>
        </w:tc>
      </w:tr>
      <w:tr w:rsidR="00B7224D" w:rsidRPr="002A7B40" w:rsidTr="00833396">
        <w:trPr>
          <w:cantSplit/>
        </w:trPr>
        <w:tc>
          <w:tcPr>
            <w:tcW w:w="5670" w:type="dxa"/>
            <w:vAlign w:val="center"/>
          </w:tcPr>
          <w:p w:rsidR="00B7224D" w:rsidRPr="00041E70" w:rsidRDefault="00B7224D" w:rsidP="00B7224D">
            <w:pPr>
              <w:spacing w:before="60" w:after="60"/>
              <w:ind w:right="34"/>
              <w:rPr>
                <w:rFonts w:eastAsia="MS Mincho"/>
              </w:rPr>
            </w:pPr>
            <w:r w:rsidRPr="00041E70">
              <w:rPr>
                <w:rFonts w:eastAsia="MS Mincho"/>
              </w:rPr>
              <w:t>Utilización de variedades de referencia en la distinción de variedades:  un método en investigación en los Estados Unidos de América para su posible aplicación en la protección de las obtenciones vegetales</w:t>
            </w:r>
          </w:p>
        </w:tc>
        <w:tc>
          <w:tcPr>
            <w:tcW w:w="3827" w:type="dxa"/>
          </w:tcPr>
          <w:p w:rsidR="00B7224D" w:rsidRPr="002A7B40" w:rsidRDefault="00B7224D" w:rsidP="00833396">
            <w:pPr>
              <w:spacing w:before="60" w:after="60"/>
              <w:ind w:left="34" w:right="-108"/>
              <w:jc w:val="left"/>
              <w:rPr>
                <w:rFonts w:eastAsia="MS Mincho"/>
                <w:lang w:val="pt-BR"/>
              </w:rPr>
            </w:pPr>
            <w:r w:rsidRPr="002A7B40">
              <w:rPr>
                <w:rFonts w:eastAsia="MS Mincho"/>
                <w:lang w:val="pt-BR"/>
              </w:rPr>
              <w:t xml:space="preserve">Estados Unidos de América </w:t>
            </w:r>
            <w:r w:rsidRPr="002A7B40">
              <w:rPr>
                <w:rFonts w:eastAsia="MS Mincho"/>
                <w:lang w:val="pt-BR"/>
              </w:rPr>
              <w:br/>
              <w:t>(Sr. Paul Nelson)</w:t>
            </w:r>
          </w:p>
        </w:tc>
      </w:tr>
      <w:tr w:rsidR="00B7224D" w:rsidRPr="002A7B40" w:rsidTr="00833396">
        <w:trPr>
          <w:cantSplit/>
        </w:trPr>
        <w:tc>
          <w:tcPr>
            <w:tcW w:w="5670" w:type="dxa"/>
            <w:vAlign w:val="center"/>
          </w:tcPr>
          <w:p w:rsidR="00B7224D" w:rsidRPr="00041E70" w:rsidRDefault="00B7224D" w:rsidP="00B7224D">
            <w:pPr>
              <w:spacing w:before="60" w:after="60"/>
              <w:ind w:right="34"/>
              <w:rPr>
                <w:rFonts w:eastAsia="MS Mincho"/>
              </w:rPr>
            </w:pPr>
            <w:r w:rsidRPr="00041E70">
              <w:rPr>
                <w:rFonts w:eastAsia="MS Mincho"/>
              </w:rPr>
              <w:t xml:space="preserve">Base de datos europea de la papa/patata como compilación centralizada de variedades notoriamente conocidas (documento BMT/14/18 y BMT/14/18 </w:t>
            </w:r>
            <w:proofErr w:type="spellStart"/>
            <w:r w:rsidRPr="00041E70">
              <w:rPr>
                <w:rFonts w:eastAsia="MS Mincho"/>
              </w:rPr>
              <w:t>Add</w:t>
            </w:r>
            <w:proofErr w:type="spellEnd"/>
            <w:r w:rsidRPr="00041E70">
              <w:rPr>
                <w:rFonts w:eastAsia="MS Mincho"/>
              </w:rPr>
              <w:t>.)</w:t>
            </w:r>
          </w:p>
        </w:tc>
        <w:tc>
          <w:tcPr>
            <w:tcW w:w="3827" w:type="dxa"/>
          </w:tcPr>
          <w:p w:rsidR="00B7224D" w:rsidRPr="002A7B40" w:rsidRDefault="00B7224D" w:rsidP="00833396">
            <w:pPr>
              <w:spacing w:before="60" w:after="60"/>
              <w:ind w:left="34" w:right="-108"/>
              <w:jc w:val="left"/>
              <w:rPr>
                <w:rFonts w:eastAsia="MS Mincho"/>
                <w:lang w:val="pt-BR"/>
              </w:rPr>
            </w:pPr>
            <w:r w:rsidRPr="002A7B40">
              <w:rPr>
                <w:rFonts w:eastAsia="MS Mincho"/>
                <w:lang w:val="pt-BR"/>
              </w:rPr>
              <w:t>Reino Unido (Sr. Alex Reid)</w:t>
            </w:r>
          </w:p>
        </w:tc>
      </w:tr>
      <w:tr w:rsidR="00B7224D" w:rsidRPr="002A7B40" w:rsidTr="00833396">
        <w:trPr>
          <w:cantSplit/>
        </w:trPr>
        <w:tc>
          <w:tcPr>
            <w:tcW w:w="5670" w:type="dxa"/>
            <w:vAlign w:val="center"/>
          </w:tcPr>
          <w:p w:rsidR="00B7224D" w:rsidRPr="00041E70" w:rsidRDefault="00B7224D" w:rsidP="00B7224D">
            <w:pPr>
              <w:spacing w:before="60" w:after="60"/>
              <w:ind w:right="34"/>
              <w:rPr>
                <w:rFonts w:eastAsia="MS Mincho"/>
              </w:rPr>
            </w:pPr>
            <w:r w:rsidRPr="00041E70">
              <w:rPr>
                <w:rFonts w:eastAsia="MS Mincho"/>
              </w:rPr>
              <w:t>Desarrollo de marcadores EST-SSR de la lechuga y su aplicación a la identificación de variedades</w:t>
            </w:r>
          </w:p>
        </w:tc>
        <w:tc>
          <w:tcPr>
            <w:tcW w:w="3827" w:type="dxa"/>
          </w:tcPr>
          <w:p w:rsidR="00B7224D" w:rsidRPr="002A7B40" w:rsidRDefault="00B7224D" w:rsidP="00833396">
            <w:pPr>
              <w:spacing w:before="60" w:after="60"/>
              <w:ind w:left="34" w:right="-108"/>
              <w:jc w:val="left"/>
              <w:rPr>
                <w:rFonts w:eastAsia="MS Mincho"/>
                <w:lang w:val="pt-BR"/>
              </w:rPr>
            </w:pPr>
            <w:r w:rsidRPr="002A7B40">
              <w:rPr>
                <w:rFonts w:eastAsia="MS Mincho"/>
                <w:lang w:val="pt-BR"/>
              </w:rPr>
              <w:t>República de Corea (Sr. Seung-In Yi)</w:t>
            </w:r>
          </w:p>
        </w:tc>
      </w:tr>
      <w:tr w:rsidR="00B7224D" w:rsidRPr="00041E70" w:rsidTr="00833396">
        <w:tblPrEx>
          <w:tblLook w:val="0000" w:firstRow="0" w:lastRow="0" w:firstColumn="0" w:lastColumn="0" w:noHBand="0" w:noVBand="0"/>
        </w:tblPrEx>
        <w:trPr>
          <w:cantSplit/>
        </w:trPr>
        <w:tc>
          <w:tcPr>
            <w:tcW w:w="5670" w:type="dxa"/>
            <w:vAlign w:val="center"/>
          </w:tcPr>
          <w:p w:rsidR="00B7224D" w:rsidRPr="00041E70" w:rsidRDefault="00B7224D" w:rsidP="00B7224D">
            <w:pPr>
              <w:spacing w:before="60" w:after="60"/>
              <w:ind w:right="34"/>
              <w:rPr>
                <w:rFonts w:eastAsia="MS Mincho"/>
              </w:rPr>
            </w:pPr>
            <w:r w:rsidRPr="00041E70">
              <w:rPr>
                <w:rFonts w:eastAsia="MS Mincho"/>
              </w:rPr>
              <w:t>Propiedad y uso de las muestras del examen DHE y del ADN y los datos sobre el ADN durante los exámenes DHE y posteriormente</w:t>
            </w:r>
          </w:p>
        </w:tc>
        <w:tc>
          <w:tcPr>
            <w:tcW w:w="3827" w:type="dxa"/>
          </w:tcPr>
          <w:p w:rsidR="00B7224D" w:rsidRPr="00041E70" w:rsidRDefault="00B7224D" w:rsidP="00833396">
            <w:pPr>
              <w:spacing w:before="60" w:after="60"/>
              <w:ind w:left="34" w:right="-108"/>
              <w:jc w:val="left"/>
              <w:rPr>
                <w:rFonts w:eastAsia="MS Mincho"/>
              </w:rPr>
            </w:pPr>
            <w:r w:rsidRPr="00041E70">
              <w:rPr>
                <w:rFonts w:eastAsia="MS Mincho"/>
              </w:rPr>
              <w:t>Países Bajos (Sr. </w:t>
            </w:r>
            <w:proofErr w:type="spellStart"/>
            <w:r w:rsidRPr="00041E70">
              <w:rPr>
                <w:rFonts w:eastAsia="MS Mincho"/>
              </w:rPr>
              <w:t>Kees</w:t>
            </w:r>
            <w:proofErr w:type="spellEnd"/>
            <w:r w:rsidRPr="00041E70">
              <w:rPr>
                <w:rFonts w:eastAsia="MS Mincho"/>
              </w:rPr>
              <w:t xml:space="preserve"> van </w:t>
            </w:r>
            <w:proofErr w:type="spellStart"/>
            <w:r w:rsidRPr="00041E70">
              <w:rPr>
                <w:rFonts w:eastAsia="MS Mincho"/>
              </w:rPr>
              <w:t>Ettekoven</w:t>
            </w:r>
            <w:proofErr w:type="spellEnd"/>
            <w:r w:rsidRPr="00041E70">
              <w:rPr>
                <w:rFonts w:eastAsia="MS Mincho"/>
              </w:rPr>
              <w:t>)</w:t>
            </w:r>
          </w:p>
        </w:tc>
      </w:tr>
      <w:tr w:rsidR="00B7224D" w:rsidRPr="00041E70" w:rsidTr="00833396">
        <w:tblPrEx>
          <w:tblLook w:val="0000" w:firstRow="0" w:lastRow="0" w:firstColumn="0" w:lastColumn="0" w:noHBand="0" w:noVBand="0"/>
        </w:tblPrEx>
        <w:trPr>
          <w:cantSplit/>
        </w:trPr>
        <w:tc>
          <w:tcPr>
            <w:tcW w:w="5670" w:type="dxa"/>
            <w:vAlign w:val="center"/>
          </w:tcPr>
          <w:p w:rsidR="00B7224D" w:rsidRPr="00041E70" w:rsidRDefault="00B7224D" w:rsidP="00B7224D">
            <w:pPr>
              <w:spacing w:before="60" w:after="60"/>
              <w:ind w:right="34"/>
              <w:rPr>
                <w:rFonts w:eastAsia="MS Mincho"/>
              </w:rPr>
            </w:pPr>
            <w:r w:rsidRPr="00041E70">
              <w:rPr>
                <w:rFonts w:eastAsia="MS Mincho"/>
              </w:rPr>
              <w:t xml:space="preserve">Ámbitos de cooperación entre la OCDE, la UPOV y la ISTA en la actualidad </w:t>
            </w:r>
          </w:p>
        </w:tc>
        <w:tc>
          <w:tcPr>
            <w:tcW w:w="3827" w:type="dxa"/>
          </w:tcPr>
          <w:p w:rsidR="00B7224D" w:rsidRPr="00041E70" w:rsidRDefault="00B7224D" w:rsidP="00833396">
            <w:pPr>
              <w:spacing w:before="60" w:after="60"/>
              <w:ind w:left="34" w:right="-108"/>
              <w:jc w:val="left"/>
              <w:rPr>
                <w:rFonts w:eastAsia="MS Mincho"/>
              </w:rPr>
            </w:pPr>
            <w:r w:rsidRPr="00041E70">
              <w:rPr>
                <w:rFonts w:eastAsia="MS Mincho"/>
              </w:rPr>
              <w:t>Oficina de la UPOV</w:t>
            </w:r>
          </w:p>
        </w:tc>
      </w:tr>
    </w:tbl>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las copias de las ponencias estarán disponibles en el sitio web de la UPOV.</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examinó el documento TC/51/11 Rev., “Técnicas moleculares”.</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del informe sobre las novedades acaecidas en el TC, los  Grupos de Trabajo Técnico y el BMT, según se expone en los párrafos 4 a 22 del documento TC/51/11 Rev.</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aprobó el programa de la decimoquinta reunión del BMT, que se celebrará en 2016, en la que se dedicará una fecha concreta (“Día del obtentor”) a los puntos que tratan del uso de técnicas moleculares en el examen de las variedades esencialmente derivadas y en la identificación de variedades, según lo expuesto en el párrafo 22 del documento TC/51/11 Rev.</w:t>
      </w:r>
    </w:p>
    <w:p w:rsidR="00B7224D" w:rsidRPr="00041E70" w:rsidRDefault="00B7224D" w:rsidP="00B7224D">
      <w:pPr>
        <w:rPr>
          <w:rFonts w:cs="Arial"/>
          <w:lang w:eastAsia="ja-JP"/>
        </w:rPr>
      </w:pPr>
    </w:p>
    <w:p w:rsidR="00B7224D" w:rsidRPr="00041E70" w:rsidRDefault="00B7224D" w:rsidP="00B7224D">
      <w:pPr>
        <w:rPr>
          <w:rFonts w:cs="Arial"/>
          <w:lang w:eastAsia="ja-JP"/>
        </w:rPr>
      </w:pPr>
      <w:r w:rsidRPr="00041E70">
        <w:fldChar w:fldCharType="begin"/>
      </w:r>
      <w:r w:rsidRPr="00041E70">
        <w:instrText xml:space="preserve"> AUTONUM  </w:instrText>
      </w:r>
      <w:r w:rsidRPr="00041E70">
        <w:fldChar w:fldCharType="end"/>
      </w:r>
      <w:r w:rsidRPr="00041E70">
        <w:tab/>
        <w:t>El TC acordó elaborar un documento conjunto en el que se expliquen las características principales de los sistemas de la OCDE, la UPOV y la ISTA (por ejemplo, DHE, identificación de las variedades, pureza de las variedades, etcétera), con sujeción a la aprobación por el Consejo y en coordinación con la OCDE y la ISTA</w:t>
      </w:r>
      <w:r w:rsidRPr="00041E70">
        <w:rPr>
          <w:rFonts w:cs="Arial"/>
          <w:lang w:eastAsia="ja-JP"/>
        </w:rPr>
        <w:t>.</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el Taller conjunto OCDE-UPOV-ISTA sobre técnicas moleculares convino en que sería útil repetir el taller conjunto en las reuniones pertinentes de la OCDE y la ISTA y, a este respecto, que la reunión del Grupo de trabajo técnico de los sistemas de semillas de la OCDE acordó que se organice otro Taller conjunto OCDE-UPOV-ISTA sobre técnicas moleculares, ya sea de manera consecutiva con la reunión anual de los sistemas de semillas de la OCDE, prevista en París en junio de 2015, o junto con la reunión del Grupo de trabajo técnico, prevista en enero de 2016.</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w:t>
      </w:r>
      <w:r w:rsidRPr="00041E70">
        <w:rPr>
          <w:rFonts w:cs="Arial"/>
          <w:lang w:eastAsia="ja-JP"/>
        </w:rPr>
        <w:t xml:space="preserve">acordó </w:t>
      </w:r>
      <w:r w:rsidRPr="00041E70">
        <w:t>realizar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según consta en el párrafo 26 del documento TC/51/11</w:t>
      </w:r>
      <w:r w:rsidRPr="00041E70">
        <w:rPr>
          <w:rFonts w:cs="Arial"/>
          <w:lang w:eastAsia="ja-JP"/>
        </w:rPr>
        <w:t xml:space="preserve">, con sujeción a la aprobación por el Consejo y en coordinación con la OCDE y la ISTA.  Se convino en que sería necesario fijar criterios y establecer un procedimiento para añadir la información en el documento. </w:t>
      </w:r>
    </w:p>
    <w:p w:rsidR="00B7224D" w:rsidRPr="00041E70" w:rsidRDefault="00B7224D" w:rsidP="00B7224D"/>
    <w:p w:rsidR="00B7224D" w:rsidRPr="00041E70" w:rsidRDefault="00B7224D" w:rsidP="00B7224D">
      <w:pPr>
        <w:spacing w:after="240"/>
      </w:pPr>
      <w:r w:rsidRPr="00041E70">
        <w:fldChar w:fldCharType="begin"/>
      </w:r>
      <w:r w:rsidRPr="00041E70">
        <w:instrText xml:space="preserve"> AUTONUM  </w:instrText>
      </w:r>
      <w:r w:rsidRPr="00041E70">
        <w:fldChar w:fldCharType="end"/>
      </w:r>
      <w:r w:rsidRPr="00041E70">
        <w:tab/>
        <w:t xml:space="preserve">El TC acordó que el BMT, en su decimoquinta sesión, elabore listas de posibles iniciativas conjuntas con la OCDE y la ISTA relacionadas con las técnicas moleculares a fin de que </w:t>
      </w:r>
      <w:r w:rsidRPr="00041E70">
        <w:rPr>
          <w:iCs/>
        </w:rPr>
        <w:t>las examine el</w:t>
      </w:r>
      <w:r w:rsidRPr="00041E70">
        <w:t xml:space="preserve"> TC. </w:t>
      </w:r>
    </w:p>
    <w:p w:rsidR="00B7224D" w:rsidRPr="00041E70" w:rsidRDefault="00B7224D" w:rsidP="00B7224D">
      <w:r w:rsidRPr="00041E70">
        <w:fldChar w:fldCharType="begin"/>
      </w:r>
      <w:r w:rsidRPr="00041E70">
        <w:instrText xml:space="preserve"> AUTONUM  </w:instrText>
      </w:r>
      <w:r w:rsidRPr="00041E70">
        <w:fldChar w:fldCharType="end"/>
      </w:r>
      <w:r w:rsidRPr="00041E70">
        <w:tab/>
        <w:t>El TC estudió la posibilidad de elaborar una propuesta de pregunta y respuesta relativa a la información sobre la situación en la UPOV en lo que respecta al uso de técnicas moleculares, para un público más amplio, que incluya al público en general.  El TC acordó pedir a los TWP que, en sus sesiones de 2015, examinen el proyecto inicial siguiente, ya examinado en la sesión del TC:</w:t>
      </w:r>
    </w:p>
    <w:p w:rsidR="00B7224D" w:rsidRPr="00041E70" w:rsidRDefault="00B7224D" w:rsidP="00B7224D"/>
    <w:p w:rsidR="00B7224D" w:rsidRPr="00041E70" w:rsidRDefault="00B7224D" w:rsidP="00B7224D">
      <w:pPr>
        <w:ind w:left="567" w:right="567"/>
        <w:rPr>
          <w:sz w:val="18"/>
        </w:rPr>
      </w:pPr>
      <w:r w:rsidRPr="00041E70">
        <w:rPr>
          <w:sz w:val="18"/>
        </w:rPr>
        <w:t>“¿Es posible obtener la protección de una variedad sobre la base de su perfil de ADN?</w:t>
      </w:r>
    </w:p>
    <w:p w:rsidR="00B7224D" w:rsidRPr="00041E70" w:rsidRDefault="00B7224D" w:rsidP="00B7224D">
      <w:pPr>
        <w:ind w:left="567" w:right="567"/>
        <w:rPr>
          <w:sz w:val="18"/>
        </w:rPr>
      </w:pPr>
    </w:p>
    <w:p w:rsidR="00B7224D" w:rsidRPr="00041E70" w:rsidRDefault="00B7224D" w:rsidP="00B7224D">
      <w:pPr>
        <w:ind w:left="567" w:right="567"/>
        <w:rPr>
          <w:sz w:val="18"/>
        </w:rPr>
      </w:pPr>
      <w:r w:rsidRPr="00041E70">
        <w:rPr>
          <w:sz w:val="18"/>
        </w:rPr>
        <w:t>Para obtener protección, una variedad ha de poder distinguirse claramente de todas las variedades existentes, sobre la base de caracteres que se expresan físicamente, por ejemplo, altura de la planta, época de floración, color del fruto, resistencia a las enfermedades, etcétera.  [</w:t>
      </w:r>
      <w:proofErr w:type="gramStart"/>
      <w:r w:rsidRPr="00041E70">
        <w:rPr>
          <w:sz w:val="18"/>
        </w:rPr>
        <w:t>las</w:t>
      </w:r>
      <w:proofErr w:type="gramEnd"/>
      <w:r w:rsidRPr="00041E70">
        <w:rPr>
          <w:sz w:val="18"/>
        </w:rPr>
        <w:t xml:space="preserve"> técnicas moleculares (los perfiles de ADN) pueden utilizarse como información complementaria].</w:t>
      </w:r>
    </w:p>
    <w:p w:rsidR="00B7224D" w:rsidRPr="00041E70" w:rsidRDefault="00B7224D" w:rsidP="00B7224D">
      <w:pPr>
        <w:ind w:left="567" w:right="567"/>
        <w:rPr>
          <w:sz w:val="18"/>
        </w:rPr>
      </w:pPr>
    </w:p>
    <w:p w:rsidR="00B7224D" w:rsidRPr="00041E70" w:rsidRDefault="00B7224D" w:rsidP="00B7224D">
      <w:pPr>
        <w:ind w:left="567" w:right="567"/>
        <w:rPr>
          <w:sz w:val="18"/>
        </w:rPr>
      </w:pPr>
      <w:r w:rsidRPr="00041E70">
        <w:rPr>
          <w:sz w:val="18"/>
        </w:rPr>
        <w:t>En la pregunta frecuente “¿Permite la UPOV la utilización de técnicas moleculares (perfiles de ADN) en el examen de la distinción, la homogeneidad y la estabilidad (“DHE”)?” figura una explicación más detallada.</w:t>
      </w:r>
    </w:p>
    <w:p w:rsidR="00B7224D" w:rsidRPr="00041E70" w:rsidRDefault="00B7224D" w:rsidP="00B7224D">
      <w:pPr>
        <w:ind w:left="567" w:right="567"/>
        <w:rPr>
          <w:sz w:val="18"/>
        </w:rPr>
      </w:pPr>
    </w:p>
    <w:p w:rsidR="00B7224D" w:rsidRPr="00041E70" w:rsidRDefault="00B7224D" w:rsidP="00B7224D">
      <w:pPr>
        <w:ind w:left="567" w:right="567"/>
        <w:rPr>
          <w:sz w:val="18"/>
        </w:rPr>
      </w:pPr>
      <w:r w:rsidRPr="00041E70">
        <w:rPr>
          <w:sz w:val="18"/>
        </w:rPr>
        <w:t>Véase también:</w:t>
      </w:r>
    </w:p>
    <w:p w:rsidR="00B7224D" w:rsidRPr="00041E70" w:rsidRDefault="00B7224D" w:rsidP="00B7224D">
      <w:pPr>
        <w:ind w:left="567" w:right="567"/>
        <w:rPr>
          <w:sz w:val="18"/>
        </w:rPr>
      </w:pPr>
      <w:r w:rsidRPr="00041E70">
        <w:rPr>
          <w:sz w:val="18"/>
        </w:rPr>
        <w:t>¿Qué requisitos ha de cumplir una obtención vegetal para recibir protección?”</w:t>
      </w:r>
    </w:p>
    <w:p w:rsidR="00B7224D" w:rsidRPr="00041E70" w:rsidRDefault="00B7224D" w:rsidP="00833396">
      <w:pPr>
        <w:pStyle w:val="Heading2"/>
      </w:pPr>
      <w:bookmarkStart w:id="36" w:name="_Toc429150764"/>
      <w:r w:rsidRPr="00041E70">
        <w:t>Denominación de variedades</w:t>
      </w:r>
      <w:bookmarkEnd w:id="36"/>
    </w:p>
    <w:p w:rsidR="00B7224D" w:rsidRPr="00041E70" w:rsidRDefault="00B7224D" w:rsidP="00B7224D">
      <w:pPr>
        <w:keepNext/>
        <w:ind w:left="567" w:hanging="567"/>
      </w:pPr>
    </w:p>
    <w:p w:rsidR="00B7224D" w:rsidRPr="00041E70" w:rsidRDefault="00B7224D" w:rsidP="00B7224D">
      <w:pPr>
        <w:ind w:left="567" w:hanging="567"/>
      </w:pPr>
      <w:r w:rsidRPr="00041E70">
        <w:fldChar w:fldCharType="begin"/>
      </w:r>
      <w:r w:rsidRPr="00041E70">
        <w:instrText xml:space="preserve"> AUTONUM  </w:instrText>
      </w:r>
      <w:r w:rsidRPr="00041E70">
        <w:fldChar w:fldCharType="end"/>
      </w:r>
      <w:r w:rsidRPr="00041E70">
        <w:tab/>
        <w:t xml:space="preserve">El Comité examinó el documento TC/51/12. </w:t>
      </w:r>
    </w:p>
    <w:p w:rsidR="00B7224D" w:rsidRPr="00041E70" w:rsidRDefault="00B7224D" w:rsidP="00B7224D">
      <w:pPr>
        <w:ind w:left="567" w:hanging="567"/>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w:t>
      </w:r>
      <w:r w:rsidRPr="00041E70">
        <w:rPr>
          <w:color w:val="000000"/>
        </w:rPr>
        <w:t xml:space="preserve"> la labor del Grupo de trabajo para la elaboración de un instrumento de la UPOV de búsqueda de denominaciones similares (WG</w:t>
      </w:r>
      <w:r w:rsidRPr="00041E70">
        <w:rPr>
          <w:color w:val="000000"/>
        </w:rPr>
        <w:noBreakHyphen/>
        <w:t xml:space="preserve">DST) sobre la posible elaboración de un instrumento de la UPOV de búsqueda de similitud a los fines de la denominación de variedades, incluido el estudio de prueba, tal como se expone en los párrafos 4 a 15 </w:t>
      </w:r>
      <w:r w:rsidRPr="00041E70">
        <w:rPr>
          <w:rFonts w:eastAsia="MS Mincho"/>
          <w:snapToGrid w:val="0"/>
          <w:lang w:eastAsia="ja-JP"/>
        </w:rPr>
        <w:t xml:space="preserve">del </w:t>
      </w:r>
      <w:r w:rsidRPr="00041E70">
        <w:t xml:space="preserve">documento </w:t>
      </w:r>
      <w:r w:rsidRPr="00041E70">
        <w:rPr>
          <w:rFonts w:cs="Arial"/>
          <w:snapToGrid w:val="0"/>
        </w:rPr>
        <w:t xml:space="preserve">TC/51/12.  El TC </w:t>
      </w:r>
      <w:r w:rsidRPr="00041E70">
        <w:t xml:space="preserve">tomó nota </w:t>
      </w:r>
      <w:r w:rsidRPr="00041E70">
        <w:rPr>
          <w:rFonts w:cs="Arial"/>
          <w:snapToGrid w:val="0"/>
        </w:rPr>
        <w:t xml:space="preserve">asimismo </w:t>
      </w:r>
      <w:r w:rsidRPr="00041E70">
        <w:t xml:space="preserve">de </w:t>
      </w:r>
      <w:r w:rsidRPr="00041E70">
        <w:rPr>
          <w:rFonts w:cs="Arial"/>
          <w:snapToGrid w:val="0"/>
        </w:rPr>
        <w:t xml:space="preserve">que el </w:t>
      </w:r>
      <w:r w:rsidRPr="00041E70">
        <w:t>resultado del estudio de prueba se comunicará en la segunda reunión del WG</w:t>
      </w:r>
      <w:r w:rsidRPr="00041E70">
        <w:noBreakHyphen/>
        <w:t xml:space="preserve">DST </w:t>
      </w:r>
      <w:r w:rsidRPr="00041E70">
        <w:rPr>
          <w:lang w:eastAsia="ja-JP"/>
        </w:rPr>
        <w:t>y de que</w:t>
      </w:r>
      <w:r w:rsidRPr="00041E70">
        <w:t xml:space="preserve"> se describirá y documentará el instrumento de búsqueda más eficaz.  </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 propuesta de revisión del documento UPOV/INF/12 relativa a los cambios de denominación de variedades registradas expuesta en el párrafo 20 del documento TC/51/12, y de que, previo acuerdo del CAJ, dicha revisión se someterá a la aprobación del Consejo en su cuadragésima novena sesión ordinaria, que se celebrará el 28 de octubre de 2015.</w:t>
      </w:r>
    </w:p>
    <w:p w:rsidR="00B7224D" w:rsidRPr="00041E70" w:rsidRDefault="00B7224D" w:rsidP="00B7224D">
      <w:pPr>
        <w:ind w:left="567" w:hanging="567"/>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el CAJ, en su septuagésima primera sesión, podrá invitar al WG</w:t>
      </w:r>
      <w:r w:rsidRPr="00041E70">
        <w:noBreakHyphen/>
        <w:t>DST a examinar las observaciones formuladas por el CAJ</w:t>
      </w:r>
      <w:r w:rsidRPr="00041E70">
        <w:noBreakHyphen/>
        <w:t>AG, en su novena sesión, sobre las propuestas que figuran en el documento UPOV/INF/12/5 </w:t>
      </w:r>
      <w:proofErr w:type="spellStart"/>
      <w:r w:rsidRPr="00041E70">
        <w:t>Draft</w:t>
      </w:r>
      <w:proofErr w:type="spellEnd"/>
      <w:r w:rsidRPr="00041E70">
        <w:t xml:space="preserve"> 2 relativas a las secciones 2.2.2.b), 2.3.1.c) y d) y 2.3.3, como se indica en el párrafo 26 </w:t>
      </w:r>
      <w:r w:rsidRPr="00041E70">
        <w:rPr>
          <w:rFonts w:eastAsia="MS Mincho"/>
          <w:snapToGrid w:val="0"/>
          <w:lang w:eastAsia="ja-JP"/>
        </w:rPr>
        <w:t xml:space="preserve">del </w:t>
      </w:r>
      <w:r w:rsidRPr="00041E70">
        <w:t xml:space="preserve">documento </w:t>
      </w:r>
      <w:r w:rsidRPr="00041E70">
        <w:rPr>
          <w:rFonts w:cs="Arial"/>
          <w:snapToGrid w:val="0"/>
        </w:rPr>
        <w:t>TC/51/12.</w:t>
      </w:r>
    </w:p>
    <w:p w:rsidR="00B7224D" w:rsidRPr="00041E70" w:rsidRDefault="00B7224D" w:rsidP="00B7224D">
      <w:pPr>
        <w:ind w:left="567" w:hanging="567"/>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w:t>
      </w:r>
      <w:r w:rsidRPr="00041E70">
        <w:rPr>
          <w:rFonts w:cs="Arial"/>
        </w:rPr>
        <w:t xml:space="preserve"> que el CAJ, en su septuagésima primera sesión, podrá sugerir que las propuestas del CAJ</w:t>
      </w:r>
      <w:r w:rsidRPr="00041E70">
        <w:rPr>
          <w:rFonts w:cs="Arial"/>
        </w:rPr>
        <w:noBreakHyphen/>
        <w:t>AG relativas a las secciones 2.2.2.c), 4.a) y 4.e)i) se sometan al examen del CAJ en su septuagésima segunda sesión, según consta en el párrafo 2</w:t>
      </w:r>
      <w:r w:rsidRPr="00041E70">
        <w:rPr>
          <w:rFonts w:cs="Arial"/>
          <w:lang w:eastAsia="ja-JP"/>
        </w:rPr>
        <w:t>7</w:t>
      </w:r>
      <w:r w:rsidRPr="00041E70">
        <w:rPr>
          <w:rFonts w:cs="Arial"/>
        </w:rPr>
        <w:t xml:space="preserve"> del </w:t>
      </w:r>
      <w:r w:rsidRPr="00041E70">
        <w:t xml:space="preserve">documento </w:t>
      </w:r>
      <w:r w:rsidRPr="00041E70">
        <w:rPr>
          <w:rFonts w:cs="Arial"/>
          <w:snapToGrid w:val="0"/>
        </w:rPr>
        <w:t>TC/51/12.</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La Delegación de la Argentina informó de que está realizando un estudio sobre denominaciones de variedades que se presentará al CAJ en su sesión de octubre de 2015. </w:t>
      </w:r>
    </w:p>
    <w:p w:rsidR="00B7224D" w:rsidRPr="00041E70" w:rsidRDefault="00B7224D" w:rsidP="00B7224D"/>
    <w:p w:rsidR="00B7224D" w:rsidRPr="00041E70" w:rsidRDefault="00B7224D" w:rsidP="00B7224D"/>
    <w:p w:rsidR="00B7224D" w:rsidRPr="00041E70" w:rsidRDefault="00B7224D" w:rsidP="00833396">
      <w:pPr>
        <w:pStyle w:val="Heading2"/>
      </w:pPr>
      <w:bookmarkStart w:id="37" w:name="_Toc429150765"/>
      <w:r w:rsidRPr="00041E70">
        <w:t>Información y bases de datos</w:t>
      </w:r>
      <w:bookmarkEnd w:id="37"/>
    </w:p>
    <w:p w:rsidR="00B7224D" w:rsidRPr="00041E70" w:rsidRDefault="00B7224D" w:rsidP="00B7224D">
      <w:pPr>
        <w:keepNext/>
        <w:ind w:left="567" w:hanging="567"/>
        <w:rPr>
          <w:u w:val="single"/>
        </w:rPr>
      </w:pPr>
    </w:p>
    <w:p w:rsidR="00B7224D" w:rsidRPr="00041E70" w:rsidRDefault="00B7224D" w:rsidP="00833396">
      <w:pPr>
        <w:pStyle w:val="Heading3"/>
        <w:rPr>
          <w:lang w:val="es-ES_tradnl"/>
        </w:rPr>
      </w:pPr>
      <w:bookmarkStart w:id="38" w:name="_Toc429150766"/>
      <w:r w:rsidRPr="00041E70">
        <w:rPr>
          <w:lang w:val="es-ES_tradnl"/>
        </w:rPr>
        <w:t>a)</w:t>
      </w:r>
      <w:r w:rsidRPr="00041E70">
        <w:rPr>
          <w:lang w:val="es-ES_tradnl"/>
        </w:rPr>
        <w:tab/>
        <w:t>Bases de datos de información de la UPOV</w:t>
      </w:r>
      <w:bookmarkEnd w:id="38"/>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Comité examinó el documento TC/51/6.</w:t>
      </w:r>
    </w:p>
    <w:p w:rsidR="00B7224D" w:rsidRPr="00041E70" w:rsidRDefault="00B7224D" w:rsidP="00B7224D"/>
    <w:p w:rsidR="00B7224D" w:rsidRPr="00041E70" w:rsidRDefault="00B7224D" w:rsidP="00B7224D">
      <w:pPr>
        <w:pStyle w:val="Heading4"/>
        <w:rPr>
          <w:lang w:val="es-ES_tradnl"/>
        </w:rPr>
      </w:pPr>
      <w:r w:rsidRPr="00041E70">
        <w:rPr>
          <w:lang w:val="es-ES_tradnl"/>
        </w:rPr>
        <w:t>Base de datos GENIE</w:t>
      </w:r>
    </w:p>
    <w:p w:rsidR="00B7224D" w:rsidRPr="00041E70" w:rsidRDefault="00B7224D" w:rsidP="00B7224D"/>
    <w:p w:rsidR="00B7224D" w:rsidRPr="00041E70" w:rsidRDefault="00B7224D" w:rsidP="00B7224D">
      <w:pPr>
        <w:pStyle w:val="Heading4"/>
        <w:rPr>
          <w:lang w:val="es-ES_tradnl"/>
        </w:rPr>
      </w:pPr>
      <w:r w:rsidRPr="00041E70">
        <w:rPr>
          <w:lang w:val="es-ES_tradnl"/>
        </w:rPr>
        <w:t>Información sobre el tipo de cultivo</w:t>
      </w:r>
    </w:p>
    <w:p w:rsidR="00B7224D" w:rsidRPr="00041E70" w:rsidRDefault="00B7224D" w:rsidP="00B7224D"/>
    <w:p w:rsidR="00B7224D" w:rsidRPr="00041E70" w:rsidRDefault="00B7224D" w:rsidP="00B7224D">
      <w:pPr>
        <w:rPr>
          <w:rFonts w:cs="Arial"/>
          <w:snapToGrid w:val="0"/>
        </w:rPr>
      </w:pPr>
      <w:r w:rsidRPr="00041E70">
        <w:fldChar w:fldCharType="begin"/>
      </w:r>
      <w:r w:rsidRPr="00041E70">
        <w:instrText xml:space="preserve"> AUTONUM  </w:instrText>
      </w:r>
      <w:r w:rsidRPr="00041E70">
        <w:fldChar w:fldCharType="end"/>
      </w:r>
      <w:r w:rsidRPr="00041E70">
        <w:tab/>
        <w:t>El TC tomó nota de la información sobre el (los) tipo(s) de cultivo asignado(s) a los códigos UPOV empleados actualmente en la base de datos PLUTO, tal como se expone en los párrafos 12 y 13 del documento TC/51/6.</w:t>
      </w:r>
    </w:p>
    <w:p w:rsidR="00B7224D" w:rsidRPr="00041E70" w:rsidRDefault="00B7224D" w:rsidP="00B7224D">
      <w:pPr>
        <w:rPr>
          <w:rFonts w:cs="Arial"/>
          <w:snapToGrid w:val="0"/>
        </w:rPr>
      </w:pPr>
    </w:p>
    <w:p w:rsidR="00B7224D" w:rsidRPr="00041E70" w:rsidRDefault="00B7224D" w:rsidP="00B7224D">
      <w:pPr>
        <w:spacing w:after="240"/>
      </w:pPr>
      <w:r w:rsidRPr="00041E70">
        <w:fldChar w:fldCharType="begin"/>
      </w:r>
      <w:r w:rsidRPr="00041E70">
        <w:instrText xml:space="preserve"> AUTONUM  </w:instrText>
      </w:r>
      <w:r w:rsidRPr="00041E70">
        <w:fldChar w:fldCharType="end"/>
      </w:r>
      <w:r w:rsidRPr="00041E70">
        <w:tab/>
        <w:t>El TC tomó nota de que se introducirá la información sobre el (los) tipo(s) de cultivo en la base de datos GENIE y que se modificará esta base de datos a fin de mostrar el (los) tipo(s) de cultivo para a cada código de la UPOV antes de finales de marzo de 2015.</w:t>
      </w:r>
    </w:p>
    <w:p w:rsidR="00B7224D" w:rsidRPr="00041E70" w:rsidRDefault="00B7224D" w:rsidP="00B7224D">
      <w:pPr>
        <w:spacing w:after="240"/>
        <w:rPr>
          <w:snapToGrid w:val="0"/>
          <w:lang w:eastAsia="ja-JP"/>
        </w:rPr>
      </w:pPr>
      <w:r w:rsidRPr="00041E70">
        <w:fldChar w:fldCharType="begin"/>
      </w:r>
      <w:r w:rsidRPr="00041E70">
        <w:instrText xml:space="preserve"> AUTONUM  </w:instrText>
      </w:r>
      <w:r w:rsidRPr="00041E70">
        <w:fldChar w:fldCharType="end"/>
      </w:r>
      <w:r w:rsidRPr="00041E70">
        <w:tab/>
        <w:t>El TC tomó nota de que, antes de finales marzo de 2015, también se introducirá en la página web de la base de datos GENIE un informe estándar que muestre las asignaciones de los TWP a los códigos UPOV.</w:t>
      </w:r>
    </w:p>
    <w:p w:rsidR="00B7224D" w:rsidRPr="00041E70" w:rsidRDefault="00B7224D" w:rsidP="00B7224D">
      <w:r w:rsidRPr="00041E70">
        <w:fldChar w:fldCharType="begin"/>
      </w:r>
      <w:r w:rsidRPr="00041E70">
        <w:instrText xml:space="preserve"> AUTONUM  </w:instrText>
      </w:r>
      <w:r w:rsidRPr="00041E70">
        <w:fldChar w:fldCharType="end"/>
      </w:r>
      <w:r w:rsidRPr="00041E70">
        <w:tab/>
        <w:t>El TC convino en que la Oficina de la Unión elabore cuadros de asignación del (los) tipo(s) de cultivo a los códigos UPOV utilizados en la base de datos PLUTO por primera vez, con el fin de que las autoridades competentes los verifiquen, para cada una de las sesiones de los TWP que se celebrarán en 2015.</w:t>
      </w:r>
    </w:p>
    <w:p w:rsidR="00B7224D" w:rsidRPr="00041E70" w:rsidRDefault="00B7224D" w:rsidP="00B7224D"/>
    <w:p w:rsidR="00B7224D" w:rsidRPr="00041E70" w:rsidRDefault="00B7224D" w:rsidP="00B7224D">
      <w:pPr>
        <w:pStyle w:val="Heading4"/>
        <w:rPr>
          <w:lang w:val="es-ES_tradnl"/>
        </w:rPr>
      </w:pPr>
      <w:r w:rsidRPr="00041E70">
        <w:rPr>
          <w:lang w:val="es-ES_tradnl"/>
        </w:rPr>
        <w:t>Sistema de códigos de la UPOV</w:t>
      </w:r>
    </w:p>
    <w:p w:rsidR="00B7224D" w:rsidRPr="00041E70" w:rsidRDefault="00B7224D" w:rsidP="00B7224D">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examinó las novedades que se han producido en relación con los códigos de la UPOV, según se exponen en el párrafo 17 del documento TC/51/6.  El TC tomó nota de que e</w:t>
      </w:r>
      <w:r w:rsidRPr="00041E70">
        <w:rPr>
          <w:rFonts w:cs="Arial"/>
          <w:snapToGrid w:val="0"/>
        </w:rPr>
        <w:t>n 201</w:t>
      </w:r>
      <w:r w:rsidRPr="00041E70">
        <w:rPr>
          <w:rFonts w:cs="Arial"/>
          <w:snapToGrid w:val="0"/>
          <w:lang w:eastAsia="ja-JP"/>
        </w:rPr>
        <w:t>4</w:t>
      </w:r>
      <w:r w:rsidRPr="00041E70">
        <w:rPr>
          <w:rFonts w:cs="Arial"/>
          <w:snapToGrid w:val="0"/>
        </w:rPr>
        <w:t xml:space="preserve"> se crearon 577 nuevos códigos UPOV y se introdujeron modificaciones en 37 códigos UPOV existentes.  Al final de 2014, la base de datos GENIE contenía 7.808 códigos UPOV. </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que la Oficina de la Unión elabore cuadros de las adiciones y modificaciones de los códigos UPOV, con el fin de que sean verificados por las autoridades competentes, para cada una de las sesiones de los TWP que celebrarán en 2015, según consta en el párrafo 18 del documento TC/51/6.</w:t>
      </w:r>
    </w:p>
    <w:p w:rsidR="00B7224D" w:rsidRPr="00041E70" w:rsidRDefault="00B7224D" w:rsidP="00B7224D"/>
    <w:p w:rsidR="00B7224D" w:rsidRPr="00041E70" w:rsidRDefault="00B7224D" w:rsidP="00B7224D">
      <w:pPr>
        <w:pStyle w:val="Heading4"/>
        <w:rPr>
          <w:lang w:val="es-ES_tradnl"/>
        </w:rPr>
      </w:pPr>
      <w:r w:rsidRPr="00041E70">
        <w:rPr>
          <w:lang w:val="es-ES_tradnl"/>
        </w:rPr>
        <w:t>Base de datos PLUTO</w:t>
      </w:r>
    </w:p>
    <w:p w:rsidR="00B7224D" w:rsidRPr="00041E70" w:rsidRDefault="00B7224D" w:rsidP="00B7224D">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del resumen de las contribuciones realizadas a la base de datos PLUTO de 2012 a 2014 y sobre la situación actual de los miembros de la Unión en lo que respecta a la aportación de datos, tal como se indica en el Anexo II del documento TC/51/6.</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el número de datos aportados a la base de datos PLUTO que figura en el Anexo II del documento TC/51/6 no incluye todos los datos presentados por la OCVV en el marco de las disposiciones de transición para la carga de datos en línea y observó que la Oficina facilitará una versión corregida del Anexo II.</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antes de marzo de 2015, se introducirá una columna adicional en la pantalla de búsqueda de la base de datos PLUTO en la que se muestre la fecha en que se proporcionó la información.</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la posibilidad de hacer búsquedas, tanto en el campo “Denominación” como en el campo “Referencia del obtentor”, ya sea de manera individual o combinada, con los instrumentos de búsqueda de denominaciones de la página de “Búsqueda por denominación” de la base de datos PLUTO, tal como se expone en los párrafos 28 y 29 del documento TC/51/6, y tomó nota de que las conclusiones del TC sobre esa cuestión se comunicarán al CAJ en su septuagésima primera sesión que se celebrará en Ginebra el 26 de marzo de 2015.</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 información relativa al curso de formación “Aportación de datos a la base de datos PLUTO”, impartido en diciembre de 2014 en Ginebra, tal como se expone en los párrafos 31 al 34 del documento TC/51/6, y de los planes de organizar otros tres cursos en español, francés e inglés en 2015.</w:t>
      </w:r>
    </w:p>
    <w:p w:rsidR="00B7224D" w:rsidRPr="00041E70" w:rsidRDefault="00B7224D" w:rsidP="00B7224D"/>
    <w:p w:rsidR="00B7224D" w:rsidRPr="00041E70" w:rsidRDefault="00B7224D" w:rsidP="00833396">
      <w:pPr>
        <w:pStyle w:val="Heading3"/>
        <w:rPr>
          <w:lang w:val="es-ES_tradnl"/>
        </w:rPr>
      </w:pPr>
      <w:bookmarkStart w:id="39" w:name="_Toc429150767"/>
      <w:r w:rsidRPr="00041E70">
        <w:rPr>
          <w:lang w:val="es-ES_tradnl"/>
        </w:rPr>
        <w:t>b)</w:t>
      </w:r>
      <w:r w:rsidRPr="00041E70">
        <w:rPr>
          <w:lang w:val="es-ES_tradnl"/>
        </w:rPr>
        <w:tab/>
        <w:t>Sistemas de presentación electrónica de solicitudes</w:t>
      </w:r>
      <w:bookmarkEnd w:id="39"/>
    </w:p>
    <w:p w:rsidR="00B7224D" w:rsidRPr="00041E70" w:rsidRDefault="00B7224D" w:rsidP="00B7224D">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examinó el documento TC/51/7 “Sistemas de presentación electrónica de solicitudes”.</w:t>
      </w:r>
    </w:p>
    <w:p w:rsidR="00B7224D" w:rsidRPr="00041E70" w:rsidRDefault="00B7224D" w:rsidP="00B7224D"/>
    <w:p w:rsidR="00B7224D" w:rsidRPr="00041E70" w:rsidRDefault="00B7224D" w:rsidP="00B7224D">
      <w:pPr>
        <w:rPr>
          <w:snapToGrid w:val="0"/>
        </w:rPr>
      </w:pPr>
      <w:r w:rsidRPr="00041E70">
        <w:rPr>
          <w:color w:val="000000"/>
        </w:rPr>
        <w:fldChar w:fldCharType="begin"/>
      </w:r>
      <w:r w:rsidRPr="00041E70">
        <w:rPr>
          <w:color w:val="000000"/>
        </w:rPr>
        <w:instrText xml:space="preserve"> AUTONUM  </w:instrText>
      </w:r>
      <w:r w:rsidRPr="00041E70">
        <w:rPr>
          <w:color w:val="000000"/>
        </w:rPr>
        <w:fldChar w:fldCharType="end"/>
      </w:r>
      <w:r w:rsidRPr="00041E70">
        <w:rPr>
          <w:color w:val="000000"/>
        </w:rPr>
        <w:tab/>
      </w:r>
      <w:r w:rsidRPr="00041E70">
        <w:t>El TC tomó nota de las novedades relativas a la elaboración de un prototipo de formulario electrónico, tal como se expone en el documento TC/51/7.</w:t>
      </w:r>
    </w:p>
    <w:p w:rsidR="00B7224D" w:rsidRPr="00041E70" w:rsidRDefault="00B7224D" w:rsidP="00B7224D">
      <w:pPr>
        <w:rPr>
          <w:snapToGrid w:val="0"/>
        </w:rPr>
      </w:pPr>
    </w:p>
    <w:p w:rsidR="00B7224D" w:rsidRPr="00041E70" w:rsidRDefault="00B7224D" w:rsidP="00B7224D">
      <w:pPr>
        <w:rPr>
          <w:snapToGrid w:val="0"/>
        </w:rPr>
      </w:pPr>
      <w:r w:rsidRPr="00041E70">
        <w:rPr>
          <w:snapToGrid w:val="0"/>
        </w:rPr>
        <w:fldChar w:fldCharType="begin"/>
      </w:r>
      <w:r w:rsidRPr="00041E70">
        <w:rPr>
          <w:snapToGrid w:val="0"/>
        </w:rPr>
        <w:instrText xml:space="preserve"> AUTONUM  </w:instrText>
      </w:r>
      <w:r w:rsidRPr="00041E70">
        <w:rPr>
          <w:snapToGrid w:val="0"/>
        </w:rPr>
        <w:fldChar w:fldCharType="end"/>
      </w:r>
      <w:r w:rsidRPr="00041E70">
        <w:rPr>
          <w:snapToGrid w:val="0"/>
        </w:rPr>
        <w:tab/>
        <w:t>La Unión Europea pidió más tiempo para formular observaciones acerca de la elaboración del prototipo de formulario electrónico.  La Oficina de la UPOV aclaró que todas las observaciones recibidas podrán tenerse en cuenta en ulteriores versiones del prototipo e invitó a todos los miembros de la UPOV y a los obtentores a sumarse al proyecto.</w:t>
      </w:r>
    </w:p>
    <w:p w:rsidR="00B7224D" w:rsidRPr="00041E70" w:rsidRDefault="00B7224D" w:rsidP="00B7224D"/>
    <w:p w:rsidR="00B7224D" w:rsidRPr="00041E70" w:rsidRDefault="00B7224D" w:rsidP="00833396">
      <w:pPr>
        <w:pStyle w:val="Heading3"/>
        <w:rPr>
          <w:lang w:val="es-ES_tradnl"/>
        </w:rPr>
      </w:pPr>
      <w:bookmarkStart w:id="40" w:name="_Toc429150768"/>
      <w:r w:rsidRPr="00041E70">
        <w:rPr>
          <w:lang w:val="es-ES_tradnl"/>
        </w:rPr>
        <w:t>c)</w:t>
      </w:r>
      <w:r w:rsidRPr="00041E70">
        <w:rPr>
          <w:lang w:val="es-ES_tradnl"/>
        </w:rPr>
        <w:tab/>
        <w:t>Programas informáticos para intercambio</w:t>
      </w:r>
      <w:bookmarkEnd w:id="40"/>
    </w:p>
    <w:p w:rsidR="00B7224D" w:rsidRPr="00041E70" w:rsidRDefault="00B7224D" w:rsidP="00B7224D">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Comité examinó el documento TC/51/8.</w:t>
      </w:r>
    </w:p>
    <w:p w:rsidR="00B7224D" w:rsidRPr="00041E70" w:rsidRDefault="00B7224D" w:rsidP="00B7224D"/>
    <w:p w:rsidR="00B7224D" w:rsidRPr="00041E70" w:rsidRDefault="00B7224D" w:rsidP="00B7224D">
      <w:pPr>
        <w:pStyle w:val="Heading4"/>
        <w:rPr>
          <w:lang w:val="es-ES_tradnl"/>
        </w:rPr>
      </w:pPr>
      <w:r w:rsidRPr="00041E70">
        <w:rPr>
          <w:lang w:val="es-ES_tradnl"/>
        </w:rPr>
        <w:t>Documento UPOV/INF/16 “Programas informáticos para intercambio”</w:t>
      </w:r>
    </w:p>
    <w:p w:rsidR="00B7224D" w:rsidRPr="00041E70" w:rsidRDefault="00B7224D" w:rsidP="00B7224D">
      <w:pPr>
        <w:keepNext/>
        <w:rPr>
          <w:rFonts w:eastAsia="MS Mincho"/>
          <w:u w:val="single"/>
        </w:rPr>
      </w:pPr>
    </w:p>
    <w:p w:rsidR="00B7224D" w:rsidRPr="00041E70" w:rsidRDefault="00B7224D" w:rsidP="00B7224D">
      <w:pPr>
        <w:pStyle w:val="Heading4"/>
        <w:rPr>
          <w:lang w:val="es-ES_tradnl"/>
        </w:rPr>
      </w:pPr>
      <w:r w:rsidRPr="00041E70">
        <w:rPr>
          <w:lang w:val="es-ES_tradnl"/>
        </w:rPr>
        <w:t>Revisión del documento UPOV/INF/16</w:t>
      </w:r>
    </w:p>
    <w:p w:rsidR="00B7224D" w:rsidRPr="00041E70" w:rsidRDefault="00B7224D" w:rsidP="00B7224D">
      <w:pPr>
        <w:keepNext/>
        <w:rPr>
          <w:rFonts w:eastAsia="MS Mincho"/>
        </w:rPr>
      </w:pPr>
    </w:p>
    <w:p w:rsidR="00B7224D" w:rsidRPr="00041E70" w:rsidRDefault="00B7224D" w:rsidP="00B7224D">
      <w:pPr>
        <w:rPr>
          <w:rFonts w:eastAsia="MS Mincho"/>
        </w:rPr>
      </w:pPr>
      <w:r w:rsidRPr="00041E70">
        <w:rPr>
          <w:rFonts w:eastAsia="MS Mincho"/>
        </w:rPr>
        <w:fldChar w:fldCharType="begin"/>
      </w:r>
      <w:r w:rsidRPr="00041E70">
        <w:rPr>
          <w:rFonts w:eastAsia="MS Mincho"/>
        </w:rPr>
        <w:instrText xml:space="preserve"> AUTONUM  </w:instrText>
      </w:r>
      <w:r w:rsidRPr="00041E70">
        <w:rPr>
          <w:rFonts w:eastAsia="MS Mincho"/>
        </w:rPr>
        <w:fldChar w:fldCharType="end"/>
      </w:r>
      <w:r w:rsidRPr="00041E70">
        <w:rPr>
          <w:rFonts w:eastAsia="MS Mincho"/>
        </w:rPr>
        <w:tab/>
        <w:t xml:space="preserve">El TC tomó nota de </w:t>
      </w:r>
      <w:r w:rsidRPr="00041E70">
        <w:rPr>
          <w:lang w:eastAsia="ja-JP"/>
        </w:rPr>
        <w:t>que el Consejo</w:t>
      </w:r>
      <w:r w:rsidRPr="00041E70">
        <w:rPr>
          <w:color w:val="000000"/>
          <w:lang w:eastAsia="ja-JP"/>
        </w:rPr>
        <w:t>, en su cuadragésima octava sesión ordinaria, celebrada en Ginebra el 16 de octubre de 2014, aprobó la revisión del documento UPOV/INF/16 “Programas informáticos para intercambio” (documento UPOV/INF/16/4)</w:t>
      </w:r>
      <w:r w:rsidRPr="00041E70">
        <w:rPr>
          <w:rFonts w:eastAsia="MS Mincho"/>
        </w:rPr>
        <w:t>.</w:t>
      </w:r>
    </w:p>
    <w:p w:rsidR="00B7224D" w:rsidRPr="00041E70" w:rsidRDefault="00B7224D" w:rsidP="00B7224D">
      <w:pPr>
        <w:rPr>
          <w:rFonts w:eastAsia="MS Mincho"/>
        </w:rPr>
      </w:pPr>
    </w:p>
    <w:p w:rsidR="00B7224D" w:rsidRPr="00041E70" w:rsidRDefault="00B7224D" w:rsidP="00B7224D">
      <w:pPr>
        <w:pStyle w:val="Heading4"/>
        <w:rPr>
          <w:lang w:val="es-ES_tradnl"/>
        </w:rPr>
      </w:pPr>
      <w:r w:rsidRPr="00041E70">
        <w:rPr>
          <w:lang w:val="es-ES_tradnl"/>
        </w:rPr>
        <w:t>Programas informáticos que se propone incluir en el documento UPOV/INF/16, “Programas informáticos para intercambio”</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w:t>
      </w:r>
      <w:r w:rsidRPr="00041E70">
        <w:rPr>
          <w:lang w:eastAsia="ja-JP"/>
        </w:rPr>
        <w:t xml:space="preserve"> que los debates sobre la inclusión del programa informático SISNAVA en el documento UPOV/INF/16 continuarán en el seno del TWC, a reserva de la conclusión de los debates sobre la variación de las descripciones de variedades con el paso de los años en distintos lugares</w:t>
      </w:r>
      <w:r w:rsidRPr="00041E70">
        <w:t>.</w:t>
      </w:r>
    </w:p>
    <w:p w:rsidR="00B7224D" w:rsidRPr="00041E70" w:rsidRDefault="00B7224D" w:rsidP="00B7224D"/>
    <w:p w:rsidR="00B7224D" w:rsidRPr="00041E70" w:rsidRDefault="00B7224D" w:rsidP="00833396">
      <w:pPr>
        <w:pStyle w:val="Heading4"/>
        <w:rPr>
          <w:lang w:val="es-ES_tradnl"/>
        </w:rPr>
      </w:pPr>
      <w:r w:rsidRPr="00041E70">
        <w:rPr>
          <w:lang w:val="es-ES_tradnl"/>
        </w:rPr>
        <w:t>Información sobre la utilización por los miembros</w:t>
      </w:r>
    </w:p>
    <w:p w:rsidR="00B7224D" w:rsidRPr="00041E70" w:rsidRDefault="00B7224D" w:rsidP="00833396">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aprobó la revisión del documento UPOV/INF/16 en lo relativo a la inclusión de información sobre la utilización de programas informáticos por los miembros de la Unión, según se expone en el Anexo I del documento TC/51/8.</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las observaciones del TC, en su quincuagésima primera sesión, relativas al uso de programas informáticos por los miembros de la Unión, se notificarán al CAJ en su septuagésima primera sesión, que se celebrará en Ginebra el 26 de marzo de 2015, y, si el CAJ lo aprueba, se presentará un proyecto de documento UPOV/INF/16/5 al Consejo para que considere su aprobación en su cuadragésima novena sesión ordinaria, que se celebrará el 29 de octubre de 2015.</w:t>
      </w:r>
    </w:p>
    <w:p w:rsidR="00B7224D" w:rsidRPr="00041E70" w:rsidRDefault="00B7224D" w:rsidP="00B7224D"/>
    <w:p w:rsidR="00B7224D" w:rsidRPr="00041E70" w:rsidRDefault="00B7224D" w:rsidP="00B7224D">
      <w:pPr>
        <w:pStyle w:val="Heading4"/>
        <w:rPr>
          <w:lang w:val="es-ES_tradnl"/>
        </w:rPr>
      </w:pPr>
      <w:r w:rsidRPr="00041E70">
        <w:rPr>
          <w:lang w:val="es-ES_tradnl"/>
        </w:rPr>
        <w:t>UPOV/INF/22 Programas informáticos y equipos utilizados por los miembros de la Unión</w:t>
      </w:r>
    </w:p>
    <w:p w:rsidR="00B7224D" w:rsidRPr="00041E70" w:rsidRDefault="00B7224D" w:rsidP="00B7224D">
      <w:pPr>
        <w:keepNext/>
      </w:pPr>
    </w:p>
    <w:p w:rsidR="00B7224D" w:rsidRPr="00041E70" w:rsidRDefault="00B7224D" w:rsidP="00833396">
      <w:pPr>
        <w:ind w:left="567"/>
        <w:rPr>
          <w:i/>
          <w:snapToGrid w:val="0"/>
          <w:sz w:val="18"/>
        </w:rPr>
      </w:pPr>
      <w:r w:rsidRPr="00041E70">
        <w:rPr>
          <w:snapToGrid w:val="0"/>
          <w:sz w:val="18"/>
        </w:rPr>
        <w:t>Aprobación del documento UPOV/INF/22/1</w:t>
      </w:r>
    </w:p>
    <w:p w:rsidR="00B7224D" w:rsidRPr="00041E70" w:rsidRDefault="00B7224D" w:rsidP="00B7224D">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w:t>
      </w:r>
      <w:r w:rsidRPr="00041E70">
        <w:rPr>
          <w:lang w:eastAsia="ja-JP"/>
        </w:rPr>
        <w:t xml:space="preserve"> que el Consejo, en su cuadragésima octava sesión ordinaria celebrada en Ginebra el 16 de octubre de 2014, aprobó el documento UPOV/INF/22/1 “Programas informáticos y equipos utilizados por los miembros de la Unión</w:t>
      </w:r>
      <w:r w:rsidRPr="00041E70">
        <w:rPr>
          <w:color w:val="000000"/>
          <w:lang w:eastAsia="ja-JP"/>
        </w:rPr>
        <w:t>”.</w:t>
      </w:r>
    </w:p>
    <w:p w:rsidR="00B7224D" w:rsidRPr="00041E70" w:rsidRDefault="00B7224D" w:rsidP="00B7224D"/>
    <w:p w:rsidR="00B7224D" w:rsidRPr="00041E70" w:rsidRDefault="00B7224D" w:rsidP="00B7224D">
      <w:pPr>
        <w:pStyle w:val="Heading4"/>
        <w:rPr>
          <w:lang w:val="es-ES_tradnl"/>
        </w:rPr>
      </w:pPr>
      <w:r w:rsidRPr="00041E70">
        <w:rPr>
          <w:lang w:val="es-ES_tradnl"/>
        </w:rPr>
        <w:t>Programas informáticos que se propone incluir en el documento UPOV/INF/ 22</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que la información que figura en el Anexo II del documento TC/51/8 se incluya en el documento UPOV/INF/22, con sujeción a las correcciones que ha de presentar Alemania y a la verificación de los datos proporcionados por el Uruguay.</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que, previo acuerdo del TC en su quincuagésima primera sesión, las observaciones formuladas por el propio Comité Técnico acerca de la utilización de los programas informáticos por parte de los miembros de la Unión se notificarán al CAJ en su septuagésima primera sesión y, previo acuerdo de este, se presentará al Consejo un proyecto de documento UPOV/INF/22/2 para que considere su aprobación en su cuadragésima novena sesión ordinaria, que se celebrará en Ginebra el 29 de octubre de 2015.</w:t>
      </w:r>
    </w:p>
    <w:p w:rsidR="00B7224D" w:rsidRPr="00041E70" w:rsidRDefault="00B7224D" w:rsidP="00B7224D"/>
    <w:p w:rsidR="00B7224D" w:rsidRPr="00041E70" w:rsidRDefault="00B7224D" w:rsidP="00B7224D">
      <w:pPr>
        <w:pStyle w:val="Heading3"/>
        <w:rPr>
          <w:lang w:val="es-ES_tradnl"/>
        </w:rPr>
      </w:pPr>
      <w:bookmarkStart w:id="41" w:name="_Toc429150769"/>
      <w:r w:rsidRPr="00041E70">
        <w:rPr>
          <w:lang w:val="es-ES_tradnl"/>
        </w:rPr>
        <w:t>d)</w:t>
      </w:r>
      <w:r w:rsidRPr="00041E70">
        <w:rPr>
          <w:lang w:val="es-ES_tradnl"/>
        </w:rPr>
        <w:tab/>
        <w:t>Bases de datos de descripciones de variedades</w:t>
      </w:r>
      <w:bookmarkEnd w:id="41"/>
    </w:p>
    <w:p w:rsidR="00B7224D" w:rsidRPr="00041E70" w:rsidRDefault="00B7224D" w:rsidP="00B7224D">
      <w:pPr>
        <w:keepNext/>
      </w:pPr>
    </w:p>
    <w:p w:rsidR="00B7224D" w:rsidRPr="00041E70" w:rsidRDefault="00B7224D" w:rsidP="00B7224D">
      <w:pPr>
        <w:keepNext/>
      </w:pPr>
      <w:r w:rsidRPr="00041E70">
        <w:fldChar w:fldCharType="begin"/>
      </w:r>
      <w:r w:rsidRPr="00041E70">
        <w:instrText xml:space="preserve"> AUTONUM  </w:instrText>
      </w:r>
      <w:r w:rsidRPr="00041E70">
        <w:fldChar w:fldCharType="end"/>
      </w:r>
      <w:r w:rsidRPr="00041E70">
        <w:tab/>
        <w:t>El TC examinó el documento TC/51/9 "Denominaciones de variedades".</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las novedades relativas a las bases de datos de descripciones de variedades, según consta en el documento TC/51/9, y especialmente de que:</w:t>
      </w:r>
    </w:p>
    <w:p w:rsidR="00B7224D" w:rsidRPr="00041E70" w:rsidRDefault="00B7224D" w:rsidP="00B7224D"/>
    <w:p w:rsidR="00B7224D" w:rsidRPr="00041E70" w:rsidRDefault="00B7224D" w:rsidP="00B7224D">
      <w:pPr>
        <w:ind w:left="1134" w:hanging="567"/>
      </w:pPr>
      <w:r w:rsidRPr="00041E70">
        <w:t>a)</w:t>
      </w:r>
      <w:r w:rsidRPr="00041E70">
        <w:tab/>
        <w:t>el TWO convino en que no sería conveniente elaborar una base de datos para una especie ornamental en este momento;  y</w:t>
      </w:r>
    </w:p>
    <w:p w:rsidR="00B7224D" w:rsidRPr="00041E70" w:rsidRDefault="00B7224D" w:rsidP="00B7224D"/>
    <w:p w:rsidR="00B7224D" w:rsidRPr="00041E70" w:rsidRDefault="00B7224D" w:rsidP="00B7224D">
      <w:pPr>
        <w:ind w:left="1134" w:hanging="567"/>
      </w:pPr>
      <w:r w:rsidRPr="00041E70">
        <w:t>b)</w:t>
      </w:r>
      <w:r w:rsidRPr="00041E70">
        <w:tab/>
        <w:t>el TWC convino en invitar a un experto de China a presentar, en su trigésima tercera sesión, una ponencia sobre el análisis de la varianza de la interacción de “variedad × lugar” (ambiente) de los caracteres QN examinados en el estudio realizado con el módulo estadístico del nuevo programa informático “DUSTC” elaborado por su país.</w:t>
      </w:r>
    </w:p>
    <w:p w:rsidR="00B7224D" w:rsidRPr="00041E70" w:rsidRDefault="00B7224D" w:rsidP="00B7224D">
      <w:pPr>
        <w:rPr>
          <w:snapToGrid w:val="0"/>
        </w:rPr>
      </w:pPr>
    </w:p>
    <w:p w:rsidR="00B7224D" w:rsidRPr="00041E70" w:rsidRDefault="00B7224D" w:rsidP="00833396">
      <w:pPr>
        <w:rPr>
          <w:snapToGrid w:val="0"/>
        </w:rPr>
      </w:pPr>
      <w:r w:rsidRPr="00041E70">
        <w:rPr>
          <w:snapToGrid w:val="0"/>
        </w:rPr>
        <w:fldChar w:fldCharType="begin"/>
      </w:r>
      <w:r w:rsidRPr="00041E70">
        <w:rPr>
          <w:snapToGrid w:val="0"/>
        </w:rPr>
        <w:instrText xml:space="preserve"> AUTONUM  </w:instrText>
      </w:r>
      <w:r w:rsidRPr="00041E70">
        <w:rPr>
          <w:snapToGrid w:val="0"/>
        </w:rPr>
        <w:fldChar w:fldCharType="end"/>
      </w:r>
      <w:r w:rsidRPr="00041E70">
        <w:rPr>
          <w:snapToGrid w:val="0"/>
        </w:rPr>
        <w:tab/>
        <w:t xml:space="preserve">El TC señaló la importancia de las bases de datos para los miembros de la UPOV y convino en que sería útil incluir en la quincuagésima segunda sesión del Comité Técnico un punto de debate sobre el fomento de la elaboración de bases de datos.  </w:t>
      </w:r>
    </w:p>
    <w:p w:rsidR="00833396" w:rsidRPr="00041E70" w:rsidRDefault="00833396" w:rsidP="00833396">
      <w:pPr>
        <w:rPr>
          <w:snapToGrid w:val="0"/>
        </w:rPr>
      </w:pPr>
    </w:p>
    <w:p w:rsidR="00833396" w:rsidRPr="00041E70" w:rsidRDefault="00833396" w:rsidP="00833396">
      <w:pPr>
        <w:rPr>
          <w:snapToGrid w:val="0"/>
        </w:rPr>
      </w:pPr>
    </w:p>
    <w:p w:rsidR="00B7224D" w:rsidRPr="00041E70" w:rsidRDefault="00B7224D" w:rsidP="00833396">
      <w:pPr>
        <w:pStyle w:val="Heading2"/>
      </w:pPr>
      <w:bookmarkStart w:id="42" w:name="_Toc429150770"/>
      <w:r w:rsidRPr="00041E70">
        <w:t>Asuntos relativos a las descripciones de variedades</w:t>
      </w:r>
      <w:bookmarkEnd w:id="42"/>
    </w:p>
    <w:p w:rsidR="00B7224D" w:rsidRPr="00041E70" w:rsidRDefault="00B7224D" w:rsidP="00B7224D">
      <w:pPr>
        <w:jc w:val="left"/>
      </w:pPr>
    </w:p>
    <w:p w:rsidR="00B7224D" w:rsidRPr="00041E70" w:rsidRDefault="00B7224D" w:rsidP="00B7224D">
      <w:pPr>
        <w:jc w:val="left"/>
      </w:pPr>
      <w:r w:rsidRPr="00041E70">
        <w:fldChar w:fldCharType="begin"/>
      </w:r>
      <w:r w:rsidRPr="00041E70">
        <w:instrText xml:space="preserve"> AUTONUM  </w:instrText>
      </w:r>
      <w:r w:rsidRPr="00041E70">
        <w:fldChar w:fldCharType="end"/>
      </w:r>
      <w:r w:rsidRPr="00041E70">
        <w:tab/>
        <w:t>El TC examinó el documento TC/51/38 “Asuntos relativos a las descripciones de variedades”.</w:t>
      </w:r>
    </w:p>
    <w:p w:rsidR="00B7224D" w:rsidRPr="00041E70" w:rsidRDefault="00B7224D" w:rsidP="00B7224D">
      <w:pPr>
        <w:jc w:val="left"/>
      </w:pPr>
    </w:p>
    <w:p w:rsidR="00B7224D" w:rsidRPr="00041E70" w:rsidRDefault="00B7224D" w:rsidP="00B7224D">
      <w:pPr>
        <w:pStyle w:val="Heading3"/>
        <w:rPr>
          <w:lang w:val="es-ES_tradnl"/>
        </w:rPr>
      </w:pPr>
      <w:bookmarkStart w:id="43" w:name="_Toc429150771"/>
      <w:r w:rsidRPr="00041E70">
        <w:rPr>
          <w:lang w:val="es-ES_tradnl"/>
        </w:rPr>
        <w:t>Control del mantenimiento de la variedad</w:t>
      </w:r>
      <w:bookmarkEnd w:id="43"/>
    </w:p>
    <w:p w:rsidR="00B7224D" w:rsidRPr="00041E70" w:rsidRDefault="00B7224D" w:rsidP="00B7224D">
      <w:pPr>
        <w:jc w:val="lef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invitar a expertos a presentar ante los TWP, en sus sesiones de 2015, sus experiencias relativas al uso de información, documentos o material proporcionados por el obtentor para controlar el mantenimiento de la variedad y el uso de directrices de examen diferentes de las empleadas en el examen DHE para controlar el mantenimiento de la variedad.</w:t>
      </w:r>
    </w:p>
    <w:p w:rsidR="00B7224D" w:rsidRPr="00041E70" w:rsidRDefault="00B7224D" w:rsidP="00B7224D">
      <w:pPr>
        <w:jc w:val="left"/>
      </w:pPr>
    </w:p>
    <w:p w:rsidR="00B7224D" w:rsidRPr="00041E70" w:rsidRDefault="00B7224D" w:rsidP="00B7224D">
      <w:pPr>
        <w:pStyle w:val="Heading3"/>
        <w:rPr>
          <w:lang w:val="es-ES_tradnl"/>
        </w:rPr>
      </w:pPr>
      <w:bookmarkStart w:id="44" w:name="_Toc429150772"/>
      <w:r w:rsidRPr="00041E70">
        <w:rPr>
          <w:lang w:val="es-ES_tradnl"/>
        </w:rPr>
        <w:t>Asuntos relativos a las descripciones de variedades</w:t>
      </w:r>
      <w:bookmarkEnd w:id="44"/>
    </w:p>
    <w:p w:rsidR="00B7224D" w:rsidRPr="00041E70" w:rsidRDefault="00B7224D" w:rsidP="00B7224D">
      <w:pPr>
        <w:jc w:val="left"/>
      </w:pPr>
    </w:p>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señaló que existen distintos enfoques para generar descripciones de variedades y controlar el mantenimiento de las variedades en distintos miembros de la UPOV y en virtud de distintos sistemas de examen DHE.  </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tomó nota de la información contenida en los párrafos 9 a 12 del documento TC/51/38 en referencia a los asuntos relativos a las descripciones de variedades que se exponen en el párrafo 8 del documento TC/51/38. </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acordó invitar a expertos a presentar a los TWP, en sus sesiones de 2015, una ponencia sobre la forma en que se generan las descripciones de variedades en el examen DHE, cómo se utilizan después de la concesión de un derecho de obtentor y la forma en que se controla el mantenimiento de las variedades.  En particular, el TC tomó nota de la posible influencia de la interacción entre el genotipo y el ambiente en la descripción de la variedad.</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convino en que también debería invitarse a expertos a presentar a los TWP, en sus sesiones de 2015, la función del material vegetal utilizado como base para el examen DHE con respecto a los asuntos enumerados en el párrafo 8 del documento TC/51/38.</w:t>
      </w:r>
    </w:p>
    <w:p w:rsidR="00B7224D" w:rsidRPr="00041E70" w:rsidRDefault="00B7224D" w:rsidP="00B7224D"/>
    <w:p w:rsidR="00B7224D" w:rsidRPr="00041E70" w:rsidRDefault="00B7224D" w:rsidP="00B7224D">
      <w:pPr>
        <w:jc w:val="left"/>
      </w:pPr>
    </w:p>
    <w:p w:rsidR="00B7224D" w:rsidRPr="00041E70" w:rsidRDefault="00B7224D" w:rsidP="00833396">
      <w:pPr>
        <w:pStyle w:val="Heading2"/>
      </w:pPr>
      <w:bookmarkStart w:id="45" w:name="_Toc429150773"/>
      <w:r w:rsidRPr="00041E70">
        <w:t>Debate sobre la mejora de la eficacia del Comité Técnico, los Grupos de Trabajo Técnico y los talleres preparatorios</w:t>
      </w:r>
      <w:bookmarkEnd w:id="45"/>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examinó el documento TC/51/37 “Posibles medios de fomentar la eficacia del Comité Técnico, los Grupos de Trabajo Técnico y los talleres preparatorios” y escuchó una ponencia a cargo de la Oficina de la UPOV.</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 participación en la encuesta dirigida a los participantes de las sesiones de los TWP en 2014, que consta en el párrafo 20 del documento TC/51/37.</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los resultados de las encuestas de 2014 que se exponen en el Anexo I del documento TC/51/37.</w:t>
      </w:r>
    </w:p>
    <w:p w:rsidR="00B7224D" w:rsidRPr="00041E70" w:rsidRDefault="00B7224D" w:rsidP="00B7224D">
      <w:pPr>
        <w:rPr>
          <w:i/>
        </w:rPr>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las observaciones formuladas por los TWP en sus sesiones de 2014 en relación con propuestas que podrían implicar cambios de coste o de plazos, que se recogen en el Anexo II del documento TC/51/37.</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estuvo de acuerdo con las siguientes propuestas relativas a los medios de mejorar la eficacia de los TWP que constan en el párrafo 24 del documento TC/51/37:</w:t>
      </w:r>
    </w:p>
    <w:p w:rsidR="00B7224D" w:rsidRPr="00041E70" w:rsidRDefault="00B7224D" w:rsidP="00B7224D"/>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9639"/>
      </w:tblGrid>
      <w:tr w:rsidR="00B7224D" w:rsidRPr="00041E70" w:rsidTr="00B7224D">
        <w:trPr>
          <w:cantSplit/>
        </w:trPr>
        <w:tc>
          <w:tcPr>
            <w:tcW w:w="9889" w:type="dxa"/>
            <w:gridSpan w:val="2"/>
          </w:tcPr>
          <w:p w:rsidR="00B7224D" w:rsidRPr="00041E70" w:rsidRDefault="00B7224D" w:rsidP="00B7224D">
            <w:pPr>
              <w:rPr>
                <w:rFonts w:eastAsia="MS Mincho"/>
              </w:rPr>
            </w:pPr>
            <w:r w:rsidRPr="00041E70">
              <w:rPr>
                <w:rFonts w:eastAsia="MS Mincho"/>
              </w:rPr>
              <w:t>OBSERVACIONES GENERALES</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 xml:space="preserve">Ser más específico en lo que respecta a cada TWP, por ejemplo, en cuanto a: </w:t>
            </w:r>
          </w:p>
          <w:p w:rsidR="00B7224D" w:rsidRPr="00041E70" w:rsidRDefault="00B7224D" w:rsidP="00B7224D">
            <w:pPr>
              <w:numPr>
                <w:ilvl w:val="1"/>
                <w:numId w:val="25"/>
              </w:numPr>
              <w:spacing w:after="120"/>
              <w:rPr>
                <w:rFonts w:eastAsia="MS Mincho"/>
              </w:rPr>
            </w:pPr>
            <w:r w:rsidRPr="00041E70">
              <w:rPr>
                <w:rFonts w:eastAsia="MS Mincho"/>
              </w:rPr>
              <w:t>la visita técnica,</w:t>
            </w:r>
          </w:p>
          <w:p w:rsidR="00B7224D" w:rsidRPr="00041E70" w:rsidRDefault="00B7224D" w:rsidP="00B7224D">
            <w:pPr>
              <w:numPr>
                <w:ilvl w:val="1"/>
                <w:numId w:val="25"/>
              </w:numPr>
              <w:spacing w:after="120"/>
              <w:rPr>
                <w:rFonts w:eastAsia="MS Mincho"/>
              </w:rPr>
            </w:pPr>
            <w:r w:rsidRPr="00041E70">
              <w:rPr>
                <w:rFonts w:eastAsia="MS Mincho"/>
              </w:rPr>
              <w:t>los asuntos que han de examinarse,</w:t>
            </w:r>
          </w:p>
          <w:p w:rsidR="00B7224D" w:rsidRPr="00041E70" w:rsidDel="0031554F" w:rsidRDefault="00B7224D" w:rsidP="00B7224D">
            <w:pPr>
              <w:numPr>
                <w:ilvl w:val="1"/>
                <w:numId w:val="25"/>
              </w:numPr>
              <w:spacing w:after="120"/>
              <w:rPr>
                <w:rFonts w:eastAsia="MS Mincho"/>
              </w:rPr>
            </w:pPr>
            <w:r w:rsidRPr="00041E70">
              <w:rPr>
                <w:rFonts w:eastAsia="MS Mincho"/>
              </w:rPr>
              <w:t>el plan de trabajo (por ejemplo, el tiempo asignado a los documentos TGP y a las directrices de examen)</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Actualizar el documento “Nota orientativa:  Preparativos de los Grupos de Trabajo Técnico de la UPOV” (preparativos para las reuniones y la visita técnica):</w:t>
            </w:r>
          </w:p>
          <w:p w:rsidR="00B7224D" w:rsidRPr="00041E70" w:rsidRDefault="00B7224D" w:rsidP="00B7224D">
            <w:pPr>
              <w:numPr>
                <w:ilvl w:val="1"/>
                <w:numId w:val="26"/>
              </w:numPr>
              <w:spacing w:after="120"/>
              <w:rPr>
                <w:rFonts w:eastAsia="MS Mincho"/>
              </w:rPr>
            </w:pPr>
            <w:r w:rsidRPr="00041E70">
              <w:rPr>
                <w:rFonts w:eastAsia="MS Mincho"/>
              </w:rPr>
              <w:t>tarjetas de identificación</w:t>
            </w:r>
          </w:p>
          <w:p w:rsidR="00B7224D" w:rsidRPr="00041E70" w:rsidRDefault="00B7224D" w:rsidP="00B7224D">
            <w:pPr>
              <w:numPr>
                <w:ilvl w:val="1"/>
                <w:numId w:val="26"/>
              </w:numPr>
              <w:spacing w:after="120"/>
              <w:rPr>
                <w:rFonts w:eastAsia="MS Mincho"/>
              </w:rPr>
            </w:pPr>
            <w:r w:rsidRPr="00041E70">
              <w:rPr>
                <w:rFonts w:eastAsia="MS Mincho"/>
              </w:rPr>
              <w:t>listas de participantes en un gran tablero</w:t>
            </w:r>
          </w:p>
          <w:p w:rsidR="00B7224D" w:rsidRPr="00041E70" w:rsidRDefault="00B7224D" w:rsidP="00B7224D">
            <w:pPr>
              <w:numPr>
                <w:ilvl w:val="1"/>
                <w:numId w:val="26"/>
              </w:numPr>
              <w:spacing w:after="120"/>
              <w:rPr>
                <w:rFonts w:eastAsia="MS Mincho"/>
              </w:rPr>
            </w:pPr>
            <w:r w:rsidRPr="00041E70">
              <w:rPr>
                <w:rFonts w:eastAsia="MS Mincho"/>
              </w:rPr>
              <w:t>tablón de anuncios</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Revisar el documento “Nota orientativa</w:t>
            </w:r>
            <w:proofErr w:type="gramStart"/>
            <w:r w:rsidRPr="00041E70">
              <w:rPr>
                <w:rFonts w:eastAsia="MS Mincho"/>
              </w:rPr>
              <w:t>:  Preparativos</w:t>
            </w:r>
            <w:proofErr w:type="gramEnd"/>
            <w:r w:rsidRPr="00041E70">
              <w:rPr>
                <w:rFonts w:eastAsia="MS Mincho"/>
              </w:rPr>
              <w:t xml:space="preserve"> de los Grupos de Trabajo Técnico de la UPOV” y detallar los puntos principales en una carta introductoria (por ejemplo, alentar a que los talleres nacionales se celebren en paralelo a la sesión para aprovechar la presencia de expertos internacionales en el país; indicar la fecha más temprana para organizar la primera sesión de un TWP una vez que se haya celebrado la sesión del TC).</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Anunciar el lugar de celebración de la próxima sesión del TWP el primer día a fin de que los participantes dispongan de tiempo suficiente para formular sugerencias acerca del orden del día y de la visita técnica (invitar al anfitrión a que explique el programa previsto, por ejemplo, la visita técnica).</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Introducir una sesión de debate como la que tiene lugar en las sesiones del TC.</w:t>
            </w:r>
          </w:p>
        </w:tc>
      </w:tr>
      <w:tr w:rsidR="00B7224D" w:rsidRPr="00041E70" w:rsidTr="00B7224D">
        <w:trPr>
          <w:cantSplit/>
        </w:trPr>
        <w:tc>
          <w:tcPr>
            <w:tcW w:w="9889" w:type="dxa"/>
            <w:gridSpan w:val="2"/>
          </w:tcPr>
          <w:p w:rsidR="00B7224D" w:rsidRPr="00041E70" w:rsidRDefault="00B7224D" w:rsidP="00B7224D">
            <w:pPr>
              <w:rPr>
                <w:rFonts w:eastAsia="MS Mincho"/>
              </w:rPr>
            </w:pPr>
            <w:r w:rsidRPr="00041E70">
              <w:rPr>
                <w:rFonts w:eastAsia="MS Mincho"/>
              </w:rPr>
              <w:t>PLAN DE TRABAJO</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Distribuir con antelación el calendario de la semana propuesto para la sesión del TWP.</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Incluir enlaces a los documentos en el programa de la semana que se publica en el sitio web de la UPOV.</w:t>
            </w:r>
          </w:p>
        </w:tc>
      </w:tr>
      <w:tr w:rsidR="00B7224D" w:rsidRPr="00041E70" w:rsidTr="00B7224D">
        <w:trPr>
          <w:cantSplit/>
        </w:trPr>
        <w:tc>
          <w:tcPr>
            <w:tcW w:w="9889" w:type="dxa"/>
            <w:gridSpan w:val="2"/>
          </w:tcPr>
          <w:p w:rsidR="00B7224D" w:rsidRPr="00041E70" w:rsidRDefault="00B7224D" w:rsidP="00B7224D">
            <w:pPr>
              <w:rPr>
                <w:rFonts w:eastAsia="MS Mincho"/>
              </w:rPr>
            </w:pPr>
            <w:r w:rsidRPr="00041E70">
              <w:rPr>
                <w:rFonts w:eastAsia="MS Mincho"/>
              </w:rPr>
              <w:t>DOCUMENTOS</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Seguir incluyendo párrafos de decisión en los documentos TWP.</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Incluir un resumen en los documentos TWP.</w:t>
            </w:r>
          </w:p>
        </w:tc>
      </w:tr>
      <w:tr w:rsidR="00B7224D" w:rsidRPr="00041E70" w:rsidTr="00B7224D">
        <w:trPr>
          <w:cantSplit/>
        </w:trPr>
        <w:tc>
          <w:tcPr>
            <w:tcW w:w="9889" w:type="dxa"/>
            <w:gridSpan w:val="2"/>
          </w:tcPr>
          <w:p w:rsidR="00B7224D" w:rsidRPr="00041E70" w:rsidRDefault="00B7224D" w:rsidP="00B7224D">
            <w:pPr>
              <w:rPr>
                <w:rFonts w:eastAsia="MS Mincho"/>
              </w:rPr>
            </w:pPr>
            <w:r w:rsidRPr="00041E70">
              <w:rPr>
                <w:rFonts w:eastAsia="MS Mincho"/>
              </w:rPr>
              <w:t>DIRECTRICES DE EXAMEN</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Añadir información sobre el TWP responsable de las directrices de examen publicadas en el sitio web de la UPOV.</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Considerar la posibilidad de elaborar un plan de trabajo plurianual para las directrices de examen.</w:t>
            </w:r>
          </w:p>
        </w:tc>
      </w:tr>
      <w:tr w:rsidR="00B7224D" w:rsidRPr="00041E70" w:rsidTr="00B7224D">
        <w:trPr>
          <w:cantSplit/>
        </w:trPr>
        <w:tc>
          <w:tcPr>
            <w:tcW w:w="9889" w:type="dxa"/>
            <w:gridSpan w:val="2"/>
          </w:tcPr>
          <w:p w:rsidR="00B7224D" w:rsidRPr="00041E70" w:rsidRDefault="00B7224D" w:rsidP="00B7224D">
            <w:pPr>
              <w:rPr>
                <w:rFonts w:eastAsia="MS Mincho"/>
              </w:rPr>
            </w:pPr>
            <w:r w:rsidRPr="00041E70">
              <w:rPr>
                <w:rFonts w:eastAsia="MS Mincho"/>
              </w:rPr>
              <w:t>TALLER PREPARATORIO</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Invitar o animar a participar en el taller preparatorio a expertos de los miembros de la Unión que posean experiencia.</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Organizar grupos pequeños de participantes con distintos niveles de experiencia (en la medida que sea práctico).</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Renovar de forma regular los ejercicios para los talleres preparatorios.</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Organizar talleres electrónicos y un taller presencial en paralelo con el taller preparatorio sobre la utilización de la plantilla en Internet de los documentos TG, y elaborar orientaciones sobre la presentación de las directrices de examen durante las sesiones.</w:t>
            </w:r>
          </w:p>
        </w:tc>
      </w:tr>
      <w:tr w:rsidR="00B7224D" w:rsidRPr="00041E70" w:rsidTr="00B7224D">
        <w:trPr>
          <w:cantSplit/>
        </w:trPr>
        <w:tc>
          <w:tcPr>
            <w:tcW w:w="250" w:type="dxa"/>
          </w:tcPr>
          <w:p w:rsidR="00B7224D" w:rsidRPr="00041E70" w:rsidRDefault="00B7224D" w:rsidP="00B7224D">
            <w:pPr>
              <w:rPr>
                <w:rFonts w:eastAsia="MS Mincho"/>
              </w:rPr>
            </w:pPr>
          </w:p>
        </w:tc>
        <w:tc>
          <w:tcPr>
            <w:tcW w:w="9639" w:type="dxa"/>
          </w:tcPr>
          <w:p w:rsidR="00B7224D" w:rsidRPr="00041E70" w:rsidRDefault="00B7224D" w:rsidP="00B7224D">
            <w:pPr>
              <w:spacing w:after="120"/>
              <w:rPr>
                <w:rFonts w:eastAsia="MS Mincho"/>
              </w:rPr>
            </w:pPr>
            <w:r w:rsidRPr="00041E70">
              <w:rPr>
                <w:rFonts w:eastAsia="MS Mincho"/>
              </w:rPr>
              <w:t xml:space="preserve">Poner a disposición en el sitio web de la UPOV los talleres electrónicos pregrabados. </w:t>
            </w:r>
          </w:p>
        </w:tc>
      </w:tr>
    </w:tbl>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convino en que deberían examinarse además las siguientes cuestiones:</w:t>
      </w:r>
    </w:p>
    <w:p w:rsidR="00B7224D" w:rsidRPr="00041E70" w:rsidRDefault="00B7224D" w:rsidP="00B7224D"/>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7224D" w:rsidRPr="00041E70" w:rsidTr="00B7224D">
        <w:trPr>
          <w:trHeight w:val="240"/>
        </w:trPr>
        <w:tc>
          <w:tcPr>
            <w:tcW w:w="9639" w:type="dxa"/>
          </w:tcPr>
          <w:p w:rsidR="00B7224D" w:rsidRPr="00041E70" w:rsidRDefault="00B7224D" w:rsidP="00B7224D">
            <w:r w:rsidRPr="00041E70">
              <w:t>Encuesta en 2015</w:t>
            </w:r>
          </w:p>
        </w:tc>
      </w:tr>
      <w:tr w:rsidR="00B7224D" w:rsidRPr="00041E70" w:rsidTr="00B7224D">
        <w:trPr>
          <w:trHeight w:val="240"/>
        </w:trPr>
        <w:tc>
          <w:tcPr>
            <w:tcW w:w="9639" w:type="dxa"/>
          </w:tcPr>
          <w:p w:rsidR="00B7224D" w:rsidRPr="00041E70" w:rsidRDefault="00B7224D" w:rsidP="00B7224D">
            <w:r w:rsidRPr="00041E70">
              <w:t>Cambios relativos a la invitación y su distribución</w:t>
            </w:r>
          </w:p>
        </w:tc>
      </w:tr>
      <w:tr w:rsidR="00B7224D" w:rsidRPr="00041E70" w:rsidTr="00B7224D">
        <w:trPr>
          <w:trHeight w:val="240"/>
        </w:trPr>
        <w:tc>
          <w:tcPr>
            <w:tcW w:w="9639" w:type="dxa"/>
          </w:tcPr>
          <w:p w:rsidR="00B7224D" w:rsidRPr="00041E70" w:rsidRDefault="00B7224D" w:rsidP="00B7224D">
            <w:r w:rsidRPr="00041E70">
              <w:t>Presentación de documentos (ha mejorado desde 2014)</w:t>
            </w:r>
          </w:p>
        </w:tc>
      </w:tr>
      <w:tr w:rsidR="00B7224D" w:rsidRPr="00041E70" w:rsidTr="00B7224D">
        <w:trPr>
          <w:trHeight w:val="240"/>
        </w:trPr>
        <w:tc>
          <w:tcPr>
            <w:tcW w:w="9639" w:type="dxa"/>
          </w:tcPr>
          <w:p w:rsidR="00B7224D" w:rsidRPr="00041E70" w:rsidRDefault="00B7224D" w:rsidP="00B7224D">
            <w:r w:rsidRPr="00041E70">
              <w:t>Petición a los participantes de que suministren con antelación sus comentarios acerca de los documentos TGP</w:t>
            </w:r>
          </w:p>
        </w:tc>
      </w:tr>
      <w:tr w:rsidR="00B7224D" w:rsidRPr="00041E70" w:rsidTr="00B7224D">
        <w:trPr>
          <w:trHeight w:val="240"/>
        </w:trPr>
        <w:tc>
          <w:tcPr>
            <w:tcW w:w="9639" w:type="dxa"/>
          </w:tcPr>
          <w:p w:rsidR="00B7224D" w:rsidRPr="00041E70" w:rsidRDefault="00B7224D" w:rsidP="00B7224D">
            <w:r w:rsidRPr="00041E70">
              <w:t>Reunión anual separada a los fines de examinar los documentos TGP</w:t>
            </w:r>
          </w:p>
        </w:tc>
      </w:tr>
      <w:tr w:rsidR="00B7224D" w:rsidRPr="00041E70" w:rsidTr="00B7224D">
        <w:trPr>
          <w:trHeight w:val="240"/>
        </w:trPr>
        <w:tc>
          <w:tcPr>
            <w:tcW w:w="9639" w:type="dxa"/>
          </w:tcPr>
          <w:p w:rsidR="00B7224D" w:rsidRPr="00041E70" w:rsidRDefault="00B7224D" w:rsidP="00B7224D">
            <w:r w:rsidRPr="00041E70">
              <w:t>Cambio del día de realización del taller preparatorio (domingo)</w:t>
            </w:r>
          </w:p>
        </w:tc>
      </w:tr>
    </w:tbl>
    <w:p w:rsidR="00B7224D" w:rsidRPr="00041E70" w:rsidRDefault="00B7224D" w:rsidP="00B7224D"/>
    <w:p w:rsidR="00B7224D" w:rsidRPr="00041E70" w:rsidRDefault="00B7224D" w:rsidP="00B7224D"/>
    <w:p w:rsidR="00B7224D" w:rsidRPr="00041E70" w:rsidRDefault="00B7224D" w:rsidP="00833396">
      <w:pPr>
        <w:pStyle w:val="Heading2"/>
      </w:pPr>
      <w:bookmarkStart w:id="46" w:name="_Toc429150774"/>
      <w:r w:rsidRPr="00041E70">
        <w:t>Talleres preparatorios</w:t>
      </w:r>
      <w:bookmarkEnd w:id="46"/>
    </w:p>
    <w:p w:rsidR="00B7224D" w:rsidRPr="00041E70" w:rsidRDefault="00B7224D" w:rsidP="00B7224D">
      <w:pPr>
        <w:keepNext/>
      </w:pPr>
    </w:p>
    <w:p w:rsidR="00B7224D" w:rsidRPr="00041E70" w:rsidRDefault="00B7224D" w:rsidP="00B7224D">
      <w:pPr>
        <w:keepNext/>
      </w:pPr>
      <w:r w:rsidRPr="00041E70">
        <w:fldChar w:fldCharType="begin"/>
      </w:r>
      <w:r w:rsidRPr="00041E70">
        <w:instrText xml:space="preserve"> AUTONUM  </w:instrText>
      </w:r>
      <w:r w:rsidRPr="00041E70">
        <w:fldChar w:fldCharType="end"/>
      </w:r>
      <w:r w:rsidRPr="00041E70">
        <w:tab/>
        <w:t>El TC examinó el documento TC/51/13 “Talleres preparatorios”.</w:t>
      </w:r>
    </w:p>
    <w:p w:rsidR="00B7224D" w:rsidRPr="00041E70" w:rsidRDefault="00B7224D" w:rsidP="00B7224D">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del informe sobre los talleres preparatorios celebrados en 2014.</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aceptó el programa propuesto para los talleres preparatorios de 2015, según se expone en los párrafos 10 y 11 del documento TC/51/13.</w:t>
      </w:r>
    </w:p>
    <w:p w:rsidR="00B7224D" w:rsidRPr="00041E70" w:rsidRDefault="00B7224D" w:rsidP="00B7224D"/>
    <w:p w:rsidR="00B7224D" w:rsidRPr="00041E70" w:rsidRDefault="00B7224D" w:rsidP="00B7224D"/>
    <w:p w:rsidR="00B7224D" w:rsidRPr="00041E70" w:rsidRDefault="00B7224D" w:rsidP="00833396">
      <w:pPr>
        <w:pStyle w:val="Heading2"/>
      </w:pPr>
      <w:bookmarkStart w:id="47" w:name="_Toc429150775"/>
      <w:r w:rsidRPr="00041E70">
        <w:t>Directrices de Examen</w:t>
      </w:r>
      <w:bookmarkEnd w:id="47"/>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examinó los documentos TC/51/2, TC/51/26, TC/51/27, TC/51/28, TC/51/29, TC/51/30, TC/51/31, TC/51/32, TC/51/33, TC/51/34 and TC/51/35.</w:t>
      </w:r>
    </w:p>
    <w:p w:rsidR="00B7224D" w:rsidRPr="00041E70" w:rsidRDefault="00B7224D" w:rsidP="00B7224D"/>
    <w:p w:rsidR="00B7224D" w:rsidRPr="00041E70" w:rsidRDefault="00B7224D" w:rsidP="00B7224D">
      <w:pPr>
        <w:rPr>
          <w:rFonts w:cs="Arial"/>
          <w:snapToGrid w:val="0"/>
        </w:rPr>
      </w:pPr>
      <w:r w:rsidRPr="00041E70">
        <w:fldChar w:fldCharType="begin"/>
      </w:r>
      <w:r w:rsidRPr="00041E70">
        <w:instrText xml:space="preserve"> AUTONUM  </w:instrText>
      </w:r>
      <w:r w:rsidRPr="00041E70">
        <w:fldChar w:fldCharType="end"/>
      </w:r>
      <w:r w:rsidRPr="00041E70">
        <w:tab/>
        <w:t>De conformidad con el procedimiento establecido en el documento TGP/7, el TC aprobó 12 nuevas directrices de examen para la ejecución del examen de la distinción, la homogeneidad y la estabilidad, cinco directrices de examen revisadas y nueve directrices de examen revisadas parcialmente que figuran en el siguiente cuadro basándose en las modificaciones que se especifican en el Anexo II del presente documento, así como los cambios lingüísticos recomendados por el TC-EDC, y convino en que se publiquen en el sitio web de la UPOV lo antes posible:</w:t>
      </w:r>
    </w:p>
    <w:p w:rsidR="00B7224D" w:rsidRPr="00041E70" w:rsidRDefault="00B7224D" w:rsidP="00B7224D">
      <w:pPr>
        <w:rPr>
          <w:rFonts w:cs="Arial"/>
          <w:snapToGrid w:val="0"/>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B7224D" w:rsidRPr="00041E70" w:rsidTr="00B7224D">
        <w:trPr>
          <w:cantSplit/>
          <w:trHeight w:val="1050"/>
          <w:tblHeader/>
        </w:trPr>
        <w:tc>
          <w:tcPr>
            <w:tcW w:w="484" w:type="dxa"/>
            <w:tcBorders>
              <w:top w:val="single" w:sz="4" w:space="0" w:color="auto"/>
              <w:bottom w:val="single" w:sz="4" w:space="0" w:color="auto"/>
            </w:tcBorders>
            <w:shd w:val="clear" w:color="auto" w:fill="D9D9D9"/>
            <w:noWrap/>
            <w:vAlign w:val="center"/>
          </w:tcPr>
          <w:p w:rsidR="00B7224D" w:rsidRPr="00041E70" w:rsidRDefault="00B7224D" w:rsidP="00B7224D">
            <w:pPr>
              <w:jc w:val="left"/>
              <w:rPr>
                <w:rFonts w:eastAsia="MS Mincho" w:cs="Arial"/>
                <w:bCs/>
                <w:sz w:val="16"/>
                <w:szCs w:val="16"/>
                <w:lang w:eastAsia="ja-JP"/>
              </w:rPr>
            </w:pPr>
            <w:r w:rsidRPr="00041E70">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B7224D" w:rsidRPr="00041E70" w:rsidRDefault="00B7224D" w:rsidP="00B7224D">
            <w:pPr>
              <w:jc w:val="left"/>
              <w:rPr>
                <w:rFonts w:eastAsia="MS Mincho" w:cs="Arial"/>
                <w:bCs/>
                <w:sz w:val="16"/>
                <w:szCs w:val="16"/>
                <w:lang w:eastAsia="ja-JP"/>
              </w:rPr>
            </w:pPr>
            <w:r w:rsidRPr="00041E70">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B7224D" w:rsidRPr="00041E70" w:rsidRDefault="00B7224D" w:rsidP="00B7224D">
            <w:pPr>
              <w:ind w:left="-36"/>
              <w:jc w:val="left"/>
              <w:rPr>
                <w:rFonts w:eastAsia="MS Mincho" w:cs="Arial"/>
                <w:bCs/>
                <w:sz w:val="16"/>
                <w:szCs w:val="16"/>
                <w:lang w:eastAsia="ja-JP"/>
              </w:rPr>
            </w:pPr>
            <w:proofErr w:type="spellStart"/>
            <w:r w:rsidRPr="00041E70">
              <w:rPr>
                <w:rFonts w:eastAsia="MS Mincho" w:cs="Arial"/>
                <w:bCs/>
                <w:sz w:val="16"/>
                <w:szCs w:val="16"/>
                <w:lang w:eastAsia="ja-JP"/>
              </w:rPr>
              <w:t>Document</w:t>
            </w:r>
            <w:proofErr w:type="spellEnd"/>
            <w:r w:rsidRPr="00041E70">
              <w:rPr>
                <w:rFonts w:eastAsia="MS Mincho" w:cs="Arial"/>
                <w:bCs/>
                <w:sz w:val="16"/>
                <w:szCs w:val="16"/>
                <w:lang w:eastAsia="ja-JP"/>
              </w:rPr>
              <w:t xml:space="preserve"> No. </w:t>
            </w:r>
            <w:r w:rsidRPr="00041E70">
              <w:rPr>
                <w:rFonts w:eastAsia="MS Mincho" w:cs="Arial"/>
                <w:bCs/>
                <w:sz w:val="16"/>
                <w:szCs w:val="16"/>
                <w:lang w:eastAsia="ja-JP"/>
              </w:rPr>
              <w:br/>
              <w:t xml:space="preserve">No. du </w:t>
            </w:r>
            <w:proofErr w:type="spellStart"/>
            <w:r w:rsidRPr="00041E70">
              <w:rPr>
                <w:rFonts w:eastAsia="MS Mincho" w:cs="Arial"/>
                <w:bCs/>
                <w:sz w:val="16"/>
                <w:szCs w:val="16"/>
                <w:lang w:eastAsia="ja-JP"/>
              </w:rPr>
              <w:t>document</w:t>
            </w:r>
            <w:proofErr w:type="spellEnd"/>
            <w:r w:rsidRPr="00041E70">
              <w:rPr>
                <w:rFonts w:eastAsia="MS Mincho" w:cs="Arial"/>
                <w:bCs/>
                <w:sz w:val="16"/>
                <w:szCs w:val="16"/>
                <w:lang w:eastAsia="ja-JP"/>
              </w:rPr>
              <w:t xml:space="preserve"> </w:t>
            </w:r>
            <w:r w:rsidRPr="00041E70">
              <w:rPr>
                <w:rFonts w:eastAsia="MS Mincho" w:cs="Arial"/>
                <w:bCs/>
                <w:sz w:val="16"/>
                <w:szCs w:val="16"/>
                <w:lang w:eastAsia="ja-JP"/>
              </w:rPr>
              <w:br/>
            </w:r>
            <w:proofErr w:type="spellStart"/>
            <w:r w:rsidRPr="00041E70">
              <w:rPr>
                <w:rFonts w:eastAsia="MS Mincho" w:cs="Arial"/>
                <w:bCs/>
                <w:sz w:val="16"/>
                <w:szCs w:val="16"/>
                <w:lang w:eastAsia="ja-JP"/>
              </w:rPr>
              <w:t>Dokument-Nr</w:t>
            </w:r>
            <w:proofErr w:type="spellEnd"/>
            <w:r w:rsidRPr="00041E70">
              <w:rPr>
                <w:rFonts w:eastAsia="MS Mincho" w:cs="Arial"/>
                <w:bCs/>
                <w:sz w:val="16"/>
                <w:szCs w:val="16"/>
                <w:lang w:eastAsia="ja-JP"/>
              </w:rPr>
              <w:t xml:space="preserve">. </w:t>
            </w:r>
            <w:r w:rsidRPr="00041E70">
              <w:rPr>
                <w:rFonts w:eastAsia="MS Mincho" w:cs="Arial"/>
                <w:bCs/>
                <w:sz w:val="16"/>
                <w:szCs w:val="16"/>
                <w:lang w:eastAsia="ja-JP"/>
              </w:rPr>
              <w:br/>
              <w:t>No del documento</w:t>
            </w:r>
          </w:p>
        </w:tc>
        <w:tc>
          <w:tcPr>
            <w:tcW w:w="1417" w:type="dxa"/>
            <w:tcBorders>
              <w:top w:val="single" w:sz="4" w:space="0" w:color="auto"/>
              <w:bottom w:val="single" w:sz="4" w:space="0" w:color="auto"/>
            </w:tcBorders>
            <w:shd w:val="clear" w:color="auto" w:fill="D9D9D9"/>
            <w:vAlign w:val="center"/>
          </w:tcPr>
          <w:p w:rsidR="00B7224D" w:rsidRPr="00041E70" w:rsidRDefault="00B7224D" w:rsidP="00B7224D">
            <w:pPr>
              <w:jc w:val="left"/>
              <w:rPr>
                <w:rFonts w:eastAsia="MS Mincho" w:cs="Arial"/>
                <w:bCs/>
                <w:sz w:val="16"/>
                <w:szCs w:val="16"/>
                <w:lang w:eastAsia="ja-JP"/>
              </w:rPr>
            </w:pPr>
            <w:r w:rsidRPr="00041E70">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B7224D" w:rsidRPr="00041E70" w:rsidRDefault="00B7224D" w:rsidP="00B7224D">
            <w:pPr>
              <w:jc w:val="left"/>
              <w:rPr>
                <w:rFonts w:eastAsia="MS Mincho" w:cs="Arial"/>
                <w:sz w:val="16"/>
                <w:szCs w:val="16"/>
                <w:lang w:eastAsia="ja-JP"/>
              </w:rPr>
            </w:pPr>
            <w:proofErr w:type="spellStart"/>
            <w:r w:rsidRPr="00041E70">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B7224D" w:rsidRPr="00041E70" w:rsidRDefault="00B7224D" w:rsidP="00B7224D">
            <w:pPr>
              <w:jc w:val="left"/>
              <w:rPr>
                <w:rFonts w:eastAsia="MS Mincho" w:cs="Arial"/>
                <w:sz w:val="16"/>
                <w:szCs w:val="16"/>
                <w:lang w:eastAsia="ja-JP"/>
              </w:rPr>
            </w:pPr>
            <w:proofErr w:type="spellStart"/>
            <w:r w:rsidRPr="00041E70">
              <w:rPr>
                <w:rFonts w:eastAsia="MS Mincho" w:cs="Arial"/>
                <w:sz w:val="16"/>
                <w:szCs w:val="16"/>
                <w:lang w:eastAsia="ja-JP"/>
              </w:rPr>
              <w:t>Deutsch</w:t>
            </w:r>
            <w:proofErr w:type="spellEnd"/>
          </w:p>
        </w:tc>
        <w:tc>
          <w:tcPr>
            <w:tcW w:w="1418" w:type="dxa"/>
            <w:tcBorders>
              <w:top w:val="single" w:sz="4" w:space="0" w:color="auto"/>
              <w:bottom w:val="single" w:sz="4" w:space="0" w:color="auto"/>
            </w:tcBorders>
            <w:shd w:val="clear" w:color="auto" w:fill="D9D9D9"/>
            <w:vAlign w:val="center"/>
          </w:tcPr>
          <w:p w:rsidR="00B7224D" w:rsidRPr="00041E70" w:rsidRDefault="00B7224D" w:rsidP="00B7224D">
            <w:pPr>
              <w:jc w:val="left"/>
              <w:rPr>
                <w:rFonts w:eastAsia="MS Mincho" w:cs="Arial"/>
                <w:sz w:val="16"/>
                <w:szCs w:val="16"/>
                <w:lang w:eastAsia="ja-JP"/>
              </w:rPr>
            </w:pPr>
            <w:r w:rsidRPr="00041E70">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B7224D" w:rsidRPr="00041E70" w:rsidRDefault="00B7224D" w:rsidP="00B7224D">
            <w:pPr>
              <w:jc w:val="left"/>
              <w:rPr>
                <w:rFonts w:eastAsia="MS Mincho" w:cs="Arial"/>
                <w:sz w:val="16"/>
                <w:szCs w:val="16"/>
                <w:lang w:eastAsia="ja-JP"/>
              </w:rPr>
            </w:pPr>
            <w:proofErr w:type="spellStart"/>
            <w:r w:rsidRPr="00041E70">
              <w:rPr>
                <w:rFonts w:eastAsia="MS Mincho" w:cs="Arial"/>
                <w:sz w:val="16"/>
                <w:szCs w:val="16"/>
                <w:lang w:eastAsia="ja-JP"/>
              </w:rPr>
              <w:t>Botanical</w:t>
            </w:r>
            <w:proofErr w:type="spellEnd"/>
            <w:r w:rsidRPr="00041E70">
              <w:rPr>
                <w:rFonts w:eastAsia="MS Mincho" w:cs="Arial"/>
                <w:sz w:val="16"/>
                <w:szCs w:val="16"/>
                <w:lang w:eastAsia="ja-JP"/>
              </w:rPr>
              <w:t xml:space="preserve"> </w:t>
            </w:r>
            <w:proofErr w:type="spellStart"/>
            <w:r w:rsidRPr="00041E70">
              <w:rPr>
                <w:rFonts w:eastAsia="MS Mincho" w:cs="Arial"/>
                <w:sz w:val="16"/>
                <w:szCs w:val="16"/>
                <w:lang w:eastAsia="ja-JP"/>
              </w:rPr>
              <w:t>name</w:t>
            </w:r>
            <w:proofErr w:type="spellEnd"/>
          </w:p>
        </w:tc>
      </w:tr>
      <w:tr w:rsidR="00B7224D" w:rsidRPr="002A7B40" w:rsidTr="00B7224D">
        <w:trPr>
          <w:cantSplit/>
          <w:trHeight w:val="255"/>
        </w:trPr>
        <w:tc>
          <w:tcPr>
            <w:tcW w:w="9934" w:type="dxa"/>
            <w:gridSpan w:val="8"/>
            <w:tcBorders>
              <w:top w:val="single" w:sz="4" w:space="0" w:color="auto"/>
              <w:left w:val="single" w:sz="4" w:space="0" w:color="auto"/>
              <w:bottom w:val="single" w:sz="4" w:space="0" w:color="auto"/>
              <w:right w:val="single" w:sz="4" w:space="0" w:color="auto"/>
            </w:tcBorders>
            <w:noWrap/>
          </w:tcPr>
          <w:p w:rsidR="00B7224D" w:rsidRPr="002A7B40" w:rsidRDefault="00B7224D" w:rsidP="00B7224D">
            <w:pPr>
              <w:spacing w:before="120" w:after="120"/>
              <w:ind w:left="-36"/>
              <w:jc w:val="left"/>
              <w:rPr>
                <w:rFonts w:eastAsia="MS Mincho" w:cs="Arial"/>
                <w:bCs/>
                <w:sz w:val="16"/>
                <w:szCs w:val="16"/>
                <w:u w:val="single"/>
                <w:lang w:val="fr-FR" w:eastAsia="ja-JP"/>
              </w:rPr>
            </w:pPr>
            <w:r w:rsidRPr="002A7B40">
              <w:rPr>
                <w:rFonts w:cs="Arial"/>
                <w:bCs/>
                <w:sz w:val="16"/>
                <w:szCs w:val="16"/>
                <w:u w:val="single"/>
                <w:lang w:val="fr-FR"/>
              </w:rPr>
              <w:t>NEW TEST GUIDELINES / NOUVEAUX PRINCIPES DIRECTEURS D’EXAMEN / NEUE PRÜFUNGSRICHTILINIEN /</w:t>
            </w:r>
            <w:r w:rsidRPr="002A7B40">
              <w:rPr>
                <w:rFonts w:cs="Arial"/>
                <w:bCs/>
                <w:sz w:val="16"/>
                <w:szCs w:val="16"/>
                <w:u w:val="single"/>
                <w:lang w:val="fr-FR"/>
              </w:rPr>
              <w:br/>
              <w:t>NUEVAS DIRECTRICES DE EXAMEN</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NZ</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TWF</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szCs w:val="16"/>
              </w:rPr>
            </w:pPr>
            <w:r w:rsidRPr="00041E70">
              <w:rPr>
                <w:rFonts w:cs="Arial"/>
                <w:sz w:val="16"/>
                <w:szCs w:val="16"/>
              </w:rPr>
              <w:t>TG/ACCA(proj.5)</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Feijoa</w:t>
            </w:r>
            <w:proofErr w:type="spellEnd"/>
            <w:r w:rsidRPr="00041E70">
              <w:rPr>
                <w:rFonts w:cs="Arial"/>
                <w:sz w:val="16"/>
                <w:szCs w:val="16"/>
              </w:rPr>
              <w:t xml:space="preserve">, </w:t>
            </w:r>
            <w:proofErr w:type="spellStart"/>
            <w:r w:rsidRPr="00041E70">
              <w:rPr>
                <w:rFonts w:cs="Arial"/>
                <w:sz w:val="16"/>
                <w:szCs w:val="16"/>
              </w:rPr>
              <w:t>Pineapple</w:t>
            </w:r>
            <w:proofErr w:type="spellEnd"/>
            <w:r w:rsidRPr="00041E70">
              <w:rPr>
                <w:rFonts w:cs="Arial"/>
                <w:sz w:val="16"/>
                <w:szCs w:val="16"/>
              </w:rPr>
              <w:t xml:space="preserve"> </w:t>
            </w:r>
            <w:proofErr w:type="spellStart"/>
            <w:r w:rsidRPr="00041E70">
              <w:rPr>
                <w:rFonts w:cs="Arial"/>
                <w:sz w:val="16"/>
                <w:szCs w:val="16"/>
              </w:rPr>
              <w:t>Guava</w:t>
            </w:r>
            <w:proofErr w:type="spellEnd"/>
            <w:r w:rsidRPr="00041E70">
              <w:rPr>
                <w:rFonts w:cs="Arial"/>
                <w:sz w:val="16"/>
                <w:szCs w:val="16"/>
              </w:rPr>
              <w:t xml:space="preserve">, </w:t>
            </w:r>
            <w:proofErr w:type="spellStart"/>
            <w:r w:rsidRPr="00041E70">
              <w:rPr>
                <w:rFonts w:cs="Arial"/>
                <w:sz w:val="16"/>
                <w:szCs w:val="16"/>
              </w:rPr>
              <w:t>Guavasteen</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Feijoa</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Feijoa</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Feijoa</w:t>
            </w:r>
            <w:proofErr w:type="spellEnd"/>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Acca</w:t>
            </w:r>
            <w:proofErr w:type="spellEnd"/>
            <w:r w:rsidRPr="00041E70">
              <w:rPr>
                <w:rFonts w:cs="Arial"/>
                <w:sz w:val="16"/>
                <w:szCs w:val="16"/>
              </w:rPr>
              <w:t xml:space="preserve"> </w:t>
            </w:r>
            <w:proofErr w:type="spellStart"/>
            <w:r w:rsidRPr="00041E70">
              <w:rPr>
                <w:rFonts w:cs="Arial"/>
                <w:sz w:val="16"/>
                <w:szCs w:val="16"/>
              </w:rPr>
              <w:t>sellowiana</w:t>
            </w:r>
            <w:proofErr w:type="spellEnd"/>
            <w:r w:rsidRPr="00041E70">
              <w:rPr>
                <w:rFonts w:cs="Arial"/>
                <w:sz w:val="16"/>
                <w:szCs w:val="16"/>
              </w:rPr>
              <w:t xml:space="preserve"> (</w:t>
            </w:r>
            <w:proofErr w:type="spellStart"/>
            <w:r w:rsidRPr="00041E70">
              <w:rPr>
                <w:rFonts w:cs="Arial"/>
                <w:sz w:val="16"/>
                <w:szCs w:val="16"/>
              </w:rPr>
              <w:t>Berg</w:t>
            </w:r>
            <w:proofErr w:type="spellEnd"/>
            <w:r w:rsidRPr="00041E70">
              <w:rPr>
                <w:rFonts w:cs="Arial"/>
                <w:sz w:val="16"/>
                <w:szCs w:val="16"/>
              </w:rPr>
              <w:t xml:space="preserve">) </w:t>
            </w:r>
            <w:proofErr w:type="spellStart"/>
            <w:r w:rsidRPr="00041E70">
              <w:rPr>
                <w:rFonts w:cs="Arial"/>
                <w:sz w:val="16"/>
                <w:szCs w:val="16"/>
              </w:rPr>
              <w:t>Burret</w:t>
            </w:r>
            <w:proofErr w:type="spellEnd"/>
          </w:p>
        </w:tc>
      </w:tr>
      <w:tr w:rsidR="00B7224D" w:rsidRPr="00041E70" w:rsidTr="00B7224D">
        <w:trPr>
          <w:cantSplit/>
          <w:trHeight w:val="742"/>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JP</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TWA</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szCs w:val="16"/>
              </w:rPr>
            </w:pPr>
            <w:r w:rsidRPr="00041E70">
              <w:rPr>
                <w:rFonts w:cs="Arial"/>
                <w:sz w:val="16"/>
                <w:szCs w:val="16"/>
              </w:rPr>
              <w:t>TG/ADZUK (proj.4)</w:t>
            </w:r>
          </w:p>
        </w:tc>
        <w:tc>
          <w:tcPr>
            <w:tcW w:w="1417" w:type="dxa"/>
            <w:tcBorders>
              <w:top w:val="single" w:sz="4" w:space="0" w:color="auto"/>
              <w:left w:val="nil"/>
              <w:bottom w:val="single" w:sz="4" w:space="0" w:color="auto"/>
              <w:right w:val="single" w:sz="4" w:space="0" w:color="auto"/>
            </w:tcBorders>
          </w:tcPr>
          <w:p w:rsidR="00B7224D" w:rsidRPr="002A7B40" w:rsidRDefault="00B7224D" w:rsidP="00B7224D">
            <w:pPr>
              <w:jc w:val="left"/>
              <w:rPr>
                <w:rFonts w:cs="Arial"/>
                <w:sz w:val="16"/>
                <w:szCs w:val="16"/>
                <w:lang w:val="en-US"/>
              </w:rPr>
            </w:pPr>
            <w:r w:rsidRPr="002A7B40">
              <w:rPr>
                <w:rFonts w:cs="Arial"/>
                <w:sz w:val="16"/>
                <w:szCs w:val="16"/>
                <w:lang w:val="en-US"/>
              </w:rPr>
              <w:t>Adzuki Bean; Azuki Red Bean; Chinese Red Bean</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Haricot</w:t>
            </w:r>
            <w:proofErr w:type="spellEnd"/>
            <w:r w:rsidRPr="00041E70">
              <w:rPr>
                <w:rFonts w:cs="Arial"/>
                <w:sz w:val="16"/>
                <w:szCs w:val="16"/>
              </w:rPr>
              <w:t xml:space="preserve"> </w:t>
            </w:r>
            <w:proofErr w:type="spellStart"/>
            <w:r w:rsidRPr="00041E70">
              <w:rPr>
                <w:rFonts w:cs="Arial"/>
                <w:sz w:val="16"/>
                <w:szCs w:val="16"/>
              </w:rPr>
              <w:t>Adzuki</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Adzukibohne</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xml:space="preserve">Judía </w:t>
            </w:r>
            <w:proofErr w:type="spellStart"/>
            <w:r w:rsidRPr="00041E70">
              <w:rPr>
                <w:rFonts w:cs="Arial"/>
                <w:sz w:val="16"/>
                <w:szCs w:val="16"/>
              </w:rPr>
              <w:t>adzuki</w:t>
            </w:r>
            <w:proofErr w:type="spellEnd"/>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2A7B40">
              <w:rPr>
                <w:rFonts w:cs="Arial"/>
                <w:sz w:val="16"/>
                <w:szCs w:val="16"/>
                <w:lang w:val="en-US"/>
              </w:rPr>
              <w:t xml:space="preserve">Vigna angularis (Willd.) Ohwi &amp; H. Ohashi, Phaseolus angularis (Willd.) </w:t>
            </w:r>
            <w:r w:rsidRPr="00041E70">
              <w:rPr>
                <w:rFonts w:cs="Arial"/>
                <w:sz w:val="16"/>
                <w:szCs w:val="16"/>
              </w:rPr>
              <w:t>W. Wight</w:t>
            </w:r>
          </w:p>
        </w:tc>
      </w:tr>
      <w:tr w:rsidR="00B7224D" w:rsidRPr="00041E70" w:rsidTr="00B7224D">
        <w:trPr>
          <w:cantSplit/>
          <w:trHeight w:val="372"/>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ZA</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TWO</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szCs w:val="16"/>
              </w:rPr>
            </w:pPr>
            <w:r w:rsidRPr="00041E70">
              <w:rPr>
                <w:rFonts w:cs="Arial"/>
                <w:sz w:val="16"/>
                <w:szCs w:val="16"/>
              </w:rPr>
              <w:t>TG/ALOE(proj.5)</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Aloe</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Aloès</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Aloe</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xml:space="preserve">Aloe, </w:t>
            </w:r>
            <w:proofErr w:type="spellStart"/>
            <w:r w:rsidRPr="00041E70">
              <w:rPr>
                <w:rFonts w:cs="Arial"/>
                <w:sz w:val="16"/>
                <w:szCs w:val="16"/>
              </w:rPr>
              <w:t>Sabila</w:t>
            </w:r>
            <w:proofErr w:type="spellEnd"/>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Aloe L.</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JP</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TWO</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szCs w:val="16"/>
              </w:rPr>
            </w:pPr>
            <w:r w:rsidRPr="00041E70">
              <w:rPr>
                <w:rFonts w:cs="Arial"/>
                <w:sz w:val="16"/>
                <w:szCs w:val="16"/>
              </w:rPr>
              <w:t>TG/CALSP (proj.5)</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xml:space="preserve">China </w:t>
            </w:r>
            <w:proofErr w:type="spellStart"/>
            <w:r w:rsidRPr="00041E70">
              <w:rPr>
                <w:rFonts w:cs="Arial"/>
                <w:sz w:val="16"/>
                <w:szCs w:val="16"/>
              </w:rPr>
              <w:t>Aster</w:t>
            </w:r>
            <w:proofErr w:type="spellEnd"/>
            <w:r w:rsidRPr="00041E70">
              <w:rPr>
                <w:rFonts w:cs="Arial"/>
                <w:sz w:val="16"/>
                <w:szCs w:val="16"/>
              </w:rPr>
              <w:t xml:space="preserve">, </w:t>
            </w:r>
            <w:proofErr w:type="spellStart"/>
            <w:r w:rsidRPr="00041E70">
              <w:rPr>
                <w:rFonts w:cs="Arial"/>
                <w:sz w:val="16"/>
                <w:szCs w:val="16"/>
              </w:rPr>
              <w:t>Annual</w:t>
            </w:r>
            <w:proofErr w:type="spellEnd"/>
            <w:r w:rsidRPr="00041E70">
              <w:rPr>
                <w:rFonts w:cs="Arial"/>
                <w:sz w:val="16"/>
                <w:szCs w:val="16"/>
              </w:rPr>
              <w:t xml:space="preserve"> </w:t>
            </w:r>
            <w:proofErr w:type="spellStart"/>
            <w:r w:rsidRPr="00041E70">
              <w:rPr>
                <w:rFonts w:cs="Arial"/>
                <w:sz w:val="16"/>
                <w:szCs w:val="16"/>
              </w:rPr>
              <w:t>Aster</w:t>
            </w:r>
            <w:proofErr w:type="spellEnd"/>
          </w:p>
        </w:tc>
        <w:tc>
          <w:tcPr>
            <w:tcW w:w="1418" w:type="dxa"/>
            <w:tcBorders>
              <w:top w:val="single" w:sz="4" w:space="0" w:color="auto"/>
              <w:left w:val="nil"/>
              <w:bottom w:val="single" w:sz="4" w:space="0" w:color="auto"/>
              <w:right w:val="single" w:sz="4" w:space="0" w:color="auto"/>
            </w:tcBorders>
          </w:tcPr>
          <w:p w:rsidR="00B7224D" w:rsidRPr="002A7B40" w:rsidRDefault="00B7224D" w:rsidP="00B7224D">
            <w:pPr>
              <w:jc w:val="left"/>
              <w:rPr>
                <w:rFonts w:cs="Arial"/>
                <w:sz w:val="16"/>
                <w:szCs w:val="16"/>
                <w:lang w:val="fr-FR"/>
              </w:rPr>
            </w:pPr>
            <w:r w:rsidRPr="002A7B40">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Sommeraster</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Aster</w:t>
            </w:r>
            <w:proofErr w:type="spellEnd"/>
            <w:r w:rsidRPr="00041E70">
              <w:rPr>
                <w:rFonts w:cs="Arial"/>
                <w:sz w:val="16"/>
                <w:szCs w:val="16"/>
              </w:rPr>
              <w:t xml:space="preserve"> de China</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Callistephus</w:t>
            </w:r>
            <w:proofErr w:type="spellEnd"/>
            <w:r w:rsidRPr="00041E70">
              <w:rPr>
                <w:rFonts w:cs="Arial"/>
                <w:sz w:val="16"/>
                <w:szCs w:val="16"/>
              </w:rPr>
              <w:t xml:space="preserve"> </w:t>
            </w:r>
            <w:proofErr w:type="spellStart"/>
            <w:r w:rsidRPr="00041E70">
              <w:rPr>
                <w:rFonts w:cs="Arial"/>
                <w:sz w:val="16"/>
                <w:szCs w:val="16"/>
              </w:rPr>
              <w:t>chinensis</w:t>
            </w:r>
            <w:proofErr w:type="spellEnd"/>
            <w:r w:rsidRPr="00041E70">
              <w:rPr>
                <w:rFonts w:cs="Arial"/>
                <w:sz w:val="16"/>
                <w:szCs w:val="16"/>
              </w:rPr>
              <w:t xml:space="preserve"> (L.) </w:t>
            </w:r>
            <w:proofErr w:type="spellStart"/>
            <w:r w:rsidRPr="00041E70">
              <w:rPr>
                <w:rFonts w:cs="Arial"/>
                <w:sz w:val="16"/>
                <w:szCs w:val="16"/>
              </w:rPr>
              <w:t>Nees</w:t>
            </w:r>
            <w:proofErr w:type="spellEnd"/>
          </w:p>
        </w:tc>
      </w:tr>
      <w:tr w:rsidR="00B7224D" w:rsidRPr="00041E70" w:rsidTr="00B7224D">
        <w:trPr>
          <w:cantSplit/>
          <w:trHeight w:val="458"/>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GB</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TWO</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szCs w:val="16"/>
              </w:rPr>
            </w:pPr>
            <w:r w:rsidRPr="00041E70">
              <w:rPr>
                <w:rFonts w:cs="Arial"/>
                <w:sz w:val="16"/>
                <w:szCs w:val="16"/>
              </w:rPr>
              <w:t>TG/CAMPA (proj.6)</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Campanula</w:t>
            </w:r>
            <w:proofErr w:type="spellEnd"/>
            <w:r w:rsidRPr="00041E70">
              <w:rPr>
                <w:rFonts w:cs="Arial"/>
                <w:sz w:val="16"/>
                <w:szCs w:val="16"/>
              </w:rPr>
              <w:t xml:space="preserve">, Bell </w:t>
            </w:r>
            <w:proofErr w:type="spellStart"/>
            <w:r w:rsidRPr="00041E70">
              <w:rPr>
                <w:rFonts w:cs="Arial"/>
                <w:sz w:val="16"/>
                <w:szCs w:val="16"/>
              </w:rPr>
              <w:t>Flower</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Campanule</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Glockenblume</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Campánula</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Campanula</w:t>
            </w:r>
            <w:proofErr w:type="spellEnd"/>
            <w:r w:rsidRPr="00041E70">
              <w:rPr>
                <w:rFonts w:cs="Arial"/>
                <w:sz w:val="16"/>
                <w:szCs w:val="16"/>
              </w:rPr>
              <w:t xml:space="preserve"> L.</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KE/BR</w:t>
            </w:r>
          </w:p>
        </w:tc>
        <w:tc>
          <w:tcPr>
            <w:tcW w:w="590" w:type="dxa"/>
            <w:tcBorders>
              <w:top w:val="single" w:sz="4" w:space="0" w:color="auto"/>
              <w:left w:val="nil"/>
              <w:bottom w:val="single" w:sz="4" w:space="0" w:color="auto"/>
              <w:right w:val="single" w:sz="4" w:space="0" w:color="auto"/>
            </w:tcBorders>
            <w:tcMar>
              <w:left w:w="85" w:type="dxa"/>
              <w:right w:w="85" w:type="dxa"/>
            </w:tcMar>
          </w:tcPr>
          <w:p w:rsidR="00B7224D" w:rsidRPr="00041E70" w:rsidRDefault="00B7224D" w:rsidP="00B7224D">
            <w:pPr>
              <w:rPr>
                <w:rFonts w:cs="Arial"/>
                <w:sz w:val="16"/>
                <w:szCs w:val="16"/>
              </w:rPr>
            </w:pPr>
            <w:r w:rsidRPr="00041E70">
              <w:rPr>
                <w:rFonts w:cs="Arial"/>
                <w:sz w:val="16"/>
                <w:szCs w:val="16"/>
              </w:rPr>
              <w:t>TWA/TWV</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szCs w:val="16"/>
              </w:rPr>
            </w:pPr>
            <w:r w:rsidRPr="00041E70">
              <w:rPr>
                <w:rFonts w:cs="Arial"/>
                <w:sz w:val="16"/>
                <w:szCs w:val="16"/>
              </w:rPr>
              <w:t>TG/CASSAV (proj.6)</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Cassava</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w:t>
            </w:r>
            <w:proofErr w:type="spellStart"/>
            <w:r w:rsidRPr="00041E70">
              <w:rPr>
                <w:rFonts w:cs="Arial"/>
                <w:sz w:val="16"/>
                <w:szCs w:val="16"/>
              </w:rPr>
              <w:t>Manioc</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Maniok</w:t>
            </w:r>
            <w:proofErr w:type="spellEnd"/>
            <w:r w:rsidRPr="00041E70">
              <w:rPr>
                <w:rFonts w:cs="Arial"/>
                <w:sz w:val="16"/>
                <w:szCs w:val="16"/>
              </w:rPr>
              <w:t> </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Mandioca, Yuca </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Manihot</w:t>
            </w:r>
            <w:proofErr w:type="spellEnd"/>
            <w:r w:rsidRPr="00041E70">
              <w:rPr>
                <w:rFonts w:cs="Arial"/>
                <w:sz w:val="16"/>
                <w:szCs w:val="16"/>
              </w:rPr>
              <w:t xml:space="preserve"> </w:t>
            </w:r>
            <w:proofErr w:type="spellStart"/>
            <w:r w:rsidRPr="00041E70">
              <w:rPr>
                <w:rFonts w:cs="Arial"/>
                <w:sz w:val="16"/>
                <w:szCs w:val="16"/>
              </w:rPr>
              <w:t>esculenta</w:t>
            </w:r>
            <w:proofErr w:type="spellEnd"/>
            <w:r w:rsidRPr="00041E70">
              <w:rPr>
                <w:rFonts w:cs="Arial"/>
                <w:sz w:val="16"/>
                <w:szCs w:val="16"/>
              </w:rPr>
              <w:t xml:space="preserve"> </w:t>
            </w:r>
            <w:proofErr w:type="spellStart"/>
            <w:r w:rsidRPr="00041E70">
              <w:rPr>
                <w:rFonts w:cs="Arial"/>
                <w:sz w:val="16"/>
                <w:szCs w:val="16"/>
              </w:rPr>
              <w:t>Crantz</w:t>
            </w:r>
            <w:proofErr w:type="spellEnd"/>
          </w:p>
        </w:tc>
      </w:tr>
      <w:tr w:rsidR="00B7224D" w:rsidRPr="00041E70" w:rsidTr="00B7224D">
        <w:trPr>
          <w:cantSplit/>
          <w:trHeight w:val="4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JP</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TWA</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szCs w:val="16"/>
              </w:rPr>
            </w:pPr>
            <w:r w:rsidRPr="00041E70">
              <w:rPr>
                <w:rFonts w:cs="Arial"/>
                <w:sz w:val="16"/>
                <w:szCs w:val="16"/>
              </w:rPr>
              <w:t>TG/COIX(proj.6)</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Adlay</w:t>
            </w:r>
            <w:proofErr w:type="spellEnd"/>
            <w:r w:rsidRPr="00041E70">
              <w:rPr>
                <w:rFonts w:cs="Arial"/>
                <w:sz w:val="16"/>
                <w:szCs w:val="16"/>
              </w:rPr>
              <w:t xml:space="preserve">, </w:t>
            </w:r>
            <w:proofErr w:type="spellStart"/>
            <w:r w:rsidRPr="00041E70">
              <w:rPr>
                <w:rFonts w:cs="Arial"/>
                <w:sz w:val="16"/>
                <w:szCs w:val="16"/>
              </w:rPr>
              <w:t>Job's</w:t>
            </w:r>
            <w:proofErr w:type="spellEnd"/>
            <w:r w:rsidRPr="00041E70">
              <w:rPr>
                <w:rFonts w:cs="Arial"/>
                <w:sz w:val="16"/>
                <w:szCs w:val="16"/>
              </w:rPr>
              <w:t xml:space="preserve"> </w:t>
            </w:r>
            <w:proofErr w:type="spellStart"/>
            <w:r w:rsidRPr="00041E70">
              <w:rPr>
                <w:rFonts w:cs="Arial"/>
                <w:sz w:val="16"/>
                <w:szCs w:val="16"/>
              </w:rPr>
              <w:t>tears</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Larmes</w:t>
            </w:r>
            <w:proofErr w:type="spellEnd"/>
            <w:r w:rsidRPr="00041E70">
              <w:rPr>
                <w:rFonts w:cs="Arial"/>
                <w:sz w:val="16"/>
                <w:szCs w:val="16"/>
              </w:rPr>
              <w:t xml:space="preserve"> de Job</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Hiobsträne</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Lágrimas de San Pedro</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Coix</w:t>
            </w:r>
            <w:proofErr w:type="spellEnd"/>
            <w:r w:rsidRPr="00041E70">
              <w:rPr>
                <w:rFonts w:cs="Arial"/>
                <w:sz w:val="16"/>
                <w:szCs w:val="16"/>
              </w:rPr>
              <w:t xml:space="preserve"> </w:t>
            </w:r>
            <w:proofErr w:type="spellStart"/>
            <w:r w:rsidRPr="00041E70">
              <w:rPr>
                <w:rFonts w:cs="Arial"/>
                <w:sz w:val="16"/>
                <w:szCs w:val="16"/>
              </w:rPr>
              <w:t>lacryma-jobi</w:t>
            </w:r>
            <w:proofErr w:type="spellEnd"/>
            <w:r w:rsidRPr="00041E70">
              <w:rPr>
                <w:rFonts w:cs="Arial"/>
                <w:sz w:val="16"/>
                <w:szCs w:val="16"/>
              </w:rPr>
              <w:t xml:space="preserve"> L.</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JP</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TWO</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szCs w:val="16"/>
              </w:rPr>
            </w:pPr>
            <w:r w:rsidRPr="00041E70">
              <w:rPr>
                <w:rFonts w:cs="Arial"/>
                <w:sz w:val="16"/>
                <w:szCs w:val="16"/>
              </w:rPr>
              <w:t>TG/COSMOS (proj.8)</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Cosmos</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Cosmos</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Kosmee</w:t>
            </w:r>
            <w:proofErr w:type="spellEnd"/>
            <w:r w:rsidRPr="00041E70">
              <w:rPr>
                <w:rFonts w:cs="Arial"/>
                <w:sz w:val="16"/>
                <w:szCs w:val="16"/>
              </w:rPr>
              <w:t xml:space="preserve">, </w:t>
            </w:r>
            <w:proofErr w:type="spellStart"/>
            <w:r w:rsidRPr="00041E70">
              <w:rPr>
                <w:rFonts w:cs="Arial"/>
                <w:sz w:val="16"/>
                <w:szCs w:val="16"/>
              </w:rPr>
              <w:t>Schmuckkörbchen</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Mirasol, Cosmos</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xml:space="preserve">Cosmos </w:t>
            </w:r>
            <w:proofErr w:type="spellStart"/>
            <w:r w:rsidRPr="00041E70">
              <w:rPr>
                <w:rFonts w:cs="Arial"/>
                <w:sz w:val="16"/>
                <w:szCs w:val="16"/>
              </w:rPr>
              <w:t>Cav</w:t>
            </w:r>
            <w:proofErr w:type="spellEnd"/>
            <w:r w:rsidRPr="00041E70">
              <w:rPr>
                <w:rFonts w:cs="Arial"/>
                <w:sz w:val="16"/>
                <w:szCs w:val="16"/>
              </w:rPr>
              <w:t>.</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FR</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TWV</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ight="-108"/>
              <w:rPr>
                <w:rFonts w:cs="Arial"/>
                <w:sz w:val="16"/>
                <w:szCs w:val="16"/>
              </w:rPr>
            </w:pPr>
            <w:r w:rsidRPr="00041E70">
              <w:rPr>
                <w:rFonts w:cs="Arial"/>
                <w:sz w:val="16"/>
                <w:szCs w:val="16"/>
              </w:rPr>
              <w:t>TG/CUCUR_MMO (proj.4)</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Cucurbita</w:t>
            </w:r>
            <w:proofErr w:type="spellEnd"/>
            <w:r w:rsidRPr="00041E70">
              <w:rPr>
                <w:rFonts w:cs="Arial"/>
                <w:sz w:val="16"/>
                <w:szCs w:val="16"/>
              </w:rPr>
              <w:t xml:space="preserve"> </w:t>
            </w:r>
            <w:proofErr w:type="spellStart"/>
            <w:r w:rsidRPr="00041E70">
              <w:rPr>
                <w:rFonts w:cs="Arial"/>
                <w:sz w:val="16"/>
                <w:szCs w:val="16"/>
              </w:rPr>
              <w:t>maxima</w:t>
            </w:r>
            <w:proofErr w:type="spellEnd"/>
            <w:r w:rsidRPr="00041E70">
              <w:rPr>
                <w:rFonts w:cs="Arial"/>
                <w:sz w:val="16"/>
                <w:szCs w:val="16"/>
              </w:rPr>
              <w:t xml:space="preserve"> X </w:t>
            </w:r>
            <w:proofErr w:type="spellStart"/>
            <w:r w:rsidRPr="00041E70">
              <w:rPr>
                <w:rFonts w:cs="Arial"/>
                <w:sz w:val="16"/>
                <w:szCs w:val="16"/>
              </w:rPr>
              <w:t>Cucurbita</w:t>
            </w:r>
            <w:proofErr w:type="spellEnd"/>
            <w:r w:rsidRPr="00041E70">
              <w:rPr>
                <w:rFonts w:cs="Arial"/>
                <w:sz w:val="16"/>
                <w:szCs w:val="16"/>
              </w:rPr>
              <w:t xml:space="preserve"> </w:t>
            </w:r>
            <w:proofErr w:type="spellStart"/>
            <w:r w:rsidRPr="00041E70">
              <w:rPr>
                <w:rFonts w:cs="Arial"/>
                <w:sz w:val="16"/>
                <w:szCs w:val="16"/>
              </w:rPr>
              <w:t>moschata</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Cucurbita</w:t>
            </w:r>
            <w:proofErr w:type="spellEnd"/>
            <w:r w:rsidRPr="00041E70">
              <w:rPr>
                <w:rFonts w:cs="Arial"/>
                <w:sz w:val="16"/>
                <w:szCs w:val="16"/>
              </w:rPr>
              <w:t xml:space="preserve"> </w:t>
            </w:r>
            <w:proofErr w:type="spellStart"/>
            <w:r w:rsidRPr="00041E70">
              <w:rPr>
                <w:rFonts w:cs="Arial"/>
                <w:sz w:val="16"/>
                <w:szCs w:val="16"/>
              </w:rPr>
              <w:t>maxima</w:t>
            </w:r>
            <w:proofErr w:type="spellEnd"/>
            <w:r w:rsidRPr="00041E70">
              <w:rPr>
                <w:rFonts w:cs="Arial"/>
                <w:sz w:val="16"/>
                <w:szCs w:val="16"/>
              </w:rPr>
              <w:t xml:space="preserve"> X </w:t>
            </w:r>
            <w:proofErr w:type="spellStart"/>
            <w:r w:rsidRPr="00041E70">
              <w:rPr>
                <w:rFonts w:cs="Arial"/>
                <w:sz w:val="16"/>
                <w:szCs w:val="16"/>
              </w:rPr>
              <w:t>Cucurbita</w:t>
            </w:r>
            <w:proofErr w:type="spellEnd"/>
            <w:r w:rsidRPr="00041E70">
              <w:rPr>
                <w:rFonts w:cs="Arial"/>
                <w:sz w:val="16"/>
                <w:szCs w:val="16"/>
              </w:rPr>
              <w:t xml:space="preserve"> </w:t>
            </w:r>
            <w:proofErr w:type="spellStart"/>
            <w:r w:rsidRPr="00041E70">
              <w:rPr>
                <w:rFonts w:cs="Arial"/>
                <w:sz w:val="16"/>
                <w:szCs w:val="16"/>
              </w:rPr>
              <w:t>moschata</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Cucurbita</w:t>
            </w:r>
            <w:proofErr w:type="spellEnd"/>
            <w:r w:rsidRPr="00041E70">
              <w:rPr>
                <w:rFonts w:cs="Arial"/>
                <w:sz w:val="16"/>
                <w:szCs w:val="16"/>
              </w:rPr>
              <w:t xml:space="preserve"> </w:t>
            </w:r>
            <w:proofErr w:type="spellStart"/>
            <w:r w:rsidRPr="00041E70">
              <w:rPr>
                <w:rFonts w:cs="Arial"/>
                <w:sz w:val="16"/>
                <w:szCs w:val="16"/>
              </w:rPr>
              <w:t>maxima</w:t>
            </w:r>
            <w:proofErr w:type="spellEnd"/>
            <w:r w:rsidRPr="00041E70">
              <w:rPr>
                <w:rFonts w:cs="Arial"/>
                <w:sz w:val="16"/>
                <w:szCs w:val="16"/>
              </w:rPr>
              <w:t xml:space="preserve"> X </w:t>
            </w:r>
            <w:proofErr w:type="spellStart"/>
            <w:r w:rsidRPr="00041E70">
              <w:rPr>
                <w:rFonts w:cs="Arial"/>
                <w:sz w:val="16"/>
                <w:szCs w:val="16"/>
              </w:rPr>
              <w:t>Cucurbita</w:t>
            </w:r>
            <w:proofErr w:type="spellEnd"/>
            <w:r w:rsidRPr="00041E70">
              <w:rPr>
                <w:rFonts w:cs="Arial"/>
                <w:sz w:val="16"/>
                <w:szCs w:val="16"/>
              </w:rPr>
              <w:t xml:space="preserve"> </w:t>
            </w:r>
            <w:proofErr w:type="spellStart"/>
            <w:r w:rsidRPr="00041E70">
              <w:rPr>
                <w:rFonts w:cs="Arial"/>
                <w:sz w:val="16"/>
                <w:szCs w:val="16"/>
              </w:rPr>
              <w:t>moschata</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Cucurbita</w:t>
            </w:r>
            <w:proofErr w:type="spellEnd"/>
            <w:r w:rsidRPr="00041E70">
              <w:rPr>
                <w:rFonts w:cs="Arial"/>
                <w:sz w:val="16"/>
                <w:szCs w:val="16"/>
              </w:rPr>
              <w:t xml:space="preserve"> </w:t>
            </w:r>
            <w:proofErr w:type="spellStart"/>
            <w:r w:rsidRPr="00041E70">
              <w:rPr>
                <w:rFonts w:cs="Arial"/>
                <w:sz w:val="16"/>
                <w:szCs w:val="16"/>
              </w:rPr>
              <w:t>maxima</w:t>
            </w:r>
            <w:proofErr w:type="spellEnd"/>
            <w:r w:rsidRPr="00041E70">
              <w:rPr>
                <w:rFonts w:cs="Arial"/>
                <w:sz w:val="16"/>
                <w:szCs w:val="16"/>
              </w:rPr>
              <w:t xml:space="preserve"> X </w:t>
            </w:r>
            <w:proofErr w:type="spellStart"/>
            <w:r w:rsidRPr="00041E70">
              <w:rPr>
                <w:rFonts w:cs="Arial"/>
                <w:sz w:val="16"/>
                <w:szCs w:val="16"/>
              </w:rPr>
              <w:t>Cucurbita</w:t>
            </w:r>
            <w:proofErr w:type="spellEnd"/>
            <w:r w:rsidRPr="00041E70">
              <w:rPr>
                <w:rFonts w:cs="Arial"/>
                <w:sz w:val="16"/>
                <w:szCs w:val="16"/>
              </w:rPr>
              <w:t xml:space="preserve"> </w:t>
            </w:r>
            <w:proofErr w:type="spellStart"/>
            <w:r w:rsidRPr="00041E70">
              <w:rPr>
                <w:rFonts w:cs="Arial"/>
                <w:sz w:val="16"/>
                <w:szCs w:val="16"/>
              </w:rPr>
              <w:t>moschata</w:t>
            </w:r>
            <w:proofErr w:type="spellEnd"/>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Cucurbita</w:t>
            </w:r>
            <w:proofErr w:type="spellEnd"/>
            <w:r w:rsidRPr="00041E70">
              <w:rPr>
                <w:rFonts w:cs="Arial"/>
                <w:sz w:val="16"/>
                <w:szCs w:val="16"/>
              </w:rPr>
              <w:t xml:space="preserve"> </w:t>
            </w:r>
            <w:proofErr w:type="spellStart"/>
            <w:r w:rsidRPr="00041E70">
              <w:rPr>
                <w:rFonts w:cs="Arial"/>
                <w:sz w:val="16"/>
                <w:szCs w:val="16"/>
              </w:rPr>
              <w:t>maxima</w:t>
            </w:r>
            <w:proofErr w:type="spellEnd"/>
            <w:r w:rsidRPr="00041E70">
              <w:rPr>
                <w:rFonts w:cs="Arial"/>
                <w:sz w:val="16"/>
                <w:szCs w:val="16"/>
              </w:rPr>
              <w:t xml:space="preserve"> </w:t>
            </w:r>
            <w:proofErr w:type="spellStart"/>
            <w:r w:rsidRPr="00041E70">
              <w:rPr>
                <w:rFonts w:cs="Arial"/>
                <w:sz w:val="16"/>
                <w:szCs w:val="16"/>
              </w:rPr>
              <w:t>Duch</w:t>
            </w:r>
            <w:proofErr w:type="spellEnd"/>
            <w:r w:rsidRPr="00041E70">
              <w:rPr>
                <w:rFonts w:cs="Arial"/>
                <w:sz w:val="16"/>
                <w:szCs w:val="16"/>
              </w:rPr>
              <w:t xml:space="preserve">. </w:t>
            </w:r>
            <w:proofErr w:type="gramStart"/>
            <w:r w:rsidRPr="00041E70">
              <w:rPr>
                <w:rFonts w:cs="Arial"/>
                <w:sz w:val="16"/>
                <w:szCs w:val="16"/>
              </w:rPr>
              <w:t>x</w:t>
            </w:r>
            <w:proofErr w:type="gramEnd"/>
            <w:r w:rsidRPr="00041E70">
              <w:rPr>
                <w:rFonts w:cs="Arial"/>
                <w:sz w:val="16"/>
                <w:szCs w:val="16"/>
              </w:rPr>
              <w:t xml:space="preserve"> </w:t>
            </w:r>
            <w:proofErr w:type="spellStart"/>
            <w:r w:rsidRPr="00041E70">
              <w:rPr>
                <w:rFonts w:cs="Arial"/>
                <w:sz w:val="16"/>
                <w:szCs w:val="16"/>
              </w:rPr>
              <w:t>Cucurbita</w:t>
            </w:r>
            <w:proofErr w:type="spellEnd"/>
            <w:r w:rsidRPr="00041E70">
              <w:rPr>
                <w:rFonts w:cs="Arial"/>
                <w:sz w:val="16"/>
                <w:szCs w:val="16"/>
              </w:rPr>
              <w:t xml:space="preserve"> </w:t>
            </w:r>
            <w:proofErr w:type="spellStart"/>
            <w:r w:rsidRPr="00041E70">
              <w:rPr>
                <w:rFonts w:cs="Arial"/>
                <w:sz w:val="16"/>
                <w:szCs w:val="16"/>
              </w:rPr>
              <w:t>moschata</w:t>
            </w:r>
            <w:proofErr w:type="spellEnd"/>
            <w:r w:rsidRPr="00041E70">
              <w:rPr>
                <w:rFonts w:cs="Arial"/>
                <w:sz w:val="16"/>
                <w:szCs w:val="16"/>
              </w:rPr>
              <w:t xml:space="preserve"> </w:t>
            </w:r>
            <w:proofErr w:type="spellStart"/>
            <w:r w:rsidRPr="00041E70">
              <w:rPr>
                <w:rFonts w:cs="Arial"/>
                <w:sz w:val="16"/>
                <w:szCs w:val="16"/>
              </w:rPr>
              <w:t>Duch</w:t>
            </w:r>
            <w:proofErr w:type="spellEnd"/>
            <w:r w:rsidRPr="00041E70">
              <w:rPr>
                <w:rFonts w:cs="Arial"/>
                <w:sz w:val="16"/>
                <w:szCs w:val="16"/>
              </w:rPr>
              <w:t>.</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FR</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TWV</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szCs w:val="16"/>
              </w:rPr>
            </w:pPr>
            <w:r w:rsidRPr="00041E70">
              <w:rPr>
                <w:rFonts w:cs="Arial"/>
                <w:sz w:val="16"/>
                <w:szCs w:val="16"/>
              </w:rPr>
              <w:t>TG/LAGEN (proj.5)</w:t>
            </w:r>
          </w:p>
        </w:tc>
        <w:tc>
          <w:tcPr>
            <w:tcW w:w="1417" w:type="dxa"/>
            <w:tcBorders>
              <w:top w:val="single" w:sz="4" w:space="0" w:color="auto"/>
              <w:left w:val="nil"/>
              <w:bottom w:val="single" w:sz="4" w:space="0" w:color="auto"/>
              <w:right w:val="single" w:sz="4" w:space="0" w:color="auto"/>
            </w:tcBorders>
          </w:tcPr>
          <w:p w:rsidR="00B7224D" w:rsidRPr="002A7B40" w:rsidRDefault="00B7224D" w:rsidP="00B7224D">
            <w:pPr>
              <w:jc w:val="left"/>
              <w:rPr>
                <w:rFonts w:cs="Arial"/>
                <w:sz w:val="16"/>
                <w:szCs w:val="16"/>
                <w:lang w:val="en-US"/>
              </w:rPr>
            </w:pPr>
            <w:r w:rsidRPr="002A7B40">
              <w:rPr>
                <w:rFonts w:cs="Arial"/>
                <w:sz w:val="16"/>
                <w:szCs w:val="16"/>
                <w:lang w:val="en-US"/>
              </w:rPr>
              <w:t>Bottle Gourd; Calabash; Calabash Gourd; White-flower Gourd</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Calebassier</w:t>
            </w:r>
            <w:proofErr w:type="spellEnd"/>
            <w:r w:rsidRPr="00041E70">
              <w:rPr>
                <w:rFonts w:cs="Arial"/>
                <w:sz w:val="16"/>
                <w:szCs w:val="16"/>
              </w:rPr>
              <w:t xml:space="preserve">; Gourde </w:t>
            </w:r>
            <w:proofErr w:type="spellStart"/>
            <w:r w:rsidRPr="00041E70">
              <w:rPr>
                <w:rFonts w:cs="Arial"/>
                <w:sz w:val="16"/>
                <w:szCs w:val="16"/>
              </w:rPr>
              <w:t>bouteille</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Flaschenfrucht</w:t>
            </w:r>
            <w:proofErr w:type="spellEnd"/>
            <w:r w:rsidRPr="00041E70">
              <w:rPr>
                <w:rFonts w:cs="Arial"/>
                <w:sz w:val="16"/>
                <w:szCs w:val="16"/>
              </w:rPr>
              <w:t xml:space="preserve">; </w:t>
            </w:r>
            <w:proofErr w:type="spellStart"/>
            <w:r w:rsidRPr="00041E70">
              <w:rPr>
                <w:rFonts w:cs="Arial"/>
                <w:sz w:val="16"/>
                <w:szCs w:val="16"/>
              </w:rPr>
              <w:t>Flaschenkürbis</w:t>
            </w:r>
            <w:proofErr w:type="spellEnd"/>
            <w:r w:rsidRPr="00041E70">
              <w:rPr>
                <w:rFonts w:cs="Arial"/>
                <w:sz w:val="16"/>
                <w:szCs w:val="16"/>
              </w:rPr>
              <w:t xml:space="preserve">; </w:t>
            </w:r>
            <w:proofErr w:type="spellStart"/>
            <w:r w:rsidRPr="00041E70">
              <w:rPr>
                <w:rFonts w:cs="Arial"/>
                <w:sz w:val="16"/>
                <w:szCs w:val="16"/>
              </w:rPr>
              <w:t>Gewöhnlicher</w:t>
            </w:r>
            <w:proofErr w:type="spellEnd"/>
            <w:r w:rsidRPr="00041E70">
              <w:rPr>
                <w:rFonts w:cs="Arial"/>
                <w:sz w:val="16"/>
                <w:szCs w:val="16"/>
              </w:rPr>
              <w:t xml:space="preserve"> </w:t>
            </w:r>
            <w:proofErr w:type="spellStart"/>
            <w:r w:rsidRPr="00041E70">
              <w:rPr>
                <w:rFonts w:cs="Arial"/>
                <w:sz w:val="16"/>
                <w:szCs w:val="16"/>
              </w:rPr>
              <w:t>Flaschenkürbis</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xml:space="preserve">Acocote; </w:t>
            </w:r>
            <w:proofErr w:type="spellStart"/>
            <w:r w:rsidRPr="00041E70">
              <w:rPr>
                <w:rFonts w:cs="Arial"/>
                <w:sz w:val="16"/>
                <w:szCs w:val="16"/>
              </w:rPr>
              <w:t>Cajombre</w:t>
            </w:r>
            <w:proofErr w:type="spellEnd"/>
            <w:r w:rsidRPr="00041E70">
              <w:rPr>
                <w:rFonts w:cs="Arial"/>
                <w:sz w:val="16"/>
                <w:szCs w:val="16"/>
              </w:rPr>
              <w:t xml:space="preserve">; Calabaza; </w:t>
            </w:r>
            <w:proofErr w:type="spellStart"/>
            <w:r w:rsidRPr="00041E70">
              <w:rPr>
                <w:rFonts w:cs="Arial"/>
                <w:sz w:val="16"/>
                <w:szCs w:val="16"/>
              </w:rPr>
              <w:t>Guiro</w:t>
            </w:r>
            <w:proofErr w:type="spellEnd"/>
            <w:r w:rsidRPr="00041E70">
              <w:rPr>
                <w:rFonts w:cs="Arial"/>
                <w:sz w:val="16"/>
                <w:szCs w:val="16"/>
              </w:rPr>
              <w:t xml:space="preserve"> amargo</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Lagenaria</w:t>
            </w:r>
            <w:proofErr w:type="spellEnd"/>
            <w:r w:rsidRPr="00041E70">
              <w:rPr>
                <w:rFonts w:cs="Arial"/>
                <w:sz w:val="16"/>
                <w:szCs w:val="16"/>
              </w:rPr>
              <w:t xml:space="preserve"> </w:t>
            </w:r>
            <w:proofErr w:type="spellStart"/>
            <w:r w:rsidRPr="00041E70">
              <w:rPr>
                <w:rFonts w:cs="Arial"/>
                <w:sz w:val="16"/>
                <w:szCs w:val="16"/>
              </w:rPr>
              <w:t>siceraria</w:t>
            </w:r>
            <w:proofErr w:type="spellEnd"/>
            <w:r w:rsidRPr="00041E70">
              <w:rPr>
                <w:rFonts w:cs="Arial"/>
                <w:sz w:val="16"/>
                <w:szCs w:val="16"/>
              </w:rPr>
              <w:t xml:space="preserve"> (Molina) </w:t>
            </w:r>
            <w:proofErr w:type="spellStart"/>
            <w:r w:rsidRPr="00041E70">
              <w:rPr>
                <w:rFonts w:cs="Arial"/>
                <w:sz w:val="16"/>
                <w:szCs w:val="16"/>
              </w:rPr>
              <w:t>Standl</w:t>
            </w:r>
            <w:proofErr w:type="spellEnd"/>
            <w:r w:rsidRPr="00041E70">
              <w:rPr>
                <w:rFonts w:cs="Arial"/>
                <w:sz w:val="16"/>
                <w:szCs w:val="16"/>
              </w:rPr>
              <w:t>.</w:t>
            </w:r>
          </w:p>
        </w:tc>
      </w:tr>
      <w:tr w:rsidR="00B7224D" w:rsidRPr="002A7B4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MX</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TWF</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szCs w:val="16"/>
              </w:rPr>
            </w:pPr>
            <w:r w:rsidRPr="00041E70">
              <w:rPr>
                <w:rFonts w:cs="Arial"/>
                <w:sz w:val="16"/>
                <w:szCs w:val="16"/>
              </w:rPr>
              <w:t>TG/PECAN (proj.12)</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xml:space="preserve">Pecan </w:t>
            </w:r>
            <w:proofErr w:type="spellStart"/>
            <w:r w:rsidRPr="00041E70">
              <w:rPr>
                <w:rFonts w:cs="Arial"/>
                <w:sz w:val="16"/>
                <w:szCs w:val="16"/>
              </w:rPr>
              <w:t>Nut</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Noix</w:t>
            </w:r>
            <w:proofErr w:type="spellEnd"/>
            <w:r w:rsidRPr="00041E70">
              <w:rPr>
                <w:rFonts w:cs="Arial"/>
                <w:sz w:val="16"/>
                <w:szCs w:val="16"/>
              </w:rPr>
              <w:t xml:space="preserve"> de </w:t>
            </w:r>
            <w:proofErr w:type="spellStart"/>
            <w:r w:rsidRPr="00041E70">
              <w:rPr>
                <w:rFonts w:cs="Arial"/>
                <w:sz w:val="16"/>
                <w:szCs w:val="16"/>
              </w:rPr>
              <w:t>pécan</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Pekan</w:t>
            </w:r>
            <w:proofErr w:type="spellEnd"/>
            <w:r w:rsidRPr="00041E70">
              <w:rPr>
                <w:rFonts w:cs="Arial"/>
                <w:sz w:val="16"/>
                <w:szCs w:val="16"/>
              </w:rPr>
              <w:t xml:space="preserve">, </w:t>
            </w:r>
            <w:proofErr w:type="spellStart"/>
            <w:r w:rsidRPr="00041E70">
              <w:rPr>
                <w:rFonts w:cs="Arial"/>
                <w:sz w:val="16"/>
                <w:szCs w:val="16"/>
              </w:rPr>
              <w:t>Pekannuß</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xml:space="preserve">Nuez </w:t>
            </w:r>
            <w:proofErr w:type="spellStart"/>
            <w:r w:rsidRPr="00041E70">
              <w:rPr>
                <w:rFonts w:cs="Arial"/>
                <w:sz w:val="16"/>
                <w:szCs w:val="16"/>
              </w:rPr>
              <w:t>pecán</w:t>
            </w:r>
            <w:proofErr w:type="spellEnd"/>
            <w:r w:rsidRPr="00041E70">
              <w:rPr>
                <w:rFonts w:cs="Arial"/>
                <w:sz w:val="16"/>
                <w:szCs w:val="16"/>
              </w:rPr>
              <w:t xml:space="preserve">, Pecan, Nogal </w:t>
            </w:r>
            <w:proofErr w:type="spellStart"/>
            <w:r w:rsidRPr="00041E70">
              <w:rPr>
                <w:rFonts w:cs="Arial"/>
                <w:sz w:val="16"/>
                <w:szCs w:val="16"/>
              </w:rPr>
              <w:t>pecanero</w:t>
            </w:r>
            <w:proofErr w:type="spellEnd"/>
          </w:p>
        </w:tc>
        <w:tc>
          <w:tcPr>
            <w:tcW w:w="1700" w:type="dxa"/>
            <w:tcBorders>
              <w:top w:val="single" w:sz="4" w:space="0" w:color="auto"/>
              <w:left w:val="nil"/>
              <w:bottom w:val="single" w:sz="4" w:space="0" w:color="auto"/>
              <w:right w:val="single" w:sz="4" w:space="0" w:color="auto"/>
            </w:tcBorders>
          </w:tcPr>
          <w:p w:rsidR="00B7224D" w:rsidRPr="002A7B40" w:rsidRDefault="00B7224D" w:rsidP="00B7224D">
            <w:pPr>
              <w:jc w:val="left"/>
              <w:rPr>
                <w:rFonts w:cs="Arial"/>
                <w:sz w:val="16"/>
                <w:szCs w:val="16"/>
                <w:lang w:val="en-US"/>
              </w:rPr>
            </w:pPr>
            <w:r w:rsidRPr="002A7B40">
              <w:rPr>
                <w:rFonts w:cs="Arial"/>
                <w:sz w:val="16"/>
                <w:szCs w:val="16"/>
                <w:lang w:val="en-US"/>
              </w:rPr>
              <w:t>Carya illinoinensis (Wangenh.) K. Koch</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BR</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TWA</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szCs w:val="16"/>
              </w:rPr>
            </w:pPr>
            <w:r w:rsidRPr="00041E70">
              <w:rPr>
                <w:rFonts w:cs="Arial"/>
                <w:sz w:val="16"/>
                <w:szCs w:val="16"/>
              </w:rPr>
              <w:t>TG/UROCH (proj.9)</w:t>
            </w:r>
          </w:p>
        </w:tc>
        <w:tc>
          <w:tcPr>
            <w:tcW w:w="1417" w:type="dxa"/>
            <w:tcBorders>
              <w:top w:val="single" w:sz="4" w:space="0" w:color="auto"/>
              <w:left w:val="nil"/>
              <w:bottom w:val="single" w:sz="4" w:space="0" w:color="auto"/>
              <w:right w:val="single" w:sz="4" w:space="0" w:color="auto"/>
            </w:tcBorders>
          </w:tcPr>
          <w:p w:rsidR="00B7224D" w:rsidRPr="002A7B40" w:rsidRDefault="00B7224D" w:rsidP="00B7224D">
            <w:pPr>
              <w:jc w:val="left"/>
              <w:rPr>
                <w:rFonts w:cs="Arial"/>
                <w:sz w:val="16"/>
                <w:szCs w:val="16"/>
                <w:lang w:val="en-US"/>
              </w:rPr>
            </w:pPr>
            <w:r w:rsidRPr="002A7B40">
              <w:rPr>
                <w:rFonts w:cs="Arial"/>
                <w:sz w:val="16"/>
                <w:szCs w:val="16"/>
                <w:lang w:val="en-US"/>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Signal</w:t>
            </w:r>
            <w:proofErr w:type="spellEnd"/>
            <w:r w:rsidRPr="00041E70">
              <w:rPr>
                <w:rFonts w:cs="Arial"/>
                <w:sz w:val="16"/>
                <w:szCs w:val="16"/>
              </w:rPr>
              <w:t xml:space="preserve">; </w:t>
            </w:r>
            <w:proofErr w:type="spellStart"/>
            <w:r w:rsidRPr="00041E70">
              <w:rPr>
                <w:rFonts w:cs="Arial"/>
                <w:sz w:val="16"/>
                <w:szCs w:val="16"/>
              </w:rPr>
              <w:t>Koronivia</w:t>
            </w:r>
            <w:proofErr w:type="spellEnd"/>
            <w:r w:rsidRPr="00041E70">
              <w:rPr>
                <w:rFonts w:cs="Arial"/>
                <w:sz w:val="16"/>
                <w:szCs w:val="16"/>
              </w:rPr>
              <w:t>;</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Palisadengras</w:t>
            </w:r>
            <w:proofErr w:type="spellEnd"/>
            <w:r w:rsidRPr="00041E70">
              <w:rPr>
                <w:rFonts w:cs="Arial"/>
                <w:sz w:val="16"/>
                <w:szCs w:val="16"/>
              </w:rPr>
              <w:t xml:space="preserve">; </w:t>
            </w:r>
            <w:proofErr w:type="spellStart"/>
            <w:r w:rsidRPr="00041E70">
              <w:rPr>
                <w:rFonts w:cs="Arial"/>
                <w:sz w:val="16"/>
                <w:szCs w:val="16"/>
              </w:rPr>
              <w:t>Surinamgras</w:t>
            </w:r>
            <w:proofErr w:type="spellEnd"/>
            <w:r w:rsidRPr="00041E70">
              <w:rPr>
                <w:rFonts w:cs="Arial"/>
                <w:sz w:val="16"/>
                <w:szCs w:val="16"/>
              </w:rPr>
              <w:t>;</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xml:space="preserve">Pasto alambre, Pasto señal, Zacate señal, Zacate </w:t>
            </w:r>
            <w:proofErr w:type="spellStart"/>
            <w:r w:rsidRPr="00041E70">
              <w:rPr>
                <w:rFonts w:cs="Arial"/>
                <w:sz w:val="16"/>
                <w:szCs w:val="16"/>
              </w:rPr>
              <w:t>signal</w:t>
            </w:r>
            <w:proofErr w:type="spellEnd"/>
            <w:r w:rsidRPr="00041E70">
              <w:rPr>
                <w:rFonts w:cs="Arial"/>
                <w:sz w:val="16"/>
                <w:szCs w:val="16"/>
              </w:rPr>
              <w:t xml:space="preserve">; Zacate Surinam, Pasto </w:t>
            </w:r>
            <w:proofErr w:type="spellStart"/>
            <w:r w:rsidRPr="00041E70">
              <w:rPr>
                <w:rFonts w:cs="Arial"/>
                <w:sz w:val="16"/>
                <w:szCs w:val="16"/>
              </w:rPr>
              <w:t>chontalpo</w:t>
            </w:r>
            <w:proofErr w:type="spellEnd"/>
            <w:r w:rsidRPr="00041E70">
              <w:rPr>
                <w:rFonts w:cs="Arial"/>
                <w:sz w:val="16"/>
                <w:szCs w:val="16"/>
              </w:rPr>
              <w:t xml:space="preserve">, Pasto de la palizada, Pasto de las orillas, Pasto peludo, Pasto prodigio, Zacate prodigio; </w:t>
            </w:r>
            <w:proofErr w:type="spellStart"/>
            <w:r w:rsidRPr="00041E70">
              <w:rPr>
                <w:rFonts w:cs="Arial"/>
                <w:sz w:val="16"/>
                <w:szCs w:val="16"/>
              </w:rPr>
              <w:t>Braquiaria</w:t>
            </w:r>
            <w:proofErr w:type="spellEnd"/>
            <w:r w:rsidRPr="00041E70">
              <w:rPr>
                <w:rFonts w:cs="Arial"/>
                <w:sz w:val="16"/>
                <w:szCs w:val="16"/>
              </w:rPr>
              <w:t xml:space="preserve"> dulce, </w:t>
            </w:r>
            <w:proofErr w:type="spellStart"/>
            <w:r w:rsidRPr="00041E70">
              <w:rPr>
                <w:rFonts w:cs="Arial"/>
                <w:sz w:val="16"/>
                <w:szCs w:val="16"/>
              </w:rPr>
              <w:t>Kikuyu</w:t>
            </w:r>
            <w:proofErr w:type="spellEnd"/>
            <w:r w:rsidRPr="00041E70">
              <w:rPr>
                <w:rFonts w:cs="Arial"/>
                <w:sz w:val="16"/>
                <w:szCs w:val="16"/>
              </w:rPr>
              <w:t xml:space="preserve"> de la Amazonía, Pasto </w:t>
            </w:r>
            <w:proofErr w:type="spellStart"/>
            <w:r w:rsidRPr="00041E70">
              <w:rPr>
                <w:rFonts w:cs="Arial"/>
                <w:sz w:val="16"/>
                <w:szCs w:val="16"/>
              </w:rPr>
              <w:t>humidícola</w:t>
            </w:r>
            <w:proofErr w:type="spellEnd"/>
            <w:r w:rsidRPr="00041E70">
              <w:rPr>
                <w:rFonts w:cs="Arial"/>
                <w:sz w:val="16"/>
                <w:szCs w:val="16"/>
              </w:rPr>
              <w:t xml:space="preserve">, Pasto </w:t>
            </w:r>
            <w:proofErr w:type="spellStart"/>
            <w:r w:rsidRPr="00041E70">
              <w:rPr>
                <w:rFonts w:cs="Arial"/>
                <w:sz w:val="16"/>
                <w:szCs w:val="16"/>
              </w:rPr>
              <w:t>humidícola</w:t>
            </w:r>
            <w:proofErr w:type="spellEnd"/>
            <w:r w:rsidRPr="00041E70">
              <w:rPr>
                <w:rFonts w:cs="Arial"/>
                <w:sz w:val="16"/>
                <w:szCs w:val="16"/>
              </w:rPr>
              <w:t xml:space="preserve"> dulce; Congo señal, </w:t>
            </w:r>
            <w:proofErr w:type="spellStart"/>
            <w:r w:rsidRPr="00041E70">
              <w:rPr>
                <w:rFonts w:cs="Arial"/>
                <w:sz w:val="16"/>
                <w:szCs w:val="16"/>
              </w:rPr>
              <w:t>Gambutera</w:t>
            </w:r>
            <w:proofErr w:type="spellEnd"/>
            <w:r w:rsidRPr="00041E70">
              <w:rPr>
                <w:rFonts w:cs="Arial"/>
                <w:sz w:val="16"/>
                <w:szCs w:val="16"/>
              </w:rPr>
              <w:t xml:space="preserve">, Kenia, Pasto Congo, Pasto </w:t>
            </w:r>
            <w:proofErr w:type="spellStart"/>
            <w:r w:rsidRPr="00041E70">
              <w:rPr>
                <w:rFonts w:cs="Arial"/>
                <w:sz w:val="16"/>
                <w:szCs w:val="16"/>
              </w:rPr>
              <w:t>ruzi</w:t>
            </w:r>
            <w:proofErr w:type="spellEnd"/>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Urochloa</w:t>
            </w:r>
            <w:proofErr w:type="spellEnd"/>
            <w:r w:rsidRPr="00041E70">
              <w:rPr>
                <w:rFonts w:cs="Arial"/>
                <w:sz w:val="16"/>
                <w:szCs w:val="16"/>
              </w:rPr>
              <w:t xml:space="preserve"> </w:t>
            </w:r>
            <w:proofErr w:type="spellStart"/>
            <w:r w:rsidRPr="00041E70">
              <w:rPr>
                <w:rFonts w:cs="Arial"/>
                <w:sz w:val="16"/>
                <w:szCs w:val="16"/>
              </w:rPr>
              <w:t>brizantha</w:t>
            </w:r>
            <w:proofErr w:type="spellEnd"/>
            <w:r w:rsidRPr="00041E70">
              <w:rPr>
                <w:rFonts w:cs="Arial"/>
                <w:sz w:val="16"/>
                <w:szCs w:val="16"/>
              </w:rPr>
              <w:t xml:space="preserve"> (</w:t>
            </w:r>
            <w:proofErr w:type="spellStart"/>
            <w:r w:rsidRPr="00041E70">
              <w:rPr>
                <w:rFonts w:cs="Arial"/>
                <w:sz w:val="16"/>
                <w:szCs w:val="16"/>
              </w:rPr>
              <w:t>Hochst</w:t>
            </w:r>
            <w:proofErr w:type="spellEnd"/>
            <w:r w:rsidRPr="00041E70">
              <w:rPr>
                <w:rFonts w:cs="Arial"/>
                <w:sz w:val="16"/>
                <w:szCs w:val="16"/>
              </w:rPr>
              <w:t xml:space="preserve">. ex A. </w:t>
            </w:r>
            <w:proofErr w:type="spellStart"/>
            <w:r w:rsidRPr="00041E70">
              <w:rPr>
                <w:rFonts w:cs="Arial"/>
                <w:sz w:val="16"/>
                <w:szCs w:val="16"/>
              </w:rPr>
              <w:t>Rich</w:t>
            </w:r>
            <w:proofErr w:type="spellEnd"/>
            <w:r w:rsidRPr="00041E70">
              <w:rPr>
                <w:rFonts w:cs="Arial"/>
                <w:sz w:val="16"/>
                <w:szCs w:val="16"/>
              </w:rPr>
              <w:t xml:space="preserve">.) R. D. </w:t>
            </w:r>
            <w:proofErr w:type="spellStart"/>
            <w:r w:rsidRPr="00041E70">
              <w:rPr>
                <w:rFonts w:cs="Arial"/>
                <w:sz w:val="16"/>
                <w:szCs w:val="16"/>
              </w:rPr>
              <w:t>Webster</w:t>
            </w:r>
            <w:proofErr w:type="spellEnd"/>
            <w:r w:rsidRPr="00041E70">
              <w:rPr>
                <w:rFonts w:cs="Arial"/>
                <w:sz w:val="16"/>
                <w:szCs w:val="16"/>
              </w:rPr>
              <w:t xml:space="preserve"> (</w:t>
            </w:r>
            <w:proofErr w:type="spellStart"/>
            <w:r w:rsidRPr="00041E70">
              <w:rPr>
                <w:rFonts w:cs="Arial"/>
                <w:sz w:val="16"/>
                <w:szCs w:val="16"/>
              </w:rPr>
              <w:t>Brachiaria</w:t>
            </w:r>
            <w:proofErr w:type="spellEnd"/>
            <w:r w:rsidRPr="00041E70">
              <w:rPr>
                <w:rFonts w:cs="Arial"/>
                <w:sz w:val="16"/>
                <w:szCs w:val="16"/>
              </w:rPr>
              <w:t xml:space="preserve"> </w:t>
            </w:r>
            <w:proofErr w:type="spellStart"/>
            <w:r w:rsidRPr="00041E70">
              <w:rPr>
                <w:rFonts w:cs="Arial"/>
                <w:sz w:val="16"/>
                <w:szCs w:val="16"/>
              </w:rPr>
              <w:t>brizantha</w:t>
            </w:r>
            <w:proofErr w:type="spellEnd"/>
            <w:r w:rsidRPr="00041E70">
              <w:rPr>
                <w:rFonts w:cs="Arial"/>
                <w:sz w:val="16"/>
                <w:szCs w:val="16"/>
              </w:rPr>
              <w:t xml:space="preserve"> (</w:t>
            </w:r>
            <w:proofErr w:type="spellStart"/>
            <w:r w:rsidRPr="00041E70">
              <w:rPr>
                <w:rFonts w:cs="Arial"/>
                <w:sz w:val="16"/>
                <w:szCs w:val="16"/>
              </w:rPr>
              <w:t>Hochst</w:t>
            </w:r>
            <w:proofErr w:type="spellEnd"/>
            <w:r w:rsidRPr="00041E70">
              <w:rPr>
                <w:rFonts w:cs="Arial"/>
                <w:sz w:val="16"/>
                <w:szCs w:val="16"/>
              </w:rPr>
              <w:t xml:space="preserve">. ex A. </w:t>
            </w:r>
            <w:proofErr w:type="spellStart"/>
            <w:r w:rsidRPr="00041E70">
              <w:rPr>
                <w:rFonts w:cs="Arial"/>
                <w:sz w:val="16"/>
                <w:szCs w:val="16"/>
              </w:rPr>
              <w:t>Rich</w:t>
            </w:r>
            <w:proofErr w:type="spellEnd"/>
            <w:r w:rsidRPr="00041E70">
              <w:rPr>
                <w:rFonts w:cs="Arial"/>
                <w:sz w:val="16"/>
                <w:szCs w:val="16"/>
              </w:rPr>
              <w:t xml:space="preserve">.) </w:t>
            </w:r>
            <w:proofErr w:type="spellStart"/>
            <w:r w:rsidRPr="00041E70">
              <w:rPr>
                <w:rFonts w:cs="Arial"/>
                <w:sz w:val="16"/>
                <w:szCs w:val="16"/>
              </w:rPr>
              <w:t>Stapf</w:t>
            </w:r>
            <w:proofErr w:type="spellEnd"/>
            <w:r w:rsidRPr="00041E70">
              <w:rPr>
                <w:rFonts w:cs="Arial"/>
                <w:sz w:val="16"/>
                <w:szCs w:val="16"/>
              </w:rPr>
              <w:t xml:space="preserve">);  </w:t>
            </w:r>
            <w:r w:rsidRPr="00041E70">
              <w:rPr>
                <w:rFonts w:cs="Arial"/>
                <w:sz w:val="16"/>
                <w:szCs w:val="16"/>
              </w:rPr>
              <w:br/>
            </w:r>
            <w:proofErr w:type="spellStart"/>
            <w:r w:rsidRPr="00041E70">
              <w:rPr>
                <w:rFonts w:cs="Arial"/>
                <w:sz w:val="16"/>
                <w:szCs w:val="16"/>
              </w:rPr>
              <w:t>Urochloa</w:t>
            </w:r>
            <w:proofErr w:type="spellEnd"/>
            <w:r w:rsidRPr="00041E70">
              <w:rPr>
                <w:rFonts w:cs="Arial"/>
                <w:sz w:val="16"/>
                <w:szCs w:val="16"/>
              </w:rPr>
              <w:t xml:space="preserve"> </w:t>
            </w:r>
            <w:proofErr w:type="spellStart"/>
            <w:r w:rsidRPr="00041E70">
              <w:rPr>
                <w:rFonts w:cs="Arial"/>
                <w:sz w:val="16"/>
                <w:szCs w:val="16"/>
              </w:rPr>
              <w:t>decumbens</w:t>
            </w:r>
            <w:proofErr w:type="spellEnd"/>
            <w:r w:rsidRPr="00041E70">
              <w:rPr>
                <w:rFonts w:cs="Arial"/>
                <w:sz w:val="16"/>
                <w:szCs w:val="16"/>
              </w:rPr>
              <w:t xml:space="preserve"> (</w:t>
            </w:r>
            <w:proofErr w:type="spellStart"/>
            <w:r w:rsidRPr="00041E70">
              <w:rPr>
                <w:rFonts w:cs="Arial"/>
                <w:sz w:val="16"/>
                <w:szCs w:val="16"/>
              </w:rPr>
              <w:t>Stapf</w:t>
            </w:r>
            <w:proofErr w:type="spellEnd"/>
            <w:r w:rsidRPr="00041E70">
              <w:rPr>
                <w:rFonts w:cs="Arial"/>
                <w:sz w:val="16"/>
                <w:szCs w:val="16"/>
              </w:rPr>
              <w:t xml:space="preserve">) R. D. </w:t>
            </w:r>
            <w:proofErr w:type="spellStart"/>
            <w:r w:rsidRPr="00041E70">
              <w:rPr>
                <w:rFonts w:cs="Arial"/>
                <w:sz w:val="16"/>
                <w:szCs w:val="16"/>
              </w:rPr>
              <w:t>Webster</w:t>
            </w:r>
            <w:proofErr w:type="spellEnd"/>
            <w:r w:rsidRPr="00041E70">
              <w:rPr>
                <w:rFonts w:cs="Arial"/>
                <w:sz w:val="16"/>
                <w:szCs w:val="16"/>
              </w:rPr>
              <w:t xml:space="preserve"> (</w:t>
            </w:r>
            <w:proofErr w:type="spellStart"/>
            <w:r w:rsidRPr="00041E70">
              <w:rPr>
                <w:rFonts w:cs="Arial"/>
                <w:sz w:val="16"/>
                <w:szCs w:val="16"/>
              </w:rPr>
              <w:t>Brachiaria</w:t>
            </w:r>
            <w:proofErr w:type="spellEnd"/>
            <w:r w:rsidRPr="00041E70">
              <w:rPr>
                <w:rFonts w:cs="Arial"/>
                <w:sz w:val="16"/>
                <w:szCs w:val="16"/>
              </w:rPr>
              <w:t xml:space="preserve"> </w:t>
            </w:r>
            <w:proofErr w:type="spellStart"/>
            <w:r w:rsidRPr="00041E70">
              <w:rPr>
                <w:rFonts w:cs="Arial"/>
                <w:sz w:val="16"/>
                <w:szCs w:val="16"/>
              </w:rPr>
              <w:t>decumbens</w:t>
            </w:r>
            <w:proofErr w:type="spellEnd"/>
            <w:r w:rsidRPr="00041E70">
              <w:rPr>
                <w:rFonts w:cs="Arial"/>
                <w:sz w:val="16"/>
                <w:szCs w:val="16"/>
              </w:rPr>
              <w:t xml:space="preserve"> </w:t>
            </w:r>
            <w:proofErr w:type="spellStart"/>
            <w:r w:rsidRPr="00041E70">
              <w:rPr>
                <w:rFonts w:cs="Arial"/>
                <w:sz w:val="16"/>
                <w:szCs w:val="16"/>
              </w:rPr>
              <w:t>Stapf</w:t>
            </w:r>
            <w:proofErr w:type="spellEnd"/>
            <w:r w:rsidRPr="00041E70">
              <w:rPr>
                <w:rFonts w:cs="Arial"/>
                <w:sz w:val="16"/>
                <w:szCs w:val="16"/>
              </w:rPr>
              <w:t xml:space="preserve">); </w:t>
            </w:r>
            <w:proofErr w:type="spellStart"/>
            <w:r w:rsidRPr="00041E70">
              <w:rPr>
                <w:rFonts w:cs="Arial"/>
                <w:sz w:val="16"/>
                <w:szCs w:val="16"/>
              </w:rPr>
              <w:t>Urochloa</w:t>
            </w:r>
            <w:proofErr w:type="spellEnd"/>
            <w:r w:rsidRPr="00041E70">
              <w:rPr>
                <w:rFonts w:cs="Arial"/>
                <w:sz w:val="16"/>
                <w:szCs w:val="16"/>
              </w:rPr>
              <w:t xml:space="preserve"> </w:t>
            </w:r>
            <w:proofErr w:type="spellStart"/>
            <w:r w:rsidRPr="00041E70">
              <w:rPr>
                <w:rFonts w:cs="Arial"/>
                <w:sz w:val="16"/>
                <w:szCs w:val="16"/>
              </w:rPr>
              <w:t>dictyoneura</w:t>
            </w:r>
            <w:proofErr w:type="spellEnd"/>
            <w:r w:rsidRPr="00041E70">
              <w:rPr>
                <w:rFonts w:cs="Arial"/>
                <w:sz w:val="16"/>
                <w:szCs w:val="16"/>
              </w:rPr>
              <w:t xml:space="preserve"> (Fig. &amp; De </w:t>
            </w:r>
            <w:proofErr w:type="spellStart"/>
            <w:r w:rsidRPr="00041E70">
              <w:rPr>
                <w:rFonts w:cs="Arial"/>
                <w:sz w:val="16"/>
                <w:szCs w:val="16"/>
              </w:rPr>
              <w:t>Not</w:t>
            </w:r>
            <w:proofErr w:type="spellEnd"/>
            <w:r w:rsidRPr="00041E70">
              <w:rPr>
                <w:rFonts w:cs="Arial"/>
                <w:sz w:val="16"/>
                <w:szCs w:val="16"/>
              </w:rPr>
              <w:t xml:space="preserve">.) </w:t>
            </w:r>
            <w:proofErr w:type="spellStart"/>
            <w:r w:rsidRPr="00041E70">
              <w:rPr>
                <w:rFonts w:cs="Arial"/>
                <w:sz w:val="16"/>
                <w:szCs w:val="16"/>
              </w:rPr>
              <w:t>Veldkamp</w:t>
            </w:r>
            <w:proofErr w:type="spellEnd"/>
            <w:r w:rsidRPr="00041E70">
              <w:rPr>
                <w:rFonts w:cs="Arial"/>
                <w:sz w:val="16"/>
                <w:szCs w:val="16"/>
              </w:rPr>
              <w:t xml:space="preserve"> P. (</w:t>
            </w:r>
            <w:proofErr w:type="spellStart"/>
            <w:r w:rsidRPr="00041E70">
              <w:rPr>
                <w:rFonts w:cs="Arial"/>
                <w:sz w:val="16"/>
                <w:szCs w:val="16"/>
              </w:rPr>
              <w:t>Brachiaria</w:t>
            </w:r>
            <w:proofErr w:type="spellEnd"/>
            <w:r w:rsidRPr="00041E70">
              <w:rPr>
                <w:rFonts w:cs="Arial"/>
                <w:sz w:val="16"/>
                <w:szCs w:val="16"/>
              </w:rPr>
              <w:t xml:space="preserve"> </w:t>
            </w:r>
            <w:proofErr w:type="spellStart"/>
            <w:r w:rsidRPr="00041E70">
              <w:rPr>
                <w:rFonts w:cs="Arial"/>
                <w:sz w:val="16"/>
                <w:szCs w:val="16"/>
              </w:rPr>
              <w:t>dictyoneura</w:t>
            </w:r>
            <w:proofErr w:type="spellEnd"/>
            <w:r w:rsidRPr="00041E70">
              <w:rPr>
                <w:rFonts w:cs="Arial"/>
                <w:sz w:val="16"/>
                <w:szCs w:val="16"/>
              </w:rPr>
              <w:t xml:space="preserve"> (Fig. &amp; De </w:t>
            </w:r>
            <w:proofErr w:type="spellStart"/>
            <w:r w:rsidRPr="00041E70">
              <w:rPr>
                <w:rFonts w:cs="Arial"/>
                <w:sz w:val="16"/>
                <w:szCs w:val="16"/>
              </w:rPr>
              <w:t>Not</w:t>
            </w:r>
            <w:proofErr w:type="spellEnd"/>
            <w:r w:rsidRPr="00041E70">
              <w:rPr>
                <w:rFonts w:cs="Arial"/>
                <w:sz w:val="16"/>
                <w:szCs w:val="16"/>
              </w:rPr>
              <w:t xml:space="preserve">.) </w:t>
            </w:r>
            <w:proofErr w:type="spellStart"/>
            <w:r w:rsidRPr="00041E70">
              <w:rPr>
                <w:rFonts w:cs="Arial"/>
                <w:sz w:val="16"/>
                <w:szCs w:val="16"/>
              </w:rPr>
              <w:t>Veldkamp</w:t>
            </w:r>
            <w:proofErr w:type="spellEnd"/>
            <w:r w:rsidRPr="00041E70">
              <w:rPr>
                <w:rFonts w:cs="Arial"/>
                <w:sz w:val="16"/>
                <w:szCs w:val="16"/>
              </w:rPr>
              <w:t xml:space="preserve"> P.); </w:t>
            </w:r>
            <w:proofErr w:type="spellStart"/>
            <w:r w:rsidRPr="00041E70">
              <w:rPr>
                <w:rFonts w:cs="Arial"/>
                <w:sz w:val="16"/>
                <w:szCs w:val="16"/>
              </w:rPr>
              <w:t>Urochloa</w:t>
            </w:r>
            <w:proofErr w:type="spellEnd"/>
            <w:r w:rsidRPr="00041E70">
              <w:rPr>
                <w:rFonts w:cs="Arial"/>
                <w:sz w:val="16"/>
                <w:szCs w:val="16"/>
              </w:rPr>
              <w:t xml:space="preserve"> </w:t>
            </w:r>
            <w:proofErr w:type="spellStart"/>
            <w:r w:rsidRPr="00041E70">
              <w:rPr>
                <w:rFonts w:cs="Arial"/>
                <w:sz w:val="16"/>
                <w:szCs w:val="16"/>
              </w:rPr>
              <w:t>humidicola</w:t>
            </w:r>
            <w:proofErr w:type="spellEnd"/>
            <w:r w:rsidRPr="00041E70">
              <w:rPr>
                <w:rFonts w:cs="Arial"/>
                <w:sz w:val="16"/>
                <w:szCs w:val="16"/>
              </w:rPr>
              <w:t xml:space="preserve"> (</w:t>
            </w:r>
            <w:proofErr w:type="spellStart"/>
            <w:r w:rsidRPr="00041E70">
              <w:rPr>
                <w:rFonts w:cs="Arial"/>
                <w:sz w:val="16"/>
                <w:szCs w:val="16"/>
              </w:rPr>
              <w:t>Rendle</w:t>
            </w:r>
            <w:proofErr w:type="spellEnd"/>
            <w:r w:rsidRPr="00041E70">
              <w:rPr>
                <w:rFonts w:cs="Arial"/>
                <w:sz w:val="16"/>
                <w:szCs w:val="16"/>
              </w:rPr>
              <w:t xml:space="preserve">) </w:t>
            </w:r>
            <w:proofErr w:type="spellStart"/>
            <w:r w:rsidRPr="00041E70">
              <w:rPr>
                <w:rFonts w:cs="Arial"/>
                <w:sz w:val="16"/>
                <w:szCs w:val="16"/>
              </w:rPr>
              <w:t>Morrone</w:t>
            </w:r>
            <w:proofErr w:type="spellEnd"/>
            <w:r w:rsidRPr="00041E70">
              <w:rPr>
                <w:rFonts w:cs="Arial"/>
                <w:sz w:val="16"/>
                <w:szCs w:val="16"/>
              </w:rPr>
              <w:t xml:space="preserve"> &amp; Zuloaga (</w:t>
            </w:r>
            <w:proofErr w:type="spellStart"/>
            <w:r w:rsidRPr="00041E70">
              <w:rPr>
                <w:rFonts w:cs="Arial"/>
                <w:sz w:val="16"/>
                <w:szCs w:val="16"/>
              </w:rPr>
              <w:t>Brachiaria</w:t>
            </w:r>
            <w:proofErr w:type="spellEnd"/>
            <w:r w:rsidRPr="00041E70">
              <w:rPr>
                <w:rFonts w:cs="Arial"/>
                <w:sz w:val="16"/>
                <w:szCs w:val="16"/>
              </w:rPr>
              <w:t xml:space="preserve"> </w:t>
            </w:r>
            <w:proofErr w:type="spellStart"/>
            <w:r w:rsidRPr="00041E70">
              <w:rPr>
                <w:rFonts w:cs="Arial"/>
                <w:sz w:val="16"/>
                <w:szCs w:val="16"/>
              </w:rPr>
              <w:t>humidicola</w:t>
            </w:r>
            <w:proofErr w:type="spellEnd"/>
            <w:r w:rsidRPr="00041E70">
              <w:rPr>
                <w:rFonts w:cs="Arial"/>
                <w:sz w:val="16"/>
                <w:szCs w:val="16"/>
              </w:rPr>
              <w:t xml:space="preserve"> (</w:t>
            </w:r>
            <w:proofErr w:type="spellStart"/>
            <w:r w:rsidRPr="00041E70">
              <w:rPr>
                <w:rFonts w:cs="Arial"/>
                <w:sz w:val="16"/>
                <w:szCs w:val="16"/>
              </w:rPr>
              <w:t>Rendle</w:t>
            </w:r>
            <w:proofErr w:type="spellEnd"/>
            <w:r w:rsidRPr="00041E70">
              <w:rPr>
                <w:rFonts w:cs="Arial"/>
                <w:sz w:val="16"/>
                <w:szCs w:val="16"/>
              </w:rPr>
              <w:t xml:space="preserve">) </w:t>
            </w:r>
            <w:proofErr w:type="spellStart"/>
            <w:r w:rsidRPr="00041E70">
              <w:rPr>
                <w:rFonts w:cs="Arial"/>
                <w:sz w:val="16"/>
                <w:szCs w:val="16"/>
              </w:rPr>
              <w:t>Schweick</w:t>
            </w:r>
            <w:proofErr w:type="spellEnd"/>
            <w:r w:rsidRPr="00041E70">
              <w:rPr>
                <w:rFonts w:cs="Arial"/>
                <w:sz w:val="16"/>
                <w:szCs w:val="16"/>
              </w:rPr>
              <w:t xml:space="preserve">.);  </w:t>
            </w:r>
            <w:r w:rsidRPr="00041E70">
              <w:rPr>
                <w:rFonts w:cs="Arial"/>
                <w:sz w:val="16"/>
                <w:szCs w:val="16"/>
              </w:rPr>
              <w:br/>
            </w:r>
            <w:proofErr w:type="spellStart"/>
            <w:r w:rsidRPr="00041E70">
              <w:rPr>
                <w:rFonts w:cs="Arial"/>
                <w:sz w:val="16"/>
                <w:szCs w:val="16"/>
              </w:rPr>
              <w:t>Urochloa</w:t>
            </w:r>
            <w:proofErr w:type="spellEnd"/>
            <w:r w:rsidRPr="00041E70">
              <w:rPr>
                <w:rFonts w:cs="Arial"/>
                <w:sz w:val="16"/>
                <w:szCs w:val="16"/>
              </w:rPr>
              <w:t xml:space="preserve"> </w:t>
            </w:r>
            <w:proofErr w:type="spellStart"/>
            <w:r w:rsidRPr="00041E70">
              <w:rPr>
                <w:rFonts w:cs="Arial"/>
                <w:sz w:val="16"/>
                <w:szCs w:val="16"/>
              </w:rPr>
              <w:t>ruziziensis</w:t>
            </w:r>
            <w:proofErr w:type="spellEnd"/>
            <w:r w:rsidRPr="00041E70">
              <w:rPr>
                <w:rFonts w:cs="Arial"/>
                <w:sz w:val="16"/>
                <w:szCs w:val="16"/>
              </w:rPr>
              <w:t xml:space="preserve"> (R. </w:t>
            </w:r>
            <w:proofErr w:type="spellStart"/>
            <w:r w:rsidRPr="00041E70">
              <w:rPr>
                <w:rFonts w:cs="Arial"/>
                <w:sz w:val="16"/>
                <w:szCs w:val="16"/>
              </w:rPr>
              <w:t>Germ</w:t>
            </w:r>
            <w:proofErr w:type="spellEnd"/>
            <w:r w:rsidRPr="00041E70">
              <w:rPr>
                <w:rFonts w:cs="Arial"/>
                <w:sz w:val="16"/>
                <w:szCs w:val="16"/>
              </w:rPr>
              <w:t xml:space="preserve">. &amp; C. M. </w:t>
            </w:r>
            <w:proofErr w:type="spellStart"/>
            <w:r w:rsidRPr="00041E70">
              <w:rPr>
                <w:rFonts w:cs="Arial"/>
                <w:sz w:val="16"/>
                <w:szCs w:val="16"/>
              </w:rPr>
              <w:t>Evrard</w:t>
            </w:r>
            <w:proofErr w:type="spellEnd"/>
            <w:r w:rsidRPr="00041E70">
              <w:rPr>
                <w:rFonts w:cs="Arial"/>
                <w:sz w:val="16"/>
                <w:szCs w:val="16"/>
              </w:rPr>
              <w:t xml:space="preserve">) </w:t>
            </w:r>
            <w:proofErr w:type="spellStart"/>
            <w:r w:rsidRPr="00041E70">
              <w:rPr>
                <w:rFonts w:cs="Arial"/>
                <w:sz w:val="16"/>
                <w:szCs w:val="16"/>
              </w:rPr>
              <w:t>Morrone</w:t>
            </w:r>
            <w:proofErr w:type="spellEnd"/>
            <w:r w:rsidRPr="00041E70">
              <w:rPr>
                <w:rFonts w:cs="Arial"/>
                <w:sz w:val="16"/>
                <w:szCs w:val="16"/>
              </w:rPr>
              <w:t xml:space="preserve"> &amp; Zuloaga (</w:t>
            </w:r>
            <w:proofErr w:type="spellStart"/>
            <w:r w:rsidRPr="00041E70">
              <w:rPr>
                <w:rFonts w:cs="Arial"/>
                <w:sz w:val="16"/>
                <w:szCs w:val="16"/>
              </w:rPr>
              <w:t>Brachiaria</w:t>
            </w:r>
            <w:proofErr w:type="spellEnd"/>
            <w:r w:rsidRPr="00041E70">
              <w:rPr>
                <w:rFonts w:cs="Arial"/>
                <w:sz w:val="16"/>
                <w:szCs w:val="16"/>
              </w:rPr>
              <w:t xml:space="preserve"> </w:t>
            </w:r>
            <w:proofErr w:type="spellStart"/>
            <w:r w:rsidRPr="00041E70">
              <w:rPr>
                <w:rFonts w:cs="Arial"/>
                <w:sz w:val="16"/>
                <w:szCs w:val="16"/>
              </w:rPr>
              <w:t>ruziziensis</w:t>
            </w:r>
            <w:proofErr w:type="spellEnd"/>
            <w:r w:rsidRPr="00041E70">
              <w:rPr>
                <w:rFonts w:cs="Arial"/>
                <w:sz w:val="16"/>
                <w:szCs w:val="16"/>
              </w:rPr>
              <w:t xml:space="preserve"> R. </w:t>
            </w:r>
            <w:proofErr w:type="spellStart"/>
            <w:r w:rsidRPr="00041E70">
              <w:rPr>
                <w:rFonts w:cs="Arial"/>
                <w:sz w:val="16"/>
                <w:szCs w:val="16"/>
              </w:rPr>
              <w:t>Germ</w:t>
            </w:r>
            <w:proofErr w:type="spellEnd"/>
            <w:r w:rsidRPr="00041E70">
              <w:rPr>
                <w:rFonts w:cs="Arial"/>
                <w:sz w:val="16"/>
                <w:szCs w:val="16"/>
              </w:rPr>
              <w:t xml:space="preserve">. &amp; C. M. </w:t>
            </w:r>
            <w:proofErr w:type="spellStart"/>
            <w:r w:rsidRPr="00041E70">
              <w:rPr>
                <w:rFonts w:cs="Arial"/>
                <w:sz w:val="16"/>
                <w:szCs w:val="16"/>
              </w:rPr>
              <w:t>Evrard</w:t>
            </w:r>
            <w:proofErr w:type="spellEnd"/>
            <w:r w:rsidRPr="00041E70">
              <w:rPr>
                <w:rFonts w:cs="Arial"/>
                <w:sz w:val="16"/>
                <w:szCs w:val="16"/>
              </w:rPr>
              <w:t>)</w:t>
            </w:r>
          </w:p>
        </w:tc>
      </w:tr>
      <w:tr w:rsidR="00B7224D" w:rsidRPr="002A7B40" w:rsidTr="00B7224D">
        <w:trPr>
          <w:cantSplit/>
          <w:trHeight w:val="255"/>
        </w:trPr>
        <w:tc>
          <w:tcPr>
            <w:tcW w:w="9934" w:type="dxa"/>
            <w:gridSpan w:val="8"/>
            <w:tcBorders>
              <w:top w:val="nil"/>
              <w:left w:val="single" w:sz="4" w:space="0" w:color="auto"/>
              <w:bottom w:val="single" w:sz="4" w:space="0" w:color="auto"/>
              <w:right w:val="single" w:sz="4" w:space="0" w:color="auto"/>
            </w:tcBorders>
          </w:tcPr>
          <w:p w:rsidR="00B7224D" w:rsidRPr="002A7B40" w:rsidRDefault="00B7224D" w:rsidP="00B7224D">
            <w:pPr>
              <w:spacing w:before="60" w:after="120"/>
              <w:ind w:left="-36"/>
              <w:jc w:val="left"/>
              <w:rPr>
                <w:rFonts w:eastAsia="MS Mincho" w:cs="Arial"/>
                <w:bCs/>
                <w:sz w:val="16"/>
                <w:szCs w:val="16"/>
                <w:u w:val="single"/>
                <w:lang w:val="fr-FR" w:eastAsia="ja-JP"/>
              </w:rPr>
            </w:pPr>
            <w:r w:rsidRPr="002A7B40">
              <w:rPr>
                <w:rFonts w:cs="Arial"/>
                <w:bCs/>
                <w:sz w:val="16"/>
                <w:szCs w:val="16"/>
                <w:u w:val="single"/>
                <w:lang w:val="fr-FR"/>
              </w:rPr>
              <w:t xml:space="preserve">REVISIONS OF TEST GUIDELINES / </w:t>
            </w:r>
            <w:r w:rsidRPr="002A7B40">
              <w:rPr>
                <w:rFonts w:cs="Arial"/>
                <w:sz w:val="16"/>
                <w:szCs w:val="16"/>
                <w:u w:val="single"/>
                <w:lang w:val="fr-FR"/>
              </w:rPr>
              <w:t>RÉVISIONS DE PRINCIPES DIRECTEURS D’EXAMEN ADOPTÉS / REVISIONEN ANGENOMMENER PRÜFUNGSRICHTLINIEN / REVISIONES DE DIRECTRICES DE EXAMEN ADOPTADAS</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rPr>
            </w:pPr>
            <w:r w:rsidRPr="00041E70">
              <w:rPr>
                <w:rFonts w:cs="Arial"/>
                <w:sz w:val="16"/>
              </w:rPr>
              <w:t>NL</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rPr>
            </w:pPr>
            <w:r w:rsidRPr="00041E70">
              <w:rPr>
                <w:rFonts w:cs="Arial"/>
                <w:sz w:val="16"/>
              </w:rPr>
              <w:t>TWO</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rPr>
            </w:pPr>
            <w:r w:rsidRPr="00041E70">
              <w:rPr>
                <w:rFonts w:cs="Arial"/>
                <w:sz w:val="16"/>
              </w:rPr>
              <w:t>TG/25/9(proj.9)</w:t>
            </w:r>
          </w:p>
        </w:tc>
        <w:tc>
          <w:tcPr>
            <w:tcW w:w="1417" w:type="dxa"/>
            <w:tcBorders>
              <w:top w:val="single" w:sz="4" w:space="0" w:color="auto"/>
              <w:left w:val="nil"/>
              <w:bottom w:val="single" w:sz="4" w:space="0" w:color="auto"/>
              <w:right w:val="single" w:sz="4" w:space="0" w:color="auto"/>
            </w:tcBorders>
          </w:tcPr>
          <w:p w:rsidR="00B7224D" w:rsidRPr="002A7B40" w:rsidRDefault="00B7224D" w:rsidP="00B7224D">
            <w:pPr>
              <w:jc w:val="left"/>
              <w:rPr>
                <w:rFonts w:cs="Arial"/>
                <w:sz w:val="16"/>
                <w:lang w:val="en-US"/>
              </w:rPr>
            </w:pPr>
            <w:r w:rsidRPr="002A7B40">
              <w:rPr>
                <w:rFonts w:cs="Arial"/>
                <w:sz w:val="16"/>
                <w:lang w:val="en-US"/>
              </w:rPr>
              <w:t xml:space="preserve">Carnation, Clove Pink, Pink, Sweet William </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Œillet</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Nelke</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r w:rsidRPr="00041E70">
              <w:rPr>
                <w:rFonts w:cs="Arial"/>
                <w:sz w:val="16"/>
              </w:rPr>
              <w:t>Clavel</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Dianthus</w:t>
            </w:r>
            <w:proofErr w:type="spellEnd"/>
            <w:r w:rsidRPr="00041E70">
              <w:rPr>
                <w:rFonts w:cs="Arial"/>
                <w:sz w:val="16"/>
              </w:rPr>
              <w:t xml:space="preserve"> L.</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rPr>
            </w:pPr>
            <w:r w:rsidRPr="00041E70">
              <w:rPr>
                <w:rFonts w:cs="Arial"/>
                <w:sz w:val="16"/>
              </w:rPr>
              <w:t>DE</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rPr>
            </w:pPr>
            <w:r w:rsidRPr="00041E70">
              <w:rPr>
                <w:rFonts w:cs="Arial"/>
                <w:sz w:val="16"/>
              </w:rPr>
              <w:t>TWO</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rPr>
            </w:pPr>
            <w:r w:rsidRPr="00041E70">
              <w:rPr>
                <w:rFonts w:cs="Arial"/>
                <w:sz w:val="16"/>
              </w:rPr>
              <w:t>TG/109/4(proj.4)</w:t>
            </w:r>
          </w:p>
        </w:tc>
        <w:tc>
          <w:tcPr>
            <w:tcW w:w="1417" w:type="dxa"/>
            <w:tcBorders>
              <w:top w:val="single" w:sz="4" w:space="0" w:color="auto"/>
              <w:left w:val="nil"/>
              <w:bottom w:val="single" w:sz="4" w:space="0" w:color="auto"/>
              <w:right w:val="single" w:sz="4" w:space="0" w:color="auto"/>
            </w:tcBorders>
          </w:tcPr>
          <w:p w:rsidR="00B7224D" w:rsidRPr="002A7B40" w:rsidRDefault="00B7224D" w:rsidP="00B7224D">
            <w:pPr>
              <w:jc w:val="left"/>
              <w:rPr>
                <w:rFonts w:cs="Arial"/>
                <w:sz w:val="16"/>
                <w:lang w:val="pt-BR"/>
              </w:rPr>
            </w:pPr>
            <w:r w:rsidRPr="002A7B40">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Pélargonium</w:t>
            </w:r>
            <w:proofErr w:type="spellEnd"/>
            <w:r w:rsidRPr="00041E70">
              <w:rPr>
                <w:rFonts w:cs="Arial"/>
                <w:sz w:val="16"/>
              </w:rPr>
              <w:t xml:space="preserve"> des </w:t>
            </w:r>
            <w:proofErr w:type="spellStart"/>
            <w:r w:rsidRPr="00041E70">
              <w:rPr>
                <w:rFonts w:cs="Arial"/>
                <w:sz w:val="16"/>
              </w:rPr>
              <w:t>fleuristes</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Edelpelargonie</w:t>
            </w:r>
            <w:proofErr w:type="spellEnd"/>
            <w:r w:rsidRPr="00041E70">
              <w:rPr>
                <w:rFonts w:cs="Arial"/>
                <w:sz w:val="16"/>
              </w:rPr>
              <w:t xml:space="preserve">; </w:t>
            </w:r>
            <w:proofErr w:type="spellStart"/>
            <w:r w:rsidRPr="00041E70">
              <w:rPr>
                <w:rFonts w:cs="Arial"/>
                <w:sz w:val="16"/>
              </w:rPr>
              <w:t>Zitronenduft-Pelargonie</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r w:rsidRPr="00041E70">
              <w:rPr>
                <w:rFonts w:cs="Arial"/>
                <w:sz w:val="16"/>
              </w:rPr>
              <w:t xml:space="preserve">Pelargonio; </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Pelargonium</w:t>
            </w:r>
            <w:proofErr w:type="spellEnd"/>
            <w:r w:rsidRPr="00041E70">
              <w:rPr>
                <w:rFonts w:cs="Arial"/>
                <w:sz w:val="16"/>
              </w:rPr>
              <w:t xml:space="preserve"> </w:t>
            </w:r>
            <w:proofErr w:type="spellStart"/>
            <w:r w:rsidRPr="00041E70">
              <w:rPr>
                <w:rFonts w:cs="Arial"/>
                <w:sz w:val="16"/>
              </w:rPr>
              <w:t>grandiflorum</w:t>
            </w:r>
            <w:proofErr w:type="spellEnd"/>
            <w:r w:rsidRPr="00041E70">
              <w:rPr>
                <w:rFonts w:cs="Arial"/>
                <w:sz w:val="16"/>
              </w:rPr>
              <w:t xml:space="preserve"> (Andrews) </w:t>
            </w:r>
            <w:proofErr w:type="spellStart"/>
            <w:r w:rsidRPr="00041E70">
              <w:rPr>
                <w:rFonts w:cs="Arial"/>
                <w:sz w:val="16"/>
              </w:rPr>
              <w:t>Willd</w:t>
            </w:r>
            <w:proofErr w:type="spellEnd"/>
            <w:r w:rsidRPr="00041E70">
              <w:rPr>
                <w:rFonts w:cs="Arial"/>
                <w:sz w:val="16"/>
              </w:rPr>
              <w:t>.; P. ×</w:t>
            </w:r>
            <w:proofErr w:type="spellStart"/>
            <w:r w:rsidRPr="00041E70">
              <w:rPr>
                <w:rFonts w:cs="Arial"/>
                <w:sz w:val="16"/>
              </w:rPr>
              <w:t>domesticum</w:t>
            </w:r>
            <w:proofErr w:type="spellEnd"/>
            <w:r w:rsidRPr="00041E70">
              <w:rPr>
                <w:rFonts w:cs="Arial"/>
                <w:sz w:val="16"/>
              </w:rPr>
              <w:t xml:space="preserve"> L. H. Bailey; P. </w:t>
            </w:r>
            <w:proofErr w:type="spellStart"/>
            <w:r w:rsidRPr="00041E70">
              <w:rPr>
                <w:rFonts w:cs="Arial"/>
                <w:sz w:val="16"/>
              </w:rPr>
              <w:t>crispum</w:t>
            </w:r>
            <w:proofErr w:type="spellEnd"/>
            <w:r w:rsidRPr="00041E70">
              <w:rPr>
                <w:rFonts w:cs="Arial"/>
                <w:sz w:val="16"/>
              </w:rPr>
              <w:t xml:space="preserve"> (P.J. </w:t>
            </w:r>
            <w:proofErr w:type="spellStart"/>
            <w:r w:rsidRPr="00041E70">
              <w:rPr>
                <w:rFonts w:cs="Arial"/>
                <w:sz w:val="16"/>
              </w:rPr>
              <w:t>Bergius</w:t>
            </w:r>
            <w:proofErr w:type="spellEnd"/>
            <w:r w:rsidRPr="00041E70">
              <w:rPr>
                <w:rFonts w:cs="Arial"/>
                <w:sz w:val="16"/>
              </w:rPr>
              <w:t xml:space="preserve">) </w:t>
            </w:r>
            <w:proofErr w:type="spellStart"/>
            <w:r w:rsidRPr="00041E70">
              <w:rPr>
                <w:rFonts w:cs="Arial"/>
                <w:sz w:val="16"/>
              </w:rPr>
              <w:t>L'Hér</w:t>
            </w:r>
            <w:proofErr w:type="spellEnd"/>
            <w:r w:rsidRPr="00041E70">
              <w:rPr>
                <w:rFonts w:cs="Arial"/>
                <w:sz w:val="16"/>
              </w:rPr>
              <w:t xml:space="preserve">. and P. </w:t>
            </w:r>
            <w:proofErr w:type="spellStart"/>
            <w:r w:rsidRPr="00041E70">
              <w:rPr>
                <w:rFonts w:cs="Arial"/>
                <w:sz w:val="16"/>
              </w:rPr>
              <w:t>crispum</w:t>
            </w:r>
            <w:proofErr w:type="spellEnd"/>
            <w:r w:rsidRPr="00041E70">
              <w:rPr>
                <w:rFonts w:cs="Arial"/>
                <w:sz w:val="16"/>
              </w:rPr>
              <w:t xml:space="preserve"> x P. ×</w:t>
            </w:r>
            <w:proofErr w:type="spellStart"/>
            <w:r w:rsidRPr="00041E70">
              <w:rPr>
                <w:rFonts w:cs="Arial"/>
                <w:sz w:val="16"/>
              </w:rPr>
              <w:t>domesticum</w:t>
            </w:r>
            <w:proofErr w:type="spellEnd"/>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rPr>
            </w:pPr>
            <w:r w:rsidRPr="00041E70">
              <w:rPr>
                <w:rFonts w:cs="Arial"/>
                <w:sz w:val="16"/>
              </w:rPr>
              <w:t>ES</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rPr>
            </w:pPr>
            <w:r w:rsidRPr="00041E70">
              <w:rPr>
                <w:rFonts w:cs="Arial"/>
                <w:sz w:val="16"/>
              </w:rPr>
              <w:t>TWA</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rPr>
            </w:pPr>
            <w:r w:rsidRPr="00041E70">
              <w:rPr>
                <w:rFonts w:cs="Arial"/>
                <w:sz w:val="16"/>
              </w:rPr>
              <w:t>TG/122/4(proj.4)</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Broomcorn</w:t>
            </w:r>
            <w:proofErr w:type="spellEnd"/>
            <w:r w:rsidRPr="00041E70">
              <w:rPr>
                <w:rFonts w:cs="Arial"/>
                <w:sz w:val="16"/>
              </w:rPr>
              <w:t xml:space="preserve">, </w:t>
            </w:r>
            <w:proofErr w:type="spellStart"/>
            <w:r w:rsidRPr="00041E70">
              <w:rPr>
                <w:rFonts w:cs="Arial"/>
                <w:sz w:val="16"/>
              </w:rPr>
              <w:t>Durra</w:t>
            </w:r>
            <w:proofErr w:type="spellEnd"/>
            <w:r w:rsidRPr="00041E70">
              <w:rPr>
                <w:rFonts w:cs="Arial"/>
                <w:sz w:val="16"/>
              </w:rPr>
              <w:t xml:space="preserve">, </w:t>
            </w:r>
            <w:proofErr w:type="spellStart"/>
            <w:r w:rsidRPr="00041E70">
              <w:rPr>
                <w:rFonts w:cs="Arial"/>
                <w:sz w:val="16"/>
              </w:rPr>
              <w:t>Feterita</w:t>
            </w:r>
            <w:proofErr w:type="spellEnd"/>
            <w:r w:rsidRPr="00041E70">
              <w:rPr>
                <w:rFonts w:cs="Arial"/>
                <w:sz w:val="16"/>
              </w:rPr>
              <w:t xml:space="preserve">, </w:t>
            </w:r>
            <w:r w:rsidRPr="00041E70">
              <w:rPr>
                <w:rFonts w:cs="Arial"/>
                <w:sz w:val="16"/>
              </w:rPr>
              <w:br/>
            </w:r>
            <w:proofErr w:type="spellStart"/>
            <w:r w:rsidRPr="00041E70">
              <w:rPr>
                <w:rFonts w:cs="Arial"/>
                <w:sz w:val="16"/>
              </w:rPr>
              <w:t>Forage</w:t>
            </w:r>
            <w:proofErr w:type="spellEnd"/>
            <w:r w:rsidRPr="00041E70">
              <w:rPr>
                <w:rFonts w:cs="Arial"/>
                <w:sz w:val="16"/>
              </w:rPr>
              <w:t xml:space="preserve"> </w:t>
            </w:r>
            <w:proofErr w:type="spellStart"/>
            <w:r w:rsidRPr="00041E70">
              <w:rPr>
                <w:rFonts w:cs="Arial"/>
                <w:sz w:val="16"/>
              </w:rPr>
              <w:t>Sorghum</w:t>
            </w:r>
            <w:proofErr w:type="spellEnd"/>
            <w:r w:rsidRPr="00041E70">
              <w:rPr>
                <w:rFonts w:cs="Arial"/>
                <w:sz w:val="16"/>
              </w:rPr>
              <w:t xml:space="preserve">, </w:t>
            </w:r>
            <w:proofErr w:type="spellStart"/>
            <w:r w:rsidRPr="00041E70">
              <w:rPr>
                <w:rFonts w:cs="Arial"/>
                <w:sz w:val="16"/>
              </w:rPr>
              <w:t>Grain</w:t>
            </w:r>
            <w:proofErr w:type="spellEnd"/>
            <w:r w:rsidRPr="00041E70">
              <w:rPr>
                <w:rFonts w:cs="Arial"/>
                <w:sz w:val="16"/>
              </w:rPr>
              <w:t xml:space="preserve"> </w:t>
            </w:r>
            <w:proofErr w:type="spellStart"/>
            <w:r w:rsidRPr="00041E70">
              <w:rPr>
                <w:rFonts w:cs="Arial"/>
                <w:sz w:val="16"/>
              </w:rPr>
              <w:t>sorghum</w:t>
            </w:r>
            <w:proofErr w:type="spellEnd"/>
            <w:r w:rsidRPr="00041E70">
              <w:rPr>
                <w:rFonts w:cs="Arial"/>
                <w:sz w:val="16"/>
              </w:rPr>
              <w:t xml:space="preserve">, Great </w:t>
            </w:r>
            <w:proofErr w:type="spellStart"/>
            <w:r w:rsidRPr="00041E70">
              <w:rPr>
                <w:rFonts w:cs="Arial"/>
                <w:sz w:val="16"/>
              </w:rPr>
              <w:t>Millet</w:t>
            </w:r>
            <w:proofErr w:type="spellEnd"/>
            <w:r w:rsidRPr="00041E70">
              <w:rPr>
                <w:rFonts w:cs="Arial"/>
                <w:sz w:val="16"/>
              </w:rPr>
              <w:t xml:space="preserve">, </w:t>
            </w:r>
            <w:r w:rsidRPr="00041E70">
              <w:rPr>
                <w:rFonts w:cs="Arial"/>
                <w:sz w:val="16"/>
              </w:rPr>
              <w:br/>
            </w:r>
            <w:proofErr w:type="spellStart"/>
            <w:r w:rsidRPr="00041E70">
              <w:rPr>
                <w:rFonts w:cs="Arial"/>
                <w:sz w:val="16"/>
              </w:rPr>
              <w:t>Kaffir-corn</w:t>
            </w:r>
            <w:proofErr w:type="spellEnd"/>
            <w:r w:rsidRPr="00041E70">
              <w:rPr>
                <w:rFonts w:cs="Arial"/>
                <w:sz w:val="16"/>
              </w:rPr>
              <w:t xml:space="preserve">, Milo, </w:t>
            </w:r>
            <w:proofErr w:type="spellStart"/>
            <w:r w:rsidRPr="00041E70">
              <w:rPr>
                <w:rFonts w:cs="Arial"/>
                <w:sz w:val="16"/>
              </w:rPr>
              <w:t>Shallu</w:t>
            </w:r>
            <w:proofErr w:type="spellEnd"/>
            <w:r w:rsidRPr="00041E70">
              <w:rPr>
                <w:rFonts w:cs="Arial"/>
                <w:sz w:val="16"/>
              </w:rPr>
              <w:t xml:space="preserve">, </w:t>
            </w:r>
            <w:proofErr w:type="spellStart"/>
            <w:r w:rsidRPr="00041E70">
              <w:rPr>
                <w:rFonts w:cs="Arial"/>
                <w:sz w:val="16"/>
              </w:rPr>
              <w:t>Sorghum</w:t>
            </w:r>
            <w:proofErr w:type="spellEnd"/>
            <w:r w:rsidRPr="00041E70">
              <w:rPr>
                <w:rFonts w:cs="Arial"/>
                <w:sz w:val="16"/>
              </w:rPr>
              <w:t xml:space="preserve">, </w:t>
            </w:r>
            <w:proofErr w:type="spellStart"/>
            <w:r w:rsidRPr="00041E70">
              <w:rPr>
                <w:rFonts w:cs="Arial"/>
                <w:sz w:val="16"/>
              </w:rPr>
              <w:t>Sweet</w:t>
            </w:r>
            <w:proofErr w:type="spellEnd"/>
            <w:r w:rsidRPr="00041E70">
              <w:rPr>
                <w:rFonts w:cs="Arial"/>
                <w:sz w:val="16"/>
              </w:rPr>
              <w:t xml:space="preserve"> </w:t>
            </w:r>
            <w:proofErr w:type="spellStart"/>
            <w:r w:rsidRPr="00041E70">
              <w:rPr>
                <w:rFonts w:cs="Arial"/>
                <w:sz w:val="16"/>
              </w:rPr>
              <w:t>sorghum</w:t>
            </w:r>
            <w:proofErr w:type="spellEnd"/>
            <w:r w:rsidRPr="00041E70">
              <w:rPr>
                <w:rFonts w:cs="Arial"/>
                <w:sz w:val="16"/>
              </w:rPr>
              <w:t>;</w:t>
            </w:r>
            <w:r w:rsidRPr="00041E70">
              <w:rPr>
                <w:rFonts w:cs="Arial"/>
                <w:sz w:val="16"/>
              </w:rPr>
              <w:br/>
            </w:r>
            <w:proofErr w:type="spellStart"/>
            <w:r w:rsidRPr="00041E70">
              <w:rPr>
                <w:rFonts w:cs="Arial"/>
                <w:sz w:val="16"/>
              </w:rPr>
              <w:t>Chicken-corn</w:t>
            </w:r>
            <w:proofErr w:type="spellEnd"/>
            <w:r w:rsidRPr="00041E70">
              <w:rPr>
                <w:rFonts w:cs="Arial"/>
                <w:sz w:val="16"/>
              </w:rPr>
              <w:t xml:space="preserve">, </w:t>
            </w:r>
            <w:proofErr w:type="spellStart"/>
            <w:r w:rsidRPr="00041E70">
              <w:rPr>
                <w:rFonts w:cs="Arial"/>
                <w:sz w:val="16"/>
              </w:rPr>
              <w:t>Shattercane</w:t>
            </w:r>
            <w:proofErr w:type="spellEnd"/>
            <w:r w:rsidRPr="00041E70">
              <w:rPr>
                <w:rFonts w:cs="Arial"/>
                <w:sz w:val="16"/>
              </w:rPr>
              <w:t xml:space="preserve">, </w:t>
            </w:r>
            <w:proofErr w:type="spellStart"/>
            <w:r w:rsidRPr="00041E70">
              <w:rPr>
                <w:rFonts w:cs="Arial"/>
                <w:sz w:val="16"/>
              </w:rPr>
              <w:t>Sordan</w:t>
            </w:r>
            <w:proofErr w:type="spellEnd"/>
            <w:r w:rsidRPr="00041E70">
              <w:rPr>
                <w:rFonts w:cs="Arial"/>
                <w:sz w:val="16"/>
              </w:rPr>
              <w:t xml:space="preserve">, </w:t>
            </w:r>
            <w:r w:rsidRPr="00041E70">
              <w:rPr>
                <w:rFonts w:cs="Arial"/>
                <w:sz w:val="16"/>
              </w:rPr>
              <w:br/>
            </w:r>
            <w:proofErr w:type="spellStart"/>
            <w:r w:rsidRPr="00041E70">
              <w:rPr>
                <w:rFonts w:cs="Arial"/>
                <w:sz w:val="16"/>
              </w:rPr>
              <w:t>Sorghum</w:t>
            </w:r>
            <w:proofErr w:type="spellEnd"/>
            <w:r w:rsidRPr="00041E70">
              <w:rPr>
                <w:rFonts w:cs="Arial"/>
                <w:sz w:val="16"/>
              </w:rPr>
              <w:t xml:space="preserve"> x Sudan </w:t>
            </w:r>
            <w:proofErr w:type="spellStart"/>
            <w:r w:rsidRPr="00041E70">
              <w:rPr>
                <w:rFonts w:cs="Arial"/>
                <w:sz w:val="16"/>
              </w:rPr>
              <w:t>Grass</w:t>
            </w:r>
            <w:proofErr w:type="spellEnd"/>
            <w:r w:rsidRPr="00041E70">
              <w:rPr>
                <w:rFonts w:cs="Arial"/>
                <w:sz w:val="16"/>
              </w:rPr>
              <w:t xml:space="preserve">, </w:t>
            </w:r>
            <w:proofErr w:type="spellStart"/>
            <w:r w:rsidRPr="00041E70">
              <w:rPr>
                <w:rFonts w:cs="Arial"/>
                <w:sz w:val="16"/>
              </w:rPr>
              <w:t>Sorghum-sudangrass</w:t>
            </w:r>
            <w:proofErr w:type="spellEnd"/>
            <w:r w:rsidRPr="00041E70">
              <w:rPr>
                <w:rFonts w:cs="Arial"/>
                <w:sz w:val="16"/>
              </w:rPr>
              <w:t xml:space="preserve">, Sudan </w:t>
            </w:r>
            <w:proofErr w:type="spellStart"/>
            <w:r w:rsidRPr="00041E70">
              <w:rPr>
                <w:rFonts w:cs="Arial"/>
                <w:sz w:val="16"/>
              </w:rPr>
              <w:t>grass</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r w:rsidRPr="00041E70">
              <w:rPr>
                <w:rFonts w:cs="Arial"/>
                <w:sz w:val="16"/>
              </w:rPr>
              <w:t xml:space="preserve">Gros mil, </w:t>
            </w:r>
            <w:proofErr w:type="spellStart"/>
            <w:r w:rsidRPr="00041E70">
              <w:rPr>
                <w:rFonts w:cs="Arial"/>
                <w:sz w:val="16"/>
              </w:rPr>
              <w:t>Sorgho</w:t>
            </w:r>
            <w:proofErr w:type="spellEnd"/>
            <w:r w:rsidRPr="00041E70">
              <w:rPr>
                <w:rFonts w:cs="Arial"/>
                <w:sz w:val="16"/>
              </w:rPr>
              <w:t xml:space="preserve">; </w:t>
            </w:r>
            <w:proofErr w:type="spellStart"/>
            <w:r w:rsidRPr="00041E70">
              <w:rPr>
                <w:rFonts w:cs="Arial"/>
                <w:sz w:val="16"/>
              </w:rPr>
              <w:t>Sorgho</w:t>
            </w:r>
            <w:proofErr w:type="spellEnd"/>
            <w:r w:rsidRPr="00041E70">
              <w:rPr>
                <w:rFonts w:cs="Arial"/>
                <w:sz w:val="16"/>
              </w:rPr>
              <w:t xml:space="preserve"> </w:t>
            </w:r>
            <w:proofErr w:type="spellStart"/>
            <w:r w:rsidRPr="00041E70">
              <w:rPr>
                <w:rFonts w:cs="Arial"/>
                <w:sz w:val="16"/>
              </w:rPr>
              <w:t>menu</w:t>
            </w:r>
            <w:proofErr w:type="spellEnd"/>
            <w:r w:rsidRPr="00041E70">
              <w:rPr>
                <w:rFonts w:cs="Arial"/>
                <w:sz w:val="16"/>
              </w:rPr>
              <w:t xml:space="preserve">, </w:t>
            </w:r>
            <w:proofErr w:type="spellStart"/>
            <w:r w:rsidRPr="00041E70">
              <w:rPr>
                <w:rFonts w:cs="Arial"/>
                <w:sz w:val="16"/>
              </w:rPr>
              <w:t>Sorgho</w:t>
            </w:r>
            <w:proofErr w:type="spellEnd"/>
            <w:r w:rsidRPr="00041E70">
              <w:rPr>
                <w:rFonts w:cs="Arial"/>
                <w:sz w:val="16"/>
              </w:rPr>
              <w:t xml:space="preserve"> x </w:t>
            </w:r>
            <w:proofErr w:type="spellStart"/>
            <w:r w:rsidRPr="00041E70">
              <w:rPr>
                <w:rFonts w:cs="Arial"/>
                <w:sz w:val="16"/>
              </w:rPr>
              <w:t>Sorgho</w:t>
            </w:r>
            <w:proofErr w:type="spellEnd"/>
            <w:r w:rsidRPr="00041E70">
              <w:rPr>
                <w:rFonts w:cs="Arial"/>
                <w:sz w:val="16"/>
              </w:rPr>
              <w:t xml:space="preserve"> du </w:t>
            </w:r>
            <w:proofErr w:type="spellStart"/>
            <w:r w:rsidRPr="00041E70">
              <w:rPr>
                <w:rFonts w:cs="Arial"/>
                <w:sz w:val="16"/>
              </w:rPr>
              <w:t>Soudan</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Mohrenhirse</w:t>
            </w:r>
            <w:proofErr w:type="spellEnd"/>
            <w:r w:rsidRPr="00041E70">
              <w:rPr>
                <w:rFonts w:cs="Arial"/>
                <w:sz w:val="16"/>
              </w:rPr>
              <w:t xml:space="preserve">; </w:t>
            </w:r>
            <w:proofErr w:type="spellStart"/>
            <w:r w:rsidRPr="00041E70">
              <w:rPr>
                <w:rFonts w:cs="Arial"/>
                <w:sz w:val="16"/>
              </w:rPr>
              <w:t>Mohrenhirse</w:t>
            </w:r>
            <w:proofErr w:type="spellEnd"/>
            <w:r w:rsidRPr="00041E70">
              <w:rPr>
                <w:rFonts w:cs="Arial"/>
                <w:sz w:val="16"/>
              </w:rPr>
              <w:t xml:space="preserve"> x </w:t>
            </w:r>
            <w:proofErr w:type="spellStart"/>
            <w:r w:rsidRPr="00041E70">
              <w:rPr>
                <w:rFonts w:cs="Arial"/>
                <w:sz w:val="16"/>
              </w:rPr>
              <w:t>Sudangras</w:t>
            </w:r>
            <w:proofErr w:type="spellEnd"/>
            <w:r w:rsidRPr="00041E70">
              <w:rPr>
                <w:rFonts w:cs="Arial"/>
                <w:sz w:val="16"/>
              </w:rPr>
              <w:t xml:space="preserve">, </w:t>
            </w:r>
            <w:proofErr w:type="spellStart"/>
            <w:r w:rsidRPr="00041E70">
              <w:rPr>
                <w:rFonts w:cs="Arial"/>
                <w:sz w:val="16"/>
              </w:rPr>
              <w:t>Sudangrass</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r w:rsidRPr="00041E70">
              <w:rPr>
                <w:rFonts w:cs="Arial"/>
                <w:sz w:val="16"/>
              </w:rPr>
              <w:t xml:space="preserve">Daza, Sorgo, Sorgo forrajero;  Pasto del Sudán, Pasto Sudán, Sorgo x Pasto del Sudán, </w:t>
            </w:r>
            <w:proofErr w:type="spellStart"/>
            <w:r w:rsidRPr="00041E70">
              <w:rPr>
                <w:rFonts w:cs="Arial"/>
                <w:sz w:val="16"/>
              </w:rPr>
              <w:t>Sudangrass</w:t>
            </w:r>
            <w:proofErr w:type="spellEnd"/>
            <w:r w:rsidRPr="00041E70">
              <w:rPr>
                <w:rFonts w:cs="Arial"/>
                <w:sz w:val="16"/>
              </w:rPr>
              <w:t xml:space="preserve"> </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r w:rsidRPr="002A7B40">
              <w:rPr>
                <w:rFonts w:cs="Arial"/>
                <w:sz w:val="16"/>
                <w:lang w:val="en-US"/>
              </w:rPr>
              <w:t xml:space="preserve">Sorghum bicolor (L.) Moench; Sorghum ×drummondii (Steud.) Millsp. </w:t>
            </w:r>
            <w:r w:rsidRPr="00041E70">
              <w:rPr>
                <w:rFonts w:cs="Arial"/>
                <w:sz w:val="16"/>
              </w:rPr>
              <w:t>&amp; Chase</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rPr>
            </w:pPr>
            <w:r w:rsidRPr="00041E70">
              <w:rPr>
                <w:rFonts w:cs="Arial"/>
                <w:sz w:val="16"/>
              </w:rPr>
              <w:t>ZA</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rPr>
            </w:pPr>
            <w:r w:rsidRPr="00041E70">
              <w:rPr>
                <w:rFonts w:cs="Arial"/>
                <w:sz w:val="16"/>
              </w:rPr>
              <w:t>TWF</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rPr>
            </w:pPr>
            <w:r w:rsidRPr="00041E70">
              <w:rPr>
                <w:rFonts w:cs="Arial"/>
                <w:sz w:val="16"/>
              </w:rPr>
              <w:t>TG/163/4(proj.7)</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r w:rsidRPr="00041E70">
              <w:rPr>
                <w:rFonts w:cs="Arial"/>
                <w:sz w:val="16"/>
              </w:rPr>
              <w:t xml:space="preserve">Apple </w:t>
            </w:r>
            <w:proofErr w:type="spellStart"/>
            <w:r w:rsidRPr="00041E70">
              <w:rPr>
                <w:rFonts w:cs="Arial"/>
                <w:sz w:val="16"/>
              </w:rPr>
              <w:t>Rootstocks</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r w:rsidRPr="00041E70">
              <w:rPr>
                <w:rFonts w:cs="Arial"/>
                <w:sz w:val="16"/>
              </w:rPr>
              <w:t>Porte-</w:t>
            </w:r>
            <w:proofErr w:type="spellStart"/>
            <w:r w:rsidRPr="00041E70">
              <w:rPr>
                <w:rFonts w:cs="Arial"/>
                <w:sz w:val="16"/>
              </w:rPr>
              <w:t>greffes</w:t>
            </w:r>
            <w:proofErr w:type="spellEnd"/>
            <w:r w:rsidRPr="00041E70">
              <w:rPr>
                <w:rFonts w:cs="Arial"/>
                <w:sz w:val="16"/>
              </w:rPr>
              <w:t xml:space="preserve"> du </w:t>
            </w:r>
            <w:proofErr w:type="spellStart"/>
            <w:r w:rsidRPr="00041E70">
              <w:rPr>
                <w:rFonts w:cs="Arial"/>
                <w:sz w:val="16"/>
              </w:rPr>
              <w:t>pommier</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Apfel-Unterlagen</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Portainjertos</w:t>
            </w:r>
            <w:proofErr w:type="spellEnd"/>
            <w:r w:rsidRPr="00041E70">
              <w:rPr>
                <w:rFonts w:cs="Arial"/>
                <w:sz w:val="16"/>
              </w:rPr>
              <w:t xml:space="preserve"> de manzano</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Malus</w:t>
            </w:r>
            <w:proofErr w:type="spellEnd"/>
            <w:r w:rsidRPr="00041E70">
              <w:rPr>
                <w:rFonts w:cs="Arial"/>
                <w:sz w:val="16"/>
              </w:rPr>
              <w:t xml:space="preserve"> </w:t>
            </w:r>
            <w:proofErr w:type="spellStart"/>
            <w:r w:rsidRPr="00041E70">
              <w:rPr>
                <w:rFonts w:cs="Arial"/>
                <w:sz w:val="16"/>
              </w:rPr>
              <w:t>Mill</w:t>
            </w:r>
            <w:proofErr w:type="spellEnd"/>
            <w:r w:rsidRPr="00041E70">
              <w:rPr>
                <w:rFonts w:cs="Arial"/>
                <w:sz w:val="16"/>
              </w:rPr>
              <w:t>.</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rPr>
            </w:pPr>
            <w:r w:rsidRPr="00041E70">
              <w:rPr>
                <w:rFonts w:cs="Arial"/>
                <w:sz w:val="16"/>
              </w:rPr>
              <w:t>FR</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rPr>
            </w:pPr>
            <w:r w:rsidRPr="00041E70">
              <w:rPr>
                <w:rFonts w:cs="Arial"/>
                <w:sz w:val="16"/>
              </w:rPr>
              <w:t>TWV</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rPr>
                <w:rFonts w:cs="Arial"/>
                <w:sz w:val="16"/>
              </w:rPr>
            </w:pPr>
            <w:r w:rsidRPr="00041E70">
              <w:rPr>
                <w:rFonts w:cs="Arial"/>
                <w:sz w:val="16"/>
              </w:rPr>
              <w:t>TG/210/2(proj.4)</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Lentil</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Lentille</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proofErr w:type="spellStart"/>
            <w:r w:rsidRPr="00041E70">
              <w:rPr>
                <w:rFonts w:cs="Arial"/>
                <w:sz w:val="16"/>
              </w:rPr>
              <w:t>Linse</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r w:rsidRPr="00041E70">
              <w:rPr>
                <w:rFonts w:cs="Arial"/>
                <w:sz w:val="16"/>
              </w:rPr>
              <w:t>Lenteja</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rPr>
            </w:pPr>
            <w:r w:rsidRPr="00041E70">
              <w:rPr>
                <w:rFonts w:cs="Arial"/>
                <w:sz w:val="16"/>
              </w:rPr>
              <w:t xml:space="preserve">Lens </w:t>
            </w:r>
            <w:proofErr w:type="spellStart"/>
            <w:r w:rsidRPr="00041E70">
              <w:rPr>
                <w:rFonts w:cs="Arial"/>
                <w:sz w:val="16"/>
              </w:rPr>
              <w:t>culinaris</w:t>
            </w:r>
            <w:proofErr w:type="spellEnd"/>
            <w:r w:rsidRPr="00041E70">
              <w:rPr>
                <w:rFonts w:cs="Arial"/>
                <w:sz w:val="16"/>
              </w:rPr>
              <w:t xml:space="preserve"> </w:t>
            </w:r>
            <w:proofErr w:type="spellStart"/>
            <w:r w:rsidRPr="00041E70">
              <w:rPr>
                <w:rFonts w:cs="Arial"/>
                <w:sz w:val="16"/>
              </w:rPr>
              <w:t>Medik</w:t>
            </w:r>
            <w:proofErr w:type="spellEnd"/>
            <w:r w:rsidRPr="00041E70">
              <w:rPr>
                <w:rFonts w:cs="Arial"/>
                <w:sz w:val="16"/>
              </w:rPr>
              <w:t>.</w:t>
            </w:r>
          </w:p>
        </w:tc>
      </w:tr>
      <w:tr w:rsidR="00B7224D" w:rsidRPr="002A7B40" w:rsidTr="00B7224D">
        <w:trPr>
          <w:cantSplit/>
          <w:trHeight w:val="255"/>
        </w:trPr>
        <w:tc>
          <w:tcPr>
            <w:tcW w:w="9934" w:type="dxa"/>
            <w:gridSpan w:val="8"/>
            <w:tcBorders>
              <w:top w:val="nil"/>
              <w:left w:val="single" w:sz="4" w:space="0" w:color="auto"/>
              <w:bottom w:val="single" w:sz="4" w:space="0" w:color="auto"/>
              <w:right w:val="single" w:sz="4" w:space="0" w:color="auto"/>
            </w:tcBorders>
          </w:tcPr>
          <w:p w:rsidR="00B7224D" w:rsidRPr="002A7B40" w:rsidRDefault="00B7224D" w:rsidP="00B7224D">
            <w:pPr>
              <w:keepNext/>
              <w:spacing w:before="60" w:after="120"/>
              <w:ind w:left="-36"/>
              <w:jc w:val="left"/>
              <w:rPr>
                <w:rFonts w:eastAsia="MS Mincho" w:cs="Arial"/>
                <w:bCs/>
                <w:sz w:val="16"/>
                <w:szCs w:val="16"/>
                <w:u w:val="single"/>
                <w:lang w:val="fr-FR" w:eastAsia="ja-JP"/>
              </w:rPr>
            </w:pPr>
            <w:r w:rsidRPr="002A7B40">
              <w:rPr>
                <w:rFonts w:cs="Arial"/>
                <w:bCs/>
                <w:sz w:val="16"/>
                <w:szCs w:val="16"/>
                <w:u w:val="single"/>
                <w:lang w:val="fr-FR"/>
              </w:rPr>
              <w:t xml:space="preserve">PARTIAL REVISIONS OF TEST GUIDELINES / </w:t>
            </w:r>
            <w:r w:rsidRPr="002A7B40">
              <w:rPr>
                <w:rFonts w:cs="Arial"/>
                <w:sz w:val="16"/>
                <w:szCs w:val="16"/>
                <w:u w:val="single"/>
                <w:lang w:val="fr-FR"/>
              </w:rPr>
              <w:t>RÉVISIONS PARTIELLES DE PRINCIPES DIRECTEURS D’EXAMEN ADOPTÉS /</w:t>
            </w:r>
            <w:r w:rsidRPr="002A7B40">
              <w:rPr>
                <w:rFonts w:cs="Arial"/>
                <w:sz w:val="16"/>
                <w:szCs w:val="16"/>
                <w:u w:val="single"/>
                <w:lang w:val="fr-FR"/>
              </w:rPr>
              <w:br/>
              <w:t>TEILREVISIONEN ANGENOMMENER PRÜFUNGSRICHTLINIEN / REVISIONES PARCIALES DE DIRECTRICES DE EXAMEN ADOPTADAS</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keepNext/>
              <w:rPr>
                <w:rFonts w:cs="Arial"/>
                <w:sz w:val="16"/>
                <w:szCs w:val="16"/>
              </w:rPr>
            </w:pPr>
            <w:r w:rsidRPr="00041E70">
              <w:rPr>
                <w:rFonts w:cs="Arial"/>
                <w:sz w:val="16"/>
                <w:szCs w:val="16"/>
              </w:rPr>
              <w:t>NL</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keepNext/>
              <w:rPr>
                <w:rFonts w:cs="Arial"/>
                <w:sz w:val="16"/>
                <w:szCs w:val="16"/>
              </w:rPr>
            </w:pPr>
            <w:r w:rsidRPr="00041E70">
              <w:rPr>
                <w:rFonts w:cs="Arial"/>
                <w:sz w:val="16"/>
                <w:szCs w:val="16"/>
              </w:rPr>
              <w:t>TWV</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keepNext/>
              <w:ind w:left="-36"/>
              <w:jc w:val="left"/>
              <w:rPr>
                <w:rFonts w:cs="Arial"/>
                <w:sz w:val="16"/>
                <w:szCs w:val="16"/>
              </w:rPr>
            </w:pPr>
            <w:r w:rsidRPr="00041E70">
              <w:rPr>
                <w:rFonts w:cs="Arial"/>
                <w:sz w:val="16"/>
                <w:szCs w:val="16"/>
              </w:rPr>
              <w:t xml:space="preserve">TG/12/9 Rev. y documento TC/51/27 </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keepNext/>
              <w:jc w:val="left"/>
              <w:rPr>
                <w:rFonts w:cs="Arial"/>
                <w:sz w:val="16"/>
                <w:szCs w:val="16"/>
              </w:rPr>
            </w:pPr>
            <w:r w:rsidRPr="00041E70">
              <w:rPr>
                <w:rFonts w:cs="Arial"/>
                <w:sz w:val="16"/>
                <w:szCs w:val="16"/>
              </w:rPr>
              <w:t xml:space="preserve">French </w:t>
            </w:r>
            <w:proofErr w:type="spellStart"/>
            <w:r w:rsidRPr="00041E70">
              <w:rPr>
                <w:rFonts w:cs="Arial"/>
                <w:sz w:val="16"/>
                <w:szCs w:val="16"/>
              </w:rPr>
              <w:t>Bean</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keepNext/>
              <w:jc w:val="left"/>
              <w:rPr>
                <w:rFonts w:cs="Arial"/>
                <w:sz w:val="16"/>
                <w:szCs w:val="16"/>
              </w:rPr>
            </w:pPr>
            <w:proofErr w:type="spellStart"/>
            <w:r w:rsidRPr="00041E70">
              <w:rPr>
                <w:rFonts w:cs="Arial"/>
                <w:sz w:val="16"/>
                <w:szCs w:val="16"/>
              </w:rPr>
              <w:t>Haricot</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keepNext/>
              <w:jc w:val="left"/>
              <w:rPr>
                <w:rFonts w:cs="Arial"/>
                <w:sz w:val="16"/>
                <w:szCs w:val="16"/>
              </w:rPr>
            </w:pPr>
            <w:proofErr w:type="spellStart"/>
            <w:r w:rsidRPr="00041E70">
              <w:rPr>
                <w:rFonts w:cs="Arial"/>
                <w:sz w:val="16"/>
                <w:szCs w:val="16"/>
              </w:rPr>
              <w:t>Gartenbohne</w:t>
            </w:r>
            <w:proofErr w:type="spellEnd"/>
            <w:r w:rsidRPr="00041E70">
              <w:rPr>
                <w:rFonts w:cs="Arial"/>
                <w:sz w:val="16"/>
                <w:szCs w:val="16"/>
              </w:rPr>
              <w:t xml:space="preserve"> </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keepNext/>
              <w:jc w:val="left"/>
              <w:rPr>
                <w:rFonts w:cs="Arial"/>
                <w:sz w:val="16"/>
                <w:szCs w:val="16"/>
              </w:rPr>
            </w:pPr>
            <w:r w:rsidRPr="00041E70">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keepNext/>
              <w:jc w:val="left"/>
              <w:rPr>
                <w:rFonts w:cs="Arial"/>
                <w:sz w:val="16"/>
                <w:szCs w:val="16"/>
              </w:rPr>
            </w:pPr>
            <w:proofErr w:type="spellStart"/>
            <w:r w:rsidRPr="00041E70">
              <w:rPr>
                <w:rFonts w:cs="Arial"/>
                <w:sz w:val="16"/>
                <w:szCs w:val="16"/>
              </w:rPr>
              <w:t>Phaseolus</w:t>
            </w:r>
            <w:proofErr w:type="spellEnd"/>
            <w:r w:rsidRPr="00041E70">
              <w:rPr>
                <w:rFonts w:cs="Arial"/>
                <w:sz w:val="16"/>
                <w:szCs w:val="16"/>
              </w:rPr>
              <w:t xml:space="preserve"> </w:t>
            </w:r>
            <w:proofErr w:type="spellStart"/>
            <w:r w:rsidRPr="00041E70">
              <w:rPr>
                <w:rFonts w:cs="Arial"/>
                <w:sz w:val="16"/>
                <w:szCs w:val="16"/>
              </w:rPr>
              <w:t>vulgaris</w:t>
            </w:r>
            <w:proofErr w:type="spellEnd"/>
            <w:r w:rsidRPr="00041E70">
              <w:rPr>
                <w:rFonts w:cs="Arial"/>
                <w:sz w:val="16"/>
                <w:szCs w:val="16"/>
              </w:rPr>
              <w:t xml:space="preserve"> L.</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NL</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TWV</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jc w:val="left"/>
              <w:rPr>
                <w:rFonts w:cs="Arial"/>
                <w:sz w:val="16"/>
                <w:szCs w:val="16"/>
              </w:rPr>
            </w:pPr>
            <w:r w:rsidRPr="00041E70">
              <w:rPr>
                <w:rFonts w:cs="Arial"/>
                <w:sz w:val="16"/>
                <w:szCs w:val="16"/>
              </w:rPr>
              <w:t xml:space="preserve">TG/55/7 Rev. 2 y documento TC/51/29 </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Spinach</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Épinard</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Spinat</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Espinaca</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Spinacia</w:t>
            </w:r>
            <w:proofErr w:type="spellEnd"/>
            <w:r w:rsidRPr="00041E70">
              <w:rPr>
                <w:rFonts w:cs="Arial"/>
                <w:sz w:val="16"/>
                <w:szCs w:val="16"/>
              </w:rPr>
              <w:t xml:space="preserve"> </w:t>
            </w:r>
            <w:proofErr w:type="spellStart"/>
            <w:r w:rsidRPr="00041E70">
              <w:rPr>
                <w:rFonts w:cs="Arial"/>
                <w:sz w:val="16"/>
                <w:szCs w:val="16"/>
              </w:rPr>
              <w:t>oleracea</w:t>
            </w:r>
            <w:proofErr w:type="spellEnd"/>
            <w:r w:rsidRPr="00041E70">
              <w:rPr>
                <w:rFonts w:cs="Arial"/>
                <w:sz w:val="16"/>
                <w:szCs w:val="16"/>
              </w:rPr>
              <w:t xml:space="preserve"> L.</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ES</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TWV</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jc w:val="left"/>
              <w:rPr>
                <w:rFonts w:cs="Arial"/>
                <w:sz w:val="16"/>
                <w:szCs w:val="16"/>
              </w:rPr>
            </w:pPr>
            <w:r w:rsidRPr="00041E70">
              <w:rPr>
                <w:rFonts w:cs="Arial"/>
                <w:sz w:val="16"/>
                <w:szCs w:val="16"/>
              </w:rPr>
              <w:t xml:space="preserve">TG/61/7 Rev. y </w:t>
            </w:r>
            <w:proofErr w:type="spellStart"/>
            <w:r w:rsidRPr="00041E70">
              <w:rPr>
                <w:rFonts w:cs="Arial"/>
                <w:sz w:val="16"/>
                <w:szCs w:val="16"/>
              </w:rPr>
              <w:t>documentoTC</w:t>
            </w:r>
            <w:proofErr w:type="spellEnd"/>
            <w:r w:rsidRPr="00041E70">
              <w:rPr>
                <w:rFonts w:cs="Arial"/>
                <w:sz w:val="16"/>
                <w:szCs w:val="16"/>
              </w:rPr>
              <w:t xml:space="preserve">/51/26 </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Cucumber</w:t>
            </w:r>
            <w:proofErr w:type="spellEnd"/>
            <w:r w:rsidRPr="00041E70">
              <w:rPr>
                <w:rFonts w:cs="Arial"/>
                <w:sz w:val="16"/>
                <w:szCs w:val="16"/>
              </w:rPr>
              <w:t xml:space="preserve">, </w:t>
            </w:r>
            <w:proofErr w:type="spellStart"/>
            <w:r w:rsidRPr="00041E70">
              <w:rPr>
                <w:rFonts w:cs="Arial"/>
                <w:sz w:val="16"/>
                <w:szCs w:val="16"/>
              </w:rPr>
              <w:t>Gherkin</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Concombre</w:t>
            </w:r>
            <w:proofErr w:type="spellEnd"/>
            <w:r w:rsidRPr="00041E70">
              <w:rPr>
                <w:rFonts w:cs="Arial"/>
                <w:sz w:val="16"/>
                <w:szCs w:val="16"/>
              </w:rPr>
              <w:t xml:space="preserve">, </w:t>
            </w:r>
            <w:proofErr w:type="spellStart"/>
            <w:r w:rsidRPr="00041E70">
              <w:rPr>
                <w:rFonts w:cs="Arial"/>
                <w:sz w:val="16"/>
                <w:szCs w:val="16"/>
              </w:rPr>
              <w:t>Cornichon</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Gurke</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Pepino, Pepinillo</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Cucumis</w:t>
            </w:r>
            <w:proofErr w:type="spellEnd"/>
            <w:r w:rsidRPr="00041E70">
              <w:rPr>
                <w:rFonts w:cs="Arial"/>
                <w:sz w:val="16"/>
                <w:szCs w:val="16"/>
              </w:rPr>
              <w:t xml:space="preserve"> </w:t>
            </w:r>
            <w:proofErr w:type="spellStart"/>
            <w:r w:rsidRPr="00041E70">
              <w:rPr>
                <w:rFonts w:cs="Arial"/>
                <w:sz w:val="16"/>
                <w:szCs w:val="16"/>
              </w:rPr>
              <w:t>sativus</w:t>
            </w:r>
            <w:proofErr w:type="spellEnd"/>
            <w:r w:rsidRPr="00041E70">
              <w:rPr>
                <w:rFonts w:cs="Arial"/>
                <w:sz w:val="16"/>
                <w:szCs w:val="16"/>
              </w:rPr>
              <w:t xml:space="preserve"> L.</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NL/FR</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TWV</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jc w:val="left"/>
              <w:rPr>
                <w:rFonts w:cs="Arial"/>
                <w:sz w:val="16"/>
                <w:szCs w:val="16"/>
              </w:rPr>
            </w:pPr>
            <w:r w:rsidRPr="00041E70">
              <w:rPr>
                <w:rFonts w:cs="Arial"/>
                <w:sz w:val="16"/>
                <w:szCs w:val="16"/>
              </w:rPr>
              <w:t xml:space="preserve">TG/76/8 y documento TC/51/30 </w:t>
            </w:r>
          </w:p>
        </w:tc>
        <w:tc>
          <w:tcPr>
            <w:tcW w:w="1417" w:type="dxa"/>
            <w:tcBorders>
              <w:top w:val="single" w:sz="4" w:space="0" w:color="auto"/>
              <w:left w:val="nil"/>
              <w:bottom w:val="single" w:sz="4" w:space="0" w:color="auto"/>
              <w:right w:val="single" w:sz="4" w:space="0" w:color="auto"/>
            </w:tcBorders>
          </w:tcPr>
          <w:p w:rsidR="00B7224D" w:rsidRPr="002A7B40" w:rsidRDefault="00B7224D" w:rsidP="00B7224D">
            <w:pPr>
              <w:jc w:val="left"/>
              <w:rPr>
                <w:rFonts w:cs="Arial"/>
                <w:sz w:val="16"/>
                <w:szCs w:val="16"/>
                <w:lang w:val="en-US"/>
              </w:rPr>
            </w:pPr>
            <w:r w:rsidRPr="002A7B40">
              <w:rPr>
                <w:rFonts w:cs="Arial"/>
                <w:sz w:val="16"/>
                <w:szCs w:val="16"/>
                <w:lang w:val="en-US"/>
              </w:rPr>
              <w:t>Sweet Pepper, Hot Pepper, Paprika, Chili</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Piment</w:t>
            </w:r>
            <w:proofErr w:type="spellEnd"/>
            <w:r w:rsidRPr="00041E70">
              <w:rPr>
                <w:rFonts w:cs="Arial"/>
                <w:sz w:val="16"/>
                <w:szCs w:val="16"/>
              </w:rPr>
              <w:t xml:space="preserve">, </w:t>
            </w:r>
            <w:proofErr w:type="spellStart"/>
            <w:r w:rsidRPr="00041E70">
              <w:rPr>
                <w:rFonts w:cs="Arial"/>
                <w:sz w:val="16"/>
                <w:szCs w:val="16"/>
              </w:rPr>
              <w:t>Poivron</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Paprika</w:t>
            </w:r>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Aji</w:t>
            </w:r>
            <w:proofErr w:type="spellEnd"/>
            <w:r w:rsidRPr="00041E70">
              <w:rPr>
                <w:rFonts w:cs="Arial"/>
                <w:sz w:val="16"/>
                <w:szCs w:val="16"/>
              </w:rPr>
              <w:t>, Chile, Pimiento</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Capsicum</w:t>
            </w:r>
            <w:proofErr w:type="spellEnd"/>
            <w:r w:rsidRPr="00041E70">
              <w:rPr>
                <w:rFonts w:cs="Arial"/>
                <w:sz w:val="16"/>
                <w:szCs w:val="16"/>
              </w:rPr>
              <w:t xml:space="preserve"> </w:t>
            </w:r>
            <w:proofErr w:type="spellStart"/>
            <w:r w:rsidRPr="00041E70">
              <w:rPr>
                <w:rFonts w:cs="Arial"/>
                <w:sz w:val="16"/>
                <w:szCs w:val="16"/>
              </w:rPr>
              <w:t>annuum</w:t>
            </w:r>
            <w:proofErr w:type="spellEnd"/>
            <w:r w:rsidRPr="00041E70">
              <w:rPr>
                <w:rFonts w:cs="Arial"/>
                <w:sz w:val="16"/>
                <w:szCs w:val="16"/>
              </w:rPr>
              <w:t xml:space="preserve"> L.</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NL</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TWO</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jc w:val="left"/>
              <w:rPr>
                <w:rFonts w:cs="Arial"/>
                <w:sz w:val="16"/>
                <w:szCs w:val="16"/>
              </w:rPr>
            </w:pPr>
            <w:r w:rsidRPr="00041E70">
              <w:rPr>
                <w:rFonts w:cs="Arial"/>
                <w:sz w:val="16"/>
                <w:szCs w:val="16"/>
              </w:rPr>
              <w:t xml:space="preserve">TG/108/4 y documento TC/51/32 </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Gladiolus</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Glaïeul</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Gladiole</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Gladiolo</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Gladiolus</w:t>
            </w:r>
            <w:proofErr w:type="spellEnd"/>
            <w:r w:rsidRPr="00041E70">
              <w:rPr>
                <w:rFonts w:cs="Arial"/>
                <w:sz w:val="16"/>
                <w:szCs w:val="16"/>
              </w:rPr>
              <w:t xml:space="preserve"> L.</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ES</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TWF</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jc w:val="left"/>
              <w:rPr>
                <w:rFonts w:cs="Arial"/>
                <w:sz w:val="16"/>
                <w:szCs w:val="16"/>
              </w:rPr>
            </w:pPr>
            <w:r w:rsidRPr="00041E70">
              <w:rPr>
                <w:rFonts w:cs="Arial"/>
                <w:sz w:val="16"/>
                <w:szCs w:val="16"/>
              </w:rPr>
              <w:t>TG/201/1 y documento TC/51/33</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Mandarins</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Mandarinier</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Mandarinen</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Mandarino</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xml:space="preserve">Citrus; </w:t>
            </w:r>
            <w:proofErr w:type="spellStart"/>
            <w:r w:rsidRPr="00041E70">
              <w:rPr>
                <w:rFonts w:cs="Arial"/>
                <w:sz w:val="16"/>
                <w:szCs w:val="16"/>
              </w:rPr>
              <w:t>Grp</w:t>
            </w:r>
            <w:proofErr w:type="spellEnd"/>
            <w:r w:rsidRPr="00041E70">
              <w:rPr>
                <w:rFonts w:cs="Arial"/>
                <w:sz w:val="16"/>
                <w:szCs w:val="16"/>
              </w:rPr>
              <w:t> 1</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FR</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TWO</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jc w:val="left"/>
              <w:rPr>
                <w:rFonts w:cs="Arial"/>
                <w:sz w:val="16"/>
                <w:szCs w:val="16"/>
              </w:rPr>
            </w:pPr>
            <w:r w:rsidRPr="00041E70">
              <w:rPr>
                <w:rFonts w:cs="Arial"/>
                <w:sz w:val="16"/>
                <w:szCs w:val="16"/>
              </w:rPr>
              <w:t xml:space="preserve">TG/263/1 y </w:t>
            </w:r>
            <w:proofErr w:type="spellStart"/>
            <w:r w:rsidRPr="00041E70">
              <w:rPr>
                <w:rFonts w:cs="Arial"/>
                <w:sz w:val="16"/>
                <w:szCs w:val="16"/>
              </w:rPr>
              <w:t>document</w:t>
            </w:r>
            <w:proofErr w:type="spellEnd"/>
            <w:r w:rsidRPr="00041E70">
              <w:rPr>
                <w:rFonts w:cs="Arial"/>
                <w:sz w:val="16"/>
                <w:szCs w:val="16"/>
              </w:rPr>
              <w:t xml:space="preserve"> TC/51/31 </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Buddleia</w:t>
            </w:r>
            <w:proofErr w:type="spellEnd"/>
            <w:r w:rsidRPr="00041E70">
              <w:rPr>
                <w:rFonts w:cs="Arial"/>
                <w:sz w:val="16"/>
                <w:szCs w:val="16"/>
              </w:rPr>
              <w:t xml:space="preserve">, </w:t>
            </w:r>
            <w:proofErr w:type="spellStart"/>
            <w:r w:rsidRPr="00041E70">
              <w:rPr>
                <w:rFonts w:cs="Arial"/>
                <w:sz w:val="16"/>
                <w:szCs w:val="16"/>
              </w:rPr>
              <w:t>Butterfly-bush</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Buddleia</w:t>
            </w:r>
            <w:proofErr w:type="spellEnd"/>
            <w:r w:rsidRPr="00041E70">
              <w:rPr>
                <w:rFonts w:cs="Arial"/>
                <w:sz w:val="16"/>
                <w:szCs w:val="16"/>
              </w:rPr>
              <w:t xml:space="preserve">, </w:t>
            </w:r>
            <w:proofErr w:type="spellStart"/>
            <w:r w:rsidRPr="00041E70">
              <w:rPr>
                <w:rFonts w:cs="Arial"/>
                <w:sz w:val="16"/>
                <w:szCs w:val="16"/>
              </w:rPr>
              <w:t>Arbre</w:t>
            </w:r>
            <w:proofErr w:type="spellEnd"/>
            <w:r w:rsidRPr="00041E70">
              <w:rPr>
                <w:rFonts w:cs="Arial"/>
                <w:sz w:val="16"/>
                <w:szCs w:val="16"/>
              </w:rPr>
              <w:t xml:space="preserve"> </w:t>
            </w:r>
            <w:proofErr w:type="spellStart"/>
            <w:r w:rsidRPr="00041E70">
              <w:rPr>
                <w:rFonts w:cs="Arial"/>
                <w:sz w:val="16"/>
                <w:szCs w:val="16"/>
              </w:rPr>
              <w:t>aux</w:t>
            </w:r>
            <w:proofErr w:type="spellEnd"/>
            <w:r w:rsidRPr="00041E70">
              <w:rPr>
                <w:rFonts w:cs="Arial"/>
                <w:sz w:val="16"/>
                <w:szCs w:val="16"/>
              </w:rPr>
              <w:t xml:space="preserve"> </w:t>
            </w:r>
            <w:proofErr w:type="spellStart"/>
            <w:r w:rsidRPr="00041E70">
              <w:rPr>
                <w:rFonts w:cs="Arial"/>
                <w:sz w:val="16"/>
                <w:szCs w:val="16"/>
              </w:rPr>
              <w:t>papillons</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Buddleie</w:t>
            </w:r>
            <w:proofErr w:type="spellEnd"/>
            <w:r w:rsidRPr="00041E70">
              <w:rPr>
                <w:rFonts w:cs="Arial"/>
                <w:sz w:val="16"/>
                <w:szCs w:val="16"/>
              </w:rPr>
              <w:t xml:space="preserve">, </w:t>
            </w:r>
            <w:proofErr w:type="spellStart"/>
            <w:r w:rsidRPr="00041E70">
              <w:rPr>
                <w:rFonts w:cs="Arial"/>
                <w:sz w:val="16"/>
                <w:szCs w:val="16"/>
              </w:rPr>
              <w:t>Schmetterlingsstrauch</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Budleya</w:t>
            </w:r>
            <w:proofErr w:type="spellEnd"/>
            <w:r w:rsidRPr="00041E70">
              <w:rPr>
                <w:rFonts w:cs="Arial"/>
                <w:sz w:val="16"/>
                <w:szCs w:val="16"/>
              </w:rPr>
              <w:t>, Mariposa</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Buddleja</w:t>
            </w:r>
            <w:proofErr w:type="spellEnd"/>
            <w:r w:rsidRPr="00041E70">
              <w:rPr>
                <w:rFonts w:cs="Arial"/>
                <w:sz w:val="16"/>
                <w:szCs w:val="16"/>
              </w:rPr>
              <w:t xml:space="preserve"> L.</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UA</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TWV</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jc w:val="left"/>
              <w:rPr>
                <w:rFonts w:cs="Arial"/>
                <w:sz w:val="16"/>
                <w:szCs w:val="16"/>
              </w:rPr>
            </w:pPr>
            <w:r w:rsidRPr="00041E70">
              <w:rPr>
                <w:rFonts w:cs="Arial"/>
                <w:sz w:val="16"/>
                <w:szCs w:val="16"/>
              </w:rPr>
              <w:t>TG/268/1 y documento TC/51/34</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xml:space="preserve">Garden </w:t>
            </w:r>
            <w:proofErr w:type="spellStart"/>
            <w:r w:rsidRPr="00041E70">
              <w:rPr>
                <w:rFonts w:cs="Arial"/>
                <w:sz w:val="16"/>
                <w:szCs w:val="16"/>
              </w:rPr>
              <w:t>Sorrel</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 xml:space="preserve">Grande </w:t>
            </w:r>
            <w:proofErr w:type="spellStart"/>
            <w:r w:rsidRPr="00041E70">
              <w:rPr>
                <w:rFonts w:cs="Arial"/>
                <w:sz w:val="16"/>
                <w:szCs w:val="16"/>
              </w:rPr>
              <w:t>oseille</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Wiesensauerampfer</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r w:rsidRPr="00041E70">
              <w:rPr>
                <w:rFonts w:cs="Arial"/>
                <w:sz w:val="16"/>
                <w:szCs w:val="16"/>
              </w:rPr>
              <w:t>Acedera común</w:t>
            </w:r>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Rumex</w:t>
            </w:r>
            <w:proofErr w:type="spellEnd"/>
            <w:r w:rsidRPr="00041E70">
              <w:rPr>
                <w:rFonts w:cs="Arial"/>
                <w:sz w:val="16"/>
                <w:szCs w:val="16"/>
              </w:rPr>
              <w:t xml:space="preserve"> acetosa L.</w:t>
            </w:r>
          </w:p>
        </w:tc>
      </w:tr>
      <w:tr w:rsidR="00B7224D" w:rsidRPr="00041E70" w:rsidTr="00B7224D">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B7224D" w:rsidRPr="00041E70" w:rsidRDefault="00B7224D" w:rsidP="00B7224D">
            <w:pPr>
              <w:rPr>
                <w:rFonts w:cs="Arial"/>
                <w:sz w:val="16"/>
                <w:szCs w:val="16"/>
              </w:rPr>
            </w:pPr>
            <w:r w:rsidRPr="00041E70">
              <w:rPr>
                <w:rFonts w:cs="Arial"/>
                <w:sz w:val="16"/>
                <w:szCs w:val="16"/>
              </w:rPr>
              <w:t>JP</w:t>
            </w:r>
          </w:p>
        </w:tc>
        <w:tc>
          <w:tcPr>
            <w:tcW w:w="590" w:type="dxa"/>
            <w:tcBorders>
              <w:top w:val="single" w:sz="4" w:space="0" w:color="auto"/>
              <w:left w:val="nil"/>
              <w:bottom w:val="single" w:sz="4" w:space="0" w:color="auto"/>
              <w:right w:val="single" w:sz="4" w:space="0" w:color="auto"/>
            </w:tcBorders>
          </w:tcPr>
          <w:p w:rsidR="00B7224D" w:rsidRPr="00041E70" w:rsidRDefault="00B7224D" w:rsidP="00B7224D">
            <w:pPr>
              <w:rPr>
                <w:rFonts w:cs="Arial"/>
                <w:sz w:val="16"/>
                <w:szCs w:val="16"/>
              </w:rPr>
            </w:pPr>
            <w:r w:rsidRPr="00041E70">
              <w:rPr>
                <w:rFonts w:cs="Arial"/>
                <w:sz w:val="16"/>
                <w:szCs w:val="16"/>
              </w:rPr>
              <w:t>TWV</w:t>
            </w:r>
          </w:p>
        </w:tc>
        <w:tc>
          <w:tcPr>
            <w:tcW w:w="1490" w:type="dxa"/>
            <w:tcBorders>
              <w:top w:val="single" w:sz="4" w:space="0" w:color="auto"/>
              <w:left w:val="nil"/>
              <w:bottom w:val="single" w:sz="4" w:space="0" w:color="auto"/>
              <w:right w:val="single" w:sz="4" w:space="0" w:color="auto"/>
            </w:tcBorders>
          </w:tcPr>
          <w:p w:rsidR="00B7224D" w:rsidRPr="00041E70" w:rsidRDefault="00B7224D" w:rsidP="00B7224D">
            <w:pPr>
              <w:ind w:left="-36"/>
              <w:jc w:val="left"/>
              <w:rPr>
                <w:rFonts w:cs="Arial"/>
                <w:sz w:val="16"/>
                <w:szCs w:val="16"/>
              </w:rPr>
            </w:pPr>
            <w:r w:rsidRPr="00041E70">
              <w:rPr>
                <w:rFonts w:cs="Arial"/>
                <w:sz w:val="16"/>
                <w:szCs w:val="16"/>
              </w:rPr>
              <w:t xml:space="preserve">TG/282/1 y documento TC/51/28 </w:t>
            </w:r>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Shiitake</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Shiitake</w:t>
            </w:r>
            <w:proofErr w:type="spellEnd"/>
          </w:p>
        </w:tc>
        <w:tc>
          <w:tcPr>
            <w:tcW w:w="1417"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Pasaniapilz</w:t>
            </w:r>
            <w:proofErr w:type="spellEnd"/>
          </w:p>
        </w:tc>
        <w:tc>
          <w:tcPr>
            <w:tcW w:w="1418"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Shiitake</w:t>
            </w:r>
            <w:proofErr w:type="spellEnd"/>
          </w:p>
        </w:tc>
        <w:tc>
          <w:tcPr>
            <w:tcW w:w="1700" w:type="dxa"/>
            <w:tcBorders>
              <w:top w:val="single" w:sz="4" w:space="0" w:color="auto"/>
              <w:left w:val="nil"/>
              <w:bottom w:val="single" w:sz="4" w:space="0" w:color="auto"/>
              <w:right w:val="single" w:sz="4" w:space="0" w:color="auto"/>
            </w:tcBorders>
          </w:tcPr>
          <w:p w:rsidR="00B7224D" w:rsidRPr="00041E70" w:rsidRDefault="00B7224D" w:rsidP="00B7224D">
            <w:pPr>
              <w:jc w:val="left"/>
              <w:rPr>
                <w:rFonts w:cs="Arial"/>
                <w:sz w:val="16"/>
                <w:szCs w:val="16"/>
              </w:rPr>
            </w:pPr>
            <w:proofErr w:type="spellStart"/>
            <w:r w:rsidRPr="00041E70">
              <w:rPr>
                <w:rFonts w:cs="Arial"/>
                <w:sz w:val="16"/>
                <w:szCs w:val="16"/>
              </w:rPr>
              <w:t>Lentinula</w:t>
            </w:r>
            <w:proofErr w:type="spellEnd"/>
            <w:r w:rsidRPr="00041E70">
              <w:rPr>
                <w:rFonts w:cs="Arial"/>
                <w:sz w:val="16"/>
                <w:szCs w:val="16"/>
              </w:rPr>
              <w:t xml:space="preserve"> </w:t>
            </w:r>
            <w:proofErr w:type="spellStart"/>
            <w:r w:rsidRPr="00041E70">
              <w:rPr>
                <w:rFonts w:cs="Arial"/>
                <w:sz w:val="16"/>
                <w:szCs w:val="16"/>
              </w:rPr>
              <w:t>edodes</w:t>
            </w:r>
            <w:proofErr w:type="spellEnd"/>
            <w:r w:rsidRPr="00041E70">
              <w:rPr>
                <w:rFonts w:cs="Arial"/>
                <w:sz w:val="16"/>
                <w:szCs w:val="16"/>
              </w:rPr>
              <w:t xml:space="preserve"> (</w:t>
            </w:r>
            <w:proofErr w:type="spellStart"/>
            <w:r w:rsidRPr="00041E70">
              <w:rPr>
                <w:rFonts w:cs="Arial"/>
                <w:sz w:val="16"/>
                <w:szCs w:val="16"/>
              </w:rPr>
              <w:t>Berk</w:t>
            </w:r>
            <w:proofErr w:type="spellEnd"/>
            <w:r w:rsidRPr="00041E70">
              <w:rPr>
                <w:rFonts w:cs="Arial"/>
                <w:sz w:val="16"/>
                <w:szCs w:val="16"/>
              </w:rPr>
              <w:t xml:space="preserve">.) </w:t>
            </w:r>
            <w:proofErr w:type="spellStart"/>
            <w:r w:rsidRPr="00041E70">
              <w:rPr>
                <w:rFonts w:cs="Arial"/>
                <w:sz w:val="16"/>
                <w:szCs w:val="16"/>
              </w:rPr>
              <w:t>Pegler</w:t>
            </w:r>
            <w:proofErr w:type="spellEnd"/>
          </w:p>
        </w:tc>
      </w:tr>
    </w:tbl>
    <w:p w:rsidR="00B7224D" w:rsidRPr="00041E70" w:rsidRDefault="00B7224D" w:rsidP="00B7224D">
      <w:pPr>
        <w:rPr>
          <w:rFonts w:cs="Arial"/>
        </w:rPr>
      </w:pPr>
    </w:p>
    <w:p w:rsidR="00B7224D" w:rsidRPr="00041E70" w:rsidRDefault="00B7224D" w:rsidP="00B7224D">
      <w:pPr>
        <w:rPr>
          <w:rFonts w:eastAsia="MS Mincho" w:cs="Arial"/>
          <w:bCs/>
          <w:sz w:val="16"/>
          <w:szCs w:val="16"/>
          <w:lang w:eastAsia="ja-JP"/>
        </w:rPr>
      </w:pPr>
    </w:p>
    <w:p w:rsidR="00B7224D" w:rsidRPr="00041E70" w:rsidRDefault="00B7224D" w:rsidP="00B7224D">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TC aprobó las directrices de examen de las lágrimas de San Pedro, a reserva de que el TWF apruebe por correspondencia el añadido de asteriscos a los caracteres 1, 13, 14 y 20, según consta en el Anexo II del presente informe.</w:t>
      </w:r>
    </w:p>
    <w:p w:rsidR="00B7224D" w:rsidRPr="00041E70" w:rsidRDefault="00B7224D" w:rsidP="00B7224D">
      <w:pPr>
        <w:rPr>
          <w:rFonts w:cs="Arial"/>
        </w:rPr>
      </w:pPr>
    </w:p>
    <w:p w:rsidR="00B7224D" w:rsidRPr="00041E70" w:rsidRDefault="00B7224D" w:rsidP="00B7224D">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TC aprobó las directrices de examen del acocote a reserva de que el TWF apruebe por correspondencia la eliminación del carácter 17 “Cuello</w:t>
      </w:r>
      <w:proofErr w:type="gramStart"/>
      <w:r w:rsidRPr="00041E70">
        <w:rPr>
          <w:rFonts w:cs="Arial"/>
        </w:rPr>
        <w:t>:  arrugamiento</w:t>
      </w:r>
      <w:proofErr w:type="gramEnd"/>
      <w:r w:rsidRPr="00041E70">
        <w:rPr>
          <w:rFonts w:cs="Arial"/>
        </w:rPr>
        <w:t xml:space="preserve"> en la base”, tal como se expone en el Anexo II de este informe.</w:t>
      </w:r>
    </w:p>
    <w:p w:rsidR="00B7224D" w:rsidRPr="00041E70" w:rsidRDefault="00B7224D" w:rsidP="00B7224D">
      <w:pPr>
        <w:rPr>
          <w:rFonts w:cs="Arial"/>
        </w:rPr>
      </w:pPr>
    </w:p>
    <w:p w:rsidR="00B7224D" w:rsidRPr="00041E70" w:rsidRDefault="00B7224D" w:rsidP="00B7224D">
      <w:pPr>
        <w:rPr>
          <w:snapToGrid w:val="0"/>
        </w:rPr>
      </w:pPr>
      <w:r w:rsidRPr="00041E70">
        <w:rPr>
          <w:snapToGrid w:val="0"/>
        </w:rPr>
        <w:fldChar w:fldCharType="begin"/>
      </w:r>
      <w:r w:rsidRPr="00041E70">
        <w:rPr>
          <w:snapToGrid w:val="0"/>
        </w:rPr>
        <w:instrText xml:space="preserve"> AUTONUM  </w:instrText>
      </w:r>
      <w:r w:rsidRPr="00041E70">
        <w:rPr>
          <w:snapToGrid w:val="0"/>
        </w:rPr>
        <w:fldChar w:fldCharType="end"/>
      </w:r>
      <w:r w:rsidRPr="00041E70">
        <w:rPr>
          <w:snapToGrid w:val="0"/>
        </w:rPr>
        <w:tab/>
        <w:t xml:space="preserve">La UPOV ha aprobado hasta la fecha 313 directrices de examen, y todas ellas están disponibles gratuitamente en el sitio web de la UPOV en </w:t>
      </w:r>
      <w:hyperlink r:id="rId10" w:history="1">
        <w:r w:rsidRPr="00041E70">
          <w:rPr>
            <w:rStyle w:val="Hyperlink"/>
          </w:rPr>
          <w:t>http://www.upov.int/test_guidelines/es/</w:t>
        </w:r>
      </w:hyperlink>
      <w:r w:rsidRPr="00041E70">
        <w:rPr>
          <w:snapToGrid w:val="0"/>
        </w:rPr>
        <w:t>.</w:t>
      </w:r>
    </w:p>
    <w:p w:rsidR="00B7224D" w:rsidRPr="00041E70" w:rsidRDefault="00B7224D" w:rsidP="00B7224D">
      <w:pPr>
        <w:outlineLvl w:val="0"/>
      </w:pPr>
    </w:p>
    <w:p w:rsidR="00B7224D" w:rsidRPr="00041E70" w:rsidRDefault="00B7224D" w:rsidP="00B7224D">
      <w:pPr>
        <w:pStyle w:val="Heading3"/>
        <w:rPr>
          <w:lang w:val="es-ES_tradnl"/>
        </w:rPr>
      </w:pPr>
      <w:bookmarkStart w:id="48" w:name="_Toc429150776"/>
      <w:r w:rsidRPr="00041E70">
        <w:rPr>
          <w:lang w:val="es-ES_tradnl"/>
        </w:rPr>
        <w:t>Correcciones de directrices de examen</w:t>
      </w:r>
      <w:bookmarkEnd w:id="48"/>
    </w:p>
    <w:p w:rsidR="00B7224D" w:rsidRPr="00041E70" w:rsidRDefault="00B7224D" w:rsidP="00B7224D">
      <w:pPr>
        <w:keepNext/>
        <w:outlineLvl w:val="0"/>
        <w:rPr>
          <w:rFonts w:ascii="ArialMT" w:eastAsia="MS Mincho" w:hAnsi="ArialMT" w:cs="ArialMT"/>
          <w:lang w:eastAsia="ja-JP"/>
        </w:rPr>
      </w:pPr>
    </w:p>
    <w:p w:rsidR="00B7224D" w:rsidRPr="00041E70" w:rsidRDefault="00B7224D" w:rsidP="00B7224D">
      <w:r w:rsidRPr="00041E70">
        <w:fldChar w:fldCharType="begin"/>
      </w:r>
      <w:r w:rsidRPr="00041E70">
        <w:instrText xml:space="preserve"> AUTONUM  </w:instrText>
      </w:r>
      <w:r w:rsidRPr="00041E70">
        <w:fldChar w:fldCharType="end"/>
      </w:r>
      <w:r w:rsidRPr="00041E70">
        <w:tab/>
        <w:t xml:space="preserve">El TC tomó nota de las correcciones efectuadas a las directrices de examen aprobadas para la </w:t>
      </w:r>
      <w:r w:rsidRPr="00041E70">
        <w:rPr>
          <w:rFonts w:eastAsia="MS Mincho"/>
          <w:lang w:eastAsia="ja-JP"/>
        </w:rPr>
        <w:t xml:space="preserve">zanahoria </w:t>
      </w:r>
      <w:r w:rsidRPr="00041E70">
        <w:t>(documento TG/49/8), de acuerdo con el documento TC/51/35.</w:t>
      </w:r>
    </w:p>
    <w:p w:rsidR="00B7224D" w:rsidRPr="00041E70" w:rsidRDefault="00B7224D" w:rsidP="00B7224D">
      <w:pPr>
        <w:outlineLvl w:val="0"/>
      </w:pPr>
    </w:p>
    <w:p w:rsidR="00B7224D" w:rsidRPr="00041E70" w:rsidRDefault="00B7224D" w:rsidP="00B7224D">
      <w:pPr>
        <w:pStyle w:val="Heading3"/>
        <w:rPr>
          <w:lang w:val="es-ES_tradnl"/>
        </w:rPr>
      </w:pPr>
      <w:bookmarkStart w:id="49" w:name="_Toc429150777"/>
      <w:r w:rsidRPr="00041E70">
        <w:rPr>
          <w:lang w:val="es-ES_tradnl"/>
        </w:rPr>
        <w:t>Proyectos de directrices de examen debatidos en los Grupos de Trabajo Técnico en 2014</w:t>
      </w:r>
      <w:bookmarkEnd w:id="49"/>
    </w:p>
    <w:p w:rsidR="00B7224D" w:rsidRPr="00041E70" w:rsidRDefault="00B7224D" w:rsidP="00B7224D">
      <w:pPr>
        <w:keepNext/>
      </w:pPr>
    </w:p>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 lista de los proyectos de directrices de examen debatidos por los Grupos de Trabajo Técnico en sus reuniones de 2014, que figura en el Anexo II del documento TC/51/2.</w:t>
      </w:r>
    </w:p>
    <w:p w:rsidR="00B7224D" w:rsidRPr="00041E70" w:rsidRDefault="00B7224D" w:rsidP="00B7224D"/>
    <w:p w:rsidR="00B7224D" w:rsidRPr="00041E70" w:rsidRDefault="00B7224D" w:rsidP="00B7224D">
      <w:pPr>
        <w:pStyle w:val="Heading3"/>
        <w:rPr>
          <w:lang w:val="es-ES_tradnl"/>
        </w:rPr>
      </w:pPr>
      <w:bookmarkStart w:id="50" w:name="_Toc429150778"/>
      <w:r w:rsidRPr="00041E70">
        <w:rPr>
          <w:lang w:val="es-ES_tradnl"/>
        </w:rPr>
        <w:t>Proyectos de directrices de examen que han de debatirse en los Grupos de Trabajo Técnico en 2015</w:t>
      </w:r>
      <w:bookmarkEnd w:id="50"/>
    </w:p>
    <w:p w:rsidR="00B7224D" w:rsidRPr="00041E70" w:rsidRDefault="00B7224D" w:rsidP="00B7224D">
      <w:pPr>
        <w:keepNext/>
        <w:tabs>
          <w:tab w:val="left" w:pos="567"/>
        </w:tabs>
        <w:ind w:left="567" w:hanging="567"/>
        <w:outlineLvl w:val="0"/>
        <w:rPr>
          <w:rFonts w:cs="Arial"/>
        </w:rPr>
      </w:pPr>
    </w:p>
    <w:p w:rsidR="00B7224D" w:rsidRPr="00041E70" w:rsidRDefault="00B7224D" w:rsidP="00B7224D">
      <w:pPr>
        <w:rPr>
          <w:rFonts w:cs="Arial"/>
        </w:rPr>
      </w:pPr>
      <w:r w:rsidRPr="00041E70">
        <w:fldChar w:fldCharType="begin"/>
      </w:r>
      <w:r w:rsidRPr="00041E70">
        <w:instrText xml:space="preserve"> AUTONUM  </w:instrText>
      </w:r>
      <w:r w:rsidRPr="00041E70">
        <w:fldChar w:fldCharType="end"/>
      </w:r>
      <w:r w:rsidRPr="00041E70">
        <w:tab/>
        <w:t>El TC aprobó los planes de elaboración de las nuevas directrices de examen y la revisión de las directrices de examen que figuran en el Anexo III del documento TC/51/2.</w:t>
      </w:r>
    </w:p>
    <w:p w:rsidR="00B7224D" w:rsidRPr="00041E70" w:rsidRDefault="00B7224D" w:rsidP="00B7224D">
      <w:pPr>
        <w:rPr>
          <w:rFonts w:cs="Arial"/>
        </w:rPr>
      </w:pPr>
    </w:p>
    <w:p w:rsidR="00B7224D" w:rsidRPr="00041E70" w:rsidRDefault="00B7224D" w:rsidP="00B7224D">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TC tomó nota de que el experto principal de las directrices de examen del trébol rojo ha solicitado que la redacción de dichas directrices de examen se posponga hasta 2016 y se retire del orden del día de la cuadragésima séptima sesión del TWA, que se celebrará en 2015.</w:t>
      </w:r>
    </w:p>
    <w:p w:rsidR="00B7224D" w:rsidRPr="00041E70" w:rsidRDefault="00B7224D" w:rsidP="00B7224D">
      <w:pPr>
        <w:rPr>
          <w:rFonts w:cs="Arial"/>
        </w:rPr>
      </w:pPr>
    </w:p>
    <w:p w:rsidR="00B7224D" w:rsidRPr="00041E70" w:rsidRDefault="00B7224D" w:rsidP="00B7224D">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TC tomó nota de la situación de las Directrices de examen vigentes, tal como figuran en el Anexo IV del documento TC/51/2.</w:t>
      </w:r>
    </w:p>
    <w:p w:rsidR="00B7224D" w:rsidRPr="00041E70" w:rsidRDefault="00B7224D" w:rsidP="00B7224D"/>
    <w:p w:rsidR="00B7224D" w:rsidRPr="00041E70" w:rsidRDefault="00B7224D" w:rsidP="00B7224D">
      <w:pPr>
        <w:pStyle w:val="Heading3"/>
        <w:rPr>
          <w:lang w:val="es-ES_tradnl"/>
        </w:rPr>
      </w:pPr>
      <w:bookmarkStart w:id="51" w:name="_Toc429150779"/>
      <w:r w:rsidRPr="00041E70">
        <w:rPr>
          <w:lang w:val="es-ES_tradnl"/>
        </w:rPr>
        <w:t>Directrices de examen publicadas en el sitio web de la UPOV</w:t>
      </w:r>
      <w:bookmarkEnd w:id="51"/>
    </w:p>
    <w:p w:rsidR="00B7224D" w:rsidRPr="00041E70" w:rsidRDefault="00B7224D" w:rsidP="00B7224D">
      <w:pPr>
        <w:keepNext/>
        <w:tabs>
          <w:tab w:val="center" w:pos="4820"/>
          <w:tab w:val="center" w:pos="5245"/>
        </w:tabs>
        <w:jc w:val="left"/>
        <w:rPr>
          <w:rFonts w:cs="Arial"/>
          <w:u w:val="single"/>
        </w:rPr>
      </w:pPr>
    </w:p>
    <w:p w:rsidR="00B7224D" w:rsidRPr="00041E70" w:rsidRDefault="00B7224D" w:rsidP="00B7224D">
      <w:pPr>
        <w:pStyle w:val="Heading4"/>
        <w:rPr>
          <w:lang w:val="es-ES_tradnl"/>
        </w:rPr>
      </w:pPr>
      <w:r w:rsidRPr="00041E70">
        <w:rPr>
          <w:lang w:val="es-ES_tradnl"/>
        </w:rPr>
        <w:t xml:space="preserve">Versiones reemplazadas de las directrices de examen </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 lista de las versiones reemplazadas de las directrices de examen que figuran en el Anexo</w:t>
      </w:r>
      <w:r w:rsidRPr="00041E70">
        <w:rPr>
          <w:color w:val="000000"/>
        </w:rPr>
        <w:t xml:space="preserve"> </w:t>
      </w:r>
      <w:r w:rsidRPr="00041E70">
        <w:t>V del documento TC/51/2.</w:t>
      </w:r>
    </w:p>
    <w:p w:rsidR="00B7224D" w:rsidRPr="00041E70" w:rsidRDefault="00B7224D" w:rsidP="00B7224D"/>
    <w:p w:rsidR="00B7224D" w:rsidRPr="00041E70" w:rsidRDefault="00B7224D" w:rsidP="00B7224D">
      <w:pPr>
        <w:rPr>
          <w:rFonts w:cs="Arial"/>
        </w:rPr>
      </w:pPr>
      <w:r w:rsidRPr="00041E70">
        <w:fldChar w:fldCharType="begin"/>
      </w:r>
      <w:r w:rsidRPr="00041E70">
        <w:instrText xml:space="preserve"> AUTONUM  </w:instrText>
      </w:r>
      <w:r w:rsidRPr="00041E70">
        <w:fldChar w:fldCharType="end"/>
      </w:r>
      <w:r w:rsidRPr="00041E70">
        <w:tab/>
        <w:t>El TC tomó nota de que las directrices de examen reemplazadas ya están disponibles en el sitio web de la UPOV (</w:t>
      </w:r>
      <w:hyperlink r:id="rId11" w:history="1">
        <w:r w:rsidRPr="00041E70">
          <w:rPr>
            <w:rStyle w:val="Hyperlink"/>
          </w:rPr>
          <w:t>http://upov.int/test_guidelines/es/list_supersede.jsp</w:t>
        </w:r>
      </w:hyperlink>
      <w:r w:rsidRPr="00041E70">
        <w:t>).</w:t>
      </w:r>
    </w:p>
    <w:p w:rsidR="00B7224D" w:rsidRPr="00041E70" w:rsidRDefault="00B7224D" w:rsidP="00B7224D">
      <w:pPr>
        <w:rPr>
          <w:szCs w:val="24"/>
        </w:rPr>
      </w:pPr>
    </w:p>
    <w:p w:rsidR="00833396" w:rsidRPr="00041E70" w:rsidRDefault="00833396" w:rsidP="00B7224D">
      <w:pPr>
        <w:rPr>
          <w:szCs w:val="24"/>
        </w:rPr>
      </w:pPr>
    </w:p>
    <w:p w:rsidR="00B7224D" w:rsidRPr="00041E70" w:rsidRDefault="00B7224D" w:rsidP="00833396">
      <w:pPr>
        <w:pStyle w:val="Heading2"/>
      </w:pPr>
      <w:bookmarkStart w:id="52" w:name="_Toc429150780"/>
      <w:r w:rsidRPr="00041E70">
        <w:t>Plantilla en Internet de los documentos TG</w:t>
      </w:r>
      <w:bookmarkEnd w:id="52"/>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examinó el documento TC/51/36 “Plantilla en Internet de los documentos TG”.</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asistió a una demostración de la versión 1 de la plantilla en Internet de los documentos TG ofrecida por la Oficina de la Unión.</w:t>
      </w:r>
    </w:p>
    <w:p w:rsidR="00B7224D" w:rsidRPr="00041E70" w:rsidRDefault="00B7224D" w:rsidP="00B7224D"/>
    <w:p w:rsidR="00B7224D" w:rsidRPr="00041E70" w:rsidRDefault="00B7224D" w:rsidP="00B7224D">
      <w:r w:rsidRPr="00041E70">
        <w:fldChar w:fldCharType="begin"/>
      </w:r>
      <w:r w:rsidRPr="00041E70">
        <w:instrText xml:space="preserve"> AUTONUM  </w:instrText>
      </w:r>
      <w:r w:rsidRPr="00041E70">
        <w:fldChar w:fldCharType="end"/>
      </w:r>
      <w:r w:rsidRPr="00041E70">
        <w:tab/>
        <w:t>El TC tomó nota de las novedades relativas a la plantilla en Internet de los documentos TG y, en particular, de que:</w:t>
      </w:r>
    </w:p>
    <w:p w:rsidR="00B7224D" w:rsidRPr="00041E70" w:rsidRDefault="00B7224D" w:rsidP="00B7224D"/>
    <w:p w:rsidR="00B7224D" w:rsidRPr="00041E70" w:rsidRDefault="00B7224D" w:rsidP="00B7224D">
      <w:pPr>
        <w:ind w:left="426"/>
      </w:pPr>
      <w:r w:rsidRPr="00041E70">
        <w:t>a)</w:t>
      </w:r>
      <w:r w:rsidRPr="00041E70">
        <w:tab/>
        <w:t>se realizaron y grabaron talleres electrónicos y una guía en la que se muestra el uso de la nueva plantilla en Internet de los documentos TG, y los talleres y la guía se pusieron a disposición de los expertos principales e interesados en las directrices de examen;  y</w:t>
      </w:r>
    </w:p>
    <w:p w:rsidR="00B7224D" w:rsidRPr="00041E70" w:rsidRDefault="00B7224D" w:rsidP="00B7224D">
      <w:pPr>
        <w:ind w:left="426"/>
      </w:pPr>
    </w:p>
    <w:p w:rsidR="00B7224D" w:rsidRPr="00041E70" w:rsidRDefault="00B7224D" w:rsidP="00B7224D">
      <w:pPr>
        <w:ind w:left="426"/>
      </w:pPr>
      <w:r w:rsidRPr="00041E70">
        <w:t>b)</w:t>
      </w:r>
      <w:r w:rsidRPr="00041E70">
        <w:tab/>
        <w:t xml:space="preserve">se prevé comenzar a elaborar la versión 2 de la plantilla en Internet de los documentos TG en 2016, en función de la disponibilidad de recursos. </w:t>
      </w:r>
    </w:p>
    <w:p w:rsidR="00B7224D" w:rsidRPr="00041E70" w:rsidRDefault="00B7224D" w:rsidP="00B7224D"/>
    <w:p w:rsidR="00B7224D" w:rsidRPr="00041E70" w:rsidRDefault="00B7224D" w:rsidP="00B7224D">
      <w:pPr>
        <w:jc w:val="left"/>
        <w:rPr>
          <w:u w:val="single"/>
        </w:rPr>
      </w:pPr>
    </w:p>
    <w:p w:rsidR="00B7224D" w:rsidRPr="00041E70" w:rsidRDefault="00B7224D" w:rsidP="00833396">
      <w:pPr>
        <w:pStyle w:val="Heading2"/>
      </w:pPr>
      <w:bookmarkStart w:id="53" w:name="_Toc429150781"/>
      <w:r w:rsidRPr="00041E70">
        <w:t>Lista de géneros y especies respecto de las cuales las autoridades poseen experiencia práctica en el examen de la distinción, la homogeneidad y la estabilidad</w:t>
      </w:r>
      <w:bookmarkEnd w:id="53"/>
      <w:r w:rsidRPr="00041E70">
        <w:t xml:space="preserve"> </w:t>
      </w:r>
    </w:p>
    <w:p w:rsidR="00B7224D" w:rsidRPr="00041E70" w:rsidRDefault="00B7224D" w:rsidP="00B7224D"/>
    <w:p w:rsidR="00B7224D" w:rsidRPr="00041E70" w:rsidRDefault="00B7224D" w:rsidP="00B7224D">
      <w:pPr>
        <w:rPr>
          <w:rFonts w:cs="Arial"/>
        </w:rPr>
      </w:pPr>
      <w:r w:rsidRPr="00041E70">
        <w:fldChar w:fldCharType="begin"/>
      </w:r>
      <w:r w:rsidRPr="00041E70">
        <w:instrText xml:space="preserve"> AUTONUM  </w:instrText>
      </w:r>
      <w:r w:rsidRPr="00041E70">
        <w:fldChar w:fldCharType="end"/>
      </w:r>
      <w:r w:rsidRPr="00041E70">
        <w:tab/>
        <w:t>El TC examinó el documento TC/51/4 y tomó nota de que el número de géneros y especies respecto de los cuales los miembros de la Unión indicaron que poseen experiencia práctica en el examen DHE aumentó de 3.305 en 2014 a 3.382 en 2015 (+ 2.3%).  La información sobre los miembros de la Unión con experiencia práctica en el examen DHE puede consultarse libremente desde la base de datos GENIE.</w:t>
      </w:r>
    </w:p>
    <w:p w:rsidR="00B7224D" w:rsidRPr="00041E70" w:rsidRDefault="00B7224D" w:rsidP="00B7224D"/>
    <w:p w:rsidR="00B7224D" w:rsidRPr="00041E70" w:rsidRDefault="00B7224D" w:rsidP="00B7224D"/>
    <w:p w:rsidR="00B7224D" w:rsidRPr="00041E70" w:rsidRDefault="00B7224D" w:rsidP="00833396">
      <w:pPr>
        <w:pStyle w:val="Heading2"/>
      </w:pPr>
      <w:bookmarkStart w:id="54" w:name="_Toc429150782"/>
      <w:r w:rsidRPr="00041E70">
        <w:t>Programa de la quincuagésima segunda sesión</w:t>
      </w:r>
      <w:bookmarkEnd w:id="54"/>
    </w:p>
    <w:p w:rsidR="00B7224D" w:rsidRPr="00041E70" w:rsidRDefault="00B7224D" w:rsidP="00B7224D"/>
    <w:p w:rsidR="00B7224D" w:rsidRPr="00041E70" w:rsidRDefault="00B7224D" w:rsidP="00B7224D">
      <w:r w:rsidRPr="00041E70">
        <w:rPr>
          <w:snapToGrid w:val="0"/>
        </w:rPr>
        <w:fldChar w:fldCharType="begin"/>
      </w:r>
      <w:r w:rsidRPr="00041E70">
        <w:rPr>
          <w:snapToGrid w:val="0"/>
        </w:rPr>
        <w:instrText xml:space="preserve"> AUTONUM  </w:instrText>
      </w:r>
      <w:r w:rsidRPr="00041E70">
        <w:rPr>
          <w:snapToGrid w:val="0"/>
        </w:rPr>
        <w:fldChar w:fldCharType="end"/>
      </w:r>
      <w:r w:rsidRPr="00041E70">
        <w:rPr>
          <w:snapToGrid w:val="0"/>
        </w:rPr>
        <w:tab/>
        <w:t>Se aprobó el siguiente proyecto de orden del día para la quincuagésima segunda sesión del TC, que se celebrará en Ginebra en 2016:</w:t>
      </w:r>
    </w:p>
    <w:p w:rsidR="00B7224D" w:rsidRPr="00041E70" w:rsidRDefault="00B7224D" w:rsidP="00B7224D">
      <w:pPr>
        <w:rPr>
          <w:snapToGrid w:val="0"/>
        </w:rPr>
      </w:pPr>
    </w:p>
    <w:p w:rsidR="00B7224D" w:rsidRPr="00041E70" w:rsidRDefault="00B7224D" w:rsidP="00B7224D">
      <w:pPr>
        <w:spacing w:after="120"/>
        <w:ind w:left="1134" w:hanging="567"/>
        <w:rPr>
          <w:rFonts w:cs="Arial"/>
          <w:snapToGrid w:val="0"/>
        </w:rPr>
      </w:pPr>
      <w:r w:rsidRPr="00041E70">
        <w:rPr>
          <w:rFonts w:cs="Arial"/>
          <w:snapToGrid w:val="0"/>
        </w:rPr>
        <w:t>1.</w:t>
      </w:r>
      <w:r w:rsidRPr="00041E70">
        <w:rPr>
          <w:rFonts w:cs="Arial"/>
          <w:snapToGrid w:val="0"/>
        </w:rPr>
        <w:tab/>
        <w:t>Apertura de la sesión</w:t>
      </w:r>
    </w:p>
    <w:p w:rsidR="00B7224D" w:rsidRPr="00041E70" w:rsidRDefault="00B7224D" w:rsidP="00B7224D">
      <w:pPr>
        <w:spacing w:after="120"/>
        <w:ind w:left="1134" w:hanging="567"/>
        <w:rPr>
          <w:rFonts w:cs="Arial"/>
          <w:snapToGrid w:val="0"/>
        </w:rPr>
      </w:pPr>
      <w:r w:rsidRPr="00041E70">
        <w:rPr>
          <w:rFonts w:cs="Arial"/>
          <w:snapToGrid w:val="0"/>
        </w:rPr>
        <w:t>2.</w:t>
      </w:r>
      <w:r w:rsidRPr="00041E70">
        <w:rPr>
          <w:rFonts w:cs="Arial"/>
          <w:snapToGrid w:val="0"/>
        </w:rPr>
        <w:tab/>
        <w:t>Aprobación del orden del día</w:t>
      </w:r>
    </w:p>
    <w:p w:rsidR="00B7224D" w:rsidRPr="00041E70" w:rsidRDefault="00B7224D" w:rsidP="00B7224D">
      <w:pPr>
        <w:spacing w:after="120"/>
        <w:ind w:left="1134" w:hanging="567"/>
        <w:rPr>
          <w:rFonts w:cs="Arial"/>
          <w:snapToGrid w:val="0"/>
        </w:rPr>
      </w:pPr>
      <w:r w:rsidRPr="00041E70">
        <w:rPr>
          <w:rFonts w:cs="Arial"/>
          <w:snapToGrid w:val="0"/>
        </w:rPr>
        <w:t>3.</w:t>
      </w:r>
      <w:r w:rsidRPr="00041E70">
        <w:rPr>
          <w:rFonts w:cs="Arial"/>
          <w:snapToGrid w:val="0"/>
        </w:rPr>
        <w:tab/>
        <w:t>Debate sobre:</w:t>
      </w:r>
    </w:p>
    <w:p w:rsidR="00B7224D" w:rsidRPr="00041E70" w:rsidRDefault="00B7224D" w:rsidP="00B7224D">
      <w:pPr>
        <w:spacing w:after="120"/>
        <w:ind w:left="1701" w:hanging="567"/>
      </w:pPr>
      <w:r w:rsidRPr="00041E70">
        <w:t>a)</w:t>
      </w:r>
      <w:r w:rsidRPr="00041E70">
        <w:tab/>
        <w:t xml:space="preserve">las descripciones de variedades y la función del material vegetal, incluido el número mínimo de ciclos de cultivo para el examen DHE </w:t>
      </w:r>
    </w:p>
    <w:p w:rsidR="00B7224D" w:rsidRPr="00041E70" w:rsidRDefault="00B7224D" w:rsidP="00B7224D">
      <w:pPr>
        <w:spacing w:after="120"/>
        <w:ind w:left="1701" w:hanging="567"/>
      </w:pPr>
      <w:r w:rsidRPr="00041E70">
        <w:t>b)</w:t>
      </w:r>
      <w:r w:rsidRPr="00041E70">
        <w:tab/>
        <w:t xml:space="preserve">los parámetros de calidad en el examen DHE </w:t>
      </w:r>
    </w:p>
    <w:p w:rsidR="00B7224D" w:rsidRPr="00041E70" w:rsidRDefault="00B7224D" w:rsidP="00B7224D">
      <w:pPr>
        <w:spacing w:after="120"/>
        <w:ind w:left="1701" w:hanging="567"/>
      </w:pPr>
      <w:r w:rsidRPr="00041E70">
        <w:t>c)</w:t>
      </w:r>
      <w:r w:rsidRPr="00041E70">
        <w:tab/>
        <w:t xml:space="preserve">el fomento de la elaboración de bases de datos </w:t>
      </w:r>
    </w:p>
    <w:p w:rsidR="00B7224D" w:rsidRPr="00041E70" w:rsidRDefault="00B7224D" w:rsidP="00B7224D">
      <w:pPr>
        <w:spacing w:after="120"/>
        <w:ind w:left="1701" w:hanging="567"/>
      </w:pPr>
      <w:r w:rsidRPr="00041E70">
        <w:t>d)</w:t>
      </w:r>
      <w:r w:rsidRPr="00041E70">
        <w:tab/>
        <w:t xml:space="preserve">la distancia mínima entre las variedades </w:t>
      </w:r>
    </w:p>
    <w:p w:rsidR="00B7224D" w:rsidRPr="00041E70" w:rsidRDefault="00B7224D" w:rsidP="00B7224D">
      <w:pPr>
        <w:spacing w:after="120"/>
        <w:ind w:left="1134" w:hanging="567"/>
        <w:rPr>
          <w:rFonts w:cs="Arial"/>
          <w:snapToGrid w:val="0"/>
        </w:rPr>
      </w:pPr>
      <w:r w:rsidRPr="00041E70">
        <w:rPr>
          <w:rFonts w:cs="Arial"/>
          <w:snapToGrid w:val="0"/>
        </w:rPr>
        <w:t>4.</w:t>
      </w:r>
      <w:r w:rsidRPr="00041E70">
        <w:rPr>
          <w:rFonts w:cs="Arial"/>
          <w:snapToGrid w:val="0"/>
        </w:rPr>
        <w:tab/>
        <w:t xml:space="preserve">Informe sobre las novedades acaecidas en la UPOV, donde figuran las cuestiones pertinentes examinadas en las últimas sesiones del Comité Administrativo y Jurídico, el Comité Consultivo y el Consejo </w:t>
      </w:r>
    </w:p>
    <w:p w:rsidR="00B7224D" w:rsidRPr="00041E70" w:rsidRDefault="00B7224D" w:rsidP="00B7224D">
      <w:pPr>
        <w:spacing w:after="120"/>
        <w:ind w:left="1134" w:hanging="567"/>
      </w:pPr>
      <w:r w:rsidRPr="00041E70">
        <w:t>5.</w:t>
      </w:r>
      <w:r w:rsidRPr="00041E70">
        <w:tab/>
        <w:t>Informes sobre la labor de los Grupos de Trabajo Técnico, incluido el Grupo de Trabajo sobre Técnicas Bioquímicas y Moleculares, y Perfiles de ADN en particular (BMT)</w:t>
      </w:r>
    </w:p>
    <w:p w:rsidR="00B7224D" w:rsidRPr="00041E70" w:rsidRDefault="00B7224D" w:rsidP="00B7224D">
      <w:pPr>
        <w:spacing w:after="120"/>
        <w:ind w:left="1134" w:hanging="567"/>
        <w:rPr>
          <w:rFonts w:cs="Arial"/>
          <w:snapToGrid w:val="0"/>
        </w:rPr>
      </w:pPr>
      <w:r w:rsidRPr="00041E70">
        <w:rPr>
          <w:rFonts w:cs="Arial"/>
          <w:snapToGrid w:val="0"/>
        </w:rPr>
        <w:t>6.</w:t>
      </w:r>
      <w:r w:rsidRPr="00041E70">
        <w:rPr>
          <w:rFonts w:cs="Arial"/>
          <w:snapToGrid w:val="0"/>
        </w:rPr>
        <w:tab/>
        <w:t>Cuestiones planteadas por los Grupos de Trabajo Técnico</w:t>
      </w:r>
    </w:p>
    <w:p w:rsidR="00B7224D" w:rsidRPr="00041E70" w:rsidRDefault="00B7224D" w:rsidP="00B7224D">
      <w:pPr>
        <w:keepLines/>
        <w:spacing w:after="120"/>
        <w:ind w:left="567"/>
        <w:jc w:val="left"/>
        <w:rPr>
          <w:rFonts w:cs="Arial"/>
          <w:snapToGrid w:val="0"/>
        </w:rPr>
      </w:pPr>
      <w:r w:rsidRPr="00041E70">
        <w:rPr>
          <w:rFonts w:cs="Arial"/>
          <w:snapToGrid w:val="0"/>
        </w:rPr>
        <w:t>7.</w:t>
      </w:r>
      <w:r w:rsidRPr="00041E70">
        <w:rPr>
          <w:rFonts w:cs="Arial"/>
          <w:snapToGrid w:val="0"/>
        </w:rPr>
        <w:tab/>
        <w:t>Documentos TGP</w:t>
      </w:r>
    </w:p>
    <w:p w:rsidR="00B7224D" w:rsidRPr="00041E70" w:rsidRDefault="00B7224D" w:rsidP="00B7224D">
      <w:pPr>
        <w:spacing w:after="120"/>
        <w:ind w:left="1134" w:hanging="567"/>
        <w:rPr>
          <w:rFonts w:cs="Arial"/>
        </w:rPr>
      </w:pPr>
      <w:r w:rsidRPr="00041E70">
        <w:rPr>
          <w:rFonts w:cs="Arial"/>
        </w:rPr>
        <w:t>8.</w:t>
      </w:r>
      <w:r w:rsidRPr="00041E70">
        <w:rPr>
          <w:rFonts w:cs="Arial"/>
        </w:rPr>
        <w:tab/>
        <w:t>Técnicas moleculares</w:t>
      </w:r>
    </w:p>
    <w:p w:rsidR="00B7224D" w:rsidRPr="00041E70" w:rsidRDefault="00B7224D" w:rsidP="00B7224D">
      <w:pPr>
        <w:spacing w:after="120"/>
        <w:ind w:left="1134" w:hanging="567"/>
        <w:rPr>
          <w:rFonts w:cs="Arial"/>
          <w:snapToGrid w:val="0"/>
        </w:rPr>
      </w:pPr>
      <w:r w:rsidRPr="00041E70">
        <w:rPr>
          <w:rFonts w:cs="Arial"/>
          <w:snapToGrid w:val="0"/>
        </w:rPr>
        <w:t>9.</w:t>
      </w:r>
      <w:r w:rsidRPr="00041E70">
        <w:rPr>
          <w:rFonts w:cs="Arial"/>
          <w:snapToGrid w:val="0"/>
        </w:rPr>
        <w:tab/>
        <w:t>Denominación de variedades</w:t>
      </w:r>
    </w:p>
    <w:p w:rsidR="00B7224D" w:rsidRPr="00041E70" w:rsidRDefault="00B7224D" w:rsidP="00B7224D">
      <w:pPr>
        <w:spacing w:after="120"/>
        <w:ind w:left="1134" w:hanging="567"/>
        <w:rPr>
          <w:rFonts w:cs="Arial"/>
          <w:snapToGrid w:val="0"/>
        </w:rPr>
      </w:pPr>
      <w:r w:rsidRPr="00041E70">
        <w:rPr>
          <w:rFonts w:cs="Arial"/>
          <w:snapToGrid w:val="0"/>
        </w:rPr>
        <w:t>10.</w:t>
      </w:r>
      <w:r w:rsidRPr="00041E70">
        <w:rPr>
          <w:rFonts w:cs="Arial"/>
          <w:snapToGrid w:val="0"/>
        </w:rPr>
        <w:tab/>
        <w:t>Información y bases de datos</w:t>
      </w:r>
    </w:p>
    <w:p w:rsidR="00B7224D" w:rsidRPr="00041E70" w:rsidRDefault="00B7224D" w:rsidP="00B7224D">
      <w:pPr>
        <w:spacing w:after="120"/>
        <w:ind w:left="1701" w:hanging="567"/>
        <w:rPr>
          <w:rFonts w:cs="Arial"/>
          <w:snapToGrid w:val="0"/>
        </w:rPr>
      </w:pPr>
      <w:r w:rsidRPr="00041E70">
        <w:rPr>
          <w:rFonts w:cs="Arial"/>
          <w:snapToGrid w:val="0"/>
        </w:rPr>
        <w:t>a)</w:t>
      </w:r>
      <w:r w:rsidRPr="00041E70">
        <w:rPr>
          <w:rFonts w:cs="Arial"/>
          <w:snapToGrid w:val="0"/>
        </w:rPr>
        <w:tab/>
        <w:t>Bases de datos de información de la UPOV</w:t>
      </w:r>
    </w:p>
    <w:p w:rsidR="00B7224D" w:rsidRPr="00041E70" w:rsidRDefault="00B7224D" w:rsidP="00B7224D">
      <w:pPr>
        <w:spacing w:after="120"/>
        <w:ind w:left="1701" w:hanging="567"/>
        <w:rPr>
          <w:rFonts w:cs="Arial"/>
          <w:snapToGrid w:val="0"/>
        </w:rPr>
      </w:pPr>
      <w:r w:rsidRPr="00041E70">
        <w:rPr>
          <w:rFonts w:cs="Arial"/>
          <w:snapToGrid w:val="0"/>
        </w:rPr>
        <w:t>b)</w:t>
      </w:r>
      <w:r w:rsidRPr="00041E70">
        <w:rPr>
          <w:rFonts w:cs="Arial"/>
          <w:snapToGrid w:val="0"/>
        </w:rPr>
        <w:tab/>
        <w:t xml:space="preserve">Sistemas de presentación electrónica de solicitudes </w:t>
      </w:r>
    </w:p>
    <w:p w:rsidR="00B7224D" w:rsidRPr="00041E70" w:rsidRDefault="00B7224D" w:rsidP="00B7224D">
      <w:pPr>
        <w:spacing w:after="120"/>
        <w:ind w:left="1701" w:hanging="567"/>
        <w:rPr>
          <w:rFonts w:cs="Arial"/>
          <w:snapToGrid w:val="0"/>
        </w:rPr>
      </w:pPr>
      <w:r w:rsidRPr="00041E70">
        <w:rPr>
          <w:rFonts w:cs="Arial"/>
          <w:snapToGrid w:val="0"/>
        </w:rPr>
        <w:t>c)</w:t>
      </w:r>
      <w:r w:rsidRPr="00041E70">
        <w:rPr>
          <w:rFonts w:cs="Arial"/>
          <w:snapToGrid w:val="0"/>
        </w:rPr>
        <w:tab/>
        <w:t xml:space="preserve">Programas informáticos para intercambio </w:t>
      </w:r>
    </w:p>
    <w:p w:rsidR="00B7224D" w:rsidRPr="00041E70" w:rsidRDefault="00B7224D" w:rsidP="00B7224D">
      <w:pPr>
        <w:spacing w:after="120"/>
        <w:ind w:left="1701" w:hanging="567"/>
        <w:rPr>
          <w:rFonts w:cs="Arial"/>
          <w:snapToGrid w:val="0"/>
        </w:rPr>
      </w:pPr>
      <w:r w:rsidRPr="00041E70">
        <w:rPr>
          <w:rFonts w:cs="Arial"/>
          <w:snapToGrid w:val="0"/>
        </w:rPr>
        <w:t>d)</w:t>
      </w:r>
      <w:r w:rsidRPr="00041E70">
        <w:rPr>
          <w:rFonts w:cs="Arial"/>
          <w:snapToGrid w:val="0"/>
        </w:rPr>
        <w:tab/>
        <w:t>Bases de datos de descripciones de variedades</w:t>
      </w:r>
    </w:p>
    <w:p w:rsidR="00B7224D" w:rsidRPr="00041E70" w:rsidRDefault="00B7224D" w:rsidP="00B7224D">
      <w:pPr>
        <w:spacing w:after="120"/>
        <w:ind w:left="1134" w:hanging="567"/>
        <w:rPr>
          <w:rFonts w:cs="Arial"/>
          <w:snapToGrid w:val="0"/>
        </w:rPr>
      </w:pPr>
      <w:r w:rsidRPr="00041E70">
        <w:rPr>
          <w:rFonts w:cs="Arial"/>
          <w:snapToGrid w:val="0"/>
        </w:rPr>
        <w:t>11.</w:t>
      </w:r>
      <w:r w:rsidRPr="00041E70">
        <w:rPr>
          <w:rFonts w:cs="Arial"/>
          <w:snapToGrid w:val="0"/>
        </w:rPr>
        <w:tab/>
        <w:t xml:space="preserve">Evaluación de la homogeneidad de las plantas fuera de tipo mediante la observación de más de una muestra o </w:t>
      </w:r>
      <w:proofErr w:type="spellStart"/>
      <w:r w:rsidRPr="00041E70">
        <w:rPr>
          <w:rFonts w:cs="Arial"/>
          <w:snapToGrid w:val="0"/>
        </w:rPr>
        <w:t>submuestras</w:t>
      </w:r>
      <w:proofErr w:type="spellEnd"/>
      <w:r w:rsidRPr="00041E70">
        <w:rPr>
          <w:rFonts w:cs="Arial"/>
          <w:snapToGrid w:val="0"/>
        </w:rPr>
        <w:t xml:space="preserve"> </w:t>
      </w:r>
    </w:p>
    <w:p w:rsidR="00B7224D" w:rsidRPr="00041E70" w:rsidRDefault="00B7224D" w:rsidP="00B7224D">
      <w:pPr>
        <w:spacing w:after="120"/>
        <w:ind w:left="1134" w:hanging="567"/>
        <w:rPr>
          <w:rFonts w:cs="Arial"/>
          <w:snapToGrid w:val="0"/>
        </w:rPr>
      </w:pPr>
      <w:r w:rsidRPr="00041E70">
        <w:rPr>
          <w:rFonts w:cs="Arial"/>
          <w:snapToGrid w:val="0"/>
        </w:rPr>
        <w:t>12.</w:t>
      </w:r>
      <w:r w:rsidRPr="00041E70">
        <w:rPr>
          <w:rFonts w:cs="Arial"/>
          <w:snapToGrid w:val="0"/>
        </w:rPr>
        <w:tab/>
        <w:t>Métodos estadísticos aplicados a caracteres observados visualmente</w:t>
      </w:r>
    </w:p>
    <w:p w:rsidR="00B7224D" w:rsidRPr="00041E70" w:rsidRDefault="00B7224D" w:rsidP="00B7224D">
      <w:pPr>
        <w:spacing w:after="120"/>
        <w:ind w:left="1134" w:hanging="567"/>
        <w:rPr>
          <w:rFonts w:cs="Arial"/>
          <w:snapToGrid w:val="0"/>
        </w:rPr>
      </w:pPr>
      <w:r w:rsidRPr="00041E70">
        <w:rPr>
          <w:rFonts w:cs="Arial"/>
          <w:snapToGrid w:val="0"/>
        </w:rPr>
        <w:t>13.</w:t>
      </w:r>
      <w:r w:rsidRPr="00041E70">
        <w:rPr>
          <w:rFonts w:cs="Arial"/>
          <w:snapToGrid w:val="0"/>
        </w:rPr>
        <w:tab/>
        <w:t xml:space="preserve">Talleres preparatorios </w:t>
      </w:r>
    </w:p>
    <w:p w:rsidR="00B7224D" w:rsidRPr="00041E70" w:rsidRDefault="00B7224D" w:rsidP="00B7224D">
      <w:pPr>
        <w:spacing w:after="120"/>
        <w:ind w:left="1134" w:hanging="567"/>
        <w:rPr>
          <w:rFonts w:cs="Arial"/>
          <w:snapToGrid w:val="0"/>
        </w:rPr>
      </w:pPr>
      <w:r w:rsidRPr="00041E70">
        <w:rPr>
          <w:rFonts w:cs="Arial"/>
          <w:snapToGrid w:val="0"/>
        </w:rPr>
        <w:t>14.</w:t>
      </w:r>
      <w:r w:rsidRPr="00041E70">
        <w:rPr>
          <w:rFonts w:cs="Arial"/>
          <w:snapToGrid w:val="0"/>
        </w:rPr>
        <w:tab/>
        <w:t xml:space="preserve">Directrices de examen </w:t>
      </w:r>
    </w:p>
    <w:p w:rsidR="00B7224D" w:rsidRPr="00041E70" w:rsidRDefault="00B7224D" w:rsidP="00B7224D">
      <w:pPr>
        <w:spacing w:after="120"/>
        <w:ind w:left="1134" w:hanging="567"/>
        <w:rPr>
          <w:rFonts w:cs="Arial"/>
          <w:snapToGrid w:val="0"/>
        </w:rPr>
      </w:pPr>
      <w:r w:rsidRPr="00041E70">
        <w:rPr>
          <w:rFonts w:cs="Arial"/>
          <w:snapToGrid w:val="0"/>
        </w:rPr>
        <w:t>15.</w:t>
      </w:r>
      <w:r w:rsidRPr="00041E70">
        <w:rPr>
          <w:rFonts w:cs="Arial"/>
          <w:snapToGrid w:val="0"/>
        </w:rPr>
        <w:tab/>
        <w:t xml:space="preserve">Lista de géneros y especies respecto de los cuales las autoridades poseen experiencia práctica en el examen de la distinción, la homogeneidad y la estabilidad </w:t>
      </w:r>
    </w:p>
    <w:p w:rsidR="00B7224D" w:rsidRPr="00041E70" w:rsidRDefault="00B7224D" w:rsidP="00B7224D">
      <w:pPr>
        <w:spacing w:after="120"/>
        <w:ind w:left="1134" w:hanging="567"/>
        <w:rPr>
          <w:rFonts w:cs="Arial"/>
          <w:snapToGrid w:val="0"/>
        </w:rPr>
      </w:pPr>
      <w:r w:rsidRPr="00041E70">
        <w:rPr>
          <w:rFonts w:cs="Arial"/>
          <w:snapToGrid w:val="0"/>
        </w:rPr>
        <w:t>16.</w:t>
      </w:r>
      <w:r w:rsidRPr="00041E70">
        <w:rPr>
          <w:rFonts w:cs="Arial"/>
          <w:snapToGrid w:val="0"/>
        </w:rPr>
        <w:tab/>
        <w:t xml:space="preserve">Orden del día de la quincuagésima tercera sesión </w:t>
      </w:r>
    </w:p>
    <w:p w:rsidR="00B7224D" w:rsidRPr="00041E70" w:rsidRDefault="00B7224D" w:rsidP="00B7224D">
      <w:pPr>
        <w:spacing w:after="120"/>
        <w:ind w:left="1134" w:hanging="567"/>
        <w:rPr>
          <w:rFonts w:cs="Arial"/>
          <w:snapToGrid w:val="0"/>
        </w:rPr>
      </w:pPr>
      <w:r w:rsidRPr="00041E70">
        <w:rPr>
          <w:rFonts w:cs="Arial"/>
          <w:snapToGrid w:val="0"/>
        </w:rPr>
        <w:t>17.</w:t>
      </w:r>
      <w:r w:rsidRPr="00041E70">
        <w:rPr>
          <w:rFonts w:cs="Arial"/>
          <w:snapToGrid w:val="0"/>
        </w:rPr>
        <w:tab/>
        <w:t>Informe de la reunión (si se dispone de tiempo)</w:t>
      </w:r>
    </w:p>
    <w:p w:rsidR="00B7224D" w:rsidRPr="00041E70" w:rsidRDefault="00B7224D" w:rsidP="00B7224D">
      <w:pPr>
        <w:ind w:left="567"/>
        <w:rPr>
          <w:snapToGrid w:val="0"/>
        </w:rPr>
      </w:pPr>
      <w:r w:rsidRPr="00041E70">
        <w:rPr>
          <w:snapToGrid w:val="0"/>
        </w:rPr>
        <w:t>18.</w:t>
      </w:r>
      <w:r w:rsidRPr="00041E70">
        <w:rPr>
          <w:snapToGrid w:val="0"/>
        </w:rPr>
        <w:tab/>
        <w:t>Clausura de la sesión</w:t>
      </w:r>
    </w:p>
    <w:p w:rsidR="001E266D" w:rsidRPr="00041E70" w:rsidRDefault="001E266D" w:rsidP="001E266D"/>
    <w:p w:rsidR="001E266D" w:rsidRPr="00041E70" w:rsidRDefault="001E266D" w:rsidP="001E266D"/>
    <w:p w:rsidR="001E266D" w:rsidRPr="00041E70" w:rsidRDefault="001E266D" w:rsidP="001E266D"/>
    <w:p w:rsidR="001E266D" w:rsidRPr="00041E70" w:rsidRDefault="00833396" w:rsidP="001E266D">
      <w:pPr>
        <w:pStyle w:val="Heading1"/>
        <w:rPr>
          <w:highlight w:val="lightGray"/>
          <w:lang w:val="es-ES_tradnl"/>
        </w:rPr>
      </w:pPr>
      <w:bookmarkStart w:id="55" w:name="_Toc393187184"/>
      <w:bookmarkStart w:id="56" w:name="_Toc429150783"/>
      <w:r w:rsidRPr="00041E70">
        <w:rPr>
          <w:lang w:val="es-ES_tradnl"/>
        </w:rPr>
        <w:t>INFORME SOBRE LA MARCHA DE LA LABOR REALIZADA EN 2014 POR LOS GRUPOS DE TRABAJO TÉCNICO Y EL GRUPO DE TRABAJO SOBRE TÉCNICAS BIOQUÍMICAS Y MOLECULARES, Y PERFILES DE ADN EN PARTICULAR</w:t>
      </w:r>
      <w:bookmarkEnd w:id="55"/>
      <w:bookmarkEnd w:id="56"/>
    </w:p>
    <w:p w:rsidR="001E266D" w:rsidRPr="00041E70" w:rsidRDefault="001E266D" w:rsidP="001E266D">
      <w:pPr>
        <w:rPr>
          <w:highlight w:val="lightGray"/>
        </w:rPr>
      </w:pPr>
    </w:p>
    <w:p w:rsidR="001E266D" w:rsidRPr="00041E70" w:rsidRDefault="001E266D" w:rsidP="001E266D">
      <w:r w:rsidRPr="00041E70">
        <w:fldChar w:fldCharType="begin"/>
      </w:r>
      <w:r w:rsidRPr="00041E70">
        <w:instrText xml:space="preserve"> AUTONUM  </w:instrText>
      </w:r>
      <w:r w:rsidRPr="00041E70">
        <w:fldChar w:fldCharType="end"/>
      </w:r>
      <w:r w:rsidRPr="00041E70">
        <w:tab/>
      </w:r>
      <w:r w:rsidR="00833396" w:rsidRPr="00041E70">
        <w:t>En la quincuagésima primera sesión del TC, los Presidentes presentaron los siguientes informes sobre la labor del TWA, el TWC, el TWF, el TWO, el TWV y el BMT.</w:t>
      </w:r>
    </w:p>
    <w:p w:rsidR="001E266D" w:rsidRPr="00041E70" w:rsidRDefault="001E266D" w:rsidP="001E266D"/>
    <w:p w:rsidR="001E266D" w:rsidRPr="00041E70" w:rsidRDefault="001E266D" w:rsidP="001E266D"/>
    <w:p w:rsidR="001E266D" w:rsidRPr="00041E70" w:rsidRDefault="00833396" w:rsidP="001E266D">
      <w:pPr>
        <w:pStyle w:val="Heading2"/>
      </w:pPr>
      <w:bookmarkStart w:id="57" w:name="_Toc393187185"/>
      <w:bookmarkStart w:id="58" w:name="_Toc429150784"/>
      <w:r w:rsidRPr="00041E70">
        <w:t>Grupo de Trabajo Técnico sobre Plantas Agrícolas</w:t>
      </w:r>
      <w:r w:rsidR="001E266D" w:rsidRPr="00041E70">
        <w:t xml:space="preserve"> (TWA)</w:t>
      </w:r>
      <w:bookmarkEnd w:id="57"/>
      <w:bookmarkEnd w:id="58"/>
    </w:p>
    <w:p w:rsidR="001E266D" w:rsidRPr="00041E70" w:rsidRDefault="001E266D" w:rsidP="001E266D"/>
    <w:p w:rsidR="00833396" w:rsidRPr="00041E70" w:rsidRDefault="00833396" w:rsidP="00833396">
      <w:pPr>
        <w:contextualSpacing/>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TWA celebró su cuadragésima tercera sesión en Mar del Plata (Argentina) del 17 al 21 de noviembre de 2014 bajo la presidencia de la Sra. </w:t>
      </w:r>
      <w:proofErr w:type="spellStart"/>
      <w:r w:rsidRPr="00041E70">
        <w:rPr>
          <w:rFonts w:cs="Arial"/>
        </w:rPr>
        <w:t>Robyn</w:t>
      </w:r>
      <w:proofErr w:type="spellEnd"/>
      <w:r w:rsidRPr="00041E70">
        <w:rPr>
          <w:rFonts w:cs="Arial"/>
        </w:rPr>
        <w:t xml:space="preserve"> </w:t>
      </w:r>
      <w:proofErr w:type="spellStart"/>
      <w:r w:rsidRPr="00041E70">
        <w:rPr>
          <w:rFonts w:cs="Arial"/>
        </w:rPr>
        <w:t>Hierse</w:t>
      </w:r>
      <w:proofErr w:type="spellEnd"/>
      <w:r w:rsidRPr="00041E70">
        <w:rPr>
          <w:rFonts w:cs="Arial"/>
        </w:rPr>
        <w:t xml:space="preserve"> (Sudáfrica).  El informe detallado de esta sesión figura en el documento TWA/43/27 “</w:t>
      </w:r>
      <w:proofErr w:type="spellStart"/>
      <w:r w:rsidRPr="00041E70">
        <w:rPr>
          <w:rFonts w:cs="Arial"/>
          <w:i/>
        </w:rPr>
        <w:t>Report</w:t>
      </w:r>
      <w:proofErr w:type="spellEnd"/>
      <w:r w:rsidRPr="00041E70">
        <w:rPr>
          <w:rFonts w:cs="Arial"/>
        </w:rPr>
        <w:t>” (Informe).</w:t>
      </w:r>
    </w:p>
    <w:p w:rsidR="00833396" w:rsidRPr="00041E70" w:rsidRDefault="00833396" w:rsidP="00833396">
      <w:pPr>
        <w:contextualSpacing/>
        <w:rPr>
          <w:rFonts w:cs="Arial"/>
          <w:color w:val="000000"/>
        </w:rPr>
      </w:pPr>
    </w:p>
    <w:p w:rsidR="00833396" w:rsidRPr="00041E70" w:rsidRDefault="00833396" w:rsidP="00833396">
      <w:pPr>
        <w:contextualSpacing/>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 xml:space="preserve">La sesión del TWA contó con 45 participantes de 23 miembros de la Unión, seis Estados en calidad de observadores y tres organizaciones en calidad de observadoras.  El taller preparatorio, al que asistieron 24 participantes de 13 miembros de la Unión y 5 Estados en calidad de observadores, se celebró el 16 de junio por la tarde. </w:t>
      </w:r>
    </w:p>
    <w:p w:rsidR="00833396" w:rsidRPr="00041E70" w:rsidRDefault="00833396" w:rsidP="00833396">
      <w:pPr>
        <w:rPr>
          <w:rFonts w:cs="Arial"/>
          <w:color w:val="000000"/>
        </w:rPr>
      </w:pPr>
    </w:p>
    <w:p w:rsidR="00833396" w:rsidRPr="00041E70" w:rsidRDefault="00833396" w:rsidP="00833396">
      <w:pPr>
        <w:contextualSpacing/>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Dio la bienvenida a los participantes en el TWA el Sr. Raimundo Lavignolle, Presidente del Directorio del Instituto Nacional de Semillas (INASE).  El TWA escuchó una ponencia sobre la protección de las obtenciones vegetales en Argentina presentada por el Sr. Alberto Ballesteros, Examinador de cereales, cultivos forrajeros, algodón y arroz.</w:t>
      </w:r>
    </w:p>
    <w:p w:rsidR="00833396" w:rsidRPr="00041E70" w:rsidRDefault="00833396" w:rsidP="00833396">
      <w:pPr>
        <w:contextualSpacing/>
        <w:rPr>
          <w:rFonts w:cs="Arial"/>
          <w:color w:val="000000"/>
        </w:rPr>
      </w:pPr>
    </w:p>
    <w:p w:rsidR="00833396" w:rsidRPr="00041E70" w:rsidRDefault="00833396" w:rsidP="00833396">
      <w:pPr>
        <w:contextualSpacing/>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TWA aprobó el orden del día que figura en el documento TC/43/1 Rev.</w:t>
      </w:r>
    </w:p>
    <w:p w:rsidR="00833396" w:rsidRPr="00041E70" w:rsidRDefault="00833396" w:rsidP="00833396">
      <w:pPr>
        <w:contextualSpacing/>
        <w:rPr>
          <w:rFonts w:cs="Arial"/>
          <w:color w:val="000000"/>
        </w:rPr>
      </w:pPr>
    </w:p>
    <w:p w:rsidR="00833396" w:rsidRPr="00041E70" w:rsidRDefault="00833396" w:rsidP="00833396">
      <w:pPr>
        <w:contextualSpacing/>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El TWA tomó nota de que la información proporcionada por miembros y observadores sobre los avances logrados en la protección de variedades vegetales figura en el documento TWA/43/25.  Luego, siguió una ponencia de la Oficina de la UPOV sobre las novedades ocurridas en la UPOV (documento TWA/43/24).</w:t>
      </w:r>
    </w:p>
    <w:p w:rsidR="00833396" w:rsidRPr="00041E70" w:rsidRDefault="00833396" w:rsidP="00833396">
      <w:pPr>
        <w:contextualSpacing/>
        <w:rPr>
          <w:rFonts w:cs="Arial"/>
          <w:color w:val="000000"/>
        </w:rPr>
      </w:pPr>
    </w:p>
    <w:p w:rsidR="00833396" w:rsidRPr="00041E70" w:rsidRDefault="00833396" w:rsidP="00833396">
      <w:pPr>
        <w:contextualSpacing/>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El TWA examinó el documento TWA/43/11 en el que se analiza la eficacia del Comité Técnico, los Grupos de Trabajo Técnico y los talleres preparatorios.  El TWA consideró las propuestas relativas a posibles medios de fomentar la eficacia de dichos órganos que se presentan en el documento TWA/43/11 y formuló varios comentarios.  Los comentarios del TWA se encuentran disponibles en el documento TWA/43/27 “</w:t>
      </w:r>
      <w:proofErr w:type="spellStart"/>
      <w:r w:rsidRPr="00041E70">
        <w:rPr>
          <w:rFonts w:cs="Arial"/>
          <w:i/>
          <w:color w:val="000000"/>
        </w:rPr>
        <w:t>Report</w:t>
      </w:r>
      <w:proofErr w:type="spellEnd"/>
      <w:r w:rsidRPr="00041E70">
        <w:rPr>
          <w:rFonts w:cs="Arial"/>
          <w:color w:val="000000"/>
        </w:rPr>
        <w:t>” (Informe).</w:t>
      </w:r>
    </w:p>
    <w:p w:rsidR="00833396" w:rsidRPr="00041E70" w:rsidRDefault="00833396" w:rsidP="00833396">
      <w:pPr>
        <w:contextualSpacing/>
        <w:rPr>
          <w:rFonts w:cs="Arial"/>
          <w:color w:val="000000"/>
        </w:rPr>
      </w:pPr>
    </w:p>
    <w:p w:rsidR="00833396" w:rsidRPr="00041E70" w:rsidRDefault="00833396" w:rsidP="00833396">
      <w:pPr>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El TWA tomó nota de las revisiones de los documentos TGP/0 “Lista de documentos TGP y fechas de última publicación”, TGP/2 “Lista de directrices de examen aprobadas por la UPOV”, TGP/5 “Experiencia y cooperación en el examen DHE”, TGP/7 “Elaboración de las directrices de examen” y TPG/8 “Diseño de ensayos y técnicas utilizadas en el examen de la distinción, la homogeneidad y la estabilidad”, aprobados por el Consejo en su cuadragésima octava sesión ordinaria, según figura en los párrafos 5 a 21 del documento TWA/43/3.  Asimismo, el TWA tomó nota de que las nuevas propuestas para futuras revisiones de los documentos TGP se tratarán en documentos separados.</w:t>
      </w:r>
    </w:p>
    <w:p w:rsidR="00833396" w:rsidRPr="00041E70" w:rsidRDefault="00833396" w:rsidP="00833396">
      <w:pPr>
        <w:rPr>
          <w:rFonts w:cs="Arial"/>
          <w:color w:val="000000"/>
        </w:rPr>
      </w:pPr>
    </w:p>
    <w:p w:rsidR="00833396" w:rsidRPr="00041E70" w:rsidRDefault="00833396" w:rsidP="00833396">
      <w:pPr>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 xml:space="preserve">El TWA examinó el documento TWA/43/12 relativo a la revisión del documento TGP/7 “Material vegetal presentado para el examen”.  </w:t>
      </w:r>
      <w:r w:rsidRPr="00041E70">
        <w:rPr>
          <w:rFonts w:cs="Arial"/>
        </w:rPr>
        <w:t xml:space="preserve">El TWA señaló que son muchos los factores que pueden afectar al material vegetal presentado para el examen y convino en que los documentos TG/1/3 “Introducción general al examen de la distinción, la homogeneidad y la estabilidad y a la elaboración de descripciones armonizadas de las obtenciones vegetales” y TGP/9 “Examen de la distinción” constituyen una buena base para la prevención y el abordaje de muchos de los problemas por parte de las autoridades.  </w:t>
      </w:r>
      <w:r w:rsidRPr="00041E70">
        <w:rPr>
          <w:rFonts w:cs="Arial"/>
          <w:color w:val="000000"/>
        </w:rPr>
        <w:t xml:space="preserve">El TWA convino en que no será necesario elaborar más orientaciones sobre el material vegetal presentado para el examen. </w:t>
      </w:r>
    </w:p>
    <w:p w:rsidR="00833396" w:rsidRPr="00041E70" w:rsidRDefault="00833396" w:rsidP="00833396"/>
    <w:p w:rsidR="00833396" w:rsidRPr="00041E70" w:rsidRDefault="00833396" w:rsidP="00833396">
      <w:r w:rsidRPr="00041E70">
        <w:rPr>
          <w:snapToGrid w:val="0"/>
        </w:rPr>
        <w:fldChar w:fldCharType="begin"/>
      </w:r>
      <w:r w:rsidRPr="00041E70">
        <w:rPr>
          <w:snapToGrid w:val="0"/>
        </w:rPr>
        <w:instrText xml:space="preserve"> AUTONUM  </w:instrText>
      </w:r>
      <w:r w:rsidRPr="00041E70">
        <w:rPr>
          <w:snapToGrid w:val="0"/>
        </w:rPr>
        <w:fldChar w:fldCharType="end"/>
      </w:r>
      <w:r w:rsidRPr="00041E70">
        <w:rPr>
          <w:snapToGrid w:val="0"/>
        </w:rPr>
        <w:tab/>
      </w:r>
      <w:r w:rsidRPr="00041E70">
        <w:rPr>
          <w:snapToGrid w:val="0"/>
          <w:color w:val="000000"/>
        </w:rPr>
        <w:t xml:space="preserve">El TWA </w:t>
      </w:r>
      <w:r w:rsidRPr="00041E70">
        <w:rPr>
          <w:rFonts w:cs="Arial"/>
          <w:color w:val="000000"/>
        </w:rPr>
        <w:t xml:space="preserve">examinó </w:t>
      </w:r>
      <w:r w:rsidRPr="00041E70">
        <w:rPr>
          <w:snapToGrid w:val="0"/>
          <w:color w:val="000000"/>
        </w:rPr>
        <w:t xml:space="preserve">el documento TWA/43/13 </w:t>
      </w:r>
      <w:r w:rsidRPr="00041E70">
        <w:rPr>
          <w:rFonts w:cs="Arial"/>
          <w:color w:val="000000"/>
        </w:rPr>
        <w:t xml:space="preserve">relativo a la revisión del documento </w:t>
      </w:r>
      <w:r w:rsidRPr="00041E70">
        <w:rPr>
          <w:snapToGrid w:val="0"/>
          <w:color w:val="000000"/>
        </w:rPr>
        <w:t xml:space="preserve">TGP/7 "Cobertura de las directrices de examen". </w:t>
      </w:r>
      <w:r w:rsidRPr="00041E70">
        <w:t xml:space="preserve"> </w:t>
      </w:r>
      <w:r w:rsidRPr="00041E70">
        <w:rPr>
          <w:color w:val="000000"/>
        </w:rPr>
        <w:t xml:space="preserve">El TWA convino en que el nuevo párrafo propuesto en el tercer enfoque, con orientación sobre los procedimientos aplicables en caso de que en el futuro se obtengan variedades con otros tipos de multiplicación o reproducción, resultaría repetitivo si se elaboran directrices de examen a partir de variedades con más de un tipo de multiplicación o reproducción, y convino asimismo en que el ASW 8 debe modificarse. </w:t>
      </w:r>
      <w:r w:rsidRPr="00041E70">
        <w:t xml:space="preserve"> </w:t>
      </w:r>
    </w:p>
    <w:p w:rsidR="00833396" w:rsidRPr="00041E70" w:rsidRDefault="00833396" w:rsidP="00833396">
      <w:pPr>
        <w:rPr>
          <w:rFonts w:cs="Arial"/>
          <w:color w:val="000000"/>
        </w:rPr>
      </w:pPr>
    </w:p>
    <w:p w:rsidR="00833396" w:rsidRPr="00041E70" w:rsidRDefault="00833396" w:rsidP="00833396">
      <w:pPr>
        <w:rPr>
          <w:rFonts w:cs="Arial"/>
          <w:color w:val="000000"/>
        </w:rPr>
      </w:pPr>
      <w:r w:rsidRPr="00041E70">
        <w:rPr>
          <w:rFonts w:cs="Arial"/>
          <w:snapToGrid w:val="0"/>
          <w:color w:val="000000"/>
        </w:rPr>
        <w:fldChar w:fldCharType="begin"/>
      </w:r>
      <w:r w:rsidRPr="00041E70">
        <w:rPr>
          <w:rFonts w:cs="Arial"/>
          <w:snapToGrid w:val="0"/>
          <w:color w:val="000000"/>
        </w:rPr>
        <w:instrText xml:space="preserve"> AUTONUM  </w:instrText>
      </w:r>
      <w:r w:rsidRPr="00041E70">
        <w:rPr>
          <w:rFonts w:cs="Arial"/>
          <w:snapToGrid w:val="0"/>
          <w:color w:val="000000"/>
        </w:rPr>
        <w:fldChar w:fldCharType="end"/>
      </w:r>
      <w:r w:rsidRPr="00041E70">
        <w:rPr>
          <w:rFonts w:cs="Arial"/>
          <w:snapToGrid w:val="0"/>
          <w:color w:val="000000"/>
        </w:rPr>
        <w:tab/>
        <w:t xml:space="preserve">En cuanto al documento TWA/43/15 </w:t>
      </w:r>
      <w:r w:rsidRPr="00041E70">
        <w:t>“</w:t>
      </w:r>
      <w:proofErr w:type="spellStart"/>
      <w:r w:rsidRPr="00041E70">
        <w:rPr>
          <w:i/>
        </w:rPr>
        <w:t>Minimizing</w:t>
      </w:r>
      <w:proofErr w:type="spellEnd"/>
      <w:r w:rsidRPr="00041E70">
        <w:rPr>
          <w:i/>
        </w:rPr>
        <w:t xml:space="preserve"> </w:t>
      </w:r>
      <w:proofErr w:type="spellStart"/>
      <w:r w:rsidRPr="00041E70">
        <w:rPr>
          <w:i/>
        </w:rPr>
        <w:t>the</w:t>
      </w:r>
      <w:proofErr w:type="spellEnd"/>
      <w:r w:rsidRPr="00041E70">
        <w:rPr>
          <w:i/>
        </w:rPr>
        <w:t xml:space="preserve"> </w:t>
      </w:r>
      <w:proofErr w:type="spellStart"/>
      <w:r w:rsidRPr="00041E70">
        <w:rPr>
          <w:i/>
        </w:rPr>
        <w:t>Variation</w:t>
      </w:r>
      <w:proofErr w:type="spellEnd"/>
      <w:r w:rsidRPr="00041E70">
        <w:rPr>
          <w:i/>
        </w:rPr>
        <w:t xml:space="preserve"> </w:t>
      </w:r>
      <w:proofErr w:type="spellStart"/>
      <w:r w:rsidRPr="00041E70">
        <w:rPr>
          <w:i/>
        </w:rPr>
        <w:t>Due</w:t>
      </w:r>
      <w:proofErr w:type="spellEnd"/>
      <w:r w:rsidRPr="00041E70">
        <w:rPr>
          <w:i/>
        </w:rPr>
        <w:t xml:space="preserve"> to </w:t>
      </w:r>
      <w:proofErr w:type="spellStart"/>
      <w:r w:rsidRPr="00041E70">
        <w:rPr>
          <w:i/>
        </w:rPr>
        <w:t>Different</w:t>
      </w:r>
      <w:proofErr w:type="spellEnd"/>
      <w:r w:rsidRPr="00041E70">
        <w:rPr>
          <w:i/>
        </w:rPr>
        <w:t xml:space="preserve"> </w:t>
      </w:r>
      <w:proofErr w:type="spellStart"/>
      <w:r w:rsidRPr="00041E70">
        <w:rPr>
          <w:i/>
        </w:rPr>
        <w:t>Observers</w:t>
      </w:r>
      <w:proofErr w:type="spellEnd"/>
      <w:r w:rsidRPr="00041E70">
        <w:t>” (</w:t>
      </w:r>
      <w:r w:rsidRPr="00041E70">
        <w:rPr>
          <w:rFonts w:cs="Arial"/>
          <w:snapToGrid w:val="0"/>
          <w:color w:val="000000"/>
        </w:rPr>
        <w:t>Minimizar la variación resultante de la ejecución de los ensayos por distintos observadores), el TWA examinó el proyecto de orientación que figura en el Anexo del documento TWA/43/15 para su inclusión en una futura revisión del documento TGP/8 sobre la manera de minimizar la variación resultante de la ejecución de los ensayos por distintos observadores, que incluya orientación relativa a los caracteres PQ y QN/MG.</w:t>
      </w:r>
    </w:p>
    <w:p w:rsidR="00833396" w:rsidRPr="00041E70" w:rsidRDefault="00833396" w:rsidP="00833396">
      <w:pPr>
        <w:rPr>
          <w:rFonts w:cs="Arial"/>
          <w:color w:val="000000"/>
        </w:rPr>
      </w:pPr>
    </w:p>
    <w:p w:rsidR="00833396" w:rsidRPr="00041E70" w:rsidRDefault="00833396" w:rsidP="00833396">
      <w:pPr>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 xml:space="preserve">El TWA examinó el documento TWA/43/19 </w:t>
      </w:r>
      <w:r w:rsidRPr="00041E70">
        <w:t>“</w:t>
      </w:r>
      <w:proofErr w:type="spellStart"/>
      <w:r w:rsidRPr="00041E70">
        <w:rPr>
          <w:i/>
        </w:rPr>
        <w:t>Guidance</w:t>
      </w:r>
      <w:proofErr w:type="spellEnd"/>
      <w:r w:rsidRPr="00041E70">
        <w:rPr>
          <w:i/>
        </w:rPr>
        <w:t xml:space="preserve"> </w:t>
      </w:r>
      <w:proofErr w:type="spellStart"/>
      <w:r w:rsidRPr="00041E70">
        <w:rPr>
          <w:i/>
        </w:rPr>
        <w:t>for</w:t>
      </w:r>
      <w:proofErr w:type="spellEnd"/>
      <w:r w:rsidRPr="00041E70">
        <w:rPr>
          <w:i/>
        </w:rPr>
        <w:t xml:space="preserve"> </w:t>
      </w:r>
      <w:proofErr w:type="spellStart"/>
      <w:r w:rsidRPr="00041E70">
        <w:rPr>
          <w:i/>
        </w:rPr>
        <w:t>Blind</w:t>
      </w:r>
      <w:proofErr w:type="spellEnd"/>
      <w:r w:rsidRPr="00041E70">
        <w:rPr>
          <w:i/>
        </w:rPr>
        <w:t xml:space="preserve"> </w:t>
      </w:r>
      <w:proofErr w:type="spellStart"/>
      <w:r w:rsidRPr="00041E70">
        <w:rPr>
          <w:i/>
        </w:rPr>
        <w:t>Randomized</w:t>
      </w:r>
      <w:proofErr w:type="spellEnd"/>
      <w:r w:rsidRPr="00041E70">
        <w:rPr>
          <w:i/>
        </w:rPr>
        <w:t xml:space="preserve"> </w:t>
      </w:r>
      <w:proofErr w:type="spellStart"/>
      <w:r w:rsidRPr="00041E70">
        <w:rPr>
          <w:i/>
        </w:rPr>
        <w:t>Trials</w:t>
      </w:r>
      <w:proofErr w:type="spellEnd"/>
      <w:r w:rsidRPr="00041E70">
        <w:t>” (</w:t>
      </w:r>
      <w:r w:rsidRPr="00041E70">
        <w:rPr>
          <w:rFonts w:cs="Arial"/>
          <w:color w:val="000000"/>
        </w:rPr>
        <w:t xml:space="preserve">Orientación sobre el análisis de datos de ensayos aleatorios “a ciegas”).  El TWA convino en que, en la orientación que se elaborará, se debe explicar la importancia del tamaño de la muestra y la manera de minimizar los sesgos metodológicos. </w:t>
      </w:r>
    </w:p>
    <w:p w:rsidR="00833396" w:rsidRPr="00041E70" w:rsidRDefault="00833396" w:rsidP="00833396">
      <w:pPr>
        <w:rPr>
          <w:rFonts w:cs="Arial"/>
          <w:color w:val="000000"/>
        </w:rPr>
      </w:pPr>
    </w:p>
    <w:p w:rsidR="00833396" w:rsidRPr="00041E70" w:rsidRDefault="00833396" w:rsidP="00833396">
      <w:pPr>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 xml:space="preserve">En cuanto al documento TWA/43/20 </w:t>
      </w:r>
      <w:r w:rsidRPr="00041E70">
        <w:t>“</w:t>
      </w:r>
      <w:proofErr w:type="spellStart"/>
      <w:r w:rsidRPr="00041E70">
        <w:rPr>
          <w:i/>
        </w:rPr>
        <w:t>Examining</w:t>
      </w:r>
      <w:proofErr w:type="spellEnd"/>
      <w:r w:rsidRPr="00041E70">
        <w:rPr>
          <w:i/>
        </w:rPr>
        <w:t xml:space="preserve"> </w:t>
      </w:r>
      <w:proofErr w:type="spellStart"/>
      <w:r w:rsidRPr="00041E70">
        <w:rPr>
          <w:i/>
        </w:rPr>
        <w:t>Characteristics</w:t>
      </w:r>
      <w:proofErr w:type="spellEnd"/>
      <w:r w:rsidRPr="00041E70">
        <w:rPr>
          <w:i/>
        </w:rPr>
        <w:t xml:space="preserve"> </w:t>
      </w:r>
      <w:proofErr w:type="spellStart"/>
      <w:r w:rsidRPr="00041E70">
        <w:rPr>
          <w:i/>
        </w:rPr>
        <w:t>using</w:t>
      </w:r>
      <w:proofErr w:type="spellEnd"/>
      <w:r w:rsidRPr="00041E70">
        <w:rPr>
          <w:i/>
        </w:rPr>
        <w:t xml:space="preserve"> </w:t>
      </w:r>
      <w:proofErr w:type="spellStart"/>
      <w:r w:rsidRPr="00041E70">
        <w:rPr>
          <w:i/>
        </w:rPr>
        <w:t>Image</w:t>
      </w:r>
      <w:proofErr w:type="spellEnd"/>
      <w:r w:rsidRPr="00041E70">
        <w:rPr>
          <w:i/>
        </w:rPr>
        <w:t xml:space="preserve"> </w:t>
      </w:r>
      <w:proofErr w:type="spellStart"/>
      <w:r w:rsidRPr="00041E70">
        <w:rPr>
          <w:i/>
        </w:rPr>
        <w:t>Analysis</w:t>
      </w:r>
      <w:proofErr w:type="spellEnd"/>
      <w:r w:rsidRPr="00041E70">
        <w:t>” (</w:t>
      </w:r>
      <w:r w:rsidRPr="00041E70">
        <w:rPr>
          <w:rFonts w:cs="Arial"/>
          <w:color w:val="000000"/>
        </w:rPr>
        <w:t xml:space="preserve">Examen de los caracteres mediante el análisis de imagen), el TWA convino en la importancia de definir con precisión los caracteres que han de examinarse mediante el análisis de imagen.  El TWA tomó nota de la propuesta del experto de la Unión Europea de elaborar un nuevo proyecto de la nueva sección “Examen de caracteres mediante el análisis de imagen” con el objeto de incluirlo en el documento TGP/8 para que el TC y los TWP lo examinen en sus sesiones de 2015.  </w:t>
      </w:r>
    </w:p>
    <w:p w:rsidR="00833396" w:rsidRPr="00041E70" w:rsidRDefault="00833396" w:rsidP="00833396">
      <w:pPr>
        <w:rPr>
          <w:rFonts w:cs="Arial"/>
          <w:color w:val="000000"/>
        </w:rPr>
      </w:pPr>
    </w:p>
    <w:p w:rsidR="00833396" w:rsidRPr="00041E70" w:rsidRDefault="00833396" w:rsidP="00833396">
      <w:pPr>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El TWA examinó el documento TWA/43/21</w:t>
      </w:r>
      <w:r w:rsidRPr="00041E70">
        <w:t xml:space="preserve"> “</w:t>
      </w:r>
      <w:proofErr w:type="spellStart"/>
      <w:r w:rsidRPr="00041E70">
        <w:rPr>
          <w:i/>
        </w:rPr>
        <w:t>Statistical</w:t>
      </w:r>
      <w:proofErr w:type="spellEnd"/>
      <w:r w:rsidRPr="00041E70">
        <w:rPr>
          <w:i/>
        </w:rPr>
        <w:t xml:space="preserve"> </w:t>
      </w:r>
      <w:proofErr w:type="spellStart"/>
      <w:r w:rsidRPr="00041E70">
        <w:rPr>
          <w:i/>
        </w:rPr>
        <w:t>Methods</w:t>
      </w:r>
      <w:proofErr w:type="spellEnd"/>
      <w:r w:rsidRPr="00041E70">
        <w:rPr>
          <w:i/>
        </w:rPr>
        <w:t xml:space="preserve"> </w:t>
      </w:r>
      <w:proofErr w:type="spellStart"/>
      <w:r w:rsidRPr="00041E70">
        <w:rPr>
          <w:i/>
        </w:rPr>
        <w:t>for</w:t>
      </w:r>
      <w:proofErr w:type="spellEnd"/>
      <w:r w:rsidRPr="00041E70">
        <w:rPr>
          <w:i/>
        </w:rPr>
        <w:t xml:space="preserve"> </w:t>
      </w:r>
      <w:proofErr w:type="spellStart"/>
      <w:r w:rsidRPr="00041E70">
        <w:rPr>
          <w:i/>
        </w:rPr>
        <w:t>Visually</w:t>
      </w:r>
      <w:proofErr w:type="spellEnd"/>
      <w:r w:rsidRPr="00041E70">
        <w:rPr>
          <w:i/>
        </w:rPr>
        <w:t xml:space="preserve"> </w:t>
      </w:r>
      <w:proofErr w:type="spellStart"/>
      <w:r w:rsidRPr="00041E70">
        <w:rPr>
          <w:i/>
        </w:rPr>
        <w:t>Observed</w:t>
      </w:r>
      <w:proofErr w:type="spellEnd"/>
      <w:r w:rsidRPr="00041E70">
        <w:rPr>
          <w:i/>
        </w:rPr>
        <w:t xml:space="preserve"> </w:t>
      </w:r>
      <w:proofErr w:type="spellStart"/>
      <w:r w:rsidRPr="00041E70">
        <w:rPr>
          <w:i/>
        </w:rPr>
        <w:t>Characteristics</w:t>
      </w:r>
      <w:proofErr w:type="spellEnd"/>
      <w:r w:rsidRPr="00041E70">
        <w:t>” (</w:t>
      </w:r>
      <w:r w:rsidRPr="00041E70">
        <w:rPr>
          <w:rFonts w:cs="Arial"/>
          <w:color w:val="000000"/>
        </w:rPr>
        <w:t>Métodos estadísticos para los caracteres observados visualmente).  El TWA tomó nota de las novedades relativas a la posibilidad de incluir una nueva sección “Métodos estadísticos aplicados a caracteres observados visualmente” en el documento TGP/8</w:t>
      </w:r>
      <w:proofErr w:type="gramStart"/>
      <w:r w:rsidRPr="00041E70">
        <w:rPr>
          <w:rFonts w:cs="Arial"/>
          <w:color w:val="000000"/>
        </w:rPr>
        <w:t>:  Parte</w:t>
      </w:r>
      <w:proofErr w:type="gramEnd"/>
      <w:r w:rsidRPr="00041E70">
        <w:rPr>
          <w:rFonts w:cs="Arial"/>
          <w:color w:val="000000"/>
        </w:rPr>
        <w:t xml:space="preserve"> II:  Técnicas utilizadas en el examen DHE, en una futura revisión del documento TGP/8.  El TWA convino en solicitar al TWC que aclare si el método COYD para caracteres ordinales es recomendable para cualquier dato ordinal o si deben contemplarse otras condiciones al elegir el método de análisis adecuado.  </w:t>
      </w:r>
    </w:p>
    <w:p w:rsidR="00833396" w:rsidRPr="00041E70" w:rsidRDefault="00833396" w:rsidP="00833396">
      <w:pPr>
        <w:rPr>
          <w:rFonts w:cs="Arial"/>
          <w:color w:val="000000"/>
        </w:rPr>
      </w:pPr>
    </w:p>
    <w:p w:rsidR="00833396" w:rsidRPr="00041E70" w:rsidRDefault="00833396" w:rsidP="00833396">
      <w:pPr>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 xml:space="preserve">El TWA examinó el documento TWA/43/22 y el ejemplo propuesto de un registro único de un grupo de plantas (MG) tomado de partes de plantas con el objeto de incluirlo en una futura revisión del documento TGP/9.  El TWA coincidió con la observación realizada por el TWO, el TWF y el TWV sobre el ejemplo propuesto de un registro único de un grupo de plantas (MG) tomado de partes de plantas con el objeto de incluirlo en una futura revisión del documento TGP/9. </w:t>
      </w:r>
    </w:p>
    <w:p w:rsidR="00833396" w:rsidRPr="00041E70" w:rsidRDefault="00833396" w:rsidP="00833396">
      <w:pPr>
        <w:rPr>
          <w:rFonts w:cs="Arial"/>
          <w:color w:val="000000"/>
        </w:rPr>
      </w:pPr>
    </w:p>
    <w:p w:rsidR="00833396" w:rsidRPr="00041E70" w:rsidRDefault="00833396" w:rsidP="00833396">
      <w:pPr>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Con respecto al documento TWA/43/9 “</w:t>
      </w:r>
      <w:proofErr w:type="spellStart"/>
      <w:r w:rsidRPr="00041E70">
        <w:rPr>
          <w:rFonts w:cs="Arial"/>
          <w:i/>
          <w:color w:val="000000"/>
        </w:rPr>
        <w:t>Assessing</w:t>
      </w:r>
      <w:proofErr w:type="spellEnd"/>
      <w:r w:rsidRPr="00041E70">
        <w:rPr>
          <w:rFonts w:cs="Arial"/>
          <w:i/>
          <w:color w:val="000000"/>
        </w:rPr>
        <w:t xml:space="preserve"> </w:t>
      </w:r>
      <w:proofErr w:type="spellStart"/>
      <w:r w:rsidRPr="00041E70">
        <w:rPr>
          <w:rFonts w:cs="Arial"/>
          <w:i/>
          <w:color w:val="000000"/>
        </w:rPr>
        <w:t>uniformity</w:t>
      </w:r>
      <w:proofErr w:type="spellEnd"/>
      <w:r w:rsidRPr="00041E70">
        <w:rPr>
          <w:rFonts w:cs="Arial"/>
          <w:i/>
          <w:color w:val="000000"/>
        </w:rPr>
        <w:t xml:space="preserve"> </w:t>
      </w:r>
      <w:proofErr w:type="spellStart"/>
      <w:r w:rsidRPr="00041E70">
        <w:rPr>
          <w:rFonts w:cs="Arial"/>
          <w:i/>
          <w:color w:val="000000"/>
        </w:rPr>
        <w:t>by</w:t>
      </w:r>
      <w:proofErr w:type="spellEnd"/>
      <w:r w:rsidRPr="00041E70">
        <w:rPr>
          <w:rFonts w:cs="Arial"/>
          <w:i/>
          <w:color w:val="000000"/>
        </w:rPr>
        <w:t xml:space="preserve"> off-</w:t>
      </w:r>
      <w:proofErr w:type="spellStart"/>
      <w:r w:rsidRPr="00041E70">
        <w:rPr>
          <w:rFonts w:cs="Arial"/>
          <w:i/>
          <w:color w:val="000000"/>
        </w:rPr>
        <w:t>types</w:t>
      </w:r>
      <w:proofErr w:type="spellEnd"/>
      <w:r w:rsidRPr="00041E70">
        <w:rPr>
          <w:rFonts w:cs="Arial"/>
          <w:i/>
          <w:color w:val="000000"/>
        </w:rPr>
        <w:t xml:space="preserve"> </w:t>
      </w:r>
      <w:proofErr w:type="spellStart"/>
      <w:r w:rsidRPr="00041E70">
        <w:rPr>
          <w:rFonts w:cs="Arial"/>
          <w:i/>
          <w:color w:val="000000"/>
        </w:rPr>
        <w:t>on</w:t>
      </w:r>
      <w:proofErr w:type="spellEnd"/>
      <w:r w:rsidRPr="00041E70">
        <w:rPr>
          <w:rFonts w:cs="Arial"/>
          <w:i/>
          <w:color w:val="000000"/>
        </w:rPr>
        <w:t xml:space="preserve"> </w:t>
      </w:r>
      <w:proofErr w:type="spellStart"/>
      <w:r w:rsidRPr="00041E70">
        <w:rPr>
          <w:rFonts w:cs="Arial"/>
          <w:i/>
          <w:color w:val="000000"/>
        </w:rPr>
        <w:t>basis</w:t>
      </w:r>
      <w:proofErr w:type="spellEnd"/>
      <w:r w:rsidRPr="00041E70">
        <w:rPr>
          <w:rFonts w:cs="Arial"/>
          <w:i/>
          <w:color w:val="000000"/>
        </w:rPr>
        <w:t xml:space="preserve"> of more </w:t>
      </w:r>
      <w:proofErr w:type="spellStart"/>
      <w:r w:rsidRPr="00041E70">
        <w:rPr>
          <w:rFonts w:cs="Arial"/>
          <w:i/>
          <w:color w:val="000000"/>
        </w:rPr>
        <w:t>than</w:t>
      </w:r>
      <w:proofErr w:type="spellEnd"/>
      <w:r w:rsidRPr="00041E70">
        <w:rPr>
          <w:rFonts w:cs="Arial"/>
          <w:i/>
          <w:color w:val="000000"/>
        </w:rPr>
        <w:t xml:space="preserve"> </w:t>
      </w:r>
      <w:proofErr w:type="spellStart"/>
      <w:r w:rsidRPr="00041E70">
        <w:rPr>
          <w:rFonts w:cs="Arial"/>
          <w:i/>
          <w:color w:val="000000"/>
        </w:rPr>
        <w:t>one</w:t>
      </w:r>
      <w:proofErr w:type="spellEnd"/>
      <w:r w:rsidRPr="00041E70">
        <w:rPr>
          <w:rFonts w:cs="Arial"/>
          <w:i/>
          <w:color w:val="000000"/>
        </w:rPr>
        <w:t xml:space="preserve"> </w:t>
      </w:r>
      <w:proofErr w:type="spellStart"/>
      <w:r w:rsidRPr="00041E70">
        <w:rPr>
          <w:rFonts w:cs="Arial"/>
          <w:i/>
          <w:color w:val="000000"/>
        </w:rPr>
        <w:t>sample</w:t>
      </w:r>
      <w:proofErr w:type="spellEnd"/>
      <w:r w:rsidRPr="00041E70">
        <w:rPr>
          <w:rFonts w:cs="Arial"/>
          <w:i/>
          <w:color w:val="000000"/>
        </w:rPr>
        <w:t xml:space="preserve"> </w:t>
      </w:r>
      <w:proofErr w:type="spellStart"/>
      <w:r w:rsidRPr="00041E70">
        <w:rPr>
          <w:rFonts w:cs="Arial"/>
          <w:i/>
          <w:color w:val="000000"/>
        </w:rPr>
        <w:t>or</w:t>
      </w:r>
      <w:proofErr w:type="spellEnd"/>
      <w:r w:rsidRPr="00041E70">
        <w:rPr>
          <w:rFonts w:cs="Arial"/>
          <w:i/>
          <w:color w:val="000000"/>
        </w:rPr>
        <w:t xml:space="preserve"> sub-</w:t>
      </w:r>
      <w:proofErr w:type="spellStart"/>
      <w:r w:rsidRPr="00041E70">
        <w:rPr>
          <w:rFonts w:cs="Arial"/>
          <w:i/>
          <w:color w:val="000000"/>
        </w:rPr>
        <w:t>samples</w:t>
      </w:r>
      <w:proofErr w:type="spellEnd"/>
      <w:r w:rsidRPr="00041E70">
        <w:rPr>
          <w:rFonts w:cs="Arial"/>
          <w:color w:val="000000"/>
        </w:rPr>
        <w:t xml:space="preserve">” (Evaluación de la homogeneidad de las plantas fuera de tipo mediante la observación de más de una muestra </w:t>
      </w:r>
      <w:r w:rsidRPr="00041E70">
        <w:rPr>
          <w:rFonts w:cs="Arial"/>
        </w:rPr>
        <w:t xml:space="preserve">o de </w:t>
      </w:r>
      <w:proofErr w:type="spellStart"/>
      <w:r w:rsidRPr="00041E70">
        <w:rPr>
          <w:rFonts w:cs="Arial"/>
        </w:rPr>
        <w:t>submuestras</w:t>
      </w:r>
      <w:proofErr w:type="spellEnd"/>
      <w:r w:rsidRPr="00041E70">
        <w:rPr>
          <w:rFonts w:cs="Arial"/>
          <w:color w:val="000000"/>
        </w:rPr>
        <w:t xml:space="preserve">), el TWA coincidió con el TWC en que la orientación que figura en el documento TGP/10 es suficiente para abordar la situación C “Más de una muestra o </w:t>
      </w:r>
      <w:proofErr w:type="spellStart"/>
      <w:r w:rsidRPr="00041E70">
        <w:rPr>
          <w:rFonts w:cs="Arial"/>
          <w:color w:val="000000"/>
        </w:rPr>
        <w:t>submuestra</w:t>
      </w:r>
      <w:proofErr w:type="spellEnd"/>
      <w:r w:rsidRPr="00041E70">
        <w:rPr>
          <w:rFonts w:cs="Arial"/>
          <w:color w:val="000000"/>
        </w:rPr>
        <w:t xml:space="preserve"> para la observación de un carácter en el mismo ciclo de cultivo” expuesta en el Anexo III del documento TWA/43/9. </w:t>
      </w:r>
    </w:p>
    <w:p w:rsidR="00833396" w:rsidRPr="00041E70" w:rsidRDefault="00833396" w:rsidP="00833396">
      <w:pPr>
        <w:rPr>
          <w:rFonts w:cs="Arial"/>
          <w:color w:val="000000"/>
        </w:rPr>
      </w:pPr>
    </w:p>
    <w:p w:rsidR="00833396" w:rsidRPr="00041E70" w:rsidRDefault="00833396" w:rsidP="00833396">
      <w:pPr>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 xml:space="preserve">En cuanto a la experiencia con nuevos tipos y especies, el TWA escuchó por medios electrónicos una ponencia de un experto de Nueva Zelandia sobre experiencias con hongos endófitos del género </w:t>
      </w:r>
      <w:proofErr w:type="spellStart"/>
      <w:r w:rsidRPr="00041E70">
        <w:rPr>
          <w:rFonts w:cs="Arial"/>
          <w:i/>
          <w:color w:val="000000"/>
        </w:rPr>
        <w:t>Neotyphodium</w:t>
      </w:r>
      <w:proofErr w:type="spellEnd"/>
      <w:r w:rsidRPr="00041E70">
        <w:rPr>
          <w:rFonts w:cs="Arial"/>
          <w:color w:val="000000"/>
        </w:rPr>
        <w:t xml:space="preserve"> y una ponencia a cargo de un experto de la Argentina sobre experiencias con </w:t>
      </w:r>
      <w:proofErr w:type="spellStart"/>
      <w:r w:rsidRPr="00041E70">
        <w:rPr>
          <w:rFonts w:cs="Arial"/>
          <w:i/>
          <w:color w:val="000000"/>
        </w:rPr>
        <w:t>Cyamopsis</w:t>
      </w:r>
      <w:proofErr w:type="spellEnd"/>
      <w:r w:rsidRPr="00041E70">
        <w:rPr>
          <w:rFonts w:cs="Arial"/>
          <w:i/>
          <w:color w:val="000000"/>
        </w:rPr>
        <w:t xml:space="preserve"> </w:t>
      </w:r>
      <w:proofErr w:type="spellStart"/>
      <w:r w:rsidRPr="00041E70">
        <w:rPr>
          <w:rFonts w:cs="Arial"/>
          <w:i/>
          <w:color w:val="000000"/>
        </w:rPr>
        <w:t>tetragonoloba</w:t>
      </w:r>
      <w:proofErr w:type="spellEnd"/>
      <w:r w:rsidRPr="00041E70">
        <w:rPr>
          <w:rFonts w:cs="Arial"/>
          <w:color w:val="000000"/>
        </w:rPr>
        <w:t>.</w:t>
      </w:r>
    </w:p>
    <w:p w:rsidR="00833396" w:rsidRPr="00041E70" w:rsidRDefault="00833396" w:rsidP="00833396">
      <w:pPr>
        <w:rPr>
          <w:rFonts w:cs="Arial"/>
          <w:color w:val="000000"/>
        </w:rPr>
      </w:pPr>
    </w:p>
    <w:p w:rsidR="00833396" w:rsidRPr="00041E70" w:rsidRDefault="00833396" w:rsidP="00833396">
      <w:pPr>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El TWA escuchó una ponencia a cargo de un experto del Brasil sobre un proyecto para la armonización de variedades ejemplo de trigo, soja y arroz en la Argentina, Bolivia, el Brasil, Chile, Colombia, Paraguay y el Uruguay, de la cual figura una copia en el documento TWA/43/25.</w:t>
      </w:r>
    </w:p>
    <w:p w:rsidR="00833396" w:rsidRPr="00041E70" w:rsidRDefault="00833396" w:rsidP="00833396">
      <w:pPr>
        <w:rPr>
          <w:rFonts w:cs="Arial"/>
          <w:color w:val="000000"/>
        </w:rPr>
      </w:pPr>
    </w:p>
    <w:p w:rsidR="00833396" w:rsidRPr="00041E70" w:rsidRDefault="00833396" w:rsidP="00833396">
      <w:pPr>
        <w:contextualSpacing/>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 xml:space="preserve">El TWA examinó nueve proyectos de directrices de examen y convino en presentar al TC cinco de ellos, a saber, los del </w:t>
      </w:r>
      <w:proofErr w:type="spellStart"/>
      <w:r w:rsidRPr="00041E70">
        <w:rPr>
          <w:rFonts w:cs="Arial"/>
          <w:color w:val="000000"/>
        </w:rPr>
        <w:t>coix</w:t>
      </w:r>
      <w:proofErr w:type="spellEnd"/>
      <w:r w:rsidRPr="00041E70">
        <w:rPr>
          <w:rFonts w:cs="Arial"/>
          <w:color w:val="000000"/>
        </w:rPr>
        <w:t xml:space="preserve">, el frijol rojo, la mandioca, el sorgo y </w:t>
      </w:r>
      <w:proofErr w:type="spellStart"/>
      <w:r w:rsidRPr="00041E70">
        <w:rPr>
          <w:rFonts w:cs="Arial"/>
          <w:i/>
          <w:color w:val="000000"/>
        </w:rPr>
        <w:t>Urochloa</w:t>
      </w:r>
      <w:proofErr w:type="spellEnd"/>
      <w:r w:rsidRPr="00041E70">
        <w:rPr>
          <w:rFonts w:cs="Arial"/>
          <w:color w:val="000000"/>
        </w:rPr>
        <w:t xml:space="preserve">.  </w:t>
      </w:r>
      <w:r w:rsidRPr="00041E70">
        <w:rPr>
          <w:rFonts w:cs="Arial"/>
        </w:rPr>
        <w:t>Acordó examinar los siguientes proyectos de directrices de examen en 2015</w:t>
      </w:r>
      <w:proofErr w:type="gramStart"/>
      <w:r w:rsidRPr="00041E70">
        <w:rPr>
          <w:rFonts w:cs="Arial"/>
        </w:rPr>
        <w:t>:</w:t>
      </w:r>
      <w:r w:rsidRPr="00041E70">
        <w:rPr>
          <w:rFonts w:cs="Arial"/>
          <w:color w:val="000000"/>
        </w:rPr>
        <w:t xml:space="preserve">  ricino</w:t>
      </w:r>
      <w:proofErr w:type="gramEnd"/>
      <w:r w:rsidRPr="00041E70">
        <w:rPr>
          <w:rFonts w:cs="Arial"/>
          <w:color w:val="000000"/>
        </w:rPr>
        <w:t xml:space="preserve">, algodón (revisión), </w:t>
      </w:r>
      <w:proofErr w:type="spellStart"/>
      <w:r w:rsidRPr="00041E70">
        <w:rPr>
          <w:rFonts w:cs="Arial"/>
          <w:i/>
          <w:color w:val="000000"/>
        </w:rPr>
        <w:t>Elytrigia</w:t>
      </w:r>
      <w:proofErr w:type="spellEnd"/>
      <w:r w:rsidRPr="00041E70">
        <w:rPr>
          <w:rFonts w:cs="Arial"/>
          <w:color w:val="000000"/>
        </w:rPr>
        <w:t xml:space="preserve">, haba (revisión), mijo africano, avena (revisión), </w:t>
      </w:r>
      <w:proofErr w:type="spellStart"/>
      <w:r w:rsidRPr="00041E70">
        <w:rPr>
          <w:rFonts w:cs="Arial"/>
          <w:color w:val="000000"/>
        </w:rPr>
        <w:t>quinoa</w:t>
      </w:r>
      <w:proofErr w:type="spellEnd"/>
      <w:r w:rsidRPr="00041E70">
        <w:rPr>
          <w:rFonts w:cs="Arial"/>
          <w:color w:val="000000"/>
        </w:rPr>
        <w:t xml:space="preserve">, trébol rojo, </w:t>
      </w:r>
      <w:proofErr w:type="spellStart"/>
      <w:r w:rsidRPr="00041E70">
        <w:rPr>
          <w:rFonts w:cs="Arial"/>
          <w:color w:val="000000"/>
        </w:rPr>
        <w:t>phazelia</w:t>
      </w:r>
      <w:proofErr w:type="spellEnd"/>
      <w:r w:rsidRPr="00041E70">
        <w:rPr>
          <w:rFonts w:cs="Arial"/>
          <w:color w:val="000000"/>
        </w:rPr>
        <w:t>, soja (revisión) y trigo (revisión).</w:t>
      </w:r>
    </w:p>
    <w:p w:rsidR="00833396" w:rsidRPr="00041E70" w:rsidRDefault="00833396" w:rsidP="00833396">
      <w:pPr>
        <w:contextualSpacing/>
        <w:rPr>
          <w:rFonts w:cs="Arial"/>
          <w:color w:val="000000"/>
        </w:rPr>
      </w:pPr>
    </w:p>
    <w:p w:rsidR="00833396" w:rsidRPr="00041E70" w:rsidRDefault="00833396" w:rsidP="00833396">
      <w:pPr>
        <w:contextualSpacing/>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 xml:space="preserve">El TWA acordó examinar once directrices de examen en 2015 y manifestó su intención de revisar las directrices de examen del ginseng (documento TG/224/1) y la cebada (documento TG/19/7) en 2016. </w:t>
      </w:r>
    </w:p>
    <w:p w:rsidR="00833396" w:rsidRPr="00041E70" w:rsidRDefault="00833396" w:rsidP="00833396">
      <w:pPr>
        <w:contextualSpacing/>
        <w:rPr>
          <w:rFonts w:cs="Arial"/>
          <w:color w:val="000000"/>
        </w:rPr>
      </w:pPr>
    </w:p>
    <w:p w:rsidR="00833396" w:rsidRPr="00041E70" w:rsidRDefault="00833396" w:rsidP="00833396">
      <w:pPr>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 xml:space="preserve">Por invitación del Japón, el TWA decidió celebrar su cuadragésima cuarta sesión en </w:t>
      </w:r>
      <w:proofErr w:type="spellStart"/>
      <w:r w:rsidRPr="00041E70">
        <w:rPr>
          <w:rFonts w:cs="Arial"/>
          <w:color w:val="000000"/>
        </w:rPr>
        <w:t>Obihiro</w:t>
      </w:r>
      <w:proofErr w:type="spellEnd"/>
      <w:r w:rsidRPr="00041E70">
        <w:rPr>
          <w:rFonts w:cs="Arial"/>
          <w:color w:val="000000"/>
        </w:rPr>
        <w:t xml:space="preserve"> (Japón) del 6 al 10 de julio de 2015, y el taller preparatorio, el 5 de julio de 2015.</w:t>
      </w:r>
    </w:p>
    <w:p w:rsidR="00833396" w:rsidRPr="00041E70" w:rsidRDefault="00833396" w:rsidP="00833396">
      <w:pPr>
        <w:rPr>
          <w:rFonts w:cs="Arial"/>
          <w:color w:val="000000"/>
        </w:rPr>
      </w:pPr>
    </w:p>
    <w:p w:rsidR="00833396" w:rsidRPr="00041E70" w:rsidRDefault="00833396" w:rsidP="00833396">
      <w:pPr>
        <w:keepNext/>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TWA propuso examinar los siguientes puntos en su siguiente reunión:</w:t>
      </w:r>
    </w:p>
    <w:p w:rsidR="00833396" w:rsidRPr="00041E70" w:rsidRDefault="00833396" w:rsidP="00833396">
      <w:pPr>
        <w:keepNext/>
        <w:rPr>
          <w:rFonts w:cs="Arial"/>
          <w:color w:val="000000"/>
        </w:rPr>
      </w:pPr>
    </w:p>
    <w:p w:rsidR="00833396" w:rsidRPr="00041E70" w:rsidRDefault="00833396" w:rsidP="00833396">
      <w:pPr>
        <w:tabs>
          <w:tab w:val="num" w:pos="1134"/>
        </w:tabs>
        <w:spacing w:before="20" w:afterLines="20" w:after="48"/>
        <w:ind w:left="1134" w:hanging="567"/>
        <w:rPr>
          <w:rFonts w:cs="Arial"/>
        </w:rPr>
      </w:pPr>
      <w:r w:rsidRPr="00041E70">
        <w:rPr>
          <w:rFonts w:cs="Arial"/>
        </w:rPr>
        <w:t>1.</w:t>
      </w:r>
      <w:r w:rsidRPr="00041E70">
        <w:rPr>
          <w:rFonts w:cs="Arial"/>
        </w:rPr>
        <w:tab/>
        <w:t>Apertura de la sesión</w:t>
      </w:r>
    </w:p>
    <w:p w:rsidR="00833396" w:rsidRPr="00041E70" w:rsidRDefault="00833396" w:rsidP="00833396">
      <w:pPr>
        <w:tabs>
          <w:tab w:val="num" w:pos="1134"/>
        </w:tabs>
        <w:spacing w:before="20" w:afterLines="20" w:after="48"/>
        <w:ind w:left="1134" w:hanging="567"/>
        <w:rPr>
          <w:rFonts w:cs="Arial"/>
        </w:rPr>
      </w:pPr>
      <w:r w:rsidRPr="00041E70">
        <w:rPr>
          <w:rFonts w:cs="Arial"/>
        </w:rPr>
        <w:t>2.</w:t>
      </w:r>
      <w:r w:rsidRPr="00041E70">
        <w:rPr>
          <w:rFonts w:cs="Arial"/>
        </w:rPr>
        <w:tab/>
        <w:t>Aprobación del orden del día</w:t>
      </w:r>
    </w:p>
    <w:p w:rsidR="00833396" w:rsidRPr="00041E70" w:rsidRDefault="00833396" w:rsidP="00833396">
      <w:pPr>
        <w:tabs>
          <w:tab w:val="num" w:pos="1134"/>
        </w:tabs>
        <w:spacing w:before="20" w:afterLines="20" w:after="48"/>
        <w:ind w:left="1134" w:hanging="567"/>
        <w:rPr>
          <w:rFonts w:cs="Arial"/>
        </w:rPr>
      </w:pPr>
      <w:r w:rsidRPr="00041E70">
        <w:rPr>
          <w:rFonts w:cs="Arial"/>
        </w:rPr>
        <w:t>3.</w:t>
      </w:r>
      <w:r w:rsidRPr="00041E70">
        <w:rPr>
          <w:rFonts w:cs="Arial"/>
        </w:rPr>
        <w:tab/>
        <w:t>Breves informes sobre los avances logrados en la protección de las variedades vegetales:</w:t>
      </w:r>
    </w:p>
    <w:p w:rsidR="00833396" w:rsidRPr="00041E70" w:rsidRDefault="00833396" w:rsidP="00833396">
      <w:pPr>
        <w:tabs>
          <w:tab w:val="num" w:pos="1134"/>
        </w:tabs>
        <w:spacing w:before="20" w:afterLines="20" w:after="48"/>
        <w:ind w:left="1134"/>
        <w:rPr>
          <w:rFonts w:cs="Arial"/>
        </w:rPr>
      </w:pPr>
      <w:r w:rsidRPr="00041E70">
        <w:rPr>
          <w:rFonts w:cs="Arial"/>
        </w:rPr>
        <w:t>a)</w:t>
      </w:r>
      <w:r w:rsidRPr="00041E70">
        <w:rPr>
          <w:rFonts w:cs="Arial"/>
        </w:rPr>
        <w:tab/>
        <w:t xml:space="preserve">Informes de los miembros y observadores </w:t>
      </w:r>
    </w:p>
    <w:p w:rsidR="00833396" w:rsidRPr="00041E70" w:rsidRDefault="00833396" w:rsidP="00833396">
      <w:pPr>
        <w:tabs>
          <w:tab w:val="num" w:pos="1134"/>
        </w:tabs>
        <w:spacing w:before="20" w:afterLines="20" w:after="48"/>
        <w:ind w:left="1134"/>
        <w:rPr>
          <w:rFonts w:cs="Arial"/>
        </w:rPr>
      </w:pPr>
      <w:r w:rsidRPr="00041E70">
        <w:rPr>
          <w:rFonts w:cs="Arial"/>
        </w:rPr>
        <w:t>b)</w:t>
      </w:r>
      <w:r w:rsidRPr="00041E70">
        <w:rPr>
          <w:rFonts w:cs="Arial"/>
        </w:rPr>
        <w:tab/>
        <w:t xml:space="preserve">Informes sobre los avances logrados en la UPOV </w:t>
      </w:r>
    </w:p>
    <w:p w:rsidR="00833396" w:rsidRPr="00041E70" w:rsidRDefault="00833396" w:rsidP="00833396">
      <w:pPr>
        <w:tabs>
          <w:tab w:val="num" w:pos="1134"/>
        </w:tabs>
        <w:spacing w:before="20" w:afterLines="20" w:after="48"/>
        <w:ind w:left="1134" w:hanging="567"/>
        <w:rPr>
          <w:rFonts w:cs="Arial"/>
        </w:rPr>
      </w:pPr>
      <w:r w:rsidRPr="00041E70">
        <w:rPr>
          <w:rFonts w:cs="Arial"/>
        </w:rPr>
        <w:t>4.</w:t>
      </w:r>
      <w:r w:rsidRPr="00041E70">
        <w:rPr>
          <w:rFonts w:cs="Arial"/>
        </w:rPr>
        <w:tab/>
        <w:t xml:space="preserve">Técnicas moleculares </w:t>
      </w:r>
    </w:p>
    <w:p w:rsidR="00833396" w:rsidRPr="00041E70" w:rsidRDefault="00833396" w:rsidP="00833396">
      <w:pPr>
        <w:tabs>
          <w:tab w:val="num" w:pos="1134"/>
        </w:tabs>
        <w:spacing w:before="20" w:afterLines="20" w:after="48"/>
        <w:ind w:left="1134" w:hanging="567"/>
        <w:rPr>
          <w:rFonts w:cs="Arial"/>
        </w:rPr>
      </w:pPr>
      <w:r w:rsidRPr="00041E70">
        <w:rPr>
          <w:rFonts w:cs="Arial"/>
        </w:rPr>
        <w:t>5.</w:t>
      </w:r>
      <w:r w:rsidRPr="00041E70">
        <w:rPr>
          <w:rFonts w:cs="Arial"/>
        </w:rPr>
        <w:tab/>
        <w:t xml:space="preserve">Documentos TGP </w:t>
      </w:r>
    </w:p>
    <w:p w:rsidR="00833396" w:rsidRPr="00041E70" w:rsidRDefault="00833396" w:rsidP="00833396">
      <w:pPr>
        <w:tabs>
          <w:tab w:val="num" w:pos="1134"/>
        </w:tabs>
        <w:spacing w:before="20" w:afterLines="20" w:after="48"/>
        <w:ind w:left="1134" w:hanging="567"/>
        <w:rPr>
          <w:rFonts w:cs="Arial"/>
        </w:rPr>
      </w:pPr>
      <w:r w:rsidRPr="00041E70">
        <w:rPr>
          <w:rFonts w:cs="Arial"/>
        </w:rPr>
        <w:t>6.</w:t>
      </w:r>
      <w:r w:rsidRPr="00041E70">
        <w:rPr>
          <w:rFonts w:cs="Arial"/>
        </w:rPr>
        <w:tab/>
        <w:t xml:space="preserve">Denominaciones de variedades </w:t>
      </w:r>
    </w:p>
    <w:p w:rsidR="00833396" w:rsidRPr="00041E70" w:rsidRDefault="00833396" w:rsidP="00833396">
      <w:pPr>
        <w:tabs>
          <w:tab w:val="num" w:pos="1134"/>
        </w:tabs>
        <w:spacing w:before="20" w:afterLines="20" w:after="48"/>
        <w:ind w:left="1134" w:hanging="567"/>
        <w:rPr>
          <w:rFonts w:cs="Arial"/>
        </w:rPr>
      </w:pPr>
      <w:r w:rsidRPr="00041E70">
        <w:rPr>
          <w:rFonts w:cs="Arial"/>
        </w:rPr>
        <w:t>7.</w:t>
      </w:r>
      <w:r w:rsidRPr="00041E70">
        <w:rPr>
          <w:rFonts w:cs="Arial"/>
        </w:rPr>
        <w:tab/>
        <w:t>Información y bases de datos</w:t>
      </w:r>
    </w:p>
    <w:p w:rsidR="00833396" w:rsidRPr="00041E70" w:rsidRDefault="00833396" w:rsidP="00833396">
      <w:pPr>
        <w:tabs>
          <w:tab w:val="num" w:pos="1134"/>
        </w:tabs>
        <w:spacing w:before="20" w:afterLines="20" w:after="48"/>
        <w:ind w:left="1134"/>
        <w:rPr>
          <w:rFonts w:cs="Arial"/>
        </w:rPr>
      </w:pPr>
      <w:r w:rsidRPr="00041E70">
        <w:rPr>
          <w:rFonts w:cs="Arial"/>
        </w:rPr>
        <w:t>a)</w:t>
      </w:r>
      <w:r w:rsidRPr="00041E70">
        <w:rPr>
          <w:rFonts w:cs="Arial"/>
        </w:rPr>
        <w:tab/>
        <w:t xml:space="preserve">Bases de datos de información de la UPOV </w:t>
      </w:r>
    </w:p>
    <w:p w:rsidR="00833396" w:rsidRPr="00041E70" w:rsidRDefault="00833396" w:rsidP="00833396">
      <w:pPr>
        <w:tabs>
          <w:tab w:val="num" w:pos="1134"/>
        </w:tabs>
        <w:spacing w:before="20" w:afterLines="20" w:after="48"/>
        <w:ind w:left="1134"/>
        <w:rPr>
          <w:rFonts w:cs="Arial"/>
        </w:rPr>
      </w:pPr>
      <w:r w:rsidRPr="00041E70">
        <w:rPr>
          <w:rFonts w:cs="Arial"/>
        </w:rPr>
        <w:t xml:space="preserve">b) </w:t>
      </w:r>
      <w:r w:rsidRPr="00041E70">
        <w:rPr>
          <w:rFonts w:cs="Arial"/>
        </w:rPr>
        <w:tab/>
        <w:t xml:space="preserve">Bases de datos de descripciones de variedades </w:t>
      </w:r>
    </w:p>
    <w:p w:rsidR="00833396" w:rsidRPr="00041E70" w:rsidRDefault="00833396" w:rsidP="00833396">
      <w:pPr>
        <w:tabs>
          <w:tab w:val="num" w:pos="1134"/>
        </w:tabs>
        <w:spacing w:before="20" w:afterLines="20" w:after="48"/>
        <w:ind w:left="1134"/>
        <w:rPr>
          <w:rFonts w:cs="Arial"/>
        </w:rPr>
      </w:pPr>
      <w:r w:rsidRPr="00041E70">
        <w:rPr>
          <w:rFonts w:cs="Arial"/>
        </w:rPr>
        <w:t xml:space="preserve">c) </w:t>
      </w:r>
      <w:r w:rsidRPr="00041E70">
        <w:rPr>
          <w:rFonts w:cs="Arial"/>
        </w:rPr>
        <w:tab/>
        <w:t xml:space="preserve">Programas informáticos para intercambio </w:t>
      </w:r>
    </w:p>
    <w:p w:rsidR="00833396" w:rsidRPr="00041E70" w:rsidRDefault="00833396" w:rsidP="00833396">
      <w:pPr>
        <w:tabs>
          <w:tab w:val="num" w:pos="1134"/>
        </w:tabs>
        <w:spacing w:before="20" w:afterLines="20" w:after="48"/>
        <w:ind w:left="1134"/>
        <w:rPr>
          <w:rFonts w:cs="Arial"/>
        </w:rPr>
      </w:pPr>
      <w:r w:rsidRPr="00041E70">
        <w:rPr>
          <w:rFonts w:cs="Arial"/>
        </w:rPr>
        <w:t xml:space="preserve">d) </w:t>
      </w:r>
      <w:r w:rsidRPr="00041E70">
        <w:rPr>
          <w:rFonts w:cs="Arial"/>
        </w:rPr>
        <w:tab/>
        <w:t xml:space="preserve">Sistemas de presentación electrónica de solicitudes </w:t>
      </w:r>
    </w:p>
    <w:p w:rsidR="00833396" w:rsidRPr="00041E70" w:rsidRDefault="00833396" w:rsidP="00833396">
      <w:pPr>
        <w:tabs>
          <w:tab w:val="num" w:pos="1134"/>
        </w:tabs>
        <w:spacing w:before="20" w:afterLines="20" w:after="48"/>
        <w:ind w:left="1134" w:hanging="567"/>
        <w:rPr>
          <w:rFonts w:cs="Arial"/>
        </w:rPr>
      </w:pPr>
      <w:r w:rsidRPr="00041E70">
        <w:rPr>
          <w:rFonts w:cs="Arial"/>
        </w:rPr>
        <w:t>8.</w:t>
      </w:r>
      <w:r w:rsidRPr="00041E70">
        <w:rPr>
          <w:rFonts w:cs="Arial"/>
        </w:rPr>
        <w:tab/>
        <w:t>Evaluación de la homogeneidad</w:t>
      </w:r>
    </w:p>
    <w:p w:rsidR="00833396" w:rsidRPr="00041E70" w:rsidRDefault="00833396" w:rsidP="00833396">
      <w:pPr>
        <w:tabs>
          <w:tab w:val="num" w:pos="1134"/>
        </w:tabs>
        <w:spacing w:before="20" w:afterLines="20" w:after="48"/>
        <w:ind w:left="1134" w:hanging="567"/>
        <w:rPr>
          <w:rFonts w:cs="Arial"/>
        </w:rPr>
      </w:pPr>
      <w:r w:rsidRPr="00041E70">
        <w:rPr>
          <w:rFonts w:cs="Arial"/>
        </w:rPr>
        <w:t>9.</w:t>
      </w:r>
      <w:r w:rsidRPr="00041E70">
        <w:rPr>
          <w:rFonts w:cs="Arial"/>
        </w:rPr>
        <w:tab/>
        <w:t>Cuestiones por resolver en lo que respecta a directrices de examen aprobadas por el Comité Técnico (en su caso)</w:t>
      </w:r>
    </w:p>
    <w:p w:rsidR="00833396" w:rsidRPr="00041E70" w:rsidRDefault="00833396" w:rsidP="00833396">
      <w:pPr>
        <w:tabs>
          <w:tab w:val="num" w:pos="1134"/>
        </w:tabs>
        <w:spacing w:before="20" w:afterLines="20" w:after="48"/>
        <w:ind w:left="1134" w:hanging="567"/>
        <w:rPr>
          <w:rFonts w:cs="Arial"/>
        </w:rPr>
      </w:pPr>
      <w:r w:rsidRPr="00041E70">
        <w:rPr>
          <w:rFonts w:cs="Arial"/>
        </w:rPr>
        <w:t>10.</w:t>
      </w:r>
      <w:r w:rsidRPr="00041E70">
        <w:rPr>
          <w:rFonts w:cs="Arial"/>
        </w:rPr>
        <w:tab/>
        <w:t>Debates sobre proyectos de directrices de examen (subgrupos)</w:t>
      </w:r>
    </w:p>
    <w:p w:rsidR="00833396" w:rsidRPr="00041E70" w:rsidRDefault="00833396" w:rsidP="00833396">
      <w:pPr>
        <w:tabs>
          <w:tab w:val="num" w:pos="1134"/>
        </w:tabs>
        <w:spacing w:before="20" w:afterLines="20" w:after="48"/>
        <w:ind w:left="1134" w:hanging="567"/>
        <w:rPr>
          <w:rFonts w:cs="Arial"/>
        </w:rPr>
      </w:pPr>
      <w:r w:rsidRPr="00041E70">
        <w:rPr>
          <w:rFonts w:cs="Arial"/>
        </w:rPr>
        <w:t>11.</w:t>
      </w:r>
      <w:r w:rsidRPr="00041E70">
        <w:rPr>
          <w:rFonts w:cs="Arial"/>
        </w:rPr>
        <w:tab/>
        <w:t>Recomendaciones sobre proyectos de directrices de examen</w:t>
      </w:r>
    </w:p>
    <w:p w:rsidR="00833396" w:rsidRPr="00041E70" w:rsidRDefault="00833396" w:rsidP="00833396">
      <w:pPr>
        <w:tabs>
          <w:tab w:val="num" w:pos="1134"/>
        </w:tabs>
        <w:spacing w:before="20" w:afterLines="20" w:after="48"/>
        <w:ind w:left="1134" w:hanging="567"/>
        <w:rPr>
          <w:rFonts w:cs="Arial"/>
        </w:rPr>
      </w:pPr>
      <w:r w:rsidRPr="00041E70">
        <w:rPr>
          <w:rFonts w:cs="Arial"/>
        </w:rPr>
        <w:t>12.</w:t>
      </w:r>
      <w:r w:rsidRPr="00041E70">
        <w:rPr>
          <w:rFonts w:cs="Arial"/>
        </w:rPr>
        <w:tab/>
        <w:t>Orientación para los redactores de las directrices de examen</w:t>
      </w:r>
    </w:p>
    <w:p w:rsidR="00833396" w:rsidRPr="00041E70" w:rsidRDefault="00833396" w:rsidP="00833396">
      <w:pPr>
        <w:tabs>
          <w:tab w:val="num" w:pos="1134"/>
        </w:tabs>
        <w:spacing w:before="20" w:afterLines="20" w:after="48"/>
        <w:ind w:left="1134" w:hanging="567"/>
        <w:rPr>
          <w:rFonts w:cs="Arial"/>
        </w:rPr>
      </w:pPr>
      <w:r w:rsidRPr="00041E70">
        <w:rPr>
          <w:rFonts w:cs="Arial"/>
        </w:rPr>
        <w:t>13.</w:t>
      </w:r>
      <w:r w:rsidRPr="00041E70">
        <w:rPr>
          <w:rFonts w:cs="Arial"/>
        </w:rPr>
        <w:tab/>
        <w:t>Fecha y lugar de la siguiente reunión</w:t>
      </w:r>
    </w:p>
    <w:p w:rsidR="00833396" w:rsidRPr="00041E70" w:rsidRDefault="00833396" w:rsidP="00833396">
      <w:pPr>
        <w:tabs>
          <w:tab w:val="num" w:pos="1134"/>
        </w:tabs>
        <w:spacing w:before="20" w:afterLines="20" w:after="48"/>
        <w:ind w:left="1134" w:hanging="567"/>
        <w:rPr>
          <w:rFonts w:cs="Arial"/>
        </w:rPr>
      </w:pPr>
      <w:r w:rsidRPr="00041E70">
        <w:rPr>
          <w:rFonts w:cs="Arial"/>
        </w:rPr>
        <w:t>14.</w:t>
      </w:r>
      <w:r w:rsidRPr="00041E70">
        <w:rPr>
          <w:rFonts w:cs="Arial"/>
        </w:rPr>
        <w:tab/>
        <w:t>Programa futuro</w:t>
      </w:r>
    </w:p>
    <w:p w:rsidR="00833396" w:rsidRPr="00041E70" w:rsidRDefault="00833396" w:rsidP="00833396">
      <w:pPr>
        <w:tabs>
          <w:tab w:val="num" w:pos="1134"/>
        </w:tabs>
        <w:spacing w:before="20" w:afterLines="20" w:after="48"/>
        <w:ind w:left="1134" w:hanging="567"/>
        <w:rPr>
          <w:rFonts w:cs="Arial"/>
        </w:rPr>
      </w:pPr>
      <w:r w:rsidRPr="00041E70">
        <w:rPr>
          <w:rFonts w:cs="Arial"/>
        </w:rPr>
        <w:t>15.</w:t>
      </w:r>
      <w:r w:rsidRPr="00041E70">
        <w:rPr>
          <w:rFonts w:cs="Arial"/>
        </w:rPr>
        <w:tab/>
        <w:t>Informe de la reunión (si se dispone de tiempo suficiente)</w:t>
      </w:r>
    </w:p>
    <w:p w:rsidR="00833396" w:rsidRPr="00041E70" w:rsidRDefault="00833396" w:rsidP="00833396">
      <w:pPr>
        <w:tabs>
          <w:tab w:val="num" w:pos="1134"/>
        </w:tabs>
        <w:spacing w:before="20" w:afterLines="20" w:after="48"/>
        <w:ind w:left="1134" w:hanging="567"/>
        <w:rPr>
          <w:rFonts w:cs="Arial"/>
        </w:rPr>
      </w:pPr>
      <w:r w:rsidRPr="00041E70">
        <w:rPr>
          <w:rFonts w:cs="Arial"/>
        </w:rPr>
        <w:t>16.</w:t>
      </w:r>
      <w:r w:rsidRPr="00041E70">
        <w:rPr>
          <w:rFonts w:cs="Arial"/>
        </w:rPr>
        <w:tab/>
        <w:t>Clausura de la reunión</w:t>
      </w:r>
    </w:p>
    <w:p w:rsidR="00833396" w:rsidRPr="00041E70" w:rsidRDefault="00833396" w:rsidP="00833396">
      <w:pPr>
        <w:rPr>
          <w:rFonts w:cs="Arial"/>
          <w:color w:val="000000"/>
        </w:rPr>
      </w:pPr>
    </w:p>
    <w:p w:rsidR="00833396" w:rsidRPr="00041E70" w:rsidRDefault="00833396" w:rsidP="00833396">
      <w:pPr>
        <w:rPr>
          <w:rFonts w:cs="Arial"/>
          <w:color w:val="000000"/>
        </w:rPr>
      </w:pPr>
      <w:r w:rsidRPr="00041E70">
        <w:rPr>
          <w:rFonts w:cs="Arial"/>
          <w:color w:val="000000"/>
        </w:rPr>
        <w:fldChar w:fldCharType="begin"/>
      </w:r>
      <w:r w:rsidRPr="00041E70">
        <w:rPr>
          <w:rFonts w:cs="Arial"/>
          <w:color w:val="000000"/>
        </w:rPr>
        <w:instrText xml:space="preserve"> AUTONUM  </w:instrText>
      </w:r>
      <w:r w:rsidRPr="00041E70">
        <w:rPr>
          <w:rFonts w:cs="Arial"/>
          <w:color w:val="000000"/>
        </w:rPr>
        <w:fldChar w:fldCharType="end"/>
      </w:r>
      <w:r w:rsidRPr="00041E70">
        <w:rPr>
          <w:rFonts w:cs="Arial"/>
          <w:color w:val="000000"/>
        </w:rPr>
        <w:tab/>
        <w:t xml:space="preserve">El 19 de noviembre de 2014, el TWA visitó la estación experimental agropecuaria del Instituto Nacional de Tecnología Agropecuaria (INTA) en Balcarce.  El TWA visitó también una planta de tratamiento de semillas de maíz, trigo, girasol y soja de la empresa </w:t>
      </w:r>
      <w:proofErr w:type="spellStart"/>
      <w:r w:rsidRPr="00041E70">
        <w:rPr>
          <w:rFonts w:cs="Arial"/>
          <w:color w:val="000000"/>
        </w:rPr>
        <w:t>semillera</w:t>
      </w:r>
      <w:proofErr w:type="spellEnd"/>
      <w:r w:rsidRPr="00041E70">
        <w:rPr>
          <w:rFonts w:cs="Arial"/>
          <w:color w:val="000000"/>
        </w:rPr>
        <w:t xml:space="preserve"> </w:t>
      </w:r>
      <w:proofErr w:type="spellStart"/>
      <w:r w:rsidRPr="00041E70">
        <w:rPr>
          <w:rFonts w:cs="Arial"/>
          <w:color w:val="000000"/>
        </w:rPr>
        <w:t>Nidera</w:t>
      </w:r>
      <w:proofErr w:type="spellEnd"/>
      <w:r w:rsidRPr="00041E70">
        <w:rPr>
          <w:rFonts w:cs="Arial"/>
          <w:color w:val="000000"/>
        </w:rPr>
        <w:t>, así como los ensayos en cultivo del programa de fitomejoramiento del trigo.</w:t>
      </w:r>
    </w:p>
    <w:p w:rsidR="00833396" w:rsidRPr="00041E70" w:rsidRDefault="00833396" w:rsidP="00833396">
      <w:pPr>
        <w:contextualSpacing/>
        <w:rPr>
          <w:rFonts w:cs="Arial"/>
          <w:color w:val="000000"/>
        </w:rPr>
      </w:pPr>
    </w:p>
    <w:p w:rsidR="00833396" w:rsidRPr="00041E70" w:rsidRDefault="00833396" w:rsidP="00833396">
      <w:pPr>
        <w:contextualSpacing/>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Se concedió a la Sra. </w:t>
      </w:r>
      <w:proofErr w:type="spellStart"/>
      <w:r w:rsidRPr="00041E70">
        <w:rPr>
          <w:rFonts w:cs="Arial"/>
        </w:rPr>
        <w:t>Robyn</w:t>
      </w:r>
      <w:proofErr w:type="spellEnd"/>
      <w:r w:rsidRPr="00041E70">
        <w:rPr>
          <w:rFonts w:cs="Arial"/>
        </w:rPr>
        <w:t xml:space="preserve"> </w:t>
      </w:r>
      <w:proofErr w:type="spellStart"/>
      <w:r w:rsidRPr="00041E70">
        <w:rPr>
          <w:rFonts w:cs="Arial"/>
        </w:rPr>
        <w:t>Hierse</w:t>
      </w:r>
      <w:proofErr w:type="spellEnd"/>
      <w:r w:rsidRPr="00041E70">
        <w:rPr>
          <w:rFonts w:cs="Arial"/>
        </w:rPr>
        <w:t xml:space="preserve"> la medalla de bronce de la UPOV en reconocimiento a su labor como Presidenta del TWA desde 2012 hasta 2014.</w:t>
      </w:r>
    </w:p>
    <w:p w:rsidR="00833396" w:rsidRPr="00041E70" w:rsidRDefault="00833396" w:rsidP="00833396">
      <w:pPr>
        <w:contextualSpacing/>
        <w:rPr>
          <w:rFonts w:cs="Arial"/>
          <w:color w:val="000000"/>
        </w:rPr>
      </w:pPr>
    </w:p>
    <w:p w:rsidR="00833396" w:rsidRPr="00041E70" w:rsidRDefault="00833396" w:rsidP="00833396">
      <w:pPr>
        <w:pStyle w:val="Heading2"/>
      </w:pPr>
    </w:p>
    <w:p w:rsidR="00833396" w:rsidRPr="00041E70" w:rsidRDefault="00833396" w:rsidP="00041E70">
      <w:pPr>
        <w:pStyle w:val="Heading2"/>
      </w:pPr>
      <w:bookmarkStart w:id="59" w:name="_Toc429150785"/>
      <w:r w:rsidRPr="00041E70">
        <w:t>Grupo de Trabajo Técnico sobre Automatización y Programas Informáticos</w:t>
      </w:r>
      <w:r w:rsidR="00041E70" w:rsidRPr="00041E70">
        <w:t xml:space="preserve"> (TWC)</w:t>
      </w:r>
      <w:bookmarkEnd w:id="59"/>
    </w:p>
    <w:p w:rsidR="00833396" w:rsidRPr="00041E70" w:rsidRDefault="00833396" w:rsidP="00833396">
      <w:pPr>
        <w:pStyle w:val="Heading2"/>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 xml:space="preserve">El TWC celebró su trigésima segunda sesión en Helsinki (Finlandia) del 3 al 6 de junio de 2014, bajo la presidencia del Sr. Sami </w:t>
      </w:r>
      <w:proofErr w:type="spellStart"/>
      <w:r w:rsidRPr="00041E70">
        <w:rPr>
          <w:rFonts w:cs="Arial"/>
        </w:rPr>
        <w:t>Markkanen</w:t>
      </w:r>
      <w:proofErr w:type="spellEnd"/>
      <w:r w:rsidRPr="00041E70">
        <w:rPr>
          <w:rFonts w:cs="Arial"/>
        </w:rPr>
        <w:t xml:space="preserve"> (Finlandia), Presidente del TWC. </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Asistieron a la reunión 27 participantes procedentes de 15 miembros de la Unión.  El taller preparatorio, al que asistieron 15 participantes procedentes de nueve miembros de la Unión, se celebró en la tarde del lunes 2 de junio.</w:t>
      </w:r>
    </w:p>
    <w:p w:rsidR="00833396" w:rsidRPr="00041E70" w:rsidRDefault="00833396" w:rsidP="00833396">
      <w:pPr>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Dieron la bienvenida al TWC la Sra. </w:t>
      </w:r>
      <w:proofErr w:type="spellStart"/>
      <w:r w:rsidRPr="00041E70">
        <w:rPr>
          <w:rFonts w:cs="Arial"/>
        </w:rPr>
        <w:t>Riitta</w:t>
      </w:r>
      <w:proofErr w:type="spellEnd"/>
      <w:r w:rsidRPr="00041E70">
        <w:rPr>
          <w:rFonts w:cs="Arial"/>
        </w:rPr>
        <w:t xml:space="preserve"> </w:t>
      </w:r>
      <w:proofErr w:type="spellStart"/>
      <w:r w:rsidRPr="00041E70">
        <w:rPr>
          <w:rFonts w:cs="Arial"/>
        </w:rPr>
        <w:t>Heinonen</w:t>
      </w:r>
      <w:proofErr w:type="spellEnd"/>
      <w:r w:rsidRPr="00041E70">
        <w:rPr>
          <w:rFonts w:cs="Arial"/>
        </w:rPr>
        <w:t>, Directora General Adjunta del Ministerio de Agricultura y Silvicultura de Finlandia, y la Sra. </w:t>
      </w:r>
      <w:proofErr w:type="spellStart"/>
      <w:r w:rsidRPr="00041E70">
        <w:rPr>
          <w:rFonts w:cs="Arial"/>
        </w:rPr>
        <w:t>Marja</w:t>
      </w:r>
      <w:proofErr w:type="spellEnd"/>
      <w:r w:rsidRPr="00041E70">
        <w:rPr>
          <w:rFonts w:cs="Arial"/>
        </w:rPr>
        <w:t xml:space="preserve"> </w:t>
      </w:r>
      <w:proofErr w:type="spellStart"/>
      <w:r w:rsidRPr="00041E70">
        <w:rPr>
          <w:rFonts w:cs="Arial"/>
        </w:rPr>
        <w:t>Savonmaki</w:t>
      </w:r>
      <w:proofErr w:type="spellEnd"/>
      <w:r w:rsidRPr="00041E70">
        <w:rPr>
          <w:rFonts w:cs="Arial"/>
        </w:rPr>
        <w:t xml:space="preserve">, Especialista Principal del Ministerio de Agricultura y Silvicultura de Finlandia.  El TWC asistió a una ponencia sobre el sistema de protección de las obtenciones vegetales en Finlandia a cargo de la Sra. Tarja </w:t>
      </w:r>
      <w:proofErr w:type="spellStart"/>
      <w:r w:rsidRPr="00041E70">
        <w:rPr>
          <w:rFonts w:cs="Arial"/>
        </w:rPr>
        <w:t>Hietaranta</w:t>
      </w:r>
      <w:proofErr w:type="spellEnd"/>
      <w:r w:rsidRPr="00041E70">
        <w:rPr>
          <w:rFonts w:cs="Arial"/>
        </w:rPr>
        <w:t xml:space="preserve">, Funcionaria Principal de la Unidad de Certificación de Semillas del Servicio de Seguridad Alimentaria de Finlandia. </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TWA tomó nota de que la información proporcionada por miembros y observadores sobre los avances logrados en la protección de variedades vegetales figura en el documento TWA/32/26 “</w:t>
      </w:r>
      <w:proofErr w:type="spellStart"/>
      <w:r w:rsidRPr="00041E70">
        <w:rPr>
          <w:rFonts w:cs="Arial"/>
          <w:i/>
        </w:rPr>
        <w:t>Reports</w:t>
      </w:r>
      <w:proofErr w:type="spellEnd"/>
      <w:r w:rsidRPr="00041E70">
        <w:rPr>
          <w:rFonts w:cs="Arial"/>
          <w:i/>
        </w:rPr>
        <w:t xml:space="preserve"> </w:t>
      </w:r>
      <w:proofErr w:type="spellStart"/>
      <w:r w:rsidRPr="00041E70">
        <w:rPr>
          <w:rFonts w:cs="Arial"/>
          <w:i/>
        </w:rPr>
        <w:t>on</w:t>
      </w:r>
      <w:proofErr w:type="spellEnd"/>
      <w:r w:rsidRPr="00041E70">
        <w:rPr>
          <w:rFonts w:cs="Arial"/>
          <w:i/>
        </w:rPr>
        <w:t xml:space="preserve"> </w:t>
      </w:r>
      <w:proofErr w:type="spellStart"/>
      <w:r w:rsidRPr="00041E70">
        <w:rPr>
          <w:rFonts w:cs="Arial"/>
          <w:i/>
        </w:rPr>
        <w:t>Development</w:t>
      </w:r>
      <w:proofErr w:type="spellEnd"/>
      <w:r w:rsidRPr="00041E70">
        <w:rPr>
          <w:rFonts w:cs="Arial"/>
          <w:i/>
        </w:rPr>
        <w:t xml:space="preserve"> in </w:t>
      </w:r>
      <w:proofErr w:type="spellStart"/>
      <w:r w:rsidRPr="00041E70">
        <w:rPr>
          <w:rFonts w:cs="Arial"/>
          <w:i/>
        </w:rPr>
        <w:t>Plant</w:t>
      </w:r>
      <w:proofErr w:type="spellEnd"/>
      <w:r w:rsidRPr="00041E70">
        <w:rPr>
          <w:rFonts w:cs="Arial"/>
          <w:i/>
        </w:rPr>
        <w:t xml:space="preserve"> </w:t>
      </w:r>
      <w:proofErr w:type="spellStart"/>
      <w:r w:rsidRPr="00041E70">
        <w:rPr>
          <w:rFonts w:cs="Arial"/>
          <w:i/>
        </w:rPr>
        <w:t>Variety</w:t>
      </w:r>
      <w:proofErr w:type="spellEnd"/>
      <w:r w:rsidRPr="00041E70">
        <w:rPr>
          <w:rFonts w:cs="Arial"/>
          <w:i/>
        </w:rPr>
        <w:t xml:space="preserve"> </w:t>
      </w:r>
      <w:proofErr w:type="spellStart"/>
      <w:r w:rsidRPr="00041E70">
        <w:rPr>
          <w:rFonts w:cs="Arial"/>
          <w:i/>
        </w:rPr>
        <w:t>Protection</w:t>
      </w:r>
      <w:proofErr w:type="spellEnd"/>
      <w:r w:rsidRPr="00041E70">
        <w:rPr>
          <w:rFonts w:cs="Arial"/>
          <w:i/>
        </w:rPr>
        <w:t xml:space="preserve"> </w:t>
      </w:r>
      <w:proofErr w:type="spellStart"/>
      <w:r w:rsidRPr="00041E70">
        <w:rPr>
          <w:rFonts w:cs="Arial"/>
          <w:i/>
        </w:rPr>
        <w:t>from</w:t>
      </w:r>
      <w:proofErr w:type="spellEnd"/>
      <w:r w:rsidRPr="00041E70">
        <w:rPr>
          <w:rFonts w:cs="Arial"/>
          <w:i/>
        </w:rPr>
        <w:t xml:space="preserve"> </w:t>
      </w:r>
      <w:proofErr w:type="spellStart"/>
      <w:r w:rsidRPr="00041E70">
        <w:rPr>
          <w:rFonts w:cs="Arial"/>
          <w:i/>
        </w:rPr>
        <w:t>Members</w:t>
      </w:r>
      <w:proofErr w:type="spellEnd"/>
      <w:r w:rsidRPr="00041E70">
        <w:rPr>
          <w:rFonts w:cs="Arial"/>
          <w:i/>
        </w:rPr>
        <w:t xml:space="preserve"> and </w:t>
      </w:r>
      <w:proofErr w:type="spellStart"/>
      <w:r w:rsidRPr="00041E70">
        <w:rPr>
          <w:rFonts w:cs="Arial"/>
          <w:i/>
        </w:rPr>
        <w:t>Observers</w:t>
      </w:r>
      <w:proofErr w:type="spellEnd"/>
      <w:r w:rsidRPr="00041E70">
        <w:rPr>
          <w:rFonts w:cs="Arial"/>
        </w:rPr>
        <w:t xml:space="preserve">” (Informes de miembros y observadores sobre los avances logrados en la protección de las variedades vegetales).  Asimismo, el TWC escuchó una ponencia de la Oficina de la Unión sobre las novedades más recientes acaecidas en la UPOV (documento TWC/32/24).  </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TWC examinó los documentos TWC/32/16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Document</w:t>
      </w:r>
      <w:proofErr w:type="spellEnd"/>
      <w:r w:rsidRPr="00041E70">
        <w:rPr>
          <w:rFonts w:cs="Arial"/>
          <w:i/>
        </w:rPr>
        <w:t xml:space="preserve"> TGP/8: </w:t>
      </w:r>
      <w:proofErr w:type="spellStart"/>
      <w:r w:rsidRPr="00041E70">
        <w:rPr>
          <w:rFonts w:cs="Arial"/>
          <w:i/>
        </w:rPr>
        <w:t>Part</w:t>
      </w:r>
      <w:proofErr w:type="spellEnd"/>
      <w:r w:rsidRPr="00041E70">
        <w:rPr>
          <w:rFonts w:cs="Arial"/>
          <w:i/>
        </w:rPr>
        <w:t xml:space="preserve"> II: </w:t>
      </w:r>
      <w:proofErr w:type="spellStart"/>
      <w:r w:rsidRPr="00041E70">
        <w:rPr>
          <w:rFonts w:cs="Arial"/>
          <w:i/>
        </w:rPr>
        <w:t>Selected</w:t>
      </w:r>
      <w:proofErr w:type="spellEnd"/>
      <w:r w:rsidRPr="00041E70">
        <w:rPr>
          <w:rFonts w:cs="Arial"/>
          <w:i/>
        </w:rPr>
        <w:t xml:space="preserve"> </w:t>
      </w:r>
      <w:proofErr w:type="spellStart"/>
      <w:r w:rsidRPr="00041E70">
        <w:rPr>
          <w:rFonts w:cs="Arial"/>
          <w:i/>
        </w:rPr>
        <w:t>Techniques</w:t>
      </w:r>
      <w:proofErr w:type="spellEnd"/>
      <w:r w:rsidRPr="00041E70">
        <w:rPr>
          <w:rFonts w:cs="Arial"/>
          <w:i/>
        </w:rPr>
        <w:t xml:space="preserve"> </w:t>
      </w:r>
      <w:proofErr w:type="spellStart"/>
      <w:r w:rsidRPr="00041E70">
        <w:rPr>
          <w:rFonts w:cs="Arial"/>
          <w:i/>
        </w:rPr>
        <w:t>used</w:t>
      </w:r>
      <w:proofErr w:type="spellEnd"/>
      <w:r w:rsidRPr="00041E70">
        <w:rPr>
          <w:rFonts w:cs="Arial"/>
          <w:i/>
        </w:rPr>
        <w:t xml:space="preserve"> in DUS </w:t>
      </w:r>
      <w:proofErr w:type="spellStart"/>
      <w:r w:rsidRPr="00041E70">
        <w:rPr>
          <w:rFonts w:cs="Arial"/>
          <w:i/>
        </w:rPr>
        <w:t>Examination</w:t>
      </w:r>
      <w:proofErr w:type="spellEnd"/>
      <w:r w:rsidRPr="00041E70">
        <w:rPr>
          <w:rFonts w:cs="Arial"/>
          <w:i/>
        </w:rPr>
        <w:t xml:space="preserve">, </w:t>
      </w:r>
      <w:proofErr w:type="spellStart"/>
      <w:r w:rsidRPr="00041E70">
        <w:rPr>
          <w:rFonts w:cs="Arial"/>
          <w:i/>
        </w:rPr>
        <w:t>Section</w:t>
      </w:r>
      <w:proofErr w:type="spellEnd"/>
      <w:r w:rsidRPr="00041E70">
        <w:rPr>
          <w:rFonts w:cs="Arial"/>
          <w:i/>
        </w:rPr>
        <w:t xml:space="preserve"> 3: </w:t>
      </w:r>
      <w:proofErr w:type="spellStart"/>
      <w:r w:rsidRPr="00041E70">
        <w:rPr>
          <w:rFonts w:cs="Arial"/>
          <w:i/>
        </w:rPr>
        <w:t>Method</w:t>
      </w:r>
      <w:proofErr w:type="spellEnd"/>
      <w:r w:rsidRPr="00041E70">
        <w:rPr>
          <w:rFonts w:cs="Arial"/>
          <w:i/>
        </w:rPr>
        <w:t xml:space="preserve"> of </w:t>
      </w:r>
      <w:proofErr w:type="spellStart"/>
      <w:r w:rsidRPr="00041E70">
        <w:rPr>
          <w:rFonts w:cs="Arial"/>
          <w:i/>
        </w:rPr>
        <w:t>Calculation</w:t>
      </w:r>
      <w:proofErr w:type="spellEnd"/>
      <w:r w:rsidRPr="00041E70">
        <w:rPr>
          <w:rFonts w:cs="Arial"/>
          <w:i/>
        </w:rPr>
        <w:t xml:space="preserve"> of COYU</w:t>
      </w:r>
      <w:r w:rsidRPr="00041E70">
        <w:rPr>
          <w:rFonts w:cs="Arial"/>
        </w:rPr>
        <w:t>” (Revisión del documento TGP/8</w:t>
      </w:r>
      <w:proofErr w:type="gramStart"/>
      <w:r w:rsidRPr="00041E70">
        <w:rPr>
          <w:rFonts w:cs="Arial"/>
        </w:rPr>
        <w:t>:  Parte</w:t>
      </w:r>
      <w:proofErr w:type="gramEnd"/>
      <w:r w:rsidRPr="00041E70">
        <w:rPr>
          <w:rFonts w:cs="Arial"/>
        </w:rPr>
        <w:t> II:  Técnicas utilizadas en el examen DHE, Sección 3:  Método de cálculo del COYU) y TWC/32/16 </w:t>
      </w:r>
      <w:proofErr w:type="spellStart"/>
      <w:r w:rsidRPr="00041E70">
        <w:rPr>
          <w:rFonts w:cs="Arial"/>
        </w:rPr>
        <w:t>Add</w:t>
      </w:r>
      <w:proofErr w:type="spellEnd"/>
      <w:r w:rsidRPr="00041E70">
        <w:rPr>
          <w:rFonts w:cs="Arial"/>
        </w:rPr>
        <w:t xml:space="preserve">. </w:t>
      </w:r>
      <w:r w:rsidRPr="002A7B40">
        <w:rPr>
          <w:rFonts w:cs="Arial"/>
          <w:lang w:val="en-US"/>
        </w:rPr>
        <w:t>“</w:t>
      </w:r>
      <w:r w:rsidRPr="002A7B40">
        <w:rPr>
          <w:rFonts w:cs="Arial"/>
          <w:i/>
          <w:lang w:val="en-US"/>
        </w:rPr>
        <w:t>Addendum to Development of the Combined-Over-Year Uniformity Criterion</w:t>
      </w:r>
      <w:r w:rsidRPr="002A7B40">
        <w:rPr>
          <w:rFonts w:cs="Arial"/>
          <w:lang w:val="en-US"/>
        </w:rPr>
        <w:t xml:space="preserve">” (Adición al Criterio combinado interanual de homogeneidad).  </w:t>
      </w:r>
      <w:r w:rsidRPr="00041E70">
        <w:rPr>
          <w:rFonts w:cs="Arial"/>
        </w:rPr>
        <w:t>Un experto del Reino Unido presentó una ponencia.  Se recordó que el actual método de cálculo del COYU es demasiado riguroso, debido al método de suavizado usado y de que, para compensarlo, se aplican niveles de probabilidad muy bajos.  En su trigésima primera reunión, el TWC convino en que el sesgo del actual método de cálculo del COYU se puede corregir cambiando el método de suavizado de “medias móviles” por un suavizado mediante “</w:t>
      </w:r>
      <w:proofErr w:type="spellStart"/>
      <w:r w:rsidRPr="00041E70">
        <w:rPr>
          <w:rFonts w:cs="Arial"/>
          <w:i/>
        </w:rPr>
        <w:t>splines</w:t>
      </w:r>
      <w:proofErr w:type="spellEnd"/>
      <w:r w:rsidRPr="00041E70">
        <w:rPr>
          <w:rFonts w:cs="Arial"/>
        </w:rPr>
        <w:t xml:space="preserve"> cúbicos”.  El experto del Reino Unido realizó una demostración de un módulo del programa informático DUST que incorpora una versión modificada del COYU en la que se emplea el suavizado mediante </w:t>
      </w:r>
      <w:proofErr w:type="spellStart"/>
      <w:r w:rsidRPr="00041E70">
        <w:rPr>
          <w:rFonts w:cs="Arial"/>
          <w:i/>
        </w:rPr>
        <w:t>splines</w:t>
      </w:r>
      <w:proofErr w:type="spellEnd"/>
      <w:r w:rsidRPr="00041E70">
        <w:rPr>
          <w:rFonts w:cs="Arial"/>
        </w:rPr>
        <w:t xml:space="preserve">.  El TWC convino en invitar a otros expertos a evaluar el nuevo método y el programa informático.  El programa informático se pondrá a disposición de los expertos interesados en el DUST, así como de los que utilicen el conjunto de programas informáticos “R”.  El TWC convino en que los participantes deben procurar determinar niveles de probabilidad para que las decisiones sean equiparables a las tomadas con el anterior método de cálculo del COYU, con la finalidad de que haya una continuidad en las decisiones.  El TWC acordó que los participantes de este ejercicio práctico enviarían al experto del Reino Unido un informe sobre su experiencia, a más tardar el 15 de marzo de 2015, y que el experto del Reino Unido recopilaría la información para presentarla en la trigésima tercera sesión del TWC. </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TWC examinó el documento TWC/32/18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document</w:t>
      </w:r>
      <w:proofErr w:type="spellEnd"/>
      <w:r w:rsidRPr="00041E70">
        <w:rPr>
          <w:rFonts w:cs="Arial"/>
          <w:i/>
        </w:rPr>
        <w:t xml:space="preserve"> TGP/8: </w:t>
      </w:r>
      <w:proofErr w:type="spellStart"/>
      <w:r w:rsidRPr="00041E70">
        <w:rPr>
          <w:rFonts w:cs="Arial"/>
          <w:i/>
        </w:rPr>
        <w:t>Part</w:t>
      </w:r>
      <w:proofErr w:type="spellEnd"/>
      <w:r w:rsidRPr="00041E70">
        <w:rPr>
          <w:rFonts w:cs="Arial"/>
          <w:i/>
        </w:rPr>
        <w:t xml:space="preserve"> II: </w:t>
      </w:r>
      <w:proofErr w:type="spellStart"/>
      <w:r w:rsidRPr="00041E70">
        <w:rPr>
          <w:rFonts w:cs="Arial"/>
          <w:i/>
        </w:rPr>
        <w:t>Selected</w:t>
      </w:r>
      <w:proofErr w:type="spellEnd"/>
      <w:r w:rsidRPr="00041E70">
        <w:rPr>
          <w:rFonts w:cs="Arial"/>
          <w:i/>
        </w:rPr>
        <w:t xml:space="preserve"> </w:t>
      </w:r>
      <w:proofErr w:type="spellStart"/>
      <w:r w:rsidRPr="00041E70">
        <w:rPr>
          <w:rFonts w:cs="Arial"/>
          <w:i/>
        </w:rPr>
        <w:t>Techniques</w:t>
      </w:r>
      <w:proofErr w:type="spellEnd"/>
      <w:r w:rsidRPr="00041E70">
        <w:rPr>
          <w:rFonts w:cs="Arial"/>
          <w:i/>
        </w:rPr>
        <w:t xml:space="preserve"> </w:t>
      </w:r>
      <w:proofErr w:type="spellStart"/>
      <w:r w:rsidRPr="00041E70">
        <w:rPr>
          <w:rFonts w:cs="Arial"/>
          <w:i/>
        </w:rPr>
        <w:t>Used</w:t>
      </w:r>
      <w:proofErr w:type="spellEnd"/>
      <w:r w:rsidRPr="00041E70">
        <w:rPr>
          <w:rFonts w:cs="Arial"/>
          <w:i/>
        </w:rPr>
        <w:t xml:space="preserve"> in DUS </w:t>
      </w:r>
      <w:proofErr w:type="spellStart"/>
      <w:r w:rsidRPr="00041E70">
        <w:rPr>
          <w:rFonts w:cs="Arial"/>
          <w:i/>
        </w:rPr>
        <w:t>Examination</w:t>
      </w:r>
      <w:proofErr w:type="spellEnd"/>
      <w:r w:rsidRPr="00041E70">
        <w:rPr>
          <w:rFonts w:cs="Arial"/>
          <w:i/>
        </w:rPr>
        <w:t xml:space="preserve">, New </w:t>
      </w:r>
      <w:proofErr w:type="spellStart"/>
      <w:r w:rsidRPr="00041E70">
        <w:rPr>
          <w:rFonts w:cs="Arial"/>
          <w:i/>
        </w:rPr>
        <w:t>Section</w:t>
      </w:r>
      <w:proofErr w:type="spellEnd"/>
      <w:r w:rsidRPr="00041E70">
        <w:rPr>
          <w:rFonts w:cs="Arial"/>
          <w:i/>
        </w:rPr>
        <w:t xml:space="preserve">: Data </w:t>
      </w:r>
      <w:proofErr w:type="spellStart"/>
      <w:r w:rsidRPr="00041E70">
        <w:rPr>
          <w:rFonts w:cs="Arial"/>
          <w:i/>
        </w:rPr>
        <w:t>Processing</w:t>
      </w:r>
      <w:proofErr w:type="spellEnd"/>
      <w:r w:rsidRPr="00041E70">
        <w:rPr>
          <w:rFonts w:cs="Arial"/>
          <w:i/>
        </w:rPr>
        <w:t xml:space="preserve"> </w:t>
      </w:r>
      <w:proofErr w:type="spellStart"/>
      <w:r w:rsidRPr="00041E70">
        <w:rPr>
          <w:rFonts w:cs="Arial"/>
          <w:i/>
        </w:rPr>
        <w:t>for</w:t>
      </w:r>
      <w:proofErr w:type="spellEnd"/>
      <w:r w:rsidRPr="00041E70">
        <w:rPr>
          <w:rFonts w:cs="Arial"/>
          <w:i/>
        </w:rPr>
        <w:t xml:space="preserve"> </w:t>
      </w:r>
      <w:proofErr w:type="spellStart"/>
      <w:r w:rsidRPr="00041E70">
        <w:rPr>
          <w:rFonts w:cs="Arial"/>
          <w:i/>
        </w:rPr>
        <w:t>the</w:t>
      </w:r>
      <w:proofErr w:type="spellEnd"/>
      <w:r w:rsidRPr="00041E70">
        <w:rPr>
          <w:rFonts w:cs="Arial"/>
          <w:i/>
        </w:rPr>
        <w:t xml:space="preserve"> </w:t>
      </w:r>
      <w:proofErr w:type="spellStart"/>
      <w:r w:rsidRPr="00041E70">
        <w:rPr>
          <w:rFonts w:cs="Arial"/>
          <w:i/>
        </w:rPr>
        <w:t>Assessment</w:t>
      </w:r>
      <w:proofErr w:type="spellEnd"/>
      <w:r w:rsidRPr="00041E70">
        <w:rPr>
          <w:rFonts w:cs="Arial"/>
          <w:i/>
        </w:rPr>
        <w:t xml:space="preserve"> of </w:t>
      </w:r>
      <w:proofErr w:type="spellStart"/>
      <w:r w:rsidRPr="00041E70">
        <w:rPr>
          <w:rFonts w:cs="Arial"/>
          <w:i/>
        </w:rPr>
        <w:t>Distinctness</w:t>
      </w:r>
      <w:proofErr w:type="spellEnd"/>
      <w:r w:rsidRPr="00041E70">
        <w:rPr>
          <w:rFonts w:cs="Arial"/>
          <w:i/>
        </w:rPr>
        <w:t xml:space="preserve"> and </w:t>
      </w:r>
      <w:proofErr w:type="spellStart"/>
      <w:r w:rsidRPr="00041E70">
        <w:rPr>
          <w:rFonts w:cs="Arial"/>
          <w:i/>
        </w:rPr>
        <w:t>for</w:t>
      </w:r>
      <w:proofErr w:type="spellEnd"/>
      <w:r w:rsidRPr="00041E70">
        <w:rPr>
          <w:rFonts w:cs="Arial"/>
          <w:i/>
        </w:rPr>
        <w:t xml:space="preserve"> </w:t>
      </w:r>
      <w:proofErr w:type="spellStart"/>
      <w:r w:rsidRPr="00041E70">
        <w:rPr>
          <w:rFonts w:cs="Arial"/>
          <w:i/>
        </w:rPr>
        <w:t>Producing</w:t>
      </w:r>
      <w:proofErr w:type="spellEnd"/>
      <w:r w:rsidRPr="00041E70">
        <w:rPr>
          <w:rFonts w:cs="Arial"/>
          <w:i/>
        </w:rPr>
        <w:t xml:space="preserve"> </w:t>
      </w:r>
      <w:proofErr w:type="spellStart"/>
      <w:r w:rsidRPr="00041E70">
        <w:rPr>
          <w:rFonts w:cs="Arial"/>
          <w:i/>
        </w:rPr>
        <w:t>Variety</w:t>
      </w:r>
      <w:proofErr w:type="spellEnd"/>
      <w:r w:rsidRPr="00041E70">
        <w:rPr>
          <w:rFonts w:cs="Arial"/>
          <w:i/>
        </w:rPr>
        <w:t xml:space="preserve"> </w:t>
      </w:r>
      <w:proofErr w:type="spellStart"/>
      <w:r w:rsidRPr="00041E70">
        <w:rPr>
          <w:rFonts w:cs="Arial"/>
          <w:i/>
        </w:rPr>
        <w:t>Descriptions</w:t>
      </w:r>
      <w:proofErr w:type="spellEnd"/>
      <w:r w:rsidRPr="00041E70">
        <w:rPr>
          <w:rFonts w:cs="Arial"/>
        </w:rPr>
        <w:t>” (Revisión del documento TGP/8</w:t>
      </w:r>
      <w:proofErr w:type="gramStart"/>
      <w:r w:rsidRPr="00041E70">
        <w:rPr>
          <w:rFonts w:cs="Arial"/>
        </w:rPr>
        <w:t>:  Parte</w:t>
      </w:r>
      <w:proofErr w:type="gramEnd"/>
      <w:r w:rsidRPr="00041E70">
        <w:rPr>
          <w:rFonts w:cs="Arial"/>
        </w:rPr>
        <w:t xml:space="preserve"> II:  Técnicas utilizadas en el examen DHE, nueva sección:  Tratamiento de datos para la evaluación de la distinción y la elaboración de descripciones de variedades).  En la adición a dicho documento se informa sobre un ejercicio práctico del empleo de un único carácter cuantitativo del lino como demostración de distintos métodos para elaborar una descripción de la variedad.  Participaron expertos de Alemania, Francia, Italia, el Japón y el Reino Unido.  El TWC </w:t>
      </w:r>
      <w:r w:rsidRPr="00041E70">
        <w:t xml:space="preserve">convino en solicitar a </w:t>
      </w:r>
      <w:r w:rsidRPr="00041E70">
        <w:rPr>
          <w:rFonts w:cs="Arial"/>
        </w:rPr>
        <w:t>un experto de Francia que utilice la información para aclarar los pasos necesarios en cada método y las diferencias entre ellos.  El TWC convino en que esta cuestión debe someterse a examen en la trigésima tercera sesión del TWC.  El TWC escuchó la ponencia de un experto de Italia sobre el método italiano de elaboración de las descripciones de variedades (Anexo III del documento TWC/32/18).  Asimismo, un experto de Alemania ofreció una explicación verbal del Anexo II “</w:t>
      </w:r>
      <w:proofErr w:type="spellStart"/>
      <w:r w:rsidRPr="00041E70">
        <w:rPr>
          <w:rFonts w:cs="Arial"/>
          <w:i/>
        </w:rPr>
        <w:t>Different</w:t>
      </w:r>
      <w:proofErr w:type="spellEnd"/>
      <w:r w:rsidRPr="00041E70">
        <w:rPr>
          <w:rFonts w:cs="Arial"/>
          <w:i/>
        </w:rPr>
        <w:t xml:space="preserve"> </w:t>
      </w:r>
      <w:proofErr w:type="spellStart"/>
      <w:r w:rsidRPr="00041E70">
        <w:rPr>
          <w:rFonts w:cs="Arial"/>
          <w:i/>
        </w:rPr>
        <w:t>forms</w:t>
      </w:r>
      <w:proofErr w:type="spellEnd"/>
      <w:r w:rsidRPr="00041E70">
        <w:rPr>
          <w:rFonts w:cs="Arial"/>
          <w:i/>
        </w:rPr>
        <w:t xml:space="preserve"> </w:t>
      </w:r>
      <w:proofErr w:type="spellStart"/>
      <w:r w:rsidRPr="00041E70">
        <w:rPr>
          <w:rFonts w:cs="Arial"/>
          <w:i/>
        </w:rPr>
        <w:t>that</w:t>
      </w:r>
      <w:proofErr w:type="spellEnd"/>
      <w:r w:rsidRPr="00041E70">
        <w:rPr>
          <w:rFonts w:cs="Arial"/>
          <w:i/>
        </w:rPr>
        <w:t xml:space="preserve"> </w:t>
      </w:r>
      <w:proofErr w:type="spellStart"/>
      <w:r w:rsidRPr="00041E70">
        <w:rPr>
          <w:rFonts w:cs="Arial"/>
          <w:i/>
        </w:rPr>
        <w:t>variety</w:t>
      </w:r>
      <w:proofErr w:type="spellEnd"/>
      <w:r w:rsidRPr="00041E70">
        <w:rPr>
          <w:rFonts w:cs="Arial"/>
          <w:i/>
        </w:rPr>
        <w:t xml:space="preserve"> </w:t>
      </w:r>
      <w:proofErr w:type="spellStart"/>
      <w:r w:rsidRPr="00041E70">
        <w:rPr>
          <w:rFonts w:cs="Arial"/>
          <w:i/>
        </w:rPr>
        <w:t>descriptions</w:t>
      </w:r>
      <w:proofErr w:type="spellEnd"/>
      <w:r w:rsidRPr="00041E70">
        <w:rPr>
          <w:rFonts w:cs="Arial"/>
          <w:i/>
        </w:rPr>
        <w:t xml:space="preserve"> </w:t>
      </w:r>
      <w:proofErr w:type="spellStart"/>
      <w:r w:rsidRPr="00041E70">
        <w:rPr>
          <w:rFonts w:cs="Arial"/>
          <w:i/>
        </w:rPr>
        <w:t>could</w:t>
      </w:r>
      <w:proofErr w:type="spellEnd"/>
      <w:r w:rsidRPr="00041E70">
        <w:rPr>
          <w:rFonts w:cs="Arial"/>
          <w:i/>
        </w:rPr>
        <w:t xml:space="preserve"> </w:t>
      </w:r>
      <w:proofErr w:type="spellStart"/>
      <w:r w:rsidRPr="00041E70">
        <w:rPr>
          <w:rFonts w:cs="Arial"/>
          <w:i/>
        </w:rPr>
        <w:t>take</w:t>
      </w:r>
      <w:proofErr w:type="spellEnd"/>
      <w:r w:rsidRPr="00041E70">
        <w:rPr>
          <w:rFonts w:cs="Arial"/>
          <w:i/>
        </w:rPr>
        <w:t xml:space="preserve"> and </w:t>
      </w:r>
      <w:proofErr w:type="spellStart"/>
      <w:r w:rsidRPr="00041E70">
        <w:rPr>
          <w:rFonts w:cs="Arial"/>
          <w:i/>
        </w:rPr>
        <w:t>the</w:t>
      </w:r>
      <w:proofErr w:type="spellEnd"/>
      <w:r w:rsidRPr="00041E70">
        <w:rPr>
          <w:rFonts w:cs="Arial"/>
          <w:i/>
        </w:rPr>
        <w:t xml:space="preserve"> </w:t>
      </w:r>
      <w:proofErr w:type="spellStart"/>
      <w:r w:rsidRPr="00041E70">
        <w:rPr>
          <w:rFonts w:cs="Arial"/>
          <w:i/>
        </w:rPr>
        <w:t>relevance</w:t>
      </w:r>
      <w:proofErr w:type="spellEnd"/>
      <w:r w:rsidRPr="00041E70">
        <w:rPr>
          <w:rFonts w:cs="Arial"/>
          <w:i/>
        </w:rPr>
        <w:t xml:space="preserve"> of </w:t>
      </w:r>
      <w:proofErr w:type="spellStart"/>
      <w:r w:rsidRPr="00041E70">
        <w:rPr>
          <w:rFonts w:cs="Arial"/>
          <w:i/>
        </w:rPr>
        <w:t>scale</w:t>
      </w:r>
      <w:proofErr w:type="spellEnd"/>
      <w:r w:rsidRPr="00041E70">
        <w:rPr>
          <w:rFonts w:cs="Arial"/>
          <w:i/>
        </w:rPr>
        <w:t xml:space="preserve"> </w:t>
      </w:r>
      <w:proofErr w:type="spellStart"/>
      <w:r w:rsidRPr="00041E70">
        <w:rPr>
          <w:rFonts w:cs="Arial"/>
          <w:i/>
        </w:rPr>
        <w:t>levels</w:t>
      </w:r>
      <w:proofErr w:type="spellEnd"/>
      <w:r w:rsidRPr="00041E70">
        <w:rPr>
          <w:rFonts w:cs="Arial"/>
        </w:rPr>
        <w:t xml:space="preserve">” (Diferentes formas que pueden adoptar las descripciones de variedades y la importancia de los niveles de escala), en el que se describe la relación entre los niveles de escala y las descripciones de variedades.  El TWC convino en que puede utilizarse como introducción para futuras orientaciones que se elaboren sobre las descripciones de variedades. </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 xml:space="preserve">El TWC asistió a una presentación de un experto de China sobre la “Variación de las descripciones de variedades con el paso de los años en distintos lugares”, que se expone en el Anexo I del documento TWC/32/6.  El TWC convino en que la información facilitada resulta útil para demostrar la estabilidad de algunos caracteres y para definir los caracteres de agrupamiento. </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 xml:space="preserve">El TWC asistió a una ponencia de un experto de los Países Bajos sobre el uso del carácter “contenido de </w:t>
      </w:r>
      <w:proofErr w:type="spellStart"/>
      <w:r w:rsidRPr="00041E70">
        <w:rPr>
          <w:rFonts w:cs="Arial"/>
        </w:rPr>
        <w:t>glucorrafanina</w:t>
      </w:r>
      <w:proofErr w:type="spellEnd"/>
      <w:r w:rsidRPr="00041E70">
        <w:rPr>
          <w:rFonts w:cs="Arial"/>
        </w:rPr>
        <w:t xml:space="preserve"> en el brécol” a partir de muestras en bloque, según consta en el Anexo del documento TWC/32/17.  El TWC convino en que para la validación de caracteres </w:t>
      </w:r>
      <w:r w:rsidRPr="00041E70">
        <w:t xml:space="preserve">a partir de </w:t>
      </w:r>
      <w:r w:rsidRPr="00041E70">
        <w:rPr>
          <w:rFonts w:cs="Arial"/>
        </w:rPr>
        <w:t>muestras en bloque debería considerarse el análisis de plantas individuales, pero señaló que ello podría repercutir en el costo.</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TWC examinó el documento TWC/32/21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Document</w:t>
      </w:r>
      <w:proofErr w:type="spellEnd"/>
      <w:r w:rsidRPr="00041E70">
        <w:rPr>
          <w:rFonts w:cs="Arial"/>
          <w:i/>
        </w:rPr>
        <w:t xml:space="preserve"> TGP/8: </w:t>
      </w:r>
      <w:proofErr w:type="spellStart"/>
      <w:r w:rsidRPr="00041E70">
        <w:rPr>
          <w:rFonts w:cs="Arial"/>
          <w:i/>
        </w:rPr>
        <w:t>Part</w:t>
      </w:r>
      <w:proofErr w:type="spellEnd"/>
      <w:r w:rsidRPr="00041E70">
        <w:rPr>
          <w:rFonts w:cs="Arial"/>
          <w:i/>
        </w:rPr>
        <w:t xml:space="preserve"> II: New </w:t>
      </w:r>
      <w:proofErr w:type="spellStart"/>
      <w:r w:rsidRPr="00041E70">
        <w:rPr>
          <w:rFonts w:cs="Arial"/>
          <w:i/>
        </w:rPr>
        <w:t>Section</w:t>
      </w:r>
      <w:proofErr w:type="spellEnd"/>
      <w:r w:rsidRPr="00041E70">
        <w:rPr>
          <w:rFonts w:cs="Arial"/>
          <w:i/>
        </w:rPr>
        <w:t xml:space="preserve">: </w:t>
      </w:r>
      <w:proofErr w:type="spellStart"/>
      <w:r w:rsidRPr="00041E70">
        <w:rPr>
          <w:rFonts w:cs="Arial"/>
          <w:i/>
        </w:rPr>
        <w:t>Statistical</w:t>
      </w:r>
      <w:proofErr w:type="spellEnd"/>
      <w:r w:rsidRPr="00041E70">
        <w:rPr>
          <w:rFonts w:cs="Arial"/>
          <w:i/>
        </w:rPr>
        <w:t xml:space="preserve"> </w:t>
      </w:r>
      <w:proofErr w:type="spellStart"/>
      <w:r w:rsidRPr="00041E70">
        <w:rPr>
          <w:rFonts w:cs="Arial"/>
          <w:i/>
        </w:rPr>
        <w:t>Methods</w:t>
      </w:r>
      <w:proofErr w:type="spellEnd"/>
      <w:r w:rsidRPr="00041E70">
        <w:rPr>
          <w:rFonts w:cs="Arial"/>
          <w:i/>
        </w:rPr>
        <w:t xml:space="preserve"> </w:t>
      </w:r>
      <w:proofErr w:type="spellStart"/>
      <w:r w:rsidRPr="00041E70">
        <w:rPr>
          <w:rFonts w:cs="Arial"/>
          <w:i/>
        </w:rPr>
        <w:t>for</w:t>
      </w:r>
      <w:proofErr w:type="spellEnd"/>
      <w:r w:rsidRPr="00041E70">
        <w:rPr>
          <w:rFonts w:cs="Arial"/>
          <w:i/>
        </w:rPr>
        <w:t xml:space="preserve"> </w:t>
      </w:r>
      <w:proofErr w:type="spellStart"/>
      <w:r w:rsidRPr="00041E70">
        <w:rPr>
          <w:rFonts w:cs="Arial"/>
          <w:i/>
        </w:rPr>
        <w:t>Visually</w:t>
      </w:r>
      <w:proofErr w:type="spellEnd"/>
      <w:r w:rsidRPr="00041E70">
        <w:rPr>
          <w:rFonts w:cs="Arial"/>
          <w:i/>
        </w:rPr>
        <w:t xml:space="preserve"> </w:t>
      </w:r>
      <w:proofErr w:type="spellStart"/>
      <w:r w:rsidRPr="00041E70">
        <w:rPr>
          <w:rFonts w:cs="Arial"/>
          <w:i/>
        </w:rPr>
        <w:t>Observed</w:t>
      </w:r>
      <w:proofErr w:type="spellEnd"/>
      <w:r w:rsidRPr="00041E70">
        <w:rPr>
          <w:rFonts w:cs="Arial"/>
          <w:i/>
        </w:rPr>
        <w:t xml:space="preserve"> </w:t>
      </w:r>
      <w:proofErr w:type="spellStart"/>
      <w:r w:rsidRPr="00041E70">
        <w:rPr>
          <w:rFonts w:cs="Arial"/>
          <w:i/>
        </w:rPr>
        <w:t>Characteristics</w:t>
      </w:r>
      <w:proofErr w:type="spellEnd"/>
      <w:r w:rsidRPr="00041E70">
        <w:rPr>
          <w:rFonts w:cs="Arial"/>
        </w:rPr>
        <w:t>” (Revisión del documento TGP/8</w:t>
      </w:r>
      <w:proofErr w:type="gramStart"/>
      <w:r w:rsidRPr="00041E70">
        <w:rPr>
          <w:rFonts w:cs="Arial"/>
        </w:rPr>
        <w:t>:  Parte</w:t>
      </w:r>
      <w:proofErr w:type="gramEnd"/>
      <w:r w:rsidRPr="00041E70">
        <w:rPr>
          <w:rFonts w:cs="Arial"/>
        </w:rPr>
        <w:t xml:space="preserve"> II:  nueva sección:  Métodos estadísticos aplicados a caracteres observados visualmente).  El TWC asistió a una ponencia de un experto de Finlandia en la que se comparaban las decisiones en materia de distinción relativas a la </w:t>
      </w:r>
      <w:proofErr w:type="spellStart"/>
      <w:r w:rsidRPr="00041E70">
        <w:rPr>
          <w:rFonts w:cs="Arial"/>
        </w:rPr>
        <w:t>festuca</w:t>
      </w:r>
      <w:proofErr w:type="spellEnd"/>
      <w:r w:rsidRPr="00041E70">
        <w:rPr>
          <w:rFonts w:cs="Arial"/>
        </w:rPr>
        <w:t xml:space="preserve"> pratense, adoptadas mediante dos métodos</w:t>
      </w:r>
      <w:proofErr w:type="gramStart"/>
      <w:r w:rsidRPr="00041E70">
        <w:rPr>
          <w:rFonts w:cs="Arial"/>
        </w:rPr>
        <w:t>:  la</w:t>
      </w:r>
      <w:proofErr w:type="gramEnd"/>
      <w:r w:rsidRPr="00041E70">
        <w:rPr>
          <w:rFonts w:cs="Arial"/>
        </w:rPr>
        <w:t xml:space="preserve"> prueba ji cuadrado y un nuevo método presentado con anterioridad al TWC por un experto de Dinamarca.  Dicho método tiene un enfoque similar al del COYD pero resulta adecuado para datos ordinales.  El TWC convino en que el nuevo método está adaptado al análisis de los caracteres observados visualmente y mejor fundamentado que la prueba ji cuadrado.  El TWC convino en que se precisa elaboración adicional, en particular respecto de los programas informáticos.  Además, el TWC convino en invitar a un experto de China a presentar, en la trigésima tercera sesión del TWC, una ponencia sobre el análisis de los caracteres observados visualmente con el conjunto de programas informáticos DUST China (DUSTC), empleando el mismo conjunto de datos de </w:t>
      </w:r>
      <w:proofErr w:type="spellStart"/>
      <w:r w:rsidRPr="00041E70">
        <w:rPr>
          <w:rFonts w:cs="Arial"/>
        </w:rPr>
        <w:t>festuca</w:t>
      </w:r>
      <w:proofErr w:type="spellEnd"/>
      <w:r w:rsidRPr="00041E70">
        <w:rPr>
          <w:rFonts w:cs="Arial"/>
        </w:rPr>
        <w:t xml:space="preserve"> pratense facilitado por Finlandia.</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TWC examinó el documento TWC/32/9 “</w:t>
      </w:r>
      <w:proofErr w:type="spellStart"/>
      <w:r w:rsidRPr="00041E70">
        <w:rPr>
          <w:rFonts w:cs="Arial"/>
          <w:i/>
        </w:rPr>
        <w:t>Assessing</w:t>
      </w:r>
      <w:proofErr w:type="spellEnd"/>
      <w:r w:rsidRPr="00041E70">
        <w:rPr>
          <w:rFonts w:cs="Arial"/>
          <w:i/>
        </w:rPr>
        <w:t xml:space="preserve"> </w:t>
      </w:r>
      <w:proofErr w:type="spellStart"/>
      <w:r w:rsidRPr="00041E70">
        <w:rPr>
          <w:rFonts w:cs="Arial"/>
          <w:i/>
        </w:rPr>
        <w:t>uniformity</w:t>
      </w:r>
      <w:proofErr w:type="spellEnd"/>
      <w:r w:rsidRPr="00041E70">
        <w:rPr>
          <w:rFonts w:cs="Arial"/>
          <w:i/>
        </w:rPr>
        <w:t xml:space="preserve"> </w:t>
      </w:r>
      <w:proofErr w:type="spellStart"/>
      <w:r w:rsidRPr="00041E70">
        <w:rPr>
          <w:rFonts w:cs="Arial"/>
          <w:i/>
        </w:rPr>
        <w:t>by</w:t>
      </w:r>
      <w:proofErr w:type="spellEnd"/>
      <w:r w:rsidRPr="00041E70">
        <w:rPr>
          <w:rFonts w:cs="Arial"/>
          <w:i/>
        </w:rPr>
        <w:t xml:space="preserve"> off-</w:t>
      </w:r>
      <w:proofErr w:type="spellStart"/>
      <w:r w:rsidRPr="00041E70">
        <w:rPr>
          <w:rFonts w:cs="Arial"/>
          <w:i/>
        </w:rPr>
        <w:t>types</w:t>
      </w:r>
      <w:proofErr w:type="spellEnd"/>
      <w:r w:rsidRPr="00041E70">
        <w:rPr>
          <w:rFonts w:cs="Arial"/>
          <w:i/>
        </w:rPr>
        <w:t xml:space="preserve"> </w:t>
      </w:r>
      <w:proofErr w:type="spellStart"/>
      <w:r w:rsidRPr="00041E70">
        <w:rPr>
          <w:rFonts w:cs="Arial"/>
          <w:i/>
        </w:rPr>
        <w:t>on</w:t>
      </w:r>
      <w:proofErr w:type="spellEnd"/>
      <w:r w:rsidRPr="00041E70">
        <w:rPr>
          <w:rFonts w:cs="Arial"/>
          <w:i/>
        </w:rPr>
        <w:t xml:space="preserve"> </w:t>
      </w:r>
      <w:proofErr w:type="spellStart"/>
      <w:r w:rsidRPr="00041E70">
        <w:rPr>
          <w:rFonts w:cs="Arial"/>
          <w:i/>
        </w:rPr>
        <w:t>basis</w:t>
      </w:r>
      <w:proofErr w:type="spellEnd"/>
      <w:r w:rsidRPr="00041E70">
        <w:rPr>
          <w:rFonts w:cs="Arial"/>
          <w:i/>
        </w:rPr>
        <w:t xml:space="preserve"> of more </w:t>
      </w:r>
      <w:proofErr w:type="spellStart"/>
      <w:r w:rsidRPr="00041E70">
        <w:rPr>
          <w:rFonts w:cs="Arial"/>
          <w:i/>
        </w:rPr>
        <w:t>than</w:t>
      </w:r>
      <w:proofErr w:type="spellEnd"/>
      <w:r w:rsidRPr="00041E70">
        <w:rPr>
          <w:rFonts w:cs="Arial"/>
          <w:i/>
        </w:rPr>
        <w:t xml:space="preserve"> </w:t>
      </w:r>
      <w:proofErr w:type="spellStart"/>
      <w:r w:rsidRPr="00041E70">
        <w:rPr>
          <w:rFonts w:cs="Arial"/>
          <w:i/>
        </w:rPr>
        <w:t>one</w:t>
      </w:r>
      <w:proofErr w:type="spellEnd"/>
      <w:r w:rsidRPr="00041E70">
        <w:rPr>
          <w:rFonts w:cs="Arial"/>
          <w:i/>
        </w:rPr>
        <w:t xml:space="preserve"> </w:t>
      </w:r>
      <w:proofErr w:type="spellStart"/>
      <w:r w:rsidRPr="00041E70">
        <w:rPr>
          <w:rFonts w:cs="Arial"/>
          <w:i/>
        </w:rPr>
        <w:t>sample</w:t>
      </w:r>
      <w:proofErr w:type="spellEnd"/>
      <w:r w:rsidRPr="00041E70">
        <w:rPr>
          <w:rFonts w:cs="Arial"/>
          <w:i/>
        </w:rPr>
        <w:t xml:space="preserve"> </w:t>
      </w:r>
      <w:proofErr w:type="spellStart"/>
      <w:r w:rsidRPr="00041E70">
        <w:rPr>
          <w:rFonts w:cs="Arial"/>
          <w:i/>
        </w:rPr>
        <w:t>or</w:t>
      </w:r>
      <w:proofErr w:type="spellEnd"/>
      <w:r w:rsidRPr="00041E70">
        <w:rPr>
          <w:rFonts w:cs="Arial"/>
          <w:i/>
        </w:rPr>
        <w:t xml:space="preserve"> sub-</w:t>
      </w:r>
      <w:proofErr w:type="spellStart"/>
      <w:r w:rsidRPr="00041E70">
        <w:rPr>
          <w:rFonts w:cs="Arial"/>
          <w:i/>
        </w:rPr>
        <w:t>samples</w:t>
      </w:r>
      <w:proofErr w:type="spellEnd"/>
      <w:r w:rsidRPr="00041E70">
        <w:rPr>
          <w:rFonts w:cs="Arial"/>
        </w:rPr>
        <w:t xml:space="preserve">” (Evaluación de la homogeneidad de las plantas fuera de tipo mediante la observación de más de una muestra o de </w:t>
      </w:r>
      <w:proofErr w:type="spellStart"/>
      <w:r w:rsidRPr="00041E70">
        <w:rPr>
          <w:rFonts w:cs="Arial"/>
        </w:rPr>
        <w:t>submuestras</w:t>
      </w:r>
      <w:proofErr w:type="spellEnd"/>
      <w:r w:rsidRPr="00041E70">
        <w:rPr>
          <w:rFonts w:cs="Arial"/>
        </w:rPr>
        <w:t>).  El TWC convino en que deben incluirse los valores de los errores de tipo I y de tipo II en cada uno de los ejemplos descritos en las situaciones A y B para la elaboración de orientaciones en el documento TGP/10.  El error de tipo I se asocia con una decisión de no homogeneidad (rechazo de la hipótesis nula, siendo cierta) y el error de tipo II se asocia con una decisión de homogeneidad (aceptación de la hipótesis alternativa).  El TWC convino en que la orientación que se proporciona actualmente en el documento TGP/10 es suficiente para abordar la situación C.  El Anexo V del documento TWC/32/9 contiene un ejemplo de un método secuencial aplicado a un solo ciclo de cultivo y fue presentado por un experto de Alemania.  En él se incluye información sobre los errores de tipo I y de tipo II.  El TWC acordó texto para la orientación relativa a la situación D.</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TWC escuchó, por medios electrónicos, una ponencia a cargo de un experto de México sobre el programa informático SISNAVA, que México ha propuesto incluir en el documento UPOV/INF/16 “Programas informáticos para intercambio”, y convino en que deben proseguirse las deliberaciones sobre su conclusión.  El TWC tomó nota de la explicación del programa informático “Sistema de información utilizado para el examen y la protección de las variedades vegetales en la Federación de Rusia”, la cual figura en el Anexo IV del documento TWC/32/7.</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TWC asistió a una ponencia de China acerca de la “Base de datos sobre la protección de las obtenciones vegetales en China“, que figura en el Anexo II del documento TWC/32/6.  El TWC tomó nota de que el nuevo programa informático incluye módulos para la gestión de solicitudes, la base de datos de descripciones de variedades,</w:t>
      </w:r>
      <w:r w:rsidRPr="00041E70">
        <w:rPr>
          <w:rFonts w:cs="Arial"/>
          <w:color w:val="008000"/>
        </w:rPr>
        <w:t xml:space="preserve"> </w:t>
      </w:r>
      <w:r w:rsidRPr="00041E70">
        <w:rPr>
          <w:rFonts w:cs="Arial"/>
        </w:rPr>
        <w:t>el análisis de datos</w:t>
      </w:r>
      <w:r w:rsidRPr="00041E70">
        <w:rPr>
          <w:rFonts w:cs="Arial"/>
          <w:color w:val="008000"/>
        </w:rPr>
        <w:t xml:space="preserve"> </w:t>
      </w:r>
      <w:r w:rsidRPr="00041E70">
        <w:rPr>
          <w:rFonts w:cs="Arial"/>
        </w:rPr>
        <w:t xml:space="preserve">y el análisis de imágenes.  </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TWC asistió a una ponencia a cargo de un experto de Alemania, incluida en el documento TWC/32/25, sobre la elaboración y las características de un sistema de gestión de documentos para los expedientes de las variedades que se utiliza en Alemania.</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TWC tomó nota del resumen de la información que se facilita en el Anexo I del documento TWC/32/27 acerca de la encuesta actualizada sobre dispositivos portátiles de registros de datos y de que dicha información podría incluirse en el documento UPOV/INF/22 “Programas informáticos y equipos utilizados por los miembros de la Unión”.  Un experto de Alemania ofreció una ponencia sobre la utilización de dispositivos portátiles de registro de datos en los exámenes DHE en Alemania (Anexo II del documento TWC/32/27).</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TWC examinó el documento TWC/32/11, que versa sobre la mejora de la eficacia del Comité Técnico, los Grupos de Trabajo Técnico y los talleres preparatorios.  Se estudiaron propuestas relativas a posibles medios de mejora y se formularon observaciones.</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 xml:space="preserve">Se concedió al Sr. Sami </w:t>
      </w:r>
      <w:proofErr w:type="spellStart"/>
      <w:r w:rsidRPr="00041E70">
        <w:rPr>
          <w:rFonts w:cs="Arial"/>
        </w:rPr>
        <w:t>Markkanen</w:t>
      </w:r>
      <w:proofErr w:type="spellEnd"/>
      <w:r w:rsidRPr="00041E70">
        <w:rPr>
          <w:rFonts w:cs="Arial"/>
        </w:rPr>
        <w:t xml:space="preserve"> la medalla de bronce de la UPOV en reconocimiento a su labor como Presidente del TWC desde 2012 hasta 2014.</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TWC decidió celebrar su trigésima tercera sesión en Natal (Brasil) del 30 de junio al 3 de julio de 2015, y el taller preparatorio, el 29 de junio de 2015.</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TWC tiene previsto examinar los siguientes puntos en su trigésima segunda reunión:</w:t>
      </w:r>
    </w:p>
    <w:p w:rsidR="00833396" w:rsidRPr="00041E70" w:rsidRDefault="00833396" w:rsidP="00833396">
      <w:pPr>
        <w:autoSpaceDE w:val="0"/>
        <w:autoSpaceDN w:val="0"/>
        <w:adjustRightInd w:val="0"/>
        <w:rPr>
          <w:rFonts w:cs="Arial"/>
        </w:rPr>
      </w:pPr>
    </w:p>
    <w:p w:rsidR="00833396" w:rsidRPr="00041E70" w:rsidRDefault="00833396" w:rsidP="00833396">
      <w:pPr>
        <w:keepNext/>
        <w:tabs>
          <w:tab w:val="num" w:pos="1134"/>
        </w:tabs>
        <w:spacing w:before="20" w:afterLines="20" w:after="48"/>
        <w:ind w:left="1134" w:hanging="567"/>
        <w:rPr>
          <w:rFonts w:cs="Arial"/>
        </w:rPr>
      </w:pPr>
      <w:r w:rsidRPr="00041E70">
        <w:rPr>
          <w:rFonts w:cs="Arial"/>
        </w:rPr>
        <w:t>1.</w:t>
      </w:r>
      <w:r w:rsidRPr="00041E70">
        <w:rPr>
          <w:rFonts w:cs="Arial"/>
        </w:rPr>
        <w:tab/>
        <w:t>Apertura de la sesión</w:t>
      </w:r>
    </w:p>
    <w:p w:rsidR="00833396" w:rsidRPr="00041E70" w:rsidRDefault="00833396" w:rsidP="00833396">
      <w:pPr>
        <w:tabs>
          <w:tab w:val="num" w:pos="1134"/>
        </w:tabs>
        <w:spacing w:before="20" w:afterLines="20" w:after="48"/>
        <w:ind w:left="1134" w:hanging="567"/>
        <w:rPr>
          <w:rFonts w:cs="Arial"/>
        </w:rPr>
      </w:pPr>
      <w:r w:rsidRPr="00041E70">
        <w:rPr>
          <w:rFonts w:cs="Arial"/>
        </w:rPr>
        <w:t>2.</w:t>
      </w:r>
      <w:r w:rsidRPr="00041E70">
        <w:rPr>
          <w:rFonts w:cs="Arial"/>
        </w:rPr>
        <w:tab/>
        <w:t>Aprobación del orden del día</w:t>
      </w:r>
    </w:p>
    <w:p w:rsidR="00833396" w:rsidRPr="00041E70" w:rsidRDefault="00833396" w:rsidP="00833396">
      <w:pPr>
        <w:tabs>
          <w:tab w:val="num" w:pos="1134"/>
        </w:tabs>
        <w:spacing w:before="20" w:afterLines="20" w:after="48"/>
        <w:ind w:left="1134" w:hanging="567"/>
        <w:rPr>
          <w:rFonts w:cs="Arial"/>
        </w:rPr>
      </w:pPr>
      <w:r w:rsidRPr="00041E70">
        <w:rPr>
          <w:rFonts w:cs="Arial"/>
        </w:rPr>
        <w:t>3.</w:t>
      </w:r>
      <w:r w:rsidRPr="00041E70">
        <w:rPr>
          <w:rFonts w:cs="Arial"/>
        </w:rPr>
        <w:tab/>
        <w:t>Breves informes sobre los avances logrados en la protección de las variedades vegetales:</w:t>
      </w:r>
    </w:p>
    <w:p w:rsidR="00833396" w:rsidRPr="00041E70" w:rsidRDefault="00833396" w:rsidP="00833396">
      <w:pPr>
        <w:tabs>
          <w:tab w:val="num" w:pos="1134"/>
          <w:tab w:val="left" w:pos="1630"/>
          <w:tab w:val="left" w:pos="1843"/>
        </w:tabs>
        <w:spacing w:before="20" w:afterLines="20" w:after="48"/>
        <w:ind w:left="1134" w:hanging="567"/>
        <w:rPr>
          <w:rFonts w:cs="Arial"/>
        </w:rPr>
      </w:pPr>
      <w:r w:rsidRPr="00041E70">
        <w:rPr>
          <w:rFonts w:cs="Arial"/>
        </w:rPr>
        <w:tab/>
        <w:t>a)</w:t>
      </w:r>
      <w:r w:rsidRPr="00041E70">
        <w:rPr>
          <w:rFonts w:cs="Arial"/>
        </w:rPr>
        <w:tab/>
        <w:t>Informes de los miembros y observadores</w:t>
      </w:r>
    </w:p>
    <w:p w:rsidR="00833396" w:rsidRPr="00041E70" w:rsidRDefault="00833396" w:rsidP="00833396">
      <w:pPr>
        <w:tabs>
          <w:tab w:val="num" w:pos="1134"/>
          <w:tab w:val="left" w:pos="1620"/>
          <w:tab w:val="left" w:pos="1900"/>
        </w:tabs>
        <w:spacing w:before="20" w:afterLines="20" w:after="48"/>
        <w:ind w:left="1134" w:hanging="567"/>
        <w:rPr>
          <w:rFonts w:cs="Arial"/>
        </w:rPr>
      </w:pPr>
      <w:r w:rsidRPr="00041E70">
        <w:rPr>
          <w:rFonts w:cs="Arial"/>
        </w:rPr>
        <w:tab/>
        <w:t>b)</w:t>
      </w:r>
      <w:r w:rsidRPr="00041E70">
        <w:rPr>
          <w:rFonts w:cs="Arial"/>
        </w:rPr>
        <w:tab/>
        <w:t xml:space="preserve">Informes sobre los avances logrados en la UPOV </w:t>
      </w:r>
    </w:p>
    <w:p w:rsidR="00833396" w:rsidRPr="00041E70" w:rsidRDefault="00833396" w:rsidP="00833396">
      <w:pPr>
        <w:tabs>
          <w:tab w:val="num" w:pos="1134"/>
        </w:tabs>
        <w:spacing w:before="20" w:afterLines="20" w:after="48"/>
        <w:ind w:left="1134" w:hanging="567"/>
        <w:rPr>
          <w:rFonts w:cs="Arial"/>
        </w:rPr>
      </w:pPr>
      <w:r w:rsidRPr="00041E70">
        <w:rPr>
          <w:rFonts w:cs="Arial"/>
        </w:rPr>
        <w:t>4.</w:t>
      </w:r>
      <w:r w:rsidRPr="00041E70">
        <w:rPr>
          <w:rFonts w:cs="Arial"/>
        </w:rPr>
        <w:tab/>
        <w:t>Técnicas moleculares</w:t>
      </w:r>
    </w:p>
    <w:p w:rsidR="00833396" w:rsidRPr="00041E70" w:rsidRDefault="00833396" w:rsidP="00833396">
      <w:pPr>
        <w:tabs>
          <w:tab w:val="num" w:pos="1134"/>
        </w:tabs>
        <w:spacing w:before="20" w:afterLines="20" w:after="48"/>
        <w:ind w:left="1134" w:hanging="567"/>
        <w:rPr>
          <w:rFonts w:cs="Arial"/>
        </w:rPr>
      </w:pPr>
      <w:r w:rsidRPr="00041E70">
        <w:rPr>
          <w:rFonts w:cs="Arial"/>
        </w:rPr>
        <w:t>5.</w:t>
      </w:r>
      <w:r w:rsidRPr="00041E70">
        <w:rPr>
          <w:rFonts w:cs="Arial"/>
        </w:rPr>
        <w:tab/>
        <w:t xml:space="preserve">Mejora de la eficacia del Comité Técnico, los Grupos de Trabajo Técnico y los talleres preparatorios </w:t>
      </w:r>
    </w:p>
    <w:p w:rsidR="00833396" w:rsidRPr="00041E70" w:rsidRDefault="00833396" w:rsidP="00833396">
      <w:pPr>
        <w:tabs>
          <w:tab w:val="num" w:pos="1134"/>
        </w:tabs>
        <w:spacing w:before="20" w:afterLines="20" w:after="48"/>
        <w:ind w:left="1134" w:hanging="567"/>
        <w:rPr>
          <w:rFonts w:cs="Arial"/>
        </w:rPr>
      </w:pPr>
      <w:r w:rsidRPr="00041E70">
        <w:rPr>
          <w:rFonts w:cs="Arial"/>
        </w:rPr>
        <w:t>6.</w:t>
      </w:r>
      <w:r w:rsidRPr="00041E70">
        <w:rPr>
          <w:rFonts w:cs="Arial"/>
        </w:rPr>
        <w:tab/>
        <w:t xml:space="preserve">Documentos TGP </w:t>
      </w:r>
    </w:p>
    <w:p w:rsidR="00833396" w:rsidRPr="00041E70" w:rsidRDefault="00833396" w:rsidP="00833396">
      <w:pPr>
        <w:tabs>
          <w:tab w:val="num" w:pos="1134"/>
        </w:tabs>
        <w:spacing w:before="20" w:afterLines="20" w:after="48"/>
        <w:ind w:left="1134" w:hanging="567"/>
        <w:rPr>
          <w:rFonts w:cs="Arial"/>
        </w:rPr>
      </w:pPr>
      <w:r w:rsidRPr="00041E70">
        <w:rPr>
          <w:rFonts w:cs="Arial"/>
        </w:rPr>
        <w:t>7.</w:t>
      </w:r>
      <w:r w:rsidRPr="00041E70">
        <w:rPr>
          <w:rFonts w:cs="Arial"/>
        </w:rPr>
        <w:tab/>
        <w:t>Información y bases de datos</w:t>
      </w:r>
    </w:p>
    <w:p w:rsidR="00833396" w:rsidRPr="00041E70" w:rsidRDefault="00833396" w:rsidP="00833396">
      <w:pPr>
        <w:tabs>
          <w:tab w:val="num" w:pos="1134"/>
          <w:tab w:val="left" w:pos="1620"/>
        </w:tabs>
        <w:spacing w:before="20" w:afterLines="20" w:after="48"/>
        <w:ind w:left="1134" w:hanging="567"/>
        <w:rPr>
          <w:rFonts w:cs="Arial"/>
        </w:rPr>
      </w:pPr>
      <w:r w:rsidRPr="00041E70">
        <w:rPr>
          <w:rFonts w:cs="Arial"/>
        </w:rPr>
        <w:tab/>
        <w:t>a)</w:t>
      </w:r>
      <w:r w:rsidRPr="00041E70">
        <w:rPr>
          <w:rFonts w:cs="Arial"/>
        </w:rPr>
        <w:tab/>
        <w:t xml:space="preserve">Bases de datos de información de la UPOV </w:t>
      </w:r>
    </w:p>
    <w:p w:rsidR="00833396" w:rsidRPr="00041E70" w:rsidRDefault="00833396" w:rsidP="00833396">
      <w:pPr>
        <w:tabs>
          <w:tab w:val="num" w:pos="1134"/>
          <w:tab w:val="left" w:pos="1630"/>
        </w:tabs>
        <w:spacing w:before="20" w:afterLines="20" w:after="48"/>
        <w:ind w:left="1134" w:hanging="567"/>
        <w:rPr>
          <w:rFonts w:cs="Arial"/>
        </w:rPr>
      </w:pPr>
      <w:r w:rsidRPr="00041E70">
        <w:rPr>
          <w:rFonts w:cs="Arial"/>
        </w:rPr>
        <w:tab/>
        <w:t>b)</w:t>
      </w:r>
      <w:r w:rsidRPr="00041E70">
        <w:rPr>
          <w:rFonts w:cs="Arial"/>
        </w:rPr>
        <w:tab/>
        <w:t xml:space="preserve">Bases de datos de descripciones de variedades </w:t>
      </w:r>
    </w:p>
    <w:p w:rsidR="00833396" w:rsidRPr="00041E70" w:rsidRDefault="00833396" w:rsidP="00833396">
      <w:pPr>
        <w:tabs>
          <w:tab w:val="num" w:pos="1134"/>
          <w:tab w:val="left" w:pos="1624"/>
        </w:tabs>
        <w:spacing w:before="20" w:afterLines="20" w:after="48"/>
        <w:ind w:left="1134" w:hanging="567"/>
        <w:rPr>
          <w:rFonts w:cs="Arial"/>
        </w:rPr>
      </w:pPr>
      <w:r w:rsidRPr="00041E70">
        <w:rPr>
          <w:rFonts w:cs="Arial"/>
        </w:rPr>
        <w:tab/>
        <w:t>c)</w:t>
      </w:r>
      <w:r w:rsidRPr="00041E70">
        <w:rPr>
          <w:rFonts w:cs="Arial"/>
        </w:rPr>
        <w:tab/>
        <w:t xml:space="preserve">Programas informáticos para intercambio </w:t>
      </w:r>
    </w:p>
    <w:p w:rsidR="00833396" w:rsidRPr="00041E70" w:rsidRDefault="00833396" w:rsidP="00833396">
      <w:pPr>
        <w:tabs>
          <w:tab w:val="num" w:pos="1134"/>
          <w:tab w:val="left" w:pos="1624"/>
        </w:tabs>
        <w:spacing w:before="20" w:afterLines="20" w:after="48"/>
        <w:ind w:left="1134" w:hanging="567"/>
        <w:rPr>
          <w:rFonts w:cs="Arial"/>
        </w:rPr>
      </w:pPr>
      <w:r w:rsidRPr="00041E70">
        <w:rPr>
          <w:rFonts w:cs="Arial"/>
        </w:rPr>
        <w:tab/>
        <w:t>d)</w:t>
      </w:r>
      <w:r w:rsidRPr="00041E70">
        <w:rPr>
          <w:rFonts w:cs="Arial"/>
        </w:rPr>
        <w:tab/>
        <w:t xml:space="preserve">Sistemas de presentación electrónica de solicitudes </w:t>
      </w:r>
    </w:p>
    <w:p w:rsidR="00833396" w:rsidRPr="00041E70" w:rsidRDefault="00833396" w:rsidP="00833396">
      <w:pPr>
        <w:tabs>
          <w:tab w:val="num" w:pos="1134"/>
        </w:tabs>
        <w:spacing w:before="20" w:afterLines="20" w:after="48"/>
        <w:ind w:left="1134" w:hanging="567"/>
        <w:rPr>
          <w:rFonts w:cs="Arial"/>
        </w:rPr>
      </w:pPr>
      <w:r w:rsidRPr="00041E70">
        <w:rPr>
          <w:rFonts w:cs="Arial"/>
        </w:rPr>
        <w:t>8.</w:t>
      </w:r>
      <w:r w:rsidRPr="00041E70">
        <w:rPr>
          <w:rFonts w:cs="Arial"/>
        </w:rPr>
        <w:tab/>
        <w:t xml:space="preserve">Denominaciones de variedades </w:t>
      </w:r>
    </w:p>
    <w:p w:rsidR="00833396" w:rsidRPr="00041E70" w:rsidRDefault="00833396" w:rsidP="00833396">
      <w:pPr>
        <w:tabs>
          <w:tab w:val="num" w:pos="1134"/>
        </w:tabs>
        <w:spacing w:before="20" w:afterLines="20" w:after="48"/>
        <w:ind w:left="1134" w:hanging="567"/>
        <w:rPr>
          <w:rFonts w:cs="Arial"/>
        </w:rPr>
      </w:pPr>
      <w:r w:rsidRPr="00041E70">
        <w:rPr>
          <w:rFonts w:cs="Arial"/>
        </w:rPr>
        <w:t>9.</w:t>
      </w:r>
      <w:r w:rsidRPr="00041E70">
        <w:rPr>
          <w:rFonts w:cs="Arial"/>
        </w:rPr>
        <w:tab/>
        <w:t xml:space="preserve">Evaluación de la homogeneidad por plantas atípicas  </w:t>
      </w:r>
    </w:p>
    <w:p w:rsidR="00833396" w:rsidRPr="00041E70" w:rsidRDefault="00833396" w:rsidP="00833396">
      <w:pPr>
        <w:tabs>
          <w:tab w:val="num" w:pos="1134"/>
        </w:tabs>
        <w:spacing w:before="20" w:afterLines="20" w:after="48"/>
        <w:ind w:left="1134" w:hanging="567"/>
        <w:rPr>
          <w:rFonts w:cs="Arial"/>
        </w:rPr>
      </w:pPr>
      <w:r w:rsidRPr="00041E70">
        <w:rPr>
          <w:rFonts w:cs="Arial"/>
        </w:rPr>
        <w:t>10.</w:t>
      </w:r>
      <w:r w:rsidRPr="00041E70">
        <w:rPr>
          <w:rFonts w:cs="Arial"/>
        </w:rPr>
        <w:tab/>
        <w:t>Experiencias con nuevos tipos y especies</w:t>
      </w:r>
    </w:p>
    <w:p w:rsidR="00833396" w:rsidRPr="00041E70" w:rsidRDefault="00833396" w:rsidP="00833396">
      <w:pPr>
        <w:tabs>
          <w:tab w:val="num" w:pos="1134"/>
        </w:tabs>
        <w:spacing w:before="20" w:afterLines="20" w:after="48"/>
        <w:ind w:left="1134" w:hanging="567"/>
        <w:rPr>
          <w:rFonts w:cs="Arial"/>
        </w:rPr>
      </w:pPr>
      <w:r w:rsidRPr="00041E70">
        <w:rPr>
          <w:rFonts w:cs="Arial"/>
        </w:rPr>
        <w:t>11.</w:t>
      </w:r>
      <w:r w:rsidRPr="00041E70">
        <w:rPr>
          <w:rFonts w:cs="Arial"/>
        </w:rPr>
        <w:tab/>
        <w:t xml:space="preserve">Información sobre los métodos utilizados en el tratamiento de datos para evaluar la distinción y elaborar descripciones de variedades en China </w:t>
      </w:r>
    </w:p>
    <w:p w:rsidR="00833396" w:rsidRPr="00041E70" w:rsidRDefault="00833396" w:rsidP="00833396">
      <w:pPr>
        <w:tabs>
          <w:tab w:val="num" w:pos="1134"/>
        </w:tabs>
        <w:spacing w:before="20" w:afterLines="20" w:after="48"/>
        <w:ind w:left="1134" w:hanging="567"/>
        <w:rPr>
          <w:rFonts w:cs="Arial"/>
        </w:rPr>
      </w:pPr>
      <w:r w:rsidRPr="00041E70">
        <w:rPr>
          <w:rFonts w:cs="Arial"/>
        </w:rPr>
        <w:t>12.</w:t>
      </w:r>
      <w:r w:rsidRPr="00041E70">
        <w:rPr>
          <w:rFonts w:cs="Arial"/>
        </w:rPr>
        <w:tab/>
        <w:t xml:space="preserve">Métodos estadísticos aplicados a caracteres observados visualmente empleando el conjunto de programas informáticos DUSTC </w:t>
      </w:r>
    </w:p>
    <w:p w:rsidR="00833396" w:rsidRPr="00041E70" w:rsidRDefault="00833396" w:rsidP="00833396">
      <w:pPr>
        <w:tabs>
          <w:tab w:val="num" w:pos="1134"/>
        </w:tabs>
        <w:spacing w:before="20" w:afterLines="20" w:after="48"/>
        <w:ind w:left="1134" w:hanging="567"/>
        <w:rPr>
          <w:rFonts w:cs="Arial"/>
        </w:rPr>
      </w:pPr>
      <w:r w:rsidRPr="00041E70">
        <w:rPr>
          <w:rFonts w:cs="Arial"/>
        </w:rPr>
        <w:t>13.</w:t>
      </w:r>
      <w:r w:rsidRPr="00041E70">
        <w:rPr>
          <w:rFonts w:cs="Arial"/>
        </w:rPr>
        <w:tab/>
        <w:t xml:space="preserve">Análisis de la varianza de la interacción entre variedad y lugar (ambiente) en los caracteres QN </w:t>
      </w:r>
    </w:p>
    <w:p w:rsidR="00833396" w:rsidRPr="00041E70" w:rsidRDefault="00833396" w:rsidP="00833396">
      <w:pPr>
        <w:tabs>
          <w:tab w:val="num" w:pos="1134"/>
        </w:tabs>
        <w:spacing w:before="20" w:afterLines="20" w:after="48"/>
        <w:ind w:left="1134" w:hanging="567"/>
        <w:rPr>
          <w:rFonts w:cs="Arial"/>
        </w:rPr>
      </w:pPr>
      <w:r w:rsidRPr="00041E70">
        <w:rPr>
          <w:rFonts w:cs="Arial"/>
        </w:rPr>
        <w:t>14.</w:t>
      </w:r>
      <w:r w:rsidRPr="00041E70">
        <w:rPr>
          <w:rFonts w:cs="Arial"/>
        </w:rPr>
        <w:tab/>
        <w:t>Sistema de análisis de imágenes en China</w:t>
      </w:r>
    </w:p>
    <w:p w:rsidR="00833396" w:rsidRPr="00041E70" w:rsidRDefault="00833396" w:rsidP="00833396">
      <w:pPr>
        <w:tabs>
          <w:tab w:val="num" w:pos="1134"/>
        </w:tabs>
        <w:spacing w:before="20" w:afterLines="20" w:after="48"/>
        <w:ind w:left="1134" w:hanging="567"/>
        <w:rPr>
          <w:rFonts w:cs="Arial"/>
        </w:rPr>
      </w:pPr>
      <w:r w:rsidRPr="00041E70">
        <w:rPr>
          <w:rFonts w:cs="Arial"/>
        </w:rPr>
        <w:t>15.</w:t>
      </w:r>
      <w:r w:rsidRPr="00041E70">
        <w:rPr>
          <w:rFonts w:cs="Arial"/>
        </w:rPr>
        <w:tab/>
        <w:t>Método de cálculo del COYU</w:t>
      </w:r>
      <w:proofErr w:type="gramStart"/>
      <w:r w:rsidRPr="00041E70">
        <w:rPr>
          <w:rFonts w:cs="Arial"/>
        </w:rPr>
        <w:t>:  análisis</w:t>
      </w:r>
      <w:proofErr w:type="gramEnd"/>
      <w:r w:rsidRPr="00041E70">
        <w:rPr>
          <w:rFonts w:cs="Arial"/>
        </w:rPr>
        <w:t xml:space="preserve"> del ejercicio práctico </w:t>
      </w:r>
    </w:p>
    <w:p w:rsidR="00833396" w:rsidRPr="00041E70" w:rsidRDefault="00833396" w:rsidP="00833396">
      <w:pPr>
        <w:tabs>
          <w:tab w:val="num" w:pos="1134"/>
        </w:tabs>
        <w:spacing w:before="20" w:afterLines="20" w:after="48"/>
        <w:ind w:left="1134" w:hanging="567"/>
        <w:rPr>
          <w:rFonts w:cs="Arial"/>
        </w:rPr>
      </w:pPr>
      <w:r w:rsidRPr="00041E70">
        <w:rPr>
          <w:rFonts w:cs="Arial"/>
        </w:rPr>
        <w:t>16.</w:t>
      </w:r>
      <w:r w:rsidRPr="00041E70">
        <w:rPr>
          <w:rFonts w:cs="Arial"/>
        </w:rPr>
        <w:tab/>
        <w:t xml:space="preserve">Comparación de métodos utilizados para elaborar descripciones de variedades </w:t>
      </w:r>
    </w:p>
    <w:p w:rsidR="00833396" w:rsidRPr="00041E70" w:rsidRDefault="00833396" w:rsidP="00833396">
      <w:pPr>
        <w:tabs>
          <w:tab w:val="num" w:pos="1134"/>
        </w:tabs>
        <w:spacing w:before="20" w:afterLines="20" w:after="48"/>
        <w:ind w:left="1134" w:hanging="567"/>
        <w:rPr>
          <w:rFonts w:cs="Arial"/>
        </w:rPr>
      </w:pPr>
      <w:r w:rsidRPr="00041E70">
        <w:rPr>
          <w:rFonts w:cs="Arial"/>
        </w:rPr>
        <w:t>17.</w:t>
      </w:r>
      <w:r w:rsidRPr="00041E70">
        <w:rPr>
          <w:rFonts w:cs="Arial"/>
        </w:rPr>
        <w:tab/>
        <w:t xml:space="preserve">Información sobre muestras en bloque en la medición sistemática del contenido de </w:t>
      </w:r>
      <w:proofErr w:type="spellStart"/>
      <w:r w:rsidRPr="00041E70">
        <w:rPr>
          <w:rFonts w:cs="Arial"/>
        </w:rPr>
        <w:t>glucorrafanina</w:t>
      </w:r>
      <w:proofErr w:type="spellEnd"/>
      <w:r w:rsidRPr="00041E70">
        <w:rPr>
          <w:rFonts w:cs="Arial"/>
        </w:rPr>
        <w:t xml:space="preserve"> en el brécol </w:t>
      </w:r>
    </w:p>
    <w:p w:rsidR="00833396" w:rsidRPr="00041E70" w:rsidRDefault="00833396" w:rsidP="00833396">
      <w:pPr>
        <w:tabs>
          <w:tab w:val="num" w:pos="1134"/>
        </w:tabs>
        <w:spacing w:before="20" w:afterLines="20" w:after="48"/>
        <w:ind w:left="1134" w:hanging="567"/>
        <w:rPr>
          <w:rFonts w:cs="Arial"/>
        </w:rPr>
      </w:pPr>
      <w:r w:rsidRPr="00041E70">
        <w:rPr>
          <w:rFonts w:cs="Arial"/>
        </w:rPr>
        <w:t>18.</w:t>
      </w:r>
      <w:r w:rsidRPr="00041E70">
        <w:rPr>
          <w:rFonts w:cs="Arial"/>
        </w:rPr>
        <w:tab/>
        <w:t xml:space="preserve">Matriz de ponderación para la soja en el programa informático GAIA </w:t>
      </w:r>
    </w:p>
    <w:p w:rsidR="00833396" w:rsidRPr="00041E70" w:rsidRDefault="00833396" w:rsidP="00833396">
      <w:pPr>
        <w:tabs>
          <w:tab w:val="num" w:pos="1134"/>
        </w:tabs>
        <w:spacing w:before="20" w:afterLines="20" w:after="48"/>
        <w:ind w:left="1134" w:hanging="567"/>
        <w:rPr>
          <w:rFonts w:cs="Arial"/>
        </w:rPr>
      </w:pPr>
      <w:r w:rsidRPr="00041E70">
        <w:rPr>
          <w:rFonts w:cs="Arial"/>
        </w:rPr>
        <w:t>19.</w:t>
      </w:r>
      <w:r w:rsidRPr="00041E70">
        <w:rPr>
          <w:rFonts w:cs="Arial"/>
        </w:rPr>
        <w:tab/>
        <w:t xml:space="preserve">Fundamentos para excluir las variedades notoriamente conocidas del segundo ciclo de crecimiento cuando se utiliza el COYD </w:t>
      </w:r>
    </w:p>
    <w:p w:rsidR="00833396" w:rsidRPr="00041E70" w:rsidRDefault="00833396" w:rsidP="00833396">
      <w:pPr>
        <w:tabs>
          <w:tab w:val="num" w:pos="1134"/>
        </w:tabs>
        <w:spacing w:before="20" w:afterLines="20" w:after="48"/>
        <w:ind w:left="1134" w:hanging="567"/>
        <w:rPr>
          <w:rFonts w:cs="Arial"/>
        </w:rPr>
      </w:pPr>
      <w:r w:rsidRPr="00041E70">
        <w:rPr>
          <w:rFonts w:cs="Arial"/>
        </w:rPr>
        <w:t>20.</w:t>
      </w:r>
      <w:r w:rsidRPr="00041E70">
        <w:rPr>
          <w:rFonts w:cs="Arial"/>
        </w:rPr>
        <w:tab/>
        <w:t>Fecha y lugar de la siguiente reunión</w:t>
      </w:r>
    </w:p>
    <w:p w:rsidR="00833396" w:rsidRPr="00041E70" w:rsidRDefault="00833396" w:rsidP="00833396">
      <w:pPr>
        <w:tabs>
          <w:tab w:val="num" w:pos="1134"/>
        </w:tabs>
        <w:spacing w:before="20" w:afterLines="20" w:after="48"/>
        <w:ind w:left="1134" w:hanging="567"/>
        <w:rPr>
          <w:rFonts w:cs="Arial"/>
        </w:rPr>
      </w:pPr>
      <w:r w:rsidRPr="00041E70">
        <w:rPr>
          <w:rFonts w:cs="Arial"/>
        </w:rPr>
        <w:t>21.</w:t>
      </w:r>
      <w:r w:rsidRPr="00041E70">
        <w:rPr>
          <w:rFonts w:cs="Arial"/>
        </w:rPr>
        <w:tab/>
        <w:t>Programa futuro</w:t>
      </w:r>
    </w:p>
    <w:p w:rsidR="00833396" w:rsidRPr="00041E70" w:rsidRDefault="00833396" w:rsidP="00833396">
      <w:pPr>
        <w:tabs>
          <w:tab w:val="num" w:pos="1134"/>
        </w:tabs>
        <w:spacing w:before="20" w:afterLines="20" w:after="48"/>
        <w:ind w:left="1134" w:hanging="567"/>
        <w:rPr>
          <w:rFonts w:cs="Arial"/>
        </w:rPr>
      </w:pPr>
      <w:r w:rsidRPr="00041E70">
        <w:rPr>
          <w:rFonts w:cs="Arial"/>
        </w:rPr>
        <w:t>22.</w:t>
      </w:r>
      <w:r w:rsidRPr="00041E70">
        <w:rPr>
          <w:rFonts w:cs="Arial"/>
        </w:rPr>
        <w:tab/>
        <w:t>Informe de la reunión (si se dispone de tiempo suficiente)</w:t>
      </w:r>
    </w:p>
    <w:p w:rsidR="00833396" w:rsidRPr="00041E70" w:rsidRDefault="00833396" w:rsidP="00833396">
      <w:pPr>
        <w:tabs>
          <w:tab w:val="num" w:pos="1134"/>
        </w:tabs>
        <w:spacing w:before="20" w:afterLines="20" w:after="48"/>
        <w:ind w:left="1134" w:hanging="567"/>
        <w:rPr>
          <w:rFonts w:cs="Arial"/>
        </w:rPr>
      </w:pPr>
      <w:r w:rsidRPr="00041E70">
        <w:rPr>
          <w:rFonts w:cs="Arial"/>
        </w:rPr>
        <w:t>23.</w:t>
      </w:r>
      <w:r w:rsidRPr="00041E70">
        <w:rPr>
          <w:rFonts w:cs="Arial"/>
        </w:rPr>
        <w:tab/>
        <w:t>Clausura de la reunión</w:t>
      </w:r>
    </w:p>
    <w:p w:rsidR="00833396" w:rsidRPr="00041E70" w:rsidRDefault="00833396" w:rsidP="00833396">
      <w:pPr>
        <w:autoSpaceDE w:val="0"/>
        <w:autoSpaceDN w:val="0"/>
        <w:adjustRightInd w:val="0"/>
        <w:rPr>
          <w:rFonts w:cs="Arial"/>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En la tarde del 4 de junio, el TWC visitó el centro de examen que el Servicio de Seguridad Alimentaria de Finlandia (</w:t>
      </w:r>
      <w:proofErr w:type="spellStart"/>
      <w:r w:rsidRPr="00041E70">
        <w:rPr>
          <w:rFonts w:cs="Arial"/>
        </w:rPr>
        <w:t>Evira</w:t>
      </w:r>
      <w:proofErr w:type="spellEnd"/>
      <w:r w:rsidRPr="00041E70">
        <w:rPr>
          <w:rFonts w:cs="Arial"/>
        </w:rPr>
        <w:t xml:space="preserve">) posee en </w:t>
      </w:r>
      <w:proofErr w:type="spellStart"/>
      <w:r w:rsidRPr="00041E70">
        <w:rPr>
          <w:rFonts w:cs="Arial"/>
        </w:rPr>
        <w:t>Loimaa</w:t>
      </w:r>
      <w:proofErr w:type="spellEnd"/>
      <w:r w:rsidRPr="00041E70">
        <w:rPr>
          <w:rFonts w:cs="Arial"/>
        </w:rPr>
        <w:t xml:space="preserve"> y observó ensayos de campo de cebada, trigo, centeno, trébol blanco, trébol rojo y </w:t>
      </w:r>
      <w:proofErr w:type="spellStart"/>
      <w:r w:rsidRPr="00041E70">
        <w:rPr>
          <w:rFonts w:cs="Arial"/>
        </w:rPr>
        <w:t>festuca</w:t>
      </w:r>
      <w:proofErr w:type="spellEnd"/>
      <w:r w:rsidRPr="00041E70">
        <w:rPr>
          <w:rFonts w:cs="Arial"/>
        </w:rPr>
        <w:t xml:space="preserve"> pratense.</w:t>
      </w:r>
    </w:p>
    <w:p w:rsidR="00833396" w:rsidRPr="00041E70" w:rsidRDefault="00833396" w:rsidP="00833396"/>
    <w:p w:rsidR="00833396" w:rsidRPr="00041E70" w:rsidRDefault="00833396" w:rsidP="00833396"/>
    <w:p w:rsidR="00041E70" w:rsidRDefault="00041E70">
      <w:pPr>
        <w:jc w:val="left"/>
        <w:rPr>
          <w:u w:val="single"/>
        </w:rPr>
      </w:pPr>
      <w:r>
        <w:br w:type="page"/>
      </w:r>
    </w:p>
    <w:p w:rsidR="00833396" w:rsidRPr="00041E70" w:rsidRDefault="00833396" w:rsidP="00041E70">
      <w:pPr>
        <w:pStyle w:val="Heading2"/>
      </w:pPr>
      <w:bookmarkStart w:id="60" w:name="_Toc429150786"/>
      <w:r w:rsidRPr="00041E70">
        <w:t>Grupo de Trabajo Técnico sobre Plantas Frutales</w:t>
      </w:r>
      <w:r w:rsidR="00041E70">
        <w:t xml:space="preserve"> (TWF)</w:t>
      </w:r>
      <w:bookmarkEnd w:id="60"/>
    </w:p>
    <w:p w:rsidR="00833396" w:rsidRPr="00041E70" w:rsidRDefault="00833396" w:rsidP="00833396">
      <w:pPr>
        <w:rPr>
          <w:u w:val="single"/>
        </w:rPr>
      </w:pPr>
    </w:p>
    <w:p w:rsidR="00833396" w:rsidRPr="00041E70" w:rsidRDefault="00833396" w:rsidP="00833396">
      <w:pPr>
        <w:rPr>
          <w:rFonts w:cs="Cambria"/>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El TWF celebró su cuadragésima</w:t>
      </w:r>
      <w:r w:rsidRPr="00041E70">
        <w:rPr>
          <w:rFonts w:cs="Cambria"/>
          <w:color w:val="000000"/>
        </w:rPr>
        <w:t xml:space="preserve"> </w:t>
      </w:r>
      <w:r w:rsidRPr="00041E70">
        <w:rPr>
          <w:rFonts w:cs="Cambria"/>
        </w:rPr>
        <w:t>quinta sesión en Marrakech (Marruecos) del 26 al 30 de mayo</w:t>
      </w:r>
      <w:r w:rsidRPr="00041E70">
        <w:rPr>
          <w:rFonts w:cs="Cambria"/>
          <w:color w:val="000000"/>
        </w:rPr>
        <w:t xml:space="preserve"> </w:t>
      </w:r>
      <w:r w:rsidRPr="00041E70">
        <w:rPr>
          <w:rFonts w:cs="Cambria"/>
        </w:rPr>
        <w:t>de 2014.</w:t>
      </w:r>
      <w:r w:rsidRPr="00041E70">
        <w:rPr>
          <w:rFonts w:cs="Cambria"/>
          <w:color w:val="000000"/>
        </w:rPr>
        <w:t xml:space="preserve">  Inauguró la sesión la Sra. </w:t>
      </w:r>
      <w:proofErr w:type="spellStart"/>
      <w:r w:rsidRPr="00041E70">
        <w:rPr>
          <w:rFonts w:cs="Cambria"/>
          <w:color w:val="000000"/>
        </w:rPr>
        <w:t>Carensa</w:t>
      </w:r>
      <w:proofErr w:type="spellEnd"/>
      <w:r w:rsidRPr="00041E70">
        <w:rPr>
          <w:rFonts w:cs="Cambria"/>
          <w:color w:val="000000"/>
        </w:rPr>
        <w:t xml:space="preserve"> </w:t>
      </w:r>
      <w:proofErr w:type="spellStart"/>
      <w:r w:rsidRPr="00041E70">
        <w:rPr>
          <w:rFonts w:cs="Cambria"/>
          <w:color w:val="000000"/>
        </w:rPr>
        <w:t>Petzer</w:t>
      </w:r>
      <w:proofErr w:type="spellEnd"/>
      <w:r w:rsidRPr="00041E70">
        <w:rPr>
          <w:rFonts w:cs="Cambria"/>
          <w:color w:val="000000"/>
        </w:rPr>
        <w:t xml:space="preserve"> (Sudáfrica), Presidenta del TWF.</w:t>
      </w:r>
    </w:p>
    <w:p w:rsidR="00833396" w:rsidRPr="00041E70" w:rsidRDefault="00833396" w:rsidP="00833396">
      <w:pPr>
        <w:rPr>
          <w:rFonts w:cs="Cambria"/>
        </w:rPr>
      </w:pPr>
    </w:p>
    <w:p w:rsidR="00833396" w:rsidRPr="00041E70" w:rsidRDefault="00833396" w:rsidP="00833396">
      <w:pPr>
        <w:rPr>
          <w:rFonts w:cs="Cambria"/>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Asistieron a la sesión del TWF 39 participantes procedentes de 18 miembros de la Unión, 3 Estados en calidad de observadores y 2 organizaciones en calidad de observadoras.  Al taller preparatorio asistieron 17 participantes procedentes de nueve miembros de la Unión y tres Estados en calidad de observadores.</w:t>
      </w:r>
    </w:p>
    <w:p w:rsidR="00833396" w:rsidRPr="00041E70" w:rsidRDefault="00833396" w:rsidP="00833396">
      <w:pPr>
        <w:rPr>
          <w:rFonts w:cs="Cambria"/>
        </w:rPr>
      </w:pPr>
    </w:p>
    <w:p w:rsidR="00833396" w:rsidRPr="00041E70" w:rsidRDefault="00833396" w:rsidP="00833396">
      <w:pPr>
        <w:rPr>
          <w:rFonts w:cs="Cambria"/>
          <w:shd w:val="clear" w:color="auto" w:fill="FFFFFF"/>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Dieron la bienvenida al TWF el Sr. Mohammed </w:t>
      </w:r>
      <w:proofErr w:type="spellStart"/>
      <w:r w:rsidRPr="00041E70">
        <w:rPr>
          <w:rFonts w:cs="Cambria"/>
        </w:rPr>
        <w:t>Sadiki</w:t>
      </w:r>
      <w:proofErr w:type="spellEnd"/>
      <w:r w:rsidRPr="00041E70">
        <w:rPr>
          <w:rFonts w:cs="Cambria"/>
        </w:rPr>
        <w:t xml:space="preserve">, Secretario General del Ministerio de Agricultura y Pesca Marítima de Marruecos, y el </w:t>
      </w:r>
      <w:r w:rsidRPr="00041E70">
        <w:rPr>
          <w:rFonts w:cs="Cambria"/>
          <w:shd w:val="clear" w:color="auto" w:fill="FFFFFF"/>
        </w:rPr>
        <w:t>Sr. Amar </w:t>
      </w:r>
      <w:proofErr w:type="spellStart"/>
      <w:r w:rsidRPr="00041E70">
        <w:rPr>
          <w:rFonts w:cs="Cambria"/>
          <w:shd w:val="clear" w:color="auto" w:fill="FFFFFF"/>
        </w:rPr>
        <w:t>Tahiri</w:t>
      </w:r>
      <w:proofErr w:type="spellEnd"/>
      <w:r w:rsidRPr="00041E70">
        <w:rPr>
          <w:rFonts w:cs="Cambria"/>
          <w:shd w:val="clear" w:color="auto" w:fill="FFFFFF"/>
        </w:rPr>
        <w:t xml:space="preserve">, </w:t>
      </w:r>
      <w:r w:rsidRPr="00041E70">
        <w:rPr>
          <w:rFonts w:cs="Cambria"/>
        </w:rPr>
        <w:t xml:space="preserve">Jefe de la División de Control de Semillas y Plantas de la Oficina Nacional de Seguridad Sanitaria de los Productos Alimentarios (ONSSA).  </w:t>
      </w:r>
      <w:r w:rsidRPr="00041E70">
        <w:rPr>
          <w:rFonts w:cs="Cambria"/>
          <w:shd w:val="clear" w:color="auto" w:fill="FFFFFF"/>
        </w:rPr>
        <w:t>El Sr. Amar </w:t>
      </w:r>
      <w:proofErr w:type="spellStart"/>
      <w:r w:rsidRPr="00041E70">
        <w:rPr>
          <w:rFonts w:cs="Cambria"/>
          <w:shd w:val="clear" w:color="auto" w:fill="FFFFFF"/>
        </w:rPr>
        <w:t>Tahiri</w:t>
      </w:r>
      <w:proofErr w:type="spellEnd"/>
      <w:r w:rsidRPr="00041E70">
        <w:rPr>
          <w:rFonts w:cs="Cambria"/>
        </w:rPr>
        <w:t xml:space="preserve"> </w:t>
      </w:r>
      <w:r w:rsidRPr="00041E70">
        <w:rPr>
          <w:rFonts w:cs="Cambria"/>
          <w:shd w:val="clear" w:color="auto" w:fill="FFFFFF"/>
        </w:rPr>
        <w:t>realizó una presentación sobre la protección de las obtenciones vegetales en Marruecos.</w:t>
      </w:r>
    </w:p>
    <w:p w:rsidR="00833396" w:rsidRPr="00041E70" w:rsidRDefault="00833396" w:rsidP="00833396">
      <w:pPr>
        <w:rPr>
          <w:rFonts w:cs="Cambria"/>
        </w:rPr>
      </w:pPr>
    </w:p>
    <w:p w:rsidR="00833396" w:rsidRPr="00041E70" w:rsidRDefault="00833396" w:rsidP="00833396">
      <w:pPr>
        <w:rPr>
          <w:rFonts w:cs="Cambria"/>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El TWF examinó las propuestas relativas a los medios de mejorar la eficacia de los TWP y de los talleres preparatorios y formuló observaciones, que se recogen en el párrafo 9 del documento TWF/45/32 “</w:t>
      </w:r>
      <w:proofErr w:type="spellStart"/>
      <w:r w:rsidRPr="00041E70">
        <w:rPr>
          <w:rFonts w:cs="Cambria"/>
          <w:i/>
        </w:rPr>
        <w:t>Report</w:t>
      </w:r>
      <w:proofErr w:type="spellEnd"/>
      <w:r w:rsidRPr="00041E70">
        <w:rPr>
          <w:rFonts w:cs="Cambria"/>
        </w:rPr>
        <w:t>”</w:t>
      </w:r>
      <w:r w:rsidRPr="00041E70">
        <w:rPr>
          <w:rFonts w:cs="Arial"/>
          <w:color w:val="000000"/>
        </w:rPr>
        <w:t xml:space="preserve"> (Informe)</w:t>
      </w:r>
      <w:r w:rsidRPr="00041E70">
        <w:rPr>
          <w:rFonts w:cs="Cambria"/>
        </w:rPr>
        <w:t>.</w:t>
      </w:r>
    </w:p>
    <w:p w:rsidR="00833396" w:rsidRPr="00041E70" w:rsidRDefault="00833396" w:rsidP="00833396">
      <w:pPr>
        <w:rPr>
          <w:rFonts w:cs="Cambria"/>
        </w:rPr>
      </w:pPr>
    </w:p>
    <w:p w:rsidR="00833396" w:rsidRPr="00041E70" w:rsidRDefault="00833396" w:rsidP="00833396">
      <w:pPr>
        <w:rPr>
          <w:rFonts w:cs="Cambria"/>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El TWF examinó el documento TWF/45/27 “</w:t>
      </w:r>
      <w:proofErr w:type="spellStart"/>
      <w:r w:rsidRPr="00041E70">
        <w:rPr>
          <w:rFonts w:cs="Cambria"/>
          <w:i/>
        </w:rPr>
        <w:t>The</w:t>
      </w:r>
      <w:proofErr w:type="spellEnd"/>
      <w:r w:rsidRPr="00041E70">
        <w:rPr>
          <w:rFonts w:cs="Cambria"/>
          <w:i/>
        </w:rPr>
        <w:t xml:space="preserve"> </w:t>
      </w:r>
      <w:proofErr w:type="spellStart"/>
      <w:r w:rsidRPr="00041E70">
        <w:rPr>
          <w:rFonts w:cs="Cambria"/>
          <w:i/>
        </w:rPr>
        <w:t>duration</w:t>
      </w:r>
      <w:proofErr w:type="spellEnd"/>
      <w:r w:rsidRPr="00041E70">
        <w:rPr>
          <w:rFonts w:cs="Cambria"/>
          <w:i/>
        </w:rPr>
        <w:t xml:space="preserve"> of DUS test in </w:t>
      </w:r>
      <w:proofErr w:type="spellStart"/>
      <w:r w:rsidRPr="00041E70">
        <w:rPr>
          <w:rFonts w:cs="Cambria"/>
          <w:i/>
        </w:rPr>
        <w:t>the</w:t>
      </w:r>
      <w:proofErr w:type="spellEnd"/>
      <w:r w:rsidRPr="00041E70">
        <w:rPr>
          <w:rFonts w:cs="Cambria"/>
          <w:i/>
        </w:rPr>
        <w:t xml:space="preserve"> </w:t>
      </w:r>
      <w:proofErr w:type="spellStart"/>
      <w:r w:rsidRPr="00041E70">
        <w:rPr>
          <w:rFonts w:cs="Cambria"/>
          <w:i/>
        </w:rPr>
        <w:t>fruit</w:t>
      </w:r>
      <w:proofErr w:type="spellEnd"/>
      <w:r w:rsidRPr="00041E70">
        <w:rPr>
          <w:rFonts w:cs="Cambria"/>
          <w:i/>
        </w:rPr>
        <w:t xml:space="preserve"> sector</w:t>
      </w:r>
      <w:r w:rsidRPr="00041E70">
        <w:rPr>
          <w:rFonts w:cs="Cambria"/>
        </w:rPr>
        <w:t>” (Duración de los exámenes DHE en el sector frutícola) y escuchó la ponencia de un experto de la Unión Europea sobre un proyecto de la Oficina Comunitaria de Variedades Vegetales (OCVV) de la Unión Europea denominado “Reducción del número de períodos obligatorios de observación en el examen DHE de variedades candidatas en el sector frutícola”.  El TWF solicitó a los expertos principales que propongan texto adecuado referente a la duración mínima y el número de ciclos de cultivo para los proyectos de directrices de examen que redacten en 2015, y pidió al experto de la Unión Europea que recopile las opciones formuladas por los expertos principales e intente elaborar otras posibles opciones de nuevo texto estándar.</w:t>
      </w:r>
    </w:p>
    <w:p w:rsidR="00833396" w:rsidRPr="00041E70" w:rsidRDefault="00833396" w:rsidP="00833396">
      <w:pPr>
        <w:rPr>
          <w:rFonts w:cs="Cambria"/>
        </w:rPr>
      </w:pPr>
    </w:p>
    <w:p w:rsidR="00833396" w:rsidRPr="00041E70" w:rsidRDefault="00833396" w:rsidP="00833396">
      <w:pPr>
        <w:rPr>
          <w:rFonts w:cs="Cambria"/>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El TWF escuchó una ponencia a cargo de los expertos de Alemania y Nueva Zelandia sobre la labor previa realizada en relación con la descripción armonizada de variedades de manzano para un conjunto de variedades acordado, que se reproduce en el documento TWF/45/28.  El TWF recibió de un experto de la Unión Europea información acerca de un proyecto de “</w:t>
      </w:r>
      <w:r w:rsidRPr="00041E70">
        <w:rPr>
          <w:rFonts w:cs="Cambria"/>
          <w:i/>
        </w:rPr>
        <w:t>ring test</w:t>
      </w:r>
      <w:r w:rsidRPr="00041E70">
        <w:rPr>
          <w:rFonts w:cs="Cambria"/>
        </w:rPr>
        <w:t xml:space="preserve">” en el manzano para gestionar la descripción de variedades, que se iniciará en 2015.  El objetivo del proyecto es identificar el motivo de las diferencias en la descripción de variedades entre las oficinas europeas cuando se utilizan variedades similares y el mismo </w:t>
      </w:r>
      <w:proofErr w:type="spellStart"/>
      <w:r w:rsidRPr="00041E70">
        <w:rPr>
          <w:rFonts w:cs="Cambria"/>
        </w:rPr>
        <w:t>portainjerto</w:t>
      </w:r>
      <w:proofErr w:type="spellEnd"/>
      <w:r w:rsidRPr="00041E70">
        <w:rPr>
          <w:rFonts w:cs="Cambria"/>
        </w:rPr>
        <w:t>.  El TWF solicitó que un experto de la Unión Europea informe sobre la marcha de este proyecto en su cuadragésima sexta sesión.</w:t>
      </w:r>
    </w:p>
    <w:p w:rsidR="00833396" w:rsidRPr="00041E70" w:rsidRDefault="00833396" w:rsidP="00833396">
      <w:pPr>
        <w:rPr>
          <w:rFonts w:cs="Cambria"/>
        </w:rPr>
      </w:pPr>
    </w:p>
    <w:p w:rsidR="00833396" w:rsidRPr="00041E70" w:rsidRDefault="00833396" w:rsidP="00833396">
      <w:pPr>
        <w:rPr>
          <w:rFonts w:cs="Cambria"/>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El TWF examinó el documento TWF/45/2 relativo a las técnicas moleculares.  El TWF asistió a una ponencia del experto de Francia sobre el estudio relativo a las técnicas moleculares y el examen DHE realizado por el Grupo de Estudio y Control de Variedades y Semillas (GEVES) en la que explicó cómo se están utilizando estas técnicas en Francia y, especialmente en relación con la detección de genes de resistencia, así como el uso de instrumentos moleculares en árboles frutales.  El TWF convino en que resultaría útil disponer de más información sobre el uso de técnicas moleculares en el examen DHE y, a ese respecto, invitó a los expertos de España a que proporcionen información sobre el empleo de dichos métodos por parte de la Oficina Española de Variedades Vegetales (OEVV).  El TWF invitó también a otros participantes a que presenten en la reunión del TWF de 2015 sus experiencias acerca de la utilización de técnicas bioquímicas y moleculares en plantas frutales.</w:t>
      </w:r>
    </w:p>
    <w:p w:rsidR="00833396" w:rsidRPr="00041E70" w:rsidRDefault="00833396" w:rsidP="00833396">
      <w:pPr>
        <w:rPr>
          <w:rFonts w:cs="Cambria"/>
        </w:rPr>
      </w:pPr>
    </w:p>
    <w:p w:rsidR="00833396" w:rsidRPr="00041E70" w:rsidRDefault="00833396" w:rsidP="00833396">
      <w:pPr>
        <w:rPr>
          <w:rFonts w:cstheme="majorHAnsi"/>
        </w:rPr>
      </w:pPr>
      <w:r w:rsidRPr="00041E70">
        <w:rPr>
          <w:rFonts w:cstheme="majorHAnsi"/>
        </w:rPr>
        <w:fldChar w:fldCharType="begin"/>
      </w:r>
      <w:r w:rsidRPr="00041E70">
        <w:rPr>
          <w:rFonts w:cstheme="majorHAnsi"/>
        </w:rPr>
        <w:instrText xml:space="preserve"> AUTONUM  </w:instrText>
      </w:r>
      <w:r w:rsidRPr="00041E70">
        <w:rPr>
          <w:rFonts w:cstheme="majorHAnsi"/>
        </w:rPr>
        <w:fldChar w:fldCharType="end"/>
      </w:r>
      <w:r w:rsidRPr="00041E70">
        <w:rPr>
          <w:rFonts w:cstheme="majorHAnsi"/>
        </w:rPr>
        <w:tab/>
        <w:t xml:space="preserve">El TWF escuchó una ponencia ofrecida por el Sr. Jean </w:t>
      </w:r>
      <w:proofErr w:type="spellStart"/>
      <w:r w:rsidRPr="00041E70">
        <w:rPr>
          <w:rFonts w:cstheme="majorHAnsi"/>
        </w:rPr>
        <w:t>Maison</w:t>
      </w:r>
      <w:proofErr w:type="spellEnd"/>
      <w:r w:rsidRPr="00041E70">
        <w:rPr>
          <w:rFonts w:cstheme="majorHAnsi"/>
        </w:rPr>
        <w:t xml:space="preserve"> (Unión Europea), coordinador del subgrupo, que se reproduce en el documento TWF/45/31 Rev. “</w:t>
      </w:r>
      <w:proofErr w:type="spellStart"/>
      <w:r w:rsidRPr="00041E70">
        <w:rPr>
          <w:rFonts w:cstheme="majorHAnsi"/>
          <w:i/>
        </w:rPr>
        <w:t>Partial</w:t>
      </w:r>
      <w:proofErr w:type="spellEnd"/>
      <w:r w:rsidRPr="00041E70">
        <w:rPr>
          <w:rFonts w:cstheme="majorHAnsi"/>
          <w:i/>
        </w:rPr>
        <w:t xml:space="preserve"> </w:t>
      </w:r>
      <w:proofErr w:type="spellStart"/>
      <w:r w:rsidRPr="00041E70">
        <w:rPr>
          <w:rFonts w:cstheme="majorHAnsi"/>
          <w:i/>
        </w:rPr>
        <w:t>Revision</w:t>
      </w:r>
      <w:proofErr w:type="spellEnd"/>
      <w:r w:rsidRPr="00041E70">
        <w:rPr>
          <w:rFonts w:cstheme="majorHAnsi"/>
          <w:i/>
        </w:rPr>
        <w:t xml:space="preserve"> of </w:t>
      </w:r>
      <w:proofErr w:type="spellStart"/>
      <w:r w:rsidRPr="00041E70">
        <w:rPr>
          <w:rFonts w:cstheme="majorHAnsi"/>
          <w:i/>
        </w:rPr>
        <w:t>the</w:t>
      </w:r>
      <w:proofErr w:type="spellEnd"/>
      <w:r w:rsidRPr="00041E70">
        <w:rPr>
          <w:rFonts w:cstheme="majorHAnsi"/>
          <w:i/>
        </w:rPr>
        <w:t xml:space="preserve"> Test </w:t>
      </w:r>
      <w:proofErr w:type="spellStart"/>
      <w:r w:rsidRPr="00041E70">
        <w:rPr>
          <w:rFonts w:cstheme="majorHAnsi"/>
          <w:i/>
        </w:rPr>
        <w:t>Guidelines</w:t>
      </w:r>
      <w:proofErr w:type="spellEnd"/>
      <w:r w:rsidRPr="00041E70">
        <w:rPr>
          <w:rFonts w:cstheme="majorHAnsi"/>
          <w:i/>
        </w:rPr>
        <w:t xml:space="preserve"> </w:t>
      </w:r>
      <w:proofErr w:type="spellStart"/>
      <w:r w:rsidRPr="00041E70">
        <w:rPr>
          <w:rFonts w:cstheme="majorHAnsi"/>
          <w:i/>
        </w:rPr>
        <w:t>for</w:t>
      </w:r>
      <w:proofErr w:type="spellEnd"/>
      <w:r w:rsidRPr="00041E70">
        <w:rPr>
          <w:rFonts w:cstheme="majorHAnsi"/>
          <w:i/>
        </w:rPr>
        <w:t xml:space="preserve"> </w:t>
      </w:r>
      <w:proofErr w:type="spellStart"/>
      <w:r w:rsidRPr="00041E70">
        <w:rPr>
          <w:rFonts w:cstheme="majorHAnsi"/>
          <w:i/>
        </w:rPr>
        <w:t>Mandarins</w:t>
      </w:r>
      <w:proofErr w:type="spellEnd"/>
      <w:r w:rsidRPr="00041E70">
        <w:rPr>
          <w:rFonts w:cstheme="majorHAnsi"/>
        </w:rPr>
        <w:t>” (Revisión parcial de las directrices de examen del mandarino).  El experto principal presentó la propuesta de revisión parcial de las directrices de examen del mandarino.  El TWF acordó modificar el carácter 25 “Antera</w:t>
      </w:r>
      <w:proofErr w:type="gramStart"/>
      <w:r w:rsidRPr="00041E70">
        <w:rPr>
          <w:rFonts w:cstheme="majorHAnsi"/>
        </w:rPr>
        <w:t>:  polen</w:t>
      </w:r>
      <w:proofErr w:type="gramEnd"/>
      <w:r w:rsidRPr="00041E70">
        <w:rPr>
          <w:rFonts w:cstheme="majorHAnsi"/>
        </w:rPr>
        <w:t xml:space="preserve"> viable”. </w:t>
      </w:r>
    </w:p>
    <w:p w:rsidR="00833396" w:rsidRPr="00041E70" w:rsidRDefault="00833396" w:rsidP="00833396"/>
    <w:p w:rsidR="00833396" w:rsidRPr="00041E70" w:rsidRDefault="00833396" w:rsidP="00833396">
      <w:pPr>
        <w:rPr>
          <w:rFonts w:cs="Cambria"/>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El TWF examinó el documento TWF/45/12 “</w:t>
      </w:r>
      <w:proofErr w:type="spellStart"/>
      <w:r w:rsidRPr="00041E70">
        <w:rPr>
          <w:rFonts w:cs="Cambria"/>
          <w:i/>
        </w:rPr>
        <w:t>Revision</w:t>
      </w:r>
      <w:proofErr w:type="spellEnd"/>
      <w:r w:rsidRPr="00041E70">
        <w:rPr>
          <w:rFonts w:cs="Cambria"/>
          <w:i/>
        </w:rPr>
        <w:t xml:space="preserve"> of </w:t>
      </w:r>
      <w:proofErr w:type="spellStart"/>
      <w:r w:rsidRPr="00041E70">
        <w:rPr>
          <w:rFonts w:cs="Cambria"/>
          <w:i/>
        </w:rPr>
        <w:t>document</w:t>
      </w:r>
      <w:proofErr w:type="spellEnd"/>
      <w:r w:rsidRPr="00041E70">
        <w:rPr>
          <w:rFonts w:cs="Cambria"/>
          <w:i/>
        </w:rPr>
        <w:t xml:space="preserve"> TGP/7: </w:t>
      </w:r>
      <w:proofErr w:type="spellStart"/>
      <w:r w:rsidRPr="00041E70">
        <w:rPr>
          <w:rFonts w:cs="Cambria"/>
          <w:i/>
        </w:rPr>
        <w:t>Plant</w:t>
      </w:r>
      <w:proofErr w:type="spellEnd"/>
      <w:r w:rsidRPr="00041E70">
        <w:rPr>
          <w:rFonts w:cs="Cambria"/>
          <w:i/>
        </w:rPr>
        <w:t xml:space="preserve"> Material </w:t>
      </w:r>
      <w:proofErr w:type="spellStart"/>
      <w:r w:rsidRPr="00041E70">
        <w:rPr>
          <w:rFonts w:cs="Cambria"/>
          <w:i/>
        </w:rPr>
        <w:t>Submitted</w:t>
      </w:r>
      <w:proofErr w:type="spellEnd"/>
      <w:r w:rsidRPr="00041E70">
        <w:rPr>
          <w:rFonts w:cs="Cambria"/>
          <w:i/>
        </w:rPr>
        <w:t xml:space="preserve"> </w:t>
      </w:r>
      <w:proofErr w:type="spellStart"/>
      <w:r w:rsidRPr="00041E70">
        <w:rPr>
          <w:rFonts w:cs="Cambria"/>
          <w:i/>
        </w:rPr>
        <w:t>for</w:t>
      </w:r>
      <w:proofErr w:type="spellEnd"/>
      <w:r w:rsidRPr="00041E70">
        <w:rPr>
          <w:rFonts w:cs="Cambria"/>
          <w:i/>
        </w:rPr>
        <w:t xml:space="preserve"> </w:t>
      </w:r>
      <w:proofErr w:type="spellStart"/>
      <w:r w:rsidRPr="00041E70">
        <w:rPr>
          <w:rFonts w:cs="Cambria"/>
          <w:i/>
        </w:rPr>
        <w:t>Examination</w:t>
      </w:r>
      <w:proofErr w:type="spellEnd"/>
      <w:r w:rsidRPr="00041E70">
        <w:rPr>
          <w:rFonts w:cs="Cambria"/>
        </w:rPr>
        <w:t>” (Revisión del documento TGP/7</w:t>
      </w:r>
      <w:proofErr w:type="gramStart"/>
      <w:r w:rsidRPr="00041E70">
        <w:rPr>
          <w:rFonts w:cs="Cambria"/>
        </w:rPr>
        <w:t>:  Material</w:t>
      </w:r>
      <w:proofErr w:type="gramEnd"/>
      <w:r w:rsidRPr="00041E70">
        <w:rPr>
          <w:rFonts w:cs="Cambria"/>
        </w:rPr>
        <w:t xml:space="preserve"> vegetal presentado para el examen”.  El TWF examinó los ejemplos presentados por los expertos de Alemania y de la Unión Europea sobre su experiencia respecto al material vegetal presentado para el examen y las soluciones adoptadas para abordar los problemas.  El TWF señaló que, en el examen de especies frutales, debe tenerse en cuenta el efecto de la </w:t>
      </w:r>
      <w:proofErr w:type="spellStart"/>
      <w:r w:rsidRPr="00041E70">
        <w:rPr>
          <w:rFonts w:cs="Cambria"/>
        </w:rPr>
        <w:t>ciclófisis</w:t>
      </w:r>
      <w:proofErr w:type="spellEnd"/>
      <w:r w:rsidRPr="00041E70">
        <w:rPr>
          <w:rFonts w:cs="Cambria"/>
        </w:rPr>
        <w:t xml:space="preserve">, es decir, la influencia de la parte de la planta madre de donde se obtiene la púa a causa de los distintos grados de maduración, ya que puede tener repercusiones específicas en la expresión de un carácter determinado.  Si, por ejemplo, se obtiene material de injerto de los árboles de más edad con objeto de producir árboles jóvenes para compararlos con plantas de la misma edad de una variedad candidata, en el injerto recién realizado se desarrollarán de inmediato inflorescencias que será necesario eliminar durante el período de establecimiento para obtener un árbol adecuado, con una guía central provista de suficientes ramas laterales.  </w:t>
      </w:r>
    </w:p>
    <w:p w:rsidR="00833396" w:rsidRPr="00041E70" w:rsidRDefault="00833396" w:rsidP="00833396">
      <w:pPr>
        <w:rPr>
          <w:rFonts w:cs="Cambria"/>
        </w:rPr>
      </w:pPr>
    </w:p>
    <w:p w:rsidR="00833396" w:rsidRPr="00041E70" w:rsidRDefault="00833396" w:rsidP="00833396">
      <w:pPr>
        <w:rPr>
          <w:rFonts w:cs="Cambria"/>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 xml:space="preserve">El TWF tomó nota de las medidas adoptadas para evitar la influencia del método de reproducción o multiplicación en el resultado del examen DHE de determinados cultivos en la Unión Europea y Alemania.  Asimismo, observó que, en el caso del arándano y de la vid, el material vegetal derivado de tejido </w:t>
      </w:r>
      <w:proofErr w:type="spellStart"/>
      <w:r w:rsidRPr="00041E70">
        <w:rPr>
          <w:rFonts w:cs="Cambria"/>
        </w:rPr>
        <w:t>meristemático</w:t>
      </w:r>
      <w:proofErr w:type="spellEnd"/>
      <w:r w:rsidRPr="00041E70">
        <w:rPr>
          <w:rFonts w:cs="Cambria"/>
        </w:rPr>
        <w:t xml:space="preserve"> podría no aceptarse para el examen debido al riesgo de variación </w:t>
      </w:r>
      <w:proofErr w:type="spellStart"/>
      <w:r w:rsidRPr="00041E70">
        <w:rPr>
          <w:rFonts w:cs="Cambria"/>
        </w:rPr>
        <w:t>somaclonal</w:t>
      </w:r>
      <w:proofErr w:type="spellEnd"/>
      <w:r w:rsidRPr="00041E70">
        <w:rPr>
          <w:rFonts w:cs="Cambria"/>
        </w:rPr>
        <w:t>.  El TWF convino en que las autoridades encargadas de la recepción del material vegetal destinado al examen deben proporcionar orientación sobre los requisitos del material presentado, tales como la calidad y la edad.</w:t>
      </w:r>
    </w:p>
    <w:p w:rsidR="00833396" w:rsidRPr="00041E70" w:rsidRDefault="00833396" w:rsidP="00833396">
      <w:pPr>
        <w:rPr>
          <w:rFonts w:cs="Cambria"/>
        </w:rPr>
      </w:pPr>
    </w:p>
    <w:p w:rsidR="00833396" w:rsidRPr="00041E70" w:rsidRDefault="00833396" w:rsidP="00833396">
      <w:pPr>
        <w:rPr>
          <w:rFonts w:cs="Cambria"/>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El TWF acordó presentar al TC los siguientes proyectos de directrices de examen para su aprobación</w:t>
      </w:r>
      <w:proofErr w:type="gramStart"/>
      <w:r w:rsidRPr="00041E70">
        <w:rPr>
          <w:rFonts w:cs="Cambria"/>
        </w:rPr>
        <w:t>:</w:t>
      </w:r>
      <w:r w:rsidRPr="00041E70">
        <w:rPr>
          <w:rFonts w:cs="Cambria"/>
          <w:iCs/>
        </w:rPr>
        <w:t xml:space="preserve">  </w:t>
      </w:r>
      <w:proofErr w:type="spellStart"/>
      <w:r w:rsidRPr="00041E70">
        <w:rPr>
          <w:rFonts w:cs="Cambria"/>
          <w:iCs/>
        </w:rPr>
        <w:t>feijoa</w:t>
      </w:r>
      <w:proofErr w:type="spellEnd"/>
      <w:proofErr w:type="gramEnd"/>
      <w:r w:rsidRPr="00041E70">
        <w:rPr>
          <w:rFonts w:cs="Cambria"/>
          <w:iCs/>
        </w:rPr>
        <w:t>,</w:t>
      </w:r>
      <w:r w:rsidRPr="00041E70">
        <w:rPr>
          <w:rFonts w:cs="Cambria"/>
          <w:iCs/>
          <w:color w:val="000000"/>
        </w:rPr>
        <w:t xml:space="preserve"> </w:t>
      </w:r>
      <w:proofErr w:type="spellStart"/>
      <w:r w:rsidRPr="00041E70">
        <w:rPr>
          <w:rFonts w:cs="Cambria"/>
          <w:iCs/>
          <w:color w:val="000000"/>
        </w:rPr>
        <w:t>portainjertos</w:t>
      </w:r>
      <w:proofErr w:type="spellEnd"/>
      <w:r w:rsidRPr="00041E70">
        <w:rPr>
          <w:rFonts w:cs="Cambria"/>
          <w:iCs/>
          <w:color w:val="000000"/>
        </w:rPr>
        <w:t xml:space="preserve"> de manzano, mandarino y nogal </w:t>
      </w:r>
      <w:proofErr w:type="spellStart"/>
      <w:r w:rsidRPr="00041E70">
        <w:rPr>
          <w:rFonts w:cs="Cambria"/>
          <w:iCs/>
          <w:color w:val="000000"/>
        </w:rPr>
        <w:t>pecanero</w:t>
      </w:r>
      <w:proofErr w:type="spellEnd"/>
      <w:r w:rsidRPr="00041E70">
        <w:rPr>
          <w:rFonts w:cs="Cambria"/>
          <w:iCs/>
          <w:color w:val="000000"/>
        </w:rPr>
        <w:t xml:space="preserve">.  </w:t>
      </w:r>
      <w:r w:rsidRPr="00041E70">
        <w:rPr>
          <w:rFonts w:cs="Cambria"/>
          <w:iCs/>
        </w:rPr>
        <w:t>El TWF convino en examinar 12 proyectos de directrices de examen en su cuadragésima sexta reunión.</w:t>
      </w:r>
      <w:r w:rsidRPr="00041E70">
        <w:rPr>
          <w:rFonts w:cs="Cambria"/>
        </w:rPr>
        <w:t xml:space="preserve"> </w:t>
      </w:r>
    </w:p>
    <w:p w:rsidR="00833396" w:rsidRPr="00041E70" w:rsidRDefault="00833396" w:rsidP="00833396">
      <w:pPr>
        <w:rPr>
          <w:rFonts w:cs="Cambria"/>
        </w:rPr>
      </w:pPr>
    </w:p>
    <w:p w:rsidR="00833396" w:rsidRPr="00041E70" w:rsidRDefault="00833396" w:rsidP="00833396">
      <w:pPr>
        <w:rPr>
          <w:rFonts w:cs="Cambria"/>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Por invitación de Sudáfrica, el TWF decidió celebrar su cuadragésima sexta sesión en Mpumalanga (Sudáfrica) del 24 al 28 de agosto de 2015, y el taller preparatorio, el 23 de agosto.</w:t>
      </w:r>
    </w:p>
    <w:p w:rsidR="00833396" w:rsidRPr="00041E70" w:rsidRDefault="00833396" w:rsidP="00833396">
      <w:pPr>
        <w:rPr>
          <w:rFonts w:cs="Cambria"/>
        </w:rPr>
      </w:pPr>
    </w:p>
    <w:p w:rsidR="00833396" w:rsidRPr="00041E70" w:rsidRDefault="00833396" w:rsidP="00833396">
      <w:pPr>
        <w:rPr>
          <w:rFonts w:cs="Cambria"/>
        </w:rPr>
      </w:pPr>
      <w:r w:rsidRPr="00041E70">
        <w:rPr>
          <w:rFonts w:cs="Cambria"/>
        </w:rPr>
        <w:fldChar w:fldCharType="begin"/>
      </w:r>
      <w:r w:rsidRPr="00041E70">
        <w:rPr>
          <w:rFonts w:cs="Cambria"/>
        </w:rPr>
        <w:instrText xml:space="preserve"> AUTONUM  </w:instrText>
      </w:r>
      <w:r w:rsidRPr="00041E70">
        <w:rPr>
          <w:rFonts w:cs="Cambria"/>
        </w:rPr>
        <w:fldChar w:fldCharType="end"/>
      </w:r>
      <w:r w:rsidRPr="00041E70">
        <w:rPr>
          <w:rFonts w:cs="Cambria"/>
        </w:rPr>
        <w:tab/>
        <w:t>El TWF propuso examinar los siguientes puntos en su próxima reunión:</w:t>
      </w:r>
    </w:p>
    <w:p w:rsidR="00833396" w:rsidRPr="00041E70" w:rsidRDefault="00833396" w:rsidP="00833396">
      <w:pPr>
        <w:rPr>
          <w:rFonts w:cs="Cambria"/>
        </w:rPr>
      </w:pPr>
    </w:p>
    <w:p w:rsidR="00833396" w:rsidRPr="00041E70" w:rsidRDefault="00833396" w:rsidP="00833396">
      <w:pPr>
        <w:tabs>
          <w:tab w:val="num" w:pos="1134"/>
        </w:tabs>
        <w:spacing w:before="20" w:afterLines="20" w:after="48"/>
        <w:ind w:left="1134" w:hanging="567"/>
        <w:rPr>
          <w:rFonts w:cs="Arial"/>
        </w:rPr>
      </w:pPr>
      <w:r w:rsidRPr="00041E70">
        <w:rPr>
          <w:rFonts w:cs="Arial"/>
        </w:rPr>
        <w:t>1.</w:t>
      </w:r>
      <w:r w:rsidRPr="00041E70">
        <w:rPr>
          <w:rFonts w:cs="Arial"/>
        </w:rPr>
        <w:tab/>
        <w:t>Apertura de la sesión</w:t>
      </w:r>
    </w:p>
    <w:p w:rsidR="00833396" w:rsidRPr="00041E70" w:rsidRDefault="00833396" w:rsidP="00833396">
      <w:pPr>
        <w:tabs>
          <w:tab w:val="num" w:pos="1134"/>
        </w:tabs>
        <w:spacing w:before="20" w:afterLines="20" w:after="48"/>
        <w:ind w:left="1134" w:hanging="567"/>
        <w:rPr>
          <w:rFonts w:cs="Arial"/>
        </w:rPr>
      </w:pPr>
      <w:r w:rsidRPr="00041E70">
        <w:rPr>
          <w:rFonts w:cs="Arial"/>
        </w:rPr>
        <w:t>2.</w:t>
      </w:r>
      <w:r w:rsidRPr="00041E70">
        <w:rPr>
          <w:rFonts w:cs="Arial"/>
        </w:rPr>
        <w:tab/>
        <w:t>Aprobación del orden del día</w:t>
      </w:r>
    </w:p>
    <w:p w:rsidR="00833396" w:rsidRPr="00041E70" w:rsidRDefault="00833396" w:rsidP="00833396">
      <w:pPr>
        <w:tabs>
          <w:tab w:val="num" w:pos="1134"/>
        </w:tabs>
        <w:spacing w:before="20" w:afterLines="20" w:after="48"/>
        <w:ind w:left="1134" w:hanging="567"/>
        <w:rPr>
          <w:rFonts w:cs="Arial"/>
        </w:rPr>
      </w:pPr>
      <w:r w:rsidRPr="00041E70">
        <w:rPr>
          <w:rFonts w:cs="Arial"/>
        </w:rPr>
        <w:t>3.</w:t>
      </w:r>
      <w:r w:rsidRPr="00041E70">
        <w:rPr>
          <w:rFonts w:cs="Arial"/>
        </w:rPr>
        <w:tab/>
        <w:t>Breves informes sobre los avances logrados en la protección de las variedades vegetales:</w:t>
      </w:r>
    </w:p>
    <w:p w:rsidR="00833396" w:rsidRPr="00041E70" w:rsidRDefault="00833396" w:rsidP="00833396">
      <w:pPr>
        <w:tabs>
          <w:tab w:val="num" w:pos="1134"/>
        </w:tabs>
        <w:spacing w:before="20" w:afterLines="20" w:after="48"/>
        <w:ind w:left="1134"/>
        <w:rPr>
          <w:rFonts w:cs="Arial"/>
        </w:rPr>
      </w:pPr>
      <w:r w:rsidRPr="00041E70">
        <w:rPr>
          <w:rFonts w:cs="Arial"/>
        </w:rPr>
        <w:t>a)</w:t>
      </w:r>
      <w:r w:rsidRPr="00041E70">
        <w:rPr>
          <w:rFonts w:cs="Arial"/>
        </w:rPr>
        <w:tab/>
        <w:t xml:space="preserve">Informes de los miembros y observadores </w:t>
      </w:r>
    </w:p>
    <w:p w:rsidR="00833396" w:rsidRPr="00041E70" w:rsidRDefault="00833396" w:rsidP="00833396">
      <w:pPr>
        <w:tabs>
          <w:tab w:val="num" w:pos="1134"/>
        </w:tabs>
        <w:spacing w:before="20" w:afterLines="20" w:after="48"/>
        <w:ind w:left="1134"/>
        <w:rPr>
          <w:rFonts w:cs="Arial"/>
        </w:rPr>
      </w:pPr>
      <w:r w:rsidRPr="00041E70">
        <w:rPr>
          <w:rFonts w:cs="Arial"/>
        </w:rPr>
        <w:t>b)</w:t>
      </w:r>
      <w:r w:rsidRPr="00041E70">
        <w:rPr>
          <w:rFonts w:cs="Arial"/>
        </w:rPr>
        <w:tab/>
        <w:t xml:space="preserve">Informes sobre los avances logrados en la UPOV </w:t>
      </w:r>
    </w:p>
    <w:p w:rsidR="00833396" w:rsidRPr="00041E70" w:rsidRDefault="00833396" w:rsidP="00833396">
      <w:pPr>
        <w:tabs>
          <w:tab w:val="num" w:pos="1134"/>
        </w:tabs>
        <w:spacing w:before="20" w:afterLines="20" w:after="48"/>
        <w:ind w:left="1134" w:hanging="567"/>
        <w:rPr>
          <w:rFonts w:cs="Arial"/>
        </w:rPr>
      </w:pPr>
      <w:r w:rsidRPr="00041E70">
        <w:rPr>
          <w:rFonts w:cs="Arial"/>
        </w:rPr>
        <w:t>4.</w:t>
      </w:r>
      <w:r w:rsidRPr="00041E70">
        <w:rPr>
          <w:rFonts w:cs="Arial"/>
        </w:rPr>
        <w:tab/>
        <w:t xml:space="preserve">Mejora de la eficacia del Comité Técnico, los Grupos de Trabajo Técnico y los talleres preparatorios </w:t>
      </w:r>
    </w:p>
    <w:p w:rsidR="00833396" w:rsidRPr="00041E70" w:rsidRDefault="00833396" w:rsidP="00833396">
      <w:pPr>
        <w:tabs>
          <w:tab w:val="num" w:pos="1134"/>
        </w:tabs>
        <w:spacing w:before="20" w:afterLines="20" w:after="48"/>
        <w:ind w:left="1134" w:hanging="567"/>
        <w:rPr>
          <w:rFonts w:cs="Arial"/>
        </w:rPr>
      </w:pPr>
      <w:r w:rsidRPr="00041E70">
        <w:rPr>
          <w:rFonts w:cs="Arial"/>
        </w:rPr>
        <w:t>5.</w:t>
      </w:r>
      <w:r w:rsidRPr="00041E70">
        <w:rPr>
          <w:rFonts w:cs="Arial"/>
        </w:rPr>
        <w:tab/>
        <w:t xml:space="preserve">Técnicas moleculares </w:t>
      </w:r>
    </w:p>
    <w:p w:rsidR="00833396" w:rsidRPr="00041E70" w:rsidRDefault="00833396" w:rsidP="00833396">
      <w:pPr>
        <w:tabs>
          <w:tab w:val="num" w:pos="1134"/>
        </w:tabs>
        <w:spacing w:before="20" w:afterLines="20" w:after="48"/>
        <w:ind w:left="1134" w:hanging="567"/>
        <w:rPr>
          <w:rFonts w:cs="Arial"/>
        </w:rPr>
      </w:pPr>
      <w:r w:rsidRPr="00041E70">
        <w:rPr>
          <w:rFonts w:cs="Arial"/>
        </w:rPr>
        <w:t>6.</w:t>
      </w:r>
      <w:r w:rsidRPr="00041E70">
        <w:rPr>
          <w:rFonts w:cs="Arial"/>
        </w:rPr>
        <w:tab/>
        <w:t xml:space="preserve">Documentos TGP </w:t>
      </w:r>
    </w:p>
    <w:p w:rsidR="00833396" w:rsidRPr="00041E70" w:rsidRDefault="00833396" w:rsidP="00833396">
      <w:pPr>
        <w:tabs>
          <w:tab w:val="num" w:pos="1134"/>
        </w:tabs>
        <w:spacing w:before="20" w:afterLines="20" w:after="48"/>
        <w:ind w:left="1134" w:hanging="567"/>
        <w:rPr>
          <w:rFonts w:cs="Arial"/>
        </w:rPr>
      </w:pPr>
      <w:r w:rsidRPr="00041E70">
        <w:rPr>
          <w:rFonts w:cs="Arial"/>
        </w:rPr>
        <w:t>7.</w:t>
      </w:r>
      <w:r w:rsidRPr="00041E70">
        <w:rPr>
          <w:rFonts w:cs="Arial"/>
        </w:rPr>
        <w:tab/>
        <w:t xml:space="preserve">Denominaciones de variedades </w:t>
      </w:r>
    </w:p>
    <w:p w:rsidR="00833396" w:rsidRPr="00041E70" w:rsidRDefault="00833396" w:rsidP="00833396">
      <w:pPr>
        <w:tabs>
          <w:tab w:val="num" w:pos="1134"/>
        </w:tabs>
        <w:spacing w:before="20" w:afterLines="20" w:after="48"/>
        <w:ind w:left="1134" w:hanging="567"/>
        <w:rPr>
          <w:rFonts w:cs="Arial"/>
        </w:rPr>
      </w:pPr>
      <w:r w:rsidRPr="00041E70">
        <w:rPr>
          <w:rFonts w:cs="Arial"/>
        </w:rPr>
        <w:t>8.</w:t>
      </w:r>
      <w:r w:rsidRPr="00041E70">
        <w:rPr>
          <w:rFonts w:cs="Arial"/>
        </w:rPr>
        <w:tab/>
        <w:t>Información y bases de datos</w:t>
      </w:r>
    </w:p>
    <w:p w:rsidR="00833396" w:rsidRPr="00041E70" w:rsidRDefault="00833396" w:rsidP="00833396">
      <w:pPr>
        <w:tabs>
          <w:tab w:val="num" w:pos="1134"/>
        </w:tabs>
        <w:spacing w:before="20" w:afterLines="20" w:after="48"/>
        <w:ind w:left="1134"/>
        <w:rPr>
          <w:rFonts w:cs="Arial"/>
        </w:rPr>
      </w:pPr>
      <w:r w:rsidRPr="00041E70">
        <w:rPr>
          <w:rFonts w:cs="Arial"/>
        </w:rPr>
        <w:t>a)</w:t>
      </w:r>
      <w:r w:rsidRPr="00041E70">
        <w:rPr>
          <w:rFonts w:cs="Arial"/>
        </w:rPr>
        <w:tab/>
        <w:t xml:space="preserve">Bases de datos de información de la UPOV </w:t>
      </w:r>
    </w:p>
    <w:p w:rsidR="00833396" w:rsidRPr="00041E70" w:rsidRDefault="00833396" w:rsidP="00833396">
      <w:pPr>
        <w:tabs>
          <w:tab w:val="num" w:pos="1134"/>
        </w:tabs>
        <w:spacing w:before="20" w:afterLines="20" w:after="48"/>
        <w:ind w:left="1134"/>
        <w:rPr>
          <w:rFonts w:cs="Arial"/>
        </w:rPr>
      </w:pPr>
      <w:r w:rsidRPr="00041E70">
        <w:rPr>
          <w:rFonts w:cs="Arial"/>
        </w:rPr>
        <w:t>b)</w:t>
      </w:r>
      <w:r w:rsidRPr="00041E70">
        <w:rPr>
          <w:rFonts w:cs="Arial"/>
        </w:rPr>
        <w:tab/>
        <w:t xml:space="preserve">Bases de datos de descripciones de variedades </w:t>
      </w:r>
    </w:p>
    <w:p w:rsidR="00833396" w:rsidRPr="00041E70" w:rsidRDefault="00833396" w:rsidP="00833396">
      <w:pPr>
        <w:tabs>
          <w:tab w:val="num" w:pos="1134"/>
        </w:tabs>
        <w:spacing w:before="20" w:afterLines="20" w:after="48"/>
        <w:ind w:left="1134"/>
        <w:rPr>
          <w:rFonts w:cs="Arial"/>
        </w:rPr>
      </w:pPr>
      <w:r w:rsidRPr="00041E70">
        <w:rPr>
          <w:rFonts w:cs="Arial"/>
        </w:rPr>
        <w:t>c)</w:t>
      </w:r>
      <w:r w:rsidRPr="00041E70">
        <w:rPr>
          <w:rFonts w:cs="Arial"/>
        </w:rPr>
        <w:tab/>
        <w:t xml:space="preserve">Programas informáticos para intercambio </w:t>
      </w:r>
    </w:p>
    <w:p w:rsidR="00833396" w:rsidRPr="00041E70" w:rsidRDefault="00833396" w:rsidP="00833396">
      <w:pPr>
        <w:tabs>
          <w:tab w:val="num" w:pos="1134"/>
        </w:tabs>
        <w:spacing w:before="20" w:afterLines="20" w:after="48"/>
        <w:ind w:left="1134"/>
        <w:rPr>
          <w:rFonts w:cs="Arial"/>
        </w:rPr>
      </w:pPr>
      <w:r w:rsidRPr="00041E70">
        <w:rPr>
          <w:rFonts w:cs="Arial"/>
        </w:rPr>
        <w:t>d)</w:t>
      </w:r>
      <w:r w:rsidRPr="00041E70">
        <w:rPr>
          <w:rFonts w:cs="Arial"/>
        </w:rPr>
        <w:tab/>
        <w:t xml:space="preserve">Sistemas de presentación electrónica de solicitudes </w:t>
      </w:r>
    </w:p>
    <w:p w:rsidR="00833396" w:rsidRPr="00041E70" w:rsidRDefault="00833396" w:rsidP="00833396">
      <w:pPr>
        <w:tabs>
          <w:tab w:val="num" w:pos="1134"/>
        </w:tabs>
        <w:spacing w:before="20" w:afterLines="20" w:after="48"/>
        <w:ind w:left="1134" w:hanging="567"/>
        <w:rPr>
          <w:rFonts w:cs="Arial"/>
        </w:rPr>
      </w:pPr>
      <w:r w:rsidRPr="00041E70">
        <w:rPr>
          <w:rFonts w:cs="Arial"/>
        </w:rPr>
        <w:t>9.</w:t>
      </w:r>
      <w:r w:rsidRPr="00041E70">
        <w:rPr>
          <w:rFonts w:cs="Arial"/>
        </w:rPr>
        <w:tab/>
        <w:t xml:space="preserve">Evaluación de la homogeneidad </w:t>
      </w:r>
    </w:p>
    <w:p w:rsidR="00833396" w:rsidRPr="00041E70" w:rsidRDefault="00833396" w:rsidP="00833396">
      <w:pPr>
        <w:tabs>
          <w:tab w:val="num" w:pos="1134"/>
        </w:tabs>
        <w:spacing w:before="20" w:afterLines="20" w:after="48"/>
        <w:ind w:left="1134" w:hanging="567"/>
        <w:rPr>
          <w:rFonts w:cs="Arial"/>
        </w:rPr>
      </w:pPr>
      <w:r w:rsidRPr="00041E70">
        <w:rPr>
          <w:rFonts w:cs="Arial"/>
        </w:rPr>
        <w:t>10.</w:t>
      </w:r>
      <w:r w:rsidRPr="00041E70">
        <w:rPr>
          <w:rFonts w:cs="Arial"/>
        </w:rPr>
        <w:tab/>
        <w:t xml:space="preserve">Experiencias con nuevos tipos y especies </w:t>
      </w:r>
    </w:p>
    <w:p w:rsidR="00833396" w:rsidRPr="00041E70" w:rsidRDefault="00833396" w:rsidP="00833396">
      <w:pPr>
        <w:tabs>
          <w:tab w:val="num" w:pos="1134"/>
        </w:tabs>
        <w:spacing w:before="20" w:afterLines="20" w:after="48"/>
        <w:ind w:left="1134" w:hanging="567"/>
        <w:rPr>
          <w:rFonts w:cs="Arial"/>
        </w:rPr>
      </w:pPr>
      <w:r w:rsidRPr="00041E70">
        <w:rPr>
          <w:rFonts w:cs="Arial"/>
        </w:rPr>
        <w:t>11.</w:t>
      </w:r>
      <w:r w:rsidRPr="00041E70">
        <w:rPr>
          <w:rFonts w:cs="Arial"/>
        </w:rPr>
        <w:tab/>
        <w:t>Gestión de las colecciones de variedades a los efectos del examen DHE</w:t>
      </w:r>
    </w:p>
    <w:p w:rsidR="00833396" w:rsidRPr="00041E70" w:rsidRDefault="00833396" w:rsidP="00833396">
      <w:pPr>
        <w:tabs>
          <w:tab w:val="num" w:pos="1134"/>
        </w:tabs>
        <w:spacing w:before="20" w:afterLines="20" w:after="48"/>
        <w:ind w:left="1134" w:hanging="567"/>
        <w:rPr>
          <w:rFonts w:cs="Arial"/>
        </w:rPr>
      </w:pPr>
      <w:r w:rsidRPr="00041E70">
        <w:rPr>
          <w:rFonts w:cs="Arial"/>
        </w:rPr>
        <w:t>12.</w:t>
      </w:r>
      <w:r w:rsidRPr="00041E70">
        <w:rPr>
          <w:rFonts w:cs="Arial"/>
        </w:rPr>
        <w:tab/>
        <w:t xml:space="preserve">Duración de los exámenes DHE en el sector frutícola </w:t>
      </w:r>
    </w:p>
    <w:p w:rsidR="00833396" w:rsidRPr="00041E70" w:rsidRDefault="00833396" w:rsidP="00833396">
      <w:pPr>
        <w:tabs>
          <w:tab w:val="num" w:pos="1134"/>
        </w:tabs>
        <w:spacing w:before="20" w:afterLines="20" w:after="48"/>
        <w:ind w:left="1134" w:hanging="567"/>
        <w:rPr>
          <w:rFonts w:cs="Arial"/>
        </w:rPr>
      </w:pPr>
      <w:r w:rsidRPr="00041E70">
        <w:rPr>
          <w:rFonts w:cs="Arial"/>
        </w:rPr>
        <w:t xml:space="preserve">13. </w:t>
      </w:r>
      <w:r w:rsidRPr="00041E70">
        <w:rPr>
          <w:rFonts w:cs="Arial"/>
        </w:rPr>
        <w:tab/>
        <w:t>Variedades ejemplo armonizadas del manzano</w:t>
      </w:r>
      <w:proofErr w:type="gramStart"/>
      <w:r w:rsidRPr="00041E70">
        <w:rPr>
          <w:rFonts w:cs="Arial"/>
        </w:rPr>
        <w:t>:  datos</w:t>
      </w:r>
      <w:proofErr w:type="gramEnd"/>
      <w:r w:rsidRPr="00041E70">
        <w:rPr>
          <w:rFonts w:cs="Arial"/>
        </w:rPr>
        <w:t xml:space="preserve"> históricos y posibles novedades </w:t>
      </w:r>
    </w:p>
    <w:p w:rsidR="00833396" w:rsidRPr="00041E70" w:rsidRDefault="00833396" w:rsidP="00833396">
      <w:pPr>
        <w:tabs>
          <w:tab w:val="num" w:pos="1134"/>
        </w:tabs>
        <w:spacing w:before="20" w:afterLines="20" w:after="48"/>
        <w:ind w:left="1134" w:hanging="567"/>
        <w:rPr>
          <w:rFonts w:cs="Arial"/>
        </w:rPr>
      </w:pPr>
      <w:r w:rsidRPr="00041E70">
        <w:rPr>
          <w:rFonts w:cs="Arial"/>
        </w:rPr>
        <w:t>14.</w:t>
      </w:r>
      <w:r w:rsidRPr="00041E70">
        <w:rPr>
          <w:rFonts w:cs="Arial"/>
        </w:rPr>
        <w:tab/>
        <w:t xml:space="preserve">Cuestiones por resolver en lo que respecta a directrices de examen aprobadas por el Comité Técnico </w:t>
      </w:r>
    </w:p>
    <w:p w:rsidR="00833396" w:rsidRPr="00041E70" w:rsidRDefault="00833396" w:rsidP="00833396">
      <w:pPr>
        <w:tabs>
          <w:tab w:val="num" w:pos="1134"/>
        </w:tabs>
        <w:spacing w:before="20" w:afterLines="20" w:after="48"/>
        <w:ind w:left="1134" w:hanging="567"/>
        <w:rPr>
          <w:rFonts w:cs="Arial"/>
        </w:rPr>
      </w:pPr>
      <w:r w:rsidRPr="00041E70">
        <w:rPr>
          <w:rFonts w:cs="Arial"/>
        </w:rPr>
        <w:t>15.</w:t>
      </w:r>
      <w:r w:rsidRPr="00041E70">
        <w:rPr>
          <w:rFonts w:cs="Arial"/>
        </w:rPr>
        <w:tab/>
        <w:t>Propuestas de revisión parcial/correcciones de directrices de examen</w:t>
      </w:r>
    </w:p>
    <w:p w:rsidR="00833396" w:rsidRPr="00041E70" w:rsidRDefault="00833396" w:rsidP="00833396">
      <w:pPr>
        <w:tabs>
          <w:tab w:val="num" w:pos="1134"/>
        </w:tabs>
        <w:spacing w:before="20" w:afterLines="20" w:after="48"/>
        <w:ind w:left="1134" w:hanging="567"/>
        <w:rPr>
          <w:rFonts w:cs="Arial"/>
        </w:rPr>
      </w:pPr>
      <w:r w:rsidRPr="00041E70">
        <w:rPr>
          <w:rFonts w:cs="Arial"/>
        </w:rPr>
        <w:t>16.</w:t>
      </w:r>
      <w:r w:rsidRPr="00041E70">
        <w:rPr>
          <w:rFonts w:cs="Arial"/>
        </w:rPr>
        <w:tab/>
        <w:t>Debates sobre proyectos de directrices de examen (Subgrupos)</w:t>
      </w:r>
    </w:p>
    <w:p w:rsidR="00833396" w:rsidRPr="00041E70" w:rsidRDefault="00833396" w:rsidP="00833396">
      <w:pPr>
        <w:tabs>
          <w:tab w:val="num" w:pos="1134"/>
        </w:tabs>
        <w:spacing w:before="20" w:afterLines="20" w:after="48"/>
        <w:ind w:left="1134" w:hanging="567"/>
        <w:rPr>
          <w:rFonts w:cs="Arial"/>
        </w:rPr>
      </w:pPr>
      <w:r w:rsidRPr="00041E70">
        <w:rPr>
          <w:rFonts w:cs="Arial"/>
        </w:rPr>
        <w:t>17.</w:t>
      </w:r>
      <w:r w:rsidRPr="00041E70">
        <w:rPr>
          <w:rFonts w:cs="Arial"/>
        </w:rPr>
        <w:tab/>
        <w:t>Recomendaciones sobre proyectos de directrices de examen</w:t>
      </w:r>
    </w:p>
    <w:p w:rsidR="00833396" w:rsidRPr="00041E70" w:rsidRDefault="00833396" w:rsidP="00833396">
      <w:pPr>
        <w:tabs>
          <w:tab w:val="num" w:pos="1134"/>
        </w:tabs>
        <w:spacing w:before="20" w:afterLines="20" w:after="48"/>
        <w:ind w:left="1134" w:hanging="567"/>
        <w:rPr>
          <w:rFonts w:cs="Arial"/>
        </w:rPr>
      </w:pPr>
      <w:r w:rsidRPr="00041E70">
        <w:rPr>
          <w:rFonts w:cs="Arial"/>
        </w:rPr>
        <w:t>18.</w:t>
      </w:r>
      <w:r w:rsidRPr="00041E70">
        <w:rPr>
          <w:rFonts w:cs="Arial"/>
        </w:rPr>
        <w:tab/>
        <w:t>Orientación para redactores de directrices de examen</w:t>
      </w:r>
    </w:p>
    <w:p w:rsidR="00833396" w:rsidRPr="00041E70" w:rsidRDefault="00833396" w:rsidP="00833396">
      <w:pPr>
        <w:tabs>
          <w:tab w:val="num" w:pos="1134"/>
        </w:tabs>
        <w:spacing w:before="20" w:afterLines="20" w:after="48"/>
        <w:ind w:left="1134" w:hanging="567"/>
        <w:rPr>
          <w:rFonts w:cs="Arial"/>
        </w:rPr>
      </w:pPr>
      <w:r w:rsidRPr="00041E70">
        <w:rPr>
          <w:rFonts w:cs="Arial"/>
        </w:rPr>
        <w:t>19.</w:t>
      </w:r>
      <w:r w:rsidRPr="00041E70">
        <w:rPr>
          <w:rFonts w:cs="Arial"/>
        </w:rPr>
        <w:tab/>
        <w:t>Fecha y lugar de la siguiente reunión</w:t>
      </w:r>
    </w:p>
    <w:p w:rsidR="00833396" w:rsidRPr="00041E70" w:rsidRDefault="00833396" w:rsidP="00833396">
      <w:pPr>
        <w:tabs>
          <w:tab w:val="num" w:pos="1134"/>
        </w:tabs>
        <w:spacing w:before="20" w:afterLines="20" w:after="48"/>
        <w:ind w:left="1134" w:hanging="567"/>
        <w:rPr>
          <w:rFonts w:cs="Arial"/>
        </w:rPr>
      </w:pPr>
      <w:r w:rsidRPr="00041E70">
        <w:rPr>
          <w:rFonts w:cs="Arial"/>
        </w:rPr>
        <w:t>20.</w:t>
      </w:r>
      <w:r w:rsidRPr="00041E70">
        <w:rPr>
          <w:rFonts w:cs="Arial"/>
        </w:rPr>
        <w:tab/>
        <w:t>Programa futuro</w:t>
      </w:r>
    </w:p>
    <w:p w:rsidR="00833396" w:rsidRPr="00041E70" w:rsidRDefault="00833396" w:rsidP="00833396">
      <w:pPr>
        <w:tabs>
          <w:tab w:val="num" w:pos="1134"/>
        </w:tabs>
        <w:spacing w:before="20" w:afterLines="20" w:after="48"/>
        <w:ind w:left="1134" w:hanging="567"/>
        <w:rPr>
          <w:rFonts w:cs="Arial"/>
        </w:rPr>
      </w:pPr>
      <w:r w:rsidRPr="00041E70">
        <w:rPr>
          <w:rFonts w:cs="Arial"/>
        </w:rPr>
        <w:t>21.</w:t>
      </w:r>
      <w:r w:rsidRPr="00041E70">
        <w:rPr>
          <w:rFonts w:cs="Arial"/>
        </w:rPr>
        <w:tab/>
        <w:t>Aprobación del informe de la reunión (si se dispone de tiempo suficiente)</w:t>
      </w:r>
    </w:p>
    <w:p w:rsidR="00833396" w:rsidRPr="00041E70" w:rsidRDefault="00833396" w:rsidP="00833396">
      <w:pPr>
        <w:tabs>
          <w:tab w:val="num" w:pos="1134"/>
        </w:tabs>
        <w:spacing w:before="20" w:afterLines="20" w:after="48"/>
        <w:ind w:left="1134" w:hanging="567"/>
        <w:rPr>
          <w:rFonts w:cs="Arial"/>
        </w:rPr>
      </w:pPr>
      <w:r w:rsidRPr="00041E70">
        <w:rPr>
          <w:rFonts w:cs="Arial"/>
        </w:rPr>
        <w:t>22.</w:t>
      </w:r>
      <w:r w:rsidRPr="00041E70">
        <w:rPr>
          <w:rFonts w:cs="Arial"/>
        </w:rPr>
        <w:tab/>
        <w:t>Clausura de la reunión</w:t>
      </w:r>
    </w:p>
    <w:p w:rsidR="00833396" w:rsidRPr="00041E70" w:rsidRDefault="00833396" w:rsidP="00833396">
      <w:pPr>
        <w:rPr>
          <w:rFonts w:cs="Cambria"/>
        </w:rPr>
      </w:pPr>
    </w:p>
    <w:p w:rsidR="00833396" w:rsidRPr="00041E70" w:rsidRDefault="00833396" w:rsidP="00833396">
      <w:pPr>
        <w:rPr>
          <w:rFonts w:cs="Cambria"/>
        </w:rPr>
      </w:pPr>
      <w:r w:rsidRPr="00041E70">
        <w:rPr>
          <w:rFonts w:cs="Cambria"/>
          <w:color w:val="000000"/>
        </w:rPr>
        <w:fldChar w:fldCharType="begin"/>
      </w:r>
      <w:r w:rsidRPr="00041E70">
        <w:rPr>
          <w:rFonts w:cs="Cambria"/>
          <w:color w:val="000000"/>
        </w:rPr>
        <w:instrText xml:space="preserve"> AUTONUM  </w:instrText>
      </w:r>
      <w:r w:rsidRPr="00041E70">
        <w:rPr>
          <w:rFonts w:cs="Cambria"/>
          <w:color w:val="000000"/>
        </w:rPr>
        <w:fldChar w:fldCharType="end"/>
      </w:r>
      <w:r w:rsidRPr="00041E70">
        <w:rPr>
          <w:rFonts w:cs="Cambria"/>
          <w:color w:val="000000"/>
        </w:rPr>
        <w:tab/>
        <w:t xml:space="preserve">El 29 de mayo, </w:t>
      </w:r>
      <w:r w:rsidRPr="00041E70">
        <w:rPr>
          <w:rFonts w:cs="Cambria"/>
        </w:rPr>
        <w:t xml:space="preserve">el TWF visitó la hacienda </w:t>
      </w:r>
      <w:proofErr w:type="spellStart"/>
      <w:r w:rsidRPr="00041E70">
        <w:rPr>
          <w:rFonts w:cs="Cambria"/>
        </w:rPr>
        <w:t>Tabouhanit</w:t>
      </w:r>
      <w:proofErr w:type="spellEnd"/>
      <w:r w:rsidRPr="00041E70">
        <w:rPr>
          <w:rFonts w:cs="Cambria"/>
        </w:rPr>
        <w:t xml:space="preserve">, </w:t>
      </w:r>
      <w:r w:rsidRPr="00041E70">
        <w:t xml:space="preserve">una explotación </w:t>
      </w:r>
      <w:r w:rsidRPr="00041E70">
        <w:rPr>
          <w:iCs/>
        </w:rPr>
        <w:t xml:space="preserve">hortícola </w:t>
      </w:r>
      <w:r w:rsidRPr="00041E70">
        <w:rPr>
          <w:rFonts w:cs="Cambria"/>
        </w:rPr>
        <w:t xml:space="preserve">de 425 hectáreas en las inmediaciones de Marrakech en la que se cultivan cítricos (principalmente naranjos, limoneros y </w:t>
      </w:r>
      <w:proofErr w:type="spellStart"/>
      <w:r w:rsidRPr="00041E70">
        <w:rPr>
          <w:rFonts w:cs="Cambria"/>
        </w:rPr>
        <w:t>clementinos</w:t>
      </w:r>
      <w:proofErr w:type="spellEnd"/>
      <w:r w:rsidRPr="00041E70">
        <w:rPr>
          <w:rFonts w:cs="Cambria"/>
        </w:rPr>
        <w:t xml:space="preserve">), nectarinos, olivos y vid.  Dio la bienvenida al TWF el Sr. Ben </w:t>
      </w:r>
      <w:proofErr w:type="spellStart"/>
      <w:r w:rsidRPr="00041E70">
        <w:rPr>
          <w:rFonts w:cs="Cambria"/>
        </w:rPr>
        <w:t>Arirou</w:t>
      </w:r>
      <w:proofErr w:type="spellEnd"/>
      <w:r w:rsidRPr="00041E70">
        <w:rPr>
          <w:rFonts w:cs="Cambria"/>
        </w:rPr>
        <w:t xml:space="preserve"> </w:t>
      </w:r>
      <w:proofErr w:type="spellStart"/>
      <w:r w:rsidRPr="00041E70">
        <w:rPr>
          <w:rFonts w:cs="Cambria"/>
        </w:rPr>
        <w:t>Lahcen</w:t>
      </w:r>
      <w:proofErr w:type="spellEnd"/>
      <w:r w:rsidRPr="00041E70">
        <w:rPr>
          <w:rFonts w:cs="Cambria"/>
        </w:rPr>
        <w:t xml:space="preserve">, Gerente.  El TWF visitó también los viveros </w:t>
      </w:r>
      <w:proofErr w:type="spellStart"/>
      <w:r w:rsidRPr="00041E70">
        <w:rPr>
          <w:rFonts w:cs="Cambria"/>
        </w:rPr>
        <w:t>Essnoussi</w:t>
      </w:r>
      <w:proofErr w:type="spellEnd"/>
      <w:r w:rsidRPr="00041E70">
        <w:rPr>
          <w:rFonts w:cs="Cambria"/>
        </w:rPr>
        <w:t>, fundados por el Sr. </w:t>
      </w:r>
      <w:proofErr w:type="spellStart"/>
      <w:r w:rsidRPr="00041E70">
        <w:rPr>
          <w:rFonts w:cs="Cambria"/>
        </w:rPr>
        <w:t>Essnoussi</w:t>
      </w:r>
      <w:proofErr w:type="spellEnd"/>
      <w:r w:rsidRPr="00041E70">
        <w:rPr>
          <w:rFonts w:cs="Cambria"/>
        </w:rPr>
        <w:t xml:space="preserve"> y administrados por su hijo </w:t>
      </w:r>
      <w:proofErr w:type="spellStart"/>
      <w:r w:rsidRPr="00041E70">
        <w:rPr>
          <w:rFonts w:cs="Cambria"/>
        </w:rPr>
        <w:t>Noureddine</w:t>
      </w:r>
      <w:proofErr w:type="spellEnd"/>
      <w:r w:rsidRPr="00041E70">
        <w:rPr>
          <w:rFonts w:cs="Cambria"/>
        </w:rPr>
        <w:t xml:space="preserve"> </w:t>
      </w:r>
      <w:proofErr w:type="spellStart"/>
      <w:r w:rsidRPr="00041E70">
        <w:rPr>
          <w:rFonts w:cs="Cambria"/>
        </w:rPr>
        <w:t>Essnoussi</w:t>
      </w:r>
      <w:proofErr w:type="spellEnd"/>
      <w:r w:rsidRPr="00041E70">
        <w:rPr>
          <w:rFonts w:cs="Cambria"/>
        </w:rPr>
        <w:t xml:space="preserve">, quien dio la bienvenida al TWF.  En los viveros </w:t>
      </w:r>
      <w:proofErr w:type="spellStart"/>
      <w:r w:rsidRPr="00041E70">
        <w:rPr>
          <w:rFonts w:cs="Cambria"/>
        </w:rPr>
        <w:t>Essnoussi</w:t>
      </w:r>
      <w:proofErr w:type="spellEnd"/>
      <w:r w:rsidRPr="00041E70">
        <w:rPr>
          <w:rFonts w:cs="Cambria"/>
        </w:rPr>
        <w:t xml:space="preserve"> se producen plantas certificadas de olivo y almendro, así como plántulas de algarrobo y granado.  El propietario explicó el procedimiento de producción de plantas certificadas.  El TWF visitó el Laboratorio de Biotecnología Vegetal del Centro Regional del </w:t>
      </w:r>
      <w:proofErr w:type="spellStart"/>
      <w:r w:rsidRPr="00041E70">
        <w:rPr>
          <w:rFonts w:cs="Cambria"/>
          <w:i/>
        </w:rPr>
        <w:t>Institut</w:t>
      </w:r>
      <w:proofErr w:type="spellEnd"/>
      <w:r w:rsidRPr="00041E70">
        <w:rPr>
          <w:rFonts w:cs="Cambria"/>
          <w:i/>
        </w:rPr>
        <w:t xml:space="preserve"> </w:t>
      </w:r>
      <w:proofErr w:type="spellStart"/>
      <w:r w:rsidRPr="00041E70">
        <w:rPr>
          <w:rFonts w:cs="Cambria"/>
          <w:i/>
        </w:rPr>
        <w:t>National</w:t>
      </w:r>
      <w:proofErr w:type="spellEnd"/>
      <w:r w:rsidRPr="00041E70">
        <w:rPr>
          <w:rFonts w:cs="Cambria"/>
          <w:i/>
        </w:rPr>
        <w:t xml:space="preserve"> de </w:t>
      </w:r>
      <w:proofErr w:type="spellStart"/>
      <w:r w:rsidRPr="00041E70">
        <w:rPr>
          <w:rFonts w:cs="Cambria"/>
          <w:i/>
        </w:rPr>
        <w:t>Recherche</w:t>
      </w:r>
      <w:proofErr w:type="spellEnd"/>
      <w:r w:rsidRPr="00041E70">
        <w:rPr>
          <w:rFonts w:cs="Cambria"/>
          <w:i/>
        </w:rPr>
        <w:t xml:space="preserve"> </w:t>
      </w:r>
      <w:proofErr w:type="spellStart"/>
      <w:r w:rsidRPr="00041E70">
        <w:rPr>
          <w:rFonts w:cs="Cambria"/>
          <w:i/>
        </w:rPr>
        <w:t>Agronomique</w:t>
      </w:r>
      <w:proofErr w:type="spellEnd"/>
      <w:r w:rsidRPr="00041E70">
        <w:rPr>
          <w:rFonts w:cs="Cambria"/>
        </w:rPr>
        <w:t xml:space="preserve"> (INRA) en Marrakech.  Dio la bienvenida al TWF el Sr. Mohamed </w:t>
      </w:r>
      <w:proofErr w:type="spellStart"/>
      <w:r w:rsidRPr="00041E70">
        <w:rPr>
          <w:rFonts w:cs="Cambria"/>
        </w:rPr>
        <w:t>Anjarne</w:t>
      </w:r>
      <w:proofErr w:type="spellEnd"/>
      <w:r w:rsidRPr="00041E70">
        <w:rPr>
          <w:rFonts w:cs="Cambria"/>
        </w:rPr>
        <w:t>, Director Adjunto, quien explicó la función principal del Laboratorio en la multiplicación de la palmera datilera mediante técnicas de organogénesis (técnicas de embriogénesis somática y floración empleadas en investigación) y el programa de fitomejoramiento para la resistencia a las enfermedades.</w:t>
      </w:r>
    </w:p>
    <w:p w:rsidR="00833396" w:rsidRPr="00041E70" w:rsidRDefault="00833396" w:rsidP="00833396">
      <w:pPr>
        <w:rPr>
          <w:rFonts w:cs="Cambria"/>
        </w:rPr>
      </w:pPr>
    </w:p>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Se concedió a la Sra. </w:t>
      </w:r>
      <w:proofErr w:type="spellStart"/>
      <w:r w:rsidRPr="00041E70">
        <w:rPr>
          <w:rFonts w:cs="Arial"/>
        </w:rPr>
        <w:t>Carensa</w:t>
      </w:r>
      <w:proofErr w:type="spellEnd"/>
      <w:r w:rsidRPr="00041E70">
        <w:rPr>
          <w:rFonts w:cs="Arial"/>
        </w:rPr>
        <w:t xml:space="preserve"> </w:t>
      </w:r>
      <w:proofErr w:type="spellStart"/>
      <w:r w:rsidRPr="00041E70">
        <w:rPr>
          <w:rFonts w:cs="Arial"/>
        </w:rPr>
        <w:t>Petzer</w:t>
      </w:r>
      <w:proofErr w:type="spellEnd"/>
      <w:r w:rsidRPr="00041E70">
        <w:rPr>
          <w:rFonts w:cs="Arial"/>
        </w:rPr>
        <w:t xml:space="preserve"> la medalla de bronce de la UPOV en reconocimiento a su labor como Presidenta del TWF desde 2012 hasta 2014.</w:t>
      </w:r>
    </w:p>
    <w:p w:rsidR="00833396" w:rsidRPr="00041E70" w:rsidRDefault="00833396" w:rsidP="00833396">
      <w:pPr>
        <w:autoSpaceDE w:val="0"/>
        <w:autoSpaceDN w:val="0"/>
        <w:adjustRightInd w:val="0"/>
        <w:rPr>
          <w:rFonts w:cs="Arial"/>
        </w:rPr>
      </w:pPr>
    </w:p>
    <w:p w:rsidR="00833396" w:rsidRPr="00041E70" w:rsidRDefault="00833396" w:rsidP="00833396">
      <w:pPr>
        <w:rPr>
          <w:rFonts w:cs="Cambria"/>
        </w:rPr>
      </w:pPr>
    </w:p>
    <w:p w:rsidR="00833396" w:rsidRPr="00041E70" w:rsidRDefault="00833396" w:rsidP="00041E70">
      <w:pPr>
        <w:pStyle w:val="Heading2"/>
      </w:pPr>
      <w:bookmarkStart w:id="61" w:name="_Toc429150787"/>
      <w:r w:rsidRPr="00041E70">
        <w:t>Grupo de Trabajo Técnico sobre Plantas Ornamentales y Árboles Forestales</w:t>
      </w:r>
      <w:r w:rsidR="00041E70">
        <w:t xml:space="preserve"> (TWO)</w:t>
      </w:r>
      <w:bookmarkEnd w:id="61"/>
    </w:p>
    <w:p w:rsidR="00833396" w:rsidRPr="00041E70" w:rsidRDefault="00833396" w:rsidP="00041E70"/>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 xml:space="preserve">El TWO celebró su cuadragésima séptima sesión en </w:t>
      </w:r>
      <w:proofErr w:type="spellStart"/>
      <w:r w:rsidRPr="00041E70">
        <w:rPr>
          <w:rFonts w:cs="Arial"/>
        </w:rPr>
        <w:t>Naivasha</w:t>
      </w:r>
      <w:proofErr w:type="spellEnd"/>
      <w:r w:rsidRPr="00041E70">
        <w:rPr>
          <w:rFonts w:cs="Arial"/>
        </w:rPr>
        <w:t xml:space="preserve"> (</w:t>
      </w:r>
      <w:proofErr w:type="spellStart"/>
      <w:r w:rsidRPr="00041E70">
        <w:rPr>
          <w:rFonts w:cs="Arial"/>
        </w:rPr>
        <w:t>Kenya</w:t>
      </w:r>
      <w:proofErr w:type="spellEnd"/>
      <w:r w:rsidRPr="00041E70">
        <w:rPr>
          <w:rFonts w:cs="Arial"/>
        </w:rPr>
        <w:t xml:space="preserve">) del 19 al 23 de mayo de 2014.  Presidió la sesión el Sr. Nik Hulse (Australia), Presidente del TWO.  El informe detallado se presenta en el documento TWO/47/28. </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 xml:space="preserve">Asistieron a la sesión 45 participantes procedentes de 16 miembros de la Unión, tres Estados en calidad de observadores y una organización observadora.  El taller preparatorio, al que asistieron 40 participantes, se celebró el 18 de mayo por la mañana. </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 xml:space="preserve">Dio la bienvenida al TWO el Sr. James </w:t>
      </w:r>
      <w:proofErr w:type="spellStart"/>
      <w:r w:rsidRPr="00041E70">
        <w:rPr>
          <w:rFonts w:cs="Arial"/>
        </w:rPr>
        <w:t>Onsando</w:t>
      </w:r>
      <w:proofErr w:type="spellEnd"/>
      <w:r w:rsidRPr="00041E70">
        <w:rPr>
          <w:rFonts w:cs="Arial"/>
        </w:rPr>
        <w:t xml:space="preserve">, Director Gerente del Servicio de Inspección Fitosanitaria de </w:t>
      </w:r>
      <w:proofErr w:type="spellStart"/>
      <w:r w:rsidRPr="00041E70">
        <w:rPr>
          <w:rFonts w:cs="Arial"/>
        </w:rPr>
        <w:t>Kenya</w:t>
      </w:r>
      <w:proofErr w:type="spellEnd"/>
      <w:r w:rsidRPr="00041E70">
        <w:rPr>
          <w:rFonts w:cs="Arial"/>
        </w:rPr>
        <w:t xml:space="preserve"> (KEPHIS), quien realizó una presentación sobre la situación de la protección de las obtenciones vegetales en </w:t>
      </w:r>
      <w:proofErr w:type="spellStart"/>
      <w:r w:rsidRPr="00041E70">
        <w:rPr>
          <w:rFonts w:cs="Arial"/>
        </w:rPr>
        <w:t>Kenya</w:t>
      </w:r>
      <w:proofErr w:type="spellEnd"/>
      <w:r w:rsidRPr="00041E70">
        <w:rPr>
          <w:rFonts w:cs="Arial"/>
        </w:rPr>
        <w:t xml:space="preserve">.  También dio la bienvenida a los participantes la Sra. Jane </w:t>
      </w:r>
      <w:proofErr w:type="spellStart"/>
      <w:r w:rsidRPr="00041E70">
        <w:rPr>
          <w:rFonts w:cs="Arial"/>
        </w:rPr>
        <w:t>Ngige</w:t>
      </w:r>
      <w:proofErr w:type="spellEnd"/>
      <w:r w:rsidRPr="00041E70">
        <w:rPr>
          <w:rFonts w:cs="Arial"/>
        </w:rPr>
        <w:t xml:space="preserve">, Secretaria General del </w:t>
      </w:r>
      <w:proofErr w:type="spellStart"/>
      <w:r w:rsidRPr="00041E70">
        <w:rPr>
          <w:rFonts w:cs="Arial"/>
          <w:i/>
        </w:rPr>
        <w:t>Kenya</w:t>
      </w:r>
      <w:proofErr w:type="spellEnd"/>
      <w:r w:rsidRPr="00041E70">
        <w:rPr>
          <w:rFonts w:cs="Arial"/>
          <w:i/>
        </w:rPr>
        <w:t xml:space="preserve"> </w:t>
      </w:r>
      <w:proofErr w:type="spellStart"/>
      <w:r w:rsidRPr="00041E70">
        <w:rPr>
          <w:rFonts w:cs="Arial"/>
          <w:i/>
        </w:rPr>
        <w:t>Flower</w:t>
      </w:r>
      <w:proofErr w:type="spellEnd"/>
      <w:r w:rsidRPr="00041E70">
        <w:rPr>
          <w:rFonts w:cs="Arial"/>
          <w:i/>
        </w:rPr>
        <w:t xml:space="preserve"> Council</w:t>
      </w:r>
      <w:r w:rsidRPr="00041E70">
        <w:rPr>
          <w:rFonts w:cs="Arial"/>
        </w:rPr>
        <w:t xml:space="preserve">, quien ofreció una presentación sobre el </w:t>
      </w:r>
      <w:proofErr w:type="spellStart"/>
      <w:r w:rsidRPr="00041E70">
        <w:rPr>
          <w:rFonts w:cs="Arial"/>
          <w:i/>
        </w:rPr>
        <w:t>Kenya</w:t>
      </w:r>
      <w:proofErr w:type="spellEnd"/>
      <w:r w:rsidRPr="00041E70">
        <w:rPr>
          <w:rFonts w:cs="Arial"/>
          <w:i/>
        </w:rPr>
        <w:t xml:space="preserve"> </w:t>
      </w:r>
      <w:proofErr w:type="spellStart"/>
      <w:r w:rsidRPr="00041E70">
        <w:rPr>
          <w:rFonts w:cs="Arial"/>
          <w:i/>
        </w:rPr>
        <w:t>Flower</w:t>
      </w:r>
      <w:proofErr w:type="spellEnd"/>
      <w:r w:rsidRPr="00041E70">
        <w:rPr>
          <w:rFonts w:cs="Arial"/>
          <w:i/>
        </w:rPr>
        <w:t xml:space="preserve"> Council</w:t>
      </w:r>
      <w:r w:rsidRPr="00041E70">
        <w:rPr>
          <w:rFonts w:cs="Arial"/>
        </w:rPr>
        <w:t>.</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examinó el documento TWO/47/11 “</w:t>
      </w:r>
      <w:proofErr w:type="spellStart"/>
      <w:r w:rsidRPr="00041E70">
        <w:rPr>
          <w:rFonts w:cs="Arial"/>
          <w:i/>
        </w:rPr>
        <w:t>Improving</w:t>
      </w:r>
      <w:proofErr w:type="spellEnd"/>
      <w:r w:rsidRPr="00041E70">
        <w:rPr>
          <w:rFonts w:cs="Arial"/>
          <w:i/>
        </w:rPr>
        <w:t xml:space="preserve"> </w:t>
      </w:r>
      <w:proofErr w:type="spellStart"/>
      <w:r w:rsidRPr="00041E70">
        <w:rPr>
          <w:rFonts w:cs="Arial"/>
          <w:i/>
        </w:rPr>
        <w:t>the</w:t>
      </w:r>
      <w:proofErr w:type="spellEnd"/>
      <w:r w:rsidRPr="00041E70">
        <w:rPr>
          <w:rFonts w:cs="Arial"/>
          <w:i/>
        </w:rPr>
        <w:t xml:space="preserve"> </w:t>
      </w:r>
      <w:proofErr w:type="spellStart"/>
      <w:r w:rsidRPr="00041E70">
        <w:rPr>
          <w:rFonts w:cs="Arial"/>
          <w:i/>
        </w:rPr>
        <w:t>effectiveness</w:t>
      </w:r>
      <w:proofErr w:type="spellEnd"/>
      <w:r w:rsidRPr="00041E70">
        <w:rPr>
          <w:rFonts w:cs="Arial"/>
          <w:i/>
        </w:rPr>
        <w:t xml:space="preserve"> of </w:t>
      </w:r>
      <w:proofErr w:type="spellStart"/>
      <w:r w:rsidRPr="00041E70">
        <w:rPr>
          <w:rFonts w:cs="Arial"/>
          <w:i/>
        </w:rPr>
        <w:t>the</w:t>
      </w:r>
      <w:proofErr w:type="spellEnd"/>
      <w:r w:rsidRPr="00041E70">
        <w:rPr>
          <w:rFonts w:cs="Arial"/>
          <w:i/>
        </w:rPr>
        <w:t xml:space="preserve"> </w:t>
      </w:r>
      <w:proofErr w:type="spellStart"/>
      <w:r w:rsidRPr="00041E70">
        <w:rPr>
          <w:rFonts w:cs="Arial"/>
          <w:i/>
        </w:rPr>
        <w:t>Technical</w:t>
      </w:r>
      <w:proofErr w:type="spellEnd"/>
      <w:r w:rsidRPr="00041E70">
        <w:rPr>
          <w:rFonts w:cs="Arial"/>
          <w:i/>
        </w:rPr>
        <w:t xml:space="preserve"> </w:t>
      </w:r>
      <w:proofErr w:type="spellStart"/>
      <w:r w:rsidRPr="00041E70">
        <w:rPr>
          <w:rFonts w:cs="Arial"/>
          <w:i/>
        </w:rPr>
        <w:t>Committee</w:t>
      </w:r>
      <w:proofErr w:type="spellEnd"/>
      <w:r w:rsidRPr="00041E70">
        <w:rPr>
          <w:rFonts w:cs="Arial"/>
          <w:i/>
        </w:rPr>
        <w:t xml:space="preserve">, </w:t>
      </w:r>
      <w:proofErr w:type="spellStart"/>
      <w:r w:rsidRPr="00041E70">
        <w:rPr>
          <w:rFonts w:cs="Arial"/>
          <w:i/>
        </w:rPr>
        <w:t>Technical</w:t>
      </w:r>
      <w:proofErr w:type="spellEnd"/>
      <w:r w:rsidRPr="00041E70">
        <w:rPr>
          <w:rFonts w:cs="Arial"/>
          <w:i/>
        </w:rPr>
        <w:t xml:space="preserve"> </w:t>
      </w:r>
      <w:proofErr w:type="spellStart"/>
      <w:r w:rsidRPr="00041E70">
        <w:rPr>
          <w:rFonts w:cs="Arial"/>
          <w:i/>
        </w:rPr>
        <w:t>Working</w:t>
      </w:r>
      <w:proofErr w:type="spellEnd"/>
      <w:r w:rsidRPr="00041E70">
        <w:rPr>
          <w:rFonts w:cs="Arial"/>
          <w:i/>
        </w:rPr>
        <w:t xml:space="preserve"> </w:t>
      </w:r>
      <w:proofErr w:type="spellStart"/>
      <w:r w:rsidRPr="00041E70">
        <w:rPr>
          <w:rFonts w:cs="Arial"/>
          <w:i/>
        </w:rPr>
        <w:t>Parties</w:t>
      </w:r>
      <w:proofErr w:type="spellEnd"/>
      <w:r w:rsidRPr="00041E70">
        <w:rPr>
          <w:rFonts w:cs="Arial"/>
          <w:i/>
        </w:rPr>
        <w:t xml:space="preserve"> and </w:t>
      </w:r>
      <w:proofErr w:type="spellStart"/>
      <w:r w:rsidRPr="00041E70">
        <w:rPr>
          <w:rFonts w:cs="Arial"/>
          <w:i/>
        </w:rPr>
        <w:t>Preparatory</w:t>
      </w:r>
      <w:proofErr w:type="spellEnd"/>
      <w:r w:rsidRPr="00041E70">
        <w:rPr>
          <w:rFonts w:cs="Arial"/>
          <w:i/>
        </w:rPr>
        <w:t xml:space="preserve"> Workshops</w:t>
      </w:r>
      <w:r w:rsidRPr="00041E70">
        <w:rPr>
          <w:rFonts w:cs="Arial"/>
        </w:rPr>
        <w:t>” (Mejora de la eficacia del Comité Técnico, los Grupos de Trabajo Técnico y los talleres preparatorios” y formuló observaciones acerca de las propuestas relativas a posibles medios de mejorar la eficacia de los TWP y los talleres preparatorios.  El TWO convino en que los talleres electrónicos sobre, entre otros temas, la utilización de la plantilla en Internet de los documentos TG y orientación sobre la presentación de directrices de examen, deberían grabarse, ponerse a disposición en el sitio web de la UPOV y repetirse durante los talleres preparatorios</w:t>
      </w:r>
      <w:r w:rsidRPr="00041E70">
        <w:t xml:space="preserve"> con objeto de </w:t>
      </w:r>
      <w:r w:rsidRPr="00041E70">
        <w:rPr>
          <w:rFonts w:cs="Arial"/>
        </w:rPr>
        <w:t xml:space="preserve">mejorar la preparación de las directrices de examen y su presentación por el experto principal en las reuniones de los TWP.  </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TWF examinó el documento TWO/47/12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document</w:t>
      </w:r>
      <w:proofErr w:type="spellEnd"/>
      <w:r w:rsidRPr="00041E70">
        <w:rPr>
          <w:rFonts w:cs="Arial"/>
          <w:i/>
        </w:rPr>
        <w:t xml:space="preserve"> TGP/7: </w:t>
      </w:r>
      <w:proofErr w:type="spellStart"/>
      <w:r w:rsidRPr="00041E70">
        <w:rPr>
          <w:rFonts w:cs="Arial"/>
          <w:i/>
        </w:rPr>
        <w:t>Plant</w:t>
      </w:r>
      <w:proofErr w:type="spellEnd"/>
      <w:r w:rsidRPr="00041E70">
        <w:rPr>
          <w:rFonts w:cs="Arial"/>
          <w:i/>
        </w:rPr>
        <w:t xml:space="preserve"> Material </w:t>
      </w:r>
      <w:proofErr w:type="spellStart"/>
      <w:r w:rsidRPr="00041E70">
        <w:rPr>
          <w:rFonts w:cs="Arial"/>
          <w:i/>
        </w:rPr>
        <w:t>Submitted</w:t>
      </w:r>
      <w:proofErr w:type="spellEnd"/>
      <w:r w:rsidRPr="00041E70">
        <w:rPr>
          <w:rFonts w:cs="Arial"/>
          <w:i/>
        </w:rPr>
        <w:t xml:space="preserve"> </w:t>
      </w:r>
      <w:proofErr w:type="spellStart"/>
      <w:r w:rsidRPr="00041E70">
        <w:rPr>
          <w:rFonts w:cs="Arial"/>
          <w:i/>
        </w:rPr>
        <w:t>for</w:t>
      </w:r>
      <w:proofErr w:type="spellEnd"/>
      <w:r w:rsidRPr="00041E70">
        <w:rPr>
          <w:rFonts w:cs="Arial"/>
          <w:i/>
        </w:rPr>
        <w:t xml:space="preserve"> </w:t>
      </w:r>
      <w:proofErr w:type="spellStart"/>
      <w:r w:rsidRPr="00041E70">
        <w:rPr>
          <w:rFonts w:cs="Arial"/>
          <w:i/>
        </w:rPr>
        <w:t>Examination</w:t>
      </w:r>
      <w:proofErr w:type="spellEnd"/>
      <w:r w:rsidRPr="00041E70">
        <w:rPr>
          <w:rFonts w:cs="Arial"/>
        </w:rPr>
        <w:t>” (Revisión del documento TGP/7</w:t>
      </w:r>
      <w:proofErr w:type="gramStart"/>
      <w:r w:rsidRPr="00041E70">
        <w:rPr>
          <w:rFonts w:cs="Arial"/>
        </w:rPr>
        <w:t>:  Material</w:t>
      </w:r>
      <w:proofErr w:type="gramEnd"/>
      <w:r w:rsidRPr="00041E70">
        <w:rPr>
          <w:rFonts w:cs="Arial"/>
        </w:rPr>
        <w:t xml:space="preserve"> vegetal presentado para el examen).  El TWO escuchó las ponencias a cargo de los expertos de los Países Bajos y de la Unión Europea sobre su experiencia respecto al material vegetal presentado para el examen y las soluciones adoptadas para abordar los problemas.  Indicó que se adjuntará una copia de dichas ponencias como adición al documento TWO/47/12.  El TWO convino en que las autoridades encargadas de la recepción del material vegetal destinado al examen deben proporcionar orientación sobre los requisitos del material presentado, tales como la calidad y la edad.</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examinó el documento TWO/47/13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Document</w:t>
      </w:r>
      <w:proofErr w:type="spellEnd"/>
      <w:r w:rsidRPr="00041E70">
        <w:rPr>
          <w:rFonts w:cs="Arial"/>
          <w:i/>
        </w:rPr>
        <w:t xml:space="preserve"> TGP/7: </w:t>
      </w:r>
      <w:proofErr w:type="spellStart"/>
      <w:r w:rsidRPr="00041E70">
        <w:rPr>
          <w:rFonts w:cs="Arial"/>
          <w:i/>
        </w:rPr>
        <w:t>Coverage</w:t>
      </w:r>
      <w:proofErr w:type="spellEnd"/>
      <w:r w:rsidRPr="00041E70">
        <w:rPr>
          <w:rFonts w:cs="Arial"/>
          <w:i/>
        </w:rPr>
        <w:t xml:space="preserve"> of </w:t>
      </w:r>
      <w:proofErr w:type="spellStart"/>
      <w:r w:rsidRPr="00041E70">
        <w:rPr>
          <w:rFonts w:cs="Arial"/>
          <w:i/>
        </w:rPr>
        <w:t>the</w:t>
      </w:r>
      <w:proofErr w:type="spellEnd"/>
      <w:r w:rsidRPr="00041E70">
        <w:rPr>
          <w:rFonts w:cs="Arial"/>
          <w:i/>
        </w:rPr>
        <w:t xml:space="preserve"> Test </w:t>
      </w:r>
      <w:proofErr w:type="spellStart"/>
      <w:r w:rsidRPr="00041E70">
        <w:rPr>
          <w:rFonts w:cs="Arial"/>
          <w:i/>
        </w:rPr>
        <w:t>Guidelines</w:t>
      </w:r>
      <w:proofErr w:type="spellEnd"/>
      <w:r w:rsidRPr="00041E70">
        <w:rPr>
          <w:rFonts w:cs="Arial"/>
        </w:rPr>
        <w:t>” (Revisión del documento TGP/7:  Cobertura de las directrices de examen) y convino en que el tercer enfoque, “Especificar el tipo de reproducción o multiplicación existente y prever futuras novedades”, constituye la orientación más adecuada para las directrices de examen que se redactan a partir de variedades con un determinado tipo de multiplicación o reproducción aun cuando es posible que en el futuro se obtengan variedades con otros tipos de multiplicación o reproducción.</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examinó el documento TWO/47/14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Document</w:t>
      </w:r>
      <w:proofErr w:type="spellEnd"/>
      <w:r w:rsidRPr="00041E70">
        <w:rPr>
          <w:rFonts w:cs="Arial"/>
          <w:i/>
        </w:rPr>
        <w:t xml:space="preserve"> TGP/7: </w:t>
      </w:r>
      <w:proofErr w:type="spellStart"/>
      <w:r w:rsidRPr="00041E70">
        <w:rPr>
          <w:rFonts w:cs="Arial"/>
          <w:i/>
        </w:rPr>
        <w:t>Drafter's</w:t>
      </w:r>
      <w:proofErr w:type="spellEnd"/>
      <w:r w:rsidRPr="00041E70">
        <w:rPr>
          <w:rFonts w:cs="Arial"/>
          <w:i/>
        </w:rPr>
        <w:t xml:space="preserve"> Kit </w:t>
      </w:r>
      <w:proofErr w:type="spellStart"/>
      <w:r w:rsidRPr="00041E70">
        <w:rPr>
          <w:rFonts w:cs="Arial"/>
          <w:i/>
        </w:rPr>
        <w:t>for</w:t>
      </w:r>
      <w:proofErr w:type="spellEnd"/>
      <w:r w:rsidRPr="00041E70">
        <w:rPr>
          <w:rFonts w:cs="Arial"/>
          <w:i/>
        </w:rPr>
        <w:t xml:space="preserve"> Test </w:t>
      </w:r>
      <w:proofErr w:type="spellStart"/>
      <w:r w:rsidRPr="00041E70">
        <w:rPr>
          <w:rFonts w:cs="Arial"/>
          <w:i/>
        </w:rPr>
        <w:t>Guidelines</w:t>
      </w:r>
      <w:proofErr w:type="spellEnd"/>
      <w:r w:rsidRPr="00041E70">
        <w:rPr>
          <w:rFonts w:cs="Arial"/>
        </w:rPr>
        <w:t>” (Revisión del documento TGP/7:  Carpeta de material para los redactores de directrices de examen) y tomó nota de los planes de efectuar una revisión del documento TGP/7 y de la página web de los redactores de las directrices de examen a fin de que guarden coherencia con la plantilla en Internet de los documentos TG introducida en 2014, según se expone en los párrafos 6 a 8 del documento TWO/47/14.</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examinó el documento TWO/45/15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Document</w:t>
      </w:r>
      <w:proofErr w:type="spellEnd"/>
      <w:r w:rsidRPr="00041E70">
        <w:rPr>
          <w:rFonts w:cs="Arial"/>
          <w:i/>
        </w:rPr>
        <w:t xml:space="preserve"> TGP/8: </w:t>
      </w:r>
      <w:proofErr w:type="spellStart"/>
      <w:r w:rsidRPr="00041E70">
        <w:rPr>
          <w:rFonts w:cs="Arial"/>
          <w:i/>
        </w:rPr>
        <w:t>Part</w:t>
      </w:r>
      <w:proofErr w:type="spellEnd"/>
      <w:r w:rsidRPr="00041E70">
        <w:rPr>
          <w:rFonts w:cs="Arial"/>
          <w:i/>
        </w:rPr>
        <w:t xml:space="preserve"> I: DUS Trial </w:t>
      </w:r>
      <w:proofErr w:type="spellStart"/>
      <w:r w:rsidRPr="00041E70">
        <w:rPr>
          <w:rFonts w:cs="Arial"/>
          <w:i/>
        </w:rPr>
        <w:t>Design</w:t>
      </w:r>
      <w:proofErr w:type="spellEnd"/>
      <w:r w:rsidRPr="00041E70">
        <w:rPr>
          <w:rFonts w:cs="Arial"/>
          <w:i/>
        </w:rPr>
        <w:t xml:space="preserve"> and Data </w:t>
      </w:r>
      <w:proofErr w:type="spellStart"/>
      <w:r w:rsidRPr="00041E70">
        <w:rPr>
          <w:rFonts w:cs="Arial"/>
          <w:i/>
        </w:rPr>
        <w:t>Analysis</w:t>
      </w:r>
      <w:proofErr w:type="spellEnd"/>
      <w:r w:rsidRPr="00041E70">
        <w:rPr>
          <w:rFonts w:cs="Arial"/>
          <w:i/>
        </w:rPr>
        <w:t xml:space="preserve">, New </w:t>
      </w:r>
      <w:proofErr w:type="spellStart"/>
      <w:r w:rsidRPr="00041E70">
        <w:rPr>
          <w:rFonts w:cs="Arial"/>
          <w:i/>
        </w:rPr>
        <w:t>Section</w:t>
      </w:r>
      <w:proofErr w:type="spellEnd"/>
      <w:r w:rsidRPr="00041E70">
        <w:rPr>
          <w:rFonts w:cs="Arial"/>
          <w:i/>
        </w:rPr>
        <w:t xml:space="preserve">: </w:t>
      </w:r>
      <w:proofErr w:type="spellStart"/>
      <w:r w:rsidRPr="00041E70">
        <w:rPr>
          <w:rFonts w:cs="Arial"/>
          <w:i/>
        </w:rPr>
        <w:t>Minimizing</w:t>
      </w:r>
      <w:proofErr w:type="spellEnd"/>
      <w:r w:rsidRPr="00041E70">
        <w:rPr>
          <w:rFonts w:cs="Arial"/>
          <w:i/>
        </w:rPr>
        <w:t xml:space="preserve"> </w:t>
      </w:r>
      <w:proofErr w:type="spellStart"/>
      <w:r w:rsidRPr="00041E70">
        <w:rPr>
          <w:rFonts w:cs="Arial"/>
          <w:i/>
        </w:rPr>
        <w:t>the</w:t>
      </w:r>
      <w:proofErr w:type="spellEnd"/>
      <w:r w:rsidRPr="00041E70">
        <w:rPr>
          <w:rFonts w:cs="Arial"/>
          <w:i/>
        </w:rPr>
        <w:t xml:space="preserve"> </w:t>
      </w:r>
      <w:proofErr w:type="spellStart"/>
      <w:r w:rsidRPr="00041E70">
        <w:rPr>
          <w:rFonts w:cs="Arial"/>
          <w:i/>
        </w:rPr>
        <w:t>Variation</w:t>
      </w:r>
      <w:proofErr w:type="spellEnd"/>
      <w:r w:rsidRPr="00041E70">
        <w:rPr>
          <w:rFonts w:cs="Arial"/>
          <w:i/>
        </w:rPr>
        <w:t xml:space="preserve"> </w:t>
      </w:r>
      <w:proofErr w:type="spellStart"/>
      <w:r w:rsidRPr="00041E70">
        <w:rPr>
          <w:rFonts w:cs="Arial"/>
          <w:i/>
        </w:rPr>
        <w:t>due</w:t>
      </w:r>
      <w:proofErr w:type="spellEnd"/>
      <w:r w:rsidRPr="00041E70">
        <w:rPr>
          <w:rFonts w:cs="Arial"/>
          <w:i/>
        </w:rPr>
        <w:t xml:space="preserve"> to </w:t>
      </w:r>
      <w:proofErr w:type="spellStart"/>
      <w:r w:rsidRPr="00041E70">
        <w:rPr>
          <w:rFonts w:cs="Arial"/>
          <w:i/>
        </w:rPr>
        <w:t>Different</w:t>
      </w:r>
      <w:proofErr w:type="spellEnd"/>
      <w:r w:rsidRPr="00041E70">
        <w:rPr>
          <w:rFonts w:cs="Arial"/>
          <w:i/>
        </w:rPr>
        <w:t xml:space="preserve"> </w:t>
      </w:r>
      <w:proofErr w:type="spellStart"/>
      <w:r w:rsidRPr="00041E70">
        <w:rPr>
          <w:rFonts w:cs="Arial"/>
          <w:i/>
        </w:rPr>
        <w:t>Observers</w:t>
      </w:r>
      <w:proofErr w:type="spellEnd"/>
      <w:r w:rsidRPr="00041E70">
        <w:rPr>
          <w:rFonts w:cs="Arial"/>
        </w:rPr>
        <w:t>” (Revisión del documento TGP/8:  Parte I:  Diseño de los ensayos DHE y análisis de datos, nueva sección: minimizar la variación resultante de la ejecución de los ensayos por distintos observadores) y convino en que el proyecto de orientación que se recoge en el Anexo del documento TWO/47/15 debe seguir elaborándose para su inclusión en una futura revisión del documento TGP/8 sobre la manera de minimizar la variación resultante de la ejecución de los ensayos por distintos observadores, que incluya orientación relativa a los caracteres PQ y QN/MG, junto con las cuestiones planteadas por el experto de Australia.  El TWO convino en que el documento debe centrarse en la variación entre observadores a nivel de la autoridad y no en la manera de minimizar la variación entre autoridades a nivel de los observadores.</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examinó el documento TWO/47/19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Document</w:t>
      </w:r>
      <w:proofErr w:type="spellEnd"/>
      <w:r w:rsidRPr="00041E70">
        <w:rPr>
          <w:rFonts w:cs="Arial"/>
          <w:i/>
        </w:rPr>
        <w:t xml:space="preserve"> TGP/8: </w:t>
      </w:r>
      <w:proofErr w:type="spellStart"/>
      <w:r w:rsidRPr="00041E70">
        <w:rPr>
          <w:rFonts w:cs="Arial"/>
          <w:i/>
        </w:rPr>
        <w:t>Part</w:t>
      </w:r>
      <w:proofErr w:type="spellEnd"/>
      <w:r w:rsidRPr="00041E70">
        <w:rPr>
          <w:rFonts w:cs="Arial"/>
          <w:i/>
        </w:rPr>
        <w:t xml:space="preserve"> II: </w:t>
      </w:r>
      <w:proofErr w:type="spellStart"/>
      <w:r w:rsidRPr="00041E70">
        <w:rPr>
          <w:rFonts w:cs="Arial"/>
          <w:i/>
        </w:rPr>
        <w:t>Techniques</w:t>
      </w:r>
      <w:proofErr w:type="spellEnd"/>
      <w:r w:rsidRPr="00041E70">
        <w:rPr>
          <w:rFonts w:cs="Arial"/>
          <w:i/>
        </w:rPr>
        <w:t xml:space="preserve"> </w:t>
      </w:r>
      <w:proofErr w:type="spellStart"/>
      <w:r w:rsidRPr="00041E70">
        <w:rPr>
          <w:rFonts w:cs="Arial"/>
          <w:i/>
        </w:rPr>
        <w:t>Used</w:t>
      </w:r>
      <w:proofErr w:type="spellEnd"/>
      <w:r w:rsidRPr="00041E70">
        <w:rPr>
          <w:rFonts w:cs="Arial"/>
          <w:i/>
        </w:rPr>
        <w:t xml:space="preserve"> in DUS </w:t>
      </w:r>
      <w:proofErr w:type="spellStart"/>
      <w:r w:rsidRPr="00041E70">
        <w:rPr>
          <w:rFonts w:cs="Arial"/>
          <w:i/>
        </w:rPr>
        <w:t>Examination</w:t>
      </w:r>
      <w:proofErr w:type="spellEnd"/>
      <w:r w:rsidRPr="00041E70">
        <w:rPr>
          <w:rFonts w:cs="Arial"/>
          <w:i/>
        </w:rPr>
        <w:t xml:space="preserve">, New </w:t>
      </w:r>
      <w:proofErr w:type="spellStart"/>
      <w:r w:rsidRPr="00041E70">
        <w:rPr>
          <w:rFonts w:cs="Arial"/>
          <w:i/>
        </w:rPr>
        <w:t>Section</w:t>
      </w:r>
      <w:proofErr w:type="spellEnd"/>
      <w:r w:rsidRPr="00041E70">
        <w:rPr>
          <w:rFonts w:cs="Arial"/>
          <w:i/>
        </w:rPr>
        <w:t xml:space="preserve">: </w:t>
      </w:r>
      <w:proofErr w:type="spellStart"/>
      <w:r w:rsidRPr="00041E70">
        <w:rPr>
          <w:rFonts w:cs="Arial"/>
          <w:i/>
        </w:rPr>
        <w:t>Guidance</w:t>
      </w:r>
      <w:proofErr w:type="spellEnd"/>
      <w:r w:rsidRPr="00041E70">
        <w:rPr>
          <w:rFonts w:cs="Arial"/>
          <w:i/>
        </w:rPr>
        <w:t xml:space="preserve"> of Data </w:t>
      </w:r>
      <w:proofErr w:type="spellStart"/>
      <w:r w:rsidRPr="00041E70">
        <w:rPr>
          <w:rFonts w:cs="Arial"/>
          <w:i/>
        </w:rPr>
        <w:t>Analysis</w:t>
      </w:r>
      <w:proofErr w:type="spellEnd"/>
      <w:r w:rsidRPr="00041E70">
        <w:rPr>
          <w:rFonts w:cs="Arial"/>
          <w:i/>
        </w:rPr>
        <w:t xml:space="preserve"> </w:t>
      </w:r>
      <w:proofErr w:type="spellStart"/>
      <w:r w:rsidRPr="00041E70">
        <w:rPr>
          <w:rFonts w:cs="Arial"/>
          <w:i/>
        </w:rPr>
        <w:t>for</w:t>
      </w:r>
      <w:proofErr w:type="spellEnd"/>
      <w:r w:rsidRPr="00041E70">
        <w:rPr>
          <w:rFonts w:cs="Arial"/>
          <w:i/>
        </w:rPr>
        <w:t xml:space="preserve"> </w:t>
      </w:r>
      <w:proofErr w:type="spellStart"/>
      <w:r w:rsidRPr="00041E70">
        <w:rPr>
          <w:rFonts w:cs="Arial"/>
          <w:i/>
        </w:rPr>
        <w:t>Blind</w:t>
      </w:r>
      <w:proofErr w:type="spellEnd"/>
      <w:r w:rsidRPr="00041E70">
        <w:rPr>
          <w:rFonts w:cs="Arial"/>
          <w:i/>
        </w:rPr>
        <w:t xml:space="preserve"> </w:t>
      </w:r>
      <w:proofErr w:type="spellStart"/>
      <w:r w:rsidRPr="00041E70">
        <w:rPr>
          <w:rFonts w:cs="Arial"/>
          <w:i/>
        </w:rPr>
        <w:t>Randomized</w:t>
      </w:r>
      <w:proofErr w:type="spellEnd"/>
      <w:r w:rsidRPr="00041E70">
        <w:rPr>
          <w:rFonts w:cs="Arial"/>
          <w:i/>
        </w:rPr>
        <w:t xml:space="preserve"> </w:t>
      </w:r>
      <w:proofErr w:type="spellStart"/>
      <w:r w:rsidRPr="00041E70">
        <w:rPr>
          <w:rFonts w:cs="Arial"/>
          <w:i/>
        </w:rPr>
        <w:t>Trials</w:t>
      </w:r>
      <w:proofErr w:type="spellEnd"/>
      <w:r w:rsidRPr="00041E70">
        <w:rPr>
          <w:rFonts w:cs="Arial"/>
        </w:rPr>
        <w:t>” (Revisión del documento TGP/8</w:t>
      </w:r>
      <w:proofErr w:type="gramStart"/>
      <w:r w:rsidRPr="00041E70">
        <w:rPr>
          <w:rFonts w:cs="Arial"/>
        </w:rPr>
        <w:t>:  Parte</w:t>
      </w:r>
      <w:proofErr w:type="gramEnd"/>
      <w:r w:rsidRPr="00041E70">
        <w:rPr>
          <w:rFonts w:cs="Arial"/>
        </w:rPr>
        <w:t> II:  Técnicas utilizadas en el examen DHE, nueva sección:  Orientación sobre el análisis de datos de ensayos aleatorios ‘a ciegas’).  El TWO convino en que los ensayos aleatorios “a ciegas” se utilizan en muy contadas ocasiones.  El TWO tomó nota de que los ensayos aleatorios “a ciegas” se usan</w:t>
      </w:r>
      <w:proofErr w:type="gramStart"/>
      <w:r w:rsidRPr="00041E70">
        <w:rPr>
          <w:rFonts w:cs="Arial"/>
        </w:rPr>
        <w:t>:  en</w:t>
      </w:r>
      <w:proofErr w:type="gramEnd"/>
      <w:r w:rsidRPr="00041E70">
        <w:rPr>
          <w:rFonts w:cs="Arial"/>
        </w:rPr>
        <w:t xml:space="preserve"> el Brasil para confirmar, en ciertos casos, el examen de la distinción en virtud de un sistema de ensayos a cargo del obtentor en cultivos agrícolas y hortícolas;  en Nueva Zelandia para ciertos cultivos frutales y en caso de controversia relativa a la distinción;  y en el Reino Unido y los Países Bajos para confirmar la falta de distinción entre variedades.</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examinó el documento TWO/47/22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Document</w:t>
      </w:r>
      <w:proofErr w:type="spellEnd"/>
      <w:r w:rsidRPr="00041E70">
        <w:rPr>
          <w:rFonts w:cs="Arial"/>
          <w:i/>
        </w:rPr>
        <w:t xml:space="preserve"> TGP/9: </w:t>
      </w:r>
      <w:proofErr w:type="spellStart"/>
      <w:r w:rsidRPr="00041E70">
        <w:rPr>
          <w:rFonts w:cs="Arial"/>
          <w:i/>
        </w:rPr>
        <w:t>Section</w:t>
      </w:r>
      <w:proofErr w:type="spellEnd"/>
      <w:r w:rsidRPr="00041E70">
        <w:rPr>
          <w:rFonts w:cs="Arial"/>
          <w:i/>
        </w:rPr>
        <w:t xml:space="preserve"> 2.5: </w:t>
      </w:r>
      <w:proofErr w:type="spellStart"/>
      <w:r w:rsidRPr="00041E70">
        <w:rPr>
          <w:rFonts w:cs="Arial"/>
          <w:i/>
        </w:rPr>
        <w:t>Photographs</w:t>
      </w:r>
      <w:proofErr w:type="spellEnd"/>
      <w:r w:rsidRPr="00041E70">
        <w:rPr>
          <w:rFonts w:cs="Arial"/>
        </w:rPr>
        <w:t>” (Revisión del documento TGP/9</w:t>
      </w:r>
      <w:proofErr w:type="gramStart"/>
      <w:r w:rsidRPr="00041E70">
        <w:rPr>
          <w:rFonts w:cs="Arial"/>
        </w:rPr>
        <w:t>:  Sección</w:t>
      </w:r>
      <w:proofErr w:type="gramEnd"/>
      <w:r w:rsidRPr="00041E70">
        <w:rPr>
          <w:rFonts w:cs="Arial"/>
        </w:rPr>
        <w:t xml:space="preserve"> 2.5:  Fotografías) y suscribió la orientación acerca de las fotografías propuesta para su inclusión en la sección 2.5 “Fotografías” del documento TGP/9. </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examinó el documento TWO/47/9 “</w:t>
      </w:r>
      <w:proofErr w:type="spellStart"/>
      <w:r w:rsidRPr="00041E70">
        <w:rPr>
          <w:rFonts w:cs="Arial"/>
          <w:i/>
        </w:rPr>
        <w:t>Assessing</w:t>
      </w:r>
      <w:proofErr w:type="spellEnd"/>
      <w:r w:rsidRPr="00041E70">
        <w:rPr>
          <w:rFonts w:cs="Arial"/>
          <w:i/>
        </w:rPr>
        <w:t xml:space="preserve"> </w:t>
      </w:r>
      <w:proofErr w:type="spellStart"/>
      <w:r w:rsidRPr="00041E70">
        <w:rPr>
          <w:rFonts w:cs="Arial"/>
          <w:i/>
        </w:rPr>
        <w:t>Uniformity</w:t>
      </w:r>
      <w:proofErr w:type="spellEnd"/>
      <w:r w:rsidRPr="00041E70">
        <w:rPr>
          <w:rFonts w:cs="Arial"/>
          <w:i/>
        </w:rPr>
        <w:t xml:space="preserve"> </w:t>
      </w:r>
      <w:proofErr w:type="spellStart"/>
      <w:r w:rsidRPr="00041E70">
        <w:rPr>
          <w:rFonts w:cs="Arial"/>
          <w:i/>
        </w:rPr>
        <w:t>by</w:t>
      </w:r>
      <w:proofErr w:type="spellEnd"/>
      <w:r w:rsidRPr="00041E70">
        <w:rPr>
          <w:rFonts w:cs="Arial"/>
          <w:i/>
        </w:rPr>
        <w:t xml:space="preserve"> Off-</w:t>
      </w:r>
      <w:proofErr w:type="spellStart"/>
      <w:r w:rsidRPr="00041E70">
        <w:rPr>
          <w:rFonts w:cs="Arial"/>
          <w:i/>
        </w:rPr>
        <w:t>Types</w:t>
      </w:r>
      <w:proofErr w:type="spellEnd"/>
      <w:r w:rsidRPr="00041E70">
        <w:rPr>
          <w:rFonts w:cs="Arial"/>
          <w:i/>
        </w:rPr>
        <w:t xml:space="preserve"> </w:t>
      </w:r>
      <w:proofErr w:type="spellStart"/>
      <w:r w:rsidRPr="00041E70">
        <w:rPr>
          <w:rFonts w:cs="Arial"/>
          <w:i/>
        </w:rPr>
        <w:t>on</w:t>
      </w:r>
      <w:proofErr w:type="spellEnd"/>
      <w:r w:rsidRPr="00041E70">
        <w:rPr>
          <w:rFonts w:cs="Arial"/>
          <w:i/>
        </w:rPr>
        <w:t xml:space="preserve"> </w:t>
      </w:r>
      <w:proofErr w:type="spellStart"/>
      <w:r w:rsidRPr="00041E70">
        <w:rPr>
          <w:rFonts w:cs="Arial"/>
          <w:i/>
        </w:rPr>
        <w:t>Basis</w:t>
      </w:r>
      <w:proofErr w:type="spellEnd"/>
      <w:r w:rsidRPr="00041E70">
        <w:rPr>
          <w:rFonts w:cs="Arial"/>
          <w:i/>
        </w:rPr>
        <w:t xml:space="preserve"> of more </w:t>
      </w:r>
      <w:proofErr w:type="spellStart"/>
      <w:r w:rsidRPr="00041E70">
        <w:rPr>
          <w:rFonts w:cs="Arial"/>
          <w:i/>
        </w:rPr>
        <w:t>than</w:t>
      </w:r>
      <w:proofErr w:type="spellEnd"/>
      <w:r w:rsidRPr="00041E70">
        <w:rPr>
          <w:rFonts w:cs="Arial"/>
          <w:i/>
        </w:rPr>
        <w:t xml:space="preserve"> </w:t>
      </w:r>
      <w:proofErr w:type="spellStart"/>
      <w:r w:rsidRPr="00041E70">
        <w:rPr>
          <w:rFonts w:cs="Arial"/>
          <w:i/>
        </w:rPr>
        <w:t>one</w:t>
      </w:r>
      <w:proofErr w:type="spellEnd"/>
      <w:r w:rsidRPr="00041E70">
        <w:rPr>
          <w:rFonts w:cs="Arial"/>
          <w:i/>
        </w:rPr>
        <w:t xml:space="preserve"> </w:t>
      </w:r>
      <w:proofErr w:type="spellStart"/>
      <w:r w:rsidRPr="00041E70">
        <w:rPr>
          <w:rFonts w:cs="Arial"/>
          <w:i/>
        </w:rPr>
        <w:t>Sample</w:t>
      </w:r>
      <w:proofErr w:type="spellEnd"/>
      <w:r w:rsidRPr="00041E70">
        <w:rPr>
          <w:rFonts w:cs="Arial"/>
          <w:i/>
        </w:rPr>
        <w:t xml:space="preserve"> </w:t>
      </w:r>
      <w:proofErr w:type="spellStart"/>
      <w:r w:rsidRPr="00041E70">
        <w:rPr>
          <w:rFonts w:cs="Arial"/>
          <w:i/>
        </w:rPr>
        <w:t>or</w:t>
      </w:r>
      <w:proofErr w:type="spellEnd"/>
      <w:r w:rsidRPr="00041E70">
        <w:rPr>
          <w:rFonts w:cs="Arial"/>
          <w:i/>
        </w:rPr>
        <w:t xml:space="preserve"> Sub </w:t>
      </w:r>
      <w:proofErr w:type="spellStart"/>
      <w:r w:rsidRPr="00041E70">
        <w:rPr>
          <w:rFonts w:cs="Arial"/>
          <w:i/>
        </w:rPr>
        <w:t>Samples</w:t>
      </w:r>
      <w:proofErr w:type="spellEnd"/>
      <w:r w:rsidRPr="00041E70">
        <w:rPr>
          <w:rFonts w:cs="Arial"/>
        </w:rPr>
        <w:t xml:space="preserve">” (Evaluación de la homogeneidad de las plantas fuera de tipo mediante la observación de más de una muestra o de </w:t>
      </w:r>
      <w:proofErr w:type="spellStart"/>
      <w:r w:rsidRPr="00041E70">
        <w:rPr>
          <w:rFonts w:cs="Arial"/>
        </w:rPr>
        <w:t>submuestras</w:t>
      </w:r>
      <w:proofErr w:type="spellEnd"/>
      <w:r w:rsidRPr="00041E70">
        <w:rPr>
          <w:rFonts w:cs="Arial"/>
        </w:rPr>
        <w:t>) y las situaciones descritas en los Anexos I a IV como base para la elaboración de orientaciones en el documento TGP/10.  El TWO convino en que se deberá aportar una aclaración sobre la decisión que ha de tomarse en la situación B, alternativa a) “el ensayo se repite en ambos lugares un segundo año” en el caso de que tras repetirse un ensayo en un segundo año una variedad cumpla el estándar de homogeneidad en un lugar de cultivo pero no lo cumpla en el otro lugar de cultivo.</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examinó el documento TWO/47/23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Document</w:t>
      </w:r>
      <w:proofErr w:type="spellEnd"/>
      <w:r w:rsidRPr="00041E70">
        <w:rPr>
          <w:rFonts w:cs="Arial"/>
          <w:i/>
        </w:rPr>
        <w:t xml:space="preserve"> TGP/14: </w:t>
      </w:r>
      <w:proofErr w:type="spellStart"/>
      <w:r w:rsidRPr="00041E70">
        <w:rPr>
          <w:rFonts w:cs="Arial"/>
          <w:i/>
        </w:rPr>
        <w:t>Section</w:t>
      </w:r>
      <w:proofErr w:type="spellEnd"/>
      <w:r w:rsidRPr="00041E70">
        <w:rPr>
          <w:rFonts w:cs="Arial"/>
          <w:i/>
        </w:rPr>
        <w:t xml:space="preserve"> 2.4: </w:t>
      </w:r>
      <w:proofErr w:type="spellStart"/>
      <w:r w:rsidRPr="00041E70">
        <w:rPr>
          <w:rFonts w:cs="Arial"/>
          <w:i/>
        </w:rPr>
        <w:t>Apex</w:t>
      </w:r>
      <w:proofErr w:type="spellEnd"/>
      <w:r w:rsidRPr="00041E70">
        <w:rPr>
          <w:rFonts w:cs="Arial"/>
          <w:i/>
        </w:rPr>
        <w:t>/</w:t>
      </w:r>
      <w:proofErr w:type="spellStart"/>
      <w:r w:rsidRPr="00041E70">
        <w:rPr>
          <w:rFonts w:cs="Arial"/>
          <w:i/>
        </w:rPr>
        <w:t>Tip</w:t>
      </w:r>
      <w:proofErr w:type="spellEnd"/>
      <w:r w:rsidRPr="00041E70">
        <w:rPr>
          <w:rFonts w:cs="Arial"/>
          <w:i/>
        </w:rPr>
        <w:t xml:space="preserve"> </w:t>
      </w:r>
      <w:proofErr w:type="spellStart"/>
      <w:r w:rsidRPr="00041E70">
        <w:rPr>
          <w:rFonts w:cs="Arial"/>
          <w:i/>
        </w:rPr>
        <w:t>Shape</w:t>
      </w:r>
      <w:proofErr w:type="spellEnd"/>
      <w:r w:rsidRPr="00041E70">
        <w:rPr>
          <w:rFonts w:cs="Arial"/>
          <w:i/>
        </w:rPr>
        <w:t xml:space="preserve"> </w:t>
      </w:r>
      <w:proofErr w:type="spellStart"/>
      <w:r w:rsidRPr="00041E70">
        <w:rPr>
          <w:rFonts w:cs="Arial"/>
          <w:i/>
        </w:rPr>
        <w:t>Characteristics</w:t>
      </w:r>
      <w:proofErr w:type="spellEnd"/>
      <w:r w:rsidRPr="00041E70">
        <w:rPr>
          <w:rFonts w:cs="Arial"/>
        </w:rPr>
        <w:t>” (Revisión del documento TGP/14:  Sección 2.4:  Caracteres de la forma del ápice/punta”), estudió la propuesta de elaborar una explicación relativa a la inclusión de un nivel de expresión que corresponde a la presencia de una punta diferenciada en los caracteres relativos a la forma del ápice y propuso modificar en consecuencia la sección 2.4 del documento TGP/14.  El TWO convino en que el planteamiento descrito en el documento TGP/14 respecto de los caracteres de la forma del ápice y de la punta es especialmente adecuado para las hojas o estructuras más grandes y debe usarse solo en casos particulares.</w:t>
      </w:r>
    </w:p>
    <w:p w:rsidR="00833396" w:rsidRPr="00041E70" w:rsidRDefault="00833396" w:rsidP="00833396">
      <w:pPr>
        <w:rPr>
          <w:rFonts w:cs="Arial"/>
        </w:rPr>
      </w:pPr>
      <w:r w:rsidRPr="00041E70">
        <w:rPr>
          <w:rFonts w:cs="Arial"/>
        </w:rPr>
        <w:t xml:space="preserve"> </w:t>
      </w: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examinó el documento TWO/47/10 y escuchó por medios electrónicos una ponencia a cargo de la Oficina de la Unión sobre la plantilla de directrices de examen (Plantilla de los documentos TG) en Internet para los redactores de las directrices de examen.  El TWO tomó nota de la solicitud de que los expertos principales participen en las pruebas de la versión 1 de la plantilla en Internet de los documentos TG.  El TWO convino en que la plantilla en Internet de los documentos TG debería ofrecer la opción de imprimir las observaciones formuladas por los expertos interesados, clasificadas por experto interesado o por carácter, y señaló que la Oficina de la UPOV prestaría asistencia sobre el uso de la plantilla en Internet de los documentos TG a los expertos principales que lo soliciten.</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examinó el documento TWO/47/25 “</w:t>
      </w:r>
      <w:proofErr w:type="spellStart"/>
      <w:r w:rsidRPr="00041E70">
        <w:rPr>
          <w:rFonts w:cs="Arial"/>
          <w:i/>
        </w:rPr>
        <w:t>Partial</w:t>
      </w:r>
      <w:proofErr w:type="spellEnd"/>
      <w:r w:rsidRPr="00041E70">
        <w:rPr>
          <w:rFonts w:cs="Arial"/>
          <w:i/>
        </w:rPr>
        <w:t xml:space="preserve">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the</w:t>
      </w:r>
      <w:proofErr w:type="spellEnd"/>
      <w:r w:rsidRPr="00041E70">
        <w:rPr>
          <w:rFonts w:cs="Arial"/>
          <w:i/>
        </w:rPr>
        <w:t xml:space="preserve"> Test </w:t>
      </w:r>
      <w:proofErr w:type="spellStart"/>
      <w:r w:rsidRPr="00041E70">
        <w:rPr>
          <w:rFonts w:cs="Arial"/>
          <w:i/>
        </w:rPr>
        <w:t>Guidelines</w:t>
      </w:r>
      <w:proofErr w:type="spellEnd"/>
      <w:r w:rsidRPr="00041E70">
        <w:rPr>
          <w:rFonts w:cs="Arial"/>
          <w:i/>
        </w:rPr>
        <w:t xml:space="preserve"> </w:t>
      </w:r>
      <w:proofErr w:type="spellStart"/>
      <w:r w:rsidRPr="00041E70">
        <w:rPr>
          <w:rFonts w:cs="Arial"/>
          <w:i/>
        </w:rPr>
        <w:t>for</w:t>
      </w:r>
      <w:proofErr w:type="spellEnd"/>
      <w:r w:rsidRPr="00041E70">
        <w:rPr>
          <w:rFonts w:cs="Arial"/>
          <w:i/>
        </w:rPr>
        <w:t xml:space="preserve"> </w:t>
      </w:r>
      <w:proofErr w:type="spellStart"/>
      <w:r w:rsidRPr="00041E70">
        <w:rPr>
          <w:rFonts w:cs="Arial"/>
          <w:i/>
        </w:rPr>
        <w:t>Buddleja</w:t>
      </w:r>
      <w:proofErr w:type="spellEnd"/>
      <w:r w:rsidRPr="00041E70">
        <w:rPr>
          <w:rFonts w:cs="Arial"/>
          <w:i/>
        </w:rPr>
        <w:t xml:space="preserve"> (</w:t>
      </w:r>
      <w:proofErr w:type="spellStart"/>
      <w:r w:rsidRPr="00041E70">
        <w:rPr>
          <w:rFonts w:cs="Arial"/>
          <w:i/>
        </w:rPr>
        <w:t>document</w:t>
      </w:r>
      <w:proofErr w:type="spellEnd"/>
      <w:r w:rsidRPr="00041E70">
        <w:rPr>
          <w:rFonts w:cs="Arial"/>
          <w:i/>
        </w:rPr>
        <w:t xml:space="preserve"> TG/263/1)</w:t>
      </w:r>
      <w:r w:rsidRPr="00041E70">
        <w:rPr>
          <w:rFonts w:cs="Arial"/>
        </w:rPr>
        <w:t xml:space="preserve">” (Revisión parcial de las directrices de examen de la </w:t>
      </w:r>
      <w:proofErr w:type="spellStart"/>
      <w:r w:rsidRPr="00041E70">
        <w:rPr>
          <w:rFonts w:cs="Arial"/>
        </w:rPr>
        <w:t>buddleja</w:t>
      </w:r>
      <w:proofErr w:type="spellEnd"/>
      <w:r w:rsidRPr="00041E70">
        <w:rPr>
          <w:rFonts w:cs="Arial"/>
        </w:rPr>
        <w:t xml:space="preserve"> (documento TG/263/1)) y el documento TWO/47/26 “</w:t>
      </w:r>
      <w:proofErr w:type="spellStart"/>
      <w:r w:rsidRPr="00041E70">
        <w:rPr>
          <w:rFonts w:cs="Arial"/>
          <w:i/>
        </w:rPr>
        <w:t>Partial</w:t>
      </w:r>
      <w:proofErr w:type="spellEnd"/>
      <w:r w:rsidRPr="00041E70">
        <w:rPr>
          <w:rFonts w:cs="Arial"/>
          <w:i/>
        </w:rPr>
        <w:t xml:space="preserve"> </w:t>
      </w:r>
      <w:proofErr w:type="spellStart"/>
      <w:r w:rsidRPr="00041E70">
        <w:rPr>
          <w:rFonts w:cs="Arial"/>
          <w:i/>
        </w:rPr>
        <w:t>Revision</w:t>
      </w:r>
      <w:proofErr w:type="spellEnd"/>
      <w:r w:rsidRPr="00041E70">
        <w:rPr>
          <w:rFonts w:cs="Arial"/>
          <w:i/>
        </w:rPr>
        <w:t xml:space="preserve"> of </w:t>
      </w:r>
      <w:proofErr w:type="spellStart"/>
      <w:r w:rsidRPr="00041E70">
        <w:rPr>
          <w:rFonts w:cs="Arial"/>
          <w:i/>
        </w:rPr>
        <w:t>the</w:t>
      </w:r>
      <w:proofErr w:type="spellEnd"/>
      <w:r w:rsidRPr="00041E70">
        <w:rPr>
          <w:rFonts w:cs="Arial"/>
          <w:i/>
        </w:rPr>
        <w:t xml:space="preserve"> Test </w:t>
      </w:r>
      <w:proofErr w:type="spellStart"/>
      <w:r w:rsidRPr="00041E70">
        <w:rPr>
          <w:rFonts w:cs="Arial"/>
          <w:i/>
        </w:rPr>
        <w:t>Guidelines</w:t>
      </w:r>
      <w:proofErr w:type="spellEnd"/>
      <w:r w:rsidRPr="00041E70">
        <w:rPr>
          <w:rFonts w:cs="Arial"/>
          <w:i/>
        </w:rPr>
        <w:t xml:space="preserve"> </w:t>
      </w:r>
      <w:proofErr w:type="spellStart"/>
      <w:r w:rsidRPr="00041E70">
        <w:rPr>
          <w:rFonts w:cs="Arial"/>
          <w:i/>
        </w:rPr>
        <w:t>for</w:t>
      </w:r>
      <w:proofErr w:type="spellEnd"/>
      <w:r w:rsidRPr="00041E70">
        <w:rPr>
          <w:rFonts w:cs="Arial"/>
          <w:i/>
        </w:rPr>
        <w:t xml:space="preserve"> </w:t>
      </w:r>
      <w:proofErr w:type="spellStart"/>
      <w:r w:rsidRPr="00041E70">
        <w:rPr>
          <w:rFonts w:cs="Arial"/>
          <w:i/>
        </w:rPr>
        <w:t>Gladiolus</w:t>
      </w:r>
      <w:proofErr w:type="spellEnd"/>
      <w:r w:rsidRPr="00041E70">
        <w:rPr>
          <w:rFonts w:cs="Arial"/>
          <w:i/>
        </w:rPr>
        <w:t xml:space="preserve"> (</w:t>
      </w:r>
      <w:proofErr w:type="spellStart"/>
      <w:r w:rsidRPr="00041E70">
        <w:rPr>
          <w:rFonts w:cs="Arial"/>
          <w:i/>
        </w:rPr>
        <w:t>Document</w:t>
      </w:r>
      <w:proofErr w:type="spellEnd"/>
      <w:r w:rsidRPr="00041E70">
        <w:rPr>
          <w:rFonts w:cs="Arial"/>
          <w:i/>
        </w:rPr>
        <w:t xml:space="preserve"> TG/108/4)</w:t>
      </w:r>
      <w:r w:rsidRPr="00041E70">
        <w:rPr>
          <w:rFonts w:cs="Arial"/>
        </w:rPr>
        <w:t>” (Revisión parcial de las directrices de examen del gladiolo (documento TG/108/4)).  El TWO convino en que dichas directrices de examen, modificadas por el TWO, se sometan a la aprobación del Comité Técnico.</w:t>
      </w:r>
    </w:p>
    <w:p w:rsidR="00833396" w:rsidRPr="00041E70" w:rsidRDefault="00833396" w:rsidP="00833396">
      <w:pPr>
        <w:rPr>
          <w:rFonts w:cs="Arial"/>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acordó presentar seis directrices de examen al Comité Técnico para su aprobación</w:t>
      </w:r>
      <w:proofErr w:type="gramStart"/>
      <w:r w:rsidRPr="00041E70">
        <w:rPr>
          <w:rFonts w:cs="Arial"/>
        </w:rPr>
        <w:t>:  aloe</w:t>
      </w:r>
      <w:proofErr w:type="gramEnd"/>
      <w:r w:rsidRPr="00041E70">
        <w:rPr>
          <w:rFonts w:cs="Arial"/>
        </w:rPr>
        <w:t>, campánula, clavel (revisión), áster de china, cosmos y pelargonio (revisión).  El TWO tiene previsto examinar 13 directrices de examen (cuatro revisiones y nueve nuevas directrices de examen) en su cuadragésima octava reunión, que se celebrará en 2015.</w:t>
      </w:r>
    </w:p>
    <w:p w:rsidR="00833396" w:rsidRPr="00041E70" w:rsidRDefault="00833396" w:rsidP="00833396">
      <w:pPr>
        <w:rPr>
          <w:rFonts w:cs="Arial"/>
          <w:i/>
        </w:rPr>
      </w:pPr>
    </w:p>
    <w:p w:rsidR="00833396" w:rsidRPr="00041E70" w:rsidRDefault="00833396" w:rsidP="00833396">
      <w:pPr>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Por invitación del Reino Unido, el TWO decidió celebrar su cuadragésima octava sesión en Cambridge del 14 al 18 de septiembre de 2015, y el taller preparatorio, el 13 de septiembre de 2015.</w:t>
      </w:r>
    </w:p>
    <w:p w:rsidR="00833396" w:rsidRPr="00041E70" w:rsidRDefault="00833396" w:rsidP="00833396">
      <w:pPr>
        <w:rPr>
          <w:rFonts w:cs="Arial"/>
        </w:rPr>
      </w:pPr>
    </w:p>
    <w:p w:rsidR="00833396" w:rsidRPr="00041E70" w:rsidRDefault="00833396" w:rsidP="00041E70">
      <w:pPr>
        <w:keepNext/>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El TWO propuso examinar los siguientes puntos en su próxima reunión:</w:t>
      </w:r>
    </w:p>
    <w:p w:rsidR="00833396" w:rsidRPr="00041E70" w:rsidRDefault="00833396" w:rsidP="00041E70">
      <w:pPr>
        <w:keepNext/>
        <w:rPr>
          <w:rFonts w:cs="Arial"/>
        </w:rPr>
      </w:pPr>
    </w:p>
    <w:p w:rsidR="00833396" w:rsidRPr="00041E70" w:rsidRDefault="00833396" w:rsidP="00833396">
      <w:pPr>
        <w:tabs>
          <w:tab w:val="num" w:pos="1134"/>
        </w:tabs>
        <w:spacing w:before="20" w:afterLines="20" w:after="48"/>
        <w:ind w:left="1134" w:hanging="567"/>
        <w:rPr>
          <w:rFonts w:cs="Arial"/>
        </w:rPr>
      </w:pPr>
      <w:r w:rsidRPr="00041E70">
        <w:rPr>
          <w:rFonts w:cs="Arial"/>
        </w:rPr>
        <w:t>1.</w:t>
      </w:r>
      <w:r w:rsidRPr="00041E70">
        <w:rPr>
          <w:rFonts w:cs="Arial"/>
        </w:rPr>
        <w:tab/>
        <w:t>Apertura de la sesión</w:t>
      </w:r>
    </w:p>
    <w:p w:rsidR="00833396" w:rsidRPr="00041E70" w:rsidRDefault="00833396" w:rsidP="00833396">
      <w:pPr>
        <w:tabs>
          <w:tab w:val="num" w:pos="1134"/>
        </w:tabs>
        <w:spacing w:before="20" w:afterLines="20" w:after="48"/>
        <w:ind w:left="1134" w:hanging="567"/>
        <w:rPr>
          <w:rFonts w:cs="Arial"/>
        </w:rPr>
      </w:pPr>
      <w:r w:rsidRPr="00041E70">
        <w:rPr>
          <w:rFonts w:cs="Arial"/>
        </w:rPr>
        <w:t>2.</w:t>
      </w:r>
      <w:r w:rsidRPr="00041E70">
        <w:rPr>
          <w:rFonts w:cs="Arial"/>
        </w:rPr>
        <w:tab/>
        <w:t>Aprobación del orden del día</w:t>
      </w:r>
    </w:p>
    <w:p w:rsidR="00833396" w:rsidRPr="00041E70" w:rsidRDefault="00833396" w:rsidP="00833396">
      <w:pPr>
        <w:tabs>
          <w:tab w:val="num" w:pos="1134"/>
        </w:tabs>
        <w:spacing w:before="20" w:afterLines="20" w:after="48"/>
        <w:ind w:left="1134" w:hanging="567"/>
        <w:rPr>
          <w:rFonts w:cs="Arial"/>
        </w:rPr>
      </w:pPr>
      <w:r w:rsidRPr="00041E70">
        <w:rPr>
          <w:rFonts w:cs="Arial"/>
        </w:rPr>
        <w:t>3.</w:t>
      </w:r>
      <w:r w:rsidRPr="00041E70">
        <w:rPr>
          <w:rFonts w:cs="Arial"/>
        </w:rPr>
        <w:tab/>
        <w:t>Breves informes sobre los avances logrados en la protección de las variedades vegetales:</w:t>
      </w:r>
    </w:p>
    <w:p w:rsidR="00833396" w:rsidRPr="00041E70" w:rsidRDefault="00833396" w:rsidP="00833396">
      <w:pPr>
        <w:tabs>
          <w:tab w:val="num" w:pos="1134"/>
        </w:tabs>
        <w:spacing w:before="20" w:afterLines="20" w:after="48"/>
        <w:ind w:left="1134"/>
        <w:rPr>
          <w:rFonts w:cs="Arial"/>
        </w:rPr>
      </w:pPr>
      <w:r w:rsidRPr="00041E70">
        <w:rPr>
          <w:rFonts w:cs="Arial"/>
        </w:rPr>
        <w:t>a)</w:t>
      </w:r>
      <w:r w:rsidRPr="00041E70">
        <w:rPr>
          <w:rFonts w:cs="Arial"/>
        </w:rPr>
        <w:tab/>
        <w:t xml:space="preserve">Informes de los miembros y observadores </w:t>
      </w:r>
    </w:p>
    <w:p w:rsidR="00833396" w:rsidRPr="00041E70" w:rsidRDefault="00833396" w:rsidP="00833396">
      <w:pPr>
        <w:tabs>
          <w:tab w:val="num" w:pos="1134"/>
        </w:tabs>
        <w:spacing w:before="20" w:afterLines="20" w:after="48"/>
        <w:ind w:left="1134"/>
        <w:rPr>
          <w:rFonts w:cs="Arial"/>
        </w:rPr>
      </w:pPr>
      <w:r w:rsidRPr="00041E70">
        <w:rPr>
          <w:rFonts w:cs="Arial"/>
        </w:rPr>
        <w:t>b)</w:t>
      </w:r>
      <w:r w:rsidRPr="00041E70">
        <w:rPr>
          <w:rFonts w:cs="Arial"/>
        </w:rPr>
        <w:tab/>
        <w:t xml:space="preserve">Informes sobre los avances logrados en la UPOV </w:t>
      </w:r>
    </w:p>
    <w:p w:rsidR="00833396" w:rsidRPr="00041E70" w:rsidRDefault="00833396" w:rsidP="00833396">
      <w:pPr>
        <w:tabs>
          <w:tab w:val="num" w:pos="1134"/>
        </w:tabs>
        <w:spacing w:before="20" w:afterLines="20" w:after="48"/>
        <w:ind w:left="1134" w:hanging="567"/>
        <w:rPr>
          <w:rFonts w:cs="Arial"/>
        </w:rPr>
      </w:pPr>
      <w:r w:rsidRPr="00041E70">
        <w:rPr>
          <w:rFonts w:cs="Arial"/>
        </w:rPr>
        <w:t>4.</w:t>
      </w:r>
      <w:r w:rsidRPr="00041E70">
        <w:rPr>
          <w:rFonts w:cs="Arial"/>
        </w:rPr>
        <w:tab/>
        <w:t xml:space="preserve">Técnicas moleculares </w:t>
      </w:r>
    </w:p>
    <w:p w:rsidR="00833396" w:rsidRPr="00041E70" w:rsidRDefault="00833396" w:rsidP="00833396">
      <w:pPr>
        <w:tabs>
          <w:tab w:val="num" w:pos="1134"/>
        </w:tabs>
        <w:spacing w:before="20" w:afterLines="20" w:after="48"/>
        <w:ind w:left="1134" w:hanging="567"/>
        <w:rPr>
          <w:rFonts w:cs="Arial"/>
        </w:rPr>
      </w:pPr>
      <w:r w:rsidRPr="00041E70">
        <w:rPr>
          <w:rFonts w:cs="Arial"/>
        </w:rPr>
        <w:t>5.</w:t>
      </w:r>
      <w:r w:rsidRPr="00041E70">
        <w:rPr>
          <w:rFonts w:cs="Arial"/>
        </w:rPr>
        <w:tab/>
        <w:t xml:space="preserve">Documentos TGP </w:t>
      </w:r>
    </w:p>
    <w:p w:rsidR="00833396" w:rsidRPr="00041E70" w:rsidRDefault="00833396" w:rsidP="00833396">
      <w:pPr>
        <w:tabs>
          <w:tab w:val="num" w:pos="1134"/>
        </w:tabs>
        <w:spacing w:before="20" w:afterLines="20" w:after="48"/>
        <w:ind w:left="1134" w:hanging="567"/>
        <w:rPr>
          <w:rFonts w:cs="Arial"/>
        </w:rPr>
      </w:pPr>
      <w:r w:rsidRPr="00041E70">
        <w:rPr>
          <w:rFonts w:cs="Arial"/>
        </w:rPr>
        <w:t>6.</w:t>
      </w:r>
      <w:r w:rsidRPr="00041E70">
        <w:rPr>
          <w:rFonts w:cs="Arial"/>
        </w:rPr>
        <w:tab/>
        <w:t xml:space="preserve">Denominaciones de variedades </w:t>
      </w:r>
    </w:p>
    <w:p w:rsidR="00833396" w:rsidRPr="00041E70" w:rsidRDefault="00833396" w:rsidP="00833396">
      <w:pPr>
        <w:tabs>
          <w:tab w:val="num" w:pos="1134"/>
        </w:tabs>
        <w:spacing w:before="20" w:afterLines="20" w:after="48"/>
        <w:ind w:left="1134" w:hanging="567"/>
        <w:rPr>
          <w:rFonts w:cs="Arial"/>
        </w:rPr>
      </w:pPr>
      <w:r w:rsidRPr="00041E70">
        <w:rPr>
          <w:rFonts w:cs="Arial"/>
        </w:rPr>
        <w:t>7.</w:t>
      </w:r>
      <w:r w:rsidRPr="00041E70">
        <w:rPr>
          <w:rFonts w:cs="Arial"/>
        </w:rPr>
        <w:tab/>
        <w:t>Información y bases de datos</w:t>
      </w:r>
    </w:p>
    <w:p w:rsidR="00833396" w:rsidRPr="00041E70" w:rsidRDefault="00833396" w:rsidP="00833396">
      <w:pPr>
        <w:tabs>
          <w:tab w:val="num" w:pos="1134"/>
        </w:tabs>
        <w:spacing w:before="20" w:afterLines="20" w:after="48"/>
        <w:ind w:left="1134"/>
        <w:rPr>
          <w:rFonts w:cs="Arial"/>
        </w:rPr>
      </w:pPr>
      <w:r w:rsidRPr="00041E70">
        <w:rPr>
          <w:rFonts w:cs="Arial"/>
        </w:rPr>
        <w:t>a)</w:t>
      </w:r>
      <w:r w:rsidRPr="00041E70">
        <w:rPr>
          <w:rFonts w:cs="Arial"/>
        </w:rPr>
        <w:tab/>
        <w:t xml:space="preserve">Bases de datos de información de la UPOV </w:t>
      </w:r>
    </w:p>
    <w:p w:rsidR="00833396" w:rsidRPr="00041E70" w:rsidRDefault="00833396" w:rsidP="00833396">
      <w:pPr>
        <w:tabs>
          <w:tab w:val="num" w:pos="1134"/>
        </w:tabs>
        <w:spacing w:before="20" w:afterLines="20" w:after="48"/>
        <w:ind w:left="1134"/>
        <w:rPr>
          <w:rFonts w:cs="Arial"/>
        </w:rPr>
      </w:pPr>
      <w:r w:rsidRPr="00041E70">
        <w:rPr>
          <w:rFonts w:cs="Arial"/>
        </w:rPr>
        <w:t>b)</w:t>
      </w:r>
      <w:r w:rsidRPr="00041E70">
        <w:rPr>
          <w:rFonts w:cs="Arial"/>
        </w:rPr>
        <w:tab/>
        <w:t xml:space="preserve">Bases de datos de descripciones de variedades </w:t>
      </w:r>
    </w:p>
    <w:p w:rsidR="00833396" w:rsidRPr="00041E70" w:rsidRDefault="00833396" w:rsidP="00833396">
      <w:pPr>
        <w:tabs>
          <w:tab w:val="num" w:pos="1134"/>
        </w:tabs>
        <w:spacing w:before="20" w:afterLines="20" w:after="48"/>
        <w:ind w:left="1134"/>
        <w:rPr>
          <w:rFonts w:cs="Arial"/>
        </w:rPr>
      </w:pPr>
      <w:r w:rsidRPr="00041E70">
        <w:rPr>
          <w:rFonts w:cs="Arial"/>
        </w:rPr>
        <w:t>c)</w:t>
      </w:r>
      <w:r w:rsidRPr="00041E70">
        <w:rPr>
          <w:rFonts w:cs="Arial"/>
        </w:rPr>
        <w:tab/>
        <w:t xml:space="preserve">Programas informáticos para intercambio </w:t>
      </w:r>
    </w:p>
    <w:p w:rsidR="00833396" w:rsidRPr="00041E70" w:rsidRDefault="00833396" w:rsidP="00833396">
      <w:pPr>
        <w:tabs>
          <w:tab w:val="num" w:pos="1134"/>
        </w:tabs>
        <w:spacing w:before="20" w:afterLines="20" w:after="48"/>
        <w:ind w:left="1134"/>
        <w:rPr>
          <w:rFonts w:cs="Arial"/>
        </w:rPr>
      </w:pPr>
      <w:r w:rsidRPr="00041E70">
        <w:rPr>
          <w:rFonts w:cs="Arial"/>
        </w:rPr>
        <w:t>d)</w:t>
      </w:r>
      <w:r w:rsidRPr="00041E70">
        <w:rPr>
          <w:rFonts w:cs="Arial"/>
        </w:rPr>
        <w:tab/>
        <w:t xml:space="preserve">Sistemas de presentación electrónica de solicitudes </w:t>
      </w:r>
    </w:p>
    <w:p w:rsidR="00833396" w:rsidRPr="00041E70" w:rsidRDefault="00833396" w:rsidP="00833396">
      <w:pPr>
        <w:tabs>
          <w:tab w:val="num" w:pos="1134"/>
        </w:tabs>
        <w:spacing w:before="20" w:afterLines="20" w:after="48"/>
        <w:ind w:left="1134" w:hanging="567"/>
        <w:rPr>
          <w:rFonts w:cs="Arial"/>
        </w:rPr>
      </w:pPr>
      <w:r w:rsidRPr="00041E70">
        <w:rPr>
          <w:rFonts w:cs="Arial"/>
        </w:rPr>
        <w:t>8.</w:t>
      </w:r>
      <w:r w:rsidRPr="00041E70">
        <w:rPr>
          <w:rFonts w:cs="Arial"/>
        </w:rPr>
        <w:tab/>
        <w:t>Evaluación de la homogeneidad</w:t>
      </w:r>
    </w:p>
    <w:p w:rsidR="00833396" w:rsidRPr="00041E70" w:rsidRDefault="00833396" w:rsidP="00833396">
      <w:pPr>
        <w:tabs>
          <w:tab w:val="num" w:pos="1134"/>
        </w:tabs>
        <w:spacing w:before="20" w:afterLines="20" w:after="48"/>
        <w:ind w:left="1134" w:hanging="567"/>
        <w:rPr>
          <w:rFonts w:cs="Arial"/>
        </w:rPr>
      </w:pPr>
      <w:r w:rsidRPr="00041E70">
        <w:rPr>
          <w:rFonts w:cs="Arial"/>
        </w:rPr>
        <w:t>9.</w:t>
      </w:r>
      <w:r w:rsidRPr="00041E70">
        <w:rPr>
          <w:rFonts w:cs="Arial"/>
        </w:rPr>
        <w:tab/>
        <w:t>Experiencias con nuevos tipos y especies</w:t>
      </w:r>
    </w:p>
    <w:p w:rsidR="00833396" w:rsidRPr="00041E70" w:rsidRDefault="00833396" w:rsidP="00833396">
      <w:pPr>
        <w:tabs>
          <w:tab w:val="num" w:pos="1134"/>
        </w:tabs>
        <w:spacing w:before="20" w:afterLines="20" w:after="48"/>
        <w:ind w:left="1134" w:hanging="567"/>
        <w:rPr>
          <w:rFonts w:cs="Arial"/>
        </w:rPr>
      </w:pPr>
      <w:r w:rsidRPr="00041E70">
        <w:rPr>
          <w:rFonts w:cs="Arial"/>
        </w:rPr>
        <w:t>10.</w:t>
      </w:r>
      <w:r w:rsidRPr="00041E70">
        <w:rPr>
          <w:rFonts w:cs="Arial"/>
        </w:rPr>
        <w:tab/>
        <w:t xml:space="preserve">Mejora de la eficacia del Comité Técnico, los Grupos de Trabajo Técnico  y los talleres preparatorios </w:t>
      </w:r>
    </w:p>
    <w:p w:rsidR="00833396" w:rsidRPr="00041E70" w:rsidRDefault="00833396" w:rsidP="00833396">
      <w:pPr>
        <w:tabs>
          <w:tab w:val="num" w:pos="1134"/>
        </w:tabs>
        <w:spacing w:before="20" w:afterLines="20" w:after="48"/>
        <w:ind w:left="1134" w:hanging="567"/>
        <w:rPr>
          <w:rFonts w:cs="Arial"/>
        </w:rPr>
      </w:pPr>
      <w:r w:rsidRPr="00041E70">
        <w:rPr>
          <w:rFonts w:cs="Arial"/>
        </w:rPr>
        <w:t>11.</w:t>
      </w:r>
      <w:r w:rsidRPr="00041E70">
        <w:rPr>
          <w:rFonts w:cs="Arial"/>
        </w:rPr>
        <w:tab/>
        <w:t xml:space="preserve">Influencia de distintas fuentes en el material de multiplicación vegetativa que se utiliza en el examen DHE </w:t>
      </w:r>
    </w:p>
    <w:p w:rsidR="00833396" w:rsidRPr="00041E70" w:rsidRDefault="00833396" w:rsidP="00833396">
      <w:pPr>
        <w:tabs>
          <w:tab w:val="num" w:pos="1134"/>
        </w:tabs>
        <w:spacing w:before="20" w:afterLines="20" w:after="48"/>
        <w:ind w:left="1134" w:hanging="567"/>
        <w:rPr>
          <w:rFonts w:cs="Arial"/>
        </w:rPr>
      </w:pPr>
      <w:r w:rsidRPr="00041E70">
        <w:rPr>
          <w:rFonts w:cs="Arial"/>
        </w:rPr>
        <w:t>12.</w:t>
      </w:r>
      <w:r w:rsidRPr="00041E70">
        <w:rPr>
          <w:rFonts w:cs="Arial"/>
        </w:rPr>
        <w:tab/>
        <w:t>Ejemplos de diferentes prácticas de cultivo en el examen DHE</w:t>
      </w:r>
    </w:p>
    <w:p w:rsidR="00833396" w:rsidRPr="00041E70" w:rsidRDefault="00833396" w:rsidP="00833396">
      <w:pPr>
        <w:tabs>
          <w:tab w:val="num" w:pos="1134"/>
        </w:tabs>
        <w:spacing w:before="20" w:afterLines="20" w:after="48"/>
        <w:ind w:left="1134" w:hanging="567"/>
        <w:rPr>
          <w:rFonts w:cs="Arial"/>
        </w:rPr>
      </w:pPr>
      <w:r w:rsidRPr="00041E70">
        <w:rPr>
          <w:rFonts w:cs="Arial"/>
        </w:rPr>
        <w:t>13.</w:t>
      </w:r>
      <w:r w:rsidRPr="00041E70">
        <w:rPr>
          <w:rFonts w:cs="Arial"/>
        </w:rPr>
        <w:tab/>
        <w:t>Cuestiones por resolver en lo que respecta a directrices de examen aprobadas por el Comité Técnico</w:t>
      </w:r>
    </w:p>
    <w:p w:rsidR="00833396" w:rsidRPr="00041E70" w:rsidRDefault="00833396" w:rsidP="00833396">
      <w:pPr>
        <w:tabs>
          <w:tab w:val="num" w:pos="1134"/>
        </w:tabs>
        <w:spacing w:before="20" w:afterLines="20" w:after="48"/>
        <w:ind w:left="1134" w:hanging="567"/>
        <w:rPr>
          <w:rFonts w:cs="Arial"/>
        </w:rPr>
      </w:pPr>
      <w:r w:rsidRPr="00041E70">
        <w:rPr>
          <w:rFonts w:cs="Arial"/>
        </w:rPr>
        <w:t>14.</w:t>
      </w:r>
      <w:r w:rsidRPr="00041E70">
        <w:rPr>
          <w:rFonts w:cs="Arial"/>
        </w:rPr>
        <w:tab/>
        <w:t>Debates sobre proyectos de directrices de examen</w:t>
      </w:r>
    </w:p>
    <w:p w:rsidR="00833396" w:rsidRPr="00041E70" w:rsidRDefault="00833396" w:rsidP="00833396">
      <w:pPr>
        <w:tabs>
          <w:tab w:val="num" w:pos="1134"/>
        </w:tabs>
        <w:spacing w:before="20" w:afterLines="20" w:after="48"/>
        <w:ind w:left="1134" w:hanging="567"/>
        <w:rPr>
          <w:rFonts w:cs="Arial"/>
        </w:rPr>
      </w:pPr>
      <w:r w:rsidRPr="00041E70">
        <w:rPr>
          <w:rFonts w:cs="Arial"/>
        </w:rPr>
        <w:t>15.</w:t>
      </w:r>
      <w:r w:rsidRPr="00041E70">
        <w:rPr>
          <w:rFonts w:cs="Arial"/>
        </w:rPr>
        <w:tab/>
        <w:t>Recomendaciones sobre proyectos de directrices de examen</w:t>
      </w:r>
    </w:p>
    <w:p w:rsidR="00833396" w:rsidRPr="00041E70" w:rsidRDefault="00833396" w:rsidP="00833396">
      <w:pPr>
        <w:tabs>
          <w:tab w:val="num" w:pos="1134"/>
        </w:tabs>
        <w:spacing w:before="20" w:afterLines="20" w:after="48"/>
        <w:ind w:left="1134" w:hanging="567"/>
        <w:rPr>
          <w:rFonts w:cs="Arial"/>
        </w:rPr>
      </w:pPr>
      <w:r w:rsidRPr="00041E70">
        <w:rPr>
          <w:rFonts w:cs="Arial"/>
        </w:rPr>
        <w:t>16.</w:t>
      </w:r>
      <w:r w:rsidRPr="00041E70">
        <w:rPr>
          <w:rFonts w:cs="Arial"/>
        </w:rPr>
        <w:tab/>
        <w:t>Orientación para redactores de directrices de examen</w:t>
      </w:r>
    </w:p>
    <w:p w:rsidR="00833396" w:rsidRPr="00041E70" w:rsidRDefault="00833396" w:rsidP="00833396">
      <w:pPr>
        <w:tabs>
          <w:tab w:val="num" w:pos="1134"/>
        </w:tabs>
        <w:spacing w:before="20" w:afterLines="20" w:after="48"/>
        <w:ind w:left="1134" w:hanging="567"/>
        <w:rPr>
          <w:rFonts w:cs="Arial"/>
        </w:rPr>
      </w:pPr>
      <w:r w:rsidRPr="00041E70">
        <w:rPr>
          <w:rFonts w:cs="Arial"/>
        </w:rPr>
        <w:t>17.</w:t>
      </w:r>
      <w:r w:rsidRPr="00041E70">
        <w:rPr>
          <w:rFonts w:cs="Arial"/>
        </w:rPr>
        <w:tab/>
        <w:t>Fecha y lugar de la siguiente reunión</w:t>
      </w:r>
    </w:p>
    <w:p w:rsidR="00833396" w:rsidRPr="00041E70" w:rsidRDefault="00833396" w:rsidP="00833396">
      <w:pPr>
        <w:tabs>
          <w:tab w:val="num" w:pos="1134"/>
        </w:tabs>
        <w:spacing w:before="20" w:afterLines="20" w:after="48"/>
        <w:ind w:left="1134" w:hanging="567"/>
        <w:rPr>
          <w:rFonts w:cs="Arial"/>
        </w:rPr>
      </w:pPr>
      <w:r w:rsidRPr="00041E70">
        <w:rPr>
          <w:rFonts w:cs="Arial"/>
        </w:rPr>
        <w:t>18.</w:t>
      </w:r>
      <w:r w:rsidRPr="00041E70">
        <w:rPr>
          <w:rFonts w:cs="Arial"/>
        </w:rPr>
        <w:tab/>
        <w:t>Próximo programa</w:t>
      </w:r>
    </w:p>
    <w:p w:rsidR="00833396" w:rsidRPr="00041E70" w:rsidRDefault="00833396" w:rsidP="00833396">
      <w:pPr>
        <w:tabs>
          <w:tab w:val="num" w:pos="1134"/>
        </w:tabs>
        <w:spacing w:before="20" w:afterLines="20" w:after="48"/>
        <w:ind w:left="1134" w:hanging="567"/>
        <w:rPr>
          <w:rFonts w:cs="Arial"/>
        </w:rPr>
      </w:pPr>
      <w:r w:rsidRPr="00041E70">
        <w:rPr>
          <w:rFonts w:cs="Arial"/>
        </w:rPr>
        <w:t>19.</w:t>
      </w:r>
      <w:r w:rsidRPr="00041E70">
        <w:rPr>
          <w:rFonts w:cs="Arial"/>
        </w:rPr>
        <w:tab/>
        <w:t>Informe de la reunión (si se dispone de tiempo suficiente)</w:t>
      </w:r>
    </w:p>
    <w:p w:rsidR="00833396" w:rsidRPr="00041E70" w:rsidRDefault="00833396" w:rsidP="00833396">
      <w:pPr>
        <w:tabs>
          <w:tab w:val="num" w:pos="1134"/>
        </w:tabs>
        <w:spacing w:before="20" w:afterLines="20" w:after="48"/>
        <w:ind w:left="1134" w:hanging="567"/>
        <w:rPr>
          <w:rFonts w:cs="Arial"/>
        </w:rPr>
      </w:pPr>
      <w:r w:rsidRPr="00041E70">
        <w:rPr>
          <w:rFonts w:cs="Arial"/>
        </w:rPr>
        <w:t>20.</w:t>
      </w:r>
      <w:r w:rsidRPr="00041E70">
        <w:rPr>
          <w:rFonts w:cs="Arial"/>
        </w:rPr>
        <w:tab/>
        <w:t>Clausura de la reunión</w:t>
      </w:r>
    </w:p>
    <w:p w:rsidR="00833396" w:rsidRPr="00041E70" w:rsidRDefault="00833396" w:rsidP="00833396"/>
    <w:p w:rsidR="00833396" w:rsidRPr="00041E70" w:rsidRDefault="00833396" w:rsidP="00833396">
      <w:pPr>
        <w:rPr>
          <w:rFonts w:cs="Arial"/>
          <w:u w:val="single"/>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 xml:space="preserve">En la tarde del 21 de mayo de 2014, el TWO visitó las instalaciones de Nini </w:t>
      </w:r>
      <w:proofErr w:type="spellStart"/>
      <w:r w:rsidRPr="00041E70">
        <w:rPr>
          <w:rFonts w:cs="Arial"/>
        </w:rPr>
        <w:t>Limited</w:t>
      </w:r>
      <w:proofErr w:type="spellEnd"/>
      <w:r w:rsidRPr="00041E70">
        <w:rPr>
          <w:rFonts w:cs="Arial"/>
        </w:rPr>
        <w:t xml:space="preserve">, una empresa productora de rosas cortadas con sede en </w:t>
      </w:r>
      <w:proofErr w:type="spellStart"/>
      <w:r w:rsidRPr="00041E70">
        <w:rPr>
          <w:rFonts w:cs="Arial"/>
        </w:rPr>
        <w:t>Naivasha</w:t>
      </w:r>
      <w:proofErr w:type="spellEnd"/>
      <w:r w:rsidRPr="00041E70">
        <w:rPr>
          <w:rFonts w:cs="Arial"/>
        </w:rPr>
        <w:t xml:space="preserve">.  El TWO fue recibido por el Sr. Philip </w:t>
      </w:r>
      <w:proofErr w:type="spellStart"/>
      <w:r w:rsidRPr="00041E70">
        <w:rPr>
          <w:rFonts w:cs="Arial"/>
        </w:rPr>
        <w:t>Kuria</w:t>
      </w:r>
      <w:proofErr w:type="spellEnd"/>
      <w:r w:rsidRPr="00041E70">
        <w:rPr>
          <w:rFonts w:cs="Arial"/>
        </w:rPr>
        <w:t>, Supervisor de Actividades Posteriores a la Cosecha y Exportaciones, y la Sra. </w:t>
      </w:r>
      <w:proofErr w:type="spellStart"/>
      <w:r w:rsidRPr="00041E70">
        <w:rPr>
          <w:rFonts w:cs="Arial"/>
        </w:rPr>
        <w:t>Faith</w:t>
      </w:r>
      <w:proofErr w:type="spellEnd"/>
      <w:r w:rsidRPr="00041E70">
        <w:rPr>
          <w:rFonts w:cs="Arial"/>
        </w:rPr>
        <w:t xml:space="preserve"> </w:t>
      </w:r>
      <w:proofErr w:type="spellStart"/>
      <w:r w:rsidRPr="00041E70">
        <w:rPr>
          <w:rFonts w:cs="Arial"/>
        </w:rPr>
        <w:t>Ndunge</w:t>
      </w:r>
      <w:proofErr w:type="spellEnd"/>
      <w:r w:rsidRPr="00041E70">
        <w:rPr>
          <w:rFonts w:cs="Arial"/>
        </w:rPr>
        <w:t xml:space="preserve">, Funcionaria Encargada del KEPHIS en </w:t>
      </w:r>
      <w:proofErr w:type="spellStart"/>
      <w:r w:rsidRPr="00041E70">
        <w:rPr>
          <w:rFonts w:cs="Arial"/>
        </w:rPr>
        <w:t>Naivasha</w:t>
      </w:r>
      <w:proofErr w:type="spellEnd"/>
      <w:r w:rsidRPr="00041E70">
        <w:rPr>
          <w:rFonts w:cs="Arial"/>
        </w:rPr>
        <w:t>, y asistió a una presentación a cargo del Sr. </w:t>
      </w:r>
      <w:proofErr w:type="spellStart"/>
      <w:r w:rsidRPr="00041E70">
        <w:rPr>
          <w:rFonts w:cs="Arial"/>
        </w:rPr>
        <w:t>Moses</w:t>
      </w:r>
      <w:proofErr w:type="spellEnd"/>
      <w:r w:rsidRPr="00041E70">
        <w:rPr>
          <w:rFonts w:cs="Arial"/>
        </w:rPr>
        <w:t xml:space="preserve"> </w:t>
      </w:r>
      <w:proofErr w:type="spellStart"/>
      <w:r w:rsidRPr="00041E70">
        <w:rPr>
          <w:rFonts w:cs="Arial"/>
        </w:rPr>
        <w:t>Wachira</w:t>
      </w:r>
      <w:proofErr w:type="spellEnd"/>
      <w:r w:rsidRPr="00041E70">
        <w:rPr>
          <w:rFonts w:cs="Arial"/>
        </w:rPr>
        <w:t>, Supervisor Principal de Producción.  Se explicó que la producción de rosas en Nini comenzó en 1998 y ha crecido hasta alcanzar en la actualidad 44 hectáreas de invernaderos y 600 empleados fijos, de los cuales el 70% son mujeres.  Hoy se producen 25 variedades de siete obtentores con 8 colores diferentes, a un ritmo de 2 millones de flores cortadas por semana.  El Sr. </w:t>
      </w:r>
      <w:proofErr w:type="spellStart"/>
      <w:r w:rsidRPr="00041E70">
        <w:rPr>
          <w:rFonts w:cs="Arial"/>
        </w:rPr>
        <w:t>Kuria</w:t>
      </w:r>
      <w:proofErr w:type="spellEnd"/>
      <w:r w:rsidRPr="00041E70">
        <w:rPr>
          <w:rFonts w:cs="Arial"/>
        </w:rPr>
        <w:t xml:space="preserve"> informó sobre la colaboración para el desarrollo del mercado con los obtentores de las variedades utilizadas y destacó la importante función de la protección de las obtenciones vegetales de cara al éxito de las actividades de la empresa.</w:t>
      </w:r>
    </w:p>
    <w:p w:rsidR="00833396" w:rsidRPr="00041E70" w:rsidRDefault="00833396" w:rsidP="00833396"/>
    <w:p w:rsidR="00833396" w:rsidRPr="00041E70" w:rsidRDefault="00833396" w:rsidP="00833396">
      <w:pPr>
        <w:autoSpaceDE w:val="0"/>
        <w:autoSpaceDN w:val="0"/>
        <w:adjustRightInd w:val="0"/>
        <w:rPr>
          <w:rFonts w:cs="Arial"/>
        </w:rPr>
      </w:pPr>
      <w:r w:rsidRPr="00041E70">
        <w:rPr>
          <w:rFonts w:cs="Arial"/>
        </w:rPr>
        <w:fldChar w:fldCharType="begin"/>
      </w:r>
      <w:r w:rsidRPr="00041E70">
        <w:rPr>
          <w:rFonts w:cs="Arial"/>
        </w:rPr>
        <w:instrText xml:space="preserve"> AUTONUM  </w:instrText>
      </w:r>
      <w:r w:rsidRPr="00041E70">
        <w:rPr>
          <w:rFonts w:cs="Arial"/>
        </w:rPr>
        <w:fldChar w:fldCharType="end"/>
      </w:r>
      <w:r w:rsidRPr="00041E70">
        <w:rPr>
          <w:rFonts w:cs="Arial"/>
        </w:rPr>
        <w:tab/>
        <w:t>Se concedió al Sr. Nik Hulse la medalla de bronce de la UPOV en reconocimiento a su labor como Presidente del TWO desde 2012 hasta 2014.</w:t>
      </w:r>
    </w:p>
    <w:p w:rsidR="00833396" w:rsidRPr="00041E70" w:rsidRDefault="00833396" w:rsidP="00833396"/>
    <w:p w:rsidR="00833396" w:rsidRPr="00041E70" w:rsidRDefault="00833396" w:rsidP="00833396"/>
    <w:p w:rsidR="00833396" w:rsidRPr="00041E70" w:rsidRDefault="00833396" w:rsidP="00041E70">
      <w:pPr>
        <w:pStyle w:val="Heading2"/>
      </w:pPr>
      <w:bookmarkStart w:id="62" w:name="_Toc429150788"/>
      <w:r w:rsidRPr="00041E70">
        <w:t>Grupo de Trabajo Técnico sobre Hortalizas</w:t>
      </w:r>
      <w:r w:rsidR="00041E70">
        <w:t xml:space="preserve"> (TWV)</w:t>
      </w:r>
      <w:bookmarkEnd w:id="62"/>
    </w:p>
    <w:p w:rsidR="00833396" w:rsidRPr="00041E70" w:rsidRDefault="00833396" w:rsidP="00833396">
      <w:pPr>
        <w:pStyle w:val="Heading2"/>
      </w:pPr>
    </w:p>
    <w:p w:rsidR="00833396" w:rsidRPr="00041E70" w:rsidRDefault="00833396" w:rsidP="00833396">
      <w:pPr>
        <w:rPr>
          <w:color w:val="000000"/>
        </w:rPr>
      </w:pPr>
      <w:r w:rsidRPr="00041E70">
        <w:rPr>
          <w:color w:val="000000"/>
        </w:rPr>
        <w:fldChar w:fldCharType="begin"/>
      </w:r>
      <w:r w:rsidRPr="00041E70">
        <w:rPr>
          <w:color w:val="000000"/>
        </w:rPr>
        <w:instrText xml:space="preserve"> AUTONUM  </w:instrText>
      </w:r>
      <w:r w:rsidRPr="00041E70">
        <w:rPr>
          <w:color w:val="000000"/>
        </w:rPr>
        <w:fldChar w:fldCharType="end"/>
      </w:r>
      <w:r w:rsidRPr="00041E70">
        <w:rPr>
          <w:color w:val="000000"/>
        </w:rPr>
        <w:tab/>
        <w:t xml:space="preserve">La cuadragésima octava sesión del TWV se celebró del 23 al 27 de junio de 2014 en </w:t>
      </w:r>
      <w:proofErr w:type="spellStart"/>
      <w:r w:rsidRPr="00041E70">
        <w:rPr>
          <w:color w:val="000000"/>
        </w:rPr>
        <w:t>Paestum</w:t>
      </w:r>
      <w:proofErr w:type="spellEnd"/>
      <w:r w:rsidRPr="00041E70">
        <w:rPr>
          <w:color w:val="000000"/>
        </w:rPr>
        <w:t xml:space="preserve"> (Italia), en las inmediaciones del Centro de Análisis y Certificación de Semillas CRA-SCS, un centro italiano de examen DHE de hortalizas ubicado en </w:t>
      </w:r>
      <w:proofErr w:type="spellStart"/>
      <w:r w:rsidRPr="00041E70">
        <w:rPr>
          <w:color w:val="000000"/>
        </w:rPr>
        <w:t>Battipaglia</w:t>
      </w:r>
      <w:proofErr w:type="spellEnd"/>
      <w:r w:rsidRPr="00041E70">
        <w:rPr>
          <w:color w:val="000000"/>
        </w:rPr>
        <w:t xml:space="preserve">. </w:t>
      </w:r>
    </w:p>
    <w:p w:rsidR="00833396" w:rsidRPr="00041E70" w:rsidRDefault="00833396" w:rsidP="00833396">
      <w:pPr>
        <w:rPr>
          <w:color w:val="000000"/>
        </w:rPr>
      </w:pPr>
    </w:p>
    <w:p w:rsidR="00833396" w:rsidRPr="00041E70" w:rsidRDefault="00833396" w:rsidP="00833396">
      <w:pPr>
        <w:rPr>
          <w:color w:val="000000"/>
        </w:rPr>
      </w:pPr>
      <w:r w:rsidRPr="00041E70">
        <w:rPr>
          <w:color w:val="000000"/>
        </w:rPr>
        <w:fldChar w:fldCharType="begin"/>
      </w:r>
      <w:r w:rsidRPr="00041E70">
        <w:rPr>
          <w:color w:val="000000"/>
        </w:rPr>
        <w:instrText xml:space="preserve"> AUTONUM  </w:instrText>
      </w:r>
      <w:r w:rsidRPr="00041E70">
        <w:rPr>
          <w:color w:val="000000"/>
        </w:rPr>
        <w:fldChar w:fldCharType="end"/>
      </w:r>
      <w:r w:rsidRPr="00041E70">
        <w:rPr>
          <w:color w:val="000000"/>
        </w:rPr>
        <w:tab/>
        <w:t xml:space="preserve">Al comienzo de la sesión, los participantes guardaron un minuto de silencio en conmemoración del lamentable fallecimiento del Sr. François </w:t>
      </w:r>
      <w:proofErr w:type="spellStart"/>
      <w:r w:rsidRPr="00041E70">
        <w:rPr>
          <w:color w:val="000000"/>
        </w:rPr>
        <w:t>Boulineau</w:t>
      </w:r>
      <w:proofErr w:type="spellEnd"/>
      <w:r w:rsidRPr="00041E70">
        <w:rPr>
          <w:color w:val="000000"/>
        </w:rPr>
        <w:t xml:space="preserve">, Presidente del TWV. </w:t>
      </w:r>
    </w:p>
    <w:p w:rsidR="00833396" w:rsidRPr="00041E70" w:rsidRDefault="00833396" w:rsidP="00833396">
      <w:pPr>
        <w:rPr>
          <w:color w:val="000000"/>
        </w:rPr>
      </w:pPr>
    </w:p>
    <w:p w:rsidR="00833396" w:rsidRPr="00041E70" w:rsidRDefault="00833396" w:rsidP="00833396">
      <w:pPr>
        <w:rPr>
          <w:color w:val="000000"/>
        </w:rPr>
      </w:pPr>
      <w:r w:rsidRPr="00041E70">
        <w:rPr>
          <w:color w:val="000000"/>
        </w:rPr>
        <w:fldChar w:fldCharType="begin"/>
      </w:r>
      <w:r w:rsidRPr="00041E70">
        <w:rPr>
          <w:color w:val="000000"/>
        </w:rPr>
        <w:instrText xml:space="preserve"> AUTONUM  </w:instrText>
      </w:r>
      <w:r w:rsidRPr="00041E70">
        <w:rPr>
          <w:color w:val="000000"/>
        </w:rPr>
        <w:fldChar w:fldCharType="end"/>
      </w:r>
      <w:r w:rsidRPr="00041E70">
        <w:rPr>
          <w:color w:val="000000"/>
        </w:rPr>
        <w:tab/>
        <w:t xml:space="preserve">El TWV eligió Copresidentes </w:t>
      </w:r>
      <w:r w:rsidRPr="00041E70">
        <w:rPr>
          <w:i/>
          <w:color w:val="000000"/>
        </w:rPr>
        <w:t>ad hoc</w:t>
      </w:r>
      <w:r w:rsidRPr="00041E70">
        <w:rPr>
          <w:color w:val="000000"/>
        </w:rPr>
        <w:t xml:space="preserve"> al Sr. </w:t>
      </w:r>
      <w:proofErr w:type="spellStart"/>
      <w:r w:rsidRPr="00041E70">
        <w:rPr>
          <w:color w:val="000000"/>
        </w:rPr>
        <w:t>Kees</w:t>
      </w:r>
      <w:proofErr w:type="spellEnd"/>
      <w:r w:rsidRPr="00041E70">
        <w:rPr>
          <w:color w:val="000000"/>
        </w:rPr>
        <w:t xml:space="preserve"> van </w:t>
      </w:r>
      <w:proofErr w:type="spellStart"/>
      <w:r w:rsidRPr="00041E70">
        <w:rPr>
          <w:color w:val="000000"/>
        </w:rPr>
        <w:t>Ettekoven</w:t>
      </w:r>
      <w:proofErr w:type="spellEnd"/>
      <w:r w:rsidRPr="00041E70">
        <w:rPr>
          <w:color w:val="000000"/>
        </w:rPr>
        <w:t xml:space="preserve"> (Países Bajos) y a la Sra. </w:t>
      </w:r>
      <w:proofErr w:type="spellStart"/>
      <w:r w:rsidRPr="00041E70">
        <w:rPr>
          <w:color w:val="000000"/>
        </w:rPr>
        <w:t>Swenja</w:t>
      </w:r>
      <w:proofErr w:type="spellEnd"/>
      <w:r w:rsidRPr="00041E70">
        <w:rPr>
          <w:color w:val="000000"/>
        </w:rPr>
        <w:t xml:space="preserve"> </w:t>
      </w:r>
      <w:proofErr w:type="spellStart"/>
      <w:r w:rsidRPr="00041E70">
        <w:rPr>
          <w:color w:val="000000"/>
        </w:rPr>
        <w:t>Tams</w:t>
      </w:r>
      <w:proofErr w:type="spellEnd"/>
      <w:r w:rsidRPr="00041E70">
        <w:rPr>
          <w:color w:val="000000"/>
        </w:rPr>
        <w:t xml:space="preserve"> (Alemania). </w:t>
      </w:r>
    </w:p>
    <w:p w:rsidR="00833396" w:rsidRPr="00041E70" w:rsidRDefault="00833396" w:rsidP="00833396">
      <w:pPr>
        <w:rPr>
          <w:color w:val="000000"/>
        </w:rPr>
      </w:pPr>
    </w:p>
    <w:p w:rsidR="00833396" w:rsidRPr="00041E70" w:rsidRDefault="00833396" w:rsidP="00833396">
      <w:pPr>
        <w:rPr>
          <w:color w:val="000000"/>
        </w:rPr>
      </w:pPr>
      <w:r w:rsidRPr="00041E70">
        <w:rPr>
          <w:color w:val="000000"/>
        </w:rPr>
        <w:fldChar w:fldCharType="begin"/>
      </w:r>
      <w:r w:rsidRPr="00041E70">
        <w:rPr>
          <w:color w:val="000000"/>
        </w:rPr>
        <w:instrText xml:space="preserve"> AUTONUM  </w:instrText>
      </w:r>
      <w:r w:rsidRPr="00041E70">
        <w:rPr>
          <w:color w:val="000000"/>
        </w:rPr>
        <w:fldChar w:fldCharType="end"/>
      </w:r>
      <w:r w:rsidRPr="00041E70">
        <w:rPr>
          <w:color w:val="000000"/>
        </w:rPr>
        <w:tab/>
        <w:t xml:space="preserve">El taller preparatorio, al que asistieron 19 participantes procedentes de 8 miembros, se celebró el 22 de junio de 2014.  La sesión del TWV contó con 32 participantes, que representaban a 17 miembros y 3 organizaciones en calidad de observadoras. </w:t>
      </w:r>
    </w:p>
    <w:p w:rsidR="00833396" w:rsidRPr="00041E70" w:rsidRDefault="00833396" w:rsidP="00833396">
      <w:pPr>
        <w:rPr>
          <w:color w:val="000000"/>
        </w:rPr>
      </w:pPr>
    </w:p>
    <w:p w:rsidR="00833396" w:rsidRPr="00041E70" w:rsidRDefault="00833396" w:rsidP="00833396">
      <w:pPr>
        <w:rPr>
          <w:color w:val="000000"/>
        </w:rPr>
      </w:pPr>
      <w:r w:rsidRPr="00041E70">
        <w:rPr>
          <w:color w:val="000000"/>
        </w:rPr>
        <w:fldChar w:fldCharType="begin"/>
      </w:r>
      <w:r w:rsidRPr="00041E70">
        <w:rPr>
          <w:color w:val="000000"/>
        </w:rPr>
        <w:instrText xml:space="preserve"> AUTONUM  </w:instrText>
      </w:r>
      <w:r w:rsidRPr="00041E70">
        <w:rPr>
          <w:color w:val="000000"/>
        </w:rPr>
        <w:fldChar w:fldCharType="end"/>
      </w:r>
      <w:r w:rsidRPr="00041E70">
        <w:rPr>
          <w:color w:val="000000"/>
        </w:rPr>
        <w:tab/>
        <w:t>Mediante un mensaje de video, dio la bienvenida al TWV el Sr. </w:t>
      </w:r>
      <w:proofErr w:type="spellStart"/>
      <w:r w:rsidRPr="00041E70">
        <w:rPr>
          <w:color w:val="000000"/>
        </w:rPr>
        <w:t>Pier</w:t>
      </w:r>
      <w:proofErr w:type="spellEnd"/>
      <w:r w:rsidRPr="00041E70">
        <w:rPr>
          <w:color w:val="000000"/>
        </w:rPr>
        <w:t xml:space="preserve"> Giacomo Bianchi, Director del Centro del Consejo de Investigaciones Agrícolas (CRA-SCS).  La Sra. Anna </w:t>
      </w:r>
      <w:proofErr w:type="spellStart"/>
      <w:r w:rsidRPr="00041E70">
        <w:rPr>
          <w:color w:val="000000"/>
        </w:rPr>
        <w:t>Giulini</w:t>
      </w:r>
      <w:proofErr w:type="spellEnd"/>
      <w:r w:rsidRPr="00041E70">
        <w:rPr>
          <w:color w:val="000000"/>
        </w:rPr>
        <w:t>, Investigadora del CRA</w:t>
      </w:r>
      <w:r w:rsidRPr="00041E70">
        <w:rPr>
          <w:color w:val="000000"/>
        </w:rPr>
        <w:noBreakHyphen/>
        <w:t xml:space="preserve">SCS, realizó, en nombre del Sr. Bianchi, una presentación sobre el panorama general de los derechos de obtentor en Italia. </w:t>
      </w:r>
    </w:p>
    <w:p w:rsidR="00833396" w:rsidRPr="00041E70" w:rsidRDefault="00833396" w:rsidP="00833396">
      <w:pPr>
        <w:rPr>
          <w:color w:val="000000"/>
        </w:rPr>
      </w:pPr>
    </w:p>
    <w:p w:rsidR="00833396" w:rsidRPr="00041E70" w:rsidRDefault="00833396" w:rsidP="00833396">
      <w:pPr>
        <w:rPr>
          <w:color w:val="000000"/>
        </w:rPr>
      </w:pPr>
      <w:r w:rsidRPr="00041E70">
        <w:rPr>
          <w:color w:val="000000"/>
        </w:rPr>
        <w:fldChar w:fldCharType="begin"/>
      </w:r>
      <w:r w:rsidRPr="00041E70">
        <w:rPr>
          <w:color w:val="000000"/>
        </w:rPr>
        <w:instrText xml:space="preserve"> AUTONUM  </w:instrText>
      </w:r>
      <w:r w:rsidRPr="00041E70">
        <w:rPr>
          <w:color w:val="000000"/>
        </w:rPr>
        <w:fldChar w:fldCharType="end"/>
      </w:r>
      <w:r w:rsidRPr="00041E70">
        <w:rPr>
          <w:color w:val="000000"/>
        </w:rPr>
        <w:tab/>
        <w:t xml:space="preserve">En la tarde del 26 de junio de 2014, el TWV visitó el Centro de Análisis y Certificación de Semillas CRA-SCS de </w:t>
      </w:r>
      <w:proofErr w:type="spellStart"/>
      <w:r w:rsidRPr="00041E70">
        <w:rPr>
          <w:color w:val="000000"/>
        </w:rPr>
        <w:t>Battipaglia</w:t>
      </w:r>
      <w:proofErr w:type="spellEnd"/>
      <w:r w:rsidRPr="00041E70">
        <w:rPr>
          <w:color w:val="000000"/>
        </w:rPr>
        <w:t xml:space="preserve">, donde asistió a una ponencia a cargo de la Sra. Romana </w:t>
      </w:r>
      <w:proofErr w:type="spellStart"/>
      <w:r w:rsidRPr="00041E70">
        <w:rPr>
          <w:color w:val="000000"/>
        </w:rPr>
        <w:t>Bravi</w:t>
      </w:r>
      <w:proofErr w:type="spellEnd"/>
      <w:r w:rsidRPr="00041E70">
        <w:rPr>
          <w:color w:val="000000"/>
        </w:rPr>
        <w:t xml:space="preserve">, Jefa de la Oficina del CRA-SCS en </w:t>
      </w:r>
      <w:proofErr w:type="spellStart"/>
      <w:r w:rsidRPr="00041E70">
        <w:rPr>
          <w:color w:val="000000"/>
        </w:rPr>
        <w:t>Battipaglia</w:t>
      </w:r>
      <w:proofErr w:type="spellEnd"/>
      <w:r w:rsidRPr="00041E70">
        <w:rPr>
          <w:color w:val="000000"/>
        </w:rPr>
        <w:t xml:space="preserve">.  El TWV visitó ensayos DHE de tomate, melón, calabacín, pepino y otras especies.  </w:t>
      </w:r>
    </w:p>
    <w:p w:rsidR="00833396" w:rsidRPr="00041E70" w:rsidRDefault="00833396" w:rsidP="00833396">
      <w:pPr>
        <w:rPr>
          <w:color w:val="000000"/>
        </w:rPr>
      </w:pPr>
    </w:p>
    <w:p w:rsidR="00833396" w:rsidRPr="00041E70" w:rsidRDefault="00833396" w:rsidP="00833396">
      <w:pPr>
        <w:keepNext/>
        <w:rPr>
          <w:color w:val="000000"/>
        </w:rPr>
      </w:pPr>
      <w:r w:rsidRPr="00041E70">
        <w:fldChar w:fldCharType="begin"/>
      </w:r>
      <w:r w:rsidRPr="00041E70">
        <w:instrText xml:space="preserve"> AUTONUM  </w:instrText>
      </w:r>
      <w:r w:rsidRPr="00041E70">
        <w:fldChar w:fldCharType="end"/>
      </w:r>
      <w:r w:rsidRPr="00041E70">
        <w:tab/>
        <w:t xml:space="preserve">El TWV examinó las revisiones de los documentos TGP.  </w:t>
      </w:r>
      <w:r w:rsidRPr="00041E70">
        <w:rPr>
          <w:color w:val="000000"/>
        </w:rPr>
        <w:t>Durante las deliberaciones sobre los documentos TGP, el TWV examinó el documento TWV/48/12 “</w:t>
      </w:r>
      <w:proofErr w:type="spellStart"/>
      <w:r w:rsidRPr="00041E70">
        <w:rPr>
          <w:i/>
          <w:color w:val="000000"/>
        </w:rPr>
        <w:t>Revision</w:t>
      </w:r>
      <w:proofErr w:type="spellEnd"/>
      <w:r w:rsidRPr="00041E70">
        <w:rPr>
          <w:i/>
          <w:color w:val="000000"/>
        </w:rPr>
        <w:t xml:space="preserve"> of </w:t>
      </w:r>
      <w:proofErr w:type="spellStart"/>
      <w:r w:rsidRPr="00041E70">
        <w:rPr>
          <w:i/>
          <w:color w:val="000000"/>
        </w:rPr>
        <w:t>Document</w:t>
      </w:r>
      <w:proofErr w:type="spellEnd"/>
      <w:r w:rsidRPr="00041E70">
        <w:rPr>
          <w:i/>
          <w:color w:val="000000"/>
        </w:rPr>
        <w:t xml:space="preserve"> TGP/7: </w:t>
      </w:r>
      <w:proofErr w:type="spellStart"/>
      <w:r w:rsidRPr="00041E70">
        <w:rPr>
          <w:i/>
          <w:color w:val="000000"/>
        </w:rPr>
        <w:t>Plant</w:t>
      </w:r>
      <w:proofErr w:type="spellEnd"/>
      <w:r w:rsidRPr="00041E70">
        <w:rPr>
          <w:i/>
          <w:color w:val="000000"/>
        </w:rPr>
        <w:t xml:space="preserve"> Material </w:t>
      </w:r>
      <w:proofErr w:type="spellStart"/>
      <w:r w:rsidRPr="00041E70">
        <w:rPr>
          <w:i/>
          <w:color w:val="000000"/>
        </w:rPr>
        <w:t>Submitted</w:t>
      </w:r>
      <w:proofErr w:type="spellEnd"/>
      <w:r w:rsidRPr="00041E70">
        <w:rPr>
          <w:i/>
          <w:color w:val="000000"/>
        </w:rPr>
        <w:t xml:space="preserve"> </w:t>
      </w:r>
      <w:proofErr w:type="spellStart"/>
      <w:r w:rsidRPr="00041E70">
        <w:rPr>
          <w:i/>
          <w:color w:val="000000"/>
        </w:rPr>
        <w:t>for</w:t>
      </w:r>
      <w:proofErr w:type="spellEnd"/>
      <w:r w:rsidRPr="00041E70">
        <w:rPr>
          <w:i/>
          <w:color w:val="000000"/>
        </w:rPr>
        <w:t xml:space="preserve"> </w:t>
      </w:r>
      <w:proofErr w:type="spellStart"/>
      <w:r w:rsidRPr="00041E70">
        <w:rPr>
          <w:i/>
          <w:color w:val="000000"/>
        </w:rPr>
        <w:t>Examination</w:t>
      </w:r>
      <w:proofErr w:type="spellEnd"/>
      <w:r w:rsidRPr="00041E70">
        <w:rPr>
          <w:color w:val="000000"/>
        </w:rPr>
        <w:t>” (Revisión del documento TGP/7</w:t>
      </w:r>
      <w:proofErr w:type="gramStart"/>
      <w:r w:rsidRPr="00041E70">
        <w:rPr>
          <w:color w:val="000000"/>
        </w:rPr>
        <w:t>:  Material</w:t>
      </w:r>
      <w:proofErr w:type="gramEnd"/>
      <w:r w:rsidRPr="00041E70">
        <w:rPr>
          <w:color w:val="000000"/>
        </w:rPr>
        <w:t xml:space="preserve"> vegetal presentado para el examen” y analizó las implicaciones de las solicitudes relativas a variedades de multiplicación vegetativa de una especie que habitualmente se reproduce por semilla.  Otro asunto de importancia para el TWV fue la utilización de caracteres de resistencia a las enfermedades en el examen DHE en lo que concierne al examen obligatorio de dichos caracteres. </w:t>
      </w:r>
    </w:p>
    <w:p w:rsidR="00833396" w:rsidRPr="00041E70" w:rsidRDefault="00833396" w:rsidP="00833396">
      <w:pPr>
        <w:keepNext/>
        <w:rPr>
          <w:color w:val="000000"/>
        </w:rPr>
      </w:pPr>
    </w:p>
    <w:p w:rsidR="00833396" w:rsidRPr="00041E70" w:rsidRDefault="00833396" w:rsidP="00833396">
      <w:pPr>
        <w:rPr>
          <w:color w:val="000000"/>
        </w:rPr>
      </w:pPr>
      <w:r w:rsidRPr="00041E70">
        <w:rPr>
          <w:color w:val="000000"/>
        </w:rPr>
        <w:fldChar w:fldCharType="begin"/>
      </w:r>
      <w:r w:rsidRPr="00041E70">
        <w:rPr>
          <w:color w:val="000000"/>
        </w:rPr>
        <w:instrText xml:space="preserve"> AUTONUM  </w:instrText>
      </w:r>
      <w:r w:rsidRPr="00041E70">
        <w:rPr>
          <w:color w:val="000000"/>
        </w:rPr>
        <w:fldChar w:fldCharType="end"/>
      </w:r>
      <w:r w:rsidRPr="00041E70">
        <w:rPr>
          <w:color w:val="000000"/>
        </w:rPr>
        <w:tab/>
        <w:t xml:space="preserve">Se ultimaron varias nuevas directrices de examen a fin de que se sometan al examen del TC;  a saber, las del acocote o </w:t>
      </w:r>
      <w:proofErr w:type="spellStart"/>
      <w:r w:rsidRPr="00041E70">
        <w:rPr>
          <w:color w:val="000000"/>
        </w:rPr>
        <w:t>cajombre</w:t>
      </w:r>
      <w:proofErr w:type="spellEnd"/>
      <w:r w:rsidRPr="00041E70">
        <w:rPr>
          <w:color w:val="000000"/>
        </w:rPr>
        <w:t xml:space="preserve"> (</w:t>
      </w:r>
      <w:proofErr w:type="spellStart"/>
      <w:r w:rsidRPr="00041E70">
        <w:rPr>
          <w:i/>
          <w:color w:val="000000"/>
        </w:rPr>
        <w:t>Lagenaria</w:t>
      </w:r>
      <w:proofErr w:type="spellEnd"/>
      <w:r w:rsidRPr="00041E70">
        <w:rPr>
          <w:i/>
          <w:color w:val="000000"/>
        </w:rPr>
        <w:t xml:space="preserve"> </w:t>
      </w:r>
      <w:proofErr w:type="spellStart"/>
      <w:r w:rsidRPr="00041E70">
        <w:rPr>
          <w:i/>
          <w:color w:val="000000"/>
        </w:rPr>
        <w:t>siceraria</w:t>
      </w:r>
      <w:proofErr w:type="spellEnd"/>
      <w:r w:rsidRPr="00041E70">
        <w:rPr>
          <w:color w:val="000000"/>
        </w:rPr>
        <w:t xml:space="preserve"> (Molina) </w:t>
      </w:r>
      <w:proofErr w:type="spellStart"/>
      <w:r w:rsidRPr="00041E70">
        <w:rPr>
          <w:color w:val="000000"/>
        </w:rPr>
        <w:t>Standl</w:t>
      </w:r>
      <w:proofErr w:type="spellEnd"/>
      <w:r w:rsidRPr="00041E70">
        <w:rPr>
          <w:color w:val="000000"/>
        </w:rPr>
        <w:t xml:space="preserve">.) y las de </w:t>
      </w:r>
      <w:proofErr w:type="spellStart"/>
      <w:r w:rsidRPr="00041E70">
        <w:rPr>
          <w:i/>
          <w:color w:val="000000" w:themeColor="text1"/>
        </w:rPr>
        <w:t>Cucurbita</w:t>
      </w:r>
      <w:proofErr w:type="spellEnd"/>
      <w:r w:rsidRPr="00041E70">
        <w:rPr>
          <w:i/>
          <w:color w:val="000000" w:themeColor="text1"/>
        </w:rPr>
        <w:t xml:space="preserve"> </w:t>
      </w:r>
      <w:proofErr w:type="spellStart"/>
      <w:r w:rsidRPr="00041E70">
        <w:rPr>
          <w:i/>
          <w:color w:val="000000" w:themeColor="text1"/>
        </w:rPr>
        <w:t>maxima</w:t>
      </w:r>
      <w:proofErr w:type="spellEnd"/>
      <w:r w:rsidRPr="00041E70">
        <w:rPr>
          <w:color w:val="000000"/>
        </w:rPr>
        <w:t xml:space="preserve"> × </w:t>
      </w:r>
      <w:proofErr w:type="spellStart"/>
      <w:r w:rsidRPr="00041E70">
        <w:rPr>
          <w:i/>
          <w:color w:val="000000" w:themeColor="text1"/>
        </w:rPr>
        <w:t>Cucurbita</w:t>
      </w:r>
      <w:proofErr w:type="spellEnd"/>
      <w:r w:rsidRPr="00041E70">
        <w:rPr>
          <w:i/>
          <w:color w:val="000000" w:themeColor="text1"/>
        </w:rPr>
        <w:t xml:space="preserve"> </w:t>
      </w:r>
      <w:proofErr w:type="spellStart"/>
      <w:r w:rsidRPr="00041E70">
        <w:rPr>
          <w:i/>
          <w:color w:val="000000" w:themeColor="text1"/>
        </w:rPr>
        <w:t>moschata</w:t>
      </w:r>
      <w:proofErr w:type="spellEnd"/>
      <w:r w:rsidRPr="00041E70">
        <w:rPr>
          <w:color w:val="000000"/>
        </w:rPr>
        <w:t xml:space="preserve">.  Ambas especies se emplean como </w:t>
      </w:r>
      <w:proofErr w:type="spellStart"/>
      <w:r w:rsidRPr="00041E70">
        <w:rPr>
          <w:color w:val="000000"/>
        </w:rPr>
        <w:t>portainjertos</w:t>
      </w:r>
      <w:proofErr w:type="spellEnd"/>
      <w:r w:rsidRPr="00041E70">
        <w:rPr>
          <w:color w:val="000000"/>
        </w:rPr>
        <w:t xml:space="preserve"> de variedades de multiplicación vegetativa.  También se ultimaron las directrices de examen de la mandioca (</w:t>
      </w:r>
      <w:proofErr w:type="spellStart"/>
      <w:r w:rsidRPr="00041E70">
        <w:rPr>
          <w:i/>
          <w:color w:val="000000"/>
        </w:rPr>
        <w:t>Manihot</w:t>
      </w:r>
      <w:proofErr w:type="spellEnd"/>
      <w:r w:rsidRPr="00041E70">
        <w:rPr>
          <w:i/>
          <w:color w:val="000000"/>
        </w:rPr>
        <w:t xml:space="preserve"> </w:t>
      </w:r>
      <w:proofErr w:type="spellStart"/>
      <w:r w:rsidRPr="00041E70">
        <w:rPr>
          <w:i/>
          <w:color w:val="000000"/>
        </w:rPr>
        <w:t>esculenta</w:t>
      </w:r>
      <w:proofErr w:type="spellEnd"/>
      <w:r w:rsidRPr="00041E70">
        <w:rPr>
          <w:color w:val="000000"/>
        </w:rPr>
        <w:t xml:space="preserve"> </w:t>
      </w:r>
      <w:proofErr w:type="spellStart"/>
      <w:r w:rsidRPr="00041E70">
        <w:rPr>
          <w:color w:val="000000"/>
        </w:rPr>
        <w:t>Crantz</w:t>
      </w:r>
      <w:proofErr w:type="spellEnd"/>
      <w:r w:rsidRPr="00041E70">
        <w:rPr>
          <w:color w:val="000000"/>
        </w:rPr>
        <w:t>.).</w:t>
      </w:r>
    </w:p>
    <w:p w:rsidR="00833396" w:rsidRPr="00041E70" w:rsidRDefault="00833396" w:rsidP="00833396">
      <w:pPr>
        <w:rPr>
          <w:color w:val="000000"/>
        </w:rPr>
      </w:pPr>
    </w:p>
    <w:p w:rsidR="00833396" w:rsidRPr="00041E70" w:rsidRDefault="00833396" w:rsidP="00833396">
      <w:pPr>
        <w:rPr>
          <w:color w:val="000000"/>
        </w:rPr>
      </w:pPr>
      <w:r w:rsidRPr="00041E70">
        <w:rPr>
          <w:color w:val="000000"/>
        </w:rPr>
        <w:fldChar w:fldCharType="begin"/>
      </w:r>
      <w:r w:rsidRPr="00041E70">
        <w:rPr>
          <w:color w:val="000000"/>
        </w:rPr>
        <w:instrText xml:space="preserve"> AUTONUM  </w:instrText>
      </w:r>
      <w:r w:rsidRPr="00041E70">
        <w:rPr>
          <w:color w:val="000000"/>
        </w:rPr>
        <w:fldChar w:fldCharType="end"/>
      </w:r>
      <w:r w:rsidRPr="00041E70">
        <w:rPr>
          <w:color w:val="000000"/>
        </w:rPr>
        <w:tab/>
        <w:t xml:space="preserve">Se acordaron revisiones parciales de las directrices de examen del pepino, la judía común, el </w:t>
      </w:r>
      <w:proofErr w:type="spellStart"/>
      <w:r w:rsidRPr="00041E70">
        <w:rPr>
          <w:color w:val="000000"/>
        </w:rPr>
        <w:t>shiitake</w:t>
      </w:r>
      <w:proofErr w:type="spellEnd"/>
      <w:r w:rsidRPr="00041E70">
        <w:rPr>
          <w:color w:val="000000"/>
        </w:rPr>
        <w:t xml:space="preserve">, la espinaca y varias especies de </w:t>
      </w:r>
      <w:proofErr w:type="spellStart"/>
      <w:r w:rsidRPr="00041E70">
        <w:rPr>
          <w:i/>
          <w:color w:val="000000"/>
        </w:rPr>
        <w:t>Brassica</w:t>
      </w:r>
      <w:proofErr w:type="spellEnd"/>
      <w:r w:rsidRPr="00041E70">
        <w:rPr>
          <w:color w:val="000000"/>
        </w:rPr>
        <w:t>.  También se completó la revisión de las directrices de examen de la lenteja.</w:t>
      </w:r>
    </w:p>
    <w:p w:rsidR="00833396" w:rsidRPr="00041E70" w:rsidRDefault="00833396" w:rsidP="00833396">
      <w:pPr>
        <w:rPr>
          <w:color w:val="000000"/>
        </w:rPr>
      </w:pPr>
    </w:p>
    <w:p w:rsidR="00833396" w:rsidRPr="00041E70" w:rsidRDefault="00833396" w:rsidP="00833396">
      <w:pPr>
        <w:rPr>
          <w:color w:val="000000"/>
        </w:rPr>
      </w:pPr>
      <w:r w:rsidRPr="00041E70">
        <w:rPr>
          <w:color w:val="000000"/>
        </w:rPr>
        <w:fldChar w:fldCharType="begin"/>
      </w:r>
      <w:r w:rsidRPr="00041E70">
        <w:rPr>
          <w:color w:val="000000"/>
        </w:rPr>
        <w:instrText xml:space="preserve"> AUTONUM  </w:instrText>
      </w:r>
      <w:r w:rsidRPr="00041E70">
        <w:rPr>
          <w:color w:val="000000"/>
        </w:rPr>
        <w:fldChar w:fldCharType="end"/>
      </w:r>
      <w:r w:rsidRPr="00041E70">
        <w:rPr>
          <w:color w:val="000000"/>
        </w:rPr>
        <w:tab/>
        <w:t xml:space="preserve">En la cuadragésima novena sesión está previsto examinar dos nuevas directrices de examen, seis revisiones y cuatro revisiones parciales. </w:t>
      </w:r>
    </w:p>
    <w:p w:rsidR="00833396" w:rsidRPr="00041E70" w:rsidRDefault="00833396" w:rsidP="00833396">
      <w:pPr>
        <w:rPr>
          <w:color w:val="000000"/>
        </w:rPr>
      </w:pPr>
    </w:p>
    <w:p w:rsidR="00833396" w:rsidRPr="00041E70" w:rsidRDefault="00833396" w:rsidP="00833396">
      <w:r w:rsidRPr="00041E70">
        <w:fldChar w:fldCharType="begin"/>
      </w:r>
      <w:r w:rsidRPr="00041E70">
        <w:instrText xml:space="preserve"> AUTONUM  </w:instrText>
      </w:r>
      <w:r w:rsidRPr="00041E70">
        <w:fldChar w:fldCharType="end"/>
      </w:r>
      <w:r w:rsidRPr="00041E70">
        <w:tab/>
        <w:t>Por invitación de la Unión Europea, el TWC convino en celebrar su siguiente sesión en Angers (Francia) del 15 de junio al 19 de julio de 2015, además de un taller preparatorio el 14 de junio de 2015.</w:t>
      </w:r>
    </w:p>
    <w:p w:rsidR="00833396" w:rsidRPr="00041E70" w:rsidRDefault="00833396" w:rsidP="00833396">
      <w:pPr>
        <w:rPr>
          <w:color w:val="000000"/>
        </w:rPr>
      </w:pPr>
    </w:p>
    <w:p w:rsidR="00833396" w:rsidRPr="00041E70" w:rsidRDefault="00833396" w:rsidP="00833396">
      <w:pPr>
        <w:keepNext/>
        <w:rPr>
          <w:color w:val="000000"/>
        </w:rPr>
      </w:pPr>
      <w:r w:rsidRPr="00041E70">
        <w:rPr>
          <w:color w:val="000000"/>
        </w:rPr>
        <w:fldChar w:fldCharType="begin"/>
      </w:r>
      <w:r w:rsidRPr="00041E70">
        <w:rPr>
          <w:color w:val="000000"/>
        </w:rPr>
        <w:instrText xml:space="preserve"> AUTONUM  </w:instrText>
      </w:r>
      <w:r w:rsidRPr="00041E70">
        <w:rPr>
          <w:color w:val="000000"/>
        </w:rPr>
        <w:fldChar w:fldCharType="end"/>
      </w:r>
      <w:r w:rsidRPr="00041E70">
        <w:rPr>
          <w:color w:val="000000"/>
        </w:rPr>
        <w:tab/>
      </w:r>
      <w:r w:rsidRPr="00041E70">
        <w:t>El TWV propuso examinar los siguientes puntos en su próxima sesión:</w:t>
      </w:r>
    </w:p>
    <w:p w:rsidR="00833396" w:rsidRPr="00041E70" w:rsidRDefault="00833396" w:rsidP="00833396">
      <w:pPr>
        <w:keepNext/>
        <w:rPr>
          <w:color w:val="000000"/>
        </w:rPr>
      </w:pPr>
    </w:p>
    <w:p w:rsidR="00833396" w:rsidRPr="00041E70" w:rsidRDefault="00833396" w:rsidP="00833396">
      <w:pPr>
        <w:numPr>
          <w:ilvl w:val="0"/>
          <w:numId w:val="19"/>
        </w:numPr>
        <w:tabs>
          <w:tab w:val="clear" w:pos="360"/>
          <w:tab w:val="num" w:pos="927"/>
        </w:tabs>
        <w:spacing w:before="20" w:afterLines="20" w:after="48"/>
        <w:ind w:left="927"/>
      </w:pPr>
      <w:r w:rsidRPr="00041E70">
        <w:t>Apertura de la sesión</w:t>
      </w:r>
    </w:p>
    <w:p w:rsidR="00833396" w:rsidRPr="00041E70" w:rsidRDefault="00833396" w:rsidP="00833396">
      <w:pPr>
        <w:numPr>
          <w:ilvl w:val="0"/>
          <w:numId w:val="19"/>
        </w:numPr>
        <w:tabs>
          <w:tab w:val="clear" w:pos="360"/>
          <w:tab w:val="num" w:pos="927"/>
        </w:tabs>
        <w:spacing w:before="20" w:afterLines="20" w:after="48"/>
        <w:ind w:left="927"/>
      </w:pPr>
      <w:r w:rsidRPr="00041E70">
        <w:t>Aprobación del orden del día</w:t>
      </w:r>
    </w:p>
    <w:p w:rsidR="00833396" w:rsidRPr="00041E70" w:rsidRDefault="00833396" w:rsidP="00833396">
      <w:pPr>
        <w:numPr>
          <w:ilvl w:val="0"/>
          <w:numId w:val="19"/>
        </w:numPr>
        <w:tabs>
          <w:tab w:val="clear" w:pos="360"/>
          <w:tab w:val="num" w:pos="927"/>
        </w:tabs>
        <w:spacing w:before="20" w:afterLines="20" w:after="48"/>
        <w:ind w:left="927"/>
      </w:pPr>
      <w:r w:rsidRPr="00041E70">
        <w:t>Breves informes sobre los avances logrados en la protección de las variedades vegetales</w:t>
      </w:r>
    </w:p>
    <w:p w:rsidR="00833396" w:rsidRPr="00041E70" w:rsidRDefault="00833396" w:rsidP="00833396">
      <w:pPr>
        <w:numPr>
          <w:ilvl w:val="0"/>
          <w:numId w:val="20"/>
        </w:numPr>
        <w:tabs>
          <w:tab w:val="clear" w:pos="360"/>
          <w:tab w:val="num" w:pos="1134"/>
          <w:tab w:val="num" w:pos="1701"/>
        </w:tabs>
        <w:spacing w:before="20" w:afterLines="20" w:after="48"/>
        <w:ind w:left="1134" w:firstLine="0"/>
      </w:pPr>
      <w:r w:rsidRPr="00041E70">
        <w:t xml:space="preserve">Informes de miembros y observadores </w:t>
      </w:r>
    </w:p>
    <w:p w:rsidR="00833396" w:rsidRPr="00041E70" w:rsidRDefault="00833396" w:rsidP="00833396">
      <w:pPr>
        <w:numPr>
          <w:ilvl w:val="0"/>
          <w:numId w:val="20"/>
        </w:numPr>
        <w:tabs>
          <w:tab w:val="clear" w:pos="360"/>
          <w:tab w:val="num" w:pos="1134"/>
          <w:tab w:val="num" w:pos="1701"/>
        </w:tabs>
        <w:spacing w:before="20" w:afterLines="20" w:after="48"/>
        <w:ind w:left="1134" w:firstLine="0"/>
      </w:pPr>
      <w:r w:rsidRPr="00041E70">
        <w:t xml:space="preserve">Informes sobre los avances logrados en la UPOV; </w:t>
      </w:r>
    </w:p>
    <w:p w:rsidR="00833396" w:rsidRPr="00041E70" w:rsidRDefault="00833396" w:rsidP="00833396">
      <w:pPr>
        <w:numPr>
          <w:ilvl w:val="0"/>
          <w:numId w:val="19"/>
        </w:numPr>
        <w:tabs>
          <w:tab w:val="clear" w:pos="360"/>
        </w:tabs>
        <w:spacing w:before="20" w:afterLines="20" w:after="48"/>
        <w:ind w:left="1134" w:hanging="567"/>
      </w:pPr>
      <w:r w:rsidRPr="00041E70">
        <w:t xml:space="preserve">Técnicas moleculares </w:t>
      </w:r>
    </w:p>
    <w:p w:rsidR="00833396" w:rsidRPr="00041E70" w:rsidRDefault="00833396" w:rsidP="00833396">
      <w:pPr>
        <w:numPr>
          <w:ilvl w:val="0"/>
          <w:numId w:val="48"/>
        </w:numPr>
        <w:tabs>
          <w:tab w:val="left" w:pos="1701"/>
        </w:tabs>
        <w:spacing w:before="20" w:afterLines="20" w:after="48"/>
        <w:ind w:left="1701" w:hanging="567"/>
      </w:pPr>
      <w:r w:rsidRPr="00041E70">
        <w:t xml:space="preserve">Novedades acaecidas en la UPOV </w:t>
      </w:r>
    </w:p>
    <w:p w:rsidR="00833396" w:rsidRPr="00041E70" w:rsidRDefault="00833396" w:rsidP="00833396">
      <w:pPr>
        <w:numPr>
          <w:ilvl w:val="0"/>
          <w:numId w:val="48"/>
        </w:numPr>
        <w:tabs>
          <w:tab w:val="left" w:pos="1701"/>
        </w:tabs>
        <w:spacing w:before="20" w:afterLines="20" w:after="48"/>
        <w:ind w:left="1701" w:hanging="567"/>
      </w:pPr>
      <w:r w:rsidRPr="00041E70">
        <w:t xml:space="preserve">Ponencia sobre la utilización de técnicas moleculares en el examen DHE </w:t>
      </w:r>
    </w:p>
    <w:p w:rsidR="00833396" w:rsidRPr="00041E70" w:rsidRDefault="00833396" w:rsidP="00833396">
      <w:pPr>
        <w:numPr>
          <w:ilvl w:val="0"/>
          <w:numId w:val="19"/>
        </w:numPr>
        <w:tabs>
          <w:tab w:val="clear" w:pos="360"/>
        </w:tabs>
        <w:spacing w:before="20" w:afterLines="20" w:after="48"/>
        <w:ind w:left="1134" w:hanging="567"/>
      </w:pPr>
      <w:r w:rsidRPr="00041E70">
        <w:t xml:space="preserve">Documentos TGP </w:t>
      </w:r>
    </w:p>
    <w:p w:rsidR="00833396" w:rsidRPr="00041E70" w:rsidRDefault="00833396" w:rsidP="00833396">
      <w:pPr>
        <w:numPr>
          <w:ilvl w:val="0"/>
          <w:numId w:val="19"/>
        </w:numPr>
        <w:tabs>
          <w:tab w:val="clear" w:pos="360"/>
        </w:tabs>
        <w:spacing w:before="20" w:afterLines="20" w:after="48"/>
        <w:ind w:left="1134" w:hanging="567"/>
      </w:pPr>
      <w:r w:rsidRPr="00041E70">
        <w:t xml:space="preserve">Denominaciones de variedades </w:t>
      </w:r>
    </w:p>
    <w:p w:rsidR="00833396" w:rsidRPr="00041E70" w:rsidRDefault="00833396" w:rsidP="00833396">
      <w:pPr>
        <w:numPr>
          <w:ilvl w:val="0"/>
          <w:numId w:val="19"/>
        </w:numPr>
        <w:tabs>
          <w:tab w:val="clear" w:pos="360"/>
        </w:tabs>
        <w:spacing w:before="20" w:afterLines="20" w:after="48"/>
        <w:ind w:left="1134" w:hanging="567"/>
      </w:pPr>
      <w:r w:rsidRPr="00041E70">
        <w:t>Bases de datos y de información</w:t>
      </w:r>
    </w:p>
    <w:p w:rsidR="00833396" w:rsidRPr="00041E70" w:rsidRDefault="00833396" w:rsidP="00833396">
      <w:pPr>
        <w:numPr>
          <w:ilvl w:val="0"/>
          <w:numId w:val="24"/>
        </w:numPr>
        <w:tabs>
          <w:tab w:val="clear" w:pos="360"/>
        </w:tabs>
        <w:spacing w:before="20" w:afterLines="20" w:after="48"/>
        <w:ind w:left="720" w:firstLine="414"/>
      </w:pPr>
      <w:r w:rsidRPr="00041E70">
        <w:t xml:space="preserve">Bases de datos de información de la UPOV </w:t>
      </w:r>
    </w:p>
    <w:p w:rsidR="00833396" w:rsidRPr="00041E70" w:rsidRDefault="00833396" w:rsidP="00833396">
      <w:pPr>
        <w:numPr>
          <w:ilvl w:val="0"/>
          <w:numId w:val="24"/>
        </w:numPr>
        <w:tabs>
          <w:tab w:val="clear" w:pos="360"/>
          <w:tab w:val="num" w:pos="1134"/>
          <w:tab w:val="num" w:pos="1701"/>
        </w:tabs>
        <w:spacing w:before="20" w:afterLines="20" w:after="48"/>
        <w:ind w:left="1134" w:firstLine="0"/>
      </w:pPr>
      <w:r w:rsidRPr="00041E70">
        <w:t xml:space="preserve">Bases de datos de descripciones de variedades </w:t>
      </w:r>
    </w:p>
    <w:p w:rsidR="00833396" w:rsidRPr="00041E70" w:rsidRDefault="00833396" w:rsidP="00833396">
      <w:pPr>
        <w:numPr>
          <w:ilvl w:val="0"/>
          <w:numId w:val="24"/>
        </w:numPr>
        <w:tabs>
          <w:tab w:val="clear" w:pos="360"/>
          <w:tab w:val="num" w:pos="1134"/>
          <w:tab w:val="num" w:pos="1701"/>
        </w:tabs>
        <w:spacing w:before="20" w:afterLines="20" w:after="48"/>
        <w:ind w:left="1134" w:firstLine="0"/>
      </w:pPr>
      <w:r w:rsidRPr="00041E70">
        <w:t xml:space="preserve">Programas informáticos para intercambio </w:t>
      </w:r>
    </w:p>
    <w:p w:rsidR="00833396" w:rsidRPr="00041E70" w:rsidRDefault="00833396" w:rsidP="00833396">
      <w:pPr>
        <w:numPr>
          <w:ilvl w:val="0"/>
          <w:numId w:val="24"/>
        </w:numPr>
        <w:tabs>
          <w:tab w:val="clear" w:pos="360"/>
          <w:tab w:val="num" w:pos="1134"/>
          <w:tab w:val="num" w:pos="1701"/>
        </w:tabs>
        <w:spacing w:before="20" w:afterLines="20" w:after="48"/>
        <w:ind w:left="1134" w:firstLine="0"/>
      </w:pPr>
      <w:r w:rsidRPr="00041E70">
        <w:t xml:space="preserve">sistemas de presentación electrónica de solicitudes </w:t>
      </w:r>
    </w:p>
    <w:p w:rsidR="00833396" w:rsidRPr="00041E70" w:rsidRDefault="00833396" w:rsidP="00833396">
      <w:pPr>
        <w:numPr>
          <w:ilvl w:val="0"/>
          <w:numId w:val="19"/>
        </w:numPr>
        <w:tabs>
          <w:tab w:val="clear" w:pos="360"/>
        </w:tabs>
        <w:spacing w:before="20" w:afterLines="20" w:after="48"/>
        <w:ind w:left="1134" w:hanging="567"/>
      </w:pPr>
      <w:r w:rsidRPr="00041E70">
        <w:t xml:space="preserve">Evaluación de la homogeneidad  </w:t>
      </w:r>
    </w:p>
    <w:p w:rsidR="00833396" w:rsidRPr="00041E70" w:rsidRDefault="00833396" w:rsidP="00833396">
      <w:pPr>
        <w:numPr>
          <w:ilvl w:val="0"/>
          <w:numId w:val="19"/>
        </w:numPr>
        <w:tabs>
          <w:tab w:val="clear" w:pos="360"/>
        </w:tabs>
        <w:spacing w:before="20" w:afterLines="20" w:after="48"/>
        <w:ind w:left="1134" w:hanging="567"/>
      </w:pPr>
      <w:r w:rsidRPr="00041E70">
        <w:t xml:space="preserve">Gestión de las colecciones de referencia </w:t>
      </w:r>
    </w:p>
    <w:p w:rsidR="00833396" w:rsidRPr="00041E70" w:rsidRDefault="00833396" w:rsidP="00833396">
      <w:pPr>
        <w:numPr>
          <w:ilvl w:val="0"/>
          <w:numId w:val="19"/>
        </w:numPr>
        <w:tabs>
          <w:tab w:val="clear" w:pos="360"/>
        </w:tabs>
        <w:spacing w:before="20" w:afterLines="20" w:after="48"/>
        <w:ind w:left="1134" w:hanging="567"/>
      </w:pPr>
      <w:r w:rsidRPr="00041E70">
        <w:t xml:space="preserve">Nuevas cuestiones que se plantean en relación con el examen DHE </w:t>
      </w:r>
    </w:p>
    <w:p w:rsidR="00833396" w:rsidRPr="00041E70" w:rsidRDefault="00833396" w:rsidP="00833396">
      <w:pPr>
        <w:numPr>
          <w:ilvl w:val="0"/>
          <w:numId w:val="19"/>
        </w:numPr>
        <w:tabs>
          <w:tab w:val="clear" w:pos="360"/>
        </w:tabs>
        <w:spacing w:before="20" w:afterLines="20" w:after="48"/>
        <w:ind w:left="1134" w:hanging="567"/>
      </w:pPr>
      <w:r w:rsidRPr="00041E70">
        <w:t xml:space="preserve">Utilización de caracteres de resistencia a las enfermedades en el examen DHE </w:t>
      </w:r>
    </w:p>
    <w:p w:rsidR="00833396" w:rsidRPr="00041E70" w:rsidRDefault="00833396" w:rsidP="00833396">
      <w:pPr>
        <w:numPr>
          <w:ilvl w:val="0"/>
          <w:numId w:val="19"/>
        </w:numPr>
        <w:tabs>
          <w:tab w:val="clear" w:pos="360"/>
        </w:tabs>
        <w:spacing w:before="20" w:afterLines="20" w:after="48"/>
        <w:ind w:left="1134" w:hanging="567"/>
      </w:pPr>
      <w:r w:rsidRPr="00041E70">
        <w:t>Cuestiones por resolver en lo que respecta a directrices de examen aprobadas por el Comité Técnico (en su caso)</w:t>
      </w:r>
    </w:p>
    <w:p w:rsidR="00833396" w:rsidRPr="00041E70" w:rsidRDefault="00833396" w:rsidP="00833396">
      <w:pPr>
        <w:numPr>
          <w:ilvl w:val="0"/>
          <w:numId w:val="19"/>
        </w:numPr>
        <w:tabs>
          <w:tab w:val="clear" w:pos="360"/>
        </w:tabs>
        <w:spacing w:before="20" w:afterLines="20" w:after="48"/>
        <w:ind w:left="1134" w:hanging="567"/>
      </w:pPr>
      <w:r w:rsidRPr="00041E70">
        <w:t>Debates sobre proyectos de directrices de examen (subgrupos)</w:t>
      </w:r>
    </w:p>
    <w:p w:rsidR="00833396" w:rsidRPr="00041E70" w:rsidRDefault="00833396" w:rsidP="00833396">
      <w:pPr>
        <w:numPr>
          <w:ilvl w:val="0"/>
          <w:numId w:val="19"/>
        </w:numPr>
        <w:tabs>
          <w:tab w:val="clear" w:pos="360"/>
        </w:tabs>
        <w:spacing w:before="20" w:afterLines="20" w:after="48"/>
        <w:ind w:left="1134" w:hanging="567"/>
      </w:pPr>
      <w:r w:rsidRPr="00041E70">
        <w:t>Recomendaciones sobre proyectos de directrices de examen</w:t>
      </w:r>
    </w:p>
    <w:p w:rsidR="00833396" w:rsidRPr="00041E70" w:rsidRDefault="00833396" w:rsidP="00833396">
      <w:pPr>
        <w:numPr>
          <w:ilvl w:val="0"/>
          <w:numId w:val="19"/>
        </w:numPr>
        <w:tabs>
          <w:tab w:val="clear" w:pos="360"/>
        </w:tabs>
        <w:spacing w:before="20" w:afterLines="20" w:after="48"/>
        <w:ind w:left="1134" w:hanging="567"/>
      </w:pPr>
      <w:r w:rsidRPr="00041E70">
        <w:t>Guía para los redactores de directrices de examen</w:t>
      </w:r>
    </w:p>
    <w:p w:rsidR="00833396" w:rsidRPr="00041E70" w:rsidRDefault="00833396" w:rsidP="00833396">
      <w:pPr>
        <w:numPr>
          <w:ilvl w:val="0"/>
          <w:numId w:val="19"/>
        </w:numPr>
        <w:tabs>
          <w:tab w:val="clear" w:pos="360"/>
        </w:tabs>
        <w:spacing w:before="20" w:afterLines="20" w:after="48"/>
        <w:ind w:left="1134" w:hanging="567"/>
      </w:pPr>
      <w:r w:rsidRPr="00041E70">
        <w:t>Fecha y lugar de la siguiente reunión</w:t>
      </w:r>
    </w:p>
    <w:p w:rsidR="00833396" w:rsidRPr="00041E70" w:rsidRDefault="00833396" w:rsidP="00833396">
      <w:pPr>
        <w:numPr>
          <w:ilvl w:val="0"/>
          <w:numId w:val="19"/>
        </w:numPr>
        <w:tabs>
          <w:tab w:val="clear" w:pos="360"/>
        </w:tabs>
        <w:spacing w:before="20" w:afterLines="20" w:after="48"/>
        <w:ind w:left="1134" w:hanging="567"/>
      </w:pPr>
      <w:r w:rsidRPr="00041E70">
        <w:t>Futuro programa</w:t>
      </w:r>
    </w:p>
    <w:p w:rsidR="00833396" w:rsidRPr="00041E70" w:rsidRDefault="00833396" w:rsidP="00833396">
      <w:pPr>
        <w:numPr>
          <w:ilvl w:val="0"/>
          <w:numId w:val="19"/>
        </w:numPr>
        <w:tabs>
          <w:tab w:val="clear" w:pos="360"/>
        </w:tabs>
        <w:spacing w:before="20" w:afterLines="20" w:after="48"/>
        <w:ind w:left="1134" w:hanging="567"/>
      </w:pPr>
      <w:r w:rsidRPr="00041E70">
        <w:t>Informe de la reunión (si se dispone de tiempo suficiente)</w:t>
      </w:r>
    </w:p>
    <w:p w:rsidR="00833396" w:rsidRPr="00041E70" w:rsidRDefault="00833396" w:rsidP="00833396">
      <w:pPr>
        <w:numPr>
          <w:ilvl w:val="0"/>
          <w:numId w:val="19"/>
        </w:numPr>
        <w:tabs>
          <w:tab w:val="clear" w:pos="360"/>
        </w:tabs>
        <w:spacing w:before="20" w:afterLines="20" w:after="48"/>
        <w:ind w:left="1134" w:hanging="567"/>
      </w:pPr>
      <w:r w:rsidRPr="00041E70">
        <w:t>Clausura de la reunión</w:t>
      </w:r>
    </w:p>
    <w:p w:rsidR="00833396" w:rsidRPr="00041E70" w:rsidRDefault="00833396" w:rsidP="00833396"/>
    <w:p w:rsidR="00833396" w:rsidRPr="00041E70" w:rsidRDefault="00833396" w:rsidP="00833396"/>
    <w:p w:rsidR="00833396" w:rsidRPr="00041E70" w:rsidRDefault="00833396" w:rsidP="00041E70">
      <w:pPr>
        <w:pStyle w:val="Heading2"/>
      </w:pPr>
      <w:bookmarkStart w:id="63" w:name="_Toc429150789"/>
      <w:r w:rsidRPr="00041E70">
        <w:t>Grupo de Trabajo sobre Técnicas Bioquímicas y Moleculares y Perfiles de ADN en particular</w:t>
      </w:r>
      <w:r w:rsidR="00041E70">
        <w:t xml:space="preserve"> (BMT)</w:t>
      </w:r>
      <w:bookmarkEnd w:id="63"/>
    </w:p>
    <w:p w:rsidR="00833396" w:rsidRPr="00041E70" w:rsidRDefault="00833396" w:rsidP="00833396"/>
    <w:p w:rsidR="00833396" w:rsidRPr="00041E70" w:rsidRDefault="00833396" w:rsidP="00833396">
      <w:r w:rsidRPr="00041E70">
        <w:fldChar w:fldCharType="begin"/>
      </w:r>
      <w:r w:rsidRPr="00041E70">
        <w:instrText xml:space="preserve"> AUTONUM  </w:instrText>
      </w:r>
      <w:r w:rsidRPr="00041E70">
        <w:fldChar w:fldCharType="end"/>
      </w:r>
      <w:r w:rsidRPr="00041E70">
        <w:tab/>
        <w:t xml:space="preserve">El BMT celebró su décima reunión en Seúl (República de Corea) del 10 al 13 de noviembre de 2014.  El BMT fue recibido por el </w:t>
      </w:r>
      <w:r w:rsidRPr="00041E70">
        <w:rPr>
          <w:lang w:eastAsia="ja-JP"/>
        </w:rPr>
        <w:t>Sr. </w:t>
      </w:r>
      <w:proofErr w:type="spellStart"/>
      <w:r w:rsidRPr="00041E70">
        <w:rPr>
          <w:lang w:eastAsia="ja-JP"/>
        </w:rPr>
        <w:t>Hyun</w:t>
      </w:r>
      <w:proofErr w:type="spellEnd"/>
      <w:r w:rsidRPr="00041E70">
        <w:rPr>
          <w:lang w:eastAsia="ja-JP"/>
        </w:rPr>
        <w:t xml:space="preserve"> </w:t>
      </w:r>
      <w:proofErr w:type="spellStart"/>
      <w:r w:rsidRPr="00041E70">
        <w:rPr>
          <w:lang w:eastAsia="ja-JP"/>
        </w:rPr>
        <w:t>Kwan</w:t>
      </w:r>
      <w:proofErr w:type="spellEnd"/>
      <w:r w:rsidRPr="00041E70">
        <w:rPr>
          <w:lang w:eastAsia="ja-JP"/>
        </w:rPr>
        <w:t xml:space="preserve"> </w:t>
      </w:r>
      <w:proofErr w:type="spellStart"/>
      <w:r w:rsidRPr="00041E70">
        <w:rPr>
          <w:lang w:eastAsia="ja-JP"/>
        </w:rPr>
        <w:t>Shin</w:t>
      </w:r>
      <w:proofErr w:type="spellEnd"/>
      <w:r w:rsidRPr="00041E70">
        <w:rPr>
          <w:lang w:eastAsia="ja-JP"/>
        </w:rPr>
        <w:t xml:space="preserve">, Director General del Servicio de Semillas y Variedades de Corea (KSVS), y asistió a una presentación sobre la </w:t>
      </w:r>
      <w:r w:rsidRPr="00041E70">
        <w:t xml:space="preserve">protección de las obtenciones vegetales </w:t>
      </w:r>
      <w:r w:rsidRPr="00041E70">
        <w:rPr>
          <w:lang w:eastAsia="ja-JP"/>
        </w:rPr>
        <w:t>en la República de Corea a cargo del Sr. </w:t>
      </w:r>
      <w:proofErr w:type="spellStart"/>
      <w:r w:rsidRPr="00041E70">
        <w:rPr>
          <w:lang w:eastAsia="ja-JP"/>
        </w:rPr>
        <w:t>Moo</w:t>
      </w:r>
      <w:proofErr w:type="spellEnd"/>
      <w:r w:rsidRPr="00041E70">
        <w:rPr>
          <w:lang w:eastAsia="ja-JP"/>
        </w:rPr>
        <w:t xml:space="preserve"> </w:t>
      </w:r>
      <w:proofErr w:type="spellStart"/>
      <w:r w:rsidRPr="00041E70">
        <w:rPr>
          <w:lang w:eastAsia="ja-JP"/>
        </w:rPr>
        <w:t>Kyung</w:t>
      </w:r>
      <w:proofErr w:type="spellEnd"/>
      <w:r w:rsidRPr="00041E70">
        <w:rPr>
          <w:lang w:eastAsia="ja-JP"/>
        </w:rPr>
        <w:t xml:space="preserve"> </w:t>
      </w:r>
      <w:proofErr w:type="spellStart"/>
      <w:r w:rsidRPr="00041E70">
        <w:rPr>
          <w:lang w:eastAsia="ja-JP"/>
        </w:rPr>
        <w:t>Yoon</w:t>
      </w:r>
      <w:proofErr w:type="spellEnd"/>
      <w:r w:rsidRPr="00041E70">
        <w:rPr>
          <w:lang w:eastAsia="ja-JP"/>
        </w:rPr>
        <w:t xml:space="preserve">, Director </w:t>
      </w:r>
      <w:r w:rsidRPr="00041E70">
        <w:t>de la División de Protección de las Obtenciones Vegetales del KSVS.  Inauguró la sesión el Sr. Alejandro F. Barrientos Priego (</w:t>
      </w:r>
      <w:r w:rsidRPr="00041E70">
        <w:rPr>
          <w:lang w:eastAsia="ja-JP"/>
        </w:rPr>
        <w:t>México</w:t>
      </w:r>
      <w:r w:rsidRPr="00041E70">
        <w:t xml:space="preserve">), Presidente del BMT. </w:t>
      </w:r>
    </w:p>
    <w:p w:rsidR="00833396" w:rsidRPr="00041E70" w:rsidRDefault="00833396" w:rsidP="00833396"/>
    <w:p w:rsidR="00833396" w:rsidRPr="00041E70" w:rsidRDefault="00833396" w:rsidP="00833396">
      <w:r w:rsidRPr="00041E70">
        <w:fldChar w:fldCharType="begin"/>
      </w:r>
      <w:r w:rsidRPr="00041E70">
        <w:instrText xml:space="preserve"> AUTONUM  </w:instrText>
      </w:r>
      <w:r w:rsidRPr="00041E70">
        <w:fldChar w:fldCharType="end"/>
      </w:r>
      <w:r w:rsidRPr="00041E70">
        <w:tab/>
        <w:t xml:space="preserve">El 9 de noviembre de 2014 se celebró un taller preparatorio al que asistieron 20 participantes de siete miembros de la Unión, un Estado en calidad de observador y una organización en calidad de observadora.  La sesión del BMT contó con 44 participantes de 10 miembros de la Unión, un Estado en calidad de observador y cinco organizaciones en calidad de observadoras. </w:t>
      </w:r>
    </w:p>
    <w:p w:rsidR="00833396" w:rsidRPr="00041E70" w:rsidRDefault="00833396" w:rsidP="00833396"/>
    <w:p w:rsidR="00833396" w:rsidRPr="00041E70" w:rsidRDefault="00833396" w:rsidP="00833396">
      <w:r w:rsidRPr="00041E70">
        <w:fldChar w:fldCharType="begin"/>
      </w:r>
      <w:r w:rsidRPr="00041E70">
        <w:instrText xml:space="preserve"> AUTONUM  </w:instrText>
      </w:r>
      <w:r w:rsidRPr="00041E70">
        <w:fldChar w:fldCharType="end"/>
      </w:r>
      <w:r w:rsidRPr="00041E70">
        <w:tab/>
        <w:t>El BMT asistió a las siguientes ponencias sobre los avances en las técnicas bioquímicas y moleculares a cargo de expertos en el examen DHE, especialistas en técnicas bioquímicas y moleculares, y obtentores y organizaciones internacionales pertinentes</w:t>
      </w:r>
    </w:p>
    <w:p w:rsidR="00833396" w:rsidRPr="00041E70" w:rsidRDefault="00833396" w:rsidP="00833396"/>
    <w:p w:rsidR="00833396" w:rsidRPr="00041E70" w:rsidRDefault="00833396" w:rsidP="00833396">
      <w:pPr>
        <w:pStyle w:val="ListParagraph"/>
        <w:numPr>
          <w:ilvl w:val="0"/>
          <w:numId w:val="27"/>
        </w:numPr>
        <w:ind w:left="1134" w:hanging="567"/>
      </w:pPr>
      <w:r w:rsidRPr="00041E70">
        <w:t xml:space="preserve">Utilización de variedades de referencia en la distinción de variedades: un método en investigación en los Estados Unidos de América para su posible aplicación en la protección de las obtenciones vegetales </w:t>
      </w:r>
    </w:p>
    <w:p w:rsidR="00833396" w:rsidRPr="00041E70" w:rsidRDefault="00833396" w:rsidP="00833396">
      <w:pPr>
        <w:pStyle w:val="ListParagraph"/>
        <w:numPr>
          <w:ilvl w:val="0"/>
          <w:numId w:val="27"/>
        </w:numPr>
        <w:ind w:left="1134" w:hanging="567"/>
        <w:rPr>
          <w:iCs/>
          <w:lang w:eastAsia="ja-JP"/>
        </w:rPr>
      </w:pPr>
      <w:r w:rsidRPr="00041E70">
        <w:rPr>
          <w:iCs/>
          <w:lang w:eastAsia="ja-JP"/>
        </w:rPr>
        <w:t>Identificación de variedades de arroz usando marcadores génicos para tres caracteres del examen DHE</w:t>
      </w:r>
    </w:p>
    <w:p w:rsidR="00833396" w:rsidRPr="00041E70" w:rsidRDefault="00833396" w:rsidP="00833396">
      <w:pPr>
        <w:pStyle w:val="ListParagraph"/>
        <w:numPr>
          <w:ilvl w:val="0"/>
          <w:numId w:val="27"/>
        </w:numPr>
        <w:ind w:left="1134" w:hanging="567"/>
        <w:rPr>
          <w:iCs/>
          <w:lang w:eastAsia="ja-JP"/>
        </w:rPr>
      </w:pPr>
      <w:r w:rsidRPr="00041E70">
        <w:rPr>
          <w:iCs/>
          <w:lang w:eastAsia="ja-JP"/>
        </w:rPr>
        <w:t>Utilización de marcadores moleculares (SNP) para el examen DHE del maíz</w:t>
      </w:r>
    </w:p>
    <w:p w:rsidR="00833396" w:rsidRPr="00041E70" w:rsidRDefault="00833396" w:rsidP="00833396">
      <w:pPr>
        <w:pStyle w:val="ListParagraph"/>
        <w:numPr>
          <w:ilvl w:val="0"/>
          <w:numId w:val="27"/>
        </w:numPr>
        <w:ind w:left="1134" w:hanging="567"/>
      </w:pPr>
      <w:r w:rsidRPr="00041E70">
        <w:t xml:space="preserve">Posibles usos de los marcadores moleculares en la gestión de variedades de rosa para el sistema de protección de las obtenciones vegetales </w:t>
      </w:r>
    </w:p>
    <w:p w:rsidR="00833396" w:rsidRPr="00041E70" w:rsidRDefault="00833396" w:rsidP="00833396">
      <w:pPr>
        <w:pStyle w:val="ListParagraph"/>
        <w:numPr>
          <w:ilvl w:val="0"/>
          <w:numId w:val="27"/>
        </w:numPr>
        <w:ind w:left="1134" w:hanging="567"/>
      </w:pPr>
      <w:r w:rsidRPr="00041E70">
        <w:t xml:space="preserve">Desarrollo de marcadores EST-SSR de la lechuga e identificación de variedades mediante marcadores EST-SSR </w:t>
      </w:r>
    </w:p>
    <w:p w:rsidR="00833396" w:rsidRPr="00041E70" w:rsidRDefault="00833396" w:rsidP="00833396">
      <w:pPr>
        <w:pStyle w:val="ListParagraph"/>
        <w:numPr>
          <w:ilvl w:val="0"/>
          <w:numId w:val="27"/>
        </w:numPr>
        <w:ind w:left="1134" w:hanging="567"/>
      </w:pPr>
      <w:r w:rsidRPr="00041E70">
        <w:t xml:space="preserve">Elaboración de una base de datos de perfiles de ADN de variedades de fresa usando marcadores SSR </w:t>
      </w:r>
    </w:p>
    <w:p w:rsidR="00833396" w:rsidRPr="00041E70" w:rsidRDefault="00833396" w:rsidP="00833396">
      <w:pPr>
        <w:pStyle w:val="ListParagraph"/>
        <w:numPr>
          <w:ilvl w:val="0"/>
          <w:numId w:val="27"/>
        </w:numPr>
        <w:ind w:left="1134" w:hanging="567"/>
      </w:pPr>
      <w:r w:rsidRPr="00041E70">
        <w:t>Uso de técnicas basadas en marcadores moleculares para la selección de “variedades similares” a una “variedad candidata”</w:t>
      </w:r>
    </w:p>
    <w:p w:rsidR="00833396" w:rsidRPr="00041E70" w:rsidRDefault="00833396" w:rsidP="00833396">
      <w:pPr>
        <w:pStyle w:val="ListParagraph"/>
        <w:numPr>
          <w:ilvl w:val="0"/>
          <w:numId w:val="27"/>
        </w:numPr>
        <w:ind w:left="1134" w:hanging="567"/>
      </w:pPr>
      <w:r w:rsidRPr="00041E70">
        <w:t xml:space="preserve">Mejora de la eficiencia del examen DHE del ballico perenne combinando las distancias morfológicas y moleculares entre variedades </w:t>
      </w:r>
    </w:p>
    <w:p w:rsidR="00833396" w:rsidRPr="00041E70" w:rsidRDefault="00833396" w:rsidP="00833396">
      <w:pPr>
        <w:pStyle w:val="ListParagraph"/>
        <w:numPr>
          <w:ilvl w:val="0"/>
          <w:numId w:val="27"/>
        </w:numPr>
        <w:ind w:left="1134" w:hanging="567"/>
        <w:rPr>
          <w:lang w:eastAsia="ja-JP"/>
        </w:rPr>
      </w:pPr>
      <w:r w:rsidRPr="00041E70">
        <w:rPr>
          <w:lang w:eastAsia="ja-JP"/>
        </w:rPr>
        <w:t xml:space="preserve">Base de datos europea de la papa/patata como compilación centralizada de variedades notoriamente conocidas (documento BMT/14/18 y BMT/14/18 </w:t>
      </w:r>
      <w:proofErr w:type="spellStart"/>
      <w:r w:rsidRPr="00041E70">
        <w:rPr>
          <w:lang w:eastAsia="ja-JP"/>
        </w:rPr>
        <w:t>Add</w:t>
      </w:r>
      <w:proofErr w:type="spellEnd"/>
      <w:r w:rsidRPr="00041E70">
        <w:rPr>
          <w:lang w:eastAsia="ja-JP"/>
        </w:rPr>
        <w:t>.)</w:t>
      </w:r>
    </w:p>
    <w:p w:rsidR="00833396" w:rsidRPr="00041E70" w:rsidRDefault="00833396" w:rsidP="00833396">
      <w:pPr>
        <w:pStyle w:val="ListParagraph"/>
        <w:numPr>
          <w:ilvl w:val="0"/>
          <w:numId w:val="27"/>
        </w:numPr>
        <w:ind w:left="1134" w:hanging="567"/>
      </w:pPr>
      <w:r w:rsidRPr="00041E70">
        <w:t xml:space="preserve">Los marcadores moleculares como predictores de caracteres “tradicionales” </w:t>
      </w:r>
    </w:p>
    <w:p w:rsidR="00833396" w:rsidRPr="00041E70" w:rsidRDefault="00833396" w:rsidP="00833396">
      <w:pPr>
        <w:pStyle w:val="ListParagraph"/>
        <w:numPr>
          <w:ilvl w:val="0"/>
          <w:numId w:val="27"/>
        </w:numPr>
        <w:ind w:left="1134" w:hanging="567"/>
      </w:pPr>
      <w:r w:rsidRPr="00041E70">
        <w:t>Propiedad y uso de las muestras del examen DHE y del ADN y los datos sobre el ADN durante los exámenes DHE y posteriormente</w:t>
      </w:r>
    </w:p>
    <w:p w:rsidR="00833396" w:rsidRPr="00041E70" w:rsidRDefault="00833396" w:rsidP="00833396">
      <w:pPr>
        <w:pStyle w:val="ListParagraph"/>
        <w:ind w:left="1134"/>
      </w:pPr>
    </w:p>
    <w:p w:rsidR="00833396" w:rsidRPr="00041E70" w:rsidRDefault="00833396" w:rsidP="00833396">
      <w:pPr>
        <w:rPr>
          <w:lang w:eastAsia="ja-JP"/>
        </w:rPr>
      </w:pPr>
      <w:r w:rsidRPr="00041E70">
        <w:fldChar w:fldCharType="begin"/>
      </w:r>
      <w:r w:rsidRPr="00041E70">
        <w:instrText xml:space="preserve"> AUTONUM  </w:instrText>
      </w:r>
      <w:r w:rsidRPr="00041E70">
        <w:fldChar w:fldCharType="end"/>
      </w:r>
      <w:r w:rsidRPr="00041E70">
        <w:tab/>
        <w:t>El BMT escuchó la siguiente ponencia relativa a la utilización de técnicas moleculares en el examen de las variedades esencialmente derivadas</w:t>
      </w:r>
      <w:r w:rsidRPr="00041E70">
        <w:rPr>
          <w:lang w:eastAsia="ja-JP"/>
        </w:rPr>
        <w:t>:</w:t>
      </w:r>
    </w:p>
    <w:p w:rsidR="00833396" w:rsidRPr="00041E70" w:rsidRDefault="00833396" w:rsidP="00833396">
      <w:pPr>
        <w:rPr>
          <w:lang w:eastAsia="ja-JP"/>
        </w:rPr>
      </w:pPr>
    </w:p>
    <w:p w:rsidR="00833396" w:rsidRPr="00041E70" w:rsidRDefault="00833396" w:rsidP="00833396">
      <w:pPr>
        <w:pStyle w:val="ListParagraph"/>
        <w:numPr>
          <w:ilvl w:val="0"/>
          <w:numId w:val="27"/>
        </w:numPr>
        <w:ind w:left="1134" w:hanging="567"/>
      </w:pPr>
      <w:r w:rsidRPr="00041E70">
        <w:t>Identificación de marcadores</w:t>
      </w:r>
      <w:r w:rsidRPr="00041E70">
        <w:rPr>
          <w:i/>
        </w:rPr>
        <w:t xml:space="preserve"> </w:t>
      </w:r>
      <w:r w:rsidRPr="00041E70">
        <w:t xml:space="preserve">SNP para facilitar la evaluación de variedades esencialmente derivadas en el maíz </w:t>
      </w:r>
    </w:p>
    <w:p w:rsidR="00833396" w:rsidRPr="00041E70" w:rsidRDefault="00833396" w:rsidP="00833396"/>
    <w:p w:rsidR="00833396" w:rsidRPr="00041E70" w:rsidRDefault="00833396" w:rsidP="00833396">
      <w:r w:rsidRPr="00041E70">
        <w:fldChar w:fldCharType="begin"/>
      </w:r>
      <w:r w:rsidRPr="00041E70">
        <w:instrText xml:space="preserve"> AUTONUM  </w:instrText>
      </w:r>
      <w:r w:rsidRPr="00041E70">
        <w:fldChar w:fldCharType="end"/>
      </w:r>
      <w:r w:rsidRPr="00041E70">
        <w:tab/>
        <w:t>El BMT escuchó las siguientes ponencias relativas a la utilización de técnicas moleculares en la identificación de variedades:</w:t>
      </w:r>
    </w:p>
    <w:p w:rsidR="00833396" w:rsidRPr="00041E70" w:rsidRDefault="00833396" w:rsidP="00833396"/>
    <w:p w:rsidR="00833396" w:rsidRPr="00041E70" w:rsidRDefault="00833396" w:rsidP="00833396">
      <w:pPr>
        <w:pStyle w:val="ListParagraph"/>
        <w:numPr>
          <w:ilvl w:val="0"/>
          <w:numId w:val="27"/>
        </w:numPr>
        <w:ind w:left="1134" w:hanging="567"/>
      </w:pPr>
      <w:r w:rsidRPr="00041E70">
        <w:t xml:space="preserve">Aplicación de la técnica de identificación de variedades mediante el ADN en la lucha contra la infracción de los derechos de obtentor en el Japón </w:t>
      </w:r>
    </w:p>
    <w:p w:rsidR="00833396" w:rsidRPr="00041E70" w:rsidRDefault="00833396" w:rsidP="00833396">
      <w:pPr>
        <w:pStyle w:val="ListParagraph"/>
        <w:numPr>
          <w:ilvl w:val="0"/>
          <w:numId w:val="27"/>
        </w:numPr>
        <w:ind w:left="1134" w:hanging="567"/>
      </w:pPr>
      <w:r w:rsidRPr="00041E70">
        <w:t xml:space="preserve">Determinación de un umbral de conformidad genética en plántulas de patata </w:t>
      </w:r>
    </w:p>
    <w:p w:rsidR="00833396" w:rsidRPr="00041E70" w:rsidRDefault="00833396" w:rsidP="00833396">
      <w:pPr>
        <w:pStyle w:val="ListParagraph"/>
        <w:ind w:left="1134"/>
      </w:pPr>
    </w:p>
    <w:p w:rsidR="00833396" w:rsidRPr="00041E70" w:rsidRDefault="00833396" w:rsidP="00833396">
      <w:pPr>
        <w:rPr>
          <w:lang w:eastAsia="ja-JP"/>
        </w:rPr>
      </w:pPr>
      <w:r w:rsidRPr="00041E70">
        <w:fldChar w:fldCharType="begin"/>
      </w:r>
      <w:r w:rsidRPr="00041E70">
        <w:instrText xml:space="preserve"> AUTONUM  </w:instrText>
      </w:r>
      <w:r w:rsidRPr="00041E70">
        <w:fldChar w:fldCharType="end"/>
      </w:r>
      <w:r w:rsidRPr="00041E70">
        <w:tab/>
        <w:t xml:space="preserve">El 12 de noviembre de 2014, la OCDE, la UPOV y la ISTA celebraron un </w:t>
      </w:r>
      <w:r w:rsidRPr="00041E70">
        <w:rPr>
          <w:lang w:eastAsia="ja-JP"/>
        </w:rPr>
        <w:t xml:space="preserve">Taller conjunto </w:t>
      </w:r>
      <w:r w:rsidRPr="00041E70">
        <w:t xml:space="preserve">(Taller) en Seúl (República de Corea), paralelamente a la sesión del BMT, bajo la presidencia del </w:t>
      </w:r>
      <w:r w:rsidRPr="00041E70">
        <w:rPr>
          <w:lang w:eastAsia="ja-JP"/>
        </w:rPr>
        <w:t>Sr. </w:t>
      </w:r>
      <w:proofErr w:type="spellStart"/>
      <w:r w:rsidRPr="00041E70">
        <w:rPr>
          <w:lang w:eastAsia="ja-JP"/>
        </w:rPr>
        <w:t>Kees</w:t>
      </w:r>
      <w:proofErr w:type="spellEnd"/>
      <w:r w:rsidRPr="00041E70">
        <w:rPr>
          <w:lang w:eastAsia="ja-JP"/>
        </w:rPr>
        <w:t xml:space="preserve"> van </w:t>
      </w:r>
      <w:proofErr w:type="spellStart"/>
      <w:r w:rsidRPr="00041E70">
        <w:rPr>
          <w:lang w:eastAsia="ja-JP"/>
        </w:rPr>
        <w:t>Ettekoven</w:t>
      </w:r>
      <w:proofErr w:type="spellEnd"/>
      <w:r w:rsidRPr="00041E70">
        <w:rPr>
          <w:lang w:eastAsia="ja-JP"/>
        </w:rPr>
        <w:t xml:space="preserve"> (</w:t>
      </w:r>
      <w:r w:rsidRPr="00041E70">
        <w:rPr>
          <w:color w:val="000000"/>
          <w:lang w:eastAsia="ja-JP"/>
        </w:rPr>
        <w:t>Países Bajos</w:t>
      </w:r>
      <w:r w:rsidRPr="00041E70">
        <w:rPr>
          <w:lang w:eastAsia="ja-JP"/>
        </w:rPr>
        <w:t>).  En el Taller se presentaron las siguientes ponencias sobre la utilización de técnicas de ADN en la OCDE, la UPOV, la ISTA y la ISO:</w:t>
      </w:r>
    </w:p>
    <w:p w:rsidR="00833396" w:rsidRPr="00041E70" w:rsidRDefault="00833396" w:rsidP="00833396">
      <w:pPr>
        <w:rPr>
          <w:lang w:eastAsia="ja-JP"/>
        </w:rPr>
      </w:pPr>
    </w:p>
    <w:p w:rsidR="00833396" w:rsidRPr="00041E70" w:rsidRDefault="00833396" w:rsidP="00833396">
      <w:pPr>
        <w:pStyle w:val="ListParagraph"/>
        <w:numPr>
          <w:ilvl w:val="0"/>
          <w:numId w:val="27"/>
        </w:numPr>
        <w:ind w:left="1134" w:hanging="567"/>
      </w:pPr>
      <w:r w:rsidRPr="00041E70">
        <w:t xml:space="preserve">Introducción a los sistemas de semillas de la OCDE y situación respecto de las técnicas moleculares </w:t>
      </w:r>
    </w:p>
    <w:p w:rsidR="00833396" w:rsidRPr="00041E70" w:rsidRDefault="00833396" w:rsidP="00833396">
      <w:pPr>
        <w:pStyle w:val="ListParagraph"/>
        <w:numPr>
          <w:ilvl w:val="0"/>
          <w:numId w:val="27"/>
        </w:numPr>
        <w:ind w:left="1134" w:hanging="567"/>
      </w:pPr>
      <w:r w:rsidRPr="00041E70">
        <w:t xml:space="preserve">Introducción a la UPOV y situación respecto de las técnicas moleculares </w:t>
      </w:r>
    </w:p>
    <w:p w:rsidR="00833396" w:rsidRPr="00041E70" w:rsidRDefault="00833396" w:rsidP="00833396">
      <w:pPr>
        <w:pStyle w:val="ListParagraph"/>
        <w:numPr>
          <w:ilvl w:val="0"/>
          <w:numId w:val="27"/>
        </w:numPr>
        <w:ind w:left="1134" w:hanging="567"/>
      </w:pPr>
      <w:r w:rsidRPr="00041E70">
        <w:t xml:space="preserve">Introducción a la ISTA y situación respecto de las técnicas moleculares </w:t>
      </w:r>
    </w:p>
    <w:p w:rsidR="00833396" w:rsidRPr="00041E70" w:rsidRDefault="00833396" w:rsidP="00833396">
      <w:pPr>
        <w:pStyle w:val="ListParagraph"/>
        <w:numPr>
          <w:ilvl w:val="0"/>
          <w:numId w:val="27"/>
        </w:numPr>
        <w:ind w:left="1134" w:hanging="567"/>
      </w:pPr>
      <w:r w:rsidRPr="00041E70">
        <w:t xml:space="preserve">Introducción a la UPOV y situación respecto de las técnicas moleculares </w:t>
      </w:r>
    </w:p>
    <w:p w:rsidR="00833396" w:rsidRPr="00041E70" w:rsidRDefault="00833396" w:rsidP="00833396">
      <w:pPr>
        <w:pStyle w:val="ListParagraph"/>
        <w:numPr>
          <w:ilvl w:val="0"/>
          <w:numId w:val="27"/>
        </w:numPr>
        <w:ind w:left="1134" w:hanging="567"/>
      </w:pPr>
      <w:r w:rsidRPr="00041E70">
        <w:t>Ámbitos de cooperación entre la OCDE, la UPOV y la ISTA en la actualidad</w:t>
      </w:r>
    </w:p>
    <w:p w:rsidR="00833396" w:rsidRPr="00041E70" w:rsidRDefault="00833396" w:rsidP="00833396">
      <w:pPr>
        <w:pStyle w:val="ListParagraph"/>
        <w:numPr>
          <w:ilvl w:val="0"/>
          <w:numId w:val="27"/>
        </w:numPr>
        <w:ind w:left="1134" w:hanging="567"/>
      </w:pPr>
      <w:r w:rsidRPr="00041E70">
        <w:t>Posibilidades de cooperación entre la OCDE, la UPOV y la ISTA en materia de técnicas moleculares</w:t>
      </w:r>
    </w:p>
    <w:p w:rsidR="00833396" w:rsidRPr="00041E70" w:rsidRDefault="00833396" w:rsidP="00833396"/>
    <w:p w:rsidR="00833396" w:rsidRPr="00041E70" w:rsidRDefault="00833396" w:rsidP="00833396">
      <w:r w:rsidRPr="00041E70">
        <w:rPr>
          <w:lang w:eastAsia="ja-JP"/>
        </w:rPr>
        <w:fldChar w:fldCharType="begin"/>
      </w:r>
      <w:r w:rsidRPr="00041E70">
        <w:rPr>
          <w:lang w:eastAsia="ja-JP"/>
        </w:rPr>
        <w:instrText xml:space="preserve"> AUTONUM  </w:instrText>
      </w:r>
      <w:r w:rsidRPr="00041E70">
        <w:rPr>
          <w:lang w:eastAsia="ja-JP"/>
        </w:rPr>
        <w:fldChar w:fldCharType="end"/>
      </w:r>
      <w:r w:rsidRPr="00041E70">
        <w:rPr>
          <w:lang w:eastAsia="ja-JP"/>
        </w:rPr>
        <w:tab/>
        <w:t xml:space="preserve">En el taller se convino en que sería útil elaborar un documento conjunto en el que se expliquen las características principales de los sistemas de la OCDE, la UPOV y la ISTA (como, por ejemplo, la DHE, la identificación de variedades, la pureza de las variedades, etc.).  Se convino asimismo que sería útil para la comprensión mutua repetir el taller conjunto en las reuniones pertinentes de la OCDE y la ISTA.  </w:t>
      </w:r>
    </w:p>
    <w:p w:rsidR="00833396" w:rsidRPr="00041E70" w:rsidRDefault="00833396" w:rsidP="00833396"/>
    <w:p w:rsidR="00833396" w:rsidRPr="00041E70" w:rsidRDefault="00833396" w:rsidP="00833396">
      <w:pPr>
        <w:rPr>
          <w:lang w:eastAsia="ja-JP"/>
        </w:rPr>
      </w:pPr>
      <w:r w:rsidRPr="00041E70">
        <w:rPr>
          <w:lang w:eastAsia="ja-JP"/>
        </w:rPr>
        <w:fldChar w:fldCharType="begin"/>
      </w:r>
      <w:r w:rsidRPr="00041E70">
        <w:rPr>
          <w:lang w:eastAsia="ja-JP"/>
        </w:rPr>
        <w:instrText xml:space="preserve"> AUTONUM  </w:instrText>
      </w:r>
      <w:r w:rsidRPr="00041E70">
        <w:rPr>
          <w:lang w:eastAsia="ja-JP"/>
        </w:rPr>
        <w:fldChar w:fldCharType="end"/>
      </w:r>
      <w:r w:rsidRPr="00041E70">
        <w:rPr>
          <w:lang w:eastAsia="ja-JP"/>
        </w:rPr>
        <w:tab/>
        <w:t xml:space="preserve">Se convino en el taller proponer un inventario de la UPOV, la OCDE y la ISTA sobre la utilización de técnicas basadas en marcadores moleculares, por cultivos, con objeto de elaborar un documento en el que figure dicha información en un formato similar al del documento UPOV/INF/16 “Programas informáticos para intercambio”.  Se señaló que la OCDE ya había reunido cierta información acerca del uso de técnicas moleculares por sus autoridades designadas.  </w:t>
      </w:r>
    </w:p>
    <w:p w:rsidR="00833396" w:rsidRPr="00041E70" w:rsidRDefault="00833396" w:rsidP="00833396"/>
    <w:p w:rsidR="00833396" w:rsidRPr="00041E70" w:rsidRDefault="00833396" w:rsidP="00833396">
      <w:r w:rsidRPr="00041E70">
        <w:fldChar w:fldCharType="begin"/>
      </w:r>
      <w:r w:rsidRPr="00041E70">
        <w:instrText xml:space="preserve"> AUTONUM  </w:instrText>
      </w:r>
      <w:r w:rsidRPr="00041E70">
        <w:fldChar w:fldCharType="end"/>
      </w:r>
      <w:r w:rsidRPr="00041E70">
        <w:tab/>
        <w:t>En respuesta a la invitación cursada por la Federación de Rusia, el BMT decidió celebrar su decimoquinta sesión y un taller preparatorio en Moscú (Federación de Rusia) en mayo de 2016.</w:t>
      </w:r>
    </w:p>
    <w:p w:rsidR="00833396" w:rsidRPr="00041E70" w:rsidRDefault="00833396" w:rsidP="00833396"/>
    <w:p w:rsidR="00833396" w:rsidRPr="00041E70" w:rsidRDefault="00833396" w:rsidP="00833396">
      <w:pPr>
        <w:rPr>
          <w:lang w:eastAsia="ja-JP"/>
        </w:rPr>
      </w:pPr>
      <w:r w:rsidRPr="00041E70">
        <w:rPr>
          <w:lang w:eastAsia="ja-JP"/>
        </w:rPr>
        <w:fldChar w:fldCharType="begin"/>
      </w:r>
      <w:r w:rsidRPr="00041E70">
        <w:rPr>
          <w:lang w:eastAsia="ja-JP"/>
        </w:rPr>
        <w:instrText xml:space="preserve"> AUTONUM  </w:instrText>
      </w:r>
      <w:r w:rsidRPr="00041E70">
        <w:rPr>
          <w:lang w:eastAsia="ja-JP"/>
        </w:rPr>
        <w:fldChar w:fldCharType="end"/>
      </w:r>
      <w:r w:rsidRPr="00041E70">
        <w:rPr>
          <w:lang w:eastAsia="ja-JP"/>
        </w:rPr>
        <w:tab/>
        <w:t>El BMT propuso examinar los puntos siguientes en su decimoquinta sesión:</w:t>
      </w:r>
    </w:p>
    <w:p w:rsidR="00833396" w:rsidRPr="00041E70" w:rsidRDefault="00833396" w:rsidP="00833396"/>
    <w:p w:rsidR="00833396" w:rsidRPr="00041E70" w:rsidRDefault="00833396" w:rsidP="00833396">
      <w:pPr>
        <w:spacing w:before="20" w:afterLines="20" w:after="48"/>
        <w:ind w:left="1134" w:hanging="567"/>
      </w:pPr>
      <w:r w:rsidRPr="00041E70">
        <w:t>1.</w:t>
      </w:r>
      <w:r w:rsidRPr="00041E70">
        <w:tab/>
        <w:t>Apertura de la sesión</w:t>
      </w:r>
    </w:p>
    <w:p w:rsidR="00833396" w:rsidRPr="00041E70" w:rsidRDefault="00833396" w:rsidP="00833396">
      <w:pPr>
        <w:spacing w:before="20" w:afterLines="20" w:after="48"/>
        <w:ind w:left="1134" w:hanging="567"/>
      </w:pPr>
      <w:r w:rsidRPr="00041E70">
        <w:t>2.</w:t>
      </w:r>
      <w:r w:rsidRPr="00041E70">
        <w:tab/>
        <w:t>Aprobación del orden del día</w:t>
      </w:r>
    </w:p>
    <w:p w:rsidR="00833396" w:rsidRPr="00041E70" w:rsidRDefault="00833396" w:rsidP="00833396">
      <w:pPr>
        <w:spacing w:before="20" w:afterLines="20" w:after="48"/>
        <w:ind w:left="1134" w:hanging="567"/>
      </w:pPr>
      <w:r w:rsidRPr="00041E70">
        <w:t>3.</w:t>
      </w:r>
      <w:r w:rsidRPr="00041E70">
        <w:tab/>
        <w:t>Informe sobre las novedades acaecidas en la UPOV en relación con las técnicas bioquímicas y moleculares.</w:t>
      </w:r>
    </w:p>
    <w:p w:rsidR="00833396" w:rsidRPr="00041E70" w:rsidRDefault="00833396" w:rsidP="00833396">
      <w:pPr>
        <w:spacing w:before="20" w:afterLines="20" w:after="48"/>
        <w:ind w:left="1134" w:hanging="567"/>
      </w:pPr>
      <w:r w:rsidRPr="00041E70">
        <w:t>4.</w:t>
      </w:r>
      <w:r w:rsidRPr="00041E70">
        <w:rPr>
          <w:color w:val="000000"/>
        </w:rPr>
        <w:tab/>
      </w:r>
      <w:r w:rsidRPr="00041E70">
        <w:t xml:space="preserve">Breves ponencias sobre los avances en las técnicas bioquímicas y moleculares a cargo de expertos en el examen DHE, especialistas en técnicas bioquímicas y moleculares, y obtentores y organizaciones internacionales pertinentes </w:t>
      </w:r>
    </w:p>
    <w:p w:rsidR="00833396" w:rsidRPr="00041E70" w:rsidRDefault="00833396" w:rsidP="00833396">
      <w:pPr>
        <w:spacing w:before="20" w:afterLines="20" w:after="48"/>
        <w:ind w:left="1134" w:hanging="567"/>
        <w:rPr>
          <w:lang w:eastAsia="ja-JP"/>
        </w:rPr>
      </w:pPr>
      <w:r w:rsidRPr="00041E70">
        <w:rPr>
          <w:lang w:eastAsia="ja-JP"/>
        </w:rPr>
        <w:t>5.</w:t>
      </w:r>
      <w:r w:rsidRPr="00041E70">
        <w:rPr>
          <w:lang w:eastAsia="ja-JP"/>
        </w:rPr>
        <w:tab/>
        <w:t>Informe sobre la labor relativa a las técnicas moleculares en relación con el examen DHE</w:t>
      </w:r>
    </w:p>
    <w:p w:rsidR="00833396" w:rsidRPr="00041E70" w:rsidRDefault="00833396" w:rsidP="00833396">
      <w:pPr>
        <w:spacing w:before="20" w:afterLines="20" w:after="48"/>
        <w:ind w:left="1134" w:hanging="567"/>
      </w:pPr>
      <w:r w:rsidRPr="00041E70">
        <w:t>6.</w:t>
      </w:r>
      <w:r w:rsidRPr="00041E70">
        <w:tab/>
        <w:t>Directrices internacionales sobre metodologías moleculares</w:t>
      </w:r>
    </w:p>
    <w:p w:rsidR="00833396" w:rsidRPr="00041E70" w:rsidRDefault="00833396" w:rsidP="00833396">
      <w:pPr>
        <w:spacing w:before="20" w:afterLines="20" w:after="48"/>
        <w:ind w:left="1134" w:hanging="567"/>
      </w:pPr>
      <w:r w:rsidRPr="00041E70">
        <w:t>7.</w:t>
      </w:r>
      <w:r w:rsidRPr="00041E70">
        <w:tab/>
        <w:t>Bases de datos de descripciones de variedades</w:t>
      </w:r>
    </w:p>
    <w:p w:rsidR="00833396" w:rsidRPr="00041E70" w:rsidRDefault="00833396" w:rsidP="00833396">
      <w:pPr>
        <w:spacing w:before="20" w:afterLines="20" w:after="48"/>
        <w:ind w:left="1134" w:hanging="567"/>
      </w:pPr>
      <w:r w:rsidRPr="00041E70">
        <w:t>8.</w:t>
      </w:r>
      <w:r w:rsidRPr="00041E70">
        <w:rPr>
          <w:color w:val="000000"/>
        </w:rPr>
        <w:tab/>
      </w:r>
      <w:r w:rsidRPr="00041E70">
        <w:t xml:space="preserve">Métodos de análisis de datos moleculares </w:t>
      </w:r>
    </w:p>
    <w:p w:rsidR="00833396" w:rsidRPr="00041E70" w:rsidRDefault="00833396" w:rsidP="00833396">
      <w:pPr>
        <w:spacing w:before="20" w:afterLines="20" w:after="48"/>
        <w:ind w:left="1134" w:hanging="567"/>
      </w:pPr>
      <w:r w:rsidRPr="00041E70">
        <w:t>9.</w:t>
      </w:r>
      <w:r w:rsidRPr="00041E70">
        <w:rPr>
          <w:color w:val="000000"/>
        </w:rPr>
        <w:tab/>
      </w:r>
      <w:r w:rsidRPr="00041E70">
        <w:t>La utilización de técnicas moleculares en el examen de las variedades esencialmente derivadas</w:t>
      </w:r>
      <w:bookmarkStart w:id="64" w:name="_Ref403641224"/>
      <w:r w:rsidRPr="00041E70">
        <w:rPr>
          <w:rStyle w:val="FootnoteReference"/>
        </w:rPr>
        <w:footnoteReference w:id="2"/>
      </w:r>
      <w:bookmarkEnd w:id="64"/>
    </w:p>
    <w:p w:rsidR="00833396" w:rsidRPr="00041E70" w:rsidRDefault="00833396" w:rsidP="00833396">
      <w:pPr>
        <w:spacing w:before="20" w:afterLines="20" w:after="48"/>
        <w:ind w:left="1134" w:hanging="567"/>
      </w:pPr>
      <w:r w:rsidRPr="00041E70">
        <w:t>10.</w:t>
      </w:r>
      <w:r w:rsidRPr="00041E70">
        <w:tab/>
        <w:t>La utilización de técnicas moleculares en la identificación de variedades</w:t>
      </w:r>
      <w:r w:rsidRPr="00041E70">
        <w:fldChar w:fldCharType="begin"/>
      </w:r>
      <w:r w:rsidRPr="00041E70">
        <w:instrText xml:space="preserve"> NOTEREF _Ref403641224 \h  \* MERGEFORMAT </w:instrText>
      </w:r>
      <w:r w:rsidRPr="00041E70">
        <w:fldChar w:fldCharType="separate"/>
      </w:r>
      <w:r w:rsidR="004B46F6">
        <w:t>1</w:t>
      </w:r>
      <w:r w:rsidRPr="00041E70">
        <w:fldChar w:fldCharType="end"/>
      </w:r>
    </w:p>
    <w:p w:rsidR="00833396" w:rsidRPr="00041E70" w:rsidRDefault="00833396" w:rsidP="00833396">
      <w:pPr>
        <w:spacing w:before="20" w:afterLines="20" w:after="48"/>
        <w:ind w:left="1134" w:hanging="567"/>
        <w:rPr>
          <w:lang w:eastAsia="ja-JP"/>
        </w:rPr>
      </w:pPr>
      <w:r w:rsidRPr="00041E70">
        <w:rPr>
          <w:lang w:eastAsia="ja-JP"/>
        </w:rPr>
        <w:t>11.</w:t>
      </w:r>
      <w:r w:rsidRPr="00041E70">
        <w:rPr>
          <w:color w:val="000000"/>
          <w:lang w:eastAsia="ja-JP"/>
        </w:rPr>
        <w:tab/>
      </w:r>
      <w:r w:rsidRPr="00041E70">
        <w:rPr>
          <w:lang w:eastAsia="ja-JP"/>
        </w:rPr>
        <w:t>La cooperación entre la OCDE, la UPOV, la ISTA y la ISO</w:t>
      </w:r>
    </w:p>
    <w:p w:rsidR="00833396" w:rsidRPr="00041E70" w:rsidRDefault="00833396" w:rsidP="00833396">
      <w:pPr>
        <w:spacing w:before="20" w:afterLines="20" w:after="48"/>
        <w:ind w:left="1134" w:hanging="567"/>
      </w:pPr>
      <w:r w:rsidRPr="00041E70">
        <w:t>12.</w:t>
      </w:r>
      <w:r w:rsidRPr="00041E70">
        <w:rPr>
          <w:color w:val="000000"/>
        </w:rPr>
        <w:tab/>
      </w:r>
      <w:r w:rsidRPr="00041E70">
        <w:t>Fecha y lugar de la siguiente reunión</w:t>
      </w:r>
    </w:p>
    <w:p w:rsidR="00833396" w:rsidRPr="00041E70" w:rsidRDefault="00833396" w:rsidP="00833396">
      <w:pPr>
        <w:spacing w:before="20" w:afterLines="20" w:after="48"/>
        <w:ind w:left="1134" w:hanging="567"/>
      </w:pPr>
      <w:r w:rsidRPr="00041E70">
        <w:t>13.</w:t>
      </w:r>
      <w:r w:rsidRPr="00041E70">
        <w:rPr>
          <w:color w:val="000000"/>
        </w:rPr>
        <w:tab/>
      </w:r>
      <w:r w:rsidRPr="00041E70">
        <w:t>Futuro programa</w:t>
      </w:r>
    </w:p>
    <w:p w:rsidR="00833396" w:rsidRPr="00041E70" w:rsidRDefault="00833396" w:rsidP="00833396">
      <w:pPr>
        <w:spacing w:before="20" w:afterLines="20" w:after="48"/>
        <w:ind w:left="1134" w:hanging="567"/>
      </w:pPr>
      <w:r w:rsidRPr="00041E70">
        <w:t>14.</w:t>
      </w:r>
      <w:r w:rsidRPr="00041E70">
        <w:rPr>
          <w:color w:val="000000"/>
        </w:rPr>
        <w:tab/>
      </w:r>
      <w:r w:rsidRPr="00041E70">
        <w:t>Informe de la reunión (si se dispone de tiempo)</w:t>
      </w:r>
    </w:p>
    <w:p w:rsidR="00833396" w:rsidRPr="00041E70" w:rsidRDefault="00833396" w:rsidP="00833396">
      <w:pPr>
        <w:spacing w:before="20" w:afterLines="20" w:after="48"/>
        <w:ind w:left="1134" w:hanging="567"/>
      </w:pPr>
      <w:r w:rsidRPr="00041E70">
        <w:t>15.</w:t>
      </w:r>
      <w:r w:rsidRPr="00041E70">
        <w:rPr>
          <w:color w:val="000000"/>
        </w:rPr>
        <w:tab/>
      </w:r>
      <w:r w:rsidRPr="00041E70">
        <w:t xml:space="preserve">Clausura de la reunión </w:t>
      </w:r>
    </w:p>
    <w:p w:rsidR="00833396" w:rsidRPr="00041E70" w:rsidRDefault="00833396" w:rsidP="00833396"/>
    <w:p w:rsidR="00833396" w:rsidRPr="00041E70" w:rsidRDefault="00833396" w:rsidP="00833396">
      <w:pPr>
        <w:autoSpaceDE w:val="0"/>
        <w:autoSpaceDN w:val="0"/>
        <w:adjustRightInd w:val="0"/>
      </w:pPr>
      <w:r w:rsidRPr="00041E70">
        <w:fldChar w:fldCharType="begin"/>
      </w:r>
      <w:r w:rsidRPr="00041E70">
        <w:instrText xml:space="preserve"> AUTONUM  </w:instrText>
      </w:r>
      <w:r w:rsidRPr="00041E70">
        <w:fldChar w:fldCharType="end"/>
      </w:r>
      <w:r w:rsidRPr="00041E70">
        <w:tab/>
        <w:t>Se concedió al Sr. Alejandro Barrientos Priego la medalla de bronce de la UPOV en reconocimiento a su labor como Presidente del BMT desde 2012 hasta 2014.</w:t>
      </w:r>
    </w:p>
    <w:p w:rsidR="001E266D" w:rsidRPr="00041E70" w:rsidRDefault="001E266D" w:rsidP="001E266D"/>
    <w:p w:rsidR="00FF1A23" w:rsidRPr="00041E70" w:rsidRDefault="00FF1A23" w:rsidP="00FF1A23">
      <w:pPr>
        <w:ind w:left="4820"/>
        <w:rPr>
          <w:rFonts w:cs="Arial"/>
          <w:i/>
        </w:rPr>
      </w:pPr>
      <w:r w:rsidRPr="00041E70">
        <w:rPr>
          <w:rFonts w:cs="Arial"/>
          <w:i/>
        </w:rPr>
        <w:fldChar w:fldCharType="begin"/>
      </w:r>
      <w:r w:rsidRPr="00041E70">
        <w:rPr>
          <w:rFonts w:cs="Arial"/>
          <w:i/>
        </w:rPr>
        <w:instrText xml:space="preserve"> AUTONUM  </w:instrText>
      </w:r>
      <w:r w:rsidRPr="00041E70">
        <w:rPr>
          <w:rFonts w:cs="Arial"/>
          <w:i/>
        </w:rPr>
        <w:fldChar w:fldCharType="end"/>
      </w:r>
      <w:r w:rsidRPr="00041E70">
        <w:rPr>
          <w:rFonts w:cs="Arial"/>
          <w:i/>
        </w:rPr>
        <w:tab/>
        <w:t>Se invita al Consejo a:</w:t>
      </w:r>
    </w:p>
    <w:p w:rsidR="00FF1A23" w:rsidRPr="00041E70" w:rsidRDefault="00FF1A23" w:rsidP="00FF1A23">
      <w:pPr>
        <w:ind w:left="4820"/>
        <w:rPr>
          <w:rFonts w:cs="Arial"/>
          <w:i/>
        </w:rPr>
      </w:pPr>
    </w:p>
    <w:p w:rsidR="00FF1A23" w:rsidRPr="00041E70" w:rsidRDefault="00FF1A23" w:rsidP="00FF1A23">
      <w:pPr>
        <w:pStyle w:val="ListParagraph"/>
        <w:numPr>
          <w:ilvl w:val="0"/>
          <w:numId w:val="33"/>
        </w:numPr>
        <w:tabs>
          <w:tab w:val="left" w:pos="5954"/>
        </w:tabs>
        <w:ind w:left="4820" w:firstLine="567"/>
        <w:rPr>
          <w:rFonts w:cs="Arial"/>
          <w:i/>
        </w:rPr>
      </w:pPr>
      <w:r w:rsidRPr="00041E70">
        <w:rPr>
          <w:rFonts w:cs="Arial"/>
          <w:i/>
        </w:rPr>
        <w:t>tomar nota de la labor realizada por el TC y de la labor realizada por los TWP y el BMT y presentada al TC, según se expone en el presente documento;  y</w:t>
      </w:r>
    </w:p>
    <w:p w:rsidR="00FF1A23" w:rsidRPr="00041E70" w:rsidRDefault="00FF1A23" w:rsidP="00FF1A23">
      <w:pPr>
        <w:pStyle w:val="ListParagraph"/>
        <w:tabs>
          <w:tab w:val="left" w:pos="5954"/>
        </w:tabs>
        <w:ind w:left="5387"/>
        <w:rPr>
          <w:rFonts w:cs="Arial"/>
          <w:i/>
        </w:rPr>
      </w:pPr>
    </w:p>
    <w:p w:rsidR="00FF1A23" w:rsidRPr="00041E70" w:rsidRDefault="00FF1A23" w:rsidP="00FF1A23">
      <w:pPr>
        <w:pStyle w:val="ListParagraph"/>
        <w:numPr>
          <w:ilvl w:val="0"/>
          <w:numId w:val="33"/>
        </w:numPr>
        <w:tabs>
          <w:tab w:val="left" w:pos="5954"/>
        </w:tabs>
        <w:ind w:left="4820" w:firstLine="567"/>
        <w:rPr>
          <w:rFonts w:cs="Arial"/>
          <w:i/>
        </w:rPr>
      </w:pPr>
      <w:r w:rsidRPr="00041E70">
        <w:rPr>
          <w:rFonts w:cs="Arial"/>
          <w:i/>
        </w:rPr>
        <w:t>aprobar el programa de trabajo del TC y los programas de trabajo de los TWP y el BMT presentados al TC, según se expone en el presente documento.</w:t>
      </w:r>
    </w:p>
    <w:p w:rsidR="001E266D" w:rsidRPr="00041E70" w:rsidRDefault="001E266D" w:rsidP="001E266D"/>
    <w:p w:rsidR="001E266D" w:rsidRPr="00041E70" w:rsidRDefault="001E266D" w:rsidP="001E266D"/>
    <w:p w:rsidR="001E266D" w:rsidRPr="00041E70" w:rsidRDefault="001E266D" w:rsidP="001E266D"/>
    <w:p w:rsidR="001E266D" w:rsidRDefault="001E266D" w:rsidP="001E266D">
      <w:pPr>
        <w:jc w:val="right"/>
      </w:pPr>
      <w:r w:rsidRPr="00041E70">
        <w:t>[</w:t>
      </w:r>
      <w:r w:rsidR="00FF1A23" w:rsidRPr="00041E70">
        <w:t>Sigue el Anexo</w:t>
      </w:r>
      <w:r w:rsidRPr="00041E70">
        <w:t>]</w:t>
      </w:r>
    </w:p>
    <w:p w:rsidR="00481701" w:rsidRPr="00041E70" w:rsidRDefault="00481701" w:rsidP="00481701"/>
    <w:p w:rsidR="006950AA" w:rsidRDefault="006950AA" w:rsidP="00B07301">
      <w:pPr>
        <w:pStyle w:val="TOC1"/>
        <w:rPr>
          <w:snapToGrid w:val="0"/>
          <w:lang w:val="es-ES_tradnl"/>
        </w:rPr>
        <w:sectPr w:rsidR="006950AA" w:rsidSect="00906DDC">
          <w:headerReference w:type="default" r:id="rId12"/>
          <w:pgSz w:w="11907" w:h="16840" w:code="9"/>
          <w:pgMar w:top="510" w:right="1134" w:bottom="1134" w:left="1134" w:header="510" w:footer="680" w:gutter="0"/>
          <w:cols w:space="720"/>
          <w:titlePg/>
        </w:sectPr>
      </w:pPr>
    </w:p>
    <w:p w:rsidR="00900C26" w:rsidRPr="00041E70" w:rsidRDefault="007E7D4D" w:rsidP="007E7D4D">
      <w:pPr>
        <w:pStyle w:val="TOC1"/>
        <w:jc w:val="center"/>
        <w:rPr>
          <w:snapToGrid w:val="0"/>
          <w:lang w:val="es-ES_tradnl"/>
        </w:rPr>
      </w:pPr>
      <w:r w:rsidRPr="007E7D4D">
        <w:drawing>
          <wp:inline distT="0" distB="0" distL="0" distR="0" wp14:anchorId="4D3A6B4E" wp14:editId="5533607B">
            <wp:extent cx="7294117" cy="62865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298559" cy="6290328"/>
                    </a:xfrm>
                    <a:prstGeom prst="rect">
                      <a:avLst/>
                    </a:prstGeom>
                  </pic:spPr>
                </pic:pic>
              </a:graphicData>
            </a:graphic>
          </wp:inline>
        </w:drawing>
      </w:r>
    </w:p>
    <w:p w:rsidR="00A929D4" w:rsidRPr="00041E70" w:rsidRDefault="00CB2E31" w:rsidP="00A929D4">
      <w:r w:rsidRPr="00CB2E31">
        <w:rPr>
          <w:noProof/>
          <w:lang w:val="en-US"/>
        </w:rPr>
        <w:drawing>
          <wp:inline distT="0" distB="0" distL="0" distR="0" wp14:anchorId="2F094406" wp14:editId="11835EE4">
            <wp:extent cx="9649460" cy="4669862"/>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49460" cy="4669862"/>
                    </a:xfrm>
                    <a:prstGeom prst="rect">
                      <a:avLst/>
                    </a:prstGeom>
                    <a:noFill/>
                    <a:ln>
                      <a:noFill/>
                    </a:ln>
                  </pic:spPr>
                </pic:pic>
              </a:graphicData>
            </a:graphic>
          </wp:inline>
        </w:drawing>
      </w:r>
    </w:p>
    <w:p w:rsidR="003E7998" w:rsidRPr="00041E70" w:rsidRDefault="0061555F" w:rsidP="00A929D4">
      <w:pPr>
        <w:pStyle w:val="endofdoc"/>
        <w:rPr>
          <w:lang w:val="es-ES_tradnl"/>
        </w:rPr>
      </w:pPr>
      <w:r w:rsidRPr="00041E70">
        <w:rPr>
          <w:lang w:val="es-ES_tradnl"/>
        </w:rPr>
        <w:t>[</w:t>
      </w:r>
      <w:r w:rsidR="00C13808" w:rsidRPr="00041E70">
        <w:rPr>
          <w:lang w:val="es-ES_tradnl"/>
        </w:rPr>
        <w:t xml:space="preserve">Fin </w:t>
      </w:r>
      <w:r w:rsidR="008D3729" w:rsidRPr="00041E70">
        <w:rPr>
          <w:lang w:val="es-ES_tradnl"/>
        </w:rPr>
        <w:t xml:space="preserve">del </w:t>
      </w:r>
      <w:r w:rsidR="00FF1A23" w:rsidRPr="00041E70">
        <w:rPr>
          <w:lang w:val="es-ES_tradnl"/>
        </w:rPr>
        <w:t xml:space="preserve">Anexo y del </w:t>
      </w:r>
      <w:r w:rsidR="008D3729" w:rsidRPr="00041E70">
        <w:rPr>
          <w:lang w:val="es-ES_tradnl"/>
        </w:rPr>
        <w:t>documento</w:t>
      </w:r>
      <w:r w:rsidRPr="00041E70">
        <w:rPr>
          <w:lang w:val="es-ES_tradnl"/>
        </w:rPr>
        <w:t>]</w:t>
      </w:r>
    </w:p>
    <w:p w:rsidR="006B17D2" w:rsidRPr="00041E70" w:rsidRDefault="006B17D2" w:rsidP="003E7998">
      <w:pPr>
        <w:jc w:val="left"/>
      </w:pPr>
      <w:bookmarkStart w:id="65" w:name="_GoBack"/>
      <w:bookmarkEnd w:id="65"/>
    </w:p>
    <w:sectPr w:rsidR="006B17D2" w:rsidRPr="00041E70" w:rsidSect="007E7D4D">
      <w:headerReference w:type="default" r:id="rId15"/>
      <w:headerReference w:type="first" r:id="rId16"/>
      <w:footerReference w:type="first" r:id="rId17"/>
      <w:pgSz w:w="16840" w:h="11907" w:orient="landscape" w:code="9"/>
      <w:pgMar w:top="1134" w:right="510" w:bottom="567" w:left="1134" w:header="426" w:footer="4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96" w:rsidRDefault="00833396" w:rsidP="00F45372">
      <w:r>
        <w:separator/>
      </w:r>
    </w:p>
    <w:p w:rsidR="00833396" w:rsidRDefault="00833396" w:rsidP="00F45372"/>
    <w:p w:rsidR="00833396" w:rsidRDefault="00833396" w:rsidP="00F45372"/>
  </w:endnote>
  <w:endnote w:type="continuationSeparator" w:id="0">
    <w:p w:rsidR="00833396" w:rsidRDefault="00833396" w:rsidP="00F45372">
      <w:r>
        <w:separator/>
      </w:r>
    </w:p>
    <w:p w:rsidR="00833396" w:rsidRPr="002A7B40" w:rsidRDefault="00833396" w:rsidP="007E7D4D">
      <w:pPr>
        <w:pStyle w:val="Footer"/>
        <w:rPr>
          <w:lang w:val="fr-FR"/>
        </w:rPr>
      </w:pPr>
      <w:r w:rsidRPr="002A7B40">
        <w:rPr>
          <w:lang w:val="fr-FR"/>
        </w:rPr>
        <w:t>[Suite de la note de la page précédente]</w:t>
      </w:r>
    </w:p>
    <w:p w:rsidR="00833396" w:rsidRPr="00B108A6" w:rsidRDefault="00833396" w:rsidP="00F45372">
      <w:pPr>
        <w:rPr>
          <w:lang w:val="fr-FR"/>
        </w:rPr>
      </w:pPr>
    </w:p>
    <w:p w:rsidR="00833396" w:rsidRPr="00B108A6" w:rsidRDefault="00833396" w:rsidP="00F45372">
      <w:pPr>
        <w:rPr>
          <w:lang w:val="fr-FR"/>
        </w:rPr>
      </w:pPr>
    </w:p>
  </w:endnote>
  <w:endnote w:type="continuationNotice" w:id="1">
    <w:p w:rsidR="00833396" w:rsidRPr="00B108A6" w:rsidRDefault="00833396" w:rsidP="00F45372">
      <w:pPr>
        <w:rPr>
          <w:lang w:val="fr-FR"/>
        </w:rPr>
      </w:pPr>
      <w:r w:rsidRPr="00B108A6">
        <w:rPr>
          <w:lang w:val="fr-FR"/>
        </w:rPr>
        <w:t>[Suite de la note page suivante]</w:t>
      </w:r>
    </w:p>
    <w:p w:rsidR="00833396" w:rsidRPr="00B108A6" w:rsidRDefault="00833396" w:rsidP="00F45372">
      <w:pPr>
        <w:rPr>
          <w:lang w:val="fr-FR"/>
        </w:rPr>
      </w:pPr>
    </w:p>
    <w:p w:rsidR="00833396" w:rsidRPr="00B108A6" w:rsidRDefault="00833396"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4D" w:rsidRPr="007E7D4D" w:rsidRDefault="007E7D4D" w:rsidP="007E7D4D">
    <w:pPr>
      <w:pStyle w:val="Footer"/>
    </w:pPr>
    <w:r w:rsidRPr="007E7D4D">
      <w:t>[</w:t>
    </w:r>
    <w:proofErr w:type="spellStart"/>
    <w:r w:rsidRPr="007E7D4D">
      <w:t>Sigue</w:t>
    </w:r>
    <w:proofErr w:type="spellEnd"/>
    <w:r w:rsidRPr="007E7D4D">
      <w:t xml:space="preserve"> el </w:t>
    </w:r>
    <w:proofErr w:type="spellStart"/>
    <w:r w:rsidRPr="007E7D4D">
      <w:t>Apéndice</w:t>
    </w:r>
    <w:proofErr w:type="spellEnd"/>
    <w:r w:rsidRPr="007E7D4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96" w:rsidRDefault="00833396" w:rsidP="006A59FA">
      <w:pPr>
        <w:spacing w:before="120"/>
      </w:pPr>
      <w:r>
        <w:separator/>
      </w:r>
    </w:p>
  </w:footnote>
  <w:footnote w:type="continuationSeparator" w:id="0">
    <w:p w:rsidR="00833396" w:rsidRDefault="00833396" w:rsidP="00F45372">
      <w:r>
        <w:separator/>
      </w:r>
    </w:p>
  </w:footnote>
  <w:footnote w:type="continuationNotice" w:id="1">
    <w:p w:rsidR="00833396" w:rsidRPr="00721353" w:rsidRDefault="00833396" w:rsidP="007E7D4D">
      <w:pPr>
        <w:pStyle w:val="Footer"/>
      </w:pPr>
    </w:p>
  </w:footnote>
  <w:footnote w:id="2">
    <w:p w:rsidR="00833396" w:rsidRPr="00041E70" w:rsidRDefault="00833396" w:rsidP="00833396">
      <w:pPr>
        <w:pStyle w:val="FootnoteText"/>
        <w:rPr>
          <w:lang w:val="es-ES_tradnl"/>
        </w:rPr>
      </w:pPr>
      <w:r w:rsidRPr="00041E70">
        <w:rPr>
          <w:rStyle w:val="FootnoteReference"/>
          <w:lang w:val="es-ES_tradnl"/>
        </w:rPr>
        <w:footnoteRef/>
      </w:r>
      <w:r w:rsidR="00041E70" w:rsidRPr="00041E70">
        <w:rPr>
          <w:lang w:val="es-ES_tradnl"/>
        </w:rPr>
        <w:tab/>
      </w:r>
      <w:r w:rsidRPr="00041E70">
        <w:rPr>
          <w:szCs w:val="16"/>
          <w:lang w:val="es-ES_tradnl" w:eastAsia="ja-JP"/>
        </w:rPr>
        <w:t>Día del obtentor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96" w:rsidRPr="008D3729" w:rsidRDefault="00833396" w:rsidP="007E7D4D">
    <w:pPr>
      <w:pStyle w:val="Header"/>
      <w:rPr>
        <w:rStyle w:val="PageNumber"/>
        <w:lang w:val="es-ES_tradnl"/>
      </w:rPr>
    </w:pPr>
    <w:r>
      <w:rPr>
        <w:rStyle w:val="PageNumber"/>
        <w:lang w:val="es-ES_tradnl"/>
      </w:rPr>
      <w:t>C/49/10</w:t>
    </w:r>
  </w:p>
  <w:p w:rsidR="00833396" w:rsidRPr="008D3729" w:rsidRDefault="00833396" w:rsidP="007E7D4D">
    <w:pPr>
      <w:pStyle w:val="Header"/>
    </w:pPr>
    <w:proofErr w:type="gramStart"/>
    <w:r w:rsidRPr="008D3729">
      <w:t>página</w:t>
    </w:r>
    <w:proofErr w:type="gramEnd"/>
    <w:r w:rsidRPr="008D3729">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2A7B40">
      <w:rPr>
        <w:rStyle w:val="PageNumber"/>
        <w:noProof/>
        <w:lang w:val="es-ES_tradnl"/>
      </w:rPr>
      <w:t>35</w:t>
    </w:r>
    <w:r w:rsidRPr="008D3729">
      <w:rPr>
        <w:rStyle w:val="PageNumber"/>
        <w:lang w:val="es-ES_tradnl"/>
      </w:rPr>
      <w:fldChar w:fldCharType="end"/>
    </w:r>
  </w:p>
  <w:p w:rsidR="00833396" w:rsidRPr="008D3729" w:rsidRDefault="00833396"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CE" w:rsidRPr="00A875CE" w:rsidRDefault="00A875CE" w:rsidP="007E7D4D">
    <w:pPr>
      <w:pStyle w:val="Header"/>
      <w:rPr>
        <w:rStyle w:val="PageNumber"/>
        <w:lang w:val="es-ES_tradnl"/>
      </w:rPr>
    </w:pPr>
    <w:r w:rsidRPr="00A875CE">
      <w:rPr>
        <w:rStyle w:val="PageNumber"/>
        <w:lang w:val="es-ES_tradnl"/>
      </w:rPr>
      <w:t>C/49/10</w:t>
    </w:r>
  </w:p>
  <w:p w:rsidR="00A875CE" w:rsidRPr="00A875CE" w:rsidRDefault="00A875CE" w:rsidP="007E7D4D">
    <w:pPr>
      <w:pStyle w:val="Header"/>
      <w:rPr>
        <w:lang w:val="es-ES_tradnl"/>
      </w:rPr>
    </w:pPr>
  </w:p>
  <w:p w:rsidR="00A875CE" w:rsidRPr="00A875CE" w:rsidRDefault="00A875CE" w:rsidP="007E7D4D">
    <w:pPr>
      <w:pStyle w:val="Header"/>
      <w:rPr>
        <w:lang w:val="es-ES_tradnl"/>
      </w:rPr>
    </w:pPr>
    <w:r w:rsidRPr="00A875CE">
      <w:rPr>
        <w:lang w:val="es-ES_tradnl"/>
      </w:rPr>
      <w:t>ANEXO</w:t>
    </w:r>
  </w:p>
  <w:p w:rsidR="00A875CE" w:rsidRPr="00A875CE" w:rsidRDefault="00A875CE" w:rsidP="007E7D4D">
    <w:pPr>
      <w:pStyle w:val="Header"/>
      <w:rPr>
        <w:lang w:val="es-ES_tradnl"/>
      </w:rPr>
    </w:pPr>
  </w:p>
  <w:p w:rsidR="00A875CE" w:rsidRPr="00A875CE" w:rsidRDefault="00A875CE" w:rsidP="007E7D4D">
    <w:pPr>
      <w:pStyle w:val="Header"/>
      <w:rPr>
        <w:lang w:val="es-ES_tradnl"/>
      </w:rPr>
    </w:pPr>
    <w:r w:rsidRPr="00A875CE">
      <w:rPr>
        <w:lang w:val="es-ES_tradnl"/>
      </w:rPr>
      <w:t>APÉNDICE</w:t>
    </w:r>
    <w:proofErr w:type="gramStart"/>
    <w:r w:rsidRPr="00A875CE">
      <w:rPr>
        <w:lang w:val="es-ES_tradnl"/>
      </w:rPr>
      <w:t>:  PROGRAMA</w:t>
    </w:r>
    <w:proofErr w:type="gramEnd"/>
    <w:r w:rsidRPr="00A875CE">
      <w:rPr>
        <w:lang w:val="es-ES_tradnl"/>
      </w:rPr>
      <w:t xml:space="preserve"> RELATIVO A LA REVISIÓN DEL DOCUMENTO TGP/8</w:t>
    </w:r>
  </w:p>
  <w:p w:rsidR="00A875CE" w:rsidRPr="00A875CE" w:rsidRDefault="00A875CE" w:rsidP="00F453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4D" w:rsidRPr="002A7B40" w:rsidRDefault="007E7D4D" w:rsidP="007E7D4D">
    <w:pPr>
      <w:spacing w:after="120"/>
      <w:jc w:val="center"/>
      <w:rPr>
        <w:lang w:val="pt-BR"/>
      </w:rPr>
    </w:pPr>
    <w:r w:rsidRPr="002A7B40">
      <w:rPr>
        <w:lang w:val="pt-BR"/>
      </w:rPr>
      <w:t>C/49/10</w:t>
    </w:r>
  </w:p>
  <w:p w:rsidR="007E7D4D" w:rsidRPr="002A7B40" w:rsidRDefault="007E7D4D" w:rsidP="007E7D4D">
    <w:pPr>
      <w:jc w:val="center"/>
      <w:rPr>
        <w:lang w:val="pt-BR"/>
      </w:rPr>
    </w:pPr>
    <w:r w:rsidRPr="002A7B40">
      <w:rPr>
        <w:lang w:val="pt-BR"/>
      </w:rPr>
      <w:t>ANEXO</w:t>
    </w:r>
  </w:p>
  <w:p w:rsidR="007E7D4D" w:rsidRPr="002A7B40" w:rsidRDefault="007E7D4D" w:rsidP="00A875CE">
    <w:pPr>
      <w:spacing w:after="120"/>
      <w:jc w:val="center"/>
      <w:rPr>
        <w:lang w:val="pt-BR"/>
      </w:rPr>
    </w:pPr>
    <w:r w:rsidRPr="002A7B40">
      <w:rPr>
        <w:lang w:val="pt-BR"/>
      </w:rPr>
      <w:t>PROGRAMA RELATIVO A LOS DOCUMENTOS TGP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1646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20B92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7EC4F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EA99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506CB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762F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881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6C6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1042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04A4B4"/>
    <w:lvl w:ilvl="0">
      <w:start w:val="1"/>
      <w:numFmt w:val="bullet"/>
      <w:lvlText w:val=""/>
      <w:lvlJc w:val="left"/>
      <w:pPr>
        <w:tabs>
          <w:tab w:val="num" w:pos="360"/>
        </w:tabs>
        <w:ind w:left="360" w:hanging="360"/>
      </w:pPr>
      <w:rPr>
        <w:rFonts w:ascii="Symbol" w:hAnsi="Symbol" w:hint="default"/>
      </w:rPr>
    </w:lvl>
  </w:abstractNum>
  <w:abstractNum w:abstractNumId="10">
    <w:nsid w:val="027446FE"/>
    <w:multiLevelType w:val="hybridMultilevel"/>
    <w:tmpl w:val="623C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9D544D"/>
    <w:multiLevelType w:val="hybridMultilevel"/>
    <w:tmpl w:val="36C22F72"/>
    <w:lvl w:ilvl="0" w:tplc="0376434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595D18"/>
    <w:multiLevelType w:val="singleLevel"/>
    <w:tmpl w:val="04090019"/>
    <w:lvl w:ilvl="0">
      <w:start w:val="1"/>
      <w:numFmt w:val="lowerLetter"/>
      <w:lvlText w:val="(%1)"/>
      <w:lvlJc w:val="left"/>
      <w:pPr>
        <w:tabs>
          <w:tab w:val="num" w:pos="360"/>
        </w:tabs>
        <w:ind w:left="360" w:hanging="360"/>
      </w:pPr>
    </w:lvl>
  </w:abstractNum>
  <w:abstractNum w:abstractNumId="14">
    <w:nsid w:val="12F72F8B"/>
    <w:multiLevelType w:val="hybridMultilevel"/>
    <w:tmpl w:val="ADCAA96E"/>
    <w:lvl w:ilvl="0" w:tplc="0409000F">
      <w:start w:val="1"/>
      <w:numFmt w:val="decimal"/>
      <w:lvlText w:val="%1."/>
      <w:lvlJc w:val="left"/>
      <w:pPr>
        <w:ind w:left="1211" w:hanging="360"/>
      </w:pPr>
    </w:lvl>
    <w:lvl w:ilvl="1" w:tplc="85D01282">
      <w:start w:val="1"/>
      <w:numFmt w:val="lowerLetter"/>
      <w:lvlText w:val="(%2)"/>
      <w:lvlJc w:val="left"/>
      <w:pPr>
        <w:ind w:left="1943" w:hanging="372"/>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A7349B"/>
    <w:multiLevelType w:val="multilevel"/>
    <w:tmpl w:val="C1AC78C6"/>
    <w:lvl w:ilvl="0">
      <w:start w:val="1"/>
      <w:numFmt w:val="lowerRoman"/>
      <w:lvlText w:val="%1)"/>
      <w:lvlJc w:val="left"/>
      <w:pPr>
        <w:ind w:left="1287" w:hanging="720"/>
      </w:pPr>
      <w:rPr>
        <w:rFonts w:cs="Times New Roman" w:hint="default"/>
        <w:dstrike/>
        <w:color w:val="00000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9">
    <w:nsid w:val="1C06520C"/>
    <w:multiLevelType w:val="hybridMultilevel"/>
    <w:tmpl w:val="A6D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20150425"/>
    <w:multiLevelType w:val="hybridMultilevel"/>
    <w:tmpl w:val="ADF62FA4"/>
    <w:lvl w:ilvl="0" w:tplc="C178A988">
      <w:start w:val="1"/>
      <w:numFmt w:val="lowerRoman"/>
      <w:lvlText w:val="%1)"/>
      <w:lvlJc w:val="left"/>
      <w:pPr>
        <w:ind w:left="1287" w:hanging="720"/>
      </w:pPr>
      <w:rPr>
        <w:rFonts w:cs="Times New Roman" w:hint="default"/>
        <w:dstrike w:val="0"/>
        <w:color w:val="00000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2">
    <w:nsid w:val="216D14F1"/>
    <w:multiLevelType w:val="hybridMultilevel"/>
    <w:tmpl w:val="135CE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4670F1"/>
    <w:multiLevelType w:val="hybridMultilevel"/>
    <w:tmpl w:val="2A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152A2F"/>
    <w:multiLevelType w:val="singleLevel"/>
    <w:tmpl w:val="04090019"/>
    <w:lvl w:ilvl="0">
      <w:start w:val="1"/>
      <w:numFmt w:val="lowerLetter"/>
      <w:lvlText w:val="(%1)"/>
      <w:lvlJc w:val="left"/>
      <w:pPr>
        <w:tabs>
          <w:tab w:val="num" w:pos="360"/>
        </w:tabs>
        <w:ind w:left="360" w:hanging="360"/>
      </w:pPr>
    </w:lvl>
  </w:abstractNum>
  <w:abstractNum w:abstractNumId="25">
    <w:nsid w:val="2B3E11E2"/>
    <w:multiLevelType w:val="hybridMultilevel"/>
    <w:tmpl w:val="80444E96"/>
    <w:lvl w:ilvl="0" w:tplc="61600200">
      <w:start w:val="1"/>
      <w:numFmt w:val="bullet"/>
      <w:lvlText w:val="•"/>
      <w:lvlJc w:val="left"/>
      <w:pPr>
        <w:tabs>
          <w:tab w:val="num" w:pos="720"/>
        </w:tabs>
        <w:ind w:left="720" w:hanging="360"/>
      </w:pPr>
      <w:rPr>
        <w:rFonts w:ascii="Arial" w:hAnsi="Arial" w:hint="default"/>
      </w:rPr>
    </w:lvl>
    <w:lvl w:ilvl="1" w:tplc="2E004164">
      <w:start w:val="1864"/>
      <w:numFmt w:val="bullet"/>
      <w:lvlText w:val="–"/>
      <w:lvlJc w:val="left"/>
      <w:pPr>
        <w:tabs>
          <w:tab w:val="num" w:pos="1440"/>
        </w:tabs>
        <w:ind w:left="1440" w:hanging="360"/>
      </w:pPr>
      <w:rPr>
        <w:rFonts w:ascii="Arial" w:hAnsi="Arial" w:hint="default"/>
      </w:rPr>
    </w:lvl>
    <w:lvl w:ilvl="2" w:tplc="0004F5D2" w:tentative="1">
      <w:start w:val="1"/>
      <w:numFmt w:val="bullet"/>
      <w:lvlText w:val="•"/>
      <w:lvlJc w:val="left"/>
      <w:pPr>
        <w:tabs>
          <w:tab w:val="num" w:pos="2160"/>
        </w:tabs>
        <w:ind w:left="2160" w:hanging="360"/>
      </w:pPr>
      <w:rPr>
        <w:rFonts w:ascii="Arial" w:hAnsi="Arial" w:hint="default"/>
      </w:rPr>
    </w:lvl>
    <w:lvl w:ilvl="3" w:tplc="3D4870DC" w:tentative="1">
      <w:start w:val="1"/>
      <w:numFmt w:val="bullet"/>
      <w:lvlText w:val="•"/>
      <w:lvlJc w:val="left"/>
      <w:pPr>
        <w:tabs>
          <w:tab w:val="num" w:pos="2880"/>
        </w:tabs>
        <w:ind w:left="2880" w:hanging="360"/>
      </w:pPr>
      <w:rPr>
        <w:rFonts w:ascii="Arial" w:hAnsi="Arial" w:hint="default"/>
      </w:rPr>
    </w:lvl>
    <w:lvl w:ilvl="4" w:tplc="1E9EE928" w:tentative="1">
      <w:start w:val="1"/>
      <w:numFmt w:val="bullet"/>
      <w:lvlText w:val="•"/>
      <w:lvlJc w:val="left"/>
      <w:pPr>
        <w:tabs>
          <w:tab w:val="num" w:pos="3600"/>
        </w:tabs>
        <w:ind w:left="3600" w:hanging="360"/>
      </w:pPr>
      <w:rPr>
        <w:rFonts w:ascii="Arial" w:hAnsi="Arial" w:hint="default"/>
      </w:rPr>
    </w:lvl>
    <w:lvl w:ilvl="5" w:tplc="2612FC78" w:tentative="1">
      <w:start w:val="1"/>
      <w:numFmt w:val="bullet"/>
      <w:lvlText w:val="•"/>
      <w:lvlJc w:val="left"/>
      <w:pPr>
        <w:tabs>
          <w:tab w:val="num" w:pos="4320"/>
        </w:tabs>
        <w:ind w:left="4320" w:hanging="360"/>
      </w:pPr>
      <w:rPr>
        <w:rFonts w:ascii="Arial" w:hAnsi="Arial" w:hint="default"/>
      </w:rPr>
    </w:lvl>
    <w:lvl w:ilvl="6" w:tplc="1FCC54D8" w:tentative="1">
      <w:start w:val="1"/>
      <w:numFmt w:val="bullet"/>
      <w:lvlText w:val="•"/>
      <w:lvlJc w:val="left"/>
      <w:pPr>
        <w:tabs>
          <w:tab w:val="num" w:pos="5040"/>
        </w:tabs>
        <w:ind w:left="5040" w:hanging="360"/>
      </w:pPr>
      <w:rPr>
        <w:rFonts w:ascii="Arial" w:hAnsi="Arial" w:hint="default"/>
      </w:rPr>
    </w:lvl>
    <w:lvl w:ilvl="7" w:tplc="52BC7CD6" w:tentative="1">
      <w:start w:val="1"/>
      <w:numFmt w:val="bullet"/>
      <w:lvlText w:val="•"/>
      <w:lvlJc w:val="left"/>
      <w:pPr>
        <w:tabs>
          <w:tab w:val="num" w:pos="5760"/>
        </w:tabs>
        <w:ind w:left="5760" w:hanging="360"/>
      </w:pPr>
      <w:rPr>
        <w:rFonts w:ascii="Arial" w:hAnsi="Arial" w:hint="default"/>
      </w:rPr>
    </w:lvl>
    <w:lvl w:ilvl="8" w:tplc="8530EAC8" w:tentative="1">
      <w:start w:val="1"/>
      <w:numFmt w:val="bullet"/>
      <w:lvlText w:val="•"/>
      <w:lvlJc w:val="left"/>
      <w:pPr>
        <w:tabs>
          <w:tab w:val="num" w:pos="6480"/>
        </w:tabs>
        <w:ind w:left="6480" w:hanging="360"/>
      </w:pPr>
      <w:rPr>
        <w:rFonts w:ascii="Arial" w:hAnsi="Arial" w:hint="default"/>
      </w:rPr>
    </w:lvl>
  </w:abstractNum>
  <w:abstractNum w:abstractNumId="26">
    <w:nsid w:val="334A4B92"/>
    <w:multiLevelType w:val="singleLevel"/>
    <w:tmpl w:val="0409000F"/>
    <w:lvl w:ilvl="0">
      <w:start w:val="1"/>
      <w:numFmt w:val="decimal"/>
      <w:lvlText w:val="%1."/>
      <w:lvlJc w:val="left"/>
      <w:pPr>
        <w:tabs>
          <w:tab w:val="num" w:pos="360"/>
        </w:tabs>
        <w:ind w:left="360" w:hanging="360"/>
      </w:pPr>
    </w:lvl>
  </w:abstractNum>
  <w:abstractNum w:abstractNumId="27">
    <w:nsid w:val="35831E7F"/>
    <w:multiLevelType w:val="hybridMultilevel"/>
    <w:tmpl w:val="28C45210"/>
    <w:lvl w:ilvl="0" w:tplc="E7D0A81E">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nsid w:val="464D4BFB"/>
    <w:multiLevelType w:val="hybridMultilevel"/>
    <w:tmpl w:val="5F6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5DB3637C"/>
    <w:multiLevelType w:val="hybridMultilevel"/>
    <w:tmpl w:val="3774D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611A69E9"/>
    <w:multiLevelType w:val="singleLevel"/>
    <w:tmpl w:val="66C2B07C"/>
    <w:lvl w:ilvl="0">
      <w:start w:val="1"/>
      <w:numFmt w:val="lowerLetter"/>
      <w:lvlText w:val="%1)"/>
      <w:lvlJc w:val="left"/>
      <w:pPr>
        <w:ind w:left="360" w:hanging="360"/>
      </w:pPr>
      <w:rPr>
        <w:rFonts w:cs="Times New Roman" w:hint="default"/>
        <w:dstrike w:val="0"/>
      </w:rPr>
    </w:lvl>
  </w:abstractNum>
  <w:abstractNum w:abstractNumId="38">
    <w:nsid w:val="63B55E69"/>
    <w:multiLevelType w:val="hybridMultilevel"/>
    <w:tmpl w:val="A8007582"/>
    <w:lvl w:ilvl="0" w:tplc="68CE1F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7B59F4"/>
    <w:multiLevelType w:val="hybridMultilevel"/>
    <w:tmpl w:val="4C38545E"/>
    <w:lvl w:ilvl="0" w:tplc="7228018A">
      <w:start w:val="1"/>
      <w:numFmt w:val="low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0">
    <w:nsid w:val="6E8D7300"/>
    <w:multiLevelType w:val="hybridMultilevel"/>
    <w:tmpl w:val="1A6C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C22635"/>
    <w:multiLevelType w:val="hybridMultilevel"/>
    <w:tmpl w:val="CBB43C8C"/>
    <w:lvl w:ilvl="0" w:tplc="3B78C056">
      <w:start w:val="1"/>
      <w:numFmt w:val="bullet"/>
      <w:lvlText w:val="•"/>
      <w:lvlJc w:val="left"/>
      <w:pPr>
        <w:tabs>
          <w:tab w:val="num" w:pos="720"/>
        </w:tabs>
        <w:ind w:left="720" w:hanging="360"/>
      </w:pPr>
      <w:rPr>
        <w:rFonts w:ascii="Arial" w:hAnsi="Arial" w:hint="default"/>
      </w:rPr>
    </w:lvl>
    <w:lvl w:ilvl="1" w:tplc="232E220A">
      <w:start w:val="2249"/>
      <w:numFmt w:val="bullet"/>
      <w:lvlText w:val="–"/>
      <w:lvlJc w:val="left"/>
      <w:pPr>
        <w:tabs>
          <w:tab w:val="num" w:pos="1440"/>
        </w:tabs>
        <w:ind w:left="1440" w:hanging="360"/>
      </w:pPr>
      <w:rPr>
        <w:rFonts w:ascii="Arial" w:hAnsi="Arial" w:hint="default"/>
      </w:rPr>
    </w:lvl>
    <w:lvl w:ilvl="2" w:tplc="56CC4ABE" w:tentative="1">
      <w:start w:val="1"/>
      <w:numFmt w:val="bullet"/>
      <w:lvlText w:val="•"/>
      <w:lvlJc w:val="left"/>
      <w:pPr>
        <w:tabs>
          <w:tab w:val="num" w:pos="2160"/>
        </w:tabs>
        <w:ind w:left="2160" w:hanging="360"/>
      </w:pPr>
      <w:rPr>
        <w:rFonts w:ascii="Arial" w:hAnsi="Arial" w:hint="default"/>
      </w:rPr>
    </w:lvl>
    <w:lvl w:ilvl="3" w:tplc="C45A2C30" w:tentative="1">
      <w:start w:val="1"/>
      <w:numFmt w:val="bullet"/>
      <w:lvlText w:val="•"/>
      <w:lvlJc w:val="left"/>
      <w:pPr>
        <w:tabs>
          <w:tab w:val="num" w:pos="2880"/>
        </w:tabs>
        <w:ind w:left="2880" w:hanging="360"/>
      </w:pPr>
      <w:rPr>
        <w:rFonts w:ascii="Arial" w:hAnsi="Arial" w:hint="default"/>
      </w:rPr>
    </w:lvl>
    <w:lvl w:ilvl="4" w:tplc="9948CDE8" w:tentative="1">
      <w:start w:val="1"/>
      <w:numFmt w:val="bullet"/>
      <w:lvlText w:val="•"/>
      <w:lvlJc w:val="left"/>
      <w:pPr>
        <w:tabs>
          <w:tab w:val="num" w:pos="3600"/>
        </w:tabs>
        <w:ind w:left="3600" w:hanging="360"/>
      </w:pPr>
      <w:rPr>
        <w:rFonts w:ascii="Arial" w:hAnsi="Arial" w:hint="default"/>
      </w:rPr>
    </w:lvl>
    <w:lvl w:ilvl="5" w:tplc="BD8AE3BC" w:tentative="1">
      <w:start w:val="1"/>
      <w:numFmt w:val="bullet"/>
      <w:lvlText w:val="•"/>
      <w:lvlJc w:val="left"/>
      <w:pPr>
        <w:tabs>
          <w:tab w:val="num" w:pos="4320"/>
        </w:tabs>
        <w:ind w:left="4320" w:hanging="360"/>
      </w:pPr>
      <w:rPr>
        <w:rFonts w:ascii="Arial" w:hAnsi="Arial" w:hint="default"/>
      </w:rPr>
    </w:lvl>
    <w:lvl w:ilvl="6" w:tplc="279AAF3A" w:tentative="1">
      <w:start w:val="1"/>
      <w:numFmt w:val="bullet"/>
      <w:lvlText w:val="•"/>
      <w:lvlJc w:val="left"/>
      <w:pPr>
        <w:tabs>
          <w:tab w:val="num" w:pos="5040"/>
        </w:tabs>
        <w:ind w:left="5040" w:hanging="360"/>
      </w:pPr>
      <w:rPr>
        <w:rFonts w:ascii="Arial" w:hAnsi="Arial" w:hint="default"/>
      </w:rPr>
    </w:lvl>
    <w:lvl w:ilvl="7" w:tplc="E10E83F6" w:tentative="1">
      <w:start w:val="1"/>
      <w:numFmt w:val="bullet"/>
      <w:lvlText w:val="•"/>
      <w:lvlJc w:val="left"/>
      <w:pPr>
        <w:tabs>
          <w:tab w:val="num" w:pos="5760"/>
        </w:tabs>
        <w:ind w:left="5760" w:hanging="360"/>
      </w:pPr>
      <w:rPr>
        <w:rFonts w:ascii="Arial" w:hAnsi="Arial" w:hint="default"/>
      </w:rPr>
    </w:lvl>
    <w:lvl w:ilvl="8" w:tplc="DD2EE926" w:tentative="1">
      <w:start w:val="1"/>
      <w:numFmt w:val="bullet"/>
      <w:lvlText w:val="•"/>
      <w:lvlJc w:val="left"/>
      <w:pPr>
        <w:tabs>
          <w:tab w:val="num" w:pos="6480"/>
        </w:tabs>
        <w:ind w:left="6480" w:hanging="360"/>
      </w:pPr>
      <w:rPr>
        <w:rFonts w:ascii="Arial" w:hAnsi="Arial" w:hint="default"/>
      </w:rPr>
    </w:lvl>
  </w:abstractNum>
  <w:abstractNum w:abstractNumId="42">
    <w:nsid w:val="72EF13DC"/>
    <w:multiLevelType w:val="hybridMultilevel"/>
    <w:tmpl w:val="949A3C44"/>
    <w:lvl w:ilvl="0" w:tplc="D8F86442">
      <w:start w:val="1"/>
      <w:numFmt w:val="low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3">
    <w:nsid w:val="73391E4D"/>
    <w:multiLevelType w:val="hybridMultilevel"/>
    <w:tmpl w:val="CA14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A92E06"/>
    <w:multiLevelType w:val="singleLevel"/>
    <w:tmpl w:val="66C2B07C"/>
    <w:lvl w:ilvl="0">
      <w:start w:val="1"/>
      <w:numFmt w:val="lowerLetter"/>
      <w:lvlText w:val="%1)"/>
      <w:lvlJc w:val="left"/>
      <w:pPr>
        <w:ind w:left="360" w:hanging="360"/>
      </w:pPr>
      <w:rPr>
        <w:rFonts w:cs="Times New Roman" w:hint="default"/>
        <w:dstrike w:val="0"/>
      </w:rPr>
    </w:lvl>
  </w:abstractNum>
  <w:abstractNum w:abstractNumId="45">
    <w:nsid w:val="77BA74FD"/>
    <w:multiLevelType w:val="hybridMultilevel"/>
    <w:tmpl w:val="B4781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8"/>
  </w:num>
  <w:num w:numId="2">
    <w:abstractNumId w:val="30"/>
  </w:num>
  <w:num w:numId="3">
    <w:abstractNumId w:val="43"/>
  </w:num>
  <w:num w:numId="4">
    <w:abstractNumId w:val="35"/>
  </w:num>
  <w:num w:numId="5">
    <w:abstractNumId w:val="45"/>
  </w:num>
  <w:num w:numId="6">
    <w:abstractNumId w:val="32"/>
  </w:num>
  <w:num w:numId="7">
    <w:abstractNumId w:val="46"/>
  </w:num>
  <w:num w:numId="8">
    <w:abstractNumId w:val="16"/>
  </w:num>
  <w:num w:numId="9">
    <w:abstractNumId w:val="36"/>
  </w:num>
  <w:num w:numId="10">
    <w:abstractNumId w:val="34"/>
  </w:num>
  <w:num w:numId="11">
    <w:abstractNumId w:val="12"/>
  </w:num>
  <w:num w:numId="12">
    <w:abstractNumId w:val="23"/>
  </w:num>
  <w:num w:numId="13">
    <w:abstractNumId w:val="15"/>
  </w:num>
  <w:num w:numId="14">
    <w:abstractNumId w:val="15"/>
    <w:lvlOverride w:ilvl="0">
      <w:startOverride w:val="1"/>
    </w:lvlOverride>
  </w:num>
  <w:num w:numId="15">
    <w:abstractNumId w:val="22"/>
  </w:num>
  <w:num w:numId="16">
    <w:abstractNumId w:val="15"/>
    <w:lvlOverride w:ilvl="0">
      <w:startOverride w:val="1"/>
    </w:lvlOverride>
  </w:num>
  <w:num w:numId="17">
    <w:abstractNumId w:val="31"/>
  </w:num>
  <w:num w:numId="18">
    <w:abstractNumId w:val="27"/>
  </w:num>
  <w:num w:numId="19">
    <w:abstractNumId w:val="26"/>
  </w:num>
  <w:num w:numId="20">
    <w:abstractNumId w:val="24"/>
  </w:num>
  <w:num w:numId="21">
    <w:abstractNumId w:val="14"/>
  </w:num>
  <w:num w:numId="22">
    <w:abstractNumId w:val="10"/>
  </w:num>
  <w:num w:numId="23">
    <w:abstractNumId w:val="33"/>
  </w:num>
  <w:num w:numId="24">
    <w:abstractNumId w:val="13"/>
  </w:num>
  <w:num w:numId="25">
    <w:abstractNumId w:val="25"/>
  </w:num>
  <w:num w:numId="26">
    <w:abstractNumId w:val="41"/>
  </w:num>
  <w:num w:numId="27">
    <w:abstractNumId w:val="28"/>
  </w:num>
  <w:num w:numId="28">
    <w:abstractNumId w:val="40"/>
  </w:num>
  <w:num w:numId="29">
    <w:abstractNumId w:val="19"/>
  </w:num>
  <w:num w:numId="30">
    <w:abstractNumId w:val="29"/>
  </w:num>
  <w:num w:numId="31">
    <w:abstractNumId w:val="20"/>
  </w:num>
  <w:num w:numId="32">
    <w:abstractNumId w:val="17"/>
  </w:num>
  <w:num w:numId="33">
    <w:abstractNumId w:val="11"/>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1"/>
  </w:num>
  <w:num w:numId="45">
    <w:abstractNumId w:val="39"/>
  </w:num>
  <w:num w:numId="46">
    <w:abstractNumId w:val="42"/>
  </w:num>
  <w:num w:numId="47">
    <w:abstractNumId w:val="44"/>
  </w:num>
  <w:num w:numId="48">
    <w:abstractNumId w:val="3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2C"/>
    <w:rsid w:val="0000571E"/>
    <w:rsid w:val="00010CF3"/>
    <w:rsid w:val="00011E27"/>
    <w:rsid w:val="000148BC"/>
    <w:rsid w:val="00024AB8"/>
    <w:rsid w:val="00030854"/>
    <w:rsid w:val="00036028"/>
    <w:rsid w:val="00041E70"/>
    <w:rsid w:val="00044642"/>
    <w:rsid w:val="000446B9"/>
    <w:rsid w:val="00047E21"/>
    <w:rsid w:val="00085505"/>
    <w:rsid w:val="000C244A"/>
    <w:rsid w:val="000C7021"/>
    <w:rsid w:val="000D6BBC"/>
    <w:rsid w:val="000D7780"/>
    <w:rsid w:val="00105929"/>
    <w:rsid w:val="001131D5"/>
    <w:rsid w:val="00141DB8"/>
    <w:rsid w:val="00142198"/>
    <w:rsid w:val="0017474A"/>
    <w:rsid w:val="001758C6"/>
    <w:rsid w:val="001A77B1"/>
    <w:rsid w:val="001C5971"/>
    <w:rsid w:val="001E266D"/>
    <w:rsid w:val="001F7DBD"/>
    <w:rsid w:val="0021332C"/>
    <w:rsid w:val="00213743"/>
    <w:rsid w:val="00213982"/>
    <w:rsid w:val="00235267"/>
    <w:rsid w:val="0024416D"/>
    <w:rsid w:val="00264A36"/>
    <w:rsid w:val="00266E18"/>
    <w:rsid w:val="002800A0"/>
    <w:rsid w:val="002801B3"/>
    <w:rsid w:val="00281060"/>
    <w:rsid w:val="002940E8"/>
    <w:rsid w:val="002A39B2"/>
    <w:rsid w:val="002A6E50"/>
    <w:rsid w:val="002A7B40"/>
    <w:rsid w:val="002C256A"/>
    <w:rsid w:val="00305A7F"/>
    <w:rsid w:val="0031332C"/>
    <w:rsid w:val="003152FE"/>
    <w:rsid w:val="00320AE8"/>
    <w:rsid w:val="00327436"/>
    <w:rsid w:val="00344BD6"/>
    <w:rsid w:val="0035528D"/>
    <w:rsid w:val="00361821"/>
    <w:rsid w:val="00370631"/>
    <w:rsid w:val="00373109"/>
    <w:rsid w:val="003C0BF3"/>
    <w:rsid w:val="003D227C"/>
    <w:rsid w:val="003D2B4D"/>
    <w:rsid w:val="003D7E71"/>
    <w:rsid w:val="003E7998"/>
    <w:rsid w:val="00444A88"/>
    <w:rsid w:val="00474DA4"/>
    <w:rsid w:val="00481701"/>
    <w:rsid w:val="004B46F6"/>
    <w:rsid w:val="004D047D"/>
    <w:rsid w:val="004F305A"/>
    <w:rsid w:val="00512164"/>
    <w:rsid w:val="00520297"/>
    <w:rsid w:val="005338F9"/>
    <w:rsid w:val="0054281C"/>
    <w:rsid w:val="0055268D"/>
    <w:rsid w:val="00576BE4"/>
    <w:rsid w:val="00576BF0"/>
    <w:rsid w:val="005A400A"/>
    <w:rsid w:val="005F33AB"/>
    <w:rsid w:val="00612379"/>
    <w:rsid w:val="0061555F"/>
    <w:rsid w:val="00641200"/>
    <w:rsid w:val="00687EB4"/>
    <w:rsid w:val="006950AA"/>
    <w:rsid w:val="006A59FA"/>
    <w:rsid w:val="006B17D2"/>
    <w:rsid w:val="006C224E"/>
    <w:rsid w:val="006D780A"/>
    <w:rsid w:val="00721353"/>
    <w:rsid w:val="00732DEC"/>
    <w:rsid w:val="00735BD5"/>
    <w:rsid w:val="00745D66"/>
    <w:rsid w:val="007556F6"/>
    <w:rsid w:val="00760EEF"/>
    <w:rsid w:val="00777EE5"/>
    <w:rsid w:val="00784836"/>
    <w:rsid w:val="0079023E"/>
    <w:rsid w:val="007A2854"/>
    <w:rsid w:val="007D0B9D"/>
    <w:rsid w:val="007D19B0"/>
    <w:rsid w:val="007E7D4D"/>
    <w:rsid w:val="007F498F"/>
    <w:rsid w:val="0080679D"/>
    <w:rsid w:val="008108B0"/>
    <w:rsid w:val="00811B20"/>
    <w:rsid w:val="0082296E"/>
    <w:rsid w:val="00824099"/>
    <w:rsid w:val="00833396"/>
    <w:rsid w:val="00867AC1"/>
    <w:rsid w:val="008A743F"/>
    <w:rsid w:val="008C0970"/>
    <w:rsid w:val="008D2CF7"/>
    <w:rsid w:val="008D3729"/>
    <w:rsid w:val="00900C26"/>
    <w:rsid w:val="0090197F"/>
    <w:rsid w:val="00906DDC"/>
    <w:rsid w:val="00934E09"/>
    <w:rsid w:val="00936253"/>
    <w:rsid w:val="00952DD4"/>
    <w:rsid w:val="00970FED"/>
    <w:rsid w:val="00997029"/>
    <w:rsid w:val="009A0B1E"/>
    <w:rsid w:val="009D690D"/>
    <w:rsid w:val="009E65B6"/>
    <w:rsid w:val="00A42AC3"/>
    <w:rsid w:val="00A430CF"/>
    <w:rsid w:val="00A47CDB"/>
    <w:rsid w:val="00A54309"/>
    <w:rsid w:val="00A716D0"/>
    <w:rsid w:val="00A875CE"/>
    <w:rsid w:val="00A929D4"/>
    <w:rsid w:val="00AB2B93"/>
    <w:rsid w:val="00AB7E5B"/>
    <w:rsid w:val="00AE0EF1"/>
    <w:rsid w:val="00B07301"/>
    <w:rsid w:val="00B07FF0"/>
    <w:rsid w:val="00B108A6"/>
    <w:rsid w:val="00B224DE"/>
    <w:rsid w:val="00B7224D"/>
    <w:rsid w:val="00B72907"/>
    <w:rsid w:val="00B84BBD"/>
    <w:rsid w:val="00BA43FB"/>
    <w:rsid w:val="00BC127D"/>
    <w:rsid w:val="00BC1FE6"/>
    <w:rsid w:val="00C061B6"/>
    <w:rsid w:val="00C13808"/>
    <w:rsid w:val="00C2446C"/>
    <w:rsid w:val="00C36AE5"/>
    <w:rsid w:val="00C41F17"/>
    <w:rsid w:val="00C5791C"/>
    <w:rsid w:val="00C66290"/>
    <w:rsid w:val="00C72B7A"/>
    <w:rsid w:val="00C92624"/>
    <w:rsid w:val="00C973F2"/>
    <w:rsid w:val="00CA774A"/>
    <w:rsid w:val="00CB2E31"/>
    <w:rsid w:val="00CC11B0"/>
    <w:rsid w:val="00CE697E"/>
    <w:rsid w:val="00CF7E36"/>
    <w:rsid w:val="00D261C5"/>
    <w:rsid w:val="00D3708D"/>
    <w:rsid w:val="00D40426"/>
    <w:rsid w:val="00D57C96"/>
    <w:rsid w:val="00D72695"/>
    <w:rsid w:val="00D91203"/>
    <w:rsid w:val="00D95174"/>
    <w:rsid w:val="00DA4685"/>
    <w:rsid w:val="00DA6F36"/>
    <w:rsid w:val="00DB596E"/>
    <w:rsid w:val="00DC00EA"/>
    <w:rsid w:val="00E14071"/>
    <w:rsid w:val="00E4782E"/>
    <w:rsid w:val="00E72D49"/>
    <w:rsid w:val="00E7593C"/>
    <w:rsid w:val="00E7678A"/>
    <w:rsid w:val="00E80F31"/>
    <w:rsid w:val="00E935F1"/>
    <w:rsid w:val="00E94A81"/>
    <w:rsid w:val="00EA1FFB"/>
    <w:rsid w:val="00EA5245"/>
    <w:rsid w:val="00EB048E"/>
    <w:rsid w:val="00EE34DF"/>
    <w:rsid w:val="00EF2F89"/>
    <w:rsid w:val="00F00A88"/>
    <w:rsid w:val="00F1237A"/>
    <w:rsid w:val="00F22CBD"/>
    <w:rsid w:val="00F45372"/>
    <w:rsid w:val="00F560F7"/>
    <w:rsid w:val="00F6334D"/>
    <w:rsid w:val="00F73179"/>
    <w:rsid w:val="00FA49AB"/>
    <w:rsid w:val="00FE39C7"/>
    <w:rsid w:val="00FF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Normal Indent" w:uiPriority="0"/>
    <w:lsdException w:name="header" w:uiPriority="0"/>
    <w:lsdException w:name="index heading" w:uiPriority="0"/>
    <w:lsdException w:name="caption" w:semiHidden="1" w:unhideWhenUsed="1" w:qFormat="1"/>
    <w:lsdException w:name="table of figures" w:uiPriority="0"/>
    <w:lsdException w:name="table of authorities" w:uiPriority="0"/>
    <w:lsdException w:name="toa heading" w:uiPriority="0"/>
    <w:lsdException w:name="Title" w:qFormat="1"/>
    <w:lsdException w:name="Default Paragraph Font" w:uiPriority="1"/>
    <w:lsdException w:name="Subtitle"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qFormat="1"/>
    <w:lsdException w:name="Emphasis" w:uiPriority="20" w:qFormat="1"/>
    <w:lsdException w:name="Document Map" w:uiPriority="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BF3"/>
    <w:pPr>
      <w:jc w:val="both"/>
    </w:pPr>
    <w:rPr>
      <w:rFonts w:ascii="Arial" w:hAnsi="Arial"/>
      <w:lang w:val="es-ES_tradnl"/>
    </w:rPr>
  </w:style>
  <w:style w:type="paragraph" w:styleId="Heading1">
    <w:name w:val="heading 1"/>
    <w:next w:val="Normal"/>
    <w:link w:val="Heading1Char"/>
    <w:autoRedefine/>
    <w:uiPriority w:val="99"/>
    <w:qFormat/>
    <w:rsid w:val="001E266D"/>
    <w:pPr>
      <w:keepNext/>
      <w:jc w:val="both"/>
      <w:outlineLvl w:val="0"/>
    </w:pPr>
    <w:rPr>
      <w:rFonts w:ascii="Arial" w:hAnsi="Arial"/>
      <w:caps/>
    </w:rPr>
  </w:style>
  <w:style w:type="paragraph" w:styleId="Heading2">
    <w:name w:val="heading 2"/>
    <w:next w:val="Normal"/>
    <w:link w:val="Heading2Char"/>
    <w:autoRedefine/>
    <w:uiPriority w:val="99"/>
    <w:qFormat/>
    <w:rsid w:val="00833396"/>
    <w:pPr>
      <w:keepNext/>
      <w:jc w:val="both"/>
      <w:outlineLvl w:val="1"/>
    </w:pPr>
    <w:rPr>
      <w:rFonts w:ascii="Arial" w:hAnsi="Arial"/>
      <w:u w:val="single"/>
      <w:lang w:val="es-ES_tradnl"/>
    </w:rPr>
  </w:style>
  <w:style w:type="paragraph" w:styleId="Heading3">
    <w:name w:val="heading 3"/>
    <w:next w:val="Normal"/>
    <w:link w:val="Heading3Char"/>
    <w:autoRedefine/>
    <w:uiPriority w:val="99"/>
    <w:qFormat/>
    <w:rsid w:val="00833396"/>
    <w:pPr>
      <w:keepNext/>
      <w:jc w:val="both"/>
      <w:outlineLvl w:val="2"/>
    </w:pPr>
    <w:rPr>
      <w:rFonts w:ascii="Arial" w:hAnsi="Arial"/>
      <w:i/>
    </w:rPr>
  </w:style>
  <w:style w:type="paragraph" w:styleId="Heading4">
    <w:name w:val="heading 4"/>
    <w:next w:val="Normal"/>
    <w:link w:val="Heading4Char"/>
    <w:autoRedefine/>
    <w:uiPriority w:val="99"/>
    <w:qFormat/>
    <w:rsid w:val="001E266D"/>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1E266D"/>
    <w:pPr>
      <w:keepNext/>
      <w:ind w:left="1134" w:hanging="567"/>
      <w:jc w:val="both"/>
      <w:outlineLvl w:val="4"/>
    </w:pPr>
    <w:rPr>
      <w:rFonts w:ascii="Arial" w:hAnsi="Arial"/>
      <w:sz w:val="18"/>
      <w:szCs w:val="18"/>
    </w:rPr>
  </w:style>
  <w:style w:type="paragraph" w:styleId="Heading6">
    <w:name w:val="heading 6"/>
    <w:basedOn w:val="Normal"/>
    <w:next w:val="Normal"/>
    <w:link w:val="Heading6Char"/>
    <w:uiPriority w:val="99"/>
    <w:qFormat/>
    <w:rsid w:val="001E266D"/>
    <w:pPr>
      <w:outlineLvl w:val="5"/>
    </w:pPr>
  </w:style>
  <w:style w:type="paragraph" w:styleId="Heading7">
    <w:name w:val="heading 7"/>
    <w:basedOn w:val="Normal"/>
    <w:next w:val="Normal"/>
    <w:link w:val="Heading7Char"/>
    <w:uiPriority w:val="99"/>
    <w:qFormat/>
    <w:rsid w:val="001E266D"/>
    <w:pPr>
      <w:spacing w:before="240" w:after="60"/>
      <w:outlineLvl w:val="6"/>
    </w:pPr>
    <w:rPr>
      <w:szCs w:val="24"/>
    </w:rPr>
  </w:style>
  <w:style w:type="paragraph" w:styleId="Heading8">
    <w:name w:val="heading 8"/>
    <w:basedOn w:val="Normal"/>
    <w:next w:val="Normal"/>
    <w:link w:val="Heading8Char"/>
    <w:uiPriority w:val="99"/>
    <w:qFormat/>
    <w:rsid w:val="001E266D"/>
    <w:pPr>
      <w:keepNext/>
      <w:jc w:val="center"/>
      <w:outlineLvl w:val="7"/>
    </w:pPr>
    <w:rPr>
      <w:u w:val="single"/>
    </w:rPr>
  </w:style>
  <w:style w:type="paragraph" w:styleId="Heading9">
    <w:name w:val="heading 9"/>
    <w:basedOn w:val="Normal"/>
    <w:next w:val="Normal"/>
    <w:link w:val="Heading9Char"/>
    <w:uiPriority w:val="99"/>
    <w:qFormat/>
    <w:rsid w:val="001E266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24D"/>
    <w:rPr>
      <w:rFonts w:ascii="Arial" w:hAnsi="Arial"/>
      <w:caps/>
    </w:rPr>
  </w:style>
  <w:style w:type="character" w:customStyle="1" w:styleId="Heading2Char">
    <w:name w:val="Heading 2 Char"/>
    <w:link w:val="Heading2"/>
    <w:uiPriority w:val="99"/>
    <w:rsid w:val="00833396"/>
    <w:rPr>
      <w:rFonts w:ascii="Arial" w:hAnsi="Arial"/>
      <w:u w:val="single"/>
      <w:lang w:val="es-ES_tradnl"/>
    </w:rPr>
  </w:style>
  <w:style w:type="character" w:customStyle="1" w:styleId="Heading3Char">
    <w:name w:val="Heading 3 Char"/>
    <w:link w:val="Heading3"/>
    <w:uiPriority w:val="99"/>
    <w:locked/>
    <w:rsid w:val="00833396"/>
    <w:rPr>
      <w:rFonts w:ascii="Arial" w:hAnsi="Arial"/>
      <w:i/>
    </w:rPr>
  </w:style>
  <w:style w:type="character" w:customStyle="1" w:styleId="Heading4Char">
    <w:name w:val="Heading 4 Char"/>
    <w:link w:val="Heading4"/>
    <w:uiPriority w:val="99"/>
    <w:rsid w:val="001E266D"/>
    <w:rPr>
      <w:rFonts w:ascii="Arial" w:hAnsi="Arial"/>
      <w:i/>
      <w:lang w:val="fr-FR"/>
    </w:rPr>
  </w:style>
  <w:style w:type="character" w:customStyle="1" w:styleId="Heading5Char">
    <w:name w:val="Heading 5 Char"/>
    <w:link w:val="Heading5"/>
    <w:uiPriority w:val="99"/>
    <w:rsid w:val="001E266D"/>
    <w:rPr>
      <w:rFonts w:ascii="Arial" w:hAnsi="Arial"/>
      <w:sz w:val="18"/>
      <w:szCs w:val="18"/>
    </w:rPr>
  </w:style>
  <w:style w:type="character" w:customStyle="1" w:styleId="Heading6Char">
    <w:name w:val="Heading 6 Char"/>
    <w:basedOn w:val="DefaultParagraphFont"/>
    <w:link w:val="Heading6"/>
    <w:uiPriority w:val="99"/>
    <w:rsid w:val="001E266D"/>
    <w:rPr>
      <w:rFonts w:ascii="Arial" w:hAnsi="Arial"/>
      <w:lang w:val="es-ES_tradnl"/>
    </w:rPr>
  </w:style>
  <w:style w:type="character" w:customStyle="1" w:styleId="Heading7Char">
    <w:name w:val="Heading 7 Char"/>
    <w:basedOn w:val="DefaultParagraphFont"/>
    <w:link w:val="Heading7"/>
    <w:uiPriority w:val="99"/>
    <w:rsid w:val="001E266D"/>
    <w:rPr>
      <w:rFonts w:ascii="Arial" w:hAnsi="Arial"/>
      <w:szCs w:val="24"/>
    </w:rPr>
  </w:style>
  <w:style w:type="character" w:customStyle="1" w:styleId="Heading8Char">
    <w:name w:val="Heading 8 Char"/>
    <w:basedOn w:val="DefaultParagraphFont"/>
    <w:link w:val="Heading8"/>
    <w:uiPriority w:val="99"/>
    <w:rsid w:val="001E266D"/>
    <w:rPr>
      <w:rFonts w:ascii="Arial" w:hAnsi="Arial"/>
      <w:u w:val="single"/>
    </w:rPr>
  </w:style>
  <w:style w:type="character" w:customStyle="1" w:styleId="Heading9Char">
    <w:name w:val="Heading 9 Char"/>
    <w:basedOn w:val="DefaultParagraphFont"/>
    <w:link w:val="Heading9"/>
    <w:uiPriority w:val="99"/>
    <w:locked/>
    <w:rsid w:val="00B7224D"/>
    <w:rPr>
      <w:rFonts w:ascii="Arial" w:hAnsi="Arial"/>
      <w:i/>
      <w:sz w:val="18"/>
      <w:lang w:val="es-ES_tradnl"/>
    </w:rPr>
  </w:style>
  <w:style w:type="paragraph" w:styleId="Header">
    <w:name w:val="header"/>
    <w:link w:val="HeaderChar"/>
    <w:autoRedefine/>
    <w:rsid w:val="007E7D4D"/>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rsid w:val="007E7D4D"/>
    <w:rPr>
      <w:rFonts w:ascii="Arial" w:hAnsi="Arial"/>
      <w:lang w:val="fr-FR"/>
    </w:rPr>
  </w:style>
  <w:style w:type="paragraph" w:styleId="Footer">
    <w:name w:val="footer"/>
    <w:aliases w:val="doc_path_name"/>
    <w:link w:val="FooterChar"/>
    <w:autoRedefine/>
    <w:uiPriority w:val="99"/>
    <w:rsid w:val="007E7D4D"/>
    <w:pPr>
      <w:jc w:val="right"/>
    </w:pPr>
    <w:rPr>
      <w:rFonts w:ascii="Arial" w:hAnsi="Arial"/>
    </w:rPr>
  </w:style>
  <w:style w:type="character" w:customStyle="1" w:styleId="FooterChar">
    <w:name w:val="Footer Char"/>
    <w:aliases w:val="doc_path_name Char"/>
    <w:link w:val="Footer"/>
    <w:uiPriority w:val="99"/>
    <w:rsid w:val="007E7D4D"/>
    <w:rPr>
      <w:rFonts w:ascii="Arial" w:hAnsi="Arial"/>
    </w:rPr>
  </w:style>
  <w:style w:type="character" w:styleId="PageNumber">
    <w:name w:val="page number"/>
    <w:basedOn w:val="DefaultParagraphFont"/>
    <w:uiPriority w:val="99"/>
    <w:rsid w:val="001E266D"/>
    <w:rPr>
      <w:rFonts w:ascii="Arial" w:hAnsi="Arial"/>
      <w:sz w:val="20"/>
    </w:rPr>
  </w:style>
  <w:style w:type="paragraph" w:styleId="Title">
    <w:name w:val="Title"/>
    <w:basedOn w:val="Normal"/>
    <w:link w:val="TitleChar"/>
    <w:uiPriority w:val="99"/>
    <w:qFormat/>
    <w:rsid w:val="001E266D"/>
    <w:pPr>
      <w:spacing w:after="300"/>
      <w:jc w:val="center"/>
    </w:pPr>
    <w:rPr>
      <w:b/>
      <w:caps/>
      <w:kern w:val="28"/>
      <w:sz w:val="30"/>
    </w:rPr>
  </w:style>
  <w:style w:type="character" w:customStyle="1" w:styleId="TitleChar">
    <w:name w:val="Title Char"/>
    <w:basedOn w:val="DefaultParagraphFont"/>
    <w:link w:val="Title"/>
    <w:uiPriority w:val="99"/>
    <w:locked/>
    <w:rsid w:val="00B7224D"/>
    <w:rPr>
      <w:rFonts w:ascii="Arial" w:hAnsi="Arial"/>
      <w:b/>
      <w:caps/>
      <w:kern w:val="28"/>
      <w:sz w:val="30"/>
      <w:lang w:val="es-ES_tradnl"/>
    </w:rPr>
  </w:style>
  <w:style w:type="paragraph" w:customStyle="1" w:styleId="preparedby">
    <w:name w:val="preparedby"/>
    <w:basedOn w:val="Normal"/>
    <w:next w:val="Normal"/>
    <w:uiPriority w:val="99"/>
    <w:rsid w:val="001E266D"/>
    <w:pPr>
      <w:spacing w:after="600"/>
      <w:jc w:val="center"/>
    </w:pPr>
    <w:rPr>
      <w:i/>
    </w:rPr>
  </w:style>
  <w:style w:type="paragraph" w:customStyle="1" w:styleId="Docoriginal">
    <w:name w:val="Doc_original"/>
    <w:basedOn w:val="Normal"/>
    <w:link w:val="DocoriginalChar"/>
    <w:uiPriority w:val="99"/>
    <w:rsid w:val="001E266D"/>
    <w:pPr>
      <w:spacing w:line="280" w:lineRule="exact"/>
      <w:ind w:left="1361"/>
    </w:pPr>
    <w:rPr>
      <w:b/>
      <w:bCs/>
      <w:spacing w:val="10"/>
    </w:rPr>
  </w:style>
  <w:style w:type="character" w:customStyle="1" w:styleId="DocoriginalChar">
    <w:name w:val="Doc_original Char"/>
    <w:basedOn w:val="DefaultParagraphFont"/>
    <w:link w:val="Docoriginal"/>
    <w:uiPriority w:val="99"/>
    <w:rsid w:val="001E266D"/>
    <w:rPr>
      <w:rFonts w:ascii="Arial" w:hAnsi="Arial"/>
      <w:b/>
      <w:bCs/>
      <w:spacing w:val="10"/>
    </w:rPr>
  </w:style>
  <w:style w:type="paragraph" w:customStyle="1" w:styleId="DecisionParagraphs">
    <w:name w:val="DecisionParagraphs"/>
    <w:basedOn w:val="Normal"/>
    <w:link w:val="DecisionParagraphsChar"/>
    <w:uiPriority w:val="99"/>
    <w:qFormat/>
    <w:rsid w:val="001E266D"/>
    <w:pPr>
      <w:tabs>
        <w:tab w:val="left" w:pos="5387"/>
      </w:tabs>
      <w:ind w:left="4820"/>
    </w:pPr>
    <w:rPr>
      <w:i/>
    </w:rPr>
  </w:style>
  <w:style w:type="character" w:customStyle="1" w:styleId="DecisionParagraphsChar">
    <w:name w:val="DecisionParagraphs Char"/>
    <w:link w:val="DecisionParagraphs"/>
    <w:uiPriority w:val="99"/>
    <w:rsid w:val="001E266D"/>
    <w:rPr>
      <w:rFonts w:ascii="Arial" w:hAnsi="Arial"/>
      <w:i/>
    </w:rPr>
  </w:style>
  <w:style w:type="paragraph" w:styleId="FootnoteText">
    <w:name w:val="footnote text"/>
    <w:link w:val="FootnoteTextChar"/>
    <w:autoRedefine/>
    <w:uiPriority w:val="99"/>
    <w:rsid w:val="001E266D"/>
    <w:pPr>
      <w:spacing w:before="60"/>
      <w:ind w:left="567" w:hanging="567"/>
      <w:jc w:val="both"/>
    </w:pPr>
    <w:rPr>
      <w:rFonts w:ascii="Arial" w:hAnsi="Arial"/>
      <w:sz w:val="16"/>
    </w:rPr>
  </w:style>
  <w:style w:type="character" w:customStyle="1" w:styleId="FootnoteTextChar">
    <w:name w:val="Footnote Text Char"/>
    <w:basedOn w:val="DefaultParagraphFont"/>
    <w:link w:val="FootnoteText"/>
    <w:uiPriority w:val="99"/>
    <w:rsid w:val="001E266D"/>
    <w:rPr>
      <w:rFonts w:ascii="Arial" w:hAnsi="Arial"/>
      <w:sz w:val="16"/>
    </w:rPr>
  </w:style>
  <w:style w:type="character" w:styleId="FootnoteReference">
    <w:name w:val="footnote reference"/>
    <w:basedOn w:val="DefaultParagraphFont"/>
    <w:uiPriority w:val="99"/>
    <w:rsid w:val="001E266D"/>
    <w:rPr>
      <w:vertAlign w:val="superscript"/>
    </w:rPr>
  </w:style>
  <w:style w:type="paragraph" w:styleId="Closing">
    <w:name w:val="Closing"/>
    <w:basedOn w:val="Normal"/>
    <w:link w:val="ClosingChar"/>
    <w:uiPriority w:val="99"/>
    <w:rsid w:val="001E266D"/>
    <w:pPr>
      <w:ind w:left="4536"/>
      <w:jc w:val="center"/>
    </w:pPr>
  </w:style>
  <w:style w:type="character" w:customStyle="1" w:styleId="ClosingChar">
    <w:name w:val="Closing Char"/>
    <w:basedOn w:val="DefaultParagraphFont"/>
    <w:link w:val="Closing"/>
    <w:uiPriority w:val="99"/>
    <w:locked/>
    <w:rsid w:val="00B7224D"/>
    <w:rPr>
      <w:rFonts w:ascii="Arial" w:hAnsi="Arial"/>
      <w:lang w:val="es-ES_tradnl"/>
    </w:rPr>
  </w:style>
  <w:style w:type="paragraph" w:styleId="Index1">
    <w:name w:val="index 1"/>
    <w:basedOn w:val="Normal"/>
    <w:next w:val="Normal"/>
    <w:uiPriority w:val="99"/>
    <w:semiHidden/>
    <w:rsid w:val="001E266D"/>
    <w:pPr>
      <w:tabs>
        <w:tab w:val="right" w:leader="dot" w:pos="9071"/>
      </w:tabs>
      <w:ind w:left="284" w:hanging="284"/>
    </w:pPr>
    <w:rPr>
      <w:sz w:val="24"/>
    </w:rPr>
  </w:style>
  <w:style w:type="paragraph" w:styleId="Index2">
    <w:name w:val="index 2"/>
    <w:basedOn w:val="Normal"/>
    <w:next w:val="Normal"/>
    <w:uiPriority w:val="99"/>
    <w:semiHidden/>
    <w:rsid w:val="001E266D"/>
    <w:pPr>
      <w:tabs>
        <w:tab w:val="right" w:leader="dot" w:pos="9071"/>
      </w:tabs>
      <w:ind w:left="568" w:hanging="284"/>
    </w:pPr>
    <w:rPr>
      <w:sz w:val="24"/>
    </w:rPr>
  </w:style>
  <w:style w:type="paragraph" w:styleId="Index3">
    <w:name w:val="index 3"/>
    <w:basedOn w:val="Normal"/>
    <w:next w:val="Normal"/>
    <w:uiPriority w:val="99"/>
    <w:semiHidden/>
    <w:rsid w:val="001E266D"/>
    <w:pPr>
      <w:tabs>
        <w:tab w:val="right" w:leader="dot" w:pos="9071"/>
      </w:tabs>
      <w:ind w:left="851" w:hanging="284"/>
    </w:pPr>
    <w:rPr>
      <w:sz w:val="24"/>
    </w:rPr>
  </w:style>
  <w:style w:type="paragraph" w:styleId="MacroText">
    <w:name w:val="macro"/>
    <w:link w:val="MacroTextChar"/>
    <w:uiPriority w:val="99"/>
    <w:semiHidden/>
    <w:rsid w:val="001E26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uiPriority w:val="99"/>
    <w:semiHidden/>
    <w:locked/>
    <w:rsid w:val="00B7224D"/>
    <w:rPr>
      <w:rFonts w:ascii="Courier New" w:hAnsi="Courier New"/>
      <w:sz w:val="16"/>
    </w:rPr>
  </w:style>
  <w:style w:type="paragraph" w:styleId="Signature">
    <w:name w:val="Signature"/>
    <w:basedOn w:val="Normal"/>
    <w:link w:val="SignatureChar"/>
    <w:uiPriority w:val="99"/>
    <w:rsid w:val="001E266D"/>
    <w:pPr>
      <w:ind w:left="4536"/>
      <w:jc w:val="center"/>
    </w:pPr>
  </w:style>
  <w:style w:type="character" w:customStyle="1" w:styleId="SignatureChar">
    <w:name w:val="Signature Char"/>
    <w:basedOn w:val="DefaultParagraphFont"/>
    <w:link w:val="Signature"/>
    <w:uiPriority w:val="99"/>
    <w:locked/>
    <w:rsid w:val="00B7224D"/>
    <w:rPr>
      <w:rFonts w:ascii="Arial" w:hAnsi="Arial"/>
      <w:lang w:val="es-ES_tradnl"/>
    </w:rPr>
  </w:style>
  <w:style w:type="character" w:customStyle="1" w:styleId="Doclang">
    <w:name w:val="Doc_lang"/>
    <w:basedOn w:val="DefaultParagraphFont"/>
    <w:uiPriority w:val="99"/>
    <w:rsid w:val="001E266D"/>
    <w:rPr>
      <w:rFonts w:ascii="Arial" w:hAnsi="Arial"/>
      <w:sz w:val="20"/>
      <w:lang w:val="en-US"/>
    </w:rPr>
  </w:style>
  <w:style w:type="paragraph" w:customStyle="1" w:styleId="Session">
    <w:name w:val="Session"/>
    <w:basedOn w:val="Normal"/>
    <w:uiPriority w:val="99"/>
    <w:rsid w:val="001E266D"/>
    <w:pPr>
      <w:spacing w:before="60"/>
      <w:jc w:val="center"/>
    </w:pPr>
    <w:rPr>
      <w:b/>
    </w:rPr>
  </w:style>
  <w:style w:type="paragraph" w:customStyle="1" w:styleId="Organizer">
    <w:name w:val="Organizer"/>
    <w:basedOn w:val="Normal"/>
    <w:uiPriority w:val="99"/>
    <w:rsid w:val="001E266D"/>
    <w:pPr>
      <w:spacing w:after="600"/>
      <w:ind w:left="-993" w:right="-994"/>
      <w:jc w:val="center"/>
    </w:pPr>
    <w:rPr>
      <w:b/>
      <w:caps/>
      <w:kern w:val="26"/>
      <w:sz w:val="26"/>
    </w:rPr>
  </w:style>
  <w:style w:type="paragraph" w:styleId="BodyText">
    <w:name w:val="Body Text"/>
    <w:basedOn w:val="Normal"/>
    <w:link w:val="BodyTextChar"/>
    <w:uiPriority w:val="99"/>
    <w:rsid w:val="001E266D"/>
  </w:style>
  <w:style w:type="character" w:customStyle="1" w:styleId="BodyTextChar">
    <w:name w:val="Body Text Char"/>
    <w:link w:val="BodyText"/>
    <w:uiPriority w:val="99"/>
    <w:locked/>
    <w:rsid w:val="001E266D"/>
    <w:rPr>
      <w:rFonts w:ascii="Arial" w:hAnsi="Arial"/>
    </w:rPr>
  </w:style>
  <w:style w:type="paragraph" w:customStyle="1" w:styleId="StyleDocoriginalNotBold">
    <w:name w:val="Style Doc_original + Not Bold"/>
    <w:basedOn w:val="Docoriginal"/>
    <w:link w:val="StyleDocoriginalNotBoldChar"/>
    <w:autoRedefine/>
    <w:uiPriority w:val="99"/>
    <w:rsid w:val="001E266D"/>
    <w:pPr>
      <w:ind w:left="1589"/>
      <w:jc w:val="left"/>
    </w:pPr>
  </w:style>
  <w:style w:type="character" w:customStyle="1" w:styleId="StyleDocoriginalNotBoldChar">
    <w:name w:val="Style Doc_original + Not Bold Char"/>
    <w:basedOn w:val="DocoriginalChar"/>
    <w:link w:val="StyleDocoriginalNotBold"/>
    <w:uiPriority w:val="99"/>
    <w:rsid w:val="001E266D"/>
    <w:rPr>
      <w:rFonts w:ascii="Arial" w:hAnsi="Arial"/>
      <w:b/>
      <w:bCs/>
      <w:spacing w:val="10"/>
    </w:rPr>
  </w:style>
  <w:style w:type="paragraph" w:customStyle="1" w:styleId="upove">
    <w:name w:val="upov_e"/>
    <w:basedOn w:val="Normal"/>
    <w:uiPriority w:val="99"/>
    <w:rsid w:val="001E266D"/>
    <w:pPr>
      <w:spacing w:before="60"/>
      <w:jc w:val="center"/>
    </w:pPr>
    <w:rPr>
      <w:b/>
      <w:bCs/>
      <w:spacing w:val="8"/>
      <w:sz w:val="24"/>
    </w:rPr>
  </w:style>
  <w:style w:type="paragraph" w:customStyle="1" w:styleId="TitleofDoc">
    <w:name w:val="Title of Doc"/>
    <w:basedOn w:val="Normal"/>
    <w:uiPriority w:val="99"/>
    <w:rsid w:val="001E266D"/>
    <w:pPr>
      <w:spacing w:before="1200"/>
      <w:jc w:val="center"/>
    </w:pPr>
    <w:rPr>
      <w:caps/>
    </w:rPr>
  </w:style>
  <w:style w:type="paragraph" w:customStyle="1" w:styleId="preparedby0">
    <w:name w:val="prepared by"/>
    <w:basedOn w:val="Normal"/>
    <w:uiPriority w:val="99"/>
    <w:semiHidden/>
    <w:rsid w:val="001E266D"/>
    <w:pPr>
      <w:spacing w:before="600" w:after="600"/>
      <w:jc w:val="center"/>
    </w:pPr>
    <w:rPr>
      <w:i/>
    </w:rPr>
  </w:style>
  <w:style w:type="paragraph" w:customStyle="1" w:styleId="PlaceAndDate">
    <w:name w:val="PlaceAndDate"/>
    <w:basedOn w:val="Session"/>
    <w:uiPriority w:val="99"/>
    <w:rsid w:val="001E266D"/>
  </w:style>
  <w:style w:type="paragraph" w:styleId="EndnoteText">
    <w:name w:val="endnote text"/>
    <w:basedOn w:val="Normal"/>
    <w:link w:val="EndnoteTextChar"/>
    <w:uiPriority w:val="99"/>
    <w:rsid w:val="001E266D"/>
  </w:style>
  <w:style w:type="character" w:customStyle="1" w:styleId="EndnoteTextChar">
    <w:name w:val="Endnote Text Char"/>
    <w:basedOn w:val="DefaultParagraphFont"/>
    <w:link w:val="EndnoteText"/>
    <w:uiPriority w:val="99"/>
    <w:locked/>
    <w:rsid w:val="00B7224D"/>
    <w:rPr>
      <w:rFonts w:ascii="Arial" w:hAnsi="Arial"/>
      <w:lang w:val="es-ES_tradnl"/>
    </w:rPr>
  </w:style>
  <w:style w:type="character" w:styleId="EndnoteReference">
    <w:name w:val="endnote reference"/>
    <w:basedOn w:val="DefaultParagraphFont"/>
    <w:uiPriority w:val="99"/>
    <w:rsid w:val="001E266D"/>
    <w:rPr>
      <w:vertAlign w:val="superscript"/>
    </w:rPr>
  </w:style>
  <w:style w:type="paragraph" w:customStyle="1" w:styleId="SessionMeetingPlace">
    <w:name w:val="Session_MeetingPlace"/>
    <w:basedOn w:val="Normal"/>
    <w:uiPriority w:val="99"/>
    <w:semiHidden/>
    <w:rsid w:val="001E266D"/>
    <w:pPr>
      <w:spacing w:before="480"/>
      <w:jc w:val="center"/>
    </w:pPr>
    <w:rPr>
      <w:b/>
      <w:bCs/>
      <w:kern w:val="28"/>
      <w:sz w:val="24"/>
    </w:rPr>
  </w:style>
  <w:style w:type="paragraph" w:customStyle="1" w:styleId="Original">
    <w:name w:val="Original"/>
    <w:basedOn w:val="Normal"/>
    <w:uiPriority w:val="99"/>
    <w:rsid w:val="001E266D"/>
    <w:pPr>
      <w:spacing w:before="60"/>
      <w:ind w:left="1276"/>
    </w:pPr>
    <w:rPr>
      <w:b/>
      <w:sz w:val="22"/>
    </w:rPr>
  </w:style>
  <w:style w:type="paragraph" w:styleId="Date">
    <w:name w:val="Date"/>
    <w:basedOn w:val="Normal"/>
    <w:link w:val="DateChar"/>
    <w:uiPriority w:val="99"/>
    <w:rsid w:val="001E266D"/>
    <w:pPr>
      <w:spacing w:line="340" w:lineRule="exact"/>
      <w:ind w:left="1276"/>
    </w:pPr>
    <w:rPr>
      <w:b/>
      <w:sz w:val="22"/>
    </w:rPr>
  </w:style>
  <w:style w:type="character" w:customStyle="1" w:styleId="DateChar">
    <w:name w:val="Date Char"/>
    <w:basedOn w:val="DefaultParagraphFont"/>
    <w:link w:val="Date"/>
    <w:uiPriority w:val="99"/>
    <w:locked/>
    <w:rsid w:val="00B7224D"/>
    <w:rPr>
      <w:rFonts w:ascii="Arial" w:hAnsi="Arial"/>
      <w:b/>
      <w:sz w:val="22"/>
      <w:lang w:val="es-ES_tradnl"/>
    </w:rPr>
  </w:style>
  <w:style w:type="paragraph" w:customStyle="1" w:styleId="Code">
    <w:name w:val="Code"/>
    <w:basedOn w:val="Normal"/>
    <w:link w:val="CodeChar"/>
    <w:uiPriority w:val="99"/>
    <w:semiHidden/>
    <w:rsid w:val="001E266D"/>
    <w:pPr>
      <w:spacing w:line="340" w:lineRule="atLeast"/>
      <w:ind w:left="1276"/>
    </w:pPr>
    <w:rPr>
      <w:b/>
      <w:bCs/>
      <w:spacing w:val="10"/>
    </w:rPr>
  </w:style>
  <w:style w:type="character" w:customStyle="1" w:styleId="CodeChar">
    <w:name w:val="Code Char"/>
    <w:basedOn w:val="DefaultParagraphFont"/>
    <w:link w:val="Code"/>
    <w:uiPriority w:val="99"/>
    <w:rsid w:val="001E266D"/>
    <w:rPr>
      <w:rFonts w:ascii="Arial" w:hAnsi="Arial"/>
      <w:b/>
      <w:bCs/>
      <w:spacing w:val="10"/>
    </w:rPr>
  </w:style>
  <w:style w:type="paragraph" w:customStyle="1" w:styleId="Country">
    <w:name w:val="Country"/>
    <w:basedOn w:val="Normal"/>
    <w:uiPriority w:val="99"/>
    <w:semiHidden/>
    <w:rsid w:val="001E266D"/>
    <w:pPr>
      <w:spacing w:before="60" w:after="480"/>
      <w:jc w:val="center"/>
    </w:pPr>
  </w:style>
  <w:style w:type="paragraph" w:customStyle="1" w:styleId="Lettrine">
    <w:name w:val="Lettrine"/>
    <w:basedOn w:val="Normal"/>
    <w:uiPriority w:val="99"/>
    <w:rsid w:val="001E266D"/>
    <w:pPr>
      <w:spacing w:after="120" w:line="340" w:lineRule="atLeast"/>
      <w:jc w:val="right"/>
    </w:pPr>
    <w:rPr>
      <w:b/>
      <w:bCs/>
      <w:sz w:val="56"/>
    </w:rPr>
  </w:style>
  <w:style w:type="paragraph" w:customStyle="1" w:styleId="LogoUPOV">
    <w:name w:val="LogoUPOV"/>
    <w:basedOn w:val="Normal"/>
    <w:uiPriority w:val="99"/>
    <w:rsid w:val="001E266D"/>
    <w:pPr>
      <w:spacing w:before="720"/>
      <w:jc w:val="center"/>
    </w:pPr>
  </w:style>
  <w:style w:type="paragraph" w:customStyle="1" w:styleId="Sessiontc">
    <w:name w:val="Session_tc"/>
    <w:basedOn w:val="StyleSessionAllcaps"/>
    <w:uiPriority w:val="99"/>
    <w:rsid w:val="001E266D"/>
    <w:pPr>
      <w:spacing w:before="240"/>
    </w:pPr>
  </w:style>
  <w:style w:type="paragraph" w:customStyle="1" w:styleId="StyleSessionAllcaps">
    <w:name w:val="Style Session + All caps"/>
    <w:basedOn w:val="Session"/>
    <w:uiPriority w:val="99"/>
    <w:semiHidden/>
    <w:rsid w:val="001E266D"/>
    <w:pPr>
      <w:spacing w:before="480"/>
    </w:pPr>
    <w:rPr>
      <w:bCs/>
      <w:caps/>
      <w:kern w:val="28"/>
      <w:sz w:val="24"/>
    </w:rPr>
  </w:style>
  <w:style w:type="paragraph" w:customStyle="1" w:styleId="TitreUpov">
    <w:name w:val="TitreUpov"/>
    <w:basedOn w:val="Normal"/>
    <w:uiPriority w:val="99"/>
    <w:semiHidden/>
    <w:rsid w:val="001E266D"/>
    <w:pPr>
      <w:spacing w:before="60"/>
      <w:jc w:val="center"/>
    </w:pPr>
    <w:rPr>
      <w:b/>
      <w:sz w:val="24"/>
    </w:rPr>
  </w:style>
  <w:style w:type="paragraph" w:customStyle="1" w:styleId="plcountry">
    <w:name w:val="plcountry"/>
    <w:basedOn w:val="Normal"/>
    <w:link w:val="plcountryChar"/>
    <w:uiPriority w:val="99"/>
    <w:rsid w:val="001E266D"/>
    <w:pPr>
      <w:keepNext/>
      <w:keepLines/>
      <w:spacing w:before="180" w:after="120"/>
      <w:jc w:val="left"/>
    </w:pPr>
    <w:rPr>
      <w:caps/>
      <w:noProof/>
      <w:snapToGrid w:val="0"/>
      <w:u w:val="single"/>
    </w:rPr>
  </w:style>
  <w:style w:type="character" w:customStyle="1" w:styleId="plcountryChar">
    <w:name w:val="plcountry Char"/>
    <w:link w:val="plcountry"/>
    <w:uiPriority w:val="99"/>
    <w:rsid w:val="001E266D"/>
    <w:rPr>
      <w:rFonts w:ascii="Arial" w:hAnsi="Arial"/>
      <w:caps/>
      <w:noProof/>
      <w:snapToGrid w:val="0"/>
      <w:u w:val="single"/>
    </w:rPr>
  </w:style>
  <w:style w:type="paragraph" w:customStyle="1" w:styleId="pldetails">
    <w:name w:val="pldetails"/>
    <w:basedOn w:val="Normal"/>
    <w:link w:val="pldetailsChar"/>
    <w:uiPriority w:val="99"/>
    <w:rsid w:val="001E266D"/>
    <w:pPr>
      <w:keepLines/>
      <w:spacing w:before="60" w:after="60"/>
      <w:jc w:val="left"/>
    </w:pPr>
    <w:rPr>
      <w:noProof/>
      <w:snapToGrid w:val="0"/>
    </w:rPr>
  </w:style>
  <w:style w:type="character" w:customStyle="1" w:styleId="pldetailsChar">
    <w:name w:val="pldetails Char"/>
    <w:link w:val="pldetails"/>
    <w:uiPriority w:val="99"/>
    <w:rsid w:val="001E266D"/>
    <w:rPr>
      <w:rFonts w:ascii="Arial" w:hAnsi="Arial"/>
      <w:noProof/>
      <w:snapToGrid w:val="0"/>
    </w:rPr>
  </w:style>
  <w:style w:type="paragraph" w:customStyle="1" w:styleId="plheading">
    <w:name w:val="plheading"/>
    <w:basedOn w:val="Normal"/>
    <w:uiPriority w:val="99"/>
    <w:rsid w:val="001E266D"/>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1E266D"/>
    <w:pPr>
      <w:spacing w:before="240"/>
    </w:pPr>
  </w:style>
  <w:style w:type="paragraph" w:customStyle="1" w:styleId="Titleofdoc0">
    <w:name w:val="Title_of_doc"/>
    <w:basedOn w:val="Normal"/>
    <w:uiPriority w:val="99"/>
    <w:rsid w:val="001E266D"/>
    <w:pPr>
      <w:spacing w:before="600"/>
      <w:jc w:val="center"/>
    </w:pPr>
    <w:rPr>
      <w:caps/>
    </w:rPr>
  </w:style>
  <w:style w:type="paragraph" w:customStyle="1" w:styleId="preparedby1">
    <w:name w:val="prepared_by"/>
    <w:basedOn w:val="Normal"/>
    <w:uiPriority w:val="99"/>
    <w:rsid w:val="001E266D"/>
    <w:pPr>
      <w:spacing w:before="240" w:after="600"/>
      <w:jc w:val="center"/>
    </w:pPr>
    <w:rPr>
      <w:i/>
    </w:rPr>
  </w:style>
  <w:style w:type="paragraph" w:customStyle="1" w:styleId="endofdoc">
    <w:name w:val="end_of_doc"/>
    <w:autoRedefine/>
    <w:uiPriority w:val="99"/>
    <w:rsid w:val="001E266D"/>
    <w:pPr>
      <w:spacing w:before="480"/>
      <w:ind w:left="567" w:hanging="567"/>
      <w:jc w:val="right"/>
    </w:pPr>
    <w:rPr>
      <w:rFonts w:ascii="Arial" w:hAnsi="Arial"/>
    </w:rPr>
  </w:style>
  <w:style w:type="paragraph" w:customStyle="1" w:styleId="StyleDocnumber">
    <w:name w:val="Style Doc_number"/>
    <w:basedOn w:val="Docoriginal"/>
    <w:uiPriority w:val="99"/>
    <w:rsid w:val="001E266D"/>
    <w:pPr>
      <w:ind w:left="1589"/>
    </w:pPr>
  </w:style>
  <w:style w:type="paragraph" w:customStyle="1" w:styleId="StyleDocoriginal">
    <w:name w:val="Style Doc_original"/>
    <w:basedOn w:val="Docoriginal"/>
    <w:link w:val="StyleDocoriginalChar"/>
    <w:uiPriority w:val="99"/>
    <w:rsid w:val="001E266D"/>
  </w:style>
  <w:style w:type="character" w:customStyle="1" w:styleId="StyleDocoriginalChar">
    <w:name w:val="Style Doc_original Char"/>
    <w:basedOn w:val="DocoriginalChar"/>
    <w:link w:val="StyleDocoriginal"/>
    <w:uiPriority w:val="99"/>
    <w:rsid w:val="001E266D"/>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uiPriority w:val="99"/>
    <w:rsid w:val="001E266D"/>
    <w:rPr>
      <w:b w:val="0"/>
      <w:bCs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1E266D"/>
    <w:rPr>
      <w:rFonts w:ascii="Arial" w:hAnsi="Arial"/>
      <w:b w:val="0"/>
      <w:bCs w:val="0"/>
      <w:spacing w:val="10"/>
    </w:rPr>
  </w:style>
  <w:style w:type="character" w:customStyle="1" w:styleId="StyleDocoriginalNotBold1">
    <w:name w:val="Style Doc_original + Not Bold1"/>
    <w:basedOn w:val="DefaultParagraphFont"/>
    <w:uiPriority w:val="99"/>
    <w:rsid w:val="001E266D"/>
    <w:rPr>
      <w:rFonts w:ascii="Arial" w:hAnsi="Arial"/>
      <w:b/>
      <w:bCs/>
      <w:spacing w:val="10"/>
      <w:lang w:val="en-US" w:eastAsia="en-US" w:bidi="ar-SA"/>
    </w:rPr>
  </w:style>
  <w:style w:type="character" w:customStyle="1" w:styleId="StyleDoclangBold">
    <w:name w:val="Style Doc_lang + Bold"/>
    <w:basedOn w:val="Doclang"/>
    <w:uiPriority w:val="99"/>
    <w:rsid w:val="001E266D"/>
    <w:rPr>
      <w:rFonts w:ascii="Arial" w:hAnsi="Arial"/>
      <w:b/>
      <w:bCs/>
      <w:sz w:val="20"/>
      <w:lang w:val="en-US"/>
    </w:rPr>
  </w:style>
  <w:style w:type="paragraph" w:styleId="TOC2">
    <w:name w:val="toc 2"/>
    <w:next w:val="Normal"/>
    <w:autoRedefine/>
    <w:uiPriority w:val="39"/>
    <w:rsid w:val="00A716D0"/>
    <w:pPr>
      <w:tabs>
        <w:tab w:val="right" w:leader="dot" w:pos="9639"/>
      </w:tabs>
      <w:spacing w:before="120"/>
      <w:ind w:left="284" w:right="283"/>
      <w:contextualSpacing/>
    </w:pPr>
    <w:rPr>
      <w:rFonts w:ascii="Arial" w:hAnsi="Arial"/>
      <w:noProof/>
    </w:rPr>
  </w:style>
  <w:style w:type="paragraph" w:styleId="TOC3">
    <w:name w:val="toc 3"/>
    <w:next w:val="Normal"/>
    <w:autoRedefine/>
    <w:uiPriority w:val="39"/>
    <w:rsid w:val="00A716D0"/>
    <w:pPr>
      <w:tabs>
        <w:tab w:val="right" w:leader="dot" w:pos="9639"/>
      </w:tabs>
      <w:spacing w:before="120"/>
      <w:ind w:left="1134" w:right="141" w:hanging="567"/>
      <w:contextualSpacing/>
    </w:pPr>
    <w:rPr>
      <w:rFonts w:ascii="Arial" w:hAnsi="Arial"/>
      <w:i/>
      <w:noProof/>
      <w:lang w:val="fr-FR"/>
    </w:rPr>
  </w:style>
  <w:style w:type="character" w:styleId="Hyperlink">
    <w:name w:val="Hyperlink"/>
    <w:basedOn w:val="DefaultParagraphFont"/>
    <w:uiPriority w:val="99"/>
    <w:rsid w:val="001E266D"/>
    <w:rPr>
      <w:rFonts w:ascii="Arial" w:hAnsi="Arial"/>
      <w:color w:val="0000FF"/>
      <w:u w:val="single"/>
    </w:rPr>
  </w:style>
  <w:style w:type="paragraph" w:styleId="TOC4">
    <w:name w:val="toc 4"/>
    <w:next w:val="Normal"/>
    <w:autoRedefine/>
    <w:uiPriority w:val="99"/>
    <w:rsid w:val="001E266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E266D"/>
    <w:pPr>
      <w:tabs>
        <w:tab w:val="right" w:leader="dot" w:pos="9639"/>
      </w:tabs>
      <w:spacing w:before="120" w:after="120"/>
      <w:ind w:right="284"/>
    </w:pPr>
    <w:rPr>
      <w:rFonts w:ascii="Arial" w:hAnsi="Arial"/>
      <w:caps/>
      <w:noProof/>
    </w:rPr>
  </w:style>
  <w:style w:type="paragraph" w:styleId="TOC5">
    <w:name w:val="toc 5"/>
    <w:next w:val="Normal"/>
    <w:autoRedefine/>
    <w:uiPriority w:val="99"/>
    <w:rsid w:val="001E266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1E266D"/>
    <w:rPr>
      <w:rFonts w:ascii="Tahoma" w:hAnsi="Tahoma" w:cs="Tahoma"/>
      <w:sz w:val="16"/>
      <w:szCs w:val="16"/>
    </w:rPr>
  </w:style>
  <w:style w:type="character" w:customStyle="1" w:styleId="BalloonTextChar">
    <w:name w:val="Balloon Text Char"/>
    <w:basedOn w:val="DefaultParagraphFont"/>
    <w:link w:val="BalloonText"/>
    <w:uiPriority w:val="99"/>
    <w:rsid w:val="001E266D"/>
    <w:rPr>
      <w:rFonts w:ascii="Tahoma" w:hAnsi="Tahoma" w:cs="Tahoma"/>
      <w:sz w:val="16"/>
      <w:szCs w:val="16"/>
    </w:rPr>
  </w:style>
  <w:style w:type="table" w:styleId="TableGrid">
    <w:name w:val="Table Grid"/>
    <w:basedOn w:val="TableNormal"/>
    <w:uiPriority w:val="99"/>
    <w:rsid w:val="001E266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1E266D"/>
    <w:pPr>
      <w:tabs>
        <w:tab w:val="decimal" w:pos="907"/>
        <w:tab w:val="left" w:pos="1077"/>
      </w:tabs>
    </w:pPr>
    <w:rPr>
      <w:rFonts w:ascii="Times New Roman" w:eastAsia="MS Mincho" w:hAnsi="Times New Roman"/>
      <w:sz w:val="24"/>
    </w:rPr>
  </w:style>
  <w:style w:type="paragraph" w:customStyle="1" w:styleId="n">
    <w:name w:val="n"/>
    <w:basedOn w:val="Header"/>
    <w:uiPriority w:val="99"/>
    <w:rsid w:val="001E266D"/>
    <w:rPr>
      <w:rFonts w:ascii="Times New Roman" w:hAnsi="Times New Roman"/>
      <w:sz w:val="24"/>
    </w:rPr>
  </w:style>
  <w:style w:type="paragraph" w:customStyle="1" w:styleId="Normalt">
    <w:name w:val="Normalt"/>
    <w:basedOn w:val="Normal"/>
    <w:uiPriority w:val="99"/>
    <w:rsid w:val="001E266D"/>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1E266D"/>
    <w:pPr>
      <w:keepNext/>
    </w:pPr>
    <w:rPr>
      <w:b/>
      <w:bCs/>
    </w:rPr>
  </w:style>
  <w:style w:type="paragraph" w:styleId="NormalWeb">
    <w:name w:val="Normal (Web)"/>
    <w:basedOn w:val="Normal"/>
    <w:uiPriority w:val="99"/>
    <w:rsid w:val="001E266D"/>
    <w:pPr>
      <w:spacing w:before="100" w:beforeAutospacing="1" w:after="100" w:afterAutospacing="1"/>
      <w:jc w:val="left"/>
    </w:pPr>
    <w:rPr>
      <w:szCs w:val="24"/>
    </w:rPr>
  </w:style>
  <w:style w:type="paragraph" w:customStyle="1" w:styleId="pdflink">
    <w:name w:val="pdflink"/>
    <w:basedOn w:val="Normal"/>
    <w:next w:val="Normal"/>
    <w:uiPriority w:val="99"/>
    <w:rsid w:val="001E266D"/>
    <w:rPr>
      <w:color w:val="800000"/>
      <w:u w:val="words"/>
    </w:rPr>
  </w:style>
  <w:style w:type="paragraph" w:customStyle="1" w:styleId="Draft">
    <w:name w:val="Draft"/>
    <w:basedOn w:val="Normal"/>
    <w:next w:val="preparedby"/>
    <w:uiPriority w:val="99"/>
    <w:rsid w:val="001E266D"/>
    <w:pPr>
      <w:spacing w:before="720" w:after="480"/>
      <w:jc w:val="center"/>
    </w:pPr>
    <w:rPr>
      <w:caps/>
      <w:sz w:val="28"/>
    </w:rPr>
  </w:style>
  <w:style w:type="paragraph" w:customStyle="1" w:styleId="tqparabox">
    <w:name w:val="tqparabox"/>
    <w:basedOn w:val="Normal"/>
    <w:uiPriority w:val="99"/>
    <w:rsid w:val="001E266D"/>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1E266D"/>
    <w:pPr>
      <w:ind w:left="567"/>
    </w:pPr>
  </w:style>
  <w:style w:type="character" w:customStyle="1" w:styleId="BodyTextIndentChar">
    <w:name w:val="Body Text Indent Char"/>
    <w:basedOn w:val="DefaultParagraphFont"/>
    <w:link w:val="BodyTextIndent"/>
    <w:uiPriority w:val="99"/>
    <w:rsid w:val="001E266D"/>
    <w:rPr>
      <w:rFonts w:ascii="Arial" w:hAnsi="Arial"/>
      <w:lang w:val="es-ES_tradnl"/>
    </w:rPr>
  </w:style>
  <w:style w:type="paragraph" w:customStyle="1" w:styleId="twpcheck">
    <w:name w:val="twpcheck"/>
    <w:basedOn w:val="Normal"/>
    <w:uiPriority w:val="99"/>
    <w:rsid w:val="001E266D"/>
    <w:pPr>
      <w:spacing w:before="80" w:after="80"/>
      <w:jc w:val="left"/>
    </w:pPr>
    <w:rPr>
      <w:rFonts w:cs="Arial"/>
      <w:snapToGrid w:val="0"/>
      <w:sz w:val="16"/>
      <w:szCs w:val="16"/>
    </w:rPr>
  </w:style>
  <w:style w:type="paragraph" w:customStyle="1" w:styleId="DecisionInvitingPara">
    <w:name w:val="Decision Inviting Para."/>
    <w:basedOn w:val="Normal"/>
    <w:uiPriority w:val="99"/>
    <w:rsid w:val="001E266D"/>
    <w:pPr>
      <w:ind w:left="4536"/>
    </w:pPr>
    <w:rPr>
      <w:i/>
    </w:rPr>
  </w:style>
  <w:style w:type="paragraph" w:customStyle="1" w:styleId="Enttepair">
    <w:name w:val="Entête_pair"/>
    <w:basedOn w:val="Normal"/>
    <w:next w:val="Normal"/>
    <w:uiPriority w:val="99"/>
    <w:rsid w:val="001E266D"/>
    <w:pPr>
      <w:pBdr>
        <w:bottom w:val="single" w:sz="4" w:space="1" w:color="auto"/>
      </w:pBdr>
      <w:jc w:val="left"/>
    </w:pPr>
    <w:rPr>
      <w:szCs w:val="24"/>
    </w:rPr>
  </w:style>
  <w:style w:type="paragraph" w:customStyle="1" w:styleId="Entteimpair">
    <w:name w:val="Entête_impair"/>
    <w:basedOn w:val="Normal"/>
    <w:next w:val="Normal"/>
    <w:uiPriority w:val="99"/>
    <w:rsid w:val="001E266D"/>
    <w:pPr>
      <w:pBdr>
        <w:bottom w:val="single" w:sz="4" w:space="1" w:color="auto"/>
      </w:pBdr>
      <w:jc w:val="right"/>
    </w:pPr>
  </w:style>
  <w:style w:type="paragraph" w:styleId="ListBullet">
    <w:name w:val="List Bullet"/>
    <w:basedOn w:val="Normal"/>
    <w:autoRedefine/>
    <w:uiPriority w:val="99"/>
    <w:rsid w:val="001E266D"/>
    <w:pPr>
      <w:tabs>
        <w:tab w:val="num" w:pos="360"/>
      </w:tabs>
      <w:ind w:left="360" w:hanging="360"/>
    </w:pPr>
    <w:rPr>
      <w:bCs/>
      <w:szCs w:val="24"/>
      <w:lang w:val="es-ES" w:eastAsia="zh-CN"/>
    </w:rPr>
  </w:style>
  <w:style w:type="character" w:styleId="FollowedHyperlink">
    <w:name w:val="FollowedHyperlink"/>
    <w:uiPriority w:val="99"/>
    <w:rsid w:val="001E266D"/>
    <w:rPr>
      <w:color w:val="606420"/>
      <w:u w:val="single"/>
    </w:rPr>
  </w:style>
  <w:style w:type="paragraph" w:styleId="BlockText">
    <w:name w:val="Block Text"/>
    <w:basedOn w:val="Normal"/>
    <w:uiPriority w:val="99"/>
    <w:rsid w:val="001E266D"/>
    <w:pPr>
      <w:ind w:left="567" w:right="566"/>
    </w:pPr>
    <w:rPr>
      <w:sz w:val="22"/>
    </w:rPr>
  </w:style>
  <w:style w:type="paragraph" w:styleId="CommentText">
    <w:name w:val="annotation text"/>
    <w:basedOn w:val="Normal"/>
    <w:link w:val="CommentTextChar"/>
    <w:uiPriority w:val="99"/>
    <w:rsid w:val="001E266D"/>
    <w:rPr>
      <w:sz w:val="22"/>
    </w:rPr>
  </w:style>
  <w:style w:type="character" w:customStyle="1" w:styleId="CommentTextChar">
    <w:name w:val="Comment Text Char"/>
    <w:basedOn w:val="DefaultParagraphFont"/>
    <w:link w:val="CommentText"/>
    <w:uiPriority w:val="99"/>
    <w:rsid w:val="001E266D"/>
    <w:rPr>
      <w:rFonts w:ascii="Arial" w:hAnsi="Arial"/>
      <w:sz w:val="22"/>
      <w:lang w:val="es-ES_tradnl"/>
    </w:rPr>
  </w:style>
  <w:style w:type="paragraph" w:customStyle="1" w:styleId="Committee">
    <w:name w:val="Committee"/>
    <w:basedOn w:val="Title"/>
    <w:uiPriority w:val="99"/>
    <w:rsid w:val="001E266D"/>
    <w:rPr>
      <w:caps w:val="0"/>
    </w:rPr>
  </w:style>
  <w:style w:type="paragraph" w:customStyle="1" w:styleId="TitleofSection">
    <w:name w:val="Title of Section"/>
    <w:basedOn w:val="TitleofDoc"/>
    <w:uiPriority w:val="99"/>
    <w:rsid w:val="001E266D"/>
    <w:pPr>
      <w:spacing w:before="120" w:after="120"/>
    </w:pPr>
    <w:rPr>
      <w:b/>
      <w:caps w:val="0"/>
      <w:lang w:eastAsia="de-DE"/>
    </w:rPr>
  </w:style>
  <w:style w:type="paragraph" w:customStyle="1" w:styleId="TOCAnnex">
    <w:name w:val="TOC Annex"/>
    <w:basedOn w:val="Normal"/>
    <w:uiPriority w:val="99"/>
    <w:rsid w:val="001E266D"/>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1E266D"/>
    <w:rPr>
      <w:rFonts w:ascii="Courier New" w:hAnsi="Courier New" w:cs="Courier New"/>
      <w:lang w:eastAsia="fr-FR"/>
    </w:rPr>
  </w:style>
  <w:style w:type="character" w:customStyle="1" w:styleId="PlainTextChar">
    <w:name w:val="Plain Text Char"/>
    <w:basedOn w:val="DefaultParagraphFont"/>
    <w:link w:val="PlainText"/>
    <w:uiPriority w:val="99"/>
    <w:rsid w:val="001E266D"/>
    <w:rPr>
      <w:rFonts w:ascii="Courier New" w:hAnsi="Courier New" w:cs="Courier New"/>
      <w:lang w:eastAsia="fr-FR"/>
    </w:rPr>
  </w:style>
  <w:style w:type="paragraph" w:customStyle="1" w:styleId="Default">
    <w:name w:val="Default"/>
    <w:basedOn w:val="Normal"/>
    <w:uiPriority w:val="99"/>
    <w:rsid w:val="001E266D"/>
    <w:pPr>
      <w:jc w:val="left"/>
    </w:pPr>
    <w:rPr>
      <w:rFonts w:eastAsia="SimSun" w:cs="Arial"/>
      <w:color w:val="000000"/>
      <w:sz w:val="24"/>
      <w:szCs w:val="24"/>
    </w:rPr>
  </w:style>
  <w:style w:type="paragraph" w:customStyle="1" w:styleId="tgcharnumber">
    <w:name w:val="tg_char_number"/>
    <w:basedOn w:val="Normal"/>
    <w:uiPriority w:val="99"/>
    <w:rsid w:val="001E266D"/>
    <w:pPr>
      <w:keepNext/>
      <w:spacing w:before="80" w:after="80"/>
      <w:jc w:val="center"/>
    </w:pPr>
    <w:rPr>
      <w:b/>
      <w:sz w:val="16"/>
    </w:rPr>
  </w:style>
  <w:style w:type="paragraph" w:customStyle="1" w:styleId="tgchartitle">
    <w:name w:val="tg_char_title"/>
    <w:basedOn w:val="Normal"/>
    <w:uiPriority w:val="99"/>
    <w:rsid w:val="001E266D"/>
    <w:pPr>
      <w:spacing w:before="80" w:after="80"/>
      <w:jc w:val="left"/>
    </w:pPr>
    <w:rPr>
      <w:b/>
      <w:sz w:val="16"/>
    </w:rPr>
  </w:style>
  <w:style w:type="paragraph" w:customStyle="1" w:styleId="tgchartext">
    <w:name w:val="tg_char_text"/>
    <w:basedOn w:val="Normal"/>
    <w:uiPriority w:val="99"/>
    <w:rsid w:val="001E266D"/>
    <w:pPr>
      <w:spacing w:before="80" w:after="80"/>
      <w:jc w:val="left"/>
    </w:pPr>
    <w:rPr>
      <w:sz w:val="16"/>
    </w:rPr>
  </w:style>
  <w:style w:type="paragraph" w:styleId="ListParagraph">
    <w:name w:val="List Paragraph"/>
    <w:basedOn w:val="Normal"/>
    <w:uiPriority w:val="99"/>
    <w:qFormat/>
    <w:rsid w:val="001E266D"/>
    <w:pPr>
      <w:ind w:left="720"/>
      <w:contextualSpacing/>
    </w:pPr>
  </w:style>
  <w:style w:type="paragraph" w:customStyle="1" w:styleId="dec">
    <w:name w:val="dec"/>
    <w:basedOn w:val="Normal"/>
    <w:link w:val="decChar"/>
    <w:uiPriority w:val="99"/>
    <w:qFormat/>
    <w:rsid w:val="001E266D"/>
    <w:pPr>
      <w:ind w:left="4536"/>
    </w:pPr>
    <w:rPr>
      <w:i/>
      <w:spacing w:val="-2"/>
    </w:rPr>
  </w:style>
  <w:style w:type="character" w:customStyle="1" w:styleId="decChar">
    <w:name w:val="dec Char"/>
    <w:basedOn w:val="DefaultParagraphFont"/>
    <w:link w:val="dec"/>
    <w:uiPriority w:val="99"/>
    <w:rsid w:val="001E266D"/>
    <w:rPr>
      <w:rFonts w:ascii="Arial" w:hAnsi="Arial"/>
      <w:i/>
      <w:spacing w:val="-2"/>
    </w:rPr>
  </w:style>
  <w:style w:type="paragraph" w:customStyle="1" w:styleId="EndOfDoc0">
    <w:name w:val="EndOfDoc"/>
    <w:basedOn w:val="Normal"/>
    <w:uiPriority w:val="99"/>
    <w:rsid w:val="001E266D"/>
    <w:pPr>
      <w:ind w:left="4536"/>
      <w:jc w:val="center"/>
    </w:pPr>
    <w:rPr>
      <w:rFonts w:ascii="Times New Roman" w:hAnsi="Times New Roman"/>
      <w:sz w:val="24"/>
    </w:rPr>
  </w:style>
  <w:style w:type="paragraph" w:customStyle="1" w:styleId="decisionpara">
    <w:name w:val="decision para"/>
    <w:basedOn w:val="Normal"/>
    <w:uiPriority w:val="99"/>
    <w:rsid w:val="001E266D"/>
    <w:pPr>
      <w:spacing w:line="240" w:lineRule="atLeast"/>
      <w:ind w:left="4536"/>
      <w:outlineLvl w:val="0"/>
    </w:pPr>
    <w:rPr>
      <w:rFonts w:ascii="Times New Roman" w:hAnsi="Times New Roman"/>
      <w:i/>
      <w:sz w:val="24"/>
    </w:rPr>
  </w:style>
  <w:style w:type="paragraph" w:styleId="TOC6">
    <w:name w:val="toc 6"/>
    <w:basedOn w:val="Normal"/>
    <w:next w:val="Normal"/>
    <w:autoRedefine/>
    <w:uiPriority w:val="99"/>
    <w:rsid w:val="001E266D"/>
    <w:pPr>
      <w:ind w:left="1200"/>
    </w:pPr>
  </w:style>
  <w:style w:type="paragraph" w:styleId="E-mailSignature">
    <w:name w:val="E-mail Signature"/>
    <w:basedOn w:val="Normal"/>
    <w:link w:val="E-mailSignatureChar"/>
    <w:uiPriority w:val="99"/>
    <w:rsid w:val="001E266D"/>
  </w:style>
  <w:style w:type="character" w:customStyle="1" w:styleId="E-mailSignatureChar">
    <w:name w:val="E-mail Signature Char"/>
    <w:basedOn w:val="DefaultParagraphFont"/>
    <w:link w:val="E-mailSignature"/>
    <w:uiPriority w:val="99"/>
    <w:rsid w:val="001E266D"/>
    <w:rPr>
      <w:rFonts w:ascii="Arial" w:hAnsi="Arial"/>
    </w:rPr>
  </w:style>
  <w:style w:type="character" w:styleId="Emphasis">
    <w:name w:val="Emphasis"/>
    <w:basedOn w:val="DefaultParagraphFont"/>
    <w:uiPriority w:val="20"/>
    <w:qFormat/>
    <w:rsid w:val="001E266D"/>
    <w:rPr>
      <w:i/>
      <w:iCs/>
    </w:rPr>
  </w:style>
  <w:style w:type="paragraph" w:styleId="EnvelopeAddress">
    <w:name w:val="envelope address"/>
    <w:basedOn w:val="Normal"/>
    <w:uiPriority w:val="99"/>
    <w:rsid w:val="001E266D"/>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1E266D"/>
    <w:rPr>
      <w:rFonts w:cs="Arial"/>
    </w:rPr>
  </w:style>
  <w:style w:type="character" w:styleId="HTMLAcronym">
    <w:name w:val="HTML Acronym"/>
    <w:basedOn w:val="DefaultParagraphFont"/>
    <w:uiPriority w:val="99"/>
    <w:rsid w:val="001E266D"/>
  </w:style>
  <w:style w:type="paragraph" w:styleId="HTMLAddress">
    <w:name w:val="HTML Address"/>
    <w:basedOn w:val="Normal"/>
    <w:link w:val="HTMLAddressChar"/>
    <w:uiPriority w:val="99"/>
    <w:rsid w:val="001E266D"/>
    <w:rPr>
      <w:i/>
      <w:iCs/>
    </w:rPr>
  </w:style>
  <w:style w:type="character" w:customStyle="1" w:styleId="HTMLAddressChar">
    <w:name w:val="HTML Address Char"/>
    <w:basedOn w:val="DefaultParagraphFont"/>
    <w:link w:val="HTMLAddress"/>
    <w:uiPriority w:val="99"/>
    <w:rsid w:val="001E266D"/>
    <w:rPr>
      <w:rFonts w:ascii="Arial" w:hAnsi="Arial"/>
      <w:i/>
      <w:iCs/>
    </w:rPr>
  </w:style>
  <w:style w:type="character" w:styleId="HTMLCite">
    <w:name w:val="HTML Cite"/>
    <w:basedOn w:val="DefaultParagraphFont"/>
    <w:uiPriority w:val="99"/>
    <w:rsid w:val="001E266D"/>
    <w:rPr>
      <w:i/>
      <w:iCs/>
    </w:rPr>
  </w:style>
  <w:style w:type="character" w:styleId="HTMLCode">
    <w:name w:val="HTML Code"/>
    <w:basedOn w:val="DefaultParagraphFont"/>
    <w:uiPriority w:val="99"/>
    <w:rsid w:val="001E266D"/>
    <w:rPr>
      <w:rFonts w:ascii="Courier New" w:hAnsi="Courier New" w:cs="Courier New"/>
      <w:sz w:val="20"/>
      <w:szCs w:val="20"/>
    </w:rPr>
  </w:style>
  <w:style w:type="character" w:styleId="HTMLDefinition">
    <w:name w:val="HTML Definition"/>
    <w:basedOn w:val="DefaultParagraphFont"/>
    <w:uiPriority w:val="99"/>
    <w:rsid w:val="001E266D"/>
    <w:rPr>
      <w:i/>
      <w:iCs/>
    </w:rPr>
  </w:style>
  <w:style w:type="character" w:styleId="HTMLKeyboard">
    <w:name w:val="HTML Keyboard"/>
    <w:basedOn w:val="DefaultParagraphFont"/>
    <w:uiPriority w:val="99"/>
    <w:rsid w:val="001E266D"/>
    <w:rPr>
      <w:rFonts w:ascii="Courier New" w:hAnsi="Courier New" w:cs="Courier New"/>
      <w:sz w:val="20"/>
      <w:szCs w:val="20"/>
    </w:rPr>
  </w:style>
  <w:style w:type="paragraph" w:styleId="HTMLPreformatted">
    <w:name w:val="HTML Preformatted"/>
    <w:basedOn w:val="Normal"/>
    <w:link w:val="HTMLPreformattedChar"/>
    <w:uiPriority w:val="99"/>
    <w:rsid w:val="001E266D"/>
    <w:rPr>
      <w:rFonts w:ascii="Courier New" w:hAnsi="Courier New" w:cs="Courier New"/>
    </w:rPr>
  </w:style>
  <w:style w:type="character" w:customStyle="1" w:styleId="HTMLPreformattedChar">
    <w:name w:val="HTML Preformatted Char"/>
    <w:basedOn w:val="DefaultParagraphFont"/>
    <w:link w:val="HTMLPreformatted"/>
    <w:uiPriority w:val="99"/>
    <w:rsid w:val="001E266D"/>
    <w:rPr>
      <w:rFonts w:ascii="Courier New" w:hAnsi="Courier New" w:cs="Courier New"/>
    </w:rPr>
  </w:style>
  <w:style w:type="character" w:styleId="HTMLSample">
    <w:name w:val="HTML Sample"/>
    <w:basedOn w:val="DefaultParagraphFont"/>
    <w:uiPriority w:val="99"/>
    <w:rsid w:val="001E266D"/>
    <w:rPr>
      <w:rFonts w:ascii="Courier New" w:hAnsi="Courier New" w:cs="Courier New"/>
    </w:rPr>
  </w:style>
  <w:style w:type="character" w:styleId="HTMLTypewriter">
    <w:name w:val="HTML Typewriter"/>
    <w:basedOn w:val="DefaultParagraphFont"/>
    <w:uiPriority w:val="99"/>
    <w:rsid w:val="001E266D"/>
    <w:rPr>
      <w:rFonts w:ascii="Courier New" w:hAnsi="Courier New" w:cs="Courier New"/>
      <w:sz w:val="20"/>
      <w:szCs w:val="20"/>
    </w:rPr>
  </w:style>
  <w:style w:type="character" w:styleId="HTMLVariable">
    <w:name w:val="HTML Variable"/>
    <w:basedOn w:val="DefaultParagraphFont"/>
    <w:uiPriority w:val="99"/>
    <w:rsid w:val="001E266D"/>
    <w:rPr>
      <w:i/>
      <w:iCs/>
    </w:rPr>
  </w:style>
  <w:style w:type="character" w:styleId="LineNumber">
    <w:name w:val="line number"/>
    <w:basedOn w:val="DefaultParagraphFont"/>
    <w:uiPriority w:val="99"/>
    <w:rsid w:val="001E266D"/>
  </w:style>
  <w:style w:type="paragraph" w:styleId="List">
    <w:name w:val="List"/>
    <w:basedOn w:val="Normal"/>
    <w:uiPriority w:val="99"/>
    <w:rsid w:val="001E266D"/>
    <w:pPr>
      <w:ind w:left="360" w:hanging="360"/>
    </w:pPr>
  </w:style>
  <w:style w:type="paragraph" w:styleId="List2">
    <w:name w:val="List 2"/>
    <w:basedOn w:val="Normal"/>
    <w:uiPriority w:val="99"/>
    <w:rsid w:val="001E266D"/>
    <w:pPr>
      <w:ind w:left="720" w:hanging="360"/>
    </w:pPr>
  </w:style>
  <w:style w:type="paragraph" w:styleId="List3">
    <w:name w:val="List 3"/>
    <w:basedOn w:val="Normal"/>
    <w:uiPriority w:val="99"/>
    <w:rsid w:val="001E266D"/>
    <w:pPr>
      <w:ind w:left="1080" w:hanging="360"/>
    </w:pPr>
  </w:style>
  <w:style w:type="paragraph" w:styleId="List4">
    <w:name w:val="List 4"/>
    <w:basedOn w:val="Normal"/>
    <w:uiPriority w:val="99"/>
    <w:rsid w:val="001E266D"/>
    <w:pPr>
      <w:ind w:left="1440" w:hanging="360"/>
    </w:pPr>
  </w:style>
  <w:style w:type="paragraph" w:styleId="List5">
    <w:name w:val="List 5"/>
    <w:basedOn w:val="Normal"/>
    <w:uiPriority w:val="99"/>
    <w:rsid w:val="001E266D"/>
    <w:pPr>
      <w:ind w:left="1800" w:hanging="360"/>
    </w:pPr>
  </w:style>
  <w:style w:type="paragraph" w:styleId="ListBullet2">
    <w:name w:val="List Bullet 2"/>
    <w:basedOn w:val="Normal"/>
    <w:uiPriority w:val="99"/>
    <w:rsid w:val="001E266D"/>
    <w:pPr>
      <w:tabs>
        <w:tab w:val="num" w:pos="720"/>
      </w:tabs>
      <w:ind w:left="720" w:hanging="360"/>
    </w:pPr>
  </w:style>
  <w:style w:type="paragraph" w:styleId="ListBullet3">
    <w:name w:val="List Bullet 3"/>
    <w:basedOn w:val="Normal"/>
    <w:uiPriority w:val="99"/>
    <w:rsid w:val="001E266D"/>
    <w:pPr>
      <w:tabs>
        <w:tab w:val="num" w:pos="1080"/>
      </w:tabs>
      <w:ind w:left="1080" w:hanging="360"/>
    </w:pPr>
  </w:style>
  <w:style w:type="paragraph" w:styleId="ListBullet4">
    <w:name w:val="List Bullet 4"/>
    <w:basedOn w:val="Normal"/>
    <w:uiPriority w:val="99"/>
    <w:rsid w:val="001E266D"/>
    <w:pPr>
      <w:tabs>
        <w:tab w:val="num" w:pos="1440"/>
      </w:tabs>
      <w:ind w:left="1440" w:hanging="360"/>
    </w:pPr>
  </w:style>
  <w:style w:type="paragraph" w:styleId="ListBullet5">
    <w:name w:val="List Bullet 5"/>
    <w:basedOn w:val="Normal"/>
    <w:uiPriority w:val="99"/>
    <w:rsid w:val="001E266D"/>
    <w:pPr>
      <w:tabs>
        <w:tab w:val="num" w:pos="1800"/>
      </w:tabs>
      <w:ind w:left="1800" w:hanging="360"/>
    </w:pPr>
  </w:style>
  <w:style w:type="paragraph" w:styleId="ListContinue">
    <w:name w:val="List Continue"/>
    <w:basedOn w:val="Normal"/>
    <w:uiPriority w:val="99"/>
    <w:rsid w:val="001E266D"/>
    <w:pPr>
      <w:spacing w:after="120"/>
      <w:ind w:left="360"/>
    </w:pPr>
  </w:style>
  <w:style w:type="paragraph" w:styleId="ListContinue2">
    <w:name w:val="List Continue 2"/>
    <w:basedOn w:val="Normal"/>
    <w:uiPriority w:val="99"/>
    <w:rsid w:val="001E266D"/>
    <w:pPr>
      <w:spacing w:after="120"/>
      <w:ind w:left="720"/>
    </w:pPr>
  </w:style>
  <w:style w:type="paragraph" w:styleId="ListContinue3">
    <w:name w:val="List Continue 3"/>
    <w:basedOn w:val="Normal"/>
    <w:uiPriority w:val="99"/>
    <w:rsid w:val="001E266D"/>
    <w:pPr>
      <w:spacing w:after="120"/>
      <w:ind w:left="1080"/>
    </w:pPr>
  </w:style>
  <w:style w:type="paragraph" w:styleId="ListContinue4">
    <w:name w:val="List Continue 4"/>
    <w:basedOn w:val="Normal"/>
    <w:uiPriority w:val="99"/>
    <w:rsid w:val="001E266D"/>
    <w:pPr>
      <w:spacing w:after="120"/>
      <w:ind w:left="1440"/>
    </w:pPr>
  </w:style>
  <w:style w:type="paragraph" w:styleId="ListContinue5">
    <w:name w:val="List Continue 5"/>
    <w:basedOn w:val="Normal"/>
    <w:uiPriority w:val="99"/>
    <w:rsid w:val="001E266D"/>
    <w:pPr>
      <w:spacing w:after="120"/>
      <w:ind w:left="1800"/>
    </w:pPr>
  </w:style>
  <w:style w:type="paragraph" w:styleId="ListNumber">
    <w:name w:val="List Number"/>
    <w:basedOn w:val="Normal"/>
    <w:uiPriority w:val="99"/>
    <w:rsid w:val="001E266D"/>
    <w:pPr>
      <w:tabs>
        <w:tab w:val="num" w:pos="360"/>
      </w:tabs>
      <w:ind w:left="360" w:hanging="360"/>
    </w:pPr>
  </w:style>
  <w:style w:type="paragraph" w:styleId="ListNumber2">
    <w:name w:val="List Number 2"/>
    <w:basedOn w:val="Normal"/>
    <w:uiPriority w:val="99"/>
    <w:rsid w:val="001E266D"/>
    <w:pPr>
      <w:tabs>
        <w:tab w:val="num" w:pos="720"/>
      </w:tabs>
      <w:ind w:left="720" w:hanging="360"/>
    </w:pPr>
  </w:style>
  <w:style w:type="paragraph" w:styleId="ListNumber3">
    <w:name w:val="List Number 3"/>
    <w:basedOn w:val="Normal"/>
    <w:uiPriority w:val="99"/>
    <w:rsid w:val="001E266D"/>
    <w:pPr>
      <w:tabs>
        <w:tab w:val="num" w:pos="1080"/>
      </w:tabs>
      <w:ind w:left="1080" w:hanging="360"/>
    </w:pPr>
  </w:style>
  <w:style w:type="paragraph" w:styleId="ListNumber4">
    <w:name w:val="List Number 4"/>
    <w:basedOn w:val="Normal"/>
    <w:uiPriority w:val="99"/>
    <w:rsid w:val="001E266D"/>
    <w:pPr>
      <w:tabs>
        <w:tab w:val="num" w:pos="1440"/>
      </w:tabs>
      <w:ind w:left="1440" w:hanging="360"/>
    </w:pPr>
  </w:style>
  <w:style w:type="paragraph" w:styleId="ListNumber5">
    <w:name w:val="List Number 5"/>
    <w:basedOn w:val="Normal"/>
    <w:uiPriority w:val="99"/>
    <w:rsid w:val="001E266D"/>
    <w:pPr>
      <w:tabs>
        <w:tab w:val="num" w:pos="1800"/>
      </w:tabs>
      <w:ind w:left="1800" w:hanging="360"/>
    </w:pPr>
  </w:style>
  <w:style w:type="paragraph" w:styleId="MessageHeader">
    <w:name w:val="Message Header"/>
    <w:basedOn w:val="Normal"/>
    <w:link w:val="MessageHeaderChar"/>
    <w:uiPriority w:val="99"/>
    <w:rsid w:val="001E266D"/>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rsid w:val="001E266D"/>
    <w:rPr>
      <w:rFonts w:ascii="Arial" w:hAnsi="Arial" w:cs="Arial"/>
      <w:szCs w:val="24"/>
      <w:shd w:val="pct20" w:color="auto" w:fill="auto"/>
    </w:rPr>
  </w:style>
  <w:style w:type="paragraph" w:styleId="NoteHeading">
    <w:name w:val="Note Heading"/>
    <w:basedOn w:val="Normal"/>
    <w:next w:val="Normal"/>
    <w:link w:val="NoteHeadingChar"/>
    <w:uiPriority w:val="99"/>
    <w:rsid w:val="001E266D"/>
  </w:style>
  <w:style w:type="character" w:customStyle="1" w:styleId="NoteHeadingChar">
    <w:name w:val="Note Heading Char"/>
    <w:basedOn w:val="DefaultParagraphFont"/>
    <w:link w:val="NoteHeading"/>
    <w:uiPriority w:val="99"/>
    <w:rsid w:val="001E266D"/>
    <w:rPr>
      <w:rFonts w:ascii="Arial" w:hAnsi="Arial"/>
    </w:rPr>
  </w:style>
  <w:style w:type="paragraph" w:styleId="Salutation">
    <w:name w:val="Salutation"/>
    <w:basedOn w:val="Normal"/>
    <w:next w:val="Normal"/>
    <w:link w:val="SalutationChar"/>
    <w:uiPriority w:val="99"/>
    <w:rsid w:val="001E266D"/>
  </w:style>
  <w:style w:type="character" w:customStyle="1" w:styleId="SalutationChar">
    <w:name w:val="Salutation Char"/>
    <w:basedOn w:val="DefaultParagraphFont"/>
    <w:link w:val="Salutation"/>
    <w:uiPriority w:val="99"/>
    <w:rsid w:val="001E266D"/>
    <w:rPr>
      <w:rFonts w:ascii="Arial" w:hAnsi="Arial"/>
    </w:rPr>
  </w:style>
  <w:style w:type="character" w:styleId="Strong">
    <w:name w:val="Strong"/>
    <w:basedOn w:val="DefaultParagraphFont"/>
    <w:uiPriority w:val="99"/>
    <w:qFormat/>
    <w:rsid w:val="001E266D"/>
    <w:rPr>
      <w:b/>
      <w:bCs/>
    </w:rPr>
  </w:style>
  <w:style w:type="paragraph" w:styleId="Subtitle">
    <w:name w:val="Subtitle"/>
    <w:basedOn w:val="Normal"/>
    <w:link w:val="SubtitleChar"/>
    <w:uiPriority w:val="99"/>
    <w:qFormat/>
    <w:rsid w:val="001E266D"/>
    <w:pPr>
      <w:spacing w:after="60"/>
      <w:jc w:val="center"/>
      <w:outlineLvl w:val="1"/>
    </w:pPr>
    <w:rPr>
      <w:rFonts w:cs="Arial"/>
      <w:szCs w:val="24"/>
    </w:rPr>
  </w:style>
  <w:style w:type="character" w:customStyle="1" w:styleId="SubtitleChar">
    <w:name w:val="Subtitle Char"/>
    <w:basedOn w:val="DefaultParagraphFont"/>
    <w:link w:val="Subtitle"/>
    <w:uiPriority w:val="99"/>
    <w:rsid w:val="001E266D"/>
    <w:rPr>
      <w:rFonts w:ascii="Arial" w:hAnsi="Arial" w:cs="Arial"/>
      <w:szCs w:val="24"/>
    </w:rPr>
  </w:style>
  <w:style w:type="paragraph" w:styleId="TOC7">
    <w:name w:val="toc 7"/>
    <w:basedOn w:val="Normal"/>
    <w:next w:val="Normal"/>
    <w:autoRedefine/>
    <w:uiPriority w:val="99"/>
    <w:rsid w:val="001E266D"/>
    <w:pPr>
      <w:ind w:left="1440"/>
    </w:pPr>
  </w:style>
  <w:style w:type="paragraph" w:styleId="TOC8">
    <w:name w:val="toc 8"/>
    <w:basedOn w:val="Normal"/>
    <w:next w:val="Normal"/>
    <w:autoRedefine/>
    <w:uiPriority w:val="99"/>
    <w:rsid w:val="001E266D"/>
    <w:pPr>
      <w:ind w:left="1680"/>
    </w:pPr>
  </w:style>
  <w:style w:type="paragraph" w:styleId="TOC9">
    <w:name w:val="toc 9"/>
    <w:basedOn w:val="Normal"/>
    <w:next w:val="Normal"/>
    <w:autoRedefine/>
    <w:uiPriority w:val="99"/>
    <w:rsid w:val="001E266D"/>
    <w:pPr>
      <w:ind w:left="1920"/>
    </w:pPr>
  </w:style>
  <w:style w:type="paragraph" w:styleId="Caption">
    <w:name w:val="caption"/>
    <w:basedOn w:val="Normal"/>
    <w:next w:val="Normal"/>
    <w:uiPriority w:val="99"/>
    <w:qFormat/>
    <w:rsid w:val="001E266D"/>
    <w:pPr>
      <w:framePr w:w="11102" w:hSpace="181" w:wrap="around" w:vAnchor="page" w:hAnchor="page" w:x="438" w:y="15985" w:anchorLock="1"/>
      <w:jc w:val="center"/>
    </w:pPr>
    <w:rPr>
      <w:b/>
      <w:snapToGrid w:val="0"/>
    </w:rPr>
  </w:style>
  <w:style w:type="character" w:styleId="CommentReference">
    <w:name w:val="annotation reference"/>
    <w:basedOn w:val="DefaultParagraphFont"/>
    <w:uiPriority w:val="99"/>
    <w:rsid w:val="001E266D"/>
    <w:rPr>
      <w:rFonts w:cs="Times New Roman"/>
      <w:sz w:val="16"/>
      <w:szCs w:val="16"/>
    </w:rPr>
  </w:style>
  <w:style w:type="paragraph" w:styleId="CommentSubject">
    <w:name w:val="annotation subject"/>
    <w:basedOn w:val="CommentText"/>
    <w:next w:val="CommentText"/>
    <w:link w:val="CommentSubjectChar"/>
    <w:uiPriority w:val="99"/>
    <w:rsid w:val="001E266D"/>
    <w:rPr>
      <w:b/>
      <w:bCs/>
    </w:rPr>
  </w:style>
  <w:style w:type="character" w:customStyle="1" w:styleId="CommentSubjectChar">
    <w:name w:val="Comment Subject Char"/>
    <w:basedOn w:val="CommentTextChar"/>
    <w:link w:val="CommentSubject"/>
    <w:uiPriority w:val="99"/>
    <w:rsid w:val="001E266D"/>
    <w:rPr>
      <w:rFonts w:ascii="Arial" w:hAnsi="Arial"/>
      <w:b/>
      <w:bCs/>
      <w:sz w:val="22"/>
      <w:lang w:val="es-ES_tradnl"/>
    </w:rPr>
  </w:style>
  <w:style w:type="paragraph" w:customStyle="1" w:styleId="Normaltg">
    <w:name w:val="Normaltg"/>
    <w:basedOn w:val="Normal"/>
    <w:link w:val="NormaltgChar"/>
    <w:uiPriority w:val="99"/>
    <w:rsid w:val="001E266D"/>
    <w:rPr>
      <w:rFonts w:cs="Angsana New"/>
      <w:szCs w:val="24"/>
      <w:lang w:eastAsia="ja-JP" w:bidi="th-TH"/>
    </w:rPr>
  </w:style>
  <w:style w:type="character" w:customStyle="1" w:styleId="NormaltgChar">
    <w:name w:val="Normaltg Char"/>
    <w:link w:val="Normaltg"/>
    <w:uiPriority w:val="99"/>
    <w:rsid w:val="001E266D"/>
    <w:rPr>
      <w:rFonts w:ascii="Arial" w:hAnsi="Arial" w:cs="Angsana New"/>
      <w:szCs w:val="24"/>
      <w:lang w:eastAsia="ja-JP" w:bidi="th-TH"/>
    </w:rPr>
  </w:style>
  <w:style w:type="character" w:customStyle="1" w:styleId="hps">
    <w:name w:val="hps"/>
    <w:basedOn w:val="DefaultParagraphFont"/>
    <w:uiPriority w:val="99"/>
    <w:rsid w:val="001E266D"/>
  </w:style>
  <w:style w:type="character" w:customStyle="1" w:styleId="Standaardalinea-lettertype">
    <w:name w:val="Standaardalinea-lettertype"/>
    <w:uiPriority w:val="99"/>
    <w:rsid w:val="001E266D"/>
  </w:style>
  <w:style w:type="paragraph" w:customStyle="1" w:styleId="quote1">
    <w:name w:val="quote1"/>
    <w:basedOn w:val="Normal"/>
    <w:uiPriority w:val="99"/>
    <w:semiHidden/>
    <w:rsid w:val="00B7224D"/>
    <w:pPr>
      <w:ind w:left="567" w:right="565" w:firstLine="567"/>
    </w:pPr>
    <w:rPr>
      <w:sz w:val="22"/>
      <w:szCs w:val="22"/>
    </w:rPr>
  </w:style>
  <w:style w:type="table" w:styleId="Table3Deffects1">
    <w:name w:val="Table 3D effects 1"/>
    <w:basedOn w:val="TableNormal"/>
    <w:uiPriority w:val="99"/>
    <w:rsid w:val="00B7224D"/>
    <w:pPr>
      <w:jc w:val="both"/>
    </w:pPr>
    <w:rPr>
      <w:lang w:val="es-ES_tradnl" w:eastAsia="es-ES_tradn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B7224D"/>
    <w:pPr>
      <w:jc w:val="both"/>
    </w:pPr>
    <w:rPr>
      <w:lang w:val="es-ES_tradnl" w:eastAsia="es-ES_tradn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B7224D"/>
    <w:pPr>
      <w:jc w:val="both"/>
    </w:pPr>
    <w:rPr>
      <w:lang w:val="es-ES_tradnl" w:eastAsia="es-ES_tradn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B7224D"/>
    <w:pPr>
      <w:jc w:val="both"/>
    </w:pPr>
    <w:rPr>
      <w:lang w:val="es-ES_tradnl" w:eastAsia="es-ES_tradn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B7224D"/>
    <w:pPr>
      <w:jc w:val="both"/>
    </w:pPr>
    <w:rPr>
      <w:lang w:val="es-ES_tradnl" w:eastAsia="es-ES_tradn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B7224D"/>
    <w:pPr>
      <w:jc w:val="both"/>
    </w:pPr>
    <w:rPr>
      <w:color w:val="000080"/>
      <w:lang w:val="es-ES_tradnl" w:eastAsia="es-ES_trad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B7224D"/>
    <w:pPr>
      <w:jc w:val="both"/>
    </w:pPr>
    <w:rPr>
      <w:lang w:val="es-ES_tradnl" w:eastAsia="es-ES_tradn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7224D"/>
    <w:pPr>
      <w:jc w:val="both"/>
    </w:pPr>
    <w:rPr>
      <w:color w:val="FFFFFF"/>
      <w:lang w:val="es-ES_tradnl" w:eastAsia="es-ES_trad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B7224D"/>
    <w:pPr>
      <w:jc w:val="both"/>
    </w:pPr>
    <w:rPr>
      <w:lang w:val="es-ES_tradnl" w:eastAsia="es-ES_tradn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B7224D"/>
    <w:pPr>
      <w:jc w:val="both"/>
    </w:pPr>
    <w:rPr>
      <w:lang w:val="es-ES_tradnl" w:eastAsia="es-ES_trad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B7224D"/>
    <w:pPr>
      <w:jc w:val="both"/>
    </w:pPr>
    <w:rPr>
      <w:b/>
      <w:bCs/>
      <w:lang w:val="es-ES_tradnl" w:eastAsia="es-ES_trad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B7224D"/>
    <w:pPr>
      <w:jc w:val="both"/>
    </w:pPr>
    <w:rPr>
      <w:b/>
      <w:bCs/>
      <w:lang w:val="es-ES_tradnl" w:eastAsia="es-ES_tradnl"/>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B7224D"/>
    <w:pPr>
      <w:jc w:val="both"/>
    </w:pPr>
    <w:rPr>
      <w:b/>
      <w:bCs/>
      <w:lang w:val="es-ES_tradnl" w:eastAsia="es-ES_trad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B7224D"/>
    <w:pPr>
      <w:jc w:val="both"/>
    </w:pPr>
    <w:rPr>
      <w:lang w:val="es-ES_tradnl" w:eastAsia="es-ES_tradn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B7224D"/>
    <w:pPr>
      <w:jc w:val="both"/>
    </w:pPr>
    <w:rPr>
      <w:lang w:val="es-ES_tradnl" w:eastAsia="es-ES_trad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B7224D"/>
    <w:pPr>
      <w:jc w:val="both"/>
    </w:pPr>
    <w:rPr>
      <w:lang w:val="es-ES_tradnl" w:eastAsia="es-ES_tradn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B7224D"/>
    <w:pPr>
      <w:jc w:val="both"/>
    </w:pPr>
    <w:rPr>
      <w:lang w:val="es-ES_tradnl" w:eastAsia="es-ES_trad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B7224D"/>
    <w:pPr>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B7224D"/>
    <w:pPr>
      <w:jc w:val="both"/>
    </w:pPr>
    <w:rPr>
      <w:lang w:val="es-ES_tradnl" w:eastAsia="es-ES_tradn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B7224D"/>
    <w:pPr>
      <w:jc w:val="both"/>
    </w:pPr>
    <w:rPr>
      <w:lang w:val="es-ES_tradnl" w:eastAsia="es-ES_tradn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B7224D"/>
    <w:pPr>
      <w:jc w:val="both"/>
    </w:pPr>
    <w:rPr>
      <w:lang w:val="es-ES_tradnl" w:eastAsia="es-ES_tradn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B7224D"/>
    <w:pPr>
      <w:jc w:val="both"/>
    </w:pPr>
    <w:rPr>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B7224D"/>
    <w:pPr>
      <w:jc w:val="both"/>
    </w:pPr>
    <w:rPr>
      <w:lang w:val="es-ES_tradnl" w:eastAsia="es-ES_tradn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B7224D"/>
    <w:pPr>
      <w:jc w:val="both"/>
    </w:pPr>
    <w:rPr>
      <w:b/>
      <w:bC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B7224D"/>
    <w:pPr>
      <w:jc w:val="both"/>
    </w:pPr>
    <w:rPr>
      <w:lang w:val="es-ES_tradnl" w:eastAsia="es-ES_trad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B7224D"/>
    <w:pPr>
      <w:jc w:val="both"/>
    </w:pPr>
    <w:rPr>
      <w:lang w:val="es-ES_tradnl" w:eastAsia="es-ES_trad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B7224D"/>
    <w:pPr>
      <w:jc w:val="both"/>
    </w:pPr>
    <w:rPr>
      <w:lang w:val="es-ES_tradnl" w:eastAsia="es-ES_tradn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B7224D"/>
    <w:pPr>
      <w:jc w:val="both"/>
    </w:pPr>
    <w:rPr>
      <w:lang w:val="es-ES_tradnl" w:eastAsia="es-ES_tradn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B7224D"/>
    <w:pPr>
      <w:jc w:val="both"/>
    </w:pPr>
    <w:rPr>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B7224D"/>
    <w:pPr>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B7224D"/>
    <w:pPr>
      <w:jc w:val="both"/>
    </w:pPr>
    <w:rPr>
      <w:lang w:val="es-ES_tradnl" w:eastAsia="es-ES_trad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B7224D"/>
    <w:pPr>
      <w:jc w:val="both"/>
    </w:pPr>
    <w:rPr>
      <w:lang w:val="es-ES_tradnl" w:eastAsia="es-ES_trad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B7224D"/>
    <w:pPr>
      <w:jc w:val="both"/>
    </w:pPr>
    <w:rPr>
      <w:lang w:val="es-ES_tradnl" w:eastAsia="es-ES_trad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B7224D"/>
    <w:pPr>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B7224D"/>
    <w:pPr>
      <w:jc w:val="both"/>
    </w:pPr>
    <w:rPr>
      <w:lang w:val="es-ES_tradnl" w:eastAsia="es-ES_tradn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7224D"/>
    <w:pPr>
      <w:jc w:val="both"/>
    </w:pPr>
    <w:rPr>
      <w:lang w:val="es-ES_tradnl" w:eastAsia="es-ES_tradn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7224D"/>
    <w:pPr>
      <w:jc w:val="both"/>
    </w:pPr>
    <w:rPr>
      <w:lang w:val="es-ES_tradnl" w:eastAsia="es-ES_tradn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7224D"/>
    <w:pPr>
      <w:jc w:val="both"/>
    </w:pPr>
    <w:rPr>
      <w:lang w:val="es-ES_tradnl" w:eastAsia="es-ES_tradn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B7224D"/>
    <w:pPr>
      <w:jc w:val="both"/>
    </w:pPr>
    <w:rPr>
      <w:lang w:val="es-ES_tradnl" w:eastAsia="es-ES_tradn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B7224D"/>
    <w:pPr>
      <w:jc w:val="both"/>
    </w:pPr>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B7224D"/>
    <w:pPr>
      <w:jc w:val="both"/>
    </w:pPr>
    <w:rPr>
      <w:lang w:val="es-ES_tradnl" w:eastAsia="es-ES_tradn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B7224D"/>
    <w:pPr>
      <w:jc w:val="both"/>
    </w:pPr>
    <w:rPr>
      <w:lang w:val="es-ES_tradnl" w:eastAsia="es-ES_tradn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B7224D"/>
    <w:pPr>
      <w:jc w:val="both"/>
    </w:pPr>
    <w:rPr>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hapter">
    <w:name w:val="Chapter"/>
    <w:basedOn w:val="Normal"/>
    <w:uiPriority w:val="99"/>
    <w:semiHidden/>
    <w:rsid w:val="00B7224D"/>
    <w:pPr>
      <w:jc w:val="center"/>
    </w:pPr>
    <w:rPr>
      <w:b/>
      <w:caps/>
      <w:szCs w:val="24"/>
    </w:rPr>
  </w:style>
  <w:style w:type="paragraph" w:customStyle="1" w:styleId="Notetoarticle">
    <w:name w:val="Note to article"/>
    <w:basedOn w:val="Normal"/>
    <w:uiPriority w:val="99"/>
    <w:semiHidden/>
    <w:rsid w:val="00B7224D"/>
  </w:style>
  <w:style w:type="character" w:customStyle="1" w:styleId="f21">
    <w:name w:val="f21"/>
    <w:basedOn w:val="DefaultParagraphFont"/>
    <w:rsid w:val="00B7224D"/>
    <w:rPr>
      <w:rFonts w:ascii="Times New Roman" w:hAnsi="Times New Roman" w:cs="Times New Roman" w:hint="default"/>
      <w:color w:val="000000"/>
      <w:sz w:val="24"/>
      <w:szCs w:val="24"/>
    </w:rPr>
  </w:style>
  <w:style w:type="character" w:customStyle="1" w:styleId="st">
    <w:name w:val="st"/>
    <w:basedOn w:val="DefaultParagraphFont"/>
    <w:rsid w:val="00B72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Normal Indent" w:uiPriority="0"/>
    <w:lsdException w:name="header" w:uiPriority="0"/>
    <w:lsdException w:name="index heading" w:uiPriority="0"/>
    <w:lsdException w:name="caption" w:semiHidden="1" w:unhideWhenUsed="1" w:qFormat="1"/>
    <w:lsdException w:name="table of figures" w:uiPriority="0"/>
    <w:lsdException w:name="table of authorities" w:uiPriority="0"/>
    <w:lsdException w:name="toa heading" w:uiPriority="0"/>
    <w:lsdException w:name="Title" w:qFormat="1"/>
    <w:lsdException w:name="Default Paragraph Font" w:uiPriority="1"/>
    <w:lsdException w:name="Subtitle"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qFormat="1"/>
    <w:lsdException w:name="Emphasis" w:uiPriority="20" w:qFormat="1"/>
    <w:lsdException w:name="Document Map" w:uiPriority="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BF3"/>
    <w:pPr>
      <w:jc w:val="both"/>
    </w:pPr>
    <w:rPr>
      <w:rFonts w:ascii="Arial" w:hAnsi="Arial"/>
      <w:lang w:val="es-ES_tradnl"/>
    </w:rPr>
  </w:style>
  <w:style w:type="paragraph" w:styleId="Heading1">
    <w:name w:val="heading 1"/>
    <w:next w:val="Normal"/>
    <w:link w:val="Heading1Char"/>
    <w:autoRedefine/>
    <w:uiPriority w:val="99"/>
    <w:qFormat/>
    <w:rsid w:val="001E266D"/>
    <w:pPr>
      <w:keepNext/>
      <w:jc w:val="both"/>
      <w:outlineLvl w:val="0"/>
    </w:pPr>
    <w:rPr>
      <w:rFonts w:ascii="Arial" w:hAnsi="Arial"/>
      <w:caps/>
    </w:rPr>
  </w:style>
  <w:style w:type="paragraph" w:styleId="Heading2">
    <w:name w:val="heading 2"/>
    <w:next w:val="Normal"/>
    <w:link w:val="Heading2Char"/>
    <w:autoRedefine/>
    <w:uiPriority w:val="99"/>
    <w:qFormat/>
    <w:rsid w:val="00833396"/>
    <w:pPr>
      <w:keepNext/>
      <w:jc w:val="both"/>
      <w:outlineLvl w:val="1"/>
    </w:pPr>
    <w:rPr>
      <w:rFonts w:ascii="Arial" w:hAnsi="Arial"/>
      <w:u w:val="single"/>
      <w:lang w:val="es-ES_tradnl"/>
    </w:rPr>
  </w:style>
  <w:style w:type="paragraph" w:styleId="Heading3">
    <w:name w:val="heading 3"/>
    <w:next w:val="Normal"/>
    <w:link w:val="Heading3Char"/>
    <w:autoRedefine/>
    <w:uiPriority w:val="99"/>
    <w:qFormat/>
    <w:rsid w:val="00833396"/>
    <w:pPr>
      <w:keepNext/>
      <w:jc w:val="both"/>
      <w:outlineLvl w:val="2"/>
    </w:pPr>
    <w:rPr>
      <w:rFonts w:ascii="Arial" w:hAnsi="Arial"/>
      <w:i/>
    </w:rPr>
  </w:style>
  <w:style w:type="paragraph" w:styleId="Heading4">
    <w:name w:val="heading 4"/>
    <w:next w:val="Normal"/>
    <w:link w:val="Heading4Char"/>
    <w:autoRedefine/>
    <w:uiPriority w:val="99"/>
    <w:qFormat/>
    <w:rsid w:val="001E266D"/>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1E266D"/>
    <w:pPr>
      <w:keepNext/>
      <w:ind w:left="1134" w:hanging="567"/>
      <w:jc w:val="both"/>
      <w:outlineLvl w:val="4"/>
    </w:pPr>
    <w:rPr>
      <w:rFonts w:ascii="Arial" w:hAnsi="Arial"/>
      <w:sz w:val="18"/>
      <w:szCs w:val="18"/>
    </w:rPr>
  </w:style>
  <w:style w:type="paragraph" w:styleId="Heading6">
    <w:name w:val="heading 6"/>
    <w:basedOn w:val="Normal"/>
    <w:next w:val="Normal"/>
    <w:link w:val="Heading6Char"/>
    <w:uiPriority w:val="99"/>
    <w:qFormat/>
    <w:rsid w:val="001E266D"/>
    <w:pPr>
      <w:outlineLvl w:val="5"/>
    </w:pPr>
  </w:style>
  <w:style w:type="paragraph" w:styleId="Heading7">
    <w:name w:val="heading 7"/>
    <w:basedOn w:val="Normal"/>
    <w:next w:val="Normal"/>
    <w:link w:val="Heading7Char"/>
    <w:uiPriority w:val="99"/>
    <w:qFormat/>
    <w:rsid w:val="001E266D"/>
    <w:pPr>
      <w:spacing w:before="240" w:after="60"/>
      <w:outlineLvl w:val="6"/>
    </w:pPr>
    <w:rPr>
      <w:szCs w:val="24"/>
    </w:rPr>
  </w:style>
  <w:style w:type="paragraph" w:styleId="Heading8">
    <w:name w:val="heading 8"/>
    <w:basedOn w:val="Normal"/>
    <w:next w:val="Normal"/>
    <w:link w:val="Heading8Char"/>
    <w:uiPriority w:val="99"/>
    <w:qFormat/>
    <w:rsid w:val="001E266D"/>
    <w:pPr>
      <w:keepNext/>
      <w:jc w:val="center"/>
      <w:outlineLvl w:val="7"/>
    </w:pPr>
    <w:rPr>
      <w:u w:val="single"/>
    </w:rPr>
  </w:style>
  <w:style w:type="paragraph" w:styleId="Heading9">
    <w:name w:val="heading 9"/>
    <w:basedOn w:val="Normal"/>
    <w:next w:val="Normal"/>
    <w:link w:val="Heading9Char"/>
    <w:uiPriority w:val="99"/>
    <w:qFormat/>
    <w:rsid w:val="001E266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24D"/>
    <w:rPr>
      <w:rFonts w:ascii="Arial" w:hAnsi="Arial"/>
      <w:caps/>
    </w:rPr>
  </w:style>
  <w:style w:type="character" w:customStyle="1" w:styleId="Heading2Char">
    <w:name w:val="Heading 2 Char"/>
    <w:link w:val="Heading2"/>
    <w:uiPriority w:val="99"/>
    <w:rsid w:val="00833396"/>
    <w:rPr>
      <w:rFonts w:ascii="Arial" w:hAnsi="Arial"/>
      <w:u w:val="single"/>
      <w:lang w:val="es-ES_tradnl"/>
    </w:rPr>
  </w:style>
  <w:style w:type="character" w:customStyle="1" w:styleId="Heading3Char">
    <w:name w:val="Heading 3 Char"/>
    <w:link w:val="Heading3"/>
    <w:uiPriority w:val="99"/>
    <w:locked/>
    <w:rsid w:val="00833396"/>
    <w:rPr>
      <w:rFonts w:ascii="Arial" w:hAnsi="Arial"/>
      <w:i/>
    </w:rPr>
  </w:style>
  <w:style w:type="character" w:customStyle="1" w:styleId="Heading4Char">
    <w:name w:val="Heading 4 Char"/>
    <w:link w:val="Heading4"/>
    <w:uiPriority w:val="99"/>
    <w:rsid w:val="001E266D"/>
    <w:rPr>
      <w:rFonts w:ascii="Arial" w:hAnsi="Arial"/>
      <w:i/>
      <w:lang w:val="fr-FR"/>
    </w:rPr>
  </w:style>
  <w:style w:type="character" w:customStyle="1" w:styleId="Heading5Char">
    <w:name w:val="Heading 5 Char"/>
    <w:link w:val="Heading5"/>
    <w:uiPriority w:val="99"/>
    <w:rsid w:val="001E266D"/>
    <w:rPr>
      <w:rFonts w:ascii="Arial" w:hAnsi="Arial"/>
      <w:sz w:val="18"/>
      <w:szCs w:val="18"/>
    </w:rPr>
  </w:style>
  <w:style w:type="character" w:customStyle="1" w:styleId="Heading6Char">
    <w:name w:val="Heading 6 Char"/>
    <w:basedOn w:val="DefaultParagraphFont"/>
    <w:link w:val="Heading6"/>
    <w:uiPriority w:val="99"/>
    <w:rsid w:val="001E266D"/>
    <w:rPr>
      <w:rFonts w:ascii="Arial" w:hAnsi="Arial"/>
      <w:lang w:val="es-ES_tradnl"/>
    </w:rPr>
  </w:style>
  <w:style w:type="character" w:customStyle="1" w:styleId="Heading7Char">
    <w:name w:val="Heading 7 Char"/>
    <w:basedOn w:val="DefaultParagraphFont"/>
    <w:link w:val="Heading7"/>
    <w:uiPriority w:val="99"/>
    <w:rsid w:val="001E266D"/>
    <w:rPr>
      <w:rFonts w:ascii="Arial" w:hAnsi="Arial"/>
      <w:szCs w:val="24"/>
    </w:rPr>
  </w:style>
  <w:style w:type="character" w:customStyle="1" w:styleId="Heading8Char">
    <w:name w:val="Heading 8 Char"/>
    <w:basedOn w:val="DefaultParagraphFont"/>
    <w:link w:val="Heading8"/>
    <w:uiPriority w:val="99"/>
    <w:rsid w:val="001E266D"/>
    <w:rPr>
      <w:rFonts w:ascii="Arial" w:hAnsi="Arial"/>
      <w:u w:val="single"/>
    </w:rPr>
  </w:style>
  <w:style w:type="character" w:customStyle="1" w:styleId="Heading9Char">
    <w:name w:val="Heading 9 Char"/>
    <w:basedOn w:val="DefaultParagraphFont"/>
    <w:link w:val="Heading9"/>
    <w:uiPriority w:val="99"/>
    <w:locked/>
    <w:rsid w:val="00B7224D"/>
    <w:rPr>
      <w:rFonts w:ascii="Arial" w:hAnsi="Arial"/>
      <w:i/>
      <w:sz w:val="18"/>
      <w:lang w:val="es-ES_tradnl"/>
    </w:rPr>
  </w:style>
  <w:style w:type="paragraph" w:styleId="Header">
    <w:name w:val="header"/>
    <w:link w:val="HeaderChar"/>
    <w:autoRedefine/>
    <w:rsid w:val="007E7D4D"/>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rsid w:val="007E7D4D"/>
    <w:rPr>
      <w:rFonts w:ascii="Arial" w:hAnsi="Arial"/>
      <w:lang w:val="fr-FR"/>
    </w:rPr>
  </w:style>
  <w:style w:type="paragraph" w:styleId="Footer">
    <w:name w:val="footer"/>
    <w:aliases w:val="doc_path_name"/>
    <w:link w:val="FooterChar"/>
    <w:autoRedefine/>
    <w:uiPriority w:val="99"/>
    <w:rsid w:val="007E7D4D"/>
    <w:pPr>
      <w:jc w:val="right"/>
    </w:pPr>
    <w:rPr>
      <w:rFonts w:ascii="Arial" w:hAnsi="Arial"/>
    </w:rPr>
  </w:style>
  <w:style w:type="character" w:customStyle="1" w:styleId="FooterChar">
    <w:name w:val="Footer Char"/>
    <w:aliases w:val="doc_path_name Char"/>
    <w:link w:val="Footer"/>
    <w:uiPriority w:val="99"/>
    <w:rsid w:val="007E7D4D"/>
    <w:rPr>
      <w:rFonts w:ascii="Arial" w:hAnsi="Arial"/>
    </w:rPr>
  </w:style>
  <w:style w:type="character" w:styleId="PageNumber">
    <w:name w:val="page number"/>
    <w:basedOn w:val="DefaultParagraphFont"/>
    <w:uiPriority w:val="99"/>
    <w:rsid w:val="001E266D"/>
    <w:rPr>
      <w:rFonts w:ascii="Arial" w:hAnsi="Arial"/>
      <w:sz w:val="20"/>
    </w:rPr>
  </w:style>
  <w:style w:type="paragraph" w:styleId="Title">
    <w:name w:val="Title"/>
    <w:basedOn w:val="Normal"/>
    <w:link w:val="TitleChar"/>
    <w:uiPriority w:val="99"/>
    <w:qFormat/>
    <w:rsid w:val="001E266D"/>
    <w:pPr>
      <w:spacing w:after="300"/>
      <w:jc w:val="center"/>
    </w:pPr>
    <w:rPr>
      <w:b/>
      <w:caps/>
      <w:kern w:val="28"/>
      <w:sz w:val="30"/>
    </w:rPr>
  </w:style>
  <w:style w:type="character" w:customStyle="1" w:styleId="TitleChar">
    <w:name w:val="Title Char"/>
    <w:basedOn w:val="DefaultParagraphFont"/>
    <w:link w:val="Title"/>
    <w:uiPriority w:val="99"/>
    <w:locked/>
    <w:rsid w:val="00B7224D"/>
    <w:rPr>
      <w:rFonts w:ascii="Arial" w:hAnsi="Arial"/>
      <w:b/>
      <w:caps/>
      <w:kern w:val="28"/>
      <w:sz w:val="30"/>
      <w:lang w:val="es-ES_tradnl"/>
    </w:rPr>
  </w:style>
  <w:style w:type="paragraph" w:customStyle="1" w:styleId="preparedby">
    <w:name w:val="preparedby"/>
    <w:basedOn w:val="Normal"/>
    <w:next w:val="Normal"/>
    <w:uiPriority w:val="99"/>
    <w:rsid w:val="001E266D"/>
    <w:pPr>
      <w:spacing w:after="600"/>
      <w:jc w:val="center"/>
    </w:pPr>
    <w:rPr>
      <w:i/>
    </w:rPr>
  </w:style>
  <w:style w:type="paragraph" w:customStyle="1" w:styleId="Docoriginal">
    <w:name w:val="Doc_original"/>
    <w:basedOn w:val="Normal"/>
    <w:link w:val="DocoriginalChar"/>
    <w:uiPriority w:val="99"/>
    <w:rsid w:val="001E266D"/>
    <w:pPr>
      <w:spacing w:line="280" w:lineRule="exact"/>
      <w:ind w:left="1361"/>
    </w:pPr>
    <w:rPr>
      <w:b/>
      <w:bCs/>
      <w:spacing w:val="10"/>
    </w:rPr>
  </w:style>
  <w:style w:type="character" w:customStyle="1" w:styleId="DocoriginalChar">
    <w:name w:val="Doc_original Char"/>
    <w:basedOn w:val="DefaultParagraphFont"/>
    <w:link w:val="Docoriginal"/>
    <w:uiPriority w:val="99"/>
    <w:rsid w:val="001E266D"/>
    <w:rPr>
      <w:rFonts w:ascii="Arial" w:hAnsi="Arial"/>
      <w:b/>
      <w:bCs/>
      <w:spacing w:val="10"/>
    </w:rPr>
  </w:style>
  <w:style w:type="paragraph" w:customStyle="1" w:styleId="DecisionParagraphs">
    <w:name w:val="DecisionParagraphs"/>
    <w:basedOn w:val="Normal"/>
    <w:link w:val="DecisionParagraphsChar"/>
    <w:uiPriority w:val="99"/>
    <w:qFormat/>
    <w:rsid w:val="001E266D"/>
    <w:pPr>
      <w:tabs>
        <w:tab w:val="left" w:pos="5387"/>
      </w:tabs>
      <w:ind w:left="4820"/>
    </w:pPr>
    <w:rPr>
      <w:i/>
    </w:rPr>
  </w:style>
  <w:style w:type="character" w:customStyle="1" w:styleId="DecisionParagraphsChar">
    <w:name w:val="DecisionParagraphs Char"/>
    <w:link w:val="DecisionParagraphs"/>
    <w:uiPriority w:val="99"/>
    <w:rsid w:val="001E266D"/>
    <w:rPr>
      <w:rFonts w:ascii="Arial" w:hAnsi="Arial"/>
      <w:i/>
    </w:rPr>
  </w:style>
  <w:style w:type="paragraph" w:styleId="FootnoteText">
    <w:name w:val="footnote text"/>
    <w:link w:val="FootnoteTextChar"/>
    <w:autoRedefine/>
    <w:uiPriority w:val="99"/>
    <w:rsid w:val="001E266D"/>
    <w:pPr>
      <w:spacing w:before="60"/>
      <w:ind w:left="567" w:hanging="567"/>
      <w:jc w:val="both"/>
    </w:pPr>
    <w:rPr>
      <w:rFonts w:ascii="Arial" w:hAnsi="Arial"/>
      <w:sz w:val="16"/>
    </w:rPr>
  </w:style>
  <w:style w:type="character" w:customStyle="1" w:styleId="FootnoteTextChar">
    <w:name w:val="Footnote Text Char"/>
    <w:basedOn w:val="DefaultParagraphFont"/>
    <w:link w:val="FootnoteText"/>
    <w:uiPriority w:val="99"/>
    <w:rsid w:val="001E266D"/>
    <w:rPr>
      <w:rFonts w:ascii="Arial" w:hAnsi="Arial"/>
      <w:sz w:val="16"/>
    </w:rPr>
  </w:style>
  <w:style w:type="character" w:styleId="FootnoteReference">
    <w:name w:val="footnote reference"/>
    <w:basedOn w:val="DefaultParagraphFont"/>
    <w:uiPriority w:val="99"/>
    <w:rsid w:val="001E266D"/>
    <w:rPr>
      <w:vertAlign w:val="superscript"/>
    </w:rPr>
  </w:style>
  <w:style w:type="paragraph" w:styleId="Closing">
    <w:name w:val="Closing"/>
    <w:basedOn w:val="Normal"/>
    <w:link w:val="ClosingChar"/>
    <w:uiPriority w:val="99"/>
    <w:rsid w:val="001E266D"/>
    <w:pPr>
      <w:ind w:left="4536"/>
      <w:jc w:val="center"/>
    </w:pPr>
  </w:style>
  <w:style w:type="character" w:customStyle="1" w:styleId="ClosingChar">
    <w:name w:val="Closing Char"/>
    <w:basedOn w:val="DefaultParagraphFont"/>
    <w:link w:val="Closing"/>
    <w:uiPriority w:val="99"/>
    <w:locked/>
    <w:rsid w:val="00B7224D"/>
    <w:rPr>
      <w:rFonts w:ascii="Arial" w:hAnsi="Arial"/>
      <w:lang w:val="es-ES_tradnl"/>
    </w:rPr>
  </w:style>
  <w:style w:type="paragraph" w:styleId="Index1">
    <w:name w:val="index 1"/>
    <w:basedOn w:val="Normal"/>
    <w:next w:val="Normal"/>
    <w:uiPriority w:val="99"/>
    <w:semiHidden/>
    <w:rsid w:val="001E266D"/>
    <w:pPr>
      <w:tabs>
        <w:tab w:val="right" w:leader="dot" w:pos="9071"/>
      </w:tabs>
      <w:ind w:left="284" w:hanging="284"/>
    </w:pPr>
    <w:rPr>
      <w:sz w:val="24"/>
    </w:rPr>
  </w:style>
  <w:style w:type="paragraph" w:styleId="Index2">
    <w:name w:val="index 2"/>
    <w:basedOn w:val="Normal"/>
    <w:next w:val="Normal"/>
    <w:uiPriority w:val="99"/>
    <w:semiHidden/>
    <w:rsid w:val="001E266D"/>
    <w:pPr>
      <w:tabs>
        <w:tab w:val="right" w:leader="dot" w:pos="9071"/>
      </w:tabs>
      <w:ind w:left="568" w:hanging="284"/>
    </w:pPr>
    <w:rPr>
      <w:sz w:val="24"/>
    </w:rPr>
  </w:style>
  <w:style w:type="paragraph" w:styleId="Index3">
    <w:name w:val="index 3"/>
    <w:basedOn w:val="Normal"/>
    <w:next w:val="Normal"/>
    <w:uiPriority w:val="99"/>
    <w:semiHidden/>
    <w:rsid w:val="001E266D"/>
    <w:pPr>
      <w:tabs>
        <w:tab w:val="right" w:leader="dot" w:pos="9071"/>
      </w:tabs>
      <w:ind w:left="851" w:hanging="284"/>
    </w:pPr>
    <w:rPr>
      <w:sz w:val="24"/>
    </w:rPr>
  </w:style>
  <w:style w:type="paragraph" w:styleId="MacroText">
    <w:name w:val="macro"/>
    <w:link w:val="MacroTextChar"/>
    <w:uiPriority w:val="99"/>
    <w:semiHidden/>
    <w:rsid w:val="001E26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uiPriority w:val="99"/>
    <w:semiHidden/>
    <w:locked/>
    <w:rsid w:val="00B7224D"/>
    <w:rPr>
      <w:rFonts w:ascii="Courier New" w:hAnsi="Courier New"/>
      <w:sz w:val="16"/>
    </w:rPr>
  </w:style>
  <w:style w:type="paragraph" w:styleId="Signature">
    <w:name w:val="Signature"/>
    <w:basedOn w:val="Normal"/>
    <w:link w:val="SignatureChar"/>
    <w:uiPriority w:val="99"/>
    <w:rsid w:val="001E266D"/>
    <w:pPr>
      <w:ind w:left="4536"/>
      <w:jc w:val="center"/>
    </w:pPr>
  </w:style>
  <w:style w:type="character" w:customStyle="1" w:styleId="SignatureChar">
    <w:name w:val="Signature Char"/>
    <w:basedOn w:val="DefaultParagraphFont"/>
    <w:link w:val="Signature"/>
    <w:uiPriority w:val="99"/>
    <w:locked/>
    <w:rsid w:val="00B7224D"/>
    <w:rPr>
      <w:rFonts w:ascii="Arial" w:hAnsi="Arial"/>
      <w:lang w:val="es-ES_tradnl"/>
    </w:rPr>
  </w:style>
  <w:style w:type="character" w:customStyle="1" w:styleId="Doclang">
    <w:name w:val="Doc_lang"/>
    <w:basedOn w:val="DefaultParagraphFont"/>
    <w:uiPriority w:val="99"/>
    <w:rsid w:val="001E266D"/>
    <w:rPr>
      <w:rFonts w:ascii="Arial" w:hAnsi="Arial"/>
      <w:sz w:val="20"/>
      <w:lang w:val="en-US"/>
    </w:rPr>
  </w:style>
  <w:style w:type="paragraph" w:customStyle="1" w:styleId="Session">
    <w:name w:val="Session"/>
    <w:basedOn w:val="Normal"/>
    <w:uiPriority w:val="99"/>
    <w:rsid w:val="001E266D"/>
    <w:pPr>
      <w:spacing w:before="60"/>
      <w:jc w:val="center"/>
    </w:pPr>
    <w:rPr>
      <w:b/>
    </w:rPr>
  </w:style>
  <w:style w:type="paragraph" w:customStyle="1" w:styleId="Organizer">
    <w:name w:val="Organizer"/>
    <w:basedOn w:val="Normal"/>
    <w:uiPriority w:val="99"/>
    <w:rsid w:val="001E266D"/>
    <w:pPr>
      <w:spacing w:after="600"/>
      <w:ind w:left="-993" w:right="-994"/>
      <w:jc w:val="center"/>
    </w:pPr>
    <w:rPr>
      <w:b/>
      <w:caps/>
      <w:kern w:val="26"/>
      <w:sz w:val="26"/>
    </w:rPr>
  </w:style>
  <w:style w:type="paragraph" w:styleId="BodyText">
    <w:name w:val="Body Text"/>
    <w:basedOn w:val="Normal"/>
    <w:link w:val="BodyTextChar"/>
    <w:uiPriority w:val="99"/>
    <w:rsid w:val="001E266D"/>
  </w:style>
  <w:style w:type="character" w:customStyle="1" w:styleId="BodyTextChar">
    <w:name w:val="Body Text Char"/>
    <w:link w:val="BodyText"/>
    <w:uiPriority w:val="99"/>
    <w:locked/>
    <w:rsid w:val="001E266D"/>
    <w:rPr>
      <w:rFonts w:ascii="Arial" w:hAnsi="Arial"/>
    </w:rPr>
  </w:style>
  <w:style w:type="paragraph" w:customStyle="1" w:styleId="StyleDocoriginalNotBold">
    <w:name w:val="Style Doc_original + Not Bold"/>
    <w:basedOn w:val="Docoriginal"/>
    <w:link w:val="StyleDocoriginalNotBoldChar"/>
    <w:autoRedefine/>
    <w:uiPriority w:val="99"/>
    <w:rsid w:val="001E266D"/>
    <w:pPr>
      <w:ind w:left="1589"/>
      <w:jc w:val="left"/>
    </w:pPr>
  </w:style>
  <w:style w:type="character" w:customStyle="1" w:styleId="StyleDocoriginalNotBoldChar">
    <w:name w:val="Style Doc_original + Not Bold Char"/>
    <w:basedOn w:val="DocoriginalChar"/>
    <w:link w:val="StyleDocoriginalNotBold"/>
    <w:uiPriority w:val="99"/>
    <w:rsid w:val="001E266D"/>
    <w:rPr>
      <w:rFonts w:ascii="Arial" w:hAnsi="Arial"/>
      <w:b/>
      <w:bCs/>
      <w:spacing w:val="10"/>
    </w:rPr>
  </w:style>
  <w:style w:type="paragraph" w:customStyle="1" w:styleId="upove">
    <w:name w:val="upov_e"/>
    <w:basedOn w:val="Normal"/>
    <w:uiPriority w:val="99"/>
    <w:rsid w:val="001E266D"/>
    <w:pPr>
      <w:spacing w:before="60"/>
      <w:jc w:val="center"/>
    </w:pPr>
    <w:rPr>
      <w:b/>
      <w:bCs/>
      <w:spacing w:val="8"/>
      <w:sz w:val="24"/>
    </w:rPr>
  </w:style>
  <w:style w:type="paragraph" w:customStyle="1" w:styleId="TitleofDoc">
    <w:name w:val="Title of Doc"/>
    <w:basedOn w:val="Normal"/>
    <w:uiPriority w:val="99"/>
    <w:rsid w:val="001E266D"/>
    <w:pPr>
      <w:spacing w:before="1200"/>
      <w:jc w:val="center"/>
    </w:pPr>
    <w:rPr>
      <w:caps/>
    </w:rPr>
  </w:style>
  <w:style w:type="paragraph" w:customStyle="1" w:styleId="preparedby0">
    <w:name w:val="prepared by"/>
    <w:basedOn w:val="Normal"/>
    <w:uiPriority w:val="99"/>
    <w:semiHidden/>
    <w:rsid w:val="001E266D"/>
    <w:pPr>
      <w:spacing w:before="600" w:after="600"/>
      <w:jc w:val="center"/>
    </w:pPr>
    <w:rPr>
      <w:i/>
    </w:rPr>
  </w:style>
  <w:style w:type="paragraph" w:customStyle="1" w:styleId="PlaceAndDate">
    <w:name w:val="PlaceAndDate"/>
    <w:basedOn w:val="Session"/>
    <w:uiPriority w:val="99"/>
    <w:rsid w:val="001E266D"/>
  </w:style>
  <w:style w:type="paragraph" w:styleId="EndnoteText">
    <w:name w:val="endnote text"/>
    <w:basedOn w:val="Normal"/>
    <w:link w:val="EndnoteTextChar"/>
    <w:uiPriority w:val="99"/>
    <w:rsid w:val="001E266D"/>
  </w:style>
  <w:style w:type="character" w:customStyle="1" w:styleId="EndnoteTextChar">
    <w:name w:val="Endnote Text Char"/>
    <w:basedOn w:val="DefaultParagraphFont"/>
    <w:link w:val="EndnoteText"/>
    <w:uiPriority w:val="99"/>
    <w:locked/>
    <w:rsid w:val="00B7224D"/>
    <w:rPr>
      <w:rFonts w:ascii="Arial" w:hAnsi="Arial"/>
      <w:lang w:val="es-ES_tradnl"/>
    </w:rPr>
  </w:style>
  <w:style w:type="character" w:styleId="EndnoteReference">
    <w:name w:val="endnote reference"/>
    <w:basedOn w:val="DefaultParagraphFont"/>
    <w:uiPriority w:val="99"/>
    <w:rsid w:val="001E266D"/>
    <w:rPr>
      <w:vertAlign w:val="superscript"/>
    </w:rPr>
  </w:style>
  <w:style w:type="paragraph" w:customStyle="1" w:styleId="SessionMeetingPlace">
    <w:name w:val="Session_MeetingPlace"/>
    <w:basedOn w:val="Normal"/>
    <w:uiPriority w:val="99"/>
    <w:semiHidden/>
    <w:rsid w:val="001E266D"/>
    <w:pPr>
      <w:spacing w:before="480"/>
      <w:jc w:val="center"/>
    </w:pPr>
    <w:rPr>
      <w:b/>
      <w:bCs/>
      <w:kern w:val="28"/>
      <w:sz w:val="24"/>
    </w:rPr>
  </w:style>
  <w:style w:type="paragraph" w:customStyle="1" w:styleId="Original">
    <w:name w:val="Original"/>
    <w:basedOn w:val="Normal"/>
    <w:uiPriority w:val="99"/>
    <w:rsid w:val="001E266D"/>
    <w:pPr>
      <w:spacing w:before="60"/>
      <w:ind w:left="1276"/>
    </w:pPr>
    <w:rPr>
      <w:b/>
      <w:sz w:val="22"/>
    </w:rPr>
  </w:style>
  <w:style w:type="paragraph" w:styleId="Date">
    <w:name w:val="Date"/>
    <w:basedOn w:val="Normal"/>
    <w:link w:val="DateChar"/>
    <w:uiPriority w:val="99"/>
    <w:rsid w:val="001E266D"/>
    <w:pPr>
      <w:spacing w:line="340" w:lineRule="exact"/>
      <w:ind w:left="1276"/>
    </w:pPr>
    <w:rPr>
      <w:b/>
      <w:sz w:val="22"/>
    </w:rPr>
  </w:style>
  <w:style w:type="character" w:customStyle="1" w:styleId="DateChar">
    <w:name w:val="Date Char"/>
    <w:basedOn w:val="DefaultParagraphFont"/>
    <w:link w:val="Date"/>
    <w:uiPriority w:val="99"/>
    <w:locked/>
    <w:rsid w:val="00B7224D"/>
    <w:rPr>
      <w:rFonts w:ascii="Arial" w:hAnsi="Arial"/>
      <w:b/>
      <w:sz w:val="22"/>
      <w:lang w:val="es-ES_tradnl"/>
    </w:rPr>
  </w:style>
  <w:style w:type="paragraph" w:customStyle="1" w:styleId="Code">
    <w:name w:val="Code"/>
    <w:basedOn w:val="Normal"/>
    <w:link w:val="CodeChar"/>
    <w:uiPriority w:val="99"/>
    <w:semiHidden/>
    <w:rsid w:val="001E266D"/>
    <w:pPr>
      <w:spacing w:line="340" w:lineRule="atLeast"/>
      <w:ind w:left="1276"/>
    </w:pPr>
    <w:rPr>
      <w:b/>
      <w:bCs/>
      <w:spacing w:val="10"/>
    </w:rPr>
  </w:style>
  <w:style w:type="character" w:customStyle="1" w:styleId="CodeChar">
    <w:name w:val="Code Char"/>
    <w:basedOn w:val="DefaultParagraphFont"/>
    <w:link w:val="Code"/>
    <w:uiPriority w:val="99"/>
    <w:rsid w:val="001E266D"/>
    <w:rPr>
      <w:rFonts w:ascii="Arial" w:hAnsi="Arial"/>
      <w:b/>
      <w:bCs/>
      <w:spacing w:val="10"/>
    </w:rPr>
  </w:style>
  <w:style w:type="paragraph" w:customStyle="1" w:styleId="Country">
    <w:name w:val="Country"/>
    <w:basedOn w:val="Normal"/>
    <w:uiPriority w:val="99"/>
    <w:semiHidden/>
    <w:rsid w:val="001E266D"/>
    <w:pPr>
      <w:spacing w:before="60" w:after="480"/>
      <w:jc w:val="center"/>
    </w:pPr>
  </w:style>
  <w:style w:type="paragraph" w:customStyle="1" w:styleId="Lettrine">
    <w:name w:val="Lettrine"/>
    <w:basedOn w:val="Normal"/>
    <w:uiPriority w:val="99"/>
    <w:rsid w:val="001E266D"/>
    <w:pPr>
      <w:spacing w:after="120" w:line="340" w:lineRule="atLeast"/>
      <w:jc w:val="right"/>
    </w:pPr>
    <w:rPr>
      <w:b/>
      <w:bCs/>
      <w:sz w:val="56"/>
    </w:rPr>
  </w:style>
  <w:style w:type="paragraph" w:customStyle="1" w:styleId="LogoUPOV">
    <w:name w:val="LogoUPOV"/>
    <w:basedOn w:val="Normal"/>
    <w:uiPriority w:val="99"/>
    <w:rsid w:val="001E266D"/>
    <w:pPr>
      <w:spacing w:before="720"/>
      <w:jc w:val="center"/>
    </w:pPr>
  </w:style>
  <w:style w:type="paragraph" w:customStyle="1" w:styleId="Sessiontc">
    <w:name w:val="Session_tc"/>
    <w:basedOn w:val="StyleSessionAllcaps"/>
    <w:uiPriority w:val="99"/>
    <w:rsid w:val="001E266D"/>
    <w:pPr>
      <w:spacing w:before="240"/>
    </w:pPr>
  </w:style>
  <w:style w:type="paragraph" w:customStyle="1" w:styleId="StyleSessionAllcaps">
    <w:name w:val="Style Session + All caps"/>
    <w:basedOn w:val="Session"/>
    <w:uiPriority w:val="99"/>
    <w:semiHidden/>
    <w:rsid w:val="001E266D"/>
    <w:pPr>
      <w:spacing w:before="480"/>
    </w:pPr>
    <w:rPr>
      <w:bCs/>
      <w:caps/>
      <w:kern w:val="28"/>
      <w:sz w:val="24"/>
    </w:rPr>
  </w:style>
  <w:style w:type="paragraph" w:customStyle="1" w:styleId="TitreUpov">
    <w:name w:val="TitreUpov"/>
    <w:basedOn w:val="Normal"/>
    <w:uiPriority w:val="99"/>
    <w:semiHidden/>
    <w:rsid w:val="001E266D"/>
    <w:pPr>
      <w:spacing w:before="60"/>
      <w:jc w:val="center"/>
    </w:pPr>
    <w:rPr>
      <w:b/>
      <w:sz w:val="24"/>
    </w:rPr>
  </w:style>
  <w:style w:type="paragraph" w:customStyle="1" w:styleId="plcountry">
    <w:name w:val="plcountry"/>
    <w:basedOn w:val="Normal"/>
    <w:link w:val="plcountryChar"/>
    <w:uiPriority w:val="99"/>
    <w:rsid w:val="001E266D"/>
    <w:pPr>
      <w:keepNext/>
      <w:keepLines/>
      <w:spacing w:before="180" w:after="120"/>
      <w:jc w:val="left"/>
    </w:pPr>
    <w:rPr>
      <w:caps/>
      <w:noProof/>
      <w:snapToGrid w:val="0"/>
      <w:u w:val="single"/>
    </w:rPr>
  </w:style>
  <w:style w:type="character" w:customStyle="1" w:styleId="plcountryChar">
    <w:name w:val="plcountry Char"/>
    <w:link w:val="plcountry"/>
    <w:uiPriority w:val="99"/>
    <w:rsid w:val="001E266D"/>
    <w:rPr>
      <w:rFonts w:ascii="Arial" w:hAnsi="Arial"/>
      <w:caps/>
      <w:noProof/>
      <w:snapToGrid w:val="0"/>
      <w:u w:val="single"/>
    </w:rPr>
  </w:style>
  <w:style w:type="paragraph" w:customStyle="1" w:styleId="pldetails">
    <w:name w:val="pldetails"/>
    <w:basedOn w:val="Normal"/>
    <w:link w:val="pldetailsChar"/>
    <w:uiPriority w:val="99"/>
    <w:rsid w:val="001E266D"/>
    <w:pPr>
      <w:keepLines/>
      <w:spacing w:before="60" w:after="60"/>
      <w:jc w:val="left"/>
    </w:pPr>
    <w:rPr>
      <w:noProof/>
      <w:snapToGrid w:val="0"/>
    </w:rPr>
  </w:style>
  <w:style w:type="character" w:customStyle="1" w:styleId="pldetailsChar">
    <w:name w:val="pldetails Char"/>
    <w:link w:val="pldetails"/>
    <w:uiPriority w:val="99"/>
    <w:rsid w:val="001E266D"/>
    <w:rPr>
      <w:rFonts w:ascii="Arial" w:hAnsi="Arial"/>
      <w:noProof/>
      <w:snapToGrid w:val="0"/>
    </w:rPr>
  </w:style>
  <w:style w:type="paragraph" w:customStyle="1" w:styleId="plheading">
    <w:name w:val="plheading"/>
    <w:basedOn w:val="Normal"/>
    <w:uiPriority w:val="99"/>
    <w:rsid w:val="001E266D"/>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1E266D"/>
    <w:pPr>
      <w:spacing w:before="240"/>
    </w:pPr>
  </w:style>
  <w:style w:type="paragraph" w:customStyle="1" w:styleId="Titleofdoc0">
    <w:name w:val="Title_of_doc"/>
    <w:basedOn w:val="Normal"/>
    <w:uiPriority w:val="99"/>
    <w:rsid w:val="001E266D"/>
    <w:pPr>
      <w:spacing w:before="600"/>
      <w:jc w:val="center"/>
    </w:pPr>
    <w:rPr>
      <w:caps/>
    </w:rPr>
  </w:style>
  <w:style w:type="paragraph" w:customStyle="1" w:styleId="preparedby1">
    <w:name w:val="prepared_by"/>
    <w:basedOn w:val="Normal"/>
    <w:uiPriority w:val="99"/>
    <w:rsid w:val="001E266D"/>
    <w:pPr>
      <w:spacing w:before="240" w:after="600"/>
      <w:jc w:val="center"/>
    </w:pPr>
    <w:rPr>
      <w:i/>
    </w:rPr>
  </w:style>
  <w:style w:type="paragraph" w:customStyle="1" w:styleId="endofdoc">
    <w:name w:val="end_of_doc"/>
    <w:autoRedefine/>
    <w:uiPriority w:val="99"/>
    <w:rsid w:val="001E266D"/>
    <w:pPr>
      <w:spacing w:before="480"/>
      <w:ind w:left="567" w:hanging="567"/>
      <w:jc w:val="right"/>
    </w:pPr>
    <w:rPr>
      <w:rFonts w:ascii="Arial" w:hAnsi="Arial"/>
    </w:rPr>
  </w:style>
  <w:style w:type="paragraph" w:customStyle="1" w:styleId="StyleDocnumber">
    <w:name w:val="Style Doc_number"/>
    <w:basedOn w:val="Docoriginal"/>
    <w:uiPriority w:val="99"/>
    <w:rsid w:val="001E266D"/>
    <w:pPr>
      <w:ind w:left="1589"/>
    </w:pPr>
  </w:style>
  <w:style w:type="paragraph" w:customStyle="1" w:styleId="StyleDocoriginal">
    <w:name w:val="Style Doc_original"/>
    <w:basedOn w:val="Docoriginal"/>
    <w:link w:val="StyleDocoriginalChar"/>
    <w:uiPriority w:val="99"/>
    <w:rsid w:val="001E266D"/>
  </w:style>
  <w:style w:type="character" w:customStyle="1" w:styleId="StyleDocoriginalChar">
    <w:name w:val="Style Doc_original Char"/>
    <w:basedOn w:val="DocoriginalChar"/>
    <w:link w:val="StyleDocoriginal"/>
    <w:uiPriority w:val="99"/>
    <w:rsid w:val="001E266D"/>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uiPriority w:val="99"/>
    <w:rsid w:val="001E266D"/>
    <w:rPr>
      <w:b w:val="0"/>
      <w:bCs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1E266D"/>
    <w:rPr>
      <w:rFonts w:ascii="Arial" w:hAnsi="Arial"/>
      <w:b w:val="0"/>
      <w:bCs w:val="0"/>
      <w:spacing w:val="10"/>
    </w:rPr>
  </w:style>
  <w:style w:type="character" w:customStyle="1" w:styleId="StyleDocoriginalNotBold1">
    <w:name w:val="Style Doc_original + Not Bold1"/>
    <w:basedOn w:val="DefaultParagraphFont"/>
    <w:uiPriority w:val="99"/>
    <w:rsid w:val="001E266D"/>
    <w:rPr>
      <w:rFonts w:ascii="Arial" w:hAnsi="Arial"/>
      <w:b/>
      <w:bCs/>
      <w:spacing w:val="10"/>
      <w:lang w:val="en-US" w:eastAsia="en-US" w:bidi="ar-SA"/>
    </w:rPr>
  </w:style>
  <w:style w:type="character" w:customStyle="1" w:styleId="StyleDoclangBold">
    <w:name w:val="Style Doc_lang + Bold"/>
    <w:basedOn w:val="Doclang"/>
    <w:uiPriority w:val="99"/>
    <w:rsid w:val="001E266D"/>
    <w:rPr>
      <w:rFonts w:ascii="Arial" w:hAnsi="Arial"/>
      <w:b/>
      <w:bCs/>
      <w:sz w:val="20"/>
      <w:lang w:val="en-US"/>
    </w:rPr>
  </w:style>
  <w:style w:type="paragraph" w:styleId="TOC2">
    <w:name w:val="toc 2"/>
    <w:next w:val="Normal"/>
    <w:autoRedefine/>
    <w:uiPriority w:val="39"/>
    <w:rsid w:val="00A716D0"/>
    <w:pPr>
      <w:tabs>
        <w:tab w:val="right" w:leader="dot" w:pos="9639"/>
      </w:tabs>
      <w:spacing w:before="120"/>
      <w:ind w:left="284" w:right="283"/>
      <w:contextualSpacing/>
    </w:pPr>
    <w:rPr>
      <w:rFonts w:ascii="Arial" w:hAnsi="Arial"/>
      <w:noProof/>
    </w:rPr>
  </w:style>
  <w:style w:type="paragraph" w:styleId="TOC3">
    <w:name w:val="toc 3"/>
    <w:next w:val="Normal"/>
    <w:autoRedefine/>
    <w:uiPriority w:val="39"/>
    <w:rsid w:val="00A716D0"/>
    <w:pPr>
      <w:tabs>
        <w:tab w:val="right" w:leader="dot" w:pos="9639"/>
      </w:tabs>
      <w:spacing w:before="120"/>
      <w:ind w:left="1134" w:right="141" w:hanging="567"/>
      <w:contextualSpacing/>
    </w:pPr>
    <w:rPr>
      <w:rFonts w:ascii="Arial" w:hAnsi="Arial"/>
      <w:i/>
      <w:noProof/>
      <w:lang w:val="fr-FR"/>
    </w:rPr>
  </w:style>
  <w:style w:type="character" w:styleId="Hyperlink">
    <w:name w:val="Hyperlink"/>
    <w:basedOn w:val="DefaultParagraphFont"/>
    <w:uiPriority w:val="99"/>
    <w:rsid w:val="001E266D"/>
    <w:rPr>
      <w:rFonts w:ascii="Arial" w:hAnsi="Arial"/>
      <w:color w:val="0000FF"/>
      <w:u w:val="single"/>
    </w:rPr>
  </w:style>
  <w:style w:type="paragraph" w:styleId="TOC4">
    <w:name w:val="toc 4"/>
    <w:next w:val="Normal"/>
    <w:autoRedefine/>
    <w:uiPriority w:val="99"/>
    <w:rsid w:val="001E266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E266D"/>
    <w:pPr>
      <w:tabs>
        <w:tab w:val="right" w:leader="dot" w:pos="9639"/>
      </w:tabs>
      <w:spacing w:before="120" w:after="120"/>
      <w:ind w:right="284"/>
    </w:pPr>
    <w:rPr>
      <w:rFonts w:ascii="Arial" w:hAnsi="Arial"/>
      <w:caps/>
      <w:noProof/>
    </w:rPr>
  </w:style>
  <w:style w:type="paragraph" w:styleId="TOC5">
    <w:name w:val="toc 5"/>
    <w:next w:val="Normal"/>
    <w:autoRedefine/>
    <w:uiPriority w:val="99"/>
    <w:rsid w:val="001E266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1E266D"/>
    <w:rPr>
      <w:rFonts w:ascii="Tahoma" w:hAnsi="Tahoma" w:cs="Tahoma"/>
      <w:sz w:val="16"/>
      <w:szCs w:val="16"/>
    </w:rPr>
  </w:style>
  <w:style w:type="character" w:customStyle="1" w:styleId="BalloonTextChar">
    <w:name w:val="Balloon Text Char"/>
    <w:basedOn w:val="DefaultParagraphFont"/>
    <w:link w:val="BalloonText"/>
    <w:uiPriority w:val="99"/>
    <w:rsid w:val="001E266D"/>
    <w:rPr>
      <w:rFonts w:ascii="Tahoma" w:hAnsi="Tahoma" w:cs="Tahoma"/>
      <w:sz w:val="16"/>
      <w:szCs w:val="16"/>
    </w:rPr>
  </w:style>
  <w:style w:type="table" w:styleId="TableGrid">
    <w:name w:val="Table Grid"/>
    <w:basedOn w:val="TableNormal"/>
    <w:uiPriority w:val="99"/>
    <w:rsid w:val="001E266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1E266D"/>
    <w:pPr>
      <w:tabs>
        <w:tab w:val="decimal" w:pos="907"/>
        <w:tab w:val="left" w:pos="1077"/>
      </w:tabs>
    </w:pPr>
    <w:rPr>
      <w:rFonts w:ascii="Times New Roman" w:eastAsia="MS Mincho" w:hAnsi="Times New Roman"/>
      <w:sz w:val="24"/>
    </w:rPr>
  </w:style>
  <w:style w:type="paragraph" w:customStyle="1" w:styleId="n">
    <w:name w:val="n"/>
    <w:basedOn w:val="Header"/>
    <w:uiPriority w:val="99"/>
    <w:rsid w:val="001E266D"/>
    <w:rPr>
      <w:rFonts w:ascii="Times New Roman" w:hAnsi="Times New Roman"/>
      <w:sz w:val="24"/>
    </w:rPr>
  </w:style>
  <w:style w:type="paragraph" w:customStyle="1" w:styleId="Normalt">
    <w:name w:val="Normalt"/>
    <w:basedOn w:val="Normal"/>
    <w:uiPriority w:val="99"/>
    <w:rsid w:val="001E266D"/>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1E266D"/>
    <w:pPr>
      <w:keepNext/>
    </w:pPr>
    <w:rPr>
      <w:b/>
      <w:bCs/>
    </w:rPr>
  </w:style>
  <w:style w:type="paragraph" w:styleId="NormalWeb">
    <w:name w:val="Normal (Web)"/>
    <w:basedOn w:val="Normal"/>
    <w:uiPriority w:val="99"/>
    <w:rsid w:val="001E266D"/>
    <w:pPr>
      <w:spacing w:before="100" w:beforeAutospacing="1" w:after="100" w:afterAutospacing="1"/>
      <w:jc w:val="left"/>
    </w:pPr>
    <w:rPr>
      <w:szCs w:val="24"/>
    </w:rPr>
  </w:style>
  <w:style w:type="paragraph" w:customStyle="1" w:styleId="pdflink">
    <w:name w:val="pdflink"/>
    <w:basedOn w:val="Normal"/>
    <w:next w:val="Normal"/>
    <w:uiPriority w:val="99"/>
    <w:rsid w:val="001E266D"/>
    <w:rPr>
      <w:color w:val="800000"/>
      <w:u w:val="words"/>
    </w:rPr>
  </w:style>
  <w:style w:type="paragraph" w:customStyle="1" w:styleId="Draft">
    <w:name w:val="Draft"/>
    <w:basedOn w:val="Normal"/>
    <w:next w:val="preparedby"/>
    <w:uiPriority w:val="99"/>
    <w:rsid w:val="001E266D"/>
    <w:pPr>
      <w:spacing w:before="720" w:after="480"/>
      <w:jc w:val="center"/>
    </w:pPr>
    <w:rPr>
      <w:caps/>
      <w:sz w:val="28"/>
    </w:rPr>
  </w:style>
  <w:style w:type="paragraph" w:customStyle="1" w:styleId="tqparabox">
    <w:name w:val="tqparabox"/>
    <w:basedOn w:val="Normal"/>
    <w:uiPriority w:val="99"/>
    <w:rsid w:val="001E266D"/>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1E266D"/>
    <w:pPr>
      <w:ind w:left="567"/>
    </w:pPr>
  </w:style>
  <w:style w:type="character" w:customStyle="1" w:styleId="BodyTextIndentChar">
    <w:name w:val="Body Text Indent Char"/>
    <w:basedOn w:val="DefaultParagraphFont"/>
    <w:link w:val="BodyTextIndent"/>
    <w:uiPriority w:val="99"/>
    <w:rsid w:val="001E266D"/>
    <w:rPr>
      <w:rFonts w:ascii="Arial" w:hAnsi="Arial"/>
      <w:lang w:val="es-ES_tradnl"/>
    </w:rPr>
  </w:style>
  <w:style w:type="paragraph" w:customStyle="1" w:styleId="twpcheck">
    <w:name w:val="twpcheck"/>
    <w:basedOn w:val="Normal"/>
    <w:uiPriority w:val="99"/>
    <w:rsid w:val="001E266D"/>
    <w:pPr>
      <w:spacing w:before="80" w:after="80"/>
      <w:jc w:val="left"/>
    </w:pPr>
    <w:rPr>
      <w:rFonts w:cs="Arial"/>
      <w:snapToGrid w:val="0"/>
      <w:sz w:val="16"/>
      <w:szCs w:val="16"/>
    </w:rPr>
  </w:style>
  <w:style w:type="paragraph" w:customStyle="1" w:styleId="DecisionInvitingPara">
    <w:name w:val="Decision Inviting Para."/>
    <w:basedOn w:val="Normal"/>
    <w:uiPriority w:val="99"/>
    <w:rsid w:val="001E266D"/>
    <w:pPr>
      <w:ind w:left="4536"/>
    </w:pPr>
    <w:rPr>
      <w:i/>
    </w:rPr>
  </w:style>
  <w:style w:type="paragraph" w:customStyle="1" w:styleId="Enttepair">
    <w:name w:val="Entête_pair"/>
    <w:basedOn w:val="Normal"/>
    <w:next w:val="Normal"/>
    <w:uiPriority w:val="99"/>
    <w:rsid w:val="001E266D"/>
    <w:pPr>
      <w:pBdr>
        <w:bottom w:val="single" w:sz="4" w:space="1" w:color="auto"/>
      </w:pBdr>
      <w:jc w:val="left"/>
    </w:pPr>
    <w:rPr>
      <w:szCs w:val="24"/>
    </w:rPr>
  </w:style>
  <w:style w:type="paragraph" w:customStyle="1" w:styleId="Entteimpair">
    <w:name w:val="Entête_impair"/>
    <w:basedOn w:val="Normal"/>
    <w:next w:val="Normal"/>
    <w:uiPriority w:val="99"/>
    <w:rsid w:val="001E266D"/>
    <w:pPr>
      <w:pBdr>
        <w:bottom w:val="single" w:sz="4" w:space="1" w:color="auto"/>
      </w:pBdr>
      <w:jc w:val="right"/>
    </w:pPr>
  </w:style>
  <w:style w:type="paragraph" w:styleId="ListBullet">
    <w:name w:val="List Bullet"/>
    <w:basedOn w:val="Normal"/>
    <w:autoRedefine/>
    <w:uiPriority w:val="99"/>
    <w:rsid w:val="001E266D"/>
    <w:pPr>
      <w:tabs>
        <w:tab w:val="num" w:pos="360"/>
      </w:tabs>
      <w:ind w:left="360" w:hanging="360"/>
    </w:pPr>
    <w:rPr>
      <w:bCs/>
      <w:szCs w:val="24"/>
      <w:lang w:val="es-ES" w:eastAsia="zh-CN"/>
    </w:rPr>
  </w:style>
  <w:style w:type="character" w:styleId="FollowedHyperlink">
    <w:name w:val="FollowedHyperlink"/>
    <w:uiPriority w:val="99"/>
    <w:rsid w:val="001E266D"/>
    <w:rPr>
      <w:color w:val="606420"/>
      <w:u w:val="single"/>
    </w:rPr>
  </w:style>
  <w:style w:type="paragraph" w:styleId="BlockText">
    <w:name w:val="Block Text"/>
    <w:basedOn w:val="Normal"/>
    <w:uiPriority w:val="99"/>
    <w:rsid w:val="001E266D"/>
    <w:pPr>
      <w:ind w:left="567" w:right="566"/>
    </w:pPr>
    <w:rPr>
      <w:sz w:val="22"/>
    </w:rPr>
  </w:style>
  <w:style w:type="paragraph" w:styleId="CommentText">
    <w:name w:val="annotation text"/>
    <w:basedOn w:val="Normal"/>
    <w:link w:val="CommentTextChar"/>
    <w:uiPriority w:val="99"/>
    <w:rsid w:val="001E266D"/>
    <w:rPr>
      <w:sz w:val="22"/>
    </w:rPr>
  </w:style>
  <w:style w:type="character" w:customStyle="1" w:styleId="CommentTextChar">
    <w:name w:val="Comment Text Char"/>
    <w:basedOn w:val="DefaultParagraphFont"/>
    <w:link w:val="CommentText"/>
    <w:uiPriority w:val="99"/>
    <w:rsid w:val="001E266D"/>
    <w:rPr>
      <w:rFonts w:ascii="Arial" w:hAnsi="Arial"/>
      <w:sz w:val="22"/>
      <w:lang w:val="es-ES_tradnl"/>
    </w:rPr>
  </w:style>
  <w:style w:type="paragraph" w:customStyle="1" w:styleId="Committee">
    <w:name w:val="Committee"/>
    <w:basedOn w:val="Title"/>
    <w:uiPriority w:val="99"/>
    <w:rsid w:val="001E266D"/>
    <w:rPr>
      <w:caps w:val="0"/>
    </w:rPr>
  </w:style>
  <w:style w:type="paragraph" w:customStyle="1" w:styleId="TitleofSection">
    <w:name w:val="Title of Section"/>
    <w:basedOn w:val="TitleofDoc"/>
    <w:uiPriority w:val="99"/>
    <w:rsid w:val="001E266D"/>
    <w:pPr>
      <w:spacing w:before="120" w:after="120"/>
    </w:pPr>
    <w:rPr>
      <w:b/>
      <w:caps w:val="0"/>
      <w:lang w:eastAsia="de-DE"/>
    </w:rPr>
  </w:style>
  <w:style w:type="paragraph" w:customStyle="1" w:styleId="TOCAnnex">
    <w:name w:val="TOC Annex"/>
    <w:basedOn w:val="Normal"/>
    <w:uiPriority w:val="99"/>
    <w:rsid w:val="001E266D"/>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1E266D"/>
    <w:rPr>
      <w:rFonts w:ascii="Courier New" w:hAnsi="Courier New" w:cs="Courier New"/>
      <w:lang w:eastAsia="fr-FR"/>
    </w:rPr>
  </w:style>
  <w:style w:type="character" w:customStyle="1" w:styleId="PlainTextChar">
    <w:name w:val="Plain Text Char"/>
    <w:basedOn w:val="DefaultParagraphFont"/>
    <w:link w:val="PlainText"/>
    <w:uiPriority w:val="99"/>
    <w:rsid w:val="001E266D"/>
    <w:rPr>
      <w:rFonts w:ascii="Courier New" w:hAnsi="Courier New" w:cs="Courier New"/>
      <w:lang w:eastAsia="fr-FR"/>
    </w:rPr>
  </w:style>
  <w:style w:type="paragraph" w:customStyle="1" w:styleId="Default">
    <w:name w:val="Default"/>
    <w:basedOn w:val="Normal"/>
    <w:uiPriority w:val="99"/>
    <w:rsid w:val="001E266D"/>
    <w:pPr>
      <w:jc w:val="left"/>
    </w:pPr>
    <w:rPr>
      <w:rFonts w:eastAsia="SimSun" w:cs="Arial"/>
      <w:color w:val="000000"/>
      <w:sz w:val="24"/>
      <w:szCs w:val="24"/>
    </w:rPr>
  </w:style>
  <w:style w:type="paragraph" w:customStyle="1" w:styleId="tgcharnumber">
    <w:name w:val="tg_char_number"/>
    <w:basedOn w:val="Normal"/>
    <w:uiPriority w:val="99"/>
    <w:rsid w:val="001E266D"/>
    <w:pPr>
      <w:keepNext/>
      <w:spacing w:before="80" w:after="80"/>
      <w:jc w:val="center"/>
    </w:pPr>
    <w:rPr>
      <w:b/>
      <w:sz w:val="16"/>
    </w:rPr>
  </w:style>
  <w:style w:type="paragraph" w:customStyle="1" w:styleId="tgchartitle">
    <w:name w:val="tg_char_title"/>
    <w:basedOn w:val="Normal"/>
    <w:uiPriority w:val="99"/>
    <w:rsid w:val="001E266D"/>
    <w:pPr>
      <w:spacing w:before="80" w:after="80"/>
      <w:jc w:val="left"/>
    </w:pPr>
    <w:rPr>
      <w:b/>
      <w:sz w:val="16"/>
    </w:rPr>
  </w:style>
  <w:style w:type="paragraph" w:customStyle="1" w:styleId="tgchartext">
    <w:name w:val="tg_char_text"/>
    <w:basedOn w:val="Normal"/>
    <w:uiPriority w:val="99"/>
    <w:rsid w:val="001E266D"/>
    <w:pPr>
      <w:spacing w:before="80" w:after="80"/>
      <w:jc w:val="left"/>
    </w:pPr>
    <w:rPr>
      <w:sz w:val="16"/>
    </w:rPr>
  </w:style>
  <w:style w:type="paragraph" w:styleId="ListParagraph">
    <w:name w:val="List Paragraph"/>
    <w:basedOn w:val="Normal"/>
    <w:uiPriority w:val="99"/>
    <w:qFormat/>
    <w:rsid w:val="001E266D"/>
    <w:pPr>
      <w:ind w:left="720"/>
      <w:contextualSpacing/>
    </w:pPr>
  </w:style>
  <w:style w:type="paragraph" w:customStyle="1" w:styleId="dec">
    <w:name w:val="dec"/>
    <w:basedOn w:val="Normal"/>
    <w:link w:val="decChar"/>
    <w:uiPriority w:val="99"/>
    <w:qFormat/>
    <w:rsid w:val="001E266D"/>
    <w:pPr>
      <w:ind w:left="4536"/>
    </w:pPr>
    <w:rPr>
      <w:i/>
      <w:spacing w:val="-2"/>
    </w:rPr>
  </w:style>
  <w:style w:type="character" w:customStyle="1" w:styleId="decChar">
    <w:name w:val="dec Char"/>
    <w:basedOn w:val="DefaultParagraphFont"/>
    <w:link w:val="dec"/>
    <w:uiPriority w:val="99"/>
    <w:rsid w:val="001E266D"/>
    <w:rPr>
      <w:rFonts w:ascii="Arial" w:hAnsi="Arial"/>
      <w:i/>
      <w:spacing w:val="-2"/>
    </w:rPr>
  </w:style>
  <w:style w:type="paragraph" w:customStyle="1" w:styleId="EndOfDoc0">
    <w:name w:val="EndOfDoc"/>
    <w:basedOn w:val="Normal"/>
    <w:uiPriority w:val="99"/>
    <w:rsid w:val="001E266D"/>
    <w:pPr>
      <w:ind w:left="4536"/>
      <w:jc w:val="center"/>
    </w:pPr>
    <w:rPr>
      <w:rFonts w:ascii="Times New Roman" w:hAnsi="Times New Roman"/>
      <w:sz w:val="24"/>
    </w:rPr>
  </w:style>
  <w:style w:type="paragraph" w:customStyle="1" w:styleId="decisionpara">
    <w:name w:val="decision para"/>
    <w:basedOn w:val="Normal"/>
    <w:uiPriority w:val="99"/>
    <w:rsid w:val="001E266D"/>
    <w:pPr>
      <w:spacing w:line="240" w:lineRule="atLeast"/>
      <w:ind w:left="4536"/>
      <w:outlineLvl w:val="0"/>
    </w:pPr>
    <w:rPr>
      <w:rFonts w:ascii="Times New Roman" w:hAnsi="Times New Roman"/>
      <w:i/>
      <w:sz w:val="24"/>
    </w:rPr>
  </w:style>
  <w:style w:type="paragraph" w:styleId="TOC6">
    <w:name w:val="toc 6"/>
    <w:basedOn w:val="Normal"/>
    <w:next w:val="Normal"/>
    <w:autoRedefine/>
    <w:uiPriority w:val="99"/>
    <w:rsid w:val="001E266D"/>
    <w:pPr>
      <w:ind w:left="1200"/>
    </w:pPr>
  </w:style>
  <w:style w:type="paragraph" w:styleId="E-mailSignature">
    <w:name w:val="E-mail Signature"/>
    <w:basedOn w:val="Normal"/>
    <w:link w:val="E-mailSignatureChar"/>
    <w:uiPriority w:val="99"/>
    <w:rsid w:val="001E266D"/>
  </w:style>
  <w:style w:type="character" w:customStyle="1" w:styleId="E-mailSignatureChar">
    <w:name w:val="E-mail Signature Char"/>
    <w:basedOn w:val="DefaultParagraphFont"/>
    <w:link w:val="E-mailSignature"/>
    <w:uiPriority w:val="99"/>
    <w:rsid w:val="001E266D"/>
    <w:rPr>
      <w:rFonts w:ascii="Arial" w:hAnsi="Arial"/>
    </w:rPr>
  </w:style>
  <w:style w:type="character" w:styleId="Emphasis">
    <w:name w:val="Emphasis"/>
    <w:basedOn w:val="DefaultParagraphFont"/>
    <w:uiPriority w:val="20"/>
    <w:qFormat/>
    <w:rsid w:val="001E266D"/>
    <w:rPr>
      <w:i/>
      <w:iCs/>
    </w:rPr>
  </w:style>
  <w:style w:type="paragraph" w:styleId="EnvelopeAddress">
    <w:name w:val="envelope address"/>
    <w:basedOn w:val="Normal"/>
    <w:uiPriority w:val="99"/>
    <w:rsid w:val="001E266D"/>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1E266D"/>
    <w:rPr>
      <w:rFonts w:cs="Arial"/>
    </w:rPr>
  </w:style>
  <w:style w:type="character" w:styleId="HTMLAcronym">
    <w:name w:val="HTML Acronym"/>
    <w:basedOn w:val="DefaultParagraphFont"/>
    <w:uiPriority w:val="99"/>
    <w:rsid w:val="001E266D"/>
  </w:style>
  <w:style w:type="paragraph" w:styleId="HTMLAddress">
    <w:name w:val="HTML Address"/>
    <w:basedOn w:val="Normal"/>
    <w:link w:val="HTMLAddressChar"/>
    <w:uiPriority w:val="99"/>
    <w:rsid w:val="001E266D"/>
    <w:rPr>
      <w:i/>
      <w:iCs/>
    </w:rPr>
  </w:style>
  <w:style w:type="character" w:customStyle="1" w:styleId="HTMLAddressChar">
    <w:name w:val="HTML Address Char"/>
    <w:basedOn w:val="DefaultParagraphFont"/>
    <w:link w:val="HTMLAddress"/>
    <w:uiPriority w:val="99"/>
    <w:rsid w:val="001E266D"/>
    <w:rPr>
      <w:rFonts w:ascii="Arial" w:hAnsi="Arial"/>
      <w:i/>
      <w:iCs/>
    </w:rPr>
  </w:style>
  <w:style w:type="character" w:styleId="HTMLCite">
    <w:name w:val="HTML Cite"/>
    <w:basedOn w:val="DefaultParagraphFont"/>
    <w:uiPriority w:val="99"/>
    <w:rsid w:val="001E266D"/>
    <w:rPr>
      <w:i/>
      <w:iCs/>
    </w:rPr>
  </w:style>
  <w:style w:type="character" w:styleId="HTMLCode">
    <w:name w:val="HTML Code"/>
    <w:basedOn w:val="DefaultParagraphFont"/>
    <w:uiPriority w:val="99"/>
    <w:rsid w:val="001E266D"/>
    <w:rPr>
      <w:rFonts w:ascii="Courier New" w:hAnsi="Courier New" w:cs="Courier New"/>
      <w:sz w:val="20"/>
      <w:szCs w:val="20"/>
    </w:rPr>
  </w:style>
  <w:style w:type="character" w:styleId="HTMLDefinition">
    <w:name w:val="HTML Definition"/>
    <w:basedOn w:val="DefaultParagraphFont"/>
    <w:uiPriority w:val="99"/>
    <w:rsid w:val="001E266D"/>
    <w:rPr>
      <w:i/>
      <w:iCs/>
    </w:rPr>
  </w:style>
  <w:style w:type="character" w:styleId="HTMLKeyboard">
    <w:name w:val="HTML Keyboard"/>
    <w:basedOn w:val="DefaultParagraphFont"/>
    <w:uiPriority w:val="99"/>
    <w:rsid w:val="001E266D"/>
    <w:rPr>
      <w:rFonts w:ascii="Courier New" w:hAnsi="Courier New" w:cs="Courier New"/>
      <w:sz w:val="20"/>
      <w:szCs w:val="20"/>
    </w:rPr>
  </w:style>
  <w:style w:type="paragraph" w:styleId="HTMLPreformatted">
    <w:name w:val="HTML Preformatted"/>
    <w:basedOn w:val="Normal"/>
    <w:link w:val="HTMLPreformattedChar"/>
    <w:uiPriority w:val="99"/>
    <w:rsid w:val="001E266D"/>
    <w:rPr>
      <w:rFonts w:ascii="Courier New" w:hAnsi="Courier New" w:cs="Courier New"/>
    </w:rPr>
  </w:style>
  <w:style w:type="character" w:customStyle="1" w:styleId="HTMLPreformattedChar">
    <w:name w:val="HTML Preformatted Char"/>
    <w:basedOn w:val="DefaultParagraphFont"/>
    <w:link w:val="HTMLPreformatted"/>
    <w:uiPriority w:val="99"/>
    <w:rsid w:val="001E266D"/>
    <w:rPr>
      <w:rFonts w:ascii="Courier New" w:hAnsi="Courier New" w:cs="Courier New"/>
    </w:rPr>
  </w:style>
  <w:style w:type="character" w:styleId="HTMLSample">
    <w:name w:val="HTML Sample"/>
    <w:basedOn w:val="DefaultParagraphFont"/>
    <w:uiPriority w:val="99"/>
    <w:rsid w:val="001E266D"/>
    <w:rPr>
      <w:rFonts w:ascii="Courier New" w:hAnsi="Courier New" w:cs="Courier New"/>
    </w:rPr>
  </w:style>
  <w:style w:type="character" w:styleId="HTMLTypewriter">
    <w:name w:val="HTML Typewriter"/>
    <w:basedOn w:val="DefaultParagraphFont"/>
    <w:uiPriority w:val="99"/>
    <w:rsid w:val="001E266D"/>
    <w:rPr>
      <w:rFonts w:ascii="Courier New" w:hAnsi="Courier New" w:cs="Courier New"/>
      <w:sz w:val="20"/>
      <w:szCs w:val="20"/>
    </w:rPr>
  </w:style>
  <w:style w:type="character" w:styleId="HTMLVariable">
    <w:name w:val="HTML Variable"/>
    <w:basedOn w:val="DefaultParagraphFont"/>
    <w:uiPriority w:val="99"/>
    <w:rsid w:val="001E266D"/>
    <w:rPr>
      <w:i/>
      <w:iCs/>
    </w:rPr>
  </w:style>
  <w:style w:type="character" w:styleId="LineNumber">
    <w:name w:val="line number"/>
    <w:basedOn w:val="DefaultParagraphFont"/>
    <w:uiPriority w:val="99"/>
    <w:rsid w:val="001E266D"/>
  </w:style>
  <w:style w:type="paragraph" w:styleId="List">
    <w:name w:val="List"/>
    <w:basedOn w:val="Normal"/>
    <w:uiPriority w:val="99"/>
    <w:rsid w:val="001E266D"/>
    <w:pPr>
      <w:ind w:left="360" w:hanging="360"/>
    </w:pPr>
  </w:style>
  <w:style w:type="paragraph" w:styleId="List2">
    <w:name w:val="List 2"/>
    <w:basedOn w:val="Normal"/>
    <w:uiPriority w:val="99"/>
    <w:rsid w:val="001E266D"/>
    <w:pPr>
      <w:ind w:left="720" w:hanging="360"/>
    </w:pPr>
  </w:style>
  <w:style w:type="paragraph" w:styleId="List3">
    <w:name w:val="List 3"/>
    <w:basedOn w:val="Normal"/>
    <w:uiPriority w:val="99"/>
    <w:rsid w:val="001E266D"/>
    <w:pPr>
      <w:ind w:left="1080" w:hanging="360"/>
    </w:pPr>
  </w:style>
  <w:style w:type="paragraph" w:styleId="List4">
    <w:name w:val="List 4"/>
    <w:basedOn w:val="Normal"/>
    <w:uiPriority w:val="99"/>
    <w:rsid w:val="001E266D"/>
    <w:pPr>
      <w:ind w:left="1440" w:hanging="360"/>
    </w:pPr>
  </w:style>
  <w:style w:type="paragraph" w:styleId="List5">
    <w:name w:val="List 5"/>
    <w:basedOn w:val="Normal"/>
    <w:uiPriority w:val="99"/>
    <w:rsid w:val="001E266D"/>
    <w:pPr>
      <w:ind w:left="1800" w:hanging="360"/>
    </w:pPr>
  </w:style>
  <w:style w:type="paragraph" w:styleId="ListBullet2">
    <w:name w:val="List Bullet 2"/>
    <w:basedOn w:val="Normal"/>
    <w:uiPriority w:val="99"/>
    <w:rsid w:val="001E266D"/>
    <w:pPr>
      <w:tabs>
        <w:tab w:val="num" w:pos="720"/>
      </w:tabs>
      <w:ind w:left="720" w:hanging="360"/>
    </w:pPr>
  </w:style>
  <w:style w:type="paragraph" w:styleId="ListBullet3">
    <w:name w:val="List Bullet 3"/>
    <w:basedOn w:val="Normal"/>
    <w:uiPriority w:val="99"/>
    <w:rsid w:val="001E266D"/>
    <w:pPr>
      <w:tabs>
        <w:tab w:val="num" w:pos="1080"/>
      </w:tabs>
      <w:ind w:left="1080" w:hanging="360"/>
    </w:pPr>
  </w:style>
  <w:style w:type="paragraph" w:styleId="ListBullet4">
    <w:name w:val="List Bullet 4"/>
    <w:basedOn w:val="Normal"/>
    <w:uiPriority w:val="99"/>
    <w:rsid w:val="001E266D"/>
    <w:pPr>
      <w:tabs>
        <w:tab w:val="num" w:pos="1440"/>
      </w:tabs>
      <w:ind w:left="1440" w:hanging="360"/>
    </w:pPr>
  </w:style>
  <w:style w:type="paragraph" w:styleId="ListBullet5">
    <w:name w:val="List Bullet 5"/>
    <w:basedOn w:val="Normal"/>
    <w:uiPriority w:val="99"/>
    <w:rsid w:val="001E266D"/>
    <w:pPr>
      <w:tabs>
        <w:tab w:val="num" w:pos="1800"/>
      </w:tabs>
      <w:ind w:left="1800" w:hanging="360"/>
    </w:pPr>
  </w:style>
  <w:style w:type="paragraph" w:styleId="ListContinue">
    <w:name w:val="List Continue"/>
    <w:basedOn w:val="Normal"/>
    <w:uiPriority w:val="99"/>
    <w:rsid w:val="001E266D"/>
    <w:pPr>
      <w:spacing w:after="120"/>
      <w:ind w:left="360"/>
    </w:pPr>
  </w:style>
  <w:style w:type="paragraph" w:styleId="ListContinue2">
    <w:name w:val="List Continue 2"/>
    <w:basedOn w:val="Normal"/>
    <w:uiPriority w:val="99"/>
    <w:rsid w:val="001E266D"/>
    <w:pPr>
      <w:spacing w:after="120"/>
      <w:ind w:left="720"/>
    </w:pPr>
  </w:style>
  <w:style w:type="paragraph" w:styleId="ListContinue3">
    <w:name w:val="List Continue 3"/>
    <w:basedOn w:val="Normal"/>
    <w:uiPriority w:val="99"/>
    <w:rsid w:val="001E266D"/>
    <w:pPr>
      <w:spacing w:after="120"/>
      <w:ind w:left="1080"/>
    </w:pPr>
  </w:style>
  <w:style w:type="paragraph" w:styleId="ListContinue4">
    <w:name w:val="List Continue 4"/>
    <w:basedOn w:val="Normal"/>
    <w:uiPriority w:val="99"/>
    <w:rsid w:val="001E266D"/>
    <w:pPr>
      <w:spacing w:after="120"/>
      <w:ind w:left="1440"/>
    </w:pPr>
  </w:style>
  <w:style w:type="paragraph" w:styleId="ListContinue5">
    <w:name w:val="List Continue 5"/>
    <w:basedOn w:val="Normal"/>
    <w:uiPriority w:val="99"/>
    <w:rsid w:val="001E266D"/>
    <w:pPr>
      <w:spacing w:after="120"/>
      <w:ind w:left="1800"/>
    </w:pPr>
  </w:style>
  <w:style w:type="paragraph" w:styleId="ListNumber">
    <w:name w:val="List Number"/>
    <w:basedOn w:val="Normal"/>
    <w:uiPriority w:val="99"/>
    <w:rsid w:val="001E266D"/>
    <w:pPr>
      <w:tabs>
        <w:tab w:val="num" w:pos="360"/>
      </w:tabs>
      <w:ind w:left="360" w:hanging="360"/>
    </w:pPr>
  </w:style>
  <w:style w:type="paragraph" w:styleId="ListNumber2">
    <w:name w:val="List Number 2"/>
    <w:basedOn w:val="Normal"/>
    <w:uiPriority w:val="99"/>
    <w:rsid w:val="001E266D"/>
    <w:pPr>
      <w:tabs>
        <w:tab w:val="num" w:pos="720"/>
      </w:tabs>
      <w:ind w:left="720" w:hanging="360"/>
    </w:pPr>
  </w:style>
  <w:style w:type="paragraph" w:styleId="ListNumber3">
    <w:name w:val="List Number 3"/>
    <w:basedOn w:val="Normal"/>
    <w:uiPriority w:val="99"/>
    <w:rsid w:val="001E266D"/>
    <w:pPr>
      <w:tabs>
        <w:tab w:val="num" w:pos="1080"/>
      </w:tabs>
      <w:ind w:left="1080" w:hanging="360"/>
    </w:pPr>
  </w:style>
  <w:style w:type="paragraph" w:styleId="ListNumber4">
    <w:name w:val="List Number 4"/>
    <w:basedOn w:val="Normal"/>
    <w:uiPriority w:val="99"/>
    <w:rsid w:val="001E266D"/>
    <w:pPr>
      <w:tabs>
        <w:tab w:val="num" w:pos="1440"/>
      </w:tabs>
      <w:ind w:left="1440" w:hanging="360"/>
    </w:pPr>
  </w:style>
  <w:style w:type="paragraph" w:styleId="ListNumber5">
    <w:name w:val="List Number 5"/>
    <w:basedOn w:val="Normal"/>
    <w:uiPriority w:val="99"/>
    <w:rsid w:val="001E266D"/>
    <w:pPr>
      <w:tabs>
        <w:tab w:val="num" w:pos="1800"/>
      </w:tabs>
      <w:ind w:left="1800" w:hanging="360"/>
    </w:pPr>
  </w:style>
  <w:style w:type="paragraph" w:styleId="MessageHeader">
    <w:name w:val="Message Header"/>
    <w:basedOn w:val="Normal"/>
    <w:link w:val="MessageHeaderChar"/>
    <w:uiPriority w:val="99"/>
    <w:rsid w:val="001E266D"/>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rsid w:val="001E266D"/>
    <w:rPr>
      <w:rFonts w:ascii="Arial" w:hAnsi="Arial" w:cs="Arial"/>
      <w:szCs w:val="24"/>
      <w:shd w:val="pct20" w:color="auto" w:fill="auto"/>
    </w:rPr>
  </w:style>
  <w:style w:type="paragraph" w:styleId="NoteHeading">
    <w:name w:val="Note Heading"/>
    <w:basedOn w:val="Normal"/>
    <w:next w:val="Normal"/>
    <w:link w:val="NoteHeadingChar"/>
    <w:uiPriority w:val="99"/>
    <w:rsid w:val="001E266D"/>
  </w:style>
  <w:style w:type="character" w:customStyle="1" w:styleId="NoteHeadingChar">
    <w:name w:val="Note Heading Char"/>
    <w:basedOn w:val="DefaultParagraphFont"/>
    <w:link w:val="NoteHeading"/>
    <w:uiPriority w:val="99"/>
    <w:rsid w:val="001E266D"/>
    <w:rPr>
      <w:rFonts w:ascii="Arial" w:hAnsi="Arial"/>
    </w:rPr>
  </w:style>
  <w:style w:type="paragraph" w:styleId="Salutation">
    <w:name w:val="Salutation"/>
    <w:basedOn w:val="Normal"/>
    <w:next w:val="Normal"/>
    <w:link w:val="SalutationChar"/>
    <w:uiPriority w:val="99"/>
    <w:rsid w:val="001E266D"/>
  </w:style>
  <w:style w:type="character" w:customStyle="1" w:styleId="SalutationChar">
    <w:name w:val="Salutation Char"/>
    <w:basedOn w:val="DefaultParagraphFont"/>
    <w:link w:val="Salutation"/>
    <w:uiPriority w:val="99"/>
    <w:rsid w:val="001E266D"/>
    <w:rPr>
      <w:rFonts w:ascii="Arial" w:hAnsi="Arial"/>
    </w:rPr>
  </w:style>
  <w:style w:type="character" w:styleId="Strong">
    <w:name w:val="Strong"/>
    <w:basedOn w:val="DefaultParagraphFont"/>
    <w:uiPriority w:val="99"/>
    <w:qFormat/>
    <w:rsid w:val="001E266D"/>
    <w:rPr>
      <w:b/>
      <w:bCs/>
    </w:rPr>
  </w:style>
  <w:style w:type="paragraph" w:styleId="Subtitle">
    <w:name w:val="Subtitle"/>
    <w:basedOn w:val="Normal"/>
    <w:link w:val="SubtitleChar"/>
    <w:uiPriority w:val="99"/>
    <w:qFormat/>
    <w:rsid w:val="001E266D"/>
    <w:pPr>
      <w:spacing w:after="60"/>
      <w:jc w:val="center"/>
      <w:outlineLvl w:val="1"/>
    </w:pPr>
    <w:rPr>
      <w:rFonts w:cs="Arial"/>
      <w:szCs w:val="24"/>
    </w:rPr>
  </w:style>
  <w:style w:type="character" w:customStyle="1" w:styleId="SubtitleChar">
    <w:name w:val="Subtitle Char"/>
    <w:basedOn w:val="DefaultParagraphFont"/>
    <w:link w:val="Subtitle"/>
    <w:uiPriority w:val="99"/>
    <w:rsid w:val="001E266D"/>
    <w:rPr>
      <w:rFonts w:ascii="Arial" w:hAnsi="Arial" w:cs="Arial"/>
      <w:szCs w:val="24"/>
    </w:rPr>
  </w:style>
  <w:style w:type="paragraph" w:styleId="TOC7">
    <w:name w:val="toc 7"/>
    <w:basedOn w:val="Normal"/>
    <w:next w:val="Normal"/>
    <w:autoRedefine/>
    <w:uiPriority w:val="99"/>
    <w:rsid w:val="001E266D"/>
    <w:pPr>
      <w:ind w:left="1440"/>
    </w:pPr>
  </w:style>
  <w:style w:type="paragraph" w:styleId="TOC8">
    <w:name w:val="toc 8"/>
    <w:basedOn w:val="Normal"/>
    <w:next w:val="Normal"/>
    <w:autoRedefine/>
    <w:uiPriority w:val="99"/>
    <w:rsid w:val="001E266D"/>
    <w:pPr>
      <w:ind w:left="1680"/>
    </w:pPr>
  </w:style>
  <w:style w:type="paragraph" w:styleId="TOC9">
    <w:name w:val="toc 9"/>
    <w:basedOn w:val="Normal"/>
    <w:next w:val="Normal"/>
    <w:autoRedefine/>
    <w:uiPriority w:val="99"/>
    <w:rsid w:val="001E266D"/>
    <w:pPr>
      <w:ind w:left="1920"/>
    </w:pPr>
  </w:style>
  <w:style w:type="paragraph" w:styleId="Caption">
    <w:name w:val="caption"/>
    <w:basedOn w:val="Normal"/>
    <w:next w:val="Normal"/>
    <w:uiPriority w:val="99"/>
    <w:qFormat/>
    <w:rsid w:val="001E266D"/>
    <w:pPr>
      <w:framePr w:w="11102" w:hSpace="181" w:wrap="around" w:vAnchor="page" w:hAnchor="page" w:x="438" w:y="15985" w:anchorLock="1"/>
      <w:jc w:val="center"/>
    </w:pPr>
    <w:rPr>
      <w:b/>
      <w:snapToGrid w:val="0"/>
    </w:rPr>
  </w:style>
  <w:style w:type="character" w:styleId="CommentReference">
    <w:name w:val="annotation reference"/>
    <w:basedOn w:val="DefaultParagraphFont"/>
    <w:uiPriority w:val="99"/>
    <w:rsid w:val="001E266D"/>
    <w:rPr>
      <w:rFonts w:cs="Times New Roman"/>
      <w:sz w:val="16"/>
      <w:szCs w:val="16"/>
    </w:rPr>
  </w:style>
  <w:style w:type="paragraph" w:styleId="CommentSubject">
    <w:name w:val="annotation subject"/>
    <w:basedOn w:val="CommentText"/>
    <w:next w:val="CommentText"/>
    <w:link w:val="CommentSubjectChar"/>
    <w:uiPriority w:val="99"/>
    <w:rsid w:val="001E266D"/>
    <w:rPr>
      <w:b/>
      <w:bCs/>
    </w:rPr>
  </w:style>
  <w:style w:type="character" w:customStyle="1" w:styleId="CommentSubjectChar">
    <w:name w:val="Comment Subject Char"/>
    <w:basedOn w:val="CommentTextChar"/>
    <w:link w:val="CommentSubject"/>
    <w:uiPriority w:val="99"/>
    <w:rsid w:val="001E266D"/>
    <w:rPr>
      <w:rFonts w:ascii="Arial" w:hAnsi="Arial"/>
      <w:b/>
      <w:bCs/>
      <w:sz w:val="22"/>
      <w:lang w:val="es-ES_tradnl"/>
    </w:rPr>
  </w:style>
  <w:style w:type="paragraph" w:customStyle="1" w:styleId="Normaltg">
    <w:name w:val="Normaltg"/>
    <w:basedOn w:val="Normal"/>
    <w:link w:val="NormaltgChar"/>
    <w:uiPriority w:val="99"/>
    <w:rsid w:val="001E266D"/>
    <w:rPr>
      <w:rFonts w:cs="Angsana New"/>
      <w:szCs w:val="24"/>
      <w:lang w:eastAsia="ja-JP" w:bidi="th-TH"/>
    </w:rPr>
  </w:style>
  <w:style w:type="character" w:customStyle="1" w:styleId="NormaltgChar">
    <w:name w:val="Normaltg Char"/>
    <w:link w:val="Normaltg"/>
    <w:uiPriority w:val="99"/>
    <w:rsid w:val="001E266D"/>
    <w:rPr>
      <w:rFonts w:ascii="Arial" w:hAnsi="Arial" w:cs="Angsana New"/>
      <w:szCs w:val="24"/>
      <w:lang w:eastAsia="ja-JP" w:bidi="th-TH"/>
    </w:rPr>
  </w:style>
  <w:style w:type="character" w:customStyle="1" w:styleId="hps">
    <w:name w:val="hps"/>
    <w:basedOn w:val="DefaultParagraphFont"/>
    <w:uiPriority w:val="99"/>
    <w:rsid w:val="001E266D"/>
  </w:style>
  <w:style w:type="character" w:customStyle="1" w:styleId="Standaardalinea-lettertype">
    <w:name w:val="Standaardalinea-lettertype"/>
    <w:uiPriority w:val="99"/>
    <w:rsid w:val="001E266D"/>
  </w:style>
  <w:style w:type="paragraph" w:customStyle="1" w:styleId="quote1">
    <w:name w:val="quote1"/>
    <w:basedOn w:val="Normal"/>
    <w:uiPriority w:val="99"/>
    <w:semiHidden/>
    <w:rsid w:val="00B7224D"/>
    <w:pPr>
      <w:ind w:left="567" w:right="565" w:firstLine="567"/>
    </w:pPr>
    <w:rPr>
      <w:sz w:val="22"/>
      <w:szCs w:val="22"/>
    </w:rPr>
  </w:style>
  <w:style w:type="table" w:styleId="Table3Deffects1">
    <w:name w:val="Table 3D effects 1"/>
    <w:basedOn w:val="TableNormal"/>
    <w:uiPriority w:val="99"/>
    <w:rsid w:val="00B7224D"/>
    <w:pPr>
      <w:jc w:val="both"/>
    </w:pPr>
    <w:rPr>
      <w:lang w:val="es-ES_tradnl" w:eastAsia="es-ES_tradn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B7224D"/>
    <w:pPr>
      <w:jc w:val="both"/>
    </w:pPr>
    <w:rPr>
      <w:lang w:val="es-ES_tradnl" w:eastAsia="es-ES_tradn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B7224D"/>
    <w:pPr>
      <w:jc w:val="both"/>
    </w:pPr>
    <w:rPr>
      <w:lang w:val="es-ES_tradnl" w:eastAsia="es-ES_tradn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B7224D"/>
    <w:pPr>
      <w:jc w:val="both"/>
    </w:pPr>
    <w:rPr>
      <w:lang w:val="es-ES_tradnl" w:eastAsia="es-ES_tradn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B7224D"/>
    <w:pPr>
      <w:jc w:val="both"/>
    </w:pPr>
    <w:rPr>
      <w:lang w:val="es-ES_tradnl" w:eastAsia="es-ES_tradn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B7224D"/>
    <w:pPr>
      <w:jc w:val="both"/>
    </w:pPr>
    <w:rPr>
      <w:color w:val="000080"/>
      <w:lang w:val="es-ES_tradnl" w:eastAsia="es-ES_trad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B7224D"/>
    <w:pPr>
      <w:jc w:val="both"/>
    </w:pPr>
    <w:rPr>
      <w:lang w:val="es-ES_tradnl" w:eastAsia="es-ES_tradn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7224D"/>
    <w:pPr>
      <w:jc w:val="both"/>
    </w:pPr>
    <w:rPr>
      <w:color w:val="FFFFFF"/>
      <w:lang w:val="es-ES_tradnl" w:eastAsia="es-ES_trad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B7224D"/>
    <w:pPr>
      <w:jc w:val="both"/>
    </w:pPr>
    <w:rPr>
      <w:lang w:val="es-ES_tradnl" w:eastAsia="es-ES_tradn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B7224D"/>
    <w:pPr>
      <w:jc w:val="both"/>
    </w:pPr>
    <w:rPr>
      <w:lang w:val="es-ES_tradnl" w:eastAsia="es-ES_trad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B7224D"/>
    <w:pPr>
      <w:jc w:val="both"/>
    </w:pPr>
    <w:rPr>
      <w:b/>
      <w:bCs/>
      <w:lang w:val="es-ES_tradnl" w:eastAsia="es-ES_trad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B7224D"/>
    <w:pPr>
      <w:jc w:val="both"/>
    </w:pPr>
    <w:rPr>
      <w:b/>
      <w:bCs/>
      <w:lang w:val="es-ES_tradnl" w:eastAsia="es-ES_tradnl"/>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B7224D"/>
    <w:pPr>
      <w:jc w:val="both"/>
    </w:pPr>
    <w:rPr>
      <w:b/>
      <w:bCs/>
      <w:lang w:val="es-ES_tradnl" w:eastAsia="es-ES_trad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B7224D"/>
    <w:pPr>
      <w:jc w:val="both"/>
    </w:pPr>
    <w:rPr>
      <w:lang w:val="es-ES_tradnl" w:eastAsia="es-ES_tradn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B7224D"/>
    <w:pPr>
      <w:jc w:val="both"/>
    </w:pPr>
    <w:rPr>
      <w:lang w:val="es-ES_tradnl" w:eastAsia="es-ES_trad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B7224D"/>
    <w:pPr>
      <w:jc w:val="both"/>
    </w:pPr>
    <w:rPr>
      <w:lang w:val="es-ES_tradnl" w:eastAsia="es-ES_tradn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B7224D"/>
    <w:pPr>
      <w:jc w:val="both"/>
    </w:pPr>
    <w:rPr>
      <w:lang w:val="es-ES_tradnl" w:eastAsia="es-ES_trad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B7224D"/>
    <w:pPr>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B7224D"/>
    <w:pPr>
      <w:jc w:val="both"/>
    </w:pPr>
    <w:rPr>
      <w:lang w:val="es-ES_tradnl" w:eastAsia="es-ES_tradn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B7224D"/>
    <w:pPr>
      <w:jc w:val="both"/>
    </w:pPr>
    <w:rPr>
      <w:lang w:val="es-ES_tradnl" w:eastAsia="es-ES_tradn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B7224D"/>
    <w:pPr>
      <w:jc w:val="both"/>
    </w:pPr>
    <w:rPr>
      <w:lang w:val="es-ES_tradnl" w:eastAsia="es-ES_tradn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B7224D"/>
    <w:pPr>
      <w:jc w:val="both"/>
    </w:pPr>
    <w:rPr>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B7224D"/>
    <w:pPr>
      <w:jc w:val="both"/>
    </w:pPr>
    <w:rPr>
      <w:lang w:val="es-ES_tradnl" w:eastAsia="es-ES_tradn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B7224D"/>
    <w:pPr>
      <w:jc w:val="both"/>
    </w:pPr>
    <w:rPr>
      <w:b/>
      <w:bC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B7224D"/>
    <w:pPr>
      <w:jc w:val="both"/>
    </w:pPr>
    <w:rPr>
      <w:lang w:val="es-ES_tradnl" w:eastAsia="es-ES_trad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B7224D"/>
    <w:pPr>
      <w:jc w:val="both"/>
    </w:pPr>
    <w:rPr>
      <w:lang w:val="es-ES_tradnl" w:eastAsia="es-ES_trad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B7224D"/>
    <w:pPr>
      <w:jc w:val="both"/>
    </w:pPr>
    <w:rPr>
      <w:lang w:val="es-ES_tradnl" w:eastAsia="es-ES_tradn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B7224D"/>
    <w:pPr>
      <w:jc w:val="both"/>
    </w:pPr>
    <w:rPr>
      <w:lang w:val="es-ES_tradnl" w:eastAsia="es-ES_tradn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B7224D"/>
    <w:pPr>
      <w:jc w:val="both"/>
    </w:pPr>
    <w:rPr>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B7224D"/>
    <w:pPr>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B7224D"/>
    <w:pPr>
      <w:jc w:val="both"/>
    </w:pPr>
    <w:rPr>
      <w:lang w:val="es-ES_tradnl" w:eastAsia="es-ES_trad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B7224D"/>
    <w:pPr>
      <w:jc w:val="both"/>
    </w:pPr>
    <w:rPr>
      <w:lang w:val="es-ES_tradnl" w:eastAsia="es-ES_trad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B7224D"/>
    <w:pPr>
      <w:jc w:val="both"/>
    </w:pPr>
    <w:rPr>
      <w:lang w:val="es-ES_tradnl" w:eastAsia="es-ES_trad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B7224D"/>
    <w:pPr>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B7224D"/>
    <w:pPr>
      <w:jc w:val="both"/>
    </w:pPr>
    <w:rPr>
      <w:lang w:val="es-ES_tradnl" w:eastAsia="es-ES_tradn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7224D"/>
    <w:pPr>
      <w:jc w:val="both"/>
    </w:pPr>
    <w:rPr>
      <w:lang w:val="es-ES_tradnl" w:eastAsia="es-ES_tradn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7224D"/>
    <w:pPr>
      <w:jc w:val="both"/>
    </w:pPr>
    <w:rPr>
      <w:lang w:val="es-ES_tradnl" w:eastAsia="es-ES_tradn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7224D"/>
    <w:pPr>
      <w:jc w:val="both"/>
    </w:pPr>
    <w:rPr>
      <w:lang w:val="es-ES_tradnl" w:eastAsia="es-ES_tradn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B7224D"/>
    <w:pPr>
      <w:jc w:val="both"/>
    </w:pPr>
    <w:rPr>
      <w:lang w:val="es-ES_tradnl" w:eastAsia="es-ES_tradn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B7224D"/>
    <w:pPr>
      <w:jc w:val="both"/>
    </w:pPr>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B7224D"/>
    <w:pPr>
      <w:jc w:val="both"/>
    </w:pPr>
    <w:rPr>
      <w:lang w:val="es-ES_tradnl" w:eastAsia="es-ES_tradn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B7224D"/>
    <w:pPr>
      <w:jc w:val="both"/>
    </w:pPr>
    <w:rPr>
      <w:lang w:val="es-ES_tradnl" w:eastAsia="es-ES_tradn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B7224D"/>
    <w:pPr>
      <w:jc w:val="both"/>
    </w:pPr>
    <w:rPr>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hapter">
    <w:name w:val="Chapter"/>
    <w:basedOn w:val="Normal"/>
    <w:uiPriority w:val="99"/>
    <w:semiHidden/>
    <w:rsid w:val="00B7224D"/>
    <w:pPr>
      <w:jc w:val="center"/>
    </w:pPr>
    <w:rPr>
      <w:b/>
      <w:caps/>
      <w:szCs w:val="24"/>
    </w:rPr>
  </w:style>
  <w:style w:type="paragraph" w:customStyle="1" w:styleId="Notetoarticle">
    <w:name w:val="Note to article"/>
    <w:basedOn w:val="Normal"/>
    <w:uiPriority w:val="99"/>
    <w:semiHidden/>
    <w:rsid w:val="00B7224D"/>
  </w:style>
  <w:style w:type="character" w:customStyle="1" w:styleId="f21">
    <w:name w:val="f21"/>
    <w:basedOn w:val="DefaultParagraphFont"/>
    <w:rsid w:val="00B7224D"/>
    <w:rPr>
      <w:rFonts w:ascii="Times New Roman" w:hAnsi="Times New Roman" w:cs="Times New Roman" w:hint="default"/>
      <w:color w:val="000000"/>
      <w:sz w:val="24"/>
      <w:szCs w:val="24"/>
    </w:rPr>
  </w:style>
  <w:style w:type="character" w:customStyle="1" w:styleId="st">
    <w:name w:val="st"/>
    <w:basedOn w:val="DefaultParagraphFont"/>
    <w:rsid w:val="00B7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pov.int/test_guidelines/es/list_supersede.j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pov.int/test_guideline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C_49_ES</Template>
  <TotalTime>113</TotalTime>
  <Pages>37</Pages>
  <Words>18940</Words>
  <Characters>103489</Characters>
  <Application>Microsoft Office Word</Application>
  <DocSecurity>0</DocSecurity>
  <Lines>862</Lines>
  <Paragraphs>244</Paragraphs>
  <ScaleCrop>false</ScaleCrop>
  <HeadingPairs>
    <vt:vector size="2" baseType="variant">
      <vt:variant>
        <vt:lpstr>Title</vt:lpstr>
      </vt:variant>
      <vt:variant>
        <vt:i4>1</vt:i4>
      </vt:variant>
    </vt:vector>
  </HeadingPairs>
  <TitlesOfParts>
    <vt:vector size="1" baseType="lpstr">
      <vt:lpstr>C/49/10</vt:lpstr>
    </vt:vector>
  </TitlesOfParts>
  <Company>UPOV</Company>
  <LinksUpToDate>false</LinksUpToDate>
  <CharactersWithSpaces>122185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C/49/10</dc:title>
  <dc:creator/>
  <cp:lastModifiedBy>GIACHINO Erika</cp:lastModifiedBy>
  <cp:revision>18</cp:revision>
  <cp:lastPrinted>2015-09-04T16:33:00Z</cp:lastPrinted>
  <dcterms:created xsi:type="dcterms:W3CDTF">2015-09-04T14:22:00Z</dcterms:created>
  <dcterms:modified xsi:type="dcterms:W3CDTF">2015-09-14T14:09:00Z</dcterms:modified>
</cp:coreProperties>
</file>