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101CB" w:rsidRPr="00382410" w:rsidTr="003A606E">
        <w:trPr>
          <w:trHeight w:val="1760"/>
        </w:trPr>
        <w:tc>
          <w:tcPr>
            <w:tcW w:w="4243" w:type="dxa"/>
          </w:tcPr>
          <w:p w:rsidR="001101CB" w:rsidRPr="005B4836" w:rsidRDefault="001101CB" w:rsidP="003A606E"/>
        </w:tc>
        <w:tc>
          <w:tcPr>
            <w:tcW w:w="1646" w:type="dxa"/>
            <w:vAlign w:val="center"/>
          </w:tcPr>
          <w:p w:rsidR="001101CB" w:rsidRPr="005B4836" w:rsidRDefault="001101CB" w:rsidP="003A606E">
            <w:pPr>
              <w:pStyle w:val="LogoUPOV"/>
            </w:pPr>
            <w:r w:rsidRPr="005B4836">
              <w:rPr>
                <w:noProof/>
              </w:rPr>
              <w:drawing>
                <wp:inline distT="0" distB="0" distL="0" distR="0" wp14:anchorId="212F4D39" wp14:editId="2EB2498B">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101CB" w:rsidRPr="005B4836" w:rsidRDefault="001101CB" w:rsidP="003A606E">
            <w:pPr>
              <w:pStyle w:val="Lettrine"/>
            </w:pPr>
            <w:r w:rsidRPr="005B4836">
              <w:t>S</w:t>
            </w:r>
          </w:p>
          <w:p w:rsidR="001101CB" w:rsidRPr="00382410" w:rsidRDefault="001101CB" w:rsidP="003A606E">
            <w:pPr>
              <w:pStyle w:val="Docoriginal"/>
              <w:ind w:left="1050"/>
              <w:jc w:val="left"/>
            </w:pPr>
            <w:r w:rsidRPr="00382410">
              <w:t xml:space="preserve">UPOV/EXN/HRV Draft </w:t>
            </w:r>
            <w:bookmarkStart w:id="0" w:name="Code"/>
            <w:bookmarkEnd w:id="0"/>
            <w:r w:rsidRPr="00382410">
              <w:t>10</w:t>
            </w:r>
          </w:p>
          <w:p w:rsidR="001101CB" w:rsidRPr="00382410" w:rsidRDefault="001101CB" w:rsidP="003A606E">
            <w:pPr>
              <w:pStyle w:val="Docoriginal"/>
              <w:ind w:left="1050"/>
              <w:jc w:val="left"/>
              <w:rPr>
                <w:lang w:val="es-ES"/>
              </w:rPr>
            </w:pPr>
            <w:r w:rsidRPr="00251DDD">
              <w:rPr>
                <w:rStyle w:val="StyleDoclangBold"/>
                <w:b/>
                <w:spacing w:val="0"/>
                <w:lang w:val="es-ES_tradnl"/>
              </w:rPr>
              <w:t>ORIGINAL</w:t>
            </w:r>
            <w:r w:rsidRPr="005B4836">
              <w:rPr>
                <w:rStyle w:val="StyleDoclangBold"/>
                <w:spacing w:val="0"/>
                <w:lang w:val="es-ES_tradnl"/>
              </w:rPr>
              <w:t>:</w:t>
            </w:r>
            <w:r w:rsidRPr="005B4836">
              <w:rPr>
                <w:rStyle w:val="StyleDocoriginalNotBold1"/>
                <w:spacing w:val="0"/>
                <w:lang w:val="es-ES_tradnl"/>
              </w:rPr>
              <w:t xml:space="preserve">  </w:t>
            </w:r>
            <w:bookmarkStart w:id="1" w:name="Original"/>
            <w:bookmarkEnd w:id="1"/>
            <w:r w:rsidRPr="00382410">
              <w:rPr>
                <w:b w:val="0"/>
                <w:spacing w:val="0"/>
                <w:lang w:val="es-ES"/>
              </w:rPr>
              <w:t>Inglés</w:t>
            </w:r>
          </w:p>
          <w:p w:rsidR="001101CB" w:rsidRPr="00382410" w:rsidRDefault="001101CB" w:rsidP="00A337C2">
            <w:pPr>
              <w:pStyle w:val="Docoriginal"/>
              <w:ind w:left="1050"/>
              <w:jc w:val="left"/>
              <w:rPr>
                <w:lang w:val="es-ES"/>
              </w:rPr>
            </w:pPr>
            <w:r w:rsidRPr="00382410">
              <w:rPr>
                <w:spacing w:val="0"/>
                <w:lang w:val="es-ES"/>
              </w:rPr>
              <w:t>FECHA:</w:t>
            </w:r>
            <w:r w:rsidRPr="00382410">
              <w:rPr>
                <w:b w:val="0"/>
                <w:spacing w:val="0"/>
                <w:lang w:val="es-ES"/>
              </w:rPr>
              <w:t xml:space="preserve"> </w:t>
            </w:r>
            <w:r w:rsidRPr="001B0A00">
              <w:rPr>
                <w:rStyle w:val="StyleDocoriginalNotBold1"/>
                <w:spacing w:val="0"/>
                <w:lang w:val="es-ES_tradnl"/>
              </w:rPr>
              <w:t xml:space="preserve"> 30 de septiembre de </w:t>
            </w:r>
            <w:r w:rsidRPr="00382410">
              <w:rPr>
                <w:b w:val="0"/>
                <w:spacing w:val="0"/>
                <w:lang w:val="es-ES"/>
              </w:rPr>
              <w:t>2013</w:t>
            </w:r>
          </w:p>
        </w:tc>
      </w:tr>
      <w:tr w:rsidR="001101CB" w:rsidRPr="00382410" w:rsidTr="003A606E">
        <w:tc>
          <w:tcPr>
            <w:tcW w:w="10131" w:type="dxa"/>
            <w:gridSpan w:val="3"/>
          </w:tcPr>
          <w:p w:rsidR="001101CB" w:rsidRPr="00382410" w:rsidRDefault="001101CB" w:rsidP="003A606E">
            <w:pPr>
              <w:pStyle w:val="upove"/>
              <w:rPr>
                <w:spacing w:val="2"/>
                <w:sz w:val="28"/>
                <w:lang w:val="es-ES"/>
              </w:rPr>
            </w:pPr>
            <w:r w:rsidRPr="00382410">
              <w:rPr>
                <w:spacing w:val="2"/>
                <w:lang w:val="es-ES"/>
              </w:rPr>
              <w:t>UNIÓN INTERNACIONAL PARA LA PROTECCIÓN DE LAS OBTENCIONES VEGETALES</w:t>
            </w:r>
          </w:p>
        </w:tc>
      </w:tr>
      <w:tr w:rsidR="001101CB" w:rsidRPr="005B4836" w:rsidTr="003A606E">
        <w:tc>
          <w:tcPr>
            <w:tcW w:w="10131" w:type="dxa"/>
            <w:gridSpan w:val="3"/>
          </w:tcPr>
          <w:p w:rsidR="001101CB" w:rsidRPr="005B4836" w:rsidRDefault="001101CB" w:rsidP="003A606E">
            <w:pPr>
              <w:pStyle w:val="Country"/>
            </w:pPr>
            <w:proofErr w:type="spellStart"/>
            <w:r w:rsidRPr="005B4836">
              <w:t>Ginebra</w:t>
            </w:r>
            <w:proofErr w:type="spellEnd"/>
          </w:p>
        </w:tc>
      </w:tr>
    </w:tbl>
    <w:p w:rsidR="001101CB" w:rsidRPr="00720BA0" w:rsidRDefault="001101CB" w:rsidP="002D5A30">
      <w:pPr>
        <w:rPr>
          <w:rFonts w:cs="Arial"/>
          <w:lang w:val="es-ES"/>
        </w:rPr>
      </w:pPr>
    </w:p>
    <w:p w:rsidR="001101CB" w:rsidRPr="00720BA0" w:rsidRDefault="001101CB" w:rsidP="002D5A30">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p>
    <w:p w:rsidR="001101CB" w:rsidRPr="00720BA0" w:rsidRDefault="001101CB" w:rsidP="002D5A30">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r w:rsidRPr="00720BA0">
        <w:rPr>
          <w:rFonts w:cs="Arial"/>
          <w:lang w:val="es-ES"/>
        </w:rPr>
        <w:t>PROYECTO</w:t>
      </w:r>
    </w:p>
    <w:p w:rsidR="001101CB" w:rsidRPr="00720BA0" w:rsidRDefault="001101CB" w:rsidP="002D5A30">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
        </w:rPr>
      </w:pPr>
    </w:p>
    <w:p w:rsidR="001101CB" w:rsidRPr="00720BA0" w:rsidRDefault="001101CB" w:rsidP="002D5A30">
      <w:pPr>
        <w:spacing w:before="1200" w:after="240"/>
        <w:jc w:val="center"/>
        <w:rPr>
          <w:rFonts w:cs="Arial"/>
          <w:lang w:val="es-ES"/>
        </w:rPr>
      </w:pPr>
      <w:r w:rsidRPr="00720BA0">
        <w:rPr>
          <w:rFonts w:cs="Arial"/>
          <w:lang w:val="es-ES"/>
        </w:rPr>
        <w:t>NOTAS EXPLICATIVAS SOBRE</w:t>
      </w:r>
      <w:r w:rsidRPr="00720BA0">
        <w:rPr>
          <w:rFonts w:cs="Arial"/>
          <w:lang w:val="es-ES"/>
        </w:rPr>
        <w:br/>
      </w:r>
      <w:r w:rsidRPr="00720BA0">
        <w:rPr>
          <w:rFonts w:cs="Arial"/>
          <w:lang w:val="es-ES"/>
        </w:rPr>
        <w:br/>
        <w:t>LOS ACTOS RESPECTO DEL PRODUCTO DE LA COSECHA</w:t>
      </w:r>
      <w:r w:rsidRPr="00720BA0">
        <w:rPr>
          <w:rFonts w:cs="Arial"/>
          <w:lang w:val="es-ES"/>
        </w:rPr>
        <w:br/>
      </w:r>
      <w:r w:rsidRPr="00720BA0">
        <w:rPr>
          <w:rFonts w:cs="Arial"/>
          <w:lang w:val="es-ES"/>
        </w:rPr>
        <w:br/>
        <w:t>CON ARREGLO AL ACTA DE 1991 DEL CONVENIO DE LA UPOV</w:t>
      </w:r>
    </w:p>
    <w:p w:rsidR="001101CB" w:rsidRPr="001B0A00" w:rsidRDefault="001101CB" w:rsidP="002D5A30">
      <w:pPr>
        <w:pStyle w:val="preparedby0"/>
        <w:spacing w:after="960"/>
        <w:rPr>
          <w:rFonts w:ascii="Arial" w:hAnsi="Arial" w:cs="Arial"/>
          <w:sz w:val="20"/>
          <w:lang w:val="es-ES"/>
        </w:rPr>
      </w:pPr>
      <w:r w:rsidRPr="00720BA0">
        <w:rPr>
          <w:rFonts w:ascii="Arial" w:hAnsi="Arial" w:cs="Arial"/>
          <w:sz w:val="20"/>
          <w:lang w:val="es-ES"/>
        </w:rPr>
        <w:t>Documento preparado por la Oficina de la Unión</w:t>
      </w:r>
      <w:r w:rsidRPr="00720BA0">
        <w:rPr>
          <w:rFonts w:ascii="Arial" w:hAnsi="Arial" w:cs="Arial"/>
          <w:sz w:val="20"/>
          <w:lang w:val="es-ES"/>
        </w:rPr>
        <w:br/>
      </w:r>
      <w:r w:rsidR="001B0A00">
        <w:rPr>
          <w:rFonts w:ascii="Arial" w:hAnsi="Arial" w:cs="Arial"/>
          <w:sz w:val="20"/>
          <w:lang w:val="es-ES"/>
        </w:rPr>
        <w:br/>
        <w:t>para su examen por</w:t>
      </w:r>
      <w:r w:rsidR="001B0A00">
        <w:rPr>
          <w:rFonts w:ascii="Arial" w:hAnsi="Arial" w:cs="Arial"/>
          <w:sz w:val="20"/>
          <w:lang w:val="es-ES"/>
        </w:rPr>
        <w:br/>
      </w:r>
      <w:r w:rsidR="001B0A00">
        <w:rPr>
          <w:rFonts w:ascii="Arial" w:hAnsi="Arial" w:cs="Arial"/>
          <w:sz w:val="20"/>
          <w:lang w:val="es-ES"/>
        </w:rPr>
        <w:br/>
      </w:r>
      <w:r w:rsidRPr="00720BA0">
        <w:rPr>
          <w:rFonts w:ascii="Arial" w:hAnsi="Arial" w:cs="Arial"/>
          <w:sz w:val="20"/>
          <w:lang w:val="es-ES"/>
        </w:rPr>
        <w:t xml:space="preserve">el Comité </w:t>
      </w:r>
      <w:smartTag w:uri="urn:schemas-microsoft-com:office:smarttags" w:element="PersonName">
        <w:r w:rsidRPr="00720BA0">
          <w:rPr>
            <w:rFonts w:ascii="Arial" w:hAnsi="Arial" w:cs="Arial"/>
            <w:sz w:val="20"/>
            <w:lang w:val="es-ES"/>
          </w:rPr>
          <w:t>Admin</w:t>
        </w:r>
      </w:smartTag>
      <w:r w:rsidRPr="00720BA0">
        <w:rPr>
          <w:rFonts w:ascii="Arial" w:hAnsi="Arial" w:cs="Arial"/>
          <w:sz w:val="20"/>
          <w:lang w:val="es-ES"/>
        </w:rPr>
        <w:t>istrativo y Jurídico</w:t>
      </w:r>
      <w:r w:rsidR="001B0A00">
        <w:rPr>
          <w:rFonts w:ascii="Arial" w:hAnsi="Arial" w:cs="Arial"/>
          <w:sz w:val="20"/>
          <w:lang w:val="es-ES"/>
        </w:rPr>
        <w:t xml:space="preserve"> </w:t>
      </w:r>
      <w:r w:rsidRPr="00720BA0">
        <w:rPr>
          <w:rFonts w:ascii="Arial" w:hAnsi="Arial" w:cs="Arial"/>
          <w:sz w:val="20"/>
          <w:lang w:val="es-ES"/>
        </w:rPr>
        <w:t xml:space="preserve">en su sexagésima </w:t>
      </w:r>
      <w:r w:rsidR="001B0A00">
        <w:rPr>
          <w:rFonts w:ascii="Arial" w:hAnsi="Arial" w:cs="Arial"/>
          <w:sz w:val="20"/>
          <w:lang w:val="es-ES"/>
        </w:rPr>
        <w:t>octava sesión</w:t>
      </w:r>
      <w:r w:rsidR="001B0A00">
        <w:rPr>
          <w:rFonts w:ascii="Arial" w:hAnsi="Arial" w:cs="Arial"/>
          <w:sz w:val="20"/>
          <w:lang w:val="es-ES"/>
        </w:rPr>
        <w:br/>
      </w:r>
      <w:r w:rsidRPr="00720BA0">
        <w:rPr>
          <w:rFonts w:ascii="Arial" w:hAnsi="Arial" w:cs="Arial"/>
          <w:sz w:val="20"/>
          <w:lang w:val="es-ES"/>
        </w:rPr>
        <w:t xml:space="preserve">que se celebrará en Ginebra el 21 de </w:t>
      </w:r>
      <w:r w:rsidR="001B0A00">
        <w:rPr>
          <w:rFonts w:ascii="Arial" w:hAnsi="Arial" w:cs="Arial"/>
          <w:sz w:val="20"/>
          <w:lang w:val="es-ES"/>
        </w:rPr>
        <w:t xml:space="preserve">octubre </w:t>
      </w:r>
      <w:r w:rsidRPr="00720BA0">
        <w:rPr>
          <w:rFonts w:ascii="Arial" w:hAnsi="Arial" w:cs="Arial"/>
          <w:sz w:val="20"/>
          <w:lang w:val="es-ES"/>
        </w:rPr>
        <w:t>de 2013</w:t>
      </w:r>
      <w:r w:rsidR="001B0A00">
        <w:rPr>
          <w:rFonts w:ascii="Arial" w:hAnsi="Arial" w:cs="Arial"/>
          <w:sz w:val="20"/>
          <w:lang w:val="es-ES"/>
        </w:rPr>
        <w:br/>
      </w:r>
      <w:r w:rsidR="001B0A00">
        <w:rPr>
          <w:rFonts w:ascii="Arial" w:hAnsi="Arial" w:cs="Arial"/>
          <w:sz w:val="20"/>
          <w:lang w:val="es-ES"/>
        </w:rPr>
        <w:br/>
        <w:t>y</w:t>
      </w:r>
      <w:r w:rsidR="001B0A00">
        <w:rPr>
          <w:rFonts w:ascii="Arial" w:hAnsi="Arial" w:cs="Arial"/>
          <w:sz w:val="20"/>
          <w:lang w:val="es-ES"/>
        </w:rPr>
        <w:br/>
      </w:r>
      <w:r w:rsidR="001B0A00">
        <w:rPr>
          <w:rFonts w:ascii="Arial" w:hAnsi="Arial" w:cs="Arial"/>
          <w:sz w:val="20"/>
          <w:lang w:val="es-ES"/>
        </w:rPr>
        <w:br/>
      </w:r>
      <w:r w:rsidR="001B0A00" w:rsidRPr="001B0A00">
        <w:rPr>
          <w:rFonts w:ascii="Arial" w:hAnsi="Arial" w:cs="Arial"/>
          <w:sz w:val="20"/>
          <w:lang w:val="es-ES"/>
        </w:rPr>
        <w:t>el Consejo en su cuadragésima séptima sesión ordinaria,</w:t>
      </w:r>
      <w:r w:rsidR="001B0A00" w:rsidRPr="001B0A00">
        <w:rPr>
          <w:rFonts w:ascii="Arial" w:hAnsi="Arial" w:cs="Arial"/>
          <w:sz w:val="20"/>
          <w:lang w:val="es-ES"/>
        </w:rPr>
        <w:br/>
        <w:t>que se celebrará en Ginebra, el 24 de octubre de 2013</w:t>
      </w:r>
      <w:r w:rsidR="001B0A00" w:rsidRPr="00382410">
        <w:rPr>
          <w:rFonts w:ascii="Arial" w:hAnsi="Arial" w:cs="Arial"/>
          <w:sz w:val="20"/>
          <w:lang w:val="es-ES"/>
        </w:rPr>
        <w:br/>
      </w:r>
      <w:r w:rsidR="001B0A00" w:rsidRPr="00382410">
        <w:rPr>
          <w:rFonts w:ascii="Arial" w:hAnsi="Arial" w:cs="Arial"/>
          <w:sz w:val="20"/>
          <w:lang w:val="es-ES"/>
        </w:rPr>
        <w:br/>
      </w:r>
      <w:r w:rsidR="001B0A00" w:rsidRPr="00382410">
        <w:rPr>
          <w:rFonts w:ascii="Arial" w:hAnsi="Arial" w:cs="Arial"/>
          <w:sz w:val="20"/>
          <w:lang w:val="es-ES"/>
        </w:rPr>
        <w:br/>
      </w:r>
      <w:r w:rsidR="001B0A00" w:rsidRPr="00382410">
        <w:rPr>
          <w:rFonts w:ascii="Arial" w:hAnsi="Arial" w:cs="Arial"/>
          <w:color w:val="A6A6A6"/>
          <w:sz w:val="20"/>
          <w:lang w:val="es-ES"/>
        </w:rPr>
        <w:t>Descargo de responsabilidad</w:t>
      </w:r>
      <w:proofErr w:type="gramStart"/>
      <w:r w:rsidR="001B0A00" w:rsidRPr="00382410">
        <w:rPr>
          <w:rFonts w:ascii="Arial" w:hAnsi="Arial" w:cs="Arial"/>
          <w:color w:val="A6A6A6"/>
          <w:sz w:val="20"/>
          <w:lang w:val="es-ES"/>
        </w:rPr>
        <w:t>:  el</w:t>
      </w:r>
      <w:proofErr w:type="gramEnd"/>
      <w:r w:rsidR="001B0A00" w:rsidRPr="00382410">
        <w:rPr>
          <w:rFonts w:ascii="Arial" w:hAnsi="Arial" w:cs="Arial"/>
          <w:color w:val="A6A6A6"/>
          <w:sz w:val="20"/>
          <w:lang w:val="es-ES"/>
        </w:rPr>
        <w:t xml:space="preserve"> presente documento no constituye</w:t>
      </w:r>
      <w:r w:rsidR="001B0A00" w:rsidRPr="00382410">
        <w:rPr>
          <w:rFonts w:ascii="Arial" w:hAnsi="Arial" w:cs="Arial"/>
          <w:color w:val="A6A6A6"/>
          <w:sz w:val="20"/>
          <w:lang w:val="es-ES"/>
        </w:rPr>
        <w:br/>
        <w:t>un documento de política u orientación de la UPOV</w:t>
      </w:r>
    </w:p>
    <w:p w:rsidR="001101CB" w:rsidRPr="00720BA0" w:rsidRDefault="001101CB" w:rsidP="002D5A30">
      <w:pPr>
        <w:jc w:val="center"/>
        <w:rPr>
          <w:rFonts w:cs="Arial"/>
          <w:lang w:val="es-ES"/>
        </w:rPr>
      </w:pPr>
      <w:r w:rsidRPr="00720BA0">
        <w:rPr>
          <w:rFonts w:cs="Arial"/>
          <w:lang w:val="es-ES"/>
        </w:rPr>
        <w:br w:type="page"/>
      </w:r>
    </w:p>
    <w:p w:rsidR="001101CB" w:rsidRPr="00720BA0" w:rsidRDefault="001101CB" w:rsidP="002D5A30">
      <w:pPr>
        <w:jc w:val="center"/>
        <w:rPr>
          <w:rFonts w:cs="Arial"/>
          <w:lang w:val="es-ES"/>
        </w:rPr>
      </w:pPr>
      <w:r w:rsidRPr="00720BA0">
        <w:rPr>
          <w:rFonts w:cs="Arial"/>
          <w:lang w:val="es-ES"/>
        </w:rPr>
        <w:lastRenderedPageBreak/>
        <w:t>ÍNDICE</w:t>
      </w:r>
    </w:p>
    <w:p w:rsidR="001101CB" w:rsidRPr="00720BA0" w:rsidRDefault="001101CB" w:rsidP="002D5A30">
      <w:pPr>
        <w:jc w:val="left"/>
        <w:rPr>
          <w:rFonts w:cs="Arial"/>
          <w:lang w:val="es-ES"/>
        </w:rPr>
      </w:pPr>
    </w:p>
    <w:p w:rsidR="001101CB" w:rsidRPr="00720BA0" w:rsidRDefault="001101CB" w:rsidP="002D5A30">
      <w:pPr>
        <w:jc w:val="left"/>
        <w:rPr>
          <w:rFonts w:cs="Arial"/>
          <w:lang w:val="es-ES"/>
        </w:rPr>
      </w:pPr>
    </w:p>
    <w:p w:rsidR="001101CB" w:rsidRPr="00720BA0" w:rsidRDefault="001101CB" w:rsidP="002D5A30">
      <w:pPr>
        <w:jc w:val="left"/>
        <w:rPr>
          <w:rFonts w:cs="Arial"/>
          <w:lang w:val="es-ES"/>
        </w:rPr>
      </w:pPr>
    </w:p>
    <w:p w:rsidR="001101CB" w:rsidRDefault="001101CB">
      <w:pPr>
        <w:pStyle w:val="TOC1"/>
        <w:rPr>
          <w:rFonts w:asciiTheme="minorHAnsi" w:eastAsiaTheme="minorEastAsia" w:hAnsiTheme="minorHAnsi" w:cstheme="minorBidi"/>
          <w:bCs w:val="0"/>
          <w:caps w:val="0"/>
          <w:noProof/>
          <w:sz w:val="22"/>
          <w:szCs w:val="22"/>
        </w:rPr>
      </w:pPr>
      <w:r w:rsidRPr="004C17A3">
        <w:rPr>
          <w:rFonts w:cs="Arial"/>
          <w:b/>
          <w:snapToGrid w:val="0"/>
          <w:szCs w:val="18"/>
        </w:rPr>
        <w:fldChar w:fldCharType="begin"/>
      </w:r>
      <w:r w:rsidRPr="004C17A3">
        <w:rPr>
          <w:rFonts w:cs="Arial"/>
          <w:snapToGrid w:val="0"/>
          <w:szCs w:val="18"/>
        </w:rPr>
        <w:instrText xml:space="preserve"> TOC \o "1-5" \h \z \u </w:instrText>
      </w:r>
      <w:r w:rsidRPr="004C17A3">
        <w:rPr>
          <w:rFonts w:cs="Arial"/>
          <w:b/>
          <w:snapToGrid w:val="0"/>
          <w:szCs w:val="18"/>
        </w:rPr>
        <w:fldChar w:fldCharType="separate"/>
      </w:r>
      <w:hyperlink w:anchor="_Toc368385666" w:history="1">
        <w:r w:rsidRPr="00504832">
          <w:rPr>
            <w:rStyle w:val="Hyperlink"/>
            <w:noProof/>
          </w:rPr>
          <w:t>PREÁMBULO</w:t>
        </w:r>
        <w:r>
          <w:rPr>
            <w:noProof/>
            <w:webHidden/>
          </w:rPr>
          <w:tab/>
        </w:r>
        <w:r>
          <w:rPr>
            <w:noProof/>
            <w:webHidden/>
          </w:rPr>
          <w:fldChar w:fldCharType="begin"/>
        </w:r>
        <w:r>
          <w:rPr>
            <w:noProof/>
            <w:webHidden/>
          </w:rPr>
          <w:instrText xml:space="preserve"> PAGEREF _Toc368385666 \h </w:instrText>
        </w:r>
        <w:r>
          <w:rPr>
            <w:noProof/>
            <w:webHidden/>
          </w:rPr>
        </w:r>
        <w:r>
          <w:rPr>
            <w:noProof/>
            <w:webHidden/>
          </w:rPr>
          <w:fldChar w:fldCharType="separate"/>
        </w:r>
        <w:r w:rsidR="00251DDD">
          <w:rPr>
            <w:noProof/>
            <w:webHidden/>
          </w:rPr>
          <w:t>3</w:t>
        </w:r>
        <w:r>
          <w:rPr>
            <w:noProof/>
            <w:webHidden/>
          </w:rPr>
          <w:fldChar w:fldCharType="end"/>
        </w:r>
      </w:hyperlink>
    </w:p>
    <w:p w:rsidR="001101CB" w:rsidRDefault="00382410">
      <w:pPr>
        <w:pStyle w:val="TOC1"/>
        <w:rPr>
          <w:rFonts w:asciiTheme="minorHAnsi" w:eastAsiaTheme="minorEastAsia" w:hAnsiTheme="minorHAnsi" w:cstheme="minorBidi"/>
          <w:bCs w:val="0"/>
          <w:caps w:val="0"/>
          <w:noProof/>
          <w:sz w:val="22"/>
          <w:szCs w:val="22"/>
        </w:rPr>
      </w:pPr>
      <w:hyperlink w:anchor="_Toc368385667" w:history="1">
        <w:r w:rsidR="001101CB" w:rsidRPr="00504832">
          <w:rPr>
            <w:rStyle w:val="Hyperlink"/>
            <w:noProof/>
          </w:rPr>
          <w:t>ACTOS RESPECTO DEL PRODUCTO DE LA COSECHA</w:t>
        </w:r>
        <w:r w:rsidR="001101CB">
          <w:rPr>
            <w:noProof/>
            <w:webHidden/>
          </w:rPr>
          <w:tab/>
        </w:r>
        <w:r w:rsidR="001101CB">
          <w:rPr>
            <w:noProof/>
            <w:webHidden/>
          </w:rPr>
          <w:fldChar w:fldCharType="begin"/>
        </w:r>
        <w:r w:rsidR="001101CB">
          <w:rPr>
            <w:noProof/>
            <w:webHidden/>
          </w:rPr>
          <w:instrText xml:space="preserve"> PAGEREF _Toc368385667 \h </w:instrText>
        </w:r>
        <w:r w:rsidR="001101CB">
          <w:rPr>
            <w:noProof/>
            <w:webHidden/>
          </w:rPr>
        </w:r>
        <w:r w:rsidR="001101CB">
          <w:rPr>
            <w:noProof/>
            <w:webHidden/>
          </w:rPr>
          <w:fldChar w:fldCharType="separate"/>
        </w:r>
        <w:r w:rsidR="00251DDD">
          <w:rPr>
            <w:noProof/>
            <w:webHidden/>
          </w:rPr>
          <w:t>4</w:t>
        </w:r>
        <w:r w:rsidR="001101CB">
          <w:rPr>
            <w:noProof/>
            <w:webHidden/>
          </w:rPr>
          <w:fldChar w:fldCharType="end"/>
        </w:r>
      </w:hyperlink>
    </w:p>
    <w:p w:rsidR="001101CB" w:rsidRDefault="00382410">
      <w:pPr>
        <w:pStyle w:val="TOC2"/>
        <w:rPr>
          <w:rFonts w:asciiTheme="minorHAnsi" w:eastAsiaTheme="minorEastAsia" w:hAnsiTheme="minorHAnsi" w:cstheme="minorBidi"/>
          <w:i w:val="0"/>
          <w:noProof/>
          <w:sz w:val="22"/>
          <w:szCs w:val="22"/>
        </w:rPr>
      </w:pPr>
      <w:hyperlink w:anchor="_Toc368385668" w:history="1">
        <w:r w:rsidR="001101CB" w:rsidRPr="00504832">
          <w:rPr>
            <w:rStyle w:val="Hyperlink"/>
            <w:rFonts w:cs="Arial"/>
            <w:noProof/>
            <w:lang w:val="es-ES"/>
          </w:rPr>
          <w:t>a)</w:t>
        </w:r>
        <w:r w:rsidR="001101CB">
          <w:rPr>
            <w:rFonts w:asciiTheme="minorHAnsi" w:eastAsiaTheme="minorEastAsia" w:hAnsiTheme="minorHAnsi" w:cstheme="minorBidi"/>
            <w:i w:val="0"/>
            <w:noProof/>
            <w:sz w:val="22"/>
            <w:szCs w:val="22"/>
          </w:rPr>
          <w:tab/>
        </w:r>
        <w:r w:rsidR="001101CB" w:rsidRPr="00504832">
          <w:rPr>
            <w:rStyle w:val="Hyperlink"/>
            <w:rFonts w:cs="Arial"/>
            <w:noProof/>
            <w:lang w:val="es-ES"/>
          </w:rPr>
          <w:t>Artículo pertinente</w:t>
        </w:r>
        <w:r w:rsidR="001101CB">
          <w:rPr>
            <w:noProof/>
            <w:webHidden/>
          </w:rPr>
          <w:tab/>
        </w:r>
        <w:r w:rsidR="001101CB">
          <w:rPr>
            <w:noProof/>
            <w:webHidden/>
          </w:rPr>
          <w:fldChar w:fldCharType="begin"/>
        </w:r>
        <w:r w:rsidR="001101CB">
          <w:rPr>
            <w:noProof/>
            <w:webHidden/>
          </w:rPr>
          <w:instrText xml:space="preserve"> PAGEREF _Toc368385668 \h </w:instrText>
        </w:r>
        <w:r w:rsidR="001101CB">
          <w:rPr>
            <w:noProof/>
            <w:webHidden/>
          </w:rPr>
        </w:r>
        <w:r w:rsidR="001101CB">
          <w:rPr>
            <w:noProof/>
            <w:webHidden/>
          </w:rPr>
          <w:fldChar w:fldCharType="separate"/>
        </w:r>
        <w:r w:rsidR="00251DDD">
          <w:rPr>
            <w:noProof/>
            <w:webHidden/>
          </w:rPr>
          <w:t>4</w:t>
        </w:r>
        <w:r w:rsidR="001101CB">
          <w:rPr>
            <w:noProof/>
            <w:webHidden/>
          </w:rPr>
          <w:fldChar w:fldCharType="end"/>
        </w:r>
      </w:hyperlink>
    </w:p>
    <w:p w:rsidR="001101CB" w:rsidRDefault="00382410">
      <w:pPr>
        <w:pStyle w:val="TOC2"/>
        <w:rPr>
          <w:rFonts w:asciiTheme="minorHAnsi" w:eastAsiaTheme="minorEastAsia" w:hAnsiTheme="minorHAnsi" w:cstheme="minorBidi"/>
          <w:i w:val="0"/>
          <w:noProof/>
          <w:sz w:val="22"/>
          <w:szCs w:val="22"/>
        </w:rPr>
      </w:pPr>
      <w:hyperlink w:anchor="_Toc368385669" w:history="1">
        <w:r w:rsidR="001101CB" w:rsidRPr="00504832">
          <w:rPr>
            <w:rStyle w:val="Hyperlink"/>
            <w:rFonts w:cs="Arial"/>
            <w:noProof/>
            <w:lang w:val="es-ES"/>
          </w:rPr>
          <w:t>b)</w:t>
        </w:r>
        <w:r w:rsidR="001101CB">
          <w:rPr>
            <w:rFonts w:asciiTheme="minorHAnsi" w:eastAsiaTheme="minorEastAsia" w:hAnsiTheme="minorHAnsi" w:cstheme="minorBidi"/>
            <w:i w:val="0"/>
            <w:noProof/>
            <w:sz w:val="22"/>
            <w:szCs w:val="22"/>
          </w:rPr>
          <w:tab/>
        </w:r>
        <w:r w:rsidR="001101CB" w:rsidRPr="00504832">
          <w:rPr>
            <w:rStyle w:val="Hyperlink"/>
            <w:rFonts w:cs="Arial"/>
            <w:noProof/>
            <w:lang w:val="es-ES"/>
          </w:rPr>
          <w:t>Producto de la cosecha</w:t>
        </w:r>
        <w:r w:rsidR="001101CB">
          <w:rPr>
            <w:noProof/>
            <w:webHidden/>
          </w:rPr>
          <w:tab/>
        </w:r>
        <w:r w:rsidR="001101CB">
          <w:rPr>
            <w:noProof/>
            <w:webHidden/>
          </w:rPr>
          <w:fldChar w:fldCharType="begin"/>
        </w:r>
        <w:r w:rsidR="001101CB">
          <w:rPr>
            <w:noProof/>
            <w:webHidden/>
          </w:rPr>
          <w:instrText xml:space="preserve"> PAGEREF _Toc368385669 \h </w:instrText>
        </w:r>
        <w:r w:rsidR="001101CB">
          <w:rPr>
            <w:noProof/>
            <w:webHidden/>
          </w:rPr>
        </w:r>
        <w:r w:rsidR="001101CB">
          <w:rPr>
            <w:noProof/>
            <w:webHidden/>
          </w:rPr>
          <w:fldChar w:fldCharType="separate"/>
        </w:r>
        <w:r w:rsidR="00251DDD">
          <w:rPr>
            <w:noProof/>
            <w:webHidden/>
          </w:rPr>
          <w:t>4</w:t>
        </w:r>
        <w:r w:rsidR="001101CB">
          <w:rPr>
            <w:noProof/>
            <w:webHidden/>
          </w:rPr>
          <w:fldChar w:fldCharType="end"/>
        </w:r>
      </w:hyperlink>
    </w:p>
    <w:p w:rsidR="001101CB" w:rsidRDefault="00382410">
      <w:pPr>
        <w:pStyle w:val="TOC2"/>
        <w:rPr>
          <w:rFonts w:asciiTheme="minorHAnsi" w:eastAsiaTheme="minorEastAsia" w:hAnsiTheme="minorHAnsi" w:cstheme="minorBidi"/>
          <w:i w:val="0"/>
          <w:noProof/>
          <w:sz w:val="22"/>
          <w:szCs w:val="22"/>
        </w:rPr>
      </w:pPr>
      <w:hyperlink w:anchor="_Toc368385670" w:history="1">
        <w:r w:rsidR="001101CB" w:rsidRPr="00504832">
          <w:rPr>
            <w:rStyle w:val="Hyperlink"/>
            <w:rFonts w:cs="Arial"/>
            <w:noProof/>
            <w:lang w:val="es-ES"/>
          </w:rPr>
          <w:t>c)</w:t>
        </w:r>
        <w:r w:rsidR="001101CB">
          <w:rPr>
            <w:rFonts w:asciiTheme="minorHAnsi" w:eastAsiaTheme="minorEastAsia" w:hAnsiTheme="minorHAnsi" w:cstheme="minorBidi"/>
            <w:i w:val="0"/>
            <w:noProof/>
            <w:sz w:val="22"/>
            <w:szCs w:val="22"/>
          </w:rPr>
          <w:tab/>
        </w:r>
        <w:r w:rsidR="001101CB" w:rsidRPr="00504832">
          <w:rPr>
            <w:rStyle w:val="Hyperlink"/>
            <w:rFonts w:cs="Arial"/>
            <w:noProof/>
            <w:lang w:val="es-ES"/>
          </w:rPr>
          <w:t>Utilización no autorizada de material de reproducción o de multiplicación</w:t>
        </w:r>
        <w:r w:rsidR="001101CB">
          <w:rPr>
            <w:noProof/>
            <w:webHidden/>
          </w:rPr>
          <w:tab/>
        </w:r>
        <w:r w:rsidR="001101CB">
          <w:rPr>
            <w:noProof/>
            <w:webHidden/>
          </w:rPr>
          <w:fldChar w:fldCharType="begin"/>
        </w:r>
        <w:r w:rsidR="001101CB">
          <w:rPr>
            <w:noProof/>
            <w:webHidden/>
          </w:rPr>
          <w:instrText xml:space="preserve"> PAGEREF _Toc368385670 \h </w:instrText>
        </w:r>
        <w:r w:rsidR="001101CB">
          <w:rPr>
            <w:noProof/>
            <w:webHidden/>
          </w:rPr>
        </w:r>
        <w:r w:rsidR="001101CB">
          <w:rPr>
            <w:noProof/>
            <w:webHidden/>
          </w:rPr>
          <w:fldChar w:fldCharType="separate"/>
        </w:r>
        <w:r w:rsidR="00251DDD">
          <w:rPr>
            <w:noProof/>
            <w:webHidden/>
          </w:rPr>
          <w:t>4</w:t>
        </w:r>
        <w:r w:rsidR="001101CB">
          <w:rPr>
            <w:noProof/>
            <w:webHidden/>
          </w:rPr>
          <w:fldChar w:fldCharType="end"/>
        </w:r>
      </w:hyperlink>
    </w:p>
    <w:p w:rsidR="001101CB" w:rsidRDefault="00382410">
      <w:pPr>
        <w:pStyle w:val="TOC3"/>
        <w:rPr>
          <w:rFonts w:asciiTheme="minorHAnsi" w:eastAsiaTheme="minorEastAsia" w:hAnsiTheme="minorHAnsi" w:cstheme="minorBidi"/>
          <w:noProof/>
          <w:sz w:val="22"/>
          <w:szCs w:val="22"/>
          <w:lang w:val="en-US"/>
        </w:rPr>
      </w:pPr>
      <w:hyperlink w:anchor="_Toc368385671" w:history="1">
        <w:r w:rsidR="001101CB" w:rsidRPr="00504832">
          <w:rPr>
            <w:rStyle w:val="Hyperlink"/>
            <w:rFonts w:cs="Arial"/>
            <w:iCs/>
            <w:noProof/>
            <w:lang w:val="es-ES"/>
          </w:rPr>
          <w:t>Actos respecto del material de reproducción o multiplicación</w:t>
        </w:r>
        <w:r w:rsidR="001101CB">
          <w:rPr>
            <w:noProof/>
            <w:webHidden/>
          </w:rPr>
          <w:tab/>
        </w:r>
        <w:r w:rsidR="001101CB">
          <w:rPr>
            <w:noProof/>
            <w:webHidden/>
          </w:rPr>
          <w:fldChar w:fldCharType="begin"/>
        </w:r>
        <w:r w:rsidR="001101CB">
          <w:rPr>
            <w:noProof/>
            <w:webHidden/>
          </w:rPr>
          <w:instrText xml:space="preserve"> PAGEREF _Toc368385671 \h </w:instrText>
        </w:r>
        <w:r w:rsidR="001101CB">
          <w:rPr>
            <w:noProof/>
            <w:webHidden/>
          </w:rPr>
        </w:r>
        <w:r w:rsidR="001101CB">
          <w:rPr>
            <w:noProof/>
            <w:webHidden/>
          </w:rPr>
          <w:fldChar w:fldCharType="separate"/>
        </w:r>
        <w:r w:rsidR="00251DDD">
          <w:rPr>
            <w:noProof/>
            <w:webHidden/>
          </w:rPr>
          <w:t>4</w:t>
        </w:r>
        <w:r w:rsidR="001101CB">
          <w:rPr>
            <w:noProof/>
            <w:webHidden/>
          </w:rPr>
          <w:fldChar w:fldCharType="end"/>
        </w:r>
      </w:hyperlink>
    </w:p>
    <w:p w:rsidR="001101CB" w:rsidRDefault="00382410">
      <w:pPr>
        <w:pStyle w:val="TOC3"/>
        <w:rPr>
          <w:rFonts w:asciiTheme="minorHAnsi" w:eastAsiaTheme="minorEastAsia" w:hAnsiTheme="minorHAnsi" w:cstheme="minorBidi"/>
          <w:noProof/>
          <w:sz w:val="22"/>
          <w:szCs w:val="22"/>
          <w:lang w:val="en-US"/>
        </w:rPr>
      </w:pPr>
      <w:hyperlink w:anchor="_Toc368385672" w:history="1">
        <w:r w:rsidR="001101CB" w:rsidRPr="00504832">
          <w:rPr>
            <w:rStyle w:val="Hyperlink"/>
            <w:rFonts w:cs="Arial"/>
            <w:iCs/>
            <w:noProof/>
            <w:lang w:val="es-ES"/>
          </w:rPr>
          <w:t>Condiciones y limitaciones</w:t>
        </w:r>
        <w:r w:rsidR="001101CB">
          <w:rPr>
            <w:noProof/>
            <w:webHidden/>
          </w:rPr>
          <w:tab/>
        </w:r>
        <w:r w:rsidR="001101CB">
          <w:rPr>
            <w:noProof/>
            <w:webHidden/>
          </w:rPr>
          <w:fldChar w:fldCharType="begin"/>
        </w:r>
        <w:r w:rsidR="001101CB">
          <w:rPr>
            <w:noProof/>
            <w:webHidden/>
          </w:rPr>
          <w:instrText xml:space="preserve"> PAGEREF _Toc368385672 \h </w:instrText>
        </w:r>
        <w:r w:rsidR="001101CB">
          <w:rPr>
            <w:noProof/>
            <w:webHidden/>
          </w:rPr>
        </w:r>
        <w:r w:rsidR="001101CB">
          <w:rPr>
            <w:noProof/>
            <w:webHidden/>
          </w:rPr>
          <w:fldChar w:fldCharType="separate"/>
        </w:r>
        <w:r w:rsidR="00251DDD">
          <w:rPr>
            <w:noProof/>
            <w:webHidden/>
          </w:rPr>
          <w:t>5</w:t>
        </w:r>
        <w:r w:rsidR="001101CB">
          <w:rPr>
            <w:noProof/>
            <w:webHidden/>
          </w:rPr>
          <w:fldChar w:fldCharType="end"/>
        </w:r>
      </w:hyperlink>
    </w:p>
    <w:p w:rsidR="001101CB" w:rsidRDefault="00382410">
      <w:pPr>
        <w:pStyle w:val="TOC3"/>
        <w:rPr>
          <w:rFonts w:asciiTheme="minorHAnsi" w:eastAsiaTheme="minorEastAsia" w:hAnsiTheme="minorHAnsi" w:cstheme="minorBidi"/>
          <w:noProof/>
          <w:sz w:val="22"/>
          <w:szCs w:val="22"/>
          <w:lang w:val="en-US"/>
        </w:rPr>
      </w:pPr>
      <w:hyperlink w:anchor="_Toc368385673" w:history="1">
        <w:r w:rsidR="001101CB" w:rsidRPr="00504832">
          <w:rPr>
            <w:rStyle w:val="Hyperlink"/>
            <w:rFonts w:cs="Arial"/>
            <w:iCs/>
            <w:noProof/>
            <w:lang w:val="es-ES"/>
          </w:rPr>
          <w:t>Excepciones obligatorias al derecho de obtentor</w:t>
        </w:r>
        <w:r w:rsidR="001101CB">
          <w:rPr>
            <w:noProof/>
            <w:webHidden/>
          </w:rPr>
          <w:tab/>
        </w:r>
        <w:r w:rsidR="001101CB">
          <w:rPr>
            <w:noProof/>
            <w:webHidden/>
          </w:rPr>
          <w:fldChar w:fldCharType="begin"/>
        </w:r>
        <w:r w:rsidR="001101CB">
          <w:rPr>
            <w:noProof/>
            <w:webHidden/>
          </w:rPr>
          <w:instrText xml:space="preserve"> PAGEREF _Toc368385673 \h </w:instrText>
        </w:r>
        <w:r w:rsidR="001101CB">
          <w:rPr>
            <w:noProof/>
            <w:webHidden/>
          </w:rPr>
        </w:r>
        <w:r w:rsidR="001101CB">
          <w:rPr>
            <w:noProof/>
            <w:webHidden/>
          </w:rPr>
          <w:fldChar w:fldCharType="separate"/>
        </w:r>
        <w:r w:rsidR="00251DDD">
          <w:rPr>
            <w:noProof/>
            <w:webHidden/>
          </w:rPr>
          <w:t>5</w:t>
        </w:r>
        <w:r w:rsidR="001101CB">
          <w:rPr>
            <w:noProof/>
            <w:webHidden/>
          </w:rPr>
          <w:fldChar w:fldCharType="end"/>
        </w:r>
      </w:hyperlink>
    </w:p>
    <w:p w:rsidR="001101CB" w:rsidRDefault="00382410">
      <w:pPr>
        <w:pStyle w:val="TOC3"/>
        <w:rPr>
          <w:rFonts w:asciiTheme="minorHAnsi" w:eastAsiaTheme="minorEastAsia" w:hAnsiTheme="minorHAnsi" w:cstheme="minorBidi"/>
          <w:noProof/>
          <w:sz w:val="22"/>
          <w:szCs w:val="22"/>
          <w:lang w:val="en-US"/>
        </w:rPr>
      </w:pPr>
      <w:hyperlink w:anchor="_Toc368385674" w:history="1">
        <w:r w:rsidR="001101CB" w:rsidRPr="00504832">
          <w:rPr>
            <w:rStyle w:val="Hyperlink"/>
            <w:rFonts w:cs="Arial"/>
            <w:iCs/>
            <w:noProof/>
            <w:lang w:val="es-ES"/>
          </w:rPr>
          <w:t>Excepción facultativa al derecho de obtentor</w:t>
        </w:r>
        <w:r w:rsidR="001101CB">
          <w:rPr>
            <w:noProof/>
            <w:webHidden/>
          </w:rPr>
          <w:tab/>
        </w:r>
        <w:r w:rsidR="001101CB">
          <w:rPr>
            <w:noProof/>
            <w:webHidden/>
          </w:rPr>
          <w:fldChar w:fldCharType="begin"/>
        </w:r>
        <w:r w:rsidR="001101CB">
          <w:rPr>
            <w:noProof/>
            <w:webHidden/>
          </w:rPr>
          <w:instrText xml:space="preserve"> PAGEREF _Toc368385674 \h </w:instrText>
        </w:r>
        <w:r w:rsidR="001101CB">
          <w:rPr>
            <w:noProof/>
            <w:webHidden/>
          </w:rPr>
        </w:r>
        <w:r w:rsidR="001101CB">
          <w:rPr>
            <w:noProof/>
            <w:webHidden/>
          </w:rPr>
          <w:fldChar w:fldCharType="separate"/>
        </w:r>
        <w:r w:rsidR="00251DDD">
          <w:rPr>
            <w:noProof/>
            <w:webHidden/>
          </w:rPr>
          <w:t>5</w:t>
        </w:r>
        <w:r w:rsidR="001101CB">
          <w:rPr>
            <w:noProof/>
            <w:webHidden/>
          </w:rPr>
          <w:fldChar w:fldCharType="end"/>
        </w:r>
      </w:hyperlink>
    </w:p>
    <w:p w:rsidR="001101CB" w:rsidRDefault="00382410">
      <w:pPr>
        <w:pStyle w:val="TOC2"/>
        <w:rPr>
          <w:rFonts w:asciiTheme="minorHAnsi" w:eastAsiaTheme="minorEastAsia" w:hAnsiTheme="minorHAnsi" w:cstheme="minorBidi"/>
          <w:i w:val="0"/>
          <w:noProof/>
          <w:sz w:val="22"/>
          <w:szCs w:val="22"/>
        </w:rPr>
      </w:pPr>
      <w:hyperlink w:anchor="_Toc368385675" w:history="1">
        <w:r w:rsidR="001101CB" w:rsidRPr="00504832">
          <w:rPr>
            <w:rStyle w:val="Hyperlink"/>
            <w:rFonts w:cs="Arial"/>
            <w:noProof/>
            <w:lang w:val="es-ES"/>
          </w:rPr>
          <w:t>d)</w:t>
        </w:r>
        <w:r w:rsidR="001101CB">
          <w:rPr>
            <w:rFonts w:asciiTheme="minorHAnsi" w:eastAsiaTheme="minorEastAsia" w:hAnsiTheme="minorHAnsi" w:cstheme="minorBidi"/>
            <w:i w:val="0"/>
            <w:noProof/>
            <w:sz w:val="22"/>
            <w:szCs w:val="22"/>
          </w:rPr>
          <w:tab/>
        </w:r>
        <w:r w:rsidR="001101CB" w:rsidRPr="00504832">
          <w:rPr>
            <w:rStyle w:val="Hyperlink"/>
            <w:rFonts w:cs="Arial"/>
            <w:noProof/>
            <w:lang w:val="es-ES"/>
          </w:rPr>
          <w:t>Poder ejercer razonablemente su derecho</w:t>
        </w:r>
        <w:r w:rsidR="001101CB">
          <w:rPr>
            <w:noProof/>
            <w:webHidden/>
          </w:rPr>
          <w:tab/>
        </w:r>
        <w:r w:rsidR="001101CB">
          <w:rPr>
            <w:noProof/>
            <w:webHidden/>
          </w:rPr>
          <w:fldChar w:fldCharType="begin"/>
        </w:r>
        <w:r w:rsidR="001101CB">
          <w:rPr>
            <w:noProof/>
            <w:webHidden/>
          </w:rPr>
          <w:instrText xml:space="preserve"> PAGEREF _Toc368385675 \h </w:instrText>
        </w:r>
        <w:r w:rsidR="001101CB">
          <w:rPr>
            <w:noProof/>
            <w:webHidden/>
          </w:rPr>
        </w:r>
        <w:r w:rsidR="001101CB">
          <w:rPr>
            <w:noProof/>
            <w:webHidden/>
          </w:rPr>
          <w:fldChar w:fldCharType="separate"/>
        </w:r>
        <w:r w:rsidR="00251DDD">
          <w:rPr>
            <w:noProof/>
            <w:webHidden/>
          </w:rPr>
          <w:t>6</w:t>
        </w:r>
        <w:r w:rsidR="001101CB">
          <w:rPr>
            <w:noProof/>
            <w:webHidden/>
          </w:rPr>
          <w:fldChar w:fldCharType="end"/>
        </w:r>
      </w:hyperlink>
    </w:p>
    <w:p w:rsidR="001101CB" w:rsidRPr="00C512C5" w:rsidRDefault="001101CB" w:rsidP="00D2044D">
      <w:pPr>
        <w:spacing w:before="120"/>
        <w:jc w:val="left"/>
        <w:rPr>
          <w:rFonts w:cs="Arial"/>
          <w:lang w:val="es-ES"/>
        </w:rPr>
      </w:pPr>
      <w:r w:rsidRPr="004C17A3">
        <w:rPr>
          <w:rFonts w:cs="Arial"/>
          <w:caps/>
          <w:snapToGrid w:val="0"/>
          <w:sz w:val="18"/>
          <w:szCs w:val="18"/>
        </w:rPr>
        <w:fldChar w:fldCharType="end"/>
      </w:r>
    </w:p>
    <w:p w:rsidR="001101CB" w:rsidRPr="00720BA0" w:rsidRDefault="001101CB" w:rsidP="002D5A30">
      <w:pPr>
        <w:jc w:val="left"/>
        <w:rPr>
          <w:rFonts w:cs="Arial"/>
          <w:lang w:val="es-ES"/>
        </w:rPr>
      </w:pPr>
    </w:p>
    <w:p w:rsidR="001101CB" w:rsidRPr="00720BA0" w:rsidRDefault="001101CB" w:rsidP="001101CB">
      <w:pPr>
        <w:pStyle w:val="Heading1"/>
      </w:pPr>
      <w:r w:rsidRPr="00720BA0">
        <w:br w:type="page"/>
      </w:r>
      <w:bookmarkStart w:id="2" w:name="_Toc270431405"/>
      <w:bookmarkStart w:id="3" w:name="_Toc270431802"/>
      <w:bookmarkStart w:id="4" w:name="_Toc270433581"/>
    </w:p>
    <w:p w:rsidR="001101CB" w:rsidRPr="00720BA0" w:rsidRDefault="001101CB" w:rsidP="002D5A30">
      <w:pPr>
        <w:jc w:val="center"/>
        <w:rPr>
          <w:rFonts w:cs="Arial"/>
          <w:lang w:val="es-ES"/>
        </w:rPr>
      </w:pPr>
      <w:r w:rsidRPr="00720BA0">
        <w:rPr>
          <w:rFonts w:cs="Arial"/>
          <w:lang w:val="es-ES"/>
        </w:rPr>
        <w:lastRenderedPageBreak/>
        <w:t>NOTAS EXPLICATIVAS SOBRE LOS ACTOS RESP</w:t>
      </w:r>
      <w:r>
        <w:rPr>
          <w:rFonts w:cs="Arial"/>
          <w:lang w:val="es-ES"/>
        </w:rPr>
        <w:t>ECTO DEL PRODUCTO DE LA COSECHA</w:t>
      </w:r>
      <w:r>
        <w:rPr>
          <w:rFonts w:cs="Arial"/>
          <w:lang w:val="es-ES"/>
        </w:rPr>
        <w:br/>
      </w:r>
      <w:r w:rsidRPr="00720BA0">
        <w:rPr>
          <w:rFonts w:cs="Arial"/>
          <w:lang w:val="es-ES"/>
        </w:rPr>
        <w:t>CON ARREGLO AL ACTA DE 1991 DEL CONVENIO DE LA UPOV</w:t>
      </w:r>
      <w:bookmarkEnd w:id="2"/>
      <w:bookmarkEnd w:id="3"/>
      <w:bookmarkEnd w:id="4"/>
    </w:p>
    <w:p w:rsidR="001101CB" w:rsidRPr="00720BA0" w:rsidRDefault="001101CB" w:rsidP="002D5A30">
      <w:pPr>
        <w:pStyle w:val="Heading2"/>
        <w:keepNext w:val="0"/>
        <w:jc w:val="center"/>
        <w:rPr>
          <w:rFonts w:cs="Arial"/>
          <w:u w:val="none"/>
          <w:lang w:val="es-ES"/>
        </w:rPr>
      </w:pPr>
      <w:bookmarkStart w:id="5" w:name="_Toc192396032"/>
      <w:bookmarkStart w:id="6" w:name="_Toc251662292"/>
      <w:bookmarkStart w:id="7" w:name="_Toc270431406"/>
      <w:bookmarkStart w:id="8" w:name="_Toc270431803"/>
      <w:bookmarkStart w:id="9" w:name="_Toc270433582"/>
    </w:p>
    <w:p w:rsidR="001101CB" w:rsidRPr="00720BA0" w:rsidRDefault="001101CB" w:rsidP="002D5A30">
      <w:pPr>
        <w:pStyle w:val="Heading2"/>
        <w:keepNext w:val="0"/>
        <w:jc w:val="center"/>
        <w:rPr>
          <w:rFonts w:cs="Arial"/>
          <w:u w:val="none"/>
          <w:lang w:val="es-ES"/>
        </w:rPr>
      </w:pPr>
    </w:p>
    <w:p w:rsidR="001101CB" w:rsidRPr="00382410" w:rsidRDefault="001101CB" w:rsidP="001101CB">
      <w:pPr>
        <w:pStyle w:val="Heading1"/>
        <w:rPr>
          <w:lang w:val="es-ES"/>
        </w:rPr>
      </w:pPr>
      <w:bookmarkStart w:id="10" w:name="_Toc346811143"/>
      <w:bookmarkStart w:id="11" w:name="_Toc368385666"/>
      <w:r w:rsidRPr="00382410">
        <w:rPr>
          <w:lang w:val="es-ES"/>
        </w:rPr>
        <w:t>PREÁMBULO</w:t>
      </w:r>
      <w:bookmarkEnd w:id="5"/>
      <w:bookmarkEnd w:id="6"/>
      <w:bookmarkEnd w:id="7"/>
      <w:bookmarkEnd w:id="8"/>
      <w:bookmarkEnd w:id="9"/>
      <w:bookmarkEnd w:id="10"/>
      <w:bookmarkEnd w:id="11"/>
    </w:p>
    <w:p w:rsidR="001101CB" w:rsidRPr="00382410" w:rsidRDefault="001101CB" w:rsidP="001101CB">
      <w:pPr>
        <w:pStyle w:val="Heading1"/>
        <w:rPr>
          <w:lang w:val="es-ES"/>
        </w:rPr>
      </w:pPr>
    </w:p>
    <w:p w:rsidR="001101CB" w:rsidRPr="00720BA0" w:rsidRDefault="001101CB" w:rsidP="002D5A30">
      <w:pPr>
        <w:jc w:val="center"/>
        <w:rPr>
          <w:rFonts w:cs="Arial"/>
          <w:lang w:val="es-ES"/>
        </w:rPr>
      </w:pPr>
    </w:p>
    <w:p w:rsidR="001101CB" w:rsidRPr="00720BA0" w:rsidRDefault="001101CB" w:rsidP="002D5A30">
      <w:pPr>
        <w:rPr>
          <w:rFonts w:cs="Arial"/>
          <w:lang w:val="es-ES"/>
        </w:rPr>
      </w:pPr>
      <w:r w:rsidRPr="00720BA0">
        <w:rPr>
          <w:rFonts w:cs="Arial"/>
          <w:lang w:val="es-ES"/>
        </w:rPr>
        <w:t>Las presentes notas explicativas tienen por objeto brindar orientación sobre el alcance del derecho de obtentor en lo referente a los actos respecto del producto de la cosecha (Artículo 14.2) del Acta de 1991) con arreglo al Convenio Internacional para la Protección de las Obtenciones Vegetales (Convenio de la UPOV).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rsidR="001101CB" w:rsidRPr="00720BA0" w:rsidRDefault="001101CB" w:rsidP="002D5A30">
      <w:pPr>
        <w:rPr>
          <w:rFonts w:cs="Arial"/>
          <w:lang w:val="es-ES"/>
        </w:rPr>
      </w:pPr>
    </w:p>
    <w:p w:rsidR="001101CB" w:rsidRPr="00720BA0" w:rsidRDefault="001101CB" w:rsidP="002D5A30">
      <w:pPr>
        <w:rPr>
          <w:rFonts w:cs="Arial"/>
          <w:lang w:val="es-ES"/>
        </w:rPr>
      </w:pPr>
    </w:p>
    <w:p w:rsidR="001101CB" w:rsidRPr="00382410" w:rsidRDefault="001101CB" w:rsidP="001101CB">
      <w:pPr>
        <w:pStyle w:val="Heading1"/>
        <w:rPr>
          <w:lang w:val="es-ES"/>
        </w:rPr>
      </w:pPr>
      <w:r w:rsidRPr="00382410">
        <w:rPr>
          <w:lang w:val="es-ES"/>
        </w:rPr>
        <w:br w:type="page"/>
      </w:r>
      <w:bookmarkStart w:id="12" w:name="_Toc270431407"/>
      <w:bookmarkStart w:id="13" w:name="_Toc270431804"/>
      <w:bookmarkStart w:id="14" w:name="_Toc270433583"/>
    </w:p>
    <w:p w:rsidR="001101CB" w:rsidRPr="00382410" w:rsidRDefault="001101CB" w:rsidP="001101CB">
      <w:pPr>
        <w:pStyle w:val="Heading1"/>
        <w:rPr>
          <w:lang w:val="es-ES"/>
        </w:rPr>
      </w:pPr>
      <w:bookmarkStart w:id="15" w:name="_Toc346811144"/>
      <w:bookmarkStart w:id="16" w:name="_Toc368385667"/>
      <w:r w:rsidRPr="00382410">
        <w:rPr>
          <w:lang w:val="es-ES"/>
        </w:rPr>
        <w:lastRenderedPageBreak/>
        <w:t>ACTOS RESPECTO DEL PRODUCTO DE LA COSECHA</w:t>
      </w:r>
      <w:bookmarkEnd w:id="12"/>
      <w:bookmarkEnd w:id="13"/>
      <w:bookmarkEnd w:id="14"/>
      <w:bookmarkEnd w:id="15"/>
      <w:bookmarkEnd w:id="16"/>
    </w:p>
    <w:p w:rsidR="001101CB" w:rsidRPr="00720BA0" w:rsidRDefault="001101CB" w:rsidP="002D5A30">
      <w:pPr>
        <w:jc w:val="center"/>
        <w:rPr>
          <w:rFonts w:cs="Arial"/>
          <w:lang w:val="es-ES"/>
        </w:rPr>
      </w:pPr>
    </w:p>
    <w:p w:rsidR="001101CB" w:rsidRPr="00720BA0" w:rsidRDefault="001101CB" w:rsidP="002D5A30">
      <w:pPr>
        <w:jc w:val="center"/>
        <w:rPr>
          <w:rFonts w:cs="Arial"/>
          <w:lang w:val="es-ES"/>
        </w:rPr>
      </w:pPr>
    </w:p>
    <w:p w:rsidR="001101CB" w:rsidRPr="00720BA0" w:rsidRDefault="001101CB" w:rsidP="002D5A30">
      <w:pPr>
        <w:pStyle w:val="Heading2"/>
        <w:keepNext w:val="0"/>
        <w:rPr>
          <w:rFonts w:cs="Arial"/>
          <w:u w:val="none"/>
          <w:lang w:val="es-ES"/>
        </w:rPr>
      </w:pPr>
      <w:bookmarkStart w:id="17" w:name="_Toc251662294"/>
      <w:bookmarkStart w:id="18" w:name="_Toc270431408"/>
      <w:bookmarkStart w:id="19" w:name="_Toc270431805"/>
      <w:bookmarkStart w:id="20" w:name="_Toc270433584"/>
      <w:bookmarkStart w:id="21" w:name="_Toc346811145"/>
      <w:bookmarkStart w:id="22" w:name="_Toc368385668"/>
      <w:r w:rsidRPr="00720BA0">
        <w:rPr>
          <w:rFonts w:cs="Arial"/>
          <w:u w:val="none"/>
          <w:lang w:val="es-ES"/>
        </w:rPr>
        <w:t>a)</w:t>
      </w:r>
      <w:r w:rsidRPr="00720BA0">
        <w:rPr>
          <w:rFonts w:cs="Arial"/>
          <w:u w:val="none"/>
          <w:lang w:val="es-ES"/>
        </w:rPr>
        <w:tab/>
      </w:r>
      <w:bookmarkEnd w:id="17"/>
      <w:r w:rsidRPr="00720BA0">
        <w:rPr>
          <w:rFonts w:cs="Arial"/>
          <w:lang w:val="es-ES"/>
        </w:rPr>
        <w:t>Artículo pertinente</w:t>
      </w:r>
      <w:bookmarkEnd w:id="18"/>
      <w:bookmarkEnd w:id="19"/>
      <w:bookmarkEnd w:id="20"/>
      <w:bookmarkEnd w:id="21"/>
      <w:bookmarkEnd w:id="22"/>
    </w:p>
    <w:p w:rsidR="001101CB" w:rsidRPr="00720BA0" w:rsidRDefault="001101CB" w:rsidP="002D5A30">
      <w:pPr>
        <w:rPr>
          <w:rFonts w:cs="Arial"/>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jc w:val="center"/>
        <w:rPr>
          <w:rFonts w:cs="Arial"/>
          <w:b/>
          <w:bCs/>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jc w:val="center"/>
        <w:rPr>
          <w:rFonts w:cs="Arial"/>
          <w:sz w:val="18"/>
          <w:szCs w:val="18"/>
          <w:lang w:val="es-ES"/>
        </w:rPr>
      </w:pPr>
      <w:r w:rsidRPr="00720BA0">
        <w:rPr>
          <w:rFonts w:cs="Arial"/>
          <w:b/>
          <w:bCs/>
          <w:sz w:val="18"/>
          <w:szCs w:val="18"/>
          <w:lang w:val="es-ES"/>
        </w:rPr>
        <w:t xml:space="preserve">Artículo 14 </w:t>
      </w:r>
      <w:r w:rsidRPr="00720BA0">
        <w:rPr>
          <w:rFonts w:cs="Arial"/>
          <w:sz w:val="18"/>
          <w:szCs w:val="18"/>
          <w:lang w:val="es-ES"/>
        </w:rPr>
        <w:t xml:space="preserve">del </w:t>
      </w:r>
      <w:r w:rsidRPr="00720BA0">
        <w:rPr>
          <w:rFonts w:cs="Arial"/>
          <w:b/>
          <w:sz w:val="18"/>
          <w:szCs w:val="18"/>
          <w:lang w:val="es-ES"/>
        </w:rPr>
        <w:t>Acta de 1991</w:t>
      </w:r>
      <w:r w:rsidRPr="00720BA0">
        <w:rPr>
          <w:rFonts w:cs="Arial"/>
          <w:b/>
          <w:bCs/>
          <w:sz w:val="18"/>
          <w:szCs w:val="18"/>
          <w:lang w:val="es-ES"/>
        </w:rPr>
        <w:t xml:space="preserve"> </w:t>
      </w:r>
      <w:r w:rsidRPr="00720BA0">
        <w:rPr>
          <w:rFonts w:cs="Arial"/>
          <w:sz w:val="18"/>
          <w:szCs w:val="18"/>
          <w:lang w:val="es-ES"/>
        </w:rPr>
        <w:t>del Convenio de la UPOV</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jc w:val="center"/>
        <w:rPr>
          <w:rFonts w:cs="Arial"/>
          <w:b/>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firstLine="567"/>
        <w:rPr>
          <w:rFonts w:cs="Arial"/>
          <w:bCs/>
          <w:sz w:val="18"/>
          <w:szCs w:val="18"/>
          <w:lang w:val="es-ES"/>
        </w:rPr>
      </w:pPr>
      <w:r w:rsidRPr="00720BA0">
        <w:rPr>
          <w:rFonts w:cs="Arial"/>
          <w:bCs/>
          <w:sz w:val="18"/>
          <w:szCs w:val="18"/>
          <w:lang w:val="es-ES"/>
        </w:rPr>
        <w:t>1)</w:t>
      </w:r>
      <w:r w:rsidRPr="00720BA0">
        <w:rPr>
          <w:rFonts w:cs="Arial"/>
          <w:bCs/>
          <w:sz w:val="18"/>
          <w:szCs w:val="18"/>
          <w:lang w:val="es-ES"/>
        </w:rPr>
        <w:tab/>
        <w:t>[</w:t>
      </w:r>
      <w:r w:rsidRPr="00720BA0">
        <w:rPr>
          <w:rFonts w:cs="Arial"/>
          <w:sz w:val="18"/>
          <w:szCs w:val="18"/>
          <w:lang w:val="es-ES"/>
        </w:rPr>
        <w:t>Actos respecto del material de reproducción o de multiplicación]  a)  A reserva de lo dispuesto en los Artículos 15 y 16, se requerirá la autorización del obtentor para los actos siguientes realizados respecto de material de reproducción o de multiplicación de la variedad protegida</w:t>
      </w:r>
      <w:r w:rsidRPr="00720BA0">
        <w:rPr>
          <w:rFonts w:cs="Arial"/>
          <w:bCs/>
          <w:sz w:val="18"/>
          <w:szCs w:val="18"/>
          <w:lang w:val="es-ES"/>
        </w:rPr>
        <w:t>:</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i)</w:t>
      </w:r>
      <w:r w:rsidRPr="00720BA0">
        <w:rPr>
          <w:rFonts w:cs="Arial"/>
          <w:bCs/>
          <w:sz w:val="18"/>
          <w:szCs w:val="18"/>
          <w:lang w:val="es-ES"/>
        </w:rPr>
        <w:tab/>
        <w:t>la producción o la reproducción (multiplicación),</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ii)</w:t>
      </w:r>
      <w:r w:rsidRPr="00720BA0">
        <w:rPr>
          <w:rFonts w:cs="Arial"/>
          <w:bCs/>
          <w:sz w:val="18"/>
          <w:szCs w:val="18"/>
          <w:lang w:val="es-ES"/>
        </w:rPr>
        <w:tab/>
        <w:t>la preparación a los fines de la reproducción o de la multiplicación,</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iii)</w:t>
      </w:r>
      <w:r w:rsidRPr="00720BA0">
        <w:rPr>
          <w:rFonts w:cs="Arial"/>
          <w:bCs/>
          <w:sz w:val="18"/>
          <w:szCs w:val="18"/>
          <w:lang w:val="es-ES"/>
        </w:rPr>
        <w:tab/>
        <w:t>la oferta en venta,</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iv)</w:t>
      </w:r>
      <w:r w:rsidRPr="00720BA0">
        <w:rPr>
          <w:rFonts w:cs="Arial"/>
          <w:bCs/>
          <w:sz w:val="18"/>
          <w:szCs w:val="18"/>
          <w:lang w:val="es-ES"/>
        </w:rPr>
        <w:tab/>
        <w:t>la venta o cualquier otra forma de comercialización,</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v)</w:t>
      </w:r>
      <w:r w:rsidRPr="00720BA0">
        <w:rPr>
          <w:rFonts w:cs="Arial"/>
          <w:bCs/>
          <w:sz w:val="18"/>
          <w:szCs w:val="18"/>
          <w:lang w:val="es-ES"/>
        </w:rPr>
        <w:tab/>
        <w:t>la exportación,</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vi)</w:t>
      </w:r>
      <w:r w:rsidRPr="00720BA0">
        <w:rPr>
          <w:rFonts w:cs="Arial"/>
          <w:bCs/>
          <w:sz w:val="18"/>
          <w:szCs w:val="18"/>
          <w:lang w:val="es-ES"/>
        </w:rPr>
        <w:tab/>
        <w:t>la importación,</w:t>
      </w:r>
    </w:p>
    <w:p w:rsidR="001101CB" w:rsidRPr="00720BA0" w:rsidRDefault="001101CB" w:rsidP="002D5A30">
      <w:pPr>
        <w:pBdr>
          <w:top w:val="single" w:sz="4" w:space="0" w:color="auto"/>
          <w:left w:val="single" w:sz="4" w:space="4" w:color="auto"/>
          <w:bottom w:val="single" w:sz="4" w:space="1" w:color="auto"/>
          <w:right w:val="single" w:sz="4" w:space="4" w:color="auto"/>
        </w:pBdr>
        <w:tabs>
          <w:tab w:val="decimal" w:pos="1418"/>
          <w:tab w:val="left" w:pos="1701"/>
        </w:tabs>
        <w:ind w:left="567" w:right="571"/>
        <w:rPr>
          <w:rFonts w:cs="Arial"/>
          <w:bCs/>
          <w:sz w:val="18"/>
          <w:szCs w:val="18"/>
          <w:lang w:val="es-ES"/>
        </w:rPr>
      </w:pPr>
      <w:r w:rsidRPr="00720BA0">
        <w:rPr>
          <w:rFonts w:cs="Arial"/>
          <w:bCs/>
          <w:sz w:val="18"/>
          <w:szCs w:val="18"/>
          <w:lang w:val="es-ES"/>
        </w:rPr>
        <w:tab/>
        <w:t>vii)</w:t>
      </w:r>
      <w:r w:rsidRPr="00720BA0">
        <w:rPr>
          <w:rFonts w:cs="Arial"/>
          <w:bCs/>
          <w:sz w:val="18"/>
          <w:szCs w:val="18"/>
          <w:lang w:val="es-ES"/>
        </w:rPr>
        <w:tab/>
        <w:t xml:space="preserve">la posesión para cualquiera de los fines mencionados en los puntos i) a vi), </w:t>
      </w:r>
      <w:r w:rsidRPr="00720BA0">
        <w:rPr>
          <w:rFonts w:cs="Arial"/>
          <w:bCs/>
          <w:i/>
          <w:sz w:val="18"/>
          <w:szCs w:val="18"/>
          <w:lang w:val="es-ES"/>
        </w:rPr>
        <w:t>supra</w:t>
      </w:r>
      <w:r w:rsidRPr="00720BA0">
        <w:rPr>
          <w:rFonts w:cs="Arial"/>
          <w:bCs/>
          <w:sz w:val="18"/>
          <w:szCs w:val="18"/>
          <w:lang w:val="es-ES"/>
        </w:rPr>
        <w:t>.</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firstLine="567"/>
        <w:rPr>
          <w:rFonts w:cs="Arial"/>
          <w:bCs/>
          <w:sz w:val="18"/>
          <w:szCs w:val="18"/>
          <w:lang w:val="es-ES"/>
        </w:rPr>
      </w:pPr>
      <w:r w:rsidRPr="00720BA0">
        <w:rPr>
          <w:rFonts w:cs="Arial"/>
          <w:bCs/>
          <w:sz w:val="18"/>
          <w:szCs w:val="18"/>
          <w:lang w:val="es-ES"/>
        </w:rPr>
        <w:t>b)  El obtentor podrá subordinar su autorización a condiciones y a limitaciones.</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r w:rsidRPr="00720BA0">
        <w:rPr>
          <w:rFonts w:cs="Arial"/>
          <w:bCs/>
          <w:sz w:val="18"/>
          <w:szCs w:val="18"/>
          <w:lang w:val="es-ES"/>
        </w:rPr>
        <w:tab/>
        <w:t>2)</w:t>
      </w:r>
      <w:r w:rsidRPr="00720BA0">
        <w:rPr>
          <w:rFonts w:cs="Arial"/>
          <w:bCs/>
          <w:sz w:val="18"/>
          <w:szCs w:val="18"/>
          <w:lang w:val="es-ES"/>
        </w:rPr>
        <w:tab/>
      </w:r>
      <w:r w:rsidRPr="00720BA0">
        <w:rPr>
          <w:rFonts w:cs="Arial"/>
          <w:sz w:val="18"/>
          <w:szCs w:val="18"/>
          <w:lang w:val="es-ES"/>
        </w:rPr>
        <w:t>[Actos respecto del producto de la cosecha]  A reserva de lo dispuesto en los Artículos 15 y 16, se requerirá la autorización del obtentor para los actos mencionados en los puntos i) a vii) del párrafo 1)</w:t>
      </w:r>
      <w:r w:rsidRPr="00720BA0">
        <w:rPr>
          <w:rFonts w:cs="Arial"/>
          <w:i/>
          <w:sz w:val="18"/>
          <w:szCs w:val="18"/>
          <w:lang w:val="es-ES"/>
        </w:rPr>
        <w:t>a)</w:t>
      </w:r>
      <w:r w:rsidRPr="00720BA0">
        <w:rPr>
          <w:rFonts w:cs="Arial"/>
          <w:sz w:val="18"/>
          <w:szCs w:val="18"/>
          <w:lang w:val="es-ES"/>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r w:rsidRPr="00720BA0">
        <w:rPr>
          <w:rFonts w:cs="Arial"/>
          <w:bCs/>
          <w:sz w:val="18"/>
          <w:szCs w:val="18"/>
          <w:lang w:val="es-ES"/>
        </w:rPr>
        <w:t>.</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r w:rsidRPr="00720BA0">
        <w:rPr>
          <w:rFonts w:cs="Arial"/>
          <w:bCs/>
          <w:sz w:val="18"/>
          <w:szCs w:val="18"/>
          <w:lang w:val="es-ES"/>
        </w:rPr>
        <w:t>[…]</w:t>
      </w:r>
    </w:p>
    <w:p w:rsidR="001101CB" w:rsidRPr="00720BA0" w:rsidRDefault="001101CB" w:rsidP="002D5A30">
      <w:pPr>
        <w:pBdr>
          <w:top w:val="single" w:sz="4" w:space="0" w:color="auto"/>
          <w:left w:val="single" w:sz="4" w:space="4" w:color="auto"/>
          <w:bottom w:val="single" w:sz="4" w:space="1" w:color="auto"/>
          <w:right w:val="single" w:sz="4" w:space="4" w:color="auto"/>
        </w:pBdr>
        <w:ind w:left="567" w:right="571"/>
        <w:rPr>
          <w:rFonts w:cs="Arial"/>
          <w:bCs/>
          <w:sz w:val="18"/>
          <w:szCs w:val="18"/>
          <w:lang w:val="es-ES"/>
        </w:rPr>
      </w:pPr>
    </w:p>
    <w:p w:rsidR="001101CB" w:rsidRPr="00720BA0" w:rsidRDefault="001101CB" w:rsidP="002D5A30">
      <w:pPr>
        <w:rPr>
          <w:rFonts w:cs="Arial"/>
          <w:lang w:val="es-ES"/>
        </w:rPr>
      </w:pPr>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El Artículo 14.2) del Acta de 1991 prevé que, para que el derecho de obtentor se extienda a los actos respecto del producto de la cosecha, el producto de la cosecha debe haber sido obtenido por </w:t>
      </w:r>
      <w:r w:rsidRPr="00720BA0">
        <w:rPr>
          <w:rFonts w:cs="Arial"/>
          <w:b/>
          <w:lang w:val="es-ES"/>
        </w:rPr>
        <w:t>utilización no autorizada</w:t>
      </w:r>
      <w:r w:rsidRPr="00720BA0">
        <w:rPr>
          <w:rFonts w:cs="Arial"/>
          <w:lang w:val="es-ES"/>
        </w:rPr>
        <w:t xml:space="preserve"> de material de reproducción o de multiplicación </w:t>
      </w:r>
      <w:r w:rsidRPr="00720BA0">
        <w:rPr>
          <w:rFonts w:cs="Arial"/>
          <w:b/>
          <w:u w:val="single"/>
          <w:lang w:val="es-ES"/>
        </w:rPr>
        <w:t>y</w:t>
      </w:r>
      <w:r w:rsidRPr="00720BA0">
        <w:rPr>
          <w:rFonts w:cs="Arial"/>
          <w:lang w:val="es-ES"/>
        </w:rPr>
        <w:t xml:space="preserve"> el obtentor no debe haber podido ejercer </w:t>
      </w:r>
      <w:r w:rsidRPr="00720BA0">
        <w:rPr>
          <w:rFonts w:cs="Arial"/>
          <w:b/>
          <w:lang w:val="es-ES"/>
        </w:rPr>
        <w:t>razonablemente</w:t>
      </w:r>
      <w:r w:rsidRPr="00720BA0">
        <w:rPr>
          <w:rFonts w:cs="Arial"/>
          <w:lang w:val="es-ES"/>
        </w:rPr>
        <w:t xml:space="preserve"> su derecho en relación con dicho material de reproducción o de multiplicación.  Los siguientes párrafos ofrecen orientaci</w:t>
      </w:r>
      <w:r>
        <w:rPr>
          <w:rFonts w:cs="Arial"/>
          <w:lang w:val="es-ES"/>
        </w:rPr>
        <w:t>ón</w:t>
      </w:r>
      <w:r w:rsidRPr="00720BA0">
        <w:rPr>
          <w:rFonts w:cs="Arial"/>
          <w:lang w:val="es-ES"/>
        </w:rPr>
        <w:t xml:space="preserve"> en relación con las expresiones “utilización no autorizada” y “podido ejercer razonablemente”.</w:t>
      </w:r>
    </w:p>
    <w:p w:rsidR="001101CB" w:rsidRDefault="001101CB" w:rsidP="002D5A30">
      <w:pPr>
        <w:rPr>
          <w:rFonts w:cs="Arial"/>
          <w:lang w:val="es-ES"/>
        </w:rPr>
      </w:pPr>
    </w:p>
    <w:p w:rsidR="001101CB" w:rsidRPr="00720BA0" w:rsidRDefault="001101CB" w:rsidP="002D5A30">
      <w:pPr>
        <w:rPr>
          <w:rFonts w:cs="Arial"/>
          <w:lang w:val="es-ES"/>
        </w:rPr>
      </w:pPr>
    </w:p>
    <w:p w:rsidR="001101CB" w:rsidRPr="00720BA0" w:rsidRDefault="001101CB" w:rsidP="002D5A30">
      <w:pPr>
        <w:pStyle w:val="Heading2"/>
        <w:keepNext w:val="0"/>
        <w:rPr>
          <w:rFonts w:cs="Arial"/>
          <w:u w:val="none"/>
          <w:lang w:val="es-ES"/>
        </w:rPr>
      </w:pPr>
      <w:bookmarkStart w:id="23" w:name="_Toc270431409"/>
      <w:bookmarkStart w:id="24" w:name="_Toc270431806"/>
      <w:bookmarkStart w:id="25" w:name="_Toc270432216"/>
      <w:bookmarkStart w:id="26" w:name="_Toc270433585"/>
      <w:bookmarkStart w:id="27" w:name="_Toc346811146"/>
      <w:bookmarkStart w:id="28" w:name="_Toc368385669"/>
      <w:r w:rsidRPr="00720BA0">
        <w:rPr>
          <w:rFonts w:cs="Arial"/>
          <w:u w:val="none"/>
          <w:lang w:val="es-ES"/>
        </w:rPr>
        <w:t>b)</w:t>
      </w:r>
      <w:r w:rsidRPr="00720BA0">
        <w:rPr>
          <w:rFonts w:cs="Arial"/>
          <w:u w:val="none"/>
          <w:lang w:val="es-ES"/>
        </w:rPr>
        <w:tab/>
      </w:r>
      <w:r w:rsidRPr="00720BA0">
        <w:rPr>
          <w:rFonts w:cs="Arial"/>
          <w:lang w:val="es-ES"/>
        </w:rPr>
        <w:t>Producto de la cosecha</w:t>
      </w:r>
      <w:bookmarkEnd w:id="23"/>
      <w:bookmarkEnd w:id="24"/>
      <w:bookmarkEnd w:id="25"/>
      <w:bookmarkEnd w:id="26"/>
      <w:bookmarkEnd w:id="27"/>
      <w:bookmarkEnd w:id="28"/>
    </w:p>
    <w:p w:rsidR="001101CB" w:rsidRPr="00720BA0" w:rsidRDefault="001101CB" w:rsidP="002D5A30">
      <w:pPr>
        <w:rPr>
          <w:rFonts w:cs="Arial"/>
          <w:lang w:val="es-ES"/>
        </w:rPr>
      </w:pPr>
    </w:p>
    <w:p w:rsidR="001101CB" w:rsidRPr="00720BA0" w:rsidRDefault="001101CB" w:rsidP="002D5A30">
      <w:pPr>
        <w:rPr>
          <w:rFonts w:cs="Arial"/>
          <w:u w:val="single"/>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El Convenio de la UPOV no establece una definición de producto de la cosecha.  Sin embargo, en el Artículo 14.2) del Acta de 1991 se hace referencia a “[…] producto de la cosecha, </w:t>
      </w:r>
      <w:r w:rsidRPr="00720BA0">
        <w:rPr>
          <w:rFonts w:cs="Arial"/>
          <w:i/>
          <w:lang w:val="es-ES"/>
        </w:rPr>
        <w:t>incluidas plantas enteras y partes de plant</w:t>
      </w:r>
      <w:r w:rsidRPr="00720BA0">
        <w:rPr>
          <w:rFonts w:cs="Arial"/>
          <w:lang w:val="es-ES"/>
        </w:rPr>
        <w:t>as, obtenido por utilización no autorizada de material de reproducción o de multiplicación de la variedad protegida […]”, y con ello se indica que el producto de la cosecha incluye las plantas enteras y las partes de plantas obtenidas por utilización de material de reproducción o de multiplicación.</w:t>
      </w:r>
    </w:p>
    <w:p w:rsidR="001101CB" w:rsidRPr="00720BA0" w:rsidRDefault="001101CB" w:rsidP="002D5A30">
      <w:pPr>
        <w:rPr>
          <w:rFonts w:cs="Arial"/>
          <w:highlight w:val="lightGray"/>
          <w:u w:val="single"/>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La precisión de que el producto de la cosecha incluye las plantas enteras y las partes de plantas, que es un material que </w:t>
      </w:r>
      <w:r w:rsidR="00382410">
        <w:rPr>
          <w:rFonts w:cs="Arial"/>
          <w:lang w:val="es-ES"/>
        </w:rPr>
        <w:t>potencialmente pueda</w:t>
      </w:r>
      <w:r w:rsidRPr="00720BA0">
        <w:rPr>
          <w:rFonts w:cs="Arial"/>
          <w:lang w:val="es-ES"/>
        </w:rPr>
        <w:t xml:space="preserve"> utiliza</w:t>
      </w:r>
      <w:bookmarkStart w:id="29" w:name="_GoBack"/>
      <w:bookmarkEnd w:id="29"/>
      <w:r w:rsidRPr="00720BA0">
        <w:rPr>
          <w:rFonts w:cs="Arial"/>
          <w:lang w:val="es-ES"/>
        </w:rPr>
        <w:t>rse a los fines de reproducción o de multiplicación, indica que, como mínimo algunas formas de</w:t>
      </w:r>
      <w:r>
        <w:rPr>
          <w:rFonts w:cs="Arial"/>
          <w:lang w:val="es-ES"/>
        </w:rPr>
        <w:t>l</w:t>
      </w:r>
      <w:r w:rsidRPr="00720BA0">
        <w:rPr>
          <w:rFonts w:cs="Arial"/>
          <w:lang w:val="es-ES"/>
        </w:rPr>
        <w:t xml:space="preserve"> producto de la cosecha pueden utilizarse como material de reproducción o de multiplicación.</w:t>
      </w:r>
    </w:p>
    <w:p w:rsidR="001101CB" w:rsidRDefault="001101CB" w:rsidP="002D5A30">
      <w:pPr>
        <w:rPr>
          <w:rFonts w:cs="Arial"/>
          <w:lang w:val="es-ES"/>
        </w:rPr>
      </w:pPr>
    </w:p>
    <w:p w:rsidR="001101CB" w:rsidRPr="00720BA0" w:rsidRDefault="001101CB" w:rsidP="002D5A30">
      <w:pPr>
        <w:rPr>
          <w:rFonts w:cs="Arial"/>
          <w:lang w:val="es-ES"/>
        </w:rPr>
      </w:pPr>
    </w:p>
    <w:p w:rsidR="001101CB" w:rsidRPr="00720BA0" w:rsidRDefault="001101CB" w:rsidP="002D5A30">
      <w:pPr>
        <w:pStyle w:val="Heading2"/>
        <w:rPr>
          <w:rFonts w:cs="Arial"/>
          <w:lang w:val="es-ES"/>
        </w:rPr>
      </w:pPr>
      <w:bookmarkStart w:id="30" w:name="_Toc270431410"/>
      <w:bookmarkStart w:id="31" w:name="_Toc270431807"/>
      <w:bookmarkStart w:id="32" w:name="_Toc270433586"/>
      <w:bookmarkStart w:id="33" w:name="_Toc346811147"/>
      <w:bookmarkStart w:id="34" w:name="_Toc368385670"/>
      <w:r w:rsidRPr="00720BA0">
        <w:rPr>
          <w:rFonts w:cs="Arial"/>
          <w:u w:val="none"/>
          <w:lang w:val="es-ES"/>
        </w:rPr>
        <w:t>c)</w:t>
      </w:r>
      <w:r w:rsidRPr="00720BA0">
        <w:rPr>
          <w:rFonts w:cs="Arial"/>
          <w:u w:val="none"/>
          <w:lang w:val="es-ES"/>
        </w:rPr>
        <w:tab/>
      </w:r>
      <w:r w:rsidRPr="00720BA0">
        <w:rPr>
          <w:rFonts w:cs="Arial"/>
          <w:lang w:val="es-ES"/>
        </w:rPr>
        <w:t>Utilización no autorizada de material de reproducción o de multiplicación</w:t>
      </w:r>
      <w:bookmarkEnd w:id="30"/>
      <w:bookmarkEnd w:id="31"/>
      <w:bookmarkEnd w:id="32"/>
      <w:bookmarkEnd w:id="33"/>
      <w:bookmarkEnd w:id="34"/>
    </w:p>
    <w:p w:rsidR="001101CB" w:rsidRPr="00720BA0" w:rsidRDefault="001101CB" w:rsidP="002D5A30">
      <w:pPr>
        <w:keepNext/>
        <w:rPr>
          <w:rFonts w:cs="Arial"/>
          <w:lang w:val="es-ES"/>
        </w:rPr>
      </w:pPr>
    </w:p>
    <w:p w:rsidR="001101CB" w:rsidRPr="00720BA0" w:rsidRDefault="001101CB" w:rsidP="002D5A30">
      <w:pPr>
        <w:pStyle w:val="Heading3"/>
        <w:rPr>
          <w:rFonts w:cs="Arial"/>
          <w:i w:val="0"/>
          <w:iCs/>
          <w:lang w:val="es-ES"/>
        </w:rPr>
      </w:pPr>
      <w:bookmarkStart w:id="35" w:name="_Toc346811148"/>
      <w:bookmarkStart w:id="36" w:name="_Toc368385671"/>
      <w:r w:rsidRPr="00720BA0">
        <w:rPr>
          <w:rFonts w:cs="Arial"/>
          <w:iCs/>
          <w:lang w:val="es-ES"/>
        </w:rPr>
        <w:t>Actos respecto del material de reproducción o multiplicación</w:t>
      </w:r>
      <w:bookmarkEnd w:id="35"/>
      <w:bookmarkEnd w:id="36"/>
    </w:p>
    <w:p w:rsidR="001101CB" w:rsidRPr="00720BA0" w:rsidRDefault="001101CB" w:rsidP="002D5A30">
      <w:pPr>
        <w:keepNext/>
        <w:rPr>
          <w:rFonts w:cs="Arial"/>
          <w:lang w:val="es-ES"/>
        </w:rPr>
      </w:pPr>
    </w:p>
    <w:p w:rsidR="001101CB" w:rsidRPr="00720BA0" w:rsidRDefault="001101CB" w:rsidP="002D5A30">
      <w:pPr>
        <w:tabs>
          <w:tab w:val="left" w:pos="567"/>
          <w:tab w:val="left" w:pos="1134"/>
        </w:tabs>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“Utilización no autorizada” se refiere a los actos respecto de material de reproducción o de multiplicación para los que se requiere la autorización del titular del derecho de obtentor en el territorio en cuestión (Artículo 14.1) del Acta de 1991), pero </w:t>
      </w:r>
      <w:r>
        <w:rPr>
          <w:rFonts w:cs="Arial"/>
          <w:lang w:val="es-ES"/>
        </w:rPr>
        <w:t xml:space="preserve">donde </w:t>
      </w:r>
      <w:r w:rsidRPr="00720BA0">
        <w:rPr>
          <w:rFonts w:cs="Arial"/>
          <w:lang w:val="es-ES"/>
        </w:rPr>
        <w:t>dicha autorización no se obtuvo.  En consecuencia, los actos no autorizados sólo pueden ocurrir en el territorio del miembro de la Unión en el que se ha concedido y está en vigor un derecho de obtentor.</w:t>
      </w:r>
    </w:p>
    <w:p w:rsidR="001101CB" w:rsidRPr="00720BA0" w:rsidRDefault="001101CB" w:rsidP="002D5A30">
      <w:pPr>
        <w:tabs>
          <w:tab w:val="left" w:pos="567"/>
          <w:tab w:val="left" w:pos="1134"/>
        </w:tabs>
        <w:rPr>
          <w:rFonts w:cs="Arial"/>
          <w:lang w:val="es-ES"/>
        </w:rPr>
      </w:pPr>
    </w:p>
    <w:p w:rsidR="001101CB" w:rsidRPr="00720BA0" w:rsidRDefault="001101CB" w:rsidP="002D5A30">
      <w:pPr>
        <w:tabs>
          <w:tab w:val="left" w:pos="567"/>
          <w:tab w:val="left" w:pos="1134"/>
        </w:tabs>
        <w:rPr>
          <w:rFonts w:cs="Arial"/>
          <w:lang w:val="es-ES"/>
        </w:rPr>
      </w:pPr>
      <w:r w:rsidRPr="00720BA0">
        <w:rPr>
          <w:rFonts w:cs="Arial"/>
          <w:lang w:val="es-ES"/>
        </w:rPr>
        <w:lastRenderedPageBreak/>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Con respecto a la “utilización no autorizada”, el Artículo 14.1)a) del Acta de 1991 del Convenio de la UPOV establece que “</w:t>
      </w:r>
      <w:r>
        <w:rPr>
          <w:rFonts w:cs="Arial"/>
          <w:lang w:val="es-ES"/>
        </w:rPr>
        <w:t>[a]</w:t>
      </w:r>
      <w:r w:rsidRPr="00720BA0">
        <w:rPr>
          <w:rFonts w:cs="Arial"/>
          <w:lang w:val="es-ES"/>
        </w:rPr>
        <w:t xml:space="preserve"> reserva de lo dispuesto en los Artículos 15</w:t>
      </w:r>
      <w:r>
        <w:rPr>
          <w:rFonts w:cs="Arial"/>
          <w:lang w:val="es-ES"/>
        </w:rPr>
        <w:t xml:space="preserve"> [Excepciones al derecho de obtentor] y </w:t>
      </w:r>
      <w:r w:rsidRPr="00720BA0">
        <w:rPr>
          <w:rFonts w:cs="Arial"/>
          <w:lang w:val="es-ES"/>
        </w:rPr>
        <w:t>16</w:t>
      </w:r>
      <w:r>
        <w:rPr>
          <w:rFonts w:cs="Arial"/>
          <w:lang w:val="es-ES"/>
        </w:rPr>
        <w:t xml:space="preserve"> [Agotamiento del derecho de obtentor]</w:t>
      </w:r>
      <w:r w:rsidRPr="00720BA0">
        <w:rPr>
          <w:rFonts w:cs="Arial"/>
          <w:lang w:val="es-ES"/>
        </w:rPr>
        <w:t>, se requerirá la autorización del obtentor para los actos siguientes realizados respecto de material de reproducción o de multiplicación de la variedad protegida:</w:t>
      </w:r>
    </w:p>
    <w:p w:rsidR="001101CB" w:rsidRPr="00720BA0" w:rsidRDefault="001101CB" w:rsidP="002D5A30">
      <w:pPr>
        <w:tabs>
          <w:tab w:val="left" w:pos="567"/>
          <w:tab w:val="left" w:pos="1134"/>
        </w:tabs>
        <w:rPr>
          <w:rFonts w:cs="Arial"/>
          <w:lang w:val="es-ES"/>
        </w:rPr>
      </w:pPr>
    </w:p>
    <w:p w:rsidR="001101CB" w:rsidRPr="00720BA0" w:rsidRDefault="001101CB" w:rsidP="002D5A30">
      <w:pPr>
        <w:tabs>
          <w:tab w:val="decimal" w:pos="567"/>
          <w:tab w:val="left" w:pos="1134"/>
        </w:tabs>
        <w:rPr>
          <w:rFonts w:cs="Arial"/>
          <w:lang w:val="es-ES"/>
        </w:rPr>
      </w:pPr>
      <w:r w:rsidRPr="00720BA0">
        <w:rPr>
          <w:rFonts w:cs="Arial"/>
          <w:lang w:val="es-ES"/>
        </w:rPr>
        <w:tab/>
        <w:t>i)</w:t>
      </w:r>
      <w:r w:rsidRPr="00720BA0">
        <w:rPr>
          <w:rFonts w:cs="Arial"/>
          <w:lang w:val="es-ES"/>
        </w:rPr>
        <w:tab/>
        <w:t>la producción o la reproducción (multiplicación),</w:t>
      </w:r>
    </w:p>
    <w:p w:rsidR="001101CB" w:rsidRPr="00720BA0" w:rsidRDefault="001101CB" w:rsidP="002D5A30">
      <w:pPr>
        <w:tabs>
          <w:tab w:val="decimal" w:pos="567"/>
          <w:tab w:val="left" w:pos="1134"/>
        </w:tabs>
        <w:rPr>
          <w:rFonts w:cs="Arial"/>
          <w:lang w:val="es-ES"/>
        </w:rPr>
      </w:pPr>
      <w:r w:rsidRPr="00720BA0">
        <w:rPr>
          <w:rFonts w:cs="Arial"/>
          <w:lang w:val="es-ES"/>
        </w:rPr>
        <w:tab/>
        <w:t>ii)</w:t>
      </w:r>
      <w:r w:rsidRPr="00720BA0">
        <w:rPr>
          <w:rFonts w:cs="Arial"/>
          <w:lang w:val="es-ES"/>
        </w:rPr>
        <w:tab/>
        <w:t>la preparación a los fines de la reproducción o de la multiplicación,</w:t>
      </w:r>
    </w:p>
    <w:p w:rsidR="001101CB" w:rsidRPr="00720BA0" w:rsidRDefault="001101CB" w:rsidP="002D5A30">
      <w:pPr>
        <w:tabs>
          <w:tab w:val="decimal" w:pos="567"/>
          <w:tab w:val="left" w:pos="1134"/>
        </w:tabs>
        <w:rPr>
          <w:rFonts w:cs="Arial"/>
          <w:lang w:val="es-ES"/>
        </w:rPr>
      </w:pPr>
      <w:r w:rsidRPr="00720BA0">
        <w:rPr>
          <w:rFonts w:cs="Arial"/>
          <w:lang w:val="es-ES"/>
        </w:rPr>
        <w:tab/>
        <w:t>iii)</w:t>
      </w:r>
      <w:r w:rsidRPr="00720BA0">
        <w:rPr>
          <w:rFonts w:cs="Arial"/>
          <w:lang w:val="es-ES"/>
        </w:rPr>
        <w:tab/>
        <w:t>la oferta en venta,</w:t>
      </w:r>
    </w:p>
    <w:p w:rsidR="001101CB" w:rsidRPr="00720BA0" w:rsidRDefault="001101CB" w:rsidP="002D5A30">
      <w:pPr>
        <w:tabs>
          <w:tab w:val="decimal" w:pos="567"/>
          <w:tab w:val="left" w:pos="1134"/>
        </w:tabs>
        <w:rPr>
          <w:rFonts w:cs="Arial"/>
          <w:lang w:val="es-ES"/>
        </w:rPr>
      </w:pPr>
      <w:r w:rsidRPr="00720BA0">
        <w:rPr>
          <w:rFonts w:cs="Arial"/>
          <w:lang w:val="es-ES"/>
        </w:rPr>
        <w:tab/>
        <w:t>iv)</w:t>
      </w:r>
      <w:r w:rsidRPr="00720BA0">
        <w:rPr>
          <w:rFonts w:cs="Arial"/>
          <w:lang w:val="es-ES"/>
        </w:rPr>
        <w:tab/>
        <w:t>la venta o cualquier otra forma de comercialización,</w:t>
      </w:r>
    </w:p>
    <w:p w:rsidR="001101CB" w:rsidRPr="00720BA0" w:rsidRDefault="001101CB" w:rsidP="002D5A30">
      <w:pPr>
        <w:tabs>
          <w:tab w:val="decimal" w:pos="567"/>
          <w:tab w:val="left" w:pos="1134"/>
        </w:tabs>
        <w:rPr>
          <w:rFonts w:cs="Arial"/>
          <w:lang w:val="es-ES"/>
        </w:rPr>
      </w:pPr>
      <w:r w:rsidRPr="00720BA0">
        <w:rPr>
          <w:rFonts w:cs="Arial"/>
          <w:lang w:val="es-ES"/>
        </w:rPr>
        <w:tab/>
        <w:t>v)</w:t>
      </w:r>
      <w:r w:rsidRPr="00720BA0">
        <w:rPr>
          <w:rFonts w:cs="Arial"/>
          <w:lang w:val="es-ES"/>
        </w:rPr>
        <w:tab/>
        <w:t>la exportación,</w:t>
      </w:r>
    </w:p>
    <w:p w:rsidR="001101CB" w:rsidRPr="00720BA0" w:rsidRDefault="001101CB" w:rsidP="002D5A30">
      <w:pPr>
        <w:tabs>
          <w:tab w:val="decimal" w:pos="567"/>
          <w:tab w:val="left" w:pos="1134"/>
        </w:tabs>
        <w:rPr>
          <w:rFonts w:cs="Arial"/>
          <w:lang w:val="es-ES"/>
        </w:rPr>
      </w:pPr>
      <w:r w:rsidRPr="00720BA0">
        <w:rPr>
          <w:rFonts w:cs="Arial"/>
          <w:lang w:val="es-ES"/>
        </w:rPr>
        <w:tab/>
        <w:t>vi)</w:t>
      </w:r>
      <w:r w:rsidRPr="00720BA0">
        <w:rPr>
          <w:rFonts w:cs="Arial"/>
          <w:lang w:val="es-ES"/>
        </w:rPr>
        <w:tab/>
        <w:t>la importación,</w:t>
      </w:r>
    </w:p>
    <w:p w:rsidR="001101CB" w:rsidRPr="00720BA0" w:rsidRDefault="001101CB" w:rsidP="002D5A30">
      <w:pPr>
        <w:tabs>
          <w:tab w:val="decimal" w:pos="567"/>
          <w:tab w:val="left" w:pos="1134"/>
        </w:tabs>
        <w:rPr>
          <w:rFonts w:cs="Arial"/>
          <w:lang w:val="es-ES"/>
        </w:rPr>
      </w:pPr>
      <w:r w:rsidRPr="00720BA0">
        <w:rPr>
          <w:rFonts w:cs="Arial"/>
          <w:lang w:val="es-ES"/>
        </w:rPr>
        <w:tab/>
        <w:t>vii)</w:t>
      </w:r>
      <w:r w:rsidRPr="00720BA0">
        <w:rPr>
          <w:rFonts w:cs="Arial"/>
          <w:lang w:val="es-ES"/>
        </w:rPr>
        <w:tab/>
        <w:t xml:space="preserve">la posesión para cualquiera de los fines mencionados en los puntos i) a vi), </w:t>
      </w:r>
      <w:r w:rsidRPr="00720BA0">
        <w:rPr>
          <w:rStyle w:val="Emphasis"/>
          <w:rFonts w:cs="Arial"/>
          <w:lang w:val="es-ES"/>
        </w:rPr>
        <w:t>supra</w:t>
      </w:r>
      <w:r w:rsidRPr="00720BA0">
        <w:rPr>
          <w:rFonts w:cs="Arial"/>
          <w:lang w:val="es-ES"/>
        </w:rPr>
        <w:t>.</w:t>
      </w:r>
      <w:r>
        <w:rPr>
          <w:rFonts w:cs="Arial"/>
          <w:lang w:val="es-ES"/>
        </w:rPr>
        <w:t>”</w:t>
      </w:r>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t xml:space="preserve">Así pues, a reserva de lo dispuesto en los Artículos 15 y  16, “utilización no autorizada” se refiere a los actos enumerados en los incisos i) a vii), </w:t>
      </w:r>
      <w:r w:rsidRPr="00720BA0">
        <w:rPr>
          <w:rFonts w:cs="Arial"/>
          <w:i/>
          <w:lang w:val="es-ES"/>
        </w:rPr>
        <w:t>supra</w:t>
      </w:r>
      <w:r w:rsidRPr="00720BA0">
        <w:rPr>
          <w:rFonts w:cs="Arial"/>
          <w:lang w:val="es-ES"/>
        </w:rPr>
        <w:t>, respecto del material de reproducción o de multiplicación en el territorio de que se trate, cuando esa autorización no ha sido obtenida.</w:t>
      </w:r>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Por ejemplo, </w:t>
      </w:r>
      <w:r>
        <w:rPr>
          <w:rFonts w:cs="Arial"/>
          <w:lang w:val="es-ES"/>
        </w:rPr>
        <w:t xml:space="preserve">en el </w:t>
      </w:r>
      <w:r w:rsidRPr="00720BA0">
        <w:rPr>
          <w:rFonts w:cs="Arial"/>
          <w:lang w:val="es-ES"/>
        </w:rPr>
        <w:t xml:space="preserve">territorio de </w:t>
      </w:r>
      <w:r>
        <w:rPr>
          <w:rFonts w:cs="Arial"/>
          <w:lang w:val="es-ES"/>
        </w:rPr>
        <w:t xml:space="preserve">un </w:t>
      </w:r>
      <w:r w:rsidRPr="00720BA0">
        <w:rPr>
          <w:rFonts w:cs="Arial"/>
          <w:lang w:val="es-ES"/>
        </w:rPr>
        <w:t>miembro de la Unión en el que se ha concedido y está en vigor un derecho de obtentor, la exportación no autorizada de material de reproducción o de multiplicación constituiría un acto no autorizado.</w:t>
      </w:r>
    </w:p>
    <w:p w:rsidR="001101CB" w:rsidRPr="00720BA0" w:rsidRDefault="001101CB" w:rsidP="002D5A30">
      <w:pPr>
        <w:spacing w:line="360" w:lineRule="auto"/>
        <w:rPr>
          <w:rFonts w:cs="Arial"/>
          <w:lang w:val="es-ES"/>
        </w:rPr>
      </w:pPr>
    </w:p>
    <w:p w:rsidR="001101CB" w:rsidRPr="00720BA0" w:rsidRDefault="001101CB" w:rsidP="002D5A30">
      <w:pPr>
        <w:pStyle w:val="Heading3"/>
        <w:keepNext w:val="0"/>
        <w:rPr>
          <w:rFonts w:cs="Arial"/>
          <w:i w:val="0"/>
          <w:iCs/>
          <w:lang w:val="es-ES"/>
        </w:rPr>
      </w:pPr>
      <w:bookmarkStart w:id="37" w:name="_Toc346811149"/>
      <w:bookmarkStart w:id="38" w:name="_Toc368385672"/>
      <w:r w:rsidRPr="00720BA0">
        <w:rPr>
          <w:rFonts w:cs="Arial"/>
          <w:iCs/>
          <w:lang w:val="es-ES"/>
        </w:rPr>
        <w:t>Condiciones y limitaciones</w:t>
      </w:r>
      <w:bookmarkEnd w:id="37"/>
      <w:bookmarkEnd w:id="38"/>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r>
      <w:r>
        <w:rPr>
          <w:rFonts w:cs="Arial"/>
          <w:lang w:val="es-ES"/>
        </w:rPr>
        <w:t>Por otra parte, e</w:t>
      </w:r>
      <w:r w:rsidRPr="00720BA0">
        <w:rPr>
          <w:rFonts w:cs="Arial"/>
          <w:lang w:val="es-ES"/>
        </w:rPr>
        <w:t>l Artículo 14.1)b) del Acta de 1991 del Convenio de la UPOV establece que “[e]l obtentor podrá subordinar su autorización a condiciones y a limitaciones”.  Así pues, a reserva de lo dispuesto en los Artículos 15 y  16, “utilización no autorizada” se refiere también a los actos enumerados en el Artículo 14.1)a) i) a vii) que no se realizan de conformidad con las condiciones y limitaciones establecidas por el obtentor.</w:t>
      </w:r>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En el documento UPOV/EXN/CAL, “Notas explicativas sobre las condiciones y limitaciones relativas a la autorización del obtentor respecto del material de reproducción o de multiplicación con arreglo al Convenio de la UPOV”, se ofrece orientación sobre las condiciones y limitaciones a las que el obtentor puede supeditar su autorización en relación con los actos respecto del material de reproducción o de multiplicación con arreglo al Convenio de la UPOV.</w:t>
      </w:r>
    </w:p>
    <w:p w:rsidR="001101CB" w:rsidRDefault="001101CB" w:rsidP="002D5A30">
      <w:pPr>
        <w:spacing w:line="360" w:lineRule="auto"/>
        <w:rPr>
          <w:rFonts w:cs="Arial"/>
          <w:lang w:val="es-ES"/>
        </w:rPr>
      </w:pPr>
    </w:p>
    <w:p w:rsidR="001101CB" w:rsidRPr="00720BA0" w:rsidRDefault="001101CB" w:rsidP="002D5A30">
      <w:pPr>
        <w:pStyle w:val="Heading3"/>
        <w:keepNext w:val="0"/>
        <w:rPr>
          <w:rFonts w:cs="Arial"/>
          <w:i w:val="0"/>
          <w:iCs/>
          <w:lang w:val="es-ES"/>
        </w:rPr>
      </w:pPr>
      <w:bookmarkStart w:id="39" w:name="_Toc346811150"/>
      <w:bookmarkStart w:id="40" w:name="_Toc368385673"/>
      <w:r w:rsidRPr="00720BA0">
        <w:rPr>
          <w:rFonts w:cs="Arial"/>
          <w:iCs/>
          <w:lang w:val="es-ES"/>
        </w:rPr>
        <w:t>Excepciones obligatorias al derecho de obtentor</w:t>
      </w:r>
      <w:bookmarkEnd w:id="39"/>
      <w:bookmarkEnd w:id="40"/>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En el documento UPOV/EXN/EXC “Notas explicativas sobre las excepciones al derecho de obtentor con arreglo al Acta de 1991 del Convenio de la UPOV”, Sección I, “Excepciones obligatorias al derecho de obtentor”, se ofrece orientación sobre las disposiciones relativas a las excepciones obligatorias al derecho de obtentor previstas en Artículo 15.1) del Acta de 1991 del Convenio de la UPOV.  “Utilización no autorizada” no se referiría a los actos que abarca el Artículo 15.1) del </w:t>
      </w:r>
      <w:r>
        <w:rPr>
          <w:rFonts w:cs="Arial"/>
          <w:lang w:val="es-ES"/>
        </w:rPr>
        <w:t>Acta de 1991 del Convenio de la </w:t>
      </w:r>
      <w:r w:rsidRPr="00720BA0">
        <w:rPr>
          <w:rFonts w:cs="Arial"/>
          <w:lang w:val="es-ES"/>
        </w:rPr>
        <w:t>UPOV.</w:t>
      </w:r>
    </w:p>
    <w:p w:rsidR="001101CB" w:rsidRPr="00720BA0" w:rsidRDefault="001101CB" w:rsidP="002D5A30">
      <w:pPr>
        <w:spacing w:line="360" w:lineRule="auto"/>
        <w:rPr>
          <w:rFonts w:cs="Arial"/>
          <w:lang w:val="es-ES"/>
        </w:rPr>
      </w:pPr>
    </w:p>
    <w:p w:rsidR="001101CB" w:rsidRPr="00720BA0" w:rsidRDefault="001101CB" w:rsidP="002D5A30">
      <w:pPr>
        <w:pStyle w:val="Heading3"/>
        <w:keepNext w:val="0"/>
        <w:rPr>
          <w:rFonts w:cs="Arial"/>
          <w:i w:val="0"/>
          <w:iCs/>
          <w:lang w:val="es-ES"/>
        </w:rPr>
      </w:pPr>
      <w:bookmarkStart w:id="41" w:name="_Toc346811151"/>
      <w:bookmarkStart w:id="42" w:name="_Toc368385674"/>
      <w:r w:rsidRPr="00720BA0">
        <w:rPr>
          <w:rFonts w:cs="Arial"/>
          <w:iCs/>
          <w:lang w:val="es-ES"/>
        </w:rPr>
        <w:t>Excepción facultativa al derecho de obtentor</w:t>
      </w:r>
      <w:bookmarkEnd w:id="41"/>
      <w:bookmarkEnd w:id="42"/>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El Artículo 15</w:t>
      </w:r>
      <w:r>
        <w:rPr>
          <w:rFonts w:cs="Arial"/>
          <w:lang w:val="es-ES"/>
        </w:rPr>
        <w:t>.2)</w:t>
      </w:r>
      <w:r w:rsidRPr="00720BA0">
        <w:rPr>
          <w:rFonts w:cs="Arial"/>
          <w:lang w:val="es-ES"/>
        </w:rPr>
        <w:t xml:space="preserve"> del Acta de 1991 del </w:t>
      </w:r>
      <w:r>
        <w:rPr>
          <w:rFonts w:cs="Arial"/>
          <w:lang w:val="es-ES"/>
        </w:rPr>
        <w:t>Convenio de la UPOV [Excepción</w:t>
      </w:r>
      <w:r w:rsidRPr="00720BA0">
        <w:rPr>
          <w:rFonts w:cs="Arial"/>
          <w:lang w:val="es-ES"/>
        </w:rPr>
        <w:t xml:space="preserve"> </w:t>
      </w:r>
      <w:r>
        <w:rPr>
          <w:rFonts w:cs="Arial"/>
          <w:lang w:val="es-ES"/>
        </w:rPr>
        <w:t>facultativa</w:t>
      </w:r>
      <w:r w:rsidRPr="00720BA0">
        <w:rPr>
          <w:rFonts w:cs="Arial"/>
          <w:lang w:val="es-ES"/>
        </w:rPr>
        <w:t>] establece que “[n]</w:t>
      </w:r>
      <w:proofErr w:type="spellStart"/>
      <w:r w:rsidRPr="00720BA0">
        <w:rPr>
          <w:rFonts w:cs="Arial"/>
          <w:lang w:val="es-ES"/>
        </w:rPr>
        <w:t>o</w:t>
      </w:r>
      <w:proofErr w:type="spellEnd"/>
      <w:r w:rsidRPr="00720BA0">
        <w:rPr>
          <w:rFonts w:cs="Arial"/>
          <w:lang w:val="es-ES"/>
        </w:rPr>
        <w:t xml:space="preserve">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14.5)a)i) o ii).”  En el documento UPOV/EXN/EXC “Notas explicativas sobre las excepciones al derecho de obtentor con arreglo al Acta de 1991 del Convenio de la UPOV”, Sección II, “La excepción facultativa al derecho de obtentor”, se ofrece orientación sobre la excepción facultativa prevista en el Artículo 15.2) del Acta de 1991 del Convenio de la UPOV.</w:t>
      </w:r>
    </w:p>
    <w:p w:rsidR="001101CB" w:rsidRPr="00720BA0" w:rsidRDefault="001101CB" w:rsidP="002D5A30">
      <w:pPr>
        <w:rPr>
          <w:rFonts w:cs="Arial"/>
          <w:lang w:val="es-ES"/>
        </w:rPr>
      </w:pPr>
    </w:p>
    <w:p w:rsidR="001101CB" w:rsidRDefault="001101CB" w:rsidP="002D5A30">
      <w:pPr>
        <w:rPr>
          <w:rFonts w:cs="Arial"/>
          <w:lang w:val="es-ES"/>
        </w:rPr>
      </w:pPr>
      <w:r>
        <w:rPr>
          <w:rFonts w:cs="Arial"/>
          <w:lang w:val="es-ES"/>
        </w:rPr>
        <w:fldChar w:fldCharType="begin"/>
      </w:r>
      <w:r>
        <w:rPr>
          <w:rFonts w:cs="Arial"/>
          <w:lang w:val="es-ES"/>
        </w:rPr>
        <w:instrText xml:space="preserve"> AUTONUM  </w:instrText>
      </w:r>
      <w:r>
        <w:rPr>
          <w:rFonts w:cs="Arial"/>
          <w:lang w:val="es-ES"/>
        </w:rPr>
        <w:fldChar w:fldCharType="end"/>
      </w:r>
      <w:r>
        <w:rPr>
          <w:rFonts w:cs="Arial"/>
          <w:lang w:val="es-ES"/>
        </w:rPr>
        <w:tab/>
      </w:r>
      <w:r w:rsidRPr="00A337C2">
        <w:rPr>
          <w:rFonts w:cs="Arial"/>
          <w:lang w:val="es-ES"/>
        </w:rPr>
        <w:t xml:space="preserve">Cuando un miembro de la Unión decide incorporar en su legislación esta excepción facultativa, “utilización no autorizada” no se referirá a los actos que abarca la excepción facultativa.  Sin embargo, a reserva de lo dispuesto en los Artículos 15.1) y 16, “utilización no autorizada” se referirá a los actos incluidos en el alcance del derecho de obtentor y que no abarca la excepción facultativa en la legislación del miembro </w:t>
      </w:r>
      <w:r w:rsidRPr="00A337C2">
        <w:rPr>
          <w:rFonts w:cs="Arial"/>
          <w:lang w:val="es-ES"/>
        </w:rPr>
        <w:lastRenderedPageBreak/>
        <w:t>de la Unión de que se trate.  En particular, “utilización no autorizada” se referirá a los actos que no se ajustan a los límites razonables y la salvaguardia de los intereses legítimos del obtentor previstos en la excepción facultativa.</w:t>
      </w:r>
    </w:p>
    <w:p w:rsidR="001101CB" w:rsidRDefault="001101CB" w:rsidP="002D5A30">
      <w:pPr>
        <w:rPr>
          <w:rFonts w:cs="Arial"/>
          <w:lang w:val="es-ES"/>
        </w:rPr>
      </w:pPr>
    </w:p>
    <w:p w:rsidR="001101CB" w:rsidRPr="00720BA0" w:rsidRDefault="001101CB" w:rsidP="002D5A30">
      <w:pPr>
        <w:rPr>
          <w:rFonts w:cs="Arial"/>
          <w:lang w:val="es-ES"/>
        </w:rPr>
      </w:pPr>
    </w:p>
    <w:p w:rsidR="001101CB" w:rsidRPr="00720BA0" w:rsidRDefault="001101CB" w:rsidP="002D5A30">
      <w:pPr>
        <w:pStyle w:val="Heading2"/>
        <w:keepNext w:val="0"/>
        <w:rPr>
          <w:rFonts w:cs="Arial"/>
          <w:lang w:val="es-ES"/>
        </w:rPr>
      </w:pPr>
      <w:bookmarkStart w:id="43" w:name="_Toc346811152"/>
      <w:bookmarkStart w:id="44" w:name="_Toc368385675"/>
      <w:r w:rsidRPr="00720BA0">
        <w:rPr>
          <w:rFonts w:cs="Arial"/>
          <w:u w:val="none"/>
          <w:lang w:val="es-ES"/>
        </w:rPr>
        <w:t>d)</w:t>
      </w:r>
      <w:r w:rsidRPr="00720BA0">
        <w:rPr>
          <w:rFonts w:cs="Arial"/>
          <w:u w:val="none"/>
          <w:lang w:val="es-ES"/>
        </w:rPr>
        <w:tab/>
      </w:r>
      <w:bookmarkEnd w:id="43"/>
      <w:r w:rsidRPr="00A337C2">
        <w:rPr>
          <w:rFonts w:cs="Arial"/>
          <w:lang w:val="es-ES"/>
        </w:rPr>
        <w:t>Poder ejercer razonablemente su derecho</w:t>
      </w:r>
      <w:bookmarkEnd w:id="44"/>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Las disposiciones previstas en el Artículo 14.2) del Acta de 1991 indican que los obtentores sólo pueden ejercer su derecho en relación con el producto de la cosecha si no han “podido ejercer razonablemente” su derecho en relación con el material de reproducción o de multiplicación.</w:t>
      </w:r>
    </w:p>
    <w:p w:rsidR="001101CB" w:rsidRPr="00720BA0" w:rsidRDefault="001101CB" w:rsidP="002D5A30">
      <w:pPr>
        <w:rPr>
          <w:rFonts w:cs="Arial"/>
          <w:lang w:val="es-ES"/>
        </w:rPr>
      </w:pPr>
    </w:p>
    <w:p w:rsidR="001101CB" w:rsidRPr="00720BA0" w:rsidRDefault="001101CB" w:rsidP="002D5A30">
      <w:pPr>
        <w:rPr>
          <w:rFonts w:cs="Arial"/>
          <w:lang w:val="es-ES"/>
        </w:rPr>
      </w:pPr>
      <w:r w:rsidRPr="00720BA0">
        <w:rPr>
          <w:rFonts w:cs="Arial"/>
          <w:lang w:val="es-ES"/>
        </w:rPr>
        <w:fldChar w:fldCharType="begin"/>
      </w:r>
      <w:r w:rsidRPr="00720BA0">
        <w:rPr>
          <w:rFonts w:cs="Arial"/>
          <w:lang w:val="es-ES"/>
        </w:rPr>
        <w:instrText xml:space="preserve"> AUTONUM  </w:instrText>
      </w:r>
      <w:r w:rsidRPr="00720BA0">
        <w:rPr>
          <w:rFonts w:cs="Arial"/>
          <w:lang w:val="es-ES"/>
        </w:rPr>
        <w:fldChar w:fldCharType="end"/>
      </w:r>
      <w:r w:rsidRPr="00720BA0">
        <w:rPr>
          <w:rFonts w:cs="Arial"/>
          <w:lang w:val="es-ES"/>
        </w:rPr>
        <w:tab/>
        <w:t xml:space="preserve">El término “su derecho”, contenido en el Artículo 14.2) del Acta de 1991, se refiere al derecho del obtentor en el territorio en cuestión (véase párrafo 4 </w:t>
      </w:r>
      <w:r>
        <w:rPr>
          <w:rFonts w:cs="Arial"/>
          <w:lang w:val="es-ES"/>
        </w:rPr>
        <w:t>del presente documento</w:t>
      </w:r>
      <w:r w:rsidRPr="00720BA0">
        <w:rPr>
          <w:rFonts w:cs="Arial"/>
          <w:lang w:val="es-ES"/>
        </w:rPr>
        <w:t xml:space="preserve">):  un obtentor solo puede ejercer su derecho en ese territorio.  En consecuencia, por “ejercer su derecho” en relación con el material de reproducción o de multiplicación se entiende el ejercicio de su derecho </w:t>
      </w:r>
      <w:r w:rsidRPr="00720BA0">
        <w:rPr>
          <w:rFonts w:cs="Arial"/>
          <w:i/>
          <w:iCs/>
          <w:lang w:val="es-ES"/>
        </w:rPr>
        <w:t>en el territorio en cuestión</w:t>
      </w:r>
      <w:r w:rsidRPr="00720BA0">
        <w:rPr>
          <w:rFonts w:cs="Arial"/>
          <w:lang w:val="es-ES"/>
        </w:rPr>
        <w:t xml:space="preserve"> en relación con el material de reproducción o de multiplicación.</w:t>
      </w:r>
    </w:p>
    <w:p w:rsidR="001101CB" w:rsidRPr="00720BA0" w:rsidRDefault="001101CB" w:rsidP="002D5A30">
      <w:pPr>
        <w:rPr>
          <w:rFonts w:cs="Arial"/>
          <w:lang w:val="es-ES"/>
        </w:rPr>
      </w:pPr>
    </w:p>
    <w:p w:rsidR="001101CB" w:rsidRPr="00720BA0" w:rsidRDefault="001101CB" w:rsidP="002D5A30">
      <w:pPr>
        <w:rPr>
          <w:rFonts w:cs="Arial"/>
          <w:highlight w:val="lightGray"/>
          <w:u w:val="single"/>
          <w:lang w:val="es-ES"/>
        </w:rPr>
      </w:pPr>
    </w:p>
    <w:p w:rsidR="001101CB" w:rsidRPr="00720BA0" w:rsidRDefault="001101CB" w:rsidP="002D5A30">
      <w:pPr>
        <w:rPr>
          <w:rFonts w:cs="Arial"/>
          <w:highlight w:val="lightGray"/>
          <w:u w:val="single"/>
          <w:lang w:val="es-ES"/>
        </w:rPr>
      </w:pPr>
    </w:p>
    <w:p w:rsidR="001101CB" w:rsidRPr="00720BA0" w:rsidRDefault="001101CB" w:rsidP="002D5A30">
      <w:pPr>
        <w:jc w:val="right"/>
        <w:rPr>
          <w:rFonts w:cs="Arial"/>
          <w:lang w:val="es-ES"/>
        </w:rPr>
      </w:pPr>
      <w:r w:rsidRPr="00720BA0">
        <w:rPr>
          <w:rFonts w:cs="Arial"/>
          <w:lang w:val="es-ES"/>
        </w:rPr>
        <w:t>[Fin del documento]</w:t>
      </w:r>
    </w:p>
    <w:p w:rsidR="001101CB" w:rsidRPr="00720BA0" w:rsidRDefault="001101CB" w:rsidP="002D5A30">
      <w:pPr>
        <w:pStyle w:val="EndnoteText"/>
        <w:rPr>
          <w:rFonts w:cs="Arial"/>
          <w:lang w:val="es-ES"/>
        </w:rPr>
      </w:pPr>
    </w:p>
    <w:p w:rsidR="00F15E56" w:rsidRPr="007E7836" w:rsidRDefault="00F15E56" w:rsidP="007E7836">
      <w:pPr>
        <w:rPr>
          <w:rFonts w:cs="Arial"/>
        </w:rPr>
      </w:pPr>
    </w:p>
    <w:sectPr w:rsidR="00F15E56" w:rsidRPr="007E7836" w:rsidSect="007A7D93">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95" w:rsidRDefault="00251DDD">
      <w:r>
        <w:separator/>
      </w:r>
    </w:p>
  </w:endnote>
  <w:endnote w:type="continuationSeparator" w:id="0">
    <w:p w:rsidR="00537B95" w:rsidRDefault="0025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95" w:rsidRDefault="00251DDD">
      <w:r>
        <w:separator/>
      </w:r>
    </w:p>
  </w:footnote>
  <w:footnote w:type="continuationSeparator" w:id="0">
    <w:p w:rsidR="00537B95" w:rsidRDefault="0025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65" w:rsidRPr="00C70C71" w:rsidRDefault="00743036" w:rsidP="00C70C71">
    <w:pPr>
      <w:pStyle w:val="Header"/>
      <w:rPr>
        <w:rFonts w:cs="Arial"/>
      </w:rPr>
    </w:pPr>
    <w:r w:rsidRPr="00C70C71">
      <w:rPr>
        <w:rFonts w:cs="Arial"/>
      </w:rPr>
      <w:t>U</w:t>
    </w:r>
    <w:r>
      <w:rPr>
        <w:rFonts w:cs="Arial"/>
      </w:rPr>
      <w:t xml:space="preserve">POV/EXN/HRV </w:t>
    </w:r>
    <w:proofErr w:type="spellStart"/>
    <w:r>
      <w:rPr>
        <w:rFonts w:cs="Arial"/>
      </w:rPr>
      <w:t>Draft</w:t>
    </w:r>
    <w:proofErr w:type="spellEnd"/>
    <w:r>
      <w:rPr>
        <w:rFonts w:cs="Arial"/>
      </w:rPr>
      <w:t xml:space="preserve"> 10</w:t>
    </w:r>
  </w:p>
  <w:p w:rsidR="009C0265" w:rsidRPr="00C70C71" w:rsidRDefault="00743036">
    <w:pPr>
      <w:jc w:val="center"/>
      <w:rPr>
        <w:rFonts w:cs="Arial"/>
        <w:lang w:val="es-ES"/>
      </w:rPr>
    </w:pPr>
    <w:proofErr w:type="gramStart"/>
    <w:r w:rsidRPr="00C70C71">
      <w:rPr>
        <w:rFonts w:cs="Arial"/>
        <w:lang w:val="es-ES"/>
      </w:rPr>
      <w:t>página</w:t>
    </w:r>
    <w:proofErr w:type="gramEnd"/>
    <w:r w:rsidRPr="00C70C71">
      <w:rPr>
        <w:rFonts w:cs="Arial"/>
        <w:lang w:val="es-ES"/>
      </w:rPr>
      <w:t xml:space="preserve"> </w:t>
    </w:r>
    <w:r w:rsidRPr="00C70C71">
      <w:rPr>
        <w:rFonts w:cs="Arial"/>
        <w:lang w:val="es-ES"/>
      </w:rPr>
      <w:fldChar w:fldCharType="begin"/>
    </w:r>
    <w:r w:rsidRPr="00C70C71">
      <w:rPr>
        <w:rFonts w:cs="Arial"/>
        <w:lang w:val="es-ES"/>
      </w:rPr>
      <w:instrText xml:space="preserve"> PAGE  \* MERGEFORMAT </w:instrText>
    </w:r>
    <w:r w:rsidRPr="00C70C71">
      <w:rPr>
        <w:rFonts w:cs="Arial"/>
        <w:lang w:val="es-ES"/>
      </w:rPr>
      <w:fldChar w:fldCharType="separate"/>
    </w:r>
    <w:r w:rsidR="00382410">
      <w:rPr>
        <w:rFonts w:cs="Arial"/>
        <w:noProof/>
        <w:lang w:val="es-ES"/>
      </w:rPr>
      <w:t>4</w:t>
    </w:r>
    <w:r w:rsidRPr="00C70C71">
      <w:rPr>
        <w:rFonts w:cs="Arial"/>
        <w:lang w:val="es-ES"/>
      </w:rPr>
      <w:fldChar w:fldCharType="end"/>
    </w:r>
  </w:p>
  <w:p w:rsidR="009C0265" w:rsidRPr="00650F51" w:rsidRDefault="00382410">
    <w:pPr>
      <w:jc w:val="center"/>
      <w:rPr>
        <w:rFonts w:cs="Arial"/>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CB"/>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732E"/>
    <w:rsid w:val="00040547"/>
    <w:rsid w:val="0004179D"/>
    <w:rsid w:val="00044035"/>
    <w:rsid w:val="00045EE0"/>
    <w:rsid w:val="00046148"/>
    <w:rsid w:val="00047094"/>
    <w:rsid w:val="000476B5"/>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2D"/>
    <w:rsid w:val="00104864"/>
    <w:rsid w:val="001051F1"/>
    <w:rsid w:val="00105420"/>
    <w:rsid w:val="00106091"/>
    <w:rsid w:val="001101CB"/>
    <w:rsid w:val="00111C96"/>
    <w:rsid w:val="00113AE2"/>
    <w:rsid w:val="001166FC"/>
    <w:rsid w:val="00120461"/>
    <w:rsid w:val="00122F6C"/>
    <w:rsid w:val="0013000A"/>
    <w:rsid w:val="00130571"/>
    <w:rsid w:val="00131413"/>
    <w:rsid w:val="00131973"/>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0A00"/>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3C8"/>
    <w:rsid w:val="00240860"/>
    <w:rsid w:val="002432FA"/>
    <w:rsid w:val="00243953"/>
    <w:rsid w:val="002453DC"/>
    <w:rsid w:val="00245FF4"/>
    <w:rsid w:val="0024755E"/>
    <w:rsid w:val="002509D7"/>
    <w:rsid w:val="00251097"/>
    <w:rsid w:val="00251DDD"/>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2410"/>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5EE"/>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B95"/>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4A61"/>
    <w:rsid w:val="007369D4"/>
    <w:rsid w:val="00736D73"/>
    <w:rsid w:val="00736FE8"/>
    <w:rsid w:val="007372E2"/>
    <w:rsid w:val="00740108"/>
    <w:rsid w:val="00740E84"/>
    <w:rsid w:val="00743036"/>
    <w:rsid w:val="00744567"/>
    <w:rsid w:val="00744A8F"/>
    <w:rsid w:val="00744F57"/>
    <w:rsid w:val="007465E7"/>
    <w:rsid w:val="0074690D"/>
    <w:rsid w:val="00746A78"/>
    <w:rsid w:val="00747C42"/>
    <w:rsid w:val="00751D55"/>
    <w:rsid w:val="0075406E"/>
    <w:rsid w:val="0075571A"/>
    <w:rsid w:val="00757526"/>
    <w:rsid w:val="007623E3"/>
    <w:rsid w:val="00766AAD"/>
    <w:rsid w:val="00766F6F"/>
    <w:rsid w:val="00767D20"/>
    <w:rsid w:val="00770A36"/>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4"/>
    <w:rsid w:val="008926B9"/>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2C23"/>
    <w:rsid w:val="00A9313D"/>
    <w:rsid w:val="00A94A1A"/>
    <w:rsid w:val="00A94C29"/>
    <w:rsid w:val="00A95126"/>
    <w:rsid w:val="00AA271B"/>
    <w:rsid w:val="00AA2C95"/>
    <w:rsid w:val="00AA3949"/>
    <w:rsid w:val="00AA39B0"/>
    <w:rsid w:val="00AA4720"/>
    <w:rsid w:val="00AA55F7"/>
    <w:rsid w:val="00AA5ECB"/>
    <w:rsid w:val="00AA6D37"/>
    <w:rsid w:val="00AA7159"/>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26C8"/>
    <w:rsid w:val="00B44B25"/>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C1"/>
    <w:rsid w:val="00B82F2F"/>
    <w:rsid w:val="00B86C64"/>
    <w:rsid w:val="00B87546"/>
    <w:rsid w:val="00B87757"/>
    <w:rsid w:val="00B878BF"/>
    <w:rsid w:val="00B90C15"/>
    <w:rsid w:val="00B911F8"/>
    <w:rsid w:val="00B91610"/>
    <w:rsid w:val="00B92748"/>
    <w:rsid w:val="00B93F7B"/>
    <w:rsid w:val="00B95D55"/>
    <w:rsid w:val="00B960FB"/>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662C"/>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53A"/>
    <w:rsid w:val="00D31D97"/>
    <w:rsid w:val="00D320C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6285"/>
    <w:rsid w:val="00F96CB3"/>
    <w:rsid w:val="00FA07DA"/>
    <w:rsid w:val="00FA3CC3"/>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1101CB"/>
    <w:pPr>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230491"/>
    <w:pPr>
      <w:tabs>
        <w:tab w:val="right" w:leader="dot" w:pos="9639"/>
      </w:tabs>
      <w:spacing w:before="60" w:after="120"/>
      <w:ind w:right="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1101CB"/>
    <w:pPr>
      <w:spacing w:before="600" w:after="600"/>
      <w:jc w:val="center"/>
    </w:pPr>
    <w:rPr>
      <w:rFonts w:ascii="Times New Roman" w:hAnsi="Times New Roman"/>
      <w:i/>
      <w:sz w:val="24"/>
    </w:rPr>
  </w:style>
  <w:style w:type="paragraph" w:customStyle="1" w:styleId="Docoriginal">
    <w:name w:val="Doc_original"/>
    <w:basedOn w:val="Normal"/>
    <w:link w:val="DocoriginalChar"/>
    <w:rsid w:val="001101CB"/>
    <w:pPr>
      <w:spacing w:line="280" w:lineRule="exact"/>
      <w:ind w:left="1361"/>
    </w:pPr>
    <w:rPr>
      <w:b/>
      <w:bCs/>
      <w:spacing w:val="10"/>
    </w:rPr>
  </w:style>
  <w:style w:type="paragraph" w:customStyle="1" w:styleId="upove">
    <w:name w:val="upov_e"/>
    <w:basedOn w:val="Normal"/>
    <w:rsid w:val="001101CB"/>
    <w:pPr>
      <w:spacing w:before="60"/>
      <w:jc w:val="center"/>
    </w:pPr>
    <w:rPr>
      <w:b/>
      <w:bCs/>
      <w:spacing w:val="8"/>
      <w:sz w:val="24"/>
    </w:rPr>
  </w:style>
  <w:style w:type="paragraph" w:customStyle="1" w:styleId="Country">
    <w:name w:val="Country"/>
    <w:basedOn w:val="Normal"/>
    <w:semiHidden/>
    <w:rsid w:val="001101CB"/>
    <w:pPr>
      <w:spacing w:before="60" w:after="480"/>
      <w:jc w:val="center"/>
    </w:pPr>
  </w:style>
  <w:style w:type="paragraph" w:customStyle="1" w:styleId="Lettrine">
    <w:name w:val="Lettrine"/>
    <w:basedOn w:val="Normal"/>
    <w:rsid w:val="001101CB"/>
    <w:pPr>
      <w:spacing w:after="120" w:line="340" w:lineRule="atLeast"/>
      <w:jc w:val="right"/>
    </w:pPr>
    <w:rPr>
      <w:b/>
      <w:bCs/>
      <w:sz w:val="56"/>
    </w:rPr>
  </w:style>
  <w:style w:type="paragraph" w:customStyle="1" w:styleId="LogoUPOV">
    <w:name w:val="LogoUPOV"/>
    <w:basedOn w:val="Normal"/>
    <w:rsid w:val="001101CB"/>
    <w:pPr>
      <w:spacing w:before="720"/>
      <w:jc w:val="center"/>
    </w:pPr>
  </w:style>
  <w:style w:type="character" w:customStyle="1" w:styleId="DocoriginalChar">
    <w:name w:val="Doc_original Char"/>
    <w:basedOn w:val="DefaultParagraphFont"/>
    <w:link w:val="Docoriginal"/>
    <w:rsid w:val="001101CB"/>
    <w:rPr>
      <w:rFonts w:ascii="Arial" w:hAnsi="Arial"/>
      <w:b/>
      <w:bCs/>
      <w:spacing w:val="10"/>
    </w:rPr>
  </w:style>
  <w:style w:type="character" w:customStyle="1" w:styleId="StyleDocoriginalNotBold1">
    <w:name w:val="Style Doc_original + Not Bold1"/>
    <w:basedOn w:val="DefaultParagraphFont"/>
    <w:rsid w:val="001101CB"/>
    <w:rPr>
      <w:rFonts w:ascii="Arial" w:hAnsi="Arial"/>
      <w:b/>
      <w:bCs/>
      <w:spacing w:val="10"/>
      <w:lang w:val="en-US" w:eastAsia="en-US" w:bidi="ar-SA"/>
    </w:rPr>
  </w:style>
  <w:style w:type="character" w:customStyle="1" w:styleId="StyleDoclangBold">
    <w:name w:val="Style Doc_lang + Bold"/>
    <w:basedOn w:val="DefaultParagraphFont"/>
    <w:rsid w:val="001101CB"/>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1101CB"/>
    <w:pPr>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230491"/>
    <w:pPr>
      <w:tabs>
        <w:tab w:val="right" w:leader="dot" w:pos="9639"/>
      </w:tabs>
      <w:spacing w:before="60" w:after="120"/>
      <w:ind w:right="851"/>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1101CB"/>
    <w:pPr>
      <w:spacing w:before="600" w:after="600"/>
      <w:jc w:val="center"/>
    </w:pPr>
    <w:rPr>
      <w:rFonts w:ascii="Times New Roman" w:hAnsi="Times New Roman"/>
      <w:i/>
      <w:sz w:val="24"/>
    </w:rPr>
  </w:style>
  <w:style w:type="paragraph" w:customStyle="1" w:styleId="Docoriginal">
    <w:name w:val="Doc_original"/>
    <w:basedOn w:val="Normal"/>
    <w:link w:val="DocoriginalChar"/>
    <w:rsid w:val="001101CB"/>
    <w:pPr>
      <w:spacing w:line="280" w:lineRule="exact"/>
      <w:ind w:left="1361"/>
    </w:pPr>
    <w:rPr>
      <w:b/>
      <w:bCs/>
      <w:spacing w:val="10"/>
    </w:rPr>
  </w:style>
  <w:style w:type="paragraph" w:customStyle="1" w:styleId="upove">
    <w:name w:val="upov_e"/>
    <w:basedOn w:val="Normal"/>
    <w:rsid w:val="001101CB"/>
    <w:pPr>
      <w:spacing w:before="60"/>
      <w:jc w:val="center"/>
    </w:pPr>
    <w:rPr>
      <w:b/>
      <w:bCs/>
      <w:spacing w:val="8"/>
      <w:sz w:val="24"/>
    </w:rPr>
  </w:style>
  <w:style w:type="paragraph" w:customStyle="1" w:styleId="Country">
    <w:name w:val="Country"/>
    <w:basedOn w:val="Normal"/>
    <w:semiHidden/>
    <w:rsid w:val="001101CB"/>
    <w:pPr>
      <w:spacing w:before="60" w:after="480"/>
      <w:jc w:val="center"/>
    </w:pPr>
  </w:style>
  <w:style w:type="paragraph" w:customStyle="1" w:styleId="Lettrine">
    <w:name w:val="Lettrine"/>
    <w:basedOn w:val="Normal"/>
    <w:rsid w:val="001101CB"/>
    <w:pPr>
      <w:spacing w:after="120" w:line="340" w:lineRule="atLeast"/>
      <w:jc w:val="right"/>
    </w:pPr>
    <w:rPr>
      <w:b/>
      <w:bCs/>
      <w:sz w:val="56"/>
    </w:rPr>
  </w:style>
  <w:style w:type="paragraph" w:customStyle="1" w:styleId="LogoUPOV">
    <w:name w:val="LogoUPOV"/>
    <w:basedOn w:val="Normal"/>
    <w:rsid w:val="001101CB"/>
    <w:pPr>
      <w:spacing w:before="720"/>
      <w:jc w:val="center"/>
    </w:pPr>
  </w:style>
  <w:style w:type="character" w:customStyle="1" w:styleId="DocoriginalChar">
    <w:name w:val="Doc_original Char"/>
    <w:basedOn w:val="DefaultParagraphFont"/>
    <w:link w:val="Docoriginal"/>
    <w:rsid w:val="001101CB"/>
    <w:rPr>
      <w:rFonts w:ascii="Arial" w:hAnsi="Arial"/>
      <w:b/>
      <w:bCs/>
      <w:spacing w:val="10"/>
    </w:rPr>
  </w:style>
  <w:style w:type="character" w:customStyle="1" w:styleId="StyleDocoriginalNotBold1">
    <w:name w:val="Style Doc_original + Not Bold1"/>
    <w:basedOn w:val="DefaultParagraphFont"/>
    <w:rsid w:val="001101CB"/>
    <w:rPr>
      <w:rFonts w:ascii="Arial" w:hAnsi="Arial"/>
      <w:b/>
      <w:bCs/>
      <w:spacing w:val="10"/>
      <w:lang w:val="en-US" w:eastAsia="en-US" w:bidi="ar-SA"/>
    </w:rPr>
  </w:style>
  <w:style w:type="character" w:customStyle="1" w:styleId="StyleDoclangBold">
    <w:name w:val="Style Doc_lang + Bold"/>
    <w:basedOn w:val="DefaultParagraphFont"/>
    <w:rsid w:val="001101CB"/>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1717</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HUERTA-CASADO Yolanda</cp:lastModifiedBy>
  <cp:revision>5</cp:revision>
  <cp:lastPrinted>2013-10-01T08:22:00Z</cp:lastPrinted>
  <dcterms:created xsi:type="dcterms:W3CDTF">2013-10-01T08:11:00Z</dcterms:created>
  <dcterms:modified xsi:type="dcterms:W3CDTF">2013-10-01T12:43:00Z</dcterms:modified>
</cp:coreProperties>
</file>