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Ind w:w="-38" w:type="dxa"/>
        <w:tblLayout w:type="fixed"/>
        <w:tblCellMar>
          <w:left w:w="0" w:type="dxa"/>
          <w:right w:w="0" w:type="dxa"/>
        </w:tblCellMar>
        <w:tblLook w:val="0000" w:firstRow="0" w:lastRow="0" w:firstColumn="0" w:lastColumn="0" w:noHBand="0" w:noVBand="0"/>
      </w:tblPr>
      <w:tblGrid>
        <w:gridCol w:w="4281"/>
        <w:gridCol w:w="1646"/>
        <w:gridCol w:w="4261"/>
      </w:tblGrid>
      <w:tr w:rsidR="00AD789A" w:rsidRPr="00253DB0" w:rsidTr="00BA0D02">
        <w:trPr>
          <w:trHeight w:val="1760"/>
          <w:jc w:val="center"/>
        </w:trPr>
        <w:tc>
          <w:tcPr>
            <w:tcW w:w="4281" w:type="dxa"/>
          </w:tcPr>
          <w:p w:rsidR="00AD789A" w:rsidRPr="00253DB0" w:rsidRDefault="00AD789A" w:rsidP="00EA7607"/>
        </w:tc>
        <w:tc>
          <w:tcPr>
            <w:tcW w:w="1646" w:type="dxa"/>
          </w:tcPr>
          <w:p w:rsidR="00AD789A" w:rsidRPr="000C48AC" w:rsidRDefault="00E74EB4" w:rsidP="00EA7607">
            <w:pPr>
              <w:pStyle w:val="LogoUPOV"/>
            </w:pPr>
            <w:r w:rsidRPr="000C48AC">
              <w:rPr>
                <w:noProof/>
                <w:lang w:val="en-US"/>
              </w:rPr>
              <w:drawing>
                <wp:inline distT="0" distB="0" distL="0" distR="0" wp14:anchorId="29E17765" wp14:editId="49AE17E9">
                  <wp:extent cx="1057275" cy="578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438"/>
                          <a:stretch>
                            <a:fillRect/>
                          </a:stretch>
                        </pic:blipFill>
                        <pic:spPr bwMode="auto">
                          <a:xfrm>
                            <a:off x="0" y="0"/>
                            <a:ext cx="1057275" cy="578197"/>
                          </a:xfrm>
                          <a:prstGeom prst="rect">
                            <a:avLst/>
                          </a:prstGeom>
                          <a:noFill/>
                          <a:ln>
                            <a:noFill/>
                          </a:ln>
                        </pic:spPr>
                      </pic:pic>
                    </a:graphicData>
                  </a:graphic>
                </wp:inline>
              </w:drawing>
            </w:r>
          </w:p>
        </w:tc>
        <w:tc>
          <w:tcPr>
            <w:tcW w:w="4261" w:type="dxa"/>
            <w:vAlign w:val="center"/>
          </w:tcPr>
          <w:p w:rsidR="00AD789A" w:rsidRPr="000C48AC" w:rsidRDefault="00BA0D02" w:rsidP="00EA7607">
            <w:pPr>
              <w:pStyle w:val="Lettrine"/>
              <w:ind w:right="284"/>
            </w:pPr>
            <w:r w:rsidRPr="000C48AC">
              <w:t>S</w:t>
            </w:r>
          </w:p>
          <w:p w:rsidR="00AD789A" w:rsidRPr="000C48AC" w:rsidRDefault="00AD789A" w:rsidP="00D22B20">
            <w:pPr>
              <w:pStyle w:val="Code"/>
              <w:spacing w:line="280" w:lineRule="exact"/>
              <w:ind w:left="869"/>
            </w:pPr>
            <w:r w:rsidRPr="000C48AC">
              <w:t>TGP/</w:t>
            </w:r>
            <w:r w:rsidR="00D22B20" w:rsidRPr="000C48AC">
              <w:t xml:space="preserve">15/1 </w:t>
            </w:r>
            <w:proofErr w:type="spellStart"/>
            <w:r w:rsidR="00D22B20" w:rsidRPr="000C48AC">
              <w:t>Draft</w:t>
            </w:r>
            <w:proofErr w:type="spellEnd"/>
            <w:r w:rsidR="00D22B20" w:rsidRPr="000C48AC">
              <w:t xml:space="preserve"> 5</w:t>
            </w:r>
          </w:p>
          <w:p w:rsidR="00AD789A" w:rsidRPr="000C48AC" w:rsidRDefault="00AD789A" w:rsidP="00D22B20">
            <w:pPr>
              <w:pStyle w:val="Code"/>
              <w:spacing w:line="280" w:lineRule="exact"/>
              <w:ind w:left="869"/>
              <w:rPr>
                <w:spacing w:val="0"/>
              </w:rPr>
            </w:pPr>
            <w:r w:rsidRPr="000C48AC">
              <w:rPr>
                <w:spacing w:val="0"/>
              </w:rPr>
              <w:t xml:space="preserve">ORIGINAL:  </w:t>
            </w:r>
            <w:r w:rsidR="00BA0D02" w:rsidRPr="000C48AC">
              <w:rPr>
                <w:b w:val="0"/>
                <w:spacing w:val="0"/>
              </w:rPr>
              <w:t>Inglés</w:t>
            </w:r>
          </w:p>
          <w:p w:rsidR="00AD789A" w:rsidRPr="00253DB0" w:rsidRDefault="00BA0D02" w:rsidP="000C48AC">
            <w:pPr>
              <w:pStyle w:val="Code"/>
              <w:spacing w:line="280" w:lineRule="exact"/>
              <w:ind w:left="869"/>
            </w:pPr>
            <w:r w:rsidRPr="000C48AC">
              <w:rPr>
                <w:spacing w:val="0"/>
              </w:rPr>
              <w:t>FECHA</w:t>
            </w:r>
            <w:r w:rsidR="00AD789A" w:rsidRPr="000C48AC">
              <w:rPr>
                <w:spacing w:val="0"/>
              </w:rPr>
              <w:t>:</w:t>
            </w:r>
            <w:r w:rsidR="00AD789A" w:rsidRPr="000C48AC">
              <w:rPr>
                <w:b w:val="0"/>
                <w:spacing w:val="0"/>
              </w:rPr>
              <w:t xml:space="preserve">  </w:t>
            </w:r>
            <w:r w:rsidR="00D22B20" w:rsidRPr="000C48AC">
              <w:rPr>
                <w:b w:val="0"/>
                <w:spacing w:val="0"/>
              </w:rPr>
              <w:t xml:space="preserve">1 de </w:t>
            </w:r>
            <w:r w:rsidR="000C48AC" w:rsidRPr="000C48AC">
              <w:rPr>
                <w:b w:val="0"/>
                <w:spacing w:val="0"/>
              </w:rPr>
              <w:t xml:space="preserve">octubre </w:t>
            </w:r>
            <w:r w:rsidR="00D22B20" w:rsidRPr="000C48AC">
              <w:rPr>
                <w:b w:val="0"/>
                <w:spacing w:val="0"/>
              </w:rPr>
              <w:t>de 2013</w:t>
            </w:r>
          </w:p>
        </w:tc>
      </w:tr>
      <w:tr w:rsidR="00AD789A" w:rsidRPr="00253DB0" w:rsidTr="00BA0D02">
        <w:trPr>
          <w:jc w:val="center"/>
        </w:trPr>
        <w:tc>
          <w:tcPr>
            <w:tcW w:w="10188" w:type="dxa"/>
            <w:gridSpan w:val="3"/>
          </w:tcPr>
          <w:p w:rsidR="00AD789A" w:rsidRPr="00253DB0" w:rsidRDefault="00BA0D02" w:rsidP="00EA7607">
            <w:pPr>
              <w:pStyle w:val="TitreUpov"/>
              <w:rPr>
                <w:rFonts w:ascii="Arial Bold" w:hAnsi="Arial Bold"/>
                <w:spacing w:val="2"/>
                <w:szCs w:val="24"/>
              </w:rPr>
            </w:pPr>
            <w:r w:rsidRPr="00253DB0">
              <w:rPr>
                <w:rFonts w:ascii="Arial Bold" w:hAnsi="Arial Bold"/>
                <w:snapToGrid w:val="0"/>
                <w:spacing w:val="2"/>
                <w:szCs w:val="24"/>
              </w:rPr>
              <w:t>UNIÓN INTERNACIONAL PARA LA PROTECCIÓN DE LAS OBTENCIONES VEGETALES</w:t>
            </w:r>
          </w:p>
        </w:tc>
      </w:tr>
      <w:tr w:rsidR="00AD789A" w:rsidRPr="00253DB0" w:rsidTr="00BA0D02">
        <w:trPr>
          <w:jc w:val="center"/>
        </w:trPr>
        <w:tc>
          <w:tcPr>
            <w:tcW w:w="10188" w:type="dxa"/>
            <w:gridSpan w:val="3"/>
          </w:tcPr>
          <w:p w:rsidR="00AD789A" w:rsidRPr="00253DB0" w:rsidRDefault="007E7C87" w:rsidP="00EA7607">
            <w:pPr>
              <w:pStyle w:val="Country"/>
            </w:pPr>
            <w:r w:rsidRPr="00253DB0">
              <w:t>Ginebra</w:t>
            </w:r>
          </w:p>
        </w:tc>
      </w:tr>
    </w:tbl>
    <w:p w:rsidR="00294032" w:rsidRPr="00253DB0" w:rsidRDefault="00294032" w:rsidP="00294032"/>
    <w:p w:rsidR="00294032" w:rsidRPr="00253DB0" w:rsidRDefault="00294032" w:rsidP="0029403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253DB0" w:rsidTr="004B662C">
        <w:tc>
          <w:tcPr>
            <w:tcW w:w="9639" w:type="dxa"/>
            <w:shd w:val="pct15" w:color="auto" w:fill="FFFFFF"/>
            <w:vAlign w:val="center"/>
          </w:tcPr>
          <w:p w:rsidR="00294032" w:rsidRPr="00253DB0" w:rsidRDefault="007E7C87" w:rsidP="004B662C">
            <w:pPr>
              <w:pStyle w:val="TitleofSection"/>
              <w:spacing w:before="240" w:after="240"/>
              <w:rPr>
                <w:lang w:val="es-ES_tradnl"/>
              </w:rPr>
            </w:pPr>
            <w:r w:rsidRPr="00253DB0">
              <w:rPr>
                <w:lang w:val="es-ES_tradnl"/>
              </w:rPr>
              <w:t>PROYECTO</w:t>
            </w:r>
          </w:p>
        </w:tc>
      </w:tr>
    </w:tbl>
    <w:p w:rsidR="00294032" w:rsidRPr="00253DB0" w:rsidRDefault="00294032" w:rsidP="00294032"/>
    <w:p w:rsidR="00294032" w:rsidRPr="00253DB0" w:rsidRDefault="00294032" w:rsidP="00294032"/>
    <w:p w:rsidR="007E7C87" w:rsidRPr="00253DB0" w:rsidRDefault="007E7C87" w:rsidP="007E7C87">
      <w:pPr>
        <w:jc w:val="center"/>
        <w:rPr>
          <w:u w:val="single"/>
        </w:rPr>
      </w:pPr>
      <w:r w:rsidRPr="00253DB0">
        <w:rPr>
          <w:u w:val="single"/>
        </w:rPr>
        <w:t>Documento conexo</w:t>
      </w:r>
    </w:p>
    <w:p w:rsidR="007E7C87" w:rsidRPr="00253DB0" w:rsidRDefault="007E7C87" w:rsidP="007E7C87">
      <w:pPr>
        <w:jc w:val="center"/>
        <w:rPr>
          <w:u w:val="single"/>
        </w:rPr>
      </w:pPr>
      <w:proofErr w:type="gramStart"/>
      <w:r w:rsidRPr="00253DB0">
        <w:rPr>
          <w:u w:val="single"/>
        </w:rPr>
        <w:t>a</w:t>
      </w:r>
      <w:proofErr w:type="gramEnd"/>
      <w:r w:rsidRPr="00253DB0">
        <w:rPr>
          <w:u w:val="single"/>
        </w:rPr>
        <w:t xml:space="preserve"> la Introducción general al examen de la</w:t>
      </w:r>
    </w:p>
    <w:p w:rsidR="007E7C87" w:rsidRPr="00253DB0" w:rsidRDefault="007E7C87" w:rsidP="007E7C87">
      <w:pPr>
        <w:jc w:val="center"/>
        <w:rPr>
          <w:u w:val="single"/>
        </w:rPr>
      </w:pPr>
      <w:proofErr w:type="gramStart"/>
      <w:r w:rsidRPr="00253DB0">
        <w:rPr>
          <w:u w:val="single"/>
        </w:rPr>
        <w:t>distinción</w:t>
      </w:r>
      <w:proofErr w:type="gramEnd"/>
      <w:r w:rsidRPr="00253DB0">
        <w:rPr>
          <w:u w:val="single"/>
        </w:rPr>
        <w:t>, la homogeneidad y la estabilidad y a la</w:t>
      </w:r>
    </w:p>
    <w:p w:rsidR="007E7C87" w:rsidRPr="00253DB0" w:rsidRDefault="007E7C87" w:rsidP="007E7C87">
      <w:pPr>
        <w:jc w:val="center"/>
        <w:rPr>
          <w:u w:val="single"/>
        </w:rPr>
      </w:pPr>
      <w:proofErr w:type="gramStart"/>
      <w:r w:rsidRPr="00253DB0">
        <w:rPr>
          <w:u w:val="single"/>
        </w:rPr>
        <w:t>elaboración</w:t>
      </w:r>
      <w:proofErr w:type="gramEnd"/>
      <w:r w:rsidRPr="00253DB0">
        <w:rPr>
          <w:u w:val="single"/>
        </w:rPr>
        <w:t xml:space="preserve"> de descripciones armonizadas de las obtenciones vegetales</w:t>
      </w:r>
      <w:bookmarkStart w:id="0" w:name="_GoBack"/>
      <w:bookmarkEnd w:id="0"/>
    </w:p>
    <w:p w:rsidR="00AD789A" w:rsidRPr="00253DB0" w:rsidRDefault="007E7C87" w:rsidP="007E7C87">
      <w:pPr>
        <w:jc w:val="center"/>
        <w:rPr>
          <w:u w:val="single"/>
        </w:rPr>
      </w:pPr>
      <w:r w:rsidRPr="00253DB0">
        <w:rPr>
          <w:u w:val="single"/>
        </w:rPr>
        <w:t>(</w:t>
      </w:r>
      <w:proofErr w:type="gramStart"/>
      <w:r w:rsidRPr="00253DB0">
        <w:rPr>
          <w:u w:val="single"/>
        </w:rPr>
        <w:t>documento</w:t>
      </w:r>
      <w:proofErr w:type="gramEnd"/>
      <w:r w:rsidRPr="00253DB0">
        <w:rPr>
          <w:u w:val="single"/>
        </w:rPr>
        <w:t xml:space="preserve"> TG/1/3)</w:t>
      </w:r>
    </w:p>
    <w:p w:rsidR="00294032" w:rsidRDefault="00AD789A" w:rsidP="00F07748">
      <w:pPr>
        <w:pStyle w:val="TitleofDoc"/>
      </w:pPr>
      <w:r w:rsidRPr="00253DB0">
        <w:rPr>
          <w:color w:val="000000"/>
        </w:rPr>
        <w:t>Document</w:t>
      </w:r>
      <w:r w:rsidR="007E7C87" w:rsidRPr="00253DB0">
        <w:rPr>
          <w:color w:val="000000"/>
        </w:rPr>
        <w:t>O</w:t>
      </w:r>
      <w:r w:rsidRPr="00253DB0">
        <w:rPr>
          <w:color w:val="000000"/>
        </w:rPr>
        <w:t xml:space="preserve"> TGP/</w:t>
      </w:r>
      <w:r w:rsidR="00D22B20">
        <w:rPr>
          <w:color w:val="000000"/>
        </w:rPr>
        <w:t>15</w:t>
      </w:r>
      <w:r w:rsidRPr="00253DB0">
        <w:rPr>
          <w:color w:val="000000"/>
        </w:rPr>
        <w:br/>
      </w:r>
      <w:r w:rsidRPr="00253DB0">
        <w:br/>
      </w:r>
      <w:r w:rsidR="00F07748">
        <w:t xml:space="preserve">ORIENTACIÓN SOBRE EL USO DE MARCADORES BIOQUÍMICOS Y MOLECULARES </w:t>
      </w:r>
      <w:r w:rsidR="00F07748">
        <w:br/>
        <w:t>EN EL EXAMEN DE LA DISTINCIÓN, LA HOMOGENEIDAD Y LA ESTABILIDAD (DHE)</w:t>
      </w:r>
    </w:p>
    <w:p w:rsidR="00F07748" w:rsidRPr="00253DB0" w:rsidRDefault="00F07748" w:rsidP="00F07748">
      <w:pPr>
        <w:pStyle w:val="TitleofDoc"/>
      </w:pPr>
    </w:p>
    <w:p w:rsidR="007E7C87" w:rsidRPr="00253DB0" w:rsidRDefault="007E7C87" w:rsidP="007E7C87">
      <w:pPr>
        <w:pStyle w:val="preparedby1"/>
        <w:rPr>
          <w:color w:val="A6A6A6"/>
        </w:rPr>
      </w:pPr>
      <w:r w:rsidRPr="00253DB0">
        <w:t>Documento preparado por la Oficina de la Unión</w:t>
      </w:r>
      <w:r w:rsidR="00294032" w:rsidRPr="00253DB0">
        <w:br/>
      </w:r>
      <w:r w:rsidR="00294032" w:rsidRPr="00253DB0">
        <w:br/>
      </w:r>
      <w:r w:rsidRPr="00253DB0">
        <w:t>para su examen por el Consejo en su</w:t>
      </w:r>
      <w:r w:rsidR="00294032" w:rsidRPr="00253DB0">
        <w:t xml:space="preserve"> </w:t>
      </w:r>
      <w:r w:rsidR="00D22B20">
        <w:t xml:space="preserve">cuadragésima séptima </w:t>
      </w:r>
      <w:r w:rsidR="00294032" w:rsidRPr="00D22B20">
        <w:t>sesi</w:t>
      </w:r>
      <w:r w:rsidRPr="00D22B20">
        <w:t>ó</w:t>
      </w:r>
      <w:r w:rsidR="00294032" w:rsidRPr="00D22B20">
        <w:t>n</w:t>
      </w:r>
      <w:r w:rsidRPr="00D22B20">
        <w:t xml:space="preserve"> ordinaria</w:t>
      </w:r>
      <w:r w:rsidR="00294032" w:rsidRPr="00253DB0">
        <w:br/>
      </w:r>
      <w:r w:rsidRPr="00253DB0">
        <w:t xml:space="preserve">que se celebrará en Ginebra el </w:t>
      </w:r>
      <w:r w:rsidR="00D22B20">
        <w:t>24 de octubre de 2013</w:t>
      </w:r>
      <w:r w:rsidR="00294032" w:rsidRPr="00253DB0">
        <w:br/>
      </w:r>
      <w:r w:rsidR="00294032" w:rsidRPr="00253DB0">
        <w:br/>
      </w:r>
      <w:r w:rsidR="00294032" w:rsidRPr="00253DB0">
        <w:br/>
      </w:r>
      <w:r w:rsidRPr="00253DB0">
        <w:rPr>
          <w:color w:val="A6A6A6"/>
        </w:rPr>
        <w:t>Descargo de responsabilidad</w:t>
      </w:r>
      <w:proofErr w:type="gramStart"/>
      <w:r w:rsidRPr="00253DB0">
        <w:rPr>
          <w:color w:val="A6A6A6"/>
        </w:rPr>
        <w:t>:  el</w:t>
      </w:r>
      <w:proofErr w:type="gramEnd"/>
      <w:r w:rsidRPr="00253DB0">
        <w:rPr>
          <w:color w:val="A6A6A6"/>
        </w:rPr>
        <w:t xml:space="preserve"> presente documento no constituye</w:t>
      </w:r>
      <w:r w:rsidRPr="00253DB0">
        <w:rPr>
          <w:color w:val="A6A6A6"/>
        </w:rPr>
        <w:br/>
        <w:t>un documento de política u orientación de la UPOV</w:t>
      </w:r>
    </w:p>
    <w:p w:rsidR="00047D7F" w:rsidRPr="00253DB0" w:rsidRDefault="00047D7F" w:rsidP="00047D7F"/>
    <w:p w:rsidR="002D1FCA" w:rsidRDefault="002D1FCA">
      <w:pPr>
        <w:jc w:val="left"/>
      </w:pPr>
      <w:r>
        <w:br w:type="page"/>
      </w:r>
    </w:p>
    <w:p w:rsidR="002D1FCA" w:rsidRPr="00B83EDF" w:rsidRDefault="002D1FCA" w:rsidP="002D1FCA">
      <w:pPr>
        <w:tabs>
          <w:tab w:val="left" w:pos="3800"/>
        </w:tabs>
        <w:spacing w:before="120" w:after="120"/>
        <w:ind w:left="567" w:hanging="567"/>
        <w:rPr>
          <w:rFonts w:cs="Arial"/>
          <w:lang w:val="es-ES"/>
        </w:rPr>
      </w:pPr>
    </w:p>
    <w:p w:rsidR="009F3ED8" w:rsidRDefault="002D1FCA" w:rsidP="009F3ED8">
      <w:pPr>
        <w:pStyle w:val="TOC1"/>
        <w:rPr>
          <w:rFonts w:asciiTheme="minorHAnsi" w:eastAsiaTheme="minorEastAsia" w:hAnsiTheme="minorHAnsi" w:cstheme="minorBidi"/>
          <w:sz w:val="22"/>
          <w:szCs w:val="22"/>
        </w:rPr>
      </w:pPr>
      <w:r w:rsidRPr="00B83EDF">
        <w:fldChar w:fldCharType="begin"/>
      </w:r>
      <w:r w:rsidRPr="00B83EDF">
        <w:instrText xml:space="preserve"> TOC \o "1-3" </w:instrText>
      </w:r>
      <w:r w:rsidRPr="00B83EDF">
        <w:fldChar w:fldCharType="separate"/>
      </w:r>
      <w:r w:rsidR="009F3ED8" w:rsidRPr="005307A9">
        <w:rPr>
          <w:rFonts w:cs="Arial"/>
          <w:lang w:val="es-ES"/>
        </w:rPr>
        <w:t>1.</w:t>
      </w:r>
      <w:r w:rsidR="009F3ED8">
        <w:rPr>
          <w:rFonts w:asciiTheme="minorHAnsi" w:eastAsiaTheme="minorEastAsia" w:hAnsiTheme="minorHAnsi" w:cstheme="minorBidi"/>
          <w:sz w:val="22"/>
          <w:szCs w:val="22"/>
        </w:rPr>
        <w:tab/>
      </w:r>
      <w:r w:rsidR="009F3ED8" w:rsidRPr="005307A9">
        <w:rPr>
          <w:rFonts w:cs="Arial"/>
          <w:lang w:val="es-ES"/>
        </w:rPr>
        <w:t>Introducción</w:t>
      </w:r>
      <w:r w:rsidR="009F3ED8">
        <w:tab/>
      </w:r>
      <w:r w:rsidR="009F3ED8">
        <w:fldChar w:fldCharType="begin"/>
      </w:r>
      <w:r w:rsidR="009F3ED8">
        <w:instrText xml:space="preserve"> PAGEREF _Toc366768816 \h </w:instrText>
      </w:r>
      <w:r w:rsidR="009F3ED8">
        <w:fldChar w:fldCharType="separate"/>
      </w:r>
      <w:r w:rsidR="00B339F2">
        <w:t>3</w:t>
      </w:r>
      <w:r w:rsidR="009F3ED8">
        <w:fldChar w:fldCharType="end"/>
      </w:r>
    </w:p>
    <w:p w:rsidR="009F3ED8" w:rsidRDefault="009F3ED8" w:rsidP="009F3ED8">
      <w:pPr>
        <w:pStyle w:val="TOC1"/>
        <w:rPr>
          <w:rFonts w:asciiTheme="minorHAnsi" w:eastAsiaTheme="minorEastAsia" w:hAnsiTheme="minorHAnsi" w:cstheme="minorBidi"/>
          <w:sz w:val="22"/>
          <w:szCs w:val="22"/>
        </w:rPr>
      </w:pPr>
      <w:r w:rsidRPr="005307A9">
        <w:rPr>
          <w:rFonts w:cs="Arial"/>
          <w:lang w:val="es-ES"/>
        </w:rPr>
        <w:t>2.</w:t>
      </w:r>
      <w:r>
        <w:rPr>
          <w:rFonts w:asciiTheme="minorHAnsi" w:eastAsiaTheme="minorEastAsia" w:hAnsiTheme="minorHAnsi" w:cstheme="minorBidi"/>
          <w:sz w:val="22"/>
          <w:szCs w:val="22"/>
        </w:rPr>
        <w:tab/>
      </w:r>
      <w:r w:rsidRPr="005307A9">
        <w:rPr>
          <w:lang w:val="es-ES"/>
        </w:rPr>
        <w:t>MODELOS DE APLICACIÓN</w:t>
      </w:r>
      <w:r>
        <w:tab/>
      </w:r>
      <w:r>
        <w:fldChar w:fldCharType="begin"/>
      </w:r>
      <w:r>
        <w:instrText xml:space="preserve"> PAGEREF _Toc366768817 \h </w:instrText>
      </w:r>
      <w:r>
        <w:fldChar w:fldCharType="separate"/>
      </w:r>
      <w:r w:rsidR="00B339F2">
        <w:t>3</w:t>
      </w:r>
      <w:r>
        <w:fldChar w:fldCharType="end"/>
      </w:r>
    </w:p>
    <w:p w:rsidR="009F3ED8" w:rsidRDefault="009F3ED8">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Marcadores moleculares ligados a caracteres (véase el Anexo 1)</w:t>
      </w:r>
      <w:r>
        <w:tab/>
      </w:r>
      <w:r>
        <w:fldChar w:fldCharType="begin"/>
      </w:r>
      <w:r>
        <w:instrText xml:space="preserve"> PAGEREF _Toc366768818 \h </w:instrText>
      </w:r>
      <w:r>
        <w:fldChar w:fldCharType="separate"/>
      </w:r>
      <w:r w:rsidR="00B339F2">
        <w:t>3</w:t>
      </w:r>
      <w:r>
        <w:fldChar w:fldCharType="end"/>
      </w:r>
    </w:p>
    <w:p w:rsidR="009F3ED8" w:rsidRDefault="009F3ED8">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Combinación de distancias fenotípicas y moleculares en la gestión de las colecciones de variedades (véase el Anexo 2)</w:t>
      </w:r>
      <w:r>
        <w:tab/>
      </w:r>
      <w:r>
        <w:fldChar w:fldCharType="begin"/>
      </w:r>
      <w:r>
        <w:instrText xml:space="preserve"> PAGEREF _Toc366768819 \h </w:instrText>
      </w:r>
      <w:r>
        <w:fldChar w:fldCharType="separate"/>
      </w:r>
      <w:r w:rsidR="00B339F2">
        <w:t>4</w:t>
      </w:r>
      <w:r>
        <w:fldChar w:fldCharType="end"/>
      </w:r>
    </w:p>
    <w:p w:rsidR="002D1FCA" w:rsidRPr="00B83EDF" w:rsidRDefault="002D1FCA" w:rsidP="002D1FCA">
      <w:pPr>
        <w:tabs>
          <w:tab w:val="left" w:pos="1980"/>
        </w:tabs>
        <w:rPr>
          <w:rFonts w:cs="Arial"/>
          <w:snapToGrid w:val="0"/>
          <w:lang w:val="es-ES"/>
        </w:rPr>
      </w:pPr>
      <w:r w:rsidRPr="00B83EDF">
        <w:rPr>
          <w:lang w:val="es-ES"/>
        </w:rPr>
        <w:fldChar w:fldCharType="end"/>
      </w:r>
    </w:p>
    <w:p w:rsidR="002D1FCA" w:rsidRPr="00B83EDF" w:rsidRDefault="002D1FCA" w:rsidP="002D1FCA">
      <w:pPr>
        <w:tabs>
          <w:tab w:val="left" w:pos="1260"/>
        </w:tabs>
        <w:spacing w:after="60"/>
        <w:ind w:left="1260" w:hanging="1260"/>
        <w:rPr>
          <w:rFonts w:cs="Arial"/>
          <w:snapToGrid w:val="0"/>
          <w:lang w:val="es-ES"/>
        </w:rPr>
      </w:pPr>
      <w:r w:rsidRPr="00B83EDF">
        <w:rPr>
          <w:rFonts w:cs="Arial"/>
          <w:snapToGrid w:val="0"/>
          <w:lang w:val="es-ES"/>
        </w:rPr>
        <w:t>ANEXO 1</w:t>
      </w:r>
      <w:r w:rsidRPr="00B83EDF">
        <w:rPr>
          <w:rFonts w:cs="Arial"/>
          <w:snapToGrid w:val="0"/>
          <w:lang w:val="es-ES"/>
        </w:rPr>
        <w:tab/>
        <w:t>MODELO</w:t>
      </w:r>
      <w:proofErr w:type="gramStart"/>
      <w:r w:rsidRPr="00B83EDF">
        <w:rPr>
          <w:rFonts w:cs="Arial"/>
          <w:snapToGrid w:val="0"/>
          <w:lang w:val="es-ES"/>
        </w:rPr>
        <w:t>:  MARCADORES</w:t>
      </w:r>
      <w:proofErr w:type="gramEnd"/>
      <w:r w:rsidRPr="00B83EDF">
        <w:rPr>
          <w:rFonts w:cs="Arial"/>
          <w:snapToGrid w:val="0"/>
          <w:lang w:val="es-ES"/>
        </w:rPr>
        <w:t xml:space="preserve"> MOLECULARES LIGADOS A CARACTERES</w:t>
      </w:r>
    </w:p>
    <w:p w:rsidR="002D1FCA" w:rsidRPr="00B83EDF" w:rsidRDefault="002D1FCA" w:rsidP="002D1FCA">
      <w:pPr>
        <w:tabs>
          <w:tab w:val="left" w:pos="1440"/>
        </w:tabs>
        <w:rPr>
          <w:rFonts w:cs="Arial"/>
          <w:snapToGrid w:val="0"/>
          <w:sz w:val="18"/>
          <w:szCs w:val="18"/>
          <w:lang w:val="es-ES"/>
        </w:rPr>
      </w:pPr>
      <w:r w:rsidRPr="00B83EDF">
        <w:rPr>
          <w:rFonts w:cs="Arial"/>
          <w:snapToGrid w:val="0"/>
          <w:sz w:val="18"/>
          <w:szCs w:val="18"/>
          <w:lang w:val="es-ES"/>
        </w:rPr>
        <w:tab/>
        <w:t>EJEMPLO</w:t>
      </w:r>
      <w:proofErr w:type="gramStart"/>
      <w:r w:rsidRPr="00B83EDF">
        <w:rPr>
          <w:rFonts w:cs="Arial"/>
          <w:snapToGrid w:val="0"/>
          <w:sz w:val="18"/>
          <w:szCs w:val="18"/>
          <w:lang w:val="es-ES"/>
        </w:rPr>
        <w:t>:  MARCADOR</w:t>
      </w:r>
      <w:proofErr w:type="gramEnd"/>
      <w:r w:rsidRPr="00B83EDF">
        <w:rPr>
          <w:rFonts w:cs="Arial"/>
          <w:snapToGrid w:val="0"/>
          <w:sz w:val="18"/>
          <w:szCs w:val="18"/>
          <w:lang w:val="es-ES"/>
        </w:rPr>
        <w:t xml:space="preserve"> GENÉTICO ESPECÍFICO PARA </w:t>
      </w:r>
      <w:smartTag w:uri="urn:schemas-microsoft-com:office:smarttags" w:element="PersonName">
        <w:smartTagPr>
          <w:attr w:name="ProductID" w:val="LA TOLERANCIA A LOS"/>
        </w:smartTagPr>
        <w:r w:rsidRPr="00B83EDF">
          <w:rPr>
            <w:rFonts w:cs="Arial"/>
            <w:snapToGrid w:val="0"/>
            <w:sz w:val="18"/>
            <w:szCs w:val="18"/>
            <w:lang w:val="es-ES"/>
          </w:rPr>
          <w:t>LA TOLERANCIA A LOS</w:t>
        </w:r>
      </w:smartTag>
      <w:r w:rsidRPr="00B83EDF">
        <w:rPr>
          <w:rFonts w:cs="Arial"/>
          <w:snapToGrid w:val="0"/>
          <w:sz w:val="18"/>
          <w:szCs w:val="18"/>
          <w:lang w:val="es-ES"/>
        </w:rPr>
        <w:t xml:space="preserve"> HERBICIDAS</w:t>
      </w:r>
    </w:p>
    <w:p w:rsidR="002D1FCA" w:rsidRPr="00B83EDF" w:rsidRDefault="002D1FCA" w:rsidP="002D1FCA">
      <w:pPr>
        <w:tabs>
          <w:tab w:val="left" w:pos="1980"/>
        </w:tabs>
        <w:rPr>
          <w:rFonts w:cs="Arial"/>
          <w:snapToGrid w:val="0"/>
          <w:lang w:val="es-ES"/>
        </w:rPr>
      </w:pPr>
    </w:p>
    <w:p w:rsidR="002D1FCA" w:rsidRPr="00B83EDF" w:rsidRDefault="002D1FCA" w:rsidP="002D1FCA">
      <w:pPr>
        <w:tabs>
          <w:tab w:val="left" w:pos="1260"/>
        </w:tabs>
        <w:spacing w:after="60"/>
        <w:ind w:left="1260" w:hanging="1260"/>
        <w:rPr>
          <w:rFonts w:cs="Arial"/>
          <w:snapToGrid w:val="0"/>
          <w:lang w:val="es-ES"/>
        </w:rPr>
      </w:pPr>
      <w:r w:rsidRPr="00B83EDF">
        <w:rPr>
          <w:rFonts w:cs="Arial"/>
          <w:snapToGrid w:val="0"/>
          <w:lang w:val="es-ES"/>
        </w:rPr>
        <w:t xml:space="preserve">ANEXO </w:t>
      </w:r>
      <w:r w:rsidRPr="009F3ED8">
        <w:rPr>
          <w:rFonts w:cs="Arial"/>
          <w:snapToGrid w:val="0"/>
          <w:lang w:val="es-ES"/>
        </w:rPr>
        <w:t>2</w:t>
      </w:r>
      <w:r w:rsidRPr="00B83EDF">
        <w:rPr>
          <w:rFonts w:cs="Arial"/>
          <w:snapToGrid w:val="0"/>
          <w:lang w:val="es-ES"/>
        </w:rPr>
        <w:tab/>
        <w:t>MODELO</w:t>
      </w:r>
      <w:proofErr w:type="gramStart"/>
      <w:r w:rsidRPr="00B83EDF">
        <w:rPr>
          <w:rFonts w:cs="Arial"/>
          <w:snapToGrid w:val="0"/>
          <w:lang w:val="es-ES"/>
        </w:rPr>
        <w:t>:  COMBINACIÓN</w:t>
      </w:r>
      <w:proofErr w:type="gramEnd"/>
      <w:r w:rsidRPr="00B83EDF">
        <w:rPr>
          <w:rFonts w:cs="Arial"/>
          <w:snapToGrid w:val="0"/>
          <w:lang w:val="es-ES"/>
        </w:rPr>
        <w:t xml:space="preserve"> DE DISTANCIAS FENOTÍPICAS Y MOLECULARES EN LA GESTIÓN DE COLECCIONES DE VARIEDADES</w:t>
      </w:r>
    </w:p>
    <w:p w:rsidR="002D1FCA" w:rsidRPr="009F3ED8" w:rsidRDefault="002D1FCA" w:rsidP="002D1FCA">
      <w:pPr>
        <w:tabs>
          <w:tab w:val="left" w:pos="1440"/>
        </w:tabs>
        <w:rPr>
          <w:rFonts w:cs="Arial"/>
          <w:snapToGrid w:val="0"/>
          <w:sz w:val="18"/>
          <w:szCs w:val="18"/>
          <w:lang w:val="es-ES"/>
        </w:rPr>
      </w:pPr>
      <w:r w:rsidRPr="009F3ED8">
        <w:rPr>
          <w:rFonts w:cs="Arial"/>
          <w:snapToGrid w:val="0"/>
          <w:sz w:val="18"/>
          <w:szCs w:val="18"/>
          <w:lang w:val="es-ES"/>
        </w:rPr>
        <w:tab/>
        <w:t>EJEMPLO</w:t>
      </w:r>
      <w:proofErr w:type="gramStart"/>
      <w:r w:rsidRPr="009F3ED8">
        <w:rPr>
          <w:rFonts w:cs="Arial"/>
          <w:snapToGrid w:val="0"/>
          <w:sz w:val="18"/>
          <w:szCs w:val="18"/>
          <w:lang w:val="es-ES"/>
        </w:rPr>
        <w:t>:  LÍNEAS</w:t>
      </w:r>
      <w:proofErr w:type="gramEnd"/>
      <w:r w:rsidRPr="009F3ED8">
        <w:rPr>
          <w:rFonts w:cs="Arial"/>
          <w:snapToGrid w:val="0"/>
          <w:sz w:val="18"/>
          <w:szCs w:val="18"/>
          <w:lang w:val="es-ES"/>
        </w:rPr>
        <w:t xml:space="preserve"> PARENTALES EN </w:t>
      </w:r>
      <w:r w:rsidR="009F3ED8">
        <w:rPr>
          <w:rFonts w:cs="Arial"/>
          <w:snapToGrid w:val="0"/>
          <w:sz w:val="18"/>
          <w:szCs w:val="18"/>
          <w:lang w:val="es-ES"/>
        </w:rPr>
        <w:t xml:space="preserve">EL </w:t>
      </w:r>
      <w:r w:rsidRPr="009F3ED8">
        <w:rPr>
          <w:rFonts w:cs="Arial"/>
          <w:snapToGrid w:val="0"/>
          <w:sz w:val="18"/>
          <w:szCs w:val="18"/>
          <w:lang w:val="es-ES"/>
        </w:rPr>
        <w:t>MAÍZ</w:t>
      </w:r>
    </w:p>
    <w:p w:rsidR="002D1FCA" w:rsidRPr="00B83EDF" w:rsidRDefault="002D1FCA" w:rsidP="002D1FCA">
      <w:pPr>
        <w:tabs>
          <w:tab w:val="left" w:pos="1980"/>
        </w:tabs>
        <w:rPr>
          <w:rFonts w:cs="Arial"/>
          <w:snapToGrid w:val="0"/>
          <w:lang w:val="es-ES"/>
        </w:rPr>
      </w:pPr>
    </w:p>
    <w:p w:rsidR="002D1FCA" w:rsidRDefault="002D1FCA" w:rsidP="002D1FCA">
      <w:pPr>
        <w:pStyle w:val="Heading1"/>
        <w:rPr>
          <w:rFonts w:cs="Arial"/>
          <w:lang w:val="es-ES"/>
        </w:rPr>
      </w:pPr>
      <w:r w:rsidRPr="00B83EDF">
        <w:rPr>
          <w:snapToGrid w:val="0"/>
          <w:lang w:val="es-ES"/>
        </w:rPr>
        <w:br w:type="page"/>
      </w:r>
      <w:bookmarkStart w:id="1" w:name="_Toc366768816"/>
      <w:r w:rsidRPr="00B83EDF">
        <w:rPr>
          <w:rFonts w:cs="Arial"/>
          <w:lang w:val="es-ES"/>
        </w:rPr>
        <w:lastRenderedPageBreak/>
        <w:t>1.</w:t>
      </w:r>
      <w:r w:rsidRPr="00B83EDF">
        <w:rPr>
          <w:rFonts w:cs="Arial"/>
          <w:lang w:val="es-ES"/>
        </w:rPr>
        <w:tab/>
        <w:t>Introducción</w:t>
      </w:r>
      <w:bookmarkEnd w:id="1"/>
    </w:p>
    <w:p w:rsidR="002D1FCA" w:rsidRPr="002D1FCA" w:rsidRDefault="002D1FCA" w:rsidP="002D1FCA">
      <w:pPr>
        <w:rPr>
          <w:lang w:val="es-ES"/>
        </w:rPr>
      </w:pPr>
    </w:p>
    <w:p w:rsidR="002D1FCA" w:rsidRPr="002D1FCA" w:rsidRDefault="002D1FCA" w:rsidP="002D1FCA">
      <w:pPr>
        <w:rPr>
          <w:rFonts w:cs="Arial"/>
          <w:lang w:val="es-ES"/>
        </w:rPr>
      </w:pPr>
      <w:r w:rsidRPr="002D1FCA">
        <w:rPr>
          <w:rFonts w:cs="Arial"/>
          <w:lang w:val="es-ES"/>
        </w:rPr>
        <w:t>1.1</w:t>
      </w:r>
      <w:r w:rsidRPr="002D1FCA">
        <w:rPr>
          <w:rFonts w:cs="Arial"/>
          <w:lang w:val="es-ES"/>
        </w:rPr>
        <w:tab/>
        <w:t xml:space="preserve">En el documento </w:t>
      </w:r>
      <w:r w:rsidRPr="002D1FCA">
        <w:rPr>
          <w:rFonts w:cs="Arial"/>
          <w:bCs/>
          <w:lang w:val="es-ES"/>
        </w:rPr>
        <w:t>UPOV/INF/18, “Posible utilización de marcadores moleculares en el examen de la distinción, la homogeneidad y la estabilidad (DHE)”,</w:t>
      </w:r>
      <w:r w:rsidRPr="002D1FCA">
        <w:rPr>
          <w:rFonts w:cs="Arial"/>
          <w:lang w:val="es-ES"/>
        </w:rPr>
        <w:t xml:space="preserve"> se examinan los posibles modelos de aplicación en lo que respecta a la utilización de marcadores bioquímicos y moleculares en el</w:t>
      </w:r>
      <w:r w:rsidRPr="002D1FCA">
        <w:rPr>
          <w:rFonts w:cs="Arial"/>
          <w:snapToGrid w:val="0"/>
          <w:lang w:val="es-ES"/>
        </w:rPr>
        <w:t xml:space="preserve"> examen DHE que el Comité</w:t>
      </w:r>
      <w:r w:rsidRPr="00B83EDF">
        <w:rPr>
          <w:rFonts w:cs="Arial"/>
          <w:snapToGrid w:val="0"/>
          <w:lang w:val="es-ES"/>
        </w:rPr>
        <w:t xml:space="preserve"> Técnico (TC) propuso al Subgrupo Especial de Expertos Técnicos y Jurídicos sobre Técnicas Bioquímicas y Moleculares (Grupo de Consulta del BMT)</w:t>
      </w:r>
      <w:r w:rsidRPr="00B83EDF">
        <w:rPr>
          <w:rFonts w:cs="Arial"/>
          <w:lang w:val="es-ES"/>
        </w:rPr>
        <w:t xml:space="preserve"> sobre la base de la labor realizada por el Grupo de Trabajo sobre Técnicas Bioquímicas y Moleculares, y Perfiles de ADN en particular (BMT) y de los subgrupos especiales sobre cultivos para la utilización de las técnicas moleculares (subgrupos sobre cultivos) (véase: </w:t>
      </w:r>
      <w:hyperlink r:id="rId9" w:history="1">
        <w:r w:rsidRPr="00B83EDF">
          <w:rPr>
            <w:rStyle w:val="Hyperlink"/>
            <w:lang w:val="es-ES"/>
          </w:rPr>
          <w:t>http://www.upov.int/about/en/organigram.html</w:t>
        </w:r>
      </w:hyperlink>
      <w:r w:rsidRPr="002D1FCA">
        <w:rPr>
          <w:rFonts w:cs="Arial"/>
          <w:lang w:val="es-ES"/>
        </w:rPr>
        <w:t>).  En el documento UPOV/INF/18, se presenta tanto la evaluación de esos modelos por el Grupo de Consulta del BMT como las opiniones del Comité Técnico y el Comité Administrativo y Jurídico al respecto.</w:t>
      </w:r>
    </w:p>
    <w:p w:rsidR="002D1FCA" w:rsidRDefault="002D1FCA" w:rsidP="002D1FCA">
      <w:pPr>
        <w:rPr>
          <w:rFonts w:cs="Arial"/>
          <w:lang w:val="es-ES"/>
        </w:rPr>
      </w:pPr>
    </w:p>
    <w:p w:rsidR="002D1FCA" w:rsidRPr="002D1FCA" w:rsidRDefault="002D1FCA" w:rsidP="002D1FCA">
      <w:pPr>
        <w:rPr>
          <w:rFonts w:cs="Arial"/>
          <w:lang w:val="es-ES"/>
        </w:rPr>
      </w:pPr>
      <w:r w:rsidRPr="002D1FCA">
        <w:rPr>
          <w:rFonts w:cs="Arial"/>
          <w:lang w:val="es-ES"/>
        </w:rPr>
        <w:t>1.2</w:t>
      </w:r>
      <w:r w:rsidRPr="002D1FCA">
        <w:rPr>
          <w:rFonts w:cs="Arial"/>
          <w:lang w:val="es-ES"/>
        </w:rPr>
        <w:tab/>
        <w:t xml:space="preserve">El propósito del presente documento es dar orientación sobre la utilización de marcadores bioquímicos y moleculares en el examen de la distinción, la homogeneidad y la estabilidad (DHE) a partir de los modelos que figuran en el documento </w:t>
      </w:r>
      <w:r w:rsidRPr="002D1FCA">
        <w:rPr>
          <w:rFonts w:cs="Arial"/>
          <w:bCs/>
          <w:lang w:val="es-ES"/>
        </w:rPr>
        <w:t>UPOV/INF/18 que hayan recibido una evaluación favorable y respecto de los cuales se hayan dado ejemplos aceptados</w:t>
      </w:r>
      <w:r w:rsidRPr="002D1FCA">
        <w:rPr>
          <w:rFonts w:cs="Arial"/>
          <w:lang w:val="es-ES"/>
        </w:rPr>
        <w:t xml:space="preserve">.  </w:t>
      </w:r>
    </w:p>
    <w:p w:rsidR="002D1FCA" w:rsidRDefault="002D1FCA" w:rsidP="002D1FCA">
      <w:pPr>
        <w:rPr>
          <w:rFonts w:cs="Arial"/>
          <w:lang w:val="es-ES"/>
        </w:rPr>
      </w:pPr>
    </w:p>
    <w:p w:rsidR="002D1FCA" w:rsidRPr="00B83EDF" w:rsidRDefault="002D1FCA" w:rsidP="002D1FCA">
      <w:pPr>
        <w:rPr>
          <w:rFonts w:cs="Arial"/>
          <w:lang w:val="es-ES"/>
        </w:rPr>
      </w:pPr>
      <w:r w:rsidRPr="002D1FCA">
        <w:rPr>
          <w:rFonts w:cs="Arial"/>
          <w:lang w:val="es-ES"/>
        </w:rPr>
        <w:t>1.3</w:t>
      </w:r>
      <w:r w:rsidRPr="002D1FCA">
        <w:rPr>
          <w:rFonts w:cs="Arial"/>
          <w:lang w:val="es-ES"/>
        </w:rPr>
        <w:tab/>
        <w:t>Las únicas</w:t>
      </w:r>
      <w:r w:rsidRPr="00B83EDF">
        <w:rPr>
          <w:rFonts w:cs="Arial"/>
          <w:lang w:val="es-ES"/>
        </w:rPr>
        <w:t xml:space="preserve"> obligaciones vinculantes de los miembros de la Unión son las que constan en el texto del Convenio de la UPOV, por lo que el presente documento no debe interpretarse de manera tal que no esté en consonancia con el Acta pertinente al miembro de la Unión de que se trate.  </w:t>
      </w:r>
    </w:p>
    <w:p w:rsidR="002D1FCA" w:rsidRDefault="002D1FCA" w:rsidP="002D1FCA">
      <w:pPr>
        <w:rPr>
          <w:rFonts w:cs="Arial"/>
          <w:color w:val="000000"/>
          <w:lang w:val="es-ES"/>
        </w:rPr>
      </w:pPr>
    </w:p>
    <w:p w:rsidR="002D1FCA" w:rsidRPr="002D1FCA" w:rsidRDefault="002D1FCA" w:rsidP="002D1FCA">
      <w:pPr>
        <w:rPr>
          <w:rFonts w:cs="Arial"/>
          <w:color w:val="000000"/>
          <w:lang w:val="es-ES"/>
        </w:rPr>
      </w:pPr>
      <w:r w:rsidRPr="002D1FCA">
        <w:rPr>
          <w:rFonts w:cs="Arial"/>
          <w:color w:val="000000"/>
          <w:lang w:val="es-ES"/>
        </w:rPr>
        <w:t>1.4</w:t>
      </w:r>
      <w:r w:rsidRPr="002D1FCA">
        <w:rPr>
          <w:rFonts w:cs="Arial"/>
          <w:color w:val="000000"/>
          <w:lang w:val="es-ES"/>
        </w:rPr>
        <w:tab/>
        <w:t>En el presente documento se utilizan las siguientes abreviaturas:</w:t>
      </w:r>
    </w:p>
    <w:p w:rsidR="002D1FCA" w:rsidRPr="00B83EDF" w:rsidRDefault="002D1FCA" w:rsidP="002D1FCA">
      <w:pPr>
        <w:rPr>
          <w:rFonts w:cs="Arial"/>
          <w:color w:val="000000"/>
          <w:lang w:val="es-ES"/>
        </w:rPr>
      </w:pPr>
    </w:p>
    <w:p w:rsidR="002D1FCA" w:rsidRPr="00B83EDF" w:rsidRDefault="002D1FCA" w:rsidP="002D1FCA">
      <w:pPr>
        <w:ind w:left="3420" w:hanging="2711"/>
        <w:rPr>
          <w:rFonts w:cs="Arial"/>
          <w:color w:val="000000"/>
          <w:lang w:val="es-ES"/>
        </w:rPr>
      </w:pPr>
      <w:r w:rsidRPr="00B83EDF">
        <w:rPr>
          <w:rFonts w:cs="Arial"/>
          <w:color w:val="000000"/>
          <w:lang w:val="es-ES"/>
        </w:rPr>
        <w:t>CAJ:</w:t>
      </w:r>
      <w:r w:rsidRPr="00B83EDF">
        <w:rPr>
          <w:rFonts w:cs="Arial"/>
          <w:color w:val="000000"/>
          <w:lang w:val="es-ES"/>
        </w:rPr>
        <w:tab/>
        <w:t xml:space="preserve">Comité Administrativo y Jurídico </w:t>
      </w:r>
    </w:p>
    <w:p w:rsidR="002D1FCA" w:rsidRPr="00B83EDF" w:rsidRDefault="002D1FCA" w:rsidP="002D1FCA">
      <w:pPr>
        <w:ind w:left="3420" w:hanging="2711"/>
        <w:rPr>
          <w:rFonts w:cs="Arial"/>
          <w:color w:val="000000"/>
          <w:lang w:val="es-ES"/>
        </w:rPr>
      </w:pPr>
      <w:r w:rsidRPr="00B83EDF">
        <w:rPr>
          <w:rFonts w:cs="Arial"/>
          <w:color w:val="000000"/>
          <w:lang w:val="es-ES"/>
        </w:rPr>
        <w:t>TC:</w:t>
      </w:r>
      <w:r w:rsidRPr="00B83EDF">
        <w:rPr>
          <w:rFonts w:cs="Arial"/>
          <w:color w:val="000000"/>
          <w:lang w:val="es-ES"/>
        </w:rPr>
        <w:tab/>
        <w:t>Comité Técnico</w:t>
      </w:r>
    </w:p>
    <w:p w:rsidR="002D1FCA" w:rsidRPr="00B83EDF" w:rsidRDefault="002D1FCA" w:rsidP="002D1FCA">
      <w:pPr>
        <w:ind w:left="3420" w:hanging="2711"/>
        <w:rPr>
          <w:rFonts w:cs="Arial"/>
          <w:color w:val="000000"/>
          <w:lang w:val="es-ES"/>
        </w:rPr>
      </w:pPr>
      <w:r w:rsidRPr="00B83EDF">
        <w:rPr>
          <w:rFonts w:cs="Arial"/>
          <w:color w:val="000000"/>
          <w:lang w:val="es-ES"/>
        </w:rPr>
        <w:t>TC-EDC:</w:t>
      </w:r>
      <w:r w:rsidRPr="00B83EDF">
        <w:rPr>
          <w:rFonts w:cs="Arial"/>
          <w:color w:val="000000"/>
          <w:lang w:val="es-ES"/>
        </w:rPr>
        <w:tab/>
        <w:t>Comité de Redacción Ampliado</w:t>
      </w:r>
    </w:p>
    <w:p w:rsidR="002D1FCA" w:rsidRPr="00B83EDF" w:rsidRDefault="002D1FCA" w:rsidP="002D1FCA">
      <w:pPr>
        <w:ind w:left="3420" w:hanging="2711"/>
        <w:rPr>
          <w:rFonts w:cs="Arial"/>
          <w:color w:val="000000"/>
          <w:lang w:val="es-ES"/>
        </w:rPr>
      </w:pPr>
      <w:r w:rsidRPr="00B83EDF">
        <w:rPr>
          <w:rFonts w:cs="Arial"/>
          <w:color w:val="000000"/>
          <w:lang w:val="es-ES"/>
        </w:rPr>
        <w:t>TWA:</w:t>
      </w:r>
      <w:r w:rsidRPr="00B83EDF">
        <w:rPr>
          <w:rFonts w:cs="Arial"/>
          <w:color w:val="000000"/>
          <w:lang w:val="es-ES"/>
        </w:rPr>
        <w:tab/>
        <w:t>Grupo de Trabajo Técnico sobre Plantas Agrícolas</w:t>
      </w:r>
    </w:p>
    <w:p w:rsidR="002D1FCA" w:rsidRPr="00B83EDF" w:rsidRDefault="002D1FCA" w:rsidP="002D1FCA">
      <w:pPr>
        <w:ind w:left="3420" w:hanging="2711"/>
        <w:rPr>
          <w:rFonts w:cs="Arial"/>
          <w:color w:val="000000"/>
          <w:lang w:val="es-ES"/>
        </w:rPr>
      </w:pPr>
      <w:r w:rsidRPr="00B83EDF">
        <w:rPr>
          <w:rFonts w:cs="Arial"/>
          <w:color w:val="000000"/>
          <w:lang w:val="es-ES"/>
        </w:rPr>
        <w:t>TWC:</w:t>
      </w:r>
      <w:r w:rsidRPr="00B83EDF">
        <w:rPr>
          <w:rFonts w:cs="Arial"/>
          <w:color w:val="000000"/>
          <w:lang w:val="es-ES"/>
        </w:rPr>
        <w:tab/>
        <w:t>Grupo de Trabajo Técnico sobre Automatización y Programas Informáticos</w:t>
      </w:r>
    </w:p>
    <w:p w:rsidR="002D1FCA" w:rsidRPr="00B83EDF" w:rsidRDefault="002D1FCA" w:rsidP="002D1FCA">
      <w:pPr>
        <w:ind w:left="3420" w:hanging="2711"/>
        <w:rPr>
          <w:rFonts w:cs="Arial"/>
          <w:color w:val="000000"/>
          <w:lang w:val="es-ES"/>
        </w:rPr>
      </w:pPr>
      <w:r w:rsidRPr="00B83EDF">
        <w:rPr>
          <w:rFonts w:cs="Arial"/>
          <w:color w:val="000000"/>
          <w:lang w:val="es-ES"/>
        </w:rPr>
        <w:t xml:space="preserve">TWF:  </w:t>
      </w:r>
      <w:r w:rsidRPr="00B83EDF">
        <w:rPr>
          <w:rFonts w:cs="Arial"/>
          <w:color w:val="000000"/>
          <w:lang w:val="es-ES"/>
        </w:rPr>
        <w:tab/>
        <w:t>Grupo de Trabajo Técnico sobre Plantas Frutales</w:t>
      </w:r>
    </w:p>
    <w:p w:rsidR="002D1FCA" w:rsidRPr="00B83EDF" w:rsidRDefault="002D1FCA" w:rsidP="002D1FCA">
      <w:pPr>
        <w:ind w:left="3420" w:hanging="2711"/>
        <w:rPr>
          <w:rFonts w:cs="Arial"/>
          <w:color w:val="000000"/>
          <w:lang w:val="es-ES"/>
        </w:rPr>
      </w:pPr>
      <w:r w:rsidRPr="00B83EDF">
        <w:rPr>
          <w:rFonts w:cs="Arial"/>
          <w:color w:val="000000"/>
          <w:lang w:val="es-ES"/>
        </w:rPr>
        <w:t>TWO:</w:t>
      </w:r>
      <w:r w:rsidRPr="00B83EDF">
        <w:rPr>
          <w:rFonts w:cs="Arial"/>
          <w:color w:val="000000"/>
          <w:lang w:val="es-ES"/>
        </w:rPr>
        <w:tab/>
        <w:t>Grupo de Trabajo Técnico sobre Plantas Ornamentales y Árboles Forestales</w:t>
      </w:r>
    </w:p>
    <w:p w:rsidR="002D1FCA" w:rsidRPr="00B83EDF" w:rsidRDefault="002D1FCA" w:rsidP="002D1FCA">
      <w:pPr>
        <w:ind w:left="3420" w:hanging="2711"/>
        <w:rPr>
          <w:rFonts w:cs="Arial"/>
          <w:color w:val="000000"/>
          <w:lang w:val="es-ES"/>
        </w:rPr>
      </w:pPr>
      <w:r w:rsidRPr="00B83EDF">
        <w:rPr>
          <w:rFonts w:cs="Arial"/>
          <w:color w:val="000000"/>
          <w:lang w:val="es-ES"/>
        </w:rPr>
        <w:t>TWV:</w:t>
      </w:r>
      <w:r w:rsidRPr="00B83EDF">
        <w:rPr>
          <w:rFonts w:cs="Arial"/>
          <w:color w:val="000000"/>
          <w:lang w:val="es-ES"/>
        </w:rPr>
        <w:tab/>
        <w:t xml:space="preserve">Grupo de Trabajo Técnico sobre Hortalizas </w:t>
      </w:r>
    </w:p>
    <w:p w:rsidR="002D1FCA" w:rsidRPr="00B83EDF" w:rsidRDefault="002D1FCA" w:rsidP="002D1FCA">
      <w:pPr>
        <w:ind w:left="3420" w:hanging="2711"/>
        <w:rPr>
          <w:rFonts w:cs="Arial"/>
          <w:color w:val="000000"/>
          <w:lang w:val="es-ES"/>
        </w:rPr>
      </w:pPr>
      <w:r w:rsidRPr="00B83EDF">
        <w:rPr>
          <w:rFonts w:cs="Arial"/>
          <w:color w:val="000000"/>
          <w:lang w:val="es-ES"/>
        </w:rPr>
        <w:t>TWP:</w:t>
      </w:r>
      <w:r w:rsidRPr="00B83EDF">
        <w:rPr>
          <w:rFonts w:cs="Arial"/>
          <w:color w:val="000000"/>
          <w:lang w:val="es-ES"/>
        </w:rPr>
        <w:tab/>
        <w:t>Grupos de Trabajo Técnico</w:t>
      </w:r>
    </w:p>
    <w:p w:rsidR="002D1FCA" w:rsidRPr="00B83EDF" w:rsidRDefault="002D1FCA" w:rsidP="002D1FCA">
      <w:pPr>
        <w:ind w:left="3420" w:hanging="2711"/>
        <w:rPr>
          <w:rFonts w:cs="Arial"/>
          <w:lang w:val="es-ES"/>
        </w:rPr>
      </w:pPr>
      <w:r w:rsidRPr="00B83EDF">
        <w:rPr>
          <w:rFonts w:cs="Arial"/>
          <w:lang w:val="es-ES"/>
        </w:rPr>
        <w:t>BMT:</w:t>
      </w:r>
      <w:r w:rsidRPr="00B83EDF">
        <w:rPr>
          <w:rFonts w:cs="Arial"/>
          <w:lang w:val="es-ES"/>
        </w:rPr>
        <w:tab/>
      </w:r>
      <w:r w:rsidRPr="00B83EDF">
        <w:rPr>
          <w:rFonts w:cs="Arial"/>
          <w:color w:val="000000"/>
          <w:lang w:val="es-ES"/>
        </w:rPr>
        <w:t>Grupo</w:t>
      </w:r>
      <w:r w:rsidRPr="00B83EDF">
        <w:rPr>
          <w:rFonts w:cs="Arial"/>
          <w:lang w:val="es-ES"/>
        </w:rPr>
        <w:t xml:space="preserve"> de Trabajo sobre Técnicas Bioquímicas y Moleculares y Perfiles de ADN en particular </w:t>
      </w:r>
    </w:p>
    <w:p w:rsidR="002D1FCA" w:rsidRPr="00B83EDF" w:rsidRDefault="002D1FCA" w:rsidP="002D1FCA">
      <w:pPr>
        <w:ind w:left="3420" w:hanging="2711"/>
        <w:rPr>
          <w:rFonts w:cs="Arial"/>
          <w:lang w:val="es-ES" w:eastAsia="ja-JP"/>
        </w:rPr>
      </w:pPr>
      <w:r w:rsidRPr="00B83EDF">
        <w:rPr>
          <w:rFonts w:cs="Arial"/>
          <w:lang w:val="es-ES"/>
        </w:rPr>
        <w:t>Grupo de consulta del BMT</w:t>
      </w:r>
      <w:r w:rsidRPr="00B83EDF">
        <w:rPr>
          <w:rFonts w:cs="Arial"/>
          <w:lang w:val="es-ES" w:eastAsia="ja-JP"/>
        </w:rPr>
        <w:t>:</w:t>
      </w:r>
      <w:r w:rsidRPr="00B83EDF">
        <w:rPr>
          <w:rFonts w:cs="Arial"/>
          <w:lang w:val="es-ES" w:eastAsia="ja-JP"/>
        </w:rPr>
        <w:tab/>
      </w:r>
      <w:r w:rsidRPr="00B83EDF">
        <w:rPr>
          <w:rFonts w:cs="Arial"/>
          <w:lang w:val="es-ES"/>
        </w:rPr>
        <w:t>Subgrupo Especial de Expertos Técnicos y Jurídicos sobre Técnicas Bioquímicas y Moleculares</w:t>
      </w:r>
    </w:p>
    <w:p w:rsidR="002D1FCA" w:rsidRPr="00B83EDF" w:rsidRDefault="002D1FCA" w:rsidP="002D1FCA">
      <w:pPr>
        <w:ind w:left="3420" w:hanging="2711"/>
        <w:rPr>
          <w:rFonts w:cs="Arial"/>
          <w:color w:val="000000"/>
          <w:lang w:val="es-ES"/>
        </w:rPr>
      </w:pPr>
      <w:r w:rsidRPr="00B83EDF">
        <w:rPr>
          <w:rFonts w:cs="Arial"/>
          <w:color w:val="000000"/>
          <w:lang w:val="es-ES"/>
        </w:rPr>
        <w:t>Subgrupos sobre Cultivos:</w:t>
      </w:r>
      <w:r w:rsidRPr="00B83EDF">
        <w:rPr>
          <w:rFonts w:cs="Arial"/>
          <w:color w:val="000000"/>
          <w:lang w:val="es-ES"/>
        </w:rPr>
        <w:tab/>
        <w:t>Subgrupos Especiales sobre Cultivos y Técnicas Moleculares</w:t>
      </w:r>
    </w:p>
    <w:p w:rsidR="002D1FCA" w:rsidRPr="00B83EDF" w:rsidRDefault="002D1FCA" w:rsidP="002D1FCA">
      <w:pPr>
        <w:ind w:left="2835" w:hanging="2126"/>
        <w:rPr>
          <w:rFonts w:cs="Arial"/>
          <w:color w:val="000000"/>
          <w:lang w:val="es-ES"/>
        </w:rPr>
      </w:pPr>
    </w:p>
    <w:p w:rsidR="002D1FCA" w:rsidRPr="00B83EDF" w:rsidRDefault="002D1FCA" w:rsidP="002D1FCA">
      <w:pPr>
        <w:ind w:left="2835" w:hanging="2126"/>
        <w:rPr>
          <w:rFonts w:cs="Arial"/>
          <w:color w:val="000000"/>
          <w:lang w:val="es-ES"/>
        </w:rPr>
      </w:pPr>
    </w:p>
    <w:p w:rsidR="002D1FCA" w:rsidRDefault="002D1FCA" w:rsidP="002D1FCA">
      <w:pPr>
        <w:pStyle w:val="Heading1"/>
        <w:keepNext w:val="0"/>
        <w:rPr>
          <w:lang w:val="es-ES"/>
        </w:rPr>
      </w:pPr>
      <w:bookmarkStart w:id="2" w:name="_Toc366768817"/>
      <w:r>
        <w:rPr>
          <w:rFonts w:cs="Arial"/>
          <w:lang w:val="es-ES"/>
        </w:rPr>
        <w:t>2</w:t>
      </w:r>
      <w:r w:rsidRPr="00B83EDF">
        <w:rPr>
          <w:rFonts w:cs="Arial"/>
          <w:lang w:val="es-ES"/>
        </w:rPr>
        <w:t>.</w:t>
      </w:r>
      <w:r w:rsidRPr="00B83EDF">
        <w:rPr>
          <w:rFonts w:cs="Arial"/>
          <w:lang w:val="es-ES"/>
        </w:rPr>
        <w:tab/>
      </w:r>
      <w:r w:rsidRPr="00B83EDF">
        <w:rPr>
          <w:lang w:val="es-ES"/>
        </w:rPr>
        <w:t>MODELOS DE APLICACIÓN</w:t>
      </w:r>
      <w:bookmarkEnd w:id="2"/>
    </w:p>
    <w:p w:rsidR="002D1FCA" w:rsidRPr="002D1FCA" w:rsidRDefault="002D1FCA" w:rsidP="002D1FCA">
      <w:pPr>
        <w:rPr>
          <w:lang w:val="es-ES"/>
        </w:rPr>
      </w:pPr>
    </w:p>
    <w:p w:rsidR="002D1FCA" w:rsidRPr="002D1FCA" w:rsidRDefault="002D1FCA" w:rsidP="002D1FCA">
      <w:pPr>
        <w:pStyle w:val="Heading2"/>
      </w:pPr>
      <w:bookmarkStart w:id="3" w:name="_Toc311473361"/>
      <w:bookmarkStart w:id="4" w:name="_Toc366768818"/>
      <w:r w:rsidRPr="002D1FCA">
        <w:t>2.1</w:t>
      </w:r>
      <w:r w:rsidRPr="002D1FCA">
        <w:tab/>
      </w:r>
      <w:bookmarkEnd w:id="3"/>
      <w:r w:rsidRPr="002D1FCA">
        <w:t>Marcadores moleculares ligados a caracteres (véase el Anexo 1)</w:t>
      </w:r>
      <w:bookmarkEnd w:id="4"/>
    </w:p>
    <w:p w:rsidR="002D1FCA" w:rsidRPr="002D1FCA" w:rsidRDefault="002D1FCA" w:rsidP="002D1FCA">
      <w:pPr>
        <w:rPr>
          <w:lang w:val="es-ES"/>
        </w:rPr>
      </w:pPr>
    </w:p>
    <w:p w:rsidR="002D1FCA" w:rsidRDefault="002D1FCA" w:rsidP="002D1FCA">
      <w:pPr>
        <w:rPr>
          <w:rFonts w:cs="Arial"/>
          <w:lang w:val="es-ES"/>
        </w:rPr>
      </w:pPr>
      <w:r w:rsidRPr="002D1FCA">
        <w:rPr>
          <w:rFonts w:cs="Arial"/>
          <w:lang w:val="es-ES"/>
        </w:rPr>
        <w:t>2.1.1</w:t>
      </w:r>
      <w:r w:rsidRPr="002D1FCA">
        <w:rPr>
          <w:rFonts w:cs="Arial"/>
          <w:lang w:val="es-ES"/>
        </w:rPr>
        <w:tab/>
        <w:t xml:space="preserve">Los marcadores moleculares se pueden utilizar, a efectos del examen DHE, como método de examen de los caracteres que cumplen los criterios que figuran en la sección 4.2 del Capítulo 4 de </w:t>
      </w:r>
      <w:smartTag w:uri="urn:schemas-microsoft-com:office:smarttags" w:element="PersonName">
        <w:smartTagPr>
          <w:attr w:name="ProductID" w:val="la Introducci￳n General"/>
        </w:smartTagPr>
        <w:r w:rsidRPr="002D1FCA">
          <w:rPr>
            <w:rFonts w:cs="Arial"/>
            <w:lang w:val="es-ES"/>
          </w:rPr>
          <w:t>la Introducción General</w:t>
        </w:r>
      </w:smartTag>
      <w:r w:rsidRPr="002D1FCA">
        <w:rPr>
          <w:rFonts w:cs="Arial"/>
          <w:lang w:val="es-ES"/>
        </w:rPr>
        <w:t>, como se explica a continuación:</w:t>
      </w:r>
    </w:p>
    <w:p w:rsidR="002D1FCA" w:rsidRPr="002D1FCA" w:rsidRDefault="002D1FCA" w:rsidP="002D1FCA">
      <w:pPr>
        <w:rPr>
          <w:rFonts w:cs="Arial"/>
          <w:lang w:val="es-ES"/>
        </w:rPr>
      </w:pPr>
    </w:p>
    <w:p w:rsidR="002D1FCA" w:rsidRPr="002D1FCA" w:rsidRDefault="002D1FCA" w:rsidP="002D1FCA">
      <w:pPr>
        <w:ind w:left="1418" w:hanging="709"/>
        <w:rPr>
          <w:lang w:val="es-ES" w:eastAsia="ja-JP"/>
        </w:rPr>
      </w:pPr>
      <w:r w:rsidRPr="002D1FCA">
        <w:rPr>
          <w:lang w:val="es-ES"/>
        </w:rPr>
        <w:t>a)</w:t>
      </w:r>
      <w:r w:rsidRPr="002D1FCA">
        <w:rPr>
          <w:lang w:val="es-ES"/>
        </w:rPr>
        <w:tab/>
      </w:r>
      <w:r w:rsidRPr="002D1FCA">
        <w:rPr>
          <w:lang w:val="es-ES" w:eastAsia="ja-JP"/>
        </w:rPr>
        <w:t xml:space="preserve">el </w:t>
      </w:r>
      <w:r w:rsidRPr="002D1FCA">
        <w:rPr>
          <w:rFonts w:cs="Arial"/>
          <w:lang w:val="es-ES"/>
        </w:rPr>
        <w:t>examen para el marcador</w:t>
      </w:r>
      <w:r w:rsidRPr="002D1FCA">
        <w:rPr>
          <w:lang w:val="es-ES" w:eastAsia="ja-JP"/>
        </w:rPr>
        <w:t xml:space="preserve"> se realiza en el mismo número de plantas individuales y con los mismos criterios para establecer la distinción, la homogeneidad y la estabilidad que en el examen del carácter mediante ensayo biológico;</w:t>
      </w:r>
    </w:p>
    <w:p w:rsidR="002D1FCA" w:rsidRDefault="002D1FCA" w:rsidP="002D1FCA">
      <w:pPr>
        <w:ind w:left="1418" w:hanging="709"/>
        <w:rPr>
          <w:lang w:val="es-ES"/>
        </w:rPr>
      </w:pPr>
    </w:p>
    <w:p w:rsidR="002D1FCA" w:rsidRPr="002D1FCA" w:rsidRDefault="002D1FCA" w:rsidP="002D1FCA">
      <w:pPr>
        <w:ind w:left="1418" w:hanging="709"/>
        <w:rPr>
          <w:rFonts w:cs="Arial"/>
          <w:snapToGrid w:val="0"/>
          <w:lang w:val="es-ES"/>
        </w:rPr>
      </w:pPr>
      <w:r w:rsidRPr="002D1FCA">
        <w:rPr>
          <w:lang w:val="es-ES"/>
        </w:rPr>
        <w:t>b)</w:t>
      </w:r>
      <w:r w:rsidRPr="002D1FCA">
        <w:rPr>
          <w:lang w:val="es-ES"/>
        </w:rPr>
        <w:tab/>
        <w:t xml:space="preserve">se comprueba la </w:t>
      </w:r>
      <w:r w:rsidRPr="002D1FCA">
        <w:rPr>
          <w:lang w:val="es-ES" w:eastAsia="ja-JP"/>
        </w:rPr>
        <w:t>fiabilidad</w:t>
      </w:r>
      <w:r w:rsidRPr="002D1FCA">
        <w:rPr>
          <w:rFonts w:cs="Arial"/>
          <w:lang w:val="es-ES"/>
        </w:rPr>
        <w:t xml:space="preserve"> de la vinculación entre el marcador y el </w:t>
      </w:r>
      <w:r w:rsidRPr="002D1FCA">
        <w:rPr>
          <w:rFonts w:cs="Arial"/>
          <w:snapToGrid w:val="0"/>
          <w:lang w:val="es-ES"/>
        </w:rPr>
        <w:t>carácter;</w:t>
      </w:r>
    </w:p>
    <w:p w:rsidR="002D1FCA" w:rsidRDefault="002D1FCA" w:rsidP="002D1FCA">
      <w:pPr>
        <w:ind w:left="1418" w:hanging="709"/>
        <w:rPr>
          <w:rFonts w:cs="Arial"/>
          <w:lang w:val="es-ES"/>
        </w:rPr>
      </w:pPr>
    </w:p>
    <w:p w:rsidR="002D1FCA" w:rsidRPr="002D1FCA" w:rsidRDefault="002D1FCA" w:rsidP="002D1FCA">
      <w:pPr>
        <w:ind w:left="1418" w:hanging="709"/>
        <w:rPr>
          <w:rFonts w:cs="Arial"/>
          <w:lang w:val="es-ES"/>
        </w:rPr>
      </w:pPr>
      <w:r w:rsidRPr="002D1FCA">
        <w:rPr>
          <w:rFonts w:cs="Arial"/>
          <w:lang w:val="es-ES"/>
        </w:rPr>
        <w:t>c)</w:t>
      </w:r>
      <w:r w:rsidRPr="002D1FCA">
        <w:rPr>
          <w:rFonts w:cs="Arial"/>
          <w:lang w:val="es-ES"/>
        </w:rPr>
        <w:tab/>
        <w:t>los marcadores diferentes para el mismo carácter constituyen métodos diferentes de examen del mismo carácter;</w:t>
      </w:r>
    </w:p>
    <w:p w:rsidR="002D1FCA" w:rsidRDefault="002D1FCA" w:rsidP="002D1FCA">
      <w:pPr>
        <w:ind w:left="1418" w:hanging="709"/>
        <w:rPr>
          <w:rFonts w:cs="Arial"/>
          <w:lang w:val="es-ES"/>
        </w:rPr>
      </w:pPr>
    </w:p>
    <w:p w:rsidR="002D1FCA" w:rsidRPr="002D1FCA" w:rsidRDefault="002D1FCA" w:rsidP="002D1FCA">
      <w:pPr>
        <w:ind w:left="1418" w:hanging="709"/>
        <w:rPr>
          <w:rFonts w:cs="Arial"/>
          <w:lang w:val="es-ES"/>
        </w:rPr>
      </w:pPr>
      <w:r w:rsidRPr="002D1FCA">
        <w:rPr>
          <w:rFonts w:cs="Arial"/>
          <w:lang w:val="es-ES"/>
        </w:rPr>
        <w:t>d)</w:t>
      </w:r>
      <w:r w:rsidRPr="002D1FCA">
        <w:rPr>
          <w:rFonts w:cs="Arial"/>
          <w:lang w:val="es-ES"/>
        </w:rPr>
        <w:tab/>
        <w:t>los marcadores vinculados a genes diferentes que confieren la expresión del mismo carácter constituyen métodos diferentes de examen del mismo carácter; y</w:t>
      </w:r>
    </w:p>
    <w:p w:rsidR="002D1FCA" w:rsidRDefault="002D1FCA" w:rsidP="002D1FCA">
      <w:pPr>
        <w:ind w:left="1418" w:hanging="709"/>
        <w:rPr>
          <w:rFonts w:cs="Arial"/>
          <w:lang w:val="es-ES"/>
        </w:rPr>
      </w:pPr>
    </w:p>
    <w:p w:rsidR="002D1FCA" w:rsidRPr="002D1FCA" w:rsidRDefault="002D1FCA" w:rsidP="002D1FCA">
      <w:pPr>
        <w:ind w:left="1418" w:hanging="709"/>
        <w:rPr>
          <w:rFonts w:cs="Arial"/>
          <w:lang w:val="es-ES"/>
        </w:rPr>
      </w:pPr>
      <w:r w:rsidRPr="002D1FCA">
        <w:rPr>
          <w:rFonts w:cs="Arial"/>
          <w:lang w:val="es-ES"/>
        </w:rPr>
        <w:t>e)</w:t>
      </w:r>
      <w:r w:rsidRPr="002D1FCA">
        <w:rPr>
          <w:rFonts w:cs="Arial"/>
          <w:lang w:val="es-ES"/>
        </w:rPr>
        <w:tab/>
        <w:t>los marcadores vinculados a elementos reguladores diferentes del mismo gen que confieren la expresión del mismo carácter constituyen métodos diferentes de examen del mismo carácter.</w:t>
      </w:r>
    </w:p>
    <w:p w:rsidR="002D1FCA" w:rsidRDefault="002D1FCA" w:rsidP="002D1FCA">
      <w:pPr>
        <w:rPr>
          <w:rFonts w:cs="Arial"/>
          <w:lang w:val="es-ES"/>
        </w:rPr>
      </w:pPr>
    </w:p>
    <w:p w:rsidR="002D1FCA" w:rsidRDefault="002D1FCA" w:rsidP="002D1FCA">
      <w:pPr>
        <w:rPr>
          <w:lang w:val="es-ES"/>
        </w:rPr>
      </w:pPr>
      <w:r w:rsidRPr="002D1FCA">
        <w:rPr>
          <w:rFonts w:cs="Arial"/>
          <w:lang w:val="es-ES"/>
        </w:rPr>
        <w:t>2.1.2</w:t>
      </w:r>
      <w:r w:rsidRPr="002D1FCA">
        <w:rPr>
          <w:lang w:val="es-ES"/>
        </w:rPr>
        <w:tab/>
      </w:r>
      <w:r w:rsidRPr="002D1FCA">
        <w:rPr>
          <w:rFonts w:cs="Arial"/>
          <w:lang w:val="es-ES"/>
        </w:rPr>
        <w:t xml:space="preserve">El Anexo I del presente documento, “Marcador genético específico para la tolerancia a los herbicidas”, es un ejemplo del uso de marcadores </w:t>
      </w:r>
      <w:r w:rsidRPr="002D1FCA">
        <w:rPr>
          <w:lang w:val="es-ES"/>
        </w:rPr>
        <w:t>moleculares ligados a caracteres.</w:t>
      </w:r>
    </w:p>
    <w:p w:rsidR="002D1FCA" w:rsidRPr="002D1FCA" w:rsidRDefault="002D1FCA" w:rsidP="002D1FCA">
      <w:pPr>
        <w:rPr>
          <w:rFonts w:cs="Arial"/>
          <w:lang w:val="es-ES"/>
        </w:rPr>
      </w:pPr>
    </w:p>
    <w:p w:rsidR="002D1FCA" w:rsidRPr="002D1FCA" w:rsidRDefault="002D1FCA" w:rsidP="002D1FCA">
      <w:pPr>
        <w:pStyle w:val="Heading2"/>
      </w:pPr>
      <w:bookmarkStart w:id="5" w:name="_Toc311473362"/>
      <w:bookmarkStart w:id="6" w:name="_Toc366768819"/>
      <w:r w:rsidRPr="002D1FCA">
        <w:t>2.2</w:t>
      </w:r>
      <w:r w:rsidRPr="002D1FCA">
        <w:tab/>
      </w:r>
      <w:bookmarkEnd w:id="5"/>
      <w:r w:rsidRPr="002D1FCA">
        <w:t>Combinación de distancias fenotípicas y moleculares en la gestión de las colecciones de variedades (véase el Anexo 2)</w:t>
      </w:r>
      <w:bookmarkEnd w:id="6"/>
    </w:p>
    <w:p w:rsidR="002D1FCA" w:rsidRPr="002D1FCA" w:rsidRDefault="002D1FCA" w:rsidP="002D1FCA">
      <w:pPr>
        <w:rPr>
          <w:lang w:val="es-ES"/>
        </w:rPr>
      </w:pPr>
    </w:p>
    <w:p w:rsidR="002D1FCA" w:rsidRPr="002D1FCA" w:rsidRDefault="002D1FCA" w:rsidP="002D1FCA">
      <w:pPr>
        <w:rPr>
          <w:lang w:val="es-ES"/>
        </w:rPr>
      </w:pPr>
      <w:r w:rsidRPr="002D1FCA">
        <w:rPr>
          <w:lang w:val="es-ES"/>
        </w:rPr>
        <w:t>2.2.1</w:t>
      </w:r>
      <w:r w:rsidRPr="002D1FCA">
        <w:rPr>
          <w:lang w:val="es-ES"/>
        </w:rPr>
        <w:tab/>
        <w:t>Una característica fundamental del proceso encaminado a eliminar variedades notoriamente conocidas con anterioridad al ensayo en cultivo DHE es que el umbral se establece con un margen de seguridad adecuado.  Este umbral se denomina umbral de “distinción plus”, esto es que las distancias entre la variedad candidata y las variedades que presentan “distinción plus” son lo suficientemente marcadas como para poder tomar una decisión sin tener que establecer una comparación directa en el ensayo en cultivo.</w:t>
      </w:r>
    </w:p>
    <w:p w:rsidR="002D1FCA" w:rsidRPr="002D1FCA" w:rsidRDefault="002D1FCA" w:rsidP="002D1FCA">
      <w:pPr>
        <w:rPr>
          <w:lang w:val="es-ES"/>
        </w:rPr>
      </w:pPr>
    </w:p>
    <w:p w:rsidR="002D1FCA" w:rsidRPr="002D1FCA" w:rsidRDefault="002D1FCA" w:rsidP="002D1FCA">
      <w:pPr>
        <w:rPr>
          <w:lang w:val="es-ES"/>
        </w:rPr>
      </w:pPr>
      <w:r w:rsidRPr="002D1FCA">
        <w:rPr>
          <w:lang w:val="es-ES"/>
        </w:rPr>
        <w:t>2.2.2</w:t>
      </w:r>
      <w:r w:rsidRPr="002D1FCA">
        <w:rPr>
          <w:lang w:val="es-ES"/>
        </w:rPr>
        <w:tab/>
        <w:t>Puede utilizarse una combinación de diferencias fenotípicas y distancias moleculares para determinar qué variedades de la colección de variedades han de compararse con las variedades candidatas para mejorar la selección de las variedades que presentan “distinción plus”, como se explica a continuación:</w:t>
      </w:r>
    </w:p>
    <w:p w:rsidR="002D1FCA" w:rsidRPr="002D1FCA" w:rsidRDefault="002D1FCA" w:rsidP="002D1FCA">
      <w:pPr>
        <w:rPr>
          <w:lang w:val="es-ES"/>
        </w:rPr>
      </w:pPr>
    </w:p>
    <w:p w:rsidR="002D1FCA" w:rsidRPr="002D1FCA" w:rsidRDefault="002D1FCA" w:rsidP="007E5DC4">
      <w:pPr>
        <w:ind w:left="1134" w:hanging="567"/>
        <w:rPr>
          <w:lang w:val="es-ES"/>
        </w:rPr>
      </w:pPr>
      <w:r w:rsidRPr="002D1FCA">
        <w:rPr>
          <w:lang w:val="es-ES"/>
        </w:rPr>
        <w:t>a)</w:t>
      </w:r>
      <w:r w:rsidRPr="002D1FCA">
        <w:rPr>
          <w:lang w:val="es-ES"/>
        </w:rPr>
        <w:tab/>
        <w:t>se cuenta con información fiable de que las distancias moleculares están suficientemente relacionadas con las diferencias fenotípicas, de modo que:</w:t>
      </w:r>
    </w:p>
    <w:p w:rsidR="002D1FCA" w:rsidRPr="002D1FCA" w:rsidRDefault="002D1FCA" w:rsidP="007E5DC4">
      <w:pPr>
        <w:ind w:left="1134" w:hanging="567"/>
        <w:rPr>
          <w:lang w:val="es-ES"/>
        </w:rPr>
      </w:pPr>
    </w:p>
    <w:p w:rsidR="002D1FCA" w:rsidRPr="002D1FCA" w:rsidRDefault="002D1FCA" w:rsidP="007E5DC4">
      <w:pPr>
        <w:ind w:left="1134" w:hanging="567"/>
        <w:rPr>
          <w:lang w:val="es-ES"/>
        </w:rPr>
      </w:pPr>
      <w:r w:rsidRPr="002D1FCA">
        <w:rPr>
          <w:lang w:val="es-ES"/>
        </w:rPr>
        <w:t>b)</w:t>
      </w:r>
      <w:r w:rsidRPr="002D1FCA">
        <w:rPr>
          <w:lang w:val="es-ES"/>
        </w:rPr>
        <w:tab/>
        <w:t>el método selecciona variedades de la colección de variedades que son similares a las variedades candidatas; y</w:t>
      </w:r>
    </w:p>
    <w:p w:rsidR="002D1FCA" w:rsidRPr="002D1FCA" w:rsidRDefault="002D1FCA" w:rsidP="007E5DC4">
      <w:pPr>
        <w:ind w:left="1134" w:hanging="567"/>
        <w:rPr>
          <w:lang w:val="es-ES"/>
        </w:rPr>
      </w:pPr>
    </w:p>
    <w:p w:rsidR="002D1FCA" w:rsidRPr="002D1FCA" w:rsidRDefault="002D1FCA" w:rsidP="007E5DC4">
      <w:pPr>
        <w:ind w:left="1134" w:hanging="567"/>
        <w:rPr>
          <w:lang w:val="es-ES"/>
        </w:rPr>
      </w:pPr>
      <w:r w:rsidRPr="002D1FCA">
        <w:rPr>
          <w:lang w:val="es-ES"/>
        </w:rPr>
        <w:t>c)</w:t>
      </w:r>
      <w:r w:rsidRPr="002D1FCA">
        <w:rPr>
          <w:lang w:val="es-ES"/>
        </w:rPr>
        <w:tab/>
        <w:t>el método no aumenta el riesgo de no seleccionar una variedad de la colección de variedades que sea necesario comparar con las variedades candidatas en el ensayo en cultivo.</w:t>
      </w:r>
    </w:p>
    <w:p w:rsidR="002D1FCA" w:rsidRPr="002D1FCA" w:rsidRDefault="002D1FCA" w:rsidP="002D1FCA">
      <w:pPr>
        <w:rPr>
          <w:lang w:val="es-ES"/>
        </w:rPr>
      </w:pPr>
    </w:p>
    <w:p w:rsidR="002D1FCA" w:rsidRPr="002D1FCA" w:rsidRDefault="002D1FCA" w:rsidP="002D1FCA">
      <w:pPr>
        <w:rPr>
          <w:lang w:val="es-ES"/>
        </w:rPr>
      </w:pPr>
      <w:r w:rsidRPr="002D1FCA">
        <w:rPr>
          <w:lang w:val="es-ES"/>
        </w:rPr>
        <w:t>2.2.3</w:t>
      </w:r>
      <w:r w:rsidRPr="002D1FCA">
        <w:rPr>
          <w:lang w:val="es-ES"/>
        </w:rPr>
        <w:tab/>
        <w:t>El Anexo 2 del presente documento, “Combinación de distancias fenotípicas y moleculares en la gestión de las colecciones de variedades”, constituye un ejemplo del uso de la combinación de las diferencias fenotípicas y las distancias moleculares en la gestión de las colecciones de variedades.</w:t>
      </w:r>
    </w:p>
    <w:p w:rsidR="002D1FCA" w:rsidRPr="002D1FCA" w:rsidRDefault="002D1FCA" w:rsidP="002D1FCA">
      <w:pPr>
        <w:rPr>
          <w:lang w:val="es-ES"/>
        </w:rPr>
      </w:pPr>
    </w:p>
    <w:p w:rsidR="002D1FCA" w:rsidRPr="00B83EDF" w:rsidRDefault="002D1FCA" w:rsidP="002D1FCA">
      <w:pPr>
        <w:rPr>
          <w:u w:val="single"/>
          <w:lang w:val="es-ES"/>
        </w:rPr>
      </w:pPr>
    </w:p>
    <w:p w:rsidR="002D1FCA" w:rsidRPr="00B83EDF" w:rsidRDefault="002D1FCA" w:rsidP="002D1FCA">
      <w:pPr>
        <w:rPr>
          <w:u w:val="single"/>
          <w:lang w:val="es-ES"/>
        </w:rPr>
      </w:pPr>
    </w:p>
    <w:p w:rsidR="002D1FCA" w:rsidRPr="00B83EDF" w:rsidRDefault="002D1FCA" w:rsidP="002D1FCA">
      <w:pPr>
        <w:jc w:val="right"/>
        <w:rPr>
          <w:lang w:val="es-ES"/>
        </w:rPr>
      </w:pPr>
      <w:r w:rsidRPr="00B83EDF">
        <w:rPr>
          <w:lang w:val="es-ES"/>
        </w:rPr>
        <w:t>[Siguen los Anexos]</w:t>
      </w:r>
    </w:p>
    <w:p w:rsidR="002D1FCA" w:rsidRPr="00B83EDF" w:rsidRDefault="002D1FCA" w:rsidP="002D1FCA">
      <w:pPr>
        <w:rPr>
          <w:lang w:val="es-ES"/>
        </w:rPr>
      </w:pPr>
    </w:p>
    <w:p w:rsidR="002D1FCA" w:rsidRPr="00B83EDF" w:rsidRDefault="002D1FCA" w:rsidP="002D1FCA">
      <w:pPr>
        <w:pStyle w:val="Header"/>
        <w:jc w:val="both"/>
        <w:rPr>
          <w:lang w:val="es-ES"/>
        </w:rPr>
        <w:sectPr w:rsidR="002D1FCA" w:rsidRPr="00B83EDF" w:rsidSect="00BB7212">
          <w:headerReference w:type="default" r:id="rId10"/>
          <w:endnotePr>
            <w:numFmt w:val="lowerLetter"/>
          </w:endnotePr>
          <w:pgSz w:w="11907" w:h="16840" w:code="9"/>
          <w:pgMar w:top="510" w:right="1134" w:bottom="1134" w:left="1134" w:header="510" w:footer="624" w:gutter="0"/>
          <w:pgNumType w:start="1"/>
          <w:cols w:space="720"/>
          <w:titlePg/>
        </w:sectPr>
      </w:pPr>
    </w:p>
    <w:p w:rsidR="002D1FCA" w:rsidRPr="00B83EDF" w:rsidRDefault="002D1FCA" w:rsidP="002D1FCA">
      <w:pPr>
        <w:jc w:val="center"/>
        <w:rPr>
          <w:lang w:val="es-ES"/>
        </w:rPr>
      </w:pPr>
      <w:bookmarkStart w:id="7" w:name="_Toc254164924"/>
      <w:bookmarkStart w:id="8" w:name="_Toc254167646"/>
      <w:bookmarkStart w:id="9" w:name="_Toc254187554"/>
      <w:bookmarkStart w:id="10" w:name="_Toc286393519"/>
      <w:bookmarkStart w:id="11" w:name="_Toc309055341"/>
      <w:r w:rsidRPr="00B83EDF">
        <w:rPr>
          <w:lang w:val="es-ES"/>
        </w:rPr>
        <w:t xml:space="preserve">ANEXO </w:t>
      </w:r>
      <w:bookmarkEnd w:id="7"/>
      <w:bookmarkEnd w:id="8"/>
      <w:bookmarkEnd w:id="9"/>
      <w:r w:rsidRPr="00B83EDF">
        <w:rPr>
          <w:lang w:val="es-ES"/>
        </w:rPr>
        <w:t>1</w:t>
      </w:r>
      <w:bookmarkEnd w:id="10"/>
      <w:bookmarkEnd w:id="11"/>
    </w:p>
    <w:p w:rsidR="002D1FCA" w:rsidRPr="00B83EDF" w:rsidRDefault="002D1FCA" w:rsidP="002D1FCA">
      <w:pPr>
        <w:jc w:val="center"/>
        <w:rPr>
          <w:lang w:val="es-ES"/>
        </w:rPr>
      </w:pPr>
    </w:p>
    <w:p w:rsidR="002D1FCA" w:rsidRPr="00B83EDF" w:rsidRDefault="002D1FCA" w:rsidP="002D1FCA">
      <w:pPr>
        <w:jc w:val="center"/>
        <w:rPr>
          <w:lang w:val="es-ES"/>
        </w:rPr>
      </w:pPr>
    </w:p>
    <w:p w:rsidR="002D1FCA" w:rsidRPr="00B83EDF" w:rsidRDefault="002D1FCA" w:rsidP="002D1FCA">
      <w:pPr>
        <w:pBdr>
          <w:top w:val="single" w:sz="4" w:space="1" w:color="auto"/>
          <w:left w:val="single" w:sz="4" w:space="4" w:color="auto"/>
          <w:bottom w:val="single" w:sz="4" w:space="1" w:color="auto"/>
          <w:right w:val="single" w:sz="4" w:space="4" w:color="auto"/>
        </w:pBdr>
        <w:jc w:val="center"/>
        <w:rPr>
          <w:color w:val="000000"/>
          <w:lang w:val="es-ES"/>
        </w:rPr>
      </w:pPr>
      <w:bookmarkStart w:id="12" w:name="_Toc309055342"/>
      <w:bookmarkStart w:id="13" w:name="_Toc254164925"/>
      <w:bookmarkStart w:id="14" w:name="_Toc254167647"/>
      <w:bookmarkStart w:id="15" w:name="_Toc254187555"/>
      <w:bookmarkStart w:id="16" w:name="_Toc286393520"/>
      <w:r w:rsidRPr="00B83EDF">
        <w:rPr>
          <w:lang w:val="es-ES"/>
        </w:rPr>
        <w:t>MODELO</w:t>
      </w:r>
      <w:proofErr w:type="gramStart"/>
      <w:r w:rsidRPr="00B83EDF">
        <w:rPr>
          <w:lang w:val="es-ES"/>
        </w:rPr>
        <w:t>:  MARCADORES</w:t>
      </w:r>
      <w:proofErr w:type="gramEnd"/>
      <w:r w:rsidRPr="00B83EDF">
        <w:rPr>
          <w:lang w:val="es-ES"/>
        </w:rPr>
        <w:t xml:space="preserve"> MOLECULARES LIGADOS A CARACTERES</w:t>
      </w:r>
      <w:bookmarkEnd w:id="12"/>
    </w:p>
    <w:bookmarkEnd w:id="13"/>
    <w:bookmarkEnd w:id="14"/>
    <w:bookmarkEnd w:id="15"/>
    <w:bookmarkEnd w:id="16"/>
    <w:p w:rsidR="002D1FCA" w:rsidRPr="00B83EDF" w:rsidRDefault="002D1FCA" w:rsidP="002D1FCA">
      <w:pPr>
        <w:jc w:val="center"/>
        <w:rPr>
          <w:b/>
          <w:lang w:val="es-ES"/>
        </w:rPr>
      </w:pPr>
    </w:p>
    <w:p w:rsidR="002D1FCA" w:rsidRPr="00B83EDF" w:rsidRDefault="002D1FCA" w:rsidP="002D1FCA">
      <w:pPr>
        <w:jc w:val="center"/>
        <w:rPr>
          <w:b/>
          <w:lang w:val="es-ES"/>
        </w:rPr>
      </w:pPr>
    </w:p>
    <w:p w:rsidR="002D1FCA" w:rsidRPr="00B83EDF" w:rsidRDefault="002D1FCA" w:rsidP="002D1FCA">
      <w:pPr>
        <w:jc w:val="center"/>
        <w:rPr>
          <w:lang w:val="es-ES"/>
        </w:rPr>
      </w:pPr>
      <w:bookmarkStart w:id="17" w:name="_Toc254187556"/>
      <w:bookmarkStart w:id="18" w:name="_Toc286393521"/>
      <w:bookmarkStart w:id="19" w:name="_Toc309055343"/>
      <w:r w:rsidRPr="00B83EDF">
        <w:rPr>
          <w:lang w:val="es-ES"/>
        </w:rPr>
        <w:t>EJEMPLO</w:t>
      </w:r>
      <w:proofErr w:type="gramStart"/>
      <w:r w:rsidRPr="00B83EDF">
        <w:rPr>
          <w:lang w:val="es-ES"/>
        </w:rPr>
        <w:t>:  MARCADOR</w:t>
      </w:r>
      <w:proofErr w:type="gramEnd"/>
      <w:r w:rsidRPr="00B83EDF">
        <w:rPr>
          <w:lang w:val="es-ES"/>
        </w:rPr>
        <w:t xml:space="preserve"> GENÉTICO ESPECÍFICO</w:t>
      </w:r>
      <w:r w:rsidRPr="00B83EDF">
        <w:rPr>
          <w:lang w:val="es-ES"/>
        </w:rPr>
        <w:br/>
        <w:t xml:space="preserve">PARA </w:t>
      </w:r>
      <w:smartTag w:uri="urn:schemas-microsoft-com:office:smarttags" w:element="PersonName">
        <w:smartTagPr>
          <w:attr w:name="ProductID" w:val="LA TOLERANCIA A LOS"/>
        </w:smartTagPr>
        <w:r w:rsidRPr="00B83EDF">
          <w:rPr>
            <w:lang w:val="es-ES"/>
          </w:rPr>
          <w:t>LA TOLERANCIA A LOS</w:t>
        </w:r>
      </w:smartTag>
      <w:r w:rsidRPr="00B83EDF">
        <w:rPr>
          <w:lang w:val="es-ES"/>
        </w:rPr>
        <w:t xml:space="preserve"> HERBICIDAS</w:t>
      </w:r>
      <w:bookmarkEnd w:id="17"/>
      <w:bookmarkEnd w:id="18"/>
      <w:bookmarkEnd w:id="19"/>
    </w:p>
    <w:p w:rsidR="002D1FCA" w:rsidRPr="00B83EDF" w:rsidRDefault="002D1FCA" w:rsidP="002D1FCA">
      <w:pPr>
        <w:jc w:val="center"/>
        <w:rPr>
          <w:lang w:val="es-ES"/>
        </w:rPr>
      </w:pPr>
    </w:p>
    <w:p w:rsidR="002D1FCA" w:rsidRPr="00B83EDF" w:rsidRDefault="002D1FCA" w:rsidP="002D1FCA">
      <w:pPr>
        <w:jc w:val="center"/>
        <w:rPr>
          <w:lang w:val="es-ES"/>
        </w:rPr>
      </w:pPr>
    </w:p>
    <w:p w:rsidR="002D1FCA" w:rsidRPr="00B83EDF" w:rsidRDefault="002D1FCA" w:rsidP="002D1FCA">
      <w:pPr>
        <w:jc w:val="center"/>
        <w:rPr>
          <w:bCs/>
          <w:i/>
          <w:iCs/>
          <w:lang w:val="es-ES"/>
        </w:rPr>
      </w:pPr>
      <w:proofErr w:type="gramStart"/>
      <w:r w:rsidRPr="00B83EDF">
        <w:rPr>
          <w:i/>
          <w:lang w:val="es-ES"/>
        </w:rPr>
        <w:t>preparado</w:t>
      </w:r>
      <w:proofErr w:type="gramEnd"/>
      <w:r w:rsidRPr="00B83EDF">
        <w:rPr>
          <w:bCs/>
          <w:i/>
          <w:iCs/>
          <w:lang w:val="es-ES"/>
        </w:rPr>
        <w:t xml:space="preserve"> por </w:t>
      </w:r>
      <w:r w:rsidRPr="00B83EDF">
        <w:rPr>
          <w:i/>
          <w:lang w:val="es-ES"/>
        </w:rPr>
        <w:t>expertos</w:t>
      </w:r>
      <w:r w:rsidRPr="00B83EDF">
        <w:rPr>
          <w:bCs/>
          <w:i/>
          <w:iCs/>
          <w:lang w:val="es-ES"/>
        </w:rPr>
        <w:t xml:space="preserve"> de Francia</w:t>
      </w:r>
    </w:p>
    <w:p w:rsidR="002D1FCA" w:rsidRPr="00B83EDF" w:rsidRDefault="002D1FCA" w:rsidP="002D1FCA">
      <w:pPr>
        <w:rPr>
          <w:sz w:val="22"/>
          <w:lang w:val="es-ES"/>
        </w:rPr>
      </w:pPr>
    </w:p>
    <w:p w:rsidR="002D1FCA" w:rsidRPr="00B83EDF" w:rsidRDefault="002D1FCA" w:rsidP="002D1FCA">
      <w:pPr>
        <w:rPr>
          <w:lang w:val="es-ES"/>
        </w:rPr>
      </w:pPr>
    </w:p>
    <w:p w:rsidR="002D1FCA" w:rsidRPr="00B83EDF" w:rsidRDefault="002D1FCA" w:rsidP="002D1FCA">
      <w:pPr>
        <w:rPr>
          <w:lang w:val="es-ES"/>
        </w:rPr>
      </w:pPr>
      <w:r w:rsidRPr="00B83EDF">
        <w:rPr>
          <w:lang w:val="es-ES"/>
        </w:rPr>
        <w:t>Ejemplo</w:t>
      </w:r>
    </w:p>
    <w:p w:rsidR="002D1FCA" w:rsidRPr="00B83EDF" w:rsidRDefault="002D1FCA" w:rsidP="002D1FCA">
      <w:pPr>
        <w:rPr>
          <w:u w:val="single"/>
          <w:lang w:val="es-ES"/>
        </w:rPr>
      </w:pPr>
    </w:p>
    <w:p w:rsidR="002D1FCA" w:rsidRPr="00B83EDF" w:rsidRDefault="002D1FCA" w:rsidP="002D1FCA">
      <w:pPr>
        <w:rPr>
          <w:lang w:val="es-ES"/>
        </w:rPr>
      </w:pPr>
      <w:r w:rsidRPr="00B83EDF">
        <w:rPr>
          <w:lang w:val="es-ES"/>
        </w:rPr>
        <w:t>1.</w:t>
      </w:r>
      <w:r w:rsidRPr="00B83EDF">
        <w:rPr>
          <w:lang w:val="es-ES"/>
        </w:rPr>
        <w:tab/>
        <w:t xml:space="preserve">Una variedad se modifica genéticamente mediante la inserción de un gen para la tolerancia al herbicida “Fórmula X”.  Las variedades que contienen este gen no se ven afectadas cuando se les pulveriza </w:t>
      </w:r>
      <w:r w:rsidRPr="005E4B95">
        <w:rPr>
          <w:lang w:val="es-ES"/>
        </w:rPr>
        <w:t xml:space="preserve">con </w:t>
      </w:r>
      <w:smartTag w:uri="urn:schemas-microsoft-com:office:smarttags" w:element="PersonName">
        <w:smartTagPr>
          <w:attr w:name="ProductID" w:val="la F￳rmula X"/>
        </w:smartTagPr>
        <w:r w:rsidRPr="005E4B95">
          <w:rPr>
            <w:lang w:val="es-ES"/>
          </w:rPr>
          <w:t>la Fórmula X</w:t>
        </w:r>
      </w:smartTag>
      <w:r w:rsidRPr="005E4B95">
        <w:rPr>
          <w:lang w:val="es-ES"/>
        </w:rPr>
        <w:t xml:space="preserve">, mientras que las variedades que no tiene este gen mueren sistemáticamente si se las </w:t>
      </w:r>
      <w:r w:rsidRPr="00B83EDF">
        <w:rPr>
          <w:lang w:val="es-ES"/>
        </w:rPr>
        <w:t>pulveriza con este herbicida particular.  La tolerancia a la Fórmula X, examinada en ensayos en parcelas pulverizando las parcelas, es un carácter DHE aceptado, y puede utilizarse para establecer la distinción entre variedades.</w:t>
      </w:r>
    </w:p>
    <w:p w:rsidR="002D1FCA" w:rsidRPr="00B83EDF" w:rsidRDefault="002D1FCA" w:rsidP="002D1FCA">
      <w:pPr>
        <w:rPr>
          <w:lang w:val="es-ES"/>
        </w:rPr>
      </w:pPr>
    </w:p>
    <w:p w:rsidR="002D1FCA" w:rsidRPr="00B83EDF" w:rsidRDefault="002D1FCA" w:rsidP="002D1FCA">
      <w:pPr>
        <w:rPr>
          <w:lang w:val="es-ES"/>
        </w:rPr>
      </w:pPr>
      <w:r w:rsidRPr="00B83EDF">
        <w:rPr>
          <w:lang w:val="es-ES"/>
        </w:rPr>
        <w:t>2.</w:t>
      </w:r>
      <w:r w:rsidRPr="00B83EDF">
        <w:rPr>
          <w:lang w:val="es-ES"/>
        </w:rPr>
        <w:tab/>
        <w:t xml:space="preserve">Se propone que, en lugar de pulverizar las variedades en las parcelas (debido a la dificultad de organizarlo en los ensayos DHE estándar), se examine el carácter “tolerancia a la Fórmula X” realizando un examen para determinar la presencia de un marcador molecular </w:t>
      </w:r>
      <w:r w:rsidRPr="00B83EDF">
        <w:rPr>
          <w:i/>
          <w:lang w:val="es-ES"/>
        </w:rPr>
        <w:t>ligado</w:t>
      </w:r>
      <w:r w:rsidRPr="00B83EDF">
        <w:rPr>
          <w:lang w:val="es-ES"/>
        </w:rPr>
        <w:t xml:space="preserve"> al gen.  Este marcador se encuentra </w:t>
      </w:r>
      <w:r w:rsidRPr="005E4B95">
        <w:rPr>
          <w:lang w:val="es-ES"/>
        </w:rPr>
        <w:t xml:space="preserve">en una parte de la construcción genética.  La construcción genética comprende todos los elementos que se </w:t>
      </w:r>
      <w:r w:rsidRPr="00B83EDF">
        <w:rPr>
          <w:lang w:val="es-ES"/>
        </w:rPr>
        <w:t xml:space="preserve">insertan en la planta durante la modificación genética y, además del propio gen, contiene elementos adicionales para regular el gen una vez que se encuentre en </w:t>
      </w:r>
      <w:smartTag w:uri="urn:schemas-microsoft-com:office:smarttags" w:element="PersonName">
        <w:smartTagPr>
          <w:attr w:name="ProductID" w:val="la planta.  El"/>
        </w:smartTagPr>
        <w:r w:rsidRPr="00B83EDF">
          <w:rPr>
            <w:lang w:val="es-ES"/>
          </w:rPr>
          <w:t>la planta.  El</w:t>
        </w:r>
      </w:smartTag>
      <w:r w:rsidRPr="00B83EDF">
        <w:rPr>
          <w:lang w:val="es-ES"/>
        </w:rPr>
        <w:t xml:space="preserve"> marcador puede localizarse en el gen, parcialmente en el gen o fuera del propio gen.</w:t>
      </w:r>
    </w:p>
    <w:p w:rsidR="002D1FCA" w:rsidRPr="00B83EDF" w:rsidRDefault="002D1FCA" w:rsidP="002D1FCA">
      <w:pPr>
        <w:rPr>
          <w:lang w:val="es-ES"/>
        </w:rPr>
      </w:pPr>
    </w:p>
    <w:p w:rsidR="002D1FCA" w:rsidRPr="00B83EDF" w:rsidRDefault="002D1FCA" w:rsidP="002D1FCA">
      <w:pPr>
        <w:rPr>
          <w:lang w:val="es-ES"/>
        </w:rPr>
      </w:pPr>
    </w:p>
    <w:p w:rsidR="002D1FCA" w:rsidRPr="00B83EDF" w:rsidRDefault="002D1FCA" w:rsidP="002D1FCA">
      <w:pPr>
        <w:rPr>
          <w:u w:val="single"/>
          <w:lang w:val="es-ES"/>
        </w:rPr>
      </w:pPr>
      <w:r w:rsidRPr="00B83EDF">
        <w:rPr>
          <w:u w:val="single"/>
          <w:lang w:val="es-ES"/>
        </w:rPr>
        <w:t>Premisas del ejemplo</w:t>
      </w:r>
    </w:p>
    <w:p w:rsidR="002D1FCA" w:rsidRPr="00B83EDF" w:rsidRDefault="002D1FCA" w:rsidP="002D1FCA">
      <w:pPr>
        <w:rPr>
          <w:lang w:val="es-ES"/>
        </w:rPr>
      </w:pPr>
    </w:p>
    <w:p w:rsidR="002D1FCA" w:rsidRPr="00B83EDF" w:rsidRDefault="002D1FCA" w:rsidP="002D1FCA">
      <w:pPr>
        <w:rPr>
          <w:lang w:val="es-ES"/>
        </w:rPr>
      </w:pPr>
      <w:r w:rsidRPr="00B83EDF">
        <w:rPr>
          <w:lang w:val="es-ES"/>
        </w:rPr>
        <w:t>3.</w:t>
      </w:r>
      <w:r w:rsidRPr="00B83EDF">
        <w:rPr>
          <w:lang w:val="es-ES"/>
        </w:rPr>
        <w:tab/>
        <w:t>El ejemplo se basa en las siguientes premisas:</w:t>
      </w:r>
    </w:p>
    <w:p w:rsidR="002D1FCA" w:rsidRPr="00B83EDF" w:rsidRDefault="002D1FCA" w:rsidP="002D1FCA">
      <w:pPr>
        <w:rPr>
          <w:lang w:val="es-ES"/>
        </w:rPr>
      </w:pPr>
    </w:p>
    <w:p w:rsidR="002D1FCA" w:rsidRPr="00B83EDF" w:rsidRDefault="002D1FCA" w:rsidP="002D1FCA">
      <w:pPr>
        <w:tabs>
          <w:tab w:val="left" w:pos="567"/>
          <w:tab w:val="left" w:pos="1134"/>
        </w:tabs>
        <w:rPr>
          <w:lang w:val="es-ES"/>
        </w:rPr>
      </w:pPr>
      <w:r w:rsidRPr="00B83EDF">
        <w:rPr>
          <w:lang w:val="es-ES"/>
        </w:rPr>
        <w:tab/>
        <w:t>a)</w:t>
      </w:r>
      <w:r w:rsidRPr="00B83EDF">
        <w:rPr>
          <w:lang w:val="es-ES"/>
        </w:rPr>
        <w:tab/>
        <w:t>El examen DHE</w:t>
      </w:r>
    </w:p>
    <w:p w:rsidR="002D1FCA" w:rsidRPr="00B83EDF" w:rsidRDefault="002D1FCA" w:rsidP="002D1FCA">
      <w:pPr>
        <w:rPr>
          <w:lang w:val="es-ES"/>
        </w:rPr>
      </w:pPr>
    </w:p>
    <w:p w:rsidR="002D1FCA" w:rsidRPr="005E4B95" w:rsidRDefault="002D1FCA" w:rsidP="002D1FCA">
      <w:pPr>
        <w:tabs>
          <w:tab w:val="left" w:pos="567"/>
        </w:tabs>
        <w:rPr>
          <w:lang w:val="es-ES"/>
        </w:rPr>
      </w:pPr>
      <w:r w:rsidRPr="005E4B95">
        <w:rPr>
          <w:lang w:val="es-ES"/>
        </w:rPr>
        <w:tab/>
        <w:t>Se presume que el examen para el marcador tendrá el mismo alcance que el ensayo en campo, es decir, el mismo número de plantas individuales, durante el mismo número de años y con los mismos criterios para establecer la distinción, la homogeneidad y la estabilidad.</w:t>
      </w:r>
    </w:p>
    <w:p w:rsidR="002D1FCA" w:rsidRPr="00B83EDF" w:rsidRDefault="002D1FCA" w:rsidP="002D1FCA">
      <w:pPr>
        <w:rPr>
          <w:lang w:val="es-ES"/>
        </w:rPr>
      </w:pPr>
    </w:p>
    <w:p w:rsidR="002D1FCA" w:rsidRPr="00B83EDF" w:rsidRDefault="002D1FCA" w:rsidP="002D1FCA">
      <w:pPr>
        <w:tabs>
          <w:tab w:val="left" w:pos="567"/>
          <w:tab w:val="left" w:pos="1134"/>
        </w:tabs>
        <w:rPr>
          <w:lang w:val="es-ES"/>
        </w:rPr>
      </w:pPr>
      <w:r w:rsidRPr="00B83EDF">
        <w:rPr>
          <w:lang w:val="es-ES"/>
        </w:rPr>
        <w:tab/>
        <w:t>b)</w:t>
      </w:r>
      <w:r w:rsidRPr="00B83EDF">
        <w:rPr>
          <w:lang w:val="es-ES"/>
        </w:rPr>
        <w:tab/>
        <w:t>Fiabilidad de los vínculos</w:t>
      </w:r>
    </w:p>
    <w:p w:rsidR="002D1FCA" w:rsidRPr="00B83EDF" w:rsidRDefault="002D1FCA" w:rsidP="002D1FCA">
      <w:pPr>
        <w:rPr>
          <w:lang w:val="es-ES"/>
        </w:rPr>
      </w:pPr>
    </w:p>
    <w:p w:rsidR="002D1FCA" w:rsidRPr="00B83EDF" w:rsidRDefault="002D1FCA" w:rsidP="002D1FCA">
      <w:pPr>
        <w:tabs>
          <w:tab w:val="left" w:pos="567"/>
        </w:tabs>
        <w:rPr>
          <w:lang w:val="es-ES"/>
        </w:rPr>
      </w:pPr>
      <w:r w:rsidRPr="005E4B95">
        <w:rPr>
          <w:lang w:val="es-ES"/>
        </w:rPr>
        <w:tab/>
        <w:t xml:space="preserve">Se presume que se controlará el vínculo entre el marcador y el gen a fin de garantizar que el marcador sea un predictor fiable de la tolerancia a </w:t>
      </w:r>
      <w:smartTag w:uri="urn:schemas-microsoft-com:office:smarttags" w:element="PersonName">
        <w:smartTagPr>
          <w:attr w:name="ProductID" w:val="la F￳rmula X.  Este"/>
        </w:smartTagPr>
        <w:r w:rsidRPr="005E4B95">
          <w:rPr>
            <w:lang w:val="es-ES"/>
          </w:rPr>
          <w:t>la Fórmula X.  Este</w:t>
        </w:r>
      </w:smartTag>
      <w:r w:rsidRPr="005E4B95">
        <w:rPr>
          <w:lang w:val="es-ES"/>
        </w:rPr>
        <w:t xml:space="preserve"> control será necesario para</w:t>
      </w:r>
      <w:r w:rsidRPr="00B83EDF">
        <w:rPr>
          <w:lang w:val="es-ES"/>
        </w:rPr>
        <w:t xml:space="preserve"> garantizar, por ejemplo, que el marcador no se separe del gen y que la presencia del gen siga dando como resultado la tolerancia a </w:t>
      </w:r>
      <w:smartTag w:uri="urn:schemas-microsoft-com:office:smarttags" w:element="PersonName">
        <w:smartTagPr>
          <w:attr w:name="ProductID" w:val="la F￳rmula X."/>
        </w:smartTagPr>
        <w:r w:rsidRPr="00B83EDF">
          <w:rPr>
            <w:lang w:val="es-ES"/>
          </w:rPr>
          <w:t>la Fórmula X.</w:t>
        </w:r>
      </w:smartTag>
    </w:p>
    <w:p w:rsidR="002D1FCA" w:rsidRPr="00B83EDF" w:rsidRDefault="002D1FCA" w:rsidP="002D1FCA">
      <w:pPr>
        <w:rPr>
          <w:lang w:val="es-ES"/>
        </w:rPr>
      </w:pPr>
    </w:p>
    <w:p w:rsidR="002D1FCA" w:rsidRPr="00B83EDF" w:rsidRDefault="002D1FCA" w:rsidP="002D1FCA">
      <w:pPr>
        <w:tabs>
          <w:tab w:val="left" w:pos="567"/>
          <w:tab w:val="left" w:pos="1134"/>
        </w:tabs>
        <w:rPr>
          <w:lang w:val="es-ES"/>
        </w:rPr>
      </w:pPr>
      <w:r w:rsidRPr="00B83EDF">
        <w:rPr>
          <w:lang w:val="es-ES"/>
        </w:rPr>
        <w:tab/>
        <w:t>c)</w:t>
      </w:r>
      <w:r w:rsidRPr="00B83EDF">
        <w:rPr>
          <w:lang w:val="es-ES"/>
        </w:rPr>
        <w:tab/>
        <w:t>Creación de marcadores moleculares diferentes para el mismo gen</w:t>
      </w:r>
    </w:p>
    <w:p w:rsidR="002D1FCA" w:rsidRPr="00B83EDF" w:rsidRDefault="002D1FCA" w:rsidP="002D1FCA">
      <w:pPr>
        <w:rPr>
          <w:lang w:val="es-ES"/>
        </w:rPr>
      </w:pPr>
    </w:p>
    <w:p w:rsidR="002D1FCA" w:rsidRPr="005E4B95" w:rsidRDefault="002D1FCA" w:rsidP="002D1FCA">
      <w:pPr>
        <w:tabs>
          <w:tab w:val="left" w:pos="567"/>
        </w:tabs>
        <w:rPr>
          <w:lang w:val="es-ES"/>
        </w:rPr>
      </w:pPr>
      <w:r w:rsidRPr="00B83EDF">
        <w:rPr>
          <w:lang w:val="es-ES"/>
        </w:rPr>
        <w:tab/>
        <w:t xml:space="preserve">Quizás sea posible elaborar distintas construcciones genéticas que contengan la tolerancia a </w:t>
      </w:r>
      <w:smartTag w:uri="urn:schemas-microsoft-com:office:smarttags" w:element="PersonName">
        <w:smartTagPr>
          <w:attr w:name="ProductID" w:val="la F￳rmula X"/>
        </w:smartTagPr>
        <w:r w:rsidRPr="00B83EDF">
          <w:rPr>
            <w:lang w:val="es-ES"/>
          </w:rPr>
          <w:t>la Fórmula X</w:t>
        </w:r>
      </w:smartTag>
      <w:r w:rsidRPr="00B83EDF">
        <w:rPr>
          <w:lang w:val="es-ES"/>
        </w:rPr>
        <w:t xml:space="preserve"> e identificar marcadores moleculares independientes para dichas construcciones genéticas individuales, todos ellos vinculados a exactamente el mismo gen de tolerancia a la Fórmula X.  Si todos los distintos marcadores para el mismo gen se aceptasen como métodos diferentes para examinar el </w:t>
      </w:r>
      <w:r w:rsidRPr="00B83EDF">
        <w:rPr>
          <w:i/>
          <w:lang w:val="es-ES"/>
        </w:rPr>
        <w:t>mismo carácter fenotípico existente</w:t>
      </w:r>
      <w:r w:rsidRPr="00B83EDF">
        <w:rPr>
          <w:lang w:val="es-ES"/>
        </w:rPr>
        <w:t xml:space="preserve">, el enfoque sería el mismo.  Para la utilización de “[…] [marcadores] moleculares como predictores de caracteres tradicionales”, debe partirse de la base de que los marcadores </w:t>
      </w:r>
      <w:r w:rsidRPr="005E4B95">
        <w:rPr>
          <w:lang w:val="es-ES"/>
        </w:rPr>
        <w:t>corresponden a un carácter tradicional, a saber, un carácter aprobado existente.  Por consiguiente, se presume que los distintos marcadores para el mismo gen se tratarían como si fuesen distintos métodos para examinar el mismo carácter, a saber, la tolerancia a la Fórmula X.</w:t>
      </w:r>
    </w:p>
    <w:p w:rsidR="002D1FCA" w:rsidRPr="00B83EDF" w:rsidRDefault="002D1FCA" w:rsidP="002D1FCA">
      <w:pPr>
        <w:rPr>
          <w:lang w:val="es-ES"/>
        </w:rPr>
      </w:pPr>
    </w:p>
    <w:p w:rsidR="002D1FCA" w:rsidRPr="00B83EDF" w:rsidRDefault="002D1FCA" w:rsidP="002D1FCA">
      <w:pPr>
        <w:keepNext/>
        <w:tabs>
          <w:tab w:val="left" w:pos="567"/>
          <w:tab w:val="left" w:pos="1134"/>
        </w:tabs>
        <w:rPr>
          <w:lang w:val="es-ES"/>
        </w:rPr>
      </w:pPr>
      <w:r w:rsidRPr="00B83EDF">
        <w:rPr>
          <w:lang w:val="es-ES"/>
        </w:rPr>
        <w:tab/>
        <w:t>d)</w:t>
      </w:r>
      <w:r w:rsidRPr="00B83EDF">
        <w:rPr>
          <w:lang w:val="es-ES"/>
        </w:rPr>
        <w:tab/>
        <w:t>Distintos genes que producen tolerancia al mismo herbicida</w:t>
      </w:r>
    </w:p>
    <w:p w:rsidR="002D1FCA" w:rsidRPr="00B83EDF" w:rsidRDefault="002D1FCA" w:rsidP="002D1FCA">
      <w:pPr>
        <w:keepNext/>
        <w:rPr>
          <w:lang w:val="es-ES"/>
        </w:rPr>
      </w:pPr>
    </w:p>
    <w:p w:rsidR="002D1FCA" w:rsidRPr="005E4B95" w:rsidRDefault="002D1FCA" w:rsidP="002D1FCA">
      <w:pPr>
        <w:tabs>
          <w:tab w:val="left" w:pos="567"/>
        </w:tabs>
        <w:rPr>
          <w:lang w:val="es-ES"/>
        </w:rPr>
      </w:pPr>
      <w:r w:rsidRPr="00B83EDF">
        <w:rPr>
          <w:lang w:val="es-ES"/>
        </w:rPr>
        <w:tab/>
        <w:t xml:space="preserve">Quizás sea posible crear distintos genes que confieran tolerancia a la Fórmula X.  En el caso más simple, esto podría considerarse del mismo modo que los distintos marcadores para el mismo gen, es decir, los distintos genes, con sus marcadores respectivos, se considerarían como métodos diferentes para examinar el mismo carácter, a saber, la tolerancia a la Fórmula X.  No obstante, es muy posible que los distintos genes posean un mecanismo químico diferente para producir la tolerancia a la Fórmula X.  Por consiguiente, las sustancias químicas producidas por los distintos genes serán diferentes y dichas sustancias químicas podrán constituir la base para establecer la distinción en ciertas circunstancias.  No obstante, en virtud de este modelo sería necesario en primer lugar aprobar los componentes químicos como caracteres de la UPOV, antes de aceptar marcadores moleculares vinculados a dichos caracteres </w:t>
      </w:r>
      <w:r w:rsidRPr="005E4B95">
        <w:rPr>
          <w:lang w:val="es-ES"/>
        </w:rPr>
        <w:t>potenciales.  Esto podría, a su vez, constituir un ejemplo separado.  Por consiguiente, se presume que distintos genes serían tratados como distintos métodos para examinar el mismo carácter, a saber, la tolerancia a la Fórmula X.</w:t>
      </w:r>
    </w:p>
    <w:p w:rsidR="002D1FCA" w:rsidRPr="00B83EDF" w:rsidRDefault="002D1FCA" w:rsidP="002D1FCA">
      <w:pPr>
        <w:rPr>
          <w:lang w:val="es-ES"/>
        </w:rPr>
      </w:pPr>
    </w:p>
    <w:p w:rsidR="002D1FCA" w:rsidRPr="00B83EDF" w:rsidRDefault="002D1FCA" w:rsidP="002D1FCA">
      <w:pPr>
        <w:tabs>
          <w:tab w:val="left" w:pos="567"/>
          <w:tab w:val="left" w:pos="1134"/>
        </w:tabs>
        <w:ind w:left="1134" w:hanging="1134"/>
        <w:rPr>
          <w:lang w:val="es-ES"/>
        </w:rPr>
      </w:pPr>
      <w:r w:rsidRPr="005E4B95">
        <w:rPr>
          <w:lang w:val="es-ES"/>
        </w:rPr>
        <w:tab/>
        <w:t>e)</w:t>
      </w:r>
      <w:r w:rsidRPr="005E4B95">
        <w:rPr>
          <w:lang w:val="es-ES"/>
        </w:rPr>
        <w:tab/>
        <w:t xml:space="preserve">Distintas construcciones genéticas que producen la misma tolerancia al herbicida pero con </w:t>
      </w:r>
      <w:r w:rsidRPr="00B83EDF">
        <w:rPr>
          <w:lang w:val="es-ES"/>
        </w:rPr>
        <w:t>distinto control de la expresión</w:t>
      </w:r>
    </w:p>
    <w:p w:rsidR="002D1FCA" w:rsidRPr="00B83EDF" w:rsidRDefault="002D1FCA" w:rsidP="002D1FCA">
      <w:pPr>
        <w:rPr>
          <w:lang w:val="es-ES"/>
        </w:rPr>
      </w:pPr>
    </w:p>
    <w:p w:rsidR="002D1FCA" w:rsidRPr="005E4B95" w:rsidRDefault="002D1FCA" w:rsidP="002D1FCA">
      <w:pPr>
        <w:tabs>
          <w:tab w:val="left" w:pos="567"/>
        </w:tabs>
        <w:rPr>
          <w:lang w:val="es-ES"/>
        </w:rPr>
      </w:pPr>
      <w:r w:rsidRPr="00B83EDF">
        <w:rPr>
          <w:lang w:val="es-ES"/>
        </w:rPr>
        <w:tab/>
        <w:t xml:space="preserve">Es posible asimismo que puedan elaborarse distintos genes construidos que contengan el mismo gen de tolerancia a la Fórmula X, pero que posean un control regulatorio distinto.  Por ejemplo, los elementos regulatorios pueden traducirse en la tolerancia a la Fórmula X que se activan únicamente en ciertas etapas </w:t>
      </w:r>
      <w:r w:rsidRPr="005E4B95">
        <w:rPr>
          <w:lang w:val="es-ES"/>
        </w:rPr>
        <w:t>del desarrollo.  En aras de la simplicidad, al considerar este ejemplo, se presume que los distintos marcadores vinculados a distintos elementos reguladores para el mismo gen se tratarán como métodos diferentes para examinar el mismo carácter de tolerancia a la Fórmula X.  No obstante, cabe esperar que esta cuestión se siga examinando ulteriormente.</w:t>
      </w:r>
    </w:p>
    <w:p w:rsidR="002D1FCA" w:rsidRPr="00B83EDF" w:rsidRDefault="002D1FCA" w:rsidP="002D1FCA">
      <w:pPr>
        <w:tabs>
          <w:tab w:val="left" w:pos="567"/>
        </w:tabs>
        <w:rPr>
          <w:lang w:val="es-ES"/>
        </w:rPr>
      </w:pPr>
    </w:p>
    <w:p w:rsidR="002D1FCA" w:rsidRPr="00B83EDF" w:rsidRDefault="002D1FCA" w:rsidP="002D1FCA">
      <w:pPr>
        <w:tabs>
          <w:tab w:val="left" w:pos="567"/>
        </w:tabs>
        <w:rPr>
          <w:lang w:val="es-ES"/>
        </w:rPr>
      </w:pPr>
    </w:p>
    <w:p w:rsidR="002D1FCA" w:rsidRPr="00B83EDF" w:rsidRDefault="002D1FCA" w:rsidP="002D1FCA">
      <w:pPr>
        <w:tabs>
          <w:tab w:val="left" w:pos="567"/>
        </w:tabs>
        <w:rPr>
          <w:lang w:val="es-ES"/>
        </w:rPr>
      </w:pPr>
    </w:p>
    <w:p w:rsidR="002D1FCA" w:rsidRPr="00B83EDF" w:rsidRDefault="002D1FCA" w:rsidP="002D1FCA">
      <w:pPr>
        <w:tabs>
          <w:tab w:val="left" w:pos="567"/>
        </w:tabs>
        <w:jc w:val="right"/>
        <w:rPr>
          <w:lang w:val="es-ES"/>
        </w:rPr>
      </w:pPr>
      <w:r w:rsidRPr="00B83EDF">
        <w:rPr>
          <w:lang w:val="es-ES"/>
        </w:rPr>
        <w:t>[Sigue el Anexo 2]</w:t>
      </w:r>
    </w:p>
    <w:p w:rsidR="002D1FCA" w:rsidRPr="00B83EDF" w:rsidRDefault="002D1FCA" w:rsidP="002D1FCA">
      <w:pPr>
        <w:rPr>
          <w:highlight w:val="lightGray"/>
          <w:u w:val="single"/>
          <w:lang w:val="es-ES"/>
        </w:rPr>
      </w:pPr>
    </w:p>
    <w:p w:rsidR="002D1FCA" w:rsidRPr="00B83EDF" w:rsidRDefault="002D1FCA" w:rsidP="002D1FCA">
      <w:pPr>
        <w:pBdr>
          <w:top w:val="single" w:sz="4" w:space="1" w:color="auto"/>
          <w:left w:val="single" w:sz="4" w:space="4" w:color="auto"/>
          <w:bottom w:val="single" w:sz="4" w:space="1" w:color="auto"/>
          <w:right w:val="single" w:sz="4" w:space="4" w:color="auto"/>
        </w:pBdr>
        <w:rPr>
          <w:highlight w:val="lightGray"/>
          <w:u w:val="single"/>
          <w:lang w:val="es-ES"/>
        </w:rPr>
        <w:sectPr w:rsidR="002D1FCA" w:rsidRPr="00B83EDF" w:rsidSect="008D58AB">
          <w:headerReference w:type="default" r:id="rId11"/>
          <w:headerReference w:type="first" r:id="rId12"/>
          <w:footerReference w:type="first" r:id="rId13"/>
          <w:pgSz w:w="11907" w:h="16840" w:code="9"/>
          <w:pgMar w:top="510" w:right="1134" w:bottom="1134" w:left="1134" w:header="510" w:footer="567" w:gutter="0"/>
          <w:pgNumType w:start="1"/>
          <w:cols w:space="720"/>
          <w:titlePg/>
        </w:sectPr>
      </w:pPr>
    </w:p>
    <w:p w:rsidR="002D1FCA" w:rsidRPr="005E4B95" w:rsidRDefault="002D1FCA" w:rsidP="002D1FCA">
      <w:pPr>
        <w:jc w:val="center"/>
        <w:rPr>
          <w:lang w:val="es-ES"/>
        </w:rPr>
      </w:pPr>
      <w:r w:rsidRPr="005E4B95">
        <w:rPr>
          <w:lang w:val="es-ES"/>
        </w:rPr>
        <w:t>ANEXO 2</w:t>
      </w:r>
    </w:p>
    <w:p w:rsidR="002D1FCA" w:rsidRPr="00B83EDF" w:rsidRDefault="002D1FCA" w:rsidP="002D1FCA">
      <w:pPr>
        <w:jc w:val="center"/>
        <w:rPr>
          <w:lang w:val="es-ES"/>
        </w:rPr>
      </w:pPr>
    </w:p>
    <w:p w:rsidR="002D1FCA" w:rsidRPr="00B83EDF" w:rsidRDefault="002D1FCA" w:rsidP="002D1FCA">
      <w:pPr>
        <w:jc w:val="center"/>
        <w:rPr>
          <w:lang w:val="es-ES"/>
        </w:rPr>
      </w:pPr>
    </w:p>
    <w:p w:rsidR="002D1FCA" w:rsidRPr="00B83EDF" w:rsidRDefault="002D1FCA" w:rsidP="002D1FCA">
      <w:pPr>
        <w:pBdr>
          <w:top w:val="single" w:sz="4" w:space="1" w:color="auto"/>
          <w:left w:val="single" w:sz="4" w:space="4" w:color="auto"/>
          <w:bottom w:val="single" w:sz="4" w:space="1" w:color="auto"/>
          <w:right w:val="single" w:sz="4" w:space="4" w:color="auto"/>
        </w:pBdr>
        <w:jc w:val="center"/>
        <w:rPr>
          <w:rFonts w:ascii="TimesNewRoman" w:hAnsi="TimesNewRoman"/>
          <w:lang w:val="es-ES"/>
        </w:rPr>
      </w:pPr>
      <w:bookmarkStart w:id="20" w:name="_Toc247512546"/>
      <w:bookmarkStart w:id="21" w:name="_Toc254187568"/>
      <w:bookmarkStart w:id="22" w:name="_Toc286393532"/>
      <w:bookmarkStart w:id="23" w:name="_Toc309055354"/>
      <w:r w:rsidRPr="00B83EDF">
        <w:rPr>
          <w:lang w:val="es-ES"/>
        </w:rPr>
        <w:t>MODELO</w:t>
      </w:r>
      <w:proofErr w:type="gramStart"/>
      <w:r w:rsidRPr="00B83EDF">
        <w:rPr>
          <w:lang w:val="es-ES"/>
        </w:rPr>
        <w:t>:  COMBINACIÓN</w:t>
      </w:r>
      <w:proofErr w:type="gramEnd"/>
      <w:r w:rsidRPr="00B83EDF">
        <w:rPr>
          <w:lang w:val="es-ES"/>
        </w:rPr>
        <w:t xml:space="preserve"> DE DISTANCIAS FENOTÍPICAS Y MOLECULARES EN </w:t>
      </w:r>
      <w:r w:rsidRPr="00B83EDF">
        <w:rPr>
          <w:lang w:val="es-ES"/>
        </w:rPr>
        <w:br/>
      </w:r>
      <w:smartTag w:uri="urn:schemas-microsoft-com:office:smarttags" w:element="PersonName">
        <w:smartTagPr>
          <w:attr w:name="ProductID" w:val="LA GESTIￓN DE COLECCIONES"/>
        </w:smartTagPr>
        <w:r w:rsidRPr="00B83EDF">
          <w:rPr>
            <w:lang w:val="es-ES"/>
          </w:rPr>
          <w:t>LA GESTIÓN DE COLECCIONES</w:t>
        </w:r>
      </w:smartTag>
      <w:r w:rsidRPr="00B83EDF">
        <w:rPr>
          <w:lang w:val="es-ES"/>
        </w:rPr>
        <w:t xml:space="preserve"> DE VARIEDADES</w:t>
      </w:r>
      <w:bookmarkEnd w:id="20"/>
      <w:bookmarkEnd w:id="21"/>
      <w:bookmarkEnd w:id="22"/>
      <w:bookmarkEnd w:id="23"/>
    </w:p>
    <w:p w:rsidR="002D1FCA" w:rsidRPr="00B83EDF" w:rsidRDefault="002D1FCA" w:rsidP="002D1FCA">
      <w:pPr>
        <w:jc w:val="center"/>
        <w:rPr>
          <w:lang w:val="es-ES"/>
        </w:rPr>
      </w:pPr>
      <w:bookmarkStart w:id="24" w:name="_Toc254187569"/>
    </w:p>
    <w:p w:rsidR="002D1FCA" w:rsidRPr="00B83EDF" w:rsidRDefault="002D1FCA" w:rsidP="002D1FCA">
      <w:pPr>
        <w:jc w:val="center"/>
        <w:rPr>
          <w:lang w:val="es-ES"/>
        </w:rPr>
      </w:pPr>
    </w:p>
    <w:p w:rsidR="002D1FCA" w:rsidRPr="005E4B95" w:rsidRDefault="002D1FCA" w:rsidP="002D1FCA">
      <w:pPr>
        <w:jc w:val="center"/>
        <w:rPr>
          <w:lang w:val="es-ES"/>
        </w:rPr>
      </w:pPr>
      <w:bookmarkStart w:id="25" w:name="_Toc286393533"/>
      <w:bookmarkStart w:id="26" w:name="_Toc309055355"/>
      <w:r w:rsidRPr="005E4B95">
        <w:rPr>
          <w:lang w:val="es-ES"/>
        </w:rPr>
        <w:t>EJEMPLO</w:t>
      </w:r>
      <w:proofErr w:type="gramStart"/>
      <w:r w:rsidRPr="005E4B95">
        <w:rPr>
          <w:lang w:val="es-ES"/>
        </w:rPr>
        <w:t>:  LÍNEAS</w:t>
      </w:r>
      <w:proofErr w:type="gramEnd"/>
      <w:r w:rsidRPr="005E4B95">
        <w:rPr>
          <w:lang w:val="es-ES"/>
        </w:rPr>
        <w:t xml:space="preserve"> PARENTALES EN </w:t>
      </w:r>
      <w:r w:rsidR="005E4B95">
        <w:rPr>
          <w:lang w:val="es-ES"/>
        </w:rPr>
        <w:t xml:space="preserve">EL </w:t>
      </w:r>
      <w:r w:rsidRPr="005E4B95">
        <w:rPr>
          <w:lang w:val="es-ES"/>
        </w:rPr>
        <w:t>MAÍZ</w:t>
      </w:r>
      <w:bookmarkEnd w:id="24"/>
      <w:bookmarkEnd w:id="25"/>
      <w:bookmarkEnd w:id="26"/>
    </w:p>
    <w:p w:rsidR="002D1FCA" w:rsidRPr="00B83EDF" w:rsidRDefault="002D1FCA" w:rsidP="002D1FCA">
      <w:pPr>
        <w:jc w:val="center"/>
        <w:rPr>
          <w:lang w:val="es-ES"/>
        </w:rPr>
      </w:pPr>
    </w:p>
    <w:p w:rsidR="002D1FCA" w:rsidRPr="00B83EDF" w:rsidRDefault="002D1FCA" w:rsidP="002D1FCA">
      <w:pPr>
        <w:jc w:val="center"/>
        <w:rPr>
          <w:lang w:val="es-ES"/>
        </w:rPr>
      </w:pPr>
    </w:p>
    <w:p w:rsidR="002D1FCA" w:rsidRPr="00B83EDF" w:rsidRDefault="002D1FCA" w:rsidP="002D1FCA">
      <w:pPr>
        <w:jc w:val="center"/>
        <w:rPr>
          <w:lang w:val="es-ES"/>
        </w:rPr>
      </w:pPr>
      <w:proofErr w:type="gramStart"/>
      <w:r w:rsidRPr="00B83EDF">
        <w:rPr>
          <w:i/>
          <w:lang w:val="es-ES"/>
        </w:rPr>
        <w:t>preparado</w:t>
      </w:r>
      <w:proofErr w:type="gramEnd"/>
      <w:r w:rsidRPr="00B83EDF">
        <w:rPr>
          <w:i/>
          <w:lang w:val="es-ES"/>
        </w:rPr>
        <w:t xml:space="preserve"> por expertos de Francia</w:t>
      </w:r>
    </w:p>
    <w:p w:rsidR="002D1FCA" w:rsidRPr="00B83EDF" w:rsidRDefault="002D1FCA" w:rsidP="002D1FCA">
      <w:pPr>
        <w:rPr>
          <w:lang w:val="es-ES"/>
        </w:rPr>
      </w:pPr>
    </w:p>
    <w:p w:rsidR="002D1FCA" w:rsidRPr="00B83EDF" w:rsidRDefault="002D1FCA" w:rsidP="002D1FCA">
      <w:pPr>
        <w:rPr>
          <w:lang w:val="es-ES"/>
        </w:rPr>
      </w:pPr>
    </w:p>
    <w:p w:rsidR="002D1FCA" w:rsidRPr="00B83EDF" w:rsidRDefault="002D1FCA" w:rsidP="002D1FCA">
      <w:pPr>
        <w:rPr>
          <w:lang w:val="es-ES"/>
        </w:rPr>
      </w:pPr>
      <w:r w:rsidRPr="00B83EDF">
        <w:rPr>
          <w:lang w:val="es-ES"/>
        </w:rPr>
        <w:t>1.</w:t>
      </w:r>
      <w:r w:rsidRPr="00B83EDF">
        <w:rPr>
          <w:lang w:val="es-ES"/>
        </w:rPr>
        <w:tab/>
      </w:r>
      <w:r w:rsidRPr="00B83EDF">
        <w:rPr>
          <w:u w:val="single"/>
          <w:lang w:val="es-ES"/>
        </w:rPr>
        <w:t>Descripción</w:t>
      </w:r>
    </w:p>
    <w:p w:rsidR="002D1FCA" w:rsidRPr="00B83EDF" w:rsidRDefault="002D1FCA" w:rsidP="002D1FCA">
      <w:pPr>
        <w:rPr>
          <w:lang w:val="es-ES"/>
        </w:rPr>
      </w:pPr>
    </w:p>
    <w:p w:rsidR="002D1FCA" w:rsidRPr="00B83EDF" w:rsidRDefault="002D1FCA" w:rsidP="002D1FCA">
      <w:pPr>
        <w:rPr>
          <w:lang w:val="es-ES"/>
        </w:rPr>
      </w:pPr>
      <w:r w:rsidRPr="00B83EDF">
        <w:rPr>
          <w:lang w:val="es-ES"/>
        </w:rPr>
        <w:t>1.1</w:t>
      </w:r>
      <w:r w:rsidRPr="00B83EDF">
        <w:rPr>
          <w:lang w:val="es-ES"/>
        </w:rPr>
        <w:tab/>
        <w:t>Una característica fundamental del proceso encaminado a eliminar variedades notoriamente conocidas con anterioridad al ensayo en cultivo DHE es que el umbral para decidir qué variedades pueden excluirse (es decir, variedades distintas con base a las descripciones) pueda establecerse con un adecuado margen de seguridad, ya que las variedades que se eliminan no se incluirán en el ensayo en cultivo.  Este umbral, con un margen de seguridad, se denomina umbral de “distinción plus”, esto es que las distancias entre la variedad candidata y las variedades que presentan “distinción plus” son lo suficientemente marcadas como para poder tomar una decisión sin tener que establecer una comparación directa en el ensayo en cultivo.</w:t>
      </w:r>
    </w:p>
    <w:p w:rsidR="002D1FCA" w:rsidRPr="00B83EDF" w:rsidRDefault="002D1FCA" w:rsidP="002D1FCA">
      <w:pPr>
        <w:ind w:left="567" w:hanging="567"/>
        <w:rPr>
          <w:lang w:val="es-ES"/>
        </w:rPr>
      </w:pPr>
    </w:p>
    <w:p w:rsidR="002D1FCA" w:rsidRPr="00B83EDF" w:rsidRDefault="002D1FCA" w:rsidP="002D1FCA">
      <w:pPr>
        <w:rPr>
          <w:lang w:val="es-ES"/>
        </w:rPr>
      </w:pPr>
      <w:r w:rsidRPr="00B83EDF">
        <w:rPr>
          <w:lang w:val="es-ES"/>
        </w:rPr>
        <w:t>1.2</w:t>
      </w:r>
      <w:r w:rsidRPr="00B83EDF">
        <w:rPr>
          <w:lang w:val="es-ES"/>
        </w:rPr>
        <w:tab/>
        <w:t>La finalidad de este ejemplo es crear un instrumento eficaz, basado en la combinación de distancias fenotípicas y moleculares, para identificar, en la colección de variedades, aquellas variedades que deben compararse con las variedades candidatas (véase el gráfico 1) a fin de mejorar la selección de variedades con “distinción plus” y limitar, así, el volumen de trabajo sin que disminuya la calidad del ensayo.  La dificultad estriba en desarrollar un sistema seguro que:</w:t>
      </w:r>
    </w:p>
    <w:p w:rsidR="002D1FCA" w:rsidRPr="00B83EDF" w:rsidRDefault="002D1FCA" w:rsidP="002D1FCA">
      <w:pPr>
        <w:ind w:left="567" w:hanging="567"/>
        <w:rPr>
          <w:lang w:val="es-ES"/>
        </w:rPr>
      </w:pPr>
    </w:p>
    <w:p w:rsidR="002D1FCA" w:rsidRPr="00B83EDF" w:rsidRDefault="002D1FCA" w:rsidP="002D1FCA">
      <w:pPr>
        <w:spacing w:line="480" w:lineRule="auto"/>
        <w:ind w:left="1134" w:hanging="567"/>
        <w:rPr>
          <w:lang w:val="es-ES"/>
        </w:rPr>
      </w:pPr>
      <w:r w:rsidRPr="00B83EDF">
        <w:rPr>
          <w:lang w:val="es-ES"/>
        </w:rPr>
        <w:t>a)</w:t>
      </w:r>
      <w:r w:rsidRPr="00B83EDF">
        <w:rPr>
          <w:lang w:val="es-ES"/>
        </w:rPr>
        <w:tab/>
        <w:t>seleccione únicamente variedades similares a las variedades candidatas,  y</w:t>
      </w:r>
    </w:p>
    <w:p w:rsidR="002D1FCA" w:rsidRPr="00B83EDF" w:rsidRDefault="002D1FCA" w:rsidP="002D1FCA">
      <w:pPr>
        <w:ind w:left="1134" w:hanging="567"/>
        <w:rPr>
          <w:lang w:val="es-ES"/>
        </w:rPr>
      </w:pPr>
      <w:r w:rsidRPr="00B83EDF">
        <w:rPr>
          <w:lang w:val="es-ES"/>
        </w:rPr>
        <w:t>b)</w:t>
      </w:r>
      <w:r w:rsidRPr="00B83EDF">
        <w:rPr>
          <w:lang w:val="es-ES"/>
        </w:rPr>
        <w:tab/>
        <w:t xml:space="preserve">limite el riesgo de no seleccionar una variedad en la colección de variedades que deba compararse en cultivo, especialmente en los casos en que la colección de variedades es amplia o cara. </w:t>
      </w:r>
    </w:p>
    <w:p w:rsidR="002D1FCA" w:rsidRPr="00B83EDF" w:rsidRDefault="002D1FCA" w:rsidP="002D1FCA">
      <w:pPr>
        <w:rPr>
          <w:lang w:val="es-ES"/>
        </w:rPr>
      </w:pPr>
    </w:p>
    <w:p w:rsidR="002D1FCA" w:rsidRPr="00B83EDF" w:rsidRDefault="002D1FCA" w:rsidP="002D1FCA">
      <w:pPr>
        <w:tabs>
          <w:tab w:val="left" w:pos="142"/>
        </w:tabs>
        <w:rPr>
          <w:i/>
          <w:lang w:val="es-ES"/>
        </w:rPr>
      </w:pPr>
      <w:r w:rsidRPr="00B83EDF">
        <w:rPr>
          <w:i/>
          <w:lang w:val="es-ES"/>
        </w:rPr>
        <w:t>Gráfico 1</w:t>
      </w:r>
    </w:p>
    <w:p w:rsidR="002D1FCA" w:rsidRPr="00B83EDF" w:rsidRDefault="002D1FCA" w:rsidP="002D1FCA">
      <w:pPr>
        <w:tabs>
          <w:tab w:val="left" w:pos="142"/>
        </w:tabs>
        <w:ind w:left="567" w:hanging="207"/>
        <w:rPr>
          <w:i/>
          <w:lang w:val="es-ES"/>
        </w:rPr>
      </w:pPr>
    </w:p>
    <w:p w:rsidR="002D1FCA" w:rsidRPr="00B83EDF" w:rsidRDefault="002D1FCA" w:rsidP="002D1FCA">
      <w:pPr>
        <w:jc w:val="center"/>
        <w:rPr>
          <w:lang w:val="es-ES"/>
        </w:rPr>
      </w:pPr>
      <w:r w:rsidRPr="00B83EDF">
        <w:rPr>
          <w:lang w:val="es-ES"/>
        </w:rPr>
        <w:object w:dxaOrig="7036" w:dyaOrig="5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63.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lide.8" ShapeID="_x0000_i1025" DrawAspect="Content" ObjectID="_1442151703" r:id="rId15"/>
        </w:object>
      </w:r>
    </w:p>
    <w:p w:rsidR="002D1FCA" w:rsidRPr="00B83EDF" w:rsidRDefault="002D1FCA" w:rsidP="002D1FCA">
      <w:pPr>
        <w:ind w:left="360"/>
        <w:rPr>
          <w:lang w:val="es-ES"/>
        </w:rPr>
      </w:pPr>
    </w:p>
    <w:p w:rsidR="002D1FCA" w:rsidRPr="00B83EDF" w:rsidRDefault="002D1FCA" w:rsidP="002D1FCA">
      <w:pPr>
        <w:keepNext/>
        <w:numPr>
          <w:ilvl w:val="1"/>
          <w:numId w:val="1"/>
        </w:numPr>
        <w:tabs>
          <w:tab w:val="clear" w:pos="1140"/>
        </w:tabs>
        <w:ind w:hanging="1140"/>
        <w:rPr>
          <w:lang w:val="es-ES"/>
        </w:rPr>
      </w:pPr>
      <w:r w:rsidRPr="00B83EDF">
        <w:rPr>
          <w:lang w:val="es-ES"/>
        </w:rPr>
        <w:t>El nuevo sistema se ha configurado a partir del siguiente material:</w:t>
      </w:r>
    </w:p>
    <w:p w:rsidR="002D1FCA" w:rsidRPr="00B83EDF" w:rsidRDefault="002D1FCA" w:rsidP="002D1FCA">
      <w:pPr>
        <w:keepNext/>
        <w:rPr>
          <w:lang w:val="es-ES"/>
        </w:rPr>
      </w:pPr>
    </w:p>
    <w:p w:rsidR="002D1FCA" w:rsidRPr="00B83EDF" w:rsidRDefault="002D1FCA" w:rsidP="002D1FCA">
      <w:pPr>
        <w:ind w:firstLine="567"/>
        <w:rPr>
          <w:lang w:val="es-ES"/>
        </w:rPr>
      </w:pPr>
      <w:r w:rsidRPr="00B83EDF">
        <w:rPr>
          <w:lang w:val="es-ES"/>
        </w:rPr>
        <w:t>a)</w:t>
      </w:r>
      <w:r w:rsidRPr="00B83EDF">
        <w:rPr>
          <w:lang w:val="es-ES"/>
        </w:rPr>
        <w:tab/>
        <w:t>Estudios existentes sobre las distancias moleculares en el maíz, aplicables a los ensayos DHE y al establecimiento de derivación esencial</w:t>
      </w:r>
      <w:r w:rsidRPr="00F957DD">
        <w:rPr>
          <w:color w:val="0000FF"/>
          <w:lang w:val="es-ES"/>
        </w:rPr>
        <w:t>,</w:t>
      </w:r>
      <w:r w:rsidRPr="00B83EDF">
        <w:rPr>
          <w:lang w:val="es-ES"/>
        </w:rPr>
        <w:t xml:space="preserve"> en los que se muestra la relación de parentesco entre variedades (véanse los documentos BMT/3/6 </w:t>
      </w:r>
      <w:r w:rsidRPr="00B83EDF">
        <w:rPr>
          <w:i/>
          <w:lang w:val="es-ES"/>
        </w:rPr>
        <w:t>“</w:t>
      </w:r>
      <w:proofErr w:type="spellStart"/>
      <w:r w:rsidRPr="00B83EDF">
        <w:rPr>
          <w:i/>
          <w:lang w:val="es-ES"/>
        </w:rPr>
        <w:t>The</w:t>
      </w:r>
      <w:proofErr w:type="spellEnd"/>
      <w:r w:rsidRPr="00B83EDF">
        <w:rPr>
          <w:i/>
          <w:lang w:val="es-ES"/>
        </w:rPr>
        <w:t xml:space="preserve"> </w:t>
      </w:r>
      <w:proofErr w:type="spellStart"/>
      <w:r w:rsidRPr="00B83EDF">
        <w:rPr>
          <w:i/>
          <w:lang w:val="es-ES"/>
        </w:rPr>
        <w:t>Estimation</w:t>
      </w:r>
      <w:proofErr w:type="spellEnd"/>
      <w:r w:rsidRPr="00B83EDF">
        <w:rPr>
          <w:i/>
          <w:lang w:val="es-ES"/>
        </w:rPr>
        <w:t xml:space="preserve"> of Molecular </w:t>
      </w:r>
      <w:proofErr w:type="spellStart"/>
      <w:r w:rsidRPr="00B83EDF">
        <w:rPr>
          <w:i/>
          <w:lang w:val="es-ES"/>
        </w:rPr>
        <w:t>Genetic</w:t>
      </w:r>
      <w:proofErr w:type="spellEnd"/>
      <w:r w:rsidRPr="00B83EDF">
        <w:rPr>
          <w:i/>
          <w:lang w:val="es-ES"/>
        </w:rPr>
        <w:t xml:space="preserve"> </w:t>
      </w:r>
      <w:proofErr w:type="spellStart"/>
      <w:r w:rsidRPr="00B83EDF">
        <w:rPr>
          <w:i/>
          <w:lang w:val="es-ES"/>
        </w:rPr>
        <w:t>Distances</w:t>
      </w:r>
      <w:proofErr w:type="spellEnd"/>
      <w:r w:rsidRPr="00B83EDF">
        <w:rPr>
          <w:i/>
          <w:lang w:val="es-ES"/>
        </w:rPr>
        <w:t xml:space="preserve"> in </w:t>
      </w:r>
      <w:proofErr w:type="spellStart"/>
      <w:r w:rsidRPr="00B83EDF">
        <w:rPr>
          <w:i/>
          <w:lang w:val="es-ES"/>
        </w:rPr>
        <w:t>Maize</w:t>
      </w:r>
      <w:proofErr w:type="spellEnd"/>
      <w:r w:rsidRPr="00B83EDF">
        <w:rPr>
          <w:i/>
          <w:lang w:val="es-ES"/>
        </w:rPr>
        <w:t xml:space="preserve"> </w:t>
      </w:r>
      <w:proofErr w:type="spellStart"/>
      <w:r w:rsidRPr="00B83EDF">
        <w:rPr>
          <w:i/>
          <w:lang w:val="es-ES"/>
        </w:rPr>
        <w:t>or</w:t>
      </w:r>
      <w:proofErr w:type="spellEnd"/>
      <w:r w:rsidRPr="00B83EDF">
        <w:rPr>
          <w:i/>
          <w:lang w:val="es-ES"/>
        </w:rPr>
        <w:t xml:space="preserve"> DUS and ED </w:t>
      </w:r>
      <w:proofErr w:type="spellStart"/>
      <w:r w:rsidRPr="00B83EDF">
        <w:rPr>
          <w:i/>
          <w:lang w:val="es-ES"/>
        </w:rPr>
        <w:t>Protocols</w:t>
      </w:r>
      <w:proofErr w:type="spellEnd"/>
      <w:proofErr w:type="gramStart"/>
      <w:r w:rsidRPr="00B83EDF">
        <w:rPr>
          <w:i/>
          <w:lang w:val="es-ES"/>
        </w:rPr>
        <w:t xml:space="preserve">:  </w:t>
      </w:r>
      <w:proofErr w:type="spellStart"/>
      <w:r w:rsidRPr="00B83EDF">
        <w:rPr>
          <w:i/>
          <w:lang w:val="es-ES"/>
        </w:rPr>
        <w:t>Optimization</w:t>
      </w:r>
      <w:proofErr w:type="spellEnd"/>
      <w:proofErr w:type="gramEnd"/>
      <w:r w:rsidRPr="00B83EDF">
        <w:rPr>
          <w:i/>
          <w:lang w:val="es-ES"/>
        </w:rPr>
        <w:t xml:space="preserve"> of </w:t>
      </w:r>
      <w:proofErr w:type="spellStart"/>
      <w:r w:rsidRPr="00B83EDF">
        <w:rPr>
          <w:i/>
          <w:lang w:val="es-ES"/>
        </w:rPr>
        <w:t>the</w:t>
      </w:r>
      <w:proofErr w:type="spellEnd"/>
      <w:r w:rsidRPr="00B83EDF">
        <w:rPr>
          <w:i/>
          <w:lang w:val="es-ES"/>
        </w:rPr>
        <w:t xml:space="preserve"> </w:t>
      </w:r>
      <w:proofErr w:type="spellStart"/>
      <w:r w:rsidRPr="00B83EDF">
        <w:rPr>
          <w:i/>
          <w:lang w:val="es-ES"/>
        </w:rPr>
        <w:t>Information</w:t>
      </w:r>
      <w:proofErr w:type="spellEnd"/>
      <w:r w:rsidRPr="00B83EDF">
        <w:rPr>
          <w:i/>
          <w:lang w:val="es-ES"/>
        </w:rPr>
        <w:t xml:space="preserve"> and new </w:t>
      </w:r>
      <w:proofErr w:type="spellStart"/>
      <w:r w:rsidRPr="00B83EDF">
        <w:rPr>
          <w:i/>
          <w:lang w:val="es-ES"/>
        </w:rPr>
        <w:t>Approaches</w:t>
      </w:r>
      <w:proofErr w:type="spellEnd"/>
      <w:r w:rsidRPr="00B83EDF">
        <w:rPr>
          <w:i/>
          <w:lang w:val="es-ES"/>
        </w:rPr>
        <w:t xml:space="preserve"> of </w:t>
      </w:r>
      <w:proofErr w:type="spellStart"/>
      <w:r w:rsidRPr="00B83EDF">
        <w:rPr>
          <w:i/>
          <w:lang w:val="es-ES"/>
        </w:rPr>
        <w:t>Kinship</w:t>
      </w:r>
      <w:proofErr w:type="spellEnd"/>
      <w:r w:rsidRPr="00B83EDF">
        <w:rPr>
          <w:i/>
          <w:lang w:val="es-ES"/>
        </w:rPr>
        <w:t>”</w:t>
      </w:r>
      <w:r w:rsidRPr="00B83EDF">
        <w:rPr>
          <w:lang w:val="es-ES"/>
        </w:rPr>
        <w:t xml:space="preserve"> y BMT/3/6 </w:t>
      </w:r>
      <w:proofErr w:type="spellStart"/>
      <w:r w:rsidRPr="00B83EDF">
        <w:rPr>
          <w:lang w:val="es-ES"/>
        </w:rPr>
        <w:t>Add</w:t>
      </w:r>
      <w:proofErr w:type="spellEnd"/>
      <w:r w:rsidRPr="00B83EDF">
        <w:rPr>
          <w:lang w:val="es-ES"/>
        </w:rPr>
        <w:t>.)</w:t>
      </w:r>
    </w:p>
    <w:p w:rsidR="002D1FCA" w:rsidRPr="00B83EDF" w:rsidRDefault="002D1FCA" w:rsidP="002D1FCA">
      <w:pPr>
        <w:ind w:firstLine="567"/>
        <w:rPr>
          <w:lang w:val="es-ES"/>
        </w:rPr>
      </w:pPr>
    </w:p>
    <w:p w:rsidR="002D1FCA" w:rsidRPr="00B83EDF" w:rsidRDefault="002D1FCA" w:rsidP="002D1FCA">
      <w:pPr>
        <w:ind w:firstLine="567"/>
        <w:rPr>
          <w:lang w:val="es-ES"/>
        </w:rPr>
      </w:pPr>
      <w:r w:rsidRPr="00B83EDF">
        <w:rPr>
          <w:lang w:val="es-ES"/>
        </w:rPr>
        <w:t>b)</w:t>
      </w:r>
      <w:r w:rsidRPr="00B83EDF">
        <w:rPr>
          <w:lang w:val="es-ES"/>
        </w:rPr>
        <w:tab/>
        <w:t>Un experimento llevado a cabo por GEVES en un conjunto de líneas parentales del maíz que muestra que existe un vínculo entre la evaluación de la distinción por parte de expertos (evaluación global) y la distancia molecular calculada utilizando datos moleculares de secuencias simples repetidas (SSR) (véase el gráfico 2).</w:t>
      </w:r>
    </w:p>
    <w:p w:rsidR="002D1FCA" w:rsidRPr="00B83EDF" w:rsidRDefault="002D1FCA" w:rsidP="002D1FCA">
      <w:pPr>
        <w:spacing w:line="360" w:lineRule="auto"/>
        <w:rPr>
          <w:lang w:val="es-ES"/>
        </w:rPr>
      </w:pPr>
    </w:p>
    <w:p w:rsidR="002D1FCA" w:rsidRPr="00B83EDF" w:rsidRDefault="002D1FCA" w:rsidP="002D1FCA">
      <w:pPr>
        <w:rPr>
          <w:lang w:val="es-ES"/>
        </w:rPr>
      </w:pPr>
      <w:r w:rsidRPr="00B83EDF">
        <w:rPr>
          <w:lang w:val="es-ES"/>
        </w:rPr>
        <w:t>1.4</w:t>
      </w:r>
      <w:r w:rsidRPr="00B83EDF">
        <w:rPr>
          <w:lang w:val="es-ES"/>
        </w:rPr>
        <w:tab/>
        <w:t>Componentes del sistema</w:t>
      </w:r>
    </w:p>
    <w:p w:rsidR="002D1FCA" w:rsidRPr="00B83EDF" w:rsidRDefault="002D1FCA" w:rsidP="002D1FCA">
      <w:pPr>
        <w:rPr>
          <w:lang w:val="es-ES"/>
        </w:rPr>
      </w:pPr>
    </w:p>
    <w:p w:rsidR="002D1FCA" w:rsidRPr="00B83EDF" w:rsidRDefault="002D1FCA" w:rsidP="002D1FCA">
      <w:pPr>
        <w:numPr>
          <w:ilvl w:val="2"/>
          <w:numId w:val="2"/>
        </w:numPr>
        <w:tabs>
          <w:tab w:val="clear" w:pos="720"/>
        </w:tabs>
        <w:ind w:left="550" w:hanging="550"/>
        <w:rPr>
          <w:lang w:val="es-ES"/>
        </w:rPr>
      </w:pPr>
      <w:r w:rsidRPr="00B83EDF">
        <w:rPr>
          <w:lang w:val="es-ES"/>
        </w:rPr>
        <w:t>Distancia GAIA</w:t>
      </w:r>
    </w:p>
    <w:p w:rsidR="002D1FCA" w:rsidRPr="00B83EDF" w:rsidRDefault="002D1FCA" w:rsidP="002D1FCA">
      <w:pPr>
        <w:rPr>
          <w:lang w:val="es-ES"/>
        </w:rPr>
      </w:pPr>
    </w:p>
    <w:p w:rsidR="002D1FCA" w:rsidRPr="00B83EDF" w:rsidRDefault="002D1FCA" w:rsidP="002D1FCA">
      <w:pPr>
        <w:rPr>
          <w:lang w:val="es-ES"/>
        </w:rPr>
      </w:pPr>
      <w:r w:rsidRPr="00B83EDF">
        <w:rPr>
          <w:lang w:val="es-ES"/>
        </w:rPr>
        <w:t xml:space="preserve">El componente de </w:t>
      </w:r>
      <w:smartTag w:uri="urn:schemas-microsoft-com:office:smarttags" w:element="PersonName">
        <w:smartTagPr>
          <w:attr w:name="ProductID" w:val="la distancia GAIA"/>
        </w:smartTagPr>
        <w:r w:rsidRPr="00B83EDF">
          <w:rPr>
            <w:lang w:val="es-ES"/>
          </w:rPr>
          <w:t>la distancia GAIA</w:t>
        </w:r>
      </w:smartTag>
      <w:r w:rsidRPr="00B83EDF">
        <w:rPr>
          <w:lang w:val="es-ES"/>
        </w:rPr>
        <w:t xml:space="preserve"> se calcula mediante el programa informático GAIA desarrollado por GEVES.  </w:t>
      </w:r>
      <w:smartTag w:uri="urn:schemas-microsoft-com:office:smarttags" w:element="PersonName">
        <w:smartTagPr>
          <w:attr w:name="ProductID" w:val="la distancia GAIA"/>
        </w:smartTagPr>
        <w:r w:rsidRPr="00B83EDF">
          <w:rPr>
            <w:lang w:val="es-ES"/>
          </w:rPr>
          <w:t>La distancia GAIA</w:t>
        </w:r>
      </w:smartTag>
      <w:r w:rsidRPr="00B83EDF">
        <w:rPr>
          <w:lang w:val="es-ES"/>
        </w:rPr>
        <w:t xml:space="preserve"> es una combinación de diferencias observadas en caracteres fenotípicos: cada diferencia observada sirve para calcular la distancia según la fiabilidad de los caracteres, especialmente en lo que respecta a su variabilidad y su susceptibilidad al medio ambiente.  Cuanto mayor es la diferencia observada y mayor es la fiabilidad del carácter, más contribuye la diferencia al cálculo de </w:t>
      </w:r>
      <w:smartTag w:uri="urn:schemas-microsoft-com:office:smarttags" w:element="PersonName">
        <w:smartTagPr>
          <w:attr w:name="ProductID" w:val="la distancia GAIA."/>
        </w:smartTagPr>
        <w:r w:rsidRPr="00B83EDF">
          <w:rPr>
            <w:lang w:val="es-ES"/>
          </w:rPr>
          <w:t>la distancia GAIA.</w:t>
        </w:r>
      </w:smartTag>
      <w:r w:rsidRPr="00B83EDF">
        <w:rPr>
          <w:lang w:val="es-ES"/>
        </w:rPr>
        <w:t xml:space="preserve">  Únicamente se incluyen las diferencias que son iguales o mayores que la distancia mínima requerida por cada uno de los caracteres.</w:t>
      </w:r>
    </w:p>
    <w:p w:rsidR="002D1FCA" w:rsidRPr="00B83EDF" w:rsidRDefault="002D1FCA" w:rsidP="002D1FCA">
      <w:pPr>
        <w:rPr>
          <w:lang w:val="es-ES"/>
        </w:rPr>
      </w:pPr>
    </w:p>
    <w:p w:rsidR="002D1FCA" w:rsidRPr="00B83EDF" w:rsidRDefault="002D1FCA" w:rsidP="002D1FCA">
      <w:pPr>
        <w:keepNext/>
        <w:rPr>
          <w:lang w:val="es-ES"/>
        </w:rPr>
      </w:pPr>
      <w:r w:rsidRPr="00B83EDF">
        <w:rPr>
          <w:lang w:val="es-ES"/>
        </w:rPr>
        <w:t>1.4.2</w:t>
      </w:r>
      <w:r w:rsidRPr="00B83EDF">
        <w:rPr>
          <w:lang w:val="es-ES"/>
        </w:rPr>
        <w:tab/>
        <w:t>Distancia molecular</w:t>
      </w:r>
    </w:p>
    <w:p w:rsidR="002D1FCA" w:rsidRPr="00B83EDF" w:rsidRDefault="002D1FCA" w:rsidP="002D1FCA">
      <w:pPr>
        <w:keepNext/>
        <w:rPr>
          <w:lang w:val="es-ES"/>
        </w:rPr>
      </w:pPr>
    </w:p>
    <w:p w:rsidR="002D1FCA" w:rsidRPr="00B83EDF" w:rsidRDefault="002D1FCA" w:rsidP="002D1FCA">
      <w:pPr>
        <w:rPr>
          <w:lang w:val="es-ES"/>
        </w:rPr>
      </w:pPr>
      <w:r w:rsidRPr="00B83EDF">
        <w:rPr>
          <w:lang w:val="es-ES"/>
        </w:rPr>
        <w:t xml:space="preserve">El componente de la distancia molecular se calcula a partir de las diferencias observadas en un conjunto de marcadores.  Se pueden utilizar distintos tipos de marcadores y distancias moleculares.  En el caso del estudio elaborado en Francia con respecto al maíz, se utilizaron 60 marcadores SSR y la distancia de Rogers.  Es importante que se utilicen suficientes marcadores con una buena distribución en los cromosomas.  Es necesario considerar el tipo de marcadores, el efecto del número de marcadores y la distribución de marcadores con arreglo a las especies de que se trate.  </w:t>
      </w:r>
    </w:p>
    <w:p w:rsidR="002D1FCA" w:rsidRPr="00B83EDF" w:rsidRDefault="002D1FCA" w:rsidP="002D1FCA">
      <w:pPr>
        <w:rPr>
          <w:lang w:val="es-ES"/>
        </w:rPr>
      </w:pPr>
    </w:p>
    <w:p w:rsidR="002D1FCA" w:rsidRPr="00B83EDF" w:rsidRDefault="002D1FCA" w:rsidP="002D1FCA">
      <w:pPr>
        <w:rPr>
          <w:lang w:val="es-ES"/>
        </w:rPr>
      </w:pPr>
      <w:r w:rsidRPr="00B83EDF">
        <w:rPr>
          <w:lang w:val="es-ES"/>
        </w:rPr>
        <w:t>1.4.3</w:t>
      </w:r>
      <w:r w:rsidRPr="00B83EDF">
        <w:rPr>
          <w:lang w:val="es-ES"/>
        </w:rPr>
        <w:tab/>
        <w:t xml:space="preserve">Antes de combinar estos dos componentes, debe efectuarse, a cargo de un grupo de expertos y con respecto a un conjunto de pares de variedades, una evaluación de la relación entre la distancia molecular y una evaluación general de </w:t>
      </w:r>
      <w:smartTag w:uri="urn:schemas-microsoft-com:office:smarttags" w:element="PersonName">
        <w:smartTagPr>
          <w:attr w:name="ProductID" w:val="la distinci￳n.  En"/>
        </w:smartTagPr>
        <w:r w:rsidRPr="00B83EDF">
          <w:rPr>
            <w:lang w:val="es-ES"/>
          </w:rPr>
          <w:t>la distinción.  En</w:t>
        </w:r>
      </w:smartTag>
      <w:r w:rsidRPr="00B83EDF">
        <w:rPr>
          <w:lang w:val="es-ES"/>
        </w:rPr>
        <w:t xml:space="preserve"> el caso del maíz, la evaluación se hizo como se explica a continuación:</w:t>
      </w:r>
    </w:p>
    <w:p w:rsidR="002D1FCA" w:rsidRPr="00B83EDF" w:rsidRDefault="002D1FCA" w:rsidP="002D1FCA">
      <w:pPr>
        <w:rPr>
          <w:lang w:val="es-ES"/>
        </w:rPr>
      </w:pPr>
    </w:p>
    <w:p w:rsidR="002D1FCA" w:rsidRPr="00B83EDF" w:rsidRDefault="002D1FCA" w:rsidP="002D1FCA">
      <w:pPr>
        <w:ind w:left="567"/>
        <w:rPr>
          <w:lang w:val="es-ES"/>
        </w:rPr>
      </w:pPr>
      <w:r w:rsidRPr="00B83EDF">
        <w:rPr>
          <w:lang w:val="es-ES"/>
        </w:rPr>
        <w:t>Material</w:t>
      </w:r>
      <w:proofErr w:type="gramStart"/>
      <w:r w:rsidRPr="00B83EDF">
        <w:rPr>
          <w:lang w:val="es-ES"/>
        </w:rPr>
        <w:t>:  504</w:t>
      </w:r>
      <w:proofErr w:type="gramEnd"/>
      <w:r w:rsidRPr="00B83EDF">
        <w:rPr>
          <w:lang w:val="es-ES"/>
        </w:rPr>
        <w:t xml:space="preserve"> pares de variedades examinadas en paralelo mediante marcadores moleculares</w:t>
      </w:r>
    </w:p>
    <w:p w:rsidR="002D1FCA" w:rsidRPr="00B83EDF" w:rsidRDefault="002D1FCA" w:rsidP="002D1FCA">
      <w:pPr>
        <w:ind w:left="567"/>
        <w:rPr>
          <w:lang w:val="es-ES"/>
        </w:rPr>
      </w:pPr>
    </w:p>
    <w:p w:rsidR="002D1FCA" w:rsidRPr="00B83EDF" w:rsidRDefault="002D1FCA" w:rsidP="002D1FCA">
      <w:pPr>
        <w:ind w:left="567"/>
        <w:rPr>
          <w:lang w:val="es-ES"/>
        </w:rPr>
      </w:pPr>
      <w:r w:rsidRPr="00B83EDF">
        <w:rPr>
          <w:lang w:val="es-ES"/>
        </w:rPr>
        <w:t>Disposición del cultivo</w:t>
      </w:r>
      <w:proofErr w:type="gramStart"/>
      <w:r w:rsidRPr="00B83EDF">
        <w:rPr>
          <w:lang w:val="es-ES"/>
        </w:rPr>
        <w:t>:  pares</w:t>
      </w:r>
      <w:proofErr w:type="gramEnd"/>
      <w:r w:rsidRPr="00B83EDF">
        <w:rPr>
          <w:lang w:val="es-ES"/>
        </w:rPr>
        <w:t xml:space="preserve"> de variedades cultivadas en paralelo </w:t>
      </w:r>
    </w:p>
    <w:p w:rsidR="002D1FCA" w:rsidRPr="00B83EDF" w:rsidRDefault="002D1FCA" w:rsidP="002D1FCA">
      <w:pPr>
        <w:tabs>
          <w:tab w:val="left" w:pos="1870"/>
        </w:tabs>
        <w:ind w:left="567"/>
        <w:rPr>
          <w:lang w:val="es-ES"/>
        </w:rPr>
      </w:pPr>
      <w:r w:rsidRPr="00B83EDF">
        <w:rPr>
          <w:lang w:val="es-ES"/>
        </w:rPr>
        <w:tab/>
        <w:t>(1 parcela = 2 hileras de 15 plantas)</w:t>
      </w:r>
    </w:p>
    <w:p w:rsidR="002D1FCA" w:rsidRPr="00B83EDF" w:rsidRDefault="002D1FCA" w:rsidP="002D1FCA">
      <w:pPr>
        <w:tabs>
          <w:tab w:val="left" w:pos="0"/>
        </w:tabs>
        <w:ind w:left="567"/>
        <w:rPr>
          <w:lang w:val="es-ES"/>
        </w:rPr>
      </w:pPr>
    </w:p>
    <w:p w:rsidR="002D1FCA" w:rsidRPr="00B83EDF" w:rsidRDefault="002D1FCA" w:rsidP="002D1FCA">
      <w:pPr>
        <w:tabs>
          <w:tab w:val="left" w:pos="0"/>
        </w:tabs>
        <w:ind w:left="567"/>
        <w:rPr>
          <w:lang w:val="es-ES"/>
        </w:rPr>
      </w:pPr>
      <w:r w:rsidRPr="00B83EDF">
        <w:rPr>
          <w:lang w:val="es-ES"/>
        </w:rPr>
        <w:t>Evaluación visual por expertos en cultivos del maíz:</w:t>
      </w:r>
    </w:p>
    <w:p w:rsidR="002D1FCA" w:rsidRPr="00B83EDF" w:rsidRDefault="002D1FCA" w:rsidP="002D1FCA">
      <w:pPr>
        <w:tabs>
          <w:tab w:val="left" w:pos="0"/>
        </w:tabs>
        <w:ind w:left="567"/>
        <w:rPr>
          <w:lang w:val="es-ES"/>
        </w:rPr>
      </w:pPr>
    </w:p>
    <w:p w:rsidR="002D1FCA" w:rsidRPr="00B83EDF" w:rsidRDefault="002D1FCA" w:rsidP="002D1FCA">
      <w:pPr>
        <w:tabs>
          <w:tab w:val="left" w:pos="1134"/>
        </w:tabs>
        <w:ind w:left="567"/>
        <w:rPr>
          <w:lang w:val="es-ES"/>
        </w:rPr>
      </w:pPr>
      <w:r w:rsidRPr="00B83EDF">
        <w:rPr>
          <w:lang w:val="es-ES"/>
        </w:rPr>
        <w:t>Escala de similitud:</w:t>
      </w:r>
    </w:p>
    <w:p w:rsidR="002D1FCA" w:rsidRPr="00B83EDF" w:rsidRDefault="002D1FCA" w:rsidP="002D1FCA">
      <w:pPr>
        <w:tabs>
          <w:tab w:val="left" w:pos="0"/>
        </w:tabs>
        <w:ind w:left="567"/>
        <w:rPr>
          <w:lang w:val="es-ES"/>
        </w:rPr>
      </w:pPr>
    </w:p>
    <w:p w:rsidR="002D1FCA" w:rsidRPr="00B83EDF" w:rsidRDefault="002D1FCA" w:rsidP="002D1FCA">
      <w:pPr>
        <w:tabs>
          <w:tab w:val="left" w:pos="1134"/>
        </w:tabs>
        <w:ind w:left="570"/>
        <w:rPr>
          <w:lang w:val="es-ES"/>
        </w:rPr>
      </w:pPr>
      <w:r w:rsidRPr="00B83EDF">
        <w:rPr>
          <w:lang w:val="es-ES"/>
        </w:rPr>
        <w:t>1.</w:t>
      </w:r>
      <w:r w:rsidRPr="00B83EDF">
        <w:rPr>
          <w:lang w:val="es-ES"/>
        </w:rPr>
        <w:tab/>
        <w:t>las dos variedades son similares o muy parecidas</w:t>
      </w:r>
    </w:p>
    <w:p w:rsidR="002D1FCA" w:rsidRPr="00B83EDF" w:rsidRDefault="002D1FCA" w:rsidP="002D1FCA">
      <w:pPr>
        <w:tabs>
          <w:tab w:val="left" w:pos="1134"/>
        </w:tabs>
        <w:ind w:left="570"/>
        <w:rPr>
          <w:lang w:val="es-ES"/>
        </w:rPr>
      </w:pPr>
      <w:r w:rsidRPr="00B83EDF">
        <w:rPr>
          <w:lang w:val="es-ES"/>
        </w:rPr>
        <w:t>3.</w:t>
      </w:r>
      <w:r w:rsidRPr="00B83EDF">
        <w:rPr>
          <w:lang w:val="es-ES"/>
        </w:rPr>
        <w:tab/>
        <w:t>las dos variedades son distintas pero se parecen</w:t>
      </w:r>
    </w:p>
    <w:p w:rsidR="002D1FCA" w:rsidRPr="00B83EDF" w:rsidRDefault="002D1FCA" w:rsidP="002D1FCA">
      <w:pPr>
        <w:tabs>
          <w:tab w:val="left" w:pos="1134"/>
        </w:tabs>
        <w:ind w:left="570"/>
        <w:rPr>
          <w:lang w:val="es-ES"/>
        </w:rPr>
      </w:pPr>
      <w:r w:rsidRPr="00B83EDF">
        <w:rPr>
          <w:lang w:val="es-ES"/>
        </w:rPr>
        <w:t>5.</w:t>
      </w:r>
      <w:r w:rsidRPr="00B83EDF">
        <w:rPr>
          <w:lang w:val="es-ES"/>
        </w:rPr>
        <w:tab/>
        <w:t>la comparación es útil, pero las variedades son claramente distintas</w:t>
      </w:r>
    </w:p>
    <w:p w:rsidR="002D1FCA" w:rsidRPr="00B83EDF" w:rsidRDefault="002D1FCA" w:rsidP="002D1FCA">
      <w:pPr>
        <w:tabs>
          <w:tab w:val="left" w:pos="1134"/>
        </w:tabs>
        <w:ind w:left="570"/>
        <w:rPr>
          <w:lang w:val="es-ES"/>
        </w:rPr>
      </w:pPr>
      <w:r w:rsidRPr="00B83EDF">
        <w:rPr>
          <w:lang w:val="es-ES"/>
        </w:rPr>
        <w:t>7.</w:t>
      </w:r>
      <w:r w:rsidRPr="00B83EDF">
        <w:rPr>
          <w:lang w:val="es-ES"/>
        </w:rPr>
        <w:tab/>
        <w:t>la comparación no era necesaria, porque las variedades son muy diferentes</w:t>
      </w:r>
    </w:p>
    <w:p w:rsidR="002D1FCA" w:rsidRPr="00B83EDF" w:rsidRDefault="002D1FCA" w:rsidP="002D1FCA">
      <w:pPr>
        <w:tabs>
          <w:tab w:val="left" w:pos="1134"/>
        </w:tabs>
        <w:ind w:left="570"/>
        <w:rPr>
          <w:lang w:val="es-ES"/>
        </w:rPr>
      </w:pPr>
      <w:r w:rsidRPr="00B83EDF">
        <w:rPr>
          <w:lang w:val="es-ES"/>
        </w:rPr>
        <w:t>9.</w:t>
      </w:r>
      <w:r w:rsidRPr="00B83EDF">
        <w:rPr>
          <w:lang w:val="es-ES"/>
        </w:rPr>
        <w:tab/>
        <w:t>la comparación no era necesaria, porque las variedades son totalmente diferentes</w:t>
      </w:r>
    </w:p>
    <w:p w:rsidR="002D1FCA" w:rsidRPr="00B83EDF" w:rsidRDefault="002D1FCA" w:rsidP="002D1FCA">
      <w:pPr>
        <w:tabs>
          <w:tab w:val="left" w:pos="1134"/>
        </w:tabs>
        <w:ind w:left="1134"/>
        <w:rPr>
          <w:lang w:val="es-ES"/>
        </w:rPr>
      </w:pPr>
      <w:r w:rsidRPr="00B83EDF">
        <w:rPr>
          <w:lang w:val="es-ES"/>
        </w:rPr>
        <w:t>(</w:t>
      </w:r>
      <w:proofErr w:type="gramStart"/>
      <w:r w:rsidRPr="00B83EDF">
        <w:rPr>
          <w:lang w:val="es-ES"/>
        </w:rPr>
        <w:t>en</w:t>
      </w:r>
      <w:proofErr w:type="gramEnd"/>
      <w:r w:rsidRPr="00B83EDF">
        <w:rPr>
          <w:lang w:val="es-ES"/>
        </w:rPr>
        <w:t xml:space="preserve"> la escala no se utilizan las notas “pares”)</w:t>
      </w:r>
    </w:p>
    <w:p w:rsidR="002D1FCA" w:rsidRPr="00B83EDF" w:rsidRDefault="002D1FCA" w:rsidP="002D1FCA">
      <w:pPr>
        <w:tabs>
          <w:tab w:val="left" w:pos="0"/>
        </w:tabs>
        <w:rPr>
          <w:lang w:val="es-ES"/>
        </w:rPr>
      </w:pPr>
    </w:p>
    <w:p w:rsidR="002D1FCA" w:rsidRPr="00B83EDF" w:rsidRDefault="002D1FCA" w:rsidP="002D1FCA">
      <w:pPr>
        <w:tabs>
          <w:tab w:val="left" w:pos="0"/>
        </w:tabs>
        <w:rPr>
          <w:lang w:val="es-ES"/>
        </w:rPr>
      </w:pPr>
      <w:r w:rsidRPr="00B83EDF">
        <w:rPr>
          <w:lang w:val="es-ES"/>
        </w:rPr>
        <w:t xml:space="preserve">En el caso del maíz, esta evaluación mostró que ninguna línea parental con una distancia molecular superior a 0,15 fue considerada similar o muy parecida mediante evaluación por expertos en el examen DHE (véase el gráfico 2).  </w:t>
      </w:r>
    </w:p>
    <w:p w:rsidR="002D1FCA" w:rsidRPr="00B83EDF" w:rsidRDefault="002D1FCA" w:rsidP="002D1FCA">
      <w:pPr>
        <w:tabs>
          <w:tab w:val="left" w:pos="0"/>
        </w:tabs>
        <w:rPr>
          <w:lang w:val="es-ES"/>
        </w:rPr>
      </w:pPr>
    </w:p>
    <w:p w:rsidR="002D1FCA" w:rsidRPr="00B83EDF" w:rsidRDefault="002D1FCA" w:rsidP="002D1FCA">
      <w:pPr>
        <w:tabs>
          <w:tab w:val="left" w:pos="0"/>
        </w:tabs>
        <w:rPr>
          <w:i/>
          <w:lang w:val="es-ES"/>
        </w:rPr>
      </w:pPr>
      <w:r w:rsidRPr="00B83EDF">
        <w:rPr>
          <w:i/>
          <w:lang w:val="es-ES"/>
        </w:rPr>
        <w:br w:type="page"/>
      </w:r>
      <w:r w:rsidRPr="00B83EDF">
        <w:rPr>
          <w:i/>
          <w:lang w:val="es-ES"/>
        </w:rPr>
        <w:tab/>
        <w:t>Gráfico 2</w:t>
      </w:r>
    </w:p>
    <w:p w:rsidR="002D1FCA" w:rsidRPr="00B83EDF" w:rsidRDefault="002D1FCA" w:rsidP="002D1FCA">
      <w:pPr>
        <w:tabs>
          <w:tab w:val="left" w:pos="0"/>
        </w:tabs>
        <w:rPr>
          <w:i/>
          <w:lang w:val="es-ES"/>
        </w:rPr>
      </w:pPr>
    </w:p>
    <w:p w:rsidR="002D1FCA" w:rsidRPr="00B83EDF" w:rsidRDefault="002D1FCA" w:rsidP="002D1FCA">
      <w:pPr>
        <w:tabs>
          <w:tab w:val="left" w:pos="0"/>
        </w:tabs>
        <w:jc w:val="center"/>
        <w:rPr>
          <w:lang w:val="es-ES"/>
        </w:rPr>
      </w:pPr>
      <w:r w:rsidRPr="00B83EDF">
        <w:rPr>
          <w:i/>
          <w:sz w:val="10"/>
          <w:lang w:val="es-ES"/>
        </w:rPr>
        <w:object w:dxaOrig="7188" w:dyaOrig="5397">
          <v:shape id="_x0000_i1026" type="#_x0000_t75" style="width:359.25pt;height:270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6" DrawAspect="Content" ObjectID="_1442151704" r:id="rId17"/>
        </w:object>
      </w:r>
    </w:p>
    <w:p w:rsidR="002D1FCA" w:rsidRPr="00B83EDF" w:rsidRDefault="002D1FCA" w:rsidP="002D1FCA">
      <w:pPr>
        <w:keepNext/>
        <w:tabs>
          <w:tab w:val="left" w:pos="0"/>
        </w:tabs>
        <w:rPr>
          <w:i/>
          <w:lang w:val="es-ES"/>
        </w:rPr>
      </w:pPr>
    </w:p>
    <w:p w:rsidR="002D1FCA" w:rsidRPr="00B83EDF" w:rsidRDefault="002D1FCA" w:rsidP="002D1FCA">
      <w:pPr>
        <w:keepNext/>
        <w:tabs>
          <w:tab w:val="left" w:pos="0"/>
        </w:tabs>
        <w:rPr>
          <w:lang w:val="es-ES"/>
        </w:rPr>
      </w:pPr>
      <w:r w:rsidRPr="00B83EDF">
        <w:rPr>
          <w:lang w:val="es-ES"/>
        </w:rPr>
        <w:t>1.4.4</w:t>
      </w:r>
      <w:r w:rsidRPr="00B83EDF">
        <w:rPr>
          <w:lang w:val="es-ES"/>
        </w:rPr>
        <w:tab/>
        <w:t>Sobre la base de ese resultado, la combinación de distancias morfológicas y moleculares ofrece la posibilidad de establecer el siguiente esquema de decisión (véase el gráfico 3):</w:t>
      </w:r>
    </w:p>
    <w:p w:rsidR="002D1FCA" w:rsidRPr="00B83EDF" w:rsidRDefault="002D1FCA" w:rsidP="002D1FCA">
      <w:pPr>
        <w:keepNext/>
        <w:tabs>
          <w:tab w:val="left" w:pos="0"/>
        </w:tabs>
        <w:rPr>
          <w:lang w:val="es-ES"/>
        </w:rPr>
      </w:pPr>
    </w:p>
    <w:p w:rsidR="002D1FCA" w:rsidRPr="00B83EDF" w:rsidRDefault="002D1FCA" w:rsidP="002D1FCA">
      <w:pPr>
        <w:keepNext/>
        <w:tabs>
          <w:tab w:val="left" w:pos="0"/>
        </w:tabs>
        <w:rPr>
          <w:i/>
          <w:lang w:val="es-ES"/>
        </w:rPr>
      </w:pPr>
      <w:r w:rsidRPr="00B83EDF">
        <w:rPr>
          <w:lang w:val="es-ES"/>
        </w:rPr>
        <w:tab/>
      </w:r>
      <w:r w:rsidRPr="00B83EDF">
        <w:rPr>
          <w:i/>
          <w:lang w:val="es-ES"/>
        </w:rPr>
        <w:t>Gráfico 3</w:t>
      </w:r>
    </w:p>
    <w:p w:rsidR="002D1FCA" w:rsidRPr="00B83EDF" w:rsidRDefault="002D1FCA" w:rsidP="002D1FCA">
      <w:pPr>
        <w:keepNext/>
        <w:tabs>
          <w:tab w:val="left" w:pos="0"/>
        </w:tabs>
        <w:rPr>
          <w:lang w:val="es-ES"/>
        </w:rPr>
      </w:pPr>
    </w:p>
    <w:p w:rsidR="002D1FCA" w:rsidRPr="00B83EDF" w:rsidRDefault="002D1FCA" w:rsidP="002D1FCA">
      <w:pPr>
        <w:tabs>
          <w:tab w:val="left" w:pos="0"/>
        </w:tabs>
        <w:jc w:val="center"/>
        <w:rPr>
          <w:i/>
          <w:lang w:val="es-ES"/>
        </w:rPr>
      </w:pPr>
      <w:r w:rsidRPr="00B83EDF">
        <w:rPr>
          <w:i/>
          <w:lang w:val="es-ES"/>
        </w:rPr>
        <w:object w:dxaOrig="7036" w:dyaOrig="5288">
          <v:shape id="_x0000_i1027" type="#_x0000_t75" style="width:351.75pt;height:264.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8" ShapeID="_x0000_i1027" DrawAspect="Content" ObjectID="_1442151705" r:id="rId19"/>
        </w:object>
      </w:r>
    </w:p>
    <w:p w:rsidR="002D1FCA" w:rsidRPr="00B83EDF" w:rsidRDefault="002D1FCA" w:rsidP="002D1FCA">
      <w:pPr>
        <w:rPr>
          <w:i/>
          <w:lang w:val="es-ES"/>
        </w:rPr>
      </w:pPr>
    </w:p>
    <w:p w:rsidR="002D1FCA" w:rsidRPr="00B83EDF" w:rsidRDefault="002D1FCA" w:rsidP="002D1FCA">
      <w:pPr>
        <w:rPr>
          <w:i/>
          <w:lang w:val="es-ES"/>
        </w:rPr>
      </w:pPr>
    </w:p>
    <w:p w:rsidR="002D1FCA" w:rsidRPr="00B83EDF" w:rsidRDefault="002D1FCA" w:rsidP="002D1FCA">
      <w:pPr>
        <w:rPr>
          <w:lang w:val="es-ES"/>
        </w:rPr>
      </w:pPr>
      <w:r w:rsidRPr="00B83EDF">
        <w:rPr>
          <w:i/>
          <w:lang w:val="es-ES"/>
        </w:rPr>
        <w:br w:type="page"/>
      </w:r>
      <w:r w:rsidRPr="00B83EDF">
        <w:rPr>
          <w:lang w:val="es-ES"/>
        </w:rPr>
        <w:t>1.4.5</w:t>
      </w:r>
      <w:r w:rsidRPr="00B83EDF">
        <w:rPr>
          <w:lang w:val="es-ES"/>
        </w:rPr>
        <w:tab/>
        <w:t>Todos los pares de variedades que presenten una distancia GAIA igual o mayor a 6 y todas las variedades que presenten una distancia GAIA entre 2 y 6, más una distancia molecular igual o mayor a 0,2, se consideran variedades con “distinción plus”.</w:t>
      </w:r>
    </w:p>
    <w:p w:rsidR="002D1FCA" w:rsidRPr="00B83EDF" w:rsidRDefault="002D1FCA" w:rsidP="002D1FCA">
      <w:pPr>
        <w:rPr>
          <w:lang w:val="es-ES"/>
        </w:rPr>
      </w:pPr>
    </w:p>
    <w:p w:rsidR="002D1FCA" w:rsidRPr="00B83EDF" w:rsidRDefault="002D1FCA" w:rsidP="002D1FCA">
      <w:pPr>
        <w:rPr>
          <w:lang w:val="es-ES"/>
        </w:rPr>
      </w:pPr>
      <w:r w:rsidRPr="00B83EDF">
        <w:rPr>
          <w:lang w:val="es-ES"/>
        </w:rPr>
        <w:t>1.4.6</w:t>
      </w:r>
      <w:r w:rsidRPr="00B83EDF">
        <w:rPr>
          <w:lang w:val="es-ES"/>
        </w:rPr>
        <w:tab/>
        <w:t>Este esquema muestra que es necesario observar menos líneas parentales en el cultivo en comparación con la situación en que se utiliza únicamente una distancia GAIA de 6.</w:t>
      </w:r>
    </w:p>
    <w:p w:rsidR="002D1FCA" w:rsidRPr="00B83EDF" w:rsidRDefault="002D1FCA" w:rsidP="002D1FCA">
      <w:pPr>
        <w:rPr>
          <w:lang w:val="es-ES"/>
        </w:rPr>
      </w:pPr>
    </w:p>
    <w:p w:rsidR="002D1FCA" w:rsidRPr="00B83EDF" w:rsidRDefault="002D1FCA" w:rsidP="002D1FCA">
      <w:pPr>
        <w:rPr>
          <w:lang w:val="es-ES"/>
        </w:rPr>
      </w:pPr>
      <w:r w:rsidRPr="00B83EDF">
        <w:rPr>
          <w:lang w:val="es-ES"/>
        </w:rPr>
        <w:t>1.4.7</w:t>
      </w:r>
      <w:r w:rsidRPr="00B83EDF">
        <w:rPr>
          <w:lang w:val="es-ES"/>
        </w:rPr>
        <w:tab/>
        <w:t>La solidez de este sistema ha sido contrastada mediante distintas distancias GAIA y moleculares.</w:t>
      </w:r>
    </w:p>
    <w:p w:rsidR="002D1FCA" w:rsidRPr="00B83EDF" w:rsidRDefault="002D1FCA" w:rsidP="002D1FCA">
      <w:pPr>
        <w:rPr>
          <w:lang w:val="es-ES"/>
        </w:rPr>
      </w:pPr>
    </w:p>
    <w:p w:rsidR="002D1FCA" w:rsidRPr="00B83EDF" w:rsidRDefault="002D1FCA" w:rsidP="002D1FCA">
      <w:pPr>
        <w:rPr>
          <w:lang w:val="es-ES"/>
        </w:rPr>
      </w:pPr>
    </w:p>
    <w:p w:rsidR="002D1FCA" w:rsidRPr="00B83EDF" w:rsidRDefault="002D1FCA" w:rsidP="002D1FCA">
      <w:pPr>
        <w:rPr>
          <w:lang w:val="es-ES"/>
        </w:rPr>
      </w:pPr>
      <w:r w:rsidRPr="00B83EDF">
        <w:rPr>
          <w:lang w:val="es-ES"/>
        </w:rPr>
        <w:t>2.</w:t>
      </w:r>
      <w:r w:rsidRPr="00B83EDF">
        <w:rPr>
          <w:lang w:val="es-ES"/>
        </w:rPr>
        <w:tab/>
      </w:r>
      <w:r w:rsidRPr="00B83EDF">
        <w:rPr>
          <w:u w:val="single"/>
          <w:lang w:val="es-ES"/>
        </w:rPr>
        <w:t>Ventajas e inconvenientes</w:t>
      </w:r>
    </w:p>
    <w:p w:rsidR="002D1FCA" w:rsidRPr="00B83EDF" w:rsidRDefault="002D1FCA" w:rsidP="002D1FCA">
      <w:pPr>
        <w:rPr>
          <w:lang w:val="es-ES"/>
        </w:rPr>
      </w:pPr>
    </w:p>
    <w:p w:rsidR="002D1FCA" w:rsidRPr="00B83EDF" w:rsidRDefault="002D1FCA" w:rsidP="002D1FCA">
      <w:pPr>
        <w:numPr>
          <w:ilvl w:val="1"/>
          <w:numId w:val="3"/>
        </w:numPr>
        <w:rPr>
          <w:lang w:val="es-ES"/>
        </w:rPr>
      </w:pPr>
      <w:r w:rsidRPr="00B83EDF">
        <w:rPr>
          <w:lang w:val="es-ES"/>
        </w:rPr>
        <w:t>Ventajas</w:t>
      </w:r>
    </w:p>
    <w:p w:rsidR="002D1FCA" w:rsidRPr="00B83EDF" w:rsidRDefault="002D1FCA" w:rsidP="002D1FCA">
      <w:pPr>
        <w:rPr>
          <w:lang w:val="es-ES"/>
        </w:rPr>
      </w:pPr>
    </w:p>
    <w:p w:rsidR="002D1FCA" w:rsidRPr="00B83EDF" w:rsidRDefault="002D1FCA" w:rsidP="002D1FCA">
      <w:pPr>
        <w:numPr>
          <w:ilvl w:val="0"/>
          <w:numId w:val="4"/>
        </w:numPr>
        <w:rPr>
          <w:lang w:val="es-ES"/>
        </w:rPr>
      </w:pPr>
      <w:r w:rsidRPr="00B83EDF">
        <w:rPr>
          <w:lang w:val="es-ES"/>
        </w:rPr>
        <w:t>Mejora de la gestión de las colecciones de variedades y reducción del número de variedades que deben compararse en el cultivo;</w:t>
      </w:r>
    </w:p>
    <w:p w:rsidR="002D1FCA" w:rsidRPr="00B83EDF" w:rsidRDefault="002D1FCA" w:rsidP="002D1FCA">
      <w:pPr>
        <w:numPr>
          <w:ilvl w:val="0"/>
          <w:numId w:val="4"/>
        </w:numPr>
        <w:rPr>
          <w:lang w:val="es-ES"/>
        </w:rPr>
      </w:pPr>
      <w:r w:rsidRPr="00B83EDF">
        <w:rPr>
          <w:lang w:val="es-ES"/>
        </w:rPr>
        <w:t>Utilización de distancias morfológicas y moleculares con umbrales definidos por expertos en el examen DHE.  Cuando GEVES creó GAIA, el sistema se contrastó además teniendo en cuenta las evaluaciones de los expertos en el examen DHE;</w:t>
      </w:r>
    </w:p>
    <w:p w:rsidR="002D1FCA" w:rsidRPr="00B83EDF" w:rsidRDefault="002D1FCA" w:rsidP="002D1FCA">
      <w:pPr>
        <w:numPr>
          <w:ilvl w:val="0"/>
          <w:numId w:val="4"/>
        </w:numPr>
        <w:rPr>
          <w:lang w:val="es-ES"/>
        </w:rPr>
      </w:pPr>
      <w:r w:rsidRPr="00B83EDF">
        <w:rPr>
          <w:lang w:val="es-ES"/>
        </w:rPr>
        <w:t>Utilización de datos moleculares que no se ven afectados por el medio ambiente;  el conjunto de marcadores y el protocolo del laboratorio están bien definidos;</w:t>
      </w:r>
    </w:p>
    <w:p w:rsidR="002D1FCA" w:rsidRPr="00B83EDF" w:rsidRDefault="002D1FCA" w:rsidP="002D1FCA">
      <w:pPr>
        <w:numPr>
          <w:ilvl w:val="0"/>
          <w:numId w:val="4"/>
        </w:numPr>
        <w:rPr>
          <w:lang w:val="es-ES"/>
        </w:rPr>
      </w:pPr>
      <w:r w:rsidRPr="00B83EDF">
        <w:rPr>
          <w:lang w:val="es-ES"/>
        </w:rPr>
        <w:t xml:space="preserve">Utilización únicamente de caracteres fenotípicos con la robustez adecuada;  posibilidad de utilizar descripciones de procedencia diversa en el marco de una cooperación más estrecha (la base de datos del maíz, creada en colaboración entre Alemania, Francia, España y </w:t>
      </w:r>
      <w:smartTag w:uri="urn:schemas-microsoft-com:office:smarttags" w:element="PersonName">
        <w:smartTagPr>
          <w:attr w:name="ProductID" w:val="la Oficina Comunitaria"/>
        </w:smartTagPr>
        <w:r w:rsidRPr="00B83EDF">
          <w:rPr>
            <w:lang w:val="es-ES"/>
          </w:rPr>
          <w:t>la Oficina Comunitaria</w:t>
        </w:r>
      </w:smartTag>
      <w:r w:rsidRPr="00B83EDF">
        <w:rPr>
          <w:lang w:val="es-ES"/>
        </w:rPr>
        <w:t xml:space="preserve"> de Variedades Vegetales (OCCV) de </w:t>
      </w:r>
      <w:smartTag w:uri="urn:schemas-microsoft-com:office:smarttags" w:element="PersonName">
        <w:smartTagPr>
          <w:attr w:name="ProductID" w:val="la Uni￳n Europea"/>
        </w:smartTagPr>
        <w:r w:rsidRPr="00B83EDF">
          <w:rPr>
            <w:lang w:val="es-ES"/>
          </w:rPr>
          <w:t>la Unión Europea</w:t>
        </w:r>
      </w:smartTag>
      <w:r w:rsidRPr="00B83EDF">
        <w:rPr>
          <w:lang w:val="es-ES"/>
        </w:rPr>
        <w:t>, es un buen ejemplo para ilustrar el valor de este método, mediante el que distintas oficinas comparten una colección de variedades);</w:t>
      </w:r>
    </w:p>
    <w:p w:rsidR="002D1FCA" w:rsidRPr="00B83EDF" w:rsidRDefault="002D1FCA" w:rsidP="002D1FCA">
      <w:pPr>
        <w:numPr>
          <w:ilvl w:val="0"/>
          <w:numId w:val="4"/>
        </w:numPr>
        <w:rPr>
          <w:lang w:val="es-ES"/>
        </w:rPr>
      </w:pPr>
      <w:r w:rsidRPr="00B83EDF">
        <w:rPr>
          <w:lang w:val="es-ES"/>
        </w:rPr>
        <w:t>Los caracteres obtenidos por electroforesis también puede sustituirse;  y</w:t>
      </w:r>
    </w:p>
    <w:p w:rsidR="002D1FCA" w:rsidRPr="00B83EDF" w:rsidRDefault="002D1FCA" w:rsidP="002D1FCA">
      <w:pPr>
        <w:numPr>
          <w:ilvl w:val="0"/>
          <w:numId w:val="4"/>
        </w:numPr>
        <w:rPr>
          <w:lang w:val="es-ES"/>
        </w:rPr>
      </w:pPr>
      <w:r w:rsidRPr="00B83EDF">
        <w:rPr>
          <w:lang w:val="es-ES"/>
        </w:rPr>
        <w:t>La ausencia de homogeneidad no influye en los perfiles moleculares siempre que se utilicen suficientes marcadores y el número de variantes sea bajo.  Las líneas parentales del maíz presentan un alto grado de homogeneidad molecular, pero en otros cultivos podría plantearse un problema.</w:t>
      </w:r>
    </w:p>
    <w:p w:rsidR="002D1FCA" w:rsidRPr="00B83EDF" w:rsidRDefault="002D1FCA" w:rsidP="002D1FCA">
      <w:pPr>
        <w:ind w:left="567"/>
        <w:rPr>
          <w:lang w:val="es-ES"/>
        </w:rPr>
      </w:pPr>
    </w:p>
    <w:p w:rsidR="002D1FCA" w:rsidRPr="00B83EDF" w:rsidRDefault="002D1FCA" w:rsidP="002D1FCA">
      <w:pPr>
        <w:tabs>
          <w:tab w:val="left" w:pos="567"/>
        </w:tabs>
        <w:rPr>
          <w:lang w:val="es-ES"/>
        </w:rPr>
      </w:pPr>
      <w:r w:rsidRPr="00B83EDF">
        <w:rPr>
          <w:lang w:val="es-ES"/>
        </w:rPr>
        <w:t>2.2</w:t>
      </w:r>
      <w:r w:rsidRPr="00B83EDF">
        <w:rPr>
          <w:lang w:val="es-ES"/>
        </w:rPr>
        <w:tab/>
        <w:t>Inconvenientes</w:t>
      </w:r>
    </w:p>
    <w:p w:rsidR="002D1FCA" w:rsidRPr="00B83EDF" w:rsidRDefault="002D1FCA" w:rsidP="002D1FCA">
      <w:pPr>
        <w:ind w:left="567"/>
        <w:rPr>
          <w:lang w:val="es-ES"/>
        </w:rPr>
      </w:pPr>
    </w:p>
    <w:p w:rsidR="002D1FCA" w:rsidRPr="00B83EDF" w:rsidRDefault="002D1FCA" w:rsidP="002D1FCA">
      <w:pPr>
        <w:tabs>
          <w:tab w:val="left" w:pos="1134"/>
        </w:tabs>
        <w:ind w:left="1134" w:hanging="567"/>
        <w:rPr>
          <w:lang w:val="es-ES"/>
        </w:rPr>
      </w:pPr>
      <w:r w:rsidRPr="00B83EDF">
        <w:rPr>
          <w:lang w:val="es-ES"/>
        </w:rPr>
        <w:t>a)</w:t>
      </w:r>
      <w:r w:rsidRPr="00B83EDF">
        <w:rPr>
          <w:lang w:val="es-ES"/>
        </w:rPr>
        <w:tab/>
        <w:t>Ineficaz, o poco eficaz, con respecto a especies con variedades sintéticas o poblaciones;</w:t>
      </w:r>
    </w:p>
    <w:p w:rsidR="002D1FCA" w:rsidRPr="00B83EDF" w:rsidRDefault="002D1FCA" w:rsidP="002D1FCA">
      <w:pPr>
        <w:tabs>
          <w:tab w:val="left" w:pos="1134"/>
        </w:tabs>
        <w:ind w:left="1134" w:hanging="567"/>
        <w:rPr>
          <w:lang w:val="es-ES"/>
        </w:rPr>
      </w:pPr>
      <w:r w:rsidRPr="00B83EDF">
        <w:rPr>
          <w:lang w:val="es-ES"/>
        </w:rPr>
        <w:t>b)</w:t>
      </w:r>
      <w:r w:rsidRPr="00B83EDF">
        <w:rPr>
          <w:lang w:val="es-ES"/>
        </w:rPr>
        <w:tab/>
        <w:t>Es necesario disponer del número suficiente de marcadores adecuados de ADN y un número suficiente de caracteres fenotípicos que presenten poca susceptibilidad al medio ambiente;  y</w:t>
      </w:r>
    </w:p>
    <w:p w:rsidR="002D1FCA" w:rsidRPr="00B83EDF" w:rsidRDefault="002D1FCA" w:rsidP="002D1FCA">
      <w:pPr>
        <w:tabs>
          <w:tab w:val="left" w:pos="1134"/>
        </w:tabs>
        <w:ind w:left="1134" w:hanging="567"/>
        <w:rPr>
          <w:lang w:val="es-ES"/>
        </w:rPr>
      </w:pPr>
      <w:r w:rsidRPr="00B83EDF">
        <w:rPr>
          <w:lang w:val="es-ES"/>
        </w:rPr>
        <w:t>c)</w:t>
      </w:r>
      <w:r w:rsidRPr="00B83EDF">
        <w:rPr>
          <w:lang w:val="es-ES"/>
        </w:rPr>
        <w:tab/>
        <w:t>Trabajo preliminar de comparación respecto de la evaluación de la distinción por expertos en el examen DHE.</w:t>
      </w:r>
    </w:p>
    <w:p w:rsidR="002D1FCA" w:rsidRPr="00B83EDF" w:rsidRDefault="002D1FCA" w:rsidP="002D1FCA">
      <w:pPr>
        <w:pStyle w:val="endofdoc"/>
        <w:rPr>
          <w:rFonts w:cs="Arial"/>
          <w:lang w:val="es-ES"/>
        </w:rPr>
      </w:pPr>
      <w:r w:rsidRPr="00B83EDF">
        <w:rPr>
          <w:lang w:val="es-ES"/>
        </w:rPr>
        <w:t xml:space="preserve">[Fin del Anexo </w:t>
      </w:r>
      <w:r w:rsidRPr="005E4B95">
        <w:rPr>
          <w:lang w:val="es-ES"/>
        </w:rPr>
        <w:t>2</w:t>
      </w:r>
      <w:r w:rsidRPr="00B83EDF">
        <w:rPr>
          <w:lang w:val="es-ES"/>
        </w:rPr>
        <w:t xml:space="preserve"> y del documento]</w:t>
      </w:r>
    </w:p>
    <w:p w:rsidR="00A95BAF" w:rsidRPr="00253DB0" w:rsidRDefault="00A95BAF">
      <w:pPr>
        <w:jc w:val="left"/>
      </w:pPr>
    </w:p>
    <w:sectPr w:rsidR="00A95BAF" w:rsidRPr="00253DB0" w:rsidSect="005E4B95">
      <w:head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E7" w:rsidRDefault="002A66E7" w:rsidP="006655D3">
      <w:r>
        <w:separator/>
      </w:r>
    </w:p>
    <w:p w:rsidR="002A66E7" w:rsidRDefault="002A66E7" w:rsidP="006655D3"/>
    <w:p w:rsidR="002A66E7" w:rsidRDefault="002A66E7" w:rsidP="006655D3"/>
  </w:endnote>
  <w:endnote w:type="continuationSeparator" w:id="0">
    <w:p w:rsidR="002A66E7" w:rsidRDefault="002A66E7" w:rsidP="006655D3">
      <w:r>
        <w:separator/>
      </w:r>
    </w:p>
    <w:p w:rsidR="002A66E7" w:rsidRDefault="002A66E7">
      <w:pPr>
        <w:pStyle w:val="Footer"/>
        <w:spacing w:after="60"/>
        <w:rPr>
          <w:sz w:val="18"/>
        </w:rPr>
      </w:pPr>
      <w:r>
        <w:rPr>
          <w:sz w:val="18"/>
        </w:rPr>
        <w:t>[Suite de la note de la page précédente]</w:t>
      </w:r>
    </w:p>
    <w:p w:rsidR="002A66E7" w:rsidRDefault="002A66E7" w:rsidP="006655D3"/>
    <w:p w:rsidR="002A66E7" w:rsidRDefault="002A66E7" w:rsidP="006655D3"/>
  </w:endnote>
  <w:endnote w:type="continuationNotice" w:id="1">
    <w:p w:rsidR="002A66E7" w:rsidRDefault="002A66E7" w:rsidP="006655D3">
      <w:r>
        <w:t>[Suite de la note page suivante]</w:t>
      </w:r>
    </w:p>
    <w:p w:rsidR="002A66E7" w:rsidRDefault="002A66E7" w:rsidP="006655D3"/>
    <w:p w:rsidR="002A66E7" w:rsidRDefault="002A66E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CA" w:rsidRPr="00CA384F" w:rsidRDefault="002D1FCA" w:rsidP="002F1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E7" w:rsidRDefault="002A66E7" w:rsidP="006655D3">
      <w:r>
        <w:separator/>
      </w:r>
    </w:p>
  </w:footnote>
  <w:footnote w:type="continuationSeparator" w:id="0">
    <w:p w:rsidR="002A66E7" w:rsidRDefault="002A66E7" w:rsidP="006655D3">
      <w:r>
        <w:separator/>
      </w:r>
    </w:p>
    <w:p w:rsidR="002A66E7" w:rsidRDefault="002A66E7">
      <w:pPr>
        <w:pStyle w:val="Footer"/>
        <w:spacing w:after="60"/>
        <w:rPr>
          <w:sz w:val="18"/>
        </w:rPr>
      </w:pPr>
      <w:r>
        <w:rPr>
          <w:sz w:val="18"/>
        </w:rPr>
        <w:t>[Suite de la note de la page précédente]</w:t>
      </w:r>
    </w:p>
    <w:p w:rsidR="002A66E7" w:rsidRDefault="002A66E7" w:rsidP="006655D3"/>
    <w:p w:rsidR="002A66E7" w:rsidRDefault="002A66E7" w:rsidP="006655D3"/>
    <w:p w:rsidR="002A66E7" w:rsidRDefault="002A66E7" w:rsidP="006655D3"/>
  </w:footnote>
  <w:footnote w:type="continuationNotice" w:id="1">
    <w:p w:rsidR="002A66E7" w:rsidRDefault="002A66E7" w:rsidP="006655D3">
      <w:r>
        <w:t>[Suite de la note page suivante]</w:t>
      </w:r>
    </w:p>
    <w:p w:rsidR="002A66E7" w:rsidRDefault="002A66E7" w:rsidP="006655D3"/>
    <w:p w:rsidR="002A66E7" w:rsidRDefault="002A66E7" w:rsidP="006655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CA" w:rsidRPr="00C61C6B" w:rsidRDefault="002D1FCA" w:rsidP="002F1C59">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D1FCA" w:rsidRPr="00C61C6B" w:rsidRDefault="002D1FCA" w:rsidP="001F6601">
    <w:pPr>
      <w:pStyle w:val="Header"/>
      <w:rPr>
        <w:rStyle w:val="PageNumber"/>
        <w:rFonts w:cs="Arial"/>
      </w:rPr>
    </w:pPr>
    <w:proofErr w:type="gramStart"/>
    <w:r w:rsidRPr="003D195B">
      <w:rPr>
        <w:rFonts w:cs="Arial"/>
        <w:lang w:val="es-ES_tradnl"/>
      </w:rPr>
      <w:t>página</w:t>
    </w:r>
    <w:proofErr w:type="gramEnd"/>
    <w:r w:rsidRPr="00C61C6B">
      <w:rPr>
        <w:rFonts w:cs="Arial"/>
      </w:rPr>
      <w:t xml:space="preserv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0C48AC">
      <w:rPr>
        <w:rStyle w:val="PageNumber"/>
        <w:rFonts w:cs="Arial"/>
        <w:noProof/>
      </w:rPr>
      <w:t>2</w:t>
    </w:r>
    <w:r w:rsidRPr="00C61C6B">
      <w:rPr>
        <w:rStyle w:val="PageNumber"/>
        <w:rFonts w:cs="Arial"/>
      </w:rPr>
      <w:fldChar w:fldCharType="end"/>
    </w:r>
  </w:p>
  <w:p w:rsidR="002D1FCA" w:rsidRDefault="002D1FCA" w:rsidP="001F6601">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95" w:rsidRPr="00C61C6B" w:rsidRDefault="005E4B95" w:rsidP="005E4B95">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D1FCA" w:rsidRPr="002731A0" w:rsidRDefault="002D1FCA">
    <w:pPr>
      <w:jc w:val="center"/>
      <w:rPr>
        <w:rFonts w:cs="Arial"/>
      </w:rPr>
    </w:pPr>
    <w:r w:rsidRPr="002731A0">
      <w:rPr>
        <w:rFonts w:cs="Arial"/>
      </w:rPr>
      <w:t xml:space="preserve">Anexo 1, página </w:t>
    </w:r>
    <w:r w:rsidRPr="002731A0">
      <w:rPr>
        <w:rFonts w:cs="Arial"/>
      </w:rPr>
      <w:fldChar w:fldCharType="begin"/>
    </w:r>
    <w:r w:rsidRPr="002731A0">
      <w:rPr>
        <w:rFonts w:cs="Arial"/>
      </w:rPr>
      <w:instrText xml:space="preserve"> PAGE  \* MERGEFORMAT </w:instrText>
    </w:r>
    <w:r w:rsidRPr="002731A0">
      <w:rPr>
        <w:rFonts w:cs="Arial"/>
      </w:rPr>
      <w:fldChar w:fldCharType="separate"/>
    </w:r>
    <w:r w:rsidR="000C48AC">
      <w:rPr>
        <w:rFonts w:cs="Arial"/>
        <w:noProof/>
      </w:rPr>
      <w:t>2</w:t>
    </w:r>
    <w:r w:rsidRPr="002731A0">
      <w:rPr>
        <w:rFonts w:cs="Arial"/>
      </w:rPr>
      <w:fldChar w:fldCharType="end"/>
    </w:r>
  </w:p>
  <w:p w:rsidR="002D1FCA" w:rsidRPr="00C61C6B" w:rsidRDefault="002D1FCA">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95" w:rsidRPr="00C61C6B" w:rsidRDefault="005E4B95" w:rsidP="005E4B95">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2D1FCA" w:rsidRPr="00C61C6B" w:rsidRDefault="002D1FCA" w:rsidP="00470D3E">
    <w:pPr>
      <w:pStyle w:val="Header"/>
      <w:rPr>
        <w:rFonts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B95" w:rsidRPr="00C61C6B" w:rsidRDefault="005E4B95" w:rsidP="005E4B95">
    <w:pPr>
      <w:pStyle w:val="Header"/>
      <w:rPr>
        <w:rFonts w:cs="Arial"/>
      </w:rPr>
    </w:pPr>
    <w:r>
      <w:rPr>
        <w:rFonts w:cs="Arial"/>
      </w:rPr>
      <w:t xml:space="preserve">TGP/15/1 </w:t>
    </w:r>
    <w:proofErr w:type="spellStart"/>
    <w:r>
      <w:rPr>
        <w:rFonts w:cs="Arial"/>
      </w:rPr>
      <w:t>Draft</w:t>
    </w:r>
    <w:proofErr w:type="spellEnd"/>
    <w:r>
      <w:rPr>
        <w:rFonts w:cs="Arial"/>
      </w:rPr>
      <w:t xml:space="preserve"> 5</w:t>
    </w:r>
  </w:p>
  <w:p w:rsidR="005E4B95" w:rsidRPr="002731A0" w:rsidRDefault="005E4B95" w:rsidP="005E4B95">
    <w:pPr>
      <w:jc w:val="center"/>
      <w:rPr>
        <w:rFonts w:cs="Arial"/>
      </w:rPr>
    </w:pPr>
    <w:r w:rsidRPr="002731A0">
      <w:rPr>
        <w:rFonts w:cs="Arial"/>
      </w:rPr>
      <w:t>Anexo </w:t>
    </w:r>
    <w:r>
      <w:rPr>
        <w:rFonts w:cs="Arial"/>
      </w:rPr>
      <w:t>2</w:t>
    </w:r>
    <w:r w:rsidRPr="002731A0">
      <w:rPr>
        <w:rFonts w:cs="Arial"/>
      </w:rPr>
      <w:t xml:space="preserve">, página </w:t>
    </w:r>
    <w:r w:rsidRPr="002731A0">
      <w:rPr>
        <w:rFonts w:cs="Arial"/>
      </w:rPr>
      <w:fldChar w:fldCharType="begin"/>
    </w:r>
    <w:r w:rsidRPr="002731A0">
      <w:rPr>
        <w:rFonts w:cs="Arial"/>
      </w:rPr>
      <w:instrText xml:space="preserve"> PAGE  \* MERGEFORMAT </w:instrText>
    </w:r>
    <w:r w:rsidRPr="002731A0">
      <w:rPr>
        <w:rFonts w:cs="Arial"/>
      </w:rPr>
      <w:fldChar w:fldCharType="separate"/>
    </w:r>
    <w:r w:rsidR="000C48AC">
      <w:rPr>
        <w:rFonts w:cs="Arial"/>
        <w:noProof/>
      </w:rPr>
      <w:t>4</w:t>
    </w:r>
    <w:r w:rsidRPr="002731A0">
      <w:rPr>
        <w:rFonts w:cs="Arial"/>
      </w:rPr>
      <w:fldChar w:fldCharType="end"/>
    </w:r>
  </w:p>
  <w:p w:rsidR="00901A3F" w:rsidRPr="00C5280D" w:rsidRDefault="00901A3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7C1"/>
    <w:multiLevelType w:val="multilevel"/>
    <w:tmpl w:val="6108C70E"/>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7D754D"/>
    <w:multiLevelType w:val="hybridMultilevel"/>
    <w:tmpl w:val="457E5B86"/>
    <w:lvl w:ilvl="0" w:tplc="C9E27704">
      <w:start w:val="1"/>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
    <w:nsid w:val="23FF21C9"/>
    <w:multiLevelType w:val="multilevel"/>
    <w:tmpl w:val="A66CE92C"/>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140"/>
        </w:tabs>
        <w:ind w:left="1140" w:hanging="780"/>
      </w:pPr>
      <w:rPr>
        <w:rFonts w:cs="Times New Roman" w:hint="default"/>
      </w:rPr>
    </w:lvl>
    <w:lvl w:ilvl="2">
      <w:start w:val="1"/>
      <w:numFmt w:val="decimal"/>
      <w:lvlText w:val="%1.%2.%3"/>
      <w:lvlJc w:val="left"/>
      <w:pPr>
        <w:tabs>
          <w:tab w:val="num" w:pos="1500"/>
        </w:tabs>
        <w:ind w:left="1500" w:hanging="780"/>
      </w:pPr>
      <w:rPr>
        <w:rFonts w:cs="Times New Roman" w:hint="default"/>
      </w:rPr>
    </w:lvl>
    <w:lvl w:ilvl="3">
      <w:start w:val="1"/>
      <w:numFmt w:val="decimal"/>
      <w:lvlText w:val="%1.%2.%3.%4"/>
      <w:lvlJc w:val="left"/>
      <w:pPr>
        <w:tabs>
          <w:tab w:val="num" w:pos="1860"/>
        </w:tabs>
        <w:ind w:left="1860" w:hanging="7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24144382"/>
    <w:multiLevelType w:val="multilevel"/>
    <w:tmpl w:val="1448773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E7"/>
    <w:rsid w:val="00010CF3"/>
    <w:rsid w:val="00011E27"/>
    <w:rsid w:val="000148BC"/>
    <w:rsid w:val="00024AB8"/>
    <w:rsid w:val="00030854"/>
    <w:rsid w:val="00036028"/>
    <w:rsid w:val="00044642"/>
    <w:rsid w:val="000446B9"/>
    <w:rsid w:val="00047D7F"/>
    <w:rsid w:val="00047E21"/>
    <w:rsid w:val="00085505"/>
    <w:rsid w:val="000A1E07"/>
    <w:rsid w:val="000A68B4"/>
    <w:rsid w:val="000C48AC"/>
    <w:rsid w:val="000C7021"/>
    <w:rsid w:val="000D6BBC"/>
    <w:rsid w:val="000D7780"/>
    <w:rsid w:val="00105929"/>
    <w:rsid w:val="0011025E"/>
    <w:rsid w:val="001131D5"/>
    <w:rsid w:val="00141DB8"/>
    <w:rsid w:val="0017474A"/>
    <w:rsid w:val="001758C6"/>
    <w:rsid w:val="00182B99"/>
    <w:rsid w:val="001B5948"/>
    <w:rsid w:val="0021332C"/>
    <w:rsid w:val="00213982"/>
    <w:rsid w:val="0024416D"/>
    <w:rsid w:val="00252F7A"/>
    <w:rsid w:val="00253DB0"/>
    <w:rsid w:val="002800A0"/>
    <w:rsid w:val="002801B3"/>
    <w:rsid w:val="00281060"/>
    <w:rsid w:val="002852D1"/>
    <w:rsid w:val="00294032"/>
    <w:rsid w:val="002940E8"/>
    <w:rsid w:val="002A66E7"/>
    <w:rsid w:val="002A6E50"/>
    <w:rsid w:val="002C256A"/>
    <w:rsid w:val="002D1FCA"/>
    <w:rsid w:val="002E4023"/>
    <w:rsid w:val="00305A7F"/>
    <w:rsid w:val="003152FE"/>
    <w:rsid w:val="00327436"/>
    <w:rsid w:val="00344BD6"/>
    <w:rsid w:val="0035528D"/>
    <w:rsid w:val="00361821"/>
    <w:rsid w:val="003B027E"/>
    <w:rsid w:val="003C691D"/>
    <w:rsid w:val="003D227C"/>
    <w:rsid w:val="003D2B4D"/>
    <w:rsid w:val="00423762"/>
    <w:rsid w:val="00444A88"/>
    <w:rsid w:val="0044760B"/>
    <w:rsid w:val="004706A4"/>
    <w:rsid w:val="00474DA4"/>
    <w:rsid w:val="00476B4D"/>
    <w:rsid w:val="004805FA"/>
    <w:rsid w:val="004D047D"/>
    <w:rsid w:val="004F305A"/>
    <w:rsid w:val="00512164"/>
    <w:rsid w:val="00520297"/>
    <w:rsid w:val="005338F9"/>
    <w:rsid w:val="0054281C"/>
    <w:rsid w:val="00543C85"/>
    <w:rsid w:val="0055268D"/>
    <w:rsid w:val="00576BE4"/>
    <w:rsid w:val="00592B9F"/>
    <w:rsid w:val="005966EE"/>
    <w:rsid w:val="005A400A"/>
    <w:rsid w:val="005E0496"/>
    <w:rsid w:val="005E4B95"/>
    <w:rsid w:val="005F05B6"/>
    <w:rsid w:val="005F2C30"/>
    <w:rsid w:val="00612379"/>
    <w:rsid w:val="0061555F"/>
    <w:rsid w:val="00624019"/>
    <w:rsid w:val="00641200"/>
    <w:rsid w:val="00646C7D"/>
    <w:rsid w:val="006655D3"/>
    <w:rsid w:val="00676455"/>
    <w:rsid w:val="00687EB4"/>
    <w:rsid w:val="006B17D2"/>
    <w:rsid w:val="006B7CF6"/>
    <w:rsid w:val="006C224E"/>
    <w:rsid w:val="006D4692"/>
    <w:rsid w:val="006D780A"/>
    <w:rsid w:val="00732DEC"/>
    <w:rsid w:val="00735BD5"/>
    <w:rsid w:val="007556F6"/>
    <w:rsid w:val="00760EEF"/>
    <w:rsid w:val="00777EE5"/>
    <w:rsid w:val="00784836"/>
    <w:rsid w:val="0078735B"/>
    <w:rsid w:val="0079023E"/>
    <w:rsid w:val="007A2854"/>
    <w:rsid w:val="007A3C0F"/>
    <w:rsid w:val="007A54DE"/>
    <w:rsid w:val="007D0B9D"/>
    <w:rsid w:val="007D19B0"/>
    <w:rsid w:val="007E5DC4"/>
    <w:rsid w:val="007E7C87"/>
    <w:rsid w:val="007F498F"/>
    <w:rsid w:val="0080679D"/>
    <w:rsid w:val="008108B0"/>
    <w:rsid w:val="00811B20"/>
    <w:rsid w:val="0082296E"/>
    <w:rsid w:val="00824099"/>
    <w:rsid w:val="00860D33"/>
    <w:rsid w:val="00867AC1"/>
    <w:rsid w:val="00883D93"/>
    <w:rsid w:val="008A170E"/>
    <w:rsid w:val="008A743F"/>
    <w:rsid w:val="008C0970"/>
    <w:rsid w:val="008D2CF7"/>
    <w:rsid w:val="008D6917"/>
    <w:rsid w:val="00900C26"/>
    <w:rsid w:val="0090197F"/>
    <w:rsid w:val="00901A3F"/>
    <w:rsid w:val="00906DDC"/>
    <w:rsid w:val="00934E09"/>
    <w:rsid w:val="00936253"/>
    <w:rsid w:val="00944D7B"/>
    <w:rsid w:val="00952DD4"/>
    <w:rsid w:val="00970FED"/>
    <w:rsid w:val="00997029"/>
    <w:rsid w:val="009D690D"/>
    <w:rsid w:val="009E65B6"/>
    <w:rsid w:val="009F3920"/>
    <w:rsid w:val="009F3ED8"/>
    <w:rsid w:val="00A07DBE"/>
    <w:rsid w:val="00A42AC3"/>
    <w:rsid w:val="00A430CF"/>
    <w:rsid w:val="00A54309"/>
    <w:rsid w:val="00A77192"/>
    <w:rsid w:val="00A95BAF"/>
    <w:rsid w:val="00AB2B93"/>
    <w:rsid w:val="00AB7E5B"/>
    <w:rsid w:val="00AC57D1"/>
    <w:rsid w:val="00AD789A"/>
    <w:rsid w:val="00AE0EF1"/>
    <w:rsid w:val="00AE2937"/>
    <w:rsid w:val="00B07301"/>
    <w:rsid w:val="00B224DE"/>
    <w:rsid w:val="00B339F2"/>
    <w:rsid w:val="00B46575"/>
    <w:rsid w:val="00B84BBD"/>
    <w:rsid w:val="00B95EE4"/>
    <w:rsid w:val="00BA0D02"/>
    <w:rsid w:val="00BA43FB"/>
    <w:rsid w:val="00BC127D"/>
    <w:rsid w:val="00BC1FE6"/>
    <w:rsid w:val="00C061B6"/>
    <w:rsid w:val="00C2446C"/>
    <w:rsid w:val="00C36AE5"/>
    <w:rsid w:val="00C41F17"/>
    <w:rsid w:val="00C51D44"/>
    <w:rsid w:val="00C5280D"/>
    <w:rsid w:val="00C5791C"/>
    <w:rsid w:val="00C61477"/>
    <w:rsid w:val="00C66290"/>
    <w:rsid w:val="00C72B7A"/>
    <w:rsid w:val="00C973F2"/>
    <w:rsid w:val="00CA304C"/>
    <w:rsid w:val="00CA774A"/>
    <w:rsid w:val="00CB79FE"/>
    <w:rsid w:val="00CC11B0"/>
    <w:rsid w:val="00CF7E36"/>
    <w:rsid w:val="00D22B20"/>
    <w:rsid w:val="00D3708D"/>
    <w:rsid w:val="00D40426"/>
    <w:rsid w:val="00D57C96"/>
    <w:rsid w:val="00D91203"/>
    <w:rsid w:val="00D95174"/>
    <w:rsid w:val="00DA6F36"/>
    <w:rsid w:val="00DB596E"/>
    <w:rsid w:val="00DC00EA"/>
    <w:rsid w:val="00E32F7E"/>
    <w:rsid w:val="00E72D49"/>
    <w:rsid w:val="00E74EB4"/>
    <w:rsid w:val="00E7593C"/>
    <w:rsid w:val="00E7678A"/>
    <w:rsid w:val="00E935F1"/>
    <w:rsid w:val="00E94A81"/>
    <w:rsid w:val="00EA1FFB"/>
    <w:rsid w:val="00EA7607"/>
    <w:rsid w:val="00EB048E"/>
    <w:rsid w:val="00EE34DF"/>
    <w:rsid w:val="00EF2F89"/>
    <w:rsid w:val="00F07748"/>
    <w:rsid w:val="00F1237A"/>
    <w:rsid w:val="00F14677"/>
    <w:rsid w:val="00F2061E"/>
    <w:rsid w:val="00F22CBD"/>
    <w:rsid w:val="00F45372"/>
    <w:rsid w:val="00F560F7"/>
    <w:rsid w:val="00F6334D"/>
    <w:rsid w:val="00FA49AB"/>
    <w:rsid w:val="00FC7E9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FCA"/>
    <w:pPr>
      <w:jc w:val="both"/>
    </w:pPr>
    <w:rPr>
      <w:rFonts w:ascii="Arial" w:hAnsi="Arial"/>
      <w:lang w:val="es-ES_tradnl"/>
    </w:rPr>
  </w:style>
  <w:style w:type="paragraph" w:styleId="Heading1">
    <w:name w:val="heading 1"/>
    <w:next w:val="Normal"/>
    <w:link w:val="Heading1Char"/>
    <w:autoRedefine/>
    <w:qFormat/>
    <w:rsid w:val="008A170E"/>
    <w:pPr>
      <w:keepNext/>
      <w:jc w:val="both"/>
      <w:outlineLvl w:val="0"/>
    </w:pPr>
    <w:rPr>
      <w:rFonts w:ascii="Arial" w:hAnsi="Arial"/>
      <w:caps/>
    </w:rPr>
  </w:style>
  <w:style w:type="paragraph" w:styleId="Heading2">
    <w:name w:val="heading 2"/>
    <w:next w:val="Normal"/>
    <w:link w:val="Heading2Char"/>
    <w:autoRedefine/>
    <w:qFormat/>
    <w:rsid w:val="002D1FCA"/>
    <w:pPr>
      <w:ind w:left="567" w:hanging="567"/>
      <w:jc w:val="both"/>
      <w:outlineLvl w:val="1"/>
    </w:pPr>
    <w:rPr>
      <w:rFonts w:ascii="Arial" w:hAnsi="Arial"/>
      <w:lang w:val="es-ES"/>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A170E"/>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2D1FC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F3ED8"/>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1Char">
    <w:name w:val="Heading 1 Char"/>
    <w:basedOn w:val="DefaultParagraphFont"/>
    <w:link w:val="Heading1"/>
    <w:locked/>
    <w:rsid w:val="002D1FCA"/>
    <w:rPr>
      <w:rFonts w:ascii="Arial" w:hAnsi="Arial"/>
      <w:caps/>
    </w:rPr>
  </w:style>
  <w:style w:type="character" w:customStyle="1" w:styleId="Heading2Char">
    <w:name w:val="Heading 2 Char"/>
    <w:basedOn w:val="DefaultParagraphFont"/>
    <w:link w:val="Heading2"/>
    <w:locked/>
    <w:rsid w:val="002D1FCA"/>
    <w:rPr>
      <w:rFonts w:ascii="Arial" w:hAnsi="Arial"/>
      <w:lang w:val="es-ES"/>
    </w:rPr>
  </w:style>
  <w:style w:type="character" w:customStyle="1" w:styleId="HeaderChar">
    <w:name w:val="Header Char"/>
    <w:basedOn w:val="DefaultParagraphFont"/>
    <w:link w:val="Header"/>
    <w:locked/>
    <w:rsid w:val="002D1FCA"/>
    <w:rPr>
      <w:rFonts w:ascii="Arial" w:hAnsi="Arial"/>
      <w:lang w:val="fr-FR"/>
    </w:rPr>
  </w:style>
  <w:style w:type="character" w:customStyle="1" w:styleId="FooterChar">
    <w:name w:val="Footer Char"/>
    <w:aliases w:val="doc_path_name Char"/>
    <w:basedOn w:val="DefaultParagraphFont"/>
    <w:link w:val="Footer"/>
    <w:locked/>
    <w:rsid w:val="002D1FCA"/>
    <w:rPr>
      <w:rFonts w:ascii="Arial" w:hAnsi="Arial"/>
      <w:sz w:val="14"/>
    </w:rPr>
  </w:style>
  <w:style w:type="paragraph" w:customStyle="1" w:styleId="strikethrough">
    <w:name w:val="strikethrough"/>
    <w:basedOn w:val="Heading2"/>
    <w:link w:val="strikethroughChar"/>
    <w:rsid w:val="002D1FCA"/>
    <w:pPr>
      <w:tabs>
        <w:tab w:val="left" w:pos="992"/>
      </w:tabs>
      <w:spacing w:after="240"/>
      <w:ind w:left="992" w:hanging="992"/>
    </w:pPr>
    <w:rPr>
      <w:szCs w:val="24"/>
      <w:lang w:eastAsia="es-ES_tradnl"/>
    </w:rPr>
  </w:style>
  <w:style w:type="character" w:customStyle="1" w:styleId="TitleofDocChar">
    <w:name w:val="Title of Doc Char"/>
    <w:basedOn w:val="DefaultParagraphFont"/>
    <w:link w:val="TitleofDoc"/>
    <w:locked/>
    <w:rsid w:val="002D1FCA"/>
    <w:rPr>
      <w:rFonts w:ascii="Arial" w:hAnsi="Arial"/>
      <w:caps/>
      <w:lang w:val="es-ES_tradnl"/>
    </w:rPr>
  </w:style>
  <w:style w:type="character" w:customStyle="1" w:styleId="strikethroughChar">
    <w:name w:val="strikethrough Char"/>
    <w:basedOn w:val="Heading2Char"/>
    <w:link w:val="strikethrough"/>
    <w:locked/>
    <w:rsid w:val="002D1FCA"/>
    <w:rPr>
      <w:rFonts w:ascii="Arial" w:hAnsi="Arial"/>
      <w:szCs w:val="24"/>
      <w:lang w:val="es-ES"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FCA"/>
    <w:pPr>
      <w:jc w:val="both"/>
    </w:pPr>
    <w:rPr>
      <w:rFonts w:ascii="Arial" w:hAnsi="Arial"/>
      <w:lang w:val="es-ES_tradnl"/>
    </w:rPr>
  </w:style>
  <w:style w:type="paragraph" w:styleId="Heading1">
    <w:name w:val="heading 1"/>
    <w:next w:val="Normal"/>
    <w:link w:val="Heading1Char"/>
    <w:autoRedefine/>
    <w:qFormat/>
    <w:rsid w:val="008A170E"/>
    <w:pPr>
      <w:keepNext/>
      <w:jc w:val="both"/>
      <w:outlineLvl w:val="0"/>
    </w:pPr>
    <w:rPr>
      <w:rFonts w:ascii="Arial" w:hAnsi="Arial"/>
      <w:caps/>
    </w:rPr>
  </w:style>
  <w:style w:type="paragraph" w:styleId="Heading2">
    <w:name w:val="heading 2"/>
    <w:next w:val="Normal"/>
    <w:link w:val="Heading2Char"/>
    <w:autoRedefine/>
    <w:qFormat/>
    <w:rsid w:val="002D1FCA"/>
    <w:pPr>
      <w:ind w:left="567" w:hanging="567"/>
      <w:jc w:val="both"/>
      <w:outlineLvl w:val="1"/>
    </w:pPr>
    <w:rPr>
      <w:rFonts w:ascii="Arial" w:hAnsi="Arial"/>
      <w:lang w:val="es-ES"/>
    </w:rPr>
  </w:style>
  <w:style w:type="paragraph" w:styleId="Heading3">
    <w:name w:val="heading 3"/>
    <w:next w:val="Normal"/>
    <w:autoRedefine/>
    <w:qFormat/>
    <w:rsid w:val="008A170E"/>
    <w:pPr>
      <w:keepNext/>
      <w:jc w:val="both"/>
      <w:outlineLvl w:val="2"/>
    </w:pPr>
    <w:rPr>
      <w:rFonts w:ascii="Arial" w:hAnsi="Arial"/>
      <w:i/>
    </w:rPr>
  </w:style>
  <w:style w:type="paragraph" w:styleId="Heading4">
    <w:name w:val="heading 4"/>
    <w:next w:val="Normal"/>
    <w:autoRedefine/>
    <w:qFormat/>
    <w:rsid w:val="008A170E"/>
    <w:pPr>
      <w:keepNext/>
      <w:ind w:left="567"/>
      <w:jc w:val="both"/>
      <w:outlineLvl w:val="3"/>
    </w:pPr>
    <w:rPr>
      <w:rFonts w:ascii="Arial" w:hAnsi="Arial"/>
      <w:i/>
      <w:lang w:val="fr-FR"/>
    </w:rPr>
  </w:style>
  <w:style w:type="paragraph" w:styleId="Heading5">
    <w:name w:val="heading 5"/>
    <w:next w:val="Normal"/>
    <w:autoRedefine/>
    <w:qFormat/>
    <w:rsid w:val="008A170E"/>
    <w:pPr>
      <w:keepNext/>
      <w:ind w:left="1134" w:hanging="567"/>
      <w:jc w:val="both"/>
      <w:outlineLvl w:val="4"/>
    </w:pPr>
    <w:rPr>
      <w:rFonts w:ascii="Arial" w:hAnsi="Arial"/>
      <w:sz w:val="18"/>
      <w:szCs w:val="18"/>
    </w:rPr>
  </w:style>
  <w:style w:type="paragraph" w:styleId="Heading7">
    <w:name w:val="heading 7"/>
    <w:basedOn w:val="Normal"/>
    <w:next w:val="Normal"/>
    <w:qFormat/>
    <w:rsid w:val="00047D7F"/>
    <w:pPr>
      <w:keepNext/>
      <w:spacing w:before="60" w:after="60"/>
      <w:outlineLvl w:val="6"/>
    </w:pPr>
    <w:rPr>
      <w:rFonts w:ascii="Times New Roman" w:hAnsi="Times New Roman"/>
      <w:b/>
      <w:sz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A170E"/>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A170E"/>
    <w:pPr>
      <w:spacing w:line="280" w:lineRule="exact"/>
      <w:ind w:left="1361"/>
    </w:pPr>
    <w:rPr>
      <w:b/>
      <w:bCs/>
      <w:spacing w:val="10"/>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8A170E"/>
    <w:pPr>
      <w:spacing w:before="60"/>
      <w:ind w:left="567" w:hanging="567"/>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semiHidden/>
    <w:rsid w:val="008A170E"/>
    <w:pPr>
      <w:spacing w:before="60"/>
      <w:jc w:val="center"/>
    </w:pPr>
    <w:rPr>
      <w:b/>
    </w:rPr>
  </w:style>
  <w:style w:type="paragraph" w:customStyle="1" w:styleId="Organizer">
    <w:name w:val="Organizer"/>
    <w:basedOn w:val="Normal"/>
    <w:semiHidden/>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jc w:val="left"/>
    </w:pPr>
  </w:style>
  <w:style w:type="paragraph" w:customStyle="1" w:styleId="upove">
    <w:name w:val="upov_e"/>
    <w:basedOn w:val="Normal"/>
    <w:rsid w:val="008A170E"/>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A170E"/>
  </w:style>
  <w:style w:type="paragraph" w:styleId="EndnoteText">
    <w:name w:val="endnote text"/>
    <w:basedOn w:val="Normal"/>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8A170E"/>
    <w:pPr>
      <w:spacing w:before="480"/>
      <w:jc w:val="center"/>
    </w:pPr>
    <w:rPr>
      <w:b/>
      <w:bCs/>
      <w:kern w:val="28"/>
      <w:sz w:val="24"/>
    </w:rPr>
  </w:style>
  <w:style w:type="paragraph" w:customStyle="1" w:styleId="Original">
    <w:name w:val="Original"/>
    <w:basedOn w:val="Normal"/>
    <w:semiHidden/>
    <w:rsid w:val="008A170E"/>
    <w:pPr>
      <w:spacing w:before="60"/>
      <w:ind w:left="1276"/>
    </w:pPr>
    <w:rPr>
      <w:b/>
      <w:sz w:val="22"/>
    </w:rPr>
  </w:style>
  <w:style w:type="paragraph" w:styleId="Date">
    <w:name w:val="Date"/>
    <w:basedOn w:val="Normal"/>
    <w:semiHidden/>
    <w:rsid w:val="008A170E"/>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8A170E"/>
    <w:pPr>
      <w:spacing w:after="120" w:line="340" w:lineRule="atLeast"/>
      <w:jc w:val="right"/>
    </w:pPr>
    <w:rPr>
      <w:b/>
      <w:bCs/>
      <w:sz w:val="56"/>
    </w:rPr>
  </w:style>
  <w:style w:type="paragraph" w:customStyle="1" w:styleId="LogoUPOV">
    <w:name w:val="LogoUPOV"/>
    <w:basedOn w:val="Normal"/>
    <w:rsid w:val="008A170E"/>
    <w:pPr>
      <w:spacing w:before="720"/>
      <w:jc w:val="center"/>
    </w:pPr>
  </w:style>
  <w:style w:type="paragraph" w:customStyle="1" w:styleId="Sessiontc">
    <w:name w:val="Session_tc"/>
    <w:basedOn w:val="StyleSessionAllcaps"/>
    <w:rsid w:val="008A170E"/>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8A170E"/>
    <w:pPr>
      <w:spacing w:before="240"/>
    </w:pPr>
  </w:style>
  <w:style w:type="paragraph" w:customStyle="1" w:styleId="Titleofdoc0">
    <w:name w:val="Title_of_doc"/>
    <w:basedOn w:val="Normal"/>
    <w:rsid w:val="008A170E"/>
    <w:pPr>
      <w:spacing w:before="600"/>
      <w:jc w:val="center"/>
    </w:pPr>
    <w:rPr>
      <w:caps/>
    </w:rPr>
  </w:style>
  <w:style w:type="paragraph" w:customStyle="1" w:styleId="preparedby1">
    <w:name w:val="prepared_by"/>
    <w:basedOn w:val="Normal"/>
    <w:rsid w:val="008A170E"/>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DefaultParagraphFont"/>
    <w:link w:val="Docoriginal"/>
    <w:rsid w:val="008A170E"/>
    <w:rPr>
      <w:rFonts w:ascii="Arial" w:hAnsi="Arial"/>
      <w:b/>
      <w:bCs/>
      <w:spacing w:val="10"/>
    </w:rPr>
  </w:style>
  <w:style w:type="character" w:customStyle="1" w:styleId="StyleDocoriginalNotBoldChar">
    <w:name w:val="Style Doc_original + Not Bold Char"/>
    <w:basedOn w:val="DocoriginalChar"/>
    <w:link w:val="StyleDocoriginalNotBold"/>
    <w:rsid w:val="008A170E"/>
    <w:rPr>
      <w:rFonts w:ascii="Arial" w:hAnsi="Arial"/>
      <w:b/>
      <w:bCs/>
      <w:spacing w:val="10"/>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2D1FC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A170E"/>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semiHidden/>
    <w:rsid w:val="008A170E"/>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F3ED8"/>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8A170E"/>
    <w:pPr>
      <w:tabs>
        <w:tab w:val="right" w:leader="dot" w:pos="9639"/>
      </w:tabs>
      <w:spacing w:before="120"/>
      <w:ind w:left="851" w:right="851" w:hanging="283"/>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val="0"/>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1Char">
    <w:name w:val="Heading 1 Char"/>
    <w:basedOn w:val="DefaultParagraphFont"/>
    <w:link w:val="Heading1"/>
    <w:locked/>
    <w:rsid w:val="002D1FCA"/>
    <w:rPr>
      <w:rFonts w:ascii="Arial" w:hAnsi="Arial"/>
      <w:caps/>
    </w:rPr>
  </w:style>
  <w:style w:type="character" w:customStyle="1" w:styleId="Heading2Char">
    <w:name w:val="Heading 2 Char"/>
    <w:basedOn w:val="DefaultParagraphFont"/>
    <w:link w:val="Heading2"/>
    <w:locked/>
    <w:rsid w:val="002D1FCA"/>
    <w:rPr>
      <w:rFonts w:ascii="Arial" w:hAnsi="Arial"/>
      <w:lang w:val="es-ES"/>
    </w:rPr>
  </w:style>
  <w:style w:type="character" w:customStyle="1" w:styleId="HeaderChar">
    <w:name w:val="Header Char"/>
    <w:basedOn w:val="DefaultParagraphFont"/>
    <w:link w:val="Header"/>
    <w:locked/>
    <w:rsid w:val="002D1FCA"/>
    <w:rPr>
      <w:rFonts w:ascii="Arial" w:hAnsi="Arial"/>
      <w:lang w:val="fr-FR"/>
    </w:rPr>
  </w:style>
  <w:style w:type="character" w:customStyle="1" w:styleId="FooterChar">
    <w:name w:val="Footer Char"/>
    <w:aliases w:val="doc_path_name Char"/>
    <w:basedOn w:val="DefaultParagraphFont"/>
    <w:link w:val="Footer"/>
    <w:locked/>
    <w:rsid w:val="002D1FCA"/>
    <w:rPr>
      <w:rFonts w:ascii="Arial" w:hAnsi="Arial"/>
      <w:sz w:val="14"/>
    </w:rPr>
  </w:style>
  <w:style w:type="paragraph" w:customStyle="1" w:styleId="strikethrough">
    <w:name w:val="strikethrough"/>
    <w:basedOn w:val="Heading2"/>
    <w:link w:val="strikethroughChar"/>
    <w:rsid w:val="002D1FCA"/>
    <w:pPr>
      <w:tabs>
        <w:tab w:val="left" w:pos="992"/>
      </w:tabs>
      <w:spacing w:after="240"/>
      <w:ind w:left="992" w:hanging="992"/>
    </w:pPr>
    <w:rPr>
      <w:szCs w:val="24"/>
      <w:lang w:eastAsia="es-ES_tradnl"/>
    </w:rPr>
  </w:style>
  <w:style w:type="character" w:customStyle="1" w:styleId="TitleofDocChar">
    <w:name w:val="Title of Doc Char"/>
    <w:basedOn w:val="DefaultParagraphFont"/>
    <w:link w:val="TitleofDoc"/>
    <w:locked/>
    <w:rsid w:val="002D1FCA"/>
    <w:rPr>
      <w:rFonts w:ascii="Arial" w:hAnsi="Arial"/>
      <w:caps/>
      <w:lang w:val="es-ES_tradnl"/>
    </w:rPr>
  </w:style>
  <w:style w:type="character" w:customStyle="1" w:styleId="strikethroughChar">
    <w:name w:val="strikethrough Char"/>
    <w:basedOn w:val="Heading2Char"/>
    <w:link w:val="strikethrough"/>
    <w:locked/>
    <w:rsid w:val="002D1FCA"/>
    <w:rPr>
      <w:rFonts w:ascii="Arial" w:hAnsi="Arial"/>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upov.int/about/en/organigram.html" TargetMode="Externa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draft_tgp_template_ES.dotm</Template>
  <TotalTime>21</TotalTime>
  <Pages>10</Pages>
  <Words>3003</Words>
  <Characters>16828</Characters>
  <Application>Microsoft Office Word</Application>
  <DocSecurity>0</DocSecurity>
  <Lines>410</Lines>
  <Paragraphs>151</Paragraphs>
  <ScaleCrop>false</ScaleCrop>
  <HeadingPairs>
    <vt:vector size="2" baseType="variant">
      <vt:variant>
        <vt:lpstr>Title</vt:lpstr>
      </vt:variant>
      <vt:variant>
        <vt:i4>1</vt:i4>
      </vt:variant>
    </vt:vector>
  </HeadingPairs>
  <TitlesOfParts>
    <vt:vector size="1" baseType="lpstr">
      <vt:lpstr>TGP/15/1 Draft 5</vt:lpstr>
    </vt:vector>
  </TitlesOfParts>
  <Company>UPOV</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TGP/15/1 Draft 5</dc:title>
  <dc:creator/>
  <cp:lastModifiedBy>SANCHEZ-VIZCAINO GOMEZ Rosa Maria</cp:lastModifiedBy>
  <cp:revision>13</cp:revision>
  <cp:lastPrinted>2013-09-12T15:06:00Z</cp:lastPrinted>
  <dcterms:created xsi:type="dcterms:W3CDTF">2013-09-12T14:44:00Z</dcterms:created>
  <dcterms:modified xsi:type="dcterms:W3CDTF">2013-10-01T14:54:00Z</dcterms:modified>
</cp:coreProperties>
</file>