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47A27" w:rsidTr="00C13808">
        <w:trPr>
          <w:trHeight w:val="1760"/>
        </w:trPr>
        <w:tc>
          <w:tcPr>
            <w:tcW w:w="4243" w:type="dxa"/>
          </w:tcPr>
          <w:p w:rsidR="000D7780" w:rsidRPr="00F01D4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370BDD" w:rsidRDefault="00745D66" w:rsidP="00F45372">
            <w:pPr>
              <w:pStyle w:val="LogoUPOV"/>
              <w:rPr>
                <w:lang w:val="es-ES_tradnl"/>
              </w:rPr>
            </w:pPr>
            <w:r w:rsidRPr="00370BDD">
              <w:rPr>
                <w:noProof/>
              </w:rPr>
              <w:drawing>
                <wp:inline distT="0" distB="0" distL="0" distR="0" wp14:anchorId="693D7F9F" wp14:editId="7755DA0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47A27" w:rsidRDefault="00A47CDB" w:rsidP="00F45372">
            <w:pPr>
              <w:pStyle w:val="Lettrine"/>
              <w:rPr>
                <w:lang w:val="es-ES_tradnl"/>
              </w:rPr>
            </w:pPr>
            <w:r w:rsidRPr="00947A27">
              <w:rPr>
                <w:lang w:val="es-ES_tradnl"/>
              </w:rPr>
              <w:t>S</w:t>
            </w:r>
          </w:p>
          <w:p w:rsidR="000D7780" w:rsidRPr="00947A27" w:rsidRDefault="00D676E6" w:rsidP="00373109">
            <w:pPr>
              <w:pStyle w:val="Docoriginal"/>
              <w:ind w:left="952"/>
              <w:rPr>
                <w:lang w:val="es-ES_tradnl"/>
              </w:rPr>
            </w:pPr>
            <w:r w:rsidRPr="00947A27">
              <w:rPr>
                <w:lang w:val="es-ES_tradnl"/>
              </w:rPr>
              <w:t xml:space="preserve">C/47/8 </w:t>
            </w:r>
            <w:r w:rsidR="00922EB1">
              <w:rPr>
                <w:lang w:val="es-ES_tradnl"/>
              </w:rPr>
              <w:t>Rev.3</w:t>
            </w:r>
          </w:p>
          <w:p w:rsidR="000D7780" w:rsidRPr="00947A27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_tradnl"/>
              </w:rPr>
            </w:pPr>
            <w:r w:rsidRPr="00947A27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947A27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947A27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947A2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A47CDB" w:rsidRPr="00947A27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947A27" w:rsidRDefault="00A47CDB" w:rsidP="004157BC">
            <w:pPr>
              <w:pStyle w:val="Docoriginal"/>
              <w:ind w:left="952"/>
              <w:rPr>
                <w:lang w:val="es-ES_tradnl"/>
              </w:rPr>
            </w:pPr>
            <w:r w:rsidRPr="00947A27">
              <w:rPr>
                <w:spacing w:val="0"/>
                <w:lang w:val="es-ES_tradnl"/>
              </w:rPr>
              <w:t>FECHA</w:t>
            </w:r>
            <w:r w:rsidR="000D7780" w:rsidRPr="00947A27">
              <w:rPr>
                <w:spacing w:val="0"/>
                <w:lang w:val="es-ES_tradnl"/>
              </w:rPr>
              <w:t>:</w:t>
            </w:r>
            <w:r w:rsidR="0061555F" w:rsidRPr="00947A27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947A2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922EB1">
              <w:rPr>
                <w:b w:val="0"/>
                <w:spacing w:val="0"/>
                <w:lang w:val="es-ES_tradnl"/>
              </w:rPr>
              <w:t>11</w:t>
            </w:r>
            <w:r w:rsidR="00D676E6" w:rsidRPr="00947A27">
              <w:rPr>
                <w:b w:val="0"/>
                <w:spacing w:val="0"/>
                <w:lang w:val="es-ES_tradnl"/>
              </w:rPr>
              <w:t xml:space="preserve"> de </w:t>
            </w:r>
            <w:r w:rsidR="004157BC" w:rsidRPr="00947A27">
              <w:rPr>
                <w:b w:val="0"/>
                <w:spacing w:val="0"/>
                <w:lang w:val="es-ES_tradnl"/>
              </w:rPr>
              <w:t xml:space="preserve">abril </w:t>
            </w:r>
            <w:r w:rsidR="00D90E90" w:rsidRPr="00947A27">
              <w:rPr>
                <w:b w:val="0"/>
                <w:spacing w:val="0"/>
                <w:lang w:val="es-ES_tradnl"/>
              </w:rPr>
              <w:t>de 201</w:t>
            </w:r>
            <w:r w:rsidR="004157BC" w:rsidRPr="00947A27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0D7780" w:rsidRPr="00370BDD" w:rsidTr="00C13808">
        <w:tc>
          <w:tcPr>
            <w:tcW w:w="10131" w:type="dxa"/>
            <w:gridSpan w:val="3"/>
          </w:tcPr>
          <w:p w:rsidR="000D7780" w:rsidRPr="00370BDD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370BDD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370BDD" w:rsidTr="00C13808">
        <w:tc>
          <w:tcPr>
            <w:tcW w:w="10131" w:type="dxa"/>
            <w:gridSpan w:val="3"/>
          </w:tcPr>
          <w:p w:rsidR="000D7780" w:rsidRPr="00370BDD" w:rsidRDefault="00A47CDB" w:rsidP="00F45372">
            <w:pPr>
              <w:pStyle w:val="Country"/>
              <w:rPr>
                <w:lang w:val="es-ES_tradnl"/>
              </w:rPr>
            </w:pPr>
            <w:r w:rsidRPr="00370BDD">
              <w:rPr>
                <w:lang w:val="es-ES_tradnl"/>
              </w:rPr>
              <w:t>Ginebra</w:t>
            </w:r>
          </w:p>
        </w:tc>
      </w:tr>
    </w:tbl>
    <w:p w:rsidR="000D7780" w:rsidRPr="00370BDD" w:rsidRDefault="00E80F31" w:rsidP="00F45372">
      <w:pPr>
        <w:pStyle w:val="Sessiontc"/>
        <w:rPr>
          <w:lang w:val="es-ES_tradnl"/>
        </w:rPr>
      </w:pPr>
      <w:r w:rsidRPr="00370BDD">
        <w:rPr>
          <w:lang w:val="es-ES_tradnl"/>
        </w:rPr>
        <w:t>CONSEJO</w:t>
      </w:r>
    </w:p>
    <w:p w:rsidR="00361821" w:rsidRPr="00370BDD" w:rsidRDefault="00A47CDB" w:rsidP="00F45372">
      <w:pPr>
        <w:pStyle w:val="Sessiontcplacedate"/>
        <w:rPr>
          <w:lang w:val="es-ES_tradnl"/>
        </w:rPr>
      </w:pPr>
      <w:r w:rsidRPr="00370BDD">
        <w:rPr>
          <w:lang w:val="es-ES_tradnl"/>
        </w:rPr>
        <w:t xml:space="preserve">Cuadragésima </w:t>
      </w:r>
      <w:r w:rsidR="00F73179" w:rsidRPr="00370BDD">
        <w:rPr>
          <w:lang w:val="es-ES_tradnl"/>
        </w:rPr>
        <w:t xml:space="preserve">séptima </w:t>
      </w:r>
      <w:r w:rsidR="00142198" w:rsidRPr="00370BDD">
        <w:rPr>
          <w:lang w:val="es-ES_tradnl"/>
        </w:rPr>
        <w:t>sesión ordinaria</w:t>
      </w:r>
      <w:r w:rsidRPr="00370BDD">
        <w:rPr>
          <w:lang w:val="es-ES_tradnl"/>
        </w:rPr>
        <w:br/>
        <w:t xml:space="preserve">Ginebra, </w:t>
      </w:r>
      <w:r w:rsidR="00F73179" w:rsidRPr="00370BDD">
        <w:rPr>
          <w:lang w:val="es-ES_tradnl"/>
        </w:rPr>
        <w:t>24</w:t>
      </w:r>
      <w:r w:rsidR="00E80F31" w:rsidRPr="00370BDD">
        <w:rPr>
          <w:lang w:val="es-ES_tradnl"/>
        </w:rPr>
        <w:t xml:space="preserve"> de </w:t>
      </w:r>
      <w:r w:rsidR="00F73179" w:rsidRPr="00370BDD">
        <w:rPr>
          <w:lang w:val="es-ES_tradnl"/>
        </w:rPr>
        <w:t xml:space="preserve">octubre </w:t>
      </w:r>
      <w:r w:rsidR="00E80F31" w:rsidRPr="00370BDD">
        <w:rPr>
          <w:lang w:val="es-ES_tradnl"/>
        </w:rPr>
        <w:t xml:space="preserve">de </w:t>
      </w:r>
      <w:r w:rsidRPr="00370BDD">
        <w:rPr>
          <w:lang w:val="es-ES_tradnl"/>
        </w:rPr>
        <w:t>201</w:t>
      </w:r>
      <w:r w:rsidR="00F73179" w:rsidRPr="00370BDD">
        <w:rPr>
          <w:lang w:val="es-ES_tradnl"/>
        </w:rPr>
        <w:t>3</w:t>
      </w:r>
    </w:p>
    <w:p w:rsidR="00F01D49" w:rsidRPr="00370BDD" w:rsidRDefault="00F01D49" w:rsidP="004157BC">
      <w:pPr>
        <w:pStyle w:val="Titleofdoc0"/>
        <w:rPr>
          <w:lang w:val="es-ES_tradnl"/>
        </w:rPr>
      </w:pPr>
      <w:bookmarkStart w:id="2" w:name="TitleOfDoc"/>
      <w:bookmarkEnd w:id="2"/>
      <w:r w:rsidRPr="00370BDD">
        <w:rPr>
          <w:snapToGrid w:val="0"/>
          <w:lang w:val="es-ES_tradnl"/>
        </w:rPr>
        <w:t xml:space="preserve">CALENDARIO </w:t>
      </w:r>
      <w:r w:rsidR="00D676E6" w:rsidRPr="00370BDD">
        <w:rPr>
          <w:snapToGrid w:val="0"/>
          <w:lang w:val="es-ES_tradnl"/>
        </w:rPr>
        <w:t xml:space="preserve">REVISADO </w:t>
      </w:r>
      <w:r w:rsidRPr="00370BDD">
        <w:rPr>
          <w:snapToGrid w:val="0"/>
          <w:lang w:val="es-ES_tradnl"/>
        </w:rPr>
        <w:t>DE REUNIONES PARA 2014</w:t>
      </w:r>
    </w:p>
    <w:p w:rsidR="004157BC" w:rsidRPr="00F00A88" w:rsidRDefault="00922EB1" w:rsidP="004157BC">
      <w:pPr>
        <w:pStyle w:val="preparedby1"/>
        <w:rPr>
          <w:lang w:val="es-ES_tradnl"/>
        </w:rPr>
      </w:pPr>
      <w:bookmarkStart w:id="3" w:name="Prepared"/>
      <w:bookmarkEnd w:id="3"/>
      <w:proofErr w:type="gramStart"/>
      <w:r>
        <w:rPr>
          <w:lang w:val="es-ES_tradnl"/>
        </w:rPr>
        <w:t>aprobado</w:t>
      </w:r>
      <w:proofErr w:type="gramEnd"/>
      <w:r>
        <w:rPr>
          <w:lang w:val="es-ES_tradnl"/>
        </w:rPr>
        <w:t xml:space="preserve"> por el Consejo</w:t>
      </w:r>
    </w:p>
    <w:p w:rsidR="00D676E6" w:rsidRPr="004157BC" w:rsidRDefault="004157BC" w:rsidP="00F01D49">
      <w:pPr>
        <w:rPr>
          <w:lang w:val="es-ES_tradnl"/>
        </w:rPr>
      </w:pPr>
      <w:r w:rsidRPr="004157BC">
        <w:rPr>
          <w:rFonts w:cs="Arial"/>
          <w:lang w:val="es-ES_tradnl"/>
        </w:rPr>
        <w:t xml:space="preserve">La presente revisión tiene por fin </w:t>
      </w:r>
      <w:r w:rsidR="00922EB1">
        <w:rPr>
          <w:rFonts w:cs="Arial"/>
          <w:lang w:val="es-ES_tradnl"/>
        </w:rPr>
        <w:t xml:space="preserve">informar de que el </w:t>
      </w:r>
      <w:r w:rsidRPr="004157BC">
        <w:rPr>
          <w:rFonts w:cs="Arial"/>
          <w:lang w:val="es-ES_tradnl"/>
        </w:rPr>
        <w:t xml:space="preserve">Consejo, en su trigésima primera sesión extraordinaria, </w:t>
      </w:r>
      <w:r w:rsidR="00922EB1">
        <w:rPr>
          <w:rFonts w:cs="Arial"/>
          <w:lang w:val="es-ES_tradnl"/>
        </w:rPr>
        <w:t>celebrada</w:t>
      </w:r>
      <w:r w:rsidRPr="004157BC">
        <w:rPr>
          <w:rFonts w:cs="Arial"/>
          <w:lang w:val="es-ES_tradnl"/>
        </w:rPr>
        <w:t xml:space="preserve"> en Ginebra el 11 de abril de 2014, </w:t>
      </w:r>
      <w:r w:rsidR="00922EB1">
        <w:rPr>
          <w:lang w:val="es-ES_tradnl"/>
        </w:rPr>
        <w:t>acordó</w:t>
      </w:r>
      <w:r w:rsidRPr="004157BC">
        <w:rPr>
          <w:lang w:val="es-ES_tradnl"/>
        </w:rPr>
        <w:t xml:space="preserve"> que </w:t>
      </w:r>
      <w:r w:rsidRPr="004157BC">
        <w:rPr>
          <w:snapToGrid w:val="0"/>
          <w:lang w:val="es-ES_tradnl"/>
        </w:rPr>
        <w:t xml:space="preserve">la septuagésima sesión del </w:t>
      </w:r>
      <w:r w:rsidR="00922EB1" w:rsidRPr="004157BC">
        <w:rPr>
          <w:snapToGrid w:val="0"/>
          <w:lang w:val="es-ES_tradnl"/>
        </w:rPr>
        <w:t xml:space="preserve">Comité Administrativo y Jurídico </w:t>
      </w:r>
      <w:r w:rsidR="00922EB1">
        <w:rPr>
          <w:snapToGrid w:val="0"/>
          <w:lang w:val="es-ES_tradnl"/>
        </w:rPr>
        <w:t>(</w:t>
      </w:r>
      <w:r w:rsidRPr="004157BC">
        <w:rPr>
          <w:snapToGrid w:val="0"/>
          <w:lang w:val="es-ES_tradnl"/>
        </w:rPr>
        <w:t>CAJ</w:t>
      </w:r>
      <w:r w:rsidR="00922EB1">
        <w:rPr>
          <w:snapToGrid w:val="0"/>
          <w:lang w:val="es-ES_tradnl"/>
        </w:rPr>
        <w:t>) se celebre</w:t>
      </w:r>
      <w:r w:rsidRPr="004157BC">
        <w:rPr>
          <w:snapToGrid w:val="0"/>
          <w:lang w:val="es-ES_tradnl"/>
        </w:rPr>
        <w:t xml:space="preserve"> el 13 de octubre de 2014 y que la novena sesión del Grupo Asesor del Comité Administrativ</w:t>
      </w:r>
      <w:r w:rsidR="00922EB1">
        <w:rPr>
          <w:snapToGrid w:val="0"/>
          <w:lang w:val="es-ES_tradnl"/>
        </w:rPr>
        <w:t>o y Jurídico (CAJ-AG) se celebre</w:t>
      </w:r>
      <w:r w:rsidRPr="004157BC">
        <w:rPr>
          <w:snapToGrid w:val="0"/>
          <w:lang w:val="es-ES_tradnl"/>
        </w:rPr>
        <w:t xml:space="preserve"> el 14 y el 17 de octubre de 2014.</w:t>
      </w:r>
    </w:p>
    <w:p w:rsidR="00F01D49" w:rsidRDefault="00F01D49" w:rsidP="00F01D49">
      <w:pPr>
        <w:rPr>
          <w:lang w:val="es-ES_tradnl"/>
        </w:rPr>
      </w:pPr>
    </w:p>
    <w:p w:rsidR="004157BC" w:rsidRDefault="004157BC" w:rsidP="00F01D49">
      <w:pPr>
        <w:rPr>
          <w:lang w:val="es-ES_tradnl"/>
        </w:rPr>
      </w:pPr>
    </w:p>
    <w:p w:rsidR="004157BC" w:rsidRPr="004157BC" w:rsidRDefault="004157BC" w:rsidP="00F01D49">
      <w:pPr>
        <w:rPr>
          <w:lang w:val="es-ES_tradnl"/>
        </w:rPr>
      </w:pPr>
    </w:p>
    <w:p w:rsidR="00F01D49" w:rsidRPr="00370BDD" w:rsidRDefault="00F01D49" w:rsidP="00F01D49">
      <w:pPr>
        <w:jc w:val="right"/>
        <w:rPr>
          <w:lang w:val="es-ES_tradnl"/>
        </w:rPr>
      </w:pPr>
      <w:r w:rsidRPr="00370BDD">
        <w:rPr>
          <w:lang w:val="es-ES_tradnl"/>
        </w:rPr>
        <w:t>[Siguen los Anexos]</w:t>
      </w:r>
    </w:p>
    <w:p w:rsidR="00F01D49" w:rsidRPr="00370BDD" w:rsidRDefault="00F01D49" w:rsidP="00F01D49">
      <w:pPr>
        <w:rPr>
          <w:snapToGrid w:val="0"/>
          <w:lang w:val="es-ES_tradnl"/>
        </w:rPr>
      </w:pPr>
    </w:p>
    <w:p w:rsidR="00F01D49" w:rsidRPr="00370BDD" w:rsidRDefault="00F01D49" w:rsidP="00F01D49">
      <w:pPr>
        <w:rPr>
          <w:snapToGrid w:val="0"/>
          <w:lang w:val="es-ES_tradnl"/>
        </w:rPr>
        <w:sectPr w:rsidR="00F01D49" w:rsidRPr="00370BDD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01D49" w:rsidRPr="00370BDD" w:rsidRDefault="00D676E6" w:rsidP="00F01D49">
      <w:pPr>
        <w:jc w:val="center"/>
        <w:rPr>
          <w:b/>
          <w:lang w:val="es-ES_tradnl"/>
        </w:rPr>
      </w:pPr>
      <w:r w:rsidRPr="00370BDD">
        <w:rPr>
          <w:lang w:val="es-ES_tradnl"/>
        </w:rPr>
        <w:lastRenderedPageBreak/>
        <w:t xml:space="preserve">C/47/8 </w:t>
      </w:r>
      <w:r w:rsidR="00922EB1">
        <w:rPr>
          <w:lang w:val="es-ES_tradnl"/>
        </w:rPr>
        <w:t>Rev.3</w:t>
      </w:r>
      <w:r w:rsidR="00F01D49" w:rsidRPr="00370BDD">
        <w:rPr>
          <w:lang w:val="es-ES_tradnl"/>
        </w:rPr>
        <w:t>.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ANEXO I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CALENDARIO DE REUNIONES PARA 2014</w:t>
      </w: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i/>
          <w:lang w:val="es-ES_tradnl"/>
        </w:rPr>
        <w:t>presentado por orden de los órganos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Consejo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C(</w:t>
      </w:r>
      <w:proofErr w:type="spellStart"/>
      <w:r w:rsidRPr="00370BDD">
        <w:rPr>
          <w:rFonts w:cs="Arial"/>
          <w:lang w:val="es-ES_tradnl"/>
        </w:rPr>
        <w:t>Extr</w:t>
      </w:r>
      <w:proofErr w:type="spellEnd"/>
      <w:r w:rsidRPr="00370BDD">
        <w:rPr>
          <w:rFonts w:cs="Arial"/>
          <w:lang w:val="es-ES_tradnl"/>
        </w:rPr>
        <w:t>.)/31</w:t>
      </w:r>
      <w:r w:rsidRPr="00370BDD">
        <w:rPr>
          <w:rFonts w:cs="Arial"/>
          <w:lang w:val="es-ES_tradnl"/>
        </w:rPr>
        <w:tab/>
        <w:t>11 de abril (por la tarde) (sesión extraordinaria)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C/48</w:t>
      </w:r>
      <w:r w:rsidRPr="00370BDD">
        <w:rPr>
          <w:rFonts w:cs="Arial"/>
          <w:lang w:val="es-ES_tradnl"/>
        </w:rPr>
        <w:tab/>
        <w:t>16 de octubre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lang w:val="es-ES_tradnl"/>
        </w:rPr>
      </w:pPr>
      <w:r w:rsidRPr="00370BDD">
        <w:rPr>
          <w:rFonts w:cs="Arial"/>
          <w:u w:val="single"/>
          <w:lang w:val="es-ES_tradnl"/>
        </w:rPr>
        <w:t>Comité Consultivo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CC/87</w:t>
      </w:r>
      <w:r w:rsidRPr="00370BDD">
        <w:rPr>
          <w:rFonts w:cs="Arial"/>
          <w:lang w:val="es-ES_tradnl"/>
        </w:rPr>
        <w:tab/>
        <w:t>11 de abril (por la mañana)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 xml:space="preserve">CC/88 </w:t>
      </w:r>
      <w:r w:rsidRPr="00370BDD">
        <w:rPr>
          <w:rFonts w:cs="Arial"/>
          <w:lang w:val="es-ES_tradnl"/>
        </w:rPr>
        <w:tab/>
        <w:t>15 de octubre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lang w:val="es-ES_tradnl"/>
        </w:rPr>
      </w:pPr>
      <w:r w:rsidRPr="00370BDD">
        <w:rPr>
          <w:rFonts w:cs="Arial"/>
          <w:u w:val="single"/>
          <w:lang w:val="es-ES_tradnl"/>
        </w:rPr>
        <w:t>Comité Administrativo y Jurídico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947A27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CAJ/6</w:t>
      </w:r>
      <w:r w:rsidRPr="00947A27">
        <w:rPr>
          <w:rFonts w:cs="Arial"/>
          <w:lang w:val="es-ES_tradnl"/>
        </w:rPr>
        <w:t>9</w:t>
      </w:r>
      <w:r w:rsidRPr="00947A27">
        <w:rPr>
          <w:rFonts w:cs="Arial"/>
          <w:lang w:val="es-ES_tradnl"/>
        </w:rPr>
        <w:tab/>
      </w:r>
      <w:r w:rsidR="00294B0F" w:rsidRPr="00947A27">
        <w:rPr>
          <w:rFonts w:cs="Arial"/>
          <w:lang w:val="es-ES_tradnl"/>
        </w:rPr>
        <w:t xml:space="preserve">10 </w:t>
      </w:r>
      <w:r w:rsidRPr="00947A27">
        <w:rPr>
          <w:rFonts w:cs="Arial"/>
          <w:lang w:val="es-ES_tradnl"/>
        </w:rPr>
        <w:t>de abril</w:t>
      </w:r>
    </w:p>
    <w:p w:rsidR="00F01D49" w:rsidRPr="00947A27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947A27">
        <w:rPr>
          <w:rFonts w:cs="Arial"/>
          <w:lang w:val="es-ES_tradnl"/>
        </w:rPr>
        <w:tab/>
        <w:t>CAJ/70</w:t>
      </w:r>
      <w:r w:rsidRPr="00947A27">
        <w:rPr>
          <w:rFonts w:cs="Arial"/>
          <w:lang w:val="es-ES_tradnl"/>
        </w:rPr>
        <w:tab/>
        <w:t>13 de octubre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947A27">
        <w:rPr>
          <w:rFonts w:cs="Arial"/>
          <w:lang w:val="es-ES_tradnl"/>
        </w:rPr>
        <w:tab/>
      </w:r>
      <w:r w:rsidRPr="00947A27">
        <w:rPr>
          <w:rFonts w:cs="Arial"/>
          <w:lang w:val="es-ES_tradnl"/>
        </w:rPr>
        <w:tab/>
        <w:t>(Grupo Asesor del Comité Administrativo y Jurídico</w:t>
      </w:r>
      <w:proofErr w:type="gramStart"/>
      <w:r w:rsidRPr="00947A27">
        <w:rPr>
          <w:rFonts w:cs="Arial"/>
          <w:lang w:val="es-ES_tradnl"/>
        </w:rPr>
        <w:t xml:space="preserve">:  </w:t>
      </w:r>
      <w:r w:rsidR="00A45702" w:rsidRPr="005233B8">
        <w:rPr>
          <w:rFonts w:cs="Arial"/>
          <w:lang w:val="es-ES_tradnl"/>
        </w:rPr>
        <w:t>14</w:t>
      </w:r>
      <w:proofErr w:type="gramEnd"/>
      <w:r w:rsidR="00A45702" w:rsidRPr="005233B8">
        <w:rPr>
          <w:rFonts w:cs="Arial"/>
          <w:lang w:val="es-ES_tradnl"/>
        </w:rPr>
        <w:t xml:space="preserve"> y</w:t>
      </w:r>
      <w:r w:rsidR="00A45702" w:rsidRPr="00947A27">
        <w:rPr>
          <w:rFonts w:cs="Arial"/>
          <w:lang w:val="es-ES_tradnl"/>
        </w:rPr>
        <w:t xml:space="preserve"> </w:t>
      </w:r>
      <w:r w:rsidRPr="00947A27">
        <w:rPr>
          <w:rFonts w:cs="Arial"/>
          <w:lang w:val="es-ES_tradnl"/>
        </w:rPr>
        <w:t>17 de octubre)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Comité Técnico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TC/50</w:t>
      </w:r>
      <w:r w:rsidRPr="00370BDD">
        <w:rPr>
          <w:rFonts w:cs="Arial"/>
          <w:lang w:val="es-ES_tradnl"/>
        </w:rPr>
        <w:tab/>
        <w:t>7 a 9 de abril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b/>
          <w:lang w:val="es-ES_tradnl"/>
        </w:rPr>
        <w:tab/>
      </w:r>
      <w:r w:rsidRPr="00370BDD">
        <w:rPr>
          <w:rFonts w:cs="Arial"/>
          <w:b/>
          <w:lang w:val="es-ES_tradnl"/>
        </w:rPr>
        <w:tab/>
      </w:r>
      <w:r w:rsidRPr="00370BDD">
        <w:rPr>
          <w:rFonts w:cs="Arial"/>
          <w:lang w:val="es-ES_tradnl"/>
        </w:rPr>
        <w:t>(Comité de Redacción:  8 y 9 de enero;  7 de abril (por la noche) y 8 de abril (por la noche))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 Técnic</w:t>
      </w:r>
      <w:r w:rsidR="00625EB4">
        <w:rPr>
          <w:rFonts w:cs="Arial"/>
          <w:u w:val="single"/>
          <w:lang w:val="es-ES_tradnl"/>
        </w:rPr>
        <w:t>o sobre Plantas Agrícolas (TWA)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TWA/43</w:t>
      </w:r>
      <w:r w:rsidRPr="00370BDD">
        <w:rPr>
          <w:rFonts w:cs="Arial"/>
          <w:lang w:val="es-ES_tradnl"/>
        </w:rPr>
        <w:tab/>
        <w:t>17 a 21 de noviembre, Mar del Plata (Argentina)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</w:r>
      <w:r w:rsidRPr="00370BDD">
        <w:rPr>
          <w:rFonts w:cs="Arial"/>
          <w:lang w:val="es-ES_tradnl"/>
        </w:rPr>
        <w:tab/>
        <w:t>(Taller preparatorio el 16 de noviembre)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 Técnico sobre Automatización</w:t>
      </w:r>
      <w:r w:rsidR="00625EB4">
        <w:rPr>
          <w:rFonts w:cs="Arial"/>
          <w:u w:val="single"/>
          <w:lang w:val="es-ES_tradnl"/>
        </w:rPr>
        <w:t xml:space="preserve"> y Programas Informáticos (TWC)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lang w:val="es-ES_tradnl"/>
        </w:rPr>
      </w:pPr>
      <w:r w:rsidRPr="00370BDD">
        <w:rPr>
          <w:rFonts w:cs="Arial"/>
          <w:lang w:val="es-ES_tradnl"/>
        </w:rPr>
        <w:tab/>
      </w:r>
      <w:r w:rsidRPr="00370BDD">
        <w:rPr>
          <w:lang w:val="es-ES_tradnl"/>
        </w:rPr>
        <w:t>TWC/32</w:t>
      </w:r>
      <w:r w:rsidRPr="00370BDD">
        <w:rPr>
          <w:lang w:val="es-ES_tradnl"/>
        </w:rPr>
        <w:tab/>
        <w:t>3 a 6 de junio, Helsinki (Finlandia)</w:t>
      </w:r>
    </w:p>
    <w:p w:rsidR="00F01D49" w:rsidRPr="00370BDD" w:rsidRDefault="00F01D49" w:rsidP="00F01D49">
      <w:pPr>
        <w:ind w:left="1134" w:firstLine="567"/>
        <w:rPr>
          <w:lang w:val="es-ES_tradnl"/>
        </w:rPr>
      </w:pPr>
      <w:r w:rsidRPr="00370BDD">
        <w:rPr>
          <w:lang w:val="es-ES_tradnl"/>
        </w:rPr>
        <w:t>(Taller preparatorio el 2 de junio)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 Técnico sobre Plantas Frutales (TWF)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rFonts w:cs="Arial"/>
          <w:lang w:val="es-ES_tradnl"/>
        </w:rPr>
      </w:pPr>
      <w:r w:rsidRPr="00370BDD">
        <w:rPr>
          <w:lang w:val="es-ES_tradnl"/>
        </w:rPr>
        <w:tab/>
        <w:t>TWF/45</w:t>
      </w:r>
      <w:r w:rsidRPr="00370BDD">
        <w:rPr>
          <w:lang w:val="es-ES_tradnl"/>
        </w:rPr>
        <w:tab/>
      </w:r>
      <w:r w:rsidRPr="00370BDD">
        <w:rPr>
          <w:rFonts w:cs="Arial"/>
          <w:lang w:val="es-ES_tradnl"/>
        </w:rPr>
        <w:t>26 a 30 de mayo, Marrakech (Marruecos)</w:t>
      </w:r>
    </w:p>
    <w:p w:rsidR="00F01D49" w:rsidRPr="00370BDD" w:rsidRDefault="00F01D49" w:rsidP="00F01D49">
      <w:pPr>
        <w:ind w:left="1134" w:firstLine="567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>(Taller preparatorio el 25 de mayo)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 Técnico sobre Plantas Ornamentales y Árboles Forestales (TWO)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rFonts w:cs="Arial"/>
          <w:lang w:val="es-ES_tradnl"/>
        </w:rPr>
      </w:pPr>
      <w:r w:rsidRPr="00370BDD">
        <w:rPr>
          <w:lang w:val="es-ES_tradnl"/>
        </w:rPr>
        <w:tab/>
        <w:t xml:space="preserve">TWO/47 </w:t>
      </w:r>
      <w:r w:rsidRPr="00370BDD">
        <w:rPr>
          <w:lang w:val="es-ES_tradnl"/>
        </w:rPr>
        <w:tab/>
      </w:r>
      <w:r w:rsidRPr="00370BDD">
        <w:rPr>
          <w:rFonts w:cs="Arial"/>
          <w:lang w:val="es-ES_tradnl"/>
        </w:rPr>
        <w:t>19 a 23 de mayo, Nairobi (Ken</w:t>
      </w:r>
      <w:r w:rsidR="0050520F">
        <w:rPr>
          <w:rFonts w:cs="Arial"/>
          <w:lang w:val="es-ES_tradnl"/>
        </w:rPr>
        <w:t>i</w:t>
      </w:r>
      <w:r w:rsidRPr="00370BDD">
        <w:rPr>
          <w:rFonts w:cs="Arial"/>
          <w:lang w:val="es-ES_tradnl"/>
        </w:rPr>
        <w:t>a)</w:t>
      </w:r>
    </w:p>
    <w:p w:rsidR="00F01D49" w:rsidRPr="00370BDD" w:rsidRDefault="00F01D49" w:rsidP="00F01D49">
      <w:pPr>
        <w:ind w:left="1134" w:firstLine="567"/>
        <w:rPr>
          <w:lang w:val="es-ES_tradnl"/>
        </w:rPr>
      </w:pPr>
      <w:r w:rsidRPr="00370BDD">
        <w:rPr>
          <w:rFonts w:cs="Arial"/>
          <w:lang w:val="es-ES_tradnl"/>
        </w:rPr>
        <w:t>(Taller preparatorio el 18 de mayo)</w:t>
      </w:r>
    </w:p>
    <w:p w:rsidR="0065453E" w:rsidRPr="00370BDD" w:rsidRDefault="0065453E" w:rsidP="0065453E"/>
    <w:p w:rsidR="00F01D49" w:rsidRPr="00370BDD" w:rsidRDefault="00F01D49" w:rsidP="00F01D49">
      <w:pPr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</w:t>
      </w:r>
      <w:r w:rsidR="00625EB4">
        <w:rPr>
          <w:rFonts w:cs="Arial"/>
          <w:u w:val="single"/>
          <w:lang w:val="es-ES_tradnl"/>
        </w:rPr>
        <w:t xml:space="preserve"> Técnico sobre Hortalizas (TWV)</w:t>
      </w:r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F01D49">
      <w:pPr>
        <w:rPr>
          <w:rFonts w:cs="Arial"/>
          <w:lang w:val="es-ES_tradnl"/>
        </w:rPr>
      </w:pPr>
      <w:r w:rsidRPr="00370BDD">
        <w:rPr>
          <w:lang w:val="es-ES_tradnl"/>
        </w:rPr>
        <w:tab/>
        <w:t xml:space="preserve">TWV/48 </w:t>
      </w:r>
      <w:r w:rsidRPr="00370BDD">
        <w:rPr>
          <w:lang w:val="es-ES_tradnl"/>
        </w:rPr>
        <w:tab/>
      </w:r>
      <w:r w:rsidRPr="00370BDD">
        <w:rPr>
          <w:rFonts w:cs="Arial"/>
          <w:lang w:val="es-ES_tradnl"/>
        </w:rPr>
        <w:t xml:space="preserve">23 a 27 de junio, </w:t>
      </w:r>
      <w:proofErr w:type="spellStart"/>
      <w:r w:rsidRPr="00370BDD">
        <w:rPr>
          <w:rFonts w:cs="Arial"/>
          <w:lang w:val="es-ES_tradnl"/>
        </w:rPr>
        <w:t>Paestum</w:t>
      </w:r>
      <w:proofErr w:type="spellEnd"/>
      <w:r w:rsidRPr="00370BDD">
        <w:rPr>
          <w:rFonts w:cs="Arial"/>
          <w:lang w:val="es-ES_tradnl"/>
        </w:rPr>
        <w:t xml:space="preserve"> (Italia)</w:t>
      </w:r>
    </w:p>
    <w:p w:rsidR="00F01D49" w:rsidRPr="00370BDD" w:rsidRDefault="00F01D49" w:rsidP="00F01D49">
      <w:pPr>
        <w:ind w:left="1134" w:firstLine="567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>(Taller preparatorio el 22 de junio)</w:t>
      </w:r>
    </w:p>
    <w:p w:rsidR="0065453E" w:rsidRPr="00370BDD" w:rsidRDefault="0065453E" w:rsidP="0065453E"/>
    <w:p w:rsidR="00F01D49" w:rsidRPr="00370BDD" w:rsidRDefault="00F01D49" w:rsidP="00F01D49">
      <w:pPr>
        <w:ind w:right="-142"/>
        <w:rPr>
          <w:rFonts w:cs="Arial"/>
          <w:lang w:val="es-ES_tradnl"/>
        </w:rPr>
      </w:pPr>
      <w:r w:rsidRPr="00370BDD">
        <w:rPr>
          <w:rFonts w:cs="Arial"/>
          <w:u w:val="single"/>
          <w:lang w:val="es-ES_tradnl"/>
        </w:rPr>
        <w:t>Grupo de Trabajo sobre Técnicas Bioquímicas y Moleculares, y Perfiles de ADN en particular (BMT)</w:t>
      </w:r>
      <w:bookmarkStart w:id="4" w:name="_GoBack"/>
      <w:bookmarkEnd w:id="4"/>
    </w:p>
    <w:p w:rsidR="00F01D49" w:rsidRPr="00370BDD" w:rsidRDefault="00F01D49" w:rsidP="00F01D49">
      <w:pPr>
        <w:rPr>
          <w:rFonts w:cs="Arial"/>
          <w:u w:val="single"/>
          <w:lang w:val="es-ES_tradnl"/>
        </w:rPr>
      </w:pPr>
    </w:p>
    <w:p w:rsidR="00F01D49" w:rsidRPr="00370BDD" w:rsidRDefault="00F01D49" w:rsidP="004553BD">
      <w:pPr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ab/>
        <w:t>BMT/14</w:t>
      </w:r>
      <w:r w:rsidR="0065453E" w:rsidRPr="00370BDD">
        <w:rPr>
          <w:rStyle w:val="FootnoteReference"/>
          <w:rFonts w:cs="Arial"/>
        </w:rPr>
        <w:footnoteReference w:id="2"/>
      </w:r>
      <w:r w:rsidRPr="00370BDD">
        <w:rPr>
          <w:rFonts w:cs="Arial"/>
          <w:lang w:val="es-ES_tradnl"/>
        </w:rPr>
        <w:tab/>
      </w:r>
      <w:r w:rsidR="00D90E90" w:rsidRPr="00370BDD">
        <w:rPr>
          <w:rFonts w:cs="Arial"/>
          <w:lang w:val="es-ES_tradnl"/>
        </w:rPr>
        <w:t>1</w:t>
      </w:r>
      <w:r w:rsidR="00A97929" w:rsidRPr="00370BDD">
        <w:rPr>
          <w:rFonts w:cs="Arial"/>
          <w:lang w:val="es-ES_tradnl"/>
        </w:rPr>
        <w:t>0</w:t>
      </w:r>
      <w:r w:rsidR="00D90E90" w:rsidRPr="00370BDD">
        <w:rPr>
          <w:rFonts w:cs="Arial"/>
          <w:lang w:val="es-ES_tradnl"/>
        </w:rPr>
        <w:t xml:space="preserve"> a 1</w:t>
      </w:r>
      <w:r w:rsidR="00A97929" w:rsidRPr="00370BDD">
        <w:rPr>
          <w:rFonts w:cs="Arial"/>
          <w:lang w:val="es-ES_tradnl"/>
        </w:rPr>
        <w:t>3</w:t>
      </w:r>
      <w:r w:rsidR="00D90E90" w:rsidRPr="00370BDD">
        <w:rPr>
          <w:rFonts w:cs="Arial"/>
          <w:lang w:val="es-ES_tradnl"/>
        </w:rPr>
        <w:t xml:space="preserve"> de noviembre, </w:t>
      </w:r>
      <w:r w:rsidR="00F62B01" w:rsidRPr="00370BDD">
        <w:rPr>
          <w:rFonts w:cs="Arial"/>
          <w:lang w:val="es-ES_tradnl"/>
        </w:rPr>
        <w:t>Seúl (República de C</w:t>
      </w:r>
      <w:r w:rsidR="00D90E90" w:rsidRPr="00370BDD">
        <w:rPr>
          <w:rFonts w:cs="Arial"/>
          <w:lang w:val="es-ES_tradnl"/>
        </w:rPr>
        <w:t>orea</w:t>
      </w:r>
      <w:r w:rsidR="00F62B01" w:rsidRPr="00370BDD">
        <w:rPr>
          <w:rFonts w:cs="Arial"/>
          <w:lang w:val="es-ES_tradnl"/>
        </w:rPr>
        <w:t>)</w:t>
      </w:r>
    </w:p>
    <w:p w:rsidR="00D90E90" w:rsidRPr="00370BDD" w:rsidRDefault="00D90E90" w:rsidP="00D90E90">
      <w:pPr>
        <w:ind w:left="1134" w:firstLine="567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>(Taller preparatorio el </w:t>
      </w:r>
      <w:r w:rsidR="00A97929" w:rsidRPr="00370BDD">
        <w:rPr>
          <w:rFonts w:cs="Arial"/>
          <w:lang w:val="es-ES_tradnl"/>
        </w:rPr>
        <w:t>9</w:t>
      </w:r>
      <w:r w:rsidRPr="00370BDD">
        <w:rPr>
          <w:rFonts w:cs="Arial"/>
          <w:lang w:val="es-ES_tradnl"/>
        </w:rPr>
        <w:t xml:space="preserve"> de noviembre)</w:t>
      </w:r>
    </w:p>
    <w:p w:rsidR="0065453E" w:rsidRPr="00370BDD" w:rsidRDefault="0065453E" w:rsidP="0065453E"/>
    <w:p w:rsidR="00F01D49" w:rsidRPr="00370BDD" w:rsidRDefault="00F01D49" w:rsidP="0065453E">
      <w:pPr>
        <w:ind w:left="567" w:hanging="567"/>
        <w:rPr>
          <w:rFonts w:cs="Arial"/>
          <w:lang w:val="es-ES_tradnl"/>
        </w:rPr>
      </w:pPr>
      <w:r w:rsidRPr="00370BDD">
        <w:rPr>
          <w:rFonts w:cs="Arial"/>
          <w:lang w:val="es-ES_tradnl"/>
        </w:rPr>
        <w:t>[Simposio</w:t>
      </w:r>
      <w:r w:rsidRPr="00370BDD">
        <w:rPr>
          <w:rFonts w:cs="Arial"/>
          <w:lang w:val="es-ES_tradnl"/>
        </w:rPr>
        <w:tab/>
      </w:r>
      <w:r w:rsidRPr="00370BDD">
        <w:rPr>
          <w:rFonts w:cs="Arial"/>
          <w:lang w:val="es-ES_tradnl"/>
        </w:rPr>
        <w:tab/>
        <w:t>Ninguno previsto de momento]</w:t>
      </w:r>
    </w:p>
    <w:p w:rsidR="00F01D49" w:rsidRPr="00370BDD" w:rsidRDefault="00F01D49" w:rsidP="00F01D49">
      <w:pPr>
        <w:ind w:left="567" w:hanging="567"/>
        <w:rPr>
          <w:rFonts w:cs="Arial"/>
          <w:lang w:val="es-ES_tradnl"/>
        </w:rPr>
      </w:pPr>
    </w:p>
    <w:p w:rsidR="00F01D49" w:rsidRPr="00370BDD" w:rsidRDefault="00F01D49" w:rsidP="00F01D49">
      <w:pPr>
        <w:ind w:left="567" w:hanging="567"/>
        <w:jc w:val="right"/>
        <w:rPr>
          <w:lang w:val="es-ES_tradnl"/>
        </w:rPr>
      </w:pPr>
      <w:r w:rsidRPr="00370BDD">
        <w:rPr>
          <w:lang w:val="es-ES_tradnl"/>
        </w:rPr>
        <w:t>[Sigue el Anexo II]</w:t>
      </w:r>
    </w:p>
    <w:p w:rsidR="00F01D49" w:rsidRPr="00370BDD" w:rsidRDefault="00F01D49" w:rsidP="00F01D49">
      <w:pPr>
        <w:rPr>
          <w:lang w:val="es-ES_tradnl"/>
        </w:rPr>
        <w:sectPr w:rsidR="00F01D49" w:rsidRPr="00370BDD" w:rsidSect="00F01D49">
          <w:headerReference w:type="default" r:id="rId11"/>
          <w:footerReference w:type="first" r:id="rId12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F01D49" w:rsidRPr="00370BDD" w:rsidRDefault="00D676E6" w:rsidP="00F01D49">
      <w:pPr>
        <w:jc w:val="center"/>
        <w:rPr>
          <w:lang w:val="es-ES_tradnl"/>
        </w:rPr>
      </w:pPr>
      <w:r w:rsidRPr="00370BDD">
        <w:rPr>
          <w:lang w:val="es-ES_tradnl"/>
        </w:rPr>
        <w:lastRenderedPageBreak/>
        <w:t xml:space="preserve">C/47/8 </w:t>
      </w:r>
      <w:r w:rsidR="00922EB1">
        <w:rPr>
          <w:lang w:val="es-ES_tradnl"/>
        </w:rPr>
        <w:t>Rev.3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ANEXO II</w:t>
      </w:r>
    </w:p>
    <w:p w:rsidR="00FE6DB3" w:rsidRDefault="00FE6DB3" w:rsidP="00F01D49">
      <w:pPr>
        <w:rPr>
          <w:lang w:val="es-ES_tradnl"/>
        </w:rPr>
      </w:pPr>
    </w:p>
    <w:p w:rsidR="00FE6DB3" w:rsidRPr="00370BDD" w:rsidRDefault="00FE6DB3" w:rsidP="00F01D49">
      <w:pPr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CALENDARIO DE REUNIONES PARA 2014</w:t>
      </w: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i/>
          <w:lang w:val="es-ES_tradnl"/>
        </w:rPr>
        <w:t>presentado por orden cronológico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370BDD">
        <w:rPr>
          <w:szCs w:val="24"/>
          <w:lang w:val="es-ES_tradnl"/>
        </w:rPr>
        <w:t>ENERO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Miércoles 8 y jueves 9</w:t>
      </w:r>
      <w:r w:rsidRPr="00370BDD">
        <w:rPr>
          <w:szCs w:val="24"/>
          <w:lang w:val="es-ES_tradnl"/>
        </w:rPr>
        <w:tab/>
        <w:t>Comité de Redacción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>ABRIL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7 a miércoles 9</w:t>
      </w:r>
      <w:r w:rsidRPr="00370BDD">
        <w:rPr>
          <w:szCs w:val="24"/>
          <w:lang w:val="es-ES_tradnl"/>
        </w:rPr>
        <w:tab/>
        <w:t>Comité Técnico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7 (por la noche)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y martes 8 (por la noche)</w:t>
      </w:r>
      <w:r w:rsidRPr="00370BDD">
        <w:rPr>
          <w:szCs w:val="24"/>
          <w:lang w:val="es-ES_tradnl"/>
        </w:rPr>
        <w:tab/>
        <w:t>Comité de Redacción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Jueves 10</w:t>
      </w:r>
      <w:r w:rsidRPr="00370BDD">
        <w:rPr>
          <w:szCs w:val="24"/>
          <w:lang w:val="es-ES_tradnl"/>
        </w:rPr>
        <w:tab/>
        <w:t>Comité Administrativo y Jurídico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Viernes 11 (por la mañana)</w:t>
      </w:r>
      <w:r w:rsidRPr="00370BDD">
        <w:rPr>
          <w:szCs w:val="24"/>
          <w:lang w:val="es-ES_tradnl"/>
        </w:rPr>
        <w:tab/>
        <w:t>Comité Consultivo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Viernes 11 (por la tarde)</w:t>
      </w:r>
      <w:r w:rsidRPr="00370BDD">
        <w:rPr>
          <w:szCs w:val="24"/>
          <w:lang w:val="es-ES_tradnl"/>
        </w:rPr>
        <w:tab/>
        <w:t>Consejo (sesión extraordinaria)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>MAYO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Domingo 18</w:t>
      </w:r>
      <w:r w:rsidRPr="00370BDD">
        <w:rPr>
          <w:szCs w:val="24"/>
          <w:lang w:val="es-ES_tradnl"/>
        </w:rPr>
        <w:tab/>
        <w:t>Taller preparatorio TWO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19 a viernes 23</w:t>
      </w:r>
      <w:r w:rsidRPr="00370BDD">
        <w:rPr>
          <w:szCs w:val="24"/>
          <w:lang w:val="es-ES_tradnl"/>
        </w:rPr>
        <w:tab/>
        <w:t>Grupo de Trabajo Técnico sobre Plantas Ornamentales y Árboles Forestales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Domingo 25</w:t>
      </w:r>
      <w:r w:rsidRPr="00370BDD">
        <w:rPr>
          <w:szCs w:val="24"/>
          <w:lang w:val="es-ES_tradnl"/>
        </w:rPr>
        <w:tab/>
        <w:t>Taller preparatorio TWF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26 a viernes 30</w:t>
      </w:r>
      <w:r w:rsidRPr="00370BDD">
        <w:rPr>
          <w:szCs w:val="24"/>
          <w:lang w:val="es-ES_tradnl"/>
        </w:rPr>
        <w:tab/>
        <w:t>Grupo de Trabajo Técnico sobre Plantas Frutales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>JUNIO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2</w:t>
      </w:r>
      <w:r w:rsidRPr="00370BDD">
        <w:rPr>
          <w:szCs w:val="24"/>
          <w:lang w:val="es-ES_tradnl"/>
        </w:rPr>
        <w:tab/>
        <w:t>Taller preparatorio TWC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Martes 3 a viernes 6</w:t>
      </w:r>
      <w:r w:rsidRPr="00370BDD">
        <w:rPr>
          <w:szCs w:val="24"/>
          <w:lang w:val="es-ES_tradnl"/>
        </w:rPr>
        <w:tab/>
        <w:t>Grupo de Trabajo Técnico sobre Automatización y Programas Informáticos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Domingo 22</w:t>
      </w:r>
      <w:r w:rsidRPr="00370BDD">
        <w:rPr>
          <w:szCs w:val="24"/>
          <w:lang w:val="es-ES_tradnl"/>
        </w:rPr>
        <w:tab/>
        <w:t>Taller preparatorio TWV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23 a viernes 27</w:t>
      </w:r>
      <w:r w:rsidRPr="00370BDD">
        <w:rPr>
          <w:szCs w:val="24"/>
          <w:lang w:val="es-ES_tradnl"/>
        </w:rPr>
        <w:tab/>
        <w:t>Grupo de Trabajo Técnico sobre Hortalizas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u w:val="single"/>
          <w:lang w:val="es-ES_tradnl"/>
        </w:rPr>
        <w:t>OCTUBRE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947A27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</w:r>
      <w:r w:rsidRPr="00947A27">
        <w:rPr>
          <w:szCs w:val="24"/>
          <w:lang w:val="es-ES_tradnl"/>
        </w:rPr>
        <w:t>Lunes 13</w:t>
      </w:r>
      <w:r w:rsidRPr="00947A27">
        <w:rPr>
          <w:szCs w:val="24"/>
          <w:lang w:val="es-ES_tradnl"/>
        </w:rPr>
        <w:tab/>
        <w:t>Comité Administrativo y Jurídico</w:t>
      </w:r>
    </w:p>
    <w:p w:rsidR="00181E4B" w:rsidRPr="00370BDD" w:rsidRDefault="00181E4B" w:rsidP="00181E4B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947A27">
        <w:rPr>
          <w:szCs w:val="24"/>
          <w:lang w:val="es-ES_tradnl"/>
        </w:rPr>
        <w:tab/>
      </w:r>
      <w:r w:rsidRPr="005233B8">
        <w:rPr>
          <w:szCs w:val="24"/>
          <w:lang w:val="es-ES_tradnl"/>
        </w:rPr>
        <w:t>Martes 14 y</w:t>
      </w:r>
      <w:r w:rsidRPr="00947A27">
        <w:rPr>
          <w:szCs w:val="24"/>
          <w:lang w:val="es-ES_tradnl"/>
        </w:rPr>
        <w:t xml:space="preserve"> viernes 17</w:t>
      </w:r>
      <w:r w:rsidRPr="00947A27">
        <w:rPr>
          <w:szCs w:val="24"/>
          <w:lang w:val="es-ES_tradnl"/>
        </w:rPr>
        <w:tab/>
        <w:t>Grupo Asesor del Comité Administrativo y Jurídico</w:t>
      </w:r>
    </w:p>
    <w:p w:rsidR="00F01D49" w:rsidRPr="00947A27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947A27">
        <w:rPr>
          <w:szCs w:val="24"/>
          <w:lang w:val="es-ES_tradnl"/>
        </w:rPr>
        <w:tab/>
        <w:t>Miércoles 15</w:t>
      </w:r>
      <w:r w:rsidRPr="00947A27">
        <w:rPr>
          <w:szCs w:val="24"/>
          <w:lang w:val="es-ES_tradnl"/>
        </w:rPr>
        <w:tab/>
        <w:t>Comité Consultivo</w:t>
      </w:r>
    </w:p>
    <w:p w:rsidR="00F01D49" w:rsidRPr="00947A27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947A27">
        <w:rPr>
          <w:szCs w:val="24"/>
          <w:lang w:val="es-ES_tradnl"/>
        </w:rPr>
        <w:tab/>
        <w:t>Jueves 16</w:t>
      </w:r>
      <w:r w:rsidRPr="00947A27">
        <w:rPr>
          <w:szCs w:val="24"/>
          <w:lang w:val="es-ES_tradnl"/>
        </w:rPr>
        <w:tab/>
        <w:t>Consejo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u w:val="single"/>
          <w:lang w:val="es-ES_tradnl"/>
        </w:rPr>
        <w:t>NOVIEMBRE</w:t>
      </w: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196922" w:rsidRPr="00370BDD" w:rsidRDefault="00196922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  <w:r w:rsidRPr="00370BDD">
        <w:rPr>
          <w:lang w:val="es-ES_tradnl"/>
        </w:rPr>
        <w:tab/>
      </w:r>
      <w:r w:rsidR="00A97929" w:rsidRPr="00370BDD">
        <w:rPr>
          <w:lang w:val="es-ES_tradnl"/>
        </w:rPr>
        <w:t>Domingo 9</w:t>
      </w:r>
      <w:r w:rsidRPr="00370BDD">
        <w:rPr>
          <w:lang w:val="es-ES_tradnl"/>
        </w:rPr>
        <w:tab/>
        <w:t>Taller preparatorio BMT</w:t>
      </w:r>
    </w:p>
    <w:p w:rsidR="00196922" w:rsidRPr="00370BDD" w:rsidRDefault="00196922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  <w:r w:rsidRPr="00370BDD">
        <w:rPr>
          <w:lang w:val="es-ES_tradnl"/>
        </w:rPr>
        <w:tab/>
      </w:r>
      <w:r w:rsidR="00A97929" w:rsidRPr="00370BDD">
        <w:rPr>
          <w:lang w:val="es-ES_tradnl"/>
        </w:rPr>
        <w:t>Lunes 10</w:t>
      </w:r>
      <w:r w:rsidRPr="00370BDD">
        <w:rPr>
          <w:lang w:val="es-ES_tradnl"/>
        </w:rPr>
        <w:t xml:space="preserve"> a </w:t>
      </w:r>
      <w:r w:rsidR="00A97929" w:rsidRPr="00370BDD">
        <w:rPr>
          <w:lang w:val="es-ES_tradnl"/>
        </w:rPr>
        <w:t xml:space="preserve">jueves </w:t>
      </w:r>
      <w:r w:rsidRPr="00370BDD">
        <w:rPr>
          <w:lang w:val="es-ES_tradnl"/>
        </w:rPr>
        <w:t>1</w:t>
      </w:r>
      <w:r w:rsidR="00A97929" w:rsidRPr="00370BDD">
        <w:rPr>
          <w:lang w:val="es-ES_tradnl"/>
        </w:rPr>
        <w:t>3</w:t>
      </w:r>
      <w:r w:rsidRPr="00370BDD">
        <w:rPr>
          <w:lang w:val="es-ES_tradnl"/>
        </w:rPr>
        <w:tab/>
      </w:r>
      <w:r w:rsidRPr="00370BDD">
        <w:rPr>
          <w:spacing w:val="-2"/>
          <w:lang w:val="es-ES_tradnl"/>
        </w:rPr>
        <w:t>Grupo de Trabajo sobre Técnicas Bioquímicas y Moleculares,</w:t>
      </w:r>
      <w:r w:rsidRPr="00370BDD">
        <w:rPr>
          <w:lang w:val="es-ES_tradnl"/>
        </w:rPr>
        <w:t xml:space="preserve"> y Perfiles de ADN en particular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  <w:r w:rsidRPr="00370BDD">
        <w:rPr>
          <w:lang w:val="es-ES_tradnl"/>
        </w:rPr>
        <w:tab/>
        <w:t>Domingo 16</w:t>
      </w:r>
      <w:r w:rsidRPr="00370BDD">
        <w:rPr>
          <w:lang w:val="es-ES_tradnl"/>
        </w:rPr>
        <w:tab/>
        <w:t>Taller preparatorio TWA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Lunes 17 a viernes 21</w:t>
      </w:r>
      <w:r w:rsidRPr="00370BDD">
        <w:rPr>
          <w:szCs w:val="24"/>
          <w:lang w:val="es-ES_tradnl"/>
        </w:rPr>
        <w:tab/>
        <w:t>Grupo de Trabajo Técnico sobre Plantas Agrícolas</w:t>
      </w:r>
    </w:p>
    <w:p w:rsidR="00F01D49" w:rsidRPr="00370BDD" w:rsidRDefault="00F01D49" w:rsidP="00F01D49">
      <w:pPr>
        <w:tabs>
          <w:tab w:val="left" w:pos="567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hanging="4253"/>
        <w:jc w:val="left"/>
        <w:rPr>
          <w:lang w:val="es-ES_tradnl"/>
        </w:rPr>
      </w:pPr>
    </w:p>
    <w:p w:rsidR="00F01D49" w:rsidRPr="00370BDD" w:rsidRDefault="00F01D49" w:rsidP="00F01D49">
      <w:pPr>
        <w:tabs>
          <w:tab w:val="left" w:pos="284"/>
          <w:tab w:val="left" w:pos="4253"/>
        </w:tabs>
        <w:ind w:left="4253" w:right="-85" w:hanging="4253"/>
        <w:jc w:val="right"/>
        <w:rPr>
          <w:lang w:val="es-ES_tradnl"/>
        </w:rPr>
      </w:pPr>
      <w:r w:rsidRPr="00370BDD">
        <w:rPr>
          <w:lang w:val="es-ES_tradnl"/>
        </w:rPr>
        <w:t>[Sigue el Anexo III]</w:t>
      </w:r>
    </w:p>
    <w:p w:rsidR="00F01D49" w:rsidRPr="00370BDD" w:rsidRDefault="00F01D49" w:rsidP="00F01D49">
      <w:pPr>
        <w:rPr>
          <w:lang w:val="es-ES_tradnl"/>
        </w:rPr>
      </w:pPr>
    </w:p>
    <w:p w:rsidR="00F01D49" w:rsidRPr="00370BDD" w:rsidRDefault="00F01D49" w:rsidP="00F01D49">
      <w:pPr>
        <w:rPr>
          <w:lang w:val="es-ES_tradnl"/>
        </w:rPr>
        <w:sectPr w:rsidR="00F01D49" w:rsidRPr="00370BDD" w:rsidSect="00F01D49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01D49" w:rsidRPr="00370BDD" w:rsidRDefault="00D676E6" w:rsidP="00F01D49">
      <w:pPr>
        <w:jc w:val="center"/>
        <w:rPr>
          <w:b/>
          <w:lang w:val="es-ES_tradnl"/>
        </w:rPr>
      </w:pPr>
      <w:r w:rsidRPr="00370BDD">
        <w:rPr>
          <w:lang w:val="es-ES_tradnl"/>
        </w:rPr>
        <w:t xml:space="preserve">C/47/8 </w:t>
      </w:r>
      <w:r w:rsidR="00922EB1">
        <w:rPr>
          <w:lang w:val="es-ES_tradnl"/>
        </w:rPr>
        <w:t>Rev.3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ANEXO III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  <w:r w:rsidRPr="00370BDD">
        <w:rPr>
          <w:lang w:val="es-ES_tradnl"/>
        </w:rPr>
        <w:t>CALENDARIO DE REUNIONES PROPUESTAS PARA 2015</w:t>
      </w: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jc w:val="center"/>
        <w:rPr>
          <w:lang w:val="es-ES_tradnl"/>
        </w:rPr>
      </w:pPr>
    </w:p>
    <w:p w:rsidR="00F01D49" w:rsidRPr="00370BDD" w:rsidRDefault="00F01D49" w:rsidP="00F01D49">
      <w:pPr>
        <w:rPr>
          <w:szCs w:val="24"/>
          <w:u w:val="single"/>
          <w:lang w:val="es-ES_tradnl"/>
        </w:rPr>
      </w:pPr>
      <w:r w:rsidRPr="00370BDD">
        <w:rPr>
          <w:szCs w:val="24"/>
          <w:u w:val="single"/>
          <w:lang w:val="es-ES_tradnl"/>
        </w:rPr>
        <w:t>Consejo</w:t>
      </w:r>
    </w:p>
    <w:p w:rsidR="00F01D49" w:rsidRPr="00370BDD" w:rsidRDefault="00F01D49" w:rsidP="00F01D49">
      <w:pPr>
        <w:rPr>
          <w:szCs w:val="24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C(</w:t>
      </w:r>
      <w:proofErr w:type="spellStart"/>
      <w:r w:rsidRPr="00370BDD">
        <w:rPr>
          <w:szCs w:val="24"/>
          <w:lang w:val="es-ES_tradnl"/>
        </w:rPr>
        <w:t>Extr</w:t>
      </w:r>
      <w:proofErr w:type="spellEnd"/>
      <w:r w:rsidRPr="00370BDD">
        <w:rPr>
          <w:szCs w:val="24"/>
          <w:lang w:val="es-ES_tradnl"/>
        </w:rPr>
        <w:t>.)/32</w:t>
      </w:r>
      <w:r w:rsidRPr="00370BDD">
        <w:rPr>
          <w:szCs w:val="24"/>
          <w:lang w:val="es-ES_tradnl"/>
        </w:rPr>
        <w:tab/>
        <w:t>27 de marzo (por la tarde) (sesión extraordinaria)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C/49</w:t>
      </w:r>
      <w:r w:rsidRPr="00370BDD">
        <w:rPr>
          <w:szCs w:val="24"/>
          <w:lang w:val="es-ES_tradnl"/>
        </w:rPr>
        <w:tab/>
        <w:t>15 de octubre</w:t>
      </w: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lang w:val="es-ES_tradnl"/>
        </w:rPr>
      </w:pPr>
      <w:r w:rsidRPr="00370BDD">
        <w:rPr>
          <w:szCs w:val="24"/>
          <w:u w:val="single"/>
          <w:lang w:val="es-ES_tradnl"/>
        </w:rPr>
        <w:t>Comité Consultivo</w:t>
      </w:r>
    </w:p>
    <w:p w:rsidR="00F01D49" w:rsidRPr="00370BDD" w:rsidRDefault="00F01D49" w:rsidP="00F01D49">
      <w:pPr>
        <w:rPr>
          <w:szCs w:val="24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CC/89</w:t>
      </w:r>
      <w:r w:rsidRPr="00370BDD">
        <w:rPr>
          <w:szCs w:val="24"/>
          <w:lang w:val="es-ES_tradnl"/>
        </w:rPr>
        <w:tab/>
        <w:t>27 de marzo (por la mañana)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CC/90</w:t>
      </w:r>
      <w:r w:rsidRPr="00370BDD">
        <w:rPr>
          <w:szCs w:val="24"/>
          <w:lang w:val="es-ES_tradnl"/>
        </w:rPr>
        <w:tab/>
        <w:t>14 de octubre</w:t>
      </w: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lang w:val="es-ES_tradnl"/>
        </w:rPr>
      </w:pPr>
      <w:r w:rsidRPr="00370BDD">
        <w:rPr>
          <w:szCs w:val="24"/>
          <w:u w:val="single"/>
          <w:lang w:val="es-ES_tradnl"/>
        </w:rPr>
        <w:t>Comité Administrativo y Jurídico</w:t>
      </w:r>
    </w:p>
    <w:p w:rsidR="00F01D49" w:rsidRPr="00370BDD" w:rsidRDefault="00F01D49" w:rsidP="00F01D49">
      <w:pPr>
        <w:rPr>
          <w:szCs w:val="24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CAJ/71</w:t>
      </w:r>
      <w:r w:rsidRPr="00370BDD">
        <w:rPr>
          <w:szCs w:val="24"/>
          <w:lang w:val="es-ES_tradnl"/>
        </w:rPr>
        <w:tab/>
        <w:t>26 de marzo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CAJ/72</w:t>
      </w:r>
      <w:r w:rsidRPr="00370BDD">
        <w:rPr>
          <w:szCs w:val="24"/>
          <w:lang w:val="es-ES_tradnl"/>
        </w:rPr>
        <w:tab/>
        <w:t>12 y 13 de octubre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</w:r>
      <w:r w:rsidRPr="00370BDD">
        <w:rPr>
          <w:szCs w:val="24"/>
          <w:lang w:val="es-ES_tradnl"/>
        </w:rPr>
        <w:tab/>
        <w:t>(Grupo Asesor del Comité Administrativo y Jurídico:  16 de octubre)</w:t>
      </w: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lang w:val="es-ES_tradnl"/>
        </w:rPr>
      </w:pPr>
    </w:p>
    <w:p w:rsidR="00F01D49" w:rsidRPr="00370BDD" w:rsidRDefault="00F01D49" w:rsidP="00F01D49">
      <w:pPr>
        <w:rPr>
          <w:szCs w:val="24"/>
          <w:u w:val="single"/>
          <w:lang w:val="es-ES_tradnl"/>
        </w:rPr>
      </w:pPr>
      <w:r w:rsidRPr="00370BDD">
        <w:rPr>
          <w:szCs w:val="24"/>
          <w:u w:val="single"/>
          <w:lang w:val="es-ES_tradnl"/>
        </w:rPr>
        <w:t>Comité Técnico</w:t>
      </w:r>
    </w:p>
    <w:p w:rsidR="00F01D49" w:rsidRPr="00370BDD" w:rsidRDefault="00F01D49" w:rsidP="00F01D49">
      <w:pPr>
        <w:rPr>
          <w:szCs w:val="24"/>
          <w:u w:val="single"/>
          <w:lang w:val="es-ES_tradnl"/>
        </w:rPr>
      </w:pP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szCs w:val="24"/>
          <w:lang w:val="es-ES_tradnl"/>
        </w:rPr>
        <w:tab/>
        <w:t>TC/51</w:t>
      </w:r>
      <w:r w:rsidRPr="00370BDD">
        <w:rPr>
          <w:szCs w:val="24"/>
          <w:lang w:val="es-ES_tradnl"/>
        </w:rPr>
        <w:tab/>
        <w:t>23 a 25 de marzo</w:t>
      </w:r>
    </w:p>
    <w:p w:rsidR="00F01D49" w:rsidRPr="00370BDD" w:rsidRDefault="00F01D49" w:rsidP="00F01D49">
      <w:pPr>
        <w:tabs>
          <w:tab w:val="left" w:pos="567"/>
        </w:tabs>
        <w:ind w:left="1843" w:hanging="1843"/>
        <w:rPr>
          <w:szCs w:val="24"/>
          <w:lang w:val="es-ES_tradnl"/>
        </w:rPr>
      </w:pPr>
      <w:r w:rsidRPr="00370BDD">
        <w:rPr>
          <w:b/>
          <w:szCs w:val="24"/>
          <w:lang w:val="es-ES_tradnl"/>
        </w:rPr>
        <w:tab/>
      </w:r>
      <w:r w:rsidRPr="00370BDD">
        <w:rPr>
          <w:b/>
          <w:szCs w:val="24"/>
          <w:lang w:val="es-ES_tradnl"/>
        </w:rPr>
        <w:tab/>
      </w:r>
      <w:r w:rsidRPr="00370BDD">
        <w:rPr>
          <w:szCs w:val="24"/>
          <w:lang w:val="es-ES_tradnl"/>
        </w:rPr>
        <w:t>(Comité de Redacción:  (7 y 8 de enero), 23 de marzo (por la noche), 24 de marzo (por la noche))</w:t>
      </w:r>
    </w:p>
    <w:p w:rsidR="00F01D49" w:rsidRPr="00370BDD" w:rsidRDefault="00F01D49" w:rsidP="00F01D49">
      <w:pPr>
        <w:rPr>
          <w:lang w:val="es-ES_tradnl"/>
        </w:rPr>
      </w:pPr>
    </w:p>
    <w:p w:rsidR="00F01D49" w:rsidRPr="00370BDD" w:rsidRDefault="00F01D49" w:rsidP="00F01D49">
      <w:pPr>
        <w:rPr>
          <w:lang w:val="es-ES_tradnl"/>
        </w:rPr>
      </w:pPr>
    </w:p>
    <w:p w:rsidR="00F01D49" w:rsidRPr="00370BDD" w:rsidRDefault="00F01D49" w:rsidP="00F01D49">
      <w:pPr>
        <w:tabs>
          <w:tab w:val="left" w:pos="1843"/>
        </w:tabs>
        <w:ind w:left="567" w:hanging="567"/>
        <w:rPr>
          <w:rFonts w:cs="Arial"/>
          <w:u w:val="single"/>
          <w:lang w:val="es-ES_tradnl"/>
        </w:rPr>
      </w:pPr>
      <w:r w:rsidRPr="00370BDD">
        <w:rPr>
          <w:rFonts w:cs="Arial"/>
          <w:u w:val="single"/>
          <w:lang w:val="es-ES_tradnl"/>
        </w:rPr>
        <w:t>[Simposio</w:t>
      </w:r>
      <w:r w:rsidRPr="00370BDD">
        <w:rPr>
          <w:rFonts w:cs="Arial"/>
          <w:lang w:val="es-ES_tradnl"/>
        </w:rPr>
        <w:tab/>
        <w:t>Ninguno previsto de momento]</w:t>
      </w:r>
    </w:p>
    <w:p w:rsidR="00F01D49" w:rsidRPr="00370BDD" w:rsidRDefault="00F01D49" w:rsidP="00F01D49">
      <w:pPr>
        <w:rPr>
          <w:lang w:val="es-ES_tradnl"/>
        </w:rPr>
      </w:pPr>
    </w:p>
    <w:p w:rsidR="00F01D49" w:rsidRPr="00370BDD" w:rsidRDefault="00F01D49" w:rsidP="00F01D49">
      <w:pPr>
        <w:rPr>
          <w:lang w:val="es-ES_tradnl"/>
        </w:rPr>
      </w:pPr>
    </w:p>
    <w:p w:rsidR="00F01D49" w:rsidRPr="00370BDD" w:rsidRDefault="00F01D49" w:rsidP="00F01D49">
      <w:pPr>
        <w:rPr>
          <w:lang w:val="es-ES_tradnl"/>
        </w:rPr>
      </w:pPr>
    </w:p>
    <w:p w:rsidR="00F01D49" w:rsidRDefault="00F01D49" w:rsidP="003E76D3">
      <w:pPr>
        <w:tabs>
          <w:tab w:val="left" w:pos="4678"/>
        </w:tabs>
        <w:jc w:val="right"/>
        <w:rPr>
          <w:lang w:val="es-ES_tradnl"/>
        </w:rPr>
      </w:pPr>
      <w:r w:rsidRPr="00370BDD">
        <w:rPr>
          <w:lang w:val="es-ES_tradnl"/>
        </w:rPr>
        <w:t>[Fin del Anexo III y del documento]</w:t>
      </w:r>
    </w:p>
    <w:p w:rsidR="003E76D3" w:rsidRPr="00F01D49" w:rsidRDefault="003E76D3" w:rsidP="003E76D3">
      <w:pPr>
        <w:tabs>
          <w:tab w:val="left" w:pos="4678"/>
        </w:tabs>
        <w:jc w:val="right"/>
        <w:rPr>
          <w:lang w:val="es-ES_tradnl"/>
        </w:rPr>
      </w:pPr>
    </w:p>
    <w:sectPr w:rsidR="003E76D3" w:rsidRPr="00F01D49" w:rsidSect="00906DDC">
      <w:headerReference w:type="defaul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F6" w:rsidRDefault="008641F6" w:rsidP="00F45372">
      <w:r>
        <w:separator/>
      </w:r>
    </w:p>
    <w:p w:rsidR="008641F6" w:rsidRDefault="008641F6" w:rsidP="00F45372"/>
    <w:p w:rsidR="008641F6" w:rsidRDefault="008641F6" w:rsidP="00F45372"/>
  </w:endnote>
  <w:endnote w:type="continuationSeparator" w:id="0">
    <w:p w:rsidR="008641F6" w:rsidRDefault="008641F6" w:rsidP="00F45372">
      <w:r>
        <w:separator/>
      </w:r>
    </w:p>
    <w:p w:rsidR="008641F6" w:rsidRPr="00B108A6" w:rsidRDefault="008641F6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8641F6" w:rsidRPr="00B108A6" w:rsidRDefault="008641F6" w:rsidP="00F45372">
      <w:pPr>
        <w:rPr>
          <w:lang w:val="fr-FR"/>
        </w:rPr>
      </w:pPr>
    </w:p>
    <w:p w:rsidR="008641F6" w:rsidRPr="00B108A6" w:rsidRDefault="008641F6" w:rsidP="00F45372">
      <w:pPr>
        <w:rPr>
          <w:lang w:val="fr-FR"/>
        </w:rPr>
      </w:pPr>
    </w:p>
  </w:endnote>
  <w:endnote w:type="continuationNotice" w:id="1">
    <w:p w:rsidR="008641F6" w:rsidRPr="00B108A6" w:rsidRDefault="008641F6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8641F6" w:rsidRPr="00B108A6" w:rsidRDefault="008641F6" w:rsidP="00F45372">
      <w:pPr>
        <w:rPr>
          <w:lang w:val="fr-FR"/>
        </w:rPr>
      </w:pPr>
    </w:p>
    <w:p w:rsidR="008641F6" w:rsidRPr="00B108A6" w:rsidRDefault="008641F6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D" w:rsidRPr="00D44C7C" w:rsidRDefault="006B13AD" w:rsidP="00F01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D" w:rsidRPr="009A318A" w:rsidRDefault="006B13AD" w:rsidP="009A3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F6" w:rsidRDefault="008641F6" w:rsidP="00181E4B">
      <w:r>
        <w:separator/>
      </w:r>
    </w:p>
  </w:footnote>
  <w:footnote w:type="continuationSeparator" w:id="0">
    <w:p w:rsidR="008641F6" w:rsidRDefault="008641F6" w:rsidP="00F45372">
      <w:r>
        <w:separator/>
      </w:r>
    </w:p>
  </w:footnote>
  <w:footnote w:type="continuationNotice" w:id="1">
    <w:p w:rsidR="008641F6" w:rsidRPr="00721353" w:rsidRDefault="008641F6" w:rsidP="00721353">
      <w:pPr>
        <w:pStyle w:val="Footer"/>
      </w:pPr>
    </w:p>
  </w:footnote>
  <w:footnote w:id="2">
    <w:p w:rsidR="0065453E" w:rsidRPr="0050520F" w:rsidRDefault="0065453E" w:rsidP="00181E4B">
      <w:pPr>
        <w:pStyle w:val="FootnoteText"/>
        <w:rPr>
          <w:lang w:val="es-ES_tradnl"/>
        </w:rPr>
      </w:pPr>
      <w:r w:rsidRPr="0050520F">
        <w:rPr>
          <w:rStyle w:val="FootnoteReference"/>
          <w:lang w:val="es-ES_tradnl"/>
        </w:rPr>
        <w:footnoteRef/>
      </w:r>
      <w:r w:rsidRPr="0050520F">
        <w:rPr>
          <w:lang w:val="es-ES_tradnl"/>
        </w:rPr>
        <w:tab/>
      </w:r>
      <w:r w:rsidR="003D6327" w:rsidRPr="0050520F">
        <w:rPr>
          <w:lang w:val="es-ES_tradnl"/>
        </w:rPr>
        <w:t xml:space="preserve">Un taller conjunto </w:t>
      </w:r>
      <w:r w:rsidR="00FE6DB3">
        <w:rPr>
          <w:lang w:val="es-ES_tradnl"/>
        </w:rPr>
        <w:t xml:space="preserve">de la UPOV, </w:t>
      </w:r>
      <w:r w:rsidR="003D6327" w:rsidRPr="0050520F">
        <w:rPr>
          <w:lang w:val="es-ES_tradnl"/>
        </w:rPr>
        <w:t xml:space="preserve">la Asociación Internacional para el Ensayo de Semillas (ISTA) y la </w:t>
      </w:r>
      <w:r w:rsidR="003D6327" w:rsidRPr="0050520F">
        <w:rPr>
          <w:color w:val="000000"/>
          <w:lang w:val="es-ES_tradnl"/>
        </w:rPr>
        <w:t>Organización de Cooperación y de Desarrollo Económicos (OCDE)</w:t>
      </w:r>
      <w:r w:rsidR="003D6327" w:rsidRPr="0050520F">
        <w:rPr>
          <w:lang w:val="es-ES_tradnl"/>
        </w:rPr>
        <w:t xml:space="preserve"> </w:t>
      </w:r>
      <w:proofErr w:type="spellStart"/>
      <w:r w:rsidR="00FE6DB3" w:rsidRPr="00D10866">
        <w:rPr>
          <w:color w:val="000000"/>
        </w:rPr>
        <w:t>sobre</w:t>
      </w:r>
      <w:proofErr w:type="spellEnd"/>
      <w:r w:rsidR="00FE6DB3" w:rsidRPr="00D10866">
        <w:rPr>
          <w:color w:val="000000"/>
        </w:rPr>
        <w:t xml:space="preserve"> </w:t>
      </w:r>
      <w:proofErr w:type="spellStart"/>
      <w:r w:rsidR="00FE6DB3" w:rsidRPr="00D10866">
        <w:rPr>
          <w:color w:val="000000"/>
        </w:rPr>
        <w:t>técnicas</w:t>
      </w:r>
      <w:proofErr w:type="spellEnd"/>
      <w:r w:rsidR="00FE6DB3" w:rsidRPr="00D10866">
        <w:rPr>
          <w:color w:val="000000"/>
        </w:rPr>
        <w:t xml:space="preserve"> </w:t>
      </w:r>
      <w:proofErr w:type="spellStart"/>
      <w:r w:rsidR="00FE6DB3" w:rsidRPr="00D10866">
        <w:rPr>
          <w:color w:val="000000"/>
        </w:rPr>
        <w:t>moleculares</w:t>
      </w:r>
      <w:proofErr w:type="spellEnd"/>
      <w:r w:rsidR="00FE6DB3" w:rsidRPr="0050520F">
        <w:rPr>
          <w:lang w:val="es-ES_tradnl"/>
        </w:rPr>
        <w:t xml:space="preserve"> </w:t>
      </w:r>
      <w:r w:rsidR="003D6327" w:rsidRPr="0050520F">
        <w:rPr>
          <w:lang w:val="es-ES_tradnl"/>
        </w:rPr>
        <w:t>tendrá lugar el 12 de noviembre de 2014 (véase los documentos CAJ/69/4 y TC/50/13)</w:t>
      </w:r>
      <w:r w:rsidR="003D6327" w:rsidRPr="0050520F">
        <w:rPr>
          <w:color w:val="000000"/>
          <w:lang w:val="es-ES_tradnl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D" w:rsidRPr="00C5280D" w:rsidRDefault="006B13AD" w:rsidP="00F01D49">
    <w:pPr>
      <w:pStyle w:val="Header"/>
      <w:rPr>
        <w:rStyle w:val="PageNumber"/>
        <w:lang w:val="en-US"/>
      </w:rPr>
    </w:pPr>
    <w:r w:rsidRPr="005B711A">
      <w:rPr>
        <w:rStyle w:val="PageNumber"/>
        <w:color w:val="008080"/>
        <w:lang w:val="es-ES_tradnl"/>
      </w:rPr>
      <w:t>C.47 8.</w:t>
    </w:r>
  </w:p>
  <w:p w:rsidR="006B13AD" w:rsidRPr="00C5280D" w:rsidRDefault="006B13AD" w:rsidP="00F01D49">
    <w:pPr>
      <w:pStyle w:val="Header"/>
      <w:rPr>
        <w:lang w:val="en-US"/>
      </w:rPr>
    </w:pPr>
    <w:r w:rsidRPr="005B711A">
      <w:rPr>
        <w:color w:val="008080"/>
        <w:lang w:val="es-ES_tradnl"/>
      </w:rPr>
      <w:t>Página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0CB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B13AD" w:rsidRPr="00C5280D" w:rsidRDefault="006B13AD" w:rsidP="00F01D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D" w:rsidRPr="00FE6DB3" w:rsidRDefault="00D676E6" w:rsidP="00FE6DB3">
    <w:pPr>
      <w:jc w:val="center"/>
      <w:rPr>
        <w:rStyle w:val="PageNumber"/>
      </w:rPr>
    </w:pPr>
    <w:r w:rsidRPr="00FE6DB3">
      <w:rPr>
        <w:rStyle w:val="PageNumber"/>
        <w:lang w:val="es-ES_tradnl"/>
      </w:rPr>
      <w:t xml:space="preserve">C/47/8 </w:t>
    </w:r>
    <w:r w:rsidR="00922EB1">
      <w:rPr>
        <w:rStyle w:val="PageNumber"/>
        <w:lang w:val="es-ES_tradnl"/>
      </w:rPr>
      <w:t>Rev.3</w:t>
    </w:r>
  </w:p>
  <w:p w:rsidR="006B13AD" w:rsidRPr="00FE6DB3" w:rsidRDefault="006B13AD" w:rsidP="00FE6DB3">
    <w:pPr>
      <w:jc w:val="center"/>
    </w:pPr>
    <w:proofErr w:type="gramStart"/>
    <w:r w:rsidRPr="00FE6DB3">
      <w:rPr>
        <w:lang w:val="es-ES_tradnl"/>
      </w:rPr>
      <w:t>página</w:t>
    </w:r>
    <w:proofErr w:type="gramEnd"/>
    <w:r w:rsidRPr="00FE6DB3">
      <w:t xml:space="preserve"> </w:t>
    </w:r>
    <w:r w:rsidRPr="00FE6DB3">
      <w:rPr>
        <w:rStyle w:val="PageNumber"/>
      </w:rPr>
      <w:fldChar w:fldCharType="begin"/>
    </w:r>
    <w:r w:rsidRPr="00FE6DB3">
      <w:rPr>
        <w:rStyle w:val="PageNumber"/>
      </w:rPr>
      <w:instrText xml:space="preserve"> PAGE </w:instrText>
    </w:r>
    <w:r w:rsidRPr="00FE6DB3">
      <w:rPr>
        <w:rStyle w:val="PageNumber"/>
      </w:rPr>
      <w:fldChar w:fldCharType="separate"/>
    </w:r>
    <w:r w:rsidR="00F40CBD">
      <w:rPr>
        <w:rStyle w:val="PageNumber"/>
        <w:noProof/>
      </w:rPr>
      <w:t>2</w:t>
    </w:r>
    <w:r w:rsidRPr="00FE6DB3">
      <w:rPr>
        <w:rStyle w:val="PageNumber"/>
      </w:rPr>
      <w:fldChar w:fldCharType="end"/>
    </w:r>
  </w:p>
  <w:p w:rsidR="006B13AD" w:rsidRPr="00FE6DB3" w:rsidRDefault="006B13AD" w:rsidP="00FE6DB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AD" w:rsidRPr="008D3729" w:rsidRDefault="006B13AD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C/47/</w:t>
    </w:r>
  </w:p>
  <w:p w:rsidR="006B13AD" w:rsidRPr="008D3729" w:rsidRDefault="006B13AD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F40CBD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6B13AD" w:rsidRPr="008D3729" w:rsidRDefault="006B13AD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8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488B"/>
    <w:rsid w:val="000D6BBC"/>
    <w:rsid w:val="000D7780"/>
    <w:rsid w:val="00105929"/>
    <w:rsid w:val="001131D5"/>
    <w:rsid w:val="0013420D"/>
    <w:rsid w:val="00141DB8"/>
    <w:rsid w:val="00142198"/>
    <w:rsid w:val="0017474A"/>
    <w:rsid w:val="001758C6"/>
    <w:rsid w:val="00181E4B"/>
    <w:rsid w:val="00196922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81C18"/>
    <w:rsid w:val="002940E8"/>
    <w:rsid w:val="00294B0F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0BDD"/>
    <w:rsid w:val="00373109"/>
    <w:rsid w:val="003D227C"/>
    <w:rsid w:val="003D2B4D"/>
    <w:rsid w:val="003D6327"/>
    <w:rsid w:val="003D7E71"/>
    <w:rsid w:val="003E76D3"/>
    <w:rsid w:val="004147E2"/>
    <w:rsid w:val="004157BC"/>
    <w:rsid w:val="00444A88"/>
    <w:rsid w:val="004553BD"/>
    <w:rsid w:val="00474DA4"/>
    <w:rsid w:val="004920C7"/>
    <w:rsid w:val="004D047D"/>
    <w:rsid w:val="004F305A"/>
    <w:rsid w:val="0050520F"/>
    <w:rsid w:val="00512164"/>
    <w:rsid w:val="00520297"/>
    <w:rsid w:val="005233B8"/>
    <w:rsid w:val="005338F9"/>
    <w:rsid w:val="0054281C"/>
    <w:rsid w:val="0055268D"/>
    <w:rsid w:val="00560291"/>
    <w:rsid w:val="00576BE4"/>
    <w:rsid w:val="00576BF0"/>
    <w:rsid w:val="005A400A"/>
    <w:rsid w:val="005C2F96"/>
    <w:rsid w:val="005D35B5"/>
    <w:rsid w:val="00612379"/>
    <w:rsid w:val="0061555F"/>
    <w:rsid w:val="00625EB4"/>
    <w:rsid w:val="00641200"/>
    <w:rsid w:val="0065453E"/>
    <w:rsid w:val="006839AC"/>
    <w:rsid w:val="00685BB5"/>
    <w:rsid w:val="00687EB4"/>
    <w:rsid w:val="006A59FA"/>
    <w:rsid w:val="006B13AD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B06EE"/>
    <w:rsid w:val="007D0B9D"/>
    <w:rsid w:val="007D19B0"/>
    <w:rsid w:val="007F498F"/>
    <w:rsid w:val="0080679D"/>
    <w:rsid w:val="008108B0"/>
    <w:rsid w:val="00811B20"/>
    <w:rsid w:val="0082296E"/>
    <w:rsid w:val="00824099"/>
    <w:rsid w:val="008358CB"/>
    <w:rsid w:val="00845095"/>
    <w:rsid w:val="008641F6"/>
    <w:rsid w:val="00867AC1"/>
    <w:rsid w:val="008A743F"/>
    <w:rsid w:val="008B2CCD"/>
    <w:rsid w:val="008C0970"/>
    <w:rsid w:val="008D2CF7"/>
    <w:rsid w:val="008D3729"/>
    <w:rsid w:val="00900C26"/>
    <w:rsid w:val="0090197F"/>
    <w:rsid w:val="00906DDC"/>
    <w:rsid w:val="00922EB1"/>
    <w:rsid w:val="00927385"/>
    <w:rsid w:val="00934E09"/>
    <w:rsid w:val="00936253"/>
    <w:rsid w:val="00947A27"/>
    <w:rsid w:val="00952DD4"/>
    <w:rsid w:val="00970FED"/>
    <w:rsid w:val="00997029"/>
    <w:rsid w:val="009A318A"/>
    <w:rsid w:val="009D690D"/>
    <w:rsid w:val="009E65B6"/>
    <w:rsid w:val="00A42AC3"/>
    <w:rsid w:val="00A430CF"/>
    <w:rsid w:val="00A45702"/>
    <w:rsid w:val="00A47CDB"/>
    <w:rsid w:val="00A54309"/>
    <w:rsid w:val="00A929D4"/>
    <w:rsid w:val="00A97929"/>
    <w:rsid w:val="00AB2B93"/>
    <w:rsid w:val="00AB7E5B"/>
    <w:rsid w:val="00AC01C1"/>
    <w:rsid w:val="00AE0EF1"/>
    <w:rsid w:val="00B07301"/>
    <w:rsid w:val="00B108A6"/>
    <w:rsid w:val="00B224DE"/>
    <w:rsid w:val="00B72907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B0522"/>
    <w:rsid w:val="00CB72F0"/>
    <w:rsid w:val="00CC10E9"/>
    <w:rsid w:val="00CC11B0"/>
    <w:rsid w:val="00CD11CD"/>
    <w:rsid w:val="00CF7E36"/>
    <w:rsid w:val="00D16529"/>
    <w:rsid w:val="00D261C5"/>
    <w:rsid w:val="00D3708D"/>
    <w:rsid w:val="00D40426"/>
    <w:rsid w:val="00D57C96"/>
    <w:rsid w:val="00D63B78"/>
    <w:rsid w:val="00D676E6"/>
    <w:rsid w:val="00D769E0"/>
    <w:rsid w:val="00D90E90"/>
    <w:rsid w:val="00D91203"/>
    <w:rsid w:val="00D95174"/>
    <w:rsid w:val="00DA4685"/>
    <w:rsid w:val="00DA6F36"/>
    <w:rsid w:val="00DB596E"/>
    <w:rsid w:val="00DC00EA"/>
    <w:rsid w:val="00E54C73"/>
    <w:rsid w:val="00E72D49"/>
    <w:rsid w:val="00E7593C"/>
    <w:rsid w:val="00E7678A"/>
    <w:rsid w:val="00E80F31"/>
    <w:rsid w:val="00E81FC0"/>
    <w:rsid w:val="00E935F1"/>
    <w:rsid w:val="00E94A81"/>
    <w:rsid w:val="00EA1FFB"/>
    <w:rsid w:val="00EA5245"/>
    <w:rsid w:val="00EB048E"/>
    <w:rsid w:val="00EE34DF"/>
    <w:rsid w:val="00EF2F89"/>
    <w:rsid w:val="00F00A88"/>
    <w:rsid w:val="00F01D49"/>
    <w:rsid w:val="00F1237A"/>
    <w:rsid w:val="00F22CBD"/>
    <w:rsid w:val="00F40CBD"/>
    <w:rsid w:val="00F45372"/>
    <w:rsid w:val="00F560F7"/>
    <w:rsid w:val="00F62B01"/>
    <w:rsid w:val="00F6334D"/>
    <w:rsid w:val="00F73179"/>
    <w:rsid w:val="00FA49AB"/>
    <w:rsid w:val="00FE39C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181E4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676E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181E4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676E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515A-5370-4805-8274-49C6D0B3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678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c_47_08_33533_ES</vt:lpstr>
    </vt:vector>
  </TitlesOfParts>
  <Company>UPOV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c_47_08_33533_ES</dc:title>
  <dc:subject>Calendario de reuniones en 2014</dc:subject>
  <dc:creator>SanchezV</dc:creator>
  <dc:description>LM/vz</dc:description>
  <cp:lastModifiedBy>SANCHEZ-VIZCAINO GOMEZ Rosa Maria</cp:lastModifiedBy>
  <cp:revision>9</cp:revision>
  <cp:lastPrinted>2014-05-07T09:47:00Z</cp:lastPrinted>
  <dcterms:created xsi:type="dcterms:W3CDTF">2014-05-05T15:45:00Z</dcterms:created>
  <dcterms:modified xsi:type="dcterms:W3CDTF">2014-05-07T09:47:00Z</dcterms:modified>
</cp:coreProperties>
</file>