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20BE0" w:rsidRPr="003C2E67" w:rsidTr="000307FC">
        <w:trPr>
          <w:trHeight w:val="1760"/>
        </w:trPr>
        <w:tc>
          <w:tcPr>
            <w:tcW w:w="4243" w:type="dxa"/>
          </w:tcPr>
          <w:p w:rsidR="00E20BE0" w:rsidRPr="00B75BC6" w:rsidRDefault="00E20BE0" w:rsidP="00EF2D62">
            <w:pPr>
              <w:rPr>
                <w:lang w:val="es-ES_tradnl"/>
              </w:rPr>
            </w:pPr>
          </w:p>
        </w:tc>
        <w:tc>
          <w:tcPr>
            <w:tcW w:w="1646" w:type="dxa"/>
            <w:vAlign w:val="center"/>
          </w:tcPr>
          <w:p w:rsidR="00E20BE0" w:rsidRPr="00B75BC6" w:rsidRDefault="00E20BE0" w:rsidP="00EF2D62">
            <w:pPr>
              <w:pStyle w:val="LogoUPOV"/>
              <w:rPr>
                <w:lang w:val="es-ES_tradnl"/>
              </w:rPr>
            </w:pPr>
            <w:r w:rsidRPr="00B75BC6">
              <w:rPr>
                <w:noProof/>
              </w:rPr>
              <w:drawing>
                <wp:inline distT="0" distB="0" distL="0" distR="0" wp14:anchorId="27D4FAE0" wp14:editId="30A91AF9">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E20BE0" w:rsidRPr="00B75BC6" w:rsidRDefault="00E20BE0" w:rsidP="00EF2D62">
            <w:pPr>
              <w:pStyle w:val="Lettrine"/>
              <w:rPr>
                <w:lang w:val="es-ES_tradnl"/>
              </w:rPr>
            </w:pPr>
            <w:r w:rsidRPr="00B75BC6">
              <w:rPr>
                <w:lang w:val="es-ES_tradnl"/>
              </w:rPr>
              <w:t>S</w:t>
            </w:r>
          </w:p>
          <w:p w:rsidR="00E20BE0" w:rsidRPr="00B75BC6" w:rsidRDefault="00B131D3" w:rsidP="00EF2D62">
            <w:pPr>
              <w:pStyle w:val="Docoriginal"/>
              <w:ind w:left="952"/>
              <w:rPr>
                <w:lang w:val="es-ES_tradnl"/>
              </w:rPr>
            </w:pPr>
            <w:r>
              <w:rPr>
                <w:lang w:val="es-ES_tradnl"/>
              </w:rPr>
              <w:t>C/47/4 Rev.</w:t>
            </w:r>
          </w:p>
          <w:p w:rsidR="00E20BE0" w:rsidRPr="00B75BC6" w:rsidRDefault="00E20BE0" w:rsidP="00EF2D62">
            <w:pPr>
              <w:pStyle w:val="Docoriginal"/>
              <w:ind w:left="952"/>
              <w:rPr>
                <w:b w:val="0"/>
                <w:spacing w:val="0"/>
                <w:lang w:val="es-ES_tradnl"/>
              </w:rPr>
            </w:pPr>
            <w:r w:rsidRPr="00B75BC6">
              <w:rPr>
                <w:rStyle w:val="StyleDoclangBold"/>
                <w:b/>
                <w:bCs/>
                <w:spacing w:val="0"/>
                <w:lang w:val="es-ES_tradnl"/>
              </w:rPr>
              <w:t>ORIGINAL:</w:t>
            </w:r>
            <w:r w:rsidRPr="00B75BC6">
              <w:rPr>
                <w:rStyle w:val="StyleDocoriginalNotBold1"/>
                <w:spacing w:val="0"/>
                <w:lang w:val="es-ES_tradnl"/>
              </w:rPr>
              <w:t xml:space="preserve">  </w:t>
            </w:r>
            <w:bookmarkStart w:id="0" w:name="Original"/>
            <w:bookmarkEnd w:id="0"/>
            <w:r w:rsidRPr="00B75BC6">
              <w:rPr>
                <w:b w:val="0"/>
                <w:spacing w:val="0"/>
                <w:lang w:val="es-ES_tradnl"/>
              </w:rPr>
              <w:t>Inglés</w:t>
            </w:r>
          </w:p>
          <w:p w:rsidR="00E20BE0" w:rsidRPr="00B75BC6" w:rsidRDefault="00E20BE0" w:rsidP="00B131D3">
            <w:pPr>
              <w:pStyle w:val="Docoriginal"/>
              <w:ind w:left="952"/>
              <w:rPr>
                <w:lang w:val="es-ES_tradnl"/>
              </w:rPr>
            </w:pPr>
            <w:r w:rsidRPr="00B75BC6">
              <w:rPr>
                <w:spacing w:val="0"/>
                <w:lang w:val="es-ES_tradnl"/>
              </w:rPr>
              <w:t>FECHA:</w:t>
            </w:r>
            <w:r w:rsidRPr="00B75BC6">
              <w:rPr>
                <w:b w:val="0"/>
                <w:spacing w:val="0"/>
                <w:lang w:val="es-ES_tradnl"/>
              </w:rPr>
              <w:t xml:space="preserve"> </w:t>
            </w:r>
            <w:r w:rsidRPr="00B75BC6">
              <w:rPr>
                <w:rStyle w:val="StyleDocoriginalNotBold1"/>
                <w:spacing w:val="0"/>
                <w:lang w:val="es-ES_tradnl"/>
              </w:rPr>
              <w:t xml:space="preserve"> </w:t>
            </w:r>
            <w:bookmarkStart w:id="1" w:name="Date"/>
            <w:bookmarkEnd w:id="1"/>
            <w:r w:rsidR="00B131D3">
              <w:rPr>
                <w:rFonts w:cs="Arial"/>
                <w:b w:val="0"/>
                <w:spacing w:val="0"/>
                <w:lang w:val="es-ES_tradnl"/>
              </w:rPr>
              <w:t>24</w:t>
            </w:r>
            <w:r>
              <w:rPr>
                <w:rFonts w:cs="Arial"/>
                <w:b w:val="0"/>
                <w:spacing w:val="0"/>
                <w:lang w:val="es-ES_tradnl"/>
              </w:rPr>
              <w:t xml:space="preserve"> de </w:t>
            </w:r>
            <w:r w:rsidR="00B131D3">
              <w:rPr>
                <w:rFonts w:cs="Arial"/>
                <w:b w:val="0"/>
                <w:spacing w:val="0"/>
                <w:lang w:val="es-ES_tradnl"/>
              </w:rPr>
              <w:t xml:space="preserve">octubre </w:t>
            </w:r>
            <w:r>
              <w:rPr>
                <w:rFonts w:cs="Arial"/>
                <w:b w:val="0"/>
                <w:spacing w:val="0"/>
                <w:lang w:val="es-ES_tradnl"/>
              </w:rPr>
              <w:t>de 2013</w:t>
            </w:r>
          </w:p>
        </w:tc>
      </w:tr>
      <w:tr w:rsidR="00E20BE0" w:rsidRPr="003C2E67" w:rsidTr="000307FC">
        <w:tc>
          <w:tcPr>
            <w:tcW w:w="10131" w:type="dxa"/>
            <w:gridSpan w:val="3"/>
          </w:tcPr>
          <w:p w:rsidR="00E20BE0" w:rsidRPr="00B75BC6" w:rsidRDefault="00E20BE0" w:rsidP="00EF2D62">
            <w:pPr>
              <w:pStyle w:val="upove"/>
              <w:rPr>
                <w:sz w:val="28"/>
                <w:lang w:val="es-ES_tradnl"/>
              </w:rPr>
            </w:pPr>
            <w:r w:rsidRPr="00B75BC6">
              <w:rPr>
                <w:spacing w:val="2"/>
                <w:lang w:val="es-ES_tradnl"/>
              </w:rPr>
              <w:t>UNIÓN INTERNACIONAL PARA LA PROTECCIÓN DE LAS OBTENCIONES VEGETALES</w:t>
            </w:r>
          </w:p>
        </w:tc>
      </w:tr>
      <w:tr w:rsidR="00E20BE0" w:rsidRPr="00B75BC6" w:rsidTr="000307FC">
        <w:tc>
          <w:tcPr>
            <w:tcW w:w="10131" w:type="dxa"/>
            <w:gridSpan w:val="3"/>
          </w:tcPr>
          <w:p w:rsidR="00E20BE0" w:rsidRPr="00B75BC6" w:rsidRDefault="00E20BE0" w:rsidP="00EF2D62">
            <w:pPr>
              <w:pStyle w:val="Country"/>
              <w:rPr>
                <w:lang w:val="es-ES_tradnl"/>
              </w:rPr>
            </w:pPr>
            <w:r w:rsidRPr="00B75BC6">
              <w:rPr>
                <w:lang w:val="es-ES_tradnl"/>
              </w:rPr>
              <w:t>Ginebra</w:t>
            </w:r>
          </w:p>
        </w:tc>
      </w:tr>
    </w:tbl>
    <w:p w:rsidR="00E20BE0" w:rsidRPr="00B75BC6" w:rsidRDefault="00E20BE0" w:rsidP="00EF2D62">
      <w:pPr>
        <w:pStyle w:val="Sessiontc"/>
        <w:rPr>
          <w:lang w:val="es-ES_tradnl"/>
        </w:rPr>
      </w:pPr>
      <w:r w:rsidRPr="00B75BC6">
        <w:rPr>
          <w:lang w:val="es-ES_tradnl"/>
        </w:rPr>
        <w:t>CONSEJO</w:t>
      </w:r>
    </w:p>
    <w:p w:rsidR="00B41068" w:rsidRPr="002B0BD5" w:rsidRDefault="00B41068" w:rsidP="00EF2D62">
      <w:pPr>
        <w:pStyle w:val="Sessiontcplacedate"/>
        <w:rPr>
          <w:lang w:val="es-ES_tradnl"/>
        </w:rPr>
      </w:pPr>
      <w:bookmarkStart w:id="2" w:name="TitleOfDoc"/>
      <w:bookmarkEnd w:id="2"/>
      <w:r w:rsidRPr="002B0BD5">
        <w:rPr>
          <w:lang w:val="es-ES_tradnl"/>
        </w:rPr>
        <w:t>Cuadragésima séptima sesión ordinaria</w:t>
      </w:r>
      <w:r w:rsidRPr="002B0BD5">
        <w:rPr>
          <w:lang w:val="es-ES_tradnl"/>
        </w:rPr>
        <w:br/>
        <w:t>Ginebra, 24 de octubre de 2013</w:t>
      </w:r>
    </w:p>
    <w:p w:rsidR="00FF5D3C" w:rsidRPr="002B0BD5" w:rsidRDefault="00B41068" w:rsidP="00EF2D62">
      <w:pPr>
        <w:pStyle w:val="Titleofdoc0"/>
        <w:rPr>
          <w:lang w:val="es-ES_tradnl"/>
        </w:rPr>
      </w:pPr>
      <w:r w:rsidRPr="002B0BD5">
        <w:rPr>
          <w:lang w:val="es-ES_tradnl"/>
        </w:rPr>
        <w:t>programa y presupuesto para el bienio 2014-2015</w:t>
      </w:r>
    </w:p>
    <w:p w:rsidR="00FF5D3C" w:rsidRPr="00B131D3" w:rsidRDefault="00B131D3" w:rsidP="00EF2D62">
      <w:pPr>
        <w:pStyle w:val="preparedby1"/>
        <w:rPr>
          <w:lang w:val="es-ES_tradnl"/>
        </w:rPr>
      </w:pPr>
      <w:bookmarkStart w:id="3" w:name="Prepared"/>
      <w:bookmarkEnd w:id="3"/>
      <w:proofErr w:type="gramStart"/>
      <w:r w:rsidRPr="00B131D3">
        <w:rPr>
          <w:lang w:val="es-ES_tradnl"/>
        </w:rPr>
        <w:t>aprobado</w:t>
      </w:r>
      <w:proofErr w:type="gramEnd"/>
      <w:r w:rsidRPr="00B131D3">
        <w:rPr>
          <w:lang w:val="es-ES_tradnl"/>
        </w:rPr>
        <w:t xml:space="preserve"> por el Consejo</w:t>
      </w:r>
    </w:p>
    <w:p w:rsidR="00B131D3" w:rsidRPr="00B131D3" w:rsidRDefault="009F3219" w:rsidP="00B131D3">
      <w:pPr>
        <w:rPr>
          <w:rFonts w:cs="Arial"/>
          <w:lang w:val="es-ES_tradnl"/>
        </w:rPr>
      </w:pPr>
      <w:r w:rsidRPr="002B0BD5">
        <w:rPr>
          <w:rFonts w:cs="Arial"/>
          <w:lang w:val="es-ES_tradnl"/>
        </w:rPr>
        <w:fldChar w:fldCharType="begin"/>
      </w:r>
      <w:r w:rsidR="00B41068" w:rsidRPr="002B0BD5">
        <w:rPr>
          <w:rFonts w:cs="Arial"/>
          <w:lang w:val="es-ES_tradnl"/>
        </w:rPr>
        <w:instrText xml:space="preserve"> AUTONUM  </w:instrText>
      </w:r>
      <w:r w:rsidRPr="002B0BD5">
        <w:rPr>
          <w:rFonts w:cs="Arial"/>
          <w:lang w:val="es-ES_tradnl"/>
        </w:rPr>
        <w:fldChar w:fldCharType="end"/>
      </w:r>
      <w:r w:rsidR="00B41068" w:rsidRPr="002B0BD5">
        <w:rPr>
          <w:rFonts w:cs="Arial"/>
          <w:lang w:val="es-ES_tradnl"/>
        </w:rPr>
        <w:tab/>
      </w:r>
      <w:r w:rsidR="00B131D3" w:rsidRPr="00B131D3">
        <w:rPr>
          <w:rFonts w:cs="Arial"/>
          <w:lang w:val="es-ES_tradnl"/>
        </w:rPr>
        <w:t xml:space="preserve">En su cuadragésima </w:t>
      </w:r>
      <w:r w:rsidR="00B131D3">
        <w:rPr>
          <w:rFonts w:cs="Arial"/>
          <w:lang w:val="es-ES_tradnl"/>
        </w:rPr>
        <w:t xml:space="preserve">séptima </w:t>
      </w:r>
      <w:r w:rsidR="00B131D3" w:rsidRPr="00B131D3">
        <w:rPr>
          <w:rFonts w:cs="Arial"/>
          <w:lang w:val="es-ES_tradnl"/>
        </w:rPr>
        <w:t>sesión ordinaria, celebrada en Ginebra, el 2</w:t>
      </w:r>
      <w:r w:rsidR="00B131D3">
        <w:rPr>
          <w:rFonts w:cs="Arial"/>
          <w:lang w:val="es-ES_tradnl"/>
        </w:rPr>
        <w:t>4</w:t>
      </w:r>
      <w:r w:rsidR="00B131D3" w:rsidRPr="00B131D3">
        <w:rPr>
          <w:rFonts w:cs="Arial"/>
          <w:lang w:val="es-ES_tradnl"/>
        </w:rPr>
        <w:t xml:space="preserve"> de octubre</w:t>
      </w:r>
      <w:r w:rsidR="00B131D3">
        <w:rPr>
          <w:rFonts w:cs="Arial"/>
          <w:lang w:val="es-ES_tradnl"/>
        </w:rPr>
        <w:t xml:space="preserve"> de 2013, el </w:t>
      </w:r>
      <w:r w:rsidR="00B131D3" w:rsidRPr="00B131D3">
        <w:rPr>
          <w:rFonts w:cs="Arial"/>
          <w:lang w:val="es-ES_tradnl"/>
        </w:rPr>
        <w:t>Consejo aprobó las propuestas contenidas en el proyecto de Programa y</w:t>
      </w:r>
      <w:r w:rsidR="00B131D3">
        <w:rPr>
          <w:rFonts w:cs="Arial"/>
          <w:lang w:val="es-ES_tradnl"/>
        </w:rPr>
        <w:t xml:space="preserve"> </w:t>
      </w:r>
      <w:r w:rsidR="00A8001C">
        <w:rPr>
          <w:rFonts w:cs="Arial"/>
          <w:lang w:val="es-ES_tradnl"/>
        </w:rPr>
        <w:t>Presupuesto para el bienio </w:t>
      </w:r>
      <w:bookmarkStart w:id="4" w:name="_GoBack"/>
      <w:bookmarkEnd w:id="4"/>
      <w:r w:rsidR="00B131D3" w:rsidRPr="00B131D3">
        <w:rPr>
          <w:rFonts w:cs="Arial"/>
          <w:lang w:val="es-ES_tradnl"/>
        </w:rPr>
        <w:t>201</w:t>
      </w:r>
      <w:r w:rsidR="00B131D3">
        <w:rPr>
          <w:rFonts w:cs="Arial"/>
          <w:lang w:val="es-ES_tradnl"/>
        </w:rPr>
        <w:t>4</w:t>
      </w:r>
      <w:r w:rsidR="00B131D3" w:rsidRPr="00B131D3">
        <w:rPr>
          <w:rFonts w:cs="Arial"/>
          <w:lang w:val="es-ES_tradnl"/>
        </w:rPr>
        <w:t>-201</w:t>
      </w:r>
      <w:r w:rsidR="00B131D3">
        <w:rPr>
          <w:rFonts w:cs="Arial"/>
          <w:lang w:val="es-ES_tradnl"/>
        </w:rPr>
        <w:t>5</w:t>
      </w:r>
      <w:r w:rsidR="00B131D3" w:rsidRPr="00B131D3">
        <w:rPr>
          <w:rFonts w:cs="Arial"/>
          <w:lang w:val="es-ES_tradnl"/>
        </w:rPr>
        <w:t xml:space="preserve"> que figuran en el documento C/4</w:t>
      </w:r>
      <w:r w:rsidR="00B131D3">
        <w:rPr>
          <w:rFonts w:cs="Arial"/>
          <w:lang w:val="es-ES_tradnl"/>
        </w:rPr>
        <w:t>7</w:t>
      </w:r>
      <w:r w:rsidR="00B131D3" w:rsidRPr="00B131D3">
        <w:rPr>
          <w:rFonts w:cs="Arial"/>
          <w:lang w:val="es-ES_tradnl"/>
        </w:rPr>
        <w:t>/4, incluido el</w:t>
      </w:r>
      <w:r w:rsidR="00B131D3">
        <w:rPr>
          <w:rFonts w:cs="Arial"/>
          <w:lang w:val="es-ES_tradnl"/>
        </w:rPr>
        <w:t xml:space="preserve"> </w:t>
      </w:r>
      <w:r w:rsidR="00B131D3" w:rsidRPr="00B131D3">
        <w:rPr>
          <w:rFonts w:cs="Arial"/>
          <w:lang w:val="es-ES_tradnl"/>
        </w:rPr>
        <w:t>importe de las contribuciones de los miembros de la Unión, el tope máximo propuesto de</w:t>
      </w:r>
      <w:r w:rsidR="00B131D3">
        <w:rPr>
          <w:rFonts w:cs="Arial"/>
          <w:lang w:val="es-ES_tradnl"/>
        </w:rPr>
        <w:t xml:space="preserve"> </w:t>
      </w:r>
      <w:r w:rsidR="00B131D3" w:rsidRPr="00B131D3">
        <w:rPr>
          <w:rFonts w:cs="Arial"/>
          <w:lang w:val="es-ES_tradnl"/>
        </w:rPr>
        <w:t>gastos del presupuesto ordinario y el número total de puestos para la Oficina de la Unión.</w:t>
      </w:r>
    </w:p>
    <w:p w:rsidR="00B131D3" w:rsidRDefault="00B131D3" w:rsidP="00B131D3">
      <w:pPr>
        <w:rPr>
          <w:rFonts w:cs="Arial"/>
          <w:lang w:val="es-ES_tradnl"/>
        </w:rPr>
      </w:pPr>
    </w:p>
    <w:p w:rsidR="00B131D3" w:rsidRDefault="00B131D3" w:rsidP="00B131D3">
      <w:pPr>
        <w:rPr>
          <w:rFonts w:cs="Arial"/>
          <w:lang w:val="es-ES_tradnl"/>
        </w:rPr>
      </w:pPr>
      <w:r w:rsidRPr="002B0BD5">
        <w:rPr>
          <w:rFonts w:cs="Arial"/>
          <w:lang w:val="es-ES_tradnl"/>
        </w:rPr>
        <w:fldChar w:fldCharType="begin"/>
      </w:r>
      <w:r w:rsidRPr="002B0BD5">
        <w:rPr>
          <w:rFonts w:cs="Arial"/>
          <w:lang w:val="es-ES_tradnl"/>
        </w:rPr>
        <w:instrText xml:space="preserve"> AUTONUM  </w:instrText>
      </w:r>
      <w:r w:rsidRPr="002B0BD5">
        <w:rPr>
          <w:rFonts w:cs="Arial"/>
          <w:lang w:val="es-ES_tradnl"/>
        </w:rPr>
        <w:fldChar w:fldCharType="end"/>
      </w:r>
      <w:r w:rsidRPr="002B0BD5">
        <w:rPr>
          <w:rFonts w:cs="Arial"/>
          <w:lang w:val="es-ES_tradnl"/>
        </w:rPr>
        <w:tab/>
      </w:r>
      <w:r w:rsidRPr="00B131D3">
        <w:rPr>
          <w:rFonts w:cs="Arial"/>
          <w:lang w:val="es-ES_tradnl"/>
        </w:rPr>
        <w:t xml:space="preserve">El </w:t>
      </w:r>
      <w:r>
        <w:rPr>
          <w:rFonts w:cs="Arial"/>
          <w:lang w:val="es-ES_tradnl"/>
        </w:rPr>
        <w:t xml:space="preserve">Anexo del </w:t>
      </w:r>
      <w:r w:rsidRPr="00B131D3">
        <w:rPr>
          <w:rFonts w:cs="Arial"/>
          <w:lang w:val="es-ES_tradnl"/>
        </w:rPr>
        <w:t>presente documento contiene el Programa y Presupuesto para el bienio 201</w:t>
      </w:r>
      <w:r>
        <w:rPr>
          <w:rFonts w:cs="Arial"/>
          <w:lang w:val="es-ES_tradnl"/>
        </w:rPr>
        <w:t>4</w:t>
      </w:r>
      <w:r w:rsidRPr="00B131D3">
        <w:rPr>
          <w:rFonts w:cs="Arial"/>
          <w:lang w:val="es-ES_tradnl"/>
        </w:rPr>
        <w:t>-201</w:t>
      </w:r>
      <w:r>
        <w:rPr>
          <w:rFonts w:cs="Arial"/>
          <w:lang w:val="es-ES_tradnl"/>
        </w:rPr>
        <w:t>5</w:t>
      </w:r>
      <w:r w:rsidRPr="00B131D3">
        <w:rPr>
          <w:rFonts w:cs="Arial"/>
          <w:lang w:val="es-ES_tradnl"/>
        </w:rPr>
        <w:t>,</w:t>
      </w:r>
      <w:r>
        <w:rPr>
          <w:rFonts w:cs="Arial"/>
          <w:lang w:val="es-ES_tradnl"/>
        </w:rPr>
        <w:t xml:space="preserve"> tal </w:t>
      </w:r>
      <w:r w:rsidRPr="00B131D3">
        <w:rPr>
          <w:rFonts w:cs="Arial"/>
          <w:lang w:val="es-ES_tradnl"/>
        </w:rPr>
        <w:t>como fue aprobado por el Consejo.</w:t>
      </w:r>
    </w:p>
    <w:p w:rsidR="00FF5D3C" w:rsidRPr="002B0BD5" w:rsidRDefault="00FF5D3C" w:rsidP="00EF2D62">
      <w:pPr>
        <w:pStyle w:val="endofdoc"/>
        <w:widowControl/>
        <w:rPr>
          <w:lang w:val="es-ES_tradnl"/>
        </w:rPr>
      </w:pPr>
      <w:r w:rsidRPr="002B0BD5">
        <w:rPr>
          <w:lang w:val="es-ES_tradnl"/>
        </w:rPr>
        <w:t>[Sigue el Anexo]</w:t>
      </w:r>
    </w:p>
    <w:p w:rsidR="00421639" w:rsidRPr="002B0BD5" w:rsidRDefault="00421639" w:rsidP="00EF2D62">
      <w:pPr>
        <w:rPr>
          <w:rFonts w:cs="Arial"/>
          <w:lang w:val="es-ES_tradnl"/>
        </w:rPr>
        <w:sectPr w:rsidR="00421639" w:rsidRPr="002B0BD5" w:rsidSect="00906DDC">
          <w:headerReference w:type="default" r:id="rId10"/>
          <w:pgSz w:w="11907" w:h="16840" w:code="9"/>
          <w:pgMar w:top="510" w:right="1134" w:bottom="1134" w:left="1134" w:header="510" w:footer="680" w:gutter="0"/>
          <w:cols w:space="720"/>
          <w:titlePg/>
        </w:sectPr>
      </w:pPr>
    </w:p>
    <w:p w:rsidR="00FF5D3C" w:rsidRPr="002B0BD5" w:rsidRDefault="00B41068" w:rsidP="00EF2D62">
      <w:pPr>
        <w:jc w:val="center"/>
        <w:rPr>
          <w:rFonts w:cs="Arial"/>
          <w:lang w:val="es-ES_tradnl"/>
        </w:rPr>
      </w:pPr>
      <w:r w:rsidRPr="000F652A">
        <w:rPr>
          <w:rFonts w:cs="Arial"/>
          <w:lang w:val="es-ES_tradnl"/>
        </w:rPr>
        <w:lastRenderedPageBreak/>
        <w:t>PROGRAMA Y PRESUPUESTO PARA EL BIENIO 2014-2015</w:t>
      </w:r>
    </w:p>
    <w:p w:rsidR="00FF5D3C" w:rsidRDefault="00FF5D3C" w:rsidP="00EF2D62">
      <w:pPr>
        <w:jc w:val="center"/>
        <w:rPr>
          <w:rFonts w:cs="Arial"/>
          <w:lang w:val="es-ES_tradnl"/>
        </w:rPr>
      </w:pPr>
    </w:p>
    <w:p w:rsidR="0024415F" w:rsidRPr="002B0BD5" w:rsidRDefault="0024415F" w:rsidP="00EF2D62">
      <w:pPr>
        <w:jc w:val="center"/>
        <w:rPr>
          <w:rFonts w:cs="Arial"/>
          <w:lang w:val="es-ES_tradnl"/>
        </w:rPr>
      </w:pPr>
    </w:p>
    <w:p w:rsidR="00FF5D3C" w:rsidRPr="002B0BD5" w:rsidRDefault="00FF5D3C" w:rsidP="00EF2D62">
      <w:pPr>
        <w:rPr>
          <w:rFonts w:cs="Arial"/>
          <w:u w:val="single"/>
          <w:lang w:val="es-ES_tradnl"/>
        </w:rPr>
      </w:pPr>
      <w:r w:rsidRPr="002B0BD5">
        <w:rPr>
          <w:rFonts w:cs="Arial"/>
          <w:u w:val="single"/>
          <w:lang w:val="es-ES_tradnl"/>
        </w:rPr>
        <w:t>ÍNDICE</w:t>
      </w:r>
    </w:p>
    <w:p w:rsidR="00FF5D3C" w:rsidRDefault="00FF5D3C" w:rsidP="00EF2D62">
      <w:pPr>
        <w:rPr>
          <w:rFonts w:cs="Arial"/>
          <w:lang w:val="es-ES_tradnl"/>
        </w:rPr>
      </w:pPr>
    </w:p>
    <w:p w:rsidR="0024415F" w:rsidRPr="00D0576E" w:rsidRDefault="0024415F" w:rsidP="00EF2D62">
      <w:pPr>
        <w:rPr>
          <w:lang w:val="es-ES_tradnl"/>
        </w:rPr>
      </w:pPr>
      <w:r w:rsidRPr="00D0576E">
        <w:rPr>
          <w:lang w:val="es-ES_tradnl"/>
        </w:rPr>
        <w:t xml:space="preserve">1. </w:t>
      </w:r>
      <w:r w:rsidRPr="00D0576E">
        <w:rPr>
          <w:lang w:val="es-ES_tradnl"/>
        </w:rPr>
        <w:tab/>
        <w:t>INTRODUCCIÓN</w:t>
      </w:r>
    </w:p>
    <w:p w:rsidR="0024415F" w:rsidRPr="00D0576E" w:rsidRDefault="0024415F" w:rsidP="00EF2D62">
      <w:pPr>
        <w:rPr>
          <w:lang w:val="es-ES_tradnl"/>
        </w:rPr>
      </w:pPr>
    </w:p>
    <w:p w:rsidR="0024415F" w:rsidRPr="00D0576E" w:rsidRDefault="0024415F" w:rsidP="00EF2D62">
      <w:pPr>
        <w:rPr>
          <w:lang w:val="es-ES_tradnl"/>
        </w:rPr>
      </w:pPr>
      <w:r w:rsidRPr="00D0576E">
        <w:rPr>
          <w:lang w:val="es-ES_tradnl"/>
        </w:rPr>
        <w:t xml:space="preserve">2. </w:t>
      </w:r>
      <w:r w:rsidRPr="00D0576E">
        <w:rPr>
          <w:lang w:val="es-ES_tradnl"/>
        </w:rPr>
        <w:tab/>
        <w:t>OBJETIVOS Y RESULTADOS PREVISTOS POR SUBPROGRAMA</w:t>
      </w:r>
    </w:p>
    <w:p w:rsidR="0024415F" w:rsidRPr="00D0576E" w:rsidRDefault="0024415F" w:rsidP="00EF2D62">
      <w:pPr>
        <w:rPr>
          <w:lang w:val="es-ES_tradnl"/>
        </w:rPr>
      </w:pPr>
    </w:p>
    <w:p w:rsidR="0024415F" w:rsidRPr="00D0576E" w:rsidRDefault="0024415F" w:rsidP="00EF2D62">
      <w:pPr>
        <w:ind w:left="1134" w:hanging="567"/>
        <w:rPr>
          <w:lang w:val="es-ES_tradnl"/>
        </w:rPr>
      </w:pPr>
      <w:r w:rsidRPr="00D0576E">
        <w:rPr>
          <w:lang w:val="es-ES_tradnl"/>
        </w:rPr>
        <w:t xml:space="preserve">2.1 </w:t>
      </w:r>
      <w:r w:rsidRPr="00D0576E">
        <w:rPr>
          <w:lang w:val="es-ES_tradnl"/>
        </w:rPr>
        <w:tab/>
        <w:t>Subprograma UV.1: Política general sobre protección de las variedades vegetales</w:t>
      </w:r>
    </w:p>
    <w:p w:rsidR="0024415F" w:rsidRPr="00D0576E" w:rsidRDefault="0024415F" w:rsidP="00EF2D62">
      <w:pPr>
        <w:ind w:left="1134" w:hanging="567"/>
        <w:rPr>
          <w:lang w:val="es-ES_tradnl"/>
        </w:rPr>
      </w:pPr>
    </w:p>
    <w:p w:rsidR="0024415F" w:rsidRPr="00D0576E" w:rsidRDefault="0024415F" w:rsidP="00EF2D62">
      <w:pPr>
        <w:ind w:left="1843" w:hanging="709"/>
        <w:rPr>
          <w:lang w:val="es-ES_tradnl"/>
        </w:rPr>
      </w:pPr>
      <w:r w:rsidRPr="00D0576E">
        <w:rPr>
          <w:lang w:val="es-ES_tradnl"/>
        </w:rPr>
        <w:t xml:space="preserve">2.1.1 </w:t>
      </w:r>
      <w:r w:rsidRPr="00D0576E">
        <w:rPr>
          <w:lang w:val="es-ES_tradnl"/>
        </w:rPr>
        <w:tab/>
        <w:t>Objetivos</w:t>
      </w:r>
    </w:p>
    <w:p w:rsidR="0024415F" w:rsidRPr="00D0576E" w:rsidRDefault="0024415F" w:rsidP="00EF2D62">
      <w:pPr>
        <w:ind w:left="1843" w:hanging="709"/>
        <w:rPr>
          <w:lang w:val="es-ES_tradnl"/>
        </w:rPr>
      </w:pPr>
      <w:r w:rsidRPr="00D0576E">
        <w:rPr>
          <w:lang w:val="es-ES_tradnl"/>
        </w:rPr>
        <w:t>2.1.2</w:t>
      </w:r>
      <w:r w:rsidRPr="00D0576E">
        <w:rPr>
          <w:lang w:val="es-ES_tradnl"/>
        </w:rPr>
        <w:tab/>
        <w:t>Descripción</w:t>
      </w:r>
    </w:p>
    <w:p w:rsidR="0024415F" w:rsidRPr="00D0576E" w:rsidRDefault="0024415F" w:rsidP="00EF2D62">
      <w:pPr>
        <w:ind w:left="1843" w:hanging="709"/>
        <w:rPr>
          <w:lang w:val="es-ES_tradnl"/>
        </w:rPr>
      </w:pPr>
      <w:r w:rsidRPr="00D0576E">
        <w:rPr>
          <w:lang w:val="es-ES_tradnl"/>
        </w:rPr>
        <w:t xml:space="preserve">2.1.3 </w:t>
      </w:r>
      <w:r w:rsidRPr="00D0576E">
        <w:rPr>
          <w:lang w:val="es-ES_tradnl"/>
        </w:rPr>
        <w:tab/>
        <w:t>Actividades</w:t>
      </w:r>
    </w:p>
    <w:p w:rsidR="0024415F" w:rsidRPr="00D0576E" w:rsidRDefault="0024415F" w:rsidP="00EF2D62">
      <w:pPr>
        <w:ind w:left="1843" w:hanging="709"/>
        <w:rPr>
          <w:lang w:val="es-ES_tradnl"/>
        </w:rPr>
      </w:pPr>
      <w:r w:rsidRPr="00D0576E">
        <w:rPr>
          <w:lang w:val="es-ES_tradnl"/>
        </w:rPr>
        <w:t xml:space="preserve">2.1.4 </w:t>
      </w:r>
      <w:r w:rsidRPr="00D0576E">
        <w:rPr>
          <w:lang w:val="es-ES_tradnl"/>
        </w:rPr>
        <w:tab/>
        <w:t>Resultados previstos e indicadores de rendimiento</w:t>
      </w:r>
    </w:p>
    <w:p w:rsidR="0024415F" w:rsidRPr="00D0576E" w:rsidRDefault="0024415F" w:rsidP="00EF2D62">
      <w:pPr>
        <w:rPr>
          <w:lang w:val="es-ES_tradnl"/>
        </w:rPr>
      </w:pPr>
    </w:p>
    <w:p w:rsidR="0024415F" w:rsidRPr="00D0576E" w:rsidRDefault="0024415F" w:rsidP="00EF2D62">
      <w:pPr>
        <w:ind w:left="1134" w:hanging="567"/>
        <w:rPr>
          <w:lang w:val="es-ES_tradnl"/>
        </w:rPr>
      </w:pPr>
      <w:r w:rsidRPr="00D0576E">
        <w:rPr>
          <w:lang w:val="es-ES_tradnl"/>
        </w:rPr>
        <w:t xml:space="preserve">2.2 </w:t>
      </w:r>
      <w:r w:rsidRPr="00D0576E">
        <w:rPr>
          <w:lang w:val="es-ES_tradnl"/>
        </w:rPr>
        <w:tab/>
        <w:t>Subprograma UV.2: Servicios prestados a la Unión para mejora</w:t>
      </w:r>
      <w:r>
        <w:rPr>
          <w:lang w:val="es-ES_tradnl"/>
        </w:rPr>
        <w:t>r la eficacia del sistema de la </w:t>
      </w:r>
      <w:r w:rsidRPr="00D0576E">
        <w:rPr>
          <w:lang w:val="es-ES_tradnl"/>
        </w:rPr>
        <w:t>UPOV</w:t>
      </w:r>
    </w:p>
    <w:p w:rsidR="0024415F" w:rsidRPr="00D0576E" w:rsidRDefault="0024415F" w:rsidP="00EF2D62">
      <w:pPr>
        <w:ind w:left="1134" w:hanging="567"/>
        <w:rPr>
          <w:lang w:val="es-ES_tradnl"/>
        </w:rPr>
      </w:pPr>
    </w:p>
    <w:p w:rsidR="0024415F" w:rsidRPr="00D0576E" w:rsidRDefault="0024415F" w:rsidP="00EF2D62">
      <w:pPr>
        <w:ind w:left="1843" w:hanging="709"/>
        <w:rPr>
          <w:lang w:val="es-ES_tradnl"/>
        </w:rPr>
      </w:pPr>
      <w:r w:rsidRPr="00D0576E">
        <w:rPr>
          <w:lang w:val="es-ES_tradnl"/>
        </w:rPr>
        <w:t xml:space="preserve">2.2.1 </w:t>
      </w:r>
      <w:r w:rsidRPr="00D0576E">
        <w:rPr>
          <w:lang w:val="es-ES_tradnl"/>
        </w:rPr>
        <w:tab/>
        <w:t>Objetivos</w:t>
      </w:r>
    </w:p>
    <w:p w:rsidR="0024415F" w:rsidRPr="00D0576E" w:rsidRDefault="0024415F" w:rsidP="00EF2D62">
      <w:pPr>
        <w:ind w:left="1843" w:hanging="709"/>
        <w:rPr>
          <w:lang w:val="es-ES_tradnl"/>
        </w:rPr>
      </w:pPr>
      <w:r w:rsidRPr="00D0576E">
        <w:rPr>
          <w:lang w:val="es-ES_tradnl"/>
        </w:rPr>
        <w:t>2.2.2</w:t>
      </w:r>
      <w:r w:rsidRPr="00D0576E">
        <w:rPr>
          <w:lang w:val="es-ES_tradnl"/>
        </w:rPr>
        <w:tab/>
        <w:t xml:space="preserve"> Descripción</w:t>
      </w:r>
    </w:p>
    <w:p w:rsidR="0024415F" w:rsidRPr="00D0576E" w:rsidRDefault="0024415F" w:rsidP="00EF2D62">
      <w:pPr>
        <w:ind w:left="1843" w:hanging="709"/>
        <w:rPr>
          <w:lang w:val="es-ES_tradnl"/>
        </w:rPr>
      </w:pPr>
      <w:r w:rsidRPr="00D0576E">
        <w:rPr>
          <w:lang w:val="es-ES_tradnl"/>
        </w:rPr>
        <w:t xml:space="preserve">2.2.3 </w:t>
      </w:r>
      <w:r w:rsidRPr="00D0576E">
        <w:rPr>
          <w:lang w:val="es-ES_tradnl"/>
        </w:rPr>
        <w:tab/>
        <w:t>Actividades</w:t>
      </w:r>
    </w:p>
    <w:p w:rsidR="0024415F" w:rsidRPr="00D0576E" w:rsidRDefault="0024415F" w:rsidP="00EF2D62">
      <w:pPr>
        <w:ind w:left="1843" w:hanging="709"/>
        <w:rPr>
          <w:lang w:val="es-ES_tradnl"/>
        </w:rPr>
      </w:pPr>
      <w:r w:rsidRPr="00D0576E">
        <w:rPr>
          <w:lang w:val="es-ES_tradnl"/>
        </w:rPr>
        <w:t xml:space="preserve">2.2.4 </w:t>
      </w:r>
      <w:r w:rsidRPr="00D0576E">
        <w:rPr>
          <w:lang w:val="es-ES_tradnl"/>
        </w:rPr>
        <w:tab/>
        <w:t>Resultados previstos e indicadores de rendimiento</w:t>
      </w:r>
    </w:p>
    <w:p w:rsidR="0024415F" w:rsidRPr="00D0576E" w:rsidRDefault="0024415F" w:rsidP="00EF2D62">
      <w:pPr>
        <w:rPr>
          <w:lang w:val="es-ES_tradnl"/>
        </w:rPr>
      </w:pPr>
    </w:p>
    <w:p w:rsidR="0024415F" w:rsidRPr="00D0576E" w:rsidRDefault="0024415F" w:rsidP="00EF2D62">
      <w:pPr>
        <w:ind w:left="1134" w:hanging="567"/>
        <w:rPr>
          <w:lang w:val="es-ES_tradnl"/>
        </w:rPr>
      </w:pPr>
      <w:r w:rsidRPr="00D0576E">
        <w:rPr>
          <w:lang w:val="es-ES_tradnl"/>
        </w:rPr>
        <w:t xml:space="preserve">2.3 </w:t>
      </w:r>
      <w:r w:rsidRPr="00D0576E">
        <w:rPr>
          <w:lang w:val="es-ES_tradnl"/>
        </w:rPr>
        <w:tab/>
        <w:t>Subprograma UV.3: Prestar asistencia para la introducción y aplicación del sistema de la UPOV</w:t>
      </w:r>
    </w:p>
    <w:p w:rsidR="0024415F" w:rsidRPr="00D0576E" w:rsidRDefault="0024415F" w:rsidP="00EF2D62">
      <w:pPr>
        <w:ind w:left="1134" w:hanging="567"/>
        <w:rPr>
          <w:lang w:val="es-ES_tradnl"/>
        </w:rPr>
      </w:pPr>
    </w:p>
    <w:p w:rsidR="0024415F" w:rsidRPr="00D0576E" w:rsidRDefault="0024415F" w:rsidP="00EF2D62">
      <w:pPr>
        <w:ind w:left="1843" w:hanging="709"/>
        <w:rPr>
          <w:lang w:val="es-ES_tradnl"/>
        </w:rPr>
      </w:pPr>
      <w:r w:rsidRPr="00D0576E">
        <w:rPr>
          <w:lang w:val="es-ES_tradnl"/>
        </w:rPr>
        <w:t xml:space="preserve">2.3.1 </w:t>
      </w:r>
      <w:r w:rsidRPr="00D0576E">
        <w:rPr>
          <w:lang w:val="es-ES_tradnl"/>
        </w:rPr>
        <w:tab/>
        <w:t>Objetivos</w:t>
      </w:r>
    </w:p>
    <w:p w:rsidR="0024415F" w:rsidRPr="00D0576E" w:rsidRDefault="0024415F" w:rsidP="00EF2D62">
      <w:pPr>
        <w:ind w:left="1843" w:hanging="709"/>
        <w:rPr>
          <w:lang w:val="es-ES_tradnl"/>
        </w:rPr>
      </w:pPr>
      <w:r w:rsidRPr="00D0576E">
        <w:rPr>
          <w:lang w:val="es-ES_tradnl"/>
        </w:rPr>
        <w:t xml:space="preserve">2.3.2 </w:t>
      </w:r>
      <w:r w:rsidRPr="00D0576E">
        <w:rPr>
          <w:lang w:val="es-ES_tradnl"/>
        </w:rPr>
        <w:tab/>
        <w:t>Descripción</w:t>
      </w:r>
    </w:p>
    <w:p w:rsidR="0024415F" w:rsidRPr="00D0576E" w:rsidRDefault="0024415F" w:rsidP="00EF2D62">
      <w:pPr>
        <w:ind w:left="1843" w:hanging="709"/>
        <w:rPr>
          <w:lang w:val="es-ES_tradnl"/>
        </w:rPr>
      </w:pPr>
      <w:r w:rsidRPr="00D0576E">
        <w:rPr>
          <w:lang w:val="es-ES_tradnl"/>
        </w:rPr>
        <w:t xml:space="preserve">2.3.3 </w:t>
      </w:r>
      <w:r w:rsidRPr="00D0576E">
        <w:rPr>
          <w:lang w:val="es-ES_tradnl"/>
        </w:rPr>
        <w:tab/>
        <w:t>Actividades</w:t>
      </w:r>
    </w:p>
    <w:p w:rsidR="0024415F" w:rsidRPr="00D0576E" w:rsidRDefault="0024415F" w:rsidP="00EF2D62">
      <w:pPr>
        <w:ind w:left="1843" w:hanging="709"/>
        <w:rPr>
          <w:lang w:val="es-ES_tradnl"/>
        </w:rPr>
      </w:pPr>
      <w:r w:rsidRPr="00D0576E">
        <w:rPr>
          <w:lang w:val="es-ES_tradnl"/>
        </w:rPr>
        <w:t xml:space="preserve">2.3.4 </w:t>
      </w:r>
      <w:r w:rsidRPr="00D0576E">
        <w:rPr>
          <w:lang w:val="es-ES_tradnl"/>
        </w:rPr>
        <w:tab/>
        <w:t>Resultados previstos e indicadores de rendimiento</w:t>
      </w:r>
    </w:p>
    <w:p w:rsidR="0024415F" w:rsidRPr="00D0576E" w:rsidRDefault="0024415F" w:rsidP="00EF2D62">
      <w:pPr>
        <w:rPr>
          <w:lang w:val="es-ES_tradnl"/>
        </w:rPr>
      </w:pPr>
    </w:p>
    <w:p w:rsidR="0024415F" w:rsidRPr="00D0576E" w:rsidRDefault="0024415F" w:rsidP="00EF2D62">
      <w:pPr>
        <w:ind w:left="1134" w:hanging="567"/>
        <w:rPr>
          <w:lang w:val="es-ES_tradnl"/>
        </w:rPr>
      </w:pPr>
      <w:r w:rsidRPr="00D0576E">
        <w:rPr>
          <w:lang w:val="es-ES_tradnl"/>
        </w:rPr>
        <w:t xml:space="preserve">2.4 </w:t>
      </w:r>
      <w:r w:rsidRPr="00D0576E">
        <w:rPr>
          <w:lang w:val="es-ES_tradnl"/>
        </w:rPr>
        <w:tab/>
        <w:t>Subprograma UV.4: Relaciones exteriores</w:t>
      </w:r>
    </w:p>
    <w:p w:rsidR="0024415F" w:rsidRPr="00D0576E" w:rsidRDefault="0024415F" w:rsidP="00EF2D62">
      <w:pPr>
        <w:ind w:left="1134" w:hanging="567"/>
        <w:rPr>
          <w:lang w:val="es-ES_tradnl"/>
        </w:rPr>
      </w:pPr>
    </w:p>
    <w:p w:rsidR="0024415F" w:rsidRPr="00D0576E" w:rsidRDefault="0024415F" w:rsidP="00EF2D62">
      <w:pPr>
        <w:ind w:left="1843" w:hanging="709"/>
        <w:rPr>
          <w:lang w:val="es-ES_tradnl"/>
        </w:rPr>
      </w:pPr>
      <w:r w:rsidRPr="00D0576E">
        <w:rPr>
          <w:lang w:val="es-ES_tradnl"/>
        </w:rPr>
        <w:t xml:space="preserve">2.4.1 </w:t>
      </w:r>
      <w:r w:rsidRPr="00D0576E">
        <w:rPr>
          <w:lang w:val="es-ES_tradnl"/>
        </w:rPr>
        <w:tab/>
        <w:t>Objetivos</w:t>
      </w:r>
    </w:p>
    <w:p w:rsidR="0024415F" w:rsidRPr="00D0576E" w:rsidRDefault="0024415F" w:rsidP="00EF2D62">
      <w:pPr>
        <w:ind w:left="1843" w:hanging="709"/>
        <w:rPr>
          <w:lang w:val="es-ES_tradnl"/>
        </w:rPr>
      </w:pPr>
      <w:r w:rsidRPr="00D0576E">
        <w:rPr>
          <w:lang w:val="es-ES_tradnl"/>
        </w:rPr>
        <w:t xml:space="preserve">2.4.2 </w:t>
      </w:r>
      <w:r w:rsidRPr="00D0576E">
        <w:rPr>
          <w:lang w:val="es-ES_tradnl"/>
        </w:rPr>
        <w:tab/>
        <w:t>Descripción</w:t>
      </w:r>
    </w:p>
    <w:p w:rsidR="0024415F" w:rsidRPr="00D0576E" w:rsidRDefault="0024415F" w:rsidP="00EF2D62">
      <w:pPr>
        <w:ind w:left="1843" w:hanging="709"/>
        <w:rPr>
          <w:lang w:val="es-ES_tradnl"/>
        </w:rPr>
      </w:pPr>
      <w:r w:rsidRPr="00D0576E">
        <w:rPr>
          <w:lang w:val="es-ES_tradnl"/>
        </w:rPr>
        <w:t xml:space="preserve">2.4.3 </w:t>
      </w:r>
      <w:r w:rsidRPr="00D0576E">
        <w:rPr>
          <w:lang w:val="es-ES_tradnl"/>
        </w:rPr>
        <w:tab/>
        <w:t>Actividades</w:t>
      </w:r>
    </w:p>
    <w:p w:rsidR="0024415F" w:rsidRPr="00D0576E" w:rsidRDefault="0024415F" w:rsidP="00EF2D62">
      <w:pPr>
        <w:ind w:left="1843" w:hanging="709"/>
        <w:rPr>
          <w:lang w:val="es-ES_tradnl"/>
        </w:rPr>
      </w:pPr>
      <w:r w:rsidRPr="00D0576E">
        <w:rPr>
          <w:lang w:val="es-ES_tradnl"/>
        </w:rPr>
        <w:t xml:space="preserve">2.4.4 </w:t>
      </w:r>
      <w:r w:rsidRPr="00D0576E">
        <w:rPr>
          <w:lang w:val="es-ES_tradnl"/>
        </w:rPr>
        <w:tab/>
        <w:t>Resultados previstos e indicadores de rendimiento</w:t>
      </w:r>
    </w:p>
    <w:p w:rsidR="0024415F" w:rsidRPr="00D0576E" w:rsidRDefault="0024415F" w:rsidP="00EF2D62">
      <w:pPr>
        <w:rPr>
          <w:lang w:val="es-ES_tradnl"/>
        </w:rPr>
      </w:pPr>
    </w:p>
    <w:p w:rsidR="0024415F" w:rsidRPr="00D0576E" w:rsidRDefault="0024415F" w:rsidP="00EF2D62">
      <w:pPr>
        <w:rPr>
          <w:lang w:val="es-ES_tradnl"/>
        </w:rPr>
      </w:pPr>
      <w:r w:rsidRPr="00D0576E">
        <w:rPr>
          <w:lang w:val="es-ES_tradnl"/>
        </w:rPr>
        <w:t>3.</w:t>
      </w:r>
      <w:r w:rsidRPr="00D0576E">
        <w:rPr>
          <w:lang w:val="es-ES_tradnl"/>
        </w:rPr>
        <w:tab/>
        <w:t>PRESUPUESTO PROPUESTO</w:t>
      </w:r>
    </w:p>
    <w:p w:rsidR="0024415F" w:rsidRPr="00D0576E" w:rsidRDefault="0024415F" w:rsidP="00EF2D62">
      <w:pPr>
        <w:rPr>
          <w:lang w:val="es-ES_tradnl"/>
        </w:rPr>
      </w:pPr>
    </w:p>
    <w:p w:rsidR="0024415F" w:rsidRPr="00D0576E" w:rsidRDefault="0024415F" w:rsidP="00EF2D62">
      <w:pPr>
        <w:ind w:left="1560" w:hanging="993"/>
        <w:rPr>
          <w:lang w:val="es-ES_tradnl"/>
        </w:rPr>
      </w:pPr>
      <w:r>
        <w:rPr>
          <w:lang w:val="es-ES_tradnl"/>
        </w:rPr>
        <w:t>Cuadro 1:</w:t>
      </w:r>
      <w:r>
        <w:rPr>
          <w:lang w:val="es-ES_tradnl"/>
        </w:rPr>
        <w:tab/>
      </w:r>
      <w:r w:rsidRPr="00D0576E">
        <w:rPr>
          <w:lang w:val="es-ES_tradnl"/>
        </w:rPr>
        <w:t>Ingresos y gastos correspondientes a 2010-2011, 2012-2013 y 2014-2015</w:t>
      </w:r>
    </w:p>
    <w:p w:rsidR="0024415F" w:rsidRPr="00D0576E" w:rsidRDefault="0024415F" w:rsidP="00EF2D62">
      <w:pPr>
        <w:ind w:left="1560" w:hanging="993"/>
        <w:rPr>
          <w:lang w:val="es-ES_tradnl"/>
        </w:rPr>
      </w:pPr>
      <w:r w:rsidRPr="00D0576E">
        <w:rPr>
          <w:lang w:val="es-ES_tradnl"/>
        </w:rPr>
        <w:t>Cuadro 2:</w:t>
      </w:r>
      <w:r>
        <w:rPr>
          <w:lang w:val="es-ES_tradnl"/>
        </w:rPr>
        <w:tab/>
      </w:r>
      <w:r w:rsidRPr="00D0576E">
        <w:rPr>
          <w:lang w:val="es-ES_tradnl"/>
        </w:rPr>
        <w:t>Estructura del presupuesto propuesto para el bienio 2014-2015 en comparación con los bienios 2010-2011 y 2012-2013</w:t>
      </w:r>
    </w:p>
    <w:p w:rsidR="0024415F" w:rsidRPr="00D0576E" w:rsidRDefault="0024415F" w:rsidP="00EF2D62">
      <w:pPr>
        <w:ind w:left="1560" w:hanging="993"/>
        <w:rPr>
          <w:lang w:val="es-ES_tradnl"/>
        </w:rPr>
      </w:pPr>
      <w:r>
        <w:rPr>
          <w:lang w:val="es-ES_tradnl"/>
        </w:rPr>
        <w:t>Cuadro 3:</w:t>
      </w:r>
      <w:r>
        <w:rPr>
          <w:lang w:val="es-ES_tradnl"/>
        </w:rPr>
        <w:tab/>
      </w:r>
      <w:r w:rsidRPr="00D0576E">
        <w:rPr>
          <w:lang w:val="es-ES_tradnl"/>
        </w:rPr>
        <w:t>Plan de recursos, bienios 2012-2013 y 2014-2015</w:t>
      </w:r>
    </w:p>
    <w:p w:rsidR="0024415F" w:rsidRPr="00D0576E" w:rsidRDefault="0024415F" w:rsidP="00EF2D62">
      <w:pPr>
        <w:ind w:left="1560" w:hanging="993"/>
        <w:rPr>
          <w:lang w:val="es-ES_tradnl"/>
        </w:rPr>
      </w:pPr>
      <w:r w:rsidRPr="00D0576E">
        <w:rPr>
          <w:lang w:val="es-ES_tradnl"/>
        </w:rPr>
        <w:t>Cuadro 4:</w:t>
      </w:r>
      <w:r>
        <w:rPr>
          <w:lang w:val="es-ES_tradnl"/>
        </w:rPr>
        <w:tab/>
      </w:r>
      <w:r w:rsidRPr="00D0576E">
        <w:rPr>
          <w:lang w:val="es-ES_tradnl"/>
        </w:rPr>
        <w:t>Presupuesto propuesto para el bienio 2014-2015: variación presupuestaria por objeto de gasto</w:t>
      </w:r>
    </w:p>
    <w:p w:rsidR="0024415F" w:rsidRPr="00D0576E" w:rsidRDefault="0024415F" w:rsidP="00EF2D62">
      <w:pPr>
        <w:ind w:left="1560" w:hanging="993"/>
        <w:rPr>
          <w:lang w:val="es-ES_tradnl"/>
        </w:rPr>
      </w:pPr>
      <w:r>
        <w:rPr>
          <w:lang w:val="es-ES_tradnl"/>
        </w:rPr>
        <w:t>Cuadro 5:</w:t>
      </w:r>
      <w:r>
        <w:rPr>
          <w:lang w:val="es-ES_tradnl"/>
        </w:rPr>
        <w:tab/>
      </w:r>
      <w:r w:rsidRPr="00D0576E">
        <w:rPr>
          <w:lang w:val="es-ES_tradnl"/>
        </w:rPr>
        <w:t>Presupuesto para el bienio 2014-2015: puestos por categoría</w:t>
      </w:r>
    </w:p>
    <w:p w:rsidR="0024415F" w:rsidRPr="00D0576E" w:rsidRDefault="0024415F" w:rsidP="00EF2D62">
      <w:pPr>
        <w:ind w:left="1560" w:hanging="993"/>
        <w:rPr>
          <w:lang w:val="es-ES_tradnl"/>
        </w:rPr>
      </w:pPr>
      <w:r>
        <w:rPr>
          <w:lang w:val="es-ES_tradnl"/>
        </w:rPr>
        <w:t>Cuadro 6:</w:t>
      </w:r>
      <w:r>
        <w:rPr>
          <w:lang w:val="es-ES_tradnl"/>
        </w:rPr>
        <w:tab/>
      </w:r>
      <w:r w:rsidRPr="00D0576E">
        <w:rPr>
          <w:lang w:val="es-ES_tradnl"/>
        </w:rPr>
        <w:t>Presupuesto propuesto para el bienio 2014-2015:</w:t>
      </w:r>
      <w:r w:rsidR="00FC2AA8">
        <w:rPr>
          <w:lang w:val="es-ES_tradnl"/>
        </w:rPr>
        <w:t xml:space="preserve"> consignación por objeto de gasto</w:t>
      </w:r>
    </w:p>
    <w:p w:rsidR="0024415F" w:rsidRPr="00D0576E" w:rsidRDefault="0024415F" w:rsidP="00EF2D62">
      <w:pPr>
        <w:ind w:left="1560" w:hanging="993"/>
        <w:rPr>
          <w:lang w:val="es-ES_tradnl"/>
        </w:rPr>
      </w:pPr>
      <w:r>
        <w:rPr>
          <w:lang w:val="es-ES_tradnl"/>
        </w:rPr>
        <w:t>Cuadro 7:</w:t>
      </w:r>
      <w:r>
        <w:rPr>
          <w:lang w:val="es-ES_tradnl"/>
        </w:rPr>
        <w:tab/>
      </w:r>
      <w:r w:rsidRPr="00D0576E">
        <w:rPr>
          <w:lang w:val="es-ES_tradnl"/>
        </w:rPr>
        <w:t>Variación presupuestaria por subprograma</w:t>
      </w:r>
    </w:p>
    <w:p w:rsidR="0024415F" w:rsidRPr="00D0576E" w:rsidRDefault="0024415F" w:rsidP="00EF2D62">
      <w:pPr>
        <w:ind w:left="1560" w:hanging="993"/>
        <w:rPr>
          <w:lang w:val="es-ES_tradnl"/>
        </w:rPr>
      </w:pPr>
      <w:r>
        <w:rPr>
          <w:lang w:val="es-ES_tradnl"/>
        </w:rPr>
        <w:t>Cuadro 8:</w:t>
      </w:r>
      <w:r>
        <w:rPr>
          <w:lang w:val="es-ES_tradnl"/>
        </w:rPr>
        <w:tab/>
      </w:r>
      <w:r w:rsidRPr="00D0576E">
        <w:rPr>
          <w:lang w:val="es-ES_tradnl"/>
        </w:rPr>
        <w:t xml:space="preserve">Ingresos correspondientes a los </w:t>
      </w:r>
      <w:r>
        <w:rPr>
          <w:lang w:val="es-ES_tradnl"/>
        </w:rPr>
        <w:t xml:space="preserve">bienios 2012-2013 y 2014-2015: </w:t>
      </w:r>
      <w:r w:rsidRPr="00D0576E">
        <w:rPr>
          <w:lang w:val="es-ES_tradnl"/>
        </w:rPr>
        <w:t>variación por fuente de ingresos</w:t>
      </w:r>
    </w:p>
    <w:p w:rsidR="0024415F" w:rsidRPr="00D0576E" w:rsidRDefault="0024415F" w:rsidP="00EF2D62">
      <w:pPr>
        <w:rPr>
          <w:lang w:val="es-ES_tradnl"/>
        </w:rPr>
      </w:pPr>
    </w:p>
    <w:p w:rsidR="0024415F" w:rsidRPr="00D0576E" w:rsidRDefault="0024415F" w:rsidP="00EF2D62">
      <w:pPr>
        <w:rPr>
          <w:lang w:val="es-ES_tradnl"/>
        </w:rPr>
      </w:pPr>
      <w:r w:rsidRPr="00D0576E">
        <w:rPr>
          <w:lang w:val="es-ES_tradnl"/>
        </w:rPr>
        <w:t>4.</w:t>
      </w:r>
      <w:r w:rsidRPr="00D0576E">
        <w:rPr>
          <w:lang w:val="es-ES_tradnl"/>
        </w:rPr>
        <w:tab/>
        <w:t>INDICADORES FINANCIEROS CORRESPONDIENTES AL PERÍODO 2008-2017</w:t>
      </w:r>
    </w:p>
    <w:p w:rsidR="0024415F" w:rsidRPr="00D0576E" w:rsidRDefault="0024415F" w:rsidP="00EF2D62">
      <w:pPr>
        <w:rPr>
          <w:lang w:val="es-ES_tradnl"/>
        </w:rPr>
      </w:pPr>
    </w:p>
    <w:p w:rsidR="0024415F" w:rsidRPr="00D0576E" w:rsidRDefault="0024415F" w:rsidP="00EF2D62">
      <w:pPr>
        <w:ind w:left="1560" w:hanging="993"/>
        <w:rPr>
          <w:lang w:val="es-ES_tradnl"/>
        </w:rPr>
      </w:pPr>
      <w:r>
        <w:rPr>
          <w:lang w:val="es-ES_tradnl"/>
        </w:rPr>
        <w:t>Cuadro 9:</w:t>
      </w:r>
      <w:r>
        <w:rPr>
          <w:lang w:val="es-ES_tradnl"/>
        </w:rPr>
        <w:tab/>
      </w:r>
      <w:r w:rsidRPr="00D0576E">
        <w:rPr>
          <w:lang w:val="es-ES_tradnl"/>
        </w:rPr>
        <w:t>Ingresos, gastos y reservas para el período 2008-2017</w:t>
      </w:r>
    </w:p>
    <w:p w:rsidR="0024415F" w:rsidRPr="002B0BD5" w:rsidRDefault="0024415F" w:rsidP="00EF2D62">
      <w:pPr>
        <w:rPr>
          <w:rFonts w:cs="Arial"/>
          <w:lang w:val="es-ES_tradnl"/>
        </w:rPr>
      </w:pPr>
    </w:p>
    <w:p w:rsidR="00FF5D3C" w:rsidRPr="002B0BD5" w:rsidRDefault="0024415F" w:rsidP="00EF2D62">
      <w:pPr>
        <w:ind w:left="1560" w:hanging="1560"/>
        <w:rPr>
          <w:rFonts w:cs="Arial"/>
          <w:lang w:val="es-ES_tradnl"/>
        </w:rPr>
      </w:pPr>
      <w:r>
        <w:rPr>
          <w:rFonts w:cs="Arial"/>
          <w:lang w:val="es-ES_tradnl"/>
        </w:rPr>
        <w:t>APÉNDICE I:</w:t>
      </w:r>
      <w:r>
        <w:rPr>
          <w:rFonts w:cs="Arial"/>
          <w:lang w:val="es-ES_tradnl"/>
        </w:rPr>
        <w:tab/>
      </w:r>
      <w:r w:rsidR="00FF5D3C" w:rsidRPr="002B0BD5">
        <w:rPr>
          <w:rFonts w:cs="Arial"/>
          <w:lang w:val="es-ES_tradnl"/>
        </w:rPr>
        <w:t>METODOLOGÍA PRESUPUESTARIA</w:t>
      </w:r>
    </w:p>
    <w:p w:rsidR="00FF5D3C" w:rsidRPr="002B0BD5" w:rsidRDefault="0024415F" w:rsidP="00EF2D62">
      <w:pPr>
        <w:ind w:left="1560" w:hanging="1560"/>
        <w:rPr>
          <w:rFonts w:cs="Arial"/>
          <w:lang w:val="es-ES_tradnl"/>
        </w:rPr>
      </w:pPr>
      <w:r>
        <w:rPr>
          <w:rFonts w:cs="Arial"/>
          <w:lang w:val="es-ES_tradnl"/>
        </w:rPr>
        <w:t>APÉNDICE II:</w:t>
      </w:r>
      <w:r>
        <w:rPr>
          <w:rFonts w:cs="Arial"/>
          <w:lang w:val="es-ES_tradnl"/>
        </w:rPr>
        <w:tab/>
      </w:r>
      <w:r w:rsidR="00FF5D3C" w:rsidRPr="002B0BD5">
        <w:rPr>
          <w:rFonts w:cs="Arial"/>
          <w:lang w:val="es-ES_tradnl"/>
        </w:rPr>
        <w:t>CONTRIBUCIONES DE LOS MIEMBROS</w:t>
      </w:r>
    </w:p>
    <w:p w:rsidR="00FF5D3C" w:rsidRPr="002B0BD5" w:rsidRDefault="00FF5D3C" w:rsidP="00EF2D62">
      <w:pPr>
        <w:ind w:left="1560" w:hanging="1560"/>
        <w:rPr>
          <w:rFonts w:cs="Arial"/>
          <w:lang w:val="es-ES_tradnl"/>
        </w:rPr>
      </w:pPr>
      <w:r w:rsidRPr="002B0BD5">
        <w:rPr>
          <w:rFonts w:cs="Arial"/>
          <w:lang w:val="es-ES_tradnl"/>
        </w:rPr>
        <w:t>APÉNDICE III</w:t>
      </w:r>
      <w:r w:rsidR="0024415F">
        <w:rPr>
          <w:rFonts w:cs="Arial"/>
          <w:lang w:val="es-ES_tradnl"/>
        </w:rPr>
        <w:t>:</w:t>
      </w:r>
      <w:r w:rsidR="0024415F">
        <w:rPr>
          <w:rFonts w:cs="Arial"/>
          <w:lang w:val="es-ES_tradnl"/>
        </w:rPr>
        <w:tab/>
      </w:r>
      <w:r w:rsidRPr="002B0BD5">
        <w:rPr>
          <w:rFonts w:cs="Arial"/>
          <w:lang w:val="es-ES_tradnl"/>
        </w:rPr>
        <w:t>DEFINICIONES DE LOS RUBROS PRESUPUESTARIOS</w:t>
      </w:r>
    </w:p>
    <w:p w:rsidR="00FF5D3C" w:rsidRPr="002B0BD5" w:rsidRDefault="00421639" w:rsidP="00EF2D62">
      <w:pPr>
        <w:pStyle w:val="Heading1"/>
      </w:pPr>
      <w:r w:rsidRPr="002B0BD5">
        <w:br w:type="page"/>
      </w:r>
      <w:bookmarkStart w:id="5" w:name="_Toc363577047"/>
      <w:r w:rsidR="00FF5D3C" w:rsidRPr="002B0BD5">
        <w:lastRenderedPageBreak/>
        <w:t xml:space="preserve">1. </w:t>
      </w:r>
      <w:r w:rsidR="00BC3BFA" w:rsidRPr="002B0BD5">
        <w:tab/>
      </w:r>
      <w:r w:rsidR="00FF5D3C" w:rsidRPr="002B0BD5">
        <w:t>INTRODUCCIÓN</w:t>
      </w:r>
      <w:bookmarkEnd w:id="5"/>
    </w:p>
    <w:p w:rsidR="00FF5D3C" w:rsidRPr="002B0BD5" w:rsidRDefault="00FF5D3C" w:rsidP="00EF2D62">
      <w:pPr>
        <w:rPr>
          <w:rFonts w:cs="Arial"/>
          <w:lang w:val="es-ES_tradnl"/>
        </w:rPr>
      </w:pPr>
    </w:p>
    <w:p w:rsidR="00FF5D3C" w:rsidRPr="002B0BD5" w:rsidRDefault="00FF5D3C" w:rsidP="00EF2D62">
      <w:pPr>
        <w:pBdr>
          <w:top w:val="single" w:sz="4" w:space="1" w:color="auto"/>
          <w:left w:val="single" w:sz="4" w:space="4" w:color="auto"/>
          <w:bottom w:val="single" w:sz="4" w:space="1" w:color="auto"/>
          <w:right w:val="single" w:sz="4" w:space="4" w:color="auto"/>
        </w:pBdr>
        <w:jc w:val="center"/>
        <w:rPr>
          <w:rFonts w:cs="Arial"/>
          <w:b/>
          <w:u w:val="single"/>
          <w:lang w:val="es-ES_tradnl"/>
        </w:rPr>
      </w:pPr>
      <w:r w:rsidRPr="002B0BD5">
        <w:rPr>
          <w:rFonts w:cs="Arial"/>
          <w:b/>
          <w:u w:val="single"/>
          <w:lang w:val="es-ES_tradnl"/>
        </w:rPr>
        <w:t>Misión de la UPOV</w:t>
      </w:r>
    </w:p>
    <w:p w:rsidR="00FF5D3C" w:rsidRPr="002B0BD5" w:rsidRDefault="00FF5D3C" w:rsidP="00EF2D62">
      <w:pPr>
        <w:pBdr>
          <w:top w:val="single" w:sz="4" w:space="1" w:color="auto"/>
          <w:left w:val="single" w:sz="4" w:space="4" w:color="auto"/>
          <w:bottom w:val="single" w:sz="4" w:space="1" w:color="auto"/>
          <w:right w:val="single" w:sz="4" w:space="4" w:color="auto"/>
        </w:pBdr>
        <w:jc w:val="center"/>
        <w:rPr>
          <w:rFonts w:cs="Arial"/>
          <w:b/>
          <w:lang w:val="es-ES_tradnl"/>
        </w:rPr>
      </w:pPr>
    </w:p>
    <w:p w:rsidR="00FF5D3C" w:rsidRPr="002B0BD5" w:rsidRDefault="00FF5D3C" w:rsidP="00EF2D62">
      <w:pPr>
        <w:pBdr>
          <w:top w:val="single" w:sz="4" w:space="1" w:color="auto"/>
          <w:left w:val="single" w:sz="4" w:space="4" w:color="auto"/>
          <w:bottom w:val="single" w:sz="4" w:space="1" w:color="auto"/>
          <w:right w:val="single" w:sz="4" w:space="4" w:color="auto"/>
        </w:pBdr>
        <w:jc w:val="center"/>
        <w:rPr>
          <w:rFonts w:cs="Arial"/>
          <w:b/>
          <w:lang w:val="es-ES_tradnl"/>
        </w:rPr>
      </w:pPr>
      <w:r w:rsidRPr="002B0BD5">
        <w:rPr>
          <w:rFonts w:cs="Arial"/>
          <w:b/>
          <w:lang w:val="es-ES_tradnl"/>
        </w:rPr>
        <w:t>Proporcionar y fomentar un sistema eficaz para la protección de las variedades vegetales, con miras al desarrollo de nuevas variedades vegetales para beneficio de la sociedad.</w:t>
      </w:r>
    </w:p>
    <w:p w:rsidR="00FF5D3C" w:rsidRPr="002B0BD5" w:rsidRDefault="00FF5D3C" w:rsidP="00EF2D62">
      <w:pPr>
        <w:pBdr>
          <w:top w:val="single" w:sz="4" w:space="1" w:color="auto"/>
          <w:left w:val="single" w:sz="4" w:space="4" w:color="auto"/>
          <w:bottom w:val="single" w:sz="4" w:space="1" w:color="auto"/>
          <w:right w:val="single" w:sz="4" w:space="4" w:color="auto"/>
        </w:pBdr>
        <w:jc w:val="center"/>
        <w:rPr>
          <w:rFonts w:cs="Arial"/>
          <w:b/>
          <w:lang w:val="es-ES_tradnl"/>
        </w:rPr>
      </w:pPr>
    </w:p>
    <w:p w:rsidR="00FF5D3C" w:rsidRPr="002B0BD5" w:rsidRDefault="00FF5D3C" w:rsidP="00EF2D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Arial"/>
          <w:lang w:val="es-ES_tradnl"/>
        </w:rPr>
      </w:pPr>
    </w:p>
    <w:p w:rsidR="00FF5D3C" w:rsidRPr="002B0BD5" w:rsidRDefault="00FF5D3C" w:rsidP="00EF2D62">
      <w:pPr>
        <w:rPr>
          <w:rFonts w:cs="Arial"/>
          <w:snapToGrid w:val="0"/>
          <w:lang w:val="es-ES_tradnl"/>
        </w:rPr>
      </w:pPr>
      <w:r w:rsidRPr="002B0BD5">
        <w:rPr>
          <w:rFonts w:cs="Arial"/>
          <w:lang w:val="es-ES_tradnl"/>
        </w:rPr>
        <w:t>1.1</w:t>
      </w:r>
      <w:r w:rsidR="00A857BC" w:rsidRPr="002B0BD5">
        <w:rPr>
          <w:lang w:val="es-ES_tradnl"/>
        </w:rPr>
        <w:tab/>
      </w:r>
      <w:r w:rsidR="00EA16ED" w:rsidRPr="002B0BD5">
        <w:rPr>
          <w:rFonts w:cs="Arial"/>
          <w:lang w:val="es-ES_tradnl"/>
        </w:rPr>
        <w:t>L</w:t>
      </w:r>
      <w:r w:rsidR="00A857BC" w:rsidRPr="002B0BD5">
        <w:rPr>
          <w:rFonts w:cs="Arial"/>
          <w:lang w:val="es-ES_tradnl"/>
        </w:rPr>
        <w:t>a</w:t>
      </w:r>
      <w:r w:rsidRPr="002B0BD5">
        <w:rPr>
          <w:rFonts w:cs="Arial"/>
          <w:lang w:val="es-ES_tradnl"/>
        </w:rPr>
        <w:t xml:space="preserve"> trilogía de reuniones organizadas en 2011 y 2012 (la “trilogía”) puso de manifiesto la importancia del sistema de la UPOV de protección de las variedades vegetales a la hora de lograr una agricultura productiva y sostenible, en el marco de la seguridad alimentaria y el desarrollo económico, con el consiguiente beneficio para la sociedad en su conjunto.</w:t>
      </w:r>
      <w:r w:rsidR="00421639" w:rsidRPr="002B0BD5">
        <w:rPr>
          <w:rFonts w:cs="Arial"/>
          <w:lang w:val="es-ES_tradnl"/>
        </w:rPr>
        <w:t xml:space="preserve">  </w:t>
      </w:r>
      <w:r w:rsidRPr="002B0BD5">
        <w:rPr>
          <w:rFonts w:cs="Arial"/>
          <w:lang w:val="es-ES_tradnl"/>
        </w:rPr>
        <w:t xml:space="preserve">El “Simposio sobre el fitomejoramiento </w:t>
      </w:r>
      <w:r w:rsidR="006F39B1">
        <w:rPr>
          <w:rFonts w:cs="Arial"/>
          <w:lang w:val="es-ES_tradnl"/>
        </w:rPr>
        <w:br/>
      </w:r>
      <w:r w:rsidRPr="002B0BD5">
        <w:rPr>
          <w:rFonts w:cs="Arial"/>
          <w:lang w:val="es-ES_tradnl"/>
        </w:rPr>
        <w:t>para el futuro” (</w:t>
      </w:r>
      <w:hyperlink r:id="rId11" w:history="1">
        <w:r w:rsidR="006F39B1" w:rsidRPr="007F30C1">
          <w:rPr>
            <w:rStyle w:val="Hyperlink"/>
            <w:rFonts w:cs="Arial"/>
            <w:lang w:val="es-ES_tradnl"/>
          </w:rPr>
          <w:t>http://www.upov.int/meetings/es/details.jsp?meeting_id=24133</w:t>
        </w:r>
      </w:hyperlink>
      <w:r w:rsidRPr="002B0BD5">
        <w:rPr>
          <w:rFonts w:cs="Arial"/>
          <w:lang w:val="es-ES_tradnl"/>
        </w:rPr>
        <w:t xml:space="preserve">), celebrado en Ginebra </w:t>
      </w:r>
      <w:r w:rsidR="006F39B1">
        <w:rPr>
          <w:rFonts w:cs="Arial"/>
          <w:lang w:val="es-ES_tradnl"/>
        </w:rPr>
        <w:br/>
      </w:r>
      <w:r w:rsidRPr="002B0BD5">
        <w:rPr>
          <w:rFonts w:cs="Arial"/>
          <w:lang w:val="es-ES_tradnl"/>
        </w:rPr>
        <w:t>el 21 de octubre de 2011, puso de manifiesto la importancia del fitomejoramiento y la protección de las variedades vegetales a la hora de desarrollar variedades que permitan a los agricultores y cultivadores satisfacer las necesidades de los consumidores.  El “Seminario sobre la protección de las variedades vegetales y la transferencia de tecnología:  beneficios de la colaboración público–privada”, celebrado en Ginebra el 11 y el 12 de abril de 2011 (</w:t>
      </w:r>
      <w:hyperlink r:id="rId12" w:history="1">
        <w:r w:rsidR="006F39B1" w:rsidRPr="007F30C1">
          <w:rPr>
            <w:rStyle w:val="Hyperlink"/>
            <w:rFonts w:cs="Arial"/>
            <w:lang w:val="es-ES_tradnl"/>
          </w:rPr>
          <w:t>http://www.upov.int/meetings/es/details.jsp?meeting_id=22163</w:t>
        </w:r>
      </w:hyperlink>
      <w:r w:rsidRPr="002B0BD5">
        <w:rPr>
          <w:rFonts w:cs="Arial"/>
          <w:lang w:val="es-ES_tradnl"/>
        </w:rPr>
        <w:t xml:space="preserve">), demostró el papel que desempeña el sistema de la UPOV de protección de las variedades vegetales en el fomento del fitomejoramiento en los sectores público y privado, así como en el fomento de la colaboración público–privada, además de destacar el papel que desempeña a la hora de facilitar el suministro de variedades a los agricultores.  La tercera reunión de la trilogía, el “Simposio sobre las ventajas </w:t>
      </w:r>
      <w:r w:rsidR="006F39B1">
        <w:rPr>
          <w:rFonts w:cs="Arial"/>
          <w:lang w:val="es-ES_tradnl"/>
        </w:rPr>
        <w:br/>
      </w:r>
      <w:r w:rsidRPr="002B0BD5">
        <w:rPr>
          <w:rFonts w:cs="Arial"/>
          <w:lang w:val="es-ES_tradnl"/>
        </w:rPr>
        <w:t>de la protección de las obtenciones vegetales para los agricultores y los productores” (</w:t>
      </w:r>
      <w:hyperlink r:id="rId13" w:history="1">
        <w:r w:rsidR="006F39B1" w:rsidRPr="007F30C1">
          <w:rPr>
            <w:rStyle w:val="Hyperlink"/>
            <w:rFonts w:cs="Arial"/>
            <w:lang w:val="es-ES_tradnl"/>
          </w:rPr>
          <w:t>http://www.upov.int/meetings/es/details.jsp?meeting_id=26104</w:t>
        </w:r>
      </w:hyperlink>
      <w:r w:rsidR="006F39B1">
        <w:rPr>
          <w:rFonts w:cs="Arial"/>
          <w:lang w:val="es-ES_tradnl"/>
        </w:rPr>
        <w:t xml:space="preserve">), celebrado en Ginebra el </w:t>
      </w:r>
      <w:r w:rsidRPr="002B0BD5">
        <w:rPr>
          <w:rFonts w:cs="Arial"/>
          <w:lang w:val="es-ES_tradnl"/>
        </w:rPr>
        <w:t xml:space="preserve">2 de noviembre de 2012, expuso ejemplos concretos de la forma en que la protección de las obtenciones vegetales puede suponer una mejora de los ingresos para los agricultores y productores, al fomentar el desarrollo y el suministro de obtenciones mejoradas que se adapten a sus necesidades y al crear un mecanismo que facilite la cooperación y añada valor a la cadena de producción. </w:t>
      </w:r>
      <w:r w:rsidR="006E42D6" w:rsidRPr="002B0BD5">
        <w:rPr>
          <w:rFonts w:cs="Arial"/>
          <w:lang w:val="es-ES_tradnl"/>
        </w:rPr>
        <w:t xml:space="preserve"> </w:t>
      </w:r>
      <w:r w:rsidRPr="002B0BD5">
        <w:rPr>
          <w:rFonts w:cs="Arial"/>
          <w:lang w:val="es-ES_tradnl"/>
        </w:rPr>
        <w:t>En el Simposio se dieron ejemplos también de la forma en que agricultores y productores pueden valerse de la protección de las variedades vegetales en calidad de obtentores.</w:t>
      </w:r>
    </w:p>
    <w:p w:rsidR="00FF5D3C" w:rsidRPr="002B0BD5" w:rsidRDefault="00FF5D3C" w:rsidP="00EF2D62">
      <w:pPr>
        <w:rPr>
          <w:rFonts w:cs="Arial"/>
          <w:lang w:val="es-ES_tradnl"/>
        </w:rPr>
      </w:pPr>
    </w:p>
    <w:p w:rsidR="00FF5D3C" w:rsidRPr="002B0BD5" w:rsidRDefault="00FF5D3C" w:rsidP="00EF2D62">
      <w:pPr>
        <w:rPr>
          <w:rFonts w:cs="Arial"/>
          <w:lang w:val="es-ES_tradnl"/>
        </w:rPr>
      </w:pPr>
      <w:r w:rsidRPr="002B0BD5">
        <w:rPr>
          <w:rFonts w:cs="Arial"/>
          <w:lang w:val="es-ES_tradnl"/>
        </w:rPr>
        <w:t xml:space="preserve">1.2 </w:t>
      </w:r>
      <w:r w:rsidR="00BC3BFA" w:rsidRPr="002B0BD5">
        <w:rPr>
          <w:rFonts w:cs="Arial"/>
          <w:lang w:val="es-ES_tradnl"/>
        </w:rPr>
        <w:tab/>
      </w:r>
      <w:r w:rsidRPr="002B0BD5">
        <w:rPr>
          <w:rFonts w:cs="Arial"/>
          <w:lang w:val="es-ES_tradnl"/>
        </w:rPr>
        <w:t>La trilogía se basó en las conclusiones del Informe de la UPOV sobre el Impacto de la Protección de las Obtenciones Vegetales (</w:t>
      </w:r>
      <w:hyperlink r:id="rId14" w:history="1">
        <w:r w:rsidR="006F39B1" w:rsidRPr="007F30C1">
          <w:rPr>
            <w:rStyle w:val="Hyperlink"/>
            <w:rFonts w:cs="Arial"/>
            <w:lang w:val="es-ES_tradnl"/>
          </w:rPr>
          <w:t>http://www.upov.int/about/es/pdf/353_upov_report.pdf</w:t>
        </w:r>
      </w:hyperlink>
      <w:r w:rsidRPr="002B0BD5">
        <w:rPr>
          <w:rFonts w:cs="Arial"/>
          <w:lang w:val="es-ES_tradnl"/>
        </w:rPr>
        <w:t>), en el que se demostró que, a fin de gozar plenamente de los beneficios que la protección de las variedades vegetales puede reportar, es fundamental ser miembro de la Unión y aplicar el Convenio de la UPOV.  Además, el informe demuestra que la expansión de la UPOV beneficia tanto a los miembros de la UPOV más recientes como a los más antiguos.</w:t>
      </w:r>
    </w:p>
    <w:p w:rsidR="00421639" w:rsidRPr="002B0BD5" w:rsidRDefault="00421639" w:rsidP="00EF2D62">
      <w:pPr>
        <w:rPr>
          <w:rFonts w:cs="Arial"/>
          <w:lang w:val="es-ES_tradnl"/>
        </w:rPr>
      </w:pPr>
    </w:p>
    <w:tbl>
      <w:tblPr>
        <w:tblStyle w:val="TableGrid"/>
        <w:tblW w:w="9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516"/>
      </w:tblGrid>
      <w:tr w:rsidR="005D61AB" w:rsidRPr="000F652A" w:rsidTr="00DC35EC">
        <w:tc>
          <w:tcPr>
            <w:tcW w:w="9516" w:type="dxa"/>
          </w:tcPr>
          <w:p w:rsidR="00421639" w:rsidRPr="002B0BD5" w:rsidRDefault="00FF5D3C" w:rsidP="00EF2D62">
            <w:pPr>
              <w:rPr>
                <w:rFonts w:cs="Arial"/>
                <w:lang w:val="es-ES_tradnl"/>
              </w:rPr>
            </w:pPr>
            <w:r w:rsidRPr="002B0BD5">
              <w:rPr>
                <w:rFonts w:cs="Arial"/>
                <w:lang w:val="es-ES_tradnl"/>
              </w:rPr>
              <w:t>Gráfico 1:  Número de nuevos miembros de la Unión</w:t>
            </w:r>
          </w:p>
        </w:tc>
      </w:tr>
      <w:tr w:rsidR="00421639" w:rsidRPr="002B0BD5" w:rsidTr="00DC35EC">
        <w:tc>
          <w:tcPr>
            <w:tcW w:w="9516" w:type="dxa"/>
            <w:vAlign w:val="center"/>
          </w:tcPr>
          <w:p w:rsidR="00421639" w:rsidRPr="002B0BD5" w:rsidRDefault="002D06E1" w:rsidP="00EF2D62">
            <w:pPr>
              <w:jc w:val="center"/>
              <w:rPr>
                <w:rFonts w:cs="Arial"/>
                <w:lang w:val="es-ES_tradnl"/>
              </w:rPr>
            </w:pPr>
            <w:r w:rsidRPr="002B0BD5">
              <w:rPr>
                <w:rFonts w:cs="Arial"/>
                <w:noProof/>
              </w:rPr>
              <w:drawing>
                <wp:inline distT="0" distB="0" distL="0" distR="0" wp14:anchorId="06F8EAB7" wp14:editId="16512F12">
                  <wp:extent cx="5481967" cy="3384134"/>
                  <wp:effectExtent l="0" t="0" r="4445" b="698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481967" cy="3384134"/>
                          </a:xfrm>
                          <a:prstGeom prst="rect">
                            <a:avLst/>
                          </a:prstGeom>
                          <a:noFill/>
                          <a:ln w="9525">
                            <a:noFill/>
                            <a:miter lim="800000"/>
                            <a:headEnd/>
                            <a:tailEnd/>
                          </a:ln>
                        </pic:spPr>
                      </pic:pic>
                    </a:graphicData>
                  </a:graphic>
                </wp:inline>
              </w:drawing>
            </w:r>
          </w:p>
        </w:tc>
      </w:tr>
    </w:tbl>
    <w:p w:rsidR="00FF5D3C" w:rsidRPr="002B0BD5" w:rsidRDefault="00FF5D3C" w:rsidP="00EF2D62">
      <w:pPr>
        <w:rPr>
          <w:rFonts w:cs="Arial"/>
          <w:snapToGrid w:val="0"/>
          <w:lang w:val="es-ES_tradnl"/>
        </w:rPr>
      </w:pPr>
      <w:r w:rsidRPr="002B0BD5">
        <w:rPr>
          <w:rFonts w:cs="Arial"/>
          <w:lang w:val="es-ES_tradnl"/>
        </w:rPr>
        <w:t xml:space="preserve">1.3 </w:t>
      </w:r>
      <w:r w:rsidR="00C50FD0" w:rsidRPr="002B0BD5">
        <w:rPr>
          <w:rFonts w:cs="Arial"/>
          <w:lang w:val="es-ES_tradnl"/>
        </w:rPr>
        <w:tab/>
      </w:r>
      <w:r w:rsidRPr="002B0BD5">
        <w:rPr>
          <w:rFonts w:cs="Arial"/>
          <w:lang w:val="es-ES_tradnl"/>
        </w:rPr>
        <w:t>Durante el período entre 2007 y 2012, el aumento en el número de miembros de la UPOV fue, en promedio, de un nuevo miembro por año (véase el gráfico 1) y se prevé que continuará a un ritmo similar en los años por venir.  Han iniciado el procedimiento de adhesión al Convenio de la UPOV dieciséis Estados y una organización intergubernamental, y 2</w:t>
      </w:r>
      <w:r w:rsidR="00184C4D">
        <w:rPr>
          <w:rFonts w:cs="Arial"/>
          <w:lang w:val="es-ES_tradnl"/>
        </w:rPr>
        <w:t>4</w:t>
      </w:r>
      <w:r w:rsidRPr="002B0BD5">
        <w:rPr>
          <w:rFonts w:cs="Arial"/>
          <w:lang w:val="es-ES_tradnl"/>
        </w:rPr>
        <w:t xml:space="preserve"> Estados y dos organizaciones intergubernamentales se han puesto en contacto con la Oficina de la Unión para solicitar asistencia en la elaboración de leyes basadas  en el Convenio de la UPOV.  En el gráfico 2 se ofrece un panorama de la situación actual en relación  con la UPOV.  En el recuadro 1 se ofrece información sobre los Estados y las organizaciones intergubernamentales que han iniciado el procedimiento de adhesión al Convenio de la UPOV y de los que se han puesto en contacto con la Oficina de la Unión para solicitar asistencia en la elaboración de leyes basadas en el Convenio de la UPOV.  De esos datos se desprende que sigue siendo necesario sensibilizar sobre la función de la protección de las variedades vegetales y prestar asistencia a los Estados y organizaciones en el procedimiento de adhesión a la Unión y la aplicación del sistema de la UPOV.</w:t>
      </w:r>
    </w:p>
    <w:p w:rsidR="00421639" w:rsidRPr="002B0BD5" w:rsidRDefault="00421639" w:rsidP="00EF2D62">
      <w:pPr>
        <w:rPr>
          <w:rFonts w:cs="Arial"/>
          <w:lang w:val="es-ES_tradnl"/>
        </w:rPr>
      </w:pP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23"/>
      </w:tblGrid>
      <w:tr w:rsidR="005D61AB" w:rsidRPr="000F652A" w:rsidTr="00DC35EC">
        <w:tc>
          <w:tcPr>
            <w:tcW w:w="9923" w:type="dxa"/>
            <w:shd w:val="clear" w:color="auto" w:fill="auto"/>
            <w:vAlign w:val="center"/>
          </w:tcPr>
          <w:p w:rsidR="005C0E12" w:rsidRPr="002B0BD5" w:rsidRDefault="005C0E12" w:rsidP="00EF2D62">
            <w:pPr>
              <w:spacing w:after="40"/>
              <w:rPr>
                <w:rFonts w:cs="Arial"/>
                <w:lang w:val="es-ES_tradnl"/>
              </w:rPr>
            </w:pPr>
            <w:r w:rsidRPr="002B0BD5">
              <w:rPr>
                <w:rFonts w:cs="Arial"/>
                <w:lang w:val="es-ES_tradnl"/>
              </w:rPr>
              <w:t xml:space="preserve">Gráfico 2:  Mapa </w:t>
            </w:r>
            <w:r w:rsidR="00882F36" w:rsidRPr="002B0BD5">
              <w:rPr>
                <w:rFonts w:cs="Arial"/>
                <w:lang w:val="es-ES_tradnl"/>
              </w:rPr>
              <w:t>(a 31 de julio de 2013)</w:t>
            </w:r>
            <w:r w:rsidR="00882F36">
              <w:rPr>
                <w:rFonts w:cs="Arial"/>
                <w:lang w:val="es-ES_tradnl"/>
              </w:rPr>
              <w:t xml:space="preserve"> </w:t>
            </w:r>
            <w:r w:rsidRPr="002B0BD5">
              <w:rPr>
                <w:rFonts w:cs="Arial"/>
                <w:lang w:val="es-ES_tradnl"/>
              </w:rPr>
              <w:t xml:space="preserve">de </w:t>
            </w:r>
          </w:p>
          <w:p w:rsidR="00FF5D3C" w:rsidRPr="002B0BD5" w:rsidRDefault="00FF5D3C" w:rsidP="00EF2D62">
            <w:pPr>
              <w:pStyle w:val="ListParagraph"/>
              <w:numPr>
                <w:ilvl w:val="0"/>
                <w:numId w:val="18"/>
              </w:numPr>
              <w:rPr>
                <w:rFonts w:cs="Arial"/>
                <w:sz w:val="18"/>
                <w:szCs w:val="18"/>
                <w:lang w:val="es-ES_tradnl"/>
              </w:rPr>
            </w:pPr>
            <w:r w:rsidRPr="002B0BD5">
              <w:rPr>
                <w:rFonts w:cs="Arial"/>
                <w:sz w:val="18"/>
                <w:szCs w:val="18"/>
                <w:lang w:val="es-ES_tradnl"/>
              </w:rPr>
              <w:t>los miembros de la UPOV (verde);</w:t>
            </w:r>
          </w:p>
          <w:p w:rsidR="00FF5D3C" w:rsidRPr="002B0BD5" w:rsidRDefault="00FF5D3C" w:rsidP="00EF2D62">
            <w:pPr>
              <w:pStyle w:val="ListParagraph"/>
              <w:numPr>
                <w:ilvl w:val="0"/>
                <w:numId w:val="17"/>
              </w:numPr>
              <w:rPr>
                <w:rFonts w:cs="Arial"/>
                <w:sz w:val="18"/>
                <w:szCs w:val="18"/>
                <w:lang w:val="es-ES_tradnl"/>
              </w:rPr>
            </w:pPr>
            <w:r w:rsidRPr="002B0BD5">
              <w:rPr>
                <w:rFonts w:cs="Arial"/>
                <w:sz w:val="18"/>
                <w:szCs w:val="18"/>
                <w:lang w:val="es-ES_tradnl"/>
              </w:rPr>
              <w:t>los Estados y las organizaciones intergubernamentales que han iniciado el procedimiento de adhesión a la UPOV (marrón);  y</w:t>
            </w:r>
            <w:r w:rsidR="00421639" w:rsidRPr="002B0BD5">
              <w:rPr>
                <w:rFonts w:cs="Arial"/>
                <w:sz w:val="18"/>
                <w:szCs w:val="18"/>
                <w:lang w:val="es-ES_tradnl"/>
              </w:rPr>
              <w:t xml:space="preserve"> </w:t>
            </w:r>
          </w:p>
          <w:p w:rsidR="00421639" w:rsidRPr="002B0BD5" w:rsidRDefault="00FF5D3C" w:rsidP="00EF2D62">
            <w:pPr>
              <w:pStyle w:val="ListParagraph"/>
              <w:numPr>
                <w:ilvl w:val="0"/>
                <w:numId w:val="17"/>
              </w:numPr>
              <w:rPr>
                <w:rFonts w:cs="Arial"/>
                <w:sz w:val="18"/>
                <w:szCs w:val="18"/>
                <w:lang w:val="es-ES_tradnl"/>
              </w:rPr>
            </w:pPr>
            <w:r w:rsidRPr="002B0BD5">
              <w:rPr>
                <w:rFonts w:cs="Arial"/>
                <w:sz w:val="18"/>
                <w:szCs w:val="18"/>
                <w:lang w:val="es-ES_tradnl"/>
              </w:rPr>
              <w:t>los Estados y las organizaciones intergubernamentales que se han puesto en contacto con la Oficina de la Unión para solicitar asistencia en la elaboración de leyes basadas en el Convenio de la UPOV (anaranjado).</w:t>
            </w:r>
          </w:p>
        </w:tc>
      </w:tr>
      <w:tr w:rsidR="005D61AB" w:rsidRPr="002B0BD5" w:rsidTr="00DC35EC">
        <w:tc>
          <w:tcPr>
            <w:tcW w:w="9923" w:type="dxa"/>
            <w:shd w:val="clear" w:color="auto" w:fill="auto"/>
            <w:vAlign w:val="center"/>
          </w:tcPr>
          <w:p w:rsidR="007425EB" w:rsidRPr="002B0BD5" w:rsidRDefault="007425EB" w:rsidP="00EF2D62">
            <w:pPr>
              <w:jc w:val="center"/>
              <w:rPr>
                <w:rFonts w:cs="Arial"/>
                <w:lang w:val="es-ES_tradnl"/>
              </w:rPr>
            </w:pPr>
            <w:r w:rsidRPr="002B0BD5">
              <w:rPr>
                <w:rFonts w:cs="Arial"/>
                <w:noProof/>
              </w:rPr>
              <w:drawing>
                <wp:inline distT="0" distB="0" distL="0" distR="0" wp14:anchorId="43878F0B" wp14:editId="42877A1A">
                  <wp:extent cx="5286375" cy="267831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_01_1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11815" cy="2691203"/>
                          </a:xfrm>
                          <a:prstGeom prst="rect">
                            <a:avLst/>
                          </a:prstGeom>
                        </pic:spPr>
                      </pic:pic>
                    </a:graphicData>
                  </a:graphic>
                </wp:inline>
              </w:drawing>
            </w:r>
          </w:p>
        </w:tc>
      </w:tr>
      <w:tr w:rsidR="005D61AB" w:rsidRPr="000F652A" w:rsidTr="00DC35EC">
        <w:tc>
          <w:tcPr>
            <w:tcW w:w="9923" w:type="dxa"/>
            <w:shd w:val="clear" w:color="auto" w:fill="auto"/>
            <w:vAlign w:val="center"/>
          </w:tcPr>
          <w:p w:rsidR="00421639" w:rsidRPr="002B0BD5" w:rsidRDefault="00FF5D3C" w:rsidP="00EF2D62">
            <w:pPr>
              <w:spacing w:before="40"/>
              <w:ind w:left="885" w:right="742"/>
              <w:jc w:val="left"/>
              <w:rPr>
                <w:rFonts w:cs="Arial"/>
                <w:sz w:val="14"/>
                <w:szCs w:val="14"/>
                <w:lang w:val="es-ES_tradnl"/>
              </w:rPr>
            </w:pPr>
            <w:r w:rsidRPr="002B0BD5">
              <w:rPr>
                <w:rFonts w:cs="Arial"/>
                <w:sz w:val="14"/>
                <w:szCs w:val="14"/>
                <w:lang w:val="es-ES_tradnl"/>
              </w:rPr>
              <w:t>Los límites geográficos indicados en este mapa no reflejan opinión alguna por parte de la UPOV acerca de la situación jurídica de los países o territorios.</w:t>
            </w:r>
          </w:p>
        </w:tc>
      </w:tr>
    </w:tbl>
    <w:p w:rsidR="00882F36" w:rsidRDefault="00882F36" w:rsidP="00EF2D62">
      <w:pPr>
        <w:rPr>
          <w:rFonts w:cs="Arial"/>
          <w:snapToGrid w:val="0"/>
          <w:lang w:val="es-ES_tradnl"/>
        </w:rPr>
      </w:pPr>
    </w:p>
    <w:p w:rsidR="00882F36" w:rsidRDefault="00882F36" w:rsidP="00EF2D62">
      <w:pPr>
        <w:jc w:val="left"/>
        <w:rPr>
          <w:rFonts w:cs="Arial"/>
          <w:snapToGrid w:val="0"/>
          <w:lang w:val="es-ES_tradnl"/>
        </w:rPr>
      </w:pPr>
    </w:p>
    <w:p w:rsidR="00421639" w:rsidRPr="002B0BD5" w:rsidRDefault="00421639" w:rsidP="00EF2D62">
      <w:pPr>
        <w:rPr>
          <w:rFonts w:cs="Arial"/>
          <w:snapToGrid w:val="0"/>
          <w:lang w:val="es-ES_tradnl"/>
        </w:rPr>
      </w:pPr>
    </w:p>
    <w:tbl>
      <w:tblPr>
        <w:tblStyle w:val="TableGrid"/>
        <w:tblW w:w="9639" w:type="dxa"/>
        <w:tblInd w:w="250" w:type="dxa"/>
        <w:tblLook w:val="01E0" w:firstRow="1" w:lastRow="1" w:firstColumn="1" w:lastColumn="1" w:noHBand="0" w:noVBand="0"/>
      </w:tblPr>
      <w:tblGrid>
        <w:gridCol w:w="9639"/>
      </w:tblGrid>
      <w:tr w:rsidR="005D61AB" w:rsidRPr="000F652A" w:rsidTr="00C50FD0">
        <w:tc>
          <w:tcPr>
            <w:tcW w:w="9639" w:type="dxa"/>
            <w:tcBorders>
              <w:top w:val="nil"/>
              <w:left w:val="nil"/>
              <w:right w:val="nil"/>
            </w:tcBorders>
          </w:tcPr>
          <w:p w:rsidR="00421639" w:rsidRPr="002B0BD5" w:rsidRDefault="005C0E12" w:rsidP="00EF2D62">
            <w:pPr>
              <w:keepNext/>
              <w:rPr>
                <w:rFonts w:cs="Arial"/>
                <w:snapToGrid w:val="0"/>
                <w:lang w:val="es-ES_tradnl"/>
              </w:rPr>
            </w:pPr>
            <w:r w:rsidRPr="002B0BD5">
              <w:rPr>
                <w:rFonts w:cs="Arial"/>
                <w:snapToGrid w:val="0"/>
                <w:lang w:val="es-ES_tradnl"/>
              </w:rPr>
              <w:t>Recuadro 1 (a 31 de julio de 2013</w:t>
            </w:r>
            <w:r w:rsidR="00BD3B21" w:rsidRPr="002B0BD5">
              <w:rPr>
                <w:rFonts w:cs="Arial"/>
                <w:snapToGrid w:val="0"/>
                <w:lang w:val="es-ES_tradnl"/>
              </w:rPr>
              <w:t>)</w:t>
            </w:r>
          </w:p>
        </w:tc>
      </w:tr>
      <w:tr w:rsidR="005D61AB" w:rsidRPr="000F652A" w:rsidTr="00882F36">
        <w:trPr>
          <w:cantSplit/>
        </w:trPr>
        <w:tc>
          <w:tcPr>
            <w:tcW w:w="9639" w:type="dxa"/>
          </w:tcPr>
          <w:p w:rsidR="00FF5D3C" w:rsidRPr="002B0BD5" w:rsidRDefault="00FF5D3C" w:rsidP="00EF2D62">
            <w:pPr>
              <w:autoSpaceDE w:val="0"/>
              <w:autoSpaceDN w:val="0"/>
              <w:adjustRightInd w:val="0"/>
              <w:spacing w:before="60"/>
              <w:jc w:val="center"/>
              <w:rPr>
                <w:rFonts w:eastAsia="MS Mincho" w:cs="Arial"/>
                <w:sz w:val="18"/>
                <w:szCs w:val="18"/>
                <w:lang w:val="es-ES_tradnl" w:eastAsia="ja-JP"/>
              </w:rPr>
            </w:pPr>
            <w:r w:rsidRPr="002B0BD5">
              <w:rPr>
                <w:rFonts w:eastAsia="MS Mincho" w:cs="Arial"/>
                <w:b/>
                <w:bCs/>
                <w:sz w:val="18"/>
                <w:szCs w:val="18"/>
                <w:lang w:val="es-ES_tradnl" w:eastAsia="ja-JP"/>
              </w:rPr>
              <w:t xml:space="preserve">Estados y organizaciones intergubernamentales que han iniciado el procedimiento de adhesión </w:t>
            </w:r>
            <w:r w:rsidRPr="002B0BD5">
              <w:rPr>
                <w:rFonts w:eastAsia="MS Mincho" w:cs="Arial"/>
                <w:bCs/>
                <w:sz w:val="18"/>
                <w:szCs w:val="18"/>
                <w:lang w:val="es-ES_tradnl" w:eastAsia="ja-JP"/>
              </w:rPr>
              <w:t xml:space="preserve"> </w:t>
            </w:r>
            <w:r w:rsidRPr="002B0BD5">
              <w:rPr>
                <w:rFonts w:eastAsia="MS Mincho" w:cs="Arial"/>
                <w:b/>
                <w:bCs/>
                <w:sz w:val="18"/>
                <w:szCs w:val="18"/>
                <w:lang w:val="es-ES_tradnl" w:eastAsia="ja-JP"/>
              </w:rPr>
              <w:t>al Convenio de la UPOV</w:t>
            </w:r>
            <w:r w:rsidR="00421639" w:rsidRPr="002B0BD5">
              <w:rPr>
                <w:rFonts w:eastAsia="MS Mincho" w:cs="Arial"/>
                <w:b/>
                <w:bCs/>
                <w:sz w:val="18"/>
                <w:szCs w:val="18"/>
                <w:lang w:val="es-ES_tradnl" w:eastAsia="ja-JP"/>
              </w:rPr>
              <w:t xml:space="preserve"> </w:t>
            </w:r>
          </w:p>
          <w:p w:rsidR="00FF5D3C" w:rsidRPr="002B0BD5" w:rsidRDefault="00FF5D3C" w:rsidP="00EF2D62">
            <w:pPr>
              <w:autoSpaceDE w:val="0"/>
              <w:autoSpaceDN w:val="0"/>
              <w:adjustRightInd w:val="0"/>
              <w:rPr>
                <w:rFonts w:eastAsia="MS Mincho" w:cs="Arial"/>
                <w:sz w:val="16"/>
                <w:szCs w:val="16"/>
                <w:lang w:val="es-ES_tradnl" w:eastAsia="ja-JP"/>
              </w:rPr>
            </w:pPr>
            <w:r w:rsidRPr="002B0BD5">
              <w:rPr>
                <w:rFonts w:eastAsia="MS Mincho" w:cs="Arial"/>
                <w:i/>
                <w:iCs/>
                <w:sz w:val="16"/>
                <w:szCs w:val="16"/>
                <w:lang w:val="es-ES_tradnl" w:eastAsia="ja-JP"/>
              </w:rPr>
              <w:t>Estados (16):</w:t>
            </w:r>
            <w:r w:rsidR="00421639" w:rsidRPr="002B0BD5">
              <w:rPr>
                <w:rFonts w:eastAsia="MS Mincho" w:cs="Arial"/>
                <w:i/>
                <w:iCs/>
                <w:sz w:val="16"/>
                <w:szCs w:val="16"/>
                <w:lang w:val="es-ES_tradnl" w:eastAsia="ja-JP"/>
              </w:rPr>
              <w:t xml:space="preserve"> </w:t>
            </w:r>
          </w:p>
          <w:p w:rsidR="00FF5D3C" w:rsidRPr="002B0BD5" w:rsidRDefault="00FF5D3C" w:rsidP="00EF2D62">
            <w:pPr>
              <w:autoSpaceDE w:val="0"/>
              <w:autoSpaceDN w:val="0"/>
              <w:adjustRightInd w:val="0"/>
              <w:rPr>
                <w:rFonts w:eastAsia="MS Mincho" w:cs="Arial"/>
                <w:sz w:val="16"/>
                <w:szCs w:val="16"/>
                <w:lang w:val="es-ES_tradnl" w:eastAsia="ja-JP"/>
              </w:rPr>
            </w:pPr>
          </w:p>
          <w:p w:rsidR="00FF5D3C" w:rsidRPr="002B0BD5" w:rsidRDefault="00FF5D3C" w:rsidP="00EF2D62">
            <w:pPr>
              <w:autoSpaceDE w:val="0"/>
              <w:autoSpaceDN w:val="0"/>
              <w:adjustRightInd w:val="0"/>
              <w:rPr>
                <w:rFonts w:eastAsia="MS Mincho" w:cs="Arial"/>
                <w:sz w:val="16"/>
                <w:szCs w:val="16"/>
                <w:lang w:val="es-ES_tradnl" w:eastAsia="ja-JP"/>
              </w:rPr>
            </w:pPr>
            <w:r w:rsidRPr="002B0BD5">
              <w:rPr>
                <w:rFonts w:eastAsia="MS Mincho" w:cs="Arial"/>
                <w:sz w:val="16"/>
                <w:szCs w:val="16"/>
                <w:lang w:val="es-ES_tradnl" w:eastAsia="ja-JP"/>
              </w:rPr>
              <w:t>Armenia, Bosnia y Herzegovina, Egipto, Filipinas, Ghana, Guatemala, Honduras, India, Kazajstán, Malasia, Mauricio, Montenegro, República Unida de Tanzanía, Tayikistán, Venezuela (República Bolivariana de) y Zimbabwe.</w:t>
            </w:r>
            <w:r w:rsidR="00421639" w:rsidRPr="002B0BD5">
              <w:rPr>
                <w:rFonts w:eastAsia="MS Mincho" w:cs="Arial"/>
                <w:sz w:val="16"/>
                <w:szCs w:val="16"/>
                <w:lang w:val="es-ES_tradnl" w:eastAsia="ja-JP"/>
              </w:rPr>
              <w:t xml:space="preserve"> </w:t>
            </w:r>
          </w:p>
          <w:p w:rsidR="00FF5D3C" w:rsidRPr="002B0BD5" w:rsidRDefault="00FF5D3C" w:rsidP="00EF2D62">
            <w:pPr>
              <w:autoSpaceDE w:val="0"/>
              <w:autoSpaceDN w:val="0"/>
              <w:adjustRightInd w:val="0"/>
              <w:rPr>
                <w:rFonts w:eastAsia="MS Mincho" w:cs="Arial"/>
                <w:i/>
                <w:iCs/>
                <w:sz w:val="16"/>
                <w:szCs w:val="16"/>
                <w:lang w:val="es-ES_tradnl" w:eastAsia="ja-JP"/>
              </w:rPr>
            </w:pPr>
          </w:p>
          <w:p w:rsidR="00FF5D3C" w:rsidRPr="002B0BD5" w:rsidRDefault="00FF5D3C" w:rsidP="00EF2D62">
            <w:pPr>
              <w:autoSpaceDE w:val="0"/>
              <w:autoSpaceDN w:val="0"/>
              <w:adjustRightInd w:val="0"/>
              <w:rPr>
                <w:rFonts w:eastAsia="MS Mincho" w:cs="Arial"/>
                <w:sz w:val="16"/>
                <w:szCs w:val="16"/>
                <w:lang w:val="es-ES_tradnl" w:eastAsia="ja-JP"/>
              </w:rPr>
            </w:pPr>
            <w:r w:rsidRPr="002B0BD5">
              <w:rPr>
                <w:rFonts w:eastAsia="MS Mincho" w:cs="Arial"/>
                <w:i/>
                <w:iCs/>
                <w:sz w:val="16"/>
                <w:szCs w:val="16"/>
                <w:lang w:val="es-ES_tradnl" w:eastAsia="ja-JP"/>
              </w:rPr>
              <w:t>Organización (1):</w:t>
            </w:r>
            <w:r w:rsidR="00421639" w:rsidRPr="002B0BD5">
              <w:rPr>
                <w:rFonts w:eastAsia="MS Mincho" w:cs="Arial"/>
                <w:i/>
                <w:iCs/>
                <w:sz w:val="16"/>
                <w:szCs w:val="16"/>
                <w:lang w:val="es-ES_tradnl" w:eastAsia="ja-JP"/>
              </w:rPr>
              <w:t xml:space="preserve"> </w:t>
            </w:r>
          </w:p>
          <w:p w:rsidR="00FF5D3C" w:rsidRPr="002B0BD5" w:rsidRDefault="00FF5D3C" w:rsidP="00EF2D62">
            <w:pPr>
              <w:autoSpaceDE w:val="0"/>
              <w:autoSpaceDN w:val="0"/>
              <w:adjustRightInd w:val="0"/>
              <w:rPr>
                <w:rFonts w:eastAsia="MS Mincho" w:cs="Arial"/>
                <w:sz w:val="16"/>
                <w:szCs w:val="16"/>
                <w:lang w:val="es-ES_tradnl" w:eastAsia="ja-JP"/>
              </w:rPr>
            </w:pPr>
          </w:p>
          <w:p w:rsidR="00FF5D3C" w:rsidRPr="002B0BD5" w:rsidRDefault="00FF5D3C" w:rsidP="00EF2D62">
            <w:pPr>
              <w:autoSpaceDE w:val="0"/>
              <w:autoSpaceDN w:val="0"/>
              <w:adjustRightInd w:val="0"/>
              <w:rPr>
                <w:rFonts w:eastAsia="MS Mincho" w:cs="Arial"/>
                <w:sz w:val="16"/>
                <w:szCs w:val="16"/>
                <w:lang w:val="es-ES_tradnl" w:eastAsia="ja-JP"/>
              </w:rPr>
            </w:pPr>
            <w:r w:rsidRPr="002B0BD5">
              <w:rPr>
                <w:rFonts w:eastAsia="MS Mincho" w:cs="Arial"/>
                <w:sz w:val="16"/>
                <w:szCs w:val="16"/>
                <w:lang w:val="es-ES_tradnl" w:eastAsia="ja-JP"/>
              </w:rPr>
              <w:t>Organización Africana de la Propiedad Intelectual (OAPI)</w:t>
            </w:r>
            <w:r w:rsidR="00421639" w:rsidRPr="002B0BD5">
              <w:rPr>
                <w:rFonts w:eastAsia="MS Mincho" w:cs="Arial"/>
                <w:sz w:val="16"/>
                <w:szCs w:val="16"/>
                <w:lang w:val="es-ES_tradnl" w:eastAsia="ja-JP"/>
              </w:rPr>
              <w:t xml:space="preserve"> </w:t>
            </w:r>
          </w:p>
          <w:p w:rsidR="00FF5D3C" w:rsidRPr="002B0BD5" w:rsidRDefault="00FF5D3C" w:rsidP="00EF2D62">
            <w:pPr>
              <w:autoSpaceDE w:val="0"/>
              <w:autoSpaceDN w:val="0"/>
              <w:adjustRightInd w:val="0"/>
              <w:rPr>
                <w:rFonts w:eastAsia="MS Mincho" w:cs="Arial"/>
                <w:sz w:val="16"/>
                <w:szCs w:val="16"/>
                <w:lang w:val="es-ES_tradnl" w:eastAsia="ja-JP"/>
              </w:rPr>
            </w:pPr>
            <w:r w:rsidRPr="002B0BD5">
              <w:rPr>
                <w:rFonts w:eastAsia="MS Mincho" w:cs="Arial"/>
                <w:i/>
                <w:iCs/>
                <w:sz w:val="16"/>
                <w:szCs w:val="16"/>
                <w:lang w:val="es-ES_tradnl" w:eastAsia="ja-JP"/>
              </w:rPr>
              <w:t>(Estados miembros de la OAPI (17)</w:t>
            </w:r>
            <w:proofErr w:type="gramStart"/>
            <w:r w:rsidRPr="002B0BD5">
              <w:rPr>
                <w:rFonts w:eastAsia="MS Mincho" w:cs="Arial"/>
                <w:i/>
                <w:iCs/>
                <w:sz w:val="16"/>
                <w:szCs w:val="16"/>
                <w:lang w:val="es-ES_tradnl" w:eastAsia="ja-JP"/>
              </w:rPr>
              <w:t>:  Benin</w:t>
            </w:r>
            <w:proofErr w:type="gramEnd"/>
            <w:r w:rsidRPr="002B0BD5">
              <w:rPr>
                <w:rFonts w:eastAsia="MS Mincho" w:cs="Arial"/>
                <w:i/>
                <w:iCs/>
                <w:sz w:val="16"/>
                <w:szCs w:val="16"/>
                <w:lang w:val="es-ES_tradnl" w:eastAsia="ja-JP"/>
              </w:rPr>
              <w:t xml:space="preserve">, Burkina Faso, Camerún, Chad, </w:t>
            </w:r>
            <w:r w:rsidR="002D06E1" w:rsidRPr="002B0BD5">
              <w:rPr>
                <w:rFonts w:eastAsia="MS Mincho" w:cs="Arial"/>
                <w:i/>
                <w:iCs/>
                <w:sz w:val="16"/>
                <w:szCs w:val="16"/>
                <w:lang w:val="es-ES_tradnl" w:eastAsia="ja-JP"/>
              </w:rPr>
              <w:t xml:space="preserve">Comoras, </w:t>
            </w:r>
            <w:r w:rsidRPr="002B0BD5">
              <w:rPr>
                <w:rFonts w:eastAsia="MS Mincho" w:cs="Arial"/>
                <w:i/>
                <w:iCs/>
                <w:sz w:val="16"/>
                <w:szCs w:val="16"/>
                <w:lang w:val="es-ES_tradnl" w:eastAsia="ja-JP"/>
              </w:rPr>
              <w:t>Congo, Côte d’Ivoire, Gabón, Guinea, Guinea Bissau, Guinea Ecuatorial, Malí, Mauritania, Níger, República Centroafricana, Senegal</w:t>
            </w:r>
            <w:r w:rsidR="009719A4" w:rsidRPr="002B0BD5">
              <w:rPr>
                <w:rFonts w:eastAsia="MS Mincho" w:cs="Arial"/>
                <w:i/>
                <w:iCs/>
                <w:sz w:val="16"/>
                <w:szCs w:val="16"/>
                <w:lang w:val="es-ES_tradnl" w:eastAsia="ja-JP"/>
              </w:rPr>
              <w:t xml:space="preserve"> y</w:t>
            </w:r>
            <w:r w:rsidRPr="002B0BD5">
              <w:rPr>
                <w:rFonts w:eastAsia="MS Mincho" w:cs="Arial"/>
                <w:i/>
                <w:iCs/>
                <w:sz w:val="16"/>
                <w:szCs w:val="16"/>
                <w:lang w:val="es-ES_tradnl" w:eastAsia="ja-JP"/>
              </w:rPr>
              <w:t xml:space="preserve"> Togo).</w:t>
            </w:r>
            <w:r w:rsidR="00421639" w:rsidRPr="002B0BD5">
              <w:rPr>
                <w:rFonts w:eastAsia="MS Mincho" w:cs="Arial"/>
                <w:sz w:val="16"/>
                <w:szCs w:val="16"/>
                <w:lang w:val="es-ES_tradnl" w:eastAsia="ja-JP"/>
              </w:rPr>
              <w:t xml:space="preserve"> </w:t>
            </w:r>
          </w:p>
          <w:p w:rsidR="00FF5D3C" w:rsidRPr="002B0BD5" w:rsidRDefault="00FF5D3C" w:rsidP="00EF2D62">
            <w:pPr>
              <w:autoSpaceDE w:val="0"/>
              <w:autoSpaceDN w:val="0"/>
              <w:adjustRightInd w:val="0"/>
              <w:jc w:val="center"/>
              <w:rPr>
                <w:rFonts w:eastAsia="MS Mincho" w:cs="Arial"/>
                <w:b/>
                <w:bCs/>
                <w:sz w:val="18"/>
                <w:szCs w:val="18"/>
                <w:lang w:val="es-ES_tradnl" w:eastAsia="ja-JP"/>
              </w:rPr>
            </w:pPr>
          </w:p>
          <w:p w:rsidR="00FF5D3C" w:rsidRPr="002B0BD5" w:rsidRDefault="00FF5D3C" w:rsidP="00EF2D62">
            <w:pPr>
              <w:autoSpaceDE w:val="0"/>
              <w:autoSpaceDN w:val="0"/>
              <w:adjustRightInd w:val="0"/>
              <w:jc w:val="center"/>
              <w:rPr>
                <w:rFonts w:eastAsia="MS Mincho" w:cs="Arial"/>
                <w:sz w:val="18"/>
                <w:szCs w:val="18"/>
                <w:lang w:val="es-ES_tradnl" w:eastAsia="ja-JP"/>
              </w:rPr>
            </w:pPr>
            <w:r w:rsidRPr="002B0BD5">
              <w:rPr>
                <w:rFonts w:eastAsia="MS Mincho" w:cs="Arial"/>
                <w:b/>
                <w:bCs/>
                <w:sz w:val="18"/>
                <w:szCs w:val="18"/>
                <w:lang w:val="es-ES_tradnl" w:eastAsia="ja-JP"/>
              </w:rPr>
              <w:t xml:space="preserve">Estados y organizaciones intergubernamentales que se han puesto en contacto con la Oficina de la Unión </w:t>
            </w:r>
            <w:r w:rsidRPr="002B0BD5">
              <w:rPr>
                <w:rFonts w:eastAsia="MS Mincho" w:cs="Arial"/>
                <w:bCs/>
                <w:sz w:val="18"/>
                <w:szCs w:val="18"/>
                <w:lang w:val="es-ES_tradnl" w:eastAsia="ja-JP"/>
              </w:rPr>
              <w:t xml:space="preserve"> </w:t>
            </w:r>
            <w:r w:rsidRPr="002B0BD5">
              <w:rPr>
                <w:rFonts w:eastAsia="MS Mincho" w:cs="Arial"/>
                <w:b/>
                <w:bCs/>
                <w:sz w:val="18"/>
                <w:szCs w:val="18"/>
                <w:lang w:val="es-ES_tradnl" w:eastAsia="ja-JP"/>
              </w:rPr>
              <w:t>para solicitar asistencia en la elaboración de leyes basadas en el Convenio de la UPOV</w:t>
            </w:r>
            <w:r w:rsidR="00421639" w:rsidRPr="002B0BD5">
              <w:rPr>
                <w:rFonts w:eastAsia="MS Mincho" w:cs="Arial"/>
                <w:b/>
                <w:bCs/>
                <w:sz w:val="18"/>
                <w:szCs w:val="18"/>
                <w:lang w:val="es-ES_tradnl" w:eastAsia="ja-JP"/>
              </w:rPr>
              <w:t xml:space="preserve"> </w:t>
            </w:r>
          </w:p>
          <w:p w:rsidR="00FF5D3C" w:rsidRPr="002B0BD5" w:rsidRDefault="00FF5D3C" w:rsidP="00EF2D62">
            <w:pPr>
              <w:autoSpaceDE w:val="0"/>
              <w:autoSpaceDN w:val="0"/>
              <w:adjustRightInd w:val="0"/>
              <w:jc w:val="left"/>
              <w:rPr>
                <w:rFonts w:eastAsia="MS Mincho" w:cs="Arial"/>
                <w:i/>
                <w:iCs/>
                <w:sz w:val="16"/>
                <w:szCs w:val="16"/>
                <w:lang w:val="es-ES_tradnl" w:eastAsia="ja-JP"/>
              </w:rPr>
            </w:pPr>
          </w:p>
          <w:p w:rsidR="00FF5D3C" w:rsidRPr="002B0BD5" w:rsidRDefault="00FF5D3C" w:rsidP="00EF2D62">
            <w:pPr>
              <w:autoSpaceDE w:val="0"/>
              <w:autoSpaceDN w:val="0"/>
              <w:adjustRightInd w:val="0"/>
              <w:jc w:val="left"/>
              <w:rPr>
                <w:rFonts w:eastAsia="MS Mincho" w:cs="Arial"/>
                <w:sz w:val="16"/>
                <w:szCs w:val="16"/>
                <w:lang w:val="es-ES_tradnl" w:eastAsia="ja-JP"/>
              </w:rPr>
            </w:pPr>
            <w:r w:rsidRPr="002B0BD5">
              <w:rPr>
                <w:rFonts w:eastAsia="MS Mincho" w:cs="Arial"/>
                <w:i/>
                <w:iCs/>
                <w:sz w:val="16"/>
                <w:szCs w:val="16"/>
                <w:lang w:val="es-ES_tradnl" w:eastAsia="ja-JP"/>
              </w:rPr>
              <w:t>Estados (2</w:t>
            </w:r>
            <w:r w:rsidR="00882F36">
              <w:rPr>
                <w:rFonts w:eastAsia="MS Mincho" w:cs="Arial"/>
                <w:i/>
                <w:iCs/>
                <w:sz w:val="16"/>
                <w:szCs w:val="16"/>
                <w:lang w:val="es-ES_tradnl" w:eastAsia="ja-JP"/>
              </w:rPr>
              <w:t>4</w:t>
            </w:r>
            <w:r w:rsidRPr="002B0BD5">
              <w:rPr>
                <w:rFonts w:eastAsia="MS Mincho" w:cs="Arial"/>
                <w:i/>
                <w:iCs/>
                <w:sz w:val="16"/>
                <w:szCs w:val="16"/>
                <w:lang w:val="es-ES_tradnl" w:eastAsia="ja-JP"/>
              </w:rPr>
              <w:t>):</w:t>
            </w:r>
            <w:r w:rsidR="00421639" w:rsidRPr="002B0BD5">
              <w:rPr>
                <w:rFonts w:eastAsia="MS Mincho" w:cs="Arial"/>
                <w:i/>
                <w:iCs/>
                <w:sz w:val="16"/>
                <w:szCs w:val="16"/>
                <w:lang w:val="es-ES_tradnl" w:eastAsia="ja-JP"/>
              </w:rPr>
              <w:t xml:space="preserve"> </w:t>
            </w:r>
          </w:p>
          <w:p w:rsidR="00FF5D3C" w:rsidRPr="002B0BD5" w:rsidRDefault="00FF5D3C" w:rsidP="00EF2D62">
            <w:pPr>
              <w:autoSpaceDE w:val="0"/>
              <w:autoSpaceDN w:val="0"/>
              <w:adjustRightInd w:val="0"/>
              <w:rPr>
                <w:rFonts w:eastAsia="MS Mincho" w:cs="Arial"/>
                <w:sz w:val="16"/>
                <w:szCs w:val="16"/>
                <w:lang w:val="es-ES_tradnl" w:eastAsia="ja-JP"/>
              </w:rPr>
            </w:pPr>
          </w:p>
          <w:p w:rsidR="00C50FD0" w:rsidRPr="002B0BD5" w:rsidRDefault="00FF5D3C" w:rsidP="00EF2D62">
            <w:pPr>
              <w:autoSpaceDE w:val="0"/>
              <w:autoSpaceDN w:val="0"/>
              <w:adjustRightInd w:val="0"/>
              <w:rPr>
                <w:rFonts w:eastAsia="MS Mincho" w:cs="Arial"/>
                <w:i/>
                <w:iCs/>
                <w:sz w:val="16"/>
                <w:szCs w:val="16"/>
                <w:lang w:val="es-ES_tradnl" w:eastAsia="ja-JP"/>
              </w:rPr>
            </w:pPr>
            <w:r w:rsidRPr="002B0BD5">
              <w:rPr>
                <w:rFonts w:eastAsia="MS Mincho" w:cs="Arial"/>
                <w:sz w:val="16"/>
                <w:szCs w:val="16"/>
                <w:lang w:val="es-ES_tradnl" w:eastAsia="ja-JP"/>
              </w:rPr>
              <w:t xml:space="preserve">Arabia Saudita, Argelia, Bahrein, Barbados, Brunei Darussalam, Camboya, Chipre, Cuba, El Salvador, Emiratos Árabes Unidos, Indonesia, </w:t>
            </w:r>
            <w:r w:rsidR="00882F36" w:rsidRPr="002B0BD5">
              <w:rPr>
                <w:rFonts w:eastAsia="MS Mincho" w:cs="Arial"/>
                <w:sz w:val="16"/>
                <w:szCs w:val="16"/>
                <w:lang w:val="es-ES_tradnl" w:eastAsia="ja-JP"/>
              </w:rPr>
              <w:t>Irán</w:t>
            </w:r>
            <w:r w:rsidR="00882F36">
              <w:rPr>
                <w:rFonts w:eastAsia="MS Mincho" w:cs="Arial"/>
                <w:sz w:val="16"/>
                <w:szCs w:val="16"/>
                <w:lang w:val="es-ES_tradnl" w:eastAsia="ja-JP"/>
              </w:rPr>
              <w:t xml:space="preserve"> (</w:t>
            </w:r>
            <w:r w:rsidR="00882F36" w:rsidRPr="002B0BD5">
              <w:rPr>
                <w:rFonts w:eastAsia="MS Mincho" w:cs="Arial"/>
                <w:sz w:val="16"/>
                <w:szCs w:val="16"/>
                <w:lang w:val="es-ES_tradnl" w:eastAsia="ja-JP"/>
              </w:rPr>
              <w:t>República Islámica del</w:t>
            </w:r>
            <w:r w:rsidR="00882F36">
              <w:rPr>
                <w:rFonts w:eastAsia="MS Mincho" w:cs="Arial"/>
                <w:sz w:val="16"/>
                <w:szCs w:val="16"/>
                <w:lang w:val="es-ES_tradnl" w:eastAsia="ja-JP"/>
              </w:rPr>
              <w:t>)</w:t>
            </w:r>
            <w:r w:rsidR="00882F36" w:rsidRPr="002B0BD5">
              <w:rPr>
                <w:rFonts w:eastAsia="MS Mincho" w:cs="Arial"/>
                <w:sz w:val="16"/>
                <w:szCs w:val="16"/>
                <w:lang w:val="es-ES_tradnl" w:eastAsia="ja-JP"/>
              </w:rPr>
              <w:t xml:space="preserve">, </w:t>
            </w:r>
            <w:r w:rsidRPr="002B0BD5">
              <w:rPr>
                <w:rFonts w:eastAsia="MS Mincho" w:cs="Arial"/>
                <w:sz w:val="16"/>
                <w:szCs w:val="16"/>
                <w:lang w:val="es-ES_tradnl" w:eastAsia="ja-JP"/>
              </w:rPr>
              <w:t xml:space="preserve">Iraq, Libia, Mozambique, Myanmar, </w:t>
            </w:r>
            <w:r w:rsidR="00882F36">
              <w:rPr>
                <w:rFonts w:eastAsia="MS Mincho" w:cs="Arial"/>
                <w:sz w:val="16"/>
                <w:szCs w:val="16"/>
                <w:lang w:val="es-ES_tradnl" w:eastAsia="ja-JP"/>
              </w:rPr>
              <w:t xml:space="preserve">Namibia, </w:t>
            </w:r>
            <w:r w:rsidRPr="002B0BD5">
              <w:rPr>
                <w:rFonts w:eastAsia="MS Mincho" w:cs="Arial"/>
                <w:sz w:val="16"/>
                <w:szCs w:val="16"/>
                <w:lang w:val="es-ES_tradnl" w:eastAsia="ja-JP"/>
              </w:rPr>
              <w:t>Pakistán, República Democrática Popular Lao, Sudán, Tailandia, Tonga, Turkmenistán y Zambia.</w:t>
            </w:r>
            <w:r w:rsidR="00421639" w:rsidRPr="002B0BD5">
              <w:rPr>
                <w:rFonts w:eastAsia="MS Mincho" w:cs="Arial"/>
                <w:sz w:val="16"/>
                <w:szCs w:val="16"/>
                <w:lang w:val="es-ES_tradnl" w:eastAsia="ja-JP"/>
              </w:rPr>
              <w:t xml:space="preserve"> </w:t>
            </w:r>
          </w:p>
          <w:p w:rsidR="00C50FD0" w:rsidRPr="002B0BD5" w:rsidRDefault="00C50FD0" w:rsidP="00EF2D62">
            <w:pPr>
              <w:autoSpaceDE w:val="0"/>
              <w:autoSpaceDN w:val="0"/>
              <w:adjustRightInd w:val="0"/>
              <w:rPr>
                <w:rFonts w:eastAsia="MS Mincho" w:cs="Arial"/>
                <w:i/>
                <w:iCs/>
                <w:sz w:val="16"/>
                <w:szCs w:val="16"/>
                <w:lang w:val="es-ES_tradnl" w:eastAsia="ja-JP"/>
              </w:rPr>
            </w:pPr>
          </w:p>
          <w:p w:rsidR="00FF5D3C" w:rsidRPr="002B0BD5" w:rsidRDefault="00FF5D3C" w:rsidP="00EF2D62">
            <w:pPr>
              <w:keepNext/>
              <w:autoSpaceDE w:val="0"/>
              <w:autoSpaceDN w:val="0"/>
              <w:adjustRightInd w:val="0"/>
              <w:rPr>
                <w:rFonts w:eastAsia="MS Mincho" w:cs="Arial"/>
                <w:sz w:val="16"/>
                <w:szCs w:val="16"/>
                <w:lang w:val="es-ES_tradnl" w:eastAsia="ja-JP"/>
              </w:rPr>
            </w:pPr>
            <w:r w:rsidRPr="002B0BD5">
              <w:rPr>
                <w:rFonts w:eastAsia="MS Mincho" w:cs="Arial"/>
                <w:i/>
                <w:iCs/>
                <w:sz w:val="16"/>
                <w:szCs w:val="16"/>
                <w:lang w:val="es-ES_tradnl" w:eastAsia="ja-JP"/>
              </w:rPr>
              <w:t>Organizaciones (2):</w:t>
            </w:r>
            <w:r w:rsidR="00421639" w:rsidRPr="002B0BD5">
              <w:rPr>
                <w:rFonts w:eastAsia="MS Mincho" w:cs="Arial"/>
                <w:i/>
                <w:iCs/>
                <w:sz w:val="16"/>
                <w:szCs w:val="16"/>
                <w:lang w:val="es-ES_tradnl" w:eastAsia="ja-JP"/>
              </w:rPr>
              <w:t xml:space="preserve"> </w:t>
            </w:r>
          </w:p>
          <w:p w:rsidR="00FF5D3C" w:rsidRPr="002B0BD5" w:rsidRDefault="00FF5D3C" w:rsidP="00EF2D62">
            <w:pPr>
              <w:keepNext/>
              <w:autoSpaceDE w:val="0"/>
              <w:autoSpaceDN w:val="0"/>
              <w:adjustRightInd w:val="0"/>
              <w:rPr>
                <w:rFonts w:eastAsia="MS Mincho" w:cs="Arial"/>
                <w:sz w:val="16"/>
                <w:szCs w:val="16"/>
                <w:lang w:val="es-ES_tradnl" w:eastAsia="ja-JP"/>
              </w:rPr>
            </w:pPr>
          </w:p>
          <w:p w:rsidR="00FF5D3C" w:rsidRPr="002B0BD5" w:rsidRDefault="00FF5D3C" w:rsidP="00EF2D62">
            <w:pPr>
              <w:autoSpaceDE w:val="0"/>
              <w:autoSpaceDN w:val="0"/>
              <w:adjustRightInd w:val="0"/>
              <w:rPr>
                <w:rFonts w:eastAsia="MS Mincho" w:cs="Arial"/>
                <w:sz w:val="16"/>
                <w:szCs w:val="16"/>
                <w:lang w:val="es-ES_tradnl" w:eastAsia="ja-JP"/>
              </w:rPr>
            </w:pPr>
            <w:r w:rsidRPr="002B0BD5">
              <w:rPr>
                <w:rFonts w:eastAsia="MS Mincho" w:cs="Arial"/>
                <w:sz w:val="16"/>
                <w:szCs w:val="16"/>
                <w:lang w:val="es-ES_tradnl" w:eastAsia="ja-JP"/>
              </w:rPr>
              <w:t>Organización Regional Africana de la Propiedad Intelectual (ARIPO)</w:t>
            </w:r>
            <w:r w:rsidR="00421639" w:rsidRPr="002B0BD5">
              <w:rPr>
                <w:rFonts w:eastAsia="MS Mincho" w:cs="Arial"/>
                <w:sz w:val="16"/>
                <w:szCs w:val="16"/>
                <w:lang w:val="es-ES_tradnl" w:eastAsia="ja-JP"/>
              </w:rPr>
              <w:t xml:space="preserve"> </w:t>
            </w:r>
          </w:p>
          <w:p w:rsidR="00FF5D3C" w:rsidRPr="002B0BD5" w:rsidRDefault="00FF5D3C" w:rsidP="00EF2D62">
            <w:pPr>
              <w:autoSpaceDE w:val="0"/>
              <w:autoSpaceDN w:val="0"/>
              <w:adjustRightInd w:val="0"/>
              <w:ind w:left="567"/>
              <w:rPr>
                <w:rFonts w:eastAsia="MS Mincho" w:cs="Arial"/>
                <w:sz w:val="16"/>
                <w:szCs w:val="16"/>
                <w:lang w:val="es-ES_tradnl" w:eastAsia="ja-JP"/>
              </w:rPr>
            </w:pPr>
            <w:r w:rsidRPr="002B0BD5">
              <w:rPr>
                <w:rFonts w:eastAsia="MS Mincho" w:cs="Arial"/>
                <w:i/>
                <w:iCs/>
                <w:sz w:val="16"/>
                <w:szCs w:val="16"/>
                <w:lang w:val="es-ES_tradnl" w:eastAsia="ja-JP"/>
              </w:rPr>
              <w:t>(Estados miembros de la ARIPO (18):  Botswana, Gambia, Ghana, Kenya, Lesotho, Liberia, Malawi, Mozambique, Namibia, República Unida de Tanzanía, Rwanda, Sierra Leona, Somalia, Sudán, Swazilandia, Uganda, Zambia, Zimbabwe)</w:t>
            </w:r>
            <w:r w:rsidR="00421639" w:rsidRPr="002B0BD5">
              <w:rPr>
                <w:rFonts w:eastAsia="MS Mincho" w:cs="Arial"/>
                <w:i/>
                <w:iCs/>
                <w:sz w:val="16"/>
                <w:szCs w:val="16"/>
                <w:lang w:val="es-ES_tradnl" w:eastAsia="ja-JP"/>
              </w:rPr>
              <w:t xml:space="preserve"> </w:t>
            </w:r>
          </w:p>
          <w:p w:rsidR="00FF5D3C" w:rsidRPr="002B0BD5" w:rsidRDefault="00FF5D3C" w:rsidP="00EF2D62">
            <w:pPr>
              <w:autoSpaceDE w:val="0"/>
              <w:autoSpaceDN w:val="0"/>
              <w:adjustRightInd w:val="0"/>
              <w:spacing w:before="120"/>
              <w:rPr>
                <w:rFonts w:eastAsia="MS Mincho" w:cs="Arial"/>
                <w:sz w:val="16"/>
                <w:szCs w:val="16"/>
                <w:lang w:val="es-ES_tradnl" w:eastAsia="ja-JP"/>
              </w:rPr>
            </w:pPr>
            <w:r w:rsidRPr="002B0BD5">
              <w:rPr>
                <w:rFonts w:eastAsia="MS Mincho" w:cs="Arial"/>
                <w:sz w:val="16"/>
                <w:szCs w:val="16"/>
                <w:lang w:val="es-ES_tradnl" w:eastAsia="ja-JP"/>
              </w:rPr>
              <w:t>Comunidad del África Meridional para el Desarrollo (SADC)</w:t>
            </w:r>
            <w:r w:rsidR="00421639" w:rsidRPr="002B0BD5">
              <w:rPr>
                <w:rFonts w:eastAsia="MS Mincho" w:cs="Arial"/>
                <w:sz w:val="16"/>
                <w:szCs w:val="16"/>
                <w:lang w:val="es-ES_tradnl" w:eastAsia="ja-JP"/>
              </w:rPr>
              <w:t xml:space="preserve"> </w:t>
            </w:r>
          </w:p>
          <w:p w:rsidR="00421639" w:rsidRPr="002B0BD5" w:rsidRDefault="00FF5D3C" w:rsidP="00EF2D62">
            <w:pPr>
              <w:autoSpaceDE w:val="0"/>
              <w:autoSpaceDN w:val="0"/>
              <w:adjustRightInd w:val="0"/>
              <w:spacing w:after="60"/>
              <w:ind w:left="567"/>
              <w:rPr>
                <w:rFonts w:cs="Arial"/>
                <w:snapToGrid w:val="0"/>
                <w:lang w:val="es-ES_tradnl"/>
              </w:rPr>
            </w:pPr>
            <w:r w:rsidRPr="002B0BD5">
              <w:rPr>
                <w:rFonts w:eastAsia="MS Mincho" w:cs="Arial"/>
                <w:i/>
                <w:iCs/>
                <w:sz w:val="16"/>
                <w:szCs w:val="16"/>
                <w:lang w:val="es-ES_tradnl" w:eastAsia="ja-JP"/>
              </w:rPr>
              <w:t>(Estados miembros de la SADC (15):  Angola, Botswana, Lesotho, Madagascar, Malawi, Mauricio, Mozambique, Namibia, República Democrática del Congo, República Unida de Tanzanía, Seychelles, Sudáfrica, Swazilandia, Zambia, Zimbabwe)</w:t>
            </w:r>
            <w:r w:rsidRPr="002B0BD5">
              <w:rPr>
                <w:rFonts w:eastAsia="MS Mincho" w:cs="Arial"/>
                <w:iCs/>
                <w:sz w:val="16"/>
                <w:szCs w:val="16"/>
                <w:lang w:val="es-ES_tradnl" w:eastAsia="ja-JP"/>
              </w:rPr>
              <w:t>.</w:t>
            </w:r>
          </w:p>
        </w:tc>
      </w:tr>
    </w:tbl>
    <w:p w:rsidR="00FF5D3C" w:rsidRPr="002B0BD5" w:rsidRDefault="00FF5D3C" w:rsidP="00EF2D62">
      <w:pPr>
        <w:rPr>
          <w:rFonts w:cs="Arial"/>
          <w:snapToGrid w:val="0"/>
          <w:lang w:val="es-ES_tradnl"/>
        </w:rPr>
      </w:pPr>
    </w:p>
    <w:p w:rsidR="00FF5D3C" w:rsidRPr="002B0BD5" w:rsidRDefault="00FF5D3C" w:rsidP="00EF2D62">
      <w:pPr>
        <w:rPr>
          <w:rFonts w:cs="Arial"/>
          <w:lang w:val="es-ES_tradnl"/>
        </w:rPr>
      </w:pPr>
      <w:r w:rsidRPr="002B0BD5">
        <w:rPr>
          <w:rFonts w:cs="Arial"/>
          <w:lang w:val="es-ES_tradnl"/>
        </w:rPr>
        <w:t xml:space="preserve">1.4 </w:t>
      </w:r>
      <w:r w:rsidR="00C50FD0" w:rsidRPr="002B0BD5">
        <w:rPr>
          <w:rFonts w:cs="Arial"/>
          <w:lang w:val="es-ES_tradnl"/>
        </w:rPr>
        <w:tab/>
      </w:r>
      <w:r w:rsidRPr="002B0BD5">
        <w:rPr>
          <w:rFonts w:cs="Arial"/>
          <w:lang w:val="es-ES_tradnl"/>
        </w:rPr>
        <w:t>En el bienio 2014-2015, la principal prioridad seguirá siendo respaldar a los miembros de la Unión en la aplicación de sus respectivos sistemas de protección de variedades vegetales.  El sistema de la UPOV sigue ampliándose, como lo refleja el número de miembros de la Unión, el número de solicitudes, el número de títulos que se conceden y de títulos en vigor (véanse los gráficos 1 y 3).  Se estima que, entre los miembros de la Unión, se ha solicitado protección de variedades para aproximadamente 3.000 géneros o especies.  Esos datos muestran por qué la cooperación entre los miembros de la Unión tiene un interés fundamental para los miembros de la UPOV.  A ese respecto, el material de orientación que ha elaborado la UPOV en lo tocante al examen de variedades fomenta la armonización entre los miembros de la Unión, facilitando el intercambio de información y de informes sobre el examen de la distinción, la homogeneidad y la estabilidad (“DHE”).  El apoyo que presta la Oficina de la Unión y la cooperación en el seno de la UPOV se basan en la labor y apoyo de cada uno de los miembros de la Unión.  Los miembros de la Unión han elaborado más de 290 directrices de examen, que abarcan aproximadamente, según se calcula, el 90% de las solicitudes de derechos de obtentor en la Unión.  Además, los miembros de la Unión han proporcionado información sobre su experiencia práctica en el examen DHE con respecto a más de 2.600 géneros y especies, con objeto de compartir su experiencia con los demás miembros de la Unión.  Existen acuerdos de cooperación en el examen DHE entre los miembros de la Unión en relación con unos 2.000 géneros y especies.  El desarrollo de esa cooperación se indica en el gráfico 4.  En el bienio 2014-2015 se establecerán nuevas medidas para consolidar y mejorar la cooperación entre los miembros de la Unión, especialmente en lo que respecta a la información disponible en la Base de datos sobre variedades vegetales (PLUTO) y la base de datos GENIE y a la información sobre programas informáticos para intercambio proporcionada por los miembros de la Unión.</w:t>
      </w:r>
      <w:r w:rsidR="00421639" w:rsidRPr="002B0BD5">
        <w:rPr>
          <w:rFonts w:cs="Arial"/>
          <w:lang w:val="es-ES_tradnl"/>
        </w:rPr>
        <w:t xml:space="preserve"> </w:t>
      </w:r>
    </w:p>
    <w:p w:rsidR="00421639" w:rsidRPr="002B0BD5" w:rsidRDefault="00421639" w:rsidP="00EF2D62">
      <w:pPr>
        <w:rPr>
          <w:rFonts w:cs="Arial"/>
          <w:lang w:val="es-ES_tradnl"/>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89"/>
      </w:tblGrid>
      <w:tr w:rsidR="005D61AB" w:rsidRPr="000F652A" w:rsidTr="00DC35EC">
        <w:tc>
          <w:tcPr>
            <w:tcW w:w="9889" w:type="dxa"/>
            <w:shd w:val="clear" w:color="auto" w:fill="auto"/>
          </w:tcPr>
          <w:p w:rsidR="00421639" w:rsidRPr="002B0BD5" w:rsidRDefault="00FF5D3C" w:rsidP="00EF2D62">
            <w:pPr>
              <w:keepNext/>
              <w:rPr>
                <w:rFonts w:cs="Arial"/>
                <w:lang w:val="es-ES_tradnl"/>
              </w:rPr>
            </w:pPr>
            <w:bookmarkStart w:id="6" w:name="OLE_LINK11"/>
            <w:bookmarkStart w:id="7" w:name="OLE_LINK12"/>
            <w:r w:rsidRPr="002B0BD5">
              <w:rPr>
                <w:rFonts w:cs="Arial"/>
                <w:lang w:val="es-ES_tradnl"/>
              </w:rPr>
              <w:t>Gráfico 3:  Número de solicitudes, títulos concedidos y títulos en vigor en los miembros de la Unión</w:t>
            </w:r>
          </w:p>
        </w:tc>
      </w:tr>
      <w:tr w:rsidR="00421639" w:rsidRPr="002B0BD5" w:rsidTr="00DC35EC">
        <w:tc>
          <w:tcPr>
            <w:tcW w:w="9889" w:type="dxa"/>
            <w:shd w:val="clear" w:color="auto" w:fill="auto"/>
          </w:tcPr>
          <w:p w:rsidR="00421639" w:rsidRPr="002B0BD5" w:rsidRDefault="00823E90" w:rsidP="00EF2D62">
            <w:pPr>
              <w:jc w:val="center"/>
              <w:rPr>
                <w:rFonts w:cs="Arial"/>
                <w:lang w:val="es-ES_tradnl"/>
              </w:rPr>
            </w:pPr>
            <w:r w:rsidRPr="002B0BD5">
              <w:rPr>
                <w:rFonts w:cs="Arial"/>
                <w:noProof/>
              </w:rPr>
              <w:drawing>
                <wp:inline distT="0" distB="0" distL="0" distR="0" wp14:anchorId="626420DE" wp14:editId="364DD44B">
                  <wp:extent cx="6118860" cy="394525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6118860" cy="3945255"/>
                          </a:xfrm>
                          <a:prstGeom prst="rect">
                            <a:avLst/>
                          </a:prstGeom>
                          <a:noFill/>
                          <a:ln w="9525">
                            <a:noFill/>
                            <a:miter lim="800000"/>
                            <a:headEnd/>
                            <a:tailEnd/>
                          </a:ln>
                        </pic:spPr>
                      </pic:pic>
                    </a:graphicData>
                  </a:graphic>
                </wp:inline>
              </w:drawing>
            </w:r>
          </w:p>
        </w:tc>
      </w:tr>
    </w:tbl>
    <w:p w:rsidR="00421639" w:rsidRPr="002B0BD5" w:rsidRDefault="00421639" w:rsidP="00EF2D62">
      <w:pPr>
        <w:rPr>
          <w:rFonts w:cs="Arial"/>
          <w:lang w:val="es-ES_tradnl"/>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89"/>
      </w:tblGrid>
      <w:tr w:rsidR="005D61AB" w:rsidRPr="000F652A" w:rsidTr="00DC35EC">
        <w:tc>
          <w:tcPr>
            <w:tcW w:w="9889" w:type="dxa"/>
          </w:tcPr>
          <w:p w:rsidR="00421639" w:rsidRPr="002B0BD5" w:rsidRDefault="00FF5D3C" w:rsidP="00EF2D62">
            <w:pPr>
              <w:keepNext/>
              <w:rPr>
                <w:rFonts w:cs="Arial"/>
                <w:lang w:val="es-ES_tradnl"/>
              </w:rPr>
            </w:pPr>
            <w:r w:rsidRPr="002B0BD5">
              <w:rPr>
                <w:rFonts w:cs="Arial"/>
                <w:lang w:val="es-ES_tradnl"/>
              </w:rPr>
              <w:t>Gráfico 4:  Experiencia y cooperación en la UPOV</w:t>
            </w:r>
          </w:p>
        </w:tc>
      </w:tr>
      <w:tr w:rsidR="00421639" w:rsidRPr="002B0BD5" w:rsidTr="006E0BCE">
        <w:trPr>
          <w:trHeight w:val="7105"/>
        </w:trPr>
        <w:tc>
          <w:tcPr>
            <w:tcW w:w="9889" w:type="dxa"/>
          </w:tcPr>
          <w:p w:rsidR="00421639" w:rsidRPr="002B0BD5" w:rsidRDefault="006E0BCE" w:rsidP="00EF2D62">
            <w:pPr>
              <w:jc w:val="center"/>
              <w:rPr>
                <w:rFonts w:cs="Arial"/>
                <w:lang w:val="es-ES_tradnl"/>
              </w:rPr>
            </w:pPr>
            <w:r>
              <w:rPr>
                <w:noProof/>
              </w:rPr>
              <w:drawing>
                <wp:inline distT="0" distB="0" distL="0" distR="0" wp14:anchorId="62D60D72" wp14:editId="48CEC433">
                  <wp:extent cx="6047957" cy="444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048721" cy="4448737"/>
                          </a:xfrm>
                          <a:prstGeom prst="rect">
                            <a:avLst/>
                          </a:prstGeom>
                        </pic:spPr>
                      </pic:pic>
                    </a:graphicData>
                  </a:graphic>
                </wp:inline>
              </w:drawing>
            </w:r>
          </w:p>
        </w:tc>
      </w:tr>
      <w:bookmarkEnd w:id="6"/>
      <w:bookmarkEnd w:id="7"/>
    </w:tbl>
    <w:p w:rsidR="00EF2D62" w:rsidRDefault="00EF2D62" w:rsidP="00EF2D62">
      <w:pPr>
        <w:rPr>
          <w:rFonts w:cs="Arial"/>
          <w:snapToGrid w:val="0"/>
          <w:lang w:val="es-ES_tradnl"/>
        </w:rPr>
      </w:pPr>
    </w:p>
    <w:p w:rsidR="00FF5D3C" w:rsidRPr="002B0BD5" w:rsidRDefault="00C50FD0" w:rsidP="00EF2D62">
      <w:pPr>
        <w:rPr>
          <w:rFonts w:cs="Arial"/>
          <w:lang w:val="es-ES_tradnl"/>
        </w:rPr>
      </w:pPr>
      <w:r w:rsidRPr="002B0BD5">
        <w:rPr>
          <w:rFonts w:cs="Arial"/>
          <w:snapToGrid w:val="0"/>
          <w:lang w:val="es-ES_tradnl"/>
        </w:rPr>
        <w:t>1.5</w:t>
      </w:r>
      <w:r w:rsidRPr="002B0BD5">
        <w:rPr>
          <w:rFonts w:cs="Arial"/>
          <w:snapToGrid w:val="0"/>
          <w:lang w:val="es-ES_tradnl"/>
        </w:rPr>
        <w:tab/>
      </w:r>
      <w:r w:rsidR="00FF5D3C" w:rsidRPr="002B0BD5">
        <w:rPr>
          <w:rFonts w:cs="Arial"/>
          <w:snapToGrid w:val="0"/>
          <w:lang w:val="es-ES_tradnl"/>
        </w:rPr>
        <w:t>Para seguir mejorando los servicios que se prestan a un número de miembros cada vez mayor, se concentrarán los recursos en la elaboración de material de orientación e información, entre otras cosas, en idiomas que no sean los de la UPOV, en bases de datos y formularios electrónicos que se pondrán ampliamente a disposición en los medios pertinentes, en particular, en medios electrónicos (véase el Subprograma UV.2:  Servicios prestados a la Unión para mejorar la eficacia del sistema de la UPOV, sección 2.2.2.1 “Descripción”).</w:t>
      </w:r>
    </w:p>
    <w:p w:rsidR="00FF5D3C" w:rsidRPr="002B0BD5" w:rsidRDefault="00FF5D3C" w:rsidP="00EF2D62">
      <w:pPr>
        <w:rPr>
          <w:rFonts w:cs="Arial"/>
          <w:lang w:val="es-ES_tradnl"/>
        </w:rPr>
      </w:pPr>
    </w:p>
    <w:p w:rsidR="00FF5D3C" w:rsidRPr="002B0BD5" w:rsidRDefault="00C50FD0" w:rsidP="00EF2D62">
      <w:pPr>
        <w:rPr>
          <w:rFonts w:cs="Arial"/>
          <w:lang w:val="es-ES_tradnl"/>
        </w:rPr>
      </w:pPr>
      <w:r w:rsidRPr="002B0BD5">
        <w:rPr>
          <w:rFonts w:cs="Arial"/>
          <w:lang w:val="es-ES_tradnl"/>
        </w:rPr>
        <w:t>1.6</w:t>
      </w:r>
      <w:r w:rsidRPr="002B0BD5">
        <w:rPr>
          <w:rFonts w:cs="Arial"/>
          <w:lang w:val="es-ES_tradnl"/>
        </w:rPr>
        <w:tab/>
      </w:r>
      <w:r w:rsidR="00FF5D3C" w:rsidRPr="002B0BD5">
        <w:rPr>
          <w:rFonts w:cs="Arial"/>
          <w:lang w:val="es-ES_tradnl"/>
        </w:rPr>
        <w:t>Para satisfacer las necesidades particulares que puedan tener los miembros de la Unión actuales y potenciales en materia de asistencia para introducir y aplicar el sistema de la UPOV en el marco de los recursos disponibles, será necesario avanzar en el desarrollo de instrumentos electrónicos (por ejemplo, el sitio web, los cursos de enseñanza a distancia, los mecanismos de conferencia por Internet, etc.), priorizar la asistencia que da la Oficina de la Unión y utilizar recursos externos de capacitación y asistencia, en el marco de las finanzas disponibles.</w:t>
      </w:r>
      <w:r w:rsidR="00421639" w:rsidRPr="002B0BD5">
        <w:rPr>
          <w:rFonts w:cs="Arial"/>
          <w:lang w:val="es-ES_tradnl"/>
        </w:rPr>
        <w:t xml:space="preserve">  </w:t>
      </w:r>
      <w:r w:rsidR="00FF5D3C" w:rsidRPr="002B0BD5">
        <w:rPr>
          <w:rFonts w:cs="Arial"/>
          <w:lang w:val="es-ES_tradnl"/>
        </w:rPr>
        <w:t xml:space="preserve">La asistencia de carácter individual (por ejemplo, misiones) para los miembros de la Unión actuales y potenciales cuenta con el respaldo del presupuesto ordinario, aunque los fondos extrapresupuestarios y la ayuda en especie constituyen un importante </w:t>
      </w:r>
      <w:r w:rsidR="002560FD" w:rsidRPr="002B0BD5">
        <w:rPr>
          <w:rFonts w:cs="Arial"/>
          <w:lang w:val="es-ES_tradnl"/>
        </w:rPr>
        <w:t>apoyo</w:t>
      </w:r>
      <w:r w:rsidR="00FF5D3C" w:rsidRPr="002B0BD5">
        <w:rPr>
          <w:rFonts w:cs="Arial"/>
          <w:lang w:val="es-ES_tradnl"/>
        </w:rPr>
        <w:t xml:space="preserve"> para esas actividades.</w:t>
      </w:r>
      <w:r w:rsidR="00421639" w:rsidRPr="002B0BD5">
        <w:rPr>
          <w:rFonts w:cs="Arial"/>
          <w:lang w:val="es-ES_tradnl"/>
        </w:rPr>
        <w:t xml:space="preserve">  </w:t>
      </w:r>
      <w:r w:rsidR="00FF5D3C" w:rsidRPr="002B0BD5">
        <w:rPr>
          <w:rFonts w:cs="Arial"/>
          <w:lang w:val="es-ES_tradnl"/>
        </w:rPr>
        <w:t>Para ofrecer mayor flexibilidad conforme sea necesario y en función de los recursos disponibles, maximizando de esa forma la asistencia que puede ofrecer, la Oficina de la Unión se valdrá cada vez más de recursos externos (por ejemplo, apoyo administrativo a los cursos de enseñanza a distancia, edición de las publicaciones) y utilizará con mayor frecuencia formadores externos (véase el Subprograma UV.3:  Prestar asistencia para la introducción y aplicación del sistema de la UPOV, Sección 2.3.2.1 “Descripción”).</w:t>
      </w:r>
    </w:p>
    <w:p w:rsidR="00FF5D3C" w:rsidRPr="002B0BD5" w:rsidRDefault="00FF5D3C" w:rsidP="00EF2D62">
      <w:pPr>
        <w:rPr>
          <w:rFonts w:cs="Arial"/>
          <w:lang w:val="es-ES_tradnl"/>
        </w:rPr>
      </w:pPr>
    </w:p>
    <w:p w:rsidR="00FF5D3C" w:rsidRPr="002B0BD5" w:rsidRDefault="00C50FD0" w:rsidP="00EF2D62">
      <w:pPr>
        <w:rPr>
          <w:rFonts w:cs="Arial"/>
          <w:lang w:val="es-ES_tradnl"/>
        </w:rPr>
      </w:pPr>
      <w:r w:rsidRPr="002B0BD5">
        <w:rPr>
          <w:rFonts w:cs="Arial"/>
          <w:lang w:val="es-ES_tradnl"/>
        </w:rPr>
        <w:t>1.7</w:t>
      </w:r>
      <w:r w:rsidRPr="002B0BD5">
        <w:rPr>
          <w:rFonts w:cs="Arial"/>
          <w:lang w:val="es-ES_tradnl"/>
        </w:rPr>
        <w:tab/>
      </w:r>
      <w:r w:rsidR="00FF5D3C" w:rsidRPr="002B0BD5">
        <w:rPr>
          <w:rFonts w:cs="Arial"/>
          <w:lang w:val="es-ES_tradnl"/>
        </w:rPr>
        <w:t>En un contexto general, la UPOV trabajará para que la comunidad de sectores interesados y el público en general entiendan mejor la protección de las variedades vegetales.  A ese respecto, el sitio web de la UPOV es un medio importante de comunicación y se actualizará con nuevo material adecuado, destinado a explicar a un público amplio la importancia de la protección de las variedades vegetales (véase el Subprograma UV.4</w:t>
      </w:r>
      <w:proofErr w:type="gramStart"/>
      <w:r w:rsidR="00FF5D3C" w:rsidRPr="002B0BD5">
        <w:rPr>
          <w:rFonts w:cs="Arial"/>
          <w:lang w:val="es-ES_tradnl"/>
        </w:rPr>
        <w:t>:  Relaciones</w:t>
      </w:r>
      <w:proofErr w:type="gramEnd"/>
      <w:r w:rsidR="00FF5D3C" w:rsidRPr="002B0BD5">
        <w:rPr>
          <w:rFonts w:cs="Arial"/>
          <w:lang w:val="es-ES_tradnl"/>
        </w:rPr>
        <w:t xml:space="preserve"> exteriores).  También se estudiará la utilización de otros medios de comunicación, por ejemplo, los medios sociales.  Asimismo, la OMPI seguirá contribuyendo a la labor de las organizaciones intergubernamentales pertinentes, por ejemplo, la Organización Mundial del Comercio (OMC), el Convenio sobre la Diversidad Biológica (CDB) y la Organización de las Naciones Unidas para la Alimentación y la Agricultura (FAO), con el fin de explicar el sistema de la UPOV de protección de variedades vegetales y con miras a lograr el apoyo mutuo.</w:t>
      </w:r>
      <w:r w:rsidR="00421639" w:rsidRPr="002B0BD5">
        <w:rPr>
          <w:rFonts w:cs="Arial"/>
          <w:lang w:val="es-ES_tradnl"/>
        </w:rPr>
        <w:t xml:space="preserve"> </w:t>
      </w:r>
    </w:p>
    <w:p w:rsidR="00B859A5" w:rsidRDefault="00B859A5">
      <w:pPr>
        <w:jc w:val="left"/>
        <w:rPr>
          <w:b/>
          <w:bCs/>
          <w:caps/>
          <w:lang w:val="es-ES_tradnl"/>
        </w:rPr>
      </w:pPr>
      <w:bookmarkStart w:id="8" w:name="_Toc363577048"/>
      <w:r>
        <w:br w:type="page"/>
      </w:r>
    </w:p>
    <w:p w:rsidR="00FF5D3C" w:rsidRPr="002B0BD5" w:rsidRDefault="00FF5D3C" w:rsidP="00EF2D62">
      <w:pPr>
        <w:pStyle w:val="Heading1"/>
      </w:pPr>
      <w:r w:rsidRPr="002B0BD5">
        <w:t xml:space="preserve">2. </w:t>
      </w:r>
      <w:r w:rsidR="00C50FD0" w:rsidRPr="002B0BD5">
        <w:tab/>
      </w:r>
      <w:r w:rsidRPr="002B0BD5">
        <w:t>OBJETIVOS Y RESULTADOS PREVISTOS POR SUBPROGRAMA</w:t>
      </w:r>
      <w:bookmarkEnd w:id="8"/>
    </w:p>
    <w:p w:rsidR="00FF5D3C" w:rsidRPr="002B0BD5" w:rsidRDefault="00FF5D3C" w:rsidP="00EF2D62">
      <w:pPr>
        <w:rPr>
          <w:rFonts w:cs="Arial"/>
          <w:lang w:val="es-ES_tradnl"/>
        </w:rPr>
      </w:pPr>
    </w:p>
    <w:p w:rsidR="00FF5D3C" w:rsidRPr="002B0BD5" w:rsidRDefault="00FF5D3C" w:rsidP="00EF2D62">
      <w:pPr>
        <w:pStyle w:val="Heading2"/>
      </w:pPr>
      <w:bookmarkStart w:id="9" w:name="_Toc363577049"/>
      <w:r w:rsidRPr="002B0BD5">
        <w:rPr>
          <w:u w:val="none"/>
        </w:rPr>
        <w:t xml:space="preserve">2.1 </w:t>
      </w:r>
      <w:r w:rsidR="00C50FD0" w:rsidRPr="002B0BD5">
        <w:rPr>
          <w:u w:val="none"/>
        </w:rPr>
        <w:tab/>
      </w:r>
      <w:r w:rsidRPr="002B0BD5">
        <w:t>Subprograma UV.1</w:t>
      </w:r>
      <w:proofErr w:type="gramStart"/>
      <w:r w:rsidR="006E42D6" w:rsidRPr="002B0BD5">
        <w:t xml:space="preserve">:  </w:t>
      </w:r>
      <w:r w:rsidRPr="002B0BD5">
        <w:t>Política</w:t>
      </w:r>
      <w:proofErr w:type="gramEnd"/>
      <w:r w:rsidRPr="002B0BD5">
        <w:t xml:space="preserve"> general sobre protección de las variedades vegetales</w:t>
      </w:r>
      <w:bookmarkEnd w:id="9"/>
    </w:p>
    <w:p w:rsidR="00FF5D3C" w:rsidRPr="002B0BD5" w:rsidRDefault="00FF5D3C" w:rsidP="00EF2D62">
      <w:pPr>
        <w:rPr>
          <w:rFonts w:cs="Arial"/>
          <w:lang w:val="es-ES_tradnl"/>
        </w:rPr>
      </w:pPr>
    </w:p>
    <w:p w:rsidR="00FF5D3C" w:rsidRPr="002B0BD5" w:rsidRDefault="00FF5D3C" w:rsidP="00EF2D62">
      <w:pPr>
        <w:pStyle w:val="Heading3"/>
      </w:pPr>
      <w:bookmarkStart w:id="10" w:name="_Toc363577050"/>
      <w:r w:rsidRPr="002B0BD5">
        <w:t xml:space="preserve">2.1.1 </w:t>
      </w:r>
      <w:r w:rsidR="00C50FD0" w:rsidRPr="002B0BD5">
        <w:tab/>
      </w:r>
      <w:r w:rsidRPr="002B0BD5">
        <w:t>Objetivos</w:t>
      </w:r>
      <w:bookmarkEnd w:id="10"/>
    </w:p>
    <w:p w:rsidR="00FF5D3C" w:rsidRPr="002B0BD5" w:rsidRDefault="00FF5D3C" w:rsidP="00EF2D62">
      <w:pPr>
        <w:rPr>
          <w:rFonts w:cs="Arial"/>
          <w:lang w:val="es-ES_tradnl"/>
        </w:rPr>
      </w:pPr>
    </w:p>
    <w:p w:rsidR="00FF5D3C" w:rsidRPr="002B0BD5" w:rsidRDefault="00421639" w:rsidP="00EF2D62">
      <w:pPr>
        <w:rPr>
          <w:rFonts w:cs="Arial"/>
          <w:lang w:val="es-ES_tradnl"/>
        </w:rPr>
      </w:pPr>
      <w:r w:rsidRPr="002B0BD5">
        <w:rPr>
          <w:rFonts w:cs="Arial"/>
          <w:lang w:val="es-ES_tradnl"/>
        </w:rPr>
        <w:tab/>
      </w:r>
      <w:r w:rsidR="00FF5D3C" w:rsidRPr="002B0BD5">
        <w:rPr>
          <w:rFonts w:cs="Arial"/>
          <w:lang w:val="es-ES_tradnl"/>
        </w:rPr>
        <w:t>a)</w:t>
      </w:r>
      <w:r w:rsidR="00BC3BFA" w:rsidRPr="002B0BD5">
        <w:rPr>
          <w:rFonts w:cs="Arial"/>
          <w:lang w:val="es-ES_tradnl"/>
        </w:rPr>
        <w:tab/>
      </w:r>
      <w:r w:rsidR="00FF5D3C" w:rsidRPr="002B0BD5">
        <w:rPr>
          <w:rFonts w:cs="Arial"/>
          <w:lang w:val="es-ES_tradnl"/>
        </w:rPr>
        <w:t>Dirección de política y gestión ejecutiva.</w:t>
      </w:r>
    </w:p>
    <w:p w:rsidR="00FF5D3C" w:rsidRPr="002B0BD5" w:rsidRDefault="00FF5D3C" w:rsidP="00EF2D62">
      <w:pPr>
        <w:rPr>
          <w:rFonts w:cs="Arial"/>
          <w:lang w:val="es-ES_tradnl"/>
        </w:rPr>
      </w:pPr>
    </w:p>
    <w:p w:rsidR="00FF5D3C" w:rsidRPr="002B0BD5" w:rsidRDefault="00421639" w:rsidP="00EF2D62">
      <w:pPr>
        <w:rPr>
          <w:rFonts w:cs="Arial"/>
          <w:lang w:val="es-ES_tradnl"/>
        </w:rPr>
      </w:pPr>
      <w:r w:rsidRPr="002B0BD5">
        <w:rPr>
          <w:rFonts w:cs="Arial"/>
          <w:lang w:val="es-ES_tradnl"/>
        </w:rPr>
        <w:tab/>
      </w:r>
      <w:r w:rsidR="00FF5D3C" w:rsidRPr="002B0BD5">
        <w:rPr>
          <w:rFonts w:cs="Arial"/>
          <w:lang w:val="es-ES_tradnl"/>
        </w:rPr>
        <w:t xml:space="preserve">b) </w:t>
      </w:r>
      <w:r w:rsidR="00BC3BFA" w:rsidRPr="002B0BD5">
        <w:rPr>
          <w:rFonts w:cs="Arial"/>
          <w:lang w:val="es-ES_tradnl"/>
        </w:rPr>
        <w:tab/>
      </w:r>
      <w:r w:rsidR="00FF5D3C" w:rsidRPr="002B0BD5">
        <w:rPr>
          <w:rFonts w:cs="Arial"/>
          <w:lang w:val="es-ES_tradnl"/>
        </w:rPr>
        <w:t>Planificación, ejecución y evaluación del programa y presupuesto.</w:t>
      </w:r>
    </w:p>
    <w:p w:rsidR="00FF5D3C" w:rsidRPr="002B0BD5" w:rsidRDefault="00FF5D3C" w:rsidP="00EF2D62">
      <w:pPr>
        <w:rPr>
          <w:rFonts w:cs="Arial"/>
          <w:lang w:val="es-ES_tradnl"/>
        </w:rPr>
      </w:pPr>
    </w:p>
    <w:p w:rsidR="00FF5D3C" w:rsidRPr="002B0BD5" w:rsidRDefault="00FF5D3C" w:rsidP="00EF2D62">
      <w:pPr>
        <w:pStyle w:val="Heading3"/>
      </w:pPr>
      <w:bookmarkStart w:id="11" w:name="_Toc363577051"/>
      <w:r w:rsidRPr="002B0BD5">
        <w:t>2.1.2</w:t>
      </w:r>
      <w:r w:rsidR="00C50FD0" w:rsidRPr="002B0BD5">
        <w:tab/>
      </w:r>
      <w:r w:rsidRPr="002B0BD5">
        <w:t>Descripción</w:t>
      </w:r>
      <w:bookmarkEnd w:id="11"/>
    </w:p>
    <w:p w:rsidR="00FF5D3C" w:rsidRPr="002B0BD5" w:rsidRDefault="00FF5D3C" w:rsidP="00EF2D62">
      <w:pPr>
        <w:rPr>
          <w:rFonts w:cs="Arial"/>
          <w:lang w:val="es-ES_tradnl"/>
        </w:rPr>
      </w:pPr>
    </w:p>
    <w:p w:rsidR="00FF5D3C" w:rsidRPr="002B0BD5" w:rsidRDefault="00FF5D3C" w:rsidP="00EF2D62">
      <w:pPr>
        <w:rPr>
          <w:rFonts w:cs="Arial"/>
          <w:spacing w:val="-2"/>
          <w:lang w:val="es-ES_tradnl"/>
        </w:rPr>
      </w:pPr>
      <w:r w:rsidRPr="002B0BD5">
        <w:rPr>
          <w:rFonts w:cs="Arial"/>
          <w:lang w:val="es-ES_tradnl"/>
        </w:rPr>
        <w:t>En el presente subprograma se establece el marco para la elaboración de políticas, la gestión y coordinación de las actividades del programa general de la UPOV, según lo establecido por el Consejo con la orientación del Comité Consultivo.</w:t>
      </w:r>
    </w:p>
    <w:p w:rsidR="00FF5D3C" w:rsidRPr="002B0BD5" w:rsidRDefault="00FF5D3C" w:rsidP="00EF2D62">
      <w:pPr>
        <w:rPr>
          <w:rFonts w:cs="Arial"/>
          <w:lang w:val="es-ES_tradnl"/>
        </w:rPr>
      </w:pPr>
    </w:p>
    <w:p w:rsidR="00FF5D3C" w:rsidRPr="002B0BD5" w:rsidRDefault="00FF5D3C" w:rsidP="00EF2D62">
      <w:pPr>
        <w:pStyle w:val="Heading3"/>
      </w:pPr>
      <w:bookmarkStart w:id="12" w:name="_Toc363577052"/>
      <w:r w:rsidRPr="002B0BD5">
        <w:t xml:space="preserve">2.1.3 </w:t>
      </w:r>
      <w:r w:rsidR="00C50FD0" w:rsidRPr="002B0BD5">
        <w:tab/>
      </w:r>
      <w:r w:rsidRPr="002B0BD5">
        <w:t>Actividades</w:t>
      </w:r>
      <w:bookmarkEnd w:id="12"/>
    </w:p>
    <w:p w:rsidR="00FF5D3C" w:rsidRPr="002B0BD5" w:rsidRDefault="00FF5D3C" w:rsidP="00EF2D62">
      <w:pPr>
        <w:rPr>
          <w:rFonts w:cs="Arial"/>
          <w:b/>
          <w:lang w:val="es-ES_tradnl"/>
        </w:rPr>
      </w:pPr>
    </w:p>
    <w:p w:rsidR="00FF5D3C" w:rsidRPr="002B0BD5" w:rsidRDefault="00C50FD0" w:rsidP="00EF2D62">
      <w:pPr>
        <w:tabs>
          <w:tab w:val="left" w:pos="1134"/>
        </w:tabs>
        <w:ind w:firstLine="1134"/>
        <w:rPr>
          <w:rFonts w:cs="Arial"/>
          <w:lang w:val="es-ES_tradnl"/>
        </w:rPr>
      </w:pPr>
      <w:r w:rsidRPr="002B0BD5">
        <w:rPr>
          <w:rFonts w:cs="Arial"/>
          <w:lang w:val="es-ES_tradnl"/>
        </w:rPr>
        <w:t>i)</w:t>
      </w:r>
      <w:r w:rsidR="00BC3BFA" w:rsidRPr="002B0BD5">
        <w:rPr>
          <w:rFonts w:cs="Arial"/>
          <w:lang w:val="es-ES_tradnl"/>
        </w:rPr>
        <w:tab/>
      </w:r>
      <w:r w:rsidR="00FF5D3C" w:rsidRPr="002B0BD5">
        <w:rPr>
          <w:rFonts w:cs="Arial"/>
          <w:lang w:val="es-ES_tradnl"/>
        </w:rPr>
        <w:t>Cuatro sesiones del Consejo y cuatro sesiones del Comité Consultivo.</w:t>
      </w:r>
    </w:p>
    <w:p w:rsidR="00FF5D3C" w:rsidRPr="002B0BD5" w:rsidRDefault="00C50FD0" w:rsidP="00EF2D62">
      <w:pPr>
        <w:tabs>
          <w:tab w:val="left" w:pos="1701"/>
        </w:tabs>
        <w:ind w:left="1701" w:hanging="567"/>
        <w:rPr>
          <w:rFonts w:cs="Arial"/>
          <w:lang w:val="es-ES_tradnl"/>
        </w:rPr>
      </w:pPr>
      <w:r w:rsidRPr="002B0BD5">
        <w:rPr>
          <w:rFonts w:cs="Arial"/>
          <w:lang w:val="es-ES_tradnl"/>
        </w:rPr>
        <w:t>ii)</w:t>
      </w:r>
      <w:r w:rsidR="00BC3BFA" w:rsidRPr="002B0BD5">
        <w:rPr>
          <w:rFonts w:cs="Arial"/>
          <w:lang w:val="es-ES_tradnl"/>
        </w:rPr>
        <w:tab/>
      </w:r>
      <w:r w:rsidR="00FF5D3C" w:rsidRPr="002B0BD5">
        <w:rPr>
          <w:rFonts w:cs="Arial"/>
          <w:lang w:val="es-ES_tradnl"/>
        </w:rPr>
        <w:t>Coordinación, fiscalización y evaluación del rendimiento del programa y presupuesto para el bienio 2014-2015.</w:t>
      </w:r>
    </w:p>
    <w:p w:rsidR="00FF5D3C" w:rsidRPr="002B0BD5" w:rsidRDefault="00C50FD0" w:rsidP="00EF2D62">
      <w:pPr>
        <w:tabs>
          <w:tab w:val="left" w:pos="1134"/>
        </w:tabs>
        <w:ind w:firstLine="1134"/>
        <w:rPr>
          <w:rFonts w:cs="Arial"/>
          <w:lang w:val="es-ES_tradnl"/>
        </w:rPr>
      </w:pPr>
      <w:r w:rsidRPr="002B0BD5">
        <w:rPr>
          <w:rFonts w:cs="Arial"/>
          <w:lang w:val="es-ES_tradnl"/>
        </w:rPr>
        <w:t>iii)</w:t>
      </w:r>
      <w:r w:rsidR="00BC3BFA" w:rsidRPr="002B0BD5">
        <w:rPr>
          <w:rFonts w:cs="Arial"/>
          <w:lang w:val="es-ES_tradnl"/>
        </w:rPr>
        <w:tab/>
      </w:r>
      <w:r w:rsidR="00FF5D3C" w:rsidRPr="002B0BD5">
        <w:rPr>
          <w:rFonts w:cs="Arial"/>
          <w:lang w:val="es-ES_tradnl"/>
        </w:rPr>
        <w:t>Preparación y adopción del programa y presupuesto para el bienio 2016-2017.</w:t>
      </w:r>
    </w:p>
    <w:p w:rsidR="00FF5D3C" w:rsidRPr="002B0BD5" w:rsidRDefault="00FF5D3C" w:rsidP="00EF2D62">
      <w:pPr>
        <w:rPr>
          <w:rFonts w:cs="Arial"/>
          <w:lang w:val="es-ES_tradnl"/>
        </w:rPr>
      </w:pPr>
    </w:p>
    <w:p w:rsidR="00FF5D3C" w:rsidRPr="002B0BD5" w:rsidRDefault="00FF5D3C" w:rsidP="00EF2D62">
      <w:pPr>
        <w:pStyle w:val="Heading3"/>
      </w:pPr>
      <w:bookmarkStart w:id="13" w:name="_Toc363577053"/>
      <w:r w:rsidRPr="002B0BD5">
        <w:t xml:space="preserve">2.1.4 </w:t>
      </w:r>
      <w:r w:rsidR="00C50FD0" w:rsidRPr="002B0BD5">
        <w:tab/>
      </w:r>
      <w:r w:rsidRPr="002B0BD5">
        <w:t>Resultados previstos e indicadores de rendimiento</w:t>
      </w:r>
      <w:bookmarkEnd w:id="13"/>
    </w:p>
    <w:p w:rsidR="00421639" w:rsidRPr="002B0BD5" w:rsidRDefault="00421639" w:rsidP="00EF2D62">
      <w:pPr>
        <w:rPr>
          <w:rFonts w:cs="Arial"/>
          <w:lang w:val="es-ES_tradnl"/>
        </w:rPr>
      </w:pPr>
    </w:p>
    <w:tbl>
      <w:tblPr>
        <w:tblW w:w="9889" w:type="dxa"/>
        <w:tblInd w:w="-103" w:type="dxa"/>
        <w:tblLayout w:type="fixed"/>
        <w:tblCellMar>
          <w:left w:w="0" w:type="dxa"/>
          <w:right w:w="0" w:type="dxa"/>
        </w:tblCellMar>
        <w:tblLook w:val="0000" w:firstRow="0" w:lastRow="0" w:firstColumn="0" w:lastColumn="0" w:noHBand="0" w:noVBand="0"/>
      </w:tblPr>
      <w:tblGrid>
        <w:gridCol w:w="4643"/>
        <w:gridCol w:w="5246"/>
      </w:tblGrid>
      <w:tr w:rsidR="005D61AB" w:rsidRPr="002B0BD5"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120" w:after="120"/>
              <w:jc w:val="center"/>
              <w:rPr>
                <w:rFonts w:cs="Arial"/>
                <w:u w:val="single"/>
                <w:lang w:val="es-ES_tradnl"/>
              </w:rPr>
            </w:pPr>
            <w:r w:rsidRPr="002B0BD5">
              <w:rPr>
                <w:rFonts w:cs="Arial"/>
                <w:u w:val="single"/>
                <w:lang w:val="es-ES_tradnl"/>
              </w:rPr>
              <w:t>Resultados previstos</w:t>
            </w:r>
          </w:p>
        </w:tc>
        <w:tc>
          <w:tcPr>
            <w:tcW w:w="5246"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120" w:after="120"/>
              <w:jc w:val="center"/>
              <w:rPr>
                <w:rFonts w:cs="Arial"/>
                <w:u w:val="single"/>
                <w:lang w:val="es-ES_tradnl"/>
              </w:rPr>
            </w:pPr>
            <w:r w:rsidRPr="002B0BD5">
              <w:rPr>
                <w:rFonts w:cs="Arial"/>
                <w:u w:val="single"/>
                <w:lang w:val="es-ES_tradnl"/>
              </w:rPr>
              <w:t>Indicadores de rendimiento</w:t>
            </w:r>
          </w:p>
        </w:tc>
      </w:tr>
      <w:tr w:rsidR="005D61AB" w:rsidRPr="000F652A"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60" w:after="60"/>
              <w:ind w:left="534" w:hanging="426"/>
              <w:jc w:val="left"/>
              <w:rPr>
                <w:rFonts w:cs="Arial"/>
                <w:lang w:val="es-ES_tradnl"/>
              </w:rPr>
            </w:pPr>
            <w:r w:rsidRPr="002B0BD5">
              <w:rPr>
                <w:rFonts w:cs="Arial"/>
                <w:lang w:val="es-ES_tradnl"/>
              </w:rPr>
              <w:t xml:space="preserve">1. </w:t>
            </w:r>
            <w:r w:rsidR="00C50FD0" w:rsidRPr="002B0BD5">
              <w:rPr>
                <w:rFonts w:cs="Arial"/>
                <w:lang w:val="es-ES_tradnl"/>
              </w:rPr>
              <w:tab/>
            </w:r>
            <w:r w:rsidRPr="002B0BD5">
              <w:rPr>
                <w:rFonts w:cs="Arial"/>
                <w:lang w:val="es-ES_tradnl"/>
              </w:rPr>
              <w:t>Organización de las sesiones del Consejo y del Comité Consultivo</w:t>
            </w:r>
          </w:p>
        </w:tc>
        <w:tc>
          <w:tcPr>
            <w:tcW w:w="5246"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60" w:after="60"/>
              <w:ind w:left="568" w:hanging="425"/>
              <w:jc w:val="left"/>
              <w:rPr>
                <w:rFonts w:cs="Arial"/>
                <w:lang w:val="es-ES_tradnl"/>
              </w:rPr>
            </w:pPr>
            <w:r w:rsidRPr="002B0BD5">
              <w:rPr>
                <w:rFonts w:cs="Arial"/>
                <w:lang w:val="es-ES_tradnl"/>
              </w:rPr>
              <w:t xml:space="preserve">a) </w:t>
            </w:r>
            <w:r w:rsidR="00C50FD0" w:rsidRPr="002B0BD5">
              <w:rPr>
                <w:rFonts w:cs="Arial"/>
                <w:lang w:val="es-ES_tradnl"/>
              </w:rPr>
              <w:tab/>
            </w:r>
            <w:r w:rsidRPr="002B0BD5">
              <w:rPr>
                <w:rFonts w:cs="Arial"/>
                <w:lang w:val="es-ES_tradnl"/>
              </w:rPr>
              <w:t>participación en las sesiones del Consejo y del Comité Consultivo</w:t>
            </w:r>
          </w:p>
        </w:tc>
      </w:tr>
      <w:tr w:rsidR="005D61AB" w:rsidRPr="000F652A"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60" w:after="60"/>
              <w:ind w:left="534" w:hanging="426"/>
              <w:jc w:val="left"/>
              <w:rPr>
                <w:rFonts w:cs="Arial"/>
                <w:lang w:val="es-ES_tradnl"/>
              </w:rPr>
            </w:pPr>
            <w:r w:rsidRPr="002B0BD5">
              <w:rPr>
                <w:rFonts w:cs="Arial"/>
                <w:lang w:val="es-ES_tradnl"/>
              </w:rPr>
              <w:t xml:space="preserve">2. </w:t>
            </w:r>
            <w:r w:rsidR="00C50FD0" w:rsidRPr="002B0BD5">
              <w:rPr>
                <w:rFonts w:cs="Arial"/>
                <w:lang w:val="es-ES_tradnl"/>
              </w:rPr>
              <w:tab/>
            </w:r>
            <w:r w:rsidRPr="002B0BD5">
              <w:rPr>
                <w:rFonts w:cs="Arial"/>
                <w:lang w:val="es-ES_tradnl"/>
              </w:rPr>
              <w:t>Coordinación, fiscalización y evaluación del rendimiento del programa y presupuesto para el bienio 2014-2015</w:t>
            </w:r>
          </w:p>
        </w:tc>
        <w:tc>
          <w:tcPr>
            <w:tcW w:w="5246"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60" w:after="60"/>
              <w:ind w:left="568" w:hanging="425"/>
              <w:jc w:val="left"/>
              <w:rPr>
                <w:rFonts w:cs="Arial"/>
                <w:lang w:val="es-ES_tradnl"/>
              </w:rPr>
            </w:pPr>
            <w:r w:rsidRPr="002B0BD5">
              <w:rPr>
                <w:rFonts w:cs="Arial"/>
                <w:lang w:val="es-ES_tradnl"/>
              </w:rPr>
              <w:t xml:space="preserve">a) </w:t>
            </w:r>
            <w:r w:rsidR="00C50FD0" w:rsidRPr="002B0BD5">
              <w:rPr>
                <w:rFonts w:cs="Arial"/>
                <w:lang w:val="es-ES_tradnl"/>
              </w:rPr>
              <w:tab/>
            </w:r>
            <w:r w:rsidRPr="002B0BD5">
              <w:rPr>
                <w:rFonts w:cs="Arial"/>
                <w:lang w:val="es-ES_tradnl"/>
              </w:rPr>
              <w:t>ejecución del programa en el marco del presupuesto del bienio 2014-2015</w:t>
            </w:r>
          </w:p>
        </w:tc>
      </w:tr>
      <w:tr w:rsidR="005D61AB" w:rsidRPr="000F652A"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60" w:after="60"/>
              <w:ind w:left="534" w:hanging="426"/>
              <w:jc w:val="left"/>
              <w:rPr>
                <w:rFonts w:cs="Arial"/>
                <w:lang w:val="es-ES_tradnl"/>
              </w:rPr>
            </w:pPr>
            <w:r w:rsidRPr="002B0BD5">
              <w:rPr>
                <w:rFonts w:cs="Arial"/>
                <w:lang w:val="es-ES_tradnl"/>
              </w:rPr>
              <w:t xml:space="preserve">3. </w:t>
            </w:r>
            <w:r w:rsidR="00C50FD0" w:rsidRPr="002B0BD5">
              <w:rPr>
                <w:rFonts w:cs="Arial"/>
                <w:lang w:val="es-ES_tradnl"/>
              </w:rPr>
              <w:tab/>
            </w:r>
            <w:r w:rsidRPr="002B0BD5">
              <w:rPr>
                <w:rFonts w:cs="Arial"/>
                <w:lang w:val="es-ES_tradnl"/>
              </w:rPr>
              <w:t>Preparación y adopción del programa y presupuesto para el bienio 2016-2017</w:t>
            </w:r>
          </w:p>
        </w:tc>
        <w:tc>
          <w:tcPr>
            <w:tcW w:w="5246"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60" w:after="60"/>
              <w:ind w:left="568" w:hanging="425"/>
              <w:jc w:val="left"/>
              <w:rPr>
                <w:rFonts w:cs="Arial"/>
                <w:lang w:val="es-ES_tradnl"/>
              </w:rPr>
            </w:pPr>
            <w:r w:rsidRPr="002B0BD5">
              <w:rPr>
                <w:rFonts w:cs="Arial"/>
                <w:lang w:val="es-ES_tradnl"/>
              </w:rPr>
              <w:t xml:space="preserve">a) </w:t>
            </w:r>
            <w:r w:rsidR="00C50FD0" w:rsidRPr="002B0BD5">
              <w:rPr>
                <w:rFonts w:cs="Arial"/>
                <w:lang w:val="es-ES_tradnl"/>
              </w:rPr>
              <w:tab/>
            </w:r>
            <w:r w:rsidRPr="002B0BD5">
              <w:rPr>
                <w:rFonts w:cs="Arial"/>
                <w:lang w:val="es-ES_tradnl"/>
              </w:rPr>
              <w:t>preparación y adopción del programa y presupuesto para el bienio 2016-2017 con arreglo al “Reglamento Financiero y Reglamentación Financiera de la UPOV”</w:t>
            </w:r>
          </w:p>
        </w:tc>
      </w:tr>
      <w:tr w:rsidR="005D61AB" w:rsidRPr="000F652A" w:rsidTr="00DC35EC">
        <w:trPr>
          <w:cantSplit/>
        </w:trPr>
        <w:tc>
          <w:tcPr>
            <w:tcW w:w="4643"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60" w:after="60"/>
              <w:ind w:left="534" w:hanging="426"/>
              <w:jc w:val="left"/>
              <w:rPr>
                <w:rFonts w:cs="Arial"/>
                <w:lang w:val="es-ES_tradnl"/>
              </w:rPr>
            </w:pPr>
            <w:r w:rsidRPr="002B0BD5">
              <w:rPr>
                <w:rFonts w:cs="Arial"/>
                <w:lang w:val="es-ES_tradnl"/>
              </w:rPr>
              <w:t xml:space="preserve">4. </w:t>
            </w:r>
            <w:r w:rsidR="00C50FD0" w:rsidRPr="002B0BD5">
              <w:rPr>
                <w:rFonts w:cs="Arial"/>
                <w:lang w:val="es-ES_tradnl"/>
              </w:rPr>
              <w:tab/>
            </w:r>
            <w:r w:rsidRPr="002B0BD5">
              <w:rPr>
                <w:rFonts w:cs="Arial"/>
                <w:lang w:val="es-ES_tradnl"/>
              </w:rPr>
              <w:t>Política del Consejo</w:t>
            </w:r>
            <w:r w:rsidR="00421639" w:rsidRPr="002B0BD5">
              <w:rPr>
                <w:rFonts w:cs="Arial"/>
                <w:lang w:val="es-ES_tradnl"/>
              </w:rPr>
              <w:t xml:space="preserve"> </w:t>
            </w:r>
          </w:p>
        </w:tc>
        <w:tc>
          <w:tcPr>
            <w:tcW w:w="5246" w:type="dxa"/>
            <w:tcBorders>
              <w:top w:val="single" w:sz="4" w:space="0" w:color="000000"/>
              <w:left w:val="single" w:sz="4" w:space="0" w:color="000000"/>
              <w:bottom w:val="single" w:sz="4" w:space="0" w:color="000000"/>
              <w:right w:val="single" w:sz="4" w:space="0" w:color="000000"/>
            </w:tcBorders>
          </w:tcPr>
          <w:p w:rsidR="00FF5D3C" w:rsidRPr="002B0BD5" w:rsidRDefault="00FF5D3C" w:rsidP="00EF2D62">
            <w:pPr>
              <w:spacing w:before="60" w:after="60"/>
              <w:ind w:left="568" w:hanging="425"/>
              <w:jc w:val="left"/>
              <w:rPr>
                <w:rFonts w:cs="Arial"/>
                <w:lang w:val="es-ES_tradnl"/>
              </w:rPr>
            </w:pPr>
            <w:r w:rsidRPr="002B0BD5">
              <w:rPr>
                <w:rFonts w:cs="Arial"/>
                <w:lang w:val="es-ES_tradnl"/>
              </w:rPr>
              <w:t xml:space="preserve">a) </w:t>
            </w:r>
            <w:r w:rsidR="00C50FD0" w:rsidRPr="002B0BD5">
              <w:rPr>
                <w:rFonts w:cs="Arial"/>
                <w:lang w:val="es-ES_tradnl"/>
              </w:rPr>
              <w:tab/>
            </w:r>
            <w:r w:rsidRPr="002B0BD5">
              <w:rPr>
                <w:rFonts w:cs="Arial"/>
                <w:lang w:val="es-ES_tradnl"/>
              </w:rPr>
              <w:t>recomendaciones formuladas por el Comité Consultivo;</w:t>
            </w:r>
          </w:p>
          <w:p w:rsidR="00FF5D3C" w:rsidRPr="002B0BD5" w:rsidRDefault="00FF5D3C" w:rsidP="00EF2D62">
            <w:pPr>
              <w:spacing w:before="60" w:after="60"/>
              <w:ind w:left="568" w:hanging="425"/>
              <w:jc w:val="left"/>
              <w:rPr>
                <w:rFonts w:cs="Arial"/>
                <w:lang w:val="es-ES_tradnl"/>
              </w:rPr>
            </w:pPr>
            <w:r w:rsidRPr="002B0BD5">
              <w:rPr>
                <w:rFonts w:cs="Arial"/>
                <w:lang w:val="es-ES_tradnl"/>
              </w:rPr>
              <w:t xml:space="preserve">b) </w:t>
            </w:r>
            <w:r w:rsidR="00C50FD0" w:rsidRPr="002B0BD5">
              <w:rPr>
                <w:rFonts w:cs="Arial"/>
                <w:lang w:val="es-ES_tradnl"/>
              </w:rPr>
              <w:tab/>
            </w:r>
            <w:r w:rsidRPr="002B0BD5">
              <w:rPr>
                <w:rFonts w:cs="Arial"/>
                <w:lang w:val="es-ES_tradnl"/>
              </w:rPr>
              <w:t>decisiones del Consejo;</w:t>
            </w:r>
          </w:p>
          <w:p w:rsidR="00421639" w:rsidRPr="002B0BD5" w:rsidRDefault="00FF5D3C" w:rsidP="00EF2D62">
            <w:pPr>
              <w:spacing w:before="60" w:after="60"/>
              <w:ind w:left="568" w:hanging="425"/>
              <w:jc w:val="left"/>
              <w:rPr>
                <w:rFonts w:cs="Arial"/>
                <w:lang w:val="es-ES_tradnl"/>
              </w:rPr>
            </w:pPr>
            <w:r w:rsidRPr="002B0BD5">
              <w:rPr>
                <w:rFonts w:cs="Arial"/>
                <w:lang w:val="es-ES_tradnl"/>
              </w:rPr>
              <w:t xml:space="preserve">c) </w:t>
            </w:r>
            <w:r w:rsidR="00C50FD0" w:rsidRPr="002B0BD5">
              <w:rPr>
                <w:rFonts w:cs="Arial"/>
                <w:lang w:val="es-ES_tradnl"/>
              </w:rPr>
              <w:tab/>
            </w:r>
            <w:r w:rsidRPr="002B0BD5">
              <w:rPr>
                <w:rFonts w:cs="Arial"/>
                <w:lang w:val="es-ES_tradnl"/>
              </w:rPr>
              <w:t>aprobación por el Consejo de documentos de información y de posición.</w:t>
            </w:r>
          </w:p>
        </w:tc>
      </w:tr>
    </w:tbl>
    <w:p w:rsidR="00FF5D3C" w:rsidRPr="002B0BD5" w:rsidRDefault="00421639" w:rsidP="00EF2D62">
      <w:pPr>
        <w:pStyle w:val="Heading2"/>
      </w:pPr>
      <w:r w:rsidRPr="002B0BD5">
        <w:rPr>
          <w:rFonts w:cs="Arial"/>
        </w:rPr>
        <w:br w:type="page"/>
      </w:r>
      <w:bookmarkStart w:id="14" w:name="_Toc363577054"/>
      <w:r w:rsidR="00FF5D3C" w:rsidRPr="002B0BD5">
        <w:rPr>
          <w:u w:val="none"/>
        </w:rPr>
        <w:t xml:space="preserve">2.2 </w:t>
      </w:r>
      <w:r w:rsidR="00C50FD0" w:rsidRPr="002B0BD5">
        <w:rPr>
          <w:u w:val="none"/>
        </w:rPr>
        <w:tab/>
      </w:r>
      <w:r w:rsidR="00FF5D3C" w:rsidRPr="002B0BD5">
        <w:t>Subprograma UV.2</w:t>
      </w:r>
      <w:r w:rsidR="00F06CCB" w:rsidRPr="002B0BD5">
        <w:t>:</w:t>
      </w:r>
      <w:r w:rsidR="00F06CCB" w:rsidRPr="002B0BD5">
        <w:tab/>
      </w:r>
      <w:r w:rsidR="00FF5D3C" w:rsidRPr="002B0BD5">
        <w:t>Servicios prestados a la Unión para mejorar la eficacia del sistema de la UPOV</w:t>
      </w:r>
      <w:bookmarkEnd w:id="14"/>
      <w:r w:rsidRPr="002B0BD5">
        <w:t xml:space="preserve"> </w:t>
      </w:r>
    </w:p>
    <w:p w:rsidR="00FF5D3C" w:rsidRPr="002B0BD5" w:rsidRDefault="00FF5D3C" w:rsidP="00EF2D62">
      <w:pPr>
        <w:rPr>
          <w:rFonts w:cs="Arial"/>
          <w:lang w:val="es-ES_tradnl"/>
        </w:rPr>
      </w:pPr>
    </w:p>
    <w:p w:rsidR="00FF5D3C" w:rsidRPr="002B0BD5" w:rsidRDefault="00FF5D3C" w:rsidP="00EF2D62">
      <w:pPr>
        <w:pStyle w:val="Heading3"/>
      </w:pPr>
      <w:bookmarkStart w:id="15" w:name="_Toc363577055"/>
      <w:r w:rsidRPr="002B0BD5">
        <w:t xml:space="preserve">2.2.1 </w:t>
      </w:r>
      <w:r w:rsidR="00C50FD0" w:rsidRPr="002B0BD5">
        <w:tab/>
      </w:r>
      <w:r w:rsidRPr="002B0BD5">
        <w:t>Objetivos</w:t>
      </w:r>
      <w:bookmarkEnd w:id="15"/>
    </w:p>
    <w:p w:rsidR="00FF5D3C" w:rsidRPr="002B0BD5" w:rsidRDefault="00FF5D3C" w:rsidP="00EF2D62">
      <w:pPr>
        <w:ind w:left="142"/>
        <w:rPr>
          <w:rFonts w:cs="Arial"/>
          <w:lang w:val="es-ES_tradnl"/>
        </w:rPr>
      </w:pPr>
    </w:p>
    <w:p w:rsidR="00FF5D3C" w:rsidRPr="002B0BD5" w:rsidRDefault="00421639" w:rsidP="00EF2D62">
      <w:pPr>
        <w:rPr>
          <w:rFonts w:cs="Arial"/>
          <w:lang w:val="es-ES_tradnl"/>
        </w:rPr>
      </w:pPr>
      <w:r w:rsidRPr="002B0BD5">
        <w:rPr>
          <w:rFonts w:cs="Arial"/>
          <w:lang w:val="es-ES_tradnl"/>
        </w:rPr>
        <w:tab/>
      </w:r>
      <w:r w:rsidR="00FF5D3C" w:rsidRPr="002B0BD5">
        <w:rPr>
          <w:rFonts w:cs="Arial"/>
          <w:lang w:val="es-ES_tradnl"/>
        </w:rPr>
        <w:t xml:space="preserve">a) </w:t>
      </w:r>
      <w:r w:rsidR="00C50FD0" w:rsidRPr="002B0BD5">
        <w:rPr>
          <w:rFonts w:cs="Arial"/>
          <w:lang w:val="es-ES_tradnl"/>
        </w:rPr>
        <w:tab/>
      </w:r>
      <w:r w:rsidR="00FF5D3C" w:rsidRPr="002B0BD5">
        <w:rPr>
          <w:rFonts w:cs="Arial"/>
          <w:lang w:val="es-ES_tradnl"/>
        </w:rPr>
        <w:t>Mantener y mejorar la eficacia del sistema de la UPOV.</w:t>
      </w:r>
      <w:r w:rsidRPr="002B0BD5">
        <w:rPr>
          <w:rFonts w:cs="Arial"/>
          <w:lang w:val="es-ES_tradnl"/>
        </w:rPr>
        <w:t xml:space="preserve"> </w:t>
      </w:r>
    </w:p>
    <w:p w:rsidR="00FF5D3C" w:rsidRPr="002B0BD5" w:rsidRDefault="00FF5D3C" w:rsidP="00EF2D62">
      <w:pPr>
        <w:rPr>
          <w:rFonts w:cs="Arial"/>
          <w:lang w:val="es-ES_tradnl"/>
        </w:rPr>
      </w:pPr>
    </w:p>
    <w:p w:rsidR="00FF5D3C" w:rsidRPr="002B0BD5" w:rsidRDefault="00421639" w:rsidP="00EF2D62">
      <w:pPr>
        <w:rPr>
          <w:rFonts w:cs="Arial"/>
          <w:lang w:val="es-ES_tradnl"/>
        </w:rPr>
      </w:pPr>
      <w:r w:rsidRPr="002B0BD5">
        <w:rPr>
          <w:rFonts w:cs="Arial"/>
          <w:lang w:val="es-ES_tradnl"/>
        </w:rPr>
        <w:tab/>
      </w:r>
      <w:r w:rsidR="00FF5D3C" w:rsidRPr="002B0BD5">
        <w:rPr>
          <w:rFonts w:cs="Arial"/>
          <w:lang w:val="es-ES_tradnl"/>
        </w:rPr>
        <w:t xml:space="preserve">b) </w:t>
      </w:r>
      <w:r w:rsidR="00C50FD0" w:rsidRPr="002B0BD5">
        <w:rPr>
          <w:rFonts w:cs="Arial"/>
          <w:lang w:val="es-ES_tradnl"/>
        </w:rPr>
        <w:tab/>
      </w:r>
      <w:r w:rsidR="00FF5D3C" w:rsidRPr="002B0BD5">
        <w:rPr>
          <w:rFonts w:cs="Arial"/>
          <w:lang w:val="es-ES_tradnl"/>
        </w:rPr>
        <w:t>Proporcionar y desarrollar las bases jurídicas, administrativas y técnicas para la cooperación internacional en materia de protección de las variedades vegetales, de conformidad con el Convenio de la UPOV.</w:t>
      </w:r>
    </w:p>
    <w:p w:rsidR="00FF5D3C" w:rsidRPr="002B0BD5" w:rsidRDefault="00FF5D3C" w:rsidP="00EF2D62">
      <w:pPr>
        <w:ind w:left="2410" w:hanging="2410"/>
        <w:rPr>
          <w:rFonts w:cs="Arial"/>
          <w:lang w:val="es-ES_tradnl"/>
        </w:rPr>
      </w:pPr>
    </w:p>
    <w:p w:rsidR="00FF5D3C" w:rsidRPr="002B0BD5" w:rsidRDefault="00FF5D3C" w:rsidP="00EF2D62">
      <w:pPr>
        <w:pStyle w:val="Heading3"/>
      </w:pPr>
      <w:bookmarkStart w:id="16" w:name="_Toc363577056"/>
      <w:r w:rsidRPr="002B0BD5">
        <w:t>2.2.2</w:t>
      </w:r>
      <w:r w:rsidR="00C50FD0" w:rsidRPr="002B0BD5">
        <w:tab/>
      </w:r>
      <w:r w:rsidRPr="002B0BD5">
        <w:t xml:space="preserve"> Descripción</w:t>
      </w:r>
      <w:bookmarkEnd w:id="16"/>
    </w:p>
    <w:p w:rsidR="00FF5D3C" w:rsidRPr="002B0BD5" w:rsidRDefault="00FF5D3C" w:rsidP="00EF2D62">
      <w:pPr>
        <w:pStyle w:val="Heading3"/>
      </w:pPr>
    </w:p>
    <w:p w:rsidR="00FF5D3C" w:rsidRPr="002B0BD5" w:rsidRDefault="00FF5D3C" w:rsidP="00EF2D62">
      <w:pPr>
        <w:tabs>
          <w:tab w:val="left" w:pos="851"/>
        </w:tabs>
        <w:rPr>
          <w:rFonts w:cs="Arial"/>
          <w:lang w:val="es-ES_tradnl"/>
        </w:rPr>
      </w:pPr>
      <w:r w:rsidRPr="002B0BD5">
        <w:rPr>
          <w:rFonts w:cs="Arial"/>
          <w:lang w:val="es-ES_tradnl"/>
        </w:rPr>
        <w:t xml:space="preserve">2.2.2.1 </w:t>
      </w:r>
      <w:r w:rsidR="00C50FD0" w:rsidRPr="002B0BD5">
        <w:rPr>
          <w:rFonts w:cs="Arial"/>
          <w:lang w:val="es-ES_tradnl"/>
        </w:rPr>
        <w:tab/>
      </w:r>
      <w:r w:rsidRPr="002B0BD5">
        <w:rPr>
          <w:rFonts w:cs="Arial"/>
          <w:lang w:val="es-ES_tradnl"/>
        </w:rPr>
        <w:t>Para mejorar continuamente los servicios que se prestan a un número de miembros cada vez mayor, se concentran los recursos en la elaboración de material de orientación e información, bases de datos y formularios electrónicos, que se ponen a disposición en los medios pertinentes, en particular, medios electrónicos.  En este contexto, los recursos abarcan tanto a la Oficina de la Unión como a cada uno de los miembros de la Unión, en particular mediante su participación en los órganos de la UPOV y el suministro de información para facilitar la cooperación.  El presente subprograma abarca la orientación jurídica, administrativa y técnica y la información acerca del sistema de la UPOV de protección de variedades vegetales, el apoyo a la cooperación entre los miembros de la Unión, la labor de los órganos pertinentes de la UPOV, las medidas destinadas a simplificar las solicitudes de derechos de obtentor y el suministro de información sobre el funcionamiento del sistema de la UPOV a los sectores interesados.</w:t>
      </w:r>
      <w:r w:rsidR="00421639" w:rsidRPr="002B0BD5">
        <w:rPr>
          <w:rFonts w:cs="Arial"/>
          <w:lang w:val="es-ES_tradnl"/>
        </w:rPr>
        <w:t xml:space="preserve">  </w:t>
      </w:r>
    </w:p>
    <w:p w:rsidR="00FF5D3C" w:rsidRPr="002B0BD5" w:rsidRDefault="00FF5D3C" w:rsidP="00EF2D62">
      <w:pPr>
        <w:tabs>
          <w:tab w:val="left" w:pos="567"/>
        </w:tabs>
        <w:rPr>
          <w:rFonts w:cs="Arial"/>
          <w:lang w:val="es-ES_tradnl"/>
        </w:rPr>
      </w:pPr>
    </w:p>
    <w:p w:rsidR="00FF5D3C" w:rsidRPr="002B0BD5" w:rsidRDefault="00FF5D3C" w:rsidP="00EF2D62">
      <w:pPr>
        <w:tabs>
          <w:tab w:val="left" w:pos="567"/>
        </w:tabs>
        <w:rPr>
          <w:rFonts w:cs="Arial"/>
          <w:i/>
          <w:lang w:val="es-ES_tradnl"/>
        </w:rPr>
      </w:pPr>
      <w:r w:rsidRPr="002B0BD5">
        <w:rPr>
          <w:rFonts w:cs="Arial"/>
          <w:i/>
          <w:lang w:val="es-ES_tradnl"/>
        </w:rPr>
        <w:t>Material de orientación e información</w:t>
      </w:r>
    </w:p>
    <w:p w:rsidR="00FF5D3C" w:rsidRPr="002B0BD5" w:rsidRDefault="00FF5D3C" w:rsidP="00EF2D62">
      <w:pPr>
        <w:tabs>
          <w:tab w:val="left" w:pos="567"/>
        </w:tabs>
        <w:rPr>
          <w:rFonts w:cs="Arial"/>
          <w:lang w:val="es-ES_tradnl"/>
        </w:rPr>
      </w:pPr>
    </w:p>
    <w:p w:rsidR="00FF5D3C" w:rsidRPr="002B0BD5" w:rsidRDefault="00FF5D3C" w:rsidP="00EF2D62">
      <w:pPr>
        <w:tabs>
          <w:tab w:val="left" w:pos="851"/>
        </w:tabs>
        <w:rPr>
          <w:rFonts w:cs="Arial"/>
          <w:snapToGrid w:val="0"/>
          <w:lang w:val="es-ES_tradnl"/>
        </w:rPr>
      </w:pPr>
      <w:r w:rsidRPr="002B0BD5">
        <w:rPr>
          <w:rFonts w:cs="Arial"/>
          <w:lang w:val="es-ES_tradnl"/>
        </w:rPr>
        <w:t xml:space="preserve">2.2.2.2 </w:t>
      </w:r>
      <w:r w:rsidR="00C50FD0" w:rsidRPr="002B0BD5">
        <w:rPr>
          <w:rFonts w:cs="Arial"/>
          <w:lang w:val="es-ES_tradnl"/>
        </w:rPr>
        <w:tab/>
      </w:r>
      <w:r w:rsidRPr="002B0BD5">
        <w:rPr>
          <w:rFonts w:cs="Arial"/>
          <w:lang w:val="es-ES_tradnl"/>
        </w:rPr>
        <w:t>El sistema de la UPOV va ganando eficacia gracias al suministro de orientación y material de información, por ejemplo, las notas explicativas (la serie “UPOV/EXN”), los documentos de información (la serie “UPOV/INF”), la “Introducción General al examen de la distinción, la homogeneidad y la estabilidad y la elaboración de descripciones armonizadas de las obtenciones vegetales”, con sus documentos TGP conexos, y las directrices de examen.  Ese material sienta las bases de la armonización y de esa forma facilita la cooperación entre los miembros de la Unión.  Reconocer las cuestiones pertinentes a la orientación y elaboración de material adecuado sigue siendo un objetivo clave de la labor del Comité Administrativo y Jurídico (CAJ), el Comité Técnico (TC) y los Grupos de Trabajo Técnico (TWP).  A ese respecto, la participación de las organizaciones que representan a los sectores interesados es un medio importante de velar por que la orientación y la información brindadas resulten lo más eficaces posibles.</w:t>
      </w:r>
      <w:r w:rsidR="00421639" w:rsidRPr="002B0BD5">
        <w:rPr>
          <w:rFonts w:cs="Arial"/>
          <w:snapToGrid w:val="0"/>
          <w:lang w:val="es-ES_tradnl"/>
        </w:rPr>
        <w:t xml:space="preserve">  </w:t>
      </w:r>
    </w:p>
    <w:p w:rsidR="00FF5D3C" w:rsidRPr="002B0BD5" w:rsidRDefault="00FF5D3C" w:rsidP="00EF2D62">
      <w:pPr>
        <w:tabs>
          <w:tab w:val="left" w:pos="567"/>
        </w:tabs>
        <w:rPr>
          <w:rFonts w:cs="Arial"/>
          <w:snapToGrid w:val="0"/>
          <w:lang w:val="es-ES_tradnl"/>
        </w:rPr>
      </w:pPr>
    </w:p>
    <w:p w:rsidR="00FF5D3C" w:rsidRPr="002B0BD5" w:rsidRDefault="00FF5D3C" w:rsidP="00EF2D62">
      <w:pPr>
        <w:tabs>
          <w:tab w:val="left" w:pos="851"/>
        </w:tabs>
        <w:rPr>
          <w:rFonts w:cs="Arial"/>
          <w:lang w:val="es-ES_tradnl"/>
        </w:rPr>
      </w:pPr>
      <w:r w:rsidRPr="002B0BD5">
        <w:rPr>
          <w:rFonts w:cs="Arial"/>
          <w:bCs/>
          <w:lang w:val="es-ES_tradnl"/>
        </w:rPr>
        <w:t xml:space="preserve">2.2.2.3 </w:t>
      </w:r>
      <w:r w:rsidR="00C50FD0" w:rsidRPr="002B0BD5">
        <w:rPr>
          <w:rFonts w:cs="Arial"/>
          <w:bCs/>
          <w:lang w:val="es-ES_tradnl"/>
        </w:rPr>
        <w:tab/>
      </w:r>
      <w:r w:rsidRPr="002B0BD5">
        <w:rPr>
          <w:rFonts w:cs="Arial"/>
          <w:bCs/>
          <w:lang w:val="es-ES_tradnl"/>
        </w:rPr>
        <w:t>Un aspecto importante para dar cada vez más eficacia al funcionamiento del sistema de la UPOV es que resulte claro para todos los sectores interesados, entre otros, los obtentores, los productores de semillas y plantas, y los agricultores.  El material de orientación y la información que elabora la UPOV sirven para explicar a los sectores interesados la estructura del sistema de la UPOV y su funcionamiento.  Este subprograma incluye la elaboración de métodos y material de comunicación que resultan adecuados para un amplio espectro de sectores interesados.</w:t>
      </w:r>
      <w:r w:rsidR="00421639" w:rsidRPr="002B0BD5">
        <w:rPr>
          <w:rFonts w:cs="Arial"/>
          <w:bCs/>
          <w:lang w:val="es-ES_tradnl"/>
        </w:rPr>
        <w:t xml:space="preserve">  </w:t>
      </w:r>
    </w:p>
    <w:p w:rsidR="00FF5D3C" w:rsidRPr="002B0BD5" w:rsidRDefault="00FF5D3C" w:rsidP="00EF2D62">
      <w:pPr>
        <w:tabs>
          <w:tab w:val="left" w:pos="567"/>
        </w:tabs>
        <w:rPr>
          <w:rFonts w:cs="Arial"/>
          <w:snapToGrid w:val="0"/>
          <w:lang w:val="es-ES_tradnl"/>
        </w:rPr>
      </w:pPr>
    </w:p>
    <w:p w:rsidR="00FF5D3C" w:rsidRPr="002B0BD5" w:rsidRDefault="00FF5D3C" w:rsidP="00EF2D62">
      <w:pPr>
        <w:tabs>
          <w:tab w:val="left" w:pos="567"/>
        </w:tabs>
        <w:rPr>
          <w:rFonts w:cs="Arial"/>
          <w:i/>
          <w:snapToGrid w:val="0"/>
          <w:lang w:val="es-ES_tradnl"/>
        </w:rPr>
      </w:pPr>
      <w:r w:rsidRPr="002B0BD5">
        <w:rPr>
          <w:rFonts w:cs="Arial"/>
          <w:i/>
          <w:snapToGrid w:val="0"/>
          <w:lang w:val="es-ES_tradnl"/>
        </w:rPr>
        <w:t>Cooperación</w:t>
      </w:r>
    </w:p>
    <w:p w:rsidR="00FF5D3C" w:rsidRPr="002B0BD5" w:rsidRDefault="00FF5D3C" w:rsidP="00EF2D62">
      <w:pPr>
        <w:tabs>
          <w:tab w:val="left" w:pos="567"/>
        </w:tabs>
        <w:rPr>
          <w:rFonts w:cs="Arial"/>
          <w:snapToGrid w:val="0"/>
          <w:lang w:val="es-ES_tradnl"/>
        </w:rPr>
      </w:pPr>
    </w:p>
    <w:p w:rsidR="00FF5D3C" w:rsidRPr="002B0BD5" w:rsidRDefault="00FF5D3C" w:rsidP="00EF2D62">
      <w:pPr>
        <w:tabs>
          <w:tab w:val="left" w:pos="851"/>
        </w:tabs>
        <w:rPr>
          <w:rFonts w:cs="Arial"/>
          <w:bCs/>
          <w:lang w:val="es-ES_tradnl"/>
        </w:rPr>
      </w:pPr>
      <w:r w:rsidRPr="002B0BD5">
        <w:rPr>
          <w:rFonts w:cs="Arial"/>
          <w:snapToGrid w:val="0"/>
          <w:lang w:val="es-ES_tradnl"/>
        </w:rPr>
        <w:t xml:space="preserve">2.2.2.4 </w:t>
      </w:r>
      <w:r w:rsidR="00C50FD0" w:rsidRPr="002B0BD5">
        <w:rPr>
          <w:rFonts w:cs="Arial"/>
          <w:snapToGrid w:val="0"/>
          <w:lang w:val="es-ES_tradnl"/>
        </w:rPr>
        <w:tab/>
      </w:r>
      <w:r w:rsidRPr="002B0BD5">
        <w:rPr>
          <w:rFonts w:cs="Arial"/>
          <w:snapToGrid w:val="0"/>
          <w:lang w:val="es-ES_tradnl"/>
        </w:rPr>
        <w:t>La cooperación entre los miembros de la Unión es una característica fundamental del sistema de la UPOV y constituye la base de un sistema eficiente que abarque todos los géneros y especies vegetales.  Esa eficiencia es importante para que el sistema de la UPOV sea accesible y asequible para todos los tipos de obtentores.</w:t>
      </w:r>
    </w:p>
    <w:p w:rsidR="00FF5D3C" w:rsidRPr="002B0BD5" w:rsidRDefault="00FF5D3C" w:rsidP="00EF2D62">
      <w:pPr>
        <w:tabs>
          <w:tab w:val="left" w:pos="851"/>
        </w:tabs>
        <w:rPr>
          <w:rFonts w:cs="Arial"/>
          <w:bCs/>
          <w:lang w:val="es-ES_tradnl"/>
        </w:rPr>
      </w:pPr>
    </w:p>
    <w:p w:rsidR="00FF5D3C" w:rsidRPr="002B0BD5" w:rsidRDefault="00FF5D3C" w:rsidP="00EF2D62">
      <w:pPr>
        <w:tabs>
          <w:tab w:val="left" w:pos="851"/>
        </w:tabs>
        <w:rPr>
          <w:rFonts w:cs="Arial"/>
          <w:bCs/>
          <w:lang w:val="es-ES_tradnl"/>
        </w:rPr>
      </w:pPr>
      <w:r w:rsidRPr="002B0BD5">
        <w:rPr>
          <w:rFonts w:cs="Arial"/>
          <w:bCs/>
          <w:lang w:val="es-ES_tradnl"/>
        </w:rPr>
        <w:t xml:space="preserve">2.2.2.5 </w:t>
      </w:r>
      <w:r w:rsidR="00C50FD0" w:rsidRPr="002B0BD5">
        <w:rPr>
          <w:rFonts w:cs="Arial"/>
          <w:bCs/>
          <w:lang w:val="es-ES_tradnl"/>
        </w:rPr>
        <w:tab/>
      </w:r>
      <w:r w:rsidRPr="002B0BD5">
        <w:rPr>
          <w:rFonts w:cs="Arial"/>
          <w:bCs/>
          <w:lang w:val="es-ES_tradnl"/>
        </w:rPr>
        <w:t>La cooperación en el seno de la UPOV se nutre en gran medida de la aportación que hacen los miembros de la Unión.  En particular, la cooperación en materia de examen DHE se vale de los expertos de los miembros de la Unión para la elaboración de directrices de examen y de la disposición de los miembros de la Unión a compartir sus experiencias prácticas en lo que atañe a determinados géneros y especies vegetales, por ejemplo, mediante la base de datos GENIE.</w:t>
      </w:r>
      <w:r w:rsidR="008E35A1" w:rsidRPr="002B0BD5">
        <w:rPr>
          <w:rFonts w:cs="Arial"/>
          <w:bCs/>
          <w:lang w:val="es-ES_tradnl"/>
        </w:rPr>
        <w:t xml:space="preserve">  </w:t>
      </w:r>
      <w:r w:rsidR="00B27378">
        <w:rPr>
          <w:rFonts w:cs="Arial"/>
          <w:bCs/>
          <w:lang w:val="es-ES_tradnl"/>
        </w:rPr>
        <w:t>L</w:t>
      </w:r>
      <w:r w:rsidR="005C0E12" w:rsidRPr="002B0BD5">
        <w:rPr>
          <w:rFonts w:cs="Arial"/>
          <w:lang w:val="es-ES_tradnl"/>
        </w:rPr>
        <w:t xml:space="preserve">a elaboración de una plantilla electrónica de directrices de examen </w:t>
      </w:r>
      <w:r w:rsidR="00B27378">
        <w:rPr>
          <w:rFonts w:cs="Arial"/>
          <w:lang w:val="es-ES_tradnl"/>
        </w:rPr>
        <w:t xml:space="preserve">tiene por fin </w:t>
      </w:r>
      <w:r w:rsidR="00151753">
        <w:rPr>
          <w:rFonts w:cs="Arial"/>
          <w:lang w:val="es-ES_tradnl"/>
        </w:rPr>
        <w:t xml:space="preserve">ayudar </w:t>
      </w:r>
      <w:r w:rsidR="005C0E12" w:rsidRPr="002B0BD5">
        <w:rPr>
          <w:rFonts w:cs="Arial"/>
          <w:lang w:val="es-ES_tradnl"/>
        </w:rPr>
        <w:t xml:space="preserve">a los miembros de la Unión en el proceso de preparación de </w:t>
      </w:r>
      <w:r w:rsidR="00151753">
        <w:rPr>
          <w:rFonts w:cs="Arial"/>
          <w:lang w:val="es-ES_tradnl"/>
        </w:rPr>
        <w:t>las mismas</w:t>
      </w:r>
      <w:r w:rsidR="008E35A1" w:rsidRPr="002B0BD5">
        <w:rPr>
          <w:rFonts w:cs="Arial"/>
          <w:bCs/>
          <w:lang w:val="es-ES_tradnl"/>
        </w:rPr>
        <w:t>.</w:t>
      </w:r>
      <w:r w:rsidR="00421639" w:rsidRPr="002B0BD5">
        <w:rPr>
          <w:rFonts w:cs="Arial"/>
          <w:bCs/>
          <w:lang w:val="es-ES_tradnl"/>
        </w:rPr>
        <w:t xml:space="preserve">  </w:t>
      </w:r>
      <w:r w:rsidRPr="002B0BD5">
        <w:rPr>
          <w:rFonts w:cs="Arial"/>
          <w:bCs/>
          <w:lang w:val="es-ES_tradnl"/>
        </w:rPr>
        <w:t>El suministro de datos por los miembros de la Unión a la Base de datos sobre variedades vegetales (PLUTO) da un respaldo fundamental al examen de las denominaciones de variedades;  a ello se añaden los datos proporcionados por la Organización de Cooperación y de Desarrollo Económicos (OCDE) y mediante los acuerdos de cooperación entre la UPOV y la Organización Mundial de la Propiedad Intelectual (OMPI) y entre la UPOV y la Oficina Comunitaria de Variedades Vegetales (OCVV) de la Unión Europea</w:t>
      </w:r>
      <w:r w:rsidR="00AD50C2" w:rsidRPr="002B0BD5">
        <w:rPr>
          <w:rFonts w:cs="Arial"/>
          <w:bCs/>
          <w:lang w:val="es-ES_tradnl"/>
        </w:rPr>
        <w:t xml:space="preserve">.  </w:t>
      </w:r>
      <w:r w:rsidRPr="002B0BD5">
        <w:rPr>
          <w:rFonts w:cs="Arial"/>
          <w:bCs/>
          <w:lang w:val="es-ES_tradnl"/>
        </w:rPr>
        <w:t>Por otra parte, el intercambio de aplicaciones informáticas, por ejemplo, el programa DUST (Reino Unido), así como el programa informático GAIA y el sistema SIRIUS (Francia), dan un sólido apoyo al examen de las variedades.</w:t>
      </w:r>
      <w:r w:rsidR="00421639" w:rsidRPr="002B0BD5">
        <w:rPr>
          <w:rFonts w:cs="Arial"/>
          <w:bCs/>
          <w:lang w:val="es-ES_tradnl"/>
        </w:rPr>
        <w:t xml:space="preserve">  </w:t>
      </w:r>
    </w:p>
    <w:p w:rsidR="00FF5D3C" w:rsidRPr="002B0BD5" w:rsidRDefault="00FF5D3C" w:rsidP="00EF2D62">
      <w:pPr>
        <w:tabs>
          <w:tab w:val="left" w:pos="851"/>
        </w:tabs>
        <w:rPr>
          <w:rFonts w:cs="Arial"/>
          <w:bCs/>
          <w:lang w:val="es-ES_tradnl"/>
        </w:rPr>
      </w:pPr>
    </w:p>
    <w:p w:rsidR="00FF5D3C" w:rsidRPr="002B0BD5" w:rsidRDefault="00FF5D3C" w:rsidP="00EF2D62">
      <w:pPr>
        <w:tabs>
          <w:tab w:val="left" w:pos="851"/>
        </w:tabs>
        <w:rPr>
          <w:rFonts w:cs="Arial"/>
          <w:bCs/>
          <w:lang w:val="es-ES_tradnl"/>
        </w:rPr>
      </w:pPr>
      <w:r w:rsidRPr="002B0BD5">
        <w:rPr>
          <w:rFonts w:cs="Arial"/>
          <w:bCs/>
          <w:lang w:val="es-ES_tradnl"/>
        </w:rPr>
        <w:t xml:space="preserve">2.2.2.6 </w:t>
      </w:r>
      <w:r w:rsidR="00C50FD0" w:rsidRPr="002B0BD5">
        <w:rPr>
          <w:rFonts w:cs="Arial"/>
          <w:bCs/>
          <w:lang w:val="es-ES_tradnl"/>
        </w:rPr>
        <w:tab/>
      </w:r>
      <w:r w:rsidRPr="002B0BD5">
        <w:rPr>
          <w:rFonts w:cs="Arial"/>
          <w:bCs/>
          <w:lang w:val="es-ES_tradnl"/>
        </w:rPr>
        <w:t>Con el fin de mejorar la comprensión del sistema de la UPOV, los miembros de la Unión proporcionan recursos extrapresupuestarios adicionales para poner el material a disposición en otros idiomas además de los de la UPOV (español, alemán, francés e inglés).  Entre esas iniciativas cabe señalar la creación por la Federación de Rusia de un sitio web en ruso y la financiación por el Japón de la traducción de material de la UPOV, mediante los Fondos Fiduciarios de ese país.</w:t>
      </w:r>
      <w:r w:rsidR="00421639" w:rsidRPr="002B0BD5">
        <w:rPr>
          <w:rFonts w:cs="Arial"/>
          <w:lang w:val="es-ES_tradnl"/>
        </w:rPr>
        <w:t xml:space="preserve"> </w:t>
      </w:r>
    </w:p>
    <w:p w:rsidR="00FF5D3C" w:rsidRPr="002B0BD5" w:rsidRDefault="00FF5D3C" w:rsidP="00EF2D62">
      <w:pPr>
        <w:rPr>
          <w:rFonts w:cs="Arial"/>
          <w:bCs/>
          <w:lang w:val="es-ES_tradnl"/>
        </w:rPr>
      </w:pPr>
    </w:p>
    <w:p w:rsidR="00FF5D3C" w:rsidRPr="002B0BD5" w:rsidRDefault="00FF5D3C" w:rsidP="00EF2D62">
      <w:pPr>
        <w:rPr>
          <w:rFonts w:cs="Arial"/>
          <w:bCs/>
          <w:i/>
          <w:lang w:val="es-ES_tradnl"/>
        </w:rPr>
      </w:pPr>
      <w:r w:rsidRPr="002B0BD5">
        <w:rPr>
          <w:rFonts w:cs="Arial"/>
          <w:bCs/>
          <w:i/>
          <w:lang w:val="es-ES_tradnl"/>
        </w:rPr>
        <w:t>Simplificar las solicitudes de derechos de obtentor</w:t>
      </w:r>
    </w:p>
    <w:p w:rsidR="00FF5D3C" w:rsidRPr="002B0BD5" w:rsidRDefault="00FF5D3C" w:rsidP="00EF2D62">
      <w:pPr>
        <w:rPr>
          <w:rFonts w:cs="Arial"/>
          <w:bCs/>
          <w:lang w:val="es-ES_tradnl"/>
        </w:rPr>
      </w:pPr>
    </w:p>
    <w:p w:rsidR="00FF5D3C" w:rsidRPr="002B0BD5" w:rsidRDefault="00FF5D3C" w:rsidP="00EF2D62">
      <w:pPr>
        <w:tabs>
          <w:tab w:val="left" w:pos="851"/>
        </w:tabs>
        <w:rPr>
          <w:rFonts w:cs="Arial"/>
          <w:bCs/>
          <w:lang w:val="es-ES_tradnl"/>
        </w:rPr>
      </w:pPr>
      <w:r w:rsidRPr="002B0BD5">
        <w:rPr>
          <w:rFonts w:cs="Arial"/>
          <w:bCs/>
          <w:lang w:val="es-ES_tradnl"/>
        </w:rPr>
        <w:t>2.2.2.7</w:t>
      </w:r>
      <w:r w:rsidR="002560FD" w:rsidRPr="002B0BD5">
        <w:rPr>
          <w:rFonts w:cs="Arial"/>
          <w:bCs/>
          <w:lang w:val="es-ES_tradnl"/>
        </w:rPr>
        <w:tab/>
      </w:r>
      <w:r w:rsidRPr="002B0BD5">
        <w:rPr>
          <w:rFonts w:cs="Arial"/>
          <w:bCs/>
          <w:lang w:val="es-ES_tradnl"/>
        </w:rPr>
        <w:t>Los solicitantes se benefician directamente de las iniciativas destinadas a simplificar las solicitudes, por ejemplo, los formularios de solicitud y las referencias estándar</w:t>
      </w:r>
      <w:r w:rsidR="00F41D77" w:rsidRPr="002B0BD5">
        <w:rPr>
          <w:rFonts w:cs="Arial"/>
          <w:bCs/>
          <w:lang w:val="es-ES_tradnl"/>
        </w:rPr>
        <w:t xml:space="preserve"> de la UPOV</w:t>
      </w:r>
      <w:r w:rsidRPr="002B0BD5">
        <w:rPr>
          <w:rFonts w:cs="Arial"/>
          <w:bCs/>
          <w:lang w:val="es-ES_tradnl"/>
        </w:rPr>
        <w:t xml:space="preserve"> y la cooperación entre los miembros de la Unión en el desarrollo de sistemas electrónicos de presentación de solicitudes.</w:t>
      </w:r>
      <w:r w:rsidR="00421639" w:rsidRPr="002B0BD5">
        <w:rPr>
          <w:rFonts w:cs="Arial"/>
          <w:bCs/>
          <w:lang w:val="es-ES_tradnl"/>
        </w:rPr>
        <w:t xml:space="preserve">  </w:t>
      </w:r>
    </w:p>
    <w:p w:rsidR="00FF5D3C" w:rsidRPr="002B0BD5" w:rsidRDefault="00FF5D3C" w:rsidP="00EF2D62">
      <w:pPr>
        <w:rPr>
          <w:rFonts w:cs="Arial"/>
          <w:bCs/>
          <w:lang w:val="es-ES_tradnl"/>
        </w:rPr>
      </w:pPr>
    </w:p>
    <w:p w:rsidR="00FF5D3C" w:rsidRPr="002B0BD5" w:rsidRDefault="00FF5D3C" w:rsidP="00EF2D62">
      <w:pPr>
        <w:pStyle w:val="Heading3"/>
      </w:pPr>
      <w:bookmarkStart w:id="17" w:name="_Toc363577057"/>
      <w:r w:rsidRPr="002B0BD5">
        <w:t xml:space="preserve">2.2.3 </w:t>
      </w:r>
      <w:r w:rsidR="00F06CCB" w:rsidRPr="002B0BD5">
        <w:tab/>
      </w:r>
      <w:r w:rsidRPr="002B0BD5">
        <w:t>Actividades</w:t>
      </w:r>
      <w:bookmarkEnd w:id="17"/>
    </w:p>
    <w:p w:rsidR="00FF5D3C" w:rsidRPr="002B0BD5" w:rsidRDefault="00FF5D3C" w:rsidP="00EF2D62">
      <w:pPr>
        <w:rPr>
          <w:rFonts w:cs="Arial"/>
          <w:lang w:val="es-ES_tradnl"/>
        </w:rPr>
      </w:pPr>
    </w:p>
    <w:p w:rsidR="00FF5D3C" w:rsidRPr="002B0BD5" w:rsidRDefault="00BF0818" w:rsidP="00EF2D62">
      <w:pPr>
        <w:tabs>
          <w:tab w:val="center" w:pos="851"/>
          <w:tab w:val="left" w:pos="1134"/>
        </w:tabs>
        <w:spacing w:after="120"/>
        <w:ind w:left="1134" w:hanging="567"/>
        <w:rPr>
          <w:rFonts w:cs="Arial"/>
          <w:lang w:val="es-ES_tradnl"/>
        </w:rPr>
      </w:pPr>
      <w:r w:rsidRPr="002B0BD5">
        <w:rPr>
          <w:rFonts w:cs="Arial"/>
          <w:lang w:val="es-ES_tradnl"/>
        </w:rPr>
        <w:tab/>
        <w:t>i)</w:t>
      </w:r>
      <w:r w:rsidRPr="002B0BD5">
        <w:rPr>
          <w:rFonts w:cs="Arial"/>
          <w:lang w:val="es-ES_tradnl"/>
        </w:rPr>
        <w:tab/>
      </w:r>
      <w:r w:rsidR="00FF5D3C" w:rsidRPr="002B0BD5">
        <w:rPr>
          <w:rFonts w:cs="Arial"/>
          <w:lang w:val="es-ES_tradnl"/>
        </w:rPr>
        <w:t>Cuatro sesiones del Comité Administrativo y Jurídico, dos sesiones del Comité Técnico, 11 sesiones de los Grupos de Trabajo Técnico, incluida una reunión del Grupo de Trabajo sobre Técnicas Bioquímicas y Moleculares, y Perfiles de ADN en particular (BMT), y sus talleres preparatorios respectivos.</w:t>
      </w:r>
    </w:p>
    <w:p w:rsidR="00FF5D3C" w:rsidRPr="002B0BD5" w:rsidRDefault="00BF0818" w:rsidP="00EF2D62">
      <w:pPr>
        <w:tabs>
          <w:tab w:val="center" w:pos="851"/>
          <w:tab w:val="left" w:pos="1134"/>
        </w:tabs>
        <w:spacing w:after="120"/>
        <w:ind w:left="1134" w:hanging="567"/>
        <w:rPr>
          <w:rFonts w:cs="Arial"/>
          <w:lang w:val="es-ES_tradnl"/>
        </w:rPr>
      </w:pPr>
      <w:r w:rsidRPr="002B0BD5">
        <w:rPr>
          <w:rFonts w:cs="Arial"/>
          <w:lang w:val="es-ES_tradnl"/>
        </w:rPr>
        <w:tab/>
        <w:t>ii)</w:t>
      </w:r>
      <w:r w:rsidRPr="002B0BD5">
        <w:rPr>
          <w:rFonts w:cs="Arial"/>
          <w:lang w:val="es-ES_tradnl"/>
        </w:rPr>
        <w:tab/>
      </w:r>
      <w:r w:rsidR="00FF5D3C" w:rsidRPr="002B0BD5">
        <w:rPr>
          <w:rFonts w:cs="Arial"/>
          <w:lang w:val="es-ES_tradnl"/>
        </w:rPr>
        <w:t>Elaborar material de orientación e información, entre otras cosas, notas explicativas y documentos de información sobre el Convenio de la UPOV.</w:t>
      </w:r>
    </w:p>
    <w:p w:rsidR="00FF5D3C" w:rsidRPr="002B0BD5" w:rsidRDefault="00BF0818" w:rsidP="00EF2D62">
      <w:pPr>
        <w:tabs>
          <w:tab w:val="center" w:pos="851"/>
          <w:tab w:val="left" w:pos="1134"/>
        </w:tabs>
        <w:spacing w:after="120"/>
        <w:ind w:left="1134" w:hanging="567"/>
        <w:rPr>
          <w:rFonts w:cs="Arial"/>
          <w:lang w:val="es-ES_tradnl"/>
        </w:rPr>
      </w:pPr>
      <w:r w:rsidRPr="002B0BD5">
        <w:rPr>
          <w:rFonts w:cs="Arial"/>
          <w:lang w:val="es-ES_tradnl"/>
        </w:rPr>
        <w:tab/>
        <w:t>iii)</w:t>
      </w:r>
      <w:r w:rsidRPr="002B0BD5">
        <w:rPr>
          <w:rFonts w:cs="Arial"/>
          <w:lang w:val="es-ES_tradnl"/>
        </w:rPr>
        <w:tab/>
      </w:r>
      <w:r w:rsidR="00FF5D3C" w:rsidRPr="002B0BD5">
        <w:rPr>
          <w:rFonts w:cs="Arial"/>
          <w:lang w:val="es-ES_tradnl"/>
        </w:rPr>
        <w:t>Elaborar y difundir material de información destinado a los sectores interesados, entre otros, los obtentores, los productores de semillas y plantas, y los agricultores.</w:t>
      </w:r>
    </w:p>
    <w:p w:rsidR="00FF5D3C" w:rsidRPr="002B0BD5" w:rsidRDefault="00BF0818" w:rsidP="00EF2D62">
      <w:pPr>
        <w:tabs>
          <w:tab w:val="center" w:pos="851"/>
          <w:tab w:val="left" w:pos="1134"/>
        </w:tabs>
        <w:spacing w:after="120"/>
        <w:ind w:left="1134" w:hanging="567"/>
        <w:rPr>
          <w:rFonts w:cs="Arial"/>
          <w:lang w:val="es-ES_tradnl"/>
        </w:rPr>
      </w:pPr>
      <w:r w:rsidRPr="002B0BD5">
        <w:rPr>
          <w:rFonts w:cs="Arial"/>
          <w:lang w:val="es-ES_tradnl"/>
        </w:rPr>
        <w:tab/>
        <w:t>iv)</w:t>
      </w:r>
      <w:r w:rsidRPr="002B0BD5">
        <w:rPr>
          <w:rFonts w:cs="Arial"/>
          <w:lang w:val="es-ES_tradnl"/>
        </w:rPr>
        <w:tab/>
      </w:r>
      <w:r w:rsidR="00FF5D3C" w:rsidRPr="002B0BD5">
        <w:rPr>
          <w:rFonts w:cs="Arial"/>
          <w:lang w:val="es-ES_tradnl"/>
        </w:rPr>
        <w:t>Seguir elaborando documentos de orientación sobre el examen de la distinción, la homogeneidad y la estabilidad (“DHE”), entre otros, la “Introducción General al examen de la distinción, la homogeneidad y la estabilidad y a la elaboración de descripciones armonizadas de las obtenciones vegetales” (Introducción General) y los documentos conexos sobre los procedimientos relativos a las directrices de examen (documentos TGP).</w:t>
      </w:r>
    </w:p>
    <w:p w:rsidR="00FF5D3C" w:rsidRPr="002B0BD5" w:rsidRDefault="00BF0818" w:rsidP="00EF2D62">
      <w:pPr>
        <w:tabs>
          <w:tab w:val="center" w:pos="851"/>
          <w:tab w:val="left" w:pos="1134"/>
        </w:tabs>
        <w:spacing w:after="120"/>
        <w:ind w:left="1134" w:hanging="567"/>
        <w:rPr>
          <w:rFonts w:cs="Arial"/>
          <w:lang w:val="es-ES_tradnl"/>
        </w:rPr>
      </w:pPr>
      <w:r w:rsidRPr="002B0BD5">
        <w:rPr>
          <w:rFonts w:cs="Arial"/>
          <w:lang w:val="es-ES_tradnl"/>
        </w:rPr>
        <w:tab/>
      </w:r>
      <w:r w:rsidR="00FF5D3C" w:rsidRPr="002B0BD5">
        <w:rPr>
          <w:rFonts w:cs="Arial"/>
          <w:lang w:val="es-ES_tradnl"/>
        </w:rPr>
        <w:t>v)</w:t>
      </w:r>
      <w:r w:rsidRPr="002B0BD5">
        <w:rPr>
          <w:rFonts w:cs="Arial"/>
          <w:lang w:val="es-ES_tradnl"/>
        </w:rPr>
        <w:tab/>
      </w:r>
      <w:r w:rsidR="00FF5D3C" w:rsidRPr="002B0BD5">
        <w:rPr>
          <w:rFonts w:cs="Arial"/>
          <w:lang w:val="es-ES_tradnl"/>
        </w:rPr>
        <w:t>Elaborar directrices de examen.</w:t>
      </w:r>
    </w:p>
    <w:p w:rsidR="00FF5D3C" w:rsidRPr="002B0BD5" w:rsidRDefault="00BF0818" w:rsidP="00EF2D62">
      <w:pPr>
        <w:tabs>
          <w:tab w:val="center" w:pos="851"/>
          <w:tab w:val="left" w:pos="1134"/>
        </w:tabs>
        <w:spacing w:after="120"/>
        <w:ind w:left="1134" w:hanging="567"/>
        <w:rPr>
          <w:rFonts w:cs="Arial"/>
          <w:lang w:val="es-ES_tradnl"/>
        </w:rPr>
      </w:pPr>
      <w:r w:rsidRPr="002B0BD5">
        <w:rPr>
          <w:rFonts w:cs="Arial"/>
          <w:lang w:val="es-ES_tradnl"/>
        </w:rPr>
        <w:tab/>
      </w:r>
      <w:proofErr w:type="gramStart"/>
      <w:r w:rsidRPr="002B0BD5">
        <w:rPr>
          <w:rFonts w:cs="Arial"/>
          <w:lang w:val="es-ES_tradnl"/>
        </w:rPr>
        <w:t>vi</w:t>
      </w:r>
      <w:proofErr w:type="gramEnd"/>
      <w:r w:rsidRPr="002B0BD5">
        <w:rPr>
          <w:rFonts w:cs="Arial"/>
          <w:lang w:val="es-ES_tradnl"/>
        </w:rPr>
        <w:t>)</w:t>
      </w:r>
      <w:r w:rsidRPr="002B0BD5">
        <w:rPr>
          <w:rFonts w:cs="Arial"/>
          <w:lang w:val="es-ES_tradnl"/>
        </w:rPr>
        <w:tab/>
      </w:r>
      <w:r w:rsidR="00FF5D3C" w:rsidRPr="002B0BD5">
        <w:rPr>
          <w:rFonts w:cs="Arial"/>
          <w:lang w:val="es-ES_tradnl"/>
        </w:rPr>
        <w:t>Evaluar nuevos métodos de examen de la distinción, la homogeneidad y la estabilidad (DHE).</w:t>
      </w:r>
    </w:p>
    <w:p w:rsidR="00FF5D3C" w:rsidRPr="002B0BD5" w:rsidRDefault="00BF0818" w:rsidP="00EF2D62">
      <w:pPr>
        <w:tabs>
          <w:tab w:val="center" w:pos="851"/>
          <w:tab w:val="left" w:pos="1134"/>
        </w:tabs>
        <w:spacing w:after="120"/>
        <w:ind w:left="1134" w:hanging="567"/>
        <w:rPr>
          <w:rFonts w:cs="Arial"/>
          <w:lang w:val="es-ES_tradnl"/>
        </w:rPr>
      </w:pPr>
      <w:r w:rsidRPr="002B0BD5">
        <w:rPr>
          <w:rFonts w:cs="Arial"/>
          <w:lang w:val="es-ES_tradnl"/>
        </w:rPr>
        <w:tab/>
      </w:r>
      <w:r w:rsidR="00FF5D3C" w:rsidRPr="002B0BD5">
        <w:rPr>
          <w:rFonts w:cs="Arial"/>
          <w:lang w:val="es-ES_tradnl"/>
        </w:rPr>
        <w:t xml:space="preserve">vii) </w:t>
      </w:r>
      <w:r w:rsidRPr="002B0BD5">
        <w:rPr>
          <w:rFonts w:cs="Arial"/>
          <w:lang w:val="es-ES_tradnl"/>
        </w:rPr>
        <w:tab/>
      </w:r>
      <w:r w:rsidR="00FF5D3C" w:rsidRPr="002B0BD5">
        <w:rPr>
          <w:rFonts w:cs="Arial"/>
          <w:lang w:val="es-ES_tradnl"/>
        </w:rPr>
        <w:t>Tomar en consideración la posibilidad de utilizar marcadores moleculares en el examen DHE y crear un foro para examinar su utilización en la identificación de variedades y para determinar las variedades esencialmente derivadas.</w:t>
      </w:r>
    </w:p>
    <w:p w:rsidR="00FF5D3C" w:rsidRPr="002B0BD5" w:rsidRDefault="00BF0818" w:rsidP="00EF2D62">
      <w:pPr>
        <w:tabs>
          <w:tab w:val="center" w:pos="851"/>
          <w:tab w:val="left" w:pos="1134"/>
        </w:tabs>
        <w:spacing w:after="120"/>
        <w:ind w:left="1134" w:hanging="567"/>
        <w:rPr>
          <w:rFonts w:cs="Arial"/>
          <w:lang w:val="es-ES_tradnl"/>
        </w:rPr>
      </w:pPr>
      <w:r w:rsidRPr="002B0BD5">
        <w:rPr>
          <w:rFonts w:cs="Arial"/>
          <w:lang w:val="es-ES_tradnl"/>
        </w:rPr>
        <w:tab/>
        <w:t>viii)</w:t>
      </w:r>
      <w:r w:rsidRPr="002B0BD5">
        <w:rPr>
          <w:rFonts w:cs="Arial"/>
          <w:lang w:val="es-ES_tradnl"/>
        </w:rPr>
        <w:tab/>
      </w:r>
      <w:r w:rsidR="00FF5D3C" w:rsidRPr="002B0BD5">
        <w:rPr>
          <w:rFonts w:cs="Arial"/>
          <w:lang w:val="es-ES_tradnl"/>
        </w:rPr>
        <w:t xml:space="preserve">Actualizar y seguir perfeccionando la Base de datos </w:t>
      </w:r>
      <w:r w:rsidR="00076D66" w:rsidRPr="002B0BD5">
        <w:rPr>
          <w:rFonts w:cs="Arial"/>
          <w:lang w:val="es-ES_tradnl"/>
        </w:rPr>
        <w:t xml:space="preserve">PLUTO </w:t>
      </w:r>
      <w:r w:rsidR="00FF5D3C" w:rsidRPr="002B0BD5">
        <w:rPr>
          <w:rFonts w:cs="Arial"/>
          <w:lang w:val="es-ES_tradnl"/>
        </w:rPr>
        <w:t>sobre variedades vegetales.</w:t>
      </w:r>
    </w:p>
    <w:p w:rsidR="00FF5D3C" w:rsidRPr="002B0BD5" w:rsidRDefault="00BF0818" w:rsidP="00EF2D62">
      <w:pPr>
        <w:tabs>
          <w:tab w:val="center" w:pos="851"/>
          <w:tab w:val="left" w:pos="1134"/>
        </w:tabs>
        <w:spacing w:after="120"/>
        <w:ind w:left="1134" w:hanging="567"/>
        <w:rPr>
          <w:rFonts w:cs="Arial"/>
          <w:lang w:val="es-ES_tradnl"/>
        </w:rPr>
      </w:pPr>
      <w:r w:rsidRPr="002B0BD5">
        <w:rPr>
          <w:rFonts w:cs="Arial"/>
          <w:lang w:val="es-ES_tradnl"/>
        </w:rPr>
        <w:tab/>
        <w:t>ix)</w:t>
      </w:r>
      <w:r w:rsidRPr="002B0BD5">
        <w:rPr>
          <w:rFonts w:cs="Arial"/>
          <w:lang w:val="es-ES_tradnl"/>
        </w:rPr>
        <w:tab/>
      </w:r>
      <w:r w:rsidR="00FF5D3C" w:rsidRPr="002B0BD5">
        <w:rPr>
          <w:rFonts w:cs="Arial"/>
          <w:lang w:val="es-ES_tradnl"/>
        </w:rPr>
        <w:t>Actualizar la base de datos GENIE.</w:t>
      </w:r>
    </w:p>
    <w:p w:rsidR="00FF5D3C" w:rsidRPr="002B0BD5" w:rsidRDefault="00BF0818" w:rsidP="00EF2D62">
      <w:pPr>
        <w:tabs>
          <w:tab w:val="center" w:pos="851"/>
          <w:tab w:val="left" w:pos="1134"/>
        </w:tabs>
        <w:spacing w:after="120"/>
        <w:ind w:left="1134" w:hanging="567"/>
        <w:rPr>
          <w:rFonts w:cs="Arial"/>
          <w:lang w:val="es-ES_tradnl"/>
        </w:rPr>
      </w:pPr>
      <w:r w:rsidRPr="002B0BD5">
        <w:rPr>
          <w:rFonts w:cs="Arial"/>
          <w:lang w:val="es-ES_tradnl"/>
        </w:rPr>
        <w:tab/>
        <w:t>x)</w:t>
      </w:r>
      <w:r w:rsidRPr="002B0BD5">
        <w:rPr>
          <w:rFonts w:cs="Arial"/>
          <w:lang w:val="es-ES_tradnl"/>
        </w:rPr>
        <w:tab/>
      </w:r>
      <w:r w:rsidR="00FF5D3C" w:rsidRPr="002B0BD5">
        <w:rPr>
          <w:rFonts w:cs="Arial"/>
          <w:lang w:val="es-ES_tradnl"/>
        </w:rPr>
        <w:t>Mantener la colección UPOV Lex de legislación y notificaciones pertinentes.</w:t>
      </w:r>
    </w:p>
    <w:p w:rsidR="00FF5D3C" w:rsidRPr="002B0BD5" w:rsidRDefault="00BF0818" w:rsidP="00EF2D62">
      <w:pPr>
        <w:tabs>
          <w:tab w:val="center" w:pos="851"/>
          <w:tab w:val="left" w:pos="1134"/>
        </w:tabs>
        <w:spacing w:after="120"/>
        <w:ind w:left="1134" w:hanging="567"/>
        <w:rPr>
          <w:rFonts w:cs="Arial"/>
          <w:lang w:val="es-ES_tradnl"/>
        </w:rPr>
      </w:pPr>
      <w:r w:rsidRPr="002B0BD5">
        <w:rPr>
          <w:rFonts w:cs="Arial"/>
          <w:lang w:val="es-ES_tradnl"/>
        </w:rPr>
        <w:tab/>
        <w:t>xi)</w:t>
      </w:r>
      <w:r w:rsidRPr="002B0BD5">
        <w:rPr>
          <w:rFonts w:cs="Arial"/>
          <w:lang w:val="es-ES_tradnl"/>
        </w:rPr>
        <w:tab/>
      </w:r>
      <w:r w:rsidR="00FF5D3C" w:rsidRPr="002B0BD5">
        <w:rPr>
          <w:rFonts w:cs="Arial"/>
          <w:lang w:val="es-ES_tradnl"/>
        </w:rPr>
        <w:t>Actualizar la Colección de la UPOV.</w:t>
      </w:r>
    </w:p>
    <w:p w:rsidR="00FF5D3C" w:rsidRPr="002B0BD5" w:rsidRDefault="00BF0818" w:rsidP="00EF2D62">
      <w:pPr>
        <w:tabs>
          <w:tab w:val="center" w:pos="851"/>
          <w:tab w:val="left" w:pos="1134"/>
        </w:tabs>
        <w:spacing w:after="120"/>
        <w:ind w:left="1134" w:hanging="567"/>
        <w:rPr>
          <w:rFonts w:cs="Arial"/>
          <w:lang w:val="es-ES_tradnl"/>
        </w:rPr>
      </w:pPr>
      <w:r w:rsidRPr="002B0BD5">
        <w:rPr>
          <w:rFonts w:cs="Arial"/>
          <w:lang w:val="es-ES_tradnl"/>
        </w:rPr>
        <w:tab/>
        <w:t>xii)</w:t>
      </w:r>
      <w:r w:rsidRPr="002B0BD5">
        <w:rPr>
          <w:rFonts w:cs="Arial"/>
          <w:lang w:val="es-ES_tradnl"/>
        </w:rPr>
        <w:tab/>
      </w:r>
      <w:r w:rsidR="00FF5D3C" w:rsidRPr="002B0BD5">
        <w:rPr>
          <w:rFonts w:cs="Arial"/>
          <w:lang w:val="es-ES_tradnl"/>
        </w:rPr>
        <w:t>Elaborar un formulario electrónico de solicitud.</w:t>
      </w:r>
    </w:p>
    <w:p w:rsidR="00FF5D3C" w:rsidRPr="002B0BD5" w:rsidRDefault="00BF0818" w:rsidP="00EF2D62">
      <w:pPr>
        <w:tabs>
          <w:tab w:val="center" w:pos="851"/>
          <w:tab w:val="left" w:pos="1134"/>
        </w:tabs>
        <w:spacing w:after="120"/>
        <w:ind w:left="1134" w:hanging="567"/>
        <w:rPr>
          <w:rFonts w:cs="Arial"/>
          <w:lang w:val="es-ES_tradnl"/>
        </w:rPr>
      </w:pPr>
      <w:r w:rsidRPr="002B0BD5">
        <w:rPr>
          <w:rFonts w:cs="Arial"/>
          <w:lang w:val="es-ES_tradnl"/>
        </w:rPr>
        <w:tab/>
        <w:t>xiii)</w:t>
      </w:r>
      <w:r w:rsidRPr="002B0BD5">
        <w:rPr>
          <w:rFonts w:cs="Arial"/>
          <w:lang w:val="es-ES_tradnl"/>
        </w:rPr>
        <w:tab/>
      </w:r>
      <w:r w:rsidR="005C0E12" w:rsidRPr="002B0BD5">
        <w:rPr>
          <w:rFonts w:cs="Arial"/>
          <w:lang w:val="es-ES_tradnl"/>
        </w:rPr>
        <w:t xml:space="preserve">Seguir </w:t>
      </w:r>
      <w:r w:rsidR="000217E0">
        <w:rPr>
          <w:rFonts w:cs="Arial"/>
          <w:lang w:val="es-ES_tradnl"/>
        </w:rPr>
        <w:t xml:space="preserve">elaborando </w:t>
      </w:r>
      <w:r w:rsidR="005C0E12" w:rsidRPr="002B0BD5">
        <w:rPr>
          <w:rFonts w:cs="Arial"/>
          <w:lang w:val="es-ES_tradnl"/>
        </w:rPr>
        <w:t>una plantilla electrónica de directrices de examen</w:t>
      </w:r>
      <w:r w:rsidR="00EA0320" w:rsidRPr="002B0BD5">
        <w:rPr>
          <w:rFonts w:cs="Arial"/>
          <w:lang w:val="es-ES_tradnl"/>
        </w:rPr>
        <w:t>.</w:t>
      </w:r>
    </w:p>
    <w:p w:rsidR="00FF5D3C" w:rsidRPr="002B0BD5" w:rsidRDefault="00BF0818" w:rsidP="00EF2D62">
      <w:pPr>
        <w:tabs>
          <w:tab w:val="center" w:pos="851"/>
          <w:tab w:val="left" w:pos="1134"/>
        </w:tabs>
        <w:spacing w:after="120"/>
        <w:ind w:left="1134" w:hanging="567"/>
        <w:rPr>
          <w:rFonts w:cs="Arial"/>
          <w:lang w:val="es-ES_tradnl"/>
        </w:rPr>
      </w:pPr>
      <w:r w:rsidRPr="002B0BD5">
        <w:rPr>
          <w:rFonts w:cs="Arial"/>
          <w:lang w:val="es-ES_tradnl"/>
        </w:rPr>
        <w:tab/>
      </w:r>
      <w:r w:rsidR="00FF5D3C" w:rsidRPr="002B0BD5">
        <w:rPr>
          <w:rFonts w:cs="Arial"/>
          <w:lang w:val="es-ES_tradnl"/>
        </w:rPr>
        <w:t>xi</w:t>
      </w:r>
      <w:r w:rsidR="00F41D77" w:rsidRPr="002B0BD5">
        <w:rPr>
          <w:rFonts w:cs="Arial"/>
          <w:lang w:val="es-ES_tradnl"/>
        </w:rPr>
        <w:t>v</w:t>
      </w:r>
      <w:r w:rsidRPr="002B0BD5">
        <w:rPr>
          <w:rFonts w:cs="Arial"/>
          <w:lang w:val="es-ES_tradnl"/>
        </w:rPr>
        <w:t>)</w:t>
      </w:r>
      <w:r w:rsidRPr="002B0BD5">
        <w:rPr>
          <w:rFonts w:cs="Arial"/>
          <w:lang w:val="es-ES_tradnl"/>
        </w:rPr>
        <w:tab/>
      </w:r>
      <w:r w:rsidR="00FF5D3C" w:rsidRPr="002B0BD5">
        <w:rPr>
          <w:rFonts w:cs="Arial"/>
          <w:lang w:val="es-ES_tradnl"/>
        </w:rPr>
        <w:t>Organizar seminarios o simposios sobre temas pertinentes, en paralelo con las sesiones de los órganos de la UPOV.</w:t>
      </w:r>
    </w:p>
    <w:p w:rsidR="00FF5D3C" w:rsidRPr="002B0BD5" w:rsidRDefault="00BF0818" w:rsidP="00EF2D62">
      <w:pPr>
        <w:tabs>
          <w:tab w:val="center" w:pos="851"/>
          <w:tab w:val="left" w:pos="1134"/>
        </w:tabs>
        <w:spacing w:after="120"/>
        <w:ind w:left="1134" w:hanging="567"/>
        <w:rPr>
          <w:rFonts w:cs="Arial"/>
          <w:lang w:val="es-ES_tradnl"/>
        </w:rPr>
      </w:pPr>
      <w:r w:rsidRPr="002B0BD5">
        <w:rPr>
          <w:rFonts w:cs="Arial"/>
          <w:lang w:val="es-ES_tradnl"/>
        </w:rPr>
        <w:tab/>
      </w:r>
      <w:r w:rsidR="00F41D77" w:rsidRPr="002B0BD5">
        <w:rPr>
          <w:rFonts w:cs="Arial"/>
          <w:lang w:val="es-ES_tradnl"/>
        </w:rPr>
        <w:t>x</w:t>
      </w:r>
      <w:r w:rsidRPr="002B0BD5">
        <w:rPr>
          <w:rFonts w:cs="Arial"/>
          <w:lang w:val="es-ES_tradnl"/>
        </w:rPr>
        <w:t>v)</w:t>
      </w:r>
      <w:r w:rsidRPr="002B0BD5">
        <w:rPr>
          <w:rFonts w:cs="Arial"/>
          <w:lang w:val="es-ES_tradnl"/>
        </w:rPr>
        <w:tab/>
      </w:r>
      <w:r w:rsidR="00FF5D3C" w:rsidRPr="002B0BD5">
        <w:rPr>
          <w:rFonts w:cs="Arial"/>
          <w:lang w:val="es-ES_tradnl"/>
        </w:rPr>
        <w:t>Mantener y seguir perfeccionando el sitio web de la UPOV y otros medios de comunicación.</w:t>
      </w:r>
      <w:r w:rsidR="00421639" w:rsidRPr="002B0BD5">
        <w:rPr>
          <w:rFonts w:cs="Arial"/>
          <w:lang w:val="es-ES_tradnl"/>
        </w:rPr>
        <w:t xml:space="preserve">  </w:t>
      </w:r>
    </w:p>
    <w:p w:rsidR="00BF0818" w:rsidRPr="002B0BD5" w:rsidRDefault="00BF0818" w:rsidP="00EF2D62">
      <w:pPr>
        <w:jc w:val="left"/>
        <w:rPr>
          <w:rFonts w:cs="Arial"/>
          <w:b/>
          <w:lang w:val="es-ES_tradnl"/>
        </w:rPr>
      </w:pPr>
      <w:r w:rsidRPr="002B0BD5">
        <w:rPr>
          <w:rFonts w:cs="Arial"/>
          <w:b/>
          <w:lang w:val="es-ES_tradnl"/>
        </w:rPr>
        <w:br w:type="page"/>
      </w:r>
    </w:p>
    <w:p w:rsidR="00FF5D3C" w:rsidRPr="002B0BD5" w:rsidRDefault="00FF5D3C" w:rsidP="00EF2D62">
      <w:pPr>
        <w:pStyle w:val="Heading3"/>
      </w:pPr>
      <w:bookmarkStart w:id="18" w:name="_Toc363577058"/>
      <w:r w:rsidRPr="002B0BD5">
        <w:t xml:space="preserve">2.2.4 </w:t>
      </w:r>
      <w:r w:rsidR="00BF0818" w:rsidRPr="002B0BD5">
        <w:tab/>
      </w:r>
      <w:r w:rsidRPr="002B0BD5">
        <w:t>Resultados previstos e indicadores de rendimiento</w:t>
      </w:r>
      <w:bookmarkEnd w:id="18"/>
    </w:p>
    <w:p w:rsidR="00421639" w:rsidRPr="002B0BD5" w:rsidRDefault="00421639" w:rsidP="00EF2D62">
      <w:pPr>
        <w:rPr>
          <w:rFonts w:cs="Arial"/>
          <w:b/>
          <w:lang w:val="es-ES_tradnl"/>
        </w:rPr>
      </w:pPr>
    </w:p>
    <w:tbl>
      <w:tblPr>
        <w:tblW w:w="9889" w:type="dxa"/>
        <w:tblInd w:w="-103" w:type="dxa"/>
        <w:tblLayout w:type="fixed"/>
        <w:tblCellMar>
          <w:left w:w="0" w:type="dxa"/>
          <w:right w:w="0" w:type="dxa"/>
        </w:tblCellMar>
        <w:tblLook w:val="0000" w:firstRow="0" w:lastRow="0" w:firstColumn="0" w:lastColumn="0" w:noHBand="0" w:noVBand="0"/>
      </w:tblPr>
      <w:tblGrid>
        <w:gridCol w:w="3369"/>
        <w:gridCol w:w="6520"/>
      </w:tblGrid>
      <w:tr w:rsidR="005D61AB" w:rsidRPr="002B0BD5" w:rsidTr="00BF0818">
        <w:trPr>
          <w:cantSplit/>
        </w:trPr>
        <w:tc>
          <w:tcPr>
            <w:tcW w:w="3369"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120" w:after="120"/>
              <w:jc w:val="center"/>
              <w:rPr>
                <w:rFonts w:cs="Arial"/>
                <w:u w:val="single"/>
                <w:lang w:val="es-ES_tradnl"/>
              </w:rPr>
            </w:pPr>
            <w:r w:rsidRPr="002B0BD5">
              <w:rPr>
                <w:rFonts w:cs="Arial"/>
                <w:u w:val="single"/>
                <w:lang w:val="es-ES_tradnl"/>
              </w:rPr>
              <w:t>Resultados previstos</w:t>
            </w:r>
          </w:p>
        </w:tc>
        <w:tc>
          <w:tcPr>
            <w:tcW w:w="6520"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120" w:after="120"/>
              <w:jc w:val="center"/>
              <w:rPr>
                <w:rFonts w:cs="Arial"/>
                <w:u w:val="single"/>
                <w:lang w:val="es-ES_tradnl"/>
              </w:rPr>
            </w:pPr>
            <w:r w:rsidRPr="002B0BD5">
              <w:rPr>
                <w:rFonts w:cs="Arial"/>
                <w:u w:val="single"/>
                <w:lang w:val="es-ES_tradnl"/>
              </w:rPr>
              <w:t>Indicadores de rendimiento</w:t>
            </w:r>
          </w:p>
        </w:tc>
      </w:tr>
      <w:tr w:rsidR="005D61AB" w:rsidRPr="000F652A" w:rsidTr="00BF0818">
        <w:trPr>
          <w:cantSplit/>
        </w:trPr>
        <w:tc>
          <w:tcPr>
            <w:tcW w:w="3369"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60" w:after="60"/>
              <w:ind w:left="108"/>
              <w:jc w:val="left"/>
              <w:rPr>
                <w:rFonts w:cs="Arial"/>
                <w:lang w:val="es-ES_tradnl"/>
              </w:rPr>
            </w:pPr>
            <w:r w:rsidRPr="002B0BD5">
              <w:rPr>
                <w:rFonts w:cs="Arial"/>
                <w:lang w:val="es-ES_tradnl"/>
              </w:rPr>
              <w:t xml:space="preserve">1. </w:t>
            </w:r>
            <w:r w:rsidR="00BF0818" w:rsidRPr="002B0BD5">
              <w:rPr>
                <w:rFonts w:cs="Arial"/>
                <w:lang w:val="es-ES_tradnl"/>
              </w:rPr>
              <w:tab/>
            </w:r>
            <w:r w:rsidRPr="002B0BD5">
              <w:rPr>
                <w:rFonts w:cs="Arial"/>
                <w:lang w:val="es-ES_tradnl"/>
              </w:rPr>
              <w:t>Orientación sobre el Convenio de la UPOV e información sobre su aplicación</w:t>
            </w:r>
          </w:p>
        </w:tc>
        <w:tc>
          <w:tcPr>
            <w:tcW w:w="6520" w:type="dxa"/>
            <w:tcBorders>
              <w:top w:val="single" w:sz="4" w:space="0" w:color="000000"/>
              <w:left w:val="single" w:sz="4" w:space="0" w:color="000000"/>
              <w:bottom w:val="single" w:sz="4" w:space="0" w:color="000000"/>
              <w:right w:val="single" w:sz="4" w:space="0" w:color="000000"/>
            </w:tcBorders>
          </w:tcPr>
          <w:p w:rsidR="00FF5D3C" w:rsidRPr="002B0BD5" w:rsidRDefault="00FF5D3C" w:rsidP="00EF2D62">
            <w:pPr>
              <w:spacing w:before="60" w:after="60"/>
              <w:ind w:left="143"/>
              <w:jc w:val="left"/>
              <w:rPr>
                <w:rFonts w:cs="Arial"/>
                <w:lang w:val="es-ES_tradnl"/>
              </w:rPr>
            </w:pPr>
            <w:r w:rsidRPr="002B0BD5">
              <w:rPr>
                <w:rFonts w:cs="Arial"/>
                <w:lang w:val="es-ES_tradnl"/>
              </w:rPr>
              <w:t xml:space="preserve">a) </w:t>
            </w:r>
            <w:r w:rsidR="00BF0818" w:rsidRPr="002B0BD5">
              <w:rPr>
                <w:rFonts w:cs="Arial"/>
                <w:lang w:val="es-ES_tradnl"/>
              </w:rPr>
              <w:tab/>
            </w:r>
            <w:r w:rsidRPr="002B0BD5">
              <w:rPr>
                <w:rFonts w:cs="Arial"/>
                <w:lang w:val="es-ES_tradnl"/>
              </w:rPr>
              <w:t>aprobación de material de información nuevo o revisado sobre el Convenio de la UPOV;</w:t>
            </w:r>
          </w:p>
          <w:p w:rsidR="00FF5D3C" w:rsidRPr="002B0BD5" w:rsidRDefault="00FF5D3C" w:rsidP="00EF2D62">
            <w:pPr>
              <w:spacing w:before="60" w:after="60"/>
              <w:ind w:left="143"/>
              <w:jc w:val="left"/>
              <w:rPr>
                <w:rFonts w:cs="Arial"/>
                <w:lang w:val="es-ES_tradnl"/>
              </w:rPr>
            </w:pPr>
            <w:r w:rsidRPr="002B0BD5">
              <w:rPr>
                <w:rFonts w:cs="Arial"/>
                <w:lang w:val="es-ES_tradnl"/>
              </w:rPr>
              <w:t xml:space="preserve">b) </w:t>
            </w:r>
            <w:r w:rsidR="00BF0818" w:rsidRPr="002B0BD5">
              <w:rPr>
                <w:rFonts w:cs="Arial"/>
                <w:lang w:val="es-ES_tradnl"/>
              </w:rPr>
              <w:tab/>
            </w:r>
            <w:r w:rsidRPr="002B0BD5">
              <w:rPr>
                <w:rFonts w:cs="Arial"/>
                <w:lang w:val="es-ES_tradnl"/>
              </w:rPr>
              <w:t>elaboración y difusión de material de información destinado a los sectores interesados, entre otros, los obtentores, los productores de semillas y plantas, y los agricultores.</w:t>
            </w:r>
          </w:p>
          <w:p w:rsidR="00FF5D3C" w:rsidRPr="002B0BD5" w:rsidRDefault="00FF5D3C" w:rsidP="00EF2D62">
            <w:pPr>
              <w:spacing w:before="60" w:after="60"/>
              <w:ind w:left="143"/>
              <w:jc w:val="left"/>
              <w:rPr>
                <w:rFonts w:cs="Arial"/>
                <w:lang w:val="es-ES_tradnl"/>
              </w:rPr>
            </w:pPr>
            <w:r w:rsidRPr="002B0BD5">
              <w:rPr>
                <w:rFonts w:cs="Arial"/>
                <w:lang w:val="es-ES_tradnl"/>
              </w:rPr>
              <w:t xml:space="preserve">c) </w:t>
            </w:r>
            <w:r w:rsidR="00BF0818" w:rsidRPr="002B0BD5">
              <w:rPr>
                <w:rFonts w:cs="Arial"/>
                <w:lang w:val="es-ES_tradnl"/>
              </w:rPr>
              <w:tab/>
            </w:r>
            <w:r w:rsidRPr="002B0BD5">
              <w:rPr>
                <w:rFonts w:cs="Arial"/>
                <w:lang w:val="es-ES_tradnl"/>
              </w:rPr>
              <w:t xml:space="preserve">publicación de la </w:t>
            </w:r>
            <w:r w:rsidRPr="002B0BD5">
              <w:rPr>
                <w:rFonts w:cs="Arial"/>
                <w:i/>
                <w:lang w:val="es-ES_tradnl"/>
              </w:rPr>
              <w:t>Gazette and Newsletter</w:t>
            </w:r>
            <w:r w:rsidRPr="002B0BD5">
              <w:rPr>
                <w:rFonts w:cs="Arial"/>
                <w:lang w:val="es-ES_tradnl"/>
              </w:rPr>
              <w:t xml:space="preserve"> de la UPOV;</w:t>
            </w:r>
          </w:p>
          <w:p w:rsidR="00FF5D3C" w:rsidRPr="002B0BD5" w:rsidRDefault="00FF5D3C" w:rsidP="00EF2D62">
            <w:pPr>
              <w:spacing w:before="60" w:after="60"/>
              <w:ind w:left="143"/>
              <w:jc w:val="left"/>
              <w:rPr>
                <w:rFonts w:cs="Arial"/>
                <w:lang w:val="es-ES_tradnl"/>
              </w:rPr>
            </w:pPr>
            <w:r w:rsidRPr="002B0BD5">
              <w:rPr>
                <w:rFonts w:cs="Arial"/>
                <w:lang w:val="es-ES_tradnl"/>
              </w:rPr>
              <w:t xml:space="preserve">d) </w:t>
            </w:r>
            <w:r w:rsidR="00BF0818" w:rsidRPr="002B0BD5">
              <w:rPr>
                <w:rFonts w:cs="Arial"/>
                <w:lang w:val="es-ES_tradnl"/>
              </w:rPr>
              <w:tab/>
            </w:r>
            <w:r w:rsidRPr="002B0BD5">
              <w:rPr>
                <w:rFonts w:cs="Arial"/>
                <w:lang w:val="es-ES_tradnl"/>
              </w:rPr>
              <w:t>inclusión en UPOV Lex de la legislación y las notificaciones pertinentes de los miembros de la Unión;</w:t>
            </w:r>
          </w:p>
          <w:p w:rsidR="00421639" w:rsidRPr="002B0BD5" w:rsidRDefault="00FF5D3C" w:rsidP="00EF2D62">
            <w:pPr>
              <w:spacing w:before="60" w:after="60"/>
              <w:ind w:left="143"/>
              <w:jc w:val="left"/>
              <w:rPr>
                <w:rFonts w:cs="Arial"/>
                <w:lang w:val="es-ES_tradnl"/>
              </w:rPr>
            </w:pPr>
            <w:r w:rsidRPr="002B0BD5">
              <w:rPr>
                <w:rFonts w:cs="Arial"/>
                <w:lang w:val="es-ES_tradnl"/>
              </w:rPr>
              <w:t xml:space="preserve">e) </w:t>
            </w:r>
            <w:r w:rsidR="00BF0818" w:rsidRPr="002B0BD5">
              <w:rPr>
                <w:rFonts w:cs="Arial"/>
                <w:lang w:val="es-ES_tradnl"/>
              </w:rPr>
              <w:tab/>
            </w:r>
            <w:r w:rsidRPr="002B0BD5">
              <w:rPr>
                <w:rFonts w:cs="Arial"/>
                <w:lang w:val="es-ES_tradnl"/>
              </w:rPr>
              <w:t>participación en seminarios y simposios celebrados en Ginebra en paralelo con las sesiones de los órganos de la UPOV.</w:t>
            </w:r>
          </w:p>
        </w:tc>
      </w:tr>
      <w:tr w:rsidR="005D61AB" w:rsidRPr="000F652A" w:rsidTr="00BF0818">
        <w:trPr>
          <w:cantSplit/>
        </w:trPr>
        <w:tc>
          <w:tcPr>
            <w:tcW w:w="3369"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60" w:after="60"/>
              <w:ind w:left="108"/>
              <w:jc w:val="left"/>
              <w:rPr>
                <w:rFonts w:cs="Arial"/>
                <w:lang w:val="es-ES_tradnl"/>
              </w:rPr>
            </w:pPr>
            <w:r w:rsidRPr="002B0BD5">
              <w:rPr>
                <w:rFonts w:cs="Arial"/>
                <w:lang w:val="es-ES_tradnl"/>
              </w:rPr>
              <w:t xml:space="preserve">2. </w:t>
            </w:r>
            <w:r w:rsidR="00BF0818" w:rsidRPr="002B0BD5">
              <w:rPr>
                <w:rFonts w:cs="Arial"/>
                <w:lang w:val="es-ES_tradnl"/>
              </w:rPr>
              <w:tab/>
            </w:r>
            <w:r w:rsidRPr="002B0BD5">
              <w:rPr>
                <w:rFonts w:cs="Arial"/>
                <w:lang w:val="es-ES_tradnl"/>
              </w:rPr>
              <w:t>Orientación sobre el examen de las variedades</w:t>
            </w:r>
          </w:p>
        </w:tc>
        <w:tc>
          <w:tcPr>
            <w:tcW w:w="6520" w:type="dxa"/>
            <w:tcBorders>
              <w:top w:val="single" w:sz="4" w:space="0" w:color="000000"/>
              <w:left w:val="single" w:sz="4" w:space="0" w:color="000000"/>
              <w:bottom w:val="single" w:sz="4" w:space="0" w:color="000000"/>
              <w:right w:val="single" w:sz="4" w:space="0" w:color="000000"/>
            </w:tcBorders>
          </w:tcPr>
          <w:p w:rsidR="00FF5D3C" w:rsidRPr="002B0BD5" w:rsidRDefault="00FF5D3C" w:rsidP="00EF2D62">
            <w:pPr>
              <w:spacing w:before="60" w:after="60"/>
              <w:ind w:left="143"/>
              <w:jc w:val="left"/>
              <w:rPr>
                <w:rFonts w:cs="Arial"/>
                <w:lang w:val="es-ES_tradnl"/>
              </w:rPr>
            </w:pPr>
            <w:r w:rsidRPr="002B0BD5">
              <w:rPr>
                <w:rFonts w:cs="Arial"/>
                <w:lang w:val="es-ES_tradnl"/>
              </w:rPr>
              <w:t xml:space="preserve">a) </w:t>
            </w:r>
            <w:r w:rsidR="00BF0818" w:rsidRPr="002B0BD5">
              <w:rPr>
                <w:rFonts w:cs="Arial"/>
                <w:lang w:val="es-ES_tradnl"/>
              </w:rPr>
              <w:tab/>
            </w:r>
            <w:r w:rsidRPr="002B0BD5">
              <w:rPr>
                <w:rFonts w:cs="Arial"/>
                <w:lang w:val="es-ES_tradnl"/>
              </w:rPr>
              <w:t>aprobación de documentos TGP nuevos o revisados y material de información;</w:t>
            </w:r>
          </w:p>
          <w:p w:rsidR="00FF5D3C" w:rsidRPr="002B0BD5" w:rsidRDefault="00FF5D3C" w:rsidP="00EF2D62">
            <w:pPr>
              <w:spacing w:before="60" w:after="60"/>
              <w:ind w:left="143"/>
              <w:jc w:val="left"/>
              <w:rPr>
                <w:rFonts w:cs="Arial"/>
                <w:lang w:val="es-ES_tradnl"/>
              </w:rPr>
            </w:pPr>
            <w:r w:rsidRPr="002B0BD5">
              <w:rPr>
                <w:rFonts w:cs="Arial"/>
                <w:lang w:val="es-ES_tradnl"/>
              </w:rPr>
              <w:t xml:space="preserve">b) </w:t>
            </w:r>
            <w:r w:rsidR="00BF0818" w:rsidRPr="002B0BD5">
              <w:rPr>
                <w:rFonts w:cs="Arial"/>
                <w:lang w:val="es-ES_tradnl"/>
              </w:rPr>
              <w:tab/>
            </w:r>
            <w:r w:rsidRPr="002B0BD5">
              <w:rPr>
                <w:rFonts w:cs="Arial"/>
                <w:lang w:val="es-ES_tradnl"/>
              </w:rPr>
              <w:t>adopción de directrices de examen nuevas o revisadas;</w:t>
            </w:r>
          </w:p>
          <w:p w:rsidR="00FF5D3C" w:rsidRPr="002B0BD5" w:rsidRDefault="00FF5D3C" w:rsidP="00EF2D62">
            <w:pPr>
              <w:spacing w:before="60" w:after="60"/>
              <w:ind w:left="143"/>
              <w:jc w:val="left"/>
              <w:rPr>
                <w:rFonts w:cs="Arial"/>
                <w:lang w:val="es-ES_tradnl"/>
              </w:rPr>
            </w:pPr>
            <w:r w:rsidRPr="002B0BD5">
              <w:rPr>
                <w:rFonts w:cs="Arial"/>
                <w:lang w:val="es-ES_tradnl"/>
              </w:rPr>
              <w:t xml:space="preserve">c) </w:t>
            </w:r>
            <w:r w:rsidR="00BF0818" w:rsidRPr="002B0BD5">
              <w:rPr>
                <w:rFonts w:cs="Arial"/>
                <w:lang w:val="es-ES_tradnl"/>
              </w:rPr>
              <w:tab/>
            </w:r>
            <w:r w:rsidRPr="002B0BD5">
              <w:rPr>
                <w:rFonts w:cs="Arial"/>
                <w:lang w:val="es-ES_tradnl"/>
              </w:rPr>
              <w:t>número de solicitudes que abarcan las directrices de examen adoptadas;</w:t>
            </w:r>
          </w:p>
          <w:p w:rsidR="00421639" w:rsidRPr="002B0BD5" w:rsidRDefault="00FF5D3C" w:rsidP="00EF2D62">
            <w:pPr>
              <w:spacing w:before="60" w:after="60"/>
              <w:ind w:left="143"/>
              <w:jc w:val="left"/>
              <w:rPr>
                <w:rFonts w:cs="Arial"/>
                <w:lang w:val="es-ES_tradnl"/>
              </w:rPr>
            </w:pPr>
            <w:r w:rsidRPr="002B0BD5">
              <w:rPr>
                <w:rFonts w:cs="Arial"/>
                <w:lang w:val="es-ES_tradnl"/>
              </w:rPr>
              <w:t xml:space="preserve">d) </w:t>
            </w:r>
            <w:r w:rsidR="00BF0818" w:rsidRPr="002B0BD5">
              <w:rPr>
                <w:rFonts w:cs="Arial"/>
                <w:lang w:val="es-ES_tradnl"/>
              </w:rPr>
              <w:tab/>
            </w:r>
            <w:r w:rsidRPr="002B0BD5">
              <w:rPr>
                <w:rFonts w:cs="Arial"/>
                <w:lang w:val="es-ES_tradnl"/>
              </w:rPr>
              <w:t>participación en seminarios y simposios celebrados en Ginebra en paralelo con las sesiones de los órganos de la UPOV.</w:t>
            </w:r>
          </w:p>
        </w:tc>
      </w:tr>
      <w:tr w:rsidR="005D61AB" w:rsidRPr="000F652A" w:rsidTr="00BF0818">
        <w:trPr>
          <w:cantSplit/>
        </w:trPr>
        <w:tc>
          <w:tcPr>
            <w:tcW w:w="3369"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60" w:after="60"/>
              <w:ind w:left="108"/>
              <w:jc w:val="left"/>
              <w:rPr>
                <w:rFonts w:cs="Arial"/>
                <w:lang w:val="es-ES_tradnl"/>
              </w:rPr>
            </w:pPr>
            <w:r w:rsidRPr="002B0BD5">
              <w:rPr>
                <w:rFonts w:cs="Arial"/>
                <w:lang w:val="es-ES_tradnl"/>
              </w:rPr>
              <w:t xml:space="preserve">3. </w:t>
            </w:r>
            <w:r w:rsidR="00BF0818" w:rsidRPr="002B0BD5">
              <w:rPr>
                <w:rFonts w:cs="Arial"/>
                <w:lang w:val="es-ES_tradnl"/>
              </w:rPr>
              <w:tab/>
            </w:r>
            <w:r w:rsidRPr="002B0BD5">
              <w:rPr>
                <w:rFonts w:cs="Arial"/>
                <w:lang w:val="es-ES_tradnl"/>
              </w:rPr>
              <w:t>Cooperación en materia de examen de variedades vegetales para la obtención de derechos de obtentor</w:t>
            </w:r>
          </w:p>
        </w:tc>
        <w:tc>
          <w:tcPr>
            <w:tcW w:w="6520" w:type="dxa"/>
            <w:tcBorders>
              <w:top w:val="single" w:sz="4" w:space="0" w:color="000000"/>
              <w:left w:val="single" w:sz="4" w:space="0" w:color="000000"/>
              <w:bottom w:val="single" w:sz="4" w:space="0" w:color="000000"/>
              <w:right w:val="single" w:sz="4" w:space="0" w:color="000000"/>
            </w:tcBorders>
          </w:tcPr>
          <w:p w:rsidR="00FF5D3C" w:rsidRPr="002B0BD5" w:rsidRDefault="00FF5D3C" w:rsidP="00EF2D62">
            <w:pPr>
              <w:spacing w:before="60" w:after="60"/>
              <w:ind w:left="143"/>
              <w:jc w:val="left"/>
              <w:rPr>
                <w:rFonts w:cs="Arial"/>
                <w:lang w:val="es-ES_tradnl"/>
              </w:rPr>
            </w:pPr>
            <w:r w:rsidRPr="002B0BD5">
              <w:rPr>
                <w:rFonts w:cs="Arial"/>
                <w:lang w:val="es-ES_tradnl"/>
              </w:rPr>
              <w:t xml:space="preserve">a) </w:t>
            </w:r>
            <w:r w:rsidR="00BF0818" w:rsidRPr="002B0BD5">
              <w:rPr>
                <w:rFonts w:cs="Arial"/>
                <w:lang w:val="es-ES_tradnl"/>
              </w:rPr>
              <w:tab/>
            </w:r>
            <w:r w:rsidRPr="002B0BD5">
              <w:rPr>
                <w:rFonts w:cs="Arial"/>
                <w:lang w:val="es-ES_tradnl"/>
              </w:rPr>
              <w:t>géneros y especies vegetales respecto de los cuales los miembros de la Unión poseen experiencia práctica;</w:t>
            </w:r>
          </w:p>
          <w:p w:rsidR="00FF5D3C" w:rsidRPr="002B0BD5" w:rsidRDefault="00FF5D3C" w:rsidP="00EF2D62">
            <w:pPr>
              <w:spacing w:before="60" w:after="60"/>
              <w:ind w:left="143"/>
              <w:jc w:val="left"/>
              <w:rPr>
                <w:rFonts w:cs="Arial"/>
                <w:lang w:val="es-ES_tradnl"/>
              </w:rPr>
            </w:pPr>
            <w:r w:rsidRPr="002B0BD5">
              <w:rPr>
                <w:rFonts w:cs="Arial"/>
                <w:lang w:val="es-ES_tradnl"/>
              </w:rPr>
              <w:t xml:space="preserve">b) </w:t>
            </w:r>
            <w:r w:rsidR="00BF0818" w:rsidRPr="002B0BD5">
              <w:rPr>
                <w:rFonts w:cs="Arial"/>
                <w:lang w:val="es-ES_tradnl"/>
              </w:rPr>
              <w:tab/>
            </w:r>
            <w:r w:rsidRPr="002B0BD5">
              <w:rPr>
                <w:rFonts w:cs="Arial"/>
                <w:lang w:val="es-ES_tradnl"/>
              </w:rPr>
              <w:t>géneros y especies vegetales respecto de los cuales los miembros de la Unión cooperan en el examen DHE;</w:t>
            </w:r>
          </w:p>
          <w:p w:rsidR="00FF5D3C" w:rsidRPr="002B0BD5" w:rsidRDefault="00FF5D3C" w:rsidP="00EF2D62">
            <w:pPr>
              <w:spacing w:before="60" w:after="60"/>
              <w:ind w:left="143"/>
              <w:jc w:val="left"/>
              <w:rPr>
                <w:rFonts w:cs="Arial"/>
                <w:lang w:val="es-ES_tradnl"/>
              </w:rPr>
            </w:pPr>
            <w:r w:rsidRPr="002B0BD5">
              <w:rPr>
                <w:rFonts w:cs="Arial"/>
                <w:lang w:val="es-ES_tradnl"/>
              </w:rPr>
              <w:t xml:space="preserve">c) </w:t>
            </w:r>
            <w:r w:rsidR="00BF0818" w:rsidRPr="002B0BD5">
              <w:rPr>
                <w:rFonts w:cs="Arial"/>
                <w:lang w:val="es-ES_tradnl"/>
              </w:rPr>
              <w:tab/>
            </w:r>
            <w:r w:rsidRPr="002B0BD5">
              <w:rPr>
                <w:rFonts w:cs="Arial"/>
                <w:lang w:val="es-ES_tradnl"/>
              </w:rPr>
              <w:t>participación en la elaboración de directrices de examen;</w:t>
            </w:r>
            <w:r w:rsidR="00421639" w:rsidRPr="002B0BD5">
              <w:rPr>
                <w:rFonts w:cs="Arial"/>
                <w:lang w:val="es-ES_tradnl"/>
              </w:rPr>
              <w:t xml:space="preserve"> </w:t>
            </w:r>
          </w:p>
          <w:p w:rsidR="00FF5D3C" w:rsidRPr="002B0BD5" w:rsidRDefault="005B0934" w:rsidP="00EF2D62">
            <w:pPr>
              <w:spacing w:before="60" w:after="60"/>
              <w:ind w:left="143"/>
              <w:jc w:val="left"/>
              <w:rPr>
                <w:rFonts w:cs="Arial"/>
                <w:lang w:val="es-ES_tradnl"/>
              </w:rPr>
            </w:pPr>
            <w:r w:rsidRPr="002B0BD5">
              <w:rPr>
                <w:rFonts w:cs="Arial"/>
                <w:lang w:val="es-ES_tradnl"/>
              </w:rPr>
              <w:t>d)</w:t>
            </w:r>
            <w:r w:rsidRPr="002B0BD5">
              <w:rPr>
                <w:rFonts w:cs="Arial"/>
                <w:lang w:val="es-ES_tradnl"/>
              </w:rPr>
              <w:tab/>
            </w:r>
            <w:r w:rsidR="005C0E12" w:rsidRPr="002B0BD5">
              <w:rPr>
                <w:rFonts w:cs="Arial"/>
                <w:lang w:val="es-ES_tradnl"/>
              </w:rPr>
              <w:t xml:space="preserve">uso de la plantilla </w:t>
            </w:r>
            <w:r w:rsidR="00E745D6" w:rsidRPr="002B0BD5">
              <w:rPr>
                <w:rFonts w:cs="Arial"/>
                <w:lang w:val="es-ES_tradnl"/>
              </w:rPr>
              <w:t xml:space="preserve">electrónica </w:t>
            </w:r>
            <w:r w:rsidR="005C0E12" w:rsidRPr="002B0BD5">
              <w:rPr>
                <w:rFonts w:cs="Arial"/>
                <w:lang w:val="es-ES_tradnl"/>
              </w:rPr>
              <w:t xml:space="preserve">de directrices de examen </w:t>
            </w:r>
          </w:p>
          <w:p w:rsidR="00FF5D3C" w:rsidRPr="002B0BD5" w:rsidRDefault="00F41D77" w:rsidP="00EF2D62">
            <w:pPr>
              <w:spacing w:before="60" w:after="60"/>
              <w:ind w:left="143"/>
              <w:jc w:val="left"/>
              <w:rPr>
                <w:rFonts w:cs="Arial"/>
                <w:lang w:val="es-ES_tradnl"/>
              </w:rPr>
            </w:pPr>
            <w:r w:rsidRPr="002B0BD5">
              <w:rPr>
                <w:rFonts w:cs="Arial"/>
                <w:lang w:val="es-ES_tradnl"/>
              </w:rPr>
              <w:t>e</w:t>
            </w:r>
            <w:r w:rsidR="00FF5D3C" w:rsidRPr="002B0BD5">
              <w:rPr>
                <w:rFonts w:cs="Arial"/>
                <w:lang w:val="es-ES_tradnl"/>
              </w:rPr>
              <w:t>)</w:t>
            </w:r>
            <w:r w:rsidR="00EA0320" w:rsidRPr="002B0BD5">
              <w:rPr>
                <w:rFonts w:cs="Arial"/>
                <w:lang w:val="es-ES_tradnl"/>
              </w:rPr>
              <w:tab/>
            </w:r>
            <w:r w:rsidR="00FF5D3C" w:rsidRPr="002B0BD5">
              <w:rPr>
                <w:rFonts w:cs="Arial"/>
                <w:lang w:val="es-ES_tradnl"/>
              </w:rPr>
              <w:t>calidad e integridad de los datos de la Base de datos sobre variedades vegetales y calidad del mecanismo de búsqueda</w:t>
            </w:r>
            <w:r w:rsidRPr="002B0BD5">
              <w:rPr>
                <w:rFonts w:cs="Arial"/>
                <w:lang w:val="es-ES_tradnl"/>
              </w:rPr>
              <w:t xml:space="preserve"> y</w:t>
            </w:r>
            <w:r w:rsidR="00FF5D3C" w:rsidRPr="002B0BD5">
              <w:rPr>
                <w:rFonts w:cs="Arial"/>
                <w:lang w:val="es-ES_tradnl"/>
              </w:rPr>
              <w:t xml:space="preserve"> mecanismos de acceso a otros datos pertinentes;</w:t>
            </w:r>
          </w:p>
          <w:p w:rsidR="00421639" w:rsidRPr="002B0BD5" w:rsidRDefault="00F41D77" w:rsidP="00EF2D62">
            <w:pPr>
              <w:spacing w:before="60" w:after="60"/>
              <w:ind w:left="143"/>
              <w:jc w:val="left"/>
              <w:rPr>
                <w:rFonts w:cs="Arial"/>
                <w:lang w:val="es-ES_tradnl"/>
              </w:rPr>
            </w:pPr>
            <w:r w:rsidRPr="002B0BD5">
              <w:rPr>
                <w:rFonts w:cs="Arial"/>
                <w:lang w:val="es-ES_tradnl"/>
              </w:rPr>
              <w:t>f</w:t>
            </w:r>
            <w:r w:rsidR="00FF5D3C" w:rsidRPr="002B0BD5">
              <w:rPr>
                <w:rFonts w:cs="Arial"/>
                <w:lang w:val="es-ES_tradnl"/>
              </w:rPr>
              <w:t>)</w:t>
            </w:r>
            <w:r w:rsidR="00EA0320" w:rsidRPr="002B0BD5">
              <w:rPr>
                <w:rFonts w:cs="Arial"/>
                <w:lang w:val="es-ES_tradnl"/>
              </w:rPr>
              <w:tab/>
            </w:r>
            <w:r w:rsidR="00FF5D3C" w:rsidRPr="002B0BD5">
              <w:rPr>
                <w:rFonts w:cs="Arial"/>
                <w:lang w:val="es-ES_tradnl"/>
              </w:rPr>
              <w:t>programas informáticos para intercambio incluidos en el documento UPOV/INF/16 “Programas informáticos para intercambio”.</w:t>
            </w:r>
          </w:p>
        </w:tc>
      </w:tr>
      <w:tr w:rsidR="005D61AB" w:rsidRPr="000F652A" w:rsidTr="00BF0818">
        <w:trPr>
          <w:cantSplit/>
        </w:trPr>
        <w:tc>
          <w:tcPr>
            <w:tcW w:w="3369"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60" w:after="60"/>
              <w:ind w:left="108"/>
              <w:jc w:val="left"/>
              <w:rPr>
                <w:rFonts w:cs="Arial"/>
                <w:lang w:val="es-ES_tradnl"/>
              </w:rPr>
            </w:pPr>
            <w:r w:rsidRPr="002B0BD5">
              <w:rPr>
                <w:rFonts w:cs="Arial"/>
                <w:lang w:val="es-ES_tradnl"/>
              </w:rPr>
              <w:t xml:space="preserve">4. </w:t>
            </w:r>
            <w:r w:rsidR="00BF0818" w:rsidRPr="002B0BD5">
              <w:rPr>
                <w:rFonts w:cs="Arial"/>
                <w:lang w:val="es-ES_tradnl"/>
              </w:rPr>
              <w:tab/>
            </w:r>
            <w:r w:rsidRPr="002B0BD5">
              <w:rPr>
                <w:rFonts w:cs="Arial"/>
                <w:lang w:val="es-ES_tradnl"/>
              </w:rPr>
              <w:t>Participación de los miembros de la Unión y los observadores en la labor de los órganos de la UPOV</w:t>
            </w:r>
            <w:r w:rsidR="00421639" w:rsidRPr="002B0BD5">
              <w:rPr>
                <w:rFonts w:cs="Arial"/>
                <w:lang w:val="es-ES_tradnl"/>
              </w:rPr>
              <w:t xml:space="preserve"> </w:t>
            </w:r>
          </w:p>
        </w:tc>
        <w:tc>
          <w:tcPr>
            <w:tcW w:w="6520"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60" w:after="60"/>
              <w:ind w:left="143"/>
              <w:jc w:val="left"/>
              <w:rPr>
                <w:rFonts w:cs="Arial"/>
                <w:lang w:val="es-ES_tradnl"/>
              </w:rPr>
            </w:pPr>
            <w:r w:rsidRPr="002B0BD5">
              <w:rPr>
                <w:rFonts w:cs="Arial"/>
                <w:lang w:val="es-ES_tradnl"/>
              </w:rPr>
              <w:t xml:space="preserve">a) </w:t>
            </w:r>
            <w:r w:rsidR="00BF0818" w:rsidRPr="002B0BD5">
              <w:rPr>
                <w:rFonts w:cs="Arial"/>
                <w:lang w:val="es-ES_tradnl"/>
              </w:rPr>
              <w:tab/>
            </w:r>
            <w:r w:rsidRPr="002B0BD5">
              <w:rPr>
                <w:rFonts w:cs="Arial"/>
                <w:lang w:val="es-ES_tradnl"/>
              </w:rPr>
              <w:t>participación en el Comité Administrativo y Jurídico, el Comité Técnico y los Grupos de Trabajo Técnico, y en los talleres preparatorios conexos.</w:t>
            </w:r>
          </w:p>
        </w:tc>
      </w:tr>
      <w:tr w:rsidR="005D61AB" w:rsidRPr="000F652A" w:rsidTr="00BF0818">
        <w:trPr>
          <w:cantSplit/>
        </w:trPr>
        <w:tc>
          <w:tcPr>
            <w:tcW w:w="3369"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60" w:after="60"/>
              <w:ind w:left="108"/>
              <w:jc w:val="left"/>
              <w:rPr>
                <w:rFonts w:cs="Arial"/>
                <w:lang w:val="es-ES_tradnl"/>
              </w:rPr>
            </w:pPr>
            <w:r w:rsidRPr="002B0BD5">
              <w:rPr>
                <w:rFonts w:cs="Arial"/>
                <w:lang w:val="es-ES_tradnl"/>
              </w:rPr>
              <w:t xml:space="preserve">5. </w:t>
            </w:r>
            <w:r w:rsidR="00BF0818" w:rsidRPr="002B0BD5">
              <w:rPr>
                <w:rFonts w:cs="Arial"/>
                <w:lang w:val="es-ES_tradnl"/>
              </w:rPr>
              <w:tab/>
            </w:r>
            <w:r w:rsidRPr="002B0BD5">
              <w:rPr>
                <w:rFonts w:cs="Arial"/>
                <w:lang w:val="es-ES_tradnl"/>
              </w:rPr>
              <w:t>Documentos y material de la UPOV en otros idiomas</w:t>
            </w:r>
          </w:p>
        </w:tc>
        <w:tc>
          <w:tcPr>
            <w:tcW w:w="6520"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60" w:after="60"/>
              <w:ind w:left="143"/>
              <w:jc w:val="left"/>
              <w:rPr>
                <w:rFonts w:cs="Arial"/>
                <w:lang w:val="es-ES_tradnl"/>
              </w:rPr>
            </w:pPr>
            <w:r w:rsidRPr="002B0BD5">
              <w:rPr>
                <w:rFonts w:cs="Arial"/>
                <w:lang w:val="es-ES_tradnl"/>
              </w:rPr>
              <w:t xml:space="preserve">a) </w:t>
            </w:r>
            <w:r w:rsidR="00BF0818" w:rsidRPr="002B0BD5">
              <w:rPr>
                <w:rFonts w:cs="Arial"/>
                <w:lang w:val="es-ES_tradnl"/>
              </w:rPr>
              <w:tab/>
            </w:r>
            <w:r w:rsidRPr="002B0BD5">
              <w:rPr>
                <w:rFonts w:cs="Arial"/>
                <w:lang w:val="es-ES_tradnl"/>
              </w:rPr>
              <w:t>disponibilidad de los documentos y del material de la UPOV en otros idiomas además de los de la UPOV (español, alemán, francés e inglés).</w:t>
            </w:r>
          </w:p>
        </w:tc>
      </w:tr>
      <w:tr w:rsidR="005D61AB" w:rsidRPr="000F652A" w:rsidTr="00BF0818">
        <w:trPr>
          <w:cantSplit/>
        </w:trPr>
        <w:tc>
          <w:tcPr>
            <w:tcW w:w="3369"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60" w:after="60"/>
              <w:ind w:left="108"/>
              <w:jc w:val="left"/>
              <w:rPr>
                <w:rFonts w:cs="Arial"/>
                <w:lang w:val="es-ES_tradnl"/>
              </w:rPr>
            </w:pPr>
            <w:r w:rsidRPr="002B0BD5">
              <w:rPr>
                <w:rFonts w:cs="Arial"/>
                <w:lang w:val="es-ES_tradnl"/>
              </w:rPr>
              <w:t xml:space="preserve">6. </w:t>
            </w:r>
            <w:r w:rsidR="00BF0818" w:rsidRPr="002B0BD5">
              <w:rPr>
                <w:rFonts w:cs="Arial"/>
                <w:lang w:val="es-ES_tradnl"/>
              </w:rPr>
              <w:tab/>
            </w:r>
            <w:r w:rsidRPr="002B0BD5">
              <w:rPr>
                <w:rFonts w:cs="Arial"/>
                <w:lang w:val="es-ES_tradnl"/>
              </w:rPr>
              <w:t>Simplificación de las solicitudes de derechos de obtentor</w:t>
            </w:r>
            <w:r w:rsidR="00421639" w:rsidRPr="002B0BD5">
              <w:rPr>
                <w:rFonts w:cs="Arial"/>
                <w:lang w:val="es-ES_tradnl"/>
              </w:rPr>
              <w:t xml:space="preserve"> </w:t>
            </w:r>
          </w:p>
        </w:tc>
        <w:tc>
          <w:tcPr>
            <w:tcW w:w="6520" w:type="dxa"/>
            <w:tcBorders>
              <w:top w:val="single" w:sz="4" w:space="0" w:color="000000"/>
              <w:left w:val="single" w:sz="4" w:space="0" w:color="000000"/>
              <w:bottom w:val="single" w:sz="4" w:space="0" w:color="000000"/>
              <w:right w:val="single" w:sz="4" w:space="0" w:color="000000"/>
            </w:tcBorders>
          </w:tcPr>
          <w:p w:rsidR="00FF5D3C" w:rsidRPr="002B0BD5" w:rsidRDefault="00FF5D3C" w:rsidP="00EF2D62">
            <w:pPr>
              <w:spacing w:before="60" w:after="60"/>
              <w:ind w:left="143"/>
              <w:jc w:val="left"/>
              <w:rPr>
                <w:rFonts w:cs="Arial"/>
                <w:lang w:val="es-ES_tradnl"/>
              </w:rPr>
            </w:pPr>
            <w:r w:rsidRPr="002B0BD5">
              <w:rPr>
                <w:rFonts w:cs="Arial"/>
                <w:lang w:val="es-ES_tradnl"/>
              </w:rPr>
              <w:t xml:space="preserve">a) </w:t>
            </w:r>
            <w:r w:rsidR="00BF0818" w:rsidRPr="002B0BD5">
              <w:rPr>
                <w:rFonts w:cs="Arial"/>
                <w:lang w:val="es-ES_tradnl"/>
              </w:rPr>
              <w:tab/>
            </w:r>
            <w:r w:rsidRPr="002B0BD5">
              <w:rPr>
                <w:rFonts w:cs="Arial"/>
                <w:lang w:val="es-ES_tradnl"/>
              </w:rPr>
              <w:t>número de títulos concedidos;</w:t>
            </w:r>
          </w:p>
          <w:p w:rsidR="00FF5D3C" w:rsidRPr="002B0BD5" w:rsidRDefault="00FF5D3C" w:rsidP="00EF2D62">
            <w:pPr>
              <w:spacing w:before="60" w:after="60"/>
              <w:ind w:left="143"/>
              <w:jc w:val="left"/>
              <w:rPr>
                <w:rFonts w:cs="Arial"/>
                <w:lang w:val="es-ES_tradnl"/>
              </w:rPr>
            </w:pPr>
            <w:r w:rsidRPr="002B0BD5">
              <w:rPr>
                <w:rFonts w:cs="Arial"/>
                <w:lang w:val="es-ES_tradnl"/>
              </w:rPr>
              <w:t xml:space="preserve">b) </w:t>
            </w:r>
            <w:r w:rsidR="00BF0818" w:rsidRPr="002B0BD5">
              <w:rPr>
                <w:rFonts w:cs="Arial"/>
                <w:lang w:val="es-ES_tradnl"/>
              </w:rPr>
              <w:tab/>
            </w:r>
            <w:r w:rsidRPr="002B0BD5">
              <w:rPr>
                <w:rFonts w:cs="Arial"/>
                <w:lang w:val="es-ES_tradnl"/>
              </w:rPr>
              <w:t>número de títulos en vigor;</w:t>
            </w:r>
          </w:p>
          <w:p w:rsidR="00FF5D3C" w:rsidRPr="002B0BD5" w:rsidRDefault="00FF5D3C" w:rsidP="00EF2D62">
            <w:pPr>
              <w:spacing w:before="60" w:after="60"/>
              <w:ind w:left="143"/>
              <w:jc w:val="left"/>
              <w:rPr>
                <w:rFonts w:cs="Arial"/>
                <w:lang w:val="es-ES_tradnl"/>
              </w:rPr>
            </w:pPr>
            <w:r w:rsidRPr="002B0BD5">
              <w:rPr>
                <w:rFonts w:cs="Arial"/>
                <w:lang w:val="es-ES_tradnl"/>
              </w:rPr>
              <w:t xml:space="preserve">c) </w:t>
            </w:r>
            <w:r w:rsidR="00BF0818" w:rsidRPr="002B0BD5">
              <w:rPr>
                <w:rFonts w:cs="Arial"/>
                <w:lang w:val="es-ES_tradnl"/>
              </w:rPr>
              <w:tab/>
            </w:r>
            <w:r w:rsidRPr="002B0BD5">
              <w:rPr>
                <w:rFonts w:cs="Arial"/>
                <w:lang w:val="es-ES_tradnl"/>
              </w:rPr>
              <w:t>número de géneros/especies protegidos por los miembros de la Unión;</w:t>
            </w:r>
          </w:p>
          <w:p w:rsidR="00FF5D3C" w:rsidRPr="002B0BD5" w:rsidRDefault="00FF5D3C" w:rsidP="00EF2D62">
            <w:pPr>
              <w:spacing w:before="60" w:after="60"/>
              <w:ind w:left="143"/>
              <w:jc w:val="left"/>
              <w:rPr>
                <w:rFonts w:cs="Arial"/>
                <w:lang w:val="es-ES_tradnl"/>
              </w:rPr>
            </w:pPr>
            <w:r w:rsidRPr="002B0BD5">
              <w:rPr>
                <w:rFonts w:cs="Arial"/>
                <w:lang w:val="es-ES_tradnl"/>
              </w:rPr>
              <w:t xml:space="preserve">d) </w:t>
            </w:r>
            <w:r w:rsidR="00BF0818" w:rsidRPr="002B0BD5">
              <w:rPr>
                <w:rFonts w:cs="Arial"/>
                <w:lang w:val="es-ES_tradnl"/>
              </w:rPr>
              <w:tab/>
            </w:r>
            <w:r w:rsidRPr="002B0BD5">
              <w:rPr>
                <w:rFonts w:cs="Arial"/>
                <w:lang w:val="es-ES_tradnl"/>
              </w:rPr>
              <w:t>número de géneros/especies cuyas variedades se han protegido;</w:t>
            </w:r>
            <w:r w:rsidR="00421639" w:rsidRPr="002B0BD5">
              <w:rPr>
                <w:rFonts w:cs="Arial"/>
                <w:lang w:val="es-ES_tradnl"/>
              </w:rPr>
              <w:t xml:space="preserve"> </w:t>
            </w:r>
          </w:p>
          <w:p w:rsidR="00FF5D3C" w:rsidRPr="002B0BD5" w:rsidRDefault="00FF5D3C" w:rsidP="00EF2D62">
            <w:pPr>
              <w:spacing w:before="60" w:after="60"/>
              <w:ind w:left="143"/>
              <w:jc w:val="left"/>
              <w:rPr>
                <w:rFonts w:cs="Arial"/>
                <w:lang w:val="es-ES_tradnl"/>
              </w:rPr>
            </w:pPr>
            <w:r w:rsidRPr="002B0BD5">
              <w:rPr>
                <w:rFonts w:cs="Arial"/>
                <w:lang w:val="es-ES_tradnl"/>
              </w:rPr>
              <w:t xml:space="preserve">e) </w:t>
            </w:r>
            <w:r w:rsidR="00BF0818" w:rsidRPr="002B0BD5">
              <w:rPr>
                <w:rFonts w:cs="Arial"/>
                <w:lang w:val="es-ES_tradnl"/>
              </w:rPr>
              <w:tab/>
            </w:r>
            <w:r w:rsidRPr="002B0BD5">
              <w:rPr>
                <w:rFonts w:cs="Arial"/>
                <w:lang w:val="es-ES_tradnl"/>
              </w:rPr>
              <w:t>utilización por los miembros de la Unión de las referencias estándar de la UPOV en los formularios de solicitud;</w:t>
            </w:r>
          </w:p>
          <w:p w:rsidR="00421639" w:rsidRPr="002B0BD5" w:rsidRDefault="00FF5D3C" w:rsidP="00EF2D62">
            <w:pPr>
              <w:spacing w:before="60" w:after="60"/>
              <w:ind w:left="143"/>
              <w:jc w:val="left"/>
              <w:rPr>
                <w:rFonts w:cs="Arial"/>
                <w:lang w:val="es-ES_tradnl"/>
              </w:rPr>
            </w:pPr>
            <w:r w:rsidRPr="002B0BD5">
              <w:rPr>
                <w:rFonts w:cs="Arial"/>
                <w:lang w:val="es-ES_tradnl"/>
              </w:rPr>
              <w:t xml:space="preserve">f) </w:t>
            </w:r>
            <w:r w:rsidR="00BF0818" w:rsidRPr="002B0BD5">
              <w:rPr>
                <w:rFonts w:cs="Arial"/>
                <w:lang w:val="es-ES_tradnl"/>
              </w:rPr>
              <w:tab/>
            </w:r>
            <w:r w:rsidRPr="002B0BD5">
              <w:rPr>
                <w:rFonts w:cs="Arial"/>
                <w:lang w:val="es-ES_tradnl"/>
              </w:rPr>
              <w:t>elaboración de un formulario electrónico de solicitud.</w:t>
            </w:r>
          </w:p>
        </w:tc>
      </w:tr>
      <w:tr w:rsidR="005D61AB" w:rsidRPr="000F652A" w:rsidTr="00BF0818">
        <w:trPr>
          <w:cantSplit/>
        </w:trPr>
        <w:tc>
          <w:tcPr>
            <w:tcW w:w="3369"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60" w:after="60"/>
              <w:ind w:left="108"/>
              <w:jc w:val="left"/>
              <w:rPr>
                <w:rFonts w:cs="Arial"/>
                <w:lang w:val="es-ES_tradnl"/>
              </w:rPr>
            </w:pPr>
            <w:r w:rsidRPr="002B0BD5">
              <w:rPr>
                <w:rFonts w:cs="Arial"/>
                <w:lang w:val="es-ES_tradnl"/>
              </w:rPr>
              <w:t xml:space="preserve">7. </w:t>
            </w:r>
            <w:r w:rsidR="00BF0818" w:rsidRPr="002B0BD5">
              <w:rPr>
                <w:rFonts w:cs="Arial"/>
                <w:lang w:val="es-ES_tradnl"/>
              </w:rPr>
              <w:tab/>
            </w:r>
            <w:r w:rsidRPr="002B0BD5">
              <w:rPr>
                <w:rFonts w:cs="Arial"/>
                <w:lang w:val="es-ES_tradnl"/>
              </w:rPr>
              <w:t>Suministro de información sobre el Convenio de la UPOV a los sectores interesados, entre otros, obtentores, productores de semillas y plantas, y agricultores</w:t>
            </w:r>
          </w:p>
        </w:tc>
        <w:tc>
          <w:tcPr>
            <w:tcW w:w="6520"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60" w:after="60"/>
              <w:ind w:left="143"/>
              <w:jc w:val="left"/>
              <w:rPr>
                <w:rFonts w:cs="Arial"/>
                <w:lang w:val="es-ES_tradnl"/>
              </w:rPr>
            </w:pPr>
            <w:r w:rsidRPr="002B0BD5">
              <w:rPr>
                <w:rFonts w:cs="Arial"/>
                <w:lang w:val="es-ES_tradnl"/>
              </w:rPr>
              <w:t xml:space="preserve">a) </w:t>
            </w:r>
            <w:r w:rsidR="00BF0818" w:rsidRPr="002B0BD5">
              <w:rPr>
                <w:rFonts w:cs="Arial"/>
                <w:lang w:val="es-ES_tradnl"/>
              </w:rPr>
              <w:tab/>
            </w:r>
            <w:r w:rsidRPr="002B0BD5">
              <w:rPr>
                <w:rFonts w:cs="Arial"/>
                <w:lang w:val="es-ES_tradnl"/>
              </w:rPr>
              <w:t>información dirigida a los sectores interesados publicada en el sitio web de la UPOV y difundida a través de otros medios de comunicación.</w:t>
            </w:r>
          </w:p>
        </w:tc>
      </w:tr>
    </w:tbl>
    <w:p w:rsidR="00FF5D3C" w:rsidRPr="002B0BD5" w:rsidRDefault="00421639" w:rsidP="00EF2D62">
      <w:pPr>
        <w:pStyle w:val="Heading2"/>
      </w:pPr>
      <w:r w:rsidRPr="002B0BD5">
        <w:rPr>
          <w:rFonts w:cs="Arial"/>
        </w:rPr>
        <w:br w:type="page"/>
      </w:r>
      <w:bookmarkStart w:id="19" w:name="_Toc363577059"/>
      <w:r w:rsidR="00FF5D3C" w:rsidRPr="002B0BD5">
        <w:rPr>
          <w:u w:val="none"/>
        </w:rPr>
        <w:t xml:space="preserve">2.3 </w:t>
      </w:r>
      <w:r w:rsidR="00BF0818" w:rsidRPr="002B0BD5">
        <w:rPr>
          <w:u w:val="none"/>
        </w:rPr>
        <w:tab/>
      </w:r>
      <w:r w:rsidR="00FF5D3C" w:rsidRPr="002B0BD5">
        <w:t>Subprograma UV.3</w:t>
      </w:r>
      <w:r w:rsidR="00BF0818" w:rsidRPr="002B0BD5">
        <w:t>:</w:t>
      </w:r>
      <w:r w:rsidR="00BF0818" w:rsidRPr="002B0BD5">
        <w:tab/>
      </w:r>
      <w:r w:rsidR="00FF5D3C" w:rsidRPr="002B0BD5">
        <w:t>Prestar asistencia para la introducción y aplicación del sistema de la UPOV</w:t>
      </w:r>
      <w:bookmarkEnd w:id="19"/>
    </w:p>
    <w:p w:rsidR="00FF5D3C" w:rsidRPr="002B0BD5" w:rsidRDefault="00FF5D3C" w:rsidP="00EF2D62">
      <w:pPr>
        <w:rPr>
          <w:rFonts w:cs="Arial"/>
          <w:lang w:val="es-ES_tradnl"/>
        </w:rPr>
      </w:pPr>
    </w:p>
    <w:p w:rsidR="00FF5D3C" w:rsidRPr="002B0BD5" w:rsidRDefault="00FF5D3C" w:rsidP="00EF2D62">
      <w:pPr>
        <w:pStyle w:val="Heading3"/>
      </w:pPr>
      <w:bookmarkStart w:id="20" w:name="_Toc363577060"/>
      <w:r w:rsidRPr="002B0BD5">
        <w:t xml:space="preserve">2.3.1 </w:t>
      </w:r>
      <w:r w:rsidR="00BF0818" w:rsidRPr="002B0BD5">
        <w:tab/>
      </w:r>
      <w:r w:rsidRPr="002B0BD5">
        <w:t>Objetivos</w:t>
      </w:r>
      <w:bookmarkEnd w:id="20"/>
    </w:p>
    <w:p w:rsidR="00FF5D3C" w:rsidRPr="002B0BD5" w:rsidRDefault="00FF5D3C" w:rsidP="00EF2D62">
      <w:pPr>
        <w:rPr>
          <w:rFonts w:cs="Arial"/>
          <w:lang w:val="es-ES_tradnl"/>
        </w:rPr>
      </w:pPr>
    </w:p>
    <w:p w:rsidR="00FF5D3C" w:rsidRPr="002B0BD5" w:rsidRDefault="00421639" w:rsidP="00EF2D62">
      <w:pPr>
        <w:rPr>
          <w:rFonts w:cs="Arial"/>
          <w:lang w:val="es-ES_tradnl"/>
        </w:rPr>
      </w:pPr>
      <w:r w:rsidRPr="002B0BD5">
        <w:rPr>
          <w:rFonts w:cs="Arial"/>
          <w:lang w:val="es-ES_tradnl"/>
        </w:rPr>
        <w:tab/>
      </w:r>
      <w:r w:rsidR="00FF5D3C" w:rsidRPr="002B0BD5">
        <w:rPr>
          <w:rFonts w:cs="Arial"/>
          <w:lang w:val="es-ES_tradnl"/>
        </w:rPr>
        <w:t xml:space="preserve">a) </w:t>
      </w:r>
      <w:r w:rsidR="00BF0818" w:rsidRPr="002B0BD5">
        <w:rPr>
          <w:rFonts w:cs="Arial"/>
          <w:lang w:val="es-ES_tradnl"/>
        </w:rPr>
        <w:tab/>
      </w:r>
      <w:r w:rsidR="00FF5D3C" w:rsidRPr="002B0BD5">
        <w:rPr>
          <w:rFonts w:cs="Arial"/>
          <w:lang w:val="es-ES_tradnl"/>
        </w:rPr>
        <w:t>Fomentar la sensibilización acerca del papel de la protección de las variedades vegetales con arreglo al Convenio de la UPOV.</w:t>
      </w:r>
    </w:p>
    <w:p w:rsidR="00FF5D3C" w:rsidRPr="002B0BD5" w:rsidRDefault="00FF5D3C" w:rsidP="00EF2D62">
      <w:pPr>
        <w:rPr>
          <w:rFonts w:cs="Arial"/>
          <w:lang w:val="es-ES_tradnl"/>
        </w:rPr>
      </w:pPr>
    </w:p>
    <w:p w:rsidR="00FF5D3C" w:rsidRPr="002B0BD5" w:rsidRDefault="00421639" w:rsidP="00EF2D62">
      <w:pPr>
        <w:rPr>
          <w:rFonts w:cs="Arial"/>
          <w:lang w:val="es-ES_tradnl"/>
        </w:rPr>
      </w:pPr>
      <w:r w:rsidRPr="002B0BD5">
        <w:rPr>
          <w:rFonts w:cs="Arial"/>
          <w:lang w:val="es-ES_tradnl"/>
        </w:rPr>
        <w:tab/>
      </w:r>
      <w:r w:rsidR="00FF5D3C" w:rsidRPr="002B0BD5">
        <w:rPr>
          <w:rFonts w:cs="Arial"/>
          <w:lang w:val="es-ES_tradnl"/>
        </w:rPr>
        <w:t xml:space="preserve">b) </w:t>
      </w:r>
      <w:r w:rsidR="00BF0818" w:rsidRPr="002B0BD5">
        <w:rPr>
          <w:rFonts w:cs="Arial"/>
          <w:lang w:val="es-ES_tradnl"/>
        </w:rPr>
        <w:tab/>
      </w:r>
      <w:r w:rsidR="00FF5D3C" w:rsidRPr="002B0BD5">
        <w:rPr>
          <w:rFonts w:cs="Arial"/>
          <w:lang w:val="es-ES_tradnl"/>
        </w:rPr>
        <w:t>Prestar asistencia a los Estados y las organizaciones, en particular a los gobiernos de países en desarrollo y de países en transición a una economía de mercado, en la elaboración de legislación conforme al Acta de 1991 del Convenio de la UPOV.</w:t>
      </w:r>
    </w:p>
    <w:p w:rsidR="00FF5D3C" w:rsidRPr="002B0BD5" w:rsidRDefault="00FF5D3C" w:rsidP="00EF2D62">
      <w:pPr>
        <w:rPr>
          <w:rFonts w:cs="Arial"/>
          <w:lang w:val="es-ES_tradnl"/>
        </w:rPr>
      </w:pPr>
    </w:p>
    <w:p w:rsidR="00FF5D3C" w:rsidRPr="002B0BD5" w:rsidRDefault="00421639" w:rsidP="00EF2D62">
      <w:pPr>
        <w:rPr>
          <w:rFonts w:cs="Arial"/>
          <w:lang w:val="es-ES_tradnl"/>
        </w:rPr>
      </w:pPr>
      <w:r w:rsidRPr="002B0BD5">
        <w:rPr>
          <w:rFonts w:cs="Arial"/>
          <w:lang w:val="es-ES_tradnl"/>
        </w:rPr>
        <w:tab/>
      </w:r>
      <w:r w:rsidR="00FF5D3C" w:rsidRPr="002B0BD5">
        <w:rPr>
          <w:rFonts w:cs="Arial"/>
          <w:lang w:val="es-ES_tradnl"/>
        </w:rPr>
        <w:t xml:space="preserve">c) </w:t>
      </w:r>
      <w:r w:rsidR="00BF0818" w:rsidRPr="002B0BD5">
        <w:rPr>
          <w:rFonts w:cs="Arial"/>
          <w:lang w:val="es-ES_tradnl"/>
        </w:rPr>
        <w:tab/>
      </w:r>
      <w:r w:rsidR="00FF5D3C" w:rsidRPr="002B0BD5">
        <w:rPr>
          <w:rFonts w:cs="Arial"/>
          <w:lang w:val="es-ES_tradnl"/>
        </w:rPr>
        <w:t>Prestar asistencia a los Estados y las organizaciones para la adhesión al Acta de 1991 del Convenio de la UPOV.</w:t>
      </w:r>
    </w:p>
    <w:p w:rsidR="00FF5D3C" w:rsidRPr="002B0BD5" w:rsidRDefault="00FF5D3C" w:rsidP="00EF2D62">
      <w:pPr>
        <w:rPr>
          <w:rFonts w:cs="Arial"/>
          <w:lang w:val="es-ES_tradnl"/>
        </w:rPr>
      </w:pPr>
    </w:p>
    <w:p w:rsidR="00FF5D3C" w:rsidRPr="002B0BD5" w:rsidRDefault="00421639" w:rsidP="00EF2D62">
      <w:pPr>
        <w:rPr>
          <w:rFonts w:cs="Arial"/>
          <w:lang w:val="es-ES_tradnl"/>
        </w:rPr>
      </w:pPr>
      <w:r w:rsidRPr="002B0BD5">
        <w:rPr>
          <w:rFonts w:cs="Arial"/>
          <w:lang w:val="es-ES_tradnl"/>
        </w:rPr>
        <w:tab/>
      </w:r>
      <w:r w:rsidR="00FF5D3C" w:rsidRPr="002B0BD5">
        <w:rPr>
          <w:rFonts w:cs="Arial"/>
          <w:lang w:val="es-ES_tradnl"/>
        </w:rPr>
        <w:t>d)</w:t>
      </w:r>
      <w:r w:rsidR="0013632B" w:rsidRPr="002B0BD5">
        <w:rPr>
          <w:rFonts w:cs="Arial"/>
          <w:lang w:val="es-ES_tradnl"/>
        </w:rPr>
        <w:tab/>
      </w:r>
      <w:r w:rsidR="00FF5D3C" w:rsidRPr="002B0BD5">
        <w:rPr>
          <w:rFonts w:cs="Arial"/>
          <w:lang w:val="es-ES_tradnl"/>
        </w:rPr>
        <w:t>Prestar asistencia a los Estados y las organizaciones para la aplicación de un sistema eficaz de protección de las variedades vegetales de conformidad con el Convenio de la UPOV.</w:t>
      </w:r>
    </w:p>
    <w:p w:rsidR="00FF5D3C" w:rsidRPr="002B0BD5" w:rsidRDefault="00FF5D3C" w:rsidP="00EF2D62">
      <w:pPr>
        <w:rPr>
          <w:rFonts w:cs="Arial"/>
          <w:lang w:val="es-ES_tradnl"/>
        </w:rPr>
      </w:pPr>
    </w:p>
    <w:p w:rsidR="00FF5D3C" w:rsidRPr="002B0BD5" w:rsidRDefault="00FF5D3C" w:rsidP="00EF2D62">
      <w:pPr>
        <w:pStyle w:val="Heading3"/>
      </w:pPr>
      <w:bookmarkStart w:id="21" w:name="_Toc363577061"/>
      <w:r w:rsidRPr="002B0BD5">
        <w:t xml:space="preserve">2.3.2 </w:t>
      </w:r>
      <w:r w:rsidR="00BF0818" w:rsidRPr="002B0BD5">
        <w:tab/>
      </w:r>
      <w:r w:rsidRPr="002B0BD5">
        <w:t>Descripción</w:t>
      </w:r>
      <w:bookmarkEnd w:id="21"/>
    </w:p>
    <w:p w:rsidR="00FF5D3C" w:rsidRPr="002B0BD5" w:rsidRDefault="00FF5D3C" w:rsidP="00EF2D62">
      <w:pPr>
        <w:rPr>
          <w:rFonts w:cs="Arial"/>
          <w:lang w:val="es-ES_tradnl"/>
        </w:rPr>
      </w:pPr>
    </w:p>
    <w:p w:rsidR="00FF5D3C" w:rsidRPr="002B0BD5" w:rsidRDefault="00FF5D3C" w:rsidP="00EF2D62">
      <w:pPr>
        <w:tabs>
          <w:tab w:val="left" w:pos="851"/>
        </w:tabs>
        <w:rPr>
          <w:rFonts w:cs="Arial"/>
          <w:lang w:val="es-ES_tradnl"/>
        </w:rPr>
      </w:pPr>
      <w:r w:rsidRPr="002B0BD5">
        <w:rPr>
          <w:rFonts w:cs="Arial"/>
          <w:lang w:val="es-ES_tradnl"/>
        </w:rPr>
        <w:t>2.3.2.1</w:t>
      </w:r>
      <w:r w:rsidR="00DC3E44" w:rsidRPr="002B0BD5">
        <w:rPr>
          <w:rFonts w:cs="Arial"/>
          <w:lang w:val="es-ES_tradnl"/>
        </w:rPr>
        <w:tab/>
      </w:r>
      <w:r w:rsidRPr="002B0BD5">
        <w:rPr>
          <w:rFonts w:cs="Arial"/>
          <w:lang w:val="es-ES_tradnl"/>
        </w:rPr>
        <w:t>El presente subprograma abarca la asistencia brindada en respuesta a las peticiones de los miembros de la Unión actuales y potenciales.  Para satisfacer la demanda de asistencia para introducir y aplicar el sistema de la UPOV en el marco de los recursos disponibles, será necesario desarrollar instrumentos electrónicos (por ejemplo, el sitio web, los cursos de enseñanza a distancia, los mecanismos de conferencia por Internet, etc.), priorizar la asistencia que da la Oficina de la Unión y utilizar recursos externos de capacitación y asistencia, con arreglo a las finanzas disponibles.</w:t>
      </w:r>
      <w:r w:rsidR="00421639" w:rsidRPr="002B0BD5">
        <w:rPr>
          <w:rFonts w:cs="Arial"/>
          <w:lang w:val="es-ES_tradnl"/>
        </w:rPr>
        <w:t xml:space="preserve">  </w:t>
      </w:r>
      <w:r w:rsidRPr="002B0BD5">
        <w:rPr>
          <w:rFonts w:cs="Arial"/>
          <w:lang w:val="es-ES_tradnl"/>
        </w:rPr>
        <w:t xml:space="preserve">La asistencia de carácter individual (por ejemplo, misiones) para los miembros de la Unión actuales y potenciales cuenta con el respaldo del presupuesto ordinario, aunque los fondos extrapresupuestarios y la ayuda en especie constituyen </w:t>
      </w:r>
      <w:r w:rsidR="00605481">
        <w:rPr>
          <w:rFonts w:cs="Arial"/>
          <w:lang w:val="es-ES_tradnl"/>
        </w:rPr>
        <w:t xml:space="preserve">igualmente </w:t>
      </w:r>
      <w:r w:rsidRPr="002B0BD5">
        <w:rPr>
          <w:rFonts w:cs="Arial"/>
          <w:lang w:val="es-ES_tradnl"/>
        </w:rPr>
        <w:t xml:space="preserve">un importante </w:t>
      </w:r>
      <w:r w:rsidR="0013632B" w:rsidRPr="002B0BD5">
        <w:rPr>
          <w:rFonts w:cs="Arial"/>
          <w:lang w:val="es-ES_tradnl"/>
        </w:rPr>
        <w:t>apoyo</w:t>
      </w:r>
      <w:r w:rsidRPr="002B0BD5">
        <w:rPr>
          <w:rFonts w:cs="Arial"/>
          <w:lang w:val="es-ES_tradnl"/>
        </w:rPr>
        <w:t>.</w:t>
      </w:r>
      <w:r w:rsidR="00421639" w:rsidRPr="002B0BD5">
        <w:rPr>
          <w:rFonts w:cs="Arial"/>
          <w:lang w:val="es-ES_tradnl"/>
        </w:rPr>
        <w:t xml:space="preserve">  </w:t>
      </w:r>
      <w:r w:rsidRPr="002B0BD5">
        <w:rPr>
          <w:rFonts w:cs="Arial"/>
          <w:lang w:val="es-ES_tradnl"/>
        </w:rPr>
        <w:t>Para ofrecer mayor flexibilidad conforme sea necesario y en función de los recursos disponibles, maximizando de esa forma la asistencia que puede ofrecer, la Oficina de la Unión se valdrá cada vez más de recursos externos (por ejemplo, apoyo administrativo a los cursos de enseñanza a distancia, edición de las publicaciones) y utilizará con mayor frecuencia formadores externos.</w:t>
      </w:r>
      <w:r w:rsidR="00421639" w:rsidRPr="002B0BD5">
        <w:rPr>
          <w:rFonts w:cs="Arial"/>
          <w:lang w:val="es-ES_tradnl"/>
        </w:rPr>
        <w:t xml:space="preserve"> </w:t>
      </w:r>
    </w:p>
    <w:p w:rsidR="00FF5D3C" w:rsidRPr="002B0BD5" w:rsidRDefault="00FF5D3C" w:rsidP="00EF2D62">
      <w:pPr>
        <w:rPr>
          <w:rFonts w:cs="Arial"/>
          <w:lang w:val="es-ES_tradnl"/>
        </w:rPr>
      </w:pPr>
    </w:p>
    <w:p w:rsidR="00FF5D3C" w:rsidRPr="002B0BD5" w:rsidRDefault="00FF5D3C" w:rsidP="00EF2D62">
      <w:pPr>
        <w:tabs>
          <w:tab w:val="left" w:pos="851"/>
        </w:tabs>
        <w:rPr>
          <w:rFonts w:cs="Arial"/>
          <w:lang w:val="es-ES_tradnl"/>
        </w:rPr>
      </w:pPr>
      <w:r w:rsidRPr="002B0BD5">
        <w:rPr>
          <w:rFonts w:cs="Arial"/>
          <w:lang w:val="es-ES_tradnl"/>
        </w:rPr>
        <w:t>2.3.2.2</w:t>
      </w:r>
      <w:r w:rsidR="00DC3E44" w:rsidRPr="002B0BD5">
        <w:rPr>
          <w:rFonts w:cs="Arial"/>
          <w:lang w:val="es-ES_tradnl"/>
        </w:rPr>
        <w:tab/>
      </w:r>
      <w:r w:rsidRPr="002B0BD5">
        <w:rPr>
          <w:rFonts w:cs="Arial"/>
          <w:lang w:val="es-ES_tradnl"/>
        </w:rPr>
        <w:t xml:space="preserve">Al 31 de </w:t>
      </w:r>
      <w:r w:rsidR="00DC3E44" w:rsidRPr="002B0BD5">
        <w:rPr>
          <w:rFonts w:cs="Arial"/>
          <w:lang w:val="es-ES_tradnl"/>
        </w:rPr>
        <w:t>julio</w:t>
      </w:r>
      <w:r w:rsidRPr="002B0BD5">
        <w:rPr>
          <w:rFonts w:cs="Arial"/>
          <w:lang w:val="es-ES_tradnl"/>
        </w:rPr>
        <w:t xml:space="preserve"> de 2013, la Unión contaba con 71 miembros, de los cuales 51 estaban vinculados por el Acta de 1991 del Convenio de la UPOV.</w:t>
      </w:r>
      <w:r w:rsidR="00421639" w:rsidRPr="002B0BD5">
        <w:rPr>
          <w:rFonts w:cs="Arial"/>
          <w:lang w:val="es-ES_tradnl"/>
        </w:rPr>
        <w:t xml:space="preserve"> </w:t>
      </w:r>
    </w:p>
    <w:p w:rsidR="00FF5D3C" w:rsidRPr="002B0BD5" w:rsidRDefault="00FF5D3C" w:rsidP="00EF2D62">
      <w:pPr>
        <w:rPr>
          <w:rFonts w:cs="Arial"/>
          <w:lang w:val="es-ES_tradnl"/>
        </w:rPr>
      </w:pPr>
    </w:p>
    <w:p w:rsidR="00FF5D3C" w:rsidRPr="002B0BD5" w:rsidRDefault="00FF5D3C" w:rsidP="00EF2D62">
      <w:pPr>
        <w:tabs>
          <w:tab w:val="left" w:pos="851"/>
        </w:tabs>
        <w:rPr>
          <w:rFonts w:cs="Arial"/>
          <w:lang w:val="es-ES_tradnl"/>
        </w:rPr>
      </w:pPr>
      <w:r w:rsidRPr="002B0BD5">
        <w:rPr>
          <w:rFonts w:cs="Arial"/>
          <w:lang w:val="es-ES_tradnl"/>
        </w:rPr>
        <w:t>2.3.2.3</w:t>
      </w:r>
      <w:r w:rsidR="00DC3E44" w:rsidRPr="002B0BD5">
        <w:rPr>
          <w:rFonts w:cs="Arial"/>
          <w:lang w:val="es-ES_tradnl"/>
        </w:rPr>
        <w:tab/>
      </w:r>
      <w:r w:rsidRPr="002B0BD5">
        <w:rPr>
          <w:rFonts w:cs="Arial"/>
          <w:lang w:val="es-ES_tradnl"/>
        </w:rPr>
        <w:t xml:space="preserve">Al 31 de </w:t>
      </w:r>
      <w:r w:rsidR="00DC3E44" w:rsidRPr="002B0BD5">
        <w:rPr>
          <w:rFonts w:cs="Arial"/>
          <w:lang w:val="es-ES_tradnl"/>
        </w:rPr>
        <w:t>julio</w:t>
      </w:r>
      <w:r w:rsidRPr="002B0BD5">
        <w:rPr>
          <w:rFonts w:cs="Arial"/>
          <w:lang w:val="es-ES_tradnl"/>
        </w:rPr>
        <w:t xml:space="preserve"> de 2013, 16 Estados y una organización intergubernamental habían iniciado </w:t>
      </w:r>
      <w:r w:rsidR="00605481">
        <w:rPr>
          <w:rFonts w:cs="Arial"/>
          <w:lang w:val="es-ES_tradnl"/>
        </w:rPr>
        <w:br/>
      </w:r>
      <w:r w:rsidRPr="002B0BD5">
        <w:rPr>
          <w:rFonts w:cs="Arial"/>
          <w:lang w:val="es-ES_tradnl"/>
        </w:rPr>
        <w:t>el procedimiento de adhesión al Convenio de la UPOV, y 2</w:t>
      </w:r>
      <w:r w:rsidR="00605481">
        <w:rPr>
          <w:rFonts w:cs="Arial"/>
          <w:lang w:val="es-ES_tradnl"/>
        </w:rPr>
        <w:t xml:space="preserve">4 </w:t>
      </w:r>
      <w:r w:rsidRPr="002B0BD5">
        <w:rPr>
          <w:rFonts w:cs="Arial"/>
          <w:lang w:val="es-ES_tradnl"/>
        </w:rPr>
        <w:t>Estados y dos organizaciones intergubernamentales se habían puesto en contacto con la Oficina de la Unión para solicitar asistencia en la elaboración de leyes basadas en el Convenio de la UPOV.</w:t>
      </w:r>
      <w:r w:rsidR="00421639" w:rsidRPr="002B0BD5">
        <w:rPr>
          <w:rFonts w:cs="Arial"/>
          <w:lang w:val="es-ES_tradnl"/>
        </w:rPr>
        <w:t xml:space="preserve">  </w:t>
      </w:r>
      <w:r w:rsidRPr="002B0BD5">
        <w:rPr>
          <w:rFonts w:cs="Arial"/>
          <w:lang w:val="es-ES_tradnl"/>
        </w:rPr>
        <w:t>En el presupuesto ordinario de la UPOV, los recursos destinados a financiar las actividades necesarias en el marco de este subprograma son limitados.  La prioridad establecida por los miembros de la Unión para la prestación de asistencia a cargo de la Oficina de la Unión es la siguiente:</w:t>
      </w:r>
    </w:p>
    <w:p w:rsidR="00FF5D3C" w:rsidRPr="002B0BD5" w:rsidRDefault="00FF5D3C" w:rsidP="00EF2D62">
      <w:pPr>
        <w:rPr>
          <w:rFonts w:cs="Arial"/>
          <w:lang w:val="es-ES_tradnl"/>
        </w:rPr>
      </w:pPr>
    </w:p>
    <w:p w:rsidR="00FF5D3C" w:rsidRPr="002B0BD5" w:rsidRDefault="00FF08D0" w:rsidP="00EF2D62">
      <w:pPr>
        <w:tabs>
          <w:tab w:val="center" w:pos="851"/>
          <w:tab w:val="left" w:pos="1134"/>
        </w:tabs>
        <w:spacing w:after="120"/>
        <w:ind w:left="1134" w:hanging="567"/>
        <w:rPr>
          <w:rFonts w:cs="Arial"/>
          <w:lang w:val="es-ES_tradnl"/>
        </w:rPr>
      </w:pPr>
      <w:r w:rsidRPr="002B0BD5">
        <w:rPr>
          <w:rFonts w:cs="Arial"/>
          <w:lang w:val="es-ES_tradnl"/>
        </w:rPr>
        <w:tab/>
      </w:r>
      <w:r w:rsidR="00FF5D3C" w:rsidRPr="002B0BD5">
        <w:rPr>
          <w:rFonts w:cs="Arial"/>
          <w:lang w:val="es-ES_tradnl"/>
        </w:rPr>
        <w:t xml:space="preserve">i) </w:t>
      </w:r>
      <w:r w:rsidR="00BF0818" w:rsidRPr="002B0BD5">
        <w:rPr>
          <w:rFonts w:cs="Arial"/>
          <w:lang w:val="es-ES_tradnl"/>
        </w:rPr>
        <w:tab/>
      </w:r>
      <w:r w:rsidR="00FF5D3C" w:rsidRPr="002B0BD5">
        <w:rPr>
          <w:rFonts w:cs="Arial"/>
          <w:lang w:val="es-ES_tradnl"/>
        </w:rPr>
        <w:t>asistencia a los actuales miembros de la Unión;</w:t>
      </w:r>
    </w:p>
    <w:p w:rsidR="00FF5D3C" w:rsidRPr="002B0BD5" w:rsidRDefault="00FF08D0" w:rsidP="00EF2D62">
      <w:pPr>
        <w:tabs>
          <w:tab w:val="center" w:pos="851"/>
          <w:tab w:val="left" w:pos="1134"/>
        </w:tabs>
        <w:spacing w:after="120"/>
        <w:ind w:left="1134" w:hanging="567"/>
        <w:rPr>
          <w:rFonts w:cs="Arial"/>
          <w:lang w:val="es-ES_tradnl"/>
        </w:rPr>
      </w:pPr>
      <w:r w:rsidRPr="002B0BD5">
        <w:rPr>
          <w:rFonts w:cs="Arial"/>
          <w:lang w:val="es-ES_tradnl"/>
        </w:rPr>
        <w:tab/>
      </w:r>
      <w:r w:rsidR="00FF5D3C" w:rsidRPr="002B0BD5">
        <w:rPr>
          <w:rFonts w:cs="Arial"/>
          <w:lang w:val="es-ES_tradnl"/>
        </w:rPr>
        <w:t xml:space="preserve">ii) </w:t>
      </w:r>
      <w:r w:rsidR="00BF0818" w:rsidRPr="002B0BD5">
        <w:rPr>
          <w:rFonts w:cs="Arial"/>
          <w:lang w:val="es-ES_tradnl"/>
        </w:rPr>
        <w:tab/>
      </w:r>
      <w:r w:rsidR="00FF5D3C" w:rsidRPr="002B0BD5">
        <w:rPr>
          <w:rFonts w:cs="Arial"/>
          <w:lang w:val="es-ES_tradnl"/>
        </w:rPr>
        <w:t>asistencia a los Estados y determinadas organizaciones que no son miembros de la Unión, concretamente a los gobiernos de los países en desarrollo y los países en transición a una economía de mercado, en la elaboración de legislación con arreglo al Acta de 1991 del Convenio de la UPOV y en su adhesión al Convenio de la UPOV;  y</w:t>
      </w:r>
    </w:p>
    <w:p w:rsidR="00FF5D3C" w:rsidRPr="002B0BD5" w:rsidRDefault="00FF08D0" w:rsidP="00EF2D62">
      <w:pPr>
        <w:tabs>
          <w:tab w:val="center" w:pos="851"/>
          <w:tab w:val="left" w:pos="1134"/>
        </w:tabs>
        <w:spacing w:after="120"/>
        <w:ind w:left="1134" w:hanging="567"/>
        <w:rPr>
          <w:rFonts w:cs="Arial"/>
          <w:lang w:val="es-ES_tradnl"/>
        </w:rPr>
      </w:pPr>
      <w:r w:rsidRPr="002B0BD5">
        <w:rPr>
          <w:rFonts w:cs="Arial"/>
          <w:lang w:val="es-ES_tradnl"/>
        </w:rPr>
        <w:tab/>
      </w:r>
      <w:r w:rsidR="00FF5D3C" w:rsidRPr="002B0BD5">
        <w:rPr>
          <w:rFonts w:cs="Arial"/>
          <w:lang w:val="es-ES_tradnl"/>
        </w:rPr>
        <w:t xml:space="preserve">iii) </w:t>
      </w:r>
      <w:r w:rsidR="00BF0818" w:rsidRPr="002B0BD5">
        <w:rPr>
          <w:rFonts w:cs="Arial"/>
          <w:lang w:val="es-ES_tradnl"/>
        </w:rPr>
        <w:tab/>
      </w:r>
      <w:r w:rsidR="00FF5D3C" w:rsidRPr="002B0BD5">
        <w:rPr>
          <w:rFonts w:cs="Arial"/>
          <w:lang w:val="es-ES_tradnl"/>
        </w:rPr>
        <w:t>asistencia a los Estados y determinadas organizaciones que no son miembros de la Unión en la aplicación de la legislación que haya suscitado una decisión positiva del Consejo en relación con su adhesión al Convenio de la UPOV.</w:t>
      </w:r>
      <w:r w:rsidR="00421639" w:rsidRPr="002B0BD5">
        <w:rPr>
          <w:rFonts w:cs="Arial"/>
          <w:lang w:val="es-ES_tradnl"/>
        </w:rPr>
        <w:t xml:space="preserve">  </w:t>
      </w:r>
    </w:p>
    <w:p w:rsidR="00FF5D3C" w:rsidRPr="002B0BD5" w:rsidRDefault="00FF5D3C" w:rsidP="00EF2D62">
      <w:pPr>
        <w:rPr>
          <w:rFonts w:cs="Arial"/>
          <w:lang w:val="es-ES_tradnl"/>
        </w:rPr>
      </w:pPr>
    </w:p>
    <w:p w:rsidR="00FF5D3C" w:rsidRPr="002B0BD5" w:rsidRDefault="00FF5D3C" w:rsidP="00EF2D62">
      <w:pPr>
        <w:tabs>
          <w:tab w:val="left" w:pos="851"/>
        </w:tabs>
        <w:rPr>
          <w:rFonts w:cs="Arial"/>
          <w:lang w:val="es-ES_tradnl"/>
        </w:rPr>
      </w:pPr>
      <w:r w:rsidRPr="002B0BD5">
        <w:rPr>
          <w:rFonts w:cs="Arial"/>
          <w:lang w:val="es-ES_tradnl"/>
        </w:rPr>
        <w:t xml:space="preserve">2.3.2.4 </w:t>
      </w:r>
      <w:r w:rsidR="00BF0818" w:rsidRPr="002B0BD5">
        <w:rPr>
          <w:rFonts w:cs="Arial"/>
          <w:lang w:val="es-ES_tradnl"/>
        </w:rPr>
        <w:tab/>
      </w:r>
      <w:r w:rsidRPr="002B0BD5">
        <w:rPr>
          <w:rFonts w:cs="Arial"/>
          <w:lang w:val="es-ES_tradnl"/>
        </w:rPr>
        <w:t>Entre las actividades de este subprograma cabe señalar un uso más intenso del material electrónico de capacitación, en particular, los cursos de enseñanza a distancia, y de las nuevas tecnologías de la comunicación, con el fin de maximizar la eficacia de los recursos disponibles.  La disponibilidad de tecnologías de la comunicación supondrá un aumento en el número de actividades (por ejemplo, seminarios sobre determinados temas) realizadas en Ginebra que estarán al alcance de un público más amplio, además de los participantes que se encuentran en Ginebra.  La Oficina de la Unión seguirá procurando encontrar sinergias en sus actividades con los miembros de la Unión y otros colaboradores.</w:t>
      </w:r>
      <w:r w:rsidR="00421639" w:rsidRPr="002B0BD5">
        <w:rPr>
          <w:rFonts w:cs="Arial"/>
          <w:lang w:val="es-ES_tradnl"/>
        </w:rPr>
        <w:t xml:space="preserve">  </w:t>
      </w:r>
    </w:p>
    <w:p w:rsidR="00FF5D3C" w:rsidRPr="002B0BD5" w:rsidRDefault="00FF5D3C" w:rsidP="00EF2D62">
      <w:pPr>
        <w:tabs>
          <w:tab w:val="left" w:pos="567"/>
        </w:tabs>
        <w:rPr>
          <w:rFonts w:cs="Arial"/>
          <w:lang w:val="es-ES_tradnl"/>
        </w:rPr>
      </w:pPr>
    </w:p>
    <w:p w:rsidR="00FF5D3C" w:rsidRPr="002B0BD5" w:rsidRDefault="00FF5D3C" w:rsidP="00605481">
      <w:pPr>
        <w:keepNext/>
        <w:tabs>
          <w:tab w:val="left" w:pos="567"/>
        </w:tabs>
        <w:rPr>
          <w:rFonts w:cs="Arial"/>
          <w:u w:val="single"/>
          <w:lang w:val="es-ES_tradnl"/>
        </w:rPr>
      </w:pPr>
      <w:r w:rsidRPr="002B0BD5">
        <w:rPr>
          <w:rFonts w:cs="Arial"/>
          <w:u w:val="single"/>
          <w:lang w:val="es-ES_tradnl"/>
        </w:rPr>
        <w:t>Recursos adicionales</w:t>
      </w:r>
    </w:p>
    <w:p w:rsidR="00FF5D3C" w:rsidRPr="002B0BD5" w:rsidRDefault="00FF5D3C" w:rsidP="00605481">
      <w:pPr>
        <w:keepNext/>
        <w:tabs>
          <w:tab w:val="left" w:pos="567"/>
        </w:tabs>
        <w:rPr>
          <w:rFonts w:cs="Arial"/>
          <w:lang w:val="es-ES_tradnl"/>
        </w:rPr>
      </w:pPr>
    </w:p>
    <w:p w:rsidR="00FF5D3C" w:rsidRPr="002B0BD5" w:rsidRDefault="00FF5D3C" w:rsidP="00EF2D62">
      <w:pPr>
        <w:tabs>
          <w:tab w:val="left" w:pos="851"/>
        </w:tabs>
        <w:rPr>
          <w:rFonts w:cs="Arial"/>
          <w:lang w:val="es-ES_tradnl"/>
        </w:rPr>
      </w:pPr>
      <w:r w:rsidRPr="002B0BD5">
        <w:rPr>
          <w:rFonts w:cs="Arial"/>
          <w:lang w:val="es-ES_tradnl"/>
        </w:rPr>
        <w:t xml:space="preserve">2.3.2.5 </w:t>
      </w:r>
      <w:r w:rsidR="00BF0818" w:rsidRPr="002B0BD5">
        <w:rPr>
          <w:rFonts w:cs="Arial"/>
          <w:lang w:val="es-ES_tradnl"/>
        </w:rPr>
        <w:tab/>
      </w:r>
      <w:r w:rsidRPr="002B0BD5">
        <w:rPr>
          <w:rFonts w:cs="Arial"/>
          <w:lang w:val="es-ES_tradnl"/>
        </w:rPr>
        <w:t>Una de las principales características de este subprograma es ofrecer un marco en el que la Oficina de la UPOV pueda complementar con eficacia los recursos de que dispone, sumándole recursos financieros y ayuda en especie puestos a disposición por los miembros de la Unión y otros órganos.  Por lo general, la ayuda brindada se divide en las siguientes categorías:</w:t>
      </w:r>
    </w:p>
    <w:p w:rsidR="00FF5D3C" w:rsidRPr="002B0BD5" w:rsidRDefault="00FF5D3C" w:rsidP="00EF2D62">
      <w:pPr>
        <w:tabs>
          <w:tab w:val="left" w:pos="567"/>
        </w:tabs>
        <w:rPr>
          <w:rFonts w:cs="Arial"/>
          <w:lang w:val="es-ES_tradnl"/>
        </w:rPr>
      </w:pPr>
    </w:p>
    <w:p w:rsidR="00FF5D3C" w:rsidRPr="002B0BD5" w:rsidRDefault="00FF5D3C" w:rsidP="00EF2D62">
      <w:pPr>
        <w:tabs>
          <w:tab w:val="left" w:pos="567"/>
        </w:tabs>
        <w:rPr>
          <w:rFonts w:cs="Arial"/>
          <w:i/>
          <w:lang w:val="es-ES_tradnl"/>
        </w:rPr>
      </w:pPr>
      <w:r w:rsidRPr="002B0BD5">
        <w:rPr>
          <w:rFonts w:cs="Arial"/>
          <w:i/>
          <w:lang w:val="es-ES_tradnl"/>
        </w:rPr>
        <w:t>Asistencia prestada por la Oficina de la Unión mediante recursos financieros extrapresupuestarios</w:t>
      </w:r>
    </w:p>
    <w:p w:rsidR="00FF5D3C" w:rsidRPr="002B0BD5" w:rsidRDefault="00FF5D3C" w:rsidP="00EF2D62">
      <w:pPr>
        <w:tabs>
          <w:tab w:val="left" w:pos="567"/>
        </w:tabs>
        <w:rPr>
          <w:rFonts w:cs="Arial"/>
          <w:lang w:val="es-ES_tradnl"/>
        </w:rPr>
      </w:pPr>
    </w:p>
    <w:p w:rsidR="00FF5D3C" w:rsidRPr="002B0BD5" w:rsidRDefault="00FF5D3C" w:rsidP="00EF2D62">
      <w:pPr>
        <w:tabs>
          <w:tab w:val="left" w:pos="851"/>
        </w:tabs>
        <w:rPr>
          <w:rFonts w:cs="Arial"/>
          <w:lang w:val="es-ES_tradnl"/>
        </w:rPr>
      </w:pPr>
      <w:r w:rsidRPr="002B0BD5">
        <w:rPr>
          <w:rFonts w:cs="Arial"/>
          <w:lang w:val="es-ES_tradnl"/>
        </w:rPr>
        <w:t xml:space="preserve">2.3.2.6 </w:t>
      </w:r>
      <w:r w:rsidR="00BF0818" w:rsidRPr="002B0BD5">
        <w:rPr>
          <w:rFonts w:cs="Arial"/>
          <w:lang w:val="es-ES_tradnl"/>
        </w:rPr>
        <w:tab/>
      </w:r>
      <w:r w:rsidRPr="002B0BD5">
        <w:rPr>
          <w:rFonts w:cs="Arial"/>
          <w:lang w:val="es-ES_tradnl"/>
        </w:rPr>
        <w:t>Una ventaja importante para la UPOV está dada por los recursos adicionales constituidos, por ejemplo, por fondos fiduciarios, es decir, donaciones financieras que algún miembro de la Unión ofrece voluntariamente a la UPOV para financiar, por lo general, un determinado programa de actividades acordado entre la Oficina de la Unión y el miembro donante.  Dichos recursos son especialmente importantes para la UPOV en lo que respecta a la prestación de asistencia.  Teniendo en cuenta que dichos fondos atañen al personal de la UPOV y otros recursos, la Oficina de la Unión y el miembro de la Unión de que se trate elaboran conjuntamente un programa de actividades con arreglo a la política y las prioridades establecidas por el Consejo de la UPOV.</w:t>
      </w:r>
    </w:p>
    <w:p w:rsidR="00421639" w:rsidRPr="002B0BD5" w:rsidRDefault="00421639" w:rsidP="00EF2D62">
      <w:pPr>
        <w:tabs>
          <w:tab w:val="left" w:pos="567"/>
        </w:tabs>
        <w:rPr>
          <w:rFonts w:cs="Arial"/>
          <w:lang w:val="es-ES_tradnl"/>
        </w:rPr>
      </w:pPr>
    </w:p>
    <w:tbl>
      <w:tblPr>
        <w:tblStyle w:val="TableGrid"/>
        <w:tblW w:w="0" w:type="auto"/>
        <w:tblInd w:w="675" w:type="dxa"/>
        <w:tblLook w:val="01E0" w:firstRow="1" w:lastRow="1" w:firstColumn="1" w:lastColumn="1" w:noHBand="0" w:noVBand="0"/>
      </w:tblPr>
      <w:tblGrid>
        <w:gridCol w:w="7371"/>
      </w:tblGrid>
      <w:tr w:rsidR="005D61AB" w:rsidRPr="000F652A" w:rsidTr="00DC35EC">
        <w:tc>
          <w:tcPr>
            <w:tcW w:w="7371" w:type="dxa"/>
          </w:tcPr>
          <w:p w:rsidR="00FF5D3C" w:rsidRPr="002B0BD5" w:rsidRDefault="00FF5D3C" w:rsidP="00EF2D62">
            <w:pPr>
              <w:tabs>
                <w:tab w:val="left" w:pos="567"/>
              </w:tabs>
              <w:rPr>
                <w:rFonts w:cs="Arial"/>
                <w:lang w:val="es-ES_tradnl"/>
              </w:rPr>
            </w:pPr>
            <w:r w:rsidRPr="002B0BD5">
              <w:rPr>
                <w:rFonts w:cs="Arial"/>
                <w:lang w:val="es-ES_tradnl"/>
              </w:rPr>
              <w:t>Ejemplo:</w:t>
            </w:r>
          </w:p>
          <w:p w:rsidR="00FF5D3C" w:rsidRPr="002B0BD5" w:rsidRDefault="00FF5D3C" w:rsidP="00EF2D62">
            <w:pPr>
              <w:tabs>
                <w:tab w:val="left" w:pos="567"/>
              </w:tabs>
              <w:rPr>
                <w:rFonts w:cs="Arial"/>
                <w:lang w:val="es-ES_tradnl"/>
              </w:rPr>
            </w:pPr>
          </w:p>
          <w:p w:rsidR="00FF5D3C" w:rsidRPr="002B0BD5" w:rsidRDefault="00FF5D3C" w:rsidP="00EF2D62">
            <w:pPr>
              <w:numPr>
                <w:ilvl w:val="0"/>
                <w:numId w:val="8"/>
              </w:numPr>
              <w:tabs>
                <w:tab w:val="clear" w:pos="720"/>
              </w:tabs>
              <w:spacing w:after="120"/>
              <w:ind w:left="885" w:hanging="567"/>
              <w:rPr>
                <w:rFonts w:cs="Arial"/>
                <w:lang w:val="es-ES_tradnl"/>
              </w:rPr>
            </w:pPr>
            <w:r w:rsidRPr="002B0BD5">
              <w:rPr>
                <w:rFonts w:cs="Arial"/>
                <w:lang w:val="es-ES_tradnl"/>
              </w:rPr>
              <w:t>Los Fondos Fiduciarios proporcionados por el Gobierno del Japón para la realización de actividades en la región de Asia.</w:t>
            </w:r>
          </w:p>
          <w:p w:rsidR="00421639" w:rsidRPr="002B0BD5" w:rsidRDefault="00FF5D3C" w:rsidP="00EF2D62">
            <w:pPr>
              <w:numPr>
                <w:ilvl w:val="0"/>
                <w:numId w:val="8"/>
              </w:numPr>
              <w:tabs>
                <w:tab w:val="clear" w:pos="720"/>
              </w:tabs>
              <w:spacing w:after="120"/>
              <w:ind w:left="885" w:hanging="567"/>
              <w:rPr>
                <w:rFonts w:cs="Arial"/>
                <w:lang w:val="es-ES_tradnl"/>
              </w:rPr>
            </w:pPr>
            <w:r w:rsidRPr="002B0BD5">
              <w:rPr>
                <w:rFonts w:cs="Arial"/>
                <w:lang w:val="es-ES_tradnl"/>
              </w:rPr>
              <w:t>El Memorando de Entendimiento entre la Oficina de Patentes y Marcas de los Estados Unidos de América (USPTO) y la UPOV</w:t>
            </w:r>
          </w:p>
        </w:tc>
      </w:tr>
    </w:tbl>
    <w:p w:rsidR="00FF5D3C" w:rsidRPr="002B0BD5" w:rsidRDefault="00FF5D3C" w:rsidP="00EF2D62">
      <w:pPr>
        <w:tabs>
          <w:tab w:val="left" w:pos="567"/>
        </w:tabs>
        <w:rPr>
          <w:rFonts w:cs="Arial"/>
          <w:lang w:val="es-ES_tradnl"/>
        </w:rPr>
      </w:pPr>
    </w:p>
    <w:p w:rsidR="00FF5D3C" w:rsidRPr="002B0BD5" w:rsidRDefault="00FF5D3C" w:rsidP="00EF2D62">
      <w:pPr>
        <w:tabs>
          <w:tab w:val="left" w:pos="567"/>
        </w:tabs>
        <w:rPr>
          <w:rFonts w:cs="Arial"/>
          <w:i/>
          <w:lang w:val="es-ES_tradnl"/>
        </w:rPr>
      </w:pPr>
      <w:r w:rsidRPr="002B0BD5">
        <w:rPr>
          <w:rFonts w:cs="Arial"/>
          <w:i/>
          <w:lang w:val="es-ES_tradnl"/>
        </w:rPr>
        <w:t>Ayuda de los miembros de la Unión</w:t>
      </w:r>
    </w:p>
    <w:p w:rsidR="00FF5D3C" w:rsidRPr="002B0BD5" w:rsidRDefault="00FF5D3C" w:rsidP="00EF2D62">
      <w:pPr>
        <w:tabs>
          <w:tab w:val="left" w:pos="567"/>
        </w:tabs>
        <w:rPr>
          <w:rFonts w:cs="Arial"/>
          <w:lang w:val="es-ES_tradnl"/>
        </w:rPr>
      </w:pPr>
    </w:p>
    <w:p w:rsidR="00FF5D3C" w:rsidRPr="002B0BD5" w:rsidRDefault="00FF5D3C" w:rsidP="00EF2D62">
      <w:pPr>
        <w:tabs>
          <w:tab w:val="left" w:pos="851"/>
        </w:tabs>
        <w:rPr>
          <w:rFonts w:cs="Arial"/>
          <w:lang w:val="es-ES_tradnl"/>
        </w:rPr>
      </w:pPr>
      <w:r w:rsidRPr="002B0BD5">
        <w:rPr>
          <w:rFonts w:cs="Arial"/>
          <w:lang w:val="es-ES_tradnl"/>
        </w:rPr>
        <w:t xml:space="preserve">2.3.2.7 </w:t>
      </w:r>
      <w:r w:rsidR="00BF0818" w:rsidRPr="002B0BD5">
        <w:rPr>
          <w:rFonts w:cs="Arial"/>
          <w:lang w:val="es-ES_tradnl"/>
        </w:rPr>
        <w:tab/>
      </w:r>
      <w:r w:rsidRPr="002B0BD5">
        <w:rPr>
          <w:rFonts w:cs="Arial"/>
          <w:lang w:val="es-ES_tradnl"/>
        </w:rPr>
        <w:t>Varios miembros de la Unión brindan importante asistencia a los Estados y las organizaciones pertinentes.  En la medida de lo posible, y cuando corresponda, la Oficina de la Unión explica las prioridades en materia de asistencia establecidas por el Consejo;  con todo, incumbe a cada miembro de la Unión decidir qué actividades le interesa llevar a la práctica.  En los casos en que se pida la colaboración de la Oficina de la Unión en esas actividades, ésta colaborará en la medida de lo posible y con arreglo a las políticas y prioridades establecidas por el Consejo en lo que atañe a la asistencia dada por la Oficina de la Unión.</w:t>
      </w:r>
      <w:r w:rsidR="00421639" w:rsidRPr="002B0BD5">
        <w:rPr>
          <w:rFonts w:cs="Arial"/>
          <w:lang w:val="es-ES_tradnl"/>
        </w:rPr>
        <w:t xml:space="preserve">  </w:t>
      </w:r>
    </w:p>
    <w:p w:rsidR="00FF5D3C" w:rsidRPr="002B0BD5" w:rsidRDefault="00FF5D3C" w:rsidP="00EF2D62">
      <w:pPr>
        <w:tabs>
          <w:tab w:val="left" w:pos="567"/>
        </w:tabs>
        <w:rPr>
          <w:rFonts w:cs="Arial"/>
          <w:lang w:val="es-ES_tradnl"/>
        </w:rPr>
      </w:pPr>
    </w:p>
    <w:p w:rsidR="00FF5D3C" w:rsidRPr="002B0BD5" w:rsidRDefault="00FF5D3C" w:rsidP="00EF2D62">
      <w:pPr>
        <w:tabs>
          <w:tab w:val="left" w:pos="851"/>
        </w:tabs>
        <w:rPr>
          <w:rFonts w:cs="Arial"/>
          <w:lang w:val="es-ES_tradnl"/>
        </w:rPr>
      </w:pPr>
      <w:r w:rsidRPr="002B0BD5">
        <w:rPr>
          <w:rFonts w:cs="Arial"/>
          <w:lang w:val="es-ES_tradnl"/>
        </w:rPr>
        <w:t xml:space="preserve">2.3.2.8 </w:t>
      </w:r>
      <w:r w:rsidR="00BF0818" w:rsidRPr="002B0BD5">
        <w:rPr>
          <w:rFonts w:cs="Arial"/>
          <w:lang w:val="es-ES_tradnl"/>
        </w:rPr>
        <w:tab/>
      </w:r>
      <w:r w:rsidRPr="002B0BD5">
        <w:rPr>
          <w:rFonts w:cs="Arial"/>
          <w:lang w:val="es-ES_tradnl"/>
        </w:rPr>
        <w:t>Un recurso fundamental para la labor de la UPOV es la ayuda en especie constituida por la participación de expertos que presentan ponencias en las actividades de la UPOV y se desempeñan como docentes en los cursos de enseñanza a distancia.</w:t>
      </w:r>
      <w:r w:rsidR="00421639" w:rsidRPr="002B0BD5">
        <w:rPr>
          <w:rFonts w:cs="Arial"/>
          <w:lang w:val="es-ES_tradnl"/>
        </w:rPr>
        <w:t xml:space="preserve">  </w:t>
      </w:r>
      <w:r w:rsidRPr="002B0BD5">
        <w:rPr>
          <w:rFonts w:cs="Arial"/>
          <w:lang w:val="es-ES_tradnl"/>
        </w:rPr>
        <w:t>Otra importante forma de ayuda en especie son las pasantías de mediano plazo de funcionarios debidamente cualificados, totalmente financiadas por los miembros de la Unión, como lo hiciera, por ejemplo, la República de Corea en 2009-2010.</w:t>
      </w:r>
    </w:p>
    <w:p w:rsidR="00FF5D3C" w:rsidRPr="002B0BD5" w:rsidRDefault="00FF5D3C" w:rsidP="00EF2D62">
      <w:pPr>
        <w:tabs>
          <w:tab w:val="left" w:pos="567"/>
        </w:tabs>
        <w:rPr>
          <w:rFonts w:cs="Arial"/>
          <w:lang w:val="es-ES_tradnl"/>
        </w:rPr>
      </w:pPr>
    </w:p>
    <w:p w:rsidR="00FF5D3C" w:rsidRPr="002B0BD5" w:rsidRDefault="00FF5D3C" w:rsidP="00EF2D62">
      <w:pPr>
        <w:tabs>
          <w:tab w:val="left" w:pos="567"/>
        </w:tabs>
        <w:rPr>
          <w:rFonts w:cs="Arial"/>
          <w:i/>
          <w:lang w:val="es-ES_tradnl"/>
        </w:rPr>
      </w:pPr>
      <w:r w:rsidRPr="002B0BD5">
        <w:rPr>
          <w:rFonts w:cs="Arial"/>
          <w:i/>
          <w:lang w:val="es-ES_tradnl"/>
        </w:rPr>
        <w:t>Cursos de formación sobre la protección de las variedades vegetales</w:t>
      </w:r>
    </w:p>
    <w:p w:rsidR="00FF5D3C" w:rsidRPr="002B0BD5" w:rsidRDefault="00FF5D3C" w:rsidP="00EF2D62">
      <w:pPr>
        <w:tabs>
          <w:tab w:val="left" w:pos="567"/>
        </w:tabs>
        <w:rPr>
          <w:rFonts w:cs="Arial"/>
          <w:lang w:val="es-ES_tradnl"/>
        </w:rPr>
      </w:pPr>
    </w:p>
    <w:p w:rsidR="00FF5D3C" w:rsidRPr="002B0BD5" w:rsidRDefault="00FF5D3C" w:rsidP="00EF2D62">
      <w:pPr>
        <w:tabs>
          <w:tab w:val="left" w:pos="851"/>
        </w:tabs>
        <w:rPr>
          <w:rFonts w:cs="Arial"/>
          <w:spacing w:val="-2"/>
          <w:lang w:val="es-ES_tradnl"/>
        </w:rPr>
      </w:pPr>
      <w:r w:rsidRPr="002B0BD5">
        <w:rPr>
          <w:rFonts w:cs="Arial"/>
          <w:lang w:val="es-ES_tradnl"/>
        </w:rPr>
        <w:t xml:space="preserve">2.3.2.9 </w:t>
      </w:r>
      <w:r w:rsidR="00BF0818" w:rsidRPr="002B0BD5">
        <w:rPr>
          <w:rFonts w:cs="Arial"/>
          <w:lang w:val="es-ES_tradnl"/>
        </w:rPr>
        <w:tab/>
      </w:r>
      <w:r w:rsidRPr="002B0BD5">
        <w:rPr>
          <w:rFonts w:cs="Arial"/>
          <w:lang w:val="es-ES_tradnl"/>
        </w:rPr>
        <w:t>Varios miembros de la Unión ofrecen cursos de formación sobre la protección de las variedades vegetales conforme al Convenio de la UPOV (por ejemplo, el “Curso de capacitación sobre la protección de los derechos de obtentor”, organizado por la Agencia Japonesa de Cooperación Internacional (JICA) (Japón);  el “Taller internacional de evaluación de la distinción, homogeneidad y estabilidad (DHE) de variedades vegetales” organizado por el Servicio Nacional de Inspección y Certificación de Semillas (SNICS) y el Colegio de Postgraduados (México);  el “Curso de capacitación sobre la protección de las variedades vegetales”, organizado por el Naktuinbouw (Países Bajos);  el “Curso de capacitación sobre la protección de las variedades vegetales”, organizado por el Organismo Coreano de Semillas y Variedades (KSVS) y por la Agencia Coreana de Cooperación Internacional (KOICA) (República de Corea);  el “Curso de formación sobre la protección de las obtenciones vegetales para países Iberoamericanos”, organizado por el Instituto Nacional de Semillas (INASE) (Uruguay), la Oficina Española de Variedades Vegetales (OEVV) (España), la Agencia Española de Cooperación Internacional para el Desarrollo (AECID) (España), la Oficina de Patentes y Marcas de los Estados Unidos de América (USPTO) y la Organización Mundial de la Propiedad Intelectual (OMPI);  y el curso sobre “La protección de las obtenciones vegetales en el marco del Convenio de la UPOV”, organizado por la Academia Mundial de Propiedad Intelectual de la USPTO.</w:t>
      </w:r>
    </w:p>
    <w:p w:rsidR="00FF5D3C" w:rsidRPr="002B0BD5" w:rsidRDefault="00FF5D3C" w:rsidP="00EF2D62">
      <w:pPr>
        <w:tabs>
          <w:tab w:val="left" w:pos="567"/>
        </w:tabs>
        <w:rPr>
          <w:rFonts w:cs="Arial"/>
          <w:lang w:val="es-ES_tradnl"/>
        </w:rPr>
      </w:pPr>
    </w:p>
    <w:p w:rsidR="00FF5D3C" w:rsidRPr="002B0BD5" w:rsidRDefault="00FF5D3C" w:rsidP="00B859A5">
      <w:pPr>
        <w:keepLines/>
        <w:tabs>
          <w:tab w:val="left" w:pos="851"/>
        </w:tabs>
        <w:rPr>
          <w:rFonts w:cs="Arial"/>
          <w:lang w:val="es-ES_tradnl"/>
        </w:rPr>
      </w:pPr>
      <w:r w:rsidRPr="002B0BD5">
        <w:rPr>
          <w:rFonts w:cs="Arial"/>
          <w:lang w:val="es-ES_tradnl"/>
        </w:rPr>
        <w:t xml:space="preserve">2.3.2.10 </w:t>
      </w:r>
      <w:r w:rsidR="00BF0818" w:rsidRPr="002B0BD5">
        <w:rPr>
          <w:rFonts w:cs="Arial"/>
          <w:lang w:val="es-ES_tradnl"/>
        </w:rPr>
        <w:tab/>
      </w:r>
      <w:r w:rsidRPr="002B0BD5">
        <w:rPr>
          <w:rFonts w:cs="Arial"/>
          <w:lang w:val="es-ES_tradnl"/>
        </w:rPr>
        <w:t>En el caso de este y de otro tipo de cursos que, a juicio de la Oficina de la Unión, se ajustan a las políticas y prioridades en materia de asistencia que establece el Consejo, la Oficina de la Unión trata de prestar todo el apoyo posible en su concepción y ejecución.  A este respecto, se alienta a los organizadores de los cursos de capacitación a que examinen con la Oficina de la Unión la elección de los formadores y el contenido de los cursos en lo que respecta a las políticas y prioridades establecidas por el Consejo;  asimismo, se les alienta a que permitan que los formadores sigan el curso de enseñanza a distancia de la UPOV DL-205 “Introducción al sistema de la UPOV de protección de las obtenciones vegetales” antes o durante el curso de capacitación.</w:t>
      </w:r>
      <w:r w:rsidR="00421639" w:rsidRPr="002B0BD5">
        <w:rPr>
          <w:rFonts w:cs="Arial"/>
          <w:lang w:val="es-ES_tradnl"/>
        </w:rPr>
        <w:t xml:space="preserve"> </w:t>
      </w:r>
    </w:p>
    <w:p w:rsidR="00FF5D3C" w:rsidRPr="002B0BD5" w:rsidRDefault="00FF5D3C" w:rsidP="00EF2D62">
      <w:pPr>
        <w:tabs>
          <w:tab w:val="left" w:pos="567"/>
        </w:tabs>
        <w:rPr>
          <w:rFonts w:cs="Arial"/>
          <w:lang w:val="es-ES_tradnl"/>
        </w:rPr>
      </w:pPr>
    </w:p>
    <w:p w:rsidR="00FF5D3C" w:rsidRPr="002B0BD5" w:rsidRDefault="00FF5D3C" w:rsidP="00EF2D62">
      <w:pPr>
        <w:tabs>
          <w:tab w:val="left" w:pos="567"/>
        </w:tabs>
        <w:rPr>
          <w:rFonts w:cs="Arial"/>
          <w:i/>
          <w:lang w:val="es-ES_tradnl"/>
        </w:rPr>
      </w:pPr>
      <w:r w:rsidRPr="002B0BD5">
        <w:rPr>
          <w:rFonts w:cs="Arial"/>
          <w:i/>
          <w:lang w:val="es-ES_tradnl"/>
        </w:rPr>
        <w:t>Cooperación con otras organizaciones y órganos</w:t>
      </w:r>
    </w:p>
    <w:p w:rsidR="00FF5D3C" w:rsidRPr="002B0BD5" w:rsidRDefault="00FF5D3C" w:rsidP="00EF2D62">
      <w:pPr>
        <w:tabs>
          <w:tab w:val="left" w:pos="567"/>
        </w:tabs>
        <w:rPr>
          <w:rFonts w:cs="Arial"/>
          <w:lang w:val="es-ES_tradnl"/>
        </w:rPr>
      </w:pPr>
    </w:p>
    <w:p w:rsidR="00FF5D3C" w:rsidRPr="002B0BD5" w:rsidRDefault="00FF5D3C" w:rsidP="00EF2D62">
      <w:pPr>
        <w:tabs>
          <w:tab w:val="left" w:pos="851"/>
        </w:tabs>
        <w:rPr>
          <w:rFonts w:cs="Arial"/>
          <w:lang w:val="es-ES_tradnl"/>
        </w:rPr>
      </w:pPr>
      <w:r w:rsidRPr="002B0BD5">
        <w:rPr>
          <w:rFonts w:cs="Arial"/>
          <w:lang w:val="es-ES_tradnl"/>
        </w:rPr>
        <w:t xml:space="preserve">2.3.2.11 </w:t>
      </w:r>
      <w:r w:rsidR="00BF0818" w:rsidRPr="002B0BD5">
        <w:rPr>
          <w:rFonts w:cs="Arial"/>
          <w:lang w:val="es-ES_tradnl"/>
        </w:rPr>
        <w:tab/>
      </w:r>
      <w:r w:rsidRPr="002B0BD5">
        <w:rPr>
          <w:rFonts w:cs="Arial"/>
          <w:lang w:val="es-ES_tradnl"/>
        </w:rPr>
        <w:t>La cooperación entre la UPOV y la Organización Mundial de la Propiedad Intelectual (OMPI) es un valioso medio para prestar con eficacia asistencia a los Estados y organizaciones interesadas.</w:t>
      </w:r>
      <w:r w:rsidR="00421639" w:rsidRPr="002B0BD5">
        <w:rPr>
          <w:rFonts w:cs="Arial"/>
          <w:lang w:val="es-ES_tradnl"/>
        </w:rPr>
        <w:t xml:space="preserve">  </w:t>
      </w:r>
    </w:p>
    <w:p w:rsidR="00FF5D3C" w:rsidRPr="002B0BD5" w:rsidRDefault="00FF5D3C" w:rsidP="00EF2D62">
      <w:pPr>
        <w:rPr>
          <w:rFonts w:cs="Arial"/>
          <w:lang w:val="es-ES_tradnl"/>
        </w:rPr>
      </w:pPr>
    </w:p>
    <w:p w:rsidR="00FF5D3C" w:rsidRPr="002B0BD5" w:rsidRDefault="00FF5D3C" w:rsidP="00EF2D62">
      <w:pPr>
        <w:tabs>
          <w:tab w:val="left" w:pos="851"/>
        </w:tabs>
        <w:rPr>
          <w:rFonts w:cs="Arial"/>
          <w:lang w:val="es-ES_tradnl"/>
        </w:rPr>
      </w:pPr>
      <w:r w:rsidRPr="002B0BD5">
        <w:rPr>
          <w:rFonts w:cs="Arial"/>
          <w:lang w:val="es-ES_tradnl"/>
        </w:rPr>
        <w:t xml:space="preserve">2.3.2.12 </w:t>
      </w:r>
      <w:r w:rsidR="00BF0818" w:rsidRPr="002B0BD5">
        <w:rPr>
          <w:rFonts w:cs="Arial"/>
          <w:lang w:val="es-ES_tradnl"/>
        </w:rPr>
        <w:tab/>
      </w:r>
      <w:r w:rsidRPr="002B0BD5">
        <w:rPr>
          <w:rFonts w:cs="Arial"/>
          <w:lang w:val="es-ES_tradnl"/>
        </w:rPr>
        <w:t>La Oficina de la Unión seguirá trabajando con el Foro de Asia Oriental para la Protección de las Variedades Vegetales (Foro EAPVP), que procura facilitar el perfeccionamiento de la aplicación y la armonización del sistema de protección de variedades vegetales en la región de Asia.</w:t>
      </w:r>
      <w:r w:rsidR="00421639" w:rsidRPr="002B0BD5">
        <w:rPr>
          <w:rFonts w:cs="Arial"/>
          <w:lang w:val="es-ES_tradnl"/>
        </w:rPr>
        <w:t xml:space="preserve"> </w:t>
      </w:r>
    </w:p>
    <w:p w:rsidR="00FF5D3C" w:rsidRPr="002B0BD5" w:rsidRDefault="00FF5D3C" w:rsidP="00EF2D62">
      <w:pPr>
        <w:tabs>
          <w:tab w:val="left" w:pos="851"/>
        </w:tabs>
        <w:rPr>
          <w:rFonts w:cs="Arial"/>
          <w:lang w:val="es-ES_tradnl"/>
        </w:rPr>
      </w:pPr>
    </w:p>
    <w:p w:rsidR="00FF5D3C" w:rsidRPr="002B0BD5" w:rsidRDefault="00FF5D3C" w:rsidP="00EF2D62">
      <w:pPr>
        <w:tabs>
          <w:tab w:val="left" w:pos="851"/>
        </w:tabs>
        <w:rPr>
          <w:rFonts w:cs="Arial"/>
          <w:lang w:val="es-ES_tradnl"/>
        </w:rPr>
      </w:pPr>
      <w:r w:rsidRPr="002B0BD5">
        <w:rPr>
          <w:rFonts w:cs="Arial"/>
          <w:lang w:val="es-ES_tradnl"/>
        </w:rPr>
        <w:t xml:space="preserve">2.3.2.13 </w:t>
      </w:r>
      <w:r w:rsidR="00BF0818" w:rsidRPr="002B0BD5">
        <w:rPr>
          <w:rFonts w:cs="Arial"/>
          <w:lang w:val="es-ES_tradnl"/>
        </w:rPr>
        <w:tab/>
      </w:r>
      <w:r w:rsidRPr="002B0BD5">
        <w:rPr>
          <w:rFonts w:cs="Arial"/>
          <w:lang w:val="es-ES_tradnl"/>
        </w:rPr>
        <w:t xml:space="preserve">El Proyecto Mundial de Semillas tiene por objetivo constituir un medio adicional de asistencia para que determinados países instauren mecanismos de protección de las variedades vegetales de conformidad con el Convenio de la UPOV.  Dicho Proyecto fue concebido para crear un marco destinado a facilitar el desarrollo de obtenciones vegetales y el suministro de semillas de elevada calidad a los agricultores con miras a mejorar la productividad de los cultivos.  Mediante los esfuerzos mancomunados de la Organización de las Naciones Unidas para la Alimentación y la Agricultura (FAO), la </w:t>
      </w:r>
      <w:r w:rsidRPr="002B0BD5">
        <w:rPr>
          <w:rFonts w:cs="Arial"/>
          <w:i/>
          <w:lang w:val="es-ES_tradnl"/>
        </w:rPr>
        <w:t>International Seed Federation</w:t>
      </w:r>
      <w:r w:rsidRPr="002B0BD5">
        <w:rPr>
          <w:rFonts w:cs="Arial"/>
          <w:lang w:val="es-ES_tradnl"/>
        </w:rPr>
        <w:t xml:space="preserve"> (ISF), la Asociación Internacional para el Ensayo de Semillas (ISTA), la Organización de Cooperación y de Desarrollo Económicos (OCDE) y la UPOV, el Proyecto pretende dar asistencia a determinados países en la elaboración y aplicación de regímenes de regulación que sean previsibles, fiables, eficaces y asequibles.  Los países que participarán en el Proyecto serán escogidos sobre la base de la plena compatibilidad del Proyecto con la concepción imperante respecto de la creación de un sistema de suministro de semillas que pueda responder a los desafíos a los que hace frente la agricultura en cada uno de ellos.  Para financiar el Proyecto Mundial de Semillas será necesario contar con donantes externos.</w:t>
      </w:r>
      <w:r w:rsidR="00421639" w:rsidRPr="002B0BD5">
        <w:rPr>
          <w:rFonts w:cs="Arial"/>
          <w:lang w:val="es-ES_tradnl"/>
        </w:rPr>
        <w:t xml:space="preserve"> </w:t>
      </w:r>
    </w:p>
    <w:p w:rsidR="00FF5D3C" w:rsidRPr="002B0BD5" w:rsidRDefault="00FF5D3C" w:rsidP="00EF2D62">
      <w:pPr>
        <w:tabs>
          <w:tab w:val="left" w:pos="851"/>
        </w:tabs>
        <w:rPr>
          <w:rFonts w:cs="Arial"/>
          <w:lang w:val="es-ES_tradnl"/>
        </w:rPr>
      </w:pPr>
    </w:p>
    <w:p w:rsidR="00FF5D3C" w:rsidRPr="002B0BD5" w:rsidRDefault="00FF5D3C" w:rsidP="00EF2D62">
      <w:pPr>
        <w:tabs>
          <w:tab w:val="left" w:pos="851"/>
        </w:tabs>
        <w:rPr>
          <w:rFonts w:cs="Arial"/>
          <w:lang w:val="es-ES_tradnl"/>
        </w:rPr>
      </w:pPr>
      <w:r w:rsidRPr="002B0BD5">
        <w:rPr>
          <w:rFonts w:cs="Arial"/>
          <w:lang w:val="es-ES_tradnl"/>
        </w:rPr>
        <w:t xml:space="preserve">2.3.2.14 </w:t>
      </w:r>
      <w:r w:rsidR="00BF0818" w:rsidRPr="002B0BD5">
        <w:rPr>
          <w:rFonts w:cs="Arial"/>
          <w:lang w:val="es-ES_tradnl"/>
        </w:rPr>
        <w:tab/>
      </w:r>
      <w:r w:rsidRPr="002B0BD5">
        <w:rPr>
          <w:rFonts w:cs="Arial"/>
          <w:lang w:val="es-ES_tradnl"/>
        </w:rPr>
        <w:t>Según proceda, la Oficina de la Unión colaborará con las organizaciones antes mencionadas y otras organizaciones pertinentes con arreglo a la política y las prioridades establecidas por el Consejo para la asistencia que presta la Oficina de la Unión.</w:t>
      </w:r>
      <w:r w:rsidR="00421639" w:rsidRPr="002B0BD5">
        <w:rPr>
          <w:rFonts w:cs="Arial"/>
          <w:lang w:val="es-ES_tradnl"/>
        </w:rPr>
        <w:t xml:space="preserve">  </w:t>
      </w:r>
    </w:p>
    <w:p w:rsidR="00FF5D3C" w:rsidRPr="002B0BD5" w:rsidRDefault="00FF5D3C" w:rsidP="00EF2D62">
      <w:pPr>
        <w:rPr>
          <w:rFonts w:cs="Arial"/>
          <w:i/>
          <w:lang w:val="es-ES_tradnl"/>
        </w:rPr>
      </w:pPr>
    </w:p>
    <w:p w:rsidR="00FF5D3C" w:rsidRPr="002B0BD5" w:rsidRDefault="00FF5D3C" w:rsidP="00EF2D62">
      <w:pPr>
        <w:rPr>
          <w:rFonts w:cs="Arial"/>
          <w:i/>
          <w:lang w:val="es-ES_tradnl"/>
        </w:rPr>
      </w:pPr>
      <w:r w:rsidRPr="002B0BD5">
        <w:rPr>
          <w:rFonts w:cs="Arial"/>
          <w:i/>
          <w:lang w:val="es-ES_tradnl"/>
        </w:rPr>
        <w:t>Financiación de donantes</w:t>
      </w:r>
    </w:p>
    <w:p w:rsidR="00FF5D3C" w:rsidRPr="002B0BD5" w:rsidRDefault="00FF5D3C" w:rsidP="00EF2D62">
      <w:pPr>
        <w:rPr>
          <w:rFonts w:cs="Arial"/>
          <w:i/>
          <w:lang w:val="es-ES_tradnl"/>
        </w:rPr>
      </w:pPr>
    </w:p>
    <w:p w:rsidR="00FF5D3C" w:rsidRPr="002B0BD5" w:rsidRDefault="00FF5D3C" w:rsidP="00EF2D62">
      <w:pPr>
        <w:pStyle w:val="BodyText"/>
        <w:tabs>
          <w:tab w:val="left" w:pos="851"/>
        </w:tabs>
        <w:rPr>
          <w:rFonts w:cs="Arial"/>
          <w:iCs/>
          <w:lang w:val="es-ES_tradnl"/>
        </w:rPr>
      </w:pPr>
      <w:r w:rsidRPr="002B0BD5">
        <w:rPr>
          <w:rFonts w:cs="Arial"/>
          <w:lang w:val="es-ES_tradnl"/>
        </w:rPr>
        <w:t xml:space="preserve">2.3.2.15 </w:t>
      </w:r>
      <w:r w:rsidR="00BF0818" w:rsidRPr="002B0BD5">
        <w:rPr>
          <w:rFonts w:cs="Arial"/>
          <w:lang w:val="es-ES_tradnl"/>
        </w:rPr>
        <w:tab/>
      </w:r>
      <w:r w:rsidRPr="002B0BD5">
        <w:rPr>
          <w:rFonts w:cs="Arial"/>
          <w:lang w:val="es-ES_tradnl"/>
        </w:rPr>
        <w:t>La UPOV ha creado una “Página de asistencia”, es decir un instrumento para que los miembros de la Unión puedan movilizar recursos extrapresupuestarios adicionales mediante la financiación de donantes.</w:t>
      </w:r>
      <w:r w:rsidR="00421639" w:rsidRPr="002B0BD5">
        <w:rPr>
          <w:rFonts w:cs="Arial"/>
          <w:iCs/>
          <w:lang w:val="es-ES_tradnl"/>
        </w:rPr>
        <w:t xml:space="preserve"> </w:t>
      </w:r>
    </w:p>
    <w:p w:rsidR="00FF5D3C" w:rsidRPr="002B0BD5" w:rsidRDefault="00FF5D3C" w:rsidP="00EF2D62">
      <w:pPr>
        <w:rPr>
          <w:rFonts w:cs="Arial"/>
          <w:i/>
          <w:lang w:val="es-ES_tradnl"/>
        </w:rPr>
      </w:pPr>
    </w:p>
    <w:p w:rsidR="00FF5D3C" w:rsidRPr="002B0BD5" w:rsidRDefault="00FF5D3C" w:rsidP="00EF2D62">
      <w:pPr>
        <w:pStyle w:val="Heading3"/>
      </w:pPr>
      <w:bookmarkStart w:id="22" w:name="_Toc363577062"/>
      <w:r w:rsidRPr="002B0BD5">
        <w:t xml:space="preserve">2.3.3 </w:t>
      </w:r>
      <w:r w:rsidR="00BF0818" w:rsidRPr="002B0BD5">
        <w:tab/>
      </w:r>
      <w:r w:rsidRPr="002B0BD5">
        <w:t>Actividades</w:t>
      </w:r>
      <w:bookmarkEnd w:id="22"/>
    </w:p>
    <w:p w:rsidR="00FF5D3C" w:rsidRPr="002B0BD5" w:rsidRDefault="00FF5D3C" w:rsidP="00EF2D62">
      <w:pPr>
        <w:rPr>
          <w:rFonts w:cs="Arial"/>
          <w:lang w:val="es-ES_tradnl"/>
        </w:rPr>
      </w:pPr>
    </w:p>
    <w:p w:rsidR="00FF5D3C" w:rsidRPr="002B0BD5" w:rsidRDefault="008C1D8B" w:rsidP="00EF2D62">
      <w:pPr>
        <w:tabs>
          <w:tab w:val="center" w:pos="851"/>
          <w:tab w:val="left" w:pos="1134"/>
        </w:tabs>
        <w:spacing w:after="120"/>
        <w:ind w:left="1134" w:hanging="567"/>
        <w:rPr>
          <w:rFonts w:cs="Arial"/>
          <w:lang w:val="es-ES_tradnl"/>
        </w:rPr>
      </w:pPr>
      <w:r w:rsidRPr="002B0BD5">
        <w:rPr>
          <w:rFonts w:cs="Arial"/>
          <w:lang w:val="es-ES_tradnl"/>
        </w:rPr>
        <w:tab/>
      </w:r>
      <w:r w:rsidR="002B0BD5" w:rsidRPr="002B0BD5">
        <w:rPr>
          <w:rFonts w:cs="Arial"/>
          <w:lang w:val="es-ES_tradnl"/>
        </w:rPr>
        <w:t>i)</w:t>
      </w:r>
      <w:r w:rsidR="00BF0818" w:rsidRPr="002B0BD5">
        <w:rPr>
          <w:rFonts w:cs="Arial"/>
          <w:lang w:val="es-ES_tradnl"/>
        </w:rPr>
        <w:tab/>
      </w:r>
      <w:r w:rsidR="00FF5D3C" w:rsidRPr="002B0BD5">
        <w:rPr>
          <w:rFonts w:cs="Arial"/>
          <w:lang w:val="es-ES_tradnl"/>
        </w:rPr>
        <w:t>Asistencia en la redacción de textos legislativos.</w:t>
      </w:r>
    </w:p>
    <w:p w:rsidR="00FF5D3C" w:rsidRPr="002B0BD5" w:rsidRDefault="008C1D8B" w:rsidP="00EF2D62">
      <w:pPr>
        <w:tabs>
          <w:tab w:val="center" w:pos="851"/>
          <w:tab w:val="left" w:pos="1134"/>
        </w:tabs>
        <w:spacing w:after="120"/>
        <w:ind w:left="1134" w:hanging="567"/>
        <w:rPr>
          <w:rFonts w:cs="Arial"/>
          <w:lang w:val="es-ES_tradnl"/>
        </w:rPr>
      </w:pPr>
      <w:r w:rsidRPr="002B0BD5">
        <w:rPr>
          <w:rFonts w:cs="Arial"/>
          <w:lang w:val="es-ES_tradnl"/>
        </w:rPr>
        <w:tab/>
      </w:r>
      <w:r w:rsidR="00FF5D3C" w:rsidRPr="002B0BD5">
        <w:rPr>
          <w:rFonts w:cs="Arial"/>
          <w:lang w:val="es-ES_tradnl"/>
        </w:rPr>
        <w:t xml:space="preserve">ii) </w:t>
      </w:r>
      <w:r w:rsidR="00BF0818" w:rsidRPr="002B0BD5">
        <w:rPr>
          <w:rFonts w:cs="Arial"/>
          <w:lang w:val="es-ES_tradnl"/>
        </w:rPr>
        <w:tab/>
      </w:r>
      <w:r w:rsidR="00FF5D3C" w:rsidRPr="002B0BD5">
        <w:rPr>
          <w:rFonts w:cs="Arial"/>
          <w:lang w:val="es-ES_tradnl"/>
        </w:rPr>
        <w:t>Creación y gestión de cursos de enseñanza a distancia.</w:t>
      </w:r>
    </w:p>
    <w:p w:rsidR="00FF5D3C" w:rsidRPr="002B0BD5" w:rsidRDefault="008C1D8B" w:rsidP="00EF2D62">
      <w:pPr>
        <w:tabs>
          <w:tab w:val="center" w:pos="851"/>
          <w:tab w:val="left" w:pos="1134"/>
        </w:tabs>
        <w:spacing w:after="120"/>
        <w:ind w:left="1134" w:hanging="567"/>
        <w:rPr>
          <w:rFonts w:cs="Arial"/>
          <w:lang w:val="es-ES_tradnl"/>
        </w:rPr>
      </w:pPr>
      <w:r w:rsidRPr="002B0BD5">
        <w:rPr>
          <w:rFonts w:cs="Arial"/>
          <w:lang w:val="es-ES_tradnl"/>
        </w:rPr>
        <w:tab/>
      </w:r>
      <w:r w:rsidR="00FF5D3C" w:rsidRPr="002B0BD5">
        <w:rPr>
          <w:rFonts w:cs="Arial"/>
          <w:lang w:val="es-ES_tradnl"/>
        </w:rPr>
        <w:t xml:space="preserve">iii) </w:t>
      </w:r>
      <w:r w:rsidR="00BF0818" w:rsidRPr="002B0BD5">
        <w:rPr>
          <w:rFonts w:cs="Arial"/>
          <w:lang w:val="es-ES_tradnl"/>
        </w:rPr>
        <w:tab/>
      </w:r>
      <w:r w:rsidR="00FF5D3C" w:rsidRPr="002B0BD5">
        <w:rPr>
          <w:rFonts w:cs="Arial"/>
          <w:lang w:val="es-ES_tradnl"/>
        </w:rPr>
        <w:t>Actividades de formación y asistencia.</w:t>
      </w:r>
    </w:p>
    <w:p w:rsidR="00FF5D3C" w:rsidRPr="002B0BD5" w:rsidRDefault="008C1D8B" w:rsidP="00EF2D62">
      <w:pPr>
        <w:tabs>
          <w:tab w:val="center" w:pos="851"/>
          <w:tab w:val="left" w:pos="1134"/>
        </w:tabs>
        <w:spacing w:after="120"/>
        <w:ind w:left="1134" w:hanging="567"/>
        <w:rPr>
          <w:rFonts w:cs="Arial"/>
          <w:lang w:val="es-ES_tradnl"/>
        </w:rPr>
      </w:pPr>
      <w:r w:rsidRPr="002B0BD5">
        <w:rPr>
          <w:rFonts w:cs="Arial"/>
          <w:lang w:val="es-ES_tradnl"/>
        </w:rPr>
        <w:tab/>
      </w:r>
      <w:r w:rsidR="00FF5D3C" w:rsidRPr="002B0BD5">
        <w:rPr>
          <w:rFonts w:cs="Arial"/>
          <w:lang w:val="es-ES_tradnl"/>
        </w:rPr>
        <w:t xml:space="preserve">iv) </w:t>
      </w:r>
      <w:r w:rsidR="00BF0818" w:rsidRPr="002B0BD5">
        <w:rPr>
          <w:rFonts w:cs="Arial"/>
          <w:lang w:val="es-ES_tradnl"/>
        </w:rPr>
        <w:tab/>
      </w:r>
      <w:r w:rsidR="00FF5D3C" w:rsidRPr="002B0BD5">
        <w:rPr>
          <w:rFonts w:cs="Arial"/>
          <w:lang w:val="es-ES_tradnl"/>
        </w:rPr>
        <w:t>Apoyo a proyectos destinados a la introducción y a la aplicación del sistema de la UPOV.</w:t>
      </w:r>
    </w:p>
    <w:p w:rsidR="00FF5D3C" w:rsidRPr="002B0BD5" w:rsidRDefault="008C1D8B" w:rsidP="00EF2D62">
      <w:pPr>
        <w:tabs>
          <w:tab w:val="center" w:pos="851"/>
          <w:tab w:val="left" w:pos="1134"/>
        </w:tabs>
        <w:spacing w:after="120"/>
        <w:ind w:left="1134" w:hanging="567"/>
        <w:rPr>
          <w:rFonts w:cs="Arial"/>
          <w:lang w:val="es-ES_tradnl"/>
        </w:rPr>
      </w:pPr>
      <w:r w:rsidRPr="002B0BD5">
        <w:rPr>
          <w:rFonts w:cs="Arial"/>
          <w:lang w:val="es-ES_tradnl"/>
        </w:rPr>
        <w:tab/>
      </w:r>
      <w:r w:rsidR="00FF5D3C" w:rsidRPr="002B0BD5">
        <w:rPr>
          <w:rFonts w:cs="Arial"/>
          <w:lang w:val="es-ES_tradnl"/>
        </w:rPr>
        <w:t xml:space="preserve">v) </w:t>
      </w:r>
      <w:r w:rsidR="00BF0818" w:rsidRPr="002B0BD5">
        <w:rPr>
          <w:rFonts w:cs="Arial"/>
          <w:lang w:val="es-ES_tradnl"/>
        </w:rPr>
        <w:tab/>
      </w:r>
      <w:r w:rsidR="00FF5D3C" w:rsidRPr="002B0BD5">
        <w:rPr>
          <w:rFonts w:cs="Arial"/>
          <w:lang w:val="es-ES_tradnl"/>
        </w:rPr>
        <w:t>Publicaciones sobre la función del sistema de la UPOV de protección de las variedades vegetales, puestas a disposición en el sitio web de la UPOV y demás canales de comunicación.</w:t>
      </w:r>
    </w:p>
    <w:p w:rsidR="00FF5D3C" w:rsidRPr="002B0BD5" w:rsidRDefault="008C1D8B" w:rsidP="00EF2D62">
      <w:pPr>
        <w:tabs>
          <w:tab w:val="center" w:pos="851"/>
          <w:tab w:val="left" w:pos="1134"/>
        </w:tabs>
        <w:spacing w:after="120"/>
        <w:ind w:left="1134" w:hanging="567"/>
        <w:rPr>
          <w:rFonts w:cs="Arial"/>
          <w:lang w:val="es-ES_tradnl"/>
        </w:rPr>
      </w:pPr>
      <w:r w:rsidRPr="002B0BD5">
        <w:rPr>
          <w:rFonts w:cs="Arial"/>
          <w:lang w:val="es-ES_tradnl"/>
        </w:rPr>
        <w:tab/>
      </w:r>
      <w:proofErr w:type="gramStart"/>
      <w:r w:rsidR="00FF5D3C" w:rsidRPr="002B0BD5">
        <w:rPr>
          <w:rFonts w:cs="Arial"/>
          <w:lang w:val="es-ES_tradnl"/>
        </w:rPr>
        <w:t>vi</w:t>
      </w:r>
      <w:proofErr w:type="gramEnd"/>
      <w:r w:rsidR="00FF5D3C" w:rsidRPr="002B0BD5">
        <w:rPr>
          <w:rFonts w:cs="Arial"/>
          <w:lang w:val="es-ES_tradnl"/>
        </w:rPr>
        <w:t xml:space="preserve">) </w:t>
      </w:r>
      <w:r w:rsidR="00BF0818" w:rsidRPr="002B0BD5">
        <w:rPr>
          <w:rFonts w:cs="Arial"/>
          <w:lang w:val="es-ES_tradnl"/>
        </w:rPr>
        <w:tab/>
      </w:r>
      <w:r w:rsidR="00FF5D3C" w:rsidRPr="002B0BD5">
        <w:rPr>
          <w:rFonts w:cs="Arial"/>
          <w:lang w:val="es-ES_tradnl"/>
        </w:rPr>
        <w:t>Actividades de fomento de la sensibilización.</w:t>
      </w:r>
    </w:p>
    <w:p w:rsidR="00BF0818" w:rsidRPr="002B0BD5" w:rsidRDefault="00BF0818" w:rsidP="00EF2D62">
      <w:pPr>
        <w:jc w:val="left"/>
        <w:rPr>
          <w:rFonts w:cs="Arial"/>
          <w:lang w:val="es-ES_tradnl"/>
        </w:rPr>
      </w:pPr>
      <w:r w:rsidRPr="002B0BD5">
        <w:rPr>
          <w:rFonts w:cs="Arial"/>
          <w:lang w:val="es-ES_tradnl"/>
        </w:rPr>
        <w:br w:type="page"/>
      </w:r>
    </w:p>
    <w:p w:rsidR="00FF5D3C" w:rsidRPr="002B0BD5" w:rsidRDefault="00FF5D3C" w:rsidP="00EF2D62">
      <w:pPr>
        <w:pStyle w:val="Heading3"/>
      </w:pPr>
      <w:bookmarkStart w:id="23" w:name="_Toc363577063"/>
      <w:r w:rsidRPr="002B0BD5">
        <w:t xml:space="preserve">2.3.4 </w:t>
      </w:r>
      <w:r w:rsidR="00F06CCB" w:rsidRPr="002B0BD5">
        <w:tab/>
      </w:r>
      <w:r w:rsidRPr="002B0BD5">
        <w:t>Resultados previstos e indicadores de rendimiento</w:t>
      </w:r>
      <w:bookmarkEnd w:id="23"/>
    </w:p>
    <w:p w:rsidR="00421639" w:rsidRPr="002B0BD5" w:rsidRDefault="00421639" w:rsidP="00EF2D62">
      <w:pPr>
        <w:tabs>
          <w:tab w:val="left" w:pos="567"/>
        </w:tabs>
        <w:rPr>
          <w:rFonts w:cs="Arial"/>
          <w:lang w:val="es-ES_tradnl"/>
        </w:rPr>
      </w:pPr>
    </w:p>
    <w:tbl>
      <w:tblPr>
        <w:tblW w:w="9889" w:type="dxa"/>
        <w:tblInd w:w="-103" w:type="dxa"/>
        <w:tblLayout w:type="fixed"/>
        <w:tblCellMar>
          <w:left w:w="0" w:type="dxa"/>
          <w:right w:w="0" w:type="dxa"/>
        </w:tblCellMar>
        <w:tblLook w:val="0000" w:firstRow="0" w:lastRow="0" w:firstColumn="0" w:lastColumn="0" w:noHBand="0" w:noVBand="0"/>
      </w:tblPr>
      <w:tblGrid>
        <w:gridCol w:w="4077"/>
        <w:gridCol w:w="5812"/>
      </w:tblGrid>
      <w:tr w:rsidR="005D61AB" w:rsidRPr="002B0BD5" w:rsidTr="00BF0818">
        <w:trPr>
          <w:cantSplit/>
          <w:tblHeader/>
        </w:trPr>
        <w:tc>
          <w:tcPr>
            <w:tcW w:w="4077"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120" w:after="120"/>
              <w:ind w:left="108"/>
              <w:jc w:val="center"/>
              <w:rPr>
                <w:rFonts w:cs="Arial"/>
                <w:u w:val="single"/>
                <w:lang w:val="es-ES_tradnl"/>
              </w:rPr>
            </w:pPr>
            <w:r w:rsidRPr="002B0BD5">
              <w:rPr>
                <w:rFonts w:cs="Arial"/>
                <w:u w:val="single"/>
                <w:lang w:val="es-ES_tradnl"/>
              </w:rPr>
              <w:t>Resultados previstos</w:t>
            </w:r>
          </w:p>
        </w:tc>
        <w:tc>
          <w:tcPr>
            <w:tcW w:w="5812"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120" w:after="120"/>
              <w:jc w:val="center"/>
              <w:rPr>
                <w:rFonts w:cs="Arial"/>
                <w:u w:val="single"/>
                <w:lang w:val="es-ES_tradnl"/>
              </w:rPr>
            </w:pPr>
            <w:r w:rsidRPr="002B0BD5">
              <w:rPr>
                <w:rFonts w:cs="Arial"/>
                <w:u w:val="single"/>
                <w:lang w:val="es-ES_tradnl"/>
              </w:rPr>
              <w:t>Indicadores de rendimiento</w:t>
            </w:r>
          </w:p>
        </w:tc>
      </w:tr>
      <w:tr w:rsidR="005D61AB" w:rsidRPr="000F652A" w:rsidTr="00BF0818">
        <w:trPr>
          <w:cantSplit/>
        </w:trPr>
        <w:tc>
          <w:tcPr>
            <w:tcW w:w="4077"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60" w:after="60"/>
              <w:ind w:left="108"/>
              <w:jc w:val="left"/>
              <w:rPr>
                <w:rFonts w:cs="Arial"/>
                <w:lang w:val="es-ES_tradnl"/>
              </w:rPr>
            </w:pPr>
            <w:r w:rsidRPr="002B0BD5">
              <w:rPr>
                <w:rFonts w:cs="Arial"/>
                <w:lang w:val="es-ES_tradnl"/>
              </w:rPr>
              <w:t xml:space="preserve">1. </w:t>
            </w:r>
            <w:r w:rsidR="00BF0818" w:rsidRPr="002B0BD5">
              <w:rPr>
                <w:rFonts w:cs="Arial"/>
                <w:lang w:val="es-ES_tradnl"/>
              </w:rPr>
              <w:tab/>
            </w:r>
            <w:r w:rsidRPr="002B0BD5">
              <w:rPr>
                <w:rFonts w:cs="Arial"/>
                <w:lang w:val="es-ES_tradnl"/>
              </w:rPr>
              <w:t>Fomentar la sensibilización acerca de la función de la protección de las variedades vegetales con arreglo al Convenio de la UPOV</w:t>
            </w:r>
            <w:r w:rsidR="00421639" w:rsidRPr="002B0BD5">
              <w:rPr>
                <w:rFonts w:cs="Arial"/>
                <w:lang w:val="es-ES_tradnl"/>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FF5D3C" w:rsidRPr="002B0BD5" w:rsidRDefault="00FF5D3C" w:rsidP="00EF2D62">
            <w:pPr>
              <w:spacing w:before="60" w:after="60"/>
              <w:ind w:left="143"/>
              <w:jc w:val="left"/>
              <w:rPr>
                <w:rFonts w:cs="Arial"/>
                <w:lang w:val="es-ES_tradnl"/>
              </w:rPr>
            </w:pPr>
            <w:r w:rsidRPr="002B0BD5">
              <w:rPr>
                <w:rFonts w:cs="Arial"/>
                <w:lang w:val="es-ES_tradnl"/>
              </w:rPr>
              <w:t xml:space="preserve">a) </w:t>
            </w:r>
            <w:r w:rsidR="00BF0818" w:rsidRPr="002B0BD5">
              <w:rPr>
                <w:rFonts w:cs="Arial"/>
                <w:lang w:val="es-ES_tradnl"/>
              </w:rPr>
              <w:tab/>
            </w:r>
            <w:r w:rsidRPr="002B0BD5">
              <w:rPr>
                <w:rFonts w:cs="Arial"/>
                <w:lang w:val="es-ES_tradnl"/>
              </w:rPr>
              <w:t>publicaciones sobre la función de la protección de las variedades vegetales, puestas a disposición en el sitio web de la UPOV y demás canales de comunicación;</w:t>
            </w:r>
          </w:p>
          <w:p w:rsidR="00FF5D3C" w:rsidRPr="002B0BD5" w:rsidRDefault="00FF5D3C" w:rsidP="00EF2D62">
            <w:pPr>
              <w:spacing w:before="60" w:after="60"/>
              <w:ind w:left="143"/>
              <w:jc w:val="left"/>
              <w:rPr>
                <w:rFonts w:cs="Arial"/>
                <w:lang w:val="es-ES_tradnl"/>
              </w:rPr>
            </w:pPr>
            <w:r w:rsidRPr="002B0BD5">
              <w:rPr>
                <w:rFonts w:cs="Arial"/>
                <w:lang w:val="es-ES_tradnl"/>
              </w:rPr>
              <w:t xml:space="preserve">b) </w:t>
            </w:r>
            <w:r w:rsidR="00BF0818" w:rsidRPr="002B0BD5">
              <w:rPr>
                <w:rFonts w:cs="Arial"/>
                <w:lang w:val="es-ES_tradnl"/>
              </w:rPr>
              <w:tab/>
            </w:r>
            <w:r w:rsidRPr="002B0BD5">
              <w:rPr>
                <w:rFonts w:cs="Arial"/>
                <w:lang w:val="es-ES_tradnl"/>
              </w:rPr>
              <w:t>Estados y organizaciones que reciben información en las actividades de la UPOV;</w:t>
            </w:r>
          </w:p>
          <w:p w:rsidR="00FF5D3C" w:rsidRPr="002B0BD5" w:rsidRDefault="00FF5D3C" w:rsidP="00EF2D62">
            <w:pPr>
              <w:spacing w:before="60" w:after="60"/>
              <w:ind w:left="143"/>
              <w:jc w:val="left"/>
              <w:rPr>
                <w:rFonts w:cs="Arial"/>
                <w:lang w:val="es-ES_tradnl"/>
              </w:rPr>
            </w:pPr>
            <w:r w:rsidRPr="002B0BD5">
              <w:rPr>
                <w:rFonts w:cs="Arial"/>
                <w:lang w:val="es-ES_tradnl"/>
              </w:rPr>
              <w:t xml:space="preserve">c) </w:t>
            </w:r>
            <w:r w:rsidR="00BF0818" w:rsidRPr="002B0BD5">
              <w:rPr>
                <w:rFonts w:cs="Arial"/>
                <w:lang w:val="es-ES_tradnl"/>
              </w:rPr>
              <w:tab/>
            </w:r>
            <w:r w:rsidRPr="002B0BD5">
              <w:rPr>
                <w:rFonts w:cs="Arial"/>
                <w:lang w:val="es-ES_tradnl"/>
              </w:rPr>
              <w:t>Estados y organizaciones que contactan con la Oficina de la Unión para recibir asistencia en la elaboración de legislación sobre la protección de las variedades vegetales;</w:t>
            </w:r>
          </w:p>
          <w:p w:rsidR="00FF5D3C" w:rsidRPr="002B0BD5" w:rsidRDefault="00FF5D3C" w:rsidP="00EF2D62">
            <w:pPr>
              <w:spacing w:before="60" w:after="60"/>
              <w:ind w:left="143"/>
              <w:jc w:val="left"/>
              <w:rPr>
                <w:rFonts w:cs="Arial"/>
                <w:lang w:val="es-ES_tradnl"/>
              </w:rPr>
            </w:pPr>
            <w:r w:rsidRPr="002B0BD5">
              <w:rPr>
                <w:rFonts w:cs="Arial"/>
                <w:lang w:val="es-ES_tradnl"/>
              </w:rPr>
              <w:t xml:space="preserve">d) </w:t>
            </w:r>
            <w:r w:rsidR="00BF0818" w:rsidRPr="002B0BD5">
              <w:rPr>
                <w:rFonts w:cs="Arial"/>
                <w:lang w:val="es-ES_tradnl"/>
              </w:rPr>
              <w:tab/>
            </w:r>
            <w:r w:rsidRPr="002B0BD5">
              <w:rPr>
                <w:rFonts w:cs="Arial"/>
                <w:lang w:val="es-ES_tradnl"/>
              </w:rPr>
              <w:t>Estados y organizaciones que inician ante el Consejo de la UPOV el procedimiento para ser miembro de la Unión;</w:t>
            </w:r>
          </w:p>
          <w:p w:rsidR="00421639" w:rsidRPr="002B0BD5" w:rsidRDefault="00FF5D3C" w:rsidP="00605481">
            <w:pPr>
              <w:spacing w:before="60" w:after="60"/>
              <w:ind w:left="143"/>
              <w:jc w:val="left"/>
              <w:rPr>
                <w:rFonts w:cs="Arial"/>
                <w:lang w:val="es-ES_tradnl"/>
              </w:rPr>
            </w:pPr>
            <w:r w:rsidRPr="002B0BD5">
              <w:rPr>
                <w:rFonts w:cs="Arial"/>
                <w:lang w:val="es-ES_tradnl"/>
              </w:rPr>
              <w:t>e)</w:t>
            </w:r>
            <w:r w:rsidR="0030402B" w:rsidRPr="002B0BD5">
              <w:rPr>
                <w:rFonts w:cs="Arial"/>
                <w:lang w:val="es-ES_tradnl"/>
              </w:rPr>
              <w:t xml:space="preserve"> </w:t>
            </w:r>
            <w:r w:rsidR="0030402B" w:rsidRPr="002B0BD5">
              <w:rPr>
                <w:rFonts w:cs="Arial"/>
                <w:lang w:val="es-ES_tradnl"/>
              </w:rPr>
              <w:tab/>
            </w:r>
            <w:r w:rsidRPr="002B0BD5">
              <w:rPr>
                <w:rFonts w:cs="Arial"/>
                <w:lang w:val="es-ES_tradnl"/>
              </w:rPr>
              <w:t>participación en actividades de la UPOV de fomento de la sensibilización o actividades en las que toma parte el personal de la UPOV o formadores en nombre de la UPOV.</w:t>
            </w:r>
          </w:p>
        </w:tc>
      </w:tr>
      <w:tr w:rsidR="005D61AB" w:rsidRPr="000F652A" w:rsidTr="00BF0818">
        <w:trPr>
          <w:cantSplit/>
        </w:trPr>
        <w:tc>
          <w:tcPr>
            <w:tcW w:w="4077"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60" w:after="60"/>
              <w:ind w:left="108"/>
              <w:jc w:val="left"/>
              <w:rPr>
                <w:rFonts w:cs="Arial"/>
                <w:lang w:val="es-ES_tradnl"/>
              </w:rPr>
            </w:pPr>
            <w:r w:rsidRPr="002B0BD5">
              <w:rPr>
                <w:rFonts w:cs="Arial"/>
                <w:lang w:val="es-ES_tradnl"/>
              </w:rPr>
              <w:t xml:space="preserve">2. </w:t>
            </w:r>
            <w:r w:rsidR="00BF0818" w:rsidRPr="002B0BD5">
              <w:rPr>
                <w:rFonts w:cs="Arial"/>
                <w:lang w:val="es-ES_tradnl"/>
              </w:rPr>
              <w:tab/>
            </w:r>
            <w:r w:rsidRPr="002B0BD5">
              <w:rPr>
                <w:rFonts w:cs="Arial"/>
                <w:lang w:val="es-ES_tradnl"/>
              </w:rPr>
              <w:t>Asistencia en la elaboración de legislación sobre la protección de las variedades vegetales de conformidad con el Acta de 1991 del Convenio de la UPOV</w:t>
            </w:r>
            <w:r w:rsidR="00421639" w:rsidRPr="002B0BD5">
              <w:rPr>
                <w:rFonts w:cs="Arial"/>
                <w:lang w:val="es-ES_tradnl"/>
              </w:rPr>
              <w:t xml:space="preserve"> </w:t>
            </w:r>
          </w:p>
        </w:tc>
        <w:tc>
          <w:tcPr>
            <w:tcW w:w="5812" w:type="dxa"/>
            <w:tcBorders>
              <w:top w:val="single" w:sz="4" w:space="0" w:color="000000"/>
              <w:left w:val="single" w:sz="4" w:space="0" w:color="000000"/>
              <w:bottom w:val="single" w:sz="4" w:space="0" w:color="000000"/>
              <w:right w:val="single" w:sz="4" w:space="0" w:color="000000"/>
            </w:tcBorders>
          </w:tcPr>
          <w:p w:rsidR="00FF5D3C" w:rsidRPr="002B0BD5" w:rsidRDefault="00FF5D3C" w:rsidP="00EF2D62">
            <w:pPr>
              <w:spacing w:before="60" w:after="60"/>
              <w:ind w:left="143"/>
              <w:jc w:val="left"/>
              <w:rPr>
                <w:rFonts w:cs="Arial"/>
                <w:lang w:val="es-ES_tradnl"/>
              </w:rPr>
            </w:pPr>
            <w:r w:rsidRPr="002B0BD5">
              <w:rPr>
                <w:rFonts w:cs="Arial"/>
                <w:lang w:val="es-ES_tradnl"/>
              </w:rPr>
              <w:t xml:space="preserve">a)  </w:t>
            </w:r>
            <w:r w:rsidR="00BF0818" w:rsidRPr="002B0BD5">
              <w:rPr>
                <w:rFonts w:cs="Arial"/>
                <w:lang w:val="es-ES_tradnl"/>
              </w:rPr>
              <w:tab/>
            </w:r>
            <w:r w:rsidRPr="002B0BD5">
              <w:rPr>
                <w:rFonts w:cs="Arial"/>
                <w:lang w:val="es-ES_tradnl"/>
              </w:rPr>
              <w:t>Estados y organizaciones que reciben comentarios sobre la legislación;</w:t>
            </w:r>
          </w:p>
          <w:p w:rsidR="00FF5D3C" w:rsidRPr="002B0BD5" w:rsidRDefault="00FF5D3C" w:rsidP="00EF2D62">
            <w:pPr>
              <w:spacing w:before="60" w:after="60"/>
              <w:ind w:left="143"/>
              <w:jc w:val="left"/>
              <w:rPr>
                <w:rFonts w:cs="Arial"/>
                <w:lang w:val="es-ES_tradnl"/>
              </w:rPr>
            </w:pPr>
            <w:r w:rsidRPr="002B0BD5">
              <w:rPr>
                <w:rFonts w:cs="Arial"/>
                <w:lang w:val="es-ES_tradnl"/>
              </w:rPr>
              <w:t xml:space="preserve">b) </w:t>
            </w:r>
            <w:r w:rsidR="00BF0818" w:rsidRPr="002B0BD5">
              <w:rPr>
                <w:rFonts w:cs="Arial"/>
                <w:lang w:val="es-ES_tradnl"/>
              </w:rPr>
              <w:tab/>
            </w:r>
            <w:r w:rsidRPr="002B0BD5">
              <w:rPr>
                <w:rFonts w:cs="Arial"/>
                <w:lang w:val="es-ES_tradnl"/>
              </w:rPr>
              <w:t>Estados y organizaciones respecto de cuya legislación el Consejo de la UPOV adopta una decisión positiva;</w:t>
            </w:r>
          </w:p>
          <w:p w:rsidR="00421639" w:rsidRPr="002B0BD5" w:rsidRDefault="00FF5D3C" w:rsidP="00EF2D62">
            <w:pPr>
              <w:spacing w:before="60" w:after="60"/>
              <w:ind w:left="143"/>
              <w:jc w:val="left"/>
              <w:rPr>
                <w:rFonts w:cs="Arial"/>
                <w:lang w:val="es-ES_tradnl"/>
              </w:rPr>
            </w:pPr>
            <w:r w:rsidRPr="002B0BD5">
              <w:rPr>
                <w:rFonts w:cs="Arial"/>
                <w:lang w:val="es-ES_tradnl"/>
              </w:rPr>
              <w:t xml:space="preserve">c) </w:t>
            </w:r>
            <w:r w:rsidR="00BF0818" w:rsidRPr="002B0BD5">
              <w:rPr>
                <w:rFonts w:cs="Arial"/>
                <w:lang w:val="es-ES_tradnl"/>
              </w:rPr>
              <w:tab/>
            </w:r>
            <w:r w:rsidRPr="002B0BD5">
              <w:rPr>
                <w:rFonts w:cs="Arial"/>
                <w:lang w:val="es-ES_tradnl"/>
              </w:rPr>
              <w:t>reuniones con funcionarios gubernamentales.</w:t>
            </w:r>
            <w:r w:rsidR="00421639" w:rsidRPr="002B0BD5">
              <w:rPr>
                <w:rFonts w:cs="Arial"/>
                <w:lang w:val="es-ES_tradnl"/>
              </w:rPr>
              <w:t xml:space="preserve"> </w:t>
            </w:r>
          </w:p>
        </w:tc>
      </w:tr>
      <w:tr w:rsidR="005D61AB" w:rsidRPr="000F652A" w:rsidTr="00BF0818">
        <w:trPr>
          <w:cantSplit/>
        </w:trPr>
        <w:tc>
          <w:tcPr>
            <w:tcW w:w="4077"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60" w:after="60"/>
              <w:ind w:left="108"/>
              <w:jc w:val="left"/>
              <w:rPr>
                <w:rFonts w:cs="Arial"/>
                <w:lang w:val="es-ES_tradnl"/>
              </w:rPr>
            </w:pPr>
            <w:r w:rsidRPr="002B0BD5">
              <w:rPr>
                <w:rFonts w:cs="Arial"/>
                <w:lang w:val="es-ES_tradnl"/>
              </w:rPr>
              <w:t xml:space="preserve">3. </w:t>
            </w:r>
            <w:r w:rsidR="00BF0818" w:rsidRPr="002B0BD5">
              <w:rPr>
                <w:rFonts w:cs="Arial"/>
                <w:lang w:val="es-ES_tradnl"/>
              </w:rPr>
              <w:tab/>
            </w:r>
            <w:r w:rsidRPr="002B0BD5">
              <w:rPr>
                <w:rFonts w:cs="Arial"/>
                <w:lang w:val="es-ES_tradnl"/>
              </w:rPr>
              <w:t>Asistencia a Estados y organizaciones para la adhesión al Acta de 1991 del Convenio de la UPOV</w:t>
            </w:r>
          </w:p>
        </w:tc>
        <w:tc>
          <w:tcPr>
            <w:tcW w:w="5812" w:type="dxa"/>
            <w:tcBorders>
              <w:top w:val="single" w:sz="4" w:space="0" w:color="000000"/>
              <w:left w:val="single" w:sz="4" w:space="0" w:color="000000"/>
              <w:bottom w:val="single" w:sz="4" w:space="0" w:color="000000"/>
              <w:right w:val="single" w:sz="4" w:space="0" w:color="000000"/>
            </w:tcBorders>
          </w:tcPr>
          <w:p w:rsidR="00FF5D3C" w:rsidRPr="002B0BD5" w:rsidRDefault="00FF5D3C" w:rsidP="00EF2D62">
            <w:pPr>
              <w:spacing w:before="60" w:after="60"/>
              <w:ind w:left="143"/>
              <w:jc w:val="left"/>
              <w:rPr>
                <w:rFonts w:cs="Arial"/>
                <w:lang w:val="es-ES_tradnl"/>
              </w:rPr>
            </w:pPr>
            <w:r w:rsidRPr="002B0BD5">
              <w:rPr>
                <w:rFonts w:cs="Arial"/>
                <w:lang w:val="es-ES_tradnl"/>
              </w:rPr>
              <w:t xml:space="preserve">a) </w:t>
            </w:r>
            <w:r w:rsidR="00BF0818" w:rsidRPr="002B0BD5">
              <w:rPr>
                <w:rFonts w:cs="Arial"/>
                <w:lang w:val="es-ES_tradnl"/>
              </w:rPr>
              <w:tab/>
            </w:r>
            <w:r w:rsidRPr="002B0BD5">
              <w:rPr>
                <w:rFonts w:cs="Arial"/>
                <w:lang w:val="es-ES_tradnl"/>
              </w:rPr>
              <w:t>Estados que se adhieren al Acta de 1991 del Convenio de la UPOV o que ratifican dicha Acta;</w:t>
            </w:r>
          </w:p>
          <w:p w:rsidR="00421639" w:rsidRPr="002B0BD5" w:rsidRDefault="00FF5D3C" w:rsidP="00EF2D62">
            <w:pPr>
              <w:spacing w:before="60" w:after="60"/>
              <w:ind w:left="143"/>
              <w:jc w:val="left"/>
              <w:rPr>
                <w:rFonts w:cs="Arial"/>
                <w:lang w:val="es-ES_tradnl"/>
              </w:rPr>
            </w:pPr>
            <w:r w:rsidRPr="002B0BD5">
              <w:rPr>
                <w:rFonts w:cs="Arial"/>
                <w:lang w:val="es-ES_tradnl"/>
              </w:rPr>
              <w:t xml:space="preserve">b) </w:t>
            </w:r>
            <w:r w:rsidR="008C1D8B" w:rsidRPr="002B0BD5">
              <w:rPr>
                <w:rFonts w:cs="Arial"/>
                <w:lang w:val="es-ES_tradnl"/>
              </w:rPr>
              <w:tab/>
            </w:r>
            <w:r w:rsidRPr="002B0BD5">
              <w:rPr>
                <w:rFonts w:cs="Arial"/>
                <w:lang w:val="es-ES_tradnl"/>
              </w:rPr>
              <w:t>Estados y organizaciones que han pasado a ser miembros de la Unión.</w:t>
            </w:r>
          </w:p>
        </w:tc>
      </w:tr>
      <w:tr w:rsidR="005D61AB" w:rsidRPr="000F652A" w:rsidTr="00BF0818">
        <w:trPr>
          <w:cantSplit/>
        </w:trPr>
        <w:tc>
          <w:tcPr>
            <w:tcW w:w="4077" w:type="dxa"/>
            <w:tcBorders>
              <w:top w:val="single" w:sz="4" w:space="0" w:color="000000"/>
              <w:left w:val="single" w:sz="4" w:space="0" w:color="000000"/>
              <w:bottom w:val="single" w:sz="4" w:space="0" w:color="000000"/>
              <w:right w:val="single" w:sz="4" w:space="0" w:color="000000"/>
            </w:tcBorders>
          </w:tcPr>
          <w:p w:rsidR="00421639" w:rsidRPr="002B0BD5" w:rsidRDefault="00FF5D3C" w:rsidP="00605481">
            <w:pPr>
              <w:spacing w:before="60" w:after="60"/>
              <w:ind w:left="108"/>
              <w:jc w:val="left"/>
              <w:rPr>
                <w:rFonts w:cs="Arial"/>
                <w:lang w:val="es-ES_tradnl"/>
              </w:rPr>
            </w:pPr>
            <w:r w:rsidRPr="002B0BD5">
              <w:rPr>
                <w:rFonts w:cs="Arial"/>
                <w:lang w:val="es-ES_tradnl"/>
              </w:rPr>
              <w:t>4.</w:t>
            </w:r>
            <w:r w:rsidR="001A6BDC" w:rsidRPr="002B0BD5">
              <w:rPr>
                <w:rFonts w:cs="Arial"/>
                <w:lang w:val="es-ES_tradnl"/>
              </w:rPr>
              <w:t xml:space="preserve"> </w:t>
            </w:r>
            <w:r w:rsidR="001A6BDC" w:rsidRPr="002B0BD5">
              <w:rPr>
                <w:rFonts w:cs="Arial"/>
                <w:lang w:val="es-ES_tradnl"/>
              </w:rPr>
              <w:tab/>
            </w:r>
            <w:r w:rsidRPr="002B0BD5">
              <w:rPr>
                <w:rFonts w:cs="Arial"/>
                <w:lang w:val="es-ES_tradnl"/>
              </w:rPr>
              <w:t xml:space="preserve">Asistencia para la aplicación de un sistema eficaz </w:t>
            </w:r>
            <w:r w:rsidR="005B1E10" w:rsidRPr="002B0BD5">
              <w:rPr>
                <w:rFonts w:cs="Arial"/>
                <w:lang w:val="es-ES_tradnl"/>
              </w:rPr>
              <w:t xml:space="preserve">de protección de las </w:t>
            </w:r>
            <w:r w:rsidR="00605481">
              <w:rPr>
                <w:rFonts w:cs="Arial"/>
                <w:lang w:val="es-ES_tradnl"/>
              </w:rPr>
              <w:t xml:space="preserve">obtenciones </w:t>
            </w:r>
            <w:r w:rsidR="005B1E10" w:rsidRPr="002B0BD5">
              <w:rPr>
                <w:rFonts w:cs="Arial"/>
                <w:lang w:val="es-ES_tradnl"/>
              </w:rPr>
              <w:t xml:space="preserve">vegetales </w:t>
            </w:r>
            <w:r w:rsidRPr="002B0BD5">
              <w:rPr>
                <w:rFonts w:cs="Arial"/>
                <w:lang w:val="es-ES_tradnl"/>
              </w:rPr>
              <w:t>de conformidad con el Convenio de la UPOV</w:t>
            </w:r>
          </w:p>
        </w:tc>
        <w:tc>
          <w:tcPr>
            <w:tcW w:w="5812" w:type="dxa"/>
            <w:tcBorders>
              <w:top w:val="single" w:sz="4" w:space="0" w:color="000000"/>
              <w:left w:val="single" w:sz="4" w:space="0" w:color="000000"/>
              <w:bottom w:val="single" w:sz="4" w:space="0" w:color="000000"/>
              <w:right w:val="single" w:sz="4" w:space="0" w:color="000000"/>
            </w:tcBorders>
          </w:tcPr>
          <w:p w:rsidR="00FF5D3C" w:rsidRPr="002B0BD5" w:rsidRDefault="00FF5D3C" w:rsidP="00EF2D62">
            <w:pPr>
              <w:spacing w:before="60" w:after="60"/>
              <w:ind w:left="143"/>
              <w:jc w:val="left"/>
              <w:rPr>
                <w:rFonts w:cs="Arial"/>
                <w:lang w:val="es-ES_tradnl"/>
              </w:rPr>
            </w:pPr>
            <w:r w:rsidRPr="002B0BD5">
              <w:rPr>
                <w:rFonts w:cs="Arial"/>
                <w:lang w:val="es-ES_tradnl"/>
              </w:rPr>
              <w:t xml:space="preserve">a) </w:t>
            </w:r>
            <w:r w:rsidR="00BF0818" w:rsidRPr="002B0BD5">
              <w:rPr>
                <w:rFonts w:cs="Arial"/>
                <w:lang w:val="es-ES_tradnl"/>
              </w:rPr>
              <w:tab/>
            </w:r>
            <w:r w:rsidRPr="002B0BD5">
              <w:rPr>
                <w:rFonts w:cs="Arial"/>
                <w:lang w:val="es-ES_tradnl"/>
              </w:rPr>
              <w:t>participación en cursos de enseñanza a distancia;</w:t>
            </w:r>
          </w:p>
          <w:p w:rsidR="00FF5D3C" w:rsidRPr="002B0BD5" w:rsidRDefault="00FF5D3C" w:rsidP="00EF2D62">
            <w:pPr>
              <w:spacing w:before="60" w:after="60"/>
              <w:ind w:left="143"/>
              <w:jc w:val="left"/>
              <w:rPr>
                <w:rFonts w:cs="Arial"/>
                <w:lang w:val="es-ES_tradnl"/>
              </w:rPr>
            </w:pPr>
            <w:bookmarkStart w:id="24" w:name="OLE_LINK3"/>
            <w:bookmarkStart w:id="25" w:name="OLE_LINK4"/>
            <w:r w:rsidRPr="002B0BD5">
              <w:rPr>
                <w:rFonts w:cs="Arial"/>
                <w:lang w:val="es-ES_tradnl"/>
              </w:rPr>
              <w:t xml:space="preserve">b) </w:t>
            </w:r>
            <w:r w:rsidR="008C1D8B" w:rsidRPr="002B0BD5">
              <w:rPr>
                <w:rFonts w:cs="Arial"/>
                <w:lang w:val="es-ES_tradnl"/>
              </w:rPr>
              <w:tab/>
            </w:r>
            <w:r w:rsidRPr="002B0BD5">
              <w:rPr>
                <w:rFonts w:cs="Arial"/>
                <w:lang w:val="es-ES_tradnl"/>
              </w:rPr>
              <w:t>participación de Estados y organizaciones observadores en el CAJ, el TC, los TWP y los talleres preparatorios conexos;</w:t>
            </w:r>
          </w:p>
          <w:bookmarkEnd w:id="24"/>
          <w:bookmarkEnd w:id="25"/>
          <w:p w:rsidR="00FF5D3C" w:rsidRPr="002B0BD5" w:rsidRDefault="00FF5D3C" w:rsidP="00EF2D62">
            <w:pPr>
              <w:spacing w:before="60" w:after="60"/>
              <w:ind w:left="143"/>
              <w:jc w:val="left"/>
              <w:rPr>
                <w:rFonts w:cs="Arial"/>
                <w:lang w:val="es-ES_tradnl"/>
              </w:rPr>
            </w:pPr>
            <w:r w:rsidRPr="002B0BD5">
              <w:rPr>
                <w:rFonts w:cs="Arial"/>
                <w:lang w:val="es-ES_tradnl"/>
              </w:rPr>
              <w:t xml:space="preserve">c) </w:t>
            </w:r>
            <w:r w:rsidR="00BF0818" w:rsidRPr="002B0BD5">
              <w:rPr>
                <w:rFonts w:cs="Arial"/>
                <w:lang w:val="es-ES_tradnl"/>
              </w:rPr>
              <w:tab/>
            </w:r>
            <w:r w:rsidRPr="002B0BD5">
              <w:rPr>
                <w:rFonts w:cs="Arial"/>
                <w:lang w:val="es-ES_tradnl"/>
              </w:rPr>
              <w:t>participación en actividades de la UPOV;</w:t>
            </w:r>
          </w:p>
          <w:p w:rsidR="00FF5D3C" w:rsidRPr="002B0BD5" w:rsidRDefault="00FF5D3C" w:rsidP="00EF2D62">
            <w:pPr>
              <w:spacing w:before="60" w:after="60"/>
              <w:ind w:left="143"/>
              <w:jc w:val="left"/>
              <w:rPr>
                <w:rFonts w:cs="Arial"/>
                <w:lang w:val="es-ES_tradnl"/>
              </w:rPr>
            </w:pPr>
            <w:r w:rsidRPr="002B0BD5">
              <w:rPr>
                <w:rFonts w:cs="Arial"/>
                <w:lang w:val="es-ES_tradnl"/>
              </w:rPr>
              <w:t>d)</w:t>
            </w:r>
            <w:r w:rsidR="001A6BDC" w:rsidRPr="002B0BD5">
              <w:rPr>
                <w:rFonts w:cs="Arial"/>
                <w:lang w:val="es-ES_tradnl"/>
              </w:rPr>
              <w:t xml:space="preserve"> </w:t>
            </w:r>
            <w:r w:rsidR="001A6BDC" w:rsidRPr="002B0BD5">
              <w:rPr>
                <w:rFonts w:cs="Arial"/>
                <w:lang w:val="es-ES_tradnl"/>
              </w:rPr>
              <w:tab/>
            </w:r>
            <w:r w:rsidRPr="002B0BD5">
              <w:rPr>
                <w:rFonts w:cs="Arial"/>
                <w:lang w:val="es-ES_tradnl"/>
              </w:rPr>
              <w:t>participación en actividades en las que toma parte el personal de la UPOV o formadores en nombre de la UPOV;</w:t>
            </w:r>
          </w:p>
          <w:p w:rsidR="00FF5D3C" w:rsidRPr="002B0BD5" w:rsidRDefault="00FF5D3C" w:rsidP="00EF2D62">
            <w:pPr>
              <w:spacing w:before="60" w:after="60"/>
              <w:ind w:left="143"/>
              <w:jc w:val="left"/>
              <w:rPr>
                <w:rFonts w:cs="Arial"/>
                <w:lang w:val="es-ES_tradnl"/>
              </w:rPr>
            </w:pPr>
            <w:r w:rsidRPr="002B0BD5">
              <w:rPr>
                <w:rFonts w:cs="Arial"/>
                <w:lang w:val="es-ES_tradnl"/>
              </w:rPr>
              <w:t xml:space="preserve">e) </w:t>
            </w:r>
            <w:r w:rsidR="00BF0818" w:rsidRPr="002B0BD5">
              <w:rPr>
                <w:rFonts w:cs="Arial"/>
                <w:lang w:val="es-ES_tradnl"/>
              </w:rPr>
              <w:tab/>
            </w:r>
            <w:r w:rsidRPr="002B0BD5">
              <w:rPr>
                <w:rFonts w:cs="Arial"/>
                <w:lang w:val="es-ES_tradnl"/>
              </w:rPr>
              <w:t>formación proporcionada por formadores de la UPOV en actividades no organizadas por la UPOV;</w:t>
            </w:r>
          </w:p>
          <w:p w:rsidR="00FF5D3C" w:rsidRPr="002B0BD5" w:rsidRDefault="00FF5D3C" w:rsidP="00EF2D62">
            <w:pPr>
              <w:spacing w:before="60" w:after="60"/>
              <w:ind w:left="143"/>
              <w:jc w:val="left"/>
              <w:rPr>
                <w:rFonts w:cs="Arial"/>
                <w:lang w:val="es-ES_tradnl"/>
              </w:rPr>
            </w:pPr>
            <w:r w:rsidRPr="002B0BD5">
              <w:rPr>
                <w:rFonts w:cs="Arial"/>
                <w:lang w:val="es-ES_tradnl"/>
              </w:rPr>
              <w:t xml:space="preserve">f) </w:t>
            </w:r>
            <w:r w:rsidR="00BF0818" w:rsidRPr="002B0BD5">
              <w:rPr>
                <w:rFonts w:cs="Arial"/>
                <w:lang w:val="es-ES_tradnl"/>
              </w:rPr>
              <w:tab/>
            </w:r>
            <w:r w:rsidRPr="002B0BD5">
              <w:rPr>
                <w:rFonts w:cs="Arial"/>
                <w:lang w:val="es-ES_tradnl"/>
              </w:rPr>
              <w:t>ejecución de proyectos con organizaciones y donantes asociados;</w:t>
            </w:r>
          </w:p>
          <w:p w:rsidR="00421639" w:rsidRPr="002B0BD5" w:rsidRDefault="00FF5D3C" w:rsidP="00EF2D62">
            <w:pPr>
              <w:spacing w:before="60" w:after="60"/>
              <w:ind w:left="143"/>
              <w:jc w:val="left"/>
              <w:rPr>
                <w:rFonts w:cs="Arial"/>
                <w:lang w:val="es-ES_tradnl"/>
              </w:rPr>
            </w:pPr>
            <w:r w:rsidRPr="002B0BD5">
              <w:rPr>
                <w:rFonts w:cs="Arial"/>
                <w:lang w:val="es-ES_tradnl"/>
              </w:rPr>
              <w:t xml:space="preserve">g) </w:t>
            </w:r>
            <w:r w:rsidR="00BF0818" w:rsidRPr="002B0BD5">
              <w:rPr>
                <w:rFonts w:cs="Arial"/>
                <w:lang w:val="es-ES_tradnl"/>
              </w:rPr>
              <w:tab/>
            </w:r>
            <w:r w:rsidRPr="002B0BD5">
              <w:rPr>
                <w:rFonts w:cs="Arial"/>
                <w:lang w:val="es-ES_tradnl"/>
              </w:rPr>
              <w:t>uso de la página de asistencia en Internet para obtener apoyo a los proyectos.</w:t>
            </w:r>
          </w:p>
        </w:tc>
      </w:tr>
    </w:tbl>
    <w:p w:rsidR="00FF5D3C" w:rsidRPr="002B0BD5" w:rsidRDefault="00FF5D3C" w:rsidP="00EF2D62">
      <w:pPr>
        <w:rPr>
          <w:rFonts w:cs="Arial"/>
          <w:lang w:val="es-ES_tradnl"/>
        </w:rPr>
      </w:pPr>
    </w:p>
    <w:p w:rsidR="00FF5D3C" w:rsidRPr="002B0BD5" w:rsidRDefault="00421639" w:rsidP="00EF2D62">
      <w:pPr>
        <w:pStyle w:val="Heading2"/>
      </w:pPr>
      <w:r w:rsidRPr="002B0BD5">
        <w:rPr>
          <w:rFonts w:cs="Arial"/>
        </w:rPr>
        <w:br w:type="page"/>
      </w:r>
      <w:bookmarkStart w:id="26" w:name="_Toc363577064"/>
      <w:r w:rsidR="00FF5D3C" w:rsidRPr="002B0BD5">
        <w:rPr>
          <w:u w:val="none"/>
        </w:rPr>
        <w:t xml:space="preserve">2.4 </w:t>
      </w:r>
      <w:r w:rsidR="00FF08D0" w:rsidRPr="002B0BD5">
        <w:rPr>
          <w:u w:val="none"/>
        </w:rPr>
        <w:tab/>
      </w:r>
      <w:r w:rsidR="00FF5D3C" w:rsidRPr="002B0BD5">
        <w:t>Subprograma UV.4</w:t>
      </w:r>
      <w:proofErr w:type="gramStart"/>
      <w:r w:rsidR="006E42D6" w:rsidRPr="002B0BD5">
        <w:t xml:space="preserve">:  </w:t>
      </w:r>
      <w:r w:rsidR="00FF5D3C" w:rsidRPr="002B0BD5">
        <w:t>Relaciones</w:t>
      </w:r>
      <w:proofErr w:type="gramEnd"/>
      <w:r w:rsidR="00FF5D3C" w:rsidRPr="002B0BD5">
        <w:t xml:space="preserve"> exteriores</w:t>
      </w:r>
      <w:bookmarkEnd w:id="26"/>
    </w:p>
    <w:p w:rsidR="00FF5D3C" w:rsidRPr="002B0BD5" w:rsidRDefault="00FF5D3C" w:rsidP="00EF2D62">
      <w:pPr>
        <w:rPr>
          <w:rFonts w:cs="Arial"/>
          <w:lang w:val="es-ES_tradnl"/>
        </w:rPr>
      </w:pPr>
    </w:p>
    <w:p w:rsidR="00FF5D3C" w:rsidRPr="002B0BD5" w:rsidRDefault="00FF5D3C" w:rsidP="00EF2D62">
      <w:pPr>
        <w:pStyle w:val="Heading3"/>
      </w:pPr>
      <w:bookmarkStart w:id="27" w:name="_Toc363577065"/>
      <w:r w:rsidRPr="002B0BD5">
        <w:t xml:space="preserve">2.4.1 </w:t>
      </w:r>
      <w:r w:rsidR="00FF08D0" w:rsidRPr="002B0BD5">
        <w:tab/>
      </w:r>
      <w:r w:rsidRPr="002B0BD5">
        <w:t>Objetivos</w:t>
      </w:r>
      <w:bookmarkEnd w:id="27"/>
    </w:p>
    <w:p w:rsidR="00FF5D3C" w:rsidRPr="002B0BD5" w:rsidRDefault="00FF5D3C" w:rsidP="00EF2D62">
      <w:pPr>
        <w:tabs>
          <w:tab w:val="num" w:pos="567"/>
        </w:tabs>
        <w:rPr>
          <w:rFonts w:cs="Arial"/>
          <w:lang w:val="es-ES_tradnl"/>
        </w:rPr>
      </w:pPr>
    </w:p>
    <w:p w:rsidR="00FF5D3C" w:rsidRPr="002B0BD5" w:rsidRDefault="00421639" w:rsidP="00EF2D62">
      <w:pPr>
        <w:rPr>
          <w:rFonts w:cs="Arial"/>
          <w:lang w:val="es-ES_tradnl"/>
        </w:rPr>
      </w:pPr>
      <w:r w:rsidRPr="002B0BD5">
        <w:rPr>
          <w:rFonts w:cs="Arial"/>
          <w:lang w:val="es-ES_tradnl"/>
        </w:rPr>
        <w:tab/>
      </w:r>
      <w:r w:rsidR="00FF5D3C" w:rsidRPr="002B0BD5">
        <w:rPr>
          <w:rFonts w:cs="Arial"/>
          <w:lang w:val="es-ES_tradnl"/>
        </w:rPr>
        <w:t xml:space="preserve">a) </w:t>
      </w:r>
      <w:r w:rsidR="00FF08D0" w:rsidRPr="002B0BD5">
        <w:rPr>
          <w:rFonts w:cs="Arial"/>
          <w:lang w:val="es-ES_tradnl"/>
        </w:rPr>
        <w:tab/>
      </w:r>
      <w:r w:rsidR="00FF5D3C" w:rsidRPr="002B0BD5">
        <w:rPr>
          <w:rFonts w:cs="Arial"/>
          <w:lang w:val="es-ES_tradnl"/>
        </w:rPr>
        <w:t>Ampliar y mejorar la comprensión acerca del sistema de protección de las variedades vegetales  de la UPOV.</w:t>
      </w:r>
    </w:p>
    <w:p w:rsidR="00FF5D3C" w:rsidRPr="002B0BD5" w:rsidRDefault="00FF5D3C" w:rsidP="00EF2D62">
      <w:pPr>
        <w:rPr>
          <w:rFonts w:cs="Arial"/>
          <w:lang w:val="es-ES_tradnl"/>
        </w:rPr>
      </w:pPr>
    </w:p>
    <w:p w:rsidR="00FF5D3C" w:rsidRPr="002B0BD5" w:rsidRDefault="00421639" w:rsidP="00EF2D62">
      <w:pPr>
        <w:rPr>
          <w:rFonts w:cs="Arial"/>
          <w:lang w:val="es-ES_tradnl"/>
        </w:rPr>
      </w:pPr>
      <w:r w:rsidRPr="002B0BD5">
        <w:rPr>
          <w:rFonts w:cs="Arial"/>
          <w:lang w:val="es-ES_tradnl"/>
        </w:rPr>
        <w:tab/>
      </w:r>
      <w:r w:rsidR="00FF5D3C" w:rsidRPr="002B0BD5">
        <w:rPr>
          <w:rFonts w:cs="Arial"/>
          <w:lang w:val="es-ES_tradnl"/>
        </w:rPr>
        <w:t>b)</w:t>
      </w:r>
      <w:r w:rsidR="00FF08D0" w:rsidRPr="002B0BD5">
        <w:rPr>
          <w:rFonts w:cs="Arial"/>
          <w:lang w:val="es-ES_tradnl"/>
        </w:rPr>
        <w:tab/>
      </w:r>
      <w:r w:rsidR="00FF5D3C" w:rsidRPr="002B0BD5">
        <w:rPr>
          <w:rFonts w:cs="Arial"/>
          <w:lang w:val="es-ES_tradnl"/>
        </w:rPr>
        <w:t>Proporcionar información sobre el Convenio de la UPOV a otras organizaciones intergubernamentales, con el fin de lograr la complementariedad con otros tratados internacionales.</w:t>
      </w:r>
    </w:p>
    <w:p w:rsidR="00FF5D3C" w:rsidRPr="002B0BD5" w:rsidRDefault="00FF5D3C" w:rsidP="00EF2D62">
      <w:pPr>
        <w:rPr>
          <w:rFonts w:cs="Arial"/>
          <w:lang w:val="es-ES_tradnl"/>
        </w:rPr>
      </w:pPr>
    </w:p>
    <w:p w:rsidR="00FF5D3C" w:rsidRPr="002B0BD5" w:rsidRDefault="00EC2F57" w:rsidP="00EF2D62">
      <w:pPr>
        <w:rPr>
          <w:rFonts w:cs="Arial"/>
          <w:lang w:val="es-ES_tradnl"/>
        </w:rPr>
      </w:pPr>
      <w:r w:rsidRPr="002B0BD5">
        <w:rPr>
          <w:rFonts w:cs="Arial"/>
          <w:lang w:val="es-ES_tradnl"/>
        </w:rPr>
        <w:tab/>
        <w:t>c)</w:t>
      </w:r>
      <w:r w:rsidRPr="002B0BD5">
        <w:rPr>
          <w:rFonts w:cs="Arial"/>
          <w:lang w:val="es-ES_tradnl"/>
        </w:rPr>
        <w:tab/>
      </w:r>
      <w:r w:rsidR="005C0E12" w:rsidRPr="002B0BD5">
        <w:rPr>
          <w:rFonts w:cs="Arial"/>
          <w:lang w:val="es-ES_tradnl"/>
        </w:rPr>
        <w:t>Informar a los miembros de la Unión de novedades de interés para la UPOV</w:t>
      </w:r>
      <w:r w:rsidRPr="002B0BD5">
        <w:rPr>
          <w:rFonts w:cs="Arial"/>
          <w:lang w:val="es-ES_tradnl"/>
        </w:rPr>
        <w:t>.</w:t>
      </w:r>
    </w:p>
    <w:p w:rsidR="00FF5D3C" w:rsidRPr="002B0BD5" w:rsidRDefault="00FF5D3C" w:rsidP="00EF2D62">
      <w:pPr>
        <w:rPr>
          <w:rFonts w:cs="Arial"/>
          <w:lang w:val="es-ES_tradnl"/>
        </w:rPr>
      </w:pPr>
    </w:p>
    <w:p w:rsidR="00FF5D3C" w:rsidRPr="002B0BD5" w:rsidRDefault="00FF5D3C" w:rsidP="00EF2D62">
      <w:pPr>
        <w:pStyle w:val="Heading3"/>
      </w:pPr>
      <w:bookmarkStart w:id="28" w:name="_Toc363577066"/>
      <w:r w:rsidRPr="002B0BD5">
        <w:t xml:space="preserve">2.4.2 </w:t>
      </w:r>
      <w:r w:rsidR="00FF08D0" w:rsidRPr="002B0BD5">
        <w:tab/>
      </w:r>
      <w:r w:rsidRPr="002B0BD5">
        <w:t>Descripción</w:t>
      </w:r>
      <w:bookmarkEnd w:id="28"/>
    </w:p>
    <w:p w:rsidR="00FF5D3C" w:rsidRPr="002B0BD5" w:rsidRDefault="00FF5D3C" w:rsidP="00EF2D62">
      <w:pPr>
        <w:tabs>
          <w:tab w:val="left" w:pos="567"/>
        </w:tabs>
        <w:rPr>
          <w:rFonts w:cs="Arial"/>
          <w:lang w:val="es-ES_tradnl"/>
        </w:rPr>
      </w:pPr>
    </w:p>
    <w:p w:rsidR="00FF5D3C" w:rsidRPr="002B0BD5" w:rsidRDefault="00FF5D3C" w:rsidP="00EF2D62">
      <w:pPr>
        <w:tabs>
          <w:tab w:val="left" w:pos="851"/>
        </w:tabs>
        <w:rPr>
          <w:rFonts w:cs="Arial"/>
          <w:lang w:val="es-ES_tradnl"/>
        </w:rPr>
      </w:pPr>
      <w:r w:rsidRPr="002B0BD5">
        <w:rPr>
          <w:rFonts w:cs="Arial"/>
          <w:lang w:val="es-ES_tradnl"/>
        </w:rPr>
        <w:t xml:space="preserve">2.4.2.1 El sistema de la UPOV es un sistema </w:t>
      </w:r>
      <w:r w:rsidRPr="002B0BD5">
        <w:rPr>
          <w:rFonts w:cs="Arial"/>
          <w:i/>
          <w:lang w:val="es-ES_tradnl"/>
        </w:rPr>
        <w:t>sui generis</w:t>
      </w:r>
      <w:r w:rsidRPr="002B0BD5">
        <w:rPr>
          <w:rFonts w:cs="Arial"/>
          <w:lang w:val="es-ES_tradnl"/>
        </w:rPr>
        <w:t xml:space="preserve"> eficaz y equilibrado de protección de la propiedad intelectual, y es preciso que la UPOV explique y aclare cuál es su función en los ámbitos de política pertinentes.</w:t>
      </w:r>
      <w:r w:rsidR="00421639" w:rsidRPr="002B0BD5">
        <w:rPr>
          <w:rFonts w:cs="Arial"/>
          <w:lang w:val="es-ES_tradnl"/>
        </w:rPr>
        <w:t xml:space="preserve"> </w:t>
      </w:r>
    </w:p>
    <w:p w:rsidR="00FF5D3C" w:rsidRPr="002B0BD5" w:rsidRDefault="00FF5D3C" w:rsidP="00EF2D62">
      <w:pPr>
        <w:tabs>
          <w:tab w:val="left" w:pos="851"/>
        </w:tabs>
        <w:rPr>
          <w:rFonts w:cs="Arial"/>
          <w:lang w:val="es-ES_tradnl"/>
        </w:rPr>
      </w:pPr>
    </w:p>
    <w:p w:rsidR="00FF5D3C" w:rsidRPr="002B0BD5" w:rsidRDefault="00FF5D3C" w:rsidP="00EF2D62">
      <w:pPr>
        <w:tabs>
          <w:tab w:val="left" w:pos="851"/>
        </w:tabs>
        <w:rPr>
          <w:rFonts w:cs="Arial"/>
          <w:lang w:val="es-ES_tradnl"/>
        </w:rPr>
      </w:pPr>
      <w:r w:rsidRPr="002B0BD5">
        <w:rPr>
          <w:rFonts w:cs="Arial"/>
          <w:lang w:val="es-ES_tradnl"/>
        </w:rPr>
        <w:t>2.4.2.2</w:t>
      </w:r>
      <w:r w:rsidR="000A13F2" w:rsidRPr="002B0BD5">
        <w:rPr>
          <w:rFonts w:cs="Arial"/>
          <w:lang w:val="es-ES_tradnl"/>
        </w:rPr>
        <w:tab/>
      </w:r>
      <w:r w:rsidRPr="002B0BD5">
        <w:rPr>
          <w:rFonts w:cs="Arial"/>
          <w:lang w:val="es-ES_tradnl"/>
        </w:rPr>
        <w:t>El sitio web de la UPOV es un importante medio de comunicación con</w:t>
      </w:r>
      <w:r w:rsidR="00DC3E44" w:rsidRPr="002B0BD5">
        <w:rPr>
          <w:rFonts w:cs="Arial"/>
          <w:lang w:val="es-ES_tradnl"/>
        </w:rPr>
        <w:t xml:space="preserve"> los sectores interesados y</w:t>
      </w:r>
      <w:r w:rsidRPr="002B0BD5">
        <w:rPr>
          <w:rFonts w:cs="Arial"/>
          <w:lang w:val="es-ES_tradnl"/>
        </w:rPr>
        <w:t xml:space="preserve"> el público</w:t>
      </w:r>
      <w:r w:rsidR="00F333C3" w:rsidRPr="002B0BD5">
        <w:rPr>
          <w:rFonts w:cs="Arial"/>
          <w:lang w:val="es-ES_tradnl"/>
        </w:rPr>
        <w:t xml:space="preserve"> en general</w:t>
      </w:r>
      <w:r w:rsidRPr="002B0BD5">
        <w:rPr>
          <w:rFonts w:cs="Arial"/>
          <w:lang w:val="es-ES_tradnl"/>
        </w:rPr>
        <w:t>, que se actualiza</w:t>
      </w:r>
      <w:r w:rsidR="002B6CFF" w:rsidRPr="002B0BD5">
        <w:rPr>
          <w:rFonts w:cs="Arial"/>
          <w:lang w:val="es-ES_tradnl"/>
        </w:rPr>
        <w:t>rá</w:t>
      </w:r>
      <w:r w:rsidRPr="002B0BD5">
        <w:rPr>
          <w:rFonts w:cs="Arial"/>
          <w:lang w:val="es-ES_tradnl"/>
        </w:rPr>
        <w:t xml:space="preserve"> mediante la incorporación de nuevo material que resulte adecuado para explicar la importancia de la protección de las variedades vegetales</w:t>
      </w:r>
      <w:r w:rsidR="002B6CFF" w:rsidRPr="002B0BD5">
        <w:rPr>
          <w:rFonts w:cs="Arial"/>
          <w:lang w:val="es-ES_tradnl"/>
        </w:rPr>
        <w:t xml:space="preserve"> a un amplio conjunto de destinatarios</w:t>
      </w:r>
      <w:r w:rsidRPr="002B0BD5">
        <w:rPr>
          <w:rFonts w:cs="Arial"/>
          <w:lang w:val="es-ES_tradnl"/>
        </w:rPr>
        <w:t>.</w:t>
      </w:r>
      <w:r w:rsidR="00421639" w:rsidRPr="002B0BD5">
        <w:rPr>
          <w:rFonts w:cs="Arial"/>
          <w:lang w:val="es-ES_tradnl"/>
        </w:rPr>
        <w:t xml:space="preserve">  </w:t>
      </w:r>
      <w:r w:rsidRPr="002B0BD5">
        <w:rPr>
          <w:rFonts w:cs="Arial"/>
          <w:lang w:val="es-ES_tradnl"/>
        </w:rPr>
        <w:t>Según corresponda, se utilizarán otros medios de comunicación, como los medios sociales, y la UPOV contribuirá con artículos a las publicaciones pertinentes.</w:t>
      </w:r>
    </w:p>
    <w:p w:rsidR="00FF5D3C" w:rsidRPr="002B0BD5" w:rsidRDefault="00FF5D3C" w:rsidP="00EF2D62">
      <w:pPr>
        <w:tabs>
          <w:tab w:val="left" w:pos="851"/>
        </w:tabs>
        <w:rPr>
          <w:rFonts w:cs="Arial"/>
          <w:lang w:val="es-ES_tradnl"/>
        </w:rPr>
      </w:pPr>
    </w:p>
    <w:p w:rsidR="00FF5D3C" w:rsidRPr="002B0BD5" w:rsidRDefault="00EC2F57" w:rsidP="00EF2D62">
      <w:pPr>
        <w:tabs>
          <w:tab w:val="left" w:pos="851"/>
        </w:tabs>
        <w:rPr>
          <w:rFonts w:cs="Arial"/>
          <w:lang w:val="es-ES_tradnl"/>
        </w:rPr>
      </w:pPr>
      <w:r w:rsidRPr="002B0BD5">
        <w:rPr>
          <w:rFonts w:cs="Arial"/>
          <w:lang w:val="es-ES_tradnl"/>
        </w:rPr>
        <w:t>2.4.2.3</w:t>
      </w:r>
      <w:r w:rsidRPr="002B0BD5">
        <w:rPr>
          <w:rFonts w:cs="Arial"/>
          <w:lang w:val="es-ES_tradnl"/>
        </w:rPr>
        <w:tab/>
      </w:r>
      <w:r w:rsidR="005C0E12" w:rsidRPr="002B0BD5">
        <w:rPr>
          <w:rFonts w:cs="Arial"/>
          <w:lang w:val="es-ES_tradnl"/>
        </w:rPr>
        <w:t xml:space="preserve">La UPOV mantendrá contactos con organizaciones intergubernamentales y con otras organizaciones no gubernamentales que representan a distintos sectores interesados, como los obtentores, los agricultores y </w:t>
      </w:r>
      <w:r w:rsidR="00605481">
        <w:rPr>
          <w:rFonts w:cs="Arial"/>
          <w:lang w:val="es-ES_tradnl"/>
        </w:rPr>
        <w:t>productores</w:t>
      </w:r>
      <w:r w:rsidR="005C0E12" w:rsidRPr="002B0BD5">
        <w:rPr>
          <w:rFonts w:cs="Arial"/>
          <w:lang w:val="es-ES_tradnl"/>
        </w:rPr>
        <w:t>, a fin de explicar el sistema de la UPOV de protección de las variedades vegetales y de intercambiar información</w:t>
      </w:r>
      <w:r w:rsidRPr="002B0BD5">
        <w:rPr>
          <w:rFonts w:cs="Arial"/>
          <w:lang w:val="es-ES_tradnl"/>
        </w:rPr>
        <w:t xml:space="preserve">. </w:t>
      </w:r>
    </w:p>
    <w:p w:rsidR="00FF5D3C" w:rsidRPr="002B0BD5" w:rsidRDefault="00FF5D3C" w:rsidP="00EF2D62">
      <w:pPr>
        <w:rPr>
          <w:rFonts w:cs="Arial"/>
          <w:lang w:val="es-ES_tradnl"/>
        </w:rPr>
      </w:pPr>
    </w:p>
    <w:p w:rsidR="00FF5D3C" w:rsidRPr="002B0BD5" w:rsidRDefault="00FF5D3C" w:rsidP="00EF2D62">
      <w:pPr>
        <w:tabs>
          <w:tab w:val="left" w:pos="851"/>
        </w:tabs>
        <w:rPr>
          <w:rFonts w:cs="Arial"/>
          <w:lang w:val="es-ES_tradnl"/>
        </w:rPr>
      </w:pPr>
      <w:r w:rsidRPr="002B0BD5">
        <w:rPr>
          <w:rFonts w:cs="Arial"/>
          <w:lang w:val="es-ES_tradnl"/>
        </w:rPr>
        <w:t>2.4.2.4</w:t>
      </w:r>
      <w:r w:rsidR="002B6CFF" w:rsidRPr="002B0BD5">
        <w:rPr>
          <w:rFonts w:cs="Arial"/>
          <w:lang w:val="es-ES_tradnl"/>
        </w:rPr>
        <w:tab/>
      </w:r>
      <w:r w:rsidRPr="002B0BD5">
        <w:rPr>
          <w:rFonts w:cs="Arial"/>
          <w:lang w:val="es-ES_tradnl"/>
        </w:rPr>
        <w:t xml:space="preserve">Respecto de </w:t>
      </w:r>
      <w:r w:rsidR="00605481">
        <w:rPr>
          <w:rFonts w:cs="Arial"/>
          <w:lang w:val="es-ES_tradnl"/>
        </w:rPr>
        <w:t>l</w:t>
      </w:r>
      <w:r w:rsidRPr="002B0BD5">
        <w:rPr>
          <w:rFonts w:cs="Arial"/>
          <w:lang w:val="es-ES_tradnl"/>
        </w:rPr>
        <w:t>as organizaciones intergubernamentales del sector de las semillas, son especialmente importantes los contactos de la UPOV con la Organización de Cooperación y de Desarrollo Económicos (OCDE), en lo que atañe al sistema de comercio de semillas de la OCDE, así como los que mantiene con la Asociación Internacional para el Ensayo de Semillas (ISTA).</w:t>
      </w:r>
      <w:r w:rsidR="00486CD9" w:rsidRPr="002B0BD5">
        <w:rPr>
          <w:rFonts w:cs="Arial"/>
          <w:lang w:val="es-ES_tradnl"/>
        </w:rPr>
        <w:t xml:space="preserve">  </w:t>
      </w:r>
    </w:p>
    <w:p w:rsidR="00FF5D3C" w:rsidRPr="002B0BD5" w:rsidRDefault="00FF5D3C" w:rsidP="00EF2D62">
      <w:pPr>
        <w:tabs>
          <w:tab w:val="left" w:pos="851"/>
        </w:tabs>
        <w:rPr>
          <w:rFonts w:cs="Arial"/>
          <w:lang w:val="es-ES_tradnl"/>
        </w:rPr>
      </w:pPr>
    </w:p>
    <w:p w:rsidR="00FF5D3C" w:rsidRPr="002B0BD5" w:rsidRDefault="00FF5D3C" w:rsidP="00EF2D62">
      <w:pPr>
        <w:tabs>
          <w:tab w:val="left" w:pos="851"/>
        </w:tabs>
        <w:rPr>
          <w:rFonts w:cs="Arial"/>
          <w:lang w:val="es-ES_tradnl"/>
        </w:rPr>
      </w:pPr>
      <w:r w:rsidRPr="002B0BD5">
        <w:rPr>
          <w:rFonts w:cs="Arial"/>
          <w:lang w:val="es-ES_tradnl"/>
        </w:rPr>
        <w:t>2.4.2.5</w:t>
      </w:r>
      <w:r w:rsidR="002B6CFF" w:rsidRPr="002B0BD5">
        <w:rPr>
          <w:rFonts w:cs="Arial"/>
          <w:lang w:val="es-ES_tradnl"/>
        </w:rPr>
        <w:tab/>
      </w:r>
      <w:r w:rsidRPr="002B0BD5">
        <w:rPr>
          <w:rFonts w:cs="Arial"/>
          <w:lang w:val="es-ES_tradnl"/>
        </w:rPr>
        <w:t xml:space="preserve">La UPOV contribuirá a la labor de las organizaciones </w:t>
      </w:r>
      <w:r w:rsidR="00605481">
        <w:rPr>
          <w:rFonts w:cs="Arial"/>
          <w:lang w:val="es-ES_tradnl"/>
        </w:rPr>
        <w:t xml:space="preserve">intergubernamentales </w:t>
      </w:r>
      <w:r w:rsidRPr="002B0BD5">
        <w:rPr>
          <w:rFonts w:cs="Arial"/>
          <w:lang w:val="es-ES_tradnl"/>
        </w:rPr>
        <w:t>pertinentes a fin de explicar el sistema de la UPOV de protección de las variedades vegetales</w:t>
      </w:r>
      <w:r w:rsidR="00DC3E44" w:rsidRPr="002B0BD5">
        <w:rPr>
          <w:rFonts w:cs="Arial"/>
          <w:lang w:val="es-ES_tradnl"/>
        </w:rPr>
        <w:t xml:space="preserve"> y de intercambiar información</w:t>
      </w:r>
      <w:r w:rsidRPr="002B0BD5">
        <w:rPr>
          <w:rFonts w:cs="Arial"/>
          <w:lang w:val="es-ES_tradnl"/>
        </w:rPr>
        <w:t xml:space="preserve">, </w:t>
      </w:r>
      <w:r w:rsidR="002B6CFF" w:rsidRPr="002B0BD5">
        <w:rPr>
          <w:rFonts w:cs="Arial"/>
          <w:lang w:val="es-ES_tradnl"/>
        </w:rPr>
        <w:t>para</w:t>
      </w:r>
      <w:r w:rsidRPr="002B0BD5">
        <w:rPr>
          <w:rFonts w:cs="Arial"/>
          <w:lang w:val="es-ES_tradnl"/>
        </w:rPr>
        <w:t xml:space="preserve"> lograr que se complementen mutuamente.</w:t>
      </w:r>
      <w:r w:rsidR="00486CD9" w:rsidRPr="002B0BD5">
        <w:rPr>
          <w:rFonts w:cs="Arial"/>
          <w:lang w:val="es-ES_tradnl"/>
        </w:rPr>
        <w:t xml:space="preserve">  </w:t>
      </w:r>
      <w:r w:rsidRPr="002B0BD5">
        <w:rPr>
          <w:rFonts w:cs="Arial"/>
          <w:lang w:val="es-ES_tradnl"/>
        </w:rPr>
        <w:t>En particular, la UPOV seguirá manteniendo contactos con la OMPI;  la OMC y, en concreto, su Consejo de los Aspectos de los Derechos de Propiedad Intelectual relacionados con el Comercio (Consejo de los ADPIC);  la Conferencia de las Partes en el Convenio sobre la Diversidad Biológica (CDB) y especialmente con sus distintos comités y grupos de trabajo relativos al Protocolo de Nagoya sobre Acceso a los Recursos Genéticos y Participación Justa y Equitativa en los Beneficios que se Deriven de su Utilización al Convenio sobre la Diversidad Biológica;  y con la Organización de las Naciones Unidas para la Alimentación y la Agricultura (FAO), especialmente con el órgano rector del Tratado Internacional sobre los Recursos Fitogenéticos para la Alimentación y la Agricultura y la Comisión de Recursos Genéticos para la Alimentación y la Agricultura.</w:t>
      </w:r>
    </w:p>
    <w:p w:rsidR="00FF5D3C" w:rsidRPr="002B0BD5" w:rsidRDefault="00FF5D3C" w:rsidP="00EF2D62">
      <w:pPr>
        <w:tabs>
          <w:tab w:val="left" w:pos="851"/>
        </w:tabs>
        <w:rPr>
          <w:rFonts w:cs="Arial"/>
          <w:lang w:val="es-ES_tradnl"/>
        </w:rPr>
      </w:pPr>
    </w:p>
    <w:p w:rsidR="00FF5D3C" w:rsidRPr="002B0BD5" w:rsidRDefault="00FF5D3C" w:rsidP="00EF2D62">
      <w:pPr>
        <w:tabs>
          <w:tab w:val="left" w:pos="851"/>
        </w:tabs>
        <w:rPr>
          <w:rFonts w:cs="Arial"/>
          <w:lang w:val="es-ES_tradnl"/>
        </w:rPr>
      </w:pPr>
      <w:r w:rsidRPr="002B0BD5">
        <w:rPr>
          <w:rFonts w:cs="Arial"/>
          <w:lang w:val="es-ES_tradnl"/>
        </w:rPr>
        <w:t>2.4.2.6</w:t>
      </w:r>
      <w:r w:rsidR="002B6CFF" w:rsidRPr="002B0BD5">
        <w:rPr>
          <w:rFonts w:cs="Arial"/>
          <w:lang w:val="es-ES_tradnl"/>
        </w:rPr>
        <w:tab/>
      </w:r>
      <w:r w:rsidRPr="002B0BD5">
        <w:rPr>
          <w:rFonts w:cs="Arial"/>
          <w:lang w:val="es-ES_tradnl"/>
        </w:rPr>
        <w:t>Respecto de la cooperación con organizaciones no gubernamentales</w:t>
      </w:r>
      <w:r w:rsidR="00605481" w:rsidRPr="00605481">
        <w:rPr>
          <w:rFonts w:cs="Arial"/>
          <w:lang w:val="es-ES_tradnl"/>
        </w:rPr>
        <w:t xml:space="preserve"> </w:t>
      </w:r>
      <w:r w:rsidR="00605481" w:rsidRPr="002B0BD5">
        <w:rPr>
          <w:rFonts w:cs="Arial"/>
          <w:lang w:val="es-ES_tradnl"/>
        </w:rPr>
        <w:t>que representan a los obtentores</w:t>
      </w:r>
      <w:r w:rsidRPr="002B0BD5">
        <w:rPr>
          <w:rFonts w:cs="Arial"/>
          <w:lang w:val="es-ES_tradnl"/>
        </w:rPr>
        <w:t>, la UPOV tratará de mantener contactos</w:t>
      </w:r>
      <w:r w:rsidR="00605481">
        <w:rPr>
          <w:rFonts w:cs="Arial"/>
          <w:lang w:val="es-ES_tradnl"/>
        </w:rPr>
        <w:t>,</w:t>
      </w:r>
      <w:r w:rsidRPr="002B0BD5">
        <w:rPr>
          <w:rFonts w:cs="Arial"/>
          <w:lang w:val="es-ES_tradnl"/>
        </w:rPr>
        <w:t xml:space="preserve"> en particular, </w:t>
      </w:r>
      <w:r w:rsidR="00605481">
        <w:rPr>
          <w:rFonts w:cs="Arial"/>
          <w:lang w:val="es-ES_tradnl"/>
        </w:rPr>
        <w:t xml:space="preserve">con </w:t>
      </w:r>
      <w:r w:rsidRPr="002B0BD5">
        <w:rPr>
          <w:rFonts w:cs="Arial"/>
          <w:lang w:val="es-ES_tradnl"/>
        </w:rPr>
        <w:t xml:space="preserve">la Comunidad Internacional de Fitomejoradores de Plantas Ornamentales y Frutales de Reproducción Asexuada (CIOPORA), la </w:t>
      </w:r>
      <w:r w:rsidR="00605481">
        <w:rPr>
          <w:rFonts w:cs="Arial"/>
          <w:i/>
          <w:lang w:val="es-ES_tradnl"/>
        </w:rPr>
        <w:t>International Seed Federation</w:t>
      </w:r>
      <w:r w:rsidR="005D7C3C" w:rsidRPr="002B0BD5">
        <w:rPr>
          <w:rFonts w:cs="Arial"/>
          <w:i/>
          <w:lang w:val="es-ES_tradnl"/>
        </w:rPr>
        <w:t xml:space="preserve"> </w:t>
      </w:r>
      <w:r w:rsidRPr="002B0BD5">
        <w:rPr>
          <w:rFonts w:cs="Arial"/>
          <w:lang w:val="es-ES_tradnl"/>
        </w:rPr>
        <w:t>(ISF) y las asociaciones regionales de obtentores, como la Asociación Africana del Comercio de Semillas (AFSTA), la Asociación de Semillas de Asia y el Pacífico (APSA), la Asociación Europea de Semillas (ESA), la Federación Latinoamericana de Asociaciones de Semillistas (FELAS) y la Asociación de Semillas de las Américas (SAA).</w:t>
      </w:r>
      <w:r w:rsidR="00EC2F57" w:rsidRPr="002B0BD5">
        <w:rPr>
          <w:rFonts w:cs="Arial"/>
          <w:lang w:val="es-ES_tradnl"/>
        </w:rPr>
        <w:t xml:space="preserve">  </w:t>
      </w:r>
      <w:r w:rsidRPr="002B0BD5">
        <w:rPr>
          <w:rFonts w:cs="Arial"/>
          <w:lang w:val="es-ES_tradnl"/>
        </w:rPr>
        <w:t xml:space="preserve">La función de protección de las variedades vegetales en relación con las instituciones de investigación del sector público entraña que la UPOV tratará </w:t>
      </w:r>
      <w:r w:rsidR="005D7C3C" w:rsidRPr="002B0BD5">
        <w:rPr>
          <w:rFonts w:cs="Arial"/>
          <w:lang w:val="es-ES_tradnl"/>
        </w:rPr>
        <w:t xml:space="preserve">también </w:t>
      </w:r>
      <w:r w:rsidRPr="002B0BD5">
        <w:rPr>
          <w:rFonts w:cs="Arial"/>
          <w:lang w:val="es-ES_tradnl"/>
        </w:rPr>
        <w:t>de establecer y mantener contactos con los centros pertinentes del Grupo Consultivo sobre Investigaciones Agrícolas Internacionales (GCIAI).</w:t>
      </w:r>
    </w:p>
    <w:p w:rsidR="008C1D8B" w:rsidRPr="002B0BD5" w:rsidRDefault="008C1D8B" w:rsidP="00EF2D62">
      <w:pPr>
        <w:jc w:val="left"/>
        <w:rPr>
          <w:rFonts w:cs="Arial"/>
          <w:lang w:val="es-ES_tradnl"/>
        </w:rPr>
      </w:pPr>
      <w:r w:rsidRPr="002B0BD5">
        <w:rPr>
          <w:rFonts w:cs="Arial"/>
          <w:lang w:val="es-ES_tradnl"/>
        </w:rPr>
        <w:br w:type="page"/>
      </w:r>
    </w:p>
    <w:p w:rsidR="00FF5D3C" w:rsidRPr="002B0BD5" w:rsidRDefault="00FF5D3C" w:rsidP="00EF2D62">
      <w:pPr>
        <w:pStyle w:val="Heading3"/>
      </w:pPr>
      <w:bookmarkStart w:id="29" w:name="_Toc363577067"/>
      <w:r w:rsidRPr="002B0BD5">
        <w:t xml:space="preserve">2.4.3 </w:t>
      </w:r>
      <w:r w:rsidR="00FF08D0" w:rsidRPr="002B0BD5">
        <w:tab/>
      </w:r>
      <w:r w:rsidRPr="002B0BD5">
        <w:t>Actividades</w:t>
      </w:r>
      <w:bookmarkEnd w:id="29"/>
    </w:p>
    <w:p w:rsidR="00FF5D3C" w:rsidRPr="002B0BD5" w:rsidRDefault="00FF5D3C" w:rsidP="00EF2D62">
      <w:pPr>
        <w:rPr>
          <w:rFonts w:cs="Arial"/>
          <w:lang w:val="es-ES_tradnl"/>
        </w:rPr>
      </w:pPr>
    </w:p>
    <w:p w:rsidR="00FF5D3C" w:rsidRPr="002B0BD5" w:rsidRDefault="00FF08D0" w:rsidP="00EF2D62">
      <w:pPr>
        <w:tabs>
          <w:tab w:val="center" w:pos="851"/>
          <w:tab w:val="left" w:pos="1134"/>
        </w:tabs>
        <w:spacing w:after="120"/>
        <w:ind w:left="1134" w:hanging="567"/>
        <w:rPr>
          <w:rFonts w:cs="Arial"/>
          <w:lang w:val="es-ES_tradnl"/>
        </w:rPr>
      </w:pPr>
      <w:r w:rsidRPr="002B0BD5">
        <w:rPr>
          <w:rFonts w:cs="Arial"/>
          <w:lang w:val="es-ES_tradnl"/>
        </w:rPr>
        <w:tab/>
      </w:r>
      <w:r w:rsidR="00FF5D3C" w:rsidRPr="002B0BD5">
        <w:rPr>
          <w:rFonts w:cs="Arial"/>
          <w:lang w:val="es-ES_tradnl"/>
        </w:rPr>
        <w:t xml:space="preserve">i) </w:t>
      </w:r>
      <w:r w:rsidRPr="002B0BD5">
        <w:rPr>
          <w:rFonts w:cs="Arial"/>
          <w:lang w:val="es-ES_tradnl"/>
        </w:rPr>
        <w:tab/>
      </w:r>
      <w:r w:rsidR="00FF5D3C" w:rsidRPr="002B0BD5">
        <w:rPr>
          <w:rFonts w:cs="Arial"/>
          <w:lang w:val="es-ES_tradnl"/>
        </w:rPr>
        <w:t>Participación en reuniones con organizaciones intergubernamentales y no gubernamentales.</w:t>
      </w:r>
    </w:p>
    <w:p w:rsidR="00FF5D3C" w:rsidRPr="002B0BD5" w:rsidRDefault="00FF08D0" w:rsidP="00EF2D62">
      <w:pPr>
        <w:tabs>
          <w:tab w:val="center" w:pos="851"/>
          <w:tab w:val="left" w:pos="1134"/>
        </w:tabs>
        <w:spacing w:after="120"/>
        <w:ind w:left="1134" w:hanging="567"/>
        <w:rPr>
          <w:rFonts w:cs="Arial"/>
          <w:lang w:val="es-ES_tradnl"/>
        </w:rPr>
      </w:pPr>
      <w:r w:rsidRPr="002B0BD5">
        <w:rPr>
          <w:rFonts w:cs="Arial"/>
          <w:lang w:val="es-ES_tradnl"/>
        </w:rPr>
        <w:tab/>
      </w:r>
      <w:r w:rsidR="00FF5D3C" w:rsidRPr="002B0BD5">
        <w:rPr>
          <w:rFonts w:cs="Arial"/>
          <w:lang w:val="es-ES_tradnl"/>
        </w:rPr>
        <w:t xml:space="preserve">ii) </w:t>
      </w:r>
      <w:r w:rsidRPr="002B0BD5">
        <w:rPr>
          <w:rFonts w:cs="Arial"/>
          <w:lang w:val="es-ES_tradnl"/>
        </w:rPr>
        <w:tab/>
      </w:r>
      <w:r w:rsidR="00FF5D3C" w:rsidRPr="002B0BD5">
        <w:rPr>
          <w:rFonts w:cs="Arial"/>
          <w:lang w:val="es-ES_tradnl"/>
        </w:rPr>
        <w:t>Suministro de comentarios y de información a otras organizaciones intergubernamentales.</w:t>
      </w:r>
    </w:p>
    <w:p w:rsidR="00FF5D3C" w:rsidRPr="002B0BD5" w:rsidRDefault="00FF08D0" w:rsidP="00EF2D62">
      <w:pPr>
        <w:tabs>
          <w:tab w:val="center" w:pos="851"/>
          <w:tab w:val="left" w:pos="1134"/>
        </w:tabs>
        <w:spacing w:after="120"/>
        <w:ind w:left="1134" w:hanging="567"/>
        <w:rPr>
          <w:rFonts w:cs="Arial"/>
          <w:lang w:val="es-ES_tradnl"/>
        </w:rPr>
      </w:pPr>
      <w:r w:rsidRPr="002B0BD5">
        <w:rPr>
          <w:rFonts w:cs="Arial"/>
          <w:lang w:val="es-ES_tradnl"/>
        </w:rPr>
        <w:tab/>
      </w:r>
      <w:r w:rsidR="00FF5D3C" w:rsidRPr="002B0BD5">
        <w:rPr>
          <w:rFonts w:cs="Arial"/>
          <w:lang w:val="es-ES_tradnl"/>
        </w:rPr>
        <w:t xml:space="preserve">iii) </w:t>
      </w:r>
      <w:r w:rsidRPr="002B0BD5">
        <w:rPr>
          <w:rFonts w:cs="Arial"/>
          <w:lang w:val="es-ES_tradnl"/>
        </w:rPr>
        <w:tab/>
      </w:r>
      <w:r w:rsidR="00FF5D3C" w:rsidRPr="002B0BD5">
        <w:rPr>
          <w:rFonts w:cs="Arial"/>
          <w:lang w:val="es-ES_tradnl"/>
        </w:rPr>
        <w:t>Actualización del material de información de la UPOV y elaboración de material adaptado al público en general.</w:t>
      </w:r>
    </w:p>
    <w:p w:rsidR="00FF5D3C" w:rsidRPr="002B0BD5" w:rsidRDefault="00FF08D0" w:rsidP="00EF2D62">
      <w:pPr>
        <w:tabs>
          <w:tab w:val="center" w:pos="851"/>
          <w:tab w:val="left" w:pos="1134"/>
        </w:tabs>
        <w:spacing w:after="120"/>
        <w:ind w:left="1134" w:hanging="567"/>
        <w:rPr>
          <w:rFonts w:cs="Arial"/>
          <w:lang w:val="es-ES_tradnl"/>
        </w:rPr>
      </w:pPr>
      <w:r w:rsidRPr="002B0BD5">
        <w:rPr>
          <w:rFonts w:cs="Arial"/>
          <w:lang w:val="es-ES_tradnl"/>
        </w:rPr>
        <w:tab/>
      </w:r>
      <w:r w:rsidR="00076151" w:rsidRPr="002B0BD5">
        <w:rPr>
          <w:rFonts w:cs="Arial"/>
          <w:lang w:val="es-ES_tradnl"/>
        </w:rPr>
        <w:t>iv)</w:t>
      </w:r>
      <w:r w:rsidR="0025384C" w:rsidRPr="002B0BD5">
        <w:rPr>
          <w:rFonts w:cs="Arial"/>
          <w:lang w:val="es-ES_tradnl"/>
        </w:rPr>
        <w:tab/>
      </w:r>
      <w:r w:rsidR="00076151" w:rsidRPr="002B0BD5">
        <w:rPr>
          <w:rFonts w:cs="Arial"/>
          <w:lang w:val="es-ES_tradnl"/>
        </w:rPr>
        <w:t xml:space="preserve">Informe a los miembros de la Unión </w:t>
      </w:r>
      <w:r w:rsidR="00507E82">
        <w:rPr>
          <w:rFonts w:cs="Arial"/>
          <w:lang w:val="es-ES_tradnl"/>
        </w:rPr>
        <w:t xml:space="preserve">sobre </w:t>
      </w:r>
      <w:r w:rsidR="00076151" w:rsidRPr="002B0BD5">
        <w:rPr>
          <w:rFonts w:cs="Arial"/>
          <w:lang w:val="es-ES_tradnl"/>
        </w:rPr>
        <w:t>los intercambios de información con las organizaciones intergubernamentales y las organizaciones no gubernamentales</w:t>
      </w:r>
      <w:r w:rsidR="0009121A" w:rsidRPr="002B0BD5">
        <w:rPr>
          <w:rFonts w:cs="Arial"/>
          <w:lang w:val="es-ES_tradnl"/>
        </w:rPr>
        <w:t>.</w:t>
      </w:r>
    </w:p>
    <w:p w:rsidR="00FF5D3C" w:rsidRPr="002B0BD5" w:rsidRDefault="00FF5D3C" w:rsidP="00EF2D62">
      <w:pPr>
        <w:pStyle w:val="Heading3"/>
      </w:pPr>
    </w:p>
    <w:p w:rsidR="00FF5D3C" w:rsidRPr="002B0BD5" w:rsidRDefault="00FF5D3C" w:rsidP="00EF2D62">
      <w:pPr>
        <w:pStyle w:val="Heading3"/>
      </w:pPr>
      <w:bookmarkStart w:id="30" w:name="_Toc363577068"/>
      <w:r w:rsidRPr="002B0BD5">
        <w:t xml:space="preserve">2.4.4 </w:t>
      </w:r>
      <w:r w:rsidR="00FF08D0" w:rsidRPr="002B0BD5">
        <w:tab/>
      </w:r>
      <w:r w:rsidRPr="002B0BD5">
        <w:t>Resultados previstos e indicadores de rendimiento</w:t>
      </w:r>
      <w:bookmarkEnd w:id="30"/>
    </w:p>
    <w:p w:rsidR="00421639" w:rsidRPr="002B0BD5" w:rsidRDefault="00421639" w:rsidP="00EF2D62">
      <w:pPr>
        <w:rPr>
          <w:rFonts w:cs="Arial"/>
          <w:lang w:val="es-ES_tradnl"/>
        </w:rPr>
      </w:pPr>
    </w:p>
    <w:tbl>
      <w:tblPr>
        <w:tblW w:w="9889" w:type="dxa"/>
        <w:tblInd w:w="-103" w:type="dxa"/>
        <w:tblLayout w:type="fixed"/>
        <w:tblCellMar>
          <w:left w:w="0" w:type="dxa"/>
          <w:right w:w="0" w:type="dxa"/>
        </w:tblCellMar>
        <w:tblLook w:val="0000" w:firstRow="0" w:lastRow="0" w:firstColumn="0" w:lastColumn="0" w:noHBand="0" w:noVBand="0"/>
      </w:tblPr>
      <w:tblGrid>
        <w:gridCol w:w="4503"/>
        <w:gridCol w:w="5386"/>
      </w:tblGrid>
      <w:tr w:rsidR="005D61AB" w:rsidRPr="002B0BD5" w:rsidTr="00DC35EC">
        <w:trPr>
          <w:cantSplit/>
          <w:trHeight w:val="580"/>
        </w:trPr>
        <w:tc>
          <w:tcPr>
            <w:tcW w:w="4503"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120" w:after="120"/>
              <w:ind w:left="108" w:firstLine="108"/>
              <w:jc w:val="center"/>
              <w:rPr>
                <w:rFonts w:cs="Arial"/>
                <w:u w:val="single"/>
                <w:lang w:val="es-ES_tradnl"/>
              </w:rPr>
            </w:pPr>
            <w:r w:rsidRPr="002B0BD5">
              <w:rPr>
                <w:rFonts w:cs="Arial"/>
                <w:u w:val="single"/>
                <w:lang w:val="es-ES_tradnl"/>
              </w:rPr>
              <w:t>Resultados previstos</w:t>
            </w:r>
          </w:p>
        </w:tc>
        <w:tc>
          <w:tcPr>
            <w:tcW w:w="5386"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120" w:after="120"/>
              <w:jc w:val="center"/>
              <w:rPr>
                <w:rFonts w:cs="Arial"/>
                <w:u w:val="single"/>
                <w:lang w:val="es-ES_tradnl"/>
              </w:rPr>
            </w:pPr>
            <w:r w:rsidRPr="002B0BD5">
              <w:rPr>
                <w:rFonts w:cs="Arial"/>
                <w:u w:val="single"/>
                <w:lang w:val="es-ES_tradnl"/>
              </w:rPr>
              <w:t>Indicadores de rendimiento</w:t>
            </w:r>
          </w:p>
        </w:tc>
      </w:tr>
      <w:tr w:rsidR="005D61AB" w:rsidRPr="000F652A" w:rsidTr="00DC35EC">
        <w:trPr>
          <w:cantSplit/>
        </w:trPr>
        <w:tc>
          <w:tcPr>
            <w:tcW w:w="4503"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60" w:after="60"/>
              <w:ind w:left="108"/>
              <w:jc w:val="left"/>
              <w:rPr>
                <w:rFonts w:cs="Arial"/>
                <w:lang w:val="es-ES_tradnl"/>
              </w:rPr>
            </w:pPr>
            <w:r w:rsidRPr="002B0BD5">
              <w:rPr>
                <w:rFonts w:cs="Arial"/>
                <w:lang w:val="es-ES_tradnl"/>
              </w:rPr>
              <w:t>1.</w:t>
            </w:r>
            <w:r w:rsidR="00FF08D0" w:rsidRPr="002B0BD5">
              <w:rPr>
                <w:rFonts w:cs="Arial"/>
                <w:lang w:val="es-ES_tradnl"/>
              </w:rPr>
              <w:tab/>
            </w:r>
            <w:r w:rsidRPr="002B0BD5">
              <w:rPr>
                <w:rFonts w:cs="Arial"/>
                <w:lang w:val="es-ES_tradnl"/>
              </w:rPr>
              <w:t>Fomento del conocimiento que tiene el público de la función y las actividades de la UPOV</w:t>
            </w:r>
          </w:p>
        </w:tc>
        <w:tc>
          <w:tcPr>
            <w:tcW w:w="5386" w:type="dxa"/>
            <w:tcBorders>
              <w:top w:val="single" w:sz="4" w:space="0" w:color="000000"/>
              <w:left w:val="single" w:sz="4" w:space="0" w:color="000000"/>
              <w:bottom w:val="single" w:sz="4" w:space="0" w:color="000000"/>
              <w:right w:val="single" w:sz="4" w:space="0" w:color="000000"/>
            </w:tcBorders>
          </w:tcPr>
          <w:p w:rsidR="00FF5D3C" w:rsidRPr="002B0BD5" w:rsidRDefault="00FF5D3C" w:rsidP="00EF2D62">
            <w:pPr>
              <w:spacing w:before="60" w:after="60"/>
              <w:ind w:left="141"/>
              <w:jc w:val="left"/>
              <w:rPr>
                <w:rFonts w:cs="Arial"/>
                <w:lang w:val="es-ES_tradnl"/>
              </w:rPr>
            </w:pPr>
            <w:r w:rsidRPr="002B0BD5">
              <w:rPr>
                <w:rFonts w:cs="Arial"/>
                <w:lang w:val="es-ES_tradnl"/>
              </w:rPr>
              <w:t xml:space="preserve">a) </w:t>
            </w:r>
            <w:r w:rsidR="00FF08D0" w:rsidRPr="002B0BD5">
              <w:rPr>
                <w:rFonts w:cs="Arial"/>
                <w:lang w:val="es-ES_tradnl"/>
              </w:rPr>
              <w:tab/>
            </w:r>
            <w:r w:rsidRPr="002B0BD5">
              <w:rPr>
                <w:rFonts w:cs="Arial"/>
                <w:lang w:val="es-ES_tradnl"/>
              </w:rPr>
              <w:t>disponibilidad de información y material orientado al público en el sitio web de la UPOV y otros medios;</w:t>
            </w:r>
          </w:p>
          <w:p w:rsidR="00FF5D3C" w:rsidRPr="002B0BD5" w:rsidRDefault="00FF5D3C" w:rsidP="00EF2D62">
            <w:pPr>
              <w:spacing w:before="60" w:after="60"/>
              <w:ind w:left="141"/>
              <w:jc w:val="left"/>
              <w:rPr>
                <w:rFonts w:cs="Arial"/>
                <w:lang w:val="es-ES_tradnl"/>
              </w:rPr>
            </w:pPr>
            <w:r w:rsidRPr="002B0BD5">
              <w:rPr>
                <w:rFonts w:cs="Arial"/>
                <w:lang w:val="es-ES_tradnl"/>
              </w:rPr>
              <w:t xml:space="preserve">b) </w:t>
            </w:r>
            <w:r w:rsidR="00FF08D0" w:rsidRPr="002B0BD5">
              <w:rPr>
                <w:rFonts w:cs="Arial"/>
                <w:lang w:val="es-ES_tradnl"/>
              </w:rPr>
              <w:tab/>
            </w:r>
            <w:r w:rsidRPr="002B0BD5">
              <w:rPr>
                <w:rFonts w:cs="Arial"/>
                <w:lang w:val="es-ES_tradnl"/>
              </w:rPr>
              <w:t>artículos en los que la UPOV ha contribuido en las publicaciones pertinentes;</w:t>
            </w:r>
          </w:p>
          <w:p w:rsidR="00421639" w:rsidRPr="002B0BD5" w:rsidRDefault="00FF5D3C" w:rsidP="00EF2D62">
            <w:pPr>
              <w:spacing w:before="60" w:after="60"/>
              <w:ind w:left="141"/>
              <w:jc w:val="left"/>
              <w:rPr>
                <w:rFonts w:cs="Arial"/>
                <w:lang w:val="es-ES_tradnl"/>
              </w:rPr>
            </w:pPr>
            <w:r w:rsidRPr="002B0BD5">
              <w:rPr>
                <w:rFonts w:cs="Arial"/>
                <w:lang w:val="es-ES_tradnl"/>
              </w:rPr>
              <w:t xml:space="preserve">c) </w:t>
            </w:r>
            <w:r w:rsidR="00FF08D0" w:rsidRPr="002B0BD5">
              <w:rPr>
                <w:rFonts w:cs="Arial"/>
                <w:lang w:val="es-ES_tradnl"/>
              </w:rPr>
              <w:tab/>
            </w:r>
            <w:r w:rsidRPr="002B0BD5">
              <w:rPr>
                <w:rFonts w:cs="Arial"/>
                <w:lang w:val="es-ES_tradnl"/>
              </w:rPr>
              <w:t>utilización del sitio web de la UPOV y otros medios.</w:t>
            </w:r>
          </w:p>
        </w:tc>
      </w:tr>
      <w:tr w:rsidR="005D61AB" w:rsidRPr="000F652A" w:rsidTr="00DC35EC">
        <w:trPr>
          <w:cantSplit/>
        </w:trPr>
        <w:tc>
          <w:tcPr>
            <w:tcW w:w="4503" w:type="dxa"/>
            <w:tcBorders>
              <w:top w:val="single" w:sz="4" w:space="0" w:color="000000"/>
              <w:left w:val="single" w:sz="4" w:space="0" w:color="000000"/>
              <w:bottom w:val="single" w:sz="4" w:space="0" w:color="000000"/>
              <w:right w:val="single" w:sz="4" w:space="0" w:color="000000"/>
            </w:tcBorders>
          </w:tcPr>
          <w:p w:rsidR="00421639" w:rsidRPr="002B0BD5" w:rsidRDefault="00FF5D3C" w:rsidP="00EF2D62">
            <w:pPr>
              <w:spacing w:before="60" w:after="60"/>
              <w:ind w:left="108"/>
              <w:jc w:val="left"/>
              <w:rPr>
                <w:rFonts w:cs="Arial"/>
                <w:lang w:val="es-ES_tradnl"/>
              </w:rPr>
            </w:pPr>
            <w:r w:rsidRPr="002B0BD5">
              <w:rPr>
                <w:rFonts w:cs="Arial"/>
                <w:lang w:val="es-ES_tradnl"/>
              </w:rPr>
              <w:t xml:space="preserve">2. </w:t>
            </w:r>
            <w:r w:rsidR="00FF08D0" w:rsidRPr="002B0BD5">
              <w:rPr>
                <w:rFonts w:cs="Arial"/>
                <w:lang w:val="es-ES_tradnl"/>
              </w:rPr>
              <w:tab/>
            </w:r>
            <w:r w:rsidRPr="002B0BD5">
              <w:rPr>
                <w:rFonts w:cs="Arial"/>
                <w:lang w:val="es-ES_tradnl"/>
              </w:rPr>
              <w:t>Suministro de información a otras organizaciones</w:t>
            </w:r>
          </w:p>
        </w:tc>
        <w:tc>
          <w:tcPr>
            <w:tcW w:w="5386" w:type="dxa"/>
            <w:tcBorders>
              <w:top w:val="single" w:sz="4" w:space="0" w:color="000000"/>
              <w:left w:val="single" w:sz="4" w:space="0" w:color="000000"/>
              <w:bottom w:val="single" w:sz="4" w:space="0" w:color="000000"/>
              <w:right w:val="single" w:sz="4" w:space="0" w:color="000000"/>
            </w:tcBorders>
          </w:tcPr>
          <w:p w:rsidR="00FF5D3C" w:rsidRPr="002B0BD5" w:rsidRDefault="00FF5D3C" w:rsidP="00EF2D62">
            <w:pPr>
              <w:spacing w:before="60" w:after="60"/>
              <w:ind w:left="141"/>
              <w:jc w:val="left"/>
              <w:rPr>
                <w:rFonts w:cs="Arial"/>
                <w:lang w:val="es-ES_tradnl"/>
              </w:rPr>
            </w:pPr>
            <w:r w:rsidRPr="002B0BD5">
              <w:rPr>
                <w:rFonts w:cs="Arial"/>
                <w:lang w:val="es-ES_tradnl"/>
              </w:rPr>
              <w:t xml:space="preserve">a) </w:t>
            </w:r>
            <w:r w:rsidR="00FF08D0" w:rsidRPr="002B0BD5">
              <w:rPr>
                <w:rFonts w:cs="Arial"/>
                <w:lang w:val="es-ES_tradnl"/>
              </w:rPr>
              <w:tab/>
            </w:r>
            <w:r w:rsidRPr="002B0BD5">
              <w:rPr>
                <w:rFonts w:cs="Arial"/>
                <w:lang w:val="es-ES_tradnl"/>
              </w:rPr>
              <w:t>reuniones con otras organizaciones;  participación en ellas;</w:t>
            </w:r>
          </w:p>
          <w:p w:rsidR="00421639" w:rsidRPr="002B0BD5" w:rsidRDefault="00FF5D3C" w:rsidP="00EF2D62">
            <w:pPr>
              <w:spacing w:before="60" w:after="60"/>
              <w:ind w:left="141"/>
              <w:jc w:val="left"/>
              <w:rPr>
                <w:rFonts w:cs="Arial"/>
                <w:lang w:val="es-ES_tradnl"/>
              </w:rPr>
            </w:pPr>
            <w:r w:rsidRPr="002B0BD5">
              <w:rPr>
                <w:rFonts w:cs="Arial"/>
                <w:lang w:val="es-ES_tradnl"/>
              </w:rPr>
              <w:t xml:space="preserve">b) </w:t>
            </w:r>
            <w:r w:rsidR="00FF08D0" w:rsidRPr="002B0BD5">
              <w:rPr>
                <w:rFonts w:cs="Arial"/>
                <w:lang w:val="es-ES_tradnl"/>
              </w:rPr>
              <w:tab/>
            </w:r>
            <w:r w:rsidRPr="002B0BD5">
              <w:rPr>
                <w:rFonts w:cs="Arial"/>
                <w:lang w:val="es-ES_tradnl"/>
              </w:rPr>
              <w:t>aportaciones efectuadas a las organizaciones pertinentes.</w:t>
            </w:r>
          </w:p>
        </w:tc>
      </w:tr>
      <w:tr w:rsidR="005D61AB" w:rsidRPr="000F652A" w:rsidTr="00DC35EC">
        <w:trPr>
          <w:cantSplit/>
        </w:trPr>
        <w:tc>
          <w:tcPr>
            <w:tcW w:w="4503" w:type="dxa"/>
            <w:tcBorders>
              <w:top w:val="single" w:sz="4" w:space="0" w:color="000000"/>
              <w:left w:val="single" w:sz="4" w:space="0" w:color="000000"/>
              <w:bottom w:val="single" w:sz="4" w:space="0" w:color="000000"/>
              <w:right w:val="single" w:sz="4" w:space="0" w:color="000000"/>
            </w:tcBorders>
          </w:tcPr>
          <w:p w:rsidR="0009121A" w:rsidRPr="002B0BD5" w:rsidRDefault="0009121A" w:rsidP="00EF2D62">
            <w:pPr>
              <w:spacing w:before="60" w:after="60"/>
              <w:ind w:left="108"/>
              <w:jc w:val="left"/>
              <w:rPr>
                <w:rFonts w:cs="Arial"/>
                <w:lang w:val="es-ES_tradnl"/>
              </w:rPr>
            </w:pPr>
            <w:r w:rsidRPr="002B0BD5">
              <w:rPr>
                <w:rFonts w:cs="Arial"/>
                <w:lang w:val="es-ES_tradnl"/>
              </w:rPr>
              <w:t>3.</w:t>
            </w:r>
            <w:r w:rsidRPr="002B0BD5">
              <w:rPr>
                <w:rFonts w:cs="Arial"/>
                <w:lang w:val="es-ES_tradnl"/>
              </w:rPr>
              <w:tab/>
            </w:r>
            <w:r w:rsidR="00076151" w:rsidRPr="002B0BD5">
              <w:rPr>
                <w:rFonts w:cs="Arial"/>
                <w:lang w:val="es-ES_tradnl"/>
              </w:rPr>
              <w:t xml:space="preserve">Información </w:t>
            </w:r>
            <w:r w:rsidR="00B859A5">
              <w:rPr>
                <w:rFonts w:cs="Arial"/>
                <w:lang w:val="es-ES_tradnl"/>
              </w:rPr>
              <w:t>facilitada a los miembros de la </w:t>
            </w:r>
            <w:r w:rsidR="00076151" w:rsidRPr="002B0BD5">
              <w:rPr>
                <w:rFonts w:cs="Arial"/>
                <w:lang w:val="es-ES_tradnl"/>
              </w:rPr>
              <w:t>Unión</w:t>
            </w:r>
          </w:p>
        </w:tc>
        <w:tc>
          <w:tcPr>
            <w:tcW w:w="5386" w:type="dxa"/>
            <w:tcBorders>
              <w:top w:val="single" w:sz="4" w:space="0" w:color="000000"/>
              <w:left w:val="single" w:sz="4" w:space="0" w:color="000000"/>
              <w:bottom w:val="single" w:sz="4" w:space="0" w:color="000000"/>
              <w:right w:val="single" w:sz="4" w:space="0" w:color="000000"/>
            </w:tcBorders>
          </w:tcPr>
          <w:p w:rsidR="0009121A" w:rsidRPr="002B0BD5" w:rsidRDefault="0009121A" w:rsidP="00EF2D62">
            <w:pPr>
              <w:spacing w:before="60" w:after="60"/>
              <w:ind w:left="141"/>
              <w:jc w:val="left"/>
              <w:rPr>
                <w:rFonts w:cs="Arial"/>
                <w:lang w:val="es-ES_tradnl"/>
              </w:rPr>
            </w:pPr>
            <w:r w:rsidRPr="002B0BD5">
              <w:rPr>
                <w:rFonts w:cs="Arial"/>
                <w:lang w:val="es-ES_tradnl"/>
              </w:rPr>
              <w:t>a)</w:t>
            </w:r>
            <w:r w:rsidRPr="002B0BD5">
              <w:rPr>
                <w:rFonts w:cs="Arial"/>
                <w:lang w:val="es-ES_tradnl"/>
              </w:rPr>
              <w:tab/>
            </w:r>
            <w:r w:rsidR="00076151" w:rsidRPr="002B0BD5">
              <w:rPr>
                <w:rFonts w:cs="Arial"/>
                <w:lang w:val="es-ES_tradnl"/>
              </w:rPr>
              <w:t>informes sobre la información y las novedades de interés para la UPOV</w:t>
            </w:r>
            <w:r w:rsidRPr="002B0BD5">
              <w:rPr>
                <w:rFonts w:cs="Arial"/>
                <w:lang w:val="es-ES_tradnl"/>
              </w:rPr>
              <w:t>.</w:t>
            </w:r>
          </w:p>
        </w:tc>
      </w:tr>
    </w:tbl>
    <w:p w:rsidR="00FF5D3C" w:rsidRPr="002B0BD5" w:rsidRDefault="00FF5D3C" w:rsidP="00EF2D62">
      <w:pPr>
        <w:rPr>
          <w:rFonts w:cs="Arial"/>
          <w:lang w:val="es-ES_tradnl"/>
        </w:rPr>
      </w:pPr>
    </w:p>
    <w:p w:rsidR="00FF5D3C" w:rsidRPr="002B0BD5" w:rsidRDefault="00421639" w:rsidP="00EF2D62">
      <w:pPr>
        <w:pStyle w:val="Heading1"/>
      </w:pPr>
      <w:r w:rsidRPr="002B0BD5">
        <w:rPr>
          <w:rFonts w:cs="Arial"/>
        </w:rPr>
        <w:br w:type="page"/>
      </w:r>
      <w:bookmarkStart w:id="31" w:name="_Toc363577069"/>
      <w:r w:rsidR="00FF5D3C" w:rsidRPr="002B0BD5">
        <w:t>3.</w:t>
      </w:r>
      <w:r w:rsidR="00FF08D0" w:rsidRPr="002B0BD5">
        <w:tab/>
      </w:r>
      <w:r w:rsidR="00FF5D3C" w:rsidRPr="002B0BD5">
        <w:t>PRESUPUESTO PROPUESTO</w:t>
      </w:r>
      <w:bookmarkEnd w:id="31"/>
    </w:p>
    <w:p w:rsidR="00FF5D3C" w:rsidRPr="002B0BD5" w:rsidRDefault="00FF5D3C" w:rsidP="00EF2D62">
      <w:pPr>
        <w:rPr>
          <w:rFonts w:cs="Arial"/>
          <w:lang w:val="es-ES_tradnl"/>
        </w:rPr>
      </w:pPr>
    </w:p>
    <w:p w:rsidR="00FF5D3C" w:rsidRPr="002B0BD5" w:rsidRDefault="00FF5D3C" w:rsidP="00EF2D62">
      <w:pPr>
        <w:rPr>
          <w:rFonts w:cs="Arial"/>
          <w:spacing w:val="-2"/>
          <w:lang w:val="es-ES_tradnl"/>
        </w:rPr>
      </w:pPr>
      <w:r w:rsidRPr="002B0BD5">
        <w:rPr>
          <w:rFonts w:cs="Arial"/>
          <w:lang w:val="es-ES_tradnl"/>
        </w:rPr>
        <w:t xml:space="preserve">3.1 </w:t>
      </w:r>
      <w:r w:rsidR="00FF08D0" w:rsidRPr="002B0BD5">
        <w:rPr>
          <w:rFonts w:cs="Arial"/>
          <w:lang w:val="es-ES_tradnl"/>
        </w:rPr>
        <w:tab/>
      </w:r>
      <w:r w:rsidRPr="002B0BD5">
        <w:rPr>
          <w:rFonts w:cs="Arial"/>
          <w:lang w:val="es-ES_tradnl"/>
        </w:rPr>
        <w:t xml:space="preserve">En el presupuesto propuesto para el bienio 2014-2015 se prevé un ingreso de 6.794.000 francos suizos;  compárese con la cifra correspondiente del presupuesto de 2012-2013, a saber, 6.798.000 francos suizos (véanse los </w:t>
      </w:r>
      <w:r w:rsidRPr="002B0BD5">
        <w:rPr>
          <w:rFonts w:cs="Arial"/>
          <w:b/>
          <w:lang w:val="es-ES_tradnl"/>
        </w:rPr>
        <w:t>Cuadros 1 y 2</w:t>
      </w:r>
      <w:r w:rsidRPr="002B0BD5">
        <w:rPr>
          <w:rFonts w:cs="Arial"/>
          <w:lang w:val="es-ES_tradnl"/>
        </w:rPr>
        <w:t>).</w:t>
      </w:r>
    </w:p>
    <w:p w:rsidR="00FF5D3C" w:rsidRPr="002B0BD5" w:rsidRDefault="00FF5D3C" w:rsidP="00EF2D62">
      <w:pPr>
        <w:rPr>
          <w:rFonts w:cs="Arial"/>
          <w:spacing w:val="-2"/>
          <w:lang w:val="es-ES_tradnl"/>
        </w:rPr>
      </w:pPr>
    </w:p>
    <w:p w:rsidR="00FF5D3C" w:rsidRPr="002B0BD5" w:rsidRDefault="00FF5D3C" w:rsidP="00EF2D62">
      <w:pPr>
        <w:pStyle w:val="Heading4"/>
        <w:rPr>
          <w:lang w:val="es-ES_tradnl"/>
        </w:rPr>
      </w:pPr>
      <w:bookmarkStart w:id="32" w:name="_Toc363577070"/>
      <w:r w:rsidRPr="002B0BD5">
        <w:rPr>
          <w:lang w:val="es-ES_tradnl"/>
        </w:rPr>
        <w:t>Cuadro 1</w:t>
      </w:r>
      <w:proofErr w:type="gramStart"/>
      <w:r w:rsidRPr="002B0BD5">
        <w:rPr>
          <w:lang w:val="es-ES_tradnl"/>
        </w:rPr>
        <w:t>:  Ingresos</w:t>
      </w:r>
      <w:proofErr w:type="gramEnd"/>
      <w:r w:rsidRPr="002B0BD5">
        <w:rPr>
          <w:lang w:val="es-ES_tradnl"/>
        </w:rPr>
        <w:t xml:space="preserve"> y gastos correspondientes a 2010-2011, 2012-2013 y 2014-2015</w:t>
      </w:r>
      <w:bookmarkEnd w:id="32"/>
    </w:p>
    <w:p w:rsidR="00FF5D3C" w:rsidRPr="002B0BD5" w:rsidRDefault="00FF5D3C" w:rsidP="00EF2D62">
      <w:pPr>
        <w:jc w:val="center"/>
        <w:rPr>
          <w:rFonts w:cs="Arial"/>
          <w:lang w:val="es-ES_tradnl"/>
        </w:rPr>
      </w:pPr>
      <w:r w:rsidRPr="002B0BD5">
        <w:rPr>
          <w:rFonts w:cs="Arial"/>
          <w:lang w:val="es-ES_tradnl"/>
        </w:rPr>
        <w:t>(</w:t>
      </w:r>
      <w:proofErr w:type="gramStart"/>
      <w:r w:rsidRPr="002B0BD5">
        <w:rPr>
          <w:rFonts w:cs="Arial"/>
          <w:lang w:val="es-ES_tradnl"/>
        </w:rPr>
        <w:t>en</w:t>
      </w:r>
      <w:proofErr w:type="gramEnd"/>
      <w:r w:rsidRPr="002B0BD5">
        <w:rPr>
          <w:rFonts w:cs="Arial"/>
          <w:lang w:val="es-ES_tradnl"/>
        </w:rPr>
        <w:t xml:space="preserve"> miles de francos suizos)</w:t>
      </w:r>
    </w:p>
    <w:p w:rsidR="00421639" w:rsidRPr="002B0BD5" w:rsidRDefault="00421639" w:rsidP="00EF2D62">
      <w:pPr>
        <w:rPr>
          <w:rFonts w:cs="Arial"/>
          <w:spacing w:val="-2"/>
          <w:lang w:val="es-ES_tradnl"/>
        </w:rPr>
      </w:pPr>
    </w:p>
    <w:tbl>
      <w:tblPr>
        <w:tblW w:w="9356" w:type="dxa"/>
        <w:tblInd w:w="250" w:type="dxa"/>
        <w:tblLook w:val="04A0" w:firstRow="1" w:lastRow="0" w:firstColumn="1" w:lastColumn="0" w:noHBand="0" w:noVBand="1"/>
      </w:tblPr>
      <w:tblGrid>
        <w:gridCol w:w="3758"/>
        <w:gridCol w:w="1198"/>
        <w:gridCol w:w="1339"/>
        <w:gridCol w:w="671"/>
        <w:gridCol w:w="952"/>
        <w:gridCol w:w="1438"/>
      </w:tblGrid>
      <w:tr w:rsidR="005D61AB" w:rsidRPr="003F682E" w:rsidTr="00076151">
        <w:tc>
          <w:tcPr>
            <w:tcW w:w="3758" w:type="dxa"/>
            <w:tcBorders>
              <w:top w:val="single" w:sz="4" w:space="0" w:color="auto"/>
              <w:left w:val="single" w:sz="4" w:space="0" w:color="auto"/>
              <w:bottom w:val="nil"/>
              <w:right w:val="nil"/>
            </w:tcBorders>
            <w:shd w:val="clear" w:color="auto" w:fill="auto"/>
          </w:tcPr>
          <w:p w:rsidR="001856B5" w:rsidRPr="003F682E" w:rsidRDefault="001856B5" w:rsidP="00EF2D62">
            <w:pPr>
              <w:spacing w:after="120"/>
              <w:ind w:firstLineChars="100" w:firstLine="200"/>
              <w:jc w:val="left"/>
              <w:rPr>
                <w:rFonts w:cs="Arial"/>
                <w:i/>
                <w:iCs/>
                <w:lang w:val="es-ES_tradnl"/>
              </w:rPr>
            </w:pPr>
          </w:p>
        </w:tc>
        <w:tc>
          <w:tcPr>
            <w:tcW w:w="1198" w:type="dxa"/>
            <w:tcBorders>
              <w:top w:val="single" w:sz="4" w:space="0" w:color="auto"/>
              <w:left w:val="single" w:sz="4" w:space="0" w:color="auto"/>
              <w:bottom w:val="nil"/>
              <w:right w:val="nil"/>
            </w:tcBorders>
            <w:shd w:val="clear" w:color="auto" w:fill="auto"/>
            <w:hideMark/>
          </w:tcPr>
          <w:p w:rsidR="001856B5" w:rsidRPr="003F682E" w:rsidRDefault="001856B5" w:rsidP="00EF2D62">
            <w:pPr>
              <w:spacing w:after="120"/>
              <w:jc w:val="center"/>
              <w:rPr>
                <w:rFonts w:cs="Arial"/>
                <w:i/>
                <w:iCs/>
                <w:lang w:val="es-ES_tradnl"/>
              </w:rPr>
            </w:pPr>
            <w:r w:rsidRPr="003F682E">
              <w:rPr>
                <w:rFonts w:cs="Arial"/>
                <w:i/>
                <w:iCs/>
                <w:lang w:val="es-ES_tradnl"/>
              </w:rPr>
              <w:t>2010-2011</w:t>
            </w:r>
          </w:p>
        </w:tc>
        <w:tc>
          <w:tcPr>
            <w:tcW w:w="1339" w:type="dxa"/>
            <w:tcBorders>
              <w:top w:val="single" w:sz="4" w:space="0" w:color="auto"/>
              <w:left w:val="single" w:sz="4" w:space="0" w:color="auto"/>
              <w:bottom w:val="nil"/>
              <w:right w:val="nil"/>
            </w:tcBorders>
            <w:shd w:val="clear" w:color="auto" w:fill="auto"/>
            <w:hideMark/>
          </w:tcPr>
          <w:p w:rsidR="001856B5" w:rsidRPr="003F682E" w:rsidRDefault="001856B5" w:rsidP="00EF2D62">
            <w:pPr>
              <w:spacing w:after="120"/>
              <w:jc w:val="center"/>
              <w:rPr>
                <w:rFonts w:cs="Arial"/>
                <w:i/>
                <w:iCs/>
                <w:lang w:val="es-ES_tradnl"/>
              </w:rPr>
            </w:pPr>
            <w:r w:rsidRPr="003F682E">
              <w:rPr>
                <w:rFonts w:cs="Arial"/>
                <w:i/>
                <w:iCs/>
                <w:lang w:val="es-ES_tradnl"/>
              </w:rPr>
              <w:t>2012-2013</w:t>
            </w:r>
          </w:p>
        </w:tc>
        <w:tc>
          <w:tcPr>
            <w:tcW w:w="1623" w:type="dxa"/>
            <w:gridSpan w:val="2"/>
            <w:tcBorders>
              <w:top w:val="single" w:sz="4" w:space="0" w:color="auto"/>
              <w:left w:val="single" w:sz="4" w:space="0" w:color="auto"/>
              <w:bottom w:val="nil"/>
              <w:right w:val="nil"/>
            </w:tcBorders>
            <w:shd w:val="clear" w:color="auto" w:fill="auto"/>
            <w:hideMark/>
          </w:tcPr>
          <w:p w:rsidR="001856B5" w:rsidRPr="003F682E" w:rsidRDefault="001856B5" w:rsidP="00EF2D62">
            <w:pPr>
              <w:spacing w:after="120"/>
              <w:jc w:val="center"/>
              <w:rPr>
                <w:rFonts w:cs="Arial"/>
                <w:i/>
                <w:iCs/>
                <w:lang w:val="es-ES_tradnl"/>
              </w:rPr>
            </w:pPr>
            <w:r w:rsidRPr="003F682E">
              <w:rPr>
                <w:rFonts w:cs="Arial"/>
                <w:i/>
                <w:iCs/>
                <w:lang w:val="es-ES_tradnl"/>
              </w:rPr>
              <w:t>Varia</w:t>
            </w:r>
            <w:r w:rsidR="00076151" w:rsidRPr="003F682E">
              <w:rPr>
                <w:rFonts w:cs="Arial"/>
                <w:i/>
                <w:iCs/>
                <w:lang w:val="es-ES_tradnl"/>
              </w:rPr>
              <w:t>ció</w:t>
            </w:r>
            <w:r w:rsidRPr="003F682E">
              <w:rPr>
                <w:rFonts w:cs="Arial"/>
                <w:i/>
                <w:iCs/>
                <w:lang w:val="es-ES_tradnl"/>
              </w:rPr>
              <w:t>n</w:t>
            </w:r>
          </w:p>
        </w:tc>
        <w:tc>
          <w:tcPr>
            <w:tcW w:w="1438" w:type="dxa"/>
            <w:tcBorders>
              <w:top w:val="single" w:sz="4" w:space="0" w:color="auto"/>
              <w:left w:val="single" w:sz="4" w:space="0" w:color="auto"/>
              <w:bottom w:val="nil"/>
              <w:right w:val="single" w:sz="4" w:space="0" w:color="auto"/>
            </w:tcBorders>
            <w:shd w:val="clear" w:color="auto" w:fill="auto"/>
            <w:hideMark/>
          </w:tcPr>
          <w:p w:rsidR="001856B5" w:rsidRPr="003F682E" w:rsidRDefault="001856B5" w:rsidP="00EF2D62">
            <w:pPr>
              <w:spacing w:after="120"/>
              <w:jc w:val="center"/>
              <w:rPr>
                <w:rFonts w:cs="Arial"/>
                <w:i/>
                <w:iCs/>
                <w:lang w:val="es-ES_tradnl"/>
              </w:rPr>
            </w:pPr>
            <w:r w:rsidRPr="003F682E">
              <w:rPr>
                <w:rFonts w:cs="Arial"/>
                <w:i/>
                <w:iCs/>
                <w:lang w:val="es-ES_tradnl"/>
              </w:rPr>
              <w:t>2014-2015</w:t>
            </w:r>
          </w:p>
        </w:tc>
      </w:tr>
      <w:tr w:rsidR="005D61AB" w:rsidRPr="003F682E" w:rsidTr="00076151">
        <w:trPr>
          <w:trHeight w:val="255"/>
        </w:trPr>
        <w:tc>
          <w:tcPr>
            <w:tcW w:w="3758" w:type="dxa"/>
            <w:tcBorders>
              <w:top w:val="nil"/>
              <w:left w:val="single" w:sz="4" w:space="0" w:color="auto"/>
              <w:bottom w:val="nil"/>
              <w:right w:val="nil"/>
            </w:tcBorders>
            <w:shd w:val="clear" w:color="auto" w:fill="auto"/>
          </w:tcPr>
          <w:p w:rsidR="001856B5" w:rsidRPr="003F682E" w:rsidRDefault="001856B5" w:rsidP="00EF2D62">
            <w:pPr>
              <w:ind w:firstLineChars="100" w:firstLine="200"/>
              <w:jc w:val="left"/>
              <w:rPr>
                <w:rFonts w:cs="Arial"/>
                <w:i/>
                <w:iCs/>
                <w:lang w:val="es-ES_tradnl"/>
              </w:rPr>
            </w:pPr>
          </w:p>
        </w:tc>
        <w:tc>
          <w:tcPr>
            <w:tcW w:w="1198" w:type="dxa"/>
            <w:tcBorders>
              <w:top w:val="nil"/>
              <w:left w:val="single" w:sz="4" w:space="0" w:color="auto"/>
              <w:bottom w:val="nil"/>
              <w:right w:val="nil"/>
            </w:tcBorders>
            <w:shd w:val="clear" w:color="auto" w:fill="auto"/>
            <w:hideMark/>
          </w:tcPr>
          <w:p w:rsidR="001856B5" w:rsidRPr="003F682E" w:rsidRDefault="00FF5D3C" w:rsidP="00EF2D62">
            <w:pPr>
              <w:jc w:val="center"/>
              <w:rPr>
                <w:rFonts w:cs="Arial"/>
                <w:i/>
                <w:iCs/>
                <w:lang w:val="es-ES_tradnl"/>
              </w:rPr>
            </w:pPr>
            <w:r w:rsidRPr="003F682E">
              <w:rPr>
                <w:rFonts w:cs="Arial"/>
                <w:i/>
                <w:iCs/>
                <w:lang w:val="es-ES_tradnl"/>
              </w:rPr>
              <w:t>Real</w:t>
            </w:r>
          </w:p>
        </w:tc>
        <w:tc>
          <w:tcPr>
            <w:tcW w:w="1339" w:type="dxa"/>
            <w:tcBorders>
              <w:top w:val="nil"/>
              <w:left w:val="single" w:sz="4" w:space="0" w:color="auto"/>
              <w:bottom w:val="nil"/>
              <w:right w:val="nil"/>
            </w:tcBorders>
            <w:shd w:val="clear" w:color="auto" w:fill="auto"/>
            <w:hideMark/>
          </w:tcPr>
          <w:p w:rsidR="001856B5" w:rsidRPr="003F682E" w:rsidRDefault="00076151" w:rsidP="00EF2D62">
            <w:pPr>
              <w:jc w:val="center"/>
              <w:rPr>
                <w:rFonts w:cs="Arial"/>
                <w:i/>
                <w:iCs/>
                <w:lang w:val="es-ES_tradnl"/>
              </w:rPr>
            </w:pPr>
            <w:r w:rsidRPr="003F682E">
              <w:rPr>
                <w:rFonts w:cs="Arial"/>
                <w:i/>
                <w:iCs/>
                <w:lang w:val="es-ES_tradnl"/>
              </w:rPr>
              <w:t>Presupuesto</w:t>
            </w:r>
          </w:p>
        </w:tc>
        <w:tc>
          <w:tcPr>
            <w:tcW w:w="671" w:type="dxa"/>
            <w:tcBorders>
              <w:top w:val="nil"/>
              <w:left w:val="single" w:sz="4" w:space="0" w:color="auto"/>
              <w:bottom w:val="single" w:sz="4" w:space="0" w:color="auto"/>
              <w:right w:val="nil"/>
            </w:tcBorders>
            <w:shd w:val="clear" w:color="auto" w:fill="auto"/>
            <w:hideMark/>
          </w:tcPr>
          <w:p w:rsidR="001856B5" w:rsidRPr="003F682E" w:rsidRDefault="001856B5" w:rsidP="00EF2D62">
            <w:pPr>
              <w:rPr>
                <w:rFonts w:cs="Arial"/>
                <w:i/>
                <w:iCs/>
                <w:lang w:val="es-ES_tradnl"/>
              </w:rPr>
            </w:pPr>
            <w:r w:rsidRPr="003F682E">
              <w:rPr>
                <w:rFonts w:cs="Arial"/>
                <w:i/>
                <w:iCs/>
                <w:lang w:val="es-ES_tradnl"/>
              </w:rPr>
              <w:t> </w:t>
            </w:r>
          </w:p>
        </w:tc>
        <w:tc>
          <w:tcPr>
            <w:tcW w:w="952" w:type="dxa"/>
            <w:tcBorders>
              <w:top w:val="nil"/>
              <w:left w:val="nil"/>
              <w:bottom w:val="single" w:sz="4" w:space="0" w:color="auto"/>
              <w:right w:val="nil"/>
            </w:tcBorders>
            <w:shd w:val="clear" w:color="auto" w:fill="auto"/>
            <w:hideMark/>
          </w:tcPr>
          <w:p w:rsidR="001856B5" w:rsidRPr="003F682E" w:rsidRDefault="001856B5" w:rsidP="00EF2D62">
            <w:pPr>
              <w:rPr>
                <w:rFonts w:cs="Arial"/>
                <w:i/>
                <w:iCs/>
                <w:lang w:val="es-ES_tradnl"/>
              </w:rPr>
            </w:pPr>
            <w:r w:rsidRPr="003F682E">
              <w:rPr>
                <w:rFonts w:cs="Arial"/>
                <w:i/>
                <w:iCs/>
                <w:lang w:val="es-ES_tradnl"/>
              </w:rPr>
              <w:t> </w:t>
            </w:r>
          </w:p>
        </w:tc>
        <w:tc>
          <w:tcPr>
            <w:tcW w:w="1438" w:type="dxa"/>
            <w:tcBorders>
              <w:top w:val="nil"/>
              <w:left w:val="single" w:sz="4" w:space="0" w:color="auto"/>
              <w:bottom w:val="nil"/>
              <w:right w:val="single" w:sz="4" w:space="0" w:color="auto"/>
            </w:tcBorders>
            <w:shd w:val="clear" w:color="auto" w:fill="auto"/>
            <w:hideMark/>
          </w:tcPr>
          <w:p w:rsidR="001856B5" w:rsidRPr="003F682E" w:rsidRDefault="001856B5" w:rsidP="00EF2D62">
            <w:pPr>
              <w:jc w:val="center"/>
              <w:rPr>
                <w:rFonts w:cs="Arial"/>
                <w:i/>
                <w:iCs/>
                <w:lang w:val="es-ES_tradnl"/>
              </w:rPr>
            </w:pPr>
            <w:r w:rsidRPr="003F682E">
              <w:rPr>
                <w:rFonts w:cs="Arial"/>
                <w:i/>
                <w:iCs/>
                <w:lang w:val="es-ES_tradnl"/>
              </w:rPr>
              <w:t>Prop</w:t>
            </w:r>
            <w:r w:rsidR="00076151" w:rsidRPr="003F682E">
              <w:rPr>
                <w:rFonts w:cs="Arial"/>
                <w:i/>
                <w:iCs/>
                <w:lang w:val="es-ES_tradnl"/>
              </w:rPr>
              <w:t>uesto</w:t>
            </w:r>
          </w:p>
        </w:tc>
      </w:tr>
      <w:tr w:rsidR="005D61AB" w:rsidRPr="003F682E" w:rsidTr="00076151">
        <w:trPr>
          <w:trHeight w:val="255"/>
        </w:trPr>
        <w:tc>
          <w:tcPr>
            <w:tcW w:w="3758" w:type="dxa"/>
            <w:tcBorders>
              <w:top w:val="nil"/>
              <w:left w:val="single" w:sz="4" w:space="0" w:color="auto"/>
              <w:bottom w:val="single" w:sz="4" w:space="0" w:color="auto"/>
              <w:right w:val="nil"/>
            </w:tcBorders>
            <w:shd w:val="clear" w:color="auto" w:fill="auto"/>
            <w:vAlign w:val="bottom"/>
          </w:tcPr>
          <w:p w:rsidR="001856B5" w:rsidRPr="003F682E" w:rsidRDefault="001856B5" w:rsidP="00EF2D62">
            <w:pPr>
              <w:ind w:firstLineChars="100" w:firstLine="200"/>
              <w:jc w:val="left"/>
              <w:rPr>
                <w:rFonts w:cs="Arial"/>
                <w:i/>
                <w:iCs/>
                <w:lang w:val="es-ES_tradnl"/>
              </w:rPr>
            </w:pPr>
          </w:p>
        </w:tc>
        <w:tc>
          <w:tcPr>
            <w:tcW w:w="1198" w:type="dxa"/>
            <w:tcBorders>
              <w:top w:val="nil"/>
              <w:left w:val="single" w:sz="4" w:space="0" w:color="auto"/>
              <w:bottom w:val="single" w:sz="4" w:space="0" w:color="auto"/>
              <w:right w:val="nil"/>
            </w:tcBorders>
            <w:shd w:val="clear" w:color="auto" w:fill="auto"/>
            <w:vAlign w:val="bottom"/>
            <w:hideMark/>
          </w:tcPr>
          <w:p w:rsidR="001856B5" w:rsidRPr="003F682E" w:rsidRDefault="001856B5" w:rsidP="00EF2D62">
            <w:pPr>
              <w:jc w:val="center"/>
              <w:rPr>
                <w:rFonts w:cs="Arial"/>
                <w:i/>
                <w:iCs/>
                <w:lang w:val="es-ES_tradnl"/>
              </w:rPr>
            </w:pPr>
            <w:r w:rsidRPr="003F682E">
              <w:rPr>
                <w:rFonts w:cs="Arial"/>
                <w:i/>
                <w:iCs/>
                <w:lang w:val="es-ES_tradnl"/>
              </w:rPr>
              <w:t>A</w:t>
            </w:r>
          </w:p>
        </w:tc>
        <w:tc>
          <w:tcPr>
            <w:tcW w:w="1339" w:type="dxa"/>
            <w:tcBorders>
              <w:top w:val="nil"/>
              <w:left w:val="single" w:sz="4" w:space="0" w:color="auto"/>
              <w:bottom w:val="single" w:sz="4" w:space="0" w:color="auto"/>
              <w:right w:val="nil"/>
            </w:tcBorders>
            <w:shd w:val="clear" w:color="auto" w:fill="auto"/>
            <w:vAlign w:val="bottom"/>
            <w:hideMark/>
          </w:tcPr>
          <w:p w:rsidR="001856B5" w:rsidRPr="003F682E" w:rsidRDefault="001856B5" w:rsidP="00EF2D62">
            <w:pPr>
              <w:jc w:val="center"/>
              <w:rPr>
                <w:rFonts w:cs="Arial"/>
                <w:i/>
                <w:iCs/>
                <w:lang w:val="es-ES_tradnl"/>
              </w:rPr>
            </w:pPr>
            <w:r w:rsidRPr="003F682E">
              <w:rPr>
                <w:rFonts w:cs="Arial"/>
                <w:i/>
                <w:iCs/>
                <w:lang w:val="es-ES_tradnl"/>
              </w:rPr>
              <w:t>B</w:t>
            </w:r>
          </w:p>
        </w:tc>
        <w:tc>
          <w:tcPr>
            <w:tcW w:w="671" w:type="dxa"/>
            <w:tcBorders>
              <w:top w:val="nil"/>
              <w:left w:val="single" w:sz="4" w:space="0" w:color="auto"/>
              <w:bottom w:val="single" w:sz="4" w:space="0" w:color="auto"/>
              <w:right w:val="single" w:sz="4" w:space="0" w:color="auto"/>
            </w:tcBorders>
            <w:shd w:val="clear" w:color="auto" w:fill="auto"/>
            <w:vAlign w:val="bottom"/>
            <w:hideMark/>
          </w:tcPr>
          <w:p w:rsidR="001856B5" w:rsidRPr="003F682E" w:rsidRDefault="001856B5" w:rsidP="00EF2D62">
            <w:pPr>
              <w:jc w:val="center"/>
              <w:rPr>
                <w:rFonts w:cs="Arial"/>
                <w:i/>
                <w:iCs/>
                <w:lang w:val="es-ES_tradnl"/>
              </w:rPr>
            </w:pPr>
            <w:r w:rsidRPr="003F682E">
              <w:rPr>
                <w:rFonts w:cs="Arial"/>
                <w:i/>
                <w:iCs/>
                <w:lang w:val="es-ES_tradnl"/>
              </w:rPr>
              <w:t>C</w:t>
            </w:r>
          </w:p>
        </w:tc>
        <w:tc>
          <w:tcPr>
            <w:tcW w:w="952" w:type="dxa"/>
            <w:tcBorders>
              <w:top w:val="nil"/>
              <w:left w:val="nil"/>
              <w:bottom w:val="single" w:sz="4" w:space="0" w:color="auto"/>
              <w:right w:val="nil"/>
            </w:tcBorders>
            <w:shd w:val="clear" w:color="auto" w:fill="auto"/>
            <w:vAlign w:val="bottom"/>
            <w:hideMark/>
          </w:tcPr>
          <w:p w:rsidR="001856B5" w:rsidRPr="003F682E" w:rsidRDefault="001856B5" w:rsidP="00EF2D62">
            <w:pPr>
              <w:jc w:val="center"/>
              <w:rPr>
                <w:rFonts w:cs="Arial"/>
                <w:i/>
                <w:iCs/>
                <w:lang w:val="es-ES_tradnl"/>
              </w:rPr>
            </w:pPr>
            <w:r w:rsidRPr="003F682E">
              <w:rPr>
                <w:rFonts w:cs="Arial"/>
                <w:i/>
                <w:iCs/>
                <w:lang w:val="es-ES_tradnl"/>
              </w:rPr>
              <w:t>C/B</w:t>
            </w:r>
          </w:p>
        </w:tc>
        <w:tc>
          <w:tcPr>
            <w:tcW w:w="1438" w:type="dxa"/>
            <w:tcBorders>
              <w:top w:val="nil"/>
              <w:left w:val="single" w:sz="4" w:space="0" w:color="auto"/>
              <w:bottom w:val="single" w:sz="4" w:space="0" w:color="auto"/>
              <w:right w:val="single" w:sz="4" w:space="0" w:color="auto"/>
            </w:tcBorders>
            <w:shd w:val="clear" w:color="auto" w:fill="auto"/>
            <w:vAlign w:val="bottom"/>
            <w:hideMark/>
          </w:tcPr>
          <w:p w:rsidR="001856B5" w:rsidRPr="003F682E" w:rsidRDefault="001856B5" w:rsidP="00EF2D62">
            <w:pPr>
              <w:jc w:val="center"/>
              <w:rPr>
                <w:rFonts w:cs="Arial"/>
                <w:i/>
                <w:iCs/>
                <w:lang w:val="es-ES_tradnl"/>
              </w:rPr>
            </w:pPr>
            <w:r w:rsidRPr="003F682E">
              <w:rPr>
                <w:rFonts w:cs="Arial"/>
                <w:i/>
                <w:iCs/>
                <w:lang w:val="es-ES_tradnl"/>
              </w:rPr>
              <w:t>D=B+C</w:t>
            </w:r>
          </w:p>
        </w:tc>
      </w:tr>
      <w:tr w:rsidR="005D61AB" w:rsidRPr="003F682E" w:rsidTr="00076151">
        <w:trPr>
          <w:trHeight w:val="240"/>
        </w:trPr>
        <w:tc>
          <w:tcPr>
            <w:tcW w:w="3758" w:type="dxa"/>
            <w:tcBorders>
              <w:top w:val="nil"/>
              <w:left w:val="single" w:sz="4" w:space="0" w:color="auto"/>
              <w:bottom w:val="nil"/>
              <w:right w:val="nil"/>
            </w:tcBorders>
            <w:shd w:val="clear" w:color="auto" w:fill="auto"/>
            <w:hideMark/>
          </w:tcPr>
          <w:p w:rsidR="001856B5" w:rsidRPr="003F682E" w:rsidRDefault="001856B5" w:rsidP="00EF2D62">
            <w:pPr>
              <w:ind w:firstLineChars="100" w:firstLine="200"/>
              <w:jc w:val="left"/>
              <w:rPr>
                <w:rFonts w:cs="Arial"/>
                <w:lang w:val="es-ES_tradnl"/>
              </w:rPr>
            </w:pPr>
            <w:r w:rsidRPr="003F682E">
              <w:rPr>
                <w:rFonts w:cs="Arial"/>
                <w:lang w:val="es-ES_tradnl"/>
              </w:rPr>
              <w:t> </w:t>
            </w:r>
          </w:p>
        </w:tc>
        <w:tc>
          <w:tcPr>
            <w:tcW w:w="1198" w:type="dxa"/>
            <w:tcBorders>
              <w:top w:val="nil"/>
              <w:left w:val="single" w:sz="4" w:space="0" w:color="auto"/>
              <w:bottom w:val="nil"/>
              <w:right w:val="nil"/>
            </w:tcBorders>
            <w:shd w:val="clear" w:color="auto" w:fill="auto"/>
            <w:hideMark/>
          </w:tcPr>
          <w:p w:rsidR="001856B5" w:rsidRPr="003F682E" w:rsidRDefault="001856B5" w:rsidP="00EF2D62">
            <w:pPr>
              <w:rPr>
                <w:rFonts w:cs="Arial"/>
                <w:lang w:val="es-ES_tradnl"/>
              </w:rPr>
            </w:pPr>
            <w:r w:rsidRPr="003F682E">
              <w:rPr>
                <w:rFonts w:cs="Arial"/>
                <w:lang w:val="es-ES_tradnl"/>
              </w:rPr>
              <w:t> </w:t>
            </w:r>
          </w:p>
        </w:tc>
        <w:tc>
          <w:tcPr>
            <w:tcW w:w="1339" w:type="dxa"/>
            <w:tcBorders>
              <w:top w:val="nil"/>
              <w:left w:val="nil"/>
              <w:bottom w:val="nil"/>
              <w:right w:val="nil"/>
            </w:tcBorders>
            <w:shd w:val="clear" w:color="auto" w:fill="auto"/>
            <w:hideMark/>
          </w:tcPr>
          <w:p w:rsidR="001856B5" w:rsidRPr="003F682E" w:rsidRDefault="001856B5" w:rsidP="00EF2D62">
            <w:pPr>
              <w:rPr>
                <w:rFonts w:cs="Arial"/>
                <w:lang w:val="es-ES_tradnl"/>
              </w:rPr>
            </w:pPr>
            <w:r w:rsidRPr="003F682E">
              <w:rPr>
                <w:rFonts w:cs="Arial"/>
                <w:lang w:val="es-ES_tradnl"/>
              </w:rPr>
              <w:t> </w:t>
            </w:r>
          </w:p>
        </w:tc>
        <w:tc>
          <w:tcPr>
            <w:tcW w:w="671" w:type="dxa"/>
            <w:tcBorders>
              <w:top w:val="nil"/>
              <w:left w:val="nil"/>
              <w:bottom w:val="nil"/>
              <w:right w:val="nil"/>
            </w:tcBorders>
            <w:shd w:val="clear" w:color="auto" w:fill="auto"/>
            <w:hideMark/>
          </w:tcPr>
          <w:p w:rsidR="001856B5" w:rsidRPr="003F682E" w:rsidRDefault="001856B5" w:rsidP="00EF2D62">
            <w:pPr>
              <w:rPr>
                <w:rFonts w:cs="Arial"/>
                <w:lang w:val="es-ES_tradnl"/>
              </w:rPr>
            </w:pPr>
            <w:r w:rsidRPr="003F682E">
              <w:rPr>
                <w:rFonts w:cs="Arial"/>
                <w:lang w:val="es-ES_tradnl"/>
              </w:rPr>
              <w:t> </w:t>
            </w:r>
          </w:p>
        </w:tc>
        <w:tc>
          <w:tcPr>
            <w:tcW w:w="952" w:type="dxa"/>
            <w:tcBorders>
              <w:top w:val="nil"/>
              <w:left w:val="nil"/>
              <w:bottom w:val="nil"/>
              <w:right w:val="nil"/>
            </w:tcBorders>
            <w:shd w:val="clear" w:color="auto" w:fill="auto"/>
            <w:hideMark/>
          </w:tcPr>
          <w:p w:rsidR="001856B5" w:rsidRPr="003F682E" w:rsidRDefault="001856B5" w:rsidP="00EF2D62">
            <w:pPr>
              <w:rPr>
                <w:rFonts w:cs="Arial"/>
                <w:lang w:val="es-ES_tradnl"/>
              </w:rPr>
            </w:pPr>
            <w:r w:rsidRPr="003F682E">
              <w:rPr>
                <w:rFonts w:cs="Arial"/>
                <w:lang w:val="es-ES_tradnl"/>
              </w:rPr>
              <w:t> </w:t>
            </w:r>
          </w:p>
        </w:tc>
        <w:tc>
          <w:tcPr>
            <w:tcW w:w="1438" w:type="dxa"/>
            <w:tcBorders>
              <w:top w:val="nil"/>
              <w:left w:val="single" w:sz="4" w:space="0" w:color="auto"/>
              <w:bottom w:val="nil"/>
              <w:right w:val="single" w:sz="4" w:space="0" w:color="auto"/>
            </w:tcBorders>
            <w:shd w:val="clear" w:color="auto" w:fill="auto"/>
            <w:hideMark/>
          </w:tcPr>
          <w:p w:rsidR="001856B5" w:rsidRPr="003F682E" w:rsidRDefault="001856B5" w:rsidP="00EF2D62">
            <w:pPr>
              <w:rPr>
                <w:rFonts w:cs="Arial"/>
                <w:lang w:val="es-ES_tradnl"/>
              </w:rPr>
            </w:pPr>
            <w:r w:rsidRPr="003F682E">
              <w:rPr>
                <w:rFonts w:cs="Arial"/>
                <w:lang w:val="es-ES_tradnl"/>
              </w:rPr>
              <w:t> </w:t>
            </w:r>
          </w:p>
        </w:tc>
      </w:tr>
      <w:tr w:rsidR="005D61AB" w:rsidRPr="003F682E" w:rsidTr="00076151">
        <w:trPr>
          <w:trHeight w:val="315"/>
        </w:trPr>
        <w:tc>
          <w:tcPr>
            <w:tcW w:w="3758" w:type="dxa"/>
            <w:tcBorders>
              <w:top w:val="nil"/>
              <w:left w:val="single" w:sz="4" w:space="0" w:color="auto"/>
              <w:bottom w:val="nil"/>
              <w:right w:val="nil"/>
            </w:tcBorders>
            <w:shd w:val="clear" w:color="auto" w:fill="auto"/>
            <w:vAlign w:val="bottom"/>
            <w:hideMark/>
          </w:tcPr>
          <w:p w:rsidR="00076151" w:rsidRPr="003F682E" w:rsidRDefault="00076151" w:rsidP="00EF2D62">
            <w:pPr>
              <w:jc w:val="left"/>
              <w:rPr>
                <w:rFonts w:cs="Arial"/>
                <w:lang w:val="es-ES_tradnl"/>
              </w:rPr>
            </w:pPr>
            <w:r w:rsidRPr="003F682E">
              <w:rPr>
                <w:rFonts w:cs="Arial"/>
                <w:lang w:val="es-ES_tradnl"/>
              </w:rPr>
              <w:t>1. Ingresos</w:t>
            </w:r>
          </w:p>
        </w:tc>
        <w:tc>
          <w:tcPr>
            <w:tcW w:w="1198" w:type="dxa"/>
            <w:tcBorders>
              <w:top w:val="nil"/>
              <w:left w:val="single" w:sz="4" w:space="0" w:color="auto"/>
              <w:bottom w:val="nil"/>
              <w:right w:val="nil"/>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6</w:t>
            </w:r>
            <w:r w:rsidR="009A6280" w:rsidRPr="003F682E">
              <w:rPr>
                <w:rFonts w:cs="Arial"/>
                <w:lang w:val="es-ES_tradnl"/>
              </w:rPr>
              <w:t>.</w:t>
            </w:r>
            <w:r w:rsidRPr="003F682E">
              <w:rPr>
                <w:rFonts w:cs="Arial"/>
                <w:lang w:val="es-ES_tradnl"/>
              </w:rPr>
              <w:t>901</w:t>
            </w:r>
          </w:p>
        </w:tc>
        <w:tc>
          <w:tcPr>
            <w:tcW w:w="1339" w:type="dxa"/>
            <w:tcBorders>
              <w:top w:val="nil"/>
              <w:left w:val="nil"/>
              <w:bottom w:val="nil"/>
              <w:right w:val="nil"/>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6</w:t>
            </w:r>
            <w:r w:rsidR="009A6280" w:rsidRPr="003F682E">
              <w:rPr>
                <w:rFonts w:cs="Arial"/>
                <w:lang w:val="es-ES_tradnl"/>
              </w:rPr>
              <w:t>.</w:t>
            </w:r>
            <w:r w:rsidRPr="003F682E">
              <w:rPr>
                <w:rFonts w:cs="Arial"/>
                <w:lang w:val="es-ES_tradnl"/>
              </w:rPr>
              <w:t>798</w:t>
            </w:r>
          </w:p>
        </w:tc>
        <w:tc>
          <w:tcPr>
            <w:tcW w:w="671" w:type="dxa"/>
            <w:tcBorders>
              <w:top w:val="nil"/>
              <w:left w:val="nil"/>
              <w:bottom w:val="nil"/>
              <w:right w:val="nil"/>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-4</w:t>
            </w:r>
          </w:p>
        </w:tc>
        <w:tc>
          <w:tcPr>
            <w:tcW w:w="952" w:type="dxa"/>
            <w:tcBorders>
              <w:top w:val="nil"/>
              <w:left w:val="nil"/>
              <w:bottom w:val="nil"/>
              <w:right w:val="nil"/>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-0</w:t>
            </w:r>
            <w:r w:rsidR="009A6280" w:rsidRPr="003F682E">
              <w:rPr>
                <w:rFonts w:cs="Arial"/>
                <w:lang w:val="es-ES_tradnl"/>
              </w:rPr>
              <w:t>,</w:t>
            </w:r>
            <w:r w:rsidRPr="003F682E">
              <w:rPr>
                <w:rFonts w:cs="Arial"/>
                <w:lang w:val="es-ES_tradnl"/>
              </w:rPr>
              <w:t>1%</w:t>
            </w:r>
          </w:p>
        </w:tc>
        <w:tc>
          <w:tcPr>
            <w:tcW w:w="1438" w:type="dxa"/>
            <w:tcBorders>
              <w:top w:val="nil"/>
              <w:left w:val="single" w:sz="4" w:space="0" w:color="auto"/>
              <w:bottom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6</w:t>
            </w:r>
            <w:r w:rsidR="009A6280" w:rsidRPr="003F682E">
              <w:rPr>
                <w:rFonts w:cs="Arial"/>
                <w:lang w:val="es-ES_tradnl"/>
              </w:rPr>
              <w:t>.</w:t>
            </w:r>
            <w:r w:rsidRPr="003F682E">
              <w:rPr>
                <w:rFonts w:cs="Arial"/>
                <w:lang w:val="es-ES_tradnl"/>
              </w:rPr>
              <w:t>794</w:t>
            </w:r>
          </w:p>
        </w:tc>
      </w:tr>
      <w:tr w:rsidR="005D61AB" w:rsidRPr="003F682E" w:rsidTr="00076151">
        <w:trPr>
          <w:trHeight w:val="315"/>
        </w:trPr>
        <w:tc>
          <w:tcPr>
            <w:tcW w:w="3758" w:type="dxa"/>
            <w:tcBorders>
              <w:top w:val="nil"/>
              <w:left w:val="single" w:sz="4" w:space="0" w:color="auto"/>
              <w:bottom w:val="nil"/>
              <w:right w:val="nil"/>
            </w:tcBorders>
            <w:shd w:val="clear" w:color="auto" w:fill="auto"/>
            <w:vAlign w:val="bottom"/>
            <w:hideMark/>
          </w:tcPr>
          <w:p w:rsidR="00076151" w:rsidRPr="003F682E" w:rsidRDefault="00076151" w:rsidP="00EF2D62">
            <w:pPr>
              <w:jc w:val="left"/>
              <w:rPr>
                <w:rFonts w:cs="Arial"/>
                <w:lang w:val="es-ES_tradnl"/>
              </w:rPr>
            </w:pPr>
            <w:r w:rsidRPr="003F682E">
              <w:rPr>
                <w:rFonts w:cs="Arial"/>
                <w:lang w:val="es-ES_tradnl"/>
              </w:rPr>
              <w:t>2. Gastos</w:t>
            </w:r>
          </w:p>
        </w:tc>
        <w:tc>
          <w:tcPr>
            <w:tcW w:w="1198" w:type="dxa"/>
            <w:tcBorders>
              <w:top w:val="nil"/>
              <w:left w:val="single" w:sz="4" w:space="0" w:color="auto"/>
              <w:bottom w:val="nil"/>
              <w:right w:val="nil"/>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6</w:t>
            </w:r>
            <w:r w:rsidR="009A6280" w:rsidRPr="003F682E">
              <w:rPr>
                <w:rFonts w:cs="Arial"/>
                <w:lang w:val="es-ES_tradnl"/>
              </w:rPr>
              <w:t>.</w:t>
            </w:r>
            <w:r w:rsidRPr="003F682E">
              <w:rPr>
                <w:rFonts w:cs="Arial"/>
                <w:lang w:val="es-ES_tradnl"/>
              </w:rPr>
              <w:t>479</w:t>
            </w:r>
          </w:p>
        </w:tc>
        <w:tc>
          <w:tcPr>
            <w:tcW w:w="1339" w:type="dxa"/>
            <w:tcBorders>
              <w:top w:val="nil"/>
              <w:left w:val="nil"/>
              <w:bottom w:val="nil"/>
              <w:right w:val="nil"/>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6</w:t>
            </w:r>
            <w:r w:rsidR="009A6280" w:rsidRPr="003F682E">
              <w:rPr>
                <w:rFonts w:cs="Arial"/>
                <w:lang w:val="es-ES_tradnl"/>
              </w:rPr>
              <w:t>.</w:t>
            </w:r>
            <w:r w:rsidRPr="003F682E">
              <w:rPr>
                <w:rFonts w:cs="Arial"/>
                <w:lang w:val="es-ES_tradnl"/>
              </w:rPr>
              <w:t>798</w:t>
            </w:r>
          </w:p>
        </w:tc>
        <w:tc>
          <w:tcPr>
            <w:tcW w:w="671" w:type="dxa"/>
            <w:tcBorders>
              <w:top w:val="nil"/>
              <w:left w:val="nil"/>
              <w:bottom w:val="nil"/>
              <w:right w:val="nil"/>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-4</w:t>
            </w:r>
          </w:p>
        </w:tc>
        <w:tc>
          <w:tcPr>
            <w:tcW w:w="952" w:type="dxa"/>
            <w:tcBorders>
              <w:top w:val="nil"/>
              <w:left w:val="nil"/>
              <w:bottom w:val="nil"/>
              <w:right w:val="nil"/>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-0</w:t>
            </w:r>
            <w:r w:rsidR="009A6280" w:rsidRPr="003F682E">
              <w:rPr>
                <w:rFonts w:cs="Arial"/>
                <w:lang w:val="es-ES_tradnl"/>
              </w:rPr>
              <w:t>,</w:t>
            </w:r>
            <w:r w:rsidRPr="003F682E">
              <w:rPr>
                <w:rFonts w:cs="Arial"/>
                <w:lang w:val="es-ES_tradnl"/>
              </w:rPr>
              <w:t>1%</w:t>
            </w:r>
          </w:p>
        </w:tc>
        <w:tc>
          <w:tcPr>
            <w:tcW w:w="1438" w:type="dxa"/>
            <w:tcBorders>
              <w:top w:val="nil"/>
              <w:left w:val="single" w:sz="4" w:space="0" w:color="auto"/>
              <w:bottom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6</w:t>
            </w:r>
            <w:r w:rsidR="009A6280" w:rsidRPr="003F682E">
              <w:rPr>
                <w:rFonts w:cs="Arial"/>
                <w:lang w:val="es-ES_tradnl"/>
              </w:rPr>
              <w:t>.</w:t>
            </w:r>
            <w:r w:rsidRPr="003F682E">
              <w:rPr>
                <w:rFonts w:cs="Arial"/>
                <w:lang w:val="es-ES_tradnl"/>
              </w:rPr>
              <w:t>794</w:t>
            </w:r>
          </w:p>
        </w:tc>
      </w:tr>
      <w:tr w:rsidR="005D61AB" w:rsidRPr="003F682E" w:rsidTr="00076151">
        <w:trPr>
          <w:trHeight w:val="315"/>
        </w:trPr>
        <w:tc>
          <w:tcPr>
            <w:tcW w:w="3758" w:type="dxa"/>
            <w:tcBorders>
              <w:top w:val="nil"/>
              <w:left w:val="single" w:sz="4" w:space="0" w:color="auto"/>
              <w:bottom w:val="single" w:sz="4" w:space="0" w:color="auto"/>
              <w:right w:val="nil"/>
            </w:tcBorders>
            <w:shd w:val="clear" w:color="auto" w:fill="auto"/>
            <w:vAlign w:val="bottom"/>
            <w:hideMark/>
          </w:tcPr>
          <w:p w:rsidR="00076151" w:rsidRPr="003F682E" w:rsidRDefault="00076151" w:rsidP="00EF2D62">
            <w:pPr>
              <w:jc w:val="left"/>
              <w:rPr>
                <w:rFonts w:cs="Arial"/>
                <w:b/>
                <w:bCs/>
                <w:lang w:val="es-ES_tradnl"/>
              </w:rPr>
            </w:pPr>
            <w:r w:rsidRPr="003F682E">
              <w:rPr>
                <w:rFonts w:cs="Arial"/>
                <w:b/>
                <w:lang w:val="es-ES_tradnl"/>
              </w:rPr>
              <w:t>Diferencia (1-2)</w:t>
            </w:r>
          </w:p>
        </w:tc>
        <w:tc>
          <w:tcPr>
            <w:tcW w:w="1198" w:type="dxa"/>
            <w:tcBorders>
              <w:top w:val="single" w:sz="4" w:space="0" w:color="auto"/>
              <w:left w:val="single" w:sz="4" w:space="0" w:color="auto"/>
              <w:bottom w:val="single" w:sz="4" w:space="0" w:color="auto"/>
              <w:right w:val="nil"/>
            </w:tcBorders>
            <w:shd w:val="clear" w:color="auto" w:fill="auto"/>
            <w:vAlign w:val="bottom"/>
            <w:hideMark/>
          </w:tcPr>
          <w:p w:rsidR="00076151" w:rsidRPr="003F682E" w:rsidRDefault="00076151" w:rsidP="00EF2D62">
            <w:pPr>
              <w:jc w:val="right"/>
              <w:rPr>
                <w:rFonts w:cs="Arial"/>
                <w:b/>
                <w:bCs/>
                <w:lang w:val="es-ES_tradnl"/>
              </w:rPr>
            </w:pPr>
            <w:r w:rsidRPr="003F682E">
              <w:rPr>
                <w:rFonts w:cs="Arial"/>
                <w:b/>
                <w:bCs/>
                <w:lang w:val="es-ES_tradnl"/>
              </w:rPr>
              <w:t>422</w:t>
            </w:r>
          </w:p>
        </w:tc>
        <w:tc>
          <w:tcPr>
            <w:tcW w:w="1339" w:type="dxa"/>
            <w:tcBorders>
              <w:top w:val="single" w:sz="4" w:space="0" w:color="auto"/>
              <w:left w:val="nil"/>
              <w:bottom w:val="single" w:sz="4" w:space="0" w:color="auto"/>
              <w:right w:val="nil"/>
            </w:tcBorders>
            <w:shd w:val="clear" w:color="auto" w:fill="auto"/>
            <w:vAlign w:val="bottom"/>
            <w:hideMark/>
          </w:tcPr>
          <w:p w:rsidR="00076151" w:rsidRPr="003F682E" w:rsidRDefault="00076151" w:rsidP="00EF2D62">
            <w:pPr>
              <w:jc w:val="right"/>
              <w:rPr>
                <w:rFonts w:cs="Arial"/>
                <w:b/>
                <w:bCs/>
                <w:lang w:val="es-ES_tradnl"/>
              </w:rPr>
            </w:pPr>
            <w:r w:rsidRPr="003F682E">
              <w:rPr>
                <w:rFonts w:cs="Arial"/>
                <w:b/>
                <w:bCs/>
                <w:lang w:val="es-ES_tradnl"/>
              </w:rPr>
              <w:t>-</w:t>
            </w:r>
          </w:p>
        </w:tc>
        <w:tc>
          <w:tcPr>
            <w:tcW w:w="671" w:type="dxa"/>
            <w:tcBorders>
              <w:top w:val="single" w:sz="4" w:space="0" w:color="auto"/>
              <w:left w:val="nil"/>
              <w:bottom w:val="single" w:sz="4" w:space="0" w:color="auto"/>
              <w:right w:val="nil"/>
            </w:tcBorders>
            <w:shd w:val="clear" w:color="auto" w:fill="auto"/>
            <w:vAlign w:val="bottom"/>
            <w:hideMark/>
          </w:tcPr>
          <w:p w:rsidR="00076151" w:rsidRPr="003F682E" w:rsidRDefault="00076151" w:rsidP="00EF2D62">
            <w:pPr>
              <w:jc w:val="right"/>
              <w:rPr>
                <w:rFonts w:cs="Arial"/>
                <w:b/>
                <w:bCs/>
                <w:lang w:val="es-ES_tradnl"/>
              </w:rPr>
            </w:pPr>
            <w:r w:rsidRPr="003F682E">
              <w:rPr>
                <w:rFonts w:cs="Arial"/>
                <w:b/>
                <w:bCs/>
                <w:lang w:val="es-ES_tradnl"/>
              </w:rPr>
              <w:t>-</w:t>
            </w:r>
          </w:p>
        </w:tc>
        <w:tc>
          <w:tcPr>
            <w:tcW w:w="952" w:type="dxa"/>
            <w:tcBorders>
              <w:top w:val="single" w:sz="4" w:space="0" w:color="auto"/>
              <w:left w:val="nil"/>
              <w:bottom w:val="single" w:sz="4" w:space="0" w:color="auto"/>
              <w:right w:val="nil"/>
            </w:tcBorders>
            <w:shd w:val="clear" w:color="auto" w:fill="auto"/>
            <w:vAlign w:val="bottom"/>
            <w:hideMark/>
          </w:tcPr>
          <w:p w:rsidR="00076151" w:rsidRPr="003F682E" w:rsidRDefault="00076151" w:rsidP="00EF2D62">
            <w:pPr>
              <w:jc w:val="right"/>
              <w:rPr>
                <w:rFonts w:cs="Arial"/>
                <w:b/>
                <w:bCs/>
                <w:lang w:val="es-ES_tradnl"/>
              </w:rPr>
            </w:pPr>
            <w:r w:rsidRPr="003F682E">
              <w:rPr>
                <w:rFonts w:cs="Arial"/>
                <w:b/>
                <w:bCs/>
                <w:lang w:val="es-ES_tradnl"/>
              </w:rPr>
              <w:t>0</w:t>
            </w:r>
            <w:r w:rsidR="009A6280" w:rsidRPr="003F682E">
              <w:rPr>
                <w:rFonts w:cs="Arial"/>
                <w:b/>
                <w:bCs/>
                <w:lang w:val="es-ES_tradnl"/>
              </w:rPr>
              <w:t>,</w:t>
            </w:r>
            <w:r w:rsidRPr="003F682E">
              <w:rPr>
                <w:rFonts w:cs="Arial"/>
                <w:b/>
                <w:bCs/>
                <w:lang w:val="es-ES_tradnl"/>
              </w:rPr>
              <w:t>0%</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6151" w:rsidRPr="003F682E" w:rsidRDefault="00076151" w:rsidP="00EF2D62">
            <w:pPr>
              <w:jc w:val="right"/>
              <w:rPr>
                <w:rFonts w:cs="Arial"/>
                <w:b/>
                <w:bCs/>
                <w:lang w:val="es-ES_tradnl"/>
              </w:rPr>
            </w:pPr>
            <w:r w:rsidRPr="003F682E">
              <w:rPr>
                <w:rFonts w:cs="Arial"/>
                <w:b/>
                <w:bCs/>
                <w:lang w:val="es-ES_tradnl"/>
              </w:rPr>
              <w:t>-</w:t>
            </w:r>
          </w:p>
        </w:tc>
      </w:tr>
      <w:tr w:rsidR="005D61AB" w:rsidRPr="003F682E" w:rsidTr="00076151">
        <w:trPr>
          <w:trHeight w:val="255"/>
        </w:trPr>
        <w:tc>
          <w:tcPr>
            <w:tcW w:w="3758" w:type="dxa"/>
            <w:tcBorders>
              <w:top w:val="nil"/>
              <w:left w:val="single" w:sz="4" w:space="0" w:color="auto"/>
              <w:bottom w:val="single" w:sz="4" w:space="0" w:color="auto"/>
              <w:right w:val="nil"/>
            </w:tcBorders>
            <w:shd w:val="clear" w:color="auto" w:fill="auto"/>
            <w:vAlign w:val="bottom"/>
          </w:tcPr>
          <w:p w:rsidR="001856B5" w:rsidRPr="003F682E" w:rsidRDefault="001856B5" w:rsidP="00EF2D62">
            <w:pPr>
              <w:jc w:val="left"/>
              <w:rPr>
                <w:rFonts w:cs="Arial"/>
                <w:b/>
                <w:bCs/>
                <w:lang w:val="es-ES_tradnl"/>
              </w:rPr>
            </w:pPr>
          </w:p>
        </w:tc>
        <w:tc>
          <w:tcPr>
            <w:tcW w:w="1198" w:type="dxa"/>
            <w:tcBorders>
              <w:top w:val="nil"/>
              <w:left w:val="nil"/>
              <w:bottom w:val="single" w:sz="4" w:space="0" w:color="auto"/>
              <w:right w:val="nil"/>
            </w:tcBorders>
            <w:shd w:val="clear" w:color="auto" w:fill="auto"/>
            <w:vAlign w:val="bottom"/>
          </w:tcPr>
          <w:p w:rsidR="001856B5" w:rsidRPr="003F682E" w:rsidRDefault="001856B5" w:rsidP="00EF2D62">
            <w:pPr>
              <w:jc w:val="left"/>
              <w:rPr>
                <w:rFonts w:cs="Arial"/>
                <w:b/>
                <w:bCs/>
                <w:lang w:val="es-ES_tradnl"/>
              </w:rPr>
            </w:pPr>
          </w:p>
        </w:tc>
        <w:tc>
          <w:tcPr>
            <w:tcW w:w="1339" w:type="dxa"/>
            <w:tcBorders>
              <w:top w:val="nil"/>
              <w:left w:val="nil"/>
              <w:bottom w:val="single" w:sz="4" w:space="0" w:color="auto"/>
              <w:right w:val="nil"/>
            </w:tcBorders>
            <w:shd w:val="clear" w:color="auto" w:fill="auto"/>
            <w:vAlign w:val="bottom"/>
          </w:tcPr>
          <w:p w:rsidR="001856B5" w:rsidRPr="003F682E" w:rsidRDefault="001856B5" w:rsidP="00EF2D62">
            <w:pPr>
              <w:jc w:val="left"/>
              <w:rPr>
                <w:rFonts w:cs="Arial"/>
                <w:b/>
                <w:bCs/>
                <w:lang w:val="es-ES_tradnl"/>
              </w:rPr>
            </w:pPr>
          </w:p>
        </w:tc>
        <w:tc>
          <w:tcPr>
            <w:tcW w:w="671" w:type="dxa"/>
            <w:tcBorders>
              <w:top w:val="nil"/>
              <w:left w:val="nil"/>
              <w:bottom w:val="single" w:sz="4" w:space="0" w:color="auto"/>
              <w:right w:val="nil"/>
            </w:tcBorders>
            <w:shd w:val="clear" w:color="auto" w:fill="auto"/>
            <w:vAlign w:val="bottom"/>
          </w:tcPr>
          <w:p w:rsidR="001856B5" w:rsidRPr="003F682E" w:rsidRDefault="001856B5" w:rsidP="00EF2D62">
            <w:pPr>
              <w:jc w:val="left"/>
              <w:rPr>
                <w:rFonts w:cs="Arial"/>
                <w:b/>
                <w:bCs/>
                <w:lang w:val="es-ES_tradnl"/>
              </w:rPr>
            </w:pPr>
          </w:p>
        </w:tc>
        <w:tc>
          <w:tcPr>
            <w:tcW w:w="952" w:type="dxa"/>
            <w:tcBorders>
              <w:top w:val="nil"/>
              <w:left w:val="nil"/>
              <w:bottom w:val="single" w:sz="4" w:space="0" w:color="auto"/>
              <w:right w:val="nil"/>
            </w:tcBorders>
            <w:shd w:val="clear" w:color="auto" w:fill="auto"/>
            <w:vAlign w:val="bottom"/>
          </w:tcPr>
          <w:p w:rsidR="001856B5" w:rsidRPr="003F682E" w:rsidRDefault="001856B5" w:rsidP="00EF2D62">
            <w:pPr>
              <w:jc w:val="left"/>
              <w:rPr>
                <w:rFonts w:cs="Arial"/>
                <w:b/>
                <w:bCs/>
                <w:lang w:val="es-ES_tradnl"/>
              </w:rPr>
            </w:pPr>
          </w:p>
        </w:tc>
        <w:tc>
          <w:tcPr>
            <w:tcW w:w="1438" w:type="dxa"/>
            <w:tcBorders>
              <w:top w:val="nil"/>
              <w:left w:val="single" w:sz="4" w:space="0" w:color="auto"/>
              <w:bottom w:val="single" w:sz="4" w:space="0" w:color="auto"/>
              <w:right w:val="single" w:sz="4" w:space="0" w:color="auto"/>
            </w:tcBorders>
            <w:shd w:val="clear" w:color="auto" w:fill="auto"/>
            <w:vAlign w:val="bottom"/>
          </w:tcPr>
          <w:p w:rsidR="001856B5" w:rsidRPr="003F682E" w:rsidRDefault="001856B5" w:rsidP="00EF2D62">
            <w:pPr>
              <w:jc w:val="left"/>
              <w:rPr>
                <w:rFonts w:cs="Arial"/>
                <w:b/>
                <w:bCs/>
                <w:lang w:val="es-ES_tradnl"/>
              </w:rPr>
            </w:pPr>
          </w:p>
        </w:tc>
      </w:tr>
      <w:tr w:rsidR="005D61AB" w:rsidRPr="003F682E" w:rsidTr="00076151">
        <w:trPr>
          <w:trHeight w:val="270"/>
        </w:trPr>
        <w:tc>
          <w:tcPr>
            <w:tcW w:w="3758" w:type="dxa"/>
            <w:tcBorders>
              <w:top w:val="nil"/>
              <w:left w:val="single" w:sz="4" w:space="0" w:color="auto"/>
              <w:bottom w:val="single" w:sz="4" w:space="0" w:color="auto"/>
              <w:right w:val="nil"/>
            </w:tcBorders>
            <w:shd w:val="clear" w:color="auto" w:fill="auto"/>
            <w:vAlign w:val="bottom"/>
            <w:hideMark/>
          </w:tcPr>
          <w:p w:rsidR="001856B5" w:rsidRPr="003F682E" w:rsidRDefault="001856B5" w:rsidP="00EF2D62">
            <w:pPr>
              <w:jc w:val="left"/>
              <w:rPr>
                <w:rFonts w:cs="Arial"/>
                <w:b/>
                <w:bCs/>
                <w:lang w:val="es-ES_tradnl"/>
              </w:rPr>
            </w:pPr>
            <w:r w:rsidRPr="003F682E">
              <w:rPr>
                <w:rFonts w:cs="Arial"/>
                <w:b/>
                <w:bCs/>
                <w:lang w:val="es-ES_tradnl"/>
              </w:rPr>
              <w:t xml:space="preserve">3. </w:t>
            </w:r>
            <w:r w:rsidR="00076151" w:rsidRPr="003F682E">
              <w:rPr>
                <w:rFonts w:cs="Arial"/>
                <w:b/>
                <w:lang w:val="es-ES_tradnl"/>
              </w:rPr>
              <w:t>Fondo de Operaciones</w:t>
            </w:r>
          </w:p>
        </w:tc>
        <w:tc>
          <w:tcPr>
            <w:tcW w:w="1198" w:type="dxa"/>
            <w:tcBorders>
              <w:top w:val="nil"/>
              <w:left w:val="nil"/>
              <w:bottom w:val="single" w:sz="4" w:space="0" w:color="auto"/>
              <w:right w:val="nil"/>
            </w:tcBorders>
            <w:shd w:val="clear" w:color="auto" w:fill="auto"/>
            <w:vAlign w:val="bottom"/>
            <w:hideMark/>
          </w:tcPr>
          <w:p w:rsidR="001856B5" w:rsidRPr="003F682E" w:rsidRDefault="001856B5" w:rsidP="00EF2D62">
            <w:pPr>
              <w:jc w:val="right"/>
              <w:rPr>
                <w:rFonts w:cs="Arial"/>
                <w:b/>
                <w:bCs/>
                <w:lang w:val="es-ES_tradnl"/>
              </w:rPr>
            </w:pPr>
            <w:r w:rsidRPr="003F682E">
              <w:rPr>
                <w:rFonts w:cs="Arial"/>
                <w:b/>
                <w:bCs/>
                <w:lang w:val="es-ES_tradnl"/>
              </w:rPr>
              <w:t>537</w:t>
            </w:r>
          </w:p>
        </w:tc>
        <w:tc>
          <w:tcPr>
            <w:tcW w:w="1339" w:type="dxa"/>
            <w:tcBorders>
              <w:top w:val="nil"/>
              <w:left w:val="nil"/>
              <w:bottom w:val="single" w:sz="4" w:space="0" w:color="auto"/>
              <w:right w:val="nil"/>
            </w:tcBorders>
            <w:shd w:val="clear" w:color="auto" w:fill="auto"/>
            <w:vAlign w:val="bottom"/>
            <w:hideMark/>
          </w:tcPr>
          <w:p w:rsidR="001856B5" w:rsidRPr="003F682E" w:rsidRDefault="001856B5" w:rsidP="00EF2D62">
            <w:pPr>
              <w:jc w:val="right"/>
              <w:rPr>
                <w:rFonts w:cs="Arial"/>
                <w:b/>
                <w:bCs/>
                <w:lang w:val="es-ES_tradnl"/>
              </w:rPr>
            </w:pPr>
            <w:r w:rsidRPr="003F682E">
              <w:rPr>
                <w:rFonts w:cs="Arial"/>
                <w:b/>
                <w:bCs/>
                <w:lang w:val="es-ES_tradnl"/>
              </w:rPr>
              <w:t>540</w:t>
            </w:r>
          </w:p>
        </w:tc>
        <w:tc>
          <w:tcPr>
            <w:tcW w:w="671" w:type="dxa"/>
            <w:tcBorders>
              <w:top w:val="nil"/>
              <w:left w:val="nil"/>
              <w:bottom w:val="single" w:sz="4" w:space="0" w:color="auto"/>
              <w:right w:val="nil"/>
            </w:tcBorders>
            <w:shd w:val="clear" w:color="auto" w:fill="auto"/>
            <w:vAlign w:val="bottom"/>
            <w:hideMark/>
          </w:tcPr>
          <w:p w:rsidR="001856B5" w:rsidRPr="003F682E" w:rsidRDefault="001856B5" w:rsidP="00EF2D62">
            <w:pPr>
              <w:jc w:val="right"/>
              <w:rPr>
                <w:rFonts w:cs="Arial"/>
                <w:b/>
                <w:bCs/>
                <w:lang w:val="es-ES_tradnl"/>
              </w:rPr>
            </w:pPr>
            <w:r w:rsidRPr="003F682E">
              <w:rPr>
                <w:rFonts w:cs="Arial"/>
                <w:b/>
                <w:bCs/>
                <w:lang w:val="es-ES_tradnl"/>
              </w:rPr>
              <w:t>3</w:t>
            </w:r>
          </w:p>
        </w:tc>
        <w:tc>
          <w:tcPr>
            <w:tcW w:w="952" w:type="dxa"/>
            <w:tcBorders>
              <w:top w:val="nil"/>
              <w:left w:val="nil"/>
              <w:bottom w:val="single" w:sz="4" w:space="0" w:color="auto"/>
              <w:right w:val="nil"/>
            </w:tcBorders>
            <w:shd w:val="clear" w:color="auto" w:fill="auto"/>
            <w:vAlign w:val="bottom"/>
            <w:hideMark/>
          </w:tcPr>
          <w:p w:rsidR="001856B5" w:rsidRPr="003F682E" w:rsidRDefault="001856B5" w:rsidP="00EF2D62">
            <w:pPr>
              <w:jc w:val="right"/>
              <w:rPr>
                <w:rFonts w:cs="Arial"/>
                <w:b/>
                <w:bCs/>
                <w:lang w:val="es-ES_tradnl"/>
              </w:rPr>
            </w:pPr>
            <w:r w:rsidRPr="003F682E">
              <w:rPr>
                <w:rFonts w:cs="Arial"/>
                <w:b/>
                <w:bCs/>
                <w:lang w:val="es-ES_tradnl"/>
              </w:rPr>
              <w:t>0</w:t>
            </w:r>
            <w:r w:rsidR="009A6280" w:rsidRPr="003F682E">
              <w:rPr>
                <w:rFonts w:cs="Arial"/>
                <w:b/>
                <w:bCs/>
                <w:lang w:val="es-ES_tradnl"/>
              </w:rPr>
              <w:t>,</w:t>
            </w:r>
            <w:r w:rsidRPr="003F682E">
              <w:rPr>
                <w:rFonts w:cs="Arial"/>
                <w:b/>
                <w:bCs/>
                <w:lang w:val="es-ES_tradnl"/>
              </w:rPr>
              <w:t>6%</w:t>
            </w:r>
          </w:p>
        </w:tc>
        <w:tc>
          <w:tcPr>
            <w:tcW w:w="1438" w:type="dxa"/>
            <w:tcBorders>
              <w:top w:val="nil"/>
              <w:left w:val="single" w:sz="4" w:space="0" w:color="auto"/>
              <w:bottom w:val="single" w:sz="4" w:space="0" w:color="auto"/>
              <w:right w:val="single" w:sz="4" w:space="0" w:color="auto"/>
            </w:tcBorders>
            <w:shd w:val="clear" w:color="auto" w:fill="auto"/>
            <w:vAlign w:val="bottom"/>
            <w:hideMark/>
          </w:tcPr>
          <w:p w:rsidR="001856B5" w:rsidRPr="003F682E" w:rsidRDefault="001856B5" w:rsidP="00EF2D62">
            <w:pPr>
              <w:jc w:val="right"/>
              <w:rPr>
                <w:rFonts w:cs="Arial"/>
                <w:b/>
                <w:bCs/>
                <w:lang w:val="es-ES_tradnl"/>
              </w:rPr>
            </w:pPr>
            <w:r w:rsidRPr="003F682E">
              <w:rPr>
                <w:rFonts w:cs="Arial"/>
                <w:b/>
                <w:bCs/>
                <w:lang w:val="es-ES_tradnl"/>
              </w:rPr>
              <w:t>543</w:t>
            </w:r>
          </w:p>
        </w:tc>
      </w:tr>
    </w:tbl>
    <w:p w:rsidR="00FF5D3C" w:rsidRDefault="00FF5D3C" w:rsidP="00EF2D62">
      <w:pPr>
        <w:rPr>
          <w:rFonts w:cs="Arial"/>
          <w:spacing w:val="-2"/>
          <w:lang w:val="es-ES_tradnl"/>
        </w:rPr>
      </w:pPr>
    </w:p>
    <w:p w:rsidR="00B859A5" w:rsidRPr="002B0BD5" w:rsidRDefault="00B859A5" w:rsidP="00EF2D62">
      <w:pPr>
        <w:rPr>
          <w:rFonts w:cs="Arial"/>
          <w:spacing w:val="-2"/>
          <w:lang w:val="es-ES_tradnl"/>
        </w:rPr>
      </w:pPr>
    </w:p>
    <w:p w:rsidR="00FF5D3C" w:rsidRPr="002B0BD5" w:rsidRDefault="00FF5D3C" w:rsidP="00EF2D62">
      <w:pPr>
        <w:rPr>
          <w:rFonts w:cs="Arial"/>
          <w:spacing w:val="-2"/>
          <w:lang w:val="es-ES_tradnl"/>
        </w:rPr>
      </w:pPr>
      <w:r w:rsidRPr="002B0BD5">
        <w:rPr>
          <w:rFonts w:cs="Arial"/>
          <w:spacing w:val="-2"/>
          <w:lang w:val="es-ES_tradnl"/>
        </w:rPr>
        <w:t xml:space="preserve">3.2 </w:t>
      </w:r>
      <w:r w:rsidR="00FF08D0" w:rsidRPr="002B0BD5">
        <w:rPr>
          <w:rFonts w:cs="Arial"/>
          <w:spacing w:val="-2"/>
          <w:lang w:val="es-ES_tradnl"/>
        </w:rPr>
        <w:tab/>
      </w:r>
      <w:r w:rsidRPr="002B0BD5">
        <w:rPr>
          <w:rFonts w:cs="Arial"/>
          <w:spacing w:val="-2"/>
          <w:lang w:val="es-ES_tradnl"/>
        </w:rPr>
        <w:t>La cuantía de los gastos estimados es la misma que los ingresos previstos.</w:t>
      </w:r>
    </w:p>
    <w:p w:rsidR="00FF5D3C" w:rsidRPr="002B0BD5" w:rsidRDefault="00FF5D3C" w:rsidP="00EF2D62">
      <w:pPr>
        <w:rPr>
          <w:rFonts w:cs="Arial"/>
          <w:spacing w:val="-2"/>
          <w:lang w:val="es-ES_tradnl"/>
        </w:rPr>
      </w:pPr>
    </w:p>
    <w:p w:rsidR="00FF5D3C" w:rsidRPr="002B0BD5" w:rsidRDefault="00FF5D3C" w:rsidP="00EF2D62">
      <w:pPr>
        <w:rPr>
          <w:rFonts w:cs="Arial"/>
          <w:spacing w:val="-2"/>
          <w:lang w:val="es-ES_tradnl"/>
        </w:rPr>
      </w:pPr>
      <w:r w:rsidRPr="002B0BD5">
        <w:rPr>
          <w:rFonts w:cs="Arial"/>
          <w:spacing w:val="-2"/>
          <w:lang w:val="es-ES_tradnl"/>
        </w:rPr>
        <w:t xml:space="preserve">3.3 </w:t>
      </w:r>
      <w:r w:rsidR="00FF08D0" w:rsidRPr="002B0BD5">
        <w:rPr>
          <w:rFonts w:cs="Arial"/>
          <w:spacing w:val="-2"/>
          <w:lang w:val="es-ES_tradnl"/>
        </w:rPr>
        <w:tab/>
      </w:r>
      <w:r w:rsidRPr="002B0BD5">
        <w:rPr>
          <w:rFonts w:cs="Arial"/>
          <w:spacing w:val="-2"/>
          <w:lang w:val="es-ES_tradnl"/>
        </w:rPr>
        <w:t>Respecto del fondo de reserva, se recuerda que en el artículo 4.6 del “Reglamento Financiero y Reglamentación Financiera de la UPOV”, que figuran en el documento UPOV/INF/4/2, se dispone que “[…] Si, tras el cierre del ejercicio económico, el importe del fondo de reserva supera el 15 por ciento de los ingresos totales del ejercicio económico, se reintegrará el excedente a los miembros de la UPOV a menos que el Consejo decida otra cosa.  Los miembros de la UPOV podrán solicitar que el reintegro que les corresponde se deposite en la cuenta especial o fondo fiduciario que ellos indiquen</w:t>
      </w:r>
      <w:r w:rsidR="00FF2BD6" w:rsidRPr="002B0BD5">
        <w:rPr>
          <w:rFonts w:cs="Arial"/>
          <w:spacing w:val="-2"/>
          <w:lang w:val="es-ES_tradnl"/>
        </w:rPr>
        <w:t>”</w:t>
      </w:r>
      <w:r w:rsidRPr="002B0BD5">
        <w:rPr>
          <w:rFonts w:cs="Arial"/>
          <w:spacing w:val="-2"/>
          <w:lang w:val="es-ES_tradnl"/>
        </w:rPr>
        <w:t>.  Se efectuarán los preparativos necesarios a fin de que el Comité Consultivo y el Consejo consideren si es aplicable esa situación al cierre del ejercicio bienal 2014-2015.</w:t>
      </w:r>
      <w:r w:rsidR="00421639" w:rsidRPr="002B0BD5">
        <w:rPr>
          <w:rFonts w:cs="Arial"/>
          <w:spacing w:val="-2"/>
          <w:lang w:val="es-ES_tradnl"/>
        </w:rPr>
        <w:t xml:space="preserve"> </w:t>
      </w:r>
    </w:p>
    <w:p w:rsidR="00FF5D3C" w:rsidRPr="002B0BD5" w:rsidRDefault="00FF5D3C" w:rsidP="00EF2D62">
      <w:pPr>
        <w:rPr>
          <w:rFonts w:cs="Arial"/>
          <w:spacing w:val="-2"/>
          <w:lang w:val="es-ES_tradnl"/>
        </w:rPr>
      </w:pPr>
    </w:p>
    <w:p w:rsidR="00FF5D3C" w:rsidRPr="002B0BD5" w:rsidRDefault="00FF5D3C" w:rsidP="00EF2D62">
      <w:pPr>
        <w:rPr>
          <w:rFonts w:cs="Arial"/>
          <w:lang w:val="es-ES_tradnl"/>
        </w:rPr>
      </w:pPr>
      <w:r w:rsidRPr="002B0BD5">
        <w:rPr>
          <w:rFonts w:cs="Arial"/>
          <w:spacing w:val="-2"/>
          <w:lang w:val="es-ES_tradnl"/>
        </w:rPr>
        <w:t xml:space="preserve">3.4 </w:t>
      </w:r>
      <w:r w:rsidR="00FF08D0" w:rsidRPr="002B0BD5">
        <w:rPr>
          <w:rFonts w:cs="Arial"/>
          <w:spacing w:val="-2"/>
          <w:lang w:val="es-ES_tradnl"/>
        </w:rPr>
        <w:tab/>
      </w:r>
      <w:r w:rsidRPr="002B0BD5">
        <w:rPr>
          <w:rFonts w:cs="Arial"/>
          <w:spacing w:val="-2"/>
          <w:lang w:val="es-ES_tradnl"/>
        </w:rPr>
        <w:t>Las estimaciones de recursos de personal y recursos no relativos al personal reflejan el estado financiero provisional de 2012.</w:t>
      </w:r>
    </w:p>
    <w:p w:rsidR="00FF5D3C" w:rsidRPr="002B0BD5" w:rsidRDefault="00FF5D3C" w:rsidP="00EF2D62">
      <w:pPr>
        <w:jc w:val="center"/>
        <w:rPr>
          <w:rFonts w:cs="Arial"/>
          <w:spacing w:val="-2"/>
          <w:lang w:val="es-ES_tradnl"/>
        </w:rPr>
      </w:pPr>
    </w:p>
    <w:p w:rsidR="00FF5D3C" w:rsidRPr="002B0BD5" w:rsidRDefault="00FF5D3C" w:rsidP="00EF2D62">
      <w:pPr>
        <w:pStyle w:val="Heading4"/>
        <w:rPr>
          <w:lang w:val="es-ES_tradnl"/>
        </w:rPr>
      </w:pPr>
      <w:bookmarkStart w:id="33" w:name="_Toc363577071"/>
      <w:r w:rsidRPr="002B0BD5">
        <w:rPr>
          <w:lang w:val="es-ES_tradnl"/>
        </w:rPr>
        <w:t>Cuadro 2</w:t>
      </w:r>
      <w:proofErr w:type="gramStart"/>
      <w:r w:rsidRPr="002B0BD5">
        <w:rPr>
          <w:lang w:val="es-ES_tradnl"/>
        </w:rPr>
        <w:t>:  Estructura</w:t>
      </w:r>
      <w:proofErr w:type="gramEnd"/>
      <w:r w:rsidRPr="002B0BD5">
        <w:rPr>
          <w:lang w:val="es-ES_tradnl"/>
        </w:rPr>
        <w:t xml:space="preserve"> del presupuesto propuesto para el bienio 2014-2015 en comparación con los bienios 2010-2011 y 2012-2013</w:t>
      </w:r>
      <w:bookmarkEnd w:id="33"/>
    </w:p>
    <w:p w:rsidR="00FF5D3C" w:rsidRPr="002B0BD5" w:rsidRDefault="00FF5D3C" w:rsidP="00EF2D62">
      <w:pPr>
        <w:jc w:val="center"/>
        <w:rPr>
          <w:rFonts w:cs="Arial"/>
          <w:lang w:val="es-ES_tradnl"/>
        </w:rPr>
      </w:pPr>
      <w:r w:rsidRPr="002B0BD5">
        <w:rPr>
          <w:rFonts w:cs="Arial"/>
          <w:lang w:val="es-ES_tradnl"/>
        </w:rPr>
        <w:t>(</w:t>
      </w:r>
      <w:proofErr w:type="gramStart"/>
      <w:r w:rsidRPr="002B0BD5">
        <w:rPr>
          <w:rFonts w:cs="Arial"/>
          <w:lang w:val="es-ES_tradnl"/>
        </w:rPr>
        <w:t>en</w:t>
      </w:r>
      <w:proofErr w:type="gramEnd"/>
      <w:r w:rsidRPr="002B0BD5">
        <w:rPr>
          <w:rFonts w:cs="Arial"/>
          <w:lang w:val="es-ES_tradnl"/>
        </w:rPr>
        <w:t xml:space="preserve"> miles de francos suizos)</w:t>
      </w:r>
    </w:p>
    <w:p w:rsidR="00792929" w:rsidRPr="002B0BD5" w:rsidRDefault="00792929" w:rsidP="00EF2D62">
      <w:pPr>
        <w:jc w:val="center"/>
        <w:rPr>
          <w:rFonts w:cs="Arial"/>
          <w:lang w:val="es-ES_tradnl"/>
        </w:rPr>
      </w:pPr>
    </w:p>
    <w:tbl>
      <w:tblPr>
        <w:tblW w:w="9228" w:type="dxa"/>
        <w:tblInd w:w="250" w:type="dxa"/>
        <w:tblLook w:val="04A0" w:firstRow="1" w:lastRow="0" w:firstColumn="1" w:lastColumn="0" w:noHBand="0" w:noVBand="1"/>
      </w:tblPr>
      <w:tblGrid>
        <w:gridCol w:w="3645"/>
        <w:gridCol w:w="1266"/>
        <w:gridCol w:w="1339"/>
        <w:gridCol w:w="845"/>
        <w:gridCol w:w="863"/>
        <w:gridCol w:w="1270"/>
      </w:tblGrid>
      <w:tr w:rsidR="005D61AB" w:rsidRPr="003F682E" w:rsidTr="00076151">
        <w:trPr>
          <w:trHeight w:val="255"/>
        </w:trPr>
        <w:tc>
          <w:tcPr>
            <w:tcW w:w="3645" w:type="dxa"/>
            <w:tcBorders>
              <w:top w:val="single" w:sz="4" w:space="0" w:color="auto"/>
              <w:left w:val="single" w:sz="4" w:space="0" w:color="auto"/>
              <w:bottom w:val="nil"/>
              <w:right w:val="nil"/>
            </w:tcBorders>
            <w:shd w:val="clear" w:color="auto" w:fill="auto"/>
            <w:hideMark/>
          </w:tcPr>
          <w:p w:rsidR="001856B5" w:rsidRPr="003F682E" w:rsidRDefault="001856B5" w:rsidP="00EF2D62">
            <w:pPr>
              <w:ind w:firstLineChars="100" w:firstLine="200"/>
              <w:jc w:val="left"/>
              <w:rPr>
                <w:rFonts w:cs="Arial"/>
                <w:lang w:val="es-ES_tradnl"/>
              </w:rPr>
            </w:pPr>
            <w:r w:rsidRPr="003F682E">
              <w:rPr>
                <w:rFonts w:cs="Arial"/>
                <w:lang w:val="es-ES_tradnl"/>
              </w:rPr>
              <w:t> </w:t>
            </w:r>
          </w:p>
        </w:tc>
        <w:tc>
          <w:tcPr>
            <w:tcW w:w="1266" w:type="dxa"/>
            <w:tcBorders>
              <w:top w:val="single" w:sz="4" w:space="0" w:color="auto"/>
              <w:left w:val="single" w:sz="4" w:space="0" w:color="auto"/>
              <w:bottom w:val="nil"/>
              <w:right w:val="single" w:sz="4" w:space="0" w:color="auto"/>
            </w:tcBorders>
            <w:shd w:val="clear" w:color="auto" w:fill="auto"/>
            <w:hideMark/>
          </w:tcPr>
          <w:p w:rsidR="001856B5" w:rsidRPr="003F682E" w:rsidRDefault="001856B5" w:rsidP="00EF2D62">
            <w:pPr>
              <w:jc w:val="center"/>
              <w:rPr>
                <w:rFonts w:cs="Arial"/>
                <w:i/>
                <w:iCs/>
                <w:lang w:val="es-ES_tradnl"/>
              </w:rPr>
            </w:pPr>
            <w:r w:rsidRPr="003F682E">
              <w:rPr>
                <w:rFonts w:cs="Arial"/>
                <w:i/>
                <w:iCs/>
                <w:lang w:val="es-ES_tradnl"/>
              </w:rPr>
              <w:t>2010-2011</w:t>
            </w:r>
          </w:p>
        </w:tc>
        <w:tc>
          <w:tcPr>
            <w:tcW w:w="1339" w:type="dxa"/>
            <w:tcBorders>
              <w:top w:val="single" w:sz="4" w:space="0" w:color="auto"/>
              <w:left w:val="nil"/>
              <w:bottom w:val="nil"/>
              <w:right w:val="single" w:sz="4" w:space="0" w:color="auto"/>
            </w:tcBorders>
            <w:shd w:val="clear" w:color="auto" w:fill="auto"/>
            <w:hideMark/>
          </w:tcPr>
          <w:p w:rsidR="001856B5" w:rsidRPr="003F682E" w:rsidRDefault="001856B5" w:rsidP="00EF2D62">
            <w:pPr>
              <w:jc w:val="center"/>
              <w:rPr>
                <w:rFonts w:cs="Arial"/>
                <w:i/>
                <w:iCs/>
                <w:lang w:val="es-ES_tradnl"/>
              </w:rPr>
            </w:pPr>
            <w:r w:rsidRPr="003F682E">
              <w:rPr>
                <w:rFonts w:cs="Arial"/>
                <w:i/>
                <w:iCs/>
                <w:lang w:val="es-ES_tradnl"/>
              </w:rPr>
              <w:t>2012-2013</w:t>
            </w:r>
          </w:p>
        </w:tc>
        <w:tc>
          <w:tcPr>
            <w:tcW w:w="1708" w:type="dxa"/>
            <w:gridSpan w:val="2"/>
            <w:tcBorders>
              <w:top w:val="single" w:sz="4" w:space="0" w:color="auto"/>
              <w:left w:val="nil"/>
              <w:bottom w:val="nil"/>
              <w:right w:val="single" w:sz="4" w:space="0" w:color="000000"/>
            </w:tcBorders>
            <w:shd w:val="clear" w:color="auto" w:fill="auto"/>
            <w:hideMark/>
          </w:tcPr>
          <w:p w:rsidR="001856B5" w:rsidRPr="003F682E" w:rsidRDefault="001856B5" w:rsidP="00EF2D62">
            <w:pPr>
              <w:jc w:val="center"/>
              <w:rPr>
                <w:rFonts w:cs="Arial"/>
                <w:i/>
                <w:iCs/>
                <w:lang w:val="es-ES_tradnl"/>
              </w:rPr>
            </w:pPr>
            <w:r w:rsidRPr="003F682E">
              <w:rPr>
                <w:rFonts w:cs="Arial"/>
                <w:i/>
                <w:iCs/>
                <w:lang w:val="es-ES_tradnl"/>
              </w:rPr>
              <w:t>Varia</w:t>
            </w:r>
            <w:r w:rsidR="00076151" w:rsidRPr="003F682E">
              <w:rPr>
                <w:rFonts w:cs="Arial"/>
                <w:i/>
                <w:iCs/>
                <w:lang w:val="es-ES_tradnl"/>
              </w:rPr>
              <w:t>ció</w:t>
            </w:r>
            <w:r w:rsidRPr="003F682E">
              <w:rPr>
                <w:rFonts w:cs="Arial"/>
                <w:i/>
                <w:iCs/>
                <w:lang w:val="es-ES_tradnl"/>
              </w:rPr>
              <w:t>n</w:t>
            </w:r>
          </w:p>
        </w:tc>
        <w:tc>
          <w:tcPr>
            <w:tcW w:w="1270" w:type="dxa"/>
            <w:tcBorders>
              <w:top w:val="single" w:sz="4" w:space="0" w:color="auto"/>
              <w:left w:val="nil"/>
              <w:bottom w:val="nil"/>
              <w:right w:val="single" w:sz="4" w:space="0" w:color="auto"/>
            </w:tcBorders>
            <w:shd w:val="clear" w:color="auto" w:fill="auto"/>
            <w:hideMark/>
          </w:tcPr>
          <w:p w:rsidR="001856B5" w:rsidRPr="003F682E" w:rsidRDefault="001856B5" w:rsidP="00EF2D62">
            <w:pPr>
              <w:jc w:val="center"/>
              <w:rPr>
                <w:rFonts w:cs="Arial"/>
                <w:i/>
                <w:iCs/>
                <w:lang w:val="es-ES_tradnl"/>
              </w:rPr>
            </w:pPr>
            <w:r w:rsidRPr="003F682E">
              <w:rPr>
                <w:rFonts w:cs="Arial"/>
                <w:i/>
                <w:iCs/>
                <w:lang w:val="es-ES_tradnl"/>
              </w:rPr>
              <w:t>2014-2015</w:t>
            </w:r>
          </w:p>
        </w:tc>
      </w:tr>
      <w:tr w:rsidR="005D61AB" w:rsidRPr="003F682E" w:rsidTr="00076151">
        <w:trPr>
          <w:trHeight w:val="255"/>
        </w:trPr>
        <w:tc>
          <w:tcPr>
            <w:tcW w:w="3645" w:type="dxa"/>
            <w:tcBorders>
              <w:top w:val="nil"/>
              <w:left w:val="single" w:sz="4" w:space="0" w:color="auto"/>
              <w:bottom w:val="nil"/>
              <w:right w:val="nil"/>
            </w:tcBorders>
            <w:shd w:val="clear" w:color="auto" w:fill="auto"/>
            <w:hideMark/>
          </w:tcPr>
          <w:p w:rsidR="001856B5" w:rsidRPr="003F682E" w:rsidRDefault="001856B5" w:rsidP="00EF2D62">
            <w:pPr>
              <w:ind w:firstLineChars="100" w:firstLine="200"/>
              <w:jc w:val="left"/>
              <w:rPr>
                <w:rFonts w:cs="Arial"/>
                <w:lang w:val="es-ES_tradnl"/>
              </w:rPr>
            </w:pPr>
            <w:r w:rsidRPr="003F682E">
              <w:rPr>
                <w:rFonts w:cs="Arial"/>
                <w:lang w:val="es-ES_tradnl"/>
              </w:rPr>
              <w:t> </w:t>
            </w:r>
          </w:p>
        </w:tc>
        <w:tc>
          <w:tcPr>
            <w:tcW w:w="1266" w:type="dxa"/>
            <w:tcBorders>
              <w:top w:val="nil"/>
              <w:left w:val="single" w:sz="4" w:space="0" w:color="auto"/>
              <w:bottom w:val="nil"/>
              <w:right w:val="single" w:sz="4" w:space="0" w:color="auto"/>
            </w:tcBorders>
            <w:shd w:val="clear" w:color="auto" w:fill="auto"/>
            <w:hideMark/>
          </w:tcPr>
          <w:p w:rsidR="001856B5" w:rsidRPr="003F682E" w:rsidRDefault="00FF5D3C" w:rsidP="00EF2D62">
            <w:pPr>
              <w:jc w:val="center"/>
              <w:rPr>
                <w:rFonts w:cs="Arial"/>
                <w:i/>
                <w:iCs/>
                <w:lang w:val="es-ES_tradnl"/>
              </w:rPr>
            </w:pPr>
            <w:r w:rsidRPr="003F682E">
              <w:rPr>
                <w:rFonts w:cs="Arial"/>
                <w:i/>
                <w:iCs/>
                <w:lang w:val="es-ES_tradnl"/>
              </w:rPr>
              <w:t>Real</w:t>
            </w:r>
          </w:p>
        </w:tc>
        <w:tc>
          <w:tcPr>
            <w:tcW w:w="1339" w:type="dxa"/>
            <w:tcBorders>
              <w:top w:val="nil"/>
              <w:left w:val="nil"/>
              <w:bottom w:val="nil"/>
              <w:right w:val="single" w:sz="4" w:space="0" w:color="auto"/>
            </w:tcBorders>
            <w:shd w:val="clear" w:color="auto" w:fill="auto"/>
            <w:hideMark/>
          </w:tcPr>
          <w:p w:rsidR="001856B5" w:rsidRPr="003F682E" w:rsidRDefault="00076151" w:rsidP="00EF2D62">
            <w:pPr>
              <w:jc w:val="center"/>
              <w:rPr>
                <w:rFonts w:cs="Arial"/>
                <w:i/>
                <w:iCs/>
                <w:lang w:val="es-ES_tradnl"/>
              </w:rPr>
            </w:pPr>
            <w:r w:rsidRPr="003F682E">
              <w:rPr>
                <w:rFonts w:cs="Arial"/>
                <w:i/>
                <w:iCs/>
                <w:lang w:val="es-ES_tradnl"/>
              </w:rPr>
              <w:t>Presupuesto</w:t>
            </w:r>
          </w:p>
        </w:tc>
        <w:tc>
          <w:tcPr>
            <w:tcW w:w="845" w:type="dxa"/>
            <w:tcBorders>
              <w:top w:val="nil"/>
              <w:left w:val="nil"/>
              <w:bottom w:val="single" w:sz="4" w:space="0" w:color="auto"/>
              <w:right w:val="nil"/>
            </w:tcBorders>
            <w:shd w:val="clear" w:color="auto" w:fill="auto"/>
            <w:hideMark/>
          </w:tcPr>
          <w:p w:rsidR="001856B5" w:rsidRPr="003F682E" w:rsidRDefault="001856B5" w:rsidP="00EF2D62">
            <w:pPr>
              <w:jc w:val="right"/>
              <w:rPr>
                <w:rFonts w:cs="Arial"/>
                <w:i/>
                <w:iCs/>
                <w:lang w:val="es-ES_tradnl"/>
              </w:rPr>
            </w:pPr>
            <w:r w:rsidRPr="003F682E">
              <w:rPr>
                <w:rFonts w:cs="Arial"/>
                <w:i/>
                <w:iCs/>
                <w:lang w:val="es-ES_tradnl"/>
              </w:rPr>
              <w:t> </w:t>
            </w:r>
          </w:p>
        </w:tc>
        <w:tc>
          <w:tcPr>
            <w:tcW w:w="863" w:type="dxa"/>
            <w:tcBorders>
              <w:top w:val="nil"/>
              <w:left w:val="nil"/>
              <w:bottom w:val="single" w:sz="4" w:space="0" w:color="auto"/>
              <w:right w:val="single" w:sz="4" w:space="0" w:color="auto"/>
            </w:tcBorders>
            <w:shd w:val="clear" w:color="auto" w:fill="auto"/>
            <w:hideMark/>
          </w:tcPr>
          <w:p w:rsidR="001856B5" w:rsidRPr="003F682E" w:rsidRDefault="001856B5" w:rsidP="00EF2D62">
            <w:pPr>
              <w:rPr>
                <w:rFonts w:cs="Arial"/>
                <w:i/>
                <w:iCs/>
                <w:lang w:val="es-ES_tradnl"/>
              </w:rPr>
            </w:pPr>
            <w:r w:rsidRPr="003F682E">
              <w:rPr>
                <w:rFonts w:cs="Arial"/>
                <w:i/>
                <w:iCs/>
                <w:lang w:val="es-ES_tradnl"/>
              </w:rPr>
              <w:t> </w:t>
            </w:r>
          </w:p>
        </w:tc>
        <w:tc>
          <w:tcPr>
            <w:tcW w:w="1270" w:type="dxa"/>
            <w:tcBorders>
              <w:top w:val="nil"/>
              <w:left w:val="nil"/>
              <w:bottom w:val="nil"/>
              <w:right w:val="single" w:sz="4" w:space="0" w:color="auto"/>
            </w:tcBorders>
            <w:shd w:val="clear" w:color="auto" w:fill="auto"/>
            <w:hideMark/>
          </w:tcPr>
          <w:p w:rsidR="001856B5" w:rsidRPr="003F682E" w:rsidRDefault="001856B5" w:rsidP="00EF2D62">
            <w:pPr>
              <w:jc w:val="center"/>
              <w:rPr>
                <w:rFonts w:cs="Arial"/>
                <w:i/>
                <w:iCs/>
                <w:lang w:val="es-ES_tradnl"/>
              </w:rPr>
            </w:pPr>
            <w:r w:rsidRPr="003F682E">
              <w:rPr>
                <w:rFonts w:cs="Arial"/>
                <w:i/>
                <w:iCs/>
                <w:lang w:val="es-ES_tradnl"/>
              </w:rPr>
              <w:t>Prop</w:t>
            </w:r>
            <w:r w:rsidR="00076151" w:rsidRPr="003F682E">
              <w:rPr>
                <w:rFonts w:cs="Arial"/>
                <w:i/>
                <w:iCs/>
                <w:lang w:val="es-ES_tradnl"/>
              </w:rPr>
              <w:t>uesto</w:t>
            </w:r>
          </w:p>
        </w:tc>
      </w:tr>
      <w:tr w:rsidR="005D61AB" w:rsidRPr="003F682E" w:rsidTr="00076151">
        <w:trPr>
          <w:trHeight w:val="255"/>
        </w:trPr>
        <w:tc>
          <w:tcPr>
            <w:tcW w:w="3645" w:type="dxa"/>
            <w:tcBorders>
              <w:top w:val="nil"/>
              <w:left w:val="single" w:sz="4" w:space="0" w:color="auto"/>
              <w:bottom w:val="single" w:sz="4" w:space="0" w:color="auto"/>
              <w:right w:val="nil"/>
            </w:tcBorders>
            <w:shd w:val="clear" w:color="auto" w:fill="auto"/>
            <w:hideMark/>
          </w:tcPr>
          <w:p w:rsidR="001856B5" w:rsidRPr="003F682E" w:rsidRDefault="001856B5" w:rsidP="00EF2D62">
            <w:pPr>
              <w:ind w:firstLineChars="100" w:firstLine="200"/>
              <w:jc w:val="left"/>
              <w:rPr>
                <w:rFonts w:cs="Arial"/>
                <w:lang w:val="es-ES_tradnl"/>
              </w:rPr>
            </w:pPr>
            <w:r w:rsidRPr="003F682E">
              <w:rPr>
                <w:rFonts w:cs="Arial"/>
                <w:lang w:val="es-ES_tradnl"/>
              </w:rPr>
              <w:t> </w:t>
            </w:r>
          </w:p>
        </w:tc>
        <w:tc>
          <w:tcPr>
            <w:tcW w:w="1266" w:type="dxa"/>
            <w:tcBorders>
              <w:top w:val="nil"/>
              <w:left w:val="single" w:sz="4" w:space="0" w:color="auto"/>
              <w:bottom w:val="single" w:sz="4" w:space="0" w:color="auto"/>
              <w:right w:val="single" w:sz="4" w:space="0" w:color="auto"/>
            </w:tcBorders>
            <w:shd w:val="clear" w:color="auto" w:fill="auto"/>
            <w:vAlign w:val="bottom"/>
            <w:hideMark/>
          </w:tcPr>
          <w:p w:rsidR="001856B5" w:rsidRPr="003F682E" w:rsidRDefault="001856B5" w:rsidP="00EF2D62">
            <w:pPr>
              <w:jc w:val="center"/>
              <w:rPr>
                <w:rFonts w:cs="Arial"/>
                <w:i/>
                <w:iCs/>
                <w:lang w:val="es-ES_tradnl"/>
              </w:rPr>
            </w:pPr>
            <w:r w:rsidRPr="003F682E">
              <w:rPr>
                <w:rFonts w:cs="Arial"/>
                <w:i/>
                <w:iCs/>
                <w:lang w:val="es-ES_tradnl"/>
              </w:rPr>
              <w:t>A</w:t>
            </w:r>
          </w:p>
        </w:tc>
        <w:tc>
          <w:tcPr>
            <w:tcW w:w="1339" w:type="dxa"/>
            <w:tcBorders>
              <w:top w:val="nil"/>
              <w:left w:val="nil"/>
              <w:bottom w:val="single" w:sz="4" w:space="0" w:color="auto"/>
              <w:right w:val="single" w:sz="4" w:space="0" w:color="auto"/>
            </w:tcBorders>
            <w:shd w:val="clear" w:color="auto" w:fill="auto"/>
            <w:vAlign w:val="bottom"/>
            <w:hideMark/>
          </w:tcPr>
          <w:p w:rsidR="001856B5" w:rsidRPr="003F682E" w:rsidRDefault="001856B5" w:rsidP="00EF2D62">
            <w:pPr>
              <w:jc w:val="center"/>
              <w:rPr>
                <w:rFonts w:cs="Arial"/>
                <w:i/>
                <w:iCs/>
                <w:lang w:val="es-ES_tradnl"/>
              </w:rPr>
            </w:pPr>
            <w:r w:rsidRPr="003F682E">
              <w:rPr>
                <w:rFonts w:cs="Arial"/>
                <w:i/>
                <w:iCs/>
                <w:lang w:val="es-ES_tradnl"/>
              </w:rPr>
              <w:t>B</w:t>
            </w:r>
          </w:p>
        </w:tc>
        <w:tc>
          <w:tcPr>
            <w:tcW w:w="845" w:type="dxa"/>
            <w:tcBorders>
              <w:top w:val="nil"/>
              <w:left w:val="nil"/>
              <w:bottom w:val="single" w:sz="4" w:space="0" w:color="auto"/>
              <w:right w:val="nil"/>
            </w:tcBorders>
            <w:shd w:val="clear" w:color="auto" w:fill="auto"/>
            <w:vAlign w:val="bottom"/>
            <w:hideMark/>
          </w:tcPr>
          <w:p w:rsidR="001856B5" w:rsidRPr="003F682E" w:rsidRDefault="001856B5" w:rsidP="00EF2D62">
            <w:pPr>
              <w:jc w:val="center"/>
              <w:rPr>
                <w:rFonts w:cs="Arial"/>
                <w:i/>
                <w:iCs/>
                <w:lang w:val="es-ES_tradnl"/>
              </w:rPr>
            </w:pPr>
            <w:r w:rsidRPr="003F682E">
              <w:rPr>
                <w:rFonts w:cs="Arial"/>
                <w:i/>
                <w:iCs/>
                <w:lang w:val="es-ES_tradnl"/>
              </w:rPr>
              <w:t>C</w:t>
            </w:r>
          </w:p>
        </w:tc>
        <w:tc>
          <w:tcPr>
            <w:tcW w:w="863" w:type="dxa"/>
            <w:tcBorders>
              <w:top w:val="nil"/>
              <w:left w:val="nil"/>
              <w:bottom w:val="single" w:sz="4" w:space="0" w:color="auto"/>
              <w:right w:val="nil"/>
            </w:tcBorders>
            <w:shd w:val="clear" w:color="auto" w:fill="auto"/>
            <w:vAlign w:val="bottom"/>
            <w:hideMark/>
          </w:tcPr>
          <w:p w:rsidR="001856B5" w:rsidRPr="003F682E" w:rsidRDefault="001856B5" w:rsidP="00EF2D62">
            <w:pPr>
              <w:jc w:val="center"/>
              <w:rPr>
                <w:rFonts w:cs="Arial"/>
                <w:i/>
                <w:iCs/>
                <w:lang w:val="es-ES_tradnl"/>
              </w:rPr>
            </w:pPr>
            <w:r w:rsidRPr="003F682E">
              <w:rPr>
                <w:rFonts w:cs="Arial"/>
                <w:i/>
                <w:iCs/>
                <w:lang w:val="es-ES_tradnl"/>
              </w:rPr>
              <w:t>C/B</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6B5" w:rsidRPr="003F682E" w:rsidRDefault="000D7C2D" w:rsidP="00EF2D62">
            <w:pPr>
              <w:jc w:val="center"/>
              <w:rPr>
                <w:rFonts w:cs="Arial"/>
                <w:i/>
                <w:iCs/>
                <w:lang w:val="es-ES_tradnl"/>
              </w:rPr>
            </w:pPr>
            <w:r w:rsidRPr="003F682E">
              <w:rPr>
                <w:rFonts w:cs="Arial"/>
                <w:i/>
                <w:iCs/>
                <w:lang w:val="es-ES_tradnl"/>
              </w:rPr>
              <w:t>D=B+C</w:t>
            </w:r>
          </w:p>
        </w:tc>
      </w:tr>
      <w:tr w:rsidR="005D61AB" w:rsidRPr="003F682E" w:rsidTr="00076151">
        <w:trPr>
          <w:trHeight w:val="255"/>
        </w:trPr>
        <w:tc>
          <w:tcPr>
            <w:tcW w:w="3645" w:type="dxa"/>
            <w:tcBorders>
              <w:top w:val="nil"/>
              <w:left w:val="single" w:sz="4" w:space="0" w:color="auto"/>
              <w:bottom w:val="nil"/>
              <w:right w:val="nil"/>
            </w:tcBorders>
            <w:shd w:val="clear" w:color="auto" w:fill="auto"/>
            <w:hideMark/>
          </w:tcPr>
          <w:p w:rsidR="001856B5" w:rsidRPr="003F682E" w:rsidRDefault="001856B5" w:rsidP="00EF2D62">
            <w:pPr>
              <w:ind w:firstLineChars="100" w:firstLine="200"/>
              <w:jc w:val="left"/>
              <w:rPr>
                <w:rFonts w:cs="Arial"/>
                <w:lang w:val="es-ES_tradnl"/>
              </w:rPr>
            </w:pPr>
            <w:r w:rsidRPr="003F682E">
              <w:rPr>
                <w:rFonts w:cs="Arial"/>
                <w:lang w:val="es-ES_tradnl"/>
              </w:rPr>
              <w:t> </w:t>
            </w:r>
          </w:p>
        </w:tc>
        <w:tc>
          <w:tcPr>
            <w:tcW w:w="1266" w:type="dxa"/>
            <w:tcBorders>
              <w:top w:val="nil"/>
              <w:left w:val="nil"/>
              <w:bottom w:val="nil"/>
              <w:right w:val="nil"/>
            </w:tcBorders>
            <w:shd w:val="clear" w:color="auto" w:fill="auto"/>
            <w:hideMark/>
          </w:tcPr>
          <w:p w:rsidR="001856B5" w:rsidRPr="003F682E" w:rsidRDefault="001856B5" w:rsidP="00EF2D62">
            <w:pPr>
              <w:rPr>
                <w:rFonts w:cs="Arial"/>
                <w:lang w:val="es-ES_tradnl"/>
              </w:rPr>
            </w:pPr>
          </w:p>
        </w:tc>
        <w:tc>
          <w:tcPr>
            <w:tcW w:w="1339" w:type="dxa"/>
            <w:tcBorders>
              <w:top w:val="nil"/>
              <w:left w:val="nil"/>
              <w:bottom w:val="nil"/>
              <w:right w:val="nil"/>
            </w:tcBorders>
            <w:shd w:val="clear" w:color="auto" w:fill="auto"/>
            <w:hideMark/>
          </w:tcPr>
          <w:p w:rsidR="001856B5" w:rsidRPr="003F682E" w:rsidRDefault="001856B5" w:rsidP="00EF2D62">
            <w:pPr>
              <w:rPr>
                <w:rFonts w:cs="Arial"/>
                <w:lang w:val="es-ES_tradnl"/>
              </w:rPr>
            </w:pPr>
          </w:p>
        </w:tc>
        <w:tc>
          <w:tcPr>
            <w:tcW w:w="845" w:type="dxa"/>
            <w:tcBorders>
              <w:top w:val="nil"/>
              <w:left w:val="single" w:sz="4" w:space="0" w:color="auto"/>
              <w:bottom w:val="nil"/>
              <w:right w:val="nil"/>
            </w:tcBorders>
            <w:shd w:val="clear" w:color="auto" w:fill="auto"/>
            <w:hideMark/>
          </w:tcPr>
          <w:p w:rsidR="001856B5" w:rsidRPr="003F682E" w:rsidRDefault="001856B5" w:rsidP="00EF2D62">
            <w:pPr>
              <w:jc w:val="right"/>
              <w:rPr>
                <w:rFonts w:cs="Arial"/>
                <w:lang w:val="es-ES_tradnl"/>
              </w:rPr>
            </w:pPr>
            <w:r w:rsidRPr="003F682E">
              <w:rPr>
                <w:rFonts w:cs="Arial"/>
                <w:lang w:val="es-ES_tradnl"/>
              </w:rPr>
              <w:t> </w:t>
            </w:r>
          </w:p>
        </w:tc>
        <w:tc>
          <w:tcPr>
            <w:tcW w:w="863" w:type="dxa"/>
            <w:tcBorders>
              <w:top w:val="nil"/>
              <w:left w:val="nil"/>
              <w:bottom w:val="nil"/>
              <w:right w:val="nil"/>
            </w:tcBorders>
            <w:shd w:val="clear" w:color="auto" w:fill="auto"/>
            <w:hideMark/>
          </w:tcPr>
          <w:p w:rsidR="001856B5" w:rsidRPr="003F682E" w:rsidRDefault="001856B5" w:rsidP="00EF2D62">
            <w:pPr>
              <w:rPr>
                <w:rFonts w:cs="Arial"/>
                <w:lang w:val="es-ES_tradnl"/>
              </w:rPr>
            </w:pPr>
          </w:p>
        </w:tc>
        <w:tc>
          <w:tcPr>
            <w:tcW w:w="1270" w:type="dxa"/>
            <w:tcBorders>
              <w:top w:val="nil"/>
              <w:left w:val="nil"/>
              <w:bottom w:val="nil"/>
              <w:right w:val="single" w:sz="4" w:space="0" w:color="auto"/>
            </w:tcBorders>
            <w:shd w:val="clear" w:color="auto" w:fill="auto"/>
            <w:hideMark/>
          </w:tcPr>
          <w:p w:rsidR="001856B5" w:rsidRPr="003F682E" w:rsidRDefault="001856B5" w:rsidP="00EF2D62">
            <w:pPr>
              <w:rPr>
                <w:rFonts w:cs="Arial"/>
                <w:lang w:val="es-ES_tradnl"/>
              </w:rPr>
            </w:pPr>
            <w:r w:rsidRPr="003F682E">
              <w:rPr>
                <w:rFonts w:cs="Arial"/>
                <w:lang w:val="es-ES_tradnl"/>
              </w:rPr>
              <w:t> </w:t>
            </w:r>
          </w:p>
        </w:tc>
      </w:tr>
      <w:tr w:rsidR="005D61AB" w:rsidRPr="003F682E" w:rsidTr="00076151">
        <w:trPr>
          <w:trHeight w:val="369"/>
        </w:trPr>
        <w:tc>
          <w:tcPr>
            <w:tcW w:w="3645" w:type="dxa"/>
            <w:tcBorders>
              <w:top w:val="nil"/>
              <w:left w:val="single" w:sz="4" w:space="0" w:color="auto"/>
              <w:bottom w:val="nil"/>
              <w:right w:val="nil"/>
            </w:tcBorders>
            <w:shd w:val="clear" w:color="auto" w:fill="auto"/>
            <w:vAlign w:val="bottom"/>
            <w:hideMark/>
          </w:tcPr>
          <w:p w:rsidR="001856B5" w:rsidRPr="003F682E" w:rsidRDefault="001856B5" w:rsidP="00EF2D62">
            <w:pPr>
              <w:jc w:val="left"/>
              <w:rPr>
                <w:rFonts w:cs="Arial"/>
                <w:b/>
                <w:lang w:val="es-ES_tradnl"/>
              </w:rPr>
            </w:pPr>
            <w:r w:rsidRPr="003F682E">
              <w:rPr>
                <w:rFonts w:cs="Arial"/>
                <w:b/>
                <w:lang w:val="es-ES_tradnl"/>
              </w:rPr>
              <w:t xml:space="preserve">1. </w:t>
            </w:r>
            <w:r w:rsidR="00076151" w:rsidRPr="003F682E">
              <w:rPr>
                <w:rFonts w:cs="Arial"/>
                <w:b/>
                <w:lang w:val="es-ES_tradnl"/>
              </w:rPr>
              <w:t>Recursos de personal</w:t>
            </w:r>
          </w:p>
        </w:tc>
        <w:tc>
          <w:tcPr>
            <w:tcW w:w="1266" w:type="dxa"/>
            <w:tcBorders>
              <w:top w:val="nil"/>
              <w:left w:val="nil"/>
              <w:bottom w:val="nil"/>
              <w:right w:val="nil"/>
            </w:tcBorders>
            <w:shd w:val="clear" w:color="auto" w:fill="auto"/>
            <w:vAlign w:val="bottom"/>
            <w:hideMark/>
          </w:tcPr>
          <w:p w:rsidR="001856B5" w:rsidRPr="003F682E" w:rsidRDefault="001856B5" w:rsidP="00EF2D62">
            <w:pPr>
              <w:jc w:val="right"/>
              <w:rPr>
                <w:rFonts w:cs="Arial"/>
                <w:b/>
                <w:lang w:val="es-ES_tradnl"/>
              </w:rPr>
            </w:pPr>
            <w:r w:rsidRPr="003F682E">
              <w:rPr>
                <w:rFonts w:cs="Arial"/>
                <w:b/>
                <w:lang w:val="es-ES_tradnl"/>
              </w:rPr>
              <w:t>4</w:t>
            </w:r>
            <w:r w:rsidR="009A6280" w:rsidRPr="003F682E">
              <w:rPr>
                <w:rFonts w:cs="Arial"/>
                <w:b/>
                <w:lang w:val="es-ES_tradnl"/>
              </w:rPr>
              <w:t>.</w:t>
            </w:r>
            <w:r w:rsidRPr="003F682E">
              <w:rPr>
                <w:rFonts w:cs="Arial"/>
                <w:b/>
                <w:lang w:val="es-ES_tradnl"/>
              </w:rPr>
              <w:t>271</w:t>
            </w:r>
          </w:p>
        </w:tc>
        <w:tc>
          <w:tcPr>
            <w:tcW w:w="1339" w:type="dxa"/>
            <w:tcBorders>
              <w:top w:val="nil"/>
              <w:left w:val="nil"/>
              <w:bottom w:val="nil"/>
              <w:right w:val="single" w:sz="4" w:space="0" w:color="auto"/>
            </w:tcBorders>
            <w:shd w:val="clear" w:color="auto" w:fill="auto"/>
            <w:vAlign w:val="bottom"/>
            <w:hideMark/>
          </w:tcPr>
          <w:p w:rsidR="001856B5" w:rsidRPr="003F682E" w:rsidRDefault="001856B5" w:rsidP="00EF2D62">
            <w:pPr>
              <w:jc w:val="right"/>
              <w:rPr>
                <w:rFonts w:cs="Arial"/>
                <w:b/>
                <w:lang w:val="es-ES_tradnl"/>
              </w:rPr>
            </w:pPr>
            <w:r w:rsidRPr="003F682E">
              <w:rPr>
                <w:rFonts w:cs="Arial"/>
                <w:b/>
                <w:lang w:val="es-ES_tradnl"/>
              </w:rPr>
              <w:t>4</w:t>
            </w:r>
            <w:r w:rsidR="009A6280" w:rsidRPr="003F682E">
              <w:rPr>
                <w:rFonts w:cs="Arial"/>
                <w:b/>
                <w:lang w:val="es-ES_tradnl"/>
              </w:rPr>
              <w:t>.</w:t>
            </w:r>
            <w:r w:rsidRPr="003F682E">
              <w:rPr>
                <w:rFonts w:cs="Arial"/>
                <w:b/>
                <w:lang w:val="es-ES_tradnl"/>
              </w:rPr>
              <w:t>542</w:t>
            </w:r>
          </w:p>
        </w:tc>
        <w:tc>
          <w:tcPr>
            <w:tcW w:w="845" w:type="dxa"/>
            <w:tcBorders>
              <w:top w:val="nil"/>
              <w:left w:val="nil"/>
              <w:bottom w:val="nil"/>
              <w:right w:val="nil"/>
            </w:tcBorders>
            <w:shd w:val="clear" w:color="auto" w:fill="auto"/>
            <w:vAlign w:val="bottom"/>
            <w:hideMark/>
          </w:tcPr>
          <w:p w:rsidR="001856B5" w:rsidRPr="003F682E" w:rsidRDefault="001856B5" w:rsidP="00EF2D62">
            <w:pPr>
              <w:jc w:val="right"/>
              <w:rPr>
                <w:rFonts w:cs="Arial"/>
                <w:b/>
                <w:lang w:val="es-ES_tradnl"/>
              </w:rPr>
            </w:pPr>
            <w:r w:rsidRPr="003F682E">
              <w:rPr>
                <w:rFonts w:cs="Arial"/>
                <w:b/>
                <w:lang w:val="es-ES_tradnl"/>
              </w:rPr>
              <w:t>-117</w:t>
            </w:r>
          </w:p>
        </w:tc>
        <w:tc>
          <w:tcPr>
            <w:tcW w:w="863" w:type="dxa"/>
            <w:tcBorders>
              <w:top w:val="nil"/>
              <w:left w:val="nil"/>
              <w:bottom w:val="nil"/>
              <w:right w:val="nil"/>
            </w:tcBorders>
            <w:shd w:val="clear" w:color="auto" w:fill="auto"/>
            <w:vAlign w:val="bottom"/>
            <w:hideMark/>
          </w:tcPr>
          <w:p w:rsidR="001856B5" w:rsidRPr="003F682E" w:rsidRDefault="001856B5" w:rsidP="00EF2D62">
            <w:pPr>
              <w:jc w:val="right"/>
              <w:rPr>
                <w:rFonts w:cs="Arial"/>
                <w:b/>
                <w:lang w:val="es-ES_tradnl"/>
              </w:rPr>
            </w:pPr>
            <w:r w:rsidRPr="003F682E">
              <w:rPr>
                <w:rFonts w:cs="Arial"/>
                <w:b/>
                <w:lang w:val="es-ES_tradnl"/>
              </w:rPr>
              <w:t>-2</w:t>
            </w:r>
            <w:r w:rsidR="009A6280" w:rsidRPr="003F682E">
              <w:rPr>
                <w:rFonts w:cs="Arial"/>
                <w:b/>
                <w:lang w:val="es-ES_tradnl"/>
              </w:rPr>
              <w:t>,</w:t>
            </w:r>
            <w:r w:rsidRPr="003F682E">
              <w:rPr>
                <w:rFonts w:cs="Arial"/>
                <w:b/>
                <w:lang w:val="es-ES_tradnl"/>
              </w:rPr>
              <w:t>6%</w:t>
            </w:r>
          </w:p>
        </w:tc>
        <w:tc>
          <w:tcPr>
            <w:tcW w:w="1270" w:type="dxa"/>
            <w:tcBorders>
              <w:top w:val="nil"/>
              <w:left w:val="nil"/>
              <w:bottom w:val="nil"/>
              <w:right w:val="single" w:sz="4" w:space="0" w:color="auto"/>
            </w:tcBorders>
            <w:shd w:val="clear" w:color="auto" w:fill="auto"/>
            <w:vAlign w:val="bottom"/>
            <w:hideMark/>
          </w:tcPr>
          <w:p w:rsidR="001856B5" w:rsidRPr="003F682E" w:rsidRDefault="001856B5" w:rsidP="00EF2D62">
            <w:pPr>
              <w:jc w:val="right"/>
              <w:rPr>
                <w:rFonts w:cs="Arial"/>
                <w:b/>
                <w:lang w:val="es-ES_tradnl"/>
              </w:rPr>
            </w:pPr>
            <w:r w:rsidRPr="003F682E">
              <w:rPr>
                <w:rFonts w:cs="Arial"/>
                <w:b/>
                <w:lang w:val="es-ES_tradnl"/>
              </w:rPr>
              <w:t>4</w:t>
            </w:r>
            <w:r w:rsidR="009A6280" w:rsidRPr="003F682E">
              <w:rPr>
                <w:rFonts w:cs="Arial"/>
                <w:b/>
                <w:lang w:val="es-ES_tradnl"/>
              </w:rPr>
              <w:t>.</w:t>
            </w:r>
            <w:r w:rsidRPr="003F682E">
              <w:rPr>
                <w:rFonts w:cs="Arial"/>
                <w:b/>
                <w:lang w:val="es-ES_tradnl"/>
              </w:rPr>
              <w:t>425</w:t>
            </w:r>
          </w:p>
        </w:tc>
      </w:tr>
      <w:tr w:rsidR="005D61AB" w:rsidRPr="003F682E" w:rsidTr="00076151">
        <w:trPr>
          <w:trHeight w:val="369"/>
        </w:trPr>
        <w:tc>
          <w:tcPr>
            <w:tcW w:w="3645" w:type="dxa"/>
            <w:tcBorders>
              <w:top w:val="nil"/>
              <w:left w:val="single" w:sz="4" w:space="0" w:color="auto"/>
              <w:bottom w:val="nil"/>
              <w:right w:val="nil"/>
            </w:tcBorders>
            <w:shd w:val="clear" w:color="auto" w:fill="auto"/>
            <w:vAlign w:val="bottom"/>
            <w:hideMark/>
          </w:tcPr>
          <w:p w:rsidR="001856B5" w:rsidRPr="003F682E" w:rsidRDefault="00DC3E44" w:rsidP="00EF2D62">
            <w:pPr>
              <w:jc w:val="left"/>
              <w:rPr>
                <w:rFonts w:cs="Arial"/>
                <w:b/>
                <w:lang w:val="es-ES_tradnl"/>
              </w:rPr>
            </w:pPr>
            <w:r w:rsidRPr="003F682E">
              <w:rPr>
                <w:rFonts w:cs="Arial"/>
                <w:b/>
                <w:lang w:val="es-ES_tradnl"/>
              </w:rPr>
              <w:t xml:space="preserve">2. </w:t>
            </w:r>
            <w:r w:rsidRPr="00B859A5">
              <w:rPr>
                <w:rFonts w:cs="Arial"/>
                <w:b/>
                <w:lang w:val="es-ES_tradnl"/>
              </w:rPr>
              <w:t>Recursos</w:t>
            </w:r>
            <w:r w:rsidR="00FF5D3C" w:rsidRPr="00B859A5">
              <w:rPr>
                <w:rFonts w:cs="Arial"/>
                <w:b/>
                <w:lang w:val="es-ES_tradnl"/>
              </w:rPr>
              <w:t xml:space="preserve"> no relativos al personal</w:t>
            </w:r>
          </w:p>
        </w:tc>
        <w:tc>
          <w:tcPr>
            <w:tcW w:w="1266" w:type="dxa"/>
            <w:tcBorders>
              <w:top w:val="nil"/>
              <w:left w:val="nil"/>
              <w:bottom w:val="nil"/>
              <w:right w:val="nil"/>
            </w:tcBorders>
            <w:shd w:val="clear" w:color="auto" w:fill="auto"/>
            <w:vAlign w:val="bottom"/>
            <w:hideMark/>
          </w:tcPr>
          <w:p w:rsidR="001856B5" w:rsidRPr="003F682E" w:rsidRDefault="001856B5" w:rsidP="00EF2D62">
            <w:pPr>
              <w:jc w:val="right"/>
              <w:rPr>
                <w:rFonts w:cs="Arial"/>
                <w:b/>
                <w:lang w:val="es-ES_tradnl"/>
              </w:rPr>
            </w:pPr>
            <w:r w:rsidRPr="003F682E">
              <w:rPr>
                <w:rFonts w:cs="Arial"/>
                <w:b/>
                <w:lang w:val="es-ES_tradnl"/>
              </w:rPr>
              <w:t>2</w:t>
            </w:r>
            <w:r w:rsidR="009A6280" w:rsidRPr="003F682E">
              <w:rPr>
                <w:rFonts w:cs="Arial"/>
                <w:b/>
                <w:lang w:val="es-ES_tradnl"/>
              </w:rPr>
              <w:t>.</w:t>
            </w:r>
            <w:r w:rsidRPr="003F682E">
              <w:rPr>
                <w:rFonts w:cs="Arial"/>
                <w:b/>
                <w:lang w:val="es-ES_tradnl"/>
              </w:rPr>
              <w:t>208</w:t>
            </w:r>
          </w:p>
        </w:tc>
        <w:tc>
          <w:tcPr>
            <w:tcW w:w="1339" w:type="dxa"/>
            <w:tcBorders>
              <w:top w:val="nil"/>
              <w:left w:val="nil"/>
              <w:bottom w:val="nil"/>
              <w:right w:val="single" w:sz="4" w:space="0" w:color="auto"/>
            </w:tcBorders>
            <w:shd w:val="clear" w:color="auto" w:fill="auto"/>
            <w:vAlign w:val="bottom"/>
            <w:hideMark/>
          </w:tcPr>
          <w:p w:rsidR="001856B5" w:rsidRPr="003F682E" w:rsidRDefault="001856B5" w:rsidP="00EF2D62">
            <w:pPr>
              <w:jc w:val="right"/>
              <w:rPr>
                <w:rFonts w:cs="Arial"/>
                <w:b/>
                <w:lang w:val="es-ES_tradnl"/>
              </w:rPr>
            </w:pPr>
            <w:r w:rsidRPr="003F682E">
              <w:rPr>
                <w:rFonts w:cs="Arial"/>
                <w:b/>
                <w:lang w:val="es-ES_tradnl"/>
              </w:rPr>
              <w:t>2</w:t>
            </w:r>
            <w:r w:rsidR="009A6280" w:rsidRPr="003F682E">
              <w:rPr>
                <w:rFonts w:cs="Arial"/>
                <w:b/>
                <w:lang w:val="es-ES_tradnl"/>
              </w:rPr>
              <w:t>.</w:t>
            </w:r>
            <w:r w:rsidRPr="003F682E">
              <w:rPr>
                <w:rFonts w:cs="Arial"/>
                <w:b/>
                <w:lang w:val="es-ES_tradnl"/>
              </w:rPr>
              <w:t>256</w:t>
            </w:r>
          </w:p>
        </w:tc>
        <w:tc>
          <w:tcPr>
            <w:tcW w:w="845" w:type="dxa"/>
            <w:tcBorders>
              <w:top w:val="nil"/>
              <w:left w:val="nil"/>
              <w:bottom w:val="nil"/>
              <w:right w:val="nil"/>
            </w:tcBorders>
            <w:shd w:val="clear" w:color="auto" w:fill="auto"/>
            <w:vAlign w:val="bottom"/>
            <w:hideMark/>
          </w:tcPr>
          <w:p w:rsidR="001856B5" w:rsidRPr="003F682E" w:rsidRDefault="001856B5" w:rsidP="00EF2D62">
            <w:pPr>
              <w:jc w:val="right"/>
              <w:rPr>
                <w:rFonts w:cs="Arial"/>
                <w:b/>
                <w:lang w:val="es-ES_tradnl"/>
              </w:rPr>
            </w:pPr>
            <w:r w:rsidRPr="003F682E">
              <w:rPr>
                <w:rFonts w:cs="Arial"/>
                <w:b/>
                <w:lang w:val="es-ES_tradnl"/>
              </w:rPr>
              <w:t>113</w:t>
            </w:r>
          </w:p>
        </w:tc>
        <w:tc>
          <w:tcPr>
            <w:tcW w:w="863" w:type="dxa"/>
            <w:tcBorders>
              <w:top w:val="nil"/>
              <w:left w:val="nil"/>
              <w:bottom w:val="nil"/>
              <w:right w:val="nil"/>
            </w:tcBorders>
            <w:shd w:val="clear" w:color="auto" w:fill="auto"/>
            <w:vAlign w:val="bottom"/>
            <w:hideMark/>
          </w:tcPr>
          <w:p w:rsidR="001856B5" w:rsidRPr="003F682E" w:rsidRDefault="001856B5" w:rsidP="00EF2D62">
            <w:pPr>
              <w:jc w:val="right"/>
              <w:rPr>
                <w:rFonts w:cs="Arial"/>
                <w:b/>
                <w:lang w:val="es-ES_tradnl"/>
              </w:rPr>
            </w:pPr>
            <w:r w:rsidRPr="003F682E">
              <w:rPr>
                <w:rFonts w:cs="Arial"/>
                <w:b/>
                <w:lang w:val="es-ES_tradnl"/>
              </w:rPr>
              <w:t>5</w:t>
            </w:r>
            <w:r w:rsidR="009A6280" w:rsidRPr="003F682E">
              <w:rPr>
                <w:rFonts w:cs="Arial"/>
                <w:b/>
                <w:lang w:val="es-ES_tradnl"/>
              </w:rPr>
              <w:t>,</w:t>
            </w:r>
            <w:r w:rsidRPr="003F682E">
              <w:rPr>
                <w:rFonts w:cs="Arial"/>
                <w:b/>
                <w:lang w:val="es-ES_tradnl"/>
              </w:rPr>
              <w:t>0%</w:t>
            </w:r>
          </w:p>
        </w:tc>
        <w:tc>
          <w:tcPr>
            <w:tcW w:w="1270" w:type="dxa"/>
            <w:tcBorders>
              <w:top w:val="nil"/>
              <w:left w:val="nil"/>
              <w:bottom w:val="nil"/>
              <w:right w:val="single" w:sz="4" w:space="0" w:color="auto"/>
            </w:tcBorders>
            <w:shd w:val="clear" w:color="auto" w:fill="auto"/>
            <w:vAlign w:val="bottom"/>
            <w:hideMark/>
          </w:tcPr>
          <w:p w:rsidR="001856B5" w:rsidRPr="003F682E" w:rsidRDefault="001856B5" w:rsidP="00EF2D62">
            <w:pPr>
              <w:jc w:val="right"/>
              <w:rPr>
                <w:rFonts w:cs="Arial"/>
                <w:b/>
                <w:lang w:val="es-ES_tradnl"/>
              </w:rPr>
            </w:pPr>
            <w:r w:rsidRPr="003F682E">
              <w:rPr>
                <w:rFonts w:cs="Arial"/>
                <w:b/>
                <w:lang w:val="es-ES_tradnl"/>
              </w:rPr>
              <w:t>2</w:t>
            </w:r>
            <w:r w:rsidR="009A6280" w:rsidRPr="003F682E">
              <w:rPr>
                <w:rFonts w:cs="Arial"/>
                <w:b/>
                <w:lang w:val="es-ES_tradnl"/>
              </w:rPr>
              <w:t>.</w:t>
            </w:r>
            <w:r w:rsidRPr="003F682E">
              <w:rPr>
                <w:rFonts w:cs="Arial"/>
                <w:b/>
                <w:lang w:val="es-ES_tradnl"/>
              </w:rPr>
              <w:t>369</w:t>
            </w:r>
          </w:p>
        </w:tc>
      </w:tr>
      <w:tr w:rsidR="005D61AB" w:rsidRPr="003F682E" w:rsidTr="00076151">
        <w:trPr>
          <w:trHeight w:val="369"/>
        </w:trPr>
        <w:tc>
          <w:tcPr>
            <w:tcW w:w="3645" w:type="dxa"/>
            <w:tcBorders>
              <w:top w:val="nil"/>
              <w:left w:val="single" w:sz="4" w:space="0" w:color="auto"/>
              <w:bottom w:val="nil"/>
              <w:right w:val="nil"/>
            </w:tcBorders>
            <w:shd w:val="clear" w:color="auto" w:fill="auto"/>
            <w:vAlign w:val="bottom"/>
            <w:hideMark/>
          </w:tcPr>
          <w:p w:rsidR="00076151" w:rsidRPr="003F682E" w:rsidRDefault="00076151" w:rsidP="00EF2D62">
            <w:pPr>
              <w:ind w:left="317"/>
              <w:jc w:val="left"/>
              <w:rPr>
                <w:rFonts w:cs="Arial"/>
                <w:iCs/>
                <w:lang w:val="es-ES_tradnl"/>
              </w:rPr>
            </w:pPr>
            <w:r w:rsidRPr="003F682E">
              <w:rPr>
                <w:rFonts w:cs="Arial"/>
                <w:lang w:val="es-ES_tradnl"/>
              </w:rPr>
              <w:t>Viajes y servicios contractuales</w:t>
            </w:r>
          </w:p>
        </w:tc>
        <w:tc>
          <w:tcPr>
            <w:tcW w:w="1266" w:type="dxa"/>
            <w:tcBorders>
              <w:top w:val="nil"/>
              <w:left w:val="nil"/>
              <w:bottom w:val="nil"/>
              <w:right w:val="nil"/>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908</w:t>
            </w:r>
          </w:p>
        </w:tc>
        <w:tc>
          <w:tcPr>
            <w:tcW w:w="1339" w:type="dxa"/>
            <w:tcBorders>
              <w:top w:val="nil"/>
              <w:left w:val="nil"/>
              <w:bottom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990</w:t>
            </w:r>
          </w:p>
        </w:tc>
        <w:tc>
          <w:tcPr>
            <w:tcW w:w="845" w:type="dxa"/>
            <w:tcBorders>
              <w:top w:val="nil"/>
              <w:left w:val="nil"/>
              <w:bottom w:val="nil"/>
              <w:right w:val="nil"/>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75</w:t>
            </w:r>
          </w:p>
        </w:tc>
        <w:tc>
          <w:tcPr>
            <w:tcW w:w="863" w:type="dxa"/>
            <w:tcBorders>
              <w:top w:val="nil"/>
              <w:left w:val="nil"/>
              <w:bottom w:val="nil"/>
              <w:right w:val="nil"/>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7</w:t>
            </w:r>
            <w:r w:rsidR="009A6280" w:rsidRPr="003F682E">
              <w:rPr>
                <w:rFonts w:cs="Arial"/>
                <w:lang w:val="es-ES_tradnl"/>
              </w:rPr>
              <w:t>,</w:t>
            </w:r>
            <w:r w:rsidRPr="003F682E">
              <w:rPr>
                <w:rFonts w:cs="Arial"/>
                <w:lang w:val="es-ES_tradnl"/>
              </w:rPr>
              <w:t>6%</w:t>
            </w:r>
          </w:p>
        </w:tc>
        <w:tc>
          <w:tcPr>
            <w:tcW w:w="1270" w:type="dxa"/>
            <w:tcBorders>
              <w:top w:val="nil"/>
              <w:left w:val="nil"/>
              <w:bottom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1</w:t>
            </w:r>
            <w:r w:rsidR="009A6280" w:rsidRPr="003F682E">
              <w:rPr>
                <w:rFonts w:cs="Arial"/>
                <w:lang w:val="es-ES_tradnl"/>
              </w:rPr>
              <w:t>.</w:t>
            </w:r>
            <w:r w:rsidRPr="003F682E">
              <w:rPr>
                <w:rFonts w:cs="Arial"/>
                <w:lang w:val="es-ES_tradnl"/>
              </w:rPr>
              <w:t>065</w:t>
            </w:r>
          </w:p>
        </w:tc>
      </w:tr>
      <w:tr w:rsidR="005D61AB" w:rsidRPr="003F682E" w:rsidTr="00076151">
        <w:trPr>
          <w:trHeight w:val="567"/>
        </w:trPr>
        <w:tc>
          <w:tcPr>
            <w:tcW w:w="3645" w:type="dxa"/>
            <w:tcBorders>
              <w:top w:val="nil"/>
              <w:left w:val="single" w:sz="4" w:space="0" w:color="auto"/>
              <w:bottom w:val="nil"/>
              <w:right w:val="nil"/>
            </w:tcBorders>
            <w:shd w:val="clear" w:color="auto" w:fill="auto"/>
            <w:vAlign w:val="bottom"/>
            <w:hideMark/>
          </w:tcPr>
          <w:p w:rsidR="00076151" w:rsidRPr="003F682E" w:rsidRDefault="00076151" w:rsidP="00EF2D62">
            <w:pPr>
              <w:ind w:left="317"/>
              <w:jc w:val="left"/>
              <w:rPr>
                <w:rFonts w:cs="Arial"/>
                <w:iCs/>
                <w:lang w:val="es-ES_tradnl"/>
              </w:rPr>
            </w:pPr>
            <w:r w:rsidRPr="003F682E">
              <w:rPr>
                <w:rFonts w:cs="Arial"/>
                <w:lang w:val="es-ES_tradnl"/>
              </w:rPr>
              <w:t>Gastos de funcionamiento, equipo y suministros</w:t>
            </w:r>
          </w:p>
        </w:tc>
        <w:tc>
          <w:tcPr>
            <w:tcW w:w="1266" w:type="dxa"/>
            <w:tcBorders>
              <w:top w:val="nil"/>
              <w:left w:val="nil"/>
              <w:bottom w:val="nil"/>
              <w:right w:val="nil"/>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1</w:t>
            </w:r>
            <w:r w:rsidR="009A6280" w:rsidRPr="003F682E">
              <w:rPr>
                <w:rFonts w:cs="Arial"/>
                <w:lang w:val="es-ES_tradnl"/>
              </w:rPr>
              <w:t>.</w:t>
            </w:r>
            <w:r w:rsidRPr="003F682E">
              <w:rPr>
                <w:rFonts w:cs="Arial"/>
                <w:lang w:val="es-ES_tradnl"/>
              </w:rPr>
              <w:t>301</w:t>
            </w:r>
          </w:p>
        </w:tc>
        <w:tc>
          <w:tcPr>
            <w:tcW w:w="1339" w:type="dxa"/>
            <w:tcBorders>
              <w:top w:val="nil"/>
              <w:left w:val="nil"/>
              <w:bottom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1</w:t>
            </w:r>
            <w:r w:rsidR="009A6280" w:rsidRPr="003F682E">
              <w:rPr>
                <w:rFonts w:cs="Arial"/>
                <w:lang w:val="es-ES_tradnl"/>
              </w:rPr>
              <w:t>.</w:t>
            </w:r>
            <w:r w:rsidRPr="003F682E">
              <w:rPr>
                <w:rFonts w:cs="Arial"/>
                <w:lang w:val="es-ES_tradnl"/>
              </w:rPr>
              <w:t>266</w:t>
            </w:r>
          </w:p>
        </w:tc>
        <w:tc>
          <w:tcPr>
            <w:tcW w:w="845" w:type="dxa"/>
            <w:tcBorders>
              <w:top w:val="nil"/>
              <w:left w:val="nil"/>
              <w:bottom w:val="nil"/>
              <w:right w:val="nil"/>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38</w:t>
            </w:r>
          </w:p>
        </w:tc>
        <w:tc>
          <w:tcPr>
            <w:tcW w:w="863" w:type="dxa"/>
            <w:tcBorders>
              <w:top w:val="nil"/>
              <w:left w:val="nil"/>
              <w:bottom w:val="nil"/>
              <w:right w:val="nil"/>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3</w:t>
            </w:r>
            <w:r w:rsidR="009A6280" w:rsidRPr="003F682E">
              <w:rPr>
                <w:rFonts w:cs="Arial"/>
                <w:lang w:val="es-ES_tradnl"/>
              </w:rPr>
              <w:t>,</w:t>
            </w:r>
            <w:r w:rsidRPr="003F682E">
              <w:rPr>
                <w:rFonts w:cs="Arial"/>
                <w:lang w:val="es-ES_tradnl"/>
              </w:rPr>
              <w:t>0%</w:t>
            </w:r>
          </w:p>
        </w:tc>
        <w:tc>
          <w:tcPr>
            <w:tcW w:w="1270" w:type="dxa"/>
            <w:tcBorders>
              <w:top w:val="nil"/>
              <w:left w:val="nil"/>
              <w:bottom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1</w:t>
            </w:r>
            <w:r w:rsidR="009A6280" w:rsidRPr="003F682E">
              <w:rPr>
                <w:rFonts w:cs="Arial"/>
                <w:lang w:val="es-ES_tradnl"/>
              </w:rPr>
              <w:t>.</w:t>
            </w:r>
            <w:r w:rsidRPr="003F682E">
              <w:rPr>
                <w:rFonts w:cs="Arial"/>
                <w:lang w:val="es-ES_tradnl"/>
              </w:rPr>
              <w:t>304</w:t>
            </w:r>
          </w:p>
        </w:tc>
      </w:tr>
      <w:tr w:rsidR="005D61AB" w:rsidRPr="003F682E" w:rsidTr="00076151">
        <w:trPr>
          <w:trHeight w:val="369"/>
        </w:trPr>
        <w:tc>
          <w:tcPr>
            <w:tcW w:w="36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6B5" w:rsidRPr="003F682E" w:rsidRDefault="001856B5" w:rsidP="00EF2D62">
            <w:pPr>
              <w:jc w:val="left"/>
              <w:rPr>
                <w:rFonts w:cs="Arial"/>
                <w:b/>
                <w:bCs/>
                <w:lang w:val="es-ES_tradnl"/>
              </w:rPr>
            </w:pPr>
            <w:r w:rsidRPr="003F682E">
              <w:rPr>
                <w:rFonts w:cs="Arial"/>
                <w:b/>
                <w:bCs/>
                <w:lang w:val="es-ES_tradnl"/>
              </w:rPr>
              <w:t xml:space="preserve">3. </w:t>
            </w:r>
            <w:r w:rsidR="00076151" w:rsidRPr="003F682E">
              <w:rPr>
                <w:rFonts w:cs="Arial"/>
                <w:b/>
                <w:lang w:val="es-ES_tradnl"/>
              </w:rPr>
              <w:t>Total general</w:t>
            </w:r>
          </w:p>
        </w:tc>
        <w:tc>
          <w:tcPr>
            <w:tcW w:w="1266" w:type="dxa"/>
            <w:tcBorders>
              <w:top w:val="single" w:sz="4" w:space="0" w:color="auto"/>
              <w:left w:val="nil"/>
              <w:bottom w:val="single" w:sz="4" w:space="0" w:color="auto"/>
              <w:right w:val="nil"/>
            </w:tcBorders>
            <w:shd w:val="clear" w:color="auto" w:fill="auto"/>
            <w:vAlign w:val="bottom"/>
            <w:hideMark/>
          </w:tcPr>
          <w:p w:rsidR="001856B5" w:rsidRPr="003F682E" w:rsidRDefault="001856B5" w:rsidP="00EF2D62">
            <w:pPr>
              <w:jc w:val="right"/>
              <w:rPr>
                <w:rFonts w:cs="Arial"/>
                <w:b/>
                <w:bCs/>
                <w:lang w:val="es-ES_tradnl"/>
              </w:rPr>
            </w:pPr>
            <w:r w:rsidRPr="003F682E">
              <w:rPr>
                <w:rFonts w:cs="Arial"/>
                <w:b/>
                <w:bCs/>
                <w:lang w:val="es-ES_tradnl"/>
              </w:rPr>
              <w:t>6</w:t>
            </w:r>
            <w:r w:rsidR="009A6280" w:rsidRPr="003F682E">
              <w:rPr>
                <w:rFonts w:cs="Arial"/>
                <w:b/>
                <w:bCs/>
                <w:lang w:val="es-ES_tradnl"/>
              </w:rPr>
              <w:t>.</w:t>
            </w:r>
            <w:r w:rsidRPr="003F682E">
              <w:rPr>
                <w:rFonts w:cs="Arial"/>
                <w:b/>
                <w:bCs/>
                <w:lang w:val="es-ES_tradnl"/>
              </w:rPr>
              <w:t>479</w:t>
            </w:r>
          </w:p>
        </w:tc>
        <w:tc>
          <w:tcPr>
            <w:tcW w:w="1339" w:type="dxa"/>
            <w:tcBorders>
              <w:top w:val="single" w:sz="4" w:space="0" w:color="auto"/>
              <w:left w:val="nil"/>
              <w:bottom w:val="single" w:sz="4" w:space="0" w:color="auto"/>
              <w:right w:val="nil"/>
            </w:tcBorders>
            <w:shd w:val="clear" w:color="auto" w:fill="auto"/>
            <w:vAlign w:val="bottom"/>
            <w:hideMark/>
          </w:tcPr>
          <w:p w:rsidR="001856B5" w:rsidRPr="003F682E" w:rsidRDefault="001856B5" w:rsidP="00EF2D62">
            <w:pPr>
              <w:jc w:val="right"/>
              <w:rPr>
                <w:rFonts w:cs="Arial"/>
                <w:b/>
                <w:bCs/>
                <w:lang w:val="es-ES_tradnl"/>
              </w:rPr>
            </w:pPr>
            <w:r w:rsidRPr="003F682E">
              <w:rPr>
                <w:rFonts w:cs="Arial"/>
                <w:b/>
                <w:bCs/>
                <w:lang w:val="es-ES_tradnl"/>
              </w:rPr>
              <w:t>6</w:t>
            </w:r>
            <w:r w:rsidR="009A6280" w:rsidRPr="003F682E">
              <w:rPr>
                <w:rFonts w:cs="Arial"/>
                <w:b/>
                <w:bCs/>
                <w:lang w:val="es-ES_tradnl"/>
              </w:rPr>
              <w:t>.</w:t>
            </w:r>
            <w:r w:rsidRPr="003F682E">
              <w:rPr>
                <w:rFonts w:cs="Arial"/>
                <w:b/>
                <w:bCs/>
                <w:lang w:val="es-ES_tradnl"/>
              </w:rPr>
              <w:t>798</w:t>
            </w:r>
          </w:p>
        </w:tc>
        <w:tc>
          <w:tcPr>
            <w:tcW w:w="845" w:type="dxa"/>
            <w:tcBorders>
              <w:top w:val="single" w:sz="4" w:space="0" w:color="auto"/>
              <w:left w:val="nil"/>
              <w:bottom w:val="single" w:sz="4" w:space="0" w:color="auto"/>
              <w:right w:val="nil"/>
            </w:tcBorders>
            <w:shd w:val="clear" w:color="auto" w:fill="auto"/>
            <w:vAlign w:val="bottom"/>
            <w:hideMark/>
          </w:tcPr>
          <w:p w:rsidR="001856B5" w:rsidRPr="003F682E" w:rsidRDefault="001856B5" w:rsidP="00EF2D62">
            <w:pPr>
              <w:jc w:val="right"/>
              <w:rPr>
                <w:rFonts w:cs="Arial"/>
                <w:b/>
                <w:bCs/>
                <w:lang w:val="es-ES_tradnl"/>
              </w:rPr>
            </w:pPr>
            <w:r w:rsidRPr="003F682E">
              <w:rPr>
                <w:rFonts w:cs="Arial"/>
                <w:b/>
                <w:bCs/>
                <w:lang w:val="es-ES_tradnl"/>
              </w:rPr>
              <w:t>-4</w:t>
            </w:r>
          </w:p>
        </w:tc>
        <w:tc>
          <w:tcPr>
            <w:tcW w:w="863" w:type="dxa"/>
            <w:tcBorders>
              <w:top w:val="single" w:sz="4" w:space="0" w:color="auto"/>
              <w:left w:val="nil"/>
              <w:bottom w:val="single" w:sz="4" w:space="0" w:color="auto"/>
              <w:right w:val="nil"/>
            </w:tcBorders>
            <w:shd w:val="clear" w:color="auto" w:fill="auto"/>
            <w:vAlign w:val="bottom"/>
            <w:hideMark/>
          </w:tcPr>
          <w:p w:rsidR="001856B5" w:rsidRPr="003F682E" w:rsidRDefault="001856B5" w:rsidP="00EF2D62">
            <w:pPr>
              <w:jc w:val="right"/>
              <w:rPr>
                <w:rFonts w:cs="Arial"/>
                <w:b/>
                <w:bCs/>
                <w:lang w:val="es-ES_tradnl"/>
              </w:rPr>
            </w:pPr>
            <w:r w:rsidRPr="003F682E">
              <w:rPr>
                <w:rFonts w:cs="Arial"/>
                <w:b/>
                <w:bCs/>
                <w:lang w:val="es-ES_tradnl"/>
              </w:rPr>
              <w:t>-0</w:t>
            </w:r>
            <w:r w:rsidR="009A6280" w:rsidRPr="003F682E">
              <w:rPr>
                <w:rFonts w:cs="Arial"/>
                <w:b/>
                <w:bCs/>
                <w:lang w:val="es-ES_tradnl"/>
              </w:rPr>
              <w:t>,</w:t>
            </w:r>
            <w:r w:rsidRPr="003F682E">
              <w:rPr>
                <w:rFonts w:cs="Arial"/>
                <w:b/>
                <w:bCs/>
                <w:lang w:val="es-ES_tradnl"/>
              </w:rPr>
              <w:t>1%</w:t>
            </w:r>
          </w:p>
        </w:tc>
        <w:tc>
          <w:tcPr>
            <w:tcW w:w="1270" w:type="dxa"/>
            <w:tcBorders>
              <w:top w:val="single" w:sz="4" w:space="0" w:color="auto"/>
              <w:left w:val="nil"/>
              <w:bottom w:val="single" w:sz="4" w:space="0" w:color="auto"/>
              <w:right w:val="single" w:sz="4" w:space="0" w:color="auto"/>
            </w:tcBorders>
            <w:shd w:val="clear" w:color="auto" w:fill="auto"/>
            <w:vAlign w:val="bottom"/>
            <w:hideMark/>
          </w:tcPr>
          <w:p w:rsidR="001856B5" w:rsidRPr="003F682E" w:rsidRDefault="001856B5" w:rsidP="00EF2D62">
            <w:pPr>
              <w:jc w:val="right"/>
              <w:rPr>
                <w:rFonts w:cs="Arial"/>
                <w:b/>
                <w:bCs/>
                <w:lang w:val="es-ES_tradnl"/>
              </w:rPr>
            </w:pPr>
            <w:r w:rsidRPr="003F682E">
              <w:rPr>
                <w:rFonts w:cs="Arial"/>
                <w:b/>
                <w:bCs/>
                <w:lang w:val="es-ES_tradnl"/>
              </w:rPr>
              <w:t>6</w:t>
            </w:r>
            <w:r w:rsidR="009A6280" w:rsidRPr="003F682E">
              <w:rPr>
                <w:rFonts w:cs="Arial"/>
                <w:b/>
                <w:bCs/>
                <w:lang w:val="es-ES_tradnl"/>
              </w:rPr>
              <w:t>.</w:t>
            </w:r>
            <w:r w:rsidRPr="003F682E">
              <w:rPr>
                <w:rFonts w:cs="Arial"/>
                <w:b/>
                <w:bCs/>
                <w:lang w:val="es-ES_tradnl"/>
              </w:rPr>
              <w:t>794</w:t>
            </w:r>
          </w:p>
        </w:tc>
      </w:tr>
    </w:tbl>
    <w:p w:rsidR="00FF5D3C" w:rsidRDefault="00FF5D3C" w:rsidP="00EF2D62">
      <w:pPr>
        <w:rPr>
          <w:rFonts w:cs="Arial"/>
          <w:spacing w:val="-2"/>
          <w:lang w:val="es-ES_tradnl"/>
        </w:rPr>
      </w:pPr>
    </w:p>
    <w:p w:rsidR="00B859A5" w:rsidRPr="002B0BD5" w:rsidRDefault="00B859A5" w:rsidP="00EF2D62">
      <w:pPr>
        <w:rPr>
          <w:rFonts w:cs="Arial"/>
          <w:spacing w:val="-2"/>
          <w:lang w:val="es-ES_tradnl"/>
        </w:rPr>
      </w:pPr>
    </w:p>
    <w:p w:rsidR="00FF5D3C" w:rsidRPr="002B0BD5" w:rsidRDefault="00421639" w:rsidP="00EF2D62">
      <w:pPr>
        <w:tabs>
          <w:tab w:val="left" w:pos="567"/>
        </w:tabs>
        <w:rPr>
          <w:rFonts w:cs="Arial"/>
          <w:lang w:val="es-ES_tradnl"/>
        </w:rPr>
      </w:pPr>
      <w:r w:rsidRPr="002B0BD5">
        <w:rPr>
          <w:rFonts w:cs="Arial"/>
          <w:lang w:val="es-ES_tradnl"/>
        </w:rPr>
        <w:t>3.5</w:t>
      </w:r>
      <w:r w:rsidRPr="002B0BD5">
        <w:rPr>
          <w:rFonts w:cs="Arial"/>
          <w:lang w:val="es-ES_tradnl"/>
        </w:rPr>
        <w:tab/>
      </w:r>
      <w:r w:rsidR="00076151" w:rsidRPr="002B0BD5">
        <w:rPr>
          <w:rFonts w:cs="Arial"/>
          <w:lang w:val="es-ES_tradnl"/>
        </w:rPr>
        <w:t xml:space="preserve">En el </w:t>
      </w:r>
      <w:r w:rsidR="00076151" w:rsidRPr="002B0BD5">
        <w:rPr>
          <w:rFonts w:cs="Arial"/>
          <w:b/>
          <w:lang w:val="es-ES_tradnl"/>
        </w:rPr>
        <w:t>Cuadro 3</w:t>
      </w:r>
      <w:r w:rsidR="00076151" w:rsidRPr="002B0BD5">
        <w:rPr>
          <w:rFonts w:cs="Arial"/>
          <w:lang w:val="es-ES_tradnl"/>
        </w:rPr>
        <w:t xml:space="preserve"> figura el plan de recursos para los bienios 2012</w:t>
      </w:r>
      <w:r w:rsidR="00076151" w:rsidRPr="002B0BD5">
        <w:rPr>
          <w:rFonts w:cs="Arial"/>
          <w:lang w:val="es-ES_tradnl"/>
        </w:rPr>
        <w:noBreakHyphen/>
        <w:t>2013 y 2014</w:t>
      </w:r>
      <w:r w:rsidR="00076151" w:rsidRPr="002B0BD5">
        <w:rPr>
          <w:rFonts w:cs="Arial"/>
          <w:lang w:val="es-ES_tradnl"/>
        </w:rPr>
        <w:noBreakHyphen/>
        <w:t xml:space="preserve">2015.  </w:t>
      </w:r>
      <w:r w:rsidR="006D29AC" w:rsidRPr="002B0BD5">
        <w:rPr>
          <w:rFonts w:cs="Arial"/>
          <w:lang w:val="es-ES_tradnl"/>
        </w:rPr>
        <w:t xml:space="preserve">Para el programa de actividades que realizará la UPOV en el bienio </w:t>
      </w:r>
      <w:r w:rsidR="006D29AC" w:rsidRPr="002B0BD5">
        <w:rPr>
          <w:rFonts w:cs="Arial"/>
          <w:snapToGrid w:val="0"/>
          <w:spacing w:val="-2"/>
          <w:lang w:val="es-ES_tradnl"/>
        </w:rPr>
        <w:t>2014-2015, el</w:t>
      </w:r>
      <w:r w:rsidR="00076151" w:rsidRPr="002B0BD5">
        <w:rPr>
          <w:rFonts w:cs="Arial"/>
          <w:lang w:val="es-ES_tradnl"/>
        </w:rPr>
        <w:t xml:space="preserve"> total </w:t>
      </w:r>
      <w:r w:rsidR="006D29AC" w:rsidRPr="002B0BD5">
        <w:rPr>
          <w:rFonts w:cs="Arial"/>
          <w:lang w:val="es-ES_tradnl"/>
        </w:rPr>
        <w:t xml:space="preserve">de los recursos </w:t>
      </w:r>
      <w:r w:rsidR="00076151" w:rsidRPr="002B0BD5">
        <w:rPr>
          <w:rFonts w:cs="Arial"/>
          <w:lang w:val="es-ES_tradnl"/>
        </w:rPr>
        <w:t>asciende a 7.134.000</w:t>
      </w:r>
      <w:r w:rsidR="006D29AC" w:rsidRPr="002B0BD5">
        <w:rPr>
          <w:rFonts w:cs="Arial"/>
          <w:lang w:val="es-ES_tradnl"/>
        </w:rPr>
        <w:t> </w:t>
      </w:r>
      <w:r w:rsidR="00076151" w:rsidRPr="002B0BD5">
        <w:rPr>
          <w:rFonts w:cs="Arial"/>
          <w:lang w:val="es-ES_tradnl"/>
        </w:rPr>
        <w:t>francos suizos.  Este importe incluye 6.794.000 francos suizos previstos en el presupuesto ordinario (véase el Cuadro 1) y una estimación de 340.000 francos suizos financiados mediante fondos fiduciarios</w:t>
      </w:r>
      <w:r w:rsidRPr="002B0BD5">
        <w:rPr>
          <w:rFonts w:cs="Arial"/>
          <w:lang w:val="es-ES_tradnl"/>
        </w:rPr>
        <w:t xml:space="preserve">.  </w:t>
      </w:r>
    </w:p>
    <w:p w:rsidR="00FF5D3C" w:rsidRPr="002B0BD5" w:rsidRDefault="00FF5D3C" w:rsidP="00EF2D62">
      <w:pPr>
        <w:tabs>
          <w:tab w:val="left" w:pos="567"/>
        </w:tabs>
        <w:rPr>
          <w:rFonts w:cs="Arial"/>
          <w:lang w:val="es-ES_tradnl"/>
        </w:rPr>
      </w:pPr>
    </w:p>
    <w:p w:rsidR="00FF5D3C" w:rsidRPr="002B0BD5" w:rsidRDefault="00FF5D3C" w:rsidP="00EF2D62">
      <w:pPr>
        <w:tabs>
          <w:tab w:val="left" w:pos="567"/>
        </w:tabs>
        <w:rPr>
          <w:rFonts w:cs="Arial"/>
          <w:lang w:val="es-ES_tradnl"/>
        </w:rPr>
      </w:pPr>
      <w:r w:rsidRPr="002B0BD5">
        <w:rPr>
          <w:rFonts w:cs="Arial"/>
          <w:lang w:val="es-ES_tradnl"/>
        </w:rPr>
        <w:t xml:space="preserve">3.6 </w:t>
      </w:r>
      <w:r w:rsidR="00FF08D0" w:rsidRPr="002B0BD5">
        <w:rPr>
          <w:rFonts w:cs="Arial"/>
          <w:lang w:val="es-ES_tradnl"/>
        </w:rPr>
        <w:tab/>
      </w:r>
      <w:r w:rsidRPr="002B0BD5">
        <w:rPr>
          <w:rFonts w:cs="Arial"/>
          <w:lang w:val="es-ES_tradnl"/>
        </w:rPr>
        <w:t>Para el bienio 2014-2015, se espera lograr un equilibrio entre los ingresos y los gastos.</w:t>
      </w:r>
    </w:p>
    <w:p w:rsidR="00FF5D3C" w:rsidRPr="002B0BD5" w:rsidRDefault="00FF5D3C" w:rsidP="00EF2D62">
      <w:pPr>
        <w:tabs>
          <w:tab w:val="left" w:pos="567"/>
        </w:tabs>
        <w:rPr>
          <w:rFonts w:cs="Arial"/>
          <w:lang w:val="es-ES_tradnl"/>
        </w:rPr>
      </w:pPr>
    </w:p>
    <w:p w:rsidR="00FF5D3C" w:rsidRPr="002B0BD5" w:rsidRDefault="00FF5D3C" w:rsidP="00EF2D62">
      <w:pPr>
        <w:tabs>
          <w:tab w:val="left" w:pos="567"/>
        </w:tabs>
        <w:rPr>
          <w:rFonts w:cs="Arial"/>
          <w:spacing w:val="-2"/>
          <w:lang w:val="es-ES_tradnl"/>
        </w:rPr>
      </w:pPr>
      <w:r w:rsidRPr="002B0BD5">
        <w:rPr>
          <w:rFonts w:cs="Arial"/>
          <w:lang w:val="es-ES_tradnl"/>
        </w:rPr>
        <w:t xml:space="preserve">3.7 </w:t>
      </w:r>
      <w:r w:rsidR="00FF08D0" w:rsidRPr="002B0BD5">
        <w:rPr>
          <w:rFonts w:cs="Arial"/>
          <w:lang w:val="es-ES_tradnl"/>
        </w:rPr>
        <w:tab/>
      </w:r>
      <w:r w:rsidRPr="002B0BD5">
        <w:rPr>
          <w:rFonts w:cs="Arial"/>
          <w:lang w:val="es-ES_tradnl"/>
        </w:rPr>
        <w:t>Los fondos fiduciarios son donaciones financieras que algún miembro de la Unión ofrece voluntariamente a la UPOV para financiar, por lo general, un determinado programa de actividades acordado entre la Oficina de la Unión y el miembro donante.  Sin perjuicio de las decisiones de competencia exclusiva de los miembros donantes, se espera que el importe total de los fondos fiduciarios para el bienio 2014-2015 alcance los 340.000 francos suizos.  Cabe observar que la ayuda no monetaria (en especie), en particular en relación con las actividades de asistencia técnica y formación, brindada por miembros de la Unión no está registrada en el presupuesto de la UPOV.</w:t>
      </w:r>
    </w:p>
    <w:p w:rsidR="00FF5D3C" w:rsidRPr="002B0BD5" w:rsidRDefault="00FF5D3C" w:rsidP="00EF2D62">
      <w:pPr>
        <w:rPr>
          <w:rFonts w:cs="Arial"/>
          <w:lang w:val="es-ES_tradnl"/>
        </w:rPr>
      </w:pPr>
    </w:p>
    <w:p w:rsidR="00FF5D3C" w:rsidRPr="002B0BD5" w:rsidRDefault="00FF5D3C" w:rsidP="00EF2D62">
      <w:pPr>
        <w:pStyle w:val="Heading4"/>
        <w:rPr>
          <w:lang w:val="es-ES_tradnl"/>
        </w:rPr>
      </w:pPr>
      <w:bookmarkStart w:id="34" w:name="_Toc363577072"/>
      <w:r w:rsidRPr="002B0BD5">
        <w:rPr>
          <w:lang w:val="es-ES_tradnl"/>
        </w:rPr>
        <w:t>Cuadro 3</w:t>
      </w:r>
      <w:proofErr w:type="gramStart"/>
      <w:r w:rsidRPr="002B0BD5">
        <w:rPr>
          <w:lang w:val="es-ES_tradnl"/>
        </w:rPr>
        <w:t>:  Plan</w:t>
      </w:r>
      <w:proofErr w:type="gramEnd"/>
      <w:r w:rsidRPr="002B0BD5">
        <w:rPr>
          <w:lang w:val="es-ES_tradnl"/>
        </w:rPr>
        <w:t xml:space="preserve"> de recursos, bienios 2012-2013 y 2014-2015</w:t>
      </w:r>
      <w:bookmarkEnd w:id="34"/>
    </w:p>
    <w:p w:rsidR="00FF5D3C" w:rsidRPr="002B0BD5" w:rsidRDefault="00FF5D3C" w:rsidP="00EF2D62">
      <w:pPr>
        <w:jc w:val="center"/>
        <w:rPr>
          <w:rFonts w:cs="Arial"/>
          <w:lang w:val="es-ES_tradnl"/>
        </w:rPr>
      </w:pPr>
      <w:r w:rsidRPr="002B0BD5">
        <w:rPr>
          <w:rFonts w:cs="Arial"/>
          <w:lang w:val="es-ES_tradnl"/>
        </w:rPr>
        <w:t>(</w:t>
      </w:r>
      <w:proofErr w:type="gramStart"/>
      <w:r w:rsidRPr="002B0BD5">
        <w:rPr>
          <w:rFonts w:cs="Arial"/>
          <w:lang w:val="es-ES_tradnl"/>
        </w:rPr>
        <w:t>en</w:t>
      </w:r>
      <w:proofErr w:type="gramEnd"/>
      <w:r w:rsidRPr="002B0BD5">
        <w:rPr>
          <w:rFonts w:cs="Arial"/>
          <w:lang w:val="es-ES_tradnl"/>
        </w:rPr>
        <w:t xml:space="preserve"> miles de francos suizos)</w:t>
      </w:r>
    </w:p>
    <w:p w:rsidR="00421639" w:rsidRPr="002B0BD5" w:rsidRDefault="00421639" w:rsidP="00EF2D62">
      <w:pPr>
        <w:jc w:val="center"/>
        <w:rPr>
          <w:rFonts w:cs="Arial"/>
          <w:lang w:val="es-ES_tradnl"/>
        </w:rPr>
      </w:pPr>
    </w:p>
    <w:tbl>
      <w:tblPr>
        <w:tblW w:w="8416" w:type="dxa"/>
        <w:tblInd w:w="675" w:type="dxa"/>
        <w:tblLook w:val="04A0" w:firstRow="1" w:lastRow="0" w:firstColumn="1" w:lastColumn="0" w:noHBand="0" w:noVBand="1"/>
      </w:tblPr>
      <w:tblGrid>
        <w:gridCol w:w="426"/>
        <w:gridCol w:w="3890"/>
        <w:gridCol w:w="1428"/>
        <w:gridCol w:w="1228"/>
        <w:gridCol w:w="1444"/>
      </w:tblGrid>
      <w:tr w:rsidR="005D61AB" w:rsidRPr="003F682E" w:rsidTr="00BA25F0">
        <w:trPr>
          <w:trHeight w:val="750"/>
        </w:trPr>
        <w:tc>
          <w:tcPr>
            <w:tcW w:w="4316" w:type="dxa"/>
            <w:gridSpan w:val="2"/>
            <w:tcBorders>
              <w:top w:val="single" w:sz="4" w:space="0" w:color="auto"/>
              <w:left w:val="single" w:sz="4" w:space="0" w:color="auto"/>
              <w:bottom w:val="nil"/>
              <w:right w:val="nil"/>
            </w:tcBorders>
            <w:shd w:val="clear" w:color="auto" w:fill="auto"/>
            <w:vAlign w:val="bottom"/>
            <w:hideMark/>
          </w:tcPr>
          <w:p w:rsidR="00076151" w:rsidRPr="003F682E" w:rsidRDefault="00076151" w:rsidP="00EF2D62">
            <w:pPr>
              <w:jc w:val="left"/>
              <w:rPr>
                <w:rFonts w:cs="Arial"/>
                <w:b/>
                <w:bCs/>
                <w:lang w:val="es-ES_tradnl"/>
              </w:rPr>
            </w:pPr>
            <w:r w:rsidRPr="003F682E">
              <w:rPr>
                <w:rFonts w:cs="Arial"/>
                <w:b/>
                <w:lang w:val="es-ES_tradnl"/>
              </w:rPr>
              <w:t> </w:t>
            </w:r>
          </w:p>
        </w:tc>
        <w:tc>
          <w:tcPr>
            <w:tcW w:w="1428" w:type="dxa"/>
            <w:tcBorders>
              <w:top w:val="single" w:sz="4" w:space="0" w:color="auto"/>
              <w:left w:val="nil"/>
              <w:bottom w:val="nil"/>
              <w:right w:val="nil"/>
            </w:tcBorders>
            <w:shd w:val="clear" w:color="auto" w:fill="auto"/>
            <w:hideMark/>
          </w:tcPr>
          <w:p w:rsidR="00076151" w:rsidRPr="003F682E" w:rsidRDefault="00076151" w:rsidP="00EF2D62">
            <w:pPr>
              <w:jc w:val="center"/>
              <w:rPr>
                <w:rFonts w:cs="Arial"/>
                <w:b/>
                <w:bCs/>
                <w:lang w:val="es-ES_tradnl"/>
              </w:rPr>
            </w:pPr>
            <w:r w:rsidRPr="003F682E">
              <w:rPr>
                <w:rFonts w:cs="Arial"/>
                <w:b/>
                <w:lang w:val="es-ES_tradnl"/>
              </w:rPr>
              <w:t>Presupuesto ordinario</w:t>
            </w:r>
          </w:p>
        </w:tc>
        <w:tc>
          <w:tcPr>
            <w:tcW w:w="1228" w:type="dxa"/>
            <w:tcBorders>
              <w:top w:val="single" w:sz="4" w:space="0" w:color="auto"/>
              <w:left w:val="single" w:sz="4" w:space="0" w:color="auto"/>
              <w:bottom w:val="nil"/>
              <w:right w:val="single" w:sz="4" w:space="0" w:color="auto"/>
            </w:tcBorders>
            <w:shd w:val="clear" w:color="auto" w:fill="auto"/>
            <w:hideMark/>
          </w:tcPr>
          <w:p w:rsidR="00076151" w:rsidRPr="003F682E" w:rsidRDefault="00076151" w:rsidP="00EF2D62">
            <w:pPr>
              <w:jc w:val="center"/>
              <w:rPr>
                <w:rFonts w:cs="Arial"/>
                <w:b/>
                <w:bCs/>
                <w:lang w:val="es-ES_tradnl"/>
              </w:rPr>
            </w:pPr>
            <w:r w:rsidRPr="003F682E">
              <w:rPr>
                <w:rFonts w:cs="Arial"/>
                <w:b/>
                <w:lang w:val="es-ES_tradnl"/>
              </w:rPr>
              <w:t>Fondos fiduciarios</w:t>
            </w:r>
          </w:p>
        </w:tc>
        <w:tc>
          <w:tcPr>
            <w:tcW w:w="1444" w:type="dxa"/>
            <w:tcBorders>
              <w:top w:val="single" w:sz="4" w:space="0" w:color="auto"/>
              <w:left w:val="nil"/>
              <w:bottom w:val="nil"/>
              <w:right w:val="single" w:sz="4" w:space="0" w:color="auto"/>
            </w:tcBorders>
            <w:shd w:val="clear" w:color="auto" w:fill="auto"/>
            <w:hideMark/>
          </w:tcPr>
          <w:p w:rsidR="00076151" w:rsidRPr="003F682E" w:rsidRDefault="00076151" w:rsidP="00EF2D62">
            <w:pPr>
              <w:jc w:val="center"/>
              <w:rPr>
                <w:rFonts w:cs="Arial"/>
                <w:b/>
                <w:bCs/>
                <w:lang w:val="es-ES_tradnl"/>
              </w:rPr>
            </w:pPr>
            <w:r w:rsidRPr="003F682E">
              <w:rPr>
                <w:rFonts w:cs="Arial"/>
                <w:b/>
                <w:lang w:val="es-ES_tradnl"/>
              </w:rPr>
              <w:t>Recursos totales</w:t>
            </w:r>
          </w:p>
        </w:tc>
      </w:tr>
      <w:tr w:rsidR="005D61AB" w:rsidRPr="000F652A" w:rsidTr="00BA25F0">
        <w:trPr>
          <w:trHeight w:val="300"/>
        </w:trPr>
        <w:tc>
          <w:tcPr>
            <w:tcW w:w="4316" w:type="dxa"/>
            <w:gridSpan w:val="2"/>
            <w:tcBorders>
              <w:top w:val="nil"/>
              <w:left w:val="single" w:sz="4" w:space="0" w:color="auto"/>
              <w:bottom w:val="nil"/>
              <w:right w:val="nil"/>
            </w:tcBorders>
            <w:shd w:val="clear" w:color="auto" w:fill="auto"/>
            <w:vAlign w:val="bottom"/>
            <w:hideMark/>
          </w:tcPr>
          <w:p w:rsidR="00076151" w:rsidRPr="003F682E" w:rsidRDefault="00076151" w:rsidP="00EF2D62">
            <w:pPr>
              <w:jc w:val="left"/>
              <w:rPr>
                <w:rFonts w:cs="Arial"/>
                <w:b/>
                <w:bCs/>
                <w:lang w:val="es-ES_tradnl"/>
              </w:rPr>
            </w:pPr>
            <w:r w:rsidRPr="003F682E">
              <w:rPr>
                <w:rFonts w:cs="Arial"/>
                <w:b/>
                <w:lang w:val="es-ES_tradnl"/>
              </w:rPr>
              <w:t>Presupuesto y disponibilidad de recursos</w:t>
            </w:r>
          </w:p>
        </w:tc>
        <w:tc>
          <w:tcPr>
            <w:tcW w:w="1428" w:type="dxa"/>
            <w:tcBorders>
              <w:top w:val="nil"/>
              <w:left w:val="nil"/>
              <w:bottom w:val="nil"/>
              <w:right w:val="nil"/>
            </w:tcBorders>
            <w:shd w:val="clear" w:color="auto" w:fill="auto"/>
            <w:hideMark/>
          </w:tcPr>
          <w:p w:rsidR="00076151" w:rsidRPr="003F682E" w:rsidRDefault="00076151" w:rsidP="00EF2D62">
            <w:pPr>
              <w:jc w:val="left"/>
              <w:rPr>
                <w:rFonts w:cs="Arial"/>
                <w:b/>
                <w:bCs/>
                <w:lang w:val="es-ES_tradnl"/>
              </w:rPr>
            </w:pPr>
          </w:p>
        </w:tc>
        <w:tc>
          <w:tcPr>
            <w:tcW w:w="1228" w:type="dxa"/>
            <w:tcBorders>
              <w:top w:val="nil"/>
              <w:left w:val="single" w:sz="4" w:space="0" w:color="auto"/>
              <w:bottom w:val="nil"/>
              <w:right w:val="single" w:sz="4" w:space="0" w:color="auto"/>
            </w:tcBorders>
            <w:shd w:val="clear" w:color="auto" w:fill="auto"/>
            <w:noWrap/>
            <w:vAlign w:val="bottom"/>
            <w:hideMark/>
          </w:tcPr>
          <w:p w:rsidR="00076151" w:rsidRPr="003F682E" w:rsidRDefault="00076151" w:rsidP="00EF2D62">
            <w:pPr>
              <w:jc w:val="left"/>
              <w:rPr>
                <w:rFonts w:cs="Arial"/>
                <w:b/>
                <w:bCs/>
                <w:lang w:val="es-ES_tradnl"/>
              </w:rPr>
            </w:pPr>
            <w:r w:rsidRPr="003F682E">
              <w:rPr>
                <w:rFonts w:cs="Arial"/>
                <w:b/>
                <w:lang w:val="es-ES_tradnl"/>
              </w:rPr>
              <w:t> </w:t>
            </w:r>
          </w:p>
        </w:tc>
        <w:tc>
          <w:tcPr>
            <w:tcW w:w="1444" w:type="dxa"/>
            <w:tcBorders>
              <w:top w:val="nil"/>
              <w:left w:val="nil"/>
              <w:bottom w:val="single" w:sz="4" w:space="0" w:color="auto"/>
              <w:right w:val="single" w:sz="4" w:space="0" w:color="auto"/>
            </w:tcBorders>
            <w:shd w:val="clear" w:color="auto" w:fill="auto"/>
            <w:hideMark/>
          </w:tcPr>
          <w:p w:rsidR="00076151" w:rsidRPr="003F682E" w:rsidRDefault="00076151" w:rsidP="00EF2D62">
            <w:pPr>
              <w:jc w:val="left"/>
              <w:rPr>
                <w:rFonts w:cs="Arial"/>
                <w:b/>
                <w:bCs/>
                <w:lang w:val="es-ES_tradnl"/>
              </w:rPr>
            </w:pPr>
            <w:r w:rsidRPr="003F682E">
              <w:rPr>
                <w:rFonts w:cs="Arial"/>
                <w:b/>
                <w:lang w:val="es-ES_tradnl"/>
              </w:rPr>
              <w:t> </w:t>
            </w:r>
          </w:p>
        </w:tc>
      </w:tr>
      <w:tr w:rsidR="005D61AB" w:rsidRPr="003F682E" w:rsidTr="00BA25F0">
        <w:trPr>
          <w:trHeight w:val="255"/>
        </w:trPr>
        <w:tc>
          <w:tcPr>
            <w:tcW w:w="4316" w:type="dxa"/>
            <w:gridSpan w:val="2"/>
            <w:tcBorders>
              <w:top w:val="single" w:sz="4" w:space="0" w:color="auto"/>
              <w:left w:val="single" w:sz="4" w:space="0" w:color="auto"/>
              <w:bottom w:val="single" w:sz="4" w:space="0" w:color="auto"/>
              <w:right w:val="nil"/>
            </w:tcBorders>
            <w:shd w:val="clear" w:color="auto" w:fill="auto"/>
            <w:vAlign w:val="bottom"/>
            <w:hideMark/>
          </w:tcPr>
          <w:p w:rsidR="00076151" w:rsidRPr="003F682E" w:rsidRDefault="00076151" w:rsidP="00EF2D62">
            <w:pPr>
              <w:jc w:val="left"/>
              <w:rPr>
                <w:rFonts w:cs="Arial"/>
                <w:lang w:val="es-ES_tradnl"/>
              </w:rPr>
            </w:pPr>
            <w:r w:rsidRPr="003F682E">
              <w:rPr>
                <w:rFonts w:cs="Arial"/>
                <w:lang w:val="es-ES_tradnl"/>
              </w:rPr>
              <w:t> </w:t>
            </w:r>
          </w:p>
        </w:tc>
        <w:tc>
          <w:tcPr>
            <w:tcW w:w="1428" w:type="dxa"/>
            <w:tcBorders>
              <w:top w:val="single" w:sz="4" w:space="0" w:color="auto"/>
              <w:left w:val="nil"/>
              <w:bottom w:val="single" w:sz="4" w:space="0" w:color="auto"/>
              <w:right w:val="nil"/>
            </w:tcBorders>
            <w:shd w:val="clear" w:color="auto" w:fill="auto"/>
            <w:hideMark/>
          </w:tcPr>
          <w:p w:rsidR="00076151" w:rsidRPr="003F682E" w:rsidRDefault="00076151" w:rsidP="00EF2D62">
            <w:pPr>
              <w:jc w:val="center"/>
              <w:rPr>
                <w:rFonts w:cs="Arial"/>
                <w:b/>
                <w:bCs/>
                <w:i/>
                <w:lang w:val="es-ES_tradnl"/>
              </w:rPr>
            </w:pPr>
            <w:r w:rsidRPr="003F682E">
              <w:rPr>
                <w:rFonts w:cs="Arial"/>
                <w:b/>
                <w:i/>
                <w:lang w:val="es-ES_tradnl"/>
              </w:rPr>
              <w:t>A</w:t>
            </w:r>
          </w:p>
        </w:tc>
        <w:tc>
          <w:tcPr>
            <w:tcW w:w="1228" w:type="dxa"/>
            <w:tcBorders>
              <w:top w:val="single" w:sz="4" w:space="0" w:color="auto"/>
              <w:left w:val="single" w:sz="4" w:space="0" w:color="auto"/>
              <w:bottom w:val="single" w:sz="4" w:space="0" w:color="auto"/>
              <w:right w:val="single" w:sz="4" w:space="0" w:color="auto"/>
            </w:tcBorders>
            <w:shd w:val="clear" w:color="auto" w:fill="auto"/>
            <w:hideMark/>
          </w:tcPr>
          <w:p w:rsidR="00076151" w:rsidRPr="003F682E" w:rsidRDefault="00076151" w:rsidP="00EF2D62">
            <w:pPr>
              <w:jc w:val="center"/>
              <w:rPr>
                <w:rFonts w:cs="Arial"/>
                <w:b/>
                <w:bCs/>
                <w:i/>
                <w:iCs/>
                <w:lang w:val="es-ES_tradnl"/>
              </w:rPr>
            </w:pPr>
            <w:r w:rsidRPr="003F682E">
              <w:rPr>
                <w:rFonts w:cs="Arial"/>
                <w:b/>
                <w:i/>
                <w:lang w:val="es-ES_tradnl"/>
              </w:rPr>
              <w:t>B</w:t>
            </w:r>
          </w:p>
        </w:tc>
        <w:tc>
          <w:tcPr>
            <w:tcW w:w="1444" w:type="dxa"/>
            <w:tcBorders>
              <w:top w:val="nil"/>
              <w:left w:val="nil"/>
              <w:bottom w:val="single" w:sz="4" w:space="0" w:color="auto"/>
              <w:right w:val="single" w:sz="4" w:space="0" w:color="auto"/>
            </w:tcBorders>
            <w:shd w:val="clear" w:color="auto" w:fill="auto"/>
            <w:hideMark/>
          </w:tcPr>
          <w:p w:rsidR="00076151" w:rsidRPr="003F682E" w:rsidRDefault="00076151" w:rsidP="00EF2D62">
            <w:pPr>
              <w:jc w:val="center"/>
              <w:rPr>
                <w:rFonts w:cs="Arial"/>
                <w:b/>
                <w:bCs/>
                <w:i/>
                <w:iCs/>
                <w:lang w:val="es-ES_tradnl"/>
              </w:rPr>
            </w:pPr>
            <w:r w:rsidRPr="003F682E">
              <w:rPr>
                <w:rFonts w:cs="Arial"/>
                <w:b/>
                <w:i/>
                <w:lang w:val="es-ES_tradnl"/>
              </w:rPr>
              <w:t>C = A+B</w:t>
            </w:r>
          </w:p>
        </w:tc>
      </w:tr>
      <w:tr w:rsidR="005D61AB" w:rsidRPr="003F682E" w:rsidTr="00BA25F0">
        <w:trPr>
          <w:trHeight w:val="255"/>
        </w:trPr>
        <w:tc>
          <w:tcPr>
            <w:tcW w:w="4316" w:type="dxa"/>
            <w:gridSpan w:val="2"/>
            <w:tcBorders>
              <w:top w:val="nil"/>
              <w:left w:val="single" w:sz="4" w:space="0" w:color="auto"/>
              <w:bottom w:val="nil"/>
              <w:right w:val="nil"/>
            </w:tcBorders>
            <w:shd w:val="clear" w:color="auto" w:fill="auto"/>
            <w:vAlign w:val="bottom"/>
            <w:hideMark/>
          </w:tcPr>
          <w:p w:rsidR="00076151" w:rsidRPr="003F682E" w:rsidRDefault="00076151" w:rsidP="00EF2D62">
            <w:pPr>
              <w:jc w:val="left"/>
              <w:rPr>
                <w:rFonts w:cs="Arial"/>
                <w:b/>
                <w:bCs/>
                <w:lang w:val="es-ES_tradnl"/>
              </w:rPr>
            </w:pPr>
            <w:r w:rsidRPr="003F682E">
              <w:rPr>
                <w:rFonts w:cs="Arial"/>
                <w:b/>
                <w:lang w:val="es-ES_tradnl"/>
              </w:rPr>
              <w:t> </w:t>
            </w:r>
          </w:p>
        </w:tc>
        <w:tc>
          <w:tcPr>
            <w:tcW w:w="1428" w:type="dxa"/>
            <w:tcBorders>
              <w:top w:val="nil"/>
              <w:left w:val="nil"/>
              <w:bottom w:val="nil"/>
              <w:right w:val="nil"/>
            </w:tcBorders>
            <w:shd w:val="clear" w:color="auto" w:fill="auto"/>
            <w:vAlign w:val="bottom"/>
            <w:hideMark/>
          </w:tcPr>
          <w:p w:rsidR="00076151" w:rsidRPr="003F682E" w:rsidRDefault="00076151" w:rsidP="00EF2D62">
            <w:pPr>
              <w:jc w:val="right"/>
              <w:rPr>
                <w:rFonts w:cs="Arial"/>
                <w:b/>
                <w:bCs/>
                <w:lang w:val="es-ES_tradnl"/>
              </w:rPr>
            </w:pPr>
          </w:p>
        </w:tc>
        <w:tc>
          <w:tcPr>
            <w:tcW w:w="1228" w:type="dxa"/>
            <w:tcBorders>
              <w:top w:val="nil"/>
              <w:left w:val="single" w:sz="4" w:space="0" w:color="auto"/>
              <w:bottom w:val="nil"/>
              <w:right w:val="nil"/>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 </w:t>
            </w:r>
          </w:p>
        </w:tc>
        <w:tc>
          <w:tcPr>
            <w:tcW w:w="1444" w:type="dxa"/>
            <w:tcBorders>
              <w:top w:val="nil"/>
              <w:left w:val="single" w:sz="4" w:space="0" w:color="auto"/>
              <w:bottom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 </w:t>
            </w:r>
          </w:p>
        </w:tc>
      </w:tr>
      <w:tr w:rsidR="005D61AB" w:rsidRPr="003F682E" w:rsidTr="00BA25F0">
        <w:trPr>
          <w:trHeight w:val="315"/>
        </w:trPr>
        <w:tc>
          <w:tcPr>
            <w:tcW w:w="4316" w:type="dxa"/>
            <w:gridSpan w:val="2"/>
            <w:tcBorders>
              <w:top w:val="nil"/>
              <w:left w:val="single" w:sz="4" w:space="0" w:color="auto"/>
              <w:bottom w:val="nil"/>
              <w:right w:val="nil"/>
            </w:tcBorders>
            <w:shd w:val="clear" w:color="auto" w:fill="auto"/>
            <w:vAlign w:val="bottom"/>
            <w:hideMark/>
          </w:tcPr>
          <w:p w:rsidR="00076151" w:rsidRPr="003F682E" w:rsidRDefault="00076151" w:rsidP="00EF2D62">
            <w:pPr>
              <w:jc w:val="left"/>
              <w:rPr>
                <w:rFonts w:cs="Arial"/>
                <w:b/>
                <w:bCs/>
                <w:lang w:val="es-ES_tradnl"/>
              </w:rPr>
            </w:pPr>
            <w:r w:rsidRPr="003F682E">
              <w:rPr>
                <w:rFonts w:cs="Arial"/>
                <w:b/>
                <w:lang w:val="es-ES_tradnl"/>
              </w:rPr>
              <w:t>Disponibilidad de recursos 2012-2013</w:t>
            </w:r>
          </w:p>
        </w:tc>
        <w:tc>
          <w:tcPr>
            <w:tcW w:w="1428" w:type="dxa"/>
            <w:tcBorders>
              <w:top w:val="nil"/>
              <w:left w:val="nil"/>
              <w:bottom w:val="nil"/>
              <w:right w:val="nil"/>
            </w:tcBorders>
            <w:shd w:val="clear" w:color="auto" w:fill="auto"/>
            <w:noWrap/>
            <w:vAlign w:val="bottom"/>
            <w:hideMark/>
          </w:tcPr>
          <w:p w:rsidR="00076151" w:rsidRPr="003F682E" w:rsidRDefault="00076151" w:rsidP="00EF2D62">
            <w:pPr>
              <w:jc w:val="right"/>
              <w:rPr>
                <w:rFonts w:cs="Arial"/>
                <w:lang w:val="es-ES_tradnl"/>
              </w:rPr>
            </w:pPr>
          </w:p>
        </w:tc>
        <w:tc>
          <w:tcPr>
            <w:tcW w:w="1228" w:type="dxa"/>
            <w:tcBorders>
              <w:top w:val="nil"/>
              <w:left w:val="single" w:sz="4" w:space="0" w:color="auto"/>
              <w:bottom w:val="nil"/>
              <w:right w:val="nil"/>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 </w:t>
            </w:r>
          </w:p>
        </w:tc>
        <w:tc>
          <w:tcPr>
            <w:tcW w:w="1444" w:type="dxa"/>
            <w:tcBorders>
              <w:top w:val="nil"/>
              <w:left w:val="single" w:sz="4" w:space="0" w:color="auto"/>
              <w:bottom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 </w:t>
            </w:r>
          </w:p>
        </w:tc>
      </w:tr>
      <w:tr w:rsidR="005D61AB" w:rsidRPr="003F682E" w:rsidTr="00BA25F0">
        <w:trPr>
          <w:trHeight w:val="300"/>
        </w:trPr>
        <w:tc>
          <w:tcPr>
            <w:tcW w:w="426" w:type="dxa"/>
            <w:tcBorders>
              <w:top w:val="nil"/>
              <w:left w:val="single" w:sz="4" w:space="0" w:color="auto"/>
              <w:bottom w:val="nil"/>
              <w:right w:val="nil"/>
            </w:tcBorders>
            <w:shd w:val="clear" w:color="auto" w:fill="auto"/>
            <w:vAlign w:val="bottom"/>
            <w:hideMark/>
          </w:tcPr>
          <w:p w:rsidR="00076151" w:rsidRPr="003F682E" w:rsidRDefault="00076151" w:rsidP="00BA25F0">
            <w:pPr>
              <w:jc w:val="center"/>
              <w:rPr>
                <w:rFonts w:cs="Arial"/>
                <w:lang w:val="es-ES_tradnl"/>
              </w:rPr>
            </w:pPr>
            <w:r w:rsidRPr="003F682E">
              <w:rPr>
                <w:rFonts w:cs="Arial"/>
                <w:lang w:val="es-ES_tradnl"/>
              </w:rPr>
              <w:t>1</w:t>
            </w:r>
          </w:p>
        </w:tc>
        <w:tc>
          <w:tcPr>
            <w:tcW w:w="3890" w:type="dxa"/>
            <w:tcBorders>
              <w:top w:val="nil"/>
              <w:left w:val="nil"/>
              <w:bottom w:val="nil"/>
              <w:right w:val="nil"/>
            </w:tcBorders>
            <w:shd w:val="clear" w:color="auto" w:fill="auto"/>
            <w:vAlign w:val="bottom"/>
            <w:hideMark/>
          </w:tcPr>
          <w:p w:rsidR="00076151" w:rsidRPr="003F682E" w:rsidRDefault="00076151" w:rsidP="00EF2D62">
            <w:pPr>
              <w:jc w:val="left"/>
              <w:rPr>
                <w:rFonts w:cs="Arial"/>
                <w:lang w:val="es-ES_tradnl"/>
              </w:rPr>
            </w:pPr>
            <w:r w:rsidRPr="003F682E">
              <w:rPr>
                <w:rFonts w:cs="Arial"/>
                <w:lang w:val="es-ES_tradnl"/>
              </w:rPr>
              <w:t>Ingresos (presupuesto)</w:t>
            </w:r>
          </w:p>
        </w:tc>
        <w:tc>
          <w:tcPr>
            <w:tcW w:w="1428" w:type="dxa"/>
            <w:tcBorders>
              <w:top w:val="nil"/>
              <w:left w:val="nil"/>
              <w:bottom w:val="nil"/>
              <w:right w:val="nil"/>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6.798</w:t>
            </w:r>
          </w:p>
        </w:tc>
        <w:tc>
          <w:tcPr>
            <w:tcW w:w="1228" w:type="dxa"/>
            <w:tcBorders>
              <w:top w:val="nil"/>
              <w:left w:val="single" w:sz="4" w:space="0" w:color="auto"/>
              <w:bottom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684</w:t>
            </w:r>
          </w:p>
        </w:tc>
        <w:tc>
          <w:tcPr>
            <w:tcW w:w="1444" w:type="dxa"/>
            <w:tcBorders>
              <w:top w:val="nil"/>
              <w:left w:val="nil"/>
              <w:bottom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7.482</w:t>
            </w:r>
          </w:p>
        </w:tc>
      </w:tr>
      <w:tr w:rsidR="005D61AB" w:rsidRPr="003F682E" w:rsidTr="00BA25F0">
        <w:trPr>
          <w:trHeight w:val="255"/>
        </w:trPr>
        <w:tc>
          <w:tcPr>
            <w:tcW w:w="426" w:type="dxa"/>
            <w:tcBorders>
              <w:top w:val="nil"/>
              <w:left w:val="single" w:sz="4" w:space="0" w:color="auto"/>
              <w:bottom w:val="nil"/>
              <w:right w:val="nil"/>
            </w:tcBorders>
            <w:shd w:val="clear" w:color="auto" w:fill="auto"/>
            <w:vAlign w:val="bottom"/>
            <w:hideMark/>
          </w:tcPr>
          <w:p w:rsidR="00076151" w:rsidRPr="003F682E" w:rsidRDefault="00076151" w:rsidP="00BA25F0">
            <w:pPr>
              <w:jc w:val="center"/>
              <w:rPr>
                <w:rFonts w:cs="Arial"/>
                <w:lang w:val="es-ES_tradnl"/>
              </w:rPr>
            </w:pPr>
            <w:r w:rsidRPr="003F682E">
              <w:rPr>
                <w:rFonts w:cs="Arial"/>
                <w:lang w:val="es-ES_tradnl"/>
              </w:rPr>
              <w:t>2</w:t>
            </w:r>
          </w:p>
        </w:tc>
        <w:tc>
          <w:tcPr>
            <w:tcW w:w="3890" w:type="dxa"/>
            <w:tcBorders>
              <w:top w:val="nil"/>
              <w:left w:val="nil"/>
              <w:bottom w:val="nil"/>
              <w:right w:val="nil"/>
            </w:tcBorders>
            <w:shd w:val="clear" w:color="auto" w:fill="auto"/>
            <w:vAlign w:val="bottom"/>
            <w:hideMark/>
          </w:tcPr>
          <w:p w:rsidR="00076151" w:rsidRPr="003F682E" w:rsidRDefault="00076151" w:rsidP="00EF2D62">
            <w:pPr>
              <w:jc w:val="left"/>
              <w:rPr>
                <w:rFonts w:cs="Arial"/>
                <w:lang w:val="es-ES_tradnl"/>
              </w:rPr>
            </w:pPr>
            <w:r w:rsidRPr="003F682E">
              <w:rPr>
                <w:rFonts w:cs="Arial"/>
                <w:lang w:val="es-ES_tradnl"/>
              </w:rPr>
              <w:t>+/(-) Transferencia de/a reservas</w:t>
            </w:r>
          </w:p>
        </w:tc>
        <w:tc>
          <w:tcPr>
            <w:tcW w:w="1428" w:type="dxa"/>
            <w:tcBorders>
              <w:top w:val="nil"/>
              <w:left w:val="nil"/>
              <w:bottom w:val="nil"/>
              <w:right w:val="nil"/>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w:t>
            </w:r>
          </w:p>
        </w:tc>
        <w:tc>
          <w:tcPr>
            <w:tcW w:w="1228" w:type="dxa"/>
            <w:tcBorders>
              <w:top w:val="nil"/>
              <w:left w:val="single" w:sz="4" w:space="0" w:color="auto"/>
              <w:bottom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w:t>
            </w:r>
          </w:p>
        </w:tc>
        <w:tc>
          <w:tcPr>
            <w:tcW w:w="1444" w:type="dxa"/>
            <w:tcBorders>
              <w:top w:val="nil"/>
              <w:left w:val="nil"/>
              <w:bottom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w:t>
            </w:r>
          </w:p>
        </w:tc>
      </w:tr>
      <w:tr w:rsidR="005D61AB" w:rsidRPr="003F682E" w:rsidTr="00BA25F0">
        <w:trPr>
          <w:trHeight w:val="255"/>
        </w:trPr>
        <w:tc>
          <w:tcPr>
            <w:tcW w:w="426" w:type="dxa"/>
            <w:tcBorders>
              <w:top w:val="nil"/>
              <w:left w:val="single" w:sz="4" w:space="0" w:color="auto"/>
              <w:bottom w:val="nil"/>
              <w:right w:val="nil"/>
            </w:tcBorders>
            <w:shd w:val="clear" w:color="auto" w:fill="auto"/>
            <w:vAlign w:val="bottom"/>
            <w:hideMark/>
          </w:tcPr>
          <w:p w:rsidR="00076151" w:rsidRPr="003F682E" w:rsidRDefault="00076151" w:rsidP="00BA25F0">
            <w:pPr>
              <w:jc w:val="center"/>
              <w:rPr>
                <w:rFonts w:cs="Arial"/>
                <w:lang w:val="es-ES_tradnl"/>
              </w:rPr>
            </w:pPr>
            <w:r w:rsidRPr="003F682E">
              <w:rPr>
                <w:rFonts w:cs="Arial"/>
                <w:lang w:val="es-ES_tradnl"/>
              </w:rPr>
              <w:t>3</w:t>
            </w:r>
          </w:p>
        </w:tc>
        <w:tc>
          <w:tcPr>
            <w:tcW w:w="3890" w:type="dxa"/>
            <w:tcBorders>
              <w:top w:val="nil"/>
              <w:left w:val="nil"/>
              <w:bottom w:val="nil"/>
              <w:right w:val="nil"/>
            </w:tcBorders>
            <w:shd w:val="clear" w:color="auto" w:fill="auto"/>
            <w:vAlign w:val="bottom"/>
            <w:hideMark/>
          </w:tcPr>
          <w:p w:rsidR="00076151" w:rsidRPr="003F682E" w:rsidRDefault="00076151" w:rsidP="00EF2D62">
            <w:pPr>
              <w:jc w:val="left"/>
              <w:rPr>
                <w:rFonts w:cs="Arial"/>
                <w:lang w:val="es-ES_tradnl"/>
              </w:rPr>
            </w:pPr>
            <w:r w:rsidRPr="003F682E">
              <w:rPr>
                <w:rFonts w:cs="Arial"/>
                <w:lang w:val="es-ES_tradnl"/>
              </w:rPr>
              <w:t>Recursos totales</w:t>
            </w:r>
          </w:p>
        </w:tc>
        <w:tc>
          <w:tcPr>
            <w:tcW w:w="1428" w:type="dxa"/>
            <w:tcBorders>
              <w:top w:val="nil"/>
              <w:left w:val="nil"/>
              <w:bottom w:val="nil"/>
              <w:right w:val="nil"/>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6.798</w:t>
            </w:r>
          </w:p>
        </w:tc>
        <w:tc>
          <w:tcPr>
            <w:tcW w:w="1228" w:type="dxa"/>
            <w:tcBorders>
              <w:top w:val="nil"/>
              <w:left w:val="single" w:sz="4" w:space="0" w:color="auto"/>
              <w:bottom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684</w:t>
            </w:r>
          </w:p>
        </w:tc>
        <w:tc>
          <w:tcPr>
            <w:tcW w:w="1444" w:type="dxa"/>
            <w:tcBorders>
              <w:top w:val="nil"/>
              <w:left w:val="nil"/>
              <w:bottom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7.482</w:t>
            </w:r>
          </w:p>
        </w:tc>
      </w:tr>
      <w:tr w:rsidR="005D61AB" w:rsidRPr="003F682E" w:rsidTr="00BA25F0">
        <w:trPr>
          <w:trHeight w:val="255"/>
        </w:trPr>
        <w:tc>
          <w:tcPr>
            <w:tcW w:w="426" w:type="dxa"/>
            <w:tcBorders>
              <w:top w:val="nil"/>
              <w:left w:val="single" w:sz="4" w:space="0" w:color="auto"/>
              <w:bottom w:val="nil"/>
              <w:right w:val="nil"/>
            </w:tcBorders>
            <w:shd w:val="clear" w:color="auto" w:fill="auto"/>
            <w:vAlign w:val="bottom"/>
            <w:hideMark/>
          </w:tcPr>
          <w:p w:rsidR="00076151" w:rsidRPr="003F682E" w:rsidRDefault="00076151" w:rsidP="00B859A5">
            <w:pPr>
              <w:jc w:val="center"/>
              <w:rPr>
                <w:rFonts w:cs="Arial"/>
                <w:lang w:val="es-ES_tradnl"/>
              </w:rPr>
            </w:pPr>
          </w:p>
        </w:tc>
        <w:tc>
          <w:tcPr>
            <w:tcW w:w="3890" w:type="dxa"/>
            <w:tcBorders>
              <w:top w:val="nil"/>
              <w:left w:val="nil"/>
              <w:bottom w:val="nil"/>
              <w:right w:val="nil"/>
            </w:tcBorders>
            <w:shd w:val="clear" w:color="auto" w:fill="auto"/>
            <w:vAlign w:val="bottom"/>
            <w:hideMark/>
          </w:tcPr>
          <w:p w:rsidR="00076151" w:rsidRPr="003F682E" w:rsidRDefault="00076151" w:rsidP="00EF2D62">
            <w:pPr>
              <w:jc w:val="left"/>
              <w:rPr>
                <w:rFonts w:cs="Arial"/>
                <w:lang w:val="es-ES_tradnl"/>
              </w:rPr>
            </w:pPr>
          </w:p>
        </w:tc>
        <w:tc>
          <w:tcPr>
            <w:tcW w:w="1428" w:type="dxa"/>
            <w:tcBorders>
              <w:top w:val="nil"/>
              <w:left w:val="nil"/>
              <w:bottom w:val="nil"/>
              <w:right w:val="nil"/>
            </w:tcBorders>
            <w:shd w:val="clear" w:color="auto" w:fill="auto"/>
            <w:vAlign w:val="bottom"/>
            <w:hideMark/>
          </w:tcPr>
          <w:p w:rsidR="00076151" w:rsidRPr="003F682E" w:rsidRDefault="00076151" w:rsidP="00EF2D62">
            <w:pPr>
              <w:jc w:val="right"/>
              <w:rPr>
                <w:rFonts w:cs="Arial"/>
                <w:lang w:val="es-ES_tradnl"/>
              </w:rPr>
            </w:pPr>
          </w:p>
        </w:tc>
        <w:tc>
          <w:tcPr>
            <w:tcW w:w="1228" w:type="dxa"/>
            <w:tcBorders>
              <w:top w:val="nil"/>
              <w:left w:val="single" w:sz="4" w:space="0" w:color="auto"/>
              <w:bottom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 </w:t>
            </w:r>
          </w:p>
        </w:tc>
        <w:tc>
          <w:tcPr>
            <w:tcW w:w="1444" w:type="dxa"/>
            <w:tcBorders>
              <w:top w:val="nil"/>
              <w:left w:val="nil"/>
              <w:bottom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 </w:t>
            </w:r>
          </w:p>
        </w:tc>
      </w:tr>
      <w:tr w:rsidR="005D61AB" w:rsidRPr="003F682E" w:rsidTr="00BA25F0">
        <w:trPr>
          <w:trHeight w:val="345"/>
        </w:trPr>
        <w:tc>
          <w:tcPr>
            <w:tcW w:w="4316" w:type="dxa"/>
            <w:gridSpan w:val="2"/>
            <w:tcBorders>
              <w:top w:val="nil"/>
              <w:left w:val="single" w:sz="4" w:space="0" w:color="auto"/>
              <w:bottom w:val="nil"/>
              <w:right w:val="nil"/>
            </w:tcBorders>
            <w:shd w:val="clear" w:color="auto" w:fill="auto"/>
            <w:vAlign w:val="bottom"/>
            <w:hideMark/>
          </w:tcPr>
          <w:p w:rsidR="00076151" w:rsidRPr="003F682E" w:rsidRDefault="00076151" w:rsidP="00EF2D62">
            <w:pPr>
              <w:jc w:val="left"/>
              <w:rPr>
                <w:rFonts w:cs="Arial"/>
                <w:b/>
                <w:bCs/>
                <w:lang w:val="es-ES_tradnl"/>
              </w:rPr>
            </w:pPr>
            <w:r w:rsidRPr="003F682E">
              <w:rPr>
                <w:rFonts w:cs="Arial"/>
                <w:b/>
                <w:lang w:val="es-ES_tradnl"/>
              </w:rPr>
              <w:t>Disponibilidad de recursos 2014-2015</w:t>
            </w:r>
          </w:p>
        </w:tc>
        <w:tc>
          <w:tcPr>
            <w:tcW w:w="1428" w:type="dxa"/>
            <w:tcBorders>
              <w:top w:val="nil"/>
              <w:left w:val="nil"/>
              <w:bottom w:val="nil"/>
              <w:right w:val="nil"/>
            </w:tcBorders>
            <w:shd w:val="clear" w:color="auto" w:fill="auto"/>
            <w:vAlign w:val="bottom"/>
            <w:hideMark/>
          </w:tcPr>
          <w:p w:rsidR="00076151" w:rsidRPr="003F682E" w:rsidRDefault="00076151" w:rsidP="00EF2D62">
            <w:pPr>
              <w:jc w:val="right"/>
              <w:rPr>
                <w:rFonts w:cs="Arial"/>
                <w:b/>
                <w:bCs/>
                <w:lang w:val="es-ES_tradnl"/>
              </w:rPr>
            </w:pPr>
          </w:p>
        </w:tc>
        <w:tc>
          <w:tcPr>
            <w:tcW w:w="1228" w:type="dxa"/>
            <w:tcBorders>
              <w:top w:val="nil"/>
              <w:left w:val="single" w:sz="4" w:space="0" w:color="auto"/>
              <w:bottom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 </w:t>
            </w:r>
          </w:p>
        </w:tc>
        <w:tc>
          <w:tcPr>
            <w:tcW w:w="1444" w:type="dxa"/>
            <w:tcBorders>
              <w:top w:val="nil"/>
              <w:left w:val="nil"/>
              <w:bottom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 </w:t>
            </w:r>
          </w:p>
        </w:tc>
      </w:tr>
      <w:tr w:rsidR="005D61AB" w:rsidRPr="003F682E" w:rsidTr="00BA25F0">
        <w:trPr>
          <w:trHeight w:val="300"/>
        </w:trPr>
        <w:tc>
          <w:tcPr>
            <w:tcW w:w="426" w:type="dxa"/>
            <w:tcBorders>
              <w:top w:val="nil"/>
              <w:left w:val="single" w:sz="4" w:space="0" w:color="auto"/>
              <w:bottom w:val="nil"/>
              <w:right w:val="nil"/>
            </w:tcBorders>
            <w:shd w:val="clear" w:color="auto" w:fill="auto"/>
            <w:vAlign w:val="bottom"/>
            <w:hideMark/>
          </w:tcPr>
          <w:p w:rsidR="00076151" w:rsidRPr="003F682E" w:rsidRDefault="00076151" w:rsidP="00B859A5">
            <w:pPr>
              <w:jc w:val="center"/>
              <w:rPr>
                <w:rFonts w:cs="Arial"/>
                <w:lang w:val="es-ES_tradnl"/>
              </w:rPr>
            </w:pPr>
            <w:r w:rsidRPr="003F682E">
              <w:rPr>
                <w:rFonts w:cs="Arial"/>
                <w:lang w:val="es-ES_tradnl"/>
              </w:rPr>
              <w:t>4</w:t>
            </w:r>
          </w:p>
        </w:tc>
        <w:tc>
          <w:tcPr>
            <w:tcW w:w="3890" w:type="dxa"/>
            <w:tcBorders>
              <w:top w:val="nil"/>
              <w:left w:val="nil"/>
              <w:bottom w:val="nil"/>
              <w:right w:val="nil"/>
            </w:tcBorders>
            <w:shd w:val="clear" w:color="auto" w:fill="auto"/>
            <w:vAlign w:val="bottom"/>
            <w:hideMark/>
          </w:tcPr>
          <w:p w:rsidR="00076151" w:rsidRPr="003F682E" w:rsidRDefault="00076151" w:rsidP="00BA25F0">
            <w:pPr>
              <w:jc w:val="left"/>
              <w:rPr>
                <w:rFonts w:cs="Arial"/>
                <w:lang w:val="es-ES_tradnl"/>
              </w:rPr>
            </w:pPr>
            <w:r w:rsidRPr="003F682E">
              <w:rPr>
                <w:rFonts w:cs="Arial"/>
                <w:lang w:val="es-ES_tradnl"/>
              </w:rPr>
              <w:t>Ingresos</w:t>
            </w:r>
          </w:p>
        </w:tc>
        <w:tc>
          <w:tcPr>
            <w:tcW w:w="1428" w:type="dxa"/>
            <w:tcBorders>
              <w:top w:val="nil"/>
              <w:left w:val="nil"/>
              <w:bottom w:val="nil"/>
              <w:right w:val="nil"/>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6.794</w:t>
            </w:r>
          </w:p>
        </w:tc>
        <w:tc>
          <w:tcPr>
            <w:tcW w:w="1228" w:type="dxa"/>
            <w:tcBorders>
              <w:top w:val="nil"/>
              <w:left w:val="single" w:sz="4" w:space="0" w:color="auto"/>
              <w:bottom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340</w:t>
            </w:r>
          </w:p>
        </w:tc>
        <w:tc>
          <w:tcPr>
            <w:tcW w:w="1444" w:type="dxa"/>
            <w:tcBorders>
              <w:top w:val="nil"/>
              <w:left w:val="nil"/>
              <w:bottom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7.134</w:t>
            </w:r>
          </w:p>
        </w:tc>
      </w:tr>
      <w:tr w:rsidR="005D61AB" w:rsidRPr="003F682E" w:rsidTr="00BA25F0">
        <w:trPr>
          <w:trHeight w:val="255"/>
        </w:trPr>
        <w:tc>
          <w:tcPr>
            <w:tcW w:w="426" w:type="dxa"/>
            <w:tcBorders>
              <w:top w:val="nil"/>
              <w:left w:val="single" w:sz="4" w:space="0" w:color="auto"/>
              <w:bottom w:val="nil"/>
              <w:right w:val="nil"/>
            </w:tcBorders>
            <w:shd w:val="clear" w:color="auto" w:fill="auto"/>
            <w:hideMark/>
          </w:tcPr>
          <w:p w:rsidR="00076151" w:rsidRPr="003F682E" w:rsidRDefault="00076151" w:rsidP="00B859A5">
            <w:pPr>
              <w:jc w:val="center"/>
              <w:rPr>
                <w:rFonts w:cs="Arial"/>
                <w:lang w:val="es-ES_tradnl"/>
              </w:rPr>
            </w:pPr>
            <w:r w:rsidRPr="003F682E">
              <w:rPr>
                <w:rFonts w:cs="Arial"/>
                <w:lang w:val="es-ES_tradnl"/>
              </w:rPr>
              <w:t>5</w:t>
            </w:r>
          </w:p>
        </w:tc>
        <w:tc>
          <w:tcPr>
            <w:tcW w:w="3890" w:type="dxa"/>
            <w:tcBorders>
              <w:top w:val="nil"/>
              <w:left w:val="nil"/>
              <w:bottom w:val="nil"/>
              <w:right w:val="nil"/>
            </w:tcBorders>
            <w:shd w:val="clear" w:color="auto" w:fill="auto"/>
            <w:vAlign w:val="bottom"/>
            <w:hideMark/>
          </w:tcPr>
          <w:p w:rsidR="00076151" w:rsidRPr="003F682E" w:rsidRDefault="00076151" w:rsidP="00BA25F0">
            <w:pPr>
              <w:jc w:val="left"/>
              <w:rPr>
                <w:rFonts w:cs="Arial"/>
                <w:lang w:val="es-ES_tradnl"/>
              </w:rPr>
            </w:pPr>
            <w:r w:rsidRPr="003F682E">
              <w:rPr>
                <w:rFonts w:cs="Arial"/>
                <w:lang w:val="es-ES_tradnl"/>
              </w:rPr>
              <w:t>+/(-) Transferencia de/a reservas</w:t>
            </w:r>
          </w:p>
        </w:tc>
        <w:tc>
          <w:tcPr>
            <w:tcW w:w="1428" w:type="dxa"/>
            <w:tcBorders>
              <w:top w:val="nil"/>
              <w:left w:val="nil"/>
              <w:bottom w:val="nil"/>
              <w:right w:val="nil"/>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w:t>
            </w:r>
          </w:p>
        </w:tc>
        <w:tc>
          <w:tcPr>
            <w:tcW w:w="1228" w:type="dxa"/>
            <w:tcBorders>
              <w:top w:val="nil"/>
              <w:left w:val="single" w:sz="4" w:space="0" w:color="auto"/>
              <w:bottom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w:t>
            </w:r>
          </w:p>
        </w:tc>
        <w:tc>
          <w:tcPr>
            <w:tcW w:w="1444" w:type="dxa"/>
            <w:tcBorders>
              <w:top w:val="nil"/>
              <w:left w:val="nil"/>
              <w:bottom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w:t>
            </w:r>
          </w:p>
        </w:tc>
      </w:tr>
      <w:tr w:rsidR="005D61AB" w:rsidRPr="003F682E" w:rsidTr="00BA25F0">
        <w:trPr>
          <w:trHeight w:val="255"/>
        </w:trPr>
        <w:tc>
          <w:tcPr>
            <w:tcW w:w="426" w:type="dxa"/>
            <w:tcBorders>
              <w:top w:val="nil"/>
              <w:left w:val="single" w:sz="4" w:space="0" w:color="auto"/>
              <w:bottom w:val="nil"/>
              <w:right w:val="nil"/>
            </w:tcBorders>
            <w:shd w:val="clear" w:color="auto" w:fill="auto"/>
            <w:vAlign w:val="bottom"/>
            <w:hideMark/>
          </w:tcPr>
          <w:p w:rsidR="00076151" w:rsidRPr="003F682E" w:rsidRDefault="00076151" w:rsidP="00B859A5">
            <w:pPr>
              <w:jc w:val="center"/>
              <w:rPr>
                <w:rFonts w:cs="Arial"/>
                <w:lang w:val="es-ES_tradnl"/>
              </w:rPr>
            </w:pPr>
            <w:r w:rsidRPr="003F682E">
              <w:rPr>
                <w:rFonts w:cs="Arial"/>
                <w:lang w:val="es-ES_tradnl"/>
              </w:rPr>
              <w:t>6</w:t>
            </w:r>
          </w:p>
        </w:tc>
        <w:tc>
          <w:tcPr>
            <w:tcW w:w="3890" w:type="dxa"/>
            <w:tcBorders>
              <w:top w:val="nil"/>
              <w:left w:val="nil"/>
              <w:bottom w:val="nil"/>
              <w:right w:val="nil"/>
            </w:tcBorders>
            <w:shd w:val="clear" w:color="auto" w:fill="auto"/>
            <w:vAlign w:val="bottom"/>
            <w:hideMark/>
          </w:tcPr>
          <w:p w:rsidR="00076151" w:rsidRPr="003F682E" w:rsidRDefault="00076151" w:rsidP="00BA25F0">
            <w:pPr>
              <w:jc w:val="left"/>
              <w:rPr>
                <w:rFonts w:cs="Arial"/>
                <w:b/>
                <w:bCs/>
                <w:lang w:val="es-ES_tradnl"/>
              </w:rPr>
            </w:pPr>
            <w:r w:rsidRPr="003F682E">
              <w:rPr>
                <w:rFonts w:cs="Arial"/>
                <w:b/>
                <w:lang w:val="es-ES_tradnl"/>
              </w:rPr>
              <w:t>Recursos totales</w:t>
            </w:r>
          </w:p>
        </w:tc>
        <w:tc>
          <w:tcPr>
            <w:tcW w:w="1428" w:type="dxa"/>
            <w:tcBorders>
              <w:top w:val="nil"/>
              <w:left w:val="nil"/>
              <w:bottom w:val="nil"/>
              <w:right w:val="nil"/>
            </w:tcBorders>
            <w:shd w:val="clear" w:color="auto" w:fill="auto"/>
            <w:vAlign w:val="bottom"/>
            <w:hideMark/>
          </w:tcPr>
          <w:p w:rsidR="00076151" w:rsidRPr="003F682E" w:rsidRDefault="00076151" w:rsidP="00EF2D62">
            <w:pPr>
              <w:jc w:val="right"/>
              <w:rPr>
                <w:rFonts w:cs="Arial"/>
                <w:b/>
                <w:bCs/>
                <w:lang w:val="es-ES_tradnl"/>
              </w:rPr>
            </w:pPr>
            <w:r w:rsidRPr="003F682E">
              <w:rPr>
                <w:rFonts w:cs="Arial"/>
                <w:b/>
                <w:lang w:val="es-ES_tradnl"/>
              </w:rPr>
              <w:t>6.794</w:t>
            </w:r>
          </w:p>
        </w:tc>
        <w:tc>
          <w:tcPr>
            <w:tcW w:w="1228" w:type="dxa"/>
            <w:tcBorders>
              <w:top w:val="nil"/>
              <w:left w:val="single" w:sz="4" w:space="0" w:color="auto"/>
              <w:bottom w:val="nil"/>
              <w:right w:val="single" w:sz="4" w:space="0" w:color="auto"/>
            </w:tcBorders>
            <w:shd w:val="clear" w:color="auto" w:fill="auto"/>
            <w:vAlign w:val="bottom"/>
            <w:hideMark/>
          </w:tcPr>
          <w:p w:rsidR="00076151" w:rsidRPr="003F682E" w:rsidRDefault="00076151" w:rsidP="00EF2D62">
            <w:pPr>
              <w:jc w:val="right"/>
              <w:rPr>
                <w:rFonts w:cs="Arial"/>
                <w:b/>
                <w:bCs/>
                <w:lang w:val="es-ES_tradnl"/>
              </w:rPr>
            </w:pPr>
            <w:r w:rsidRPr="003F682E">
              <w:rPr>
                <w:rFonts w:cs="Arial"/>
                <w:b/>
                <w:lang w:val="es-ES_tradnl"/>
              </w:rPr>
              <w:t>340</w:t>
            </w:r>
          </w:p>
        </w:tc>
        <w:tc>
          <w:tcPr>
            <w:tcW w:w="1444" w:type="dxa"/>
            <w:tcBorders>
              <w:top w:val="nil"/>
              <w:left w:val="nil"/>
              <w:right w:val="single" w:sz="4" w:space="0" w:color="auto"/>
            </w:tcBorders>
            <w:shd w:val="clear" w:color="auto" w:fill="auto"/>
            <w:vAlign w:val="bottom"/>
            <w:hideMark/>
          </w:tcPr>
          <w:p w:rsidR="00076151" w:rsidRPr="003F682E" w:rsidRDefault="00076151" w:rsidP="00EF2D62">
            <w:pPr>
              <w:jc w:val="right"/>
              <w:rPr>
                <w:rFonts w:cs="Arial"/>
                <w:b/>
                <w:bCs/>
                <w:lang w:val="es-ES_tradnl"/>
              </w:rPr>
            </w:pPr>
            <w:r w:rsidRPr="003F682E">
              <w:rPr>
                <w:rFonts w:cs="Arial"/>
                <w:b/>
                <w:lang w:val="es-ES_tradnl"/>
              </w:rPr>
              <w:t>7.134</w:t>
            </w:r>
          </w:p>
        </w:tc>
      </w:tr>
      <w:tr w:rsidR="005D61AB" w:rsidRPr="003F682E" w:rsidTr="00BA25F0">
        <w:trPr>
          <w:trHeight w:val="255"/>
        </w:trPr>
        <w:tc>
          <w:tcPr>
            <w:tcW w:w="426" w:type="dxa"/>
            <w:tcBorders>
              <w:top w:val="nil"/>
              <w:left w:val="single" w:sz="4" w:space="0" w:color="auto"/>
              <w:right w:val="nil"/>
            </w:tcBorders>
            <w:shd w:val="clear" w:color="auto" w:fill="auto"/>
            <w:vAlign w:val="bottom"/>
            <w:hideMark/>
          </w:tcPr>
          <w:p w:rsidR="00076151" w:rsidRPr="003F682E" w:rsidRDefault="00076151" w:rsidP="00B859A5">
            <w:pPr>
              <w:jc w:val="center"/>
              <w:rPr>
                <w:rFonts w:cs="Arial"/>
                <w:lang w:val="es-ES_tradnl"/>
              </w:rPr>
            </w:pPr>
            <w:r w:rsidRPr="003F682E">
              <w:rPr>
                <w:rFonts w:cs="Arial"/>
                <w:lang w:val="es-ES_tradnl"/>
              </w:rPr>
              <w:t>7</w:t>
            </w:r>
          </w:p>
        </w:tc>
        <w:tc>
          <w:tcPr>
            <w:tcW w:w="3890" w:type="dxa"/>
            <w:tcBorders>
              <w:top w:val="nil"/>
              <w:left w:val="nil"/>
              <w:right w:val="nil"/>
            </w:tcBorders>
            <w:shd w:val="clear" w:color="auto" w:fill="auto"/>
            <w:vAlign w:val="bottom"/>
            <w:hideMark/>
          </w:tcPr>
          <w:p w:rsidR="00076151" w:rsidRPr="003F682E" w:rsidRDefault="00076151" w:rsidP="00BA25F0">
            <w:pPr>
              <w:jc w:val="left"/>
              <w:rPr>
                <w:rFonts w:cs="Arial"/>
                <w:lang w:val="es-ES_tradnl"/>
              </w:rPr>
            </w:pPr>
            <w:r w:rsidRPr="003F682E">
              <w:rPr>
                <w:rFonts w:cs="Arial"/>
                <w:lang w:val="es-ES_tradnl"/>
              </w:rPr>
              <w:t>Variación 6/3(%)</w:t>
            </w:r>
          </w:p>
        </w:tc>
        <w:tc>
          <w:tcPr>
            <w:tcW w:w="1428" w:type="dxa"/>
            <w:tcBorders>
              <w:top w:val="nil"/>
              <w:left w:val="nil"/>
              <w:right w:val="nil"/>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-0,1%</w:t>
            </w:r>
          </w:p>
        </w:tc>
        <w:tc>
          <w:tcPr>
            <w:tcW w:w="1228" w:type="dxa"/>
            <w:tcBorders>
              <w:top w:val="nil"/>
              <w:left w:val="single" w:sz="4" w:space="0" w:color="auto"/>
              <w:right w:val="single" w:sz="4" w:space="0" w:color="auto"/>
            </w:tcBorders>
            <w:shd w:val="clear" w:color="auto" w:fill="auto"/>
            <w:vAlign w:val="bottom"/>
            <w:hideMark/>
          </w:tcPr>
          <w:p w:rsidR="00076151" w:rsidRPr="003F682E" w:rsidRDefault="00076151" w:rsidP="00EF2D62">
            <w:pPr>
              <w:jc w:val="right"/>
              <w:rPr>
                <w:rFonts w:cs="Arial"/>
                <w:b/>
                <w:bCs/>
                <w:lang w:val="es-ES_tradnl"/>
              </w:rPr>
            </w:pPr>
            <w:r w:rsidRPr="003F682E">
              <w:rPr>
                <w:rFonts w:cs="Arial"/>
                <w:b/>
                <w:lang w:val="es-ES_tradnl"/>
              </w:rPr>
              <w:t>-</w:t>
            </w:r>
          </w:p>
        </w:tc>
        <w:tc>
          <w:tcPr>
            <w:tcW w:w="1444" w:type="dxa"/>
            <w:tcBorders>
              <w:top w:val="nil"/>
              <w:left w:val="nil"/>
              <w:right w:val="single" w:sz="4" w:space="0" w:color="auto"/>
            </w:tcBorders>
            <w:shd w:val="clear" w:color="auto" w:fill="auto"/>
            <w:vAlign w:val="bottom"/>
            <w:hideMark/>
          </w:tcPr>
          <w:p w:rsidR="00076151" w:rsidRPr="003F682E" w:rsidRDefault="00076151" w:rsidP="00EF2D62">
            <w:pPr>
              <w:jc w:val="right"/>
              <w:rPr>
                <w:rFonts w:cs="Arial"/>
                <w:lang w:val="es-ES_tradnl"/>
              </w:rPr>
            </w:pPr>
            <w:r w:rsidRPr="003F682E">
              <w:rPr>
                <w:rFonts w:cs="Arial"/>
                <w:lang w:val="es-ES_tradnl"/>
              </w:rPr>
              <w:t>-4,7%</w:t>
            </w:r>
          </w:p>
        </w:tc>
      </w:tr>
      <w:tr w:rsidR="005D61AB" w:rsidRPr="003F682E" w:rsidTr="00BA25F0">
        <w:trPr>
          <w:trHeight w:val="255"/>
        </w:trPr>
        <w:tc>
          <w:tcPr>
            <w:tcW w:w="4316" w:type="dxa"/>
            <w:gridSpan w:val="2"/>
            <w:tcBorders>
              <w:top w:val="nil"/>
              <w:left w:val="single" w:sz="4" w:space="0" w:color="auto"/>
              <w:bottom w:val="single" w:sz="4" w:space="0" w:color="auto"/>
              <w:right w:val="nil"/>
            </w:tcBorders>
            <w:shd w:val="clear" w:color="auto" w:fill="auto"/>
            <w:vAlign w:val="bottom"/>
            <w:hideMark/>
          </w:tcPr>
          <w:p w:rsidR="00076151" w:rsidRPr="003F682E" w:rsidRDefault="00076151" w:rsidP="00EF2D62">
            <w:pPr>
              <w:jc w:val="left"/>
              <w:rPr>
                <w:rFonts w:cs="Arial"/>
                <w:lang w:val="es-ES_tradnl"/>
              </w:rPr>
            </w:pPr>
          </w:p>
        </w:tc>
        <w:tc>
          <w:tcPr>
            <w:tcW w:w="1428" w:type="dxa"/>
            <w:tcBorders>
              <w:top w:val="nil"/>
              <w:left w:val="nil"/>
              <w:bottom w:val="single" w:sz="4" w:space="0" w:color="auto"/>
              <w:right w:val="nil"/>
            </w:tcBorders>
            <w:shd w:val="clear" w:color="auto" w:fill="auto"/>
            <w:vAlign w:val="bottom"/>
            <w:hideMark/>
          </w:tcPr>
          <w:p w:rsidR="00076151" w:rsidRPr="003F682E" w:rsidRDefault="00076151" w:rsidP="00EF2D62">
            <w:pPr>
              <w:jc w:val="right"/>
              <w:rPr>
                <w:rFonts w:cs="Arial"/>
                <w:lang w:val="es-ES_tradnl"/>
              </w:rPr>
            </w:pPr>
          </w:p>
        </w:tc>
        <w:tc>
          <w:tcPr>
            <w:tcW w:w="1228" w:type="dxa"/>
            <w:tcBorders>
              <w:top w:val="nil"/>
              <w:left w:val="single" w:sz="4" w:space="0" w:color="auto"/>
              <w:bottom w:val="single" w:sz="4" w:space="0" w:color="auto"/>
              <w:right w:val="single" w:sz="4" w:space="0" w:color="auto"/>
            </w:tcBorders>
            <w:shd w:val="clear" w:color="auto" w:fill="auto"/>
            <w:vAlign w:val="bottom"/>
            <w:hideMark/>
          </w:tcPr>
          <w:p w:rsidR="00076151" w:rsidRPr="003F682E" w:rsidRDefault="00076151" w:rsidP="00EF2D62">
            <w:pPr>
              <w:jc w:val="right"/>
              <w:rPr>
                <w:rFonts w:cs="Arial"/>
                <w:b/>
                <w:bCs/>
                <w:lang w:val="es-ES_tradnl"/>
              </w:rPr>
            </w:pPr>
            <w:r w:rsidRPr="003F682E">
              <w:rPr>
                <w:rFonts w:cs="Arial"/>
                <w:b/>
                <w:lang w:val="es-ES_tradnl"/>
              </w:rPr>
              <w:t> </w:t>
            </w:r>
          </w:p>
        </w:tc>
        <w:tc>
          <w:tcPr>
            <w:tcW w:w="1444" w:type="dxa"/>
            <w:tcBorders>
              <w:top w:val="nil"/>
              <w:left w:val="nil"/>
              <w:bottom w:val="single" w:sz="4" w:space="0" w:color="auto"/>
              <w:right w:val="single" w:sz="4" w:space="0" w:color="auto"/>
            </w:tcBorders>
            <w:shd w:val="clear" w:color="auto" w:fill="auto"/>
            <w:vAlign w:val="bottom"/>
            <w:hideMark/>
          </w:tcPr>
          <w:p w:rsidR="00076151" w:rsidRPr="003F682E" w:rsidRDefault="00076151" w:rsidP="00EF2D62">
            <w:pPr>
              <w:jc w:val="right"/>
              <w:rPr>
                <w:rFonts w:cs="Arial"/>
                <w:b/>
                <w:bCs/>
                <w:lang w:val="es-ES_tradnl"/>
              </w:rPr>
            </w:pPr>
            <w:r w:rsidRPr="003F682E">
              <w:rPr>
                <w:rFonts w:cs="Arial"/>
                <w:b/>
                <w:lang w:val="es-ES_tradnl"/>
              </w:rPr>
              <w:t> </w:t>
            </w:r>
          </w:p>
        </w:tc>
      </w:tr>
    </w:tbl>
    <w:p w:rsidR="00FF5D3C" w:rsidRPr="002B0BD5" w:rsidRDefault="00FF5D3C" w:rsidP="00EF2D62">
      <w:pPr>
        <w:jc w:val="left"/>
        <w:rPr>
          <w:rFonts w:cs="Arial"/>
          <w:lang w:val="es-ES_tradnl"/>
        </w:rPr>
      </w:pPr>
    </w:p>
    <w:p w:rsidR="008C1D8B" w:rsidRPr="002B0BD5" w:rsidRDefault="008C1D8B" w:rsidP="00EF2D62">
      <w:pPr>
        <w:jc w:val="left"/>
        <w:rPr>
          <w:rFonts w:cs="Arial"/>
          <w:lang w:val="es-ES_tradnl"/>
        </w:rPr>
      </w:pPr>
    </w:p>
    <w:p w:rsidR="00FF5D3C" w:rsidRPr="002B0BD5" w:rsidRDefault="00FF5D3C" w:rsidP="00507E82">
      <w:pPr>
        <w:rPr>
          <w:rFonts w:cs="Arial"/>
          <w:lang w:val="es-ES_tradnl"/>
        </w:rPr>
      </w:pPr>
      <w:bookmarkStart w:id="35" w:name="RANGE!A1:F18"/>
      <w:bookmarkEnd w:id="35"/>
      <w:r w:rsidRPr="002B0BD5">
        <w:rPr>
          <w:rFonts w:cs="Arial"/>
          <w:lang w:val="es-ES_tradnl"/>
        </w:rPr>
        <w:t>3.8</w:t>
      </w:r>
      <w:r w:rsidR="00FF08D0" w:rsidRPr="002B0BD5">
        <w:rPr>
          <w:rFonts w:cs="Arial"/>
          <w:lang w:val="es-ES_tradnl"/>
        </w:rPr>
        <w:tab/>
      </w:r>
      <w:r w:rsidRPr="002B0BD5">
        <w:rPr>
          <w:rFonts w:cs="Arial"/>
          <w:lang w:val="es-ES_tradnl"/>
        </w:rPr>
        <w:t xml:space="preserve">En el </w:t>
      </w:r>
      <w:r w:rsidRPr="002B0BD5">
        <w:rPr>
          <w:rFonts w:cs="Arial"/>
          <w:b/>
          <w:lang w:val="es-ES_tradnl"/>
        </w:rPr>
        <w:t>Cuadro 4</w:t>
      </w:r>
      <w:r w:rsidRPr="002B0BD5">
        <w:rPr>
          <w:rFonts w:cs="Arial"/>
          <w:lang w:val="es-ES_tradnl"/>
        </w:rPr>
        <w:t xml:space="preserve"> se indican las variaciones presupuestarias desglosadas por objeto de gasto entre  los bienios 2010-2011 y 2014-2015.  El gasto real en 2010-2011 ascendió a 6.479.000 francos suizos.  El presupuesto de 2012-2013 asciende a 6.798.000 francos suizos, equivalentes a un incremento del 4,9%.  El presupuesto propuesto para 2014-2015 asciende a 6.794.000 francos suizos, lo que representa una disminución de 4.000 francos suizos, es decir del 0,1%, en comparación con el presupuesto de 2012-2013.</w:t>
      </w:r>
    </w:p>
    <w:p w:rsidR="00FF5D3C" w:rsidRPr="002B0BD5" w:rsidRDefault="00FF5D3C" w:rsidP="00EF2D62">
      <w:pPr>
        <w:tabs>
          <w:tab w:val="left" w:pos="567"/>
        </w:tabs>
        <w:rPr>
          <w:rFonts w:cs="Arial"/>
          <w:lang w:val="es-ES_tradnl"/>
        </w:rPr>
      </w:pPr>
    </w:p>
    <w:p w:rsidR="00FF5D3C" w:rsidRPr="002B0BD5" w:rsidRDefault="00830231" w:rsidP="00507E82">
      <w:pPr>
        <w:rPr>
          <w:rFonts w:cs="Arial"/>
          <w:bCs/>
          <w:lang w:val="es-ES_tradnl"/>
        </w:rPr>
      </w:pPr>
      <w:r w:rsidRPr="002B0BD5">
        <w:rPr>
          <w:rFonts w:eastAsia="SimSun" w:cs="Arial"/>
          <w:lang w:val="es-ES_tradnl" w:eastAsia="zh-CN"/>
        </w:rPr>
        <w:t>3.9</w:t>
      </w:r>
      <w:r w:rsidRPr="002B0BD5">
        <w:rPr>
          <w:rFonts w:eastAsia="SimSun" w:cs="Arial"/>
          <w:lang w:val="es-ES_tradnl" w:eastAsia="zh-CN"/>
        </w:rPr>
        <w:tab/>
      </w:r>
      <w:r w:rsidR="00076151" w:rsidRPr="002B0BD5">
        <w:rPr>
          <w:rFonts w:cs="Arial"/>
          <w:lang w:val="es-ES_tradnl"/>
        </w:rPr>
        <w:t>Se ha mejorado y revisado la denominación y agrupamiento de los objetos de gasto a fin de</w:t>
      </w:r>
      <w:r w:rsidR="006E42D6" w:rsidRPr="002B0BD5">
        <w:rPr>
          <w:rFonts w:cs="Arial"/>
          <w:lang w:val="es-ES_tradnl"/>
        </w:rPr>
        <w:t xml:space="preserve"> </w:t>
      </w:r>
      <w:r w:rsidR="00076151" w:rsidRPr="002B0BD5">
        <w:rPr>
          <w:rFonts w:cs="Arial"/>
          <w:lang w:val="es-ES_tradnl"/>
        </w:rPr>
        <w:t>i)</w:t>
      </w:r>
      <w:r w:rsidR="0008638A" w:rsidRPr="002B0BD5">
        <w:rPr>
          <w:rFonts w:cs="Arial"/>
          <w:lang w:val="es-ES_tradnl"/>
        </w:rPr>
        <w:t> </w:t>
      </w:r>
      <w:r w:rsidR="00076151" w:rsidRPr="002B0BD5">
        <w:rPr>
          <w:rFonts w:cs="Arial"/>
          <w:lang w:val="es-ES_tradnl"/>
        </w:rPr>
        <w:t>armonizar la información de los costos de personal con la reforma contractual aplicada recientemente</w:t>
      </w:r>
      <w:r w:rsidR="00507E82">
        <w:rPr>
          <w:rFonts w:cs="Arial"/>
          <w:lang w:val="es-ES_tradnl"/>
        </w:rPr>
        <w:t>,</w:t>
      </w:r>
      <w:r w:rsidR="00076151" w:rsidRPr="002B0BD5">
        <w:rPr>
          <w:rFonts w:cs="Arial"/>
          <w:lang w:val="es-ES_tradnl"/>
        </w:rPr>
        <w:t xml:space="preserve"> y ii)</w:t>
      </w:r>
      <w:r w:rsidR="0008638A" w:rsidRPr="002B0BD5">
        <w:rPr>
          <w:rFonts w:cs="Arial"/>
          <w:lang w:val="es-ES_tradnl"/>
        </w:rPr>
        <w:t> </w:t>
      </w:r>
      <w:r w:rsidR="00076151" w:rsidRPr="002B0BD5">
        <w:rPr>
          <w:rFonts w:cs="Arial"/>
          <w:lang w:val="es-ES_tradnl"/>
        </w:rPr>
        <w:t>mejorar la eficiencia y la transparencia de la presentación general de información sobre la utilización de recursos.  Para facilitar la comparación de recursos entre los distintos bienios, el presupuesto de 2012-2013 aprobado se ha reexpresado de conformidad con los objetos de gasto propuestos para 2014-2015.  En el Apéndice III se ofrece un resumen de la definición de los rubros presupuestarios</w:t>
      </w:r>
      <w:r w:rsidR="009C0336" w:rsidRPr="002B0BD5">
        <w:rPr>
          <w:rFonts w:eastAsia="SimSun" w:cs="Arial"/>
          <w:lang w:val="es-ES_tradnl" w:eastAsia="zh-CN"/>
        </w:rPr>
        <w:t xml:space="preserve">. </w:t>
      </w:r>
    </w:p>
    <w:p w:rsidR="00FF5D3C" w:rsidRPr="002B0BD5" w:rsidRDefault="00FF5D3C" w:rsidP="00EF2D62">
      <w:pPr>
        <w:tabs>
          <w:tab w:val="left" w:pos="567"/>
        </w:tabs>
        <w:rPr>
          <w:rFonts w:cs="Arial"/>
          <w:lang w:val="es-ES_tradnl"/>
        </w:rPr>
      </w:pPr>
    </w:p>
    <w:p w:rsidR="00FF5D3C" w:rsidRPr="002B0BD5" w:rsidRDefault="00830231" w:rsidP="00507E82">
      <w:pPr>
        <w:rPr>
          <w:rFonts w:cs="Arial"/>
          <w:bCs/>
          <w:lang w:val="es-ES_tradnl"/>
        </w:rPr>
      </w:pPr>
      <w:r w:rsidRPr="002B0BD5">
        <w:rPr>
          <w:rFonts w:eastAsia="SimSun" w:cs="Arial"/>
          <w:lang w:val="es-ES_tradnl" w:eastAsia="zh-CN"/>
        </w:rPr>
        <w:t>3.10</w:t>
      </w:r>
      <w:r w:rsidRPr="002B0BD5">
        <w:rPr>
          <w:rFonts w:eastAsia="SimSun" w:cs="Arial"/>
          <w:lang w:val="es-ES_tradnl" w:eastAsia="zh-CN"/>
        </w:rPr>
        <w:tab/>
      </w:r>
      <w:r w:rsidR="00076151" w:rsidRPr="002B0BD5">
        <w:rPr>
          <w:rFonts w:cs="Arial"/>
          <w:lang w:val="es-ES_tradnl"/>
        </w:rPr>
        <w:t>Los cambios introducidos en las categorías de costos para el bienio 2014-2015 se resumen a continuación</w:t>
      </w:r>
      <w:r w:rsidR="00D541D0" w:rsidRPr="002B0BD5">
        <w:rPr>
          <w:rFonts w:eastAsia="SimSun" w:cs="Arial"/>
          <w:lang w:val="es-ES_tradnl" w:eastAsia="zh-CN"/>
        </w:rPr>
        <w:t xml:space="preserve">: </w:t>
      </w:r>
    </w:p>
    <w:p w:rsidR="00FF5D3C" w:rsidRPr="002B0BD5" w:rsidRDefault="00FF5D3C" w:rsidP="00EF2D62">
      <w:pPr>
        <w:rPr>
          <w:rFonts w:cs="Arial"/>
          <w:bCs/>
          <w:lang w:val="es-ES_tradnl"/>
        </w:rPr>
      </w:pPr>
    </w:p>
    <w:p w:rsidR="00FF5D3C" w:rsidRPr="002B0BD5" w:rsidRDefault="00AB0A0A" w:rsidP="00EF2D62">
      <w:pPr>
        <w:spacing w:after="200"/>
        <w:ind w:left="1134" w:hanging="567"/>
        <w:rPr>
          <w:rFonts w:eastAsia="SimSun" w:cs="Arial"/>
          <w:lang w:val="es-ES_tradnl" w:eastAsia="zh-CN"/>
        </w:rPr>
      </w:pPr>
      <w:r w:rsidRPr="002B0BD5">
        <w:rPr>
          <w:rFonts w:cs="Arial"/>
          <w:lang w:val="es-ES_tradnl"/>
        </w:rPr>
        <w:t>a)</w:t>
      </w:r>
      <w:r w:rsidR="00EA16ED" w:rsidRPr="002B0BD5">
        <w:rPr>
          <w:rFonts w:cs="Arial"/>
          <w:lang w:val="es-ES_tradnl"/>
        </w:rPr>
        <w:tab/>
      </w:r>
      <w:r w:rsidR="00076151" w:rsidRPr="002B0BD5">
        <w:rPr>
          <w:rFonts w:cs="Arial"/>
          <w:lang w:val="es-ES_tradnl"/>
        </w:rPr>
        <w:t>Tras la aplicación de la reforma contractual, los objetos de gasto comprendidos en los recursos de personal</w:t>
      </w:r>
      <w:r w:rsidR="00EA16ED" w:rsidRPr="002B0BD5">
        <w:rPr>
          <w:rFonts w:cs="Arial"/>
          <w:lang w:val="es-ES_tradnl"/>
        </w:rPr>
        <w:t xml:space="preserve"> se han revisado e incluido en Puestos y </w:t>
      </w:r>
      <w:r w:rsidR="00507E82" w:rsidRPr="002B0BD5">
        <w:rPr>
          <w:rFonts w:cs="Arial"/>
          <w:lang w:val="es-ES_tradnl"/>
        </w:rPr>
        <w:t xml:space="preserve">Plazas </w:t>
      </w:r>
      <w:r w:rsidR="00EA16ED" w:rsidRPr="002B0BD5">
        <w:rPr>
          <w:rFonts w:cs="Arial"/>
          <w:lang w:val="es-ES_tradnl"/>
        </w:rPr>
        <w:t>temporales</w:t>
      </w:r>
      <w:r w:rsidR="00076151" w:rsidRPr="002B0BD5">
        <w:rPr>
          <w:rFonts w:cs="Arial"/>
          <w:lang w:val="es-ES_tradnl"/>
        </w:rPr>
        <w:t>, mientras que los recursos no relativos al personal se han extraído de esta categoría.  Las nuevas categorías de gastos son las siguientes</w:t>
      </w:r>
      <w:r w:rsidR="00D541D0" w:rsidRPr="002B0BD5">
        <w:rPr>
          <w:rFonts w:eastAsia="SimSun" w:cs="Arial"/>
          <w:lang w:val="es-ES_tradnl" w:eastAsia="zh-CN"/>
        </w:rPr>
        <w:t xml:space="preserve">: </w:t>
      </w:r>
    </w:p>
    <w:p w:rsidR="008C1D8B" w:rsidRPr="002B0BD5" w:rsidRDefault="008C1D8B" w:rsidP="00EF2D62">
      <w:pPr>
        <w:tabs>
          <w:tab w:val="center" w:pos="1418"/>
          <w:tab w:val="left" w:pos="1701"/>
        </w:tabs>
        <w:spacing w:after="120"/>
        <w:ind w:left="1701" w:hanging="567"/>
        <w:rPr>
          <w:rFonts w:eastAsia="SimSun" w:cs="Arial"/>
          <w:lang w:val="es-ES_tradnl" w:eastAsia="zh-CN"/>
        </w:rPr>
      </w:pPr>
      <w:r w:rsidRPr="002B0BD5">
        <w:rPr>
          <w:rFonts w:cs="Arial"/>
          <w:lang w:val="es-ES_tradnl"/>
        </w:rPr>
        <w:tab/>
      </w:r>
      <w:r w:rsidR="00AB0A0A" w:rsidRPr="002B0BD5">
        <w:rPr>
          <w:rFonts w:cs="Arial"/>
          <w:lang w:val="es-ES_tradnl"/>
        </w:rPr>
        <w:t>i)</w:t>
      </w:r>
      <w:r w:rsidR="00AB0A0A" w:rsidRPr="002B0BD5">
        <w:rPr>
          <w:rFonts w:cs="Arial"/>
          <w:b/>
          <w:lang w:val="es-ES_tradnl"/>
        </w:rPr>
        <w:tab/>
      </w:r>
      <w:r w:rsidR="00076151" w:rsidRPr="002B0BD5">
        <w:rPr>
          <w:rFonts w:cs="Arial"/>
          <w:b/>
          <w:lang w:val="es-ES_tradnl"/>
        </w:rPr>
        <w:t>Puestos</w:t>
      </w:r>
      <w:proofErr w:type="gramStart"/>
      <w:r w:rsidR="006E42D6" w:rsidRPr="002B0BD5">
        <w:rPr>
          <w:rFonts w:cs="Arial"/>
          <w:lang w:val="es-ES_tradnl"/>
        </w:rPr>
        <w:t xml:space="preserve">:  </w:t>
      </w:r>
      <w:r w:rsidR="00076151" w:rsidRPr="002B0BD5">
        <w:rPr>
          <w:rFonts w:cs="Arial"/>
          <w:lang w:val="es-ES_tradnl"/>
        </w:rPr>
        <w:t>esta</w:t>
      </w:r>
      <w:proofErr w:type="gramEnd"/>
      <w:r w:rsidR="00076151" w:rsidRPr="002B0BD5">
        <w:rPr>
          <w:rFonts w:cs="Arial"/>
          <w:lang w:val="es-ES_tradnl"/>
        </w:rPr>
        <w:t xml:space="preserve"> categoría abarca los recursos previstos para cubrir los gastos de personal con contratos de plazo fijo, continuos o permanentes</w:t>
      </w:r>
      <w:r w:rsidR="008C4275" w:rsidRPr="002B0BD5">
        <w:rPr>
          <w:rFonts w:cs="Arial"/>
          <w:lang w:val="es-ES_tradnl"/>
        </w:rPr>
        <w:t>,</w:t>
      </w:r>
      <w:r w:rsidR="00076151" w:rsidRPr="002B0BD5">
        <w:rPr>
          <w:rFonts w:cs="Arial"/>
          <w:lang w:val="es-ES_tradnl"/>
        </w:rPr>
        <w:t xml:space="preserve"> frente a los puestos aprobados en el marco del presupuesto ordinario en las categorías Profesional y Servicios generales</w:t>
      </w:r>
      <w:r w:rsidR="00D541D0" w:rsidRPr="002B0BD5">
        <w:rPr>
          <w:rFonts w:eastAsia="SimSun" w:cs="Arial"/>
          <w:lang w:val="es-ES_tradnl" w:eastAsia="zh-CN"/>
        </w:rPr>
        <w:t>.</w:t>
      </w:r>
    </w:p>
    <w:p w:rsidR="008C1D8B" w:rsidRPr="002B0BD5" w:rsidRDefault="008C1D8B" w:rsidP="00EF2D62">
      <w:pPr>
        <w:jc w:val="left"/>
        <w:rPr>
          <w:rFonts w:eastAsia="SimSun" w:cs="Arial"/>
          <w:lang w:val="es-ES_tradnl" w:eastAsia="zh-CN"/>
        </w:rPr>
      </w:pPr>
      <w:r w:rsidRPr="002B0BD5">
        <w:rPr>
          <w:rFonts w:eastAsia="SimSun" w:cs="Arial"/>
          <w:lang w:val="es-ES_tradnl" w:eastAsia="zh-CN"/>
        </w:rPr>
        <w:br w:type="page"/>
      </w:r>
    </w:p>
    <w:p w:rsidR="00FF5D3C" w:rsidRPr="002B0BD5" w:rsidRDefault="008C1D8B" w:rsidP="00EF2D62">
      <w:pPr>
        <w:tabs>
          <w:tab w:val="center" w:pos="1418"/>
          <w:tab w:val="left" w:pos="1701"/>
        </w:tabs>
        <w:spacing w:after="120"/>
        <w:ind w:left="1701" w:hanging="567"/>
        <w:rPr>
          <w:rFonts w:eastAsia="SimSun" w:cs="Arial"/>
          <w:lang w:val="es-ES_tradnl" w:eastAsia="zh-CN"/>
        </w:rPr>
      </w:pPr>
      <w:r w:rsidRPr="002B0BD5">
        <w:rPr>
          <w:rFonts w:cs="Arial"/>
          <w:lang w:val="es-ES_tradnl"/>
        </w:rPr>
        <w:tab/>
      </w:r>
      <w:r w:rsidR="00AB0A0A" w:rsidRPr="002B0BD5">
        <w:rPr>
          <w:rFonts w:cs="Arial"/>
          <w:lang w:val="es-ES_tradnl"/>
        </w:rPr>
        <w:t>ii)</w:t>
      </w:r>
      <w:r w:rsidR="00AB0A0A" w:rsidRPr="002B0BD5">
        <w:rPr>
          <w:rFonts w:cs="Arial"/>
          <w:b/>
          <w:lang w:val="es-ES_tradnl"/>
        </w:rPr>
        <w:tab/>
      </w:r>
      <w:r w:rsidR="00112976" w:rsidRPr="002B0BD5">
        <w:rPr>
          <w:rFonts w:cs="Arial"/>
          <w:b/>
          <w:lang w:val="es-ES_tradnl"/>
        </w:rPr>
        <w:t>Plazas temporales</w:t>
      </w:r>
      <w:r w:rsidR="006E42D6" w:rsidRPr="002B0BD5">
        <w:rPr>
          <w:rFonts w:cs="Arial"/>
          <w:lang w:val="es-ES_tradnl"/>
        </w:rPr>
        <w:t xml:space="preserve">:  </w:t>
      </w:r>
      <w:r w:rsidR="00112976" w:rsidRPr="002B0BD5">
        <w:rPr>
          <w:rFonts w:cs="Arial"/>
          <w:lang w:val="es-ES_tradnl"/>
        </w:rPr>
        <w:t>esta categoría abarca los recursos previstos para cubrir los gastos de personal cuyos contratos, que previamente eran de corta duración, se convirtieron en contratos de personal temporero, así como los nuevos contratos de personal temporero establecidos en virtud del nuevo Estatuto y Reglamento del Personal</w:t>
      </w:r>
      <w:r w:rsidR="00D541D0" w:rsidRPr="002B0BD5">
        <w:rPr>
          <w:rFonts w:eastAsia="SimSun" w:cs="Arial"/>
          <w:lang w:val="es-ES_tradnl" w:eastAsia="zh-CN"/>
        </w:rPr>
        <w:t xml:space="preserve">.  </w:t>
      </w:r>
    </w:p>
    <w:p w:rsidR="00FF5D3C" w:rsidRPr="002B0BD5" w:rsidRDefault="008C1D8B" w:rsidP="00EF2D62">
      <w:pPr>
        <w:tabs>
          <w:tab w:val="center" w:pos="1418"/>
          <w:tab w:val="left" w:pos="1701"/>
        </w:tabs>
        <w:spacing w:after="120"/>
        <w:ind w:left="1701" w:hanging="567"/>
        <w:rPr>
          <w:rFonts w:eastAsia="SimSun" w:cs="Arial"/>
          <w:lang w:val="es-ES_tradnl" w:eastAsia="zh-CN"/>
        </w:rPr>
      </w:pPr>
      <w:r w:rsidRPr="002B0BD5">
        <w:rPr>
          <w:rFonts w:cs="Arial"/>
          <w:lang w:val="es-ES_tradnl"/>
        </w:rPr>
        <w:tab/>
      </w:r>
      <w:r w:rsidR="00AB0A0A" w:rsidRPr="002B0BD5">
        <w:rPr>
          <w:rFonts w:cs="Arial"/>
          <w:lang w:val="es-ES_tradnl"/>
        </w:rPr>
        <w:t>iii)</w:t>
      </w:r>
      <w:r w:rsidR="00AB0A0A" w:rsidRPr="002B0BD5">
        <w:rPr>
          <w:rFonts w:cs="Arial"/>
          <w:b/>
          <w:lang w:val="es-ES_tradnl"/>
        </w:rPr>
        <w:tab/>
      </w:r>
      <w:r w:rsidR="00112976" w:rsidRPr="002B0BD5">
        <w:rPr>
          <w:rFonts w:cs="Arial"/>
          <w:b/>
          <w:lang w:val="es-ES_tradnl"/>
        </w:rPr>
        <w:t>Pasantías</w:t>
      </w:r>
      <w:proofErr w:type="gramStart"/>
      <w:r w:rsidR="006E42D6" w:rsidRPr="002B0BD5">
        <w:rPr>
          <w:rFonts w:cs="Arial"/>
          <w:lang w:val="es-ES_tradnl"/>
        </w:rPr>
        <w:t xml:space="preserve">:  </w:t>
      </w:r>
      <w:r w:rsidR="00112976" w:rsidRPr="002B0BD5">
        <w:rPr>
          <w:rFonts w:cs="Arial"/>
          <w:lang w:val="es-ES_tradnl"/>
        </w:rPr>
        <w:t>bajo</w:t>
      </w:r>
      <w:proofErr w:type="gramEnd"/>
      <w:r w:rsidR="00112976" w:rsidRPr="002B0BD5">
        <w:rPr>
          <w:rFonts w:cs="Arial"/>
          <w:lang w:val="es-ES_tradnl"/>
        </w:rPr>
        <w:t xml:space="preserve"> esta categoría sigue figurando el mismo tipo de contratos, es decir los relativos a los pasan</w:t>
      </w:r>
      <w:r w:rsidR="008C4275" w:rsidRPr="002B0BD5">
        <w:rPr>
          <w:rFonts w:cs="Arial"/>
          <w:lang w:val="es-ES_tradnl"/>
        </w:rPr>
        <w:t>tes, pero se ha trasladado de R</w:t>
      </w:r>
      <w:r w:rsidR="00112976" w:rsidRPr="002B0BD5">
        <w:rPr>
          <w:rFonts w:cs="Arial"/>
          <w:lang w:val="es-ES_tradnl"/>
        </w:rPr>
        <w:t xml:space="preserve">ecursos de personal a </w:t>
      </w:r>
      <w:r w:rsidR="008C4275" w:rsidRPr="002B0BD5">
        <w:rPr>
          <w:rFonts w:cs="Arial"/>
          <w:lang w:val="es-ES_tradnl"/>
        </w:rPr>
        <w:t>R</w:t>
      </w:r>
      <w:r w:rsidR="00112976" w:rsidRPr="002B0BD5">
        <w:rPr>
          <w:rFonts w:cs="Arial"/>
          <w:lang w:val="es-ES_tradnl"/>
        </w:rPr>
        <w:t>e</w:t>
      </w:r>
      <w:r w:rsidR="008C4275" w:rsidRPr="002B0BD5">
        <w:rPr>
          <w:rFonts w:cs="Arial"/>
          <w:lang w:val="es-ES_tradnl"/>
        </w:rPr>
        <w:t>cursos no relativos al personal</w:t>
      </w:r>
      <w:r w:rsidR="00112976" w:rsidRPr="002B0BD5">
        <w:rPr>
          <w:rFonts w:cs="Arial"/>
          <w:lang w:val="es-ES_tradnl"/>
        </w:rPr>
        <w:t xml:space="preserve"> a fin de reflejar adecuadamente la naturaleza de la relación de sus titulares con la Organización.  Puesto que ya no se rigen por el Estatuto y Reglamento del Personal, figuran como recursos no relativos al personal bajo el rubro de </w:t>
      </w:r>
      <w:r w:rsidR="008C4275" w:rsidRPr="002B0BD5">
        <w:rPr>
          <w:rFonts w:cs="Arial"/>
          <w:lang w:val="es-ES_tradnl"/>
        </w:rPr>
        <w:t>G</w:t>
      </w:r>
      <w:r w:rsidR="00112976" w:rsidRPr="002B0BD5">
        <w:rPr>
          <w:rFonts w:cs="Arial"/>
          <w:lang w:val="es-ES_tradnl"/>
        </w:rPr>
        <w:t>astos no relativos al personal</w:t>
      </w:r>
      <w:r w:rsidR="00D541D0" w:rsidRPr="002B0BD5">
        <w:rPr>
          <w:rFonts w:eastAsia="SimSun" w:cs="Arial"/>
          <w:lang w:val="es-ES_tradnl" w:eastAsia="zh-CN"/>
        </w:rPr>
        <w:t>.</w:t>
      </w:r>
    </w:p>
    <w:p w:rsidR="00FF5D3C" w:rsidRPr="002B0BD5" w:rsidRDefault="008C4275" w:rsidP="00EF2D62">
      <w:pPr>
        <w:spacing w:after="200"/>
        <w:ind w:left="1134" w:hanging="567"/>
        <w:rPr>
          <w:rFonts w:eastAsia="SimSun" w:cs="Arial"/>
          <w:lang w:val="es-ES_tradnl" w:eastAsia="zh-CN"/>
        </w:rPr>
      </w:pPr>
      <w:r w:rsidRPr="002B0BD5">
        <w:rPr>
          <w:rFonts w:cs="Arial"/>
          <w:lang w:val="es-ES_tradnl"/>
        </w:rPr>
        <w:t>b</w:t>
      </w:r>
      <w:r w:rsidR="00AB0A0A" w:rsidRPr="002B0BD5">
        <w:rPr>
          <w:rFonts w:cs="Arial"/>
          <w:lang w:val="es-ES_tradnl"/>
        </w:rPr>
        <w:t>)</w:t>
      </w:r>
      <w:r w:rsidR="00AB0A0A" w:rsidRPr="002B0BD5">
        <w:rPr>
          <w:rFonts w:cs="Arial"/>
          <w:lang w:val="es-ES_tradnl"/>
        </w:rPr>
        <w:tab/>
      </w:r>
      <w:r w:rsidR="00112976" w:rsidRPr="002B0BD5">
        <w:rPr>
          <w:rFonts w:cs="Arial"/>
          <w:lang w:val="es-ES_tradnl"/>
        </w:rPr>
        <w:t>Se ha añadido el rubro Otros gastos de personal para ilustrar los diferentes tipos de gastos</w:t>
      </w:r>
      <w:r w:rsidR="006B2291">
        <w:rPr>
          <w:rFonts w:cs="Arial"/>
          <w:lang w:val="es-ES_tradnl"/>
        </w:rPr>
        <w:t xml:space="preserve"> </w:t>
      </w:r>
      <w:r w:rsidR="00112976" w:rsidRPr="002B0BD5">
        <w:rPr>
          <w:rFonts w:cs="Arial"/>
          <w:lang w:val="es-ES_tradnl"/>
        </w:rPr>
        <w:t xml:space="preserve">comunes a las categorías Puestos y </w:t>
      </w:r>
      <w:r w:rsidR="00A76A85" w:rsidRPr="002B0BD5">
        <w:rPr>
          <w:rFonts w:cs="Arial"/>
          <w:lang w:val="es-ES_tradnl"/>
        </w:rPr>
        <w:t>P</w:t>
      </w:r>
      <w:r w:rsidR="00112976" w:rsidRPr="002B0BD5">
        <w:rPr>
          <w:rFonts w:cs="Arial"/>
          <w:lang w:val="es-ES_tradnl"/>
        </w:rPr>
        <w:t>lazas temporales.  En Otros gastos de personal se incluyen las partidas presupuestas para cubrir el seguro de accidentes profesionales, la Caja Cerrada de Pensiones y las costas procesales</w:t>
      </w:r>
      <w:r w:rsidR="00D541D0" w:rsidRPr="002B0BD5">
        <w:rPr>
          <w:rFonts w:eastAsia="SimSun" w:cs="Arial"/>
          <w:lang w:val="es-ES_tradnl" w:eastAsia="zh-CN"/>
        </w:rPr>
        <w:t>.</w:t>
      </w:r>
    </w:p>
    <w:p w:rsidR="00FF5D3C" w:rsidRPr="002B0BD5" w:rsidRDefault="008C4275" w:rsidP="00EF2D62">
      <w:pPr>
        <w:spacing w:after="200"/>
        <w:ind w:left="1134" w:hanging="567"/>
        <w:rPr>
          <w:rFonts w:eastAsia="SimSun" w:cs="Arial"/>
          <w:lang w:val="es-ES_tradnl" w:eastAsia="zh-CN"/>
        </w:rPr>
      </w:pPr>
      <w:r w:rsidRPr="002B0BD5">
        <w:rPr>
          <w:rFonts w:cs="Arial"/>
          <w:lang w:val="es-ES_tradnl"/>
        </w:rPr>
        <w:t>c</w:t>
      </w:r>
      <w:r w:rsidR="00AB0A0A" w:rsidRPr="002B0BD5">
        <w:rPr>
          <w:rFonts w:cs="Arial"/>
          <w:lang w:val="es-ES_tradnl"/>
        </w:rPr>
        <w:t>)</w:t>
      </w:r>
      <w:r w:rsidR="00AB0A0A" w:rsidRPr="002B0BD5">
        <w:rPr>
          <w:rFonts w:cs="Arial"/>
          <w:lang w:val="es-ES_tradnl"/>
        </w:rPr>
        <w:tab/>
      </w:r>
      <w:r w:rsidR="00112976" w:rsidRPr="002B0BD5">
        <w:rPr>
          <w:rFonts w:cs="Arial"/>
          <w:lang w:val="es-ES_tradnl"/>
        </w:rPr>
        <w:t>Las actuales categorías incluidas en el rubro Servicios contractuales se han reagrupado en</w:t>
      </w:r>
      <w:r w:rsidR="00D541D0" w:rsidRPr="002B0BD5">
        <w:rPr>
          <w:rFonts w:eastAsia="SimSun" w:cs="Arial"/>
          <w:lang w:val="es-ES_tradnl" w:eastAsia="zh-CN"/>
        </w:rPr>
        <w:t xml:space="preserve">: </w:t>
      </w:r>
    </w:p>
    <w:p w:rsidR="00FF5D3C" w:rsidRPr="002B0BD5" w:rsidRDefault="00AB0A0A" w:rsidP="00EF2D62">
      <w:pPr>
        <w:spacing w:after="120"/>
        <w:ind w:left="2127" w:hanging="426"/>
        <w:rPr>
          <w:rFonts w:eastAsia="SimSun" w:cs="Arial"/>
          <w:lang w:val="es-ES_tradnl" w:eastAsia="zh-CN"/>
        </w:rPr>
      </w:pPr>
      <w:r w:rsidRPr="002B0BD5">
        <w:rPr>
          <w:rFonts w:cs="Arial"/>
          <w:lang w:val="es-ES_tradnl"/>
        </w:rPr>
        <w:t>1)</w:t>
      </w:r>
      <w:r w:rsidRPr="002B0BD5">
        <w:rPr>
          <w:rFonts w:cs="Arial"/>
          <w:lang w:val="es-ES_tradnl"/>
        </w:rPr>
        <w:tab/>
      </w:r>
      <w:r w:rsidR="00112976" w:rsidRPr="002B0BD5">
        <w:rPr>
          <w:rFonts w:cs="Arial"/>
          <w:lang w:val="es-ES_tradnl"/>
        </w:rPr>
        <w:t>Servicios contractuales individuales, en que se incluyen los costos presupuestados para todos los contratos de ese tipo (anteriormente Acuerdos de servicios especiales (ASE) y Honorarios de expertos); y</w:t>
      </w:r>
      <w:r w:rsidR="00D541D0" w:rsidRPr="002B0BD5">
        <w:rPr>
          <w:rFonts w:eastAsia="SimSun" w:cs="Arial"/>
          <w:lang w:val="es-ES_tradnl" w:eastAsia="zh-CN"/>
        </w:rPr>
        <w:t xml:space="preserve"> </w:t>
      </w:r>
    </w:p>
    <w:p w:rsidR="00FF5D3C" w:rsidRPr="002B0BD5" w:rsidRDefault="00AB0A0A" w:rsidP="00EF2D62">
      <w:pPr>
        <w:spacing w:after="120"/>
        <w:ind w:left="2127" w:hanging="426"/>
        <w:rPr>
          <w:rFonts w:eastAsia="SimSun" w:cs="Arial"/>
          <w:lang w:val="es-ES_tradnl" w:eastAsia="zh-CN"/>
        </w:rPr>
      </w:pPr>
      <w:r w:rsidRPr="002B0BD5">
        <w:rPr>
          <w:rFonts w:cs="Arial"/>
          <w:lang w:val="es-ES_tradnl"/>
        </w:rPr>
        <w:t>2)</w:t>
      </w:r>
      <w:r w:rsidRPr="002B0BD5">
        <w:rPr>
          <w:rFonts w:cs="Arial"/>
          <w:lang w:val="es-ES_tradnl"/>
        </w:rPr>
        <w:tab/>
      </w:r>
      <w:r w:rsidR="00112976" w:rsidRPr="002B0BD5">
        <w:rPr>
          <w:rFonts w:cs="Arial"/>
          <w:lang w:val="es-ES_tradnl"/>
        </w:rPr>
        <w:t>Otros servicios contractuales, en que se incluyen todos los servicios contractuales con proveedores de servicios comerciales y no comerciales</w:t>
      </w:r>
      <w:r w:rsidR="00D541D0" w:rsidRPr="002B0BD5">
        <w:rPr>
          <w:rFonts w:eastAsia="SimSun" w:cs="Arial"/>
          <w:lang w:val="es-ES_tradnl" w:eastAsia="zh-CN"/>
        </w:rPr>
        <w:t>.</w:t>
      </w:r>
    </w:p>
    <w:p w:rsidR="00FF08D0" w:rsidRPr="002B0BD5" w:rsidRDefault="00FF08D0" w:rsidP="00EF2D62">
      <w:pPr>
        <w:jc w:val="left"/>
        <w:rPr>
          <w:rFonts w:eastAsia="SimSun" w:cs="Arial"/>
          <w:lang w:val="es-ES_tradnl" w:eastAsia="zh-CN"/>
        </w:rPr>
      </w:pPr>
    </w:p>
    <w:p w:rsidR="006B2291" w:rsidRDefault="006B2291">
      <w:pPr>
        <w:jc w:val="left"/>
        <w:rPr>
          <w:b/>
          <w:bCs/>
          <w:iCs/>
          <w:lang w:val="es-ES_tradnl"/>
        </w:rPr>
      </w:pPr>
      <w:bookmarkStart w:id="36" w:name="_Toc363577073"/>
      <w:r>
        <w:rPr>
          <w:lang w:val="es-ES_tradnl"/>
        </w:rPr>
        <w:br w:type="page"/>
      </w:r>
    </w:p>
    <w:p w:rsidR="00FF5D3C" w:rsidRPr="002B0BD5" w:rsidRDefault="00FF5D3C" w:rsidP="00EF2D62">
      <w:pPr>
        <w:pStyle w:val="Heading4"/>
        <w:rPr>
          <w:lang w:val="es-ES_tradnl"/>
        </w:rPr>
      </w:pPr>
      <w:r w:rsidRPr="002B0BD5">
        <w:rPr>
          <w:lang w:val="es-ES_tradnl"/>
        </w:rPr>
        <w:t>Cuadro 4</w:t>
      </w:r>
      <w:proofErr w:type="gramStart"/>
      <w:r w:rsidRPr="002B0BD5">
        <w:rPr>
          <w:lang w:val="es-ES_tradnl"/>
        </w:rPr>
        <w:t>:  Presupuesto</w:t>
      </w:r>
      <w:proofErr w:type="gramEnd"/>
      <w:r w:rsidRPr="002B0BD5">
        <w:rPr>
          <w:lang w:val="es-ES_tradnl"/>
        </w:rPr>
        <w:t xml:space="preserve"> propuesto para el bienio 2014-2015:  </w:t>
      </w:r>
      <w:r w:rsidR="003856C8">
        <w:rPr>
          <w:lang w:val="es-ES_tradnl"/>
        </w:rPr>
        <w:br/>
      </w:r>
      <w:r w:rsidRPr="002B0BD5">
        <w:rPr>
          <w:lang w:val="es-ES_tradnl"/>
        </w:rPr>
        <w:t>variación presupuestaria por objeto de gasto</w:t>
      </w:r>
      <w:bookmarkEnd w:id="36"/>
    </w:p>
    <w:p w:rsidR="00FF5D3C" w:rsidRPr="002B0BD5" w:rsidRDefault="00FF5D3C" w:rsidP="00EF2D62">
      <w:pPr>
        <w:jc w:val="center"/>
        <w:rPr>
          <w:rFonts w:cs="Arial"/>
          <w:lang w:val="es-ES_tradnl"/>
        </w:rPr>
      </w:pPr>
      <w:r w:rsidRPr="002B0BD5">
        <w:rPr>
          <w:rFonts w:cs="Arial"/>
          <w:lang w:val="es-ES_tradnl"/>
        </w:rPr>
        <w:t>(</w:t>
      </w:r>
      <w:proofErr w:type="gramStart"/>
      <w:r w:rsidRPr="002B0BD5">
        <w:rPr>
          <w:rFonts w:cs="Arial"/>
          <w:lang w:val="es-ES_tradnl"/>
        </w:rPr>
        <w:t>en</w:t>
      </w:r>
      <w:proofErr w:type="gramEnd"/>
      <w:r w:rsidRPr="002B0BD5">
        <w:rPr>
          <w:rFonts w:cs="Arial"/>
          <w:lang w:val="es-ES_tradnl"/>
        </w:rPr>
        <w:t xml:space="preserve"> miles de francos suizos)</w:t>
      </w:r>
    </w:p>
    <w:p w:rsidR="00830231" w:rsidRPr="002B0BD5" w:rsidRDefault="00830231" w:rsidP="00EF2D62">
      <w:pPr>
        <w:jc w:val="center"/>
        <w:rPr>
          <w:rFonts w:cs="Arial"/>
          <w:lang w:val="es-ES_tradnl"/>
        </w:rPr>
      </w:pPr>
    </w:p>
    <w:tbl>
      <w:tblPr>
        <w:tblW w:w="9713" w:type="dxa"/>
        <w:tblInd w:w="108" w:type="dxa"/>
        <w:tblLayout w:type="fixed"/>
        <w:tblLook w:val="04A0" w:firstRow="1" w:lastRow="0" w:firstColumn="1" w:lastColumn="0" w:noHBand="0" w:noVBand="1"/>
      </w:tblPr>
      <w:tblGrid>
        <w:gridCol w:w="3485"/>
        <w:gridCol w:w="1273"/>
        <w:gridCol w:w="1553"/>
        <w:gridCol w:w="1133"/>
        <w:gridCol w:w="992"/>
        <w:gridCol w:w="1277"/>
      </w:tblGrid>
      <w:tr w:rsidR="005D61AB" w:rsidRPr="003F682E" w:rsidTr="00BA25F0">
        <w:trPr>
          <w:trHeight w:val="255"/>
        </w:trPr>
        <w:tc>
          <w:tcPr>
            <w:tcW w:w="348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Objeto de gasto</w:t>
            </w:r>
          </w:p>
        </w:tc>
        <w:tc>
          <w:tcPr>
            <w:tcW w:w="127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Real de 2010-2011</w:t>
            </w:r>
          </w:p>
        </w:tc>
        <w:tc>
          <w:tcPr>
            <w:tcW w:w="155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12976" w:rsidRPr="003F682E" w:rsidRDefault="00112976" w:rsidP="00B859A5">
            <w:pPr>
              <w:jc w:val="center"/>
              <w:rPr>
                <w:rFonts w:cs="Arial"/>
                <w:b/>
                <w:bCs/>
                <w:lang w:val="es-ES_tradnl"/>
              </w:rPr>
            </w:pPr>
            <w:r w:rsidRPr="003F682E">
              <w:rPr>
                <w:rFonts w:cs="Arial"/>
                <w:b/>
                <w:lang w:val="es-ES_tradnl"/>
              </w:rPr>
              <w:t>Presupuesto de 2012-2013</w:t>
            </w:r>
          </w:p>
        </w:tc>
        <w:tc>
          <w:tcPr>
            <w:tcW w:w="21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Variación de recursos</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 xml:space="preserve">Propuesto para </w:t>
            </w:r>
            <w:r w:rsidR="00B859A5">
              <w:rPr>
                <w:rFonts w:cs="Arial"/>
                <w:b/>
                <w:lang w:val="es-ES_tradnl"/>
              </w:rPr>
              <w:br/>
            </w:r>
            <w:r w:rsidRPr="003F682E">
              <w:rPr>
                <w:rFonts w:cs="Arial"/>
                <w:b/>
                <w:lang w:val="es-ES_tradnl"/>
              </w:rPr>
              <w:t>2014-2015</w:t>
            </w:r>
          </w:p>
        </w:tc>
      </w:tr>
      <w:tr w:rsidR="005D61AB" w:rsidRPr="003F682E" w:rsidTr="00BA25F0">
        <w:trPr>
          <w:trHeight w:val="255"/>
        </w:trPr>
        <w:tc>
          <w:tcPr>
            <w:tcW w:w="3485" w:type="dxa"/>
            <w:vMerge/>
            <w:tcBorders>
              <w:top w:val="single" w:sz="4" w:space="0" w:color="auto"/>
              <w:left w:val="single" w:sz="4" w:space="0" w:color="auto"/>
              <w:bottom w:val="single" w:sz="4" w:space="0" w:color="000000"/>
              <w:right w:val="single" w:sz="4" w:space="0" w:color="auto"/>
            </w:tcBorders>
            <w:vAlign w:val="center"/>
            <w:hideMark/>
          </w:tcPr>
          <w:p w:rsidR="00112976" w:rsidRPr="003F682E" w:rsidRDefault="00112976" w:rsidP="00EF2D62">
            <w:pPr>
              <w:jc w:val="left"/>
              <w:rPr>
                <w:rFonts w:cs="Arial"/>
                <w:b/>
                <w:bCs/>
                <w:lang w:val="es-ES_tradnl"/>
              </w:rPr>
            </w:pPr>
          </w:p>
        </w:tc>
        <w:tc>
          <w:tcPr>
            <w:tcW w:w="1273" w:type="dxa"/>
            <w:vMerge/>
            <w:tcBorders>
              <w:top w:val="single" w:sz="4" w:space="0" w:color="auto"/>
              <w:left w:val="single" w:sz="4" w:space="0" w:color="auto"/>
              <w:bottom w:val="single" w:sz="4" w:space="0" w:color="000000"/>
              <w:right w:val="single" w:sz="4" w:space="0" w:color="auto"/>
            </w:tcBorders>
            <w:vAlign w:val="center"/>
            <w:hideMark/>
          </w:tcPr>
          <w:p w:rsidR="00112976" w:rsidRPr="003F682E" w:rsidRDefault="00112976" w:rsidP="00EF2D62">
            <w:pPr>
              <w:jc w:val="left"/>
              <w:rPr>
                <w:rFonts w:cs="Arial"/>
                <w:b/>
                <w:bCs/>
                <w:lang w:val="es-ES_tradnl"/>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112976" w:rsidRPr="003F682E" w:rsidRDefault="00112976" w:rsidP="00EF2D62">
            <w:pPr>
              <w:jc w:val="left"/>
              <w:rPr>
                <w:rFonts w:cs="Arial"/>
                <w:b/>
                <w:bCs/>
                <w:lang w:val="es-ES_tradnl"/>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hideMark/>
          </w:tcPr>
          <w:p w:rsidR="00112976" w:rsidRPr="003F682E" w:rsidRDefault="00112976" w:rsidP="00EF2D62">
            <w:pPr>
              <w:jc w:val="left"/>
              <w:rPr>
                <w:rFonts w:cs="Arial"/>
                <w:b/>
                <w:bCs/>
                <w:lang w:val="es-ES_tradnl"/>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112976" w:rsidRPr="003F682E" w:rsidRDefault="00112976" w:rsidP="00EF2D62">
            <w:pPr>
              <w:jc w:val="left"/>
              <w:rPr>
                <w:rFonts w:cs="Arial"/>
                <w:b/>
                <w:bCs/>
                <w:lang w:val="es-ES_tradnl"/>
              </w:rPr>
            </w:pPr>
          </w:p>
        </w:tc>
      </w:tr>
      <w:tr w:rsidR="005D61AB" w:rsidRPr="003F682E" w:rsidTr="00BA25F0">
        <w:trPr>
          <w:trHeight w:val="255"/>
        </w:trPr>
        <w:tc>
          <w:tcPr>
            <w:tcW w:w="3485" w:type="dxa"/>
            <w:vMerge/>
            <w:tcBorders>
              <w:top w:val="single" w:sz="4" w:space="0" w:color="auto"/>
              <w:left w:val="single" w:sz="4" w:space="0" w:color="auto"/>
              <w:bottom w:val="single" w:sz="4" w:space="0" w:color="000000"/>
              <w:right w:val="single" w:sz="4" w:space="0" w:color="auto"/>
            </w:tcBorders>
            <w:vAlign w:val="center"/>
            <w:hideMark/>
          </w:tcPr>
          <w:p w:rsidR="00112976" w:rsidRPr="003F682E" w:rsidRDefault="00112976" w:rsidP="00EF2D62">
            <w:pPr>
              <w:jc w:val="left"/>
              <w:rPr>
                <w:rFonts w:cs="Arial"/>
                <w:b/>
                <w:bCs/>
                <w:lang w:val="es-ES_tradnl"/>
              </w:rPr>
            </w:pPr>
          </w:p>
        </w:tc>
        <w:tc>
          <w:tcPr>
            <w:tcW w:w="1273" w:type="dxa"/>
            <w:vMerge/>
            <w:tcBorders>
              <w:top w:val="single" w:sz="4" w:space="0" w:color="auto"/>
              <w:left w:val="single" w:sz="4" w:space="0" w:color="auto"/>
              <w:bottom w:val="single" w:sz="4" w:space="0" w:color="000000"/>
              <w:right w:val="single" w:sz="4" w:space="0" w:color="auto"/>
            </w:tcBorders>
            <w:vAlign w:val="center"/>
            <w:hideMark/>
          </w:tcPr>
          <w:p w:rsidR="00112976" w:rsidRPr="003F682E" w:rsidRDefault="00112976" w:rsidP="00EF2D62">
            <w:pPr>
              <w:jc w:val="left"/>
              <w:rPr>
                <w:rFonts w:cs="Arial"/>
                <w:b/>
                <w:bCs/>
                <w:lang w:val="es-ES_tradnl"/>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112976" w:rsidRPr="003F682E" w:rsidRDefault="00112976" w:rsidP="00EF2D62">
            <w:pPr>
              <w:jc w:val="left"/>
              <w:rPr>
                <w:rFonts w:cs="Arial"/>
                <w:b/>
                <w:bCs/>
                <w:lang w:val="es-ES_tradnl"/>
              </w:rPr>
            </w:pPr>
          </w:p>
        </w:tc>
        <w:tc>
          <w:tcPr>
            <w:tcW w:w="113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Importe</w:t>
            </w:r>
          </w:p>
        </w:tc>
        <w:tc>
          <w:tcPr>
            <w:tcW w:w="992"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w:t>
            </w: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112976" w:rsidRPr="003F682E" w:rsidRDefault="00112976" w:rsidP="00EF2D62">
            <w:pPr>
              <w:jc w:val="left"/>
              <w:rPr>
                <w:rFonts w:cs="Arial"/>
                <w:b/>
                <w:bCs/>
                <w:lang w:val="es-ES_tradnl"/>
              </w:rPr>
            </w:pPr>
          </w:p>
        </w:tc>
      </w:tr>
      <w:tr w:rsidR="005D61AB" w:rsidRPr="003F682E" w:rsidTr="00BA25F0">
        <w:trPr>
          <w:trHeight w:val="255"/>
        </w:trPr>
        <w:tc>
          <w:tcPr>
            <w:tcW w:w="3485" w:type="dxa"/>
            <w:vMerge/>
            <w:tcBorders>
              <w:top w:val="single" w:sz="4" w:space="0" w:color="auto"/>
              <w:left w:val="single" w:sz="4" w:space="0" w:color="auto"/>
              <w:bottom w:val="single" w:sz="4" w:space="0" w:color="000000"/>
              <w:right w:val="single" w:sz="4" w:space="0" w:color="auto"/>
            </w:tcBorders>
            <w:vAlign w:val="center"/>
            <w:hideMark/>
          </w:tcPr>
          <w:p w:rsidR="00112976" w:rsidRPr="003F682E" w:rsidRDefault="00112976" w:rsidP="00EF2D62">
            <w:pPr>
              <w:jc w:val="left"/>
              <w:rPr>
                <w:rFonts w:cs="Arial"/>
                <w:b/>
                <w:bCs/>
                <w:lang w:val="es-ES_tradnl"/>
              </w:rPr>
            </w:pPr>
          </w:p>
        </w:tc>
        <w:tc>
          <w:tcPr>
            <w:tcW w:w="1273" w:type="dxa"/>
            <w:tcBorders>
              <w:top w:val="nil"/>
              <w:left w:val="nil"/>
              <w:bottom w:val="single" w:sz="4" w:space="0" w:color="auto"/>
              <w:right w:val="nil"/>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A</w:t>
            </w:r>
          </w:p>
        </w:tc>
        <w:tc>
          <w:tcPr>
            <w:tcW w:w="1553" w:type="dxa"/>
            <w:tcBorders>
              <w:top w:val="nil"/>
              <w:left w:val="single" w:sz="4" w:space="0" w:color="auto"/>
              <w:bottom w:val="single" w:sz="4" w:space="0" w:color="auto"/>
              <w:right w:val="single" w:sz="4" w:space="0" w:color="auto"/>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B</w:t>
            </w:r>
          </w:p>
        </w:tc>
        <w:tc>
          <w:tcPr>
            <w:tcW w:w="113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C</w:t>
            </w:r>
          </w:p>
        </w:tc>
        <w:tc>
          <w:tcPr>
            <w:tcW w:w="992"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C/B</w:t>
            </w:r>
          </w:p>
        </w:tc>
        <w:tc>
          <w:tcPr>
            <w:tcW w:w="1277"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D=B+C</w:t>
            </w:r>
          </w:p>
        </w:tc>
      </w:tr>
      <w:tr w:rsidR="005D61AB" w:rsidRPr="003F682E" w:rsidTr="00BA25F0">
        <w:trPr>
          <w:trHeight w:val="255"/>
        </w:trPr>
        <w:tc>
          <w:tcPr>
            <w:tcW w:w="9713" w:type="dxa"/>
            <w:gridSpan w:val="6"/>
            <w:tcBorders>
              <w:top w:val="nil"/>
              <w:left w:val="single" w:sz="4" w:space="0" w:color="auto"/>
              <w:bottom w:val="nil"/>
              <w:right w:val="single" w:sz="4" w:space="0" w:color="000000"/>
            </w:tcBorders>
            <w:shd w:val="clear" w:color="auto" w:fill="auto"/>
            <w:vAlign w:val="bottom"/>
            <w:hideMark/>
          </w:tcPr>
          <w:p w:rsidR="00112976" w:rsidRPr="003F682E" w:rsidRDefault="00112976" w:rsidP="00EF2D62">
            <w:pPr>
              <w:jc w:val="left"/>
              <w:rPr>
                <w:rFonts w:cs="Arial"/>
                <w:b/>
                <w:bCs/>
                <w:lang w:val="es-ES_tradnl"/>
              </w:rPr>
            </w:pPr>
            <w:r w:rsidRPr="003F682E">
              <w:rPr>
                <w:rFonts w:cs="Arial"/>
                <w:b/>
                <w:lang w:val="es-ES_tradnl"/>
              </w:rPr>
              <w:t>A.  Recursos de personal</w:t>
            </w:r>
          </w:p>
        </w:tc>
      </w:tr>
      <w:tr w:rsidR="005D61AB" w:rsidRPr="003F682E" w:rsidTr="00BA25F0">
        <w:trPr>
          <w:trHeight w:val="315"/>
        </w:trPr>
        <w:tc>
          <w:tcPr>
            <w:tcW w:w="3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976" w:rsidRPr="00BA25F0" w:rsidRDefault="00112976" w:rsidP="00EF2D62">
            <w:pPr>
              <w:jc w:val="left"/>
              <w:rPr>
                <w:rFonts w:cs="Arial"/>
                <w:lang w:val="es-ES_tradnl"/>
              </w:rPr>
            </w:pPr>
            <w:r w:rsidRPr="00BA25F0">
              <w:rPr>
                <w:rFonts w:cs="Arial"/>
                <w:lang w:val="es-ES_tradnl"/>
              </w:rPr>
              <w:t>Puestos</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4.055</w:t>
            </w:r>
          </w:p>
        </w:tc>
        <w:tc>
          <w:tcPr>
            <w:tcW w:w="1553"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4.382</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-157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-3,6%</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4.225</w:t>
            </w:r>
          </w:p>
        </w:tc>
      </w:tr>
      <w:tr w:rsidR="005D61AB" w:rsidRPr="003F682E" w:rsidTr="00BA25F0">
        <w:trPr>
          <w:trHeight w:val="315"/>
        </w:trPr>
        <w:tc>
          <w:tcPr>
            <w:tcW w:w="3485" w:type="dxa"/>
            <w:tcBorders>
              <w:top w:val="nil"/>
              <w:left w:val="single" w:sz="4" w:space="0" w:color="auto"/>
              <w:bottom w:val="single" w:sz="4" w:space="0" w:color="auto"/>
              <w:right w:val="single" w:sz="4" w:space="0" w:color="auto"/>
            </w:tcBorders>
            <w:shd w:val="clear" w:color="auto" w:fill="auto"/>
            <w:vAlign w:val="bottom"/>
            <w:hideMark/>
          </w:tcPr>
          <w:p w:rsidR="00112976" w:rsidRPr="003F682E" w:rsidRDefault="00112976" w:rsidP="00EF2D62">
            <w:pPr>
              <w:jc w:val="left"/>
              <w:rPr>
                <w:rFonts w:cs="Arial"/>
                <w:lang w:val="es-ES_tradnl"/>
              </w:rPr>
            </w:pPr>
            <w:r w:rsidRPr="003F682E">
              <w:rPr>
                <w:rFonts w:cs="Arial"/>
                <w:lang w:val="es-ES_tradnl"/>
              </w:rPr>
              <w:t>Personal temporero</w:t>
            </w:r>
          </w:p>
        </w:tc>
        <w:tc>
          <w:tcPr>
            <w:tcW w:w="127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204</w:t>
            </w:r>
          </w:p>
        </w:tc>
        <w:tc>
          <w:tcPr>
            <w:tcW w:w="155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160</w:t>
            </w:r>
          </w:p>
        </w:tc>
        <w:tc>
          <w:tcPr>
            <w:tcW w:w="113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40</w:t>
            </w:r>
          </w:p>
        </w:tc>
        <w:tc>
          <w:tcPr>
            <w:tcW w:w="992"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25,0%</w:t>
            </w:r>
          </w:p>
        </w:tc>
        <w:tc>
          <w:tcPr>
            <w:tcW w:w="1277"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200</w:t>
            </w:r>
          </w:p>
        </w:tc>
      </w:tr>
      <w:tr w:rsidR="005D61AB" w:rsidRPr="003F682E" w:rsidTr="00BA25F0">
        <w:trPr>
          <w:trHeight w:val="360"/>
        </w:trPr>
        <w:tc>
          <w:tcPr>
            <w:tcW w:w="3485" w:type="dxa"/>
            <w:tcBorders>
              <w:top w:val="nil"/>
              <w:left w:val="single" w:sz="4" w:space="0" w:color="auto"/>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Total, A</w:t>
            </w:r>
          </w:p>
        </w:tc>
        <w:tc>
          <w:tcPr>
            <w:tcW w:w="127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4.259</w:t>
            </w:r>
          </w:p>
        </w:tc>
        <w:tc>
          <w:tcPr>
            <w:tcW w:w="155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4.542</w:t>
            </w:r>
          </w:p>
        </w:tc>
        <w:tc>
          <w:tcPr>
            <w:tcW w:w="113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-117</w:t>
            </w:r>
          </w:p>
        </w:tc>
        <w:tc>
          <w:tcPr>
            <w:tcW w:w="992"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-2,6%</w:t>
            </w:r>
          </w:p>
        </w:tc>
        <w:tc>
          <w:tcPr>
            <w:tcW w:w="1277"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4.425</w:t>
            </w:r>
          </w:p>
        </w:tc>
      </w:tr>
      <w:tr w:rsidR="005D61AB" w:rsidRPr="000F652A" w:rsidTr="00BA25F0">
        <w:trPr>
          <w:trHeight w:val="360"/>
        </w:trPr>
        <w:tc>
          <w:tcPr>
            <w:tcW w:w="9713"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112976" w:rsidRPr="00B859A5" w:rsidRDefault="00BF78EF" w:rsidP="00EF2D62">
            <w:pPr>
              <w:jc w:val="left"/>
              <w:rPr>
                <w:rFonts w:cs="Arial"/>
                <w:b/>
                <w:bCs/>
                <w:lang w:val="es-ES_tradnl"/>
              </w:rPr>
            </w:pPr>
            <w:r w:rsidRPr="00B859A5">
              <w:rPr>
                <w:rFonts w:cs="Arial"/>
                <w:b/>
                <w:lang w:val="es-ES_tradnl"/>
              </w:rPr>
              <w:t xml:space="preserve">B.  </w:t>
            </w:r>
            <w:r w:rsidR="00112976" w:rsidRPr="00B859A5">
              <w:rPr>
                <w:rFonts w:cs="Arial"/>
                <w:b/>
                <w:lang w:val="es-ES_tradnl"/>
              </w:rPr>
              <w:t>Recursos</w:t>
            </w:r>
            <w:r w:rsidR="00112976" w:rsidRPr="00B859A5">
              <w:rPr>
                <w:rFonts w:cs="Arial"/>
                <w:b/>
                <w:bCs/>
                <w:lang w:val="es-ES_tradnl"/>
              </w:rPr>
              <w:t xml:space="preserve"> no relativos al personal</w:t>
            </w:r>
          </w:p>
        </w:tc>
      </w:tr>
      <w:tr w:rsidR="005D61AB" w:rsidRPr="003F682E" w:rsidTr="00BA25F0">
        <w:trPr>
          <w:trHeight w:val="360"/>
        </w:trPr>
        <w:tc>
          <w:tcPr>
            <w:tcW w:w="3485" w:type="dxa"/>
            <w:tcBorders>
              <w:top w:val="nil"/>
              <w:left w:val="single" w:sz="4" w:space="0" w:color="auto"/>
              <w:bottom w:val="single" w:sz="4" w:space="0" w:color="auto"/>
              <w:right w:val="single" w:sz="4" w:space="0" w:color="auto"/>
            </w:tcBorders>
            <w:shd w:val="clear" w:color="auto" w:fill="auto"/>
            <w:vAlign w:val="bottom"/>
            <w:hideMark/>
          </w:tcPr>
          <w:p w:rsidR="00112976" w:rsidRPr="003F682E" w:rsidRDefault="00112976" w:rsidP="00EF2D62">
            <w:pPr>
              <w:jc w:val="left"/>
              <w:rPr>
                <w:rFonts w:cs="Arial"/>
                <w:b/>
                <w:bCs/>
                <w:i/>
                <w:iCs/>
                <w:lang w:val="es-ES_tradnl"/>
              </w:rPr>
            </w:pPr>
            <w:r w:rsidRPr="003F682E">
              <w:rPr>
                <w:rFonts w:cs="Arial"/>
                <w:b/>
                <w:i/>
                <w:lang w:val="es-ES_tradnl"/>
              </w:rPr>
              <w:t>Pasantes</w:t>
            </w:r>
          </w:p>
        </w:tc>
        <w:tc>
          <w:tcPr>
            <w:tcW w:w="127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 </w:t>
            </w:r>
          </w:p>
        </w:tc>
        <w:tc>
          <w:tcPr>
            <w:tcW w:w="155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 </w:t>
            </w:r>
          </w:p>
        </w:tc>
        <w:tc>
          <w:tcPr>
            <w:tcW w:w="113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 </w:t>
            </w:r>
          </w:p>
        </w:tc>
        <w:tc>
          <w:tcPr>
            <w:tcW w:w="992"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 </w:t>
            </w:r>
          </w:p>
        </w:tc>
        <w:tc>
          <w:tcPr>
            <w:tcW w:w="1277"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 </w:t>
            </w:r>
          </w:p>
        </w:tc>
      </w:tr>
      <w:tr w:rsidR="005D61AB" w:rsidRPr="003F682E" w:rsidTr="00BA25F0">
        <w:trPr>
          <w:trHeight w:val="360"/>
        </w:trPr>
        <w:tc>
          <w:tcPr>
            <w:tcW w:w="3485" w:type="dxa"/>
            <w:tcBorders>
              <w:top w:val="nil"/>
              <w:left w:val="single" w:sz="4" w:space="0" w:color="auto"/>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Subtotal</w:t>
            </w:r>
          </w:p>
        </w:tc>
        <w:tc>
          <w:tcPr>
            <w:tcW w:w="127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12</w:t>
            </w:r>
          </w:p>
        </w:tc>
        <w:tc>
          <w:tcPr>
            <w:tcW w:w="155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w:t>
            </w:r>
          </w:p>
        </w:tc>
        <w:tc>
          <w:tcPr>
            <w:tcW w:w="113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w:t>
            </w:r>
          </w:p>
        </w:tc>
        <w:tc>
          <w:tcPr>
            <w:tcW w:w="992"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0,0%</w:t>
            </w:r>
          </w:p>
        </w:tc>
        <w:tc>
          <w:tcPr>
            <w:tcW w:w="1277"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w:t>
            </w:r>
          </w:p>
        </w:tc>
      </w:tr>
      <w:tr w:rsidR="005D61AB" w:rsidRPr="003F682E" w:rsidTr="00BA25F0">
        <w:trPr>
          <w:trHeight w:val="360"/>
        </w:trPr>
        <w:tc>
          <w:tcPr>
            <w:tcW w:w="9713" w:type="dxa"/>
            <w:gridSpan w:val="6"/>
            <w:tcBorders>
              <w:top w:val="nil"/>
              <w:left w:val="single" w:sz="4" w:space="0" w:color="auto"/>
              <w:bottom w:val="nil"/>
              <w:right w:val="single" w:sz="4" w:space="0" w:color="000000"/>
            </w:tcBorders>
            <w:shd w:val="clear" w:color="auto" w:fill="auto"/>
            <w:vAlign w:val="bottom"/>
            <w:hideMark/>
          </w:tcPr>
          <w:p w:rsidR="00112976" w:rsidRPr="003F682E" w:rsidRDefault="00112976" w:rsidP="00EF2D62">
            <w:pPr>
              <w:jc w:val="left"/>
              <w:rPr>
                <w:rFonts w:cs="Arial"/>
                <w:b/>
                <w:bCs/>
                <w:i/>
                <w:iCs/>
                <w:lang w:val="es-ES_tradnl"/>
              </w:rPr>
            </w:pPr>
            <w:r w:rsidRPr="003F682E">
              <w:rPr>
                <w:rFonts w:cs="Arial"/>
                <w:b/>
                <w:i/>
                <w:lang w:val="es-ES_tradnl"/>
              </w:rPr>
              <w:t>Viajes</w:t>
            </w:r>
          </w:p>
        </w:tc>
      </w:tr>
      <w:tr w:rsidR="005D61AB" w:rsidRPr="003F682E" w:rsidTr="00BA25F0">
        <w:trPr>
          <w:trHeight w:val="285"/>
        </w:trPr>
        <w:tc>
          <w:tcPr>
            <w:tcW w:w="3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976" w:rsidRPr="00B859A5" w:rsidRDefault="00112976" w:rsidP="00EF2D62">
            <w:pPr>
              <w:jc w:val="left"/>
              <w:rPr>
                <w:rFonts w:cs="Arial"/>
                <w:lang w:val="es-ES_tradnl"/>
              </w:rPr>
            </w:pPr>
            <w:r w:rsidRPr="00B859A5">
              <w:rPr>
                <w:rFonts w:cs="Arial"/>
                <w:lang w:val="es-ES_tradnl"/>
              </w:rPr>
              <w:t>Misiones del personal</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437</w:t>
            </w:r>
          </w:p>
        </w:tc>
        <w:tc>
          <w:tcPr>
            <w:tcW w:w="1553"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470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0,0%</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470</w:t>
            </w:r>
          </w:p>
        </w:tc>
      </w:tr>
      <w:tr w:rsidR="005D61AB" w:rsidRPr="003F682E" w:rsidTr="00BA25F0">
        <w:trPr>
          <w:trHeight w:val="285"/>
        </w:trPr>
        <w:tc>
          <w:tcPr>
            <w:tcW w:w="3485" w:type="dxa"/>
            <w:tcBorders>
              <w:top w:val="nil"/>
              <w:left w:val="single" w:sz="4" w:space="0" w:color="auto"/>
              <w:bottom w:val="single" w:sz="4" w:space="0" w:color="auto"/>
              <w:right w:val="single" w:sz="4" w:space="0" w:color="auto"/>
            </w:tcBorders>
            <w:shd w:val="clear" w:color="auto" w:fill="auto"/>
            <w:vAlign w:val="bottom"/>
            <w:hideMark/>
          </w:tcPr>
          <w:p w:rsidR="00112976" w:rsidRPr="00B859A5" w:rsidRDefault="00112976" w:rsidP="00EF2D62">
            <w:pPr>
              <w:jc w:val="left"/>
              <w:rPr>
                <w:rFonts w:cs="Arial"/>
                <w:lang w:val="es-ES_tradnl"/>
              </w:rPr>
            </w:pPr>
            <w:r w:rsidRPr="00B859A5">
              <w:rPr>
                <w:rFonts w:cs="Arial"/>
                <w:lang w:val="es-ES_tradnl"/>
              </w:rPr>
              <w:t>Viajes de terceros</w:t>
            </w:r>
          </w:p>
        </w:tc>
        <w:tc>
          <w:tcPr>
            <w:tcW w:w="127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184</w:t>
            </w:r>
          </w:p>
        </w:tc>
        <w:tc>
          <w:tcPr>
            <w:tcW w:w="155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90</w:t>
            </w:r>
          </w:p>
        </w:tc>
        <w:tc>
          <w:tcPr>
            <w:tcW w:w="113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30</w:t>
            </w:r>
          </w:p>
        </w:tc>
        <w:tc>
          <w:tcPr>
            <w:tcW w:w="992"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33,3%</w:t>
            </w:r>
          </w:p>
        </w:tc>
        <w:tc>
          <w:tcPr>
            <w:tcW w:w="1277"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120</w:t>
            </w:r>
          </w:p>
        </w:tc>
      </w:tr>
      <w:tr w:rsidR="005D61AB" w:rsidRPr="003F682E" w:rsidTr="00BA25F0">
        <w:trPr>
          <w:trHeight w:val="360"/>
        </w:trPr>
        <w:tc>
          <w:tcPr>
            <w:tcW w:w="3485" w:type="dxa"/>
            <w:tcBorders>
              <w:top w:val="nil"/>
              <w:left w:val="single" w:sz="4" w:space="0" w:color="auto"/>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Subtotal</w:t>
            </w:r>
          </w:p>
        </w:tc>
        <w:tc>
          <w:tcPr>
            <w:tcW w:w="127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621</w:t>
            </w:r>
          </w:p>
        </w:tc>
        <w:tc>
          <w:tcPr>
            <w:tcW w:w="155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560</w:t>
            </w:r>
          </w:p>
        </w:tc>
        <w:tc>
          <w:tcPr>
            <w:tcW w:w="113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30</w:t>
            </w:r>
          </w:p>
        </w:tc>
        <w:tc>
          <w:tcPr>
            <w:tcW w:w="992"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5,4%</w:t>
            </w:r>
          </w:p>
        </w:tc>
        <w:tc>
          <w:tcPr>
            <w:tcW w:w="1277"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590</w:t>
            </w:r>
          </w:p>
        </w:tc>
      </w:tr>
      <w:tr w:rsidR="005D61AB" w:rsidRPr="003F682E" w:rsidTr="00BA25F0">
        <w:trPr>
          <w:trHeight w:val="360"/>
        </w:trPr>
        <w:tc>
          <w:tcPr>
            <w:tcW w:w="9713" w:type="dxa"/>
            <w:gridSpan w:val="6"/>
            <w:tcBorders>
              <w:top w:val="nil"/>
              <w:left w:val="single" w:sz="4" w:space="0" w:color="auto"/>
              <w:bottom w:val="nil"/>
              <w:right w:val="single" w:sz="4" w:space="0" w:color="000000"/>
            </w:tcBorders>
            <w:shd w:val="clear" w:color="auto" w:fill="auto"/>
            <w:vAlign w:val="bottom"/>
            <w:hideMark/>
          </w:tcPr>
          <w:p w:rsidR="00112976" w:rsidRPr="00B859A5" w:rsidRDefault="00112976" w:rsidP="00EF2D62">
            <w:pPr>
              <w:jc w:val="left"/>
              <w:rPr>
                <w:rFonts w:cs="Arial"/>
                <w:b/>
                <w:bCs/>
                <w:i/>
                <w:iCs/>
                <w:lang w:val="es-ES_tradnl"/>
              </w:rPr>
            </w:pPr>
            <w:r w:rsidRPr="00B859A5">
              <w:rPr>
                <w:rFonts w:cs="Arial"/>
                <w:b/>
                <w:bCs/>
                <w:i/>
                <w:iCs/>
                <w:lang w:val="es-ES_tradnl"/>
              </w:rPr>
              <w:t>Servicios contractuales</w:t>
            </w:r>
          </w:p>
        </w:tc>
      </w:tr>
      <w:tr w:rsidR="005D61AB" w:rsidRPr="003F682E" w:rsidTr="00BA25F0">
        <w:trPr>
          <w:trHeight w:val="360"/>
        </w:trPr>
        <w:tc>
          <w:tcPr>
            <w:tcW w:w="3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976" w:rsidRPr="00B859A5" w:rsidRDefault="00112976" w:rsidP="00EF2D62">
            <w:pPr>
              <w:jc w:val="left"/>
              <w:rPr>
                <w:rFonts w:cs="Arial"/>
                <w:lang w:val="es-ES_tradnl"/>
              </w:rPr>
            </w:pPr>
            <w:r w:rsidRPr="00B859A5">
              <w:rPr>
                <w:rFonts w:cs="Arial"/>
                <w:lang w:val="es-ES_tradnl"/>
              </w:rPr>
              <w:t>Conferencias</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224</w:t>
            </w:r>
          </w:p>
        </w:tc>
        <w:tc>
          <w:tcPr>
            <w:tcW w:w="1553"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250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0,0%</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250</w:t>
            </w:r>
          </w:p>
        </w:tc>
      </w:tr>
      <w:tr w:rsidR="005D61AB" w:rsidRPr="003F682E" w:rsidTr="00BA25F0">
        <w:trPr>
          <w:trHeight w:val="360"/>
        </w:trPr>
        <w:tc>
          <w:tcPr>
            <w:tcW w:w="3485" w:type="dxa"/>
            <w:tcBorders>
              <w:top w:val="nil"/>
              <w:left w:val="single" w:sz="4" w:space="0" w:color="auto"/>
              <w:bottom w:val="single" w:sz="4" w:space="0" w:color="auto"/>
              <w:right w:val="single" w:sz="4" w:space="0" w:color="auto"/>
            </w:tcBorders>
            <w:shd w:val="clear" w:color="auto" w:fill="auto"/>
            <w:vAlign w:val="bottom"/>
            <w:hideMark/>
          </w:tcPr>
          <w:p w:rsidR="00112976" w:rsidRPr="00B859A5" w:rsidRDefault="00112976" w:rsidP="00EF2D62">
            <w:pPr>
              <w:jc w:val="left"/>
              <w:rPr>
                <w:rFonts w:cs="Arial"/>
                <w:lang w:val="es-ES_tradnl"/>
              </w:rPr>
            </w:pPr>
            <w:r w:rsidRPr="00B859A5">
              <w:rPr>
                <w:rFonts w:cs="Arial"/>
                <w:lang w:val="es-ES_tradnl"/>
              </w:rPr>
              <w:t>Publicaciones</w:t>
            </w:r>
          </w:p>
        </w:tc>
        <w:tc>
          <w:tcPr>
            <w:tcW w:w="127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48</w:t>
            </w:r>
          </w:p>
        </w:tc>
        <w:tc>
          <w:tcPr>
            <w:tcW w:w="155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70</w:t>
            </w:r>
          </w:p>
        </w:tc>
        <w:tc>
          <w:tcPr>
            <w:tcW w:w="113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-35</w:t>
            </w:r>
          </w:p>
        </w:tc>
        <w:tc>
          <w:tcPr>
            <w:tcW w:w="992"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-50%</w:t>
            </w:r>
          </w:p>
        </w:tc>
        <w:tc>
          <w:tcPr>
            <w:tcW w:w="1277"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35</w:t>
            </w:r>
          </w:p>
        </w:tc>
      </w:tr>
      <w:tr w:rsidR="005D61AB" w:rsidRPr="003F682E" w:rsidTr="00BA25F0">
        <w:trPr>
          <w:trHeight w:val="360"/>
        </w:trPr>
        <w:tc>
          <w:tcPr>
            <w:tcW w:w="3485" w:type="dxa"/>
            <w:tcBorders>
              <w:top w:val="nil"/>
              <w:left w:val="single" w:sz="4" w:space="0" w:color="auto"/>
              <w:bottom w:val="single" w:sz="4" w:space="0" w:color="auto"/>
              <w:right w:val="single" w:sz="4" w:space="0" w:color="auto"/>
            </w:tcBorders>
            <w:shd w:val="clear" w:color="auto" w:fill="auto"/>
            <w:vAlign w:val="bottom"/>
            <w:hideMark/>
          </w:tcPr>
          <w:p w:rsidR="00112976" w:rsidRPr="003F682E" w:rsidRDefault="00112976" w:rsidP="00EF2D62">
            <w:pPr>
              <w:jc w:val="left"/>
              <w:rPr>
                <w:rFonts w:cs="Arial"/>
                <w:lang w:val="es-ES_tradnl"/>
              </w:rPr>
            </w:pPr>
            <w:r w:rsidRPr="003F682E">
              <w:rPr>
                <w:rFonts w:cs="Arial"/>
                <w:lang w:val="es-ES_tradnl"/>
              </w:rPr>
              <w:t>Servicios contractuales individuales</w:t>
            </w:r>
          </w:p>
        </w:tc>
        <w:tc>
          <w:tcPr>
            <w:tcW w:w="127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8</w:t>
            </w:r>
          </w:p>
        </w:tc>
        <w:tc>
          <w:tcPr>
            <w:tcW w:w="155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20</w:t>
            </w:r>
          </w:p>
        </w:tc>
        <w:tc>
          <w:tcPr>
            <w:tcW w:w="113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20</w:t>
            </w:r>
          </w:p>
        </w:tc>
        <w:tc>
          <w:tcPr>
            <w:tcW w:w="992"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100,0%</w:t>
            </w:r>
          </w:p>
        </w:tc>
        <w:tc>
          <w:tcPr>
            <w:tcW w:w="1277"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40</w:t>
            </w:r>
          </w:p>
        </w:tc>
      </w:tr>
      <w:tr w:rsidR="005D61AB" w:rsidRPr="003F682E" w:rsidTr="00BA25F0">
        <w:trPr>
          <w:trHeight w:val="360"/>
        </w:trPr>
        <w:tc>
          <w:tcPr>
            <w:tcW w:w="3485" w:type="dxa"/>
            <w:tcBorders>
              <w:top w:val="nil"/>
              <w:left w:val="single" w:sz="4" w:space="0" w:color="auto"/>
              <w:bottom w:val="single" w:sz="4" w:space="0" w:color="auto"/>
              <w:right w:val="single" w:sz="4" w:space="0" w:color="auto"/>
            </w:tcBorders>
            <w:shd w:val="clear" w:color="auto" w:fill="auto"/>
            <w:vAlign w:val="bottom"/>
            <w:hideMark/>
          </w:tcPr>
          <w:p w:rsidR="00112976" w:rsidRPr="003F682E" w:rsidRDefault="00112976" w:rsidP="00EF2D62">
            <w:pPr>
              <w:jc w:val="left"/>
              <w:rPr>
                <w:rFonts w:cs="Arial"/>
                <w:lang w:val="es-ES_tradnl"/>
              </w:rPr>
            </w:pPr>
            <w:r w:rsidRPr="003F682E">
              <w:rPr>
                <w:rFonts w:cs="Arial"/>
                <w:lang w:val="es-ES_tradnl"/>
              </w:rPr>
              <w:t>Otros servicios contractuales</w:t>
            </w:r>
          </w:p>
        </w:tc>
        <w:tc>
          <w:tcPr>
            <w:tcW w:w="127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6</w:t>
            </w:r>
          </w:p>
        </w:tc>
        <w:tc>
          <w:tcPr>
            <w:tcW w:w="155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90</w:t>
            </w:r>
          </w:p>
        </w:tc>
        <w:tc>
          <w:tcPr>
            <w:tcW w:w="113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60</w:t>
            </w:r>
          </w:p>
        </w:tc>
        <w:tc>
          <w:tcPr>
            <w:tcW w:w="992"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67%</w:t>
            </w:r>
          </w:p>
        </w:tc>
        <w:tc>
          <w:tcPr>
            <w:tcW w:w="1277"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150</w:t>
            </w:r>
          </w:p>
        </w:tc>
      </w:tr>
      <w:tr w:rsidR="005D61AB" w:rsidRPr="003F682E" w:rsidTr="00BA25F0">
        <w:trPr>
          <w:trHeight w:val="360"/>
        </w:trPr>
        <w:tc>
          <w:tcPr>
            <w:tcW w:w="3485" w:type="dxa"/>
            <w:tcBorders>
              <w:top w:val="nil"/>
              <w:left w:val="single" w:sz="4" w:space="0" w:color="auto"/>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Subtotal</w:t>
            </w:r>
          </w:p>
        </w:tc>
        <w:tc>
          <w:tcPr>
            <w:tcW w:w="127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286</w:t>
            </w:r>
          </w:p>
        </w:tc>
        <w:tc>
          <w:tcPr>
            <w:tcW w:w="155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430</w:t>
            </w:r>
          </w:p>
        </w:tc>
        <w:tc>
          <w:tcPr>
            <w:tcW w:w="113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45</w:t>
            </w:r>
          </w:p>
        </w:tc>
        <w:tc>
          <w:tcPr>
            <w:tcW w:w="992"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10,5%</w:t>
            </w:r>
          </w:p>
        </w:tc>
        <w:tc>
          <w:tcPr>
            <w:tcW w:w="1277"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475</w:t>
            </w:r>
          </w:p>
        </w:tc>
      </w:tr>
      <w:tr w:rsidR="005D61AB" w:rsidRPr="003F682E" w:rsidTr="00BA25F0">
        <w:trPr>
          <w:trHeight w:val="360"/>
        </w:trPr>
        <w:tc>
          <w:tcPr>
            <w:tcW w:w="9713" w:type="dxa"/>
            <w:gridSpan w:val="6"/>
            <w:tcBorders>
              <w:top w:val="nil"/>
              <w:left w:val="single" w:sz="4" w:space="0" w:color="auto"/>
              <w:bottom w:val="nil"/>
              <w:right w:val="single" w:sz="4" w:space="0" w:color="000000"/>
            </w:tcBorders>
            <w:shd w:val="clear" w:color="auto" w:fill="auto"/>
            <w:vAlign w:val="bottom"/>
            <w:hideMark/>
          </w:tcPr>
          <w:p w:rsidR="00112976" w:rsidRPr="00B859A5" w:rsidRDefault="00112976" w:rsidP="00EF2D62">
            <w:pPr>
              <w:jc w:val="left"/>
              <w:rPr>
                <w:rFonts w:cs="Arial"/>
                <w:b/>
                <w:bCs/>
                <w:i/>
                <w:iCs/>
                <w:lang w:val="es-ES_tradnl"/>
              </w:rPr>
            </w:pPr>
            <w:r w:rsidRPr="00B859A5">
              <w:rPr>
                <w:rFonts w:cs="Arial"/>
                <w:b/>
                <w:bCs/>
                <w:i/>
                <w:iCs/>
                <w:lang w:val="es-ES_tradnl"/>
              </w:rPr>
              <w:t>Gastos de funcionamiento</w:t>
            </w:r>
          </w:p>
        </w:tc>
      </w:tr>
      <w:tr w:rsidR="005D61AB" w:rsidRPr="003F682E" w:rsidTr="00BA25F0">
        <w:trPr>
          <w:trHeight w:val="360"/>
        </w:trPr>
        <w:tc>
          <w:tcPr>
            <w:tcW w:w="3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Subtotal</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1.274</w:t>
            </w:r>
          </w:p>
        </w:tc>
        <w:tc>
          <w:tcPr>
            <w:tcW w:w="1553"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1.236</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30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2,4%</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1.266</w:t>
            </w:r>
          </w:p>
        </w:tc>
      </w:tr>
      <w:tr w:rsidR="005D61AB" w:rsidRPr="003F682E" w:rsidTr="00BA25F0">
        <w:trPr>
          <w:trHeight w:val="360"/>
        </w:trPr>
        <w:tc>
          <w:tcPr>
            <w:tcW w:w="9713" w:type="dxa"/>
            <w:gridSpan w:val="6"/>
            <w:tcBorders>
              <w:top w:val="nil"/>
              <w:left w:val="single" w:sz="4" w:space="0" w:color="auto"/>
              <w:bottom w:val="nil"/>
              <w:right w:val="single" w:sz="4" w:space="0" w:color="000000"/>
            </w:tcBorders>
            <w:shd w:val="clear" w:color="auto" w:fill="auto"/>
            <w:vAlign w:val="bottom"/>
            <w:hideMark/>
          </w:tcPr>
          <w:p w:rsidR="00112976" w:rsidRPr="00B859A5" w:rsidRDefault="00112976" w:rsidP="00EF2D62">
            <w:pPr>
              <w:jc w:val="left"/>
              <w:rPr>
                <w:rFonts w:cs="Arial"/>
                <w:b/>
                <w:bCs/>
                <w:i/>
                <w:iCs/>
                <w:lang w:val="es-ES_tradnl"/>
              </w:rPr>
            </w:pPr>
            <w:r w:rsidRPr="00B859A5">
              <w:rPr>
                <w:rFonts w:cs="Arial"/>
                <w:b/>
                <w:bCs/>
                <w:i/>
                <w:iCs/>
                <w:lang w:val="es-ES_tradnl"/>
              </w:rPr>
              <w:t>Equipo y suministros</w:t>
            </w:r>
          </w:p>
        </w:tc>
      </w:tr>
      <w:tr w:rsidR="005D61AB" w:rsidRPr="003F682E" w:rsidTr="00BA25F0">
        <w:trPr>
          <w:trHeight w:val="285"/>
        </w:trPr>
        <w:tc>
          <w:tcPr>
            <w:tcW w:w="3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976" w:rsidRPr="00B859A5" w:rsidRDefault="00112976" w:rsidP="00EF2D62">
            <w:pPr>
              <w:jc w:val="left"/>
              <w:rPr>
                <w:rFonts w:cs="Arial"/>
                <w:lang w:val="es-ES_tradnl"/>
              </w:rPr>
            </w:pPr>
            <w:r w:rsidRPr="00B859A5">
              <w:rPr>
                <w:rFonts w:cs="Arial"/>
                <w:lang w:val="es-ES_tradnl"/>
              </w:rPr>
              <w:t>Mobiliario y equipo</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6</w:t>
            </w:r>
          </w:p>
        </w:tc>
        <w:tc>
          <w:tcPr>
            <w:tcW w:w="1553"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10</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80%</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18</w:t>
            </w:r>
          </w:p>
        </w:tc>
      </w:tr>
      <w:tr w:rsidR="005D61AB" w:rsidRPr="003F682E" w:rsidTr="00BA25F0">
        <w:trPr>
          <w:trHeight w:val="285"/>
        </w:trPr>
        <w:tc>
          <w:tcPr>
            <w:tcW w:w="3485" w:type="dxa"/>
            <w:tcBorders>
              <w:top w:val="nil"/>
              <w:left w:val="single" w:sz="4" w:space="0" w:color="auto"/>
              <w:bottom w:val="single" w:sz="4" w:space="0" w:color="auto"/>
              <w:right w:val="single" w:sz="4" w:space="0" w:color="auto"/>
            </w:tcBorders>
            <w:shd w:val="clear" w:color="auto" w:fill="auto"/>
            <w:vAlign w:val="bottom"/>
            <w:hideMark/>
          </w:tcPr>
          <w:p w:rsidR="00112976" w:rsidRPr="00B859A5" w:rsidRDefault="00112976" w:rsidP="00EF2D62">
            <w:pPr>
              <w:jc w:val="left"/>
              <w:rPr>
                <w:rFonts w:cs="Arial"/>
                <w:lang w:val="es-ES_tradnl"/>
              </w:rPr>
            </w:pPr>
            <w:r w:rsidRPr="00B859A5">
              <w:rPr>
                <w:rFonts w:cs="Arial"/>
                <w:lang w:val="es-ES_tradnl"/>
              </w:rPr>
              <w:t>Suministros de material</w:t>
            </w:r>
          </w:p>
        </w:tc>
        <w:tc>
          <w:tcPr>
            <w:tcW w:w="127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21</w:t>
            </w:r>
          </w:p>
        </w:tc>
        <w:tc>
          <w:tcPr>
            <w:tcW w:w="155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20</w:t>
            </w:r>
          </w:p>
        </w:tc>
        <w:tc>
          <w:tcPr>
            <w:tcW w:w="113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w:t>
            </w:r>
          </w:p>
        </w:tc>
        <w:tc>
          <w:tcPr>
            <w:tcW w:w="992"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0%</w:t>
            </w:r>
          </w:p>
        </w:tc>
        <w:tc>
          <w:tcPr>
            <w:tcW w:w="1277"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20</w:t>
            </w:r>
          </w:p>
        </w:tc>
      </w:tr>
      <w:tr w:rsidR="005D61AB" w:rsidRPr="003F682E" w:rsidTr="00BA25F0">
        <w:trPr>
          <w:trHeight w:val="360"/>
        </w:trPr>
        <w:tc>
          <w:tcPr>
            <w:tcW w:w="3485" w:type="dxa"/>
            <w:tcBorders>
              <w:top w:val="nil"/>
              <w:left w:val="single" w:sz="4" w:space="0" w:color="auto"/>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Subtotal</w:t>
            </w:r>
          </w:p>
        </w:tc>
        <w:tc>
          <w:tcPr>
            <w:tcW w:w="127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27</w:t>
            </w:r>
          </w:p>
        </w:tc>
        <w:tc>
          <w:tcPr>
            <w:tcW w:w="155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30</w:t>
            </w:r>
          </w:p>
        </w:tc>
        <w:tc>
          <w:tcPr>
            <w:tcW w:w="1133"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8</w:t>
            </w:r>
          </w:p>
        </w:tc>
        <w:tc>
          <w:tcPr>
            <w:tcW w:w="992"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26,7%</w:t>
            </w:r>
          </w:p>
        </w:tc>
        <w:tc>
          <w:tcPr>
            <w:tcW w:w="1277"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38</w:t>
            </w:r>
          </w:p>
        </w:tc>
      </w:tr>
      <w:tr w:rsidR="005D61AB" w:rsidRPr="003F682E" w:rsidTr="00BA25F0">
        <w:trPr>
          <w:trHeight w:val="360"/>
        </w:trPr>
        <w:tc>
          <w:tcPr>
            <w:tcW w:w="3485" w:type="dxa"/>
            <w:tcBorders>
              <w:top w:val="nil"/>
              <w:left w:val="single" w:sz="4" w:space="0" w:color="auto"/>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Total, B</w:t>
            </w:r>
          </w:p>
        </w:tc>
        <w:tc>
          <w:tcPr>
            <w:tcW w:w="1273"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2.220</w:t>
            </w:r>
          </w:p>
        </w:tc>
        <w:tc>
          <w:tcPr>
            <w:tcW w:w="1553"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2.256</w:t>
            </w:r>
          </w:p>
        </w:tc>
        <w:tc>
          <w:tcPr>
            <w:tcW w:w="1133"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113</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5,0%</w:t>
            </w:r>
          </w:p>
        </w:tc>
        <w:tc>
          <w:tcPr>
            <w:tcW w:w="1277"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2.369</w:t>
            </w:r>
          </w:p>
        </w:tc>
      </w:tr>
      <w:tr w:rsidR="005D61AB" w:rsidRPr="003F682E" w:rsidTr="00BA25F0">
        <w:trPr>
          <w:trHeight w:val="369"/>
        </w:trPr>
        <w:tc>
          <w:tcPr>
            <w:tcW w:w="34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TOTAL GENERAL</w:t>
            </w:r>
          </w:p>
        </w:tc>
        <w:tc>
          <w:tcPr>
            <w:tcW w:w="1273"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6.479</w:t>
            </w:r>
          </w:p>
        </w:tc>
        <w:tc>
          <w:tcPr>
            <w:tcW w:w="1553"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6.798</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-4</w:t>
            </w:r>
          </w:p>
        </w:tc>
        <w:tc>
          <w:tcPr>
            <w:tcW w:w="992"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-0,1%</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6.794</w:t>
            </w:r>
          </w:p>
        </w:tc>
      </w:tr>
    </w:tbl>
    <w:p w:rsidR="00FF5D3C" w:rsidRPr="00B859A5" w:rsidRDefault="00FF5D3C" w:rsidP="00B859A5"/>
    <w:p w:rsidR="00B859A5" w:rsidRPr="00B859A5" w:rsidRDefault="00B859A5" w:rsidP="00B859A5"/>
    <w:p w:rsidR="00FF5D3C" w:rsidRPr="002B0BD5" w:rsidRDefault="00FF5D3C" w:rsidP="00EF2D62">
      <w:pPr>
        <w:tabs>
          <w:tab w:val="left" w:pos="567"/>
        </w:tabs>
        <w:rPr>
          <w:rFonts w:cs="Arial"/>
          <w:lang w:val="es-ES_tradnl"/>
        </w:rPr>
      </w:pPr>
      <w:r w:rsidRPr="002B0BD5">
        <w:rPr>
          <w:rFonts w:cs="Arial"/>
          <w:lang w:val="es-ES_tradnl"/>
        </w:rPr>
        <w:t xml:space="preserve">3.9 </w:t>
      </w:r>
      <w:r w:rsidR="00FF08D0" w:rsidRPr="002B0BD5">
        <w:rPr>
          <w:rFonts w:cs="Arial"/>
          <w:lang w:val="es-ES_tradnl"/>
        </w:rPr>
        <w:tab/>
      </w:r>
      <w:r w:rsidRPr="002B0BD5">
        <w:rPr>
          <w:rFonts w:cs="Arial"/>
          <w:lang w:val="es-ES_tradnl"/>
        </w:rPr>
        <w:t xml:space="preserve">En el </w:t>
      </w:r>
      <w:r w:rsidRPr="002B0BD5">
        <w:rPr>
          <w:rFonts w:cs="Arial"/>
          <w:b/>
          <w:lang w:val="es-ES_tradnl"/>
        </w:rPr>
        <w:t>Cuadro 5</w:t>
      </w:r>
      <w:r w:rsidRPr="002B0BD5">
        <w:rPr>
          <w:rFonts w:cs="Arial"/>
          <w:lang w:val="es-ES_tradnl"/>
        </w:rPr>
        <w:t xml:space="preserve"> se refleja el número de puestos por grupos de categoría.  En esa numeración se incluye el puesto de Secretario General, aunque sin incidencia en el gasto, porque el actual Director General de la OMPI ha declinado recibir sueldo o asignación alguna como Secretario General de la UPOV.</w:t>
      </w:r>
      <w:r w:rsidR="00421639" w:rsidRPr="002B0BD5">
        <w:rPr>
          <w:rFonts w:cs="Arial"/>
          <w:lang w:val="es-ES_tradnl"/>
        </w:rPr>
        <w:t xml:space="preserve"> </w:t>
      </w:r>
    </w:p>
    <w:p w:rsidR="00FF5D3C" w:rsidRPr="002B0BD5" w:rsidRDefault="00FF5D3C" w:rsidP="00EF2D62">
      <w:pPr>
        <w:tabs>
          <w:tab w:val="left" w:pos="567"/>
        </w:tabs>
        <w:rPr>
          <w:rFonts w:cs="Arial"/>
          <w:lang w:val="es-ES_tradnl"/>
        </w:rPr>
      </w:pPr>
    </w:p>
    <w:p w:rsidR="00FF5D3C" w:rsidRPr="002B0BD5" w:rsidRDefault="00FF5D3C" w:rsidP="00EF2D62">
      <w:pPr>
        <w:tabs>
          <w:tab w:val="left" w:pos="567"/>
        </w:tabs>
        <w:rPr>
          <w:rFonts w:cs="Arial"/>
          <w:lang w:val="es-ES_tradnl"/>
        </w:rPr>
      </w:pPr>
      <w:r w:rsidRPr="002B0BD5">
        <w:rPr>
          <w:rFonts w:cs="Arial"/>
          <w:lang w:val="es-ES_tradnl"/>
        </w:rPr>
        <w:t>3.10</w:t>
      </w:r>
      <w:r w:rsidR="00FF08D0" w:rsidRPr="002B0BD5">
        <w:rPr>
          <w:rFonts w:cs="Arial"/>
          <w:lang w:val="es-ES_tradnl"/>
        </w:rPr>
        <w:tab/>
      </w:r>
      <w:r w:rsidRPr="002B0BD5">
        <w:rPr>
          <w:rFonts w:cs="Arial"/>
          <w:lang w:val="es-ES_tradnl"/>
        </w:rPr>
        <w:t xml:space="preserve"> En el programa y presupuesto para el bienio 2014-2015 no se anticipan aumentos en el número de puestos.  Para prestar mejores servicios a un número de miembros cada vez mayor y satisfacer los pedidos de asistencia de eventuales futuros miembros de la Unión se aplica un enfoque que consiste en concentrar los recursos en la elaboración de material de orientación e información, bases de datos y formularios electrónicos (véase el Subprograma UV.2.2.2.1 “Descripción”) y la utilización de recursos externos para capacitación y asistencia en función de los recursos disponibles (véase el Subprograma UV.2.3.2.1 “Descripción”).  Ese enfoque se refleja en los puestos por categoría para el programa y presupuesto para el bienio 2014-2015.  En el programa y presupuesto del bienio 2012-2013 se anticiparon tres puestos en la categoría de director;  sin embargo, debido a cambios imprevistos de personal, solo se cubrieron dos puestos de esa categoría.  En su debido tiempo, y conforme aumenten las responsabilidades, se anticipa para el futuro la reclasificación a la categoría de director de uno de los puestos clasificado actualmente en la categoría profesional.  Además, para cubrir las responsabilidades de supervisión de los recursos externos (por ejemplo, apoyo administrativo para los cursos de enseñanza a distancia, administración de formadores, edición de publicaciones), se propone reclasificar a la categoría profesional un puesto de los servicios generales.  De conformidad con el enfoque aplicado en el bienio 2012-2013, se utilizará apoyo a corto plazo en la categoría de servicios generales según sea necesario y en el marco del presupuesto.</w:t>
      </w:r>
    </w:p>
    <w:p w:rsidR="00FF5D3C" w:rsidRPr="002B0BD5" w:rsidRDefault="00FF5D3C" w:rsidP="00EF2D62">
      <w:pPr>
        <w:tabs>
          <w:tab w:val="left" w:pos="567"/>
        </w:tabs>
        <w:rPr>
          <w:rFonts w:cs="Arial"/>
          <w:lang w:val="es-ES_tradnl"/>
        </w:rPr>
      </w:pPr>
    </w:p>
    <w:p w:rsidR="00FF5D3C" w:rsidRPr="002B0BD5" w:rsidRDefault="00FF5D3C" w:rsidP="00EF2D62">
      <w:pPr>
        <w:pStyle w:val="Heading4"/>
        <w:rPr>
          <w:lang w:val="es-ES_tradnl"/>
        </w:rPr>
      </w:pPr>
      <w:bookmarkStart w:id="37" w:name="_Toc363577074"/>
      <w:r w:rsidRPr="002B0BD5">
        <w:rPr>
          <w:lang w:val="es-ES_tradnl"/>
        </w:rPr>
        <w:t>Cuadro 5</w:t>
      </w:r>
      <w:proofErr w:type="gramStart"/>
      <w:r w:rsidRPr="002B0BD5">
        <w:rPr>
          <w:lang w:val="es-ES_tradnl"/>
        </w:rPr>
        <w:t>:  Presupuesto</w:t>
      </w:r>
      <w:proofErr w:type="gramEnd"/>
      <w:r w:rsidRPr="002B0BD5">
        <w:rPr>
          <w:lang w:val="es-ES_tradnl"/>
        </w:rPr>
        <w:t xml:space="preserve"> para el bienio 2014-2015:  puestos por categoría</w:t>
      </w:r>
      <w:bookmarkEnd w:id="37"/>
    </w:p>
    <w:p w:rsidR="00421639" w:rsidRPr="002B0BD5" w:rsidRDefault="00421639" w:rsidP="00EF2D62">
      <w:pPr>
        <w:rPr>
          <w:rFonts w:cs="Arial"/>
          <w:lang w:val="es-ES_tradnl"/>
        </w:rPr>
      </w:pPr>
    </w:p>
    <w:tbl>
      <w:tblPr>
        <w:tblW w:w="7513" w:type="dxa"/>
        <w:tblInd w:w="1242" w:type="dxa"/>
        <w:tblLook w:val="04A0" w:firstRow="1" w:lastRow="0" w:firstColumn="1" w:lastColumn="0" w:noHBand="0" w:noVBand="1"/>
      </w:tblPr>
      <w:tblGrid>
        <w:gridCol w:w="2268"/>
        <w:gridCol w:w="1284"/>
        <w:gridCol w:w="1284"/>
        <w:gridCol w:w="1260"/>
        <w:gridCol w:w="1417"/>
      </w:tblGrid>
      <w:tr w:rsidR="005D61AB" w:rsidRPr="002B0BD5" w:rsidTr="00AE3687">
        <w:trPr>
          <w:trHeight w:val="510"/>
        </w:trPr>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12976" w:rsidRPr="002B0BD5" w:rsidRDefault="00112976" w:rsidP="00EF2D62">
            <w:pPr>
              <w:jc w:val="left"/>
              <w:rPr>
                <w:rFonts w:cs="Arial"/>
                <w:i/>
                <w:iCs/>
                <w:lang w:val="es-ES_tradnl"/>
              </w:rPr>
            </w:pPr>
            <w:bookmarkStart w:id="38" w:name="OLE_LINK9"/>
            <w:bookmarkStart w:id="39" w:name="OLE_LINK10"/>
            <w:r w:rsidRPr="002B0BD5">
              <w:rPr>
                <w:rFonts w:cs="Arial"/>
                <w:i/>
                <w:lang w:val="es-ES_tradnl"/>
              </w:rPr>
              <w:t>Categoría del puesto</w:t>
            </w:r>
          </w:p>
        </w:tc>
        <w:tc>
          <w:tcPr>
            <w:tcW w:w="1284" w:type="dxa"/>
            <w:tcBorders>
              <w:top w:val="single" w:sz="4" w:space="0" w:color="auto"/>
              <w:left w:val="nil"/>
              <w:bottom w:val="nil"/>
              <w:right w:val="single" w:sz="4" w:space="0" w:color="auto"/>
            </w:tcBorders>
            <w:shd w:val="clear" w:color="auto" w:fill="auto"/>
            <w:hideMark/>
          </w:tcPr>
          <w:p w:rsidR="00112976" w:rsidRPr="002B0BD5" w:rsidRDefault="00112976" w:rsidP="00EF2D62">
            <w:pPr>
              <w:jc w:val="center"/>
              <w:rPr>
                <w:rFonts w:cs="Arial"/>
                <w:i/>
                <w:iCs/>
                <w:lang w:val="es-ES_tradnl"/>
              </w:rPr>
            </w:pPr>
            <w:r w:rsidRPr="002B0BD5">
              <w:rPr>
                <w:rFonts w:cs="Arial"/>
                <w:i/>
                <w:lang w:val="es-ES_tradnl"/>
              </w:rPr>
              <w:t>2010-2011</w:t>
            </w:r>
          </w:p>
        </w:tc>
        <w:tc>
          <w:tcPr>
            <w:tcW w:w="1284" w:type="dxa"/>
            <w:tcBorders>
              <w:top w:val="single" w:sz="4" w:space="0" w:color="auto"/>
              <w:left w:val="nil"/>
              <w:bottom w:val="nil"/>
              <w:right w:val="single" w:sz="4" w:space="0" w:color="auto"/>
            </w:tcBorders>
            <w:shd w:val="clear" w:color="auto" w:fill="auto"/>
            <w:hideMark/>
          </w:tcPr>
          <w:p w:rsidR="00112976" w:rsidRPr="002B0BD5" w:rsidRDefault="00112976" w:rsidP="00EF2D62">
            <w:pPr>
              <w:jc w:val="center"/>
              <w:rPr>
                <w:rFonts w:cs="Arial"/>
                <w:i/>
                <w:iCs/>
                <w:lang w:val="es-ES_tradnl"/>
              </w:rPr>
            </w:pPr>
            <w:r w:rsidRPr="002B0BD5">
              <w:rPr>
                <w:rFonts w:cs="Arial"/>
                <w:i/>
                <w:lang w:val="es-ES_tradnl"/>
              </w:rPr>
              <w:t>2012-2013</w:t>
            </w:r>
          </w:p>
        </w:tc>
        <w:tc>
          <w:tcPr>
            <w:tcW w:w="1260" w:type="dxa"/>
            <w:tcBorders>
              <w:top w:val="single" w:sz="4" w:space="0" w:color="auto"/>
              <w:left w:val="nil"/>
              <w:bottom w:val="nil"/>
              <w:right w:val="single" w:sz="4" w:space="0" w:color="auto"/>
            </w:tcBorders>
            <w:shd w:val="clear" w:color="auto" w:fill="auto"/>
            <w:hideMark/>
          </w:tcPr>
          <w:p w:rsidR="00112976" w:rsidRPr="002B0BD5" w:rsidRDefault="00112976" w:rsidP="00EF2D62">
            <w:pPr>
              <w:jc w:val="center"/>
              <w:rPr>
                <w:rFonts w:cs="Arial"/>
                <w:i/>
                <w:iCs/>
                <w:lang w:val="es-ES_tradnl"/>
              </w:rPr>
            </w:pPr>
            <w:r w:rsidRPr="002B0BD5">
              <w:rPr>
                <w:rFonts w:cs="Arial"/>
                <w:i/>
                <w:lang w:val="es-ES_tradnl"/>
              </w:rPr>
              <w:t>Variación</w:t>
            </w:r>
          </w:p>
        </w:tc>
        <w:tc>
          <w:tcPr>
            <w:tcW w:w="1417" w:type="dxa"/>
            <w:tcBorders>
              <w:top w:val="single" w:sz="4" w:space="0" w:color="auto"/>
              <w:left w:val="nil"/>
              <w:bottom w:val="nil"/>
              <w:right w:val="single" w:sz="4" w:space="0" w:color="auto"/>
            </w:tcBorders>
            <w:shd w:val="clear" w:color="auto" w:fill="auto"/>
            <w:hideMark/>
          </w:tcPr>
          <w:p w:rsidR="00112976" w:rsidRPr="002B0BD5" w:rsidRDefault="00112976" w:rsidP="00EF2D62">
            <w:pPr>
              <w:jc w:val="center"/>
              <w:rPr>
                <w:rFonts w:cs="Arial"/>
                <w:i/>
                <w:iCs/>
                <w:lang w:val="es-ES_tradnl"/>
              </w:rPr>
            </w:pPr>
            <w:r w:rsidRPr="002B0BD5">
              <w:rPr>
                <w:rFonts w:cs="Arial"/>
                <w:i/>
                <w:lang w:val="es-ES_tradnl"/>
              </w:rPr>
              <w:t xml:space="preserve">Propuesto para </w:t>
            </w:r>
            <w:r w:rsidR="009756F1">
              <w:rPr>
                <w:rFonts w:cs="Arial"/>
                <w:i/>
                <w:lang w:val="es-ES_tradnl"/>
              </w:rPr>
              <w:br/>
            </w:r>
            <w:r w:rsidRPr="002B0BD5">
              <w:rPr>
                <w:rFonts w:cs="Arial"/>
                <w:i/>
                <w:lang w:val="es-ES_tradnl"/>
              </w:rPr>
              <w:t>2014-2015</w:t>
            </w:r>
          </w:p>
        </w:tc>
      </w:tr>
      <w:tr w:rsidR="005D61AB" w:rsidRPr="002B0BD5" w:rsidTr="00BA25F0">
        <w:trPr>
          <w:trHeight w:val="255"/>
        </w:trPr>
        <w:tc>
          <w:tcPr>
            <w:tcW w:w="2268" w:type="dxa"/>
            <w:vMerge/>
            <w:tcBorders>
              <w:top w:val="single" w:sz="4" w:space="0" w:color="auto"/>
              <w:left w:val="single" w:sz="4" w:space="0" w:color="auto"/>
              <w:bottom w:val="single" w:sz="4" w:space="0" w:color="000000"/>
              <w:right w:val="single" w:sz="4" w:space="0" w:color="auto"/>
            </w:tcBorders>
            <w:vAlign w:val="center"/>
            <w:hideMark/>
          </w:tcPr>
          <w:p w:rsidR="00112976" w:rsidRPr="002B0BD5" w:rsidRDefault="00112976" w:rsidP="00EF2D62">
            <w:pPr>
              <w:jc w:val="left"/>
              <w:rPr>
                <w:rFonts w:cs="Arial"/>
                <w:i/>
                <w:iCs/>
                <w:lang w:val="es-ES_tradnl"/>
              </w:rPr>
            </w:pPr>
          </w:p>
        </w:tc>
        <w:tc>
          <w:tcPr>
            <w:tcW w:w="1284" w:type="dxa"/>
            <w:tcBorders>
              <w:top w:val="nil"/>
              <w:left w:val="nil"/>
              <w:bottom w:val="single" w:sz="4" w:space="0" w:color="auto"/>
              <w:right w:val="single" w:sz="4" w:space="0" w:color="auto"/>
            </w:tcBorders>
            <w:shd w:val="clear" w:color="auto" w:fill="auto"/>
            <w:vAlign w:val="bottom"/>
            <w:hideMark/>
          </w:tcPr>
          <w:p w:rsidR="00112976" w:rsidRPr="002B0BD5" w:rsidRDefault="00112976" w:rsidP="00BA25F0">
            <w:pPr>
              <w:jc w:val="center"/>
              <w:rPr>
                <w:rFonts w:cs="Arial"/>
                <w:i/>
                <w:iCs/>
                <w:lang w:val="es-ES_tradnl"/>
              </w:rPr>
            </w:pPr>
            <w:r w:rsidRPr="002B0BD5">
              <w:rPr>
                <w:rFonts w:cs="Arial"/>
                <w:i/>
                <w:lang w:val="es-ES_tradnl"/>
              </w:rPr>
              <w:t>A</w:t>
            </w:r>
          </w:p>
        </w:tc>
        <w:tc>
          <w:tcPr>
            <w:tcW w:w="1284" w:type="dxa"/>
            <w:tcBorders>
              <w:top w:val="nil"/>
              <w:left w:val="nil"/>
              <w:bottom w:val="single" w:sz="4" w:space="0" w:color="auto"/>
              <w:right w:val="single" w:sz="4" w:space="0" w:color="auto"/>
            </w:tcBorders>
            <w:shd w:val="clear" w:color="auto" w:fill="auto"/>
            <w:vAlign w:val="bottom"/>
            <w:hideMark/>
          </w:tcPr>
          <w:p w:rsidR="00112976" w:rsidRPr="002B0BD5" w:rsidRDefault="00112976" w:rsidP="00BA25F0">
            <w:pPr>
              <w:jc w:val="center"/>
              <w:rPr>
                <w:rFonts w:cs="Arial"/>
                <w:i/>
                <w:iCs/>
                <w:lang w:val="es-ES_tradnl"/>
              </w:rPr>
            </w:pPr>
            <w:r w:rsidRPr="002B0BD5">
              <w:rPr>
                <w:rFonts w:cs="Arial"/>
                <w:i/>
                <w:lang w:val="es-ES_tradnl"/>
              </w:rPr>
              <w:t>B</w:t>
            </w:r>
          </w:p>
        </w:tc>
        <w:tc>
          <w:tcPr>
            <w:tcW w:w="1260" w:type="dxa"/>
            <w:tcBorders>
              <w:top w:val="nil"/>
              <w:left w:val="nil"/>
              <w:bottom w:val="single" w:sz="4" w:space="0" w:color="auto"/>
              <w:right w:val="single" w:sz="4" w:space="0" w:color="auto"/>
            </w:tcBorders>
            <w:shd w:val="clear" w:color="auto" w:fill="auto"/>
            <w:vAlign w:val="bottom"/>
            <w:hideMark/>
          </w:tcPr>
          <w:p w:rsidR="00112976" w:rsidRPr="002B0BD5" w:rsidRDefault="00112976" w:rsidP="00BA25F0">
            <w:pPr>
              <w:jc w:val="center"/>
              <w:rPr>
                <w:rFonts w:cs="Arial"/>
                <w:i/>
                <w:iCs/>
                <w:lang w:val="es-ES_tradnl"/>
              </w:rPr>
            </w:pPr>
            <w:r w:rsidRPr="002B0BD5">
              <w:rPr>
                <w:rFonts w:cs="Arial"/>
                <w:i/>
                <w:lang w:val="es-ES_tradnl"/>
              </w:rPr>
              <w:t>C-B</w:t>
            </w:r>
          </w:p>
        </w:tc>
        <w:tc>
          <w:tcPr>
            <w:tcW w:w="1417" w:type="dxa"/>
            <w:tcBorders>
              <w:top w:val="nil"/>
              <w:left w:val="nil"/>
              <w:bottom w:val="single" w:sz="4" w:space="0" w:color="auto"/>
              <w:right w:val="single" w:sz="4" w:space="0" w:color="auto"/>
            </w:tcBorders>
            <w:shd w:val="clear" w:color="auto" w:fill="auto"/>
            <w:vAlign w:val="bottom"/>
            <w:hideMark/>
          </w:tcPr>
          <w:p w:rsidR="00112976" w:rsidRPr="002B0BD5" w:rsidRDefault="00112976" w:rsidP="00BA25F0">
            <w:pPr>
              <w:jc w:val="center"/>
              <w:rPr>
                <w:rFonts w:cs="Arial"/>
                <w:i/>
                <w:iCs/>
                <w:lang w:val="es-ES_tradnl"/>
              </w:rPr>
            </w:pPr>
            <w:r w:rsidRPr="002B0BD5">
              <w:rPr>
                <w:rFonts w:cs="Arial"/>
                <w:i/>
                <w:lang w:val="es-ES_tradnl"/>
              </w:rPr>
              <w:t>C</w:t>
            </w:r>
          </w:p>
        </w:tc>
      </w:tr>
      <w:tr w:rsidR="005D61AB" w:rsidRPr="002B0BD5" w:rsidTr="00AE3687">
        <w:trPr>
          <w:trHeight w:val="255"/>
        </w:trPr>
        <w:tc>
          <w:tcPr>
            <w:tcW w:w="2268" w:type="dxa"/>
            <w:tcBorders>
              <w:top w:val="nil"/>
              <w:left w:val="single" w:sz="4" w:space="0" w:color="auto"/>
              <w:right w:val="single" w:sz="4" w:space="0" w:color="auto"/>
            </w:tcBorders>
            <w:shd w:val="clear" w:color="auto" w:fill="auto"/>
            <w:hideMark/>
          </w:tcPr>
          <w:p w:rsidR="00112976" w:rsidRPr="002B0BD5" w:rsidRDefault="00112976" w:rsidP="00EF2D62">
            <w:pPr>
              <w:rPr>
                <w:rFonts w:cs="Arial"/>
                <w:lang w:val="es-ES_tradnl"/>
              </w:rPr>
            </w:pPr>
            <w:r w:rsidRPr="002B0BD5">
              <w:rPr>
                <w:rFonts w:cs="Arial"/>
                <w:lang w:val="es-ES_tradnl"/>
              </w:rPr>
              <w:t> </w:t>
            </w:r>
          </w:p>
        </w:tc>
        <w:tc>
          <w:tcPr>
            <w:tcW w:w="1284" w:type="dxa"/>
            <w:tcBorders>
              <w:top w:val="nil"/>
              <w:left w:val="nil"/>
              <w:right w:val="single" w:sz="4" w:space="0" w:color="auto"/>
            </w:tcBorders>
            <w:shd w:val="clear" w:color="auto" w:fill="auto"/>
            <w:vAlign w:val="center"/>
            <w:hideMark/>
          </w:tcPr>
          <w:p w:rsidR="00112976" w:rsidRPr="002B0BD5" w:rsidRDefault="00112976" w:rsidP="00EF2D62">
            <w:pPr>
              <w:jc w:val="center"/>
              <w:rPr>
                <w:rFonts w:cs="Arial"/>
                <w:lang w:val="es-ES_tradnl"/>
              </w:rPr>
            </w:pPr>
          </w:p>
        </w:tc>
        <w:tc>
          <w:tcPr>
            <w:tcW w:w="1284" w:type="dxa"/>
            <w:tcBorders>
              <w:top w:val="nil"/>
              <w:left w:val="nil"/>
              <w:right w:val="single" w:sz="4" w:space="0" w:color="auto"/>
            </w:tcBorders>
            <w:shd w:val="clear" w:color="auto" w:fill="auto"/>
            <w:vAlign w:val="center"/>
            <w:hideMark/>
          </w:tcPr>
          <w:p w:rsidR="00112976" w:rsidRPr="002B0BD5" w:rsidRDefault="00112976" w:rsidP="00EF2D62">
            <w:pPr>
              <w:jc w:val="center"/>
              <w:rPr>
                <w:rFonts w:cs="Arial"/>
                <w:lang w:val="es-ES_tradnl"/>
              </w:rPr>
            </w:pPr>
          </w:p>
        </w:tc>
        <w:tc>
          <w:tcPr>
            <w:tcW w:w="1260" w:type="dxa"/>
            <w:tcBorders>
              <w:top w:val="nil"/>
              <w:left w:val="nil"/>
              <w:right w:val="single" w:sz="4" w:space="0" w:color="auto"/>
            </w:tcBorders>
            <w:shd w:val="clear" w:color="auto" w:fill="auto"/>
            <w:vAlign w:val="center"/>
            <w:hideMark/>
          </w:tcPr>
          <w:p w:rsidR="00112976" w:rsidRPr="002B0BD5" w:rsidRDefault="00112976" w:rsidP="00EF2D62">
            <w:pPr>
              <w:jc w:val="center"/>
              <w:rPr>
                <w:rFonts w:cs="Arial"/>
                <w:lang w:val="es-ES_tradnl"/>
              </w:rPr>
            </w:pPr>
          </w:p>
        </w:tc>
        <w:tc>
          <w:tcPr>
            <w:tcW w:w="1417" w:type="dxa"/>
            <w:tcBorders>
              <w:top w:val="nil"/>
              <w:left w:val="nil"/>
              <w:right w:val="single" w:sz="4" w:space="0" w:color="auto"/>
            </w:tcBorders>
            <w:shd w:val="clear" w:color="auto" w:fill="auto"/>
            <w:vAlign w:val="center"/>
            <w:hideMark/>
          </w:tcPr>
          <w:p w:rsidR="00112976" w:rsidRPr="002B0BD5" w:rsidRDefault="00112976" w:rsidP="00EF2D62">
            <w:pPr>
              <w:jc w:val="center"/>
              <w:rPr>
                <w:rFonts w:cs="Arial"/>
                <w:lang w:val="es-ES_tradnl"/>
              </w:rPr>
            </w:pPr>
          </w:p>
        </w:tc>
      </w:tr>
      <w:tr w:rsidR="005D61AB" w:rsidRPr="002B0BD5" w:rsidTr="00AE3687">
        <w:trPr>
          <w:trHeight w:val="340"/>
        </w:trPr>
        <w:tc>
          <w:tcPr>
            <w:tcW w:w="2268" w:type="dxa"/>
            <w:tcBorders>
              <w:top w:val="nil"/>
              <w:left w:val="single" w:sz="4" w:space="0" w:color="auto"/>
              <w:right w:val="single" w:sz="4" w:space="0" w:color="auto"/>
            </w:tcBorders>
            <w:shd w:val="clear" w:color="auto" w:fill="auto"/>
            <w:vAlign w:val="center"/>
            <w:hideMark/>
          </w:tcPr>
          <w:p w:rsidR="00112976" w:rsidRPr="002B0BD5" w:rsidRDefault="00112976" w:rsidP="00EF2D62">
            <w:pPr>
              <w:jc w:val="left"/>
              <w:rPr>
                <w:rFonts w:cs="Arial"/>
                <w:lang w:val="es-ES_tradnl"/>
              </w:rPr>
            </w:pPr>
            <w:r w:rsidRPr="002B0BD5">
              <w:rPr>
                <w:rFonts w:cs="Arial"/>
                <w:lang w:val="es-ES_tradnl"/>
              </w:rPr>
              <w:t>Directores</w:t>
            </w:r>
          </w:p>
        </w:tc>
        <w:tc>
          <w:tcPr>
            <w:tcW w:w="1284" w:type="dxa"/>
            <w:tcBorders>
              <w:top w:val="nil"/>
              <w:left w:val="nil"/>
              <w:right w:val="single" w:sz="4" w:space="0" w:color="auto"/>
            </w:tcBorders>
            <w:shd w:val="clear" w:color="auto" w:fill="auto"/>
            <w:vAlign w:val="center"/>
            <w:hideMark/>
          </w:tcPr>
          <w:p w:rsidR="00112976" w:rsidRPr="002B0BD5" w:rsidRDefault="00112976" w:rsidP="00EF2D62">
            <w:pPr>
              <w:jc w:val="center"/>
              <w:rPr>
                <w:rFonts w:cs="Arial"/>
                <w:lang w:val="es-ES_tradnl"/>
              </w:rPr>
            </w:pPr>
            <w:r w:rsidRPr="002B0BD5">
              <w:rPr>
                <w:rFonts w:cs="Arial"/>
                <w:lang w:val="es-ES_tradnl"/>
              </w:rPr>
              <w:t>3</w:t>
            </w:r>
          </w:p>
        </w:tc>
        <w:tc>
          <w:tcPr>
            <w:tcW w:w="1284" w:type="dxa"/>
            <w:tcBorders>
              <w:top w:val="nil"/>
              <w:left w:val="nil"/>
              <w:right w:val="single" w:sz="4" w:space="0" w:color="auto"/>
            </w:tcBorders>
            <w:shd w:val="clear" w:color="auto" w:fill="auto"/>
            <w:vAlign w:val="center"/>
            <w:hideMark/>
          </w:tcPr>
          <w:p w:rsidR="00112976" w:rsidRPr="002B0BD5" w:rsidRDefault="00112976" w:rsidP="00EF2D62">
            <w:pPr>
              <w:jc w:val="center"/>
              <w:rPr>
                <w:rFonts w:cs="Arial"/>
                <w:lang w:val="es-ES_tradnl"/>
              </w:rPr>
            </w:pPr>
            <w:r w:rsidRPr="002B0BD5">
              <w:rPr>
                <w:rFonts w:cs="Arial"/>
                <w:lang w:val="es-ES_tradnl"/>
              </w:rPr>
              <w:t>3</w:t>
            </w:r>
          </w:p>
        </w:tc>
        <w:tc>
          <w:tcPr>
            <w:tcW w:w="1260" w:type="dxa"/>
            <w:tcBorders>
              <w:top w:val="nil"/>
              <w:left w:val="nil"/>
              <w:right w:val="single" w:sz="4" w:space="0" w:color="auto"/>
            </w:tcBorders>
            <w:shd w:val="clear" w:color="auto" w:fill="auto"/>
            <w:vAlign w:val="center"/>
            <w:hideMark/>
          </w:tcPr>
          <w:p w:rsidR="00112976" w:rsidRPr="002B0BD5" w:rsidRDefault="00112976" w:rsidP="00EF2D62">
            <w:pPr>
              <w:jc w:val="center"/>
              <w:rPr>
                <w:rFonts w:cs="Arial"/>
                <w:lang w:val="es-ES_tradnl"/>
              </w:rPr>
            </w:pPr>
            <w:r w:rsidRPr="002B0BD5">
              <w:rPr>
                <w:rFonts w:cs="Arial"/>
                <w:lang w:val="es-ES_tradnl"/>
              </w:rPr>
              <w:t>-</w:t>
            </w:r>
          </w:p>
        </w:tc>
        <w:tc>
          <w:tcPr>
            <w:tcW w:w="1417" w:type="dxa"/>
            <w:tcBorders>
              <w:top w:val="nil"/>
              <w:left w:val="nil"/>
              <w:right w:val="single" w:sz="4" w:space="0" w:color="auto"/>
            </w:tcBorders>
            <w:shd w:val="clear" w:color="auto" w:fill="auto"/>
            <w:vAlign w:val="center"/>
            <w:hideMark/>
          </w:tcPr>
          <w:p w:rsidR="00112976" w:rsidRPr="002B0BD5" w:rsidRDefault="00112976" w:rsidP="00EF2D62">
            <w:pPr>
              <w:jc w:val="center"/>
              <w:rPr>
                <w:rFonts w:cs="Arial"/>
                <w:lang w:val="es-ES_tradnl"/>
              </w:rPr>
            </w:pPr>
            <w:r w:rsidRPr="002B0BD5">
              <w:rPr>
                <w:rFonts w:cs="Arial"/>
                <w:lang w:val="es-ES_tradnl"/>
              </w:rPr>
              <w:t>3</w:t>
            </w:r>
          </w:p>
        </w:tc>
      </w:tr>
      <w:tr w:rsidR="005D61AB" w:rsidRPr="002B0BD5" w:rsidTr="00AE3687">
        <w:trPr>
          <w:trHeight w:val="340"/>
        </w:trPr>
        <w:tc>
          <w:tcPr>
            <w:tcW w:w="2268" w:type="dxa"/>
            <w:tcBorders>
              <w:top w:val="nil"/>
              <w:left w:val="single" w:sz="4" w:space="0" w:color="auto"/>
              <w:right w:val="single" w:sz="4" w:space="0" w:color="auto"/>
            </w:tcBorders>
            <w:shd w:val="clear" w:color="auto" w:fill="auto"/>
            <w:vAlign w:val="center"/>
            <w:hideMark/>
          </w:tcPr>
          <w:p w:rsidR="00112976" w:rsidRPr="002B0BD5" w:rsidRDefault="00112976" w:rsidP="00EF2D62">
            <w:pPr>
              <w:jc w:val="left"/>
              <w:rPr>
                <w:rFonts w:cs="Arial"/>
                <w:lang w:val="es-ES_tradnl"/>
              </w:rPr>
            </w:pPr>
            <w:r w:rsidRPr="002B0BD5">
              <w:rPr>
                <w:rFonts w:cs="Arial"/>
                <w:lang w:val="es-ES_tradnl"/>
              </w:rPr>
              <w:t>Profesionales</w:t>
            </w:r>
          </w:p>
        </w:tc>
        <w:tc>
          <w:tcPr>
            <w:tcW w:w="1284" w:type="dxa"/>
            <w:tcBorders>
              <w:top w:val="nil"/>
              <w:left w:val="nil"/>
              <w:right w:val="single" w:sz="4" w:space="0" w:color="auto"/>
            </w:tcBorders>
            <w:shd w:val="clear" w:color="auto" w:fill="auto"/>
            <w:vAlign w:val="center"/>
            <w:hideMark/>
          </w:tcPr>
          <w:p w:rsidR="00112976" w:rsidRPr="002B0BD5" w:rsidRDefault="00112976" w:rsidP="00EF2D62">
            <w:pPr>
              <w:jc w:val="center"/>
              <w:rPr>
                <w:rFonts w:cs="Arial"/>
                <w:lang w:val="es-ES_tradnl"/>
              </w:rPr>
            </w:pPr>
            <w:r w:rsidRPr="002B0BD5">
              <w:rPr>
                <w:rFonts w:cs="Arial"/>
                <w:lang w:val="es-ES_tradnl"/>
              </w:rPr>
              <w:t>3</w:t>
            </w:r>
          </w:p>
        </w:tc>
        <w:tc>
          <w:tcPr>
            <w:tcW w:w="1284" w:type="dxa"/>
            <w:tcBorders>
              <w:top w:val="nil"/>
              <w:left w:val="nil"/>
              <w:right w:val="single" w:sz="4" w:space="0" w:color="auto"/>
            </w:tcBorders>
            <w:shd w:val="clear" w:color="auto" w:fill="auto"/>
            <w:vAlign w:val="center"/>
            <w:hideMark/>
          </w:tcPr>
          <w:p w:rsidR="00112976" w:rsidRPr="002B0BD5" w:rsidRDefault="00112976" w:rsidP="00EF2D62">
            <w:pPr>
              <w:jc w:val="center"/>
              <w:rPr>
                <w:rFonts w:cs="Arial"/>
                <w:lang w:val="es-ES_tradnl"/>
              </w:rPr>
            </w:pPr>
            <w:r w:rsidRPr="002B0BD5">
              <w:rPr>
                <w:rFonts w:cs="Arial"/>
                <w:lang w:val="es-ES_tradnl"/>
              </w:rPr>
              <w:t>3</w:t>
            </w:r>
          </w:p>
        </w:tc>
        <w:tc>
          <w:tcPr>
            <w:tcW w:w="1260" w:type="dxa"/>
            <w:tcBorders>
              <w:top w:val="nil"/>
              <w:left w:val="nil"/>
              <w:right w:val="single" w:sz="4" w:space="0" w:color="auto"/>
            </w:tcBorders>
            <w:shd w:val="clear" w:color="auto" w:fill="auto"/>
            <w:vAlign w:val="center"/>
            <w:hideMark/>
          </w:tcPr>
          <w:p w:rsidR="00112976" w:rsidRPr="002B0BD5" w:rsidRDefault="00112976" w:rsidP="00EF2D62">
            <w:pPr>
              <w:jc w:val="center"/>
              <w:rPr>
                <w:rFonts w:cs="Arial"/>
                <w:lang w:val="es-ES_tradnl"/>
              </w:rPr>
            </w:pPr>
            <w:r w:rsidRPr="002B0BD5">
              <w:rPr>
                <w:rFonts w:cs="Arial"/>
                <w:lang w:val="es-ES_tradnl"/>
              </w:rPr>
              <w:t>1</w:t>
            </w:r>
          </w:p>
        </w:tc>
        <w:tc>
          <w:tcPr>
            <w:tcW w:w="1417" w:type="dxa"/>
            <w:tcBorders>
              <w:top w:val="nil"/>
              <w:left w:val="nil"/>
              <w:right w:val="single" w:sz="4" w:space="0" w:color="auto"/>
            </w:tcBorders>
            <w:shd w:val="clear" w:color="auto" w:fill="auto"/>
            <w:vAlign w:val="center"/>
            <w:hideMark/>
          </w:tcPr>
          <w:p w:rsidR="00112976" w:rsidRPr="002B0BD5" w:rsidRDefault="00112976" w:rsidP="00EF2D62">
            <w:pPr>
              <w:jc w:val="center"/>
              <w:rPr>
                <w:rFonts w:cs="Arial"/>
                <w:lang w:val="es-ES_tradnl"/>
              </w:rPr>
            </w:pPr>
            <w:r w:rsidRPr="002B0BD5">
              <w:rPr>
                <w:rFonts w:cs="Arial"/>
                <w:lang w:val="es-ES_tradnl"/>
              </w:rPr>
              <w:t>4</w:t>
            </w:r>
          </w:p>
        </w:tc>
      </w:tr>
      <w:tr w:rsidR="005D61AB" w:rsidRPr="002B0BD5" w:rsidTr="00AE3687">
        <w:trPr>
          <w:trHeight w:val="34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12976" w:rsidRPr="002B0BD5" w:rsidRDefault="00112976" w:rsidP="00EF2D62">
            <w:pPr>
              <w:jc w:val="left"/>
              <w:rPr>
                <w:rFonts w:cs="Arial"/>
                <w:lang w:val="es-ES_tradnl"/>
              </w:rPr>
            </w:pPr>
            <w:r w:rsidRPr="002B0BD5">
              <w:rPr>
                <w:rFonts w:cs="Arial"/>
                <w:lang w:val="es-ES_tradnl"/>
              </w:rPr>
              <w:t>Servicios generales</w:t>
            </w:r>
          </w:p>
        </w:tc>
        <w:tc>
          <w:tcPr>
            <w:tcW w:w="1284" w:type="dxa"/>
            <w:tcBorders>
              <w:top w:val="nil"/>
              <w:left w:val="nil"/>
              <w:bottom w:val="single" w:sz="4" w:space="0" w:color="auto"/>
              <w:right w:val="single" w:sz="4" w:space="0" w:color="auto"/>
            </w:tcBorders>
            <w:shd w:val="clear" w:color="auto" w:fill="auto"/>
            <w:vAlign w:val="center"/>
            <w:hideMark/>
          </w:tcPr>
          <w:p w:rsidR="00112976" w:rsidRPr="002B0BD5" w:rsidRDefault="00112976" w:rsidP="00EF2D62">
            <w:pPr>
              <w:jc w:val="center"/>
              <w:rPr>
                <w:rFonts w:cs="Arial"/>
                <w:lang w:val="es-ES_tradnl"/>
              </w:rPr>
            </w:pPr>
            <w:r w:rsidRPr="002B0BD5">
              <w:rPr>
                <w:rFonts w:cs="Arial"/>
                <w:lang w:val="es-ES_tradnl"/>
              </w:rPr>
              <w:t>5</w:t>
            </w:r>
          </w:p>
        </w:tc>
        <w:tc>
          <w:tcPr>
            <w:tcW w:w="1284" w:type="dxa"/>
            <w:tcBorders>
              <w:top w:val="nil"/>
              <w:left w:val="nil"/>
              <w:bottom w:val="single" w:sz="4" w:space="0" w:color="auto"/>
              <w:right w:val="single" w:sz="4" w:space="0" w:color="auto"/>
            </w:tcBorders>
            <w:shd w:val="clear" w:color="auto" w:fill="auto"/>
            <w:vAlign w:val="center"/>
            <w:hideMark/>
          </w:tcPr>
          <w:p w:rsidR="00112976" w:rsidRPr="002B0BD5" w:rsidRDefault="00112976" w:rsidP="00EF2D62">
            <w:pPr>
              <w:jc w:val="center"/>
              <w:rPr>
                <w:rFonts w:cs="Arial"/>
                <w:lang w:val="es-ES_tradnl"/>
              </w:rPr>
            </w:pPr>
            <w:r w:rsidRPr="002B0BD5">
              <w:rPr>
                <w:rFonts w:cs="Arial"/>
                <w:lang w:val="es-ES_tradnl"/>
              </w:rPr>
              <w:t>5</w:t>
            </w:r>
          </w:p>
        </w:tc>
        <w:tc>
          <w:tcPr>
            <w:tcW w:w="1260" w:type="dxa"/>
            <w:tcBorders>
              <w:top w:val="nil"/>
              <w:left w:val="nil"/>
              <w:bottom w:val="single" w:sz="4" w:space="0" w:color="auto"/>
              <w:right w:val="single" w:sz="4" w:space="0" w:color="auto"/>
            </w:tcBorders>
            <w:shd w:val="clear" w:color="auto" w:fill="auto"/>
            <w:vAlign w:val="center"/>
            <w:hideMark/>
          </w:tcPr>
          <w:p w:rsidR="00112976" w:rsidRPr="002B0BD5" w:rsidRDefault="00112976" w:rsidP="00EF2D62">
            <w:pPr>
              <w:jc w:val="center"/>
              <w:rPr>
                <w:rFonts w:cs="Arial"/>
                <w:lang w:val="es-ES_tradnl"/>
              </w:rPr>
            </w:pPr>
            <w:r w:rsidRPr="002B0BD5">
              <w:rPr>
                <w:rFonts w:cs="Arial"/>
                <w:lang w:val="es-ES_tradnl"/>
              </w:rPr>
              <w:t>-1</w:t>
            </w:r>
          </w:p>
        </w:tc>
        <w:tc>
          <w:tcPr>
            <w:tcW w:w="1417" w:type="dxa"/>
            <w:tcBorders>
              <w:top w:val="nil"/>
              <w:left w:val="nil"/>
              <w:bottom w:val="single" w:sz="4" w:space="0" w:color="auto"/>
              <w:right w:val="single" w:sz="4" w:space="0" w:color="auto"/>
            </w:tcBorders>
            <w:shd w:val="clear" w:color="auto" w:fill="auto"/>
            <w:vAlign w:val="center"/>
            <w:hideMark/>
          </w:tcPr>
          <w:p w:rsidR="00112976" w:rsidRPr="002B0BD5" w:rsidRDefault="00112976" w:rsidP="00EF2D62">
            <w:pPr>
              <w:jc w:val="center"/>
              <w:rPr>
                <w:rFonts w:cs="Arial"/>
                <w:lang w:val="es-ES_tradnl"/>
              </w:rPr>
            </w:pPr>
            <w:r w:rsidRPr="002B0BD5">
              <w:rPr>
                <w:rFonts w:cs="Arial"/>
                <w:lang w:val="es-ES_tradnl"/>
              </w:rPr>
              <w:t>4</w:t>
            </w:r>
          </w:p>
        </w:tc>
      </w:tr>
      <w:tr w:rsidR="005D61AB" w:rsidRPr="002B0BD5" w:rsidTr="00AE3687">
        <w:trPr>
          <w:trHeight w:val="34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112976" w:rsidRPr="002B0BD5" w:rsidRDefault="00112976" w:rsidP="00EF2D62">
            <w:pPr>
              <w:jc w:val="left"/>
              <w:rPr>
                <w:rFonts w:cs="Arial"/>
                <w:b/>
                <w:bCs/>
                <w:lang w:val="es-ES_tradnl"/>
              </w:rPr>
            </w:pPr>
            <w:r w:rsidRPr="002B0BD5">
              <w:rPr>
                <w:rFonts w:cs="Arial"/>
                <w:b/>
                <w:lang w:val="es-ES_tradnl"/>
              </w:rPr>
              <w:t>Total</w:t>
            </w:r>
          </w:p>
        </w:tc>
        <w:tc>
          <w:tcPr>
            <w:tcW w:w="1284" w:type="dxa"/>
            <w:tcBorders>
              <w:top w:val="nil"/>
              <w:left w:val="nil"/>
              <w:bottom w:val="single" w:sz="4" w:space="0" w:color="auto"/>
              <w:right w:val="single" w:sz="4" w:space="0" w:color="auto"/>
            </w:tcBorders>
            <w:shd w:val="clear" w:color="auto" w:fill="auto"/>
            <w:vAlign w:val="center"/>
            <w:hideMark/>
          </w:tcPr>
          <w:p w:rsidR="00112976" w:rsidRPr="002B0BD5" w:rsidRDefault="00112976" w:rsidP="00EF2D62">
            <w:pPr>
              <w:jc w:val="center"/>
              <w:rPr>
                <w:rFonts w:cs="Arial"/>
                <w:b/>
                <w:bCs/>
                <w:lang w:val="es-ES_tradnl"/>
              </w:rPr>
            </w:pPr>
            <w:r w:rsidRPr="002B0BD5">
              <w:rPr>
                <w:rFonts w:cs="Arial"/>
                <w:b/>
                <w:lang w:val="es-ES_tradnl"/>
              </w:rPr>
              <w:t>11</w:t>
            </w:r>
          </w:p>
        </w:tc>
        <w:tc>
          <w:tcPr>
            <w:tcW w:w="1284" w:type="dxa"/>
            <w:tcBorders>
              <w:top w:val="nil"/>
              <w:left w:val="nil"/>
              <w:bottom w:val="single" w:sz="4" w:space="0" w:color="auto"/>
              <w:right w:val="single" w:sz="4" w:space="0" w:color="auto"/>
            </w:tcBorders>
            <w:shd w:val="clear" w:color="auto" w:fill="auto"/>
            <w:vAlign w:val="center"/>
            <w:hideMark/>
          </w:tcPr>
          <w:p w:rsidR="00112976" w:rsidRPr="002B0BD5" w:rsidRDefault="00112976" w:rsidP="00EF2D62">
            <w:pPr>
              <w:jc w:val="center"/>
              <w:rPr>
                <w:rFonts w:cs="Arial"/>
                <w:b/>
                <w:bCs/>
                <w:lang w:val="es-ES_tradnl"/>
              </w:rPr>
            </w:pPr>
            <w:r w:rsidRPr="002B0BD5">
              <w:rPr>
                <w:rFonts w:cs="Arial"/>
                <w:b/>
                <w:lang w:val="es-ES_tradnl"/>
              </w:rPr>
              <w:t>11</w:t>
            </w:r>
          </w:p>
        </w:tc>
        <w:tc>
          <w:tcPr>
            <w:tcW w:w="1260" w:type="dxa"/>
            <w:tcBorders>
              <w:top w:val="nil"/>
              <w:left w:val="nil"/>
              <w:bottom w:val="single" w:sz="4" w:space="0" w:color="auto"/>
              <w:right w:val="single" w:sz="4" w:space="0" w:color="auto"/>
            </w:tcBorders>
            <w:shd w:val="clear" w:color="auto" w:fill="auto"/>
            <w:vAlign w:val="center"/>
            <w:hideMark/>
          </w:tcPr>
          <w:p w:rsidR="00112976" w:rsidRPr="002B0BD5" w:rsidRDefault="00112976" w:rsidP="00EF2D62">
            <w:pPr>
              <w:jc w:val="center"/>
              <w:rPr>
                <w:rFonts w:cs="Arial"/>
                <w:lang w:val="es-ES_tradnl"/>
              </w:rPr>
            </w:pPr>
            <w:r w:rsidRPr="002B0BD5">
              <w:rPr>
                <w:rFonts w:cs="Arial"/>
                <w:lang w:val="es-ES_tradnl"/>
              </w:rPr>
              <w:t>-</w:t>
            </w:r>
          </w:p>
        </w:tc>
        <w:tc>
          <w:tcPr>
            <w:tcW w:w="1417" w:type="dxa"/>
            <w:tcBorders>
              <w:top w:val="nil"/>
              <w:left w:val="nil"/>
              <w:bottom w:val="single" w:sz="4" w:space="0" w:color="auto"/>
              <w:right w:val="single" w:sz="4" w:space="0" w:color="auto"/>
            </w:tcBorders>
            <w:shd w:val="clear" w:color="auto" w:fill="auto"/>
            <w:vAlign w:val="center"/>
            <w:hideMark/>
          </w:tcPr>
          <w:p w:rsidR="00112976" w:rsidRPr="002B0BD5" w:rsidRDefault="00112976" w:rsidP="00EF2D62">
            <w:pPr>
              <w:jc w:val="center"/>
              <w:rPr>
                <w:rFonts w:cs="Arial"/>
                <w:b/>
                <w:bCs/>
                <w:lang w:val="es-ES_tradnl"/>
              </w:rPr>
            </w:pPr>
            <w:r w:rsidRPr="002B0BD5">
              <w:rPr>
                <w:rFonts w:cs="Arial"/>
                <w:b/>
                <w:lang w:val="es-ES_tradnl"/>
              </w:rPr>
              <w:t>11</w:t>
            </w:r>
          </w:p>
        </w:tc>
      </w:tr>
    </w:tbl>
    <w:p w:rsidR="00FF5D3C" w:rsidRDefault="00FF5D3C" w:rsidP="00EF2D62">
      <w:pPr>
        <w:tabs>
          <w:tab w:val="left" w:pos="567"/>
        </w:tabs>
        <w:rPr>
          <w:rFonts w:cs="Arial"/>
          <w:lang w:val="es-ES_tradnl"/>
        </w:rPr>
      </w:pPr>
    </w:p>
    <w:p w:rsidR="009756F1" w:rsidRPr="002B0BD5" w:rsidRDefault="009756F1" w:rsidP="00EF2D62">
      <w:pPr>
        <w:tabs>
          <w:tab w:val="left" w:pos="567"/>
        </w:tabs>
        <w:rPr>
          <w:rFonts w:cs="Arial"/>
          <w:lang w:val="es-ES_tradnl"/>
        </w:rPr>
      </w:pPr>
    </w:p>
    <w:bookmarkEnd w:id="38"/>
    <w:bookmarkEnd w:id="39"/>
    <w:p w:rsidR="00FF5D3C" w:rsidRPr="002B0BD5" w:rsidRDefault="00FF5D3C" w:rsidP="00EF2D62">
      <w:pPr>
        <w:tabs>
          <w:tab w:val="left" w:pos="567"/>
        </w:tabs>
        <w:rPr>
          <w:rFonts w:cs="Arial"/>
          <w:lang w:val="es-ES_tradnl"/>
        </w:rPr>
      </w:pPr>
      <w:r w:rsidRPr="002B0BD5">
        <w:rPr>
          <w:rFonts w:cs="Arial"/>
          <w:lang w:val="es-ES_tradnl"/>
        </w:rPr>
        <w:t xml:space="preserve">3.11 </w:t>
      </w:r>
      <w:r w:rsidR="00FF08D0" w:rsidRPr="002B0BD5">
        <w:rPr>
          <w:rFonts w:cs="Arial"/>
          <w:lang w:val="es-ES_tradnl"/>
        </w:rPr>
        <w:tab/>
      </w:r>
      <w:r w:rsidRPr="002B0BD5">
        <w:rPr>
          <w:rFonts w:cs="Arial"/>
          <w:lang w:val="es-ES_tradnl"/>
        </w:rPr>
        <w:t xml:space="preserve">En el </w:t>
      </w:r>
      <w:r w:rsidRPr="002B0BD5">
        <w:rPr>
          <w:rFonts w:cs="Arial"/>
          <w:b/>
          <w:lang w:val="es-ES_tradnl"/>
        </w:rPr>
        <w:t>Cuadro 6</w:t>
      </w:r>
      <w:r w:rsidRPr="002B0BD5">
        <w:rPr>
          <w:rFonts w:cs="Arial"/>
          <w:lang w:val="es-ES_tradnl"/>
        </w:rPr>
        <w:t xml:space="preserve"> se refleja la consignación presupuestaria propuesta por subprograma.</w:t>
      </w:r>
    </w:p>
    <w:p w:rsidR="00FF5D3C" w:rsidRPr="002B0BD5" w:rsidRDefault="00FF5D3C" w:rsidP="00EF2D62">
      <w:pPr>
        <w:tabs>
          <w:tab w:val="left" w:pos="567"/>
        </w:tabs>
        <w:rPr>
          <w:rFonts w:cs="Arial"/>
          <w:lang w:val="es-ES_tradnl"/>
        </w:rPr>
      </w:pPr>
    </w:p>
    <w:p w:rsidR="00FF5D3C" w:rsidRPr="002B0BD5" w:rsidRDefault="00FF5D3C" w:rsidP="00EF2D62">
      <w:pPr>
        <w:tabs>
          <w:tab w:val="left" w:pos="567"/>
        </w:tabs>
        <w:rPr>
          <w:rFonts w:cs="Arial"/>
          <w:lang w:val="es-ES_tradnl"/>
        </w:rPr>
      </w:pPr>
      <w:r w:rsidRPr="002B0BD5">
        <w:rPr>
          <w:rFonts w:cs="Arial"/>
          <w:lang w:val="es-ES_tradnl"/>
        </w:rPr>
        <w:t xml:space="preserve">3.12 </w:t>
      </w:r>
      <w:r w:rsidR="00FF08D0" w:rsidRPr="002B0BD5">
        <w:rPr>
          <w:rFonts w:cs="Arial"/>
          <w:lang w:val="es-ES_tradnl"/>
        </w:rPr>
        <w:tab/>
      </w:r>
      <w:r w:rsidRPr="002B0BD5">
        <w:rPr>
          <w:rFonts w:cs="Arial"/>
          <w:lang w:val="es-ES_tradnl"/>
        </w:rPr>
        <w:t>El programa y presupuesto propuesto para el bienio 2014-2015 se divide en cuatro subprogramas:</w:t>
      </w:r>
      <w:r w:rsidR="00421639" w:rsidRPr="002B0BD5">
        <w:rPr>
          <w:rFonts w:cs="Arial"/>
          <w:lang w:val="es-ES_tradnl"/>
        </w:rPr>
        <w:t xml:space="preserve">  </w:t>
      </w:r>
    </w:p>
    <w:p w:rsidR="00FF5D3C" w:rsidRPr="002B0BD5" w:rsidRDefault="00FF5D3C" w:rsidP="00EF2D62">
      <w:pPr>
        <w:tabs>
          <w:tab w:val="left" w:pos="567"/>
        </w:tabs>
        <w:rPr>
          <w:rFonts w:cs="Arial"/>
          <w:lang w:val="es-ES_tradnl"/>
        </w:rPr>
      </w:pPr>
    </w:p>
    <w:p w:rsidR="00FF5D3C" w:rsidRPr="002B0BD5" w:rsidRDefault="00FF5D3C" w:rsidP="00EF2D62">
      <w:pPr>
        <w:autoSpaceDE w:val="0"/>
        <w:autoSpaceDN w:val="0"/>
        <w:adjustRightInd w:val="0"/>
        <w:ind w:left="1417" w:hanging="850"/>
        <w:jc w:val="left"/>
        <w:rPr>
          <w:rFonts w:cs="Arial"/>
          <w:bCs/>
          <w:lang w:val="es-ES_tradnl"/>
        </w:rPr>
      </w:pPr>
      <w:r w:rsidRPr="002B0BD5">
        <w:rPr>
          <w:rFonts w:cs="Arial"/>
          <w:bCs/>
          <w:lang w:val="es-ES_tradnl"/>
        </w:rPr>
        <w:t>UV.1</w:t>
      </w:r>
      <w:proofErr w:type="gramStart"/>
      <w:r w:rsidR="006E42D6" w:rsidRPr="002B0BD5">
        <w:rPr>
          <w:rFonts w:cs="Arial"/>
          <w:bCs/>
          <w:lang w:val="es-ES_tradnl"/>
        </w:rPr>
        <w:t xml:space="preserve">:  </w:t>
      </w:r>
      <w:r w:rsidRPr="002B0BD5">
        <w:rPr>
          <w:rFonts w:cs="Arial"/>
          <w:bCs/>
          <w:lang w:val="es-ES_tradnl"/>
        </w:rPr>
        <w:t>Política</w:t>
      </w:r>
      <w:proofErr w:type="gramEnd"/>
      <w:r w:rsidRPr="002B0BD5">
        <w:rPr>
          <w:rFonts w:cs="Arial"/>
          <w:bCs/>
          <w:lang w:val="es-ES_tradnl"/>
        </w:rPr>
        <w:t xml:space="preserve"> general sobre protección de las variedades vegetales</w:t>
      </w:r>
    </w:p>
    <w:p w:rsidR="00FF5D3C" w:rsidRPr="002B0BD5" w:rsidRDefault="00FF5D3C" w:rsidP="00EF2D62">
      <w:pPr>
        <w:ind w:left="1417" w:hanging="850"/>
        <w:rPr>
          <w:rFonts w:cs="Arial"/>
          <w:lang w:val="es-ES_tradnl"/>
        </w:rPr>
      </w:pPr>
      <w:r w:rsidRPr="002B0BD5">
        <w:rPr>
          <w:rFonts w:cs="Arial"/>
          <w:lang w:val="es-ES_tradnl"/>
        </w:rPr>
        <w:t>UV.2</w:t>
      </w:r>
      <w:proofErr w:type="gramStart"/>
      <w:r w:rsidR="006E42D6" w:rsidRPr="002B0BD5">
        <w:rPr>
          <w:rFonts w:cs="Arial"/>
          <w:lang w:val="es-ES_tradnl"/>
        </w:rPr>
        <w:t xml:space="preserve">:  </w:t>
      </w:r>
      <w:r w:rsidRPr="002B0BD5">
        <w:rPr>
          <w:rFonts w:cs="Arial"/>
          <w:lang w:val="es-ES_tradnl"/>
        </w:rPr>
        <w:t>Servicios</w:t>
      </w:r>
      <w:proofErr w:type="gramEnd"/>
      <w:r w:rsidRPr="002B0BD5">
        <w:rPr>
          <w:rFonts w:cs="Arial"/>
          <w:lang w:val="es-ES_tradnl"/>
        </w:rPr>
        <w:t xml:space="preserve"> prestados a la Unión para mejorar la eficacia del sistema de la UPOV</w:t>
      </w:r>
    </w:p>
    <w:p w:rsidR="00FF5D3C" w:rsidRPr="002B0BD5" w:rsidRDefault="00FF5D3C" w:rsidP="00EF2D62">
      <w:pPr>
        <w:ind w:left="1417" w:hanging="850"/>
        <w:rPr>
          <w:rFonts w:cs="Arial"/>
          <w:lang w:val="es-ES_tradnl"/>
        </w:rPr>
      </w:pPr>
      <w:r w:rsidRPr="002B0BD5">
        <w:rPr>
          <w:rFonts w:cs="Arial"/>
          <w:lang w:val="es-ES_tradnl"/>
        </w:rPr>
        <w:t>UV.3</w:t>
      </w:r>
      <w:proofErr w:type="gramStart"/>
      <w:r w:rsidR="006E42D6" w:rsidRPr="002B0BD5">
        <w:rPr>
          <w:rFonts w:cs="Arial"/>
          <w:lang w:val="es-ES_tradnl"/>
        </w:rPr>
        <w:t xml:space="preserve">:  </w:t>
      </w:r>
      <w:r w:rsidRPr="002B0BD5">
        <w:rPr>
          <w:rFonts w:cs="Arial"/>
          <w:lang w:val="es-ES_tradnl"/>
        </w:rPr>
        <w:t>Prestar</w:t>
      </w:r>
      <w:proofErr w:type="gramEnd"/>
      <w:r w:rsidRPr="002B0BD5">
        <w:rPr>
          <w:rFonts w:cs="Arial"/>
          <w:lang w:val="es-ES_tradnl"/>
        </w:rPr>
        <w:t xml:space="preserve"> asistencia para la introducción y aplicación del sistema de la UPOV</w:t>
      </w:r>
    </w:p>
    <w:p w:rsidR="00FF5D3C" w:rsidRPr="002B0BD5" w:rsidRDefault="00FF5D3C" w:rsidP="00EF2D62">
      <w:pPr>
        <w:ind w:left="1417" w:hanging="850"/>
        <w:rPr>
          <w:rFonts w:cs="Arial"/>
          <w:lang w:val="es-ES_tradnl"/>
        </w:rPr>
      </w:pPr>
      <w:r w:rsidRPr="002B0BD5">
        <w:rPr>
          <w:rFonts w:cs="Arial"/>
          <w:bCs/>
          <w:lang w:val="es-ES_tradnl"/>
        </w:rPr>
        <w:t>UV.4</w:t>
      </w:r>
      <w:proofErr w:type="gramStart"/>
      <w:r w:rsidR="006E42D6" w:rsidRPr="002B0BD5">
        <w:rPr>
          <w:rFonts w:cs="Arial"/>
          <w:bCs/>
          <w:lang w:val="es-ES_tradnl"/>
        </w:rPr>
        <w:t xml:space="preserve">:  </w:t>
      </w:r>
      <w:r w:rsidRPr="002B0BD5">
        <w:rPr>
          <w:rFonts w:cs="Arial"/>
          <w:bCs/>
          <w:lang w:val="es-ES_tradnl"/>
        </w:rPr>
        <w:t>Relaciones</w:t>
      </w:r>
      <w:proofErr w:type="gramEnd"/>
      <w:r w:rsidRPr="002B0BD5">
        <w:rPr>
          <w:rFonts w:cs="Arial"/>
          <w:bCs/>
          <w:lang w:val="es-ES_tradnl"/>
        </w:rPr>
        <w:t xml:space="preserve"> exteriores</w:t>
      </w:r>
    </w:p>
    <w:p w:rsidR="00FF5D3C" w:rsidRPr="002B0BD5" w:rsidRDefault="00FF5D3C" w:rsidP="00EF2D62">
      <w:pPr>
        <w:tabs>
          <w:tab w:val="left" w:pos="567"/>
        </w:tabs>
        <w:rPr>
          <w:rFonts w:cs="Arial"/>
          <w:lang w:val="es-ES_tradnl"/>
        </w:rPr>
      </w:pPr>
    </w:p>
    <w:p w:rsidR="00FF5D3C" w:rsidRPr="002B0BD5" w:rsidRDefault="00FF5D3C" w:rsidP="00EF2D62">
      <w:pPr>
        <w:tabs>
          <w:tab w:val="left" w:pos="567"/>
        </w:tabs>
        <w:rPr>
          <w:rFonts w:cs="Arial"/>
          <w:lang w:val="es-ES_tradnl"/>
        </w:rPr>
      </w:pPr>
      <w:r w:rsidRPr="002B0BD5">
        <w:rPr>
          <w:rFonts w:cs="Arial"/>
          <w:lang w:val="es-ES_tradnl"/>
        </w:rPr>
        <w:t xml:space="preserve">3.13 </w:t>
      </w:r>
      <w:r w:rsidR="00FF08D0" w:rsidRPr="002B0BD5">
        <w:rPr>
          <w:rFonts w:cs="Arial"/>
          <w:lang w:val="es-ES_tradnl"/>
        </w:rPr>
        <w:tab/>
      </w:r>
      <w:r w:rsidRPr="002B0BD5">
        <w:rPr>
          <w:rFonts w:cs="Arial"/>
          <w:lang w:val="es-ES_tradnl"/>
        </w:rPr>
        <w:t>Los recursos de personal se han consignado por subprograma en proporción a las horas de trabajo que se prevé dedicar a cada subprograma.  Los gastos no relativos al personal se han distribuido por subprograma en previsión de sus respectivas actividades.  Cabe señalar que los gastos comunes con la OMPI en concepto de servicios prestados por la OMPI a la UPOV figuran en el Subprograma UV.2.</w:t>
      </w:r>
    </w:p>
    <w:p w:rsidR="00FF08D0" w:rsidRPr="002B0BD5" w:rsidRDefault="00FF08D0" w:rsidP="00EF2D62">
      <w:pPr>
        <w:jc w:val="left"/>
        <w:rPr>
          <w:rFonts w:cs="Arial"/>
          <w:b/>
          <w:lang w:val="es-ES_tradnl"/>
        </w:rPr>
      </w:pPr>
      <w:r w:rsidRPr="002B0BD5">
        <w:rPr>
          <w:rFonts w:cs="Arial"/>
          <w:b/>
          <w:lang w:val="es-ES_tradnl"/>
        </w:rPr>
        <w:br w:type="page"/>
      </w:r>
    </w:p>
    <w:p w:rsidR="00FF5D3C" w:rsidRPr="002B0BD5" w:rsidRDefault="00FF5D3C" w:rsidP="006B2291">
      <w:pPr>
        <w:pStyle w:val="Heading4"/>
        <w:ind w:left="0"/>
        <w:rPr>
          <w:lang w:val="es-ES_tradnl"/>
        </w:rPr>
      </w:pPr>
      <w:bookmarkStart w:id="40" w:name="_Toc363577075"/>
      <w:r w:rsidRPr="002B0BD5">
        <w:rPr>
          <w:lang w:val="es-ES_tradnl"/>
        </w:rPr>
        <w:t>Cuadro 6</w:t>
      </w:r>
      <w:proofErr w:type="gramStart"/>
      <w:r w:rsidRPr="002B0BD5">
        <w:rPr>
          <w:lang w:val="es-ES_tradnl"/>
        </w:rPr>
        <w:t>:  Presupuesto</w:t>
      </w:r>
      <w:proofErr w:type="gramEnd"/>
      <w:r w:rsidRPr="002B0BD5">
        <w:rPr>
          <w:lang w:val="es-ES_tradnl"/>
        </w:rPr>
        <w:t xml:space="preserve"> propuesto para el bienio 2014-2015:</w:t>
      </w:r>
      <w:bookmarkEnd w:id="40"/>
      <w:r w:rsidR="006B2291">
        <w:rPr>
          <w:lang w:val="es-ES_tradnl"/>
        </w:rPr>
        <w:br/>
        <w:t>consignación por objeto de gasto</w:t>
      </w:r>
    </w:p>
    <w:p w:rsidR="00FF5D3C" w:rsidRPr="002B0BD5" w:rsidRDefault="00FF5D3C" w:rsidP="006B2291">
      <w:pPr>
        <w:jc w:val="center"/>
        <w:rPr>
          <w:rFonts w:cs="Arial"/>
          <w:lang w:val="es-ES_tradnl"/>
        </w:rPr>
      </w:pPr>
      <w:r w:rsidRPr="002B0BD5">
        <w:rPr>
          <w:rFonts w:cs="Arial"/>
          <w:lang w:val="es-ES_tradnl"/>
        </w:rPr>
        <w:t>(</w:t>
      </w:r>
      <w:proofErr w:type="gramStart"/>
      <w:r w:rsidRPr="002B0BD5">
        <w:rPr>
          <w:rFonts w:cs="Arial"/>
          <w:lang w:val="es-ES_tradnl"/>
        </w:rPr>
        <w:t>en</w:t>
      </w:r>
      <w:proofErr w:type="gramEnd"/>
      <w:r w:rsidRPr="002B0BD5">
        <w:rPr>
          <w:rFonts w:cs="Arial"/>
          <w:lang w:val="es-ES_tradnl"/>
        </w:rPr>
        <w:t xml:space="preserve"> miles de francos suizos)</w:t>
      </w:r>
    </w:p>
    <w:p w:rsidR="00946029" w:rsidRPr="002B0BD5" w:rsidRDefault="00946029" w:rsidP="00EF2D62">
      <w:pPr>
        <w:rPr>
          <w:rFonts w:cs="Arial"/>
          <w:lang w:val="es-ES_tradnl"/>
        </w:rPr>
      </w:pPr>
    </w:p>
    <w:tbl>
      <w:tblPr>
        <w:tblW w:w="9463" w:type="dxa"/>
        <w:tblInd w:w="250" w:type="dxa"/>
        <w:tblLook w:val="04A0" w:firstRow="1" w:lastRow="0" w:firstColumn="1" w:lastColumn="0" w:noHBand="0" w:noVBand="1"/>
      </w:tblPr>
      <w:tblGrid>
        <w:gridCol w:w="1096"/>
        <w:gridCol w:w="3402"/>
        <w:gridCol w:w="979"/>
        <w:gridCol w:w="1020"/>
        <w:gridCol w:w="983"/>
        <w:gridCol w:w="982"/>
        <w:gridCol w:w="1001"/>
      </w:tblGrid>
      <w:tr w:rsidR="005D61AB" w:rsidRPr="003F682E" w:rsidTr="00BA25F0">
        <w:trPr>
          <w:trHeight w:val="270"/>
        </w:trPr>
        <w:tc>
          <w:tcPr>
            <w:tcW w:w="1096" w:type="dxa"/>
            <w:tcBorders>
              <w:top w:val="single" w:sz="4" w:space="0" w:color="auto"/>
              <w:left w:val="single" w:sz="4" w:space="0" w:color="auto"/>
              <w:bottom w:val="nil"/>
              <w:right w:val="nil"/>
            </w:tcBorders>
            <w:shd w:val="clear" w:color="auto" w:fill="auto"/>
            <w:vAlign w:val="bottom"/>
            <w:hideMark/>
          </w:tcPr>
          <w:p w:rsidR="00112976" w:rsidRPr="003F682E" w:rsidRDefault="00112976" w:rsidP="00EF2D62">
            <w:pPr>
              <w:jc w:val="left"/>
              <w:rPr>
                <w:rFonts w:cs="Arial"/>
                <w:b/>
                <w:bCs/>
                <w:lang w:val="es-ES_tradnl"/>
              </w:rPr>
            </w:pPr>
          </w:p>
        </w:tc>
        <w:tc>
          <w:tcPr>
            <w:tcW w:w="3402" w:type="dxa"/>
            <w:tcBorders>
              <w:top w:val="single" w:sz="4" w:space="0" w:color="auto"/>
              <w:left w:val="nil"/>
              <w:bottom w:val="nil"/>
              <w:right w:val="nil"/>
            </w:tcBorders>
            <w:shd w:val="clear" w:color="auto" w:fill="auto"/>
            <w:vAlign w:val="bottom"/>
            <w:hideMark/>
          </w:tcPr>
          <w:p w:rsidR="00112976" w:rsidRPr="003F682E" w:rsidRDefault="00112976" w:rsidP="00EF2D62">
            <w:pPr>
              <w:jc w:val="left"/>
              <w:rPr>
                <w:rFonts w:cs="Arial"/>
                <w:b/>
                <w:bCs/>
                <w:lang w:val="es-ES_tradnl"/>
              </w:rPr>
            </w:pPr>
          </w:p>
        </w:tc>
        <w:tc>
          <w:tcPr>
            <w:tcW w:w="3964" w:type="dxa"/>
            <w:gridSpan w:val="4"/>
            <w:tcBorders>
              <w:top w:val="single" w:sz="4" w:space="0" w:color="auto"/>
              <w:left w:val="single" w:sz="4" w:space="0" w:color="auto"/>
              <w:bottom w:val="nil"/>
              <w:right w:val="single" w:sz="4" w:space="0" w:color="auto"/>
            </w:tcBorders>
            <w:shd w:val="clear" w:color="auto" w:fill="auto"/>
            <w:vAlign w:val="bottom"/>
            <w:hideMark/>
          </w:tcPr>
          <w:p w:rsidR="00112976" w:rsidRPr="003F682E" w:rsidRDefault="00112976" w:rsidP="00EF2D62">
            <w:pPr>
              <w:jc w:val="center"/>
              <w:rPr>
                <w:rFonts w:cs="Arial"/>
                <w:b/>
                <w:bCs/>
                <w:i/>
                <w:iCs/>
                <w:lang w:val="es-ES_tradnl"/>
              </w:rPr>
            </w:pPr>
            <w:r w:rsidRPr="003F682E">
              <w:rPr>
                <w:rFonts w:cs="Arial"/>
                <w:b/>
                <w:i/>
                <w:lang w:val="es-ES_tradnl"/>
              </w:rPr>
              <w:t>Subprograma</w:t>
            </w:r>
          </w:p>
        </w:tc>
        <w:tc>
          <w:tcPr>
            <w:tcW w:w="1001" w:type="dxa"/>
            <w:tcBorders>
              <w:top w:val="single" w:sz="4" w:space="0" w:color="auto"/>
              <w:left w:val="nil"/>
              <w:bottom w:val="nil"/>
              <w:right w:val="single" w:sz="4" w:space="0" w:color="auto"/>
            </w:tcBorders>
            <w:shd w:val="clear" w:color="auto" w:fill="auto"/>
            <w:vAlign w:val="bottom"/>
            <w:hideMark/>
          </w:tcPr>
          <w:p w:rsidR="00112976" w:rsidRPr="003F682E" w:rsidRDefault="00112976" w:rsidP="00EF2D62">
            <w:pPr>
              <w:jc w:val="center"/>
              <w:rPr>
                <w:rFonts w:cs="Arial"/>
                <w:b/>
                <w:bCs/>
                <w:i/>
                <w:iCs/>
                <w:lang w:val="es-ES_tradnl"/>
              </w:rPr>
            </w:pPr>
            <w:r w:rsidRPr="003F682E">
              <w:rPr>
                <w:rFonts w:cs="Arial"/>
                <w:b/>
                <w:i/>
                <w:lang w:val="es-ES_tradnl"/>
              </w:rPr>
              <w:t> </w:t>
            </w:r>
          </w:p>
        </w:tc>
      </w:tr>
      <w:tr w:rsidR="005D61AB" w:rsidRPr="003F682E" w:rsidTr="00BA25F0">
        <w:trPr>
          <w:trHeight w:val="255"/>
        </w:trPr>
        <w:tc>
          <w:tcPr>
            <w:tcW w:w="1096" w:type="dxa"/>
            <w:tcBorders>
              <w:top w:val="nil"/>
              <w:left w:val="single" w:sz="4" w:space="0" w:color="auto"/>
              <w:bottom w:val="single" w:sz="4" w:space="0" w:color="auto"/>
              <w:right w:val="nil"/>
            </w:tcBorders>
            <w:shd w:val="clear" w:color="auto" w:fill="auto"/>
            <w:vAlign w:val="bottom"/>
            <w:hideMark/>
          </w:tcPr>
          <w:p w:rsidR="00112976" w:rsidRPr="003F682E" w:rsidRDefault="00112976" w:rsidP="00EF2D62">
            <w:pPr>
              <w:jc w:val="left"/>
              <w:rPr>
                <w:rFonts w:cs="Arial"/>
                <w:b/>
                <w:bCs/>
                <w:lang w:val="es-ES_tradnl"/>
              </w:rPr>
            </w:pPr>
          </w:p>
        </w:tc>
        <w:tc>
          <w:tcPr>
            <w:tcW w:w="3402" w:type="dxa"/>
            <w:tcBorders>
              <w:top w:val="nil"/>
              <w:left w:val="nil"/>
              <w:bottom w:val="single" w:sz="4" w:space="0" w:color="auto"/>
              <w:right w:val="nil"/>
            </w:tcBorders>
            <w:shd w:val="clear" w:color="auto" w:fill="auto"/>
            <w:vAlign w:val="bottom"/>
            <w:hideMark/>
          </w:tcPr>
          <w:p w:rsidR="00112976" w:rsidRPr="003F682E" w:rsidRDefault="00112976" w:rsidP="00EF2D62">
            <w:pPr>
              <w:jc w:val="left"/>
              <w:rPr>
                <w:rFonts w:cs="Arial"/>
                <w:b/>
                <w:bCs/>
                <w:i/>
                <w:iCs/>
                <w:lang w:val="es-ES_tradnl"/>
              </w:rPr>
            </w:pPr>
            <w:r w:rsidRPr="003F682E">
              <w:rPr>
                <w:rFonts w:cs="Arial"/>
                <w:b/>
                <w:i/>
                <w:lang w:val="es-ES_tradnl"/>
              </w:rPr>
              <w:t>Objeto de gasto</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976" w:rsidRPr="003F682E" w:rsidRDefault="00112976" w:rsidP="00EF2D62">
            <w:pPr>
              <w:jc w:val="center"/>
              <w:rPr>
                <w:rFonts w:cs="Arial"/>
                <w:b/>
                <w:bCs/>
                <w:i/>
                <w:iCs/>
                <w:lang w:val="es-ES_tradnl"/>
              </w:rPr>
            </w:pPr>
            <w:r w:rsidRPr="003F682E">
              <w:rPr>
                <w:rFonts w:cs="Arial"/>
                <w:b/>
                <w:i/>
                <w:lang w:val="es-ES_tradnl"/>
              </w:rPr>
              <w:t>UV.1</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center"/>
              <w:rPr>
                <w:rFonts w:cs="Arial"/>
                <w:b/>
                <w:bCs/>
                <w:i/>
                <w:iCs/>
                <w:lang w:val="es-ES_tradnl"/>
              </w:rPr>
            </w:pPr>
            <w:r w:rsidRPr="003F682E">
              <w:rPr>
                <w:rFonts w:cs="Arial"/>
                <w:b/>
                <w:i/>
                <w:lang w:val="es-ES_tradnl"/>
              </w:rPr>
              <w:t>UV.2:</w:t>
            </w:r>
          </w:p>
        </w:tc>
        <w:tc>
          <w:tcPr>
            <w:tcW w:w="983"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center"/>
              <w:rPr>
                <w:rFonts w:cs="Arial"/>
                <w:b/>
                <w:bCs/>
                <w:i/>
                <w:iCs/>
                <w:lang w:val="es-ES_tradnl"/>
              </w:rPr>
            </w:pPr>
            <w:r w:rsidRPr="003F682E">
              <w:rPr>
                <w:rFonts w:cs="Arial"/>
                <w:b/>
                <w:i/>
                <w:lang w:val="es-ES_tradnl"/>
              </w:rPr>
              <w:t>UV.3:</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center"/>
              <w:rPr>
                <w:rFonts w:cs="Arial"/>
                <w:b/>
                <w:bCs/>
                <w:i/>
                <w:iCs/>
                <w:lang w:val="es-ES_tradnl"/>
              </w:rPr>
            </w:pPr>
            <w:r w:rsidRPr="003F682E">
              <w:rPr>
                <w:rFonts w:cs="Arial"/>
                <w:b/>
                <w:i/>
                <w:lang w:val="es-ES_tradnl"/>
              </w:rPr>
              <w:t>UV.4:</w:t>
            </w:r>
          </w:p>
        </w:tc>
        <w:tc>
          <w:tcPr>
            <w:tcW w:w="1001"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center"/>
              <w:rPr>
                <w:rFonts w:cs="Arial"/>
                <w:b/>
                <w:bCs/>
                <w:i/>
                <w:iCs/>
                <w:lang w:val="es-ES_tradnl"/>
              </w:rPr>
            </w:pPr>
            <w:r w:rsidRPr="003F682E">
              <w:rPr>
                <w:rFonts w:cs="Arial"/>
                <w:b/>
                <w:i/>
                <w:lang w:val="es-ES_tradnl"/>
              </w:rPr>
              <w:t>Total</w:t>
            </w:r>
          </w:p>
        </w:tc>
      </w:tr>
      <w:tr w:rsidR="005D61AB" w:rsidRPr="003F682E" w:rsidTr="00BA25F0">
        <w:trPr>
          <w:trHeight w:val="255"/>
        </w:trPr>
        <w:tc>
          <w:tcPr>
            <w:tcW w:w="4498" w:type="dxa"/>
            <w:gridSpan w:val="2"/>
            <w:tcBorders>
              <w:top w:val="nil"/>
              <w:left w:val="single" w:sz="4" w:space="0" w:color="auto"/>
              <w:bottom w:val="nil"/>
              <w:right w:val="nil"/>
            </w:tcBorders>
            <w:shd w:val="clear" w:color="auto" w:fill="auto"/>
            <w:vAlign w:val="bottom"/>
            <w:hideMark/>
          </w:tcPr>
          <w:p w:rsidR="00112976" w:rsidRPr="003F682E" w:rsidRDefault="00112976" w:rsidP="00EF2D62">
            <w:pPr>
              <w:jc w:val="left"/>
              <w:rPr>
                <w:rFonts w:cs="Arial"/>
                <w:b/>
                <w:bCs/>
                <w:lang w:val="es-ES_tradnl"/>
              </w:rPr>
            </w:pPr>
          </w:p>
        </w:tc>
        <w:tc>
          <w:tcPr>
            <w:tcW w:w="979"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p>
        </w:tc>
        <w:tc>
          <w:tcPr>
            <w:tcW w:w="1020"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p>
        </w:tc>
        <w:tc>
          <w:tcPr>
            <w:tcW w:w="983"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p>
        </w:tc>
        <w:tc>
          <w:tcPr>
            <w:tcW w:w="982"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p>
        </w:tc>
        <w:tc>
          <w:tcPr>
            <w:tcW w:w="1001"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 </w:t>
            </w:r>
          </w:p>
        </w:tc>
      </w:tr>
      <w:tr w:rsidR="005D61AB" w:rsidRPr="003F682E" w:rsidTr="00BA25F0">
        <w:trPr>
          <w:trHeight w:val="510"/>
        </w:trPr>
        <w:tc>
          <w:tcPr>
            <w:tcW w:w="4498" w:type="dxa"/>
            <w:gridSpan w:val="2"/>
            <w:tcBorders>
              <w:top w:val="nil"/>
              <w:left w:val="single" w:sz="4" w:space="0" w:color="auto"/>
              <w:bottom w:val="nil"/>
              <w:right w:val="nil"/>
            </w:tcBorders>
            <w:shd w:val="clear" w:color="auto" w:fill="auto"/>
            <w:vAlign w:val="bottom"/>
            <w:hideMark/>
          </w:tcPr>
          <w:p w:rsidR="00112976" w:rsidRPr="003F682E" w:rsidRDefault="00112976" w:rsidP="00EF2D62">
            <w:pPr>
              <w:jc w:val="left"/>
              <w:rPr>
                <w:rFonts w:cs="Arial"/>
                <w:b/>
                <w:bCs/>
                <w:lang w:val="es-ES_tradnl"/>
              </w:rPr>
            </w:pPr>
            <w:r w:rsidRPr="003F682E">
              <w:rPr>
                <w:rFonts w:cs="Arial"/>
                <w:b/>
                <w:lang w:val="es-ES_tradnl"/>
              </w:rPr>
              <w:t>A.  Recursos de personal</w:t>
            </w:r>
          </w:p>
        </w:tc>
        <w:tc>
          <w:tcPr>
            <w:tcW w:w="979"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592</w:t>
            </w:r>
          </w:p>
        </w:tc>
        <w:tc>
          <w:tcPr>
            <w:tcW w:w="1020"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2.213</w:t>
            </w:r>
          </w:p>
        </w:tc>
        <w:tc>
          <w:tcPr>
            <w:tcW w:w="983"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1.198</w:t>
            </w:r>
          </w:p>
        </w:tc>
        <w:tc>
          <w:tcPr>
            <w:tcW w:w="982"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422</w:t>
            </w:r>
          </w:p>
        </w:tc>
        <w:tc>
          <w:tcPr>
            <w:tcW w:w="1001"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4.425</w:t>
            </w:r>
          </w:p>
        </w:tc>
      </w:tr>
      <w:tr w:rsidR="005D61AB" w:rsidRPr="003F682E" w:rsidTr="00BA25F0">
        <w:trPr>
          <w:trHeight w:val="255"/>
        </w:trPr>
        <w:tc>
          <w:tcPr>
            <w:tcW w:w="1096" w:type="dxa"/>
            <w:tcBorders>
              <w:top w:val="nil"/>
              <w:left w:val="single" w:sz="4" w:space="0" w:color="auto"/>
              <w:bottom w:val="nil"/>
              <w:right w:val="nil"/>
            </w:tcBorders>
            <w:shd w:val="clear" w:color="auto" w:fill="auto"/>
            <w:vAlign w:val="bottom"/>
            <w:hideMark/>
          </w:tcPr>
          <w:p w:rsidR="00112976" w:rsidRPr="003F682E" w:rsidRDefault="00112976" w:rsidP="00EF2D62">
            <w:pPr>
              <w:jc w:val="left"/>
              <w:rPr>
                <w:rFonts w:cs="Arial"/>
                <w:lang w:val="es-ES_tradnl"/>
              </w:rPr>
            </w:pPr>
          </w:p>
        </w:tc>
        <w:tc>
          <w:tcPr>
            <w:tcW w:w="3402" w:type="dxa"/>
            <w:tcBorders>
              <w:top w:val="nil"/>
              <w:left w:val="nil"/>
              <w:bottom w:val="nil"/>
              <w:right w:val="nil"/>
            </w:tcBorders>
            <w:shd w:val="clear" w:color="auto" w:fill="auto"/>
            <w:vAlign w:val="bottom"/>
            <w:hideMark/>
          </w:tcPr>
          <w:p w:rsidR="00112976" w:rsidRPr="009756F1" w:rsidRDefault="00112976" w:rsidP="00EF2D62">
            <w:pPr>
              <w:jc w:val="left"/>
              <w:rPr>
                <w:rFonts w:cs="Arial"/>
                <w:lang w:val="es-ES_tradnl"/>
              </w:rPr>
            </w:pPr>
            <w:r w:rsidRPr="009756F1">
              <w:rPr>
                <w:rFonts w:cs="Arial"/>
                <w:lang w:val="es-ES_tradnl"/>
              </w:rPr>
              <w:t>Puestos</w:t>
            </w:r>
          </w:p>
        </w:tc>
        <w:tc>
          <w:tcPr>
            <w:tcW w:w="979"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592</w:t>
            </w:r>
          </w:p>
        </w:tc>
        <w:tc>
          <w:tcPr>
            <w:tcW w:w="1020"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2.113</w:t>
            </w:r>
          </w:p>
        </w:tc>
        <w:tc>
          <w:tcPr>
            <w:tcW w:w="983"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1.098</w:t>
            </w:r>
          </w:p>
        </w:tc>
        <w:tc>
          <w:tcPr>
            <w:tcW w:w="982"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422</w:t>
            </w:r>
          </w:p>
        </w:tc>
        <w:tc>
          <w:tcPr>
            <w:tcW w:w="1001"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4.225</w:t>
            </w:r>
          </w:p>
        </w:tc>
      </w:tr>
      <w:tr w:rsidR="005D61AB" w:rsidRPr="003F682E" w:rsidTr="00BA25F0">
        <w:trPr>
          <w:trHeight w:val="255"/>
        </w:trPr>
        <w:tc>
          <w:tcPr>
            <w:tcW w:w="1096" w:type="dxa"/>
            <w:tcBorders>
              <w:top w:val="nil"/>
              <w:left w:val="single" w:sz="4" w:space="0" w:color="auto"/>
              <w:bottom w:val="nil"/>
              <w:right w:val="nil"/>
            </w:tcBorders>
            <w:shd w:val="clear" w:color="auto" w:fill="auto"/>
            <w:vAlign w:val="bottom"/>
            <w:hideMark/>
          </w:tcPr>
          <w:p w:rsidR="00112976" w:rsidRPr="003F682E" w:rsidRDefault="00112976" w:rsidP="00EF2D62">
            <w:pPr>
              <w:jc w:val="left"/>
              <w:rPr>
                <w:rFonts w:cs="Arial"/>
                <w:lang w:val="es-ES_tradnl"/>
              </w:rPr>
            </w:pPr>
          </w:p>
        </w:tc>
        <w:tc>
          <w:tcPr>
            <w:tcW w:w="3402" w:type="dxa"/>
            <w:tcBorders>
              <w:top w:val="nil"/>
              <w:left w:val="nil"/>
              <w:bottom w:val="nil"/>
              <w:right w:val="nil"/>
            </w:tcBorders>
            <w:shd w:val="clear" w:color="auto" w:fill="auto"/>
            <w:vAlign w:val="bottom"/>
            <w:hideMark/>
          </w:tcPr>
          <w:p w:rsidR="00112976" w:rsidRPr="003F682E" w:rsidRDefault="00112976" w:rsidP="00EF2D62">
            <w:pPr>
              <w:jc w:val="left"/>
              <w:rPr>
                <w:rFonts w:cs="Arial"/>
                <w:lang w:val="es-ES_tradnl"/>
              </w:rPr>
            </w:pPr>
            <w:r w:rsidRPr="003F682E">
              <w:rPr>
                <w:rFonts w:cs="Arial"/>
                <w:lang w:val="es-ES_tradnl"/>
              </w:rPr>
              <w:t>Personal temporero</w:t>
            </w:r>
          </w:p>
        </w:tc>
        <w:tc>
          <w:tcPr>
            <w:tcW w:w="979"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w:t>
            </w:r>
          </w:p>
        </w:tc>
        <w:tc>
          <w:tcPr>
            <w:tcW w:w="1020"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100</w:t>
            </w:r>
          </w:p>
        </w:tc>
        <w:tc>
          <w:tcPr>
            <w:tcW w:w="983"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100</w:t>
            </w:r>
          </w:p>
        </w:tc>
        <w:tc>
          <w:tcPr>
            <w:tcW w:w="982"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w:t>
            </w:r>
          </w:p>
        </w:tc>
        <w:tc>
          <w:tcPr>
            <w:tcW w:w="1001"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200</w:t>
            </w:r>
          </w:p>
        </w:tc>
      </w:tr>
      <w:tr w:rsidR="005D61AB" w:rsidRPr="003F682E" w:rsidTr="00BA25F0">
        <w:trPr>
          <w:trHeight w:val="255"/>
        </w:trPr>
        <w:tc>
          <w:tcPr>
            <w:tcW w:w="1096" w:type="dxa"/>
            <w:tcBorders>
              <w:top w:val="nil"/>
              <w:left w:val="single" w:sz="4" w:space="0" w:color="auto"/>
              <w:bottom w:val="nil"/>
              <w:right w:val="nil"/>
            </w:tcBorders>
            <w:shd w:val="clear" w:color="auto" w:fill="auto"/>
            <w:vAlign w:val="bottom"/>
            <w:hideMark/>
          </w:tcPr>
          <w:p w:rsidR="00112976" w:rsidRPr="003F682E" w:rsidRDefault="00112976" w:rsidP="00EF2D62">
            <w:pPr>
              <w:jc w:val="left"/>
              <w:rPr>
                <w:rFonts w:cs="Arial"/>
                <w:lang w:val="es-ES_tradnl"/>
              </w:rPr>
            </w:pPr>
          </w:p>
        </w:tc>
        <w:tc>
          <w:tcPr>
            <w:tcW w:w="3402" w:type="dxa"/>
            <w:tcBorders>
              <w:top w:val="nil"/>
              <w:left w:val="nil"/>
              <w:bottom w:val="nil"/>
              <w:right w:val="nil"/>
            </w:tcBorders>
            <w:shd w:val="clear" w:color="auto" w:fill="auto"/>
            <w:vAlign w:val="bottom"/>
            <w:hideMark/>
          </w:tcPr>
          <w:p w:rsidR="00112976" w:rsidRPr="003F682E" w:rsidRDefault="00112976" w:rsidP="00EF2D62">
            <w:pPr>
              <w:jc w:val="left"/>
              <w:rPr>
                <w:rFonts w:cs="Arial"/>
                <w:lang w:val="es-ES_tradnl"/>
              </w:rPr>
            </w:pPr>
          </w:p>
        </w:tc>
        <w:tc>
          <w:tcPr>
            <w:tcW w:w="979"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p>
        </w:tc>
        <w:tc>
          <w:tcPr>
            <w:tcW w:w="1020"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p>
        </w:tc>
        <w:tc>
          <w:tcPr>
            <w:tcW w:w="983"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p>
        </w:tc>
        <w:tc>
          <w:tcPr>
            <w:tcW w:w="982"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p>
        </w:tc>
        <w:tc>
          <w:tcPr>
            <w:tcW w:w="1001"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 </w:t>
            </w:r>
          </w:p>
        </w:tc>
      </w:tr>
      <w:tr w:rsidR="005D61AB" w:rsidRPr="003F682E" w:rsidTr="00BA25F0">
        <w:trPr>
          <w:trHeight w:val="255"/>
        </w:trPr>
        <w:tc>
          <w:tcPr>
            <w:tcW w:w="4498" w:type="dxa"/>
            <w:gridSpan w:val="2"/>
            <w:tcBorders>
              <w:top w:val="nil"/>
              <w:left w:val="single" w:sz="4" w:space="0" w:color="auto"/>
              <w:bottom w:val="nil"/>
              <w:right w:val="nil"/>
            </w:tcBorders>
            <w:shd w:val="clear" w:color="auto" w:fill="auto"/>
            <w:vAlign w:val="bottom"/>
            <w:hideMark/>
          </w:tcPr>
          <w:p w:rsidR="00112976" w:rsidRPr="009756F1" w:rsidRDefault="00112976" w:rsidP="00EF2D62">
            <w:pPr>
              <w:jc w:val="left"/>
              <w:rPr>
                <w:rFonts w:cs="Arial"/>
                <w:b/>
                <w:bCs/>
                <w:lang w:val="es-ES_tradnl"/>
              </w:rPr>
            </w:pPr>
            <w:r w:rsidRPr="009756F1">
              <w:rPr>
                <w:rFonts w:cs="Arial"/>
                <w:b/>
                <w:lang w:val="es-ES_tradnl"/>
              </w:rPr>
              <w:t xml:space="preserve">B. </w:t>
            </w:r>
            <w:r w:rsidR="00BA25F0">
              <w:rPr>
                <w:rFonts w:cs="Arial"/>
                <w:b/>
                <w:lang w:val="es-ES_tradnl"/>
              </w:rPr>
              <w:t xml:space="preserve"> </w:t>
            </w:r>
            <w:r w:rsidRPr="009756F1">
              <w:rPr>
                <w:rFonts w:cs="Arial"/>
                <w:b/>
                <w:lang w:val="es-ES_tradnl"/>
              </w:rPr>
              <w:t>Recursos</w:t>
            </w:r>
            <w:r w:rsidRPr="009756F1">
              <w:rPr>
                <w:rFonts w:cs="Arial"/>
                <w:b/>
                <w:bCs/>
                <w:lang w:val="es-ES_tradnl"/>
              </w:rPr>
              <w:t xml:space="preserve"> no relativos al personal</w:t>
            </w:r>
          </w:p>
        </w:tc>
        <w:tc>
          <w:tcPr>
            <w:tcW w:w="979"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128</w:t>
            </w:r>
          </w:p>
        </w:tc>
        <w:tc>
          <w:tcPr>
            <w:tcW w:w="1020"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1.721</w:t>
            </w:r>
          </w:p>
        </w:tc>
        <w:tc>
          <w:tcPr>
            <w:tcW w:w="983"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380</w:t>
            </w:r>
          </w:p>
        </w:tc>
        <w:tc>
          <w:tcPr>
            <w:tcW w:w="982"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140</w:t>
            </w:r>
          </w:p>
        </w:tc>
        <w:tc>
          <w:tcPr>
            <w:tcW w:w="1001"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2.369</w:t>
            </w:r>
          </w:p>
        </w:tc>
      </w:tr>
      <w:tr w:rsidR="005D61AB" w:rsidRPr="003F682E" w:rsidTr="00BA25F0">
        <w:trPr>
          <w:trHeight w:val="255"/>
        </w:trPr>
        <w:tc>
          <w:tcPr>
            <w:tcW w:w="1096" w:type="dxa"/>
            <w:tcBorders>
              <w:top w:val="nil"/>
              <w:left w:val="single" w:sz="4" w:space="0" w:color="auto"/>
              <w:bottom w:val="nil"/>
              <w:right w:val="nil"/>
            </w:tcBorders>
            <w:shd w:val="clear" w:color="auto" w:fill="auto"/>
            <w:vAlign w:val="bottom"/>
            <w:hideMark/>
          </w:tcPr>
          <w:p w:rsidR="00112976" w:rsidRPr="003F682E" w:rsidRDefault="00112976" w:rsidP="00EF2D62">
            <w:pPr>
              <w:jc w:val="left"/>
              <w:rPr>
                <w:rFonts w:cs="Arial"/>
                <w:b/>
                <w:bCs/>
                <w:i/>
                <w:iCs/>
                <w:lang w:val="es-ES_tradnl"/>
              </w:rPr>
            </w:pPr>
            <w:r w:rsidRPr="003F682E">
              <w:rPr>
                <w:rFonts w:cs="Arial"/>
                <w:b/>
                <w:i/>
                <w:lang w:val="es-ES_tradnl"/>
              </w:rPr>
              <w:t>Pasantes</w:t>
            </w:r>
          </w:p>
        </w:tc>
        <w:tc>
          <w:tcPr>
            <w:tcW w:w="3402" w:type="dxa"/>
            <w:tcBorders>
              <w:top w:val="nil"/>
              <w:left w:val="nil"/>
              <w:bottom w:val="nil"/>
              <w:right w:val="nil"/>
            </w:tcBorders>
            <w:shd w:val="clear" w:color="auto" w:fill="auto"/>
            <w:vAlign w:val="bottom"/>
            <w:hideMark/>
          </w:tcPr>
          <w:p w:rsidR="00112976" w:rsidRPr="003F682E" w:rsidRDefault="00112976" w:rsidP="00EF2D62">
            <w:pPr>
              <w:jc w:val="left"/>
              <w:rPr>
                <w:rFonts w:cs="Arial"/>
                <w:b/>
                <w:bCs/>
                <w:lang w:val="es-ES_tradnl"/>
              </w:rPr>
            </w:pPr>
          </w:p>
        </w:tc>
        <w:tc>
          <w:tcPr>
            <w:tcW w:w="979"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w:t>
            </w:r>
          </w:p>
        </w:tc>
        <w:tc>
          <w:tcPr>
            <w:tcW w:w="1020"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w:t>
            </w:r>
          </w:p>
        </w:tc>
        <w:tc>
          <w:tcPr>
            <w:tcW w:w="983"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w:t>
            </w:r>
          </w:p>
        </w:tc>
        <w:tc>
          <w:tcPr>
            <w:tcW w:w="982"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w:t>
            </w:r>
          </w:p>
        </w:tc>
        <w:tc>
          <w:tcPr>
            <w:tcW w:w="1001"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w:t>
            </w:r>
          </w:p>
        </w:tc>
      </w:tr>
      <w:tr w:rsidR="005D61AB" w:rsidRPr="003F682E" w:rsidTr="00BA25F0">
        <w:trPr>
          <w:trHeight w:val="255"/>
        </w:trPr>
        <w:tc>
          <w:tcPr>
            <w:tcW w:w="1096" w:type="dxa"/>
            <w:tcBorders>
              <w:top w:val="nil"/>
              <w:left w:val="single" w:sz="4" w:space="0" w:color="auto"/>
              <w:bottom w:val="nil"/>
              <w:right w:val="nil"/>
            </w:tcBorders>
            <w:shd w:val="clear" w:color="auto" w:fill="auto"/>
            <w:vAlign w:val="bottom"/>
            <w:hideMark/>
          </w:tcPr>
          <w:p w:rsidR="00112976" w:rsidRPr="003F682E" w:rsidRDefault="00112976" w:rsidP="00EF2D62">
            <w:pPr>
              <w:jc w:val="left"/>
              <w:rPr>
                <w:rFonts w:cs="Arial"/>
                <w:b/>
                <w:bCs/>
                <w:lang w:val="es-ES_tradnl"/>
              </w:rPr>
            </w:pPr>
          </w:p>
        </w:tc>
        <w:tc>
          <w:tcPr>
            <w:tcW w:w="3402" w:type="dxa"/>
            <w:tcBorders>
              <w:top w:val="nil"/>
              <w:left w:val="nil"/>
              <w:bottom w:val="nil"/>
              <w:right w:val="nil"/>
            </w:tcBorders>
            <w:shd w:val="clear" w:color="auto" w:fill="auto"/>
            <w:vAlign w:val="bottom"/>
            <w:hideMark/>
          </w:tcPr>
          <w:p w:rsidR="00112976" w:rsidRPr="003F682E" w:rsidRDefault="00112976" w:rsidP="00EF2D62">
            <w:pPr>
              <w:jc w:val="left"/>
              <w:rPr>
                <w:rFonts w:cs="Arial"/>
                <w:lang w:val="es-ES_tradnl"/>
              </w:rPr>
            </w:pPr>
            <w:r w:rsidRPr="003F682E">
              <w:rPr>
                <w:rFonts w:cs="Arial"/>
                <w:lang w:val="es-ES_tradnl"/>
              </w:rPr>
              <w:t>Pasantes</w:t>
            </w:r>
          </w:p>
        </w:tc>
        <w:tc>
          <w:tcPr>
            <w:tcW w:w="979"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w:t>
            </w:r>
          </w:p>
        </w:tc>
        <w:tc>
          <w:tcPr>
            <w:tcW w:w="1020"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w:t>
            </w:r>
          </w:p>
        </w:tc>
        <w:tc>
          <w:tcPr>
            <w:tcW w:w="983"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w:t>
            </w:r>
          </w:p>
        </w:tc>
        <w:tc>
          <w:tcPr>
            <w:tcW w:w="982"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w:t>
            </w:r>
          </w:p>
        </w:tc>
        <w:tc>
          <w:tcPr>
            <w:tcW w:w="1001"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w:t>
            </w:r>
          </w:p>
        </w:tc>
      </w:tr>
      <w:tr w:rsidR="005D61AB" w:rsidRPr="003F682E" w:rsidTr="00BA25F0">
        <w:trPr>
          <w:trHeight w:val="255"/>
        </w:trPr>
        <w:tc>
          <w:tcPr>
            <w:tcW w:w="4498" w:type="dxa"/>
            <w:gridSpan w:val="2"/>
            <w:tcBorders>
              <w:top w:val="nil"/>
              <w:left w:val="single" w:sz="4" w:space="0" w:color="auto"/>
              <w:bottom w:val="nil"/>
              <w:right w:val="nil"/>
            </w:tcBorders>
            <w:shd w:val="clear" w:color="auto" w:fill="auto"/>
            <w:vAlign w:val="bottom"/>
            <w:hideMark/>
          </w:tcPr>
          <w:p w:rsidR="00112976" w:rsidRPr="003F682E" w:rsidRDefault="00112976" w:rsidP="00EF2D62">
            <w:pPr>
              <w:jc w:val="left"/>
              <w:rPr>
                <w:rFonts w:cs="Arial"/>
                <w:b/>
                <w:bCs/>
                <w:i/>
                <w:iCs/>
                <w:lang w:val="es-ES_tradnl"/>
              </w:rPr>
            </w:pPr>
            <w:r w:rsidRPr="003F682E">
              <w:rPr>
                <w:rFonts w:cs="Arial"/>
                <w:b/>
                <w:i/>
                <w:lang w:val="es-ES_tradnl"/>
              </w:rPr>
              <w:t>Viajes</w:t>
            </w:r>
          </w:p>
        </w:tc>
        <w:tc>
          <w:tcPr>
            <w:tcW w:w="979"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w:t>
            </w:r>
          </w:p>
        </w:tc>
        <w:tc>
          <w:tcPr>
            <w:tcW w:w="1020"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180</w:t>
            </w:r>
          </w:p>
        </w:tc>
        <w:tc>
          <w:tcPr>
            <w:tcW w:w="983"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300</w:t>
            </w:r>
          </w:p>
        </w:tc>
        <w:tc>
          <w:tcPr>
            <w:tcW w:w="982"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110</w:t>
            </w:r>
          </w:p>
        </w:tc>
        <w:tc>
          <w:tcPr>
            <w:tcW w:w="1001"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590</w:t>
            </w:r>
          </w:p>
        </w:tc>
      </w:tr>
      <w:tr w:rsidR="005D61AB" w:rsidRPr="003F682E" w:rsidTr="00BA25F0">
        <w:trPr>
          <w:trHeight w:val="255"/>
        </w:trPr>
        <w:tc>
          <w:tcPr>
            <w:tcW w:w="1096" w:type="dxa"/>
            <w:tcBorders>
              <w:top w:val="nil"/>
              <w:left w:val="single" w:sz="4" w:space="0" w:color="auto"/>
              <w:bottom w:val="nil"/>
              <w:right w:val="nil"/>
            </w:tcBorders>
            <w:shd w:val="clear" w:color="auto" w:fill="auto"/>
            <w:vAlign w:val="bottom"/>
            <w:hideMark/>
          </w:tcPr>
          <w:p w:rsidR="00112976" w:rsidRPr="003F682E" w:rsidRDefault="00112976" w:rsidP="00EF2D62">
            <w:pPr>
              <w:jc w:val="left"/>
              <w:rPr>
                <w:rFonts w:cs="Arial"/>
                <w:lang w:val="es-ES_tradnl"/>
              </w:rPr>
            </w:pPr>
          </w:p>
        </w:tc>
        <w:tc>
          <w:tcPr>
            <w:tcW w:w="3402" w:type="dxa"/>
            <w:tcBorders>
              <w:top w:val="nil"/>
              <w:left w:val="nil"/>
              <w:bottom w:val="nil"/>
              <w:right w:val="nil"/>
            </w:tcBorders>
            <w:shd w:val="clear" w:color="auto" w:fill="auto"/>
            <w:vAlign w:val="bottom"/>
            <w:hideMark/>
          </w:tcPr>
          <w:p w:rsidR="00112976" w:rsidRPr="009756F1" w:rsidRDefault="00112976" w:rsidP="00EF2D62">
            <w:pPr>
              <w:jc w:val="left"/>
              <w:rPr>
                <w:rFonts w:cs="Arial"/>
                <w:lang w:val="es-ES_tradnl"/>
              </w:rPr>
            </w:pPr>
            <w:r w:rsidRPr="009756F1">
              <w:rPr>
                <w:rFonts w:cs="Arial"/>
                <w:lang w:val="es-ES_tradnl"/>
              </w:rPr>
              <w:t>Misiones del personal</w:t>
            </w:r>
          </w:p>
        </w:tc>
        <w:tc>
          <w:tcPr>
            <w:tcW w:w="979"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w:t>
            </w:r>
          </w:p>
        </w:tc>
        <w:tc>
          <w:tcPr>
            <w:tcW w:w="1020"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180</w:t>
            </w:r>
          </w:p>
        </w:tc>
        <w:tc>
          <w:tcPr>
            <w:tcW w:w="983"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180</w:t>
            </w:r>
          </w:p>
        </w:tc>
        <w:tc>
          <w:tcPr>
            <w:tcW w:w="982"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110</w:t>
            </w:r>
          </w:p>
        </w:tc>
        <w:tc>
          <w:tcPr>
            <w:tcW w:w="1001"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470</w:t>
            </w:r>
          </w:p>
        </w:tc>
      </w:tr>
      <w:tr w:rsidR="005D61AB" w:rsidRPr="003F682E" w:rsidTr="00BA25F0">
        <w:trPr>
          <w:trHeight w:val="255"/>
        </w:trPr>
        <w:tc>
          <w:tcPr>
            <w:tcW w:w="1096" w:type="dxa"/>
            <w:tcBorders>
              <w:top w:val="nil"/>
              <w:left w:val="single" w:sz="4" w:space="0" w:color="auto"/>
              <w:bottom w:val="nil"/>
              <w:right w:val="nil"/>
            </w:tcBorders>
            <w:shd w:val="clear" w:color="auto" w:fill="auto"/>
            <w:vAlign w:val="bottom"/>
            <w:hideMark/>
          </w:tcPr>
          <w:p w:rsidR="00112976" w:rsidRPr="003F682E" w:rsidRDefault="00112976" w:rsidP="00EF2D62">
            <w:pPr>
              <w:jc w:val="left"/>
              <w:rPr>
                <w:rFonts w:cs="Arial"/>
                <w:lang w:val="es-ES_tradnl"/>
              </w:rPr>
            </w:pPr>
          </w:p>
        </w:tc>
        <w:tc>
          <w:tcPr>
            <w:tcW w:w="3402" w:type="dxa"/>
            <w:tcBorders>
              <w:top w:val="nil"/>
              <w:left w:val="nil"/>
              <w:bottom w:val="nil"/>
              <w:right w:val="nil"/>
            </w:tcBorders>
            <w:shd w:val="clear" w:color="auto" w:fill="auto"/>
            <w:vAlign w:val="bottom"/>
            <w:hideMark/>
          </w:tcPr>
          <w:p w:rsidR="00112976" w:rsidRPr="009756F1" w:rsidRDefault="00112976" w:rsidP="00EF2D62">
            <w:pPr>
              <w:jc w:val="left"/>
              <w:rPr>
                <w:rFonts w:cs="Arial"/>
                <w:lang w:val="es-ES_tradnl"/>
              </w:rPr>
            </w:pPr>
            <w:r w:rsidRPr="009756F1">
              <w:rPr>
                <w:rFonts w:cs="Arial"/>
                <w:lang w:val="es-ES_tradnl"/>
              </w:rPr>
              <w:t>Viajes de terceros</w:t>
            </w:r>
          </w:p>
        </w:tc>
        <w:tc>
          <w:tcPr>
            <w:tcW w:w="979"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w:t>
            </w:r>
          </w:p>
        </w:tc>
        <w:tc>
          <w:tcPr>
            <w:tcW w:w="1020"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w:t>
            </w:r>
          </w:p>
        </w:tc>
        <w:tc>
          <w:tcPr>
            <w:tcW w:w="983"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120</w:t>
            </w:r>
          </w:p>
        </w:tc>
        <w:tc>
          <w:tcPr>
            <w:tcW w:w="982"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p>
        </w:tc>
        <w:tc>
          <w:tcPr>
            <w:tcW w:w="1001"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120</w:t>
            </w:r>
          </w:p>
        </w:tc>
      </w:tr>
      <w:tr w:rsidR="005D61AB" w:rsidRPr="003F682E" w:rsidTr="00BA25F0">
        <w:trPr>
          <w:trHeight w:val="270"/>
        </w:trPr>
        <w:tc>
          <w:tcPr>
            <w:tcW w:w="4498" w:type="dxa"/>
            <w:gridSpan w:val="2"/>
            <w:tcBorders>
              <w:top w:val="nil"/>
              <w:left w:val="single" w:sz="4" w:space="0" w:color="auto"/>
              <w:bottom w:val="nil"/>
              <w:right w:val="nil"/>
            </w:tcBorders>
            <w:shd w:val="clear" w:color="auto" w:fill="auto"/>
            <w:vAlign w:val="bottom"/>
            <w:hideMark/>
          </w:tcPr>
          <w:p w:rsidR="00112976" w:rsidRPr="009756F1" w:rsidRDefault="00112976" w:rsidP="00EF2D62">
            <w:pPr>
              <w:jc w:val="left"/>
              <w:rPr>
                <w:rFonts w:cs="Arial"/>
                <w:b/>
                <w:bCs/>
                <w:i/>
                <w:iCs/>
                <w:lang w:val="es-ES_tradnl"/>
              </w:rPr>
            </w:pPr>
            <w:r w:rsidRPr="009756F1">
              <w:rPr>
                <w:rFonts w:cs="Arial"/>
                <w:b/>
                <w:bCs/>
                <w:i/>
                <w:iCs/>
                <w:lang w:val="es-ES_tradnl"/>
              </w:rPr>
              <w:t>Servicios contractuales</w:t>
            </w:r>
          </w:p>
        </w:tc>
        <w:tc>
          <w:tcPr>
            <w:tcW w:w="979"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80</w:t>
            </w:r>
          </w:p>
        </w:tc>
        <w:tc>
          <w:tcPr>
            <w:tcW w:w="1020"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305</w:t>
            </w:r>
          </w:p>
        </w:tc>
        <w:tc>
          <w:tcPr>
            <w:tcW w:w="983"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70</w:t>
            </w:r>
          </w:p>
        </w:tc>
        <w:tc>
          <w:tcPr>
            <w:tcW w:w="982"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20</w:t>
            </w:r>
          </w:p>
        </w:tc>
        <w:tc>
          <w:tcPr>
            <w:tcW w:w="1001"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475</w:t>
            </w:r>
          </w:p>
        </w:tc>
      </w:tr>
      <w:tr w:rsidR="005D61AB" w:rsidRPr="003F682E" w:rsidTr="00BA25F0">
        <w:trPr>
          <w:trHeight w:val="255"/>
        </w:trPr>
        <w:tc>
          <w:tcPr>
            <w:tcW w:w="1096" w:type="dxa"/>
            <w:tcBorders>
              <w:top w:val="nil"/>
              <w:left w:val="single" w:sz="4" w:space="0" w:color="auto"/>
              <w:bottom w:val="nil"/>
              <w:right w:val="nil"/>
            </w:tcBorders>
            <w:shd w:val="clear" w:color="auto" w:fill="auto"/>
            <w:vAlign w:val="bottom"/>
            <w:hideMark/>
          </w:tcPr>
          <w:p w:rsidR="00112976" w:rsidRPr="003F682E" w:rsidRDefault="00112976" w:rsidP="00EF2D62">
            <w:pPr>
              <w:jc w:val="left"/>
              <w:rPr>
                <w:rFonts w:cs="Arial"/>
                <w:lang w:val="es-ES_tradnl"/>
              </w:rPr>
            </w:pPr>
          </w:p>
        </w:tc>
        <w:tc>
          <w:tcPr>
            <w:tcW w:w="3402" w:type="dxa"/>
            <w:tcBorders>
              <w:top w:val="nil"/>
              <w:left w:val="nil"/>
              <w:bottom w:val="nil"/>
              <w:right w:val="nil"/>
            </w:tcBorders>
            <w:shd w:val="clear" w:color="auto" w:fill="auto"/>
            <w:vAlign w:val="bottom"/>
            <w:hideMark/>
          </w:tcPr>
          <w:p w:rsidR="00112976" w:rsidRPr="009756F1" w:rsidRDefault="00112976" w:rsidP="00EF2D62">
            <w:pPr>
              <w:jc w:val="left"/>
              <w:rPr>
                <w:rFonts w:cs="Arial"/>
                <w:lang w:val="es-ES_tradnl"/>
              </w:rPr>
            </w:pPr>
            <w:r w:rsidRPr="009756F1">
              <w:rPr>
                <w:rFonts w:cs="Arial"/>
                <w:lang w:val="es-ES_tradnl"/>
              </w:rPr>
              <w:t>Conferencias</w:t>
            </w:r>
          </w:p>
        </w:tc>
        <w:tc>
          <w:tcPr>
            <w:tcW w:w="979"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80</w:t>
            </w:r>
          </w:p>
        </w:tc>
        <w:tc>
          <w:tcPr>
            <w:tcW w:w="1020"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120</w:t>
            </w:r>
          </w:p>
        </w:tc>
        <w:tc>
          <w:tcPr>
            <w:tcW w:w="983"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40</w:t>
            </w:r>
          </w:p>
        </w:tc>
        <w:tc>
          <w:tcPr>
            <w:tcW w:w="982"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10</w:t>
            </w:r>
          </w:p>
        </w:tc>
        <w:tc>
          <w:tcPr>
            <w:tcW w:w="1001"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250</w:t>
            </w:r>
          </w:p>
        </w:tc>
      </w:tr>
      <w:tr w:rsidR="005D61AB" w:rsidRPr="003F682E" w:rsidTr="00BA25F0">
        <w:trPr>
          <w:trHeight w:val="255"/>
        </w:trPr>
        <w:tc>
          <w:tcPr>
            <w:tcW w:w="1096" w:type="dxa"/>
            <w:tcBorders>
              <w:top w:val="nil"/>
              <w:left w:val="single" w:sz="4" w:space="0" w:color="auto"/>
              <w:bottom w:val="nil"/>
              <w:right w:val="nil"/>
            </w:tcBorders>
            <w:shd w:val="clear" w:color="auto" w:fill="auto"/>
            <w:vAlign w:val="bottom"/>
            <w:hideMark/>
          </w:tcPr>
          <w:p w:rsidR="00112976" w:rsidRPr="003F682E" w:rsidRDefault="00112976" w:rsidP="00EF2D62">
            <w:pPr>
              <w:jc w:val="left"/>
              <w:rPr>
                <w:rFonts w:cs="Arial"/>
                <w:lang w:val="es-ES_tradnl"/>
              </w:rPr>
            </w:pPr>
          </w:p>
        </w:tc>
        <w:tc>
          <w:tcPr>
            <w:tcW w:w="3402" w:type="dxa"/>
            <w:tcBorders>
              <w:top w:val="nil"/>
              <w:left w:val="nil"/>
              <w:bottom w:val="nil"/>
              <w:right w:val="nil"/>
            </w:tcBorders>
            <w:shd w:val="clear" w:color="auto" w:fill="auto"/>
            <w:vAlign w:val="bottom"/>
            <w:hideMark/>
          </w:tcPr>
          <w:p w:rsidR="00112976" w:rsidRPr="009756F1" w:rsidRDefault="00112976" w:rsidP="00EF2D62">
            <w:pPr>
              <w:jc w:val="left"/>
              <w:rPr>
                <w:rFonts w:cs="Arial"/>
                <w:lang w:val="es-ES_tradnl"/>
              </w:rPr>
            </w:pPr>
            <w:r w:rsidRPr="009756F1">
              <w:rPr>
                <w:rFonts w:cs="Arial"/>
                <w:lang w:val="es-ES_tradnl"/>
              </w:rPr>
              <w:t>Publicaciones</w:t>
            </w:r>
          </w:p>
        </w:tc>
        <w:tc>
          <w:tcPr>
            <w:tcW w:w="979"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w:t>
            </w:r>
          </w:p>
        </w:tc>
        <w:tc>
          <w:tcPr>
            <w:tcW w:w="1020"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35</w:t>
            </w:r>
          </w:p>
        </w:tc>
        <w:tc>
          <w:tcPr>
            <w:tcW w:w="983"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w:t>
            </w:r>
          </w:p>
        </w:tc>
        <w:tc>
          <w:tcPr>
            <w:tcW w:w="982"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w:t>
            </w:r>
          </w:p>
        </w:tc>
        <w:tc>
          <w:tcPr>
            <w:tcW w:w="1001"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35</w:t>
            </w:r>
          </w:p>
        </w:tc>
      </w:tr>
      <w:tr w:rsidR="005D61AB" w:rsidRPr="003F682E" w:rsidTr="00BA25F0">
        <w:trPr>
          <w:trHeight w:val="255"/>
        </w:trPr>
        <w:tc>
          <w:tcPr>
            <w:tcW w:w="1096" w:type="dxa"/>
            <w:tcBorders>
              <w:top w:val="nil"/>
              <w:left w:val="single" w:sz="4" w:space="0" w:color="auto"/>
              <w:bottom w:val="nil"/>
              <w:right w:val="nil"/>
            </w:tcBorders>
            <w:shd w:val="clear" w:color="auto" w:fill="auto"/>
            <w:vAlign w:val="bottom"/>
            <w:hideMark/>
          </w:tcPr>
          <w:p w:rsidR="00112976" w:rsidRPr="003F682E" w:rsidRDefault="00112976" w:rsidP="00EF2D62">
            <w:pPr>
              <w:jc w:val="left"/>
              <w:rPr>
                <w:rFonts w:cs="Arial"/>
                <w:lang w:val="es-ES_tradnl"/>
              </w:rPr>
            </w:pPr>
          </w:p>
        </w:tc>
        <w:tc>
          <w:tcPr>
            <w:tcW w:w="3402" w:type="dxa"/>
            <w:tcBorders>
              <w:top w:val="nil"/>
              <w:left w:val="nil"/>
              <w:bottom w:val="nil"/>
              <w:right w:val="nil"/>
            </w:tcBorders>
            <w:shd w:val="clear" w:color="auto" w:fill="auto"/>
            <w:vAlign w:val="bottom"/>
            <w:hideMark/>
          </w:tcPr>
          <w:p w:rsidR="00112976" w:rsidRPr="003F682E" w:rsidRDefault="00112976" w:rsidP="00EF2D62">
            <w:pPr>
              <w:jc w:val="left"/>
              <w:rPr>
                <w:rFonts w:cs="Arial"/>
                <w:lang w:val="es-ES_tradnl"/>
              </w:rPr>
            </w:pPr>
            <w:r w:rsidRPr="003F682E">
              <w:rPr>
                <w:rFonts w:cs="Arial"/>
                <w:lang w:val="es-ES_tradnl"/>
              </w:rPr>
              <w:t>Servicios contractuales individuales</w:t>
            </w:r>
          </w:p>
        </w:tc>
        <w:tc>
          <w:tcPr>
            <w:tcW w:w="979"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w:t>
            </w:r>
          </w:p>
        </w:tc>
        <w:tc>
          <w:tcPr>
            <w:tcW w:w="1020"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w:t>
            </w:r>
          </w:p>
        </w:tc>
        <w:tc>
          <w:tcPr>
            <w:tcW w:w="983"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30</w:t>
            </w:r>
          </w:p>
        </w:tc>
        <w:tc>
          <w:tcPr>
            <w:tcW w:w="982"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10</w:t>
            </w:r>
          </w:p>
        </w:tc>
        <w:tc>
          <w:tcPr>
            <w:tcW w:w="1001"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40</w:t>
            </w:r>
          </w:p>
        </w:tc>
      </w:tr>
      <w:tr w:rsidR="005D61AB" w:rsidRPr="003F682E" w:rsidTr="00BA25F0">
        <w:trPr>
          <w:trHeight w:val="255"/>
        </w:trPr>
        <w:tc>
          <w:tcPr>
            <w:tcW w:w="1096" w:type="dxa"/>
            <w:tcBorders>
              <w:top w:val="nil"/>
              <w:left w:val="single" w:sz="4" w:space="0" w:color="auto"/>
              <w:bottom w:val="nil"/>
              <w:right w:val="nil"/>
            </w:tcBorders>
            <w:shd w:val="clear" w:color="auto" w:fill="auto"/>
            <w:vAlign w:val="bottom"/>
            <w:hideMark/>
          </w:tcPr>
          <w:p w:rsidR="00112976" w:rsidRPr="003F682E" w:rsidRDefault="00112976" w:rsidP="00EF2D62">
            <w:pPr>
              <w:jc w:val="left"/>
              <w:rPr>
                <w:rFonts w:cs="Arial"/>
                <w:lang w:val="es-ES_tradnl"/>
              </w:rPr>
            </w:pPr>
          </w:p>
        </w:tc>
        <w:tc>
          <w:tcPr>
            <w:tcW w:w="3402" w:type="dxa"/>
            <w:tcBorders>
              <w:top w:val="nil"/>
              <w:left w:val="nil"/>
              <w:bottom w:val="nil"/>
              <w:right w:val="nil"/>
            </w:tcBorders>
            <w:shd w:val="clear" w:color="auto" w:fill="auto"/>
            <w:vAlign w:val="bottom"/>
            <w:hideMark/>
          </w:tcPr>
          <w:p w:rsidR="00112976" w:rsidRPr="003F682E" w:rsidRDefault="00112976" w:rsidP="00EF2D62">
            <w:pPr>
              <w:jc w:val="left"/>
              <w:rPr>
                <w:rFonts w:cs="Arial"/>
                <w:lang w:val="es-ES_tradnl"/>
              </w:rPr>
            </w:pPr>
            <w:r w:rsidRPr="003F682E">
              <w:rPr>
                <w:rFonts w:cs="Arial"/>
                <w:lang w:val="es-ES_tradnl"/>
              </w:rPr>
              <w:t>Otros servicios contractuales</w:t>
            </w:r>
          </w:p>
        </w:tc>
        <w:tc>
          <w:tcPr>
            <w:tcW w:w="979"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w:t>
            </w:r>
          </w:p>
        </w:tc>
        <w:tc>
          <w:tcPr>
            <w:tcW w:w="1020"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150</w:t>
            </w:r>
          </w:p>
        </w:tc>
        <w:tc>
          <w:tcPr>
            <w:tcW w:w="983"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w:t>
            </w:r>
          </w:p>
        </w:tc>
        <w:tc>
          <w:tcPr>
            <w:tcW w:w="982"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w:t>
            </w:r>
          </w:p>
        </w:tc>
        <w:tc>
          <w:tcPr>
            <w:tcW w:w="1001"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150</w:t>
            </w:r>
          </w:p>
        </w:tc>
      </w:tr>
      <w:tr w:rsidR="005D61AB" w:rsidRPr="003F682E" w:rsidTr="00BA25F0">
        <w:trPr>
          <w:trHeight w:val="300"/>
        </w:trPr>
        <w:tc>
          <w:tcPr>
            <w:tcW w:w="4498" w:type="dxa"/>
            <w:gridSpan w:val="2"/>
            <w:tcBorders>
              <w:top w:val="nil"/>
              <w:left w:val="single" w:sz="4" w:space="0" w:color="auto"/>
              <w:bottom w:val="nil"/>
              <w:right w:val="nil"/>
            </w:tcBorders>
            <w:shd w:val="clear" w:color="auto" w:fill="auto"/>
            <w:vAlign w:val="bottom"/>
            <w:hideMark/>
          </w:tcPr>
          <w:p w:rsidR="00112976" w:rsidRPr="009756F1" w:rsidRDefault="00112976" w:rsidP="00EF2D62">
            <w:pPr>
              <w:jc w:val="left"/>
              <w:rPr>
                <w:rFonts w:cs="Arial"/>
                <w:b/>
                <w:bCs/>
                <w:i/>
                <w:iCs/>
                <w:lang w:val="es-ES_tradnl"/>
              </w:rPr>
            </w:pPr>
            <w:r w:rsidRPr="009756F1">
              <w:rPr>
                <w:rFonts w:cs="Arial"/>
                <w:b/>
                <w:bCs/>
                <w:i/>
                <w:iCs/>
                <w:lang w:val="es-ES_tradnl"/>
              </w:rPr>
              <w:t>Gastos de funcionamiento</w:t>
            </w:r>
          </w:p>
        </w:tc>
        <w:tc>
          <w:tcPr>
            <w:tcW w:w="979"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10</w:t>
            </w:r>
          </w:p>
        </w:tc>
        <w:tc>
          <w:tcPr>
            <w:tcW w:w="1020"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1.236</w:t>
            </w:r>
          </w:p>
        </w:tc>
        <w:tc>
          <w:tcPr>
            <w:tcW w:w="983"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10</w:t>
            </w:r>
          </w:p>
        </w:tc>
        <w:tc>
          <w:tcPr>
            <w:tcW w:w="982"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10</w:t>
            </w:r>
          </w:p>
        </w:tc>
        <w:tc>
          <w:tcPr>
            <w:tcW w:w="1001"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1.266</w:t>
            </w:r>
          </w:p>
        </w:tc>
      </w:tr>
      <w:tr w:rsidR="005D61AB" w:rsidRPr="003F682E" w:rsidTr="00BA25F0">
        <w:trPr>
          <w:trHeight w:val="315"/>
        </w:trPr>
        <w:tc>
          <w:tcPr>
            <w:tcW w:w="4498" w:type="dxa"/>
            <w:gridSpan w:val="2"/>
            <w:tcBorders>
              <w:top w:val="nil"/>
              <w:left w:val="single" w:sz="4" w:space="0" w:color="auto"/>
              <w:bottom w:val="nil"/>
              <w:right w:val="nil"/>
            </w:tcBorders>
            <w:shd w:val="clear" w:color="auto" w:fill="auto"/>
            <w:vAlign w:val="bottom"/>
            <w:hideMark/>
          </w:tcPr>
          <w:p w:rsidR="00112976" w:rsidRPr="009756F1" w:rsidRDefault="00112976" w:rsidP="00EF2D62">
            <w:pPr>
              <w:jc w:val="left"/>
              <w:rPr>
                <w:rFonts w:cs="Arial"/>
                <w:b/>
                <w:bCs/>
                <w:i/>
                <w:iCs/>
                <w:lang w:val="es-ES_tradnl"/>
              </w:rPr>
            </w:pPr>
            <w:r w:rsidRPr="009756F1">
              <w:rPr>
                <w:rFonts w:cs="Arial"/>
                <w:b/>
                <w:bCs/>
                <w:i/>
                <w:iCs/>
                <w:lang w:val="es-ES_tradnl"/>
              </w:rPr>
              <w:t>Equipo y suministros</w:t>
            </w:r>
          </w:p>
        </w:tc>
        <w:tc>
          <w:tcPr>
            <w:tcW w:w="979"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38</w:t>
            </w:r>
          </w:p>
        </w:tc>
        <w:tc>
          <w:tcPr>
            <w:tcW w:w="1020"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w:t>
            </w:r>
          </w:p>
        </w:tc>
        <w:tc>
          <w:tcPr>
            <w:tcW w:w="983"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w:t>
            </w:r>
          </w:p>
        </w:tc>
        <w:tc>
          <w:tcPr>
            <w:tcW w:w="982" w:type="dxa"/>
            <w:tcBorders>
              <w:top w:val="nil"/>
              <w:left w:val="nil"/>
              <w:bottom w:val="nil"/>
              <w:right w:val="nil"/>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w:t>
            </w:r>
          </w:p>
        </w:tc>
        <w:tc>
          <w:tcPr>
            <w:tcW w:w="1001"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38</w:t>
            </w:r>
          </w:p>
        </w:tc>
      </w:tr>
      <w:tr w:rsidR="005D61AB" w:rsidRPr="003F682E" w:rsidTr="00BA25F0">
        <w:trPr>
          <w:trHeight w:val="255"/>
        </w:trPr>
        <w:tc>
          <w:tcPr>
            <w:tcW w:w="1096" w:type="dxa"/>
            <w:tcBorders>
              <w:top w:val="nil"/>
              <w:left w:val="single" w:sz="4" w:space="0" w:color="auto"/>
              <w:bottom w:val="nil"/>
              <w:right w:val="nil"/>
            </w:tcBorders>
            <w:shd w:val="clear" w:color="auto" w:fill="auto"/>
            <w:vAlign w:val="bottom"/>
            <w:hideMark/>
          </w:tcPr>
          <w:p w:rsidR="00112976" w:rsidRPr="003F682E" w:rsidRDefault="00112976" w:rsidP="00EF2D62">
            <w:pPr>
              <w:jc w:val="left"/>
              <w:rPr>
                <w:rFonts w:cs="Arial"/>
                <w:lang w:val="es-ES_tradnl"/>
              </w:rPr>
            </w:pPr>
          </w:p>
        </w:tc>
        <w:tc>
          <w:tcPr>
            <w:tcW w:w="3402" w:type="dxa"/>
            <w:tcBorders>
              <w:top w:val="nil"/>
              <w:left w:val="nil"/>
              <w:bottom w:val="nil"/>
              <w:right w:val="nil"/>
            </w:tcBorders>
            <w:shd w:val="clear" w:color="auto" w:fill="auto"/>
            <w:vAlign w:val="bottom"/>
            <w:hideMark/>
          </w:tcPr>
          <w:p w:rsidR="00112976" w:rsidRPr="009756F1" w:rsidRDefault="00112976" w:rsidP="00EF2D62">
            <w:pPr>
              <w:jc w:val="left"/>
              <w:rPr>
                <w:rFonts w:cs="Arial"/>
                <w:lang w:val="es-ES_tradnl"/>
              </w:rPr>
            </w:pPr>
            <w:r w:rsidRPr="009756F1">
              <w:rPr>
                <w:rFonts w:cs="Arial"/>
                <w:lang w:val="es-ES_tradnl"/>
              </w:rPr>
              <w:t>Mobiliario y equipo</w:t>
            </w:r>
          </w:p>
        </w:tc>
        <w:tc>
          <w:tcPr>
            <w:tcW w:w="979"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18</w:t>
            </w:r>
          </w:p>
        </w:tc>
        <w:tc>
          <w:tcPr>
            <w:tcW w:w="1020"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w:t>
            </w:r>
          </w:p>
        </w:tc>
        <w:tc>
          <w:tcPr>
            <w:tcW w:w="983"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w:t>
            </w:r>
          </w:p>
        </w:tc>
        <w:tc>
          <w:tcPr>
            <w:tcW w:w="982"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p>
        </w:tc>
        <w:tc>
          <w:tcPr>
            <w:tcW w:w="1001"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18</w:t>
            </w:r>
          </w:p>
        </w:tc>
      </w:tr>
      <w:tr w:rsidR="005D61AB" w:rsidRPr="003F682E" w:rsidTr="00BA25F0">
        <w:trPr>
          <w:trHeight w:val="255"/>
        </w:trPr>
        <w:tc>
          <w:tcPr>
            <w:tcW w:w="1096" w:type="dxa"/>
            <w:tcBorders>
              <w:top w:val="nil"/>
              <w:left w:val="single" w:sz="4" w:space="0" w:color="auto"/>
              <w:bottom w:val="nil"/>
              <w:right w:val="nil"/>
            </w:tcBorders>
            <w:shd w:val="clear" w:color="auto" w:fill="auto"/>
            <w:vAlign w:val="bottom"/>
            <w:hideMark/>
          </w:tcPr>
          <w:p w:rsidR="00112976" w:rsidRPr="003F682E" w:rsidRDefault="00112976" w:rsidP="00EF2D62">
            <w:pPr>
              <w:jc w:val="left"/>
              <w:rPr>
                <w:rFonts w:cs="Arial"/>
                <w:lang w:val="es-ES_tradnl"/>
              </w:rPr>
            </w:pPr>
          </w:p>
        </w:tc>
        <w:tc>
          <w:tcPr>
            <w:tcW w:w="3402" w:type="dxa"/>
            <w:tcBorders>
              <w:top w:val="nil"/>
              <w:left w:val="nil"/>
              <w:bottom w:val="nil"/>
              <w:right w:val="nil"/>
            </w:tcBorders>
            <w:shd w:val="clear" w:color="auto" w:fill="auto"/>
            <w:vAlign w:val="bottom"/>
            <w:hideMark/>
          </w:tcPr>
          <w:p w:rsidR="00112976" w:rsidRPr="009756F1" w:rsidRDefault="00112976" w:rsidP="00EF2D62">
            <w:pPr>
              <w:jc w:val="left"/>
              <w:rPr>
                <w:rFonts w:cs="Arial"/>
                <w:lang w:val="es-ES_tradnl"/>
              </w:rPr>
            </w:pPr>
            <w:r w:rsidRPr="009756F1">
              <w:rPr>
                <w:rFonts w:cs="Arial"/>
                <w:lang w:val="es-ES_tradnl"/>
              </w:rPr>
              <w:t>Suministros de material</w:t>
            </w:r>
          </w:p>
        </w:tc>
        <w:tc>
          <w:tcPr>
            <w:tcW w:w="979"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20</w:t>
            </w:r>
          </w:p>
        </w:tc>
        <w:tc>
          <w:tcPr>
            <w:tcW w:w="1020"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w:t>
            </w:r>
          </w:p>
        </w:tc>
        <w:tc>
          <w:tcPr>
            <w:tcW w:w="983"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w:t>
            </w:r>
          </w:p>
        </w:tc>
        <w:tc>
          <w:tcPr>
            <w:tcW w:w="982"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w:t>
            </w:r>
          </w:p>
        </w:tc>
        <w:tc>
          <w:tcPr>
            <w:tcW w:w="1001"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20</w:t>
            </w:r>
          </w:p>
        </w:tc>
      </w:tr>
      <w:tr w:rsidR="005D61AB" w:rsidRPr="003F682E" w:rsidTr="00BA25F0">
        <w:trPr>
          <w:trHeight w:val="255"/>
        </w:trPr>
        <w:tc>
          <w:tcPr>
            <w:tcW w:w="1096" w:type="dxa"/>
            <w:tcBorders>
              <w:top w:val="nil"/>
              <w:left w:val="single" w:sz="4" w:space="0" w:color="auto"/>
              <w:bottom w:val="nil"/>
              <w:right w:val="nil"/>
            </w:tcBorders>
            <w:shd w:val="clear" w:color="auto" w:fill="auto"/>
            <w:vAlign w:val="bottom"/>
            <w:hideMark/>
          </w:tcPr>
          <w:p w:rsidR="00112976" w:rsidRPr="003F682E" w:rsidRDefault="00112976" w:rsidP="00EF2D62">
            <w:pPr>
              <w:jc w:val="left"/>
              <w:rPr>
                <w:rFonts w:cs="Arial"/>
                <w:lang w:val="es-ES_tradnl"/>
              </w:rPr>
            </w:pPr>
          </w:p>
        </w:tc>
        <w:tc>
          <w:tcPr>
            <w:tcW w:w="3402" w:type="dxa"/>
            <w:tcBorders>
              <w:top w:val="nil"/>
              <w:left w:val="nil"/>
              <w:bottom w:val="nil"/>
              <w:right w:val="nil"/>
            </w:tcBorders>
            <w:shd w:val="clear" w:color="auto" w:fill="auto"/>
            <w:vAlign w:val="bottom"/>
            <w:hideMark/>
          </w:tcPr>
          <w:p w:rsidR="00112976" w:rsidRPr="003F682E" w:rsidRDefault="00112976" w:rsidP="00EF2D62">
            <w:pPr>
              <w:jc w:val="left"/>
              <w:rPr>
                <w:rFonts w:cs="Arial"/>
                <w:lang w:val="es-ES_tradnl"/>
              </w:rPr>
            </w:pPr>
          </w:p>
        </w:tc>
        <w:tc>
          <w:tcPr>
            <w:tcW w:w="979"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p>
        </w:tc>
        <w:tc>
          <w:tcPr>
            <w:tcW w:w="1020"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p>
        </w:tc>
        <w:tc>
          <w:tcPr>
            <w:tcW w:w="983"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p>
        </w:tc>
        <w:tc>
          <w:tcPr>
            <w:tcW w:w="982"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p>
        </w:tc>
        <w:tc>
          <w:tcPr>
            <w:tcW w:w="1001"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p>
        </w:tc>
      </w:tr>
      <w:tr w:rsidR="005D61AB" w:rsidRPr="003F682E" w:rsidTr="00BA25F0">
        <w:trPr>
          <w:trHeight w:val="255"/>
        </w:trPr>
        <w:tc>
          <w:tcPr>
            <w:tcW w:w="1096" w:type="dxa"/>
            <w:tcBorders>
              <w:top w:val="single" w:sz="4" w:space="0" w:color="auto"/>
              <w:left w:val="single" w:sz="4" w:space="0" w:color="auto"/>
              <w:bottom w:val="single" w:sz="4" w:space="0" w:color="auto"/>
              <w:right w:val="nil"/>
            </w:tcBorders>
            <w:shd w:val="clear" w:color="auto" w:fill="auto"/>
            <w:vAlign w:val="bottom"/>
            <w:hideMark/>
          </w:tcPr>
          <w:p w:rsidR="00112976" w:rsidRPr="003F682E" w:rsidRDefault="00112976" w:rsidP="00EF2D62">
            <w:pPr>
              <w:jc w:val="left"/>
              <w:rPr>
                <w:rFonts w:cs="Arial"/>
                <w:b/>
                <w:bCs/>
                <w:lang w:val="es-ES_tradnl"/>
              </w:rPr>
            </w:pPr>
          </w:p>
        </w:tc>
        <w:tc>
          <w:tcPr>
            <w:tcW w:w="3402" w:type="dxa"/>
            <w:tcBorders>
              <w:top w:val="single" w:sz="4" w:space="0" w:color="auto"/>
              <w:left w:val="nil"/>
              <w:bottom w:val="single" w:sz="4" w:space="0" w:color="auto"/>
              <w:right w:val="nil"/>
            </w:tcBorders>
            <w:shd w:val="clear" w:color="auto" w:fill="auto"/>
            <w:vAlign w:val="bottom"/>
            <w:hideMark/>
          </w:tcPr>
          <w:p w:rsidR="00112976" w:rsidRPr="003F682E" w:rsidRDefault="00112976" w:rsidP="00EF2D62">
            <w:pPr>
              <w:jc w:val="left"/>
              <w:rPr>
                <w:rFonts w:cs="Arial"/>
                <w:b/>
                <w:bCs/>
                <w:lang w:val="es-ES_tradnl"/>
              </w:rPr>
            </w:pPr>
            <w:r w:rsidRPr="003F682E">
              <w:rPr>
                <w:rFonts w:cs="Arial"/>
                <w:b/>
                <w:lang w:val="es-ES_tradnl"/>
              </w:rPr>
              <w:t>TOTAL GENERAL</w:t>
            </w:r>
          </w:p>
        </w:tc>
        <w:tc>
          <w:tcPr>
            <w:tcW w:w="9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720</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3.934</w:t>
            </w:r>
          </w:p>
        </w:tc>
        <w:tc>
          <w:tcPr>
            <w:tcW w:w="983"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1.578</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562</w:t>
            </w:r>
          </w:p>
        </w:tc>
        <w:tc>
          <w:tcPr>
            <w:tcW w:w="1001"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6.794</w:t>
            </w:r>
          </w:p>
        </w:tc>
      </w:tr>
    </w:tbl>
    <w:p w:rsidR="00FF5D3C" w:rsidRPr="002B0BD5" w:rsidRDefault="00FF5D3C" w:rsidP="00EF2D62">
      <w:pPr>
        <w:rPr>
          <w:rFonts w:cs="Arial"/>
          <w:lang w:val="es-ES_tradnl"/>
        </w:rPr>
      </w:pPr>
    </w:p>
    <w:p w:rsidR="00FF5D3C" w:rsidRPr="002B0BD5" w:rsidRDefault="00FF5D3C" w:rsidP="00EF2D62">
      <w:pPr>
        <w:rPr>
          <w:rFonts w:cs="Arial"/>
          <w:lang w:val="es-ES_tradnl"/>
        </w:rPr>
      </w:pPr>
    </w:p>
    <w:p w:rsidR="00FF5D3C" w:rsidRPr="002B0BD5" w:rsidRDefault="00FF5D3C" w:rsidP="00EF2D62">
      <w:pPr>
        <w:tabs>
          <w:tab w:val="left" w:pos="567"/>
        </w:tabs>
        <w:rPr>
          <w:rFonts w:cs="Arial"/>
          <w:lang w:val="es-ES_tradnl"/>
        </w:rPr>
      </w:pPr>
      <w:r w:rsidRPr="002B0BD5">
        <w:rPr>
          <w:rFonts w:cs="Arial"/>
          <w:lang w:val="es-ES_tradnl"/>
        </w:rPr>
        <w:t xml:space="preserve">3.14 </w:t>
      </w:r>
      <w:r w:rsidR="00FF08D0" w:rsidRPr="002B0BD5">
        <w:rPr>
          <w:rFonts w:cs="Arial"/>
          <w:lang w:val="es-ES_tradnl"/>
        </w:rPr>
        <w:tab/>
      </w:r>
      <w:r w:rsidRPr="002B0BD5">
        <w:rPr>
          <w:rFonts w:cs="Arial"/>
          <w:lang w:val="es-ES_tradnl"/>
        </w:rPr>
        <w:t xml:space="preserve">En el </w:t>
      </w:r>
      <w:r w:rsidRPr="002B0BD5">
        <w:rPr>
          <w:rFonts w:cs="Arial"/>
          <w:b/>
          <w:lang w:val="es-ES_tradnl"/>
        </w:rPr>
        <w:t>Cuadro 7</w:t>
      </w:r>
      <w:r w:rsidRPr="002B0BD5">
        <w:rPr>
          <w:rFonts w:cs="Arial"/>
          <w:lang w:val="es-ES_tradnl"/>
        </w:rPr>
        <w:t xml:space="preserve"> se refleja la variación presupuestaria por subprogra</w:t>
      </w:r>
      <w:r w:rsidR="00865309">
        <w:rPr>
          <w:rFonts w:cs="Arial"/>
          <w:lang w:val="es-ES_tradnl"/>
        </w:rPr>
        <w:t>ma entre el presupuesto de 2012</w:t>
      </w:r>
      <w:r w:rsidR="00865309">
        <w:rPr>
          <w:rFonts w:cs="Arial"/>
          <w:lang w:val="es-ES_tradnl"/>
        </w:rPr>
        <w:noBreakHyphen/>
      </w:r>
      <w:r w:rsidRPr="002B0BD5">
        <w:rPr>
          <w:rFonts w:cs="Arial"/>
          <w:lang w:val="es-ES_tradnl"/>
        </w:rPr>
        <w:t>2013 y el presupuesto propuesto para 2014-2015.</w:t>
      </w:r>
    </w:p>
    <w:p w:rsidR="00FF5D3C" w:rsidRPr="002B0BD5" w:rsidRDefault="00FF5D3C" w:rsidP="00EF2D62">
      <w:pPr>
        <w:rPr>
          <w:rFonts w:cs="Arial"/>
          <w:lang w:val="es-ES_tradnl"/>
        </w:rPr>
      </w:pPr>
    </w:p>
    <w:p w:rsidR="00FF5D3C" w:rsidRPr="002B0BD5" w:rsidRDefault="00FF5D3C" w:rsidP="00EF2D62">
      <w:pPr>
        <w:pStyle w:val="Heading4"/>
        <w:rPr>
          <w:lang w:val="es-ES_tradnl"/>
        </w:rPr>
      </w:pPr>
      <w:bookmarkStart w:id="41" w:name="_Toc363577076"/>
      <w:r w:rsidRPr="002B0BD5">
        <w:rPr>
          <w:lang w:val="es-ES_tradnl"/>
        </w:rPr>
        <w:t>Cuadro 7</w:t>
      </w:r>
      <w:proofErr w:type="gramStart"/>
      <w:r w:rsidRPr="002B0BD5">
        <w:rPr>
          <w:lang w:val="es-ES_tradnl"/>
        </w:rPr>
        <w:t>:  Variación</w:t>
      </w:r>
      <w:proofErr w:type="gramEnd"/>
      <w:r w:rsidRPr="002B0BD5">
        <w:rPr>
          <w:lang w:val="es-ES_tradnl"/>
        </w:rPr>
        <w:t xml:space="preserve"> presupuestaria por subprograma</w:t>
      </w:r>
      <w:bookmarkEnd w:id="41"/>
    </w:p>
    <w:p w:rsidR="00FF5D3C" w:rsidRPr="002B0BD5" w:rsidRDefault="00FF5D3C" w:rsidP="00EF2D62">
      <w:pPr>
        <w:jc w:val="center"/>
        <w:rPr>
          <w:rFonts w:cs="Arial"/>
          <w:lang w:val="es-ES_tradnl"/>
        </w:rPr>
      </w:pPr>
      <w:r w:rsidRPr="002B0BD5">
        <w:rPr>
          <w:rFonts w:cs="Arial"/>
          <w:lang w:val="es-ES_tradnl"/>
        </w:rPr>
        <w:t>(</w:t>
      </w:r>
      <w:proofErr w:type="gramStart"/>
      <w:r w:rsidRPr="002B0BD5">
        <w:rPr>
          <w:rFonts w:cs="Arial"/>
          <w:lang w:val="es-ES_tradnl"/>
        </w:rPr>
        <w:t>en</w:t>
      </w:r>
      <w:proofErr w:type="gramEnd"/>
      <w:r w:rsidRPr="002B0BD5">
        <w:rPr>
          <w:rFonts w:cs="Arial"/>
          <w:lang w:val="es-ES_tradnl"/>
        </w:rPr>
        <w:t xml:space="preserve"> miles de francos suizos)</w:t>
      </w:r>
    </w:p>
    <w:p w:rsidR="00421639" w:rsidRPr="002B0BD5" w:rsidRDefault="00421639" w:rsidP="00EF2D62">
      <w:pPr>
        <w:rPr>
          <w:rFonts w:cs="Arial"/>
          <w:lang w:val="es-ES_tradnl"/>
        </w:rPr>
      </w:pPr>
    </w:p>
    <w:tbl>
      <w:tblPr>
        <w:tblW w:w="6183" w:type="dxa"/>
        <w:tblInd w:w="2093" w:type="dxa"/>
        <w:tblLook w:val="04A0" w:firstRow="1" w:lastRow="0" w:firstColumn="1" w:lastColumn="0" w:noHBand="0" w:noVBand="1"/>
      </w:tblPr>
      <w:tblGrid>
        <w:gridCol w:w="1517"/>
        <w:gridCol w:w="1428"/>
        <w:gridCol w:w="950"/>
        <w:gridCol w:w="961"/>
        <w:gridCol w:w="1327"/>
      </w:tblGrid>
      <w:tr w:rsidR="005D61AB" w:rsidRPr="003F682E" w:rsidTr="00865309">
        <w:trPr>
          <w:trHeight w:val="270"/>
        </w:trPr>
        <w:tc>
          <w:tcPr>
            <w:tcW w:w="1517" w:type="dxa"/>
            <w:vMerge w:val="restart"/>
            <w:tcBorders>
              <w:top w:val="single" w:sz="4" w:space="0" w:color="auto"/>
              <w:left w:val="single" w:sz="4" w:space="0" w:color="auto"/>
              <w:bottom w:val="single" w:sz="4" w:space="0" w:color="000000"/>
              <w:right w:val="nil"/>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Subprograma</w:t>
            </w:r>
          </w:p>
        </w:tc>
        <w:tc>
          <w:tcPr>
            <w:tcW w:w="1428" w:type="dxa"/>
            <w:tcBorders>
              <w:top w:val="single" w:sz="4" w:space="0" w:color="auto"/>
              <w:left w:val="single" w:sz="4" w:space="0" w:color="auto"/>
              <w:bottom w:val="nil"/>
              <w:right w:val="nil"/>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2012-2013</w:t>
            </w:r>
          </w:p>
        </w:tc>
        <w:tc>
          <w:tcPr>
            <w:tcW w:w="1911" w:type="dxa"/>
            <w:gridSpan w:val="2"/>
            <w:tcBorders>
              <w:top w:val="single" w:sz="4" w:space="0" w:color="auto"/>
              <w:left w:val="single" w:sz="4" w:space="0" w:color="auto"/>
              <w:bottom w:val="nil"/>
              <w:right w:val="single" w:sz="4" w:space="0" w:color="000000"/>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Variación</w:t>
            </w:r>
          </w:p>
        </w:tc>
        <w:tc>
          <w:tcPr>
            <w:tcW w:w="1327" w:type="dxa"/>
            <w:tcBorders>
              <w:top w:val="single" w:sz="4" w:space="0" w:color="auto"/>
              <w:left w:val="nil"/>
              <w:bottom w:val="nil"/>
              <w:right w:val="single" w:sz="4" w:space="0" w:color="auto"/>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2014-2015</w:t>
            </w:r>
          </w:p>
        </w:tc>
      </w:tr>
      <w:tr w:rsidR="005D61AB" w:rsidRPr="003F682E" w:rsidTr="00865309">
        <w:trPr>
          <w:trHeight w:val="240"/>
        </w:trPr>
        <w:tc>
          <w:tcPr>
            <w:tcW w:w="1517" w:type="dxa"/>
            <w:vMerge/>
            <w:tcBorders>
              <w:top w:val="single" w:sz="4" w:space="0" w:color="auto"/>
              <w:left w:val="single" w:sz="4" w:space="0" w:color="auto"/>
              <w:bottom w:val="single" w:sz="4" w:space="0" w:color="000000"/>
              <w:right w:val="nil"/>
            </w:tcBorders>
            <w:vAlign w:val="center"/>
            <w:hideMark/>
          </w:tcPr>
          <w:p w:rsidR="00112976" w:rsidRPr="003F682E" w:rsidRDefault="00112976" w:rsidP="00EF2D62">
            <w:pPr>
              <w:jc w:val="left"/>
              <w:rPr>
                <w:rFonts w:cs="Arial"/>
                <w:b/>
                <w:bCs/>
                <w:lang w:val="es-ES_tradnl"/>
              </w:rPr>
            </w:pPr>
          </w:p>
        </w:tc>
        <w:tc>
          <w:tcPr>
            <w:tcW w:w="1428" w:type="dxa"/>
            <w:tcBorders>
              <w:top w:val="nil"/>
              <w:left w:val="single" w:sz="4" w:space="0" w:color="auto"/>
              <w:bottom w:val="nil"/>
              <w:right w:val="nil"/>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Presupuesto</w:t>
            </w:r>
          </w:p>
        </w:tc>
        <w:tc>
          <w:tcPr>
            <w:tcW w:w="950" w:type="dxa"/>
            <w:tcBorders>
              <w:top w:val="single" w:sz="4" w:space="0" w:color="auto"/>
              <w:left w:val="single" w:sz="4" w:space="0" w:color="auto"/>
              <w:bottom w:val="nil"/>
              <w:right w:val="single" w:sz="4" w:space="0" w:color="auto"/>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Importe</w:t>
            </w:r>
          </w:p>
        </w:tc>
        <w:tc>
          <w:tcPr>
            <w:tcW w:w="961" w:type="dxa"/>
            <w:tcBorders>
              <w:top w:val="single" w:sz="4" w:space="0" w:color="auto"/>
              <w:left w:val="nil"/>
              <w:bottom w:val="nil"/>
              <w:right w:val="single" w:sz="4" w:space="0" w:color="auto"/>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w:t>
            </w:r>
          </w:p>
        </w:tc>
        <w:tc>
          <w:tcPr>
            <w:tcW w:w="1327" w:type="dxa"/>
            <w:tcBorders>
              <w:top w:val="nil"/>
              <w:left w:val="nil"/>
              <w:bottom w:val="nil"/>
              <w:right w:val="single" w:sz="4" w:space="0" w:color="auto"/>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Propuesto</w:t>
            </w:r>
          </w:p>
        </w:tc>
      </w:tr>
      <w:tr w:rsidR="005D61AB" w:rsidRPr="003F682E" w:rsidTr="00865309">
        <w:trPr>
          <w:trHeight w:val="255"/>
        </w:trPr>
        <w:tc>
          <w:tcPr>
            <w:tcW w:w="1517" w:type="dxa"/>
            <w:vMerge/>
            <w:tcBorders>
              <w:top w:val="single" w:sz="4" w:space="0" w:color="auto"/>
              <w:left w:val="single" w:sz="4" w:space="0" w:color="auto"/>
              <w:bottom w:val="single" w:sz="4" w:space="0" w:color="000000"/>
              <w:right w:val="nil"/>
            </w:tcBorders>
            <w:vAlign w:val="center"/>
            <w:hideMark/>
          </w:tcPr>
          <w:p w:rsidR="00112976" w:rsidRPr="003F682E" w:rsidRDefault="00112976" w:rsidP="00EF2D62">
            <w:pPr>
              <w:jc w:val="left"/>
              <w:rPr>
                <w:rFonts w:cs="Arial"/>
                <w:b/>
                <w:bCs/>
                <w:lang w:val="es-ES_tradnl"/>
              </w:rPr>
            </w:pPr>
          </w:p>
        </w:tc>
        <w:tc>
          <w:tcPr>
            <w:tcW w:w="1428" w:type="dxa"/>
            <w:tcBorders>
              <w:top w:val="nil"/>
              <w:left w:val="single" w:sz="4" w:space="0" w:color="auto"/>
              <w:bottom w:val="single" w:sz="4" w:space="0" w:color="auto"/>
              <w:right w:val="nil"/>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A</w:t>
            </w:r>
          </w:p>
        </w:tc>
        <w:tc>
          <w:tcPr>
            <w:tcW w:w="950" w:type="dxa"/>
            <w:tcBorders>
              <w:top w:val="nil"/>
              <w:left w:val="single" w:sz="4" w:space="0" w:color="auto"/>
              <w:bottom w:val="single" w:sz="4" w:space="0" w:color="auto"/>
              <w:right w:val="single" w:sz="4" w:space="0" w:color="auto"/>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B</w:t>
            </w:r>
          </w:p>
        </w:tc>
        <w:tc>
          <w:tcPr>
            <w:tcW w:w="961"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B/A</w:t>
            </w:r>
          </w:p>
        </w:tc>
        <w:tc>
          <w:tcPr>
            <w:tcW w:w="1327" w:type="dxa"/>
            <w:tcBorders>
              <w:top w:val="nil"/>
              <w:left w:val="nil"/>
              <w:bottom w:val="single" w:sz="4" w:space="0" w:color="auto"/>
              <w:right w:val="single" w:sz="4" w:space="0" w:color="auto"/>
            </w:tcBorders>
            <w:shd w:val="clear" w:color="auto" w:fill="auto"/>
            <w:vAlign w:val="bottom"/>
            <w:hideMark/>
          </w:tcPr>
          <w:p w:rsidR="00112976" w:rsidRPr="003F682E" w:rsidRDefault="00112976" w:rsidP="00EF2D62">
            <w:pPr>
              <w:jc w:val="center"/>
              <w:rPr>
                <w:rFonts w:cs="Arial"/>
                <w:b/>
                <w:bCs/>
                <w:lang w:val="es-ES_tradnl"/>
              </w:rPr>
            </w:pPr>
            <w:r w:rsidRPr="003F682E">
              <w:rPr>
                <w:rFonts w:cs="Arial"/>
                <w:b/>
                <w:lang w:val="es-ES_tradnl"/>
              </w:rPr>
              <w:t>C=A+B</w:t>
            </w:r>
          </w:p>
        </w:tc>
      </w:tr>
      <w:tr w:rsidR="005D61AB" w:rsidRPr="003F682E" w:rsidTr="00865309">
        <w:trPr>
          <w:trHeight w:val="255"/>
        </w:trPr>
        <w:tc>
          <w:tcPr>
            <w:tcW w:w="1517" w:type="dxa"/>
            <w:tcBorders>
              <w:top w:val="nil"/>
              <w:left w:val="single" w:sz="4" w:space="0" w:color="auto"/>
              <w:bottom w:val="nil"/>
              <w:right w:val="nil"/>
            </w:tcBorders>
            <w:shd w:val="clear" w:color="auto" w:fill="auto"/>
            <w:hideMark/>
          </w:tcPr>
          <w:p w:rsidR="00112976" w:rsidRPr="003F682E" w:rsidRDefault="00112976" w:rsidP="00EF2D62">
            <w:pPr>
              <w:jc w:val="center"/>
              <w:rPr>
                <w:rFonts w:cs="Arial"/>
                <w:lang w:val="es-ES_tradnl"/>
              </w:rPr>
            </w:pPr>
          </w:p>
        </w:tc>
        <w:tc>
          <w:tcPr>
            <w:tcW w:w="1428" w:type="dxa"/>
            <w:tcBorders>
              <w:top w:val="nil"/>
              <w:left w:val="single" w:sz="4" w:space="0" w:color="auto"/>
              <w:bottom w:val="nil"/>
              <w:right w:val="single" w:sz="4" w:space="0" w:color="auto"/>
            </w:tcBorders>
            <w:shd w:val="clear" w:color="auto" w:fill="auto"/>
            <w:hideMark/>
          </w:tcPr>
          <w:p w:rsidR="00112976" w:rsidRPr="003F682E" w:rsidRDefault="00112976" w:rsidP="00EF2D62">
            <w:pPr>
              <w:jc w:val="right"/>
              <w:rPr>
                <w:rFonts w:cs="Arial"/>
                <w:lang w:val="es-ES_tradnl"/>
              </w:rPr>
            </w:pPr>
          </w:p>
        </w:tc>
        <w:tc>
          <w:tcPr>
            <w:tcW w:w="950" w:type="dxa"/>
            <w:tcBorders>
              <w:top w:val="nil"/>
              <w:left w:val="nil"/>
              <w:bottom w:val="nil"/>
              <w:right w:val="single" w:sz="4" w:space="0" w:color="auto"/>
            </w:tcBorders>
            <w:shd w:val="clear" w:color="auto" w:fill="auto"/>
            <w:hideMark/>
          </w:tcPr>
          <w:p w:rsidR="00112976" w:rsidRPr="003F682E" w:rsidRDefault="00112976" w:rsidP="00EF2D62">
            <w:pPr>
              <w:jc w:val="right"/>
              <w:rPr>
                <w:rFonts w:cs="Arial"/>
                <w:lang w:val="es-ES_tradnl"/>
              </w:rPr>
            </w:pPr>
          </w:p>
        </w:tc>
        <w:tc>
          <w:tcPr>
            <w:tcW w:w="961" w:type="dxa"/>
            <w:tcBorders>
              <w:top w:val="nil"/>
              <w:left w:val="nil"/>
              <w:bottom w:val="nil"/>
              <w:right w:val="single" w:sz="4" w:space="0" w:color="auto"/>
            </w:tcBorders>
            <w:shd w:val="clear" w:color="auto" w:fill="auto"/>
            <w:hideMark/>
          </w:tcPr>
          <w:p w:rsidR="00112976" w:rsidRPr="003F682E" w:rsidRDefault="00112976" w:rsidP="00EF2D62">
            <w:pPr>
              <w:jc w:val="right"/>
              <w:rPr>
                <w:rFonts w:cs="Arial"/>
                <w:lang w:val="es-ES_tradnl"/>
              </w:rPr>
            </w:pPr>
          </w:p>
        </w:tc>
        <w:tc>
          <w:tcPr>
            <w:tcW w:w="1327" w:type="dxa"/>
            <w:tcBorders>
              <w:top w:val="nil"/>
              <w:left w:val="nil"/>
              <w:bottom w:val="nil"/>
              <w:right w:val="single" w:sz="4" w:space="0" w:color="auto"/>
            </w:tcBorders>
            <w:shd w:val="clear" w:color="auto" w:fill="auto"/>
            <w:hideMark/>
          </w:tcPr>
          <w:p w:rsidR="00112976" w:rsidRPr="003F682E" w:rsidRDefault="00112976" w:rsidP="00EF2D62">
            <w:pPr>
              <w:jc w:val="right"/>
              <w:rPr>
                <w:rFonts w:cs="Arial"/>
                <w:lang w:val="es-ES_tradnl"/>
              </w:rPr>
            </w:pPr>
          </w:p>
        </w:tc>
      </w:tr>
      <w:tr w:rsidR="005D61AB" w:rsidRPr="003F682E" w:rsidTr="00865309">
        <w:trPr>
          <w:trHeight w:val="315"/>
        </w:trPr>
        <w:tc>
          <w:tcPr>
            <w:tcW w:w="1517" w:type="dxa"/>
            <w:tcBorders>
              <w:top w:val="nil"/>
              <w:left w:val="single" w:sz="4" w:space="0" w:color="auto"/>
              <w:bottom w:val="nil"/>
              <w:right w:val="nil"/>
            </w:tcBorders>
            <w:shd w:val="clear" w:color="auto" w:fill="auto"/>
            <w:hideMark/>
          </w:tcPr>
          <w:p w:rsidR="00112976" w:rsidRPr="003F682E" w:rsidRDefault="00112976" w:rsidP="00EF2D62">
            <w:pPr>
              <w:jc w:val="center"/>
              <w:rPr>
                <w:rFonts w:cs="Arial"/>
                <w:lang w:val="es-ES_tradnl"/>
              </w:rPr>
            </w:pPr>
            <w:r w:rsidRPr="003F682E">
              <w:rPr>
                <w:rFonts w:cs="Arial"/>
                <w:lang w:val="es-ES_tradnl"/>
              </w:rPr>
              <w:t>UV.1</w:t>
            </w:r>
          </w:p>
        </w:tc>
        <w:tc>
          <w:tcPr>
            <w:tcW w:w="1428" w:type="dxa"/>
            <w:tcBorders>
              <w:top w:val="nil"/>
              <w:left w:val="single" w:sz="4" w:space="0" w:color="auto"/>
              <w:bottom w:val="nil"/>
              <w:right w:val="single" w:sz="4" w:space="0" w:color="auto"/>
            </w:tcBorders>
            <w:shd w:val="clear" w:color="auto" w:fill="auto"/>
            <w:hideMark/>
          </w:tcPr>
          <w:p w:rsidR="00112976" w:rsidRPr="003F682E" w:rsidRDefault="00112976" w:rsidP="00EF2D62">
            <w:pPr>
              <w:jc w:val="right"/>
              <w:rPr>
                <w:rFonts w:cs="Arial"/>
                <w:lang w:val="es-ES_tradnl"/>
              </w:rPr>
            </w:pPr>
            <w:r w:rsidRPr="003F682E">
              <w:rPr>
                <w:rFonts w:cs="Arial"/>
                <w:lang w:val="es-ES_tradnl"/>
              </w:rPr>
              <w:t>729</w:t>
            </w:r>
          </w:p>
        </w:tc>
        <w:tc>
          <w:tcPr>
            <w:tcW w:w="950" w:type="dxa"/>
            <w:tcBorders>
              <w:top w:val="nil"/>
              <w:left w:val="nil"/>
              <w:bottom w:val="nil"/>
              <w:right w:val="single" w:sz="4" w:space="0" w:color="auto"/>
            </w:tcBorders>
            <w:shd w:val="clear" w:color="auto" w:fill="auto"/>
            <w:hideMark/>
          </w:tcPr>
          <w:p w:rsidR="00112976" w:rsidRPr="003F682E" w:rsidRDefault="00112976" w:rsidP="00EF2D62">
            <w:pPr>
              <w:jc w:val="right"/>
              <w:rPr>
                <w:rFonts w:cs="Arial"/>
                <w:lang w:val="es-ES_tradnl"/>
              </w:rPr>
            </w:pPr>
            <w:r w:rsidRPr="003F682E">
              <w:rPr>
                <w:rFonts w:cs="Arial"/>
                <w:lang w:val="es-ES_tradnl"/>
              </w:rPr>
              <w:t>-9</w:t>
            </w:r>
          </w:p>
        </w:tc>
        <w:tc>
          <w:tcPr>
            <w:tcW w:w="961" w:type="dxa"/>
            <w:tcBorders>
              <w:top w:val="nil"/>
              <w:left w:val="nil"/>
              <w:bottom w:val="nil"/>
              <w:right w:val="nil"/>
            </w:tcBorders>
            <w:shd w:val="clear" w:color="auto" w:fill="auto"/>
            <w:hideMark/>
          </w:tcPr>
          <w:p w:rsidR="00112976" w:rsidRPr="003F682E" w:rsidRDefault="00112976" w:rsidP="00EF2D62">
            <w:pPr>
              <w:jc w:val="right"/>
              <w:rPr>
                <w:rFonts w:cs="Arial"/>
                <w:lang w:val="es-ES_tradnl"/>
              </w:rPr>
            </w:pPr>
            <w:r w:rsidRPr="003F682E">
              <w:rPr>
                <w:rFonts w:cs="Arial"/>
                <w:lang w:val="es-ES_tradnl"/>
              </w:rPr>
              <w:t>-1,2%</w:t>
            </w:r>
          </w:p>
        </w:tc>
        <w:tc>
          <w:tcPr>
            <w:tcW w:w="1327" w:type="dxa"/>
            <w:tcBorders>
              <w:top w:val="nil"/>
              <w:left w:val="single" w:sz="4" w:space="0" w:color="auto"/>
              <w:bottom w:val="nil"/>
              <w:right w:val="single" w:sz="4" w:space="0" w:color="auto"/>
            </w:tcBorders>
            <w:shd w:val="clear" w:color="auto" w:fill="auto"/>
            <w:hideMark/>
          </w:tcPr>
          <w:p w:rsidR="00112976" w:rsidRPr="003F682E" w:rsidRDefault="00112976" w:rsidP="00EF2D62">
            <w:pPr>
              <w:jc w:val="right"/>
              <w:rPr>
                <w:rFonts w:cs="Arial"/>
                <w:lang w:val="es-ES_tradnl"/>
              </w:rPr>
            </w:pPr>
            <w:r w:rsidRPr="003F682E">
              <w:rPr>
                <w:rFonts w:cs="Arial"/>
                <w:lang w:val="es-ES_tradnl"/>
              </w:rPr>
              <w:t>720</w:t>
            </w:r>
          </w:p>
        </w:tc>
      </w:tr>
      <w:tr w:rsidR="005D61AB" w:rsidRPr="003F682E" w:rsidTr="00865309">
        <w:trPr>
          <w:trHeight w:val="315"/>
        </w:trPr>
        <w:tc>
          <w:tcPr>
            <w:tcW w:w="1517" w:type="dxa"/>
            <w:tcBorders>
              <w:top w:val="nil"/>
              <w:left w:val="single" w:sz="4" w:space="0" w:color="auto"/>
              <w:bottom w:val="nil"/>
              <w:right w:val="nil"/>
            </w:tcBorders>
            <w:shd w:val="clear" w:color="auto" w:fill="auto"/>
            <w:hideMark/>
          </w:tcPr>
          <w:p w:rsidR="00112976" w:rsidRPr="003F682E" w:rsidRDefault="00BA25F0" w:rsidP="00EF2D62">
            <w:pPr>
              <w:jc w:val="center"/>
              <w:rPr>
                <w:rFonts w:cs="Arial"/>
                <w:lang w:val="es-ES_tradnl"/>
              </w:rPr>
            </w:pPr>
            <w:r>
              <w:rPr>
                <w:rFonts w:cs="Arial"/>
                <w:lang w:val="es-ES_tradnl"/>
              </w:rPr>
              <w:t>UV.2</w:t>
            </w:r>
          </w:p>
        </w:tc>
        <w:tc>
          <w:tcPr>
            <w:tcW w:w="1428" w:type="dxa"/>
            <w:tcBorders>
              <w:top w:val="nil"/>
              <w:left w:val="single" w:sz="4" w:space="0" w:color="auto"/>
              <w:bottom w:val="nil"/>
              <w:right w:val="single" w:sz="4" w:space="0" w:color="auto"/>
            </w:tcBorders>
            <w:shd w:val="clear" w:color="auto" w:fill="auto"/>
            <w:hideMark/>
          </w:tcPr>
          <w:p w:rsidR="00112976" w:rsidRPr="003F682E" w:rsidRDefault="00112976" w:rsidP="00EF2D62">
            <w:pPr>
              <w:jc w:val="right"/>
              <w:rPr>
                <w:rFonts w:cs="Arial"/>
                <w:lang w:val="es-ES_tradnl"/>
              </w:rPr>
            </w:pPr>
            <w:r w:rsidRPr="003F682E">
              <w:rPr>
                <w:rFonts w:cs="Arial"/>
                <w:lang w:val="es-ES_tradnl"/>
              </w:rPr>
              <w:t>3.801</w:t>
            </w:r>
          </w:p>
        </w:tc>
        <w:tc>
          <w:tcPr>
            <w:tcW w:w="950" w:type="dxa"/>
            <w:tcBorders>
              <w:top w:val="nil"/>
              <w:left w:val="nil"/>
              <w:bottom w:val="nil"/>
              <w:right w:val="single" w:sz="4" w:space="0" w:color="auto"/>
            </w:tcBorders>
            <w:shd w:val="clear" w:color="auto" w:fill="auto"/>
            <w:hideMark/>
          </w:tcPr>
          <w:p w:rsidR="00112976" w:rsidRPr="003F682E" w:rsidRDefault="00112976" w:rsidP="00EF2D62">
            <w:pPr>
              <w:jc w:val="right"/>
              <w:rPr>
                <w:rFonts w:cs="Arial"/>
                <w:lang w:val="es-ES_tradnl"/>
              </w:rPr>
            </w:pPr>
            <w:r w:rsidRPr="003F682E">
              <w:rPr>
                <w:rFonts w:cs="Arial"/>
                <w:lang w:val="es-ES_tradnl"/>
              </w:rPr>
              <w:t>133</w:t>
            </w:r>
          </w:p>
        </w:tc>
        <w:tc>
          <w:tcPr>
            <w:tcW w:w="961" w:type="dxa"/>
            <w:tcBorders>
              <w:top w:val="nil"/>
              <w:left w:val="nil"/>
              <w:bottom w:val="nil"/>
              <w:right w:val="nil"/>
            </w:tcBorders>
            <w:shd w:val="clear" w:color="auto" w:fill="auto"/>
            <w:hideMark/>
          </w:tcPr>
          <w:p w:rsidR="00112976" w:rsidRPr="003F682E" w:rsidRDefault="00112976" w:rsidP="00EF2D62">
            <w:pPr>
              <w:jc w:val="right"/>
              <w:rPr>
                <w:rFonts w:cs="Arial"/>
                <w:lang w:val="es-ES_tradnl"/>
              </w:rPr>
            </w:pPr>
            <w:r w:rsidRPr="003F682E">
              <w:rPr>
                <w:rFonts w:cs="Arial"/>
                <w:lang w:val="es-ES_tradnl"/>
              </w:rPr>
              <w:t>3,5%</w:t>
            </w:r>
          </w:p>
        </w:tc>
        <w:tc>
          <w:tcPr>
            <w:tcW w:w="1327" w:type="dxa"/>
            <w:tcBorders>
              <w:top w:val="nil"/>
              <w:left w:val="single" w:sz="4" w:space="0" w:color="auto"/>
              <w:bottom w:val="nil"/>
              <w:right w:val="single" w:sz="4" w:space="0" w:color="auto"/>
            </w:tcBorders>
            <w:shd w:val="clear" w:color="auto" w:fill="auto"/>
            <w:hideMark/>
          </w:tcPr>
          <w:p w:rsidR="00112976" w:rsidRPr="003F682E" w:rsidRDefault="00112976" w:rsidP="00EF2D62">
            <w:pPr>
              <w:jc w:val="right"/>
              <w:rPr>
                <w:rFonts w:cs="Arial"/>
                <w:lang w:val="es-ES_tradnl"/>
              </w:rPr>
            </w:pPr>
            <w:r w:rsidRPr="003F682E">
              <w:rPr>
                <w:rFonts w:cs="Arial"/>
                <w:lang w:val="es-ES_tradnl"/>
              </w:rPr>
              <w:t>3.934</w:t>
            </w:r>
          </w:p>
        </w:tc>
      </w:tr>
      <w:tr w:rsidR="005D61AB" w:rsidRPr="003F682E" w:rsidTr="00865309">
        <w:trPr>
          <w:trHeight w:val="330"/>
        </w:trPr>
        <w:tc>
          <w:tcPr>
            <w:tcW w:w="1517" w:type="dxa"/>
            <w:tcBorders>
              <w:top w:val="nil"/>
              <w:left w:val="single" w:sz="4" w:space="0" w:color="auto"/>
              <w:bottom w:val="nil"/>
              <w:right w:val="nil"/>
            </w:tcBorders>
            <w:shd w:val="clear" w:color="auto" w:fill="auto"/>
            <w:hideMark/>
          </w:tcPr>
          <w:p w:rsidR="00112976" w:rsidRPr="003F682E" w:rsidRDefault="00BA25F0" w:rsidP="00EF2D62">
            <w:pPr>
              <w:jc w:val="center"/>
              <w:rPr>
                <w:rFonts w:cs="Arial"/>
                <w:lang w:val="es-ES_tradnl"/>
              </w:rPr>
            </w:pPr>
            <w:r>
              <w:rPr>
                <w:rFonts w:cs="Arial"/>
                <w:lang w:val="es-ES_tradnl"/>
              </w:rPr>
              <w:t>UV.3</w:t>
            </w:r>
          </w:p>
        </w:tc>
        <w:tc>
          <w:tcPr>
            <w:tcW w:w="1428" w:type="dxa"/>
            <w:tcBorders>
              <w:top w:val="nil"/>
              <w:left w:val="single" w:sz="4" w:space="0" w:color="auto"/>
              <w:bottom w:val="nil"/>
              <w:right w:val="single" w:sz="4" w:space="0" w:color="auto"/>
            </w:tcBorders>
            <w:shd w:val="clear" w:color="auto" w:fill="auto"/>
            <w:hideMark/>
          </w:tcPr>
          <w:p w:rsidR="00112976" w:rsidRPr="003F682E" w:rsidRDefault="00112976" w:rsidP="00EF2D62">
            <w:pPr>
              <w:jc w:val="right"/>
              <w:rPr>
                <w:rFonts w:cs="Arial"/>
                <w:lang w:val="es-ES_tradnl"/>
              </w:rPr>
            </w:pPr>
            <w:r w:rsidRPr="003F682E">
              <w:rPr>
                <w:rFonts w:cs="Arial"/>
                <w:lang w:val="es-ES_tradnl"/>
              </w:rPr>
              <w:t>1.631</w:t>
            </w:r>
          </w:p>
        </w:tc>
        <w:tc>
          <w:tcPr>
            <w:tcW w:w="950" w:type="dxa"/>
            <w:tcBorders>
              <w:top w:val="nil"/>
              <w:left w:val="nil"/>
              <w:bottom w:val="nil"/>
              <w:right w:val="single" w:sz="4" w:space="0" w:color="auto"/>
            </w:tcBorders>
            <w:shd w:val="clear" w:color="auto" w:fill="auto"/>
            <w:hideMark/>
          </w:tcPr>
          <w:p w:rsidR="00112976" w:rsidRPr="003F682E" w:rsidRDefault="00112976" w:rsidP="00EF2D62">
            <w:pPr>
              <w:jc w:val="right"/>
              <w:rPr>
                <w:rFonts w:cs="Arial"/>
                <w:lang w:val="es-ES_tradnl"/>
              </w:rPr>
            </w:pPr>
            <w:r w:rsidRPr="003F682E">
              <w:rPr>
                <w:rFonts w:cs="Arial"/>
                <w:lang w:val="es-ES_tradnl"/>
              </w:rPr>
              <w:t>-53</w:t>
            </w:r>
          </w:p>
        </w:tc>
        <w:tc>
          <w:tcPr>
            <w:tcW w:w="961" w:type="dxa"/>
            <w:tcBorders>
              <w:top w:val="nil"/>
              <w:left w:val="nil"/>
              <w:bottom w:val="nil"/>
              <w:right w:val="nil"/>
            </w:tcBorders>
            <w:shd w:val="clear" w:color="auto" w:fill="auto"/>
            <w:hideMark/>
          </w:tcPr>
          <w:p w:rsidR="00112976" w:rsidRPr="003F682E" w:rsidRDefault="00112976" w:rsidP="00EF2D62">
            <w:pPr>
              <w:jc w:val="right"/>
              <w:rPr>
                <w:rFonts w:cs="Arial"/>
                <w:lang w:val="es-ES_tradnl"/>
              </w:rPr>
            </w:pPr>
            <w:r w:rsidRPr="003F682E">
              <w:rPr>
                <w:rFonts w:cs="Arial"/>
                <w:lang w:val="es-ES_tradnl"/>
              </w:rPr>
              <w:t>-3,2%</w:t>
            </w:r>
          </w:p>
        </w:tc>
        <w:tc>
          <w:tcPr>
            <w:tcW w:w="1327" w:type="dxa"/>
            <w:tcBorders>
              <w:top w:val="nil"/>
              <w:left w:val="single" w:sz="4" w:space="0" w:color="auto"/>
              <w:bottom w:val="nil"/>
              <w:right w:val="single" w:sz="4" w:space="0" w:color="auto"/>
            </w:tcBorders>
            <w:shd w:val="clear" w:color="auto" w:fill="auto"/>
            <w:hideMark/>
          </w:tcPr>
          <w:p w:rsidR="00112976" w:rsidRPr="003F682E" w:rsidRDefault="00112976" w:rsidP="00EF2D62">
            <w:pPr>
              <w:jc w:val="right"/>
              <w:rPr>
                <w:rFonts w:cs="Arial"/>
                <w:lang w:val="es-ES_tradnl"/>
              </w:rPr>
            </w:pPr>
            <w:r w:rsidRPr="003F682E">
              <w:rPr>
                <w:rFonts w:cs="Arial"/>
                <w:lang w:val="es-ES_tradnl"/>
              </w:rPr>
              <w:t>1.578</w:t>
            </w:r>
          </w:p>
        </w:tc>
      </w:tr>
      <w:tr w:rsidR="005D61AB" w:rsidRPr="003F682E" w:rsidTr="00865309">
        <w:trPr>
          <w:trHeight w:val="330"/>
        </w:trPr>
        <w:tc>
          <w:tcPr>
            <w:tcW w:w="1517" w:type="dxa"/>
            <w:tcBorders>
              <w:top w:val="nil"/>
              <w:left w:val="single" w:sz="4" w:space="0" w:color="auto"/>
              <w:bottom w:val="nil"/>
              <w:right w:val="nil"/>
            </w:tcBorders>
            <w:shd w:val="clear" w:color="auto" w:fill="auto"/>
            <w:hideMark/>
          </w:tcPr>
          <w:p w:rsidR="00112976" w:rsidRPr="003F682E" w:rsidRDefault="00BA25F0" w:rsidP="00EF2D62">
            <w:pPr>
              <w:jc w:val="center"/>
              <w:rPr>
                <w:rFonts w:cs="Arial"/>
                <w:lang w:val="es-ES_tradnl"/>
              </w:rPr>
            </w:pPr>
            <w:r>
              <w:rPr>
                <w:rFonts w:cs="Arial"/>
                <w:lang w:val="es-ES_tradnl"/>
              </w:rPr>
              <w:t>UV.4</w:t>
            </w:r>
          </w:p>
        </w:tc>
        <w:tc>
          <w:tcPr>
            <w:tcW w:w="1428" w:type="dxa"/>
            <w:tcBorders>
              <w:top w:val="nil"/>
              <w:left w:val="single" w:sz="4" w:space="0" w:color="auto"/>
              <w:bottom w:val="nil"/>
              <w:right w:val="single" w:sz="4" w:space="0" w:color="auto"/>
            </w:tcBorders>
            <w:shd w:val="clear" w:color="auto" w:fill="auto"/>
            <w:hideMark/>
          </w:tcPr>
          <w:p w:rsidR="00112976" w:rsidRPr="003F682E" w:rsidRDefault="00112976" w:rsidP="00EF2D62">
            <w:pPr>
              <w:jc w:val="right"/>
              <w:rPr>
                <w:rFonts w:cs="Arial"/>
                <w:lang w:val="es-ES_tradnl"/>
              </w:rPr>
            </w:pPr>
            <w:r w:rsidRPr="003F682E">
              <w:rPr>
                <w:rFonts w:cs="Arial"/>
                <w:lang w:val="es-ES_tradnl"/>
              </w:rPr>
              <w:t>637</w:t>
            </w:r>
          </w:p>
        </w:tc>
        <w:tc>
          <w:tcPr>
            <w:tcW w:w="950" w:type="dxa"/>
            <w:tcBorders>
              <w:top w:val="nil"/>
              <w:left w:val="nil"/>
              <w:bottom w:val="nil"/>
              <w:right w:val="single" w:sz="4" w:space="0" w:color="auto"/>
            </w:tcBorders>
            <w:shd w:val="clear" w:color="auto" w:fill="auto"/>
            <w:hideMark/>
          </w:tcPr>
          <w:p w:rsidR="00112976" w:rsidRPr="003F682E" w:rsidRDefault="00112976" w:rsidP="00EF2D62">
            <w:pPr>
              <w:jc w:val="right"/>
              <w:rPr>
                <w:rFonts w:cs="Arial"/>
                <w:lang w:val="es-ES_tradnl"/>
              </w:rPr>
            </w:pPr>
            <w:r w:rsidRPr="003F682E">
              <w:rPr>
                <w:rFonts w:cs="Arial"/>
                <w:lang w:val="es-ES_tradnl"/>
              </w:rPr>
              <w:t>-75</w:t>
            </w:r>
          </w:p>
        </w:tc>
        <w:tc>
          <w:tcPr>
            <w:tcW w:w="961" w:type="dxa"/>
            <w:tcBorders>
              <w:top w:val="nil"/>
              <w:left w:val="nil"/>
              <w:bottom w:val="nil"/>
              <w:right w:val="nil"/>
            </w:tcBorders>
            <w:shd w:val="clear" w:color="auto" w:fill="auto"/>
            <w:hideMark/>
          </w:tcPr>
          <w:p w:rsidR="00112976" w:rsidRPr="003F682E" w:rsidRDefault="00112976" w:rsidP="00EF2D62">
            <w:pPr>
              <w:jc w:val="right"/>
              <w:rPr>
                <w:rFonts w:cs="Arial"/>
                <w:lang w:val="es-ES_tradnl"/>
              </w:rPr>
            </w:pPr>
            <w:r w:rsidRPr="003F682E">
              <w:rPr>
                <w:rFonts w:cs="Arial"/>
                <w:lang w:val="es-ES_tradnl"/>
              </w:rPr>
              <w:t>-11,8%</w:t>
            </w:r>
          </w:p>
        </w:tc>
        <w:tc>
          <w:tcPr>
            <w:tcW w:w="1327" w:type="dxa"/>
            <w:tcBorders>
              <w:top w:val="nil"/>
              <w:left w:val="single" w:sz="4" w:space="0" w:color="auto"/>
              <w:bottom w:val="nil"/>
              <w:right w:val="single" w:sz="4" w:space="0" w:color="auto"/>
            </w:tcBorders>
            <w:shd w:val="clear" w:color="auto" w:fill="auto"/>
            <w:hideMark/>
          </w:tcPr>
          <w:p w:rsidR="00112976" w:rsidRPr="003F682E" w:rsidRDefault="00112976" w:rsidP="00EF2D62">
            <w:pPr>
              <w:jc w:val="right"/>
              <w:rPr>
                <w:rFonts w:cs="Arial"/>
                <w:lang w:val="es-ES_tradnl"/>
              </w:rPr>
            </w:pPr>
            <w:r w:rsidRPr="003F682E">
              <w:rPr>
                <w:rFonts w:cs="Arial"/>
                <w:lang w:val="es-ES_tradnl"/>
              </w:rPr>
              <w:t>562</w:t>
            </w:r>
          </w:p>
        </w:tc>
      </w:tr>
      <w:tr w:rsidR="005D61AB" w:rsidRPr="003F682E" w:rsidTr="00865309">
        <w:trPr>
          <w:trHeight w:val="330"/>
        </w:trPr>
        <w:tc>
          <w:tcPr>
            <w:tcW w:w="1517" w:type="dxa"/>
            <w:tcBorders>
              <w:top w:val="nil"/>
              <w:left w:val="single" w:sz="4" w:space="0" w:color="auto"/>
              <w:bottom w:val="nil"/>
              <w:right w:val="nil"/>
            </w:tcBorders>
            <w:shd w:val="clear" w:color="auto" w:fill="auto"/>
            <w:hideMark/>
          </w:tcPr>
          <w:p w:rsidR="00112976" w:rsidRPr="003F682E" w:rsidRDefault="00112976" w:rsidP="00EF2D62">
            <w:pPr>
              <w:jc w:val="center"/>
              <w:rPr>
                <w:rFonts w:cs="Arial"/>
                <w:lang w:val="es-ES_tradnl"/>
              </w:rPr>
            </w:pPr>
          </w:p>
        </w:tc>
        <w:tc>
          <w:tcPr>
            <w:tcW w:w="1428" w:type="dxa"/>
            <w:tcBorders>
              <w:top w:val="nil"/>
              <w:left w:val="single" w:sz="4" w:space="0" w:color="auto"/>
              <w:bottom w:val="single" w:sz="4" w:space="0" w:color="auto"/>
              <w:right w:val="single" w:sz="4" w:space="0" w:color="auto"/>
            </w:tcBorders>
            <w:shd w:val="clear" w:color="auto" w:fill="auto"/>
            <w:hideMark/>
          </w:tcPr>
          <w:p w:rsidR="00112976" w:rsidRPr="003F682E" w:rsidRDefault="00112976" w:rsidP="00EF2D62">
            <w:pPr>
              <w:jc w:val="right"/>
              <w:rPr>
                <w:rFonts w:cs="Arial"/>
                <w:lang w:val="es-ES_tradnl"/>
              </w:rPr>
            </w:pPr>
          </w:p>
        </w:tc>
        <w:tc>
          <w:tcPr>
            <w:tcW w:w="950" w:type="dxa"/>
            <w:tcBorders>
              <w:top w:val="nil"/>
              <w:left w:val="nil"/>
              <w:bottom w:val="nil"/>
              <w:right w:val="single" w:sz="4" w:space="0" w:color="auto"/>
            </w:tcBorders>
            <w:shd w:val="clear" w:color="auto" w:fill="auto"/>
            <w:hideMark/>
          </w:tcPr>
          <w:p w:rsidR="00112976" w:rsidRPr="003F682E" w:rsidRDefault="00112976" w:rsidP="00EF2D62">
            <w:pPr>
              <w:jc w:val="right"/>
              <w:rPr>
                <w:rFonts w:cs="Arial"/>
                <w:lang w:val="es-ES_tradnl"/>
              </w:rPr>
            </w:pPr>
          </w:p>
        </w:tc>
        <w:tc>
          <w:tcPr>
            <w:tcW w:w="961" w:type="dxa"/>
            <w:tcBorders>
              <w:top w:val="nil"/>
              <w:left w:val="nil"/>
              <w:bottom w:val="nil"/>
              <w:right w:val="nil"/>
            </w:tcBorders>
            <w:shd w:val="clear" w:color="auto" w:fill="auto"/>
            <w:hideMark/>
          </w:tcPr>
          <w:p w:rsidR="00112976" w:rsidRPr="003F682E" w:rsidRDefault="00112976" w:rsidP="00EF2D62">
            <w:pPr>
              <w:jc w:val="right"/>
              <w:rPr>
                <w:rFonts w:cs="Arial"/>
                <w:lang w:val="es-ES_tradnl"/>
              </w:rPr>
            </w:pPr>
          </w:p>
        </w:tc>
        <w:tc>
          <w:tcPr>
            <w:tcW w:w="1327" w:type="dxa"/>
            <w:tcBorders>
              <w:top w:val="nil"/>
              <w:left w:val="single" w:sz="4" w:space="0" w:color="auto"/>
              <w:bottom w:val="single" w:sz="4" w:space="0" w:color="auto"/>
              <w:right w:val="single" w:sz="4" w:space="0" w:color="auto"/>
            </w:tcBorders>
            <w:shd w:val="clear" w:color="auto" w:fill="auto"/>
            <w:hideMark/>
          </w:tcPr>
          <w:p w:rsidR="00112976" w:rsidRPr="003F682E" w:rsidRDefault="00112976" w:rsidP="00EF2D62">
            <w:pPr>
              <w:jc w:val="right"/>
              <w:rPr>
                <w:rFonts w:cs="Arial"/>
                <w:lang w:val="es-ES_tradnl"/>
              </w:rPr>
            </w:pPr>
          </w:p>
        </w:tc>
      </w:tr>
      <w:tr w:rsidR="005D61AB" w:rsidRPr="003F682E" w:rsidTr="00865309">
        <w:trPr>
          <w:trHeight w:val="255"/>
        </w:trPr>
        <w:tc>
          <w:tcPr>
            <w:tcW w:w="1517" w:type="dxa"/>
            <w:tcBorders>
              <w:top w:val="single" w:sz="4" w:space="0" w:color="auto"/>
              <w:left w:val="single" w:sz="4" w:space="0" w:color="auto"/>
              <w:bottom w:val="single" w:sz="4" w:space="0" w:color="auto"/>
              <w:right w:val="nil"/>
            </w:tcBorders>
            <w:shd w:val="clear" w:color="auto" w:fill="auto"/>
            <w:hideMark/>
          </w:tcPr>
          <w:p w:rsidR="00112976" w:rsidRPr="003F682E" w:rsidRDefault="00112976" w:rsidP="00EF2D62">
            <w:pPr>
              <w:jc w:val="center"/>
              <w:rPr>
                <w:rFonts w:cs="Arial"/>
                <w:b/>
                <w:bCs/>
                <w:lang w:val="es-ES_tradnl"/>
              </w:rPr>
            </w:pPr>
            <w:r w:rsidRPr="003F682E">
              <w:rPr>
                <w:rFonts w:cs="Arial"/>
                <w:b/>
                <w:lang w:val="es-ES_tradnl"/>
              </w:rPr>
              <w:t>TOTAL</w:t>
            </w:r>
          </w:p>
        </w:tc>
        <w:tc>
          <w:tcPr>
            <w:tcW w:w="1428" w:type="dxa"/>
            <w:tcBorders>
              <w:top w:val="nil"/>
              <w:left w:val="single" w:sz="4" w:space="0" w:color="auto"/>
              <w:bottom w:val="single" w:sz="4" w:space="0" w:color="auto"/>
              <w:right w:val="nil"/>
            </w:tcBorders>
            <w:shd w:val="clear" w:color="auto" w:fill="auto"/>
            <w:hideMark/>
          </w:tcPr>
          <w:p w:rsidR="00112976" w:rsidRPr="003F682E" w:rsidRDefault="00112976" w:rsidP="00EF2D62">
            <w:pPr>
              <w:jc w:val="right"/>
              <w:rPr>
                <w:rFonts w:cs="Arial"/>
                <w:b/>
                <w:bCs/>
                <w:lang w:val="es-ES_tradnl"/>
              </w:rPr>
            </w:pPr>
            <w:r w:rsidRPr="003F682E">
              <w:rPr>
                <w:rFonts w:cs="Arial"/>
                <w:b/>
                <w:lang w:val="es-ES_tradnl"/>
              </w:rPr>
              <w:t>6.798</w:t>
            </w:r>
          </w:p>
        </w:tc>
        <w:tc>
          <w:tcPr>
            <w:tcW w:w="950" w:type="dxa"/>
            <w:tcBorders>
              <w:top w:val="single" w:sz="4" w:space="0" w:color="auto"/>
              <w:left w:val="single" w:sz="4" w:space="0" w:color="auto"/>
              <w:bottom w:val="single" w:sz="4" w:space="0" w:color="auto"/>
              <w:right w:val="single" w:sz="4" w:space="0" w:color="auto"/>
            </w:tcBorders>
            <w:shd w:val="clear" w:color="auto" w:fill="auto"/>
            <w:hideMark/>
          </w:tcPr>
          <w:p w:rsidR="00112976" w:rsidRPr="003F682E" w:rsidRDefault="00112976" w:rsidP="00EF2D62">
            <w:pPr>
              <w:jc w:val="right"/>
              <w:rPr>
                <w:rFonts w:cs="Arial"/>
                <w:b/>
                <w:bCs/>
                <w:lang w:val="es-ES_tradnl"/>
              </w:rPr>
            </w:pPr>
            <w:r w:rsidRPr="003F682E">
              <w:rPr>
                <w:rFonts w:cs="Arial"/>
                <w:b/>
                <w:lang w:val="es-ES_tradnl"/>
              </w:rPr>
              <w:t>-4</w:t>
            </w:r>
          </w:p>
        </w:tc>
        <w:tc>
          <w:tcPr>
            <w:tcW w:w="961" w:type="dxa"/>
            <w:tcBorders>
              <w:top w:val="single" w:sz="4" w:space="0" w:color="auto"/>
              <w:left w:val="nil"/>
              <w:bottom w:val="single" w:sz="4" w:space="0" w:color="auto"/>
              <w:right w:val="single" w:sz="4" w:space="0" w:color="auto"/>
            </w:tcBorders>
            <w:shd w:val="clear" w:color="auto" w:fill="auto"/>
            <w:hideMark/>
          </w:tcPr>
          <w:p w:rsidR="00112976" w:rsidRPr="003F682E" w:rsidRDefault="00112976" w:rsidP="00EF2D62">
            <w:pPr>
              <w:jc w:val="right"/>
              <w:rPr>
                <w:rFonts w:cs="Arial"/>
                <w:b/>
                <w:bCs/>
                <w:lang w:val="es-ES_tradnl"/>
              </w:rPr>
            </w:pPr>
            <w:r w:rsidRPr="003F682E">
              <w:rPr>
                <w:rFonts w:cs="Arial"/>
                <w:b/>
                <w:lang w:val="es-ES_tradnl"/>
              </w:rPr>
              <w:t>-0,1%</w:t>
            </w:r>
          </w:p>
        </w:tc>
        <w:tc>
          <w:tcPr>
            <w:tcW w:w="1327" w:type="dxa"/>
            <w:tcBorders>
              <w:top w:val="nil"/>
              <w:left w:val="nil"/>
              <w:bottom w:val="single" w:sz="4" w:space="0" w:color="auto"/>
              <w:right w:val="single" w:sz="4" w:space="0" w:color="auto"/>
            </w:tcBorders>
            <w:shd w:val="clear" w:color="auto" w:fill="auto"/>
            <w:hideMark/>
          </w:tcPr>
          <w:p w:rsidR="00112976" w:rsidRPr="003F682E" w:rsidRDefault="00112976" w:rsidP="00EF2D62">
            <w:pPr>
              <w:jc w:val="right"/>
              <w:rPr>
                <w:rFonts w:cs="Arial"/>
                <w:b/>
                <w:bCs/>
                <w:lang w:val="es-ES_tradnl"/>
              </w:rPr>
            </w:pPr>
            <w:r w:rsidRPr="003F682E">
              <w:rPr>
                <w:rFonts w:cs="Arial"/>
                <w:b/>
                <w:lang w:val="es-ES_tradnl"/>
              </w:rPr>
              <w:t>6.794</w:t>
            </w:r>
          </w:p>
        </w:tc>
      </w:tr>
    </w:tbl>
    <w:p w:rsidR="00FF5D3C" w:rsidRPr="002B0BD5" w:rsidRDefault="00FF5D3C" w:rsidP="00EF2D62">
      <w:pPr>
        <w:rPr>
          <w:rFonts w:cs="Arial"/>
          <w:lang w:val="es-ES_tradnl"/>
        </w:rPr>
      </w:pPr>
    </w:p>
    <w:p w:rsidR="00FF08D0" w:rsidRPr="002B0BD5" w:rsidRDefault="00FF08D0" w:rsidP="00EF2D62">
      <w:pPr>
        <w:rPr>
          <w:rFonts w:cs="Arial"/>
          <w:lang w:val="es-ES_tradnl"/>
        </w:rPr>
      </w:pPr>
    </w:p>
    <w:p w:rsidR="00FF5D3C" w:rsidRPr="002B0BD5" w:rsidRDefault="00FF5D3C" w:rsidP="00485C0A">
      <w:pPr>
        <w:keepNext/>
        <w:rPr>
          <w:rFonts w:cs="Arial"/>
          <w:lang w:val="es-ES_tradnl"/>
        </w:rPr>
      </w:pPr>
      <w:r w:rsidRPr="002B0BD5">
        <w:rPr>
          <w:rFonts w:cs="Arial"/>
          <w:lang w:val="es-ES_tradnl"/>
        </w:rPr>
        <w:t xml:space="preserve">3.15 </w:t>
      </w:r>
      <w:r w:rsidR="00FF08D0" w:rsidRPr="002B0BD5">
        <w:rPr>
          <w:rFonts w:cs="Arial"/>
          <w:lang w:val="es-ES_tradnl"/>
        </w:rPr>
        <w:tab/>
      </w:r>
      <w:r w:rsidRPr="002B0BD5">
        <w:rPr>
          <w:rFonts w:cs="Arial"/>
          <w:lang w:val="es-ES_tradnl"/>
        </w:rPr>
        <w:t xml:space="preserve">En el </w:t>
      </w:r>
      <w:r w:rsidRPr="002B0BD5">
        <w:rPr>
          <w:rFonts w:cs="Arial"/>
          <w:b/>
          <w:lang w:val="es-ES_tradnl"/>
        </w:rPr>
        <w:t>Cuadro 8</w:t>
      </w:r>
      <w:r w:rsidRPr="002B0BD5">
        <w:rPr>
          <w:rFonts w:cs="Arial"/>
          <w:lang w:val="es-ES_tradnl"/>
        </w:rPr>
        <w:t xml:space="preserve"> se proporciona información sobre los ingresos, desglosados por fuente, para los bienios 2012-2013 y 2014-2015.</w:t>
      </w:r>
      <w:r w:rsidR="00421639" w:rsidRPr="002B0BD5">
        <w:rPr>
          <w:rFonts w:cs="Arial"/>
          <w:lang w:val="es-ES_tradnl"/>
        </w:rPr>
        <w:t xml:space="preserve"> </w:t>
      </w:r>
    </w:p>
    <w:p w:rsidR="00FF5D3C" w:rsidRPr="002B0BD5" w:rsidRDefault="00FF5D3C" w:rsidP="00485C0A">
      <w:pPr>
        <w:keepNext/>
        <w:rPr>
          <w:rFonts w:cs="Arial"/>
          <w:lang w:val="es-ES_tradnl"/>
        </w:rPr>
      </w:pPr>
    </w:p>
    <w:p w:rsidR="00FF5D3C" w:rsidRPr="002B0BD5" w:rsidRDefault="00FF5D3C" w:rsidP="00485C0A">
      <w:pPr>
        <w:keepLines/>
        <w:rPr>
          <w:rFonts w:cs="Arial"/>
          <w:lang w:val="es-ES_tradnl"/>
        </w:rPr>
      </w:pPr>
      <w:r w:rsidRPr="002B0BD5">
        <w:rPr>
          <w:rFonts w:cs="Arial"/>
          <w:lang w:val="es-ES_tradnl"/>
        </w:rPr>
        <w:t xml:space="preserve">3.16 </w:t>
      </w:r>
      <w:r w:rsidR="00FF08D0" w:rsidRPr="002B0BD5">
        <w:rPr>
          <w:rFonts w:cs="Arial"/>
          <w:lang w:val="es-ES_tradnl"/>
        </w:rPr>
        <w:tab/>
      </w:r>
      <w:r w:rsidRPr="002B0BD5">
        <w:rPr>
          <w:rFonts w:cs="Arial"/>
          <w:lang w:val="es-ES_tradnl"/>
        </w:rPr>
        <w:t>El total de ingresos previstos en el presupuesto ordinario para el bienio 2014-2015 asciende a 6.794.000 francos suizos.  Ese importe es inferior en 4.000 francos suizos, es decir, el 0,1%, a los ingresos para el bienio 2012-2013, que ascendían a 6.798.000 francos suizos.  En particular, esta proyección presupone 62,15 unidades de contribución en 2014 y 62,35 unidades de contribución en 2015 y ninguna modificación del valor de la unidad de contribución, que se propone mantener en 53.641 francos suizos durante el bienio.</w:t>
      </w:r>
      <w:r w:rsidR="00421639" w:rsidRPr="002B0BD5">
        <w:rPr>
          <w:rFonts w:cs="Arial"/>
          <w:lang w:val="es-ES_tradnl"/>
        </w:rPr>
        <w:t xml:space="preserve">  </w:t>
      </w:r>
    </w:p>
    <w:p w:rsidR="00FF5D3C" w:rsidRPr="002B0BD5" w:rsidRDefault="00FF5D3C" w:rsidP="00EF2D62">
      <w:pPr>
        <w:rPr>
          <w:rFonts w:cs="Arial"/>
          <w:lang w:val="es-ES_tradnl"/>
        </w:rPr>
      </w:pPr>
    </w:p>
    <w:p w:rsidR="00FF5D3C" w:rsidRPr="002B0BD5" w:rsidRDefault="00FF5D3C" w:rsidP="00EF2D62">
      <w:pPr>
        <w:rPr>
          <w:rFonts w:cs="Arial"/>
          <w:lang w:val="es-ES_tradnl"/>
        </w:rPr>
      </w:pPr>
      <w:r w:rsidRPr="002B0BD5">
        <w:rPr>
          <w:rFonts w:cs="Arial"/>
          <w:lang w:val="es-ES_tradnl"/>
        </w:rPr>
        <w:t xml:space="preserve">3.17 </w:t>
      </w:r>
      <w:r w:rsidR="00FF08D0" w:rsidRPr="002B0BD5">
        <w:rPr>
          <w:rFonts w:cs="Arial"/>
          <w:lang w:val="es-ES_tradnl"/>
        </w:rPr>
        <w:tab/>
      </w:r>
      <w:r w:rsidRPr="002B0BD5">
        <w:rPr>
          <w:rFonts w:cs="Arial"/>
          <w:lang w:val="es-ES_tradnl"/>
        </w:rPr>
        <w:t xml:space="preserve">Los ingresos procedentes de contribuciones se han calculado a partir del supuesto de que, cada año, un nuevo miembro de la Unión contribuya con 0,2 unidades de contribución al presupuesto (y con 1.667 francos suizos al Fondo de Operaciones).  En su vigésima tercera sesión extraordinaria, celebrada  el 7 de abril de 2006 en Ginebra, el Consejo decidió “que los miembros de la Unión no ajusten a la baja el número de unidades de contribución sin tener en cuenta las consecuencias que ello tendría para la UPOV y la forma en que dicha reducción tendría que ser compensada por otros miembros de la Unión.  En particular, los miembros de la Unión no deben proceder a una reducción del número de sus unidades de contribución mientras esté vigente el ejercicio financiero aprobado por el Consejo, salvo en casos excepcionales e inevitables” (Anexo III del documento </w:t>
      </w:r>
      <w:proofErr w:type="gramStart"/>
      <w:r w:rsidRPr="002B0BD5">
        <w:rPr>
          <w:rFonts w:cs="Arial"/>
          <w:lang w:val="es-ES_tradnl"/>
        </w:rPr>
        <w:t>C(</w:t>
      </w:r>
      <w:proofErr w:type="gramEnd"/>
      <w:r w:rsidRPr="002B0BD5">
        <w:rPr>
          <w:rFonts w:cs="Arial"/>
          <w:lang w:val="es-ES_tradnl"/>
        </w:rPr>
        <w:t>Extr.)/23/5).  En vista de ello, no se prevén reducciones en el número de unidades de contribución de los miembros de la Unión para el bienio 2014-2015.</w:t>
      </w:r>
    </w:p>
    <w:p w:rsidR="00FF5D3C" w:rsidRPr="002B0BD5" w:rsidRDefault="00FF5D3C" w:rsidP="00EF2D62">
      <w:pPr>
        <w:rPr>
          <w:rFonts w:cs="Arial"/>
          <w:lang w:val="es-ES_tradnl"/>
        </w:rPr>
      </w:pPr>
    </w:p>
    <w:p w:rsidR="00FF5D3C" w:rsidRPr="002B0BD5" w:rsidRDefault="00FF5D3C" w:rsidP="00EF2D62">
      <w:pPr>
        <w:tabs>
          <w:tab w:val="left" w:pos="567"/>
        </w:tabs>
        <w:rPr>
          <w:rFonts w:cs="Arial"/>
          <w:lang w:val="es-ES_tradnl"/>
        </w:rPr>
      </w:pPr>
      <w:r w:rsidRPr="002B0BD5">
        <w:rPr>
          <w:rFonts w:cs="Arial"/>
          <w:lang w:val="es-ES_tradnl"/>
        </w:rPr>
        <w:t xml:space="preserve">3.18 </w:t>
      </w:r>
      <w:r w:rsidR="00FF08D0" w:rsidRPr="002B0BD5">
        <w:rPr>
          <w:rFonts w:cs="Arial"/>
          <w:lang w:val="es-ES_tradnl"/>
        </w:rPr>
        <w:tab/>
      </w:r>
      <w:r w:rsidRPr="002B0BD5">
        <w:rPr>
          <w:rFonts w:cs="Arial"/>
          <w:lang w:val="es-ES_tradnl"/>
        </w:rPr>
        <w:t>Además de las contribuciones de los miembros de la Unión, la UPOV genera ingresos procedentes de la venta de publicaciones (10.000 francos suizos), los intereses devengados por los depósitos bancarios de los fondos de reserva y de operaciones (20.000 francos suizos), y otras fuentes diversas (86.000 francos suizos), que incluyen las tasas abonadas por los participantes en el programa de enseñanza a distancia de la UPOV y los reembolsos procedentes de los fondos fiduciarios.  Sin contar las contribuciones, se prevé que todas esas fuentes combinadas darán origen al 1,7% de los ingresos ordinarios de la UPOV en el bienio 2014-2015.</w:t>
      </w:r>
      <w:r w:rsidR="00421639" w:rsidRPr="002B0BD5">
        <w:rPr>
          <w:rFonts w:cs="Arial"/>
          <w:lang w:val="es-ES_tradnl"/>
        </w:rPr>
        <w:t xml:space="preserve">  </w:t>
      </w:r>
    </w:p>
    <w:p w:rsidR="00FF5D3C" w:rsidRPr="002B0BD5" w:rsidRDefault="00FF5D3C" w:rsidP="00EF2D62">
      <w:pPr>
        <w:tabs>
          <w:tab w:val="left" w:pos="567"/>
        </w:tabs>
        <w:rPr>
          <w:rFonts w:cs="Arial"/>
          <w:lang w:val="es-ES_tradnl"/>
        </w:rPr>
      </w:pPr>
    </w:p>
    <w:p w:rsidR="00FF5D3C" w:rsidRPr="002B0BD5" w:rsidRDefault="00FF5D3C" w:rsidP="00EF2D62">
      <w:pPr>
        <w:rPr>
          <w:rFonts w:cs="Arial"/>
          <w:spacing w:val="-2"/>
          <w:lang w:val="es-ES_tradnl"/>
        </w:rPr>
      </w:pPr>
      <w:r w:rsidRPr="002B0BD5">
        <w:rPr>
          <w:rFonts w:cs="Arial"/>
          <w:lang w:val="es-ES_tradnl"/>
        </w:rPr>
        <w:t xml:space="preserve">3.19 </w:t>
      </w:r>
      <w:r w:rsidR="00FF08D0" w:rsidRPr="002B0BD5">
        <w:rPr>
          <w:rFonts w:cs="Arial"/>
          <w:lang w:val="es-ES_tradnl"/>
        </w:rPr>
        <w:tab/>
      </w:r>
      <w:r w:rsidRPr="002B0BD5">
        <w:rPr>
          <w:rFonts w:cs="Arial"/>
          <w:lang w:val="es-ES_tradnl"/>
        </w:rPr>
        <w:t>En el bienio 2014-2015 se prevé una reducción en los ingresos procedentes de los intereses y no se prevén ingresos procedentes de las suscripciones a la Base de datos UPOV-ROM, como consecuencia de la puesta en marcha de la versión en Internet de la Base de datos sobre variedades vegetales (PLUTO), de acceso libre para todos los usuarios.</w:t>
      </w:r>
      <w:r w:rsidR="00421639" w:rsidRPr="002B0BD5">
        <w:rPr>
          <w:rFonts w:cs="Arial"/>
          <w:spacing w:val="-2"/>
          <w:lang w:val="es-ES_tradnl"/>
        </w:rPr>
        <w:t xml:space="preserve">  </w:t>
      </w:r>
    </w:p>
    <w:p w:rsidR="00FF5D3C" w:rsidRPr="002B0BD5" w:rsidRDefault="00FF5D3C" w:rsidP="00EF2D62">
      <w:pPr>
        <w:rPr>
          <w:rFonts w:cs="Arial"/>
          <w:lang w:val="es-ES_tradnl"/>
        </w:rPr>
      </w:pPr>
    </w:p>
    <w:p w:rsidR="00FF5D3C" w:rsidRPr="002B0BD5" w:rsidRDefault="00FF5D3C" w:rsidP="00EF2D62">
      <w:pPr>
        <w:pStyle w:val="Heading4"/>
        <w:rPr>
          <w:lang w:val="es-ES_tradnl"/>
        </w:rPr>
      </w:pPr>
      <w:bookmarkStart w:id="42" w:name="_Toc363577077"/>
      <w:r w:rsidRPr="002B0BD5">
        <w:rPr>
          <w:lang w:val="es-ES_tradnl"/>
        </w:rPr>
        <w:t>Cuadro 8</w:t>
      </w:r>
      <w:proofErr w:type="gramStart"/>
      <w:r w:rsidRPr="002B0BD5">
        <w:rPr>
          <w:lang w:val="es-ES_tradnl"/>
        </w:rPr>
        <w:t>:  Ingresos</w:t>
      </w:r>
      <w:proofErr w:type="gramEnd"/>
      <w:r w:rsidRPr="002B0BD5">
        <w:rPr>
          <w:lang w:val="es-ES_tradnl"/>
        </w:rPr>
        <w:t xml:space="preserve"> correspondientes a los bienios 2012-2013 y 2014-2015:  </w:t>
      </w:r>
      <w:r w:rsidR="00A96B04">
        <w:rPr>
          <w:lang w:val="es-ES_tradnl"/>
        </w:rPr>
        <w:br/>
      </w:r>
      <w:r w:rsidRPr="002B0BD5">
        <w:rPr>
          <w:lang w:val="es-ES_tradnl"/>
        </w:rPr>
        <w:t>variación por fuente de ingresos</w:t>
      </w:r>
      <w:bookmarkEnd w:id="42"/>
    </w:p>
    <w:p w:rsidR="00FF5D3C" w:rsidRPr="002B0BD5" w:rsidRDefault="00FF5D3C" w:rsidP="00EF2D62">
      <w:pPr>
        <w:jc w:val="center"/>
        <w:rPr>
          <w:rFonts w:cs="Arial"/>
          <w:lang w:val="es-ES_tradnl"/>
        </w:rPr>
      </w:pPr>
      <w:r w:rsidRPr="002B0BD5">
        <w:rPr>
          <w:rFonts w:cs="Arial"/>
          <w:lang w:val="es-ES_tradnl"/>
        </w:rPr>
        <w:t>(</w:t>
      </w:r>
      <w:proofErr w:type="gramStart"/>
      <w:r w:rsidRPr="002B0BD5">
        <w:rPr>
          <w:rFonts w:cs="Arial"/>
          <w:lang w:val="es-ES_tradnl"/>
        </w:rPr>
        <w:t>en</w:t>
      </w:r>
      <w:proofErr w:type="gramEnd"/>
      <w:r w:rsidRPr="002B0BD5">
        <w:rPr>
          <w:rFonts w:cs="Arial"/>
          <w:lang w:val="es-ES_tradnl"/>
        </w:rPr>
        <w:t xml:space="preserve"> miles de francos suizos)</w:t>
      </w:r>
    </w:p>
    <w:p w:rsidR="00421639" w:rsidRPr="002B0BD5" w:rsidRDefault="00421639" w:rsidP="00EF2D62">
      <w:pPr>
        <w:jc w:val="center"/>
        <w:rPr>
          <w:rFonts w:cs="Arial"/>
          <w:lang w:val="es-ES_tradnl"/>
        </w:rPr>
      </w:pPr>
    </w:p>
    <w:tbl>
      <w:tblPr>
        <w:tblW w:w="7551" w:type="dxa"/>
        <w:tblInd w:w="1101" w:type="dxa"/>
        <w:tblLook w:val="04A0" w:firstRow="1" w:lastRow="0" w:firstColumn="1" w:lastColumn="0" w:noHBand="0" w:noVBand="1"/>
      </w:tblPr>
      <w:tblGrid>
        <w:gridCol w:w="1551"/>
        <w:gridCol w:w="1266"/>
        <w:gridCol w:w="1186"/>
        <w:gridCol w:w="1008"/>
        <w:gridCol w:w="1228"/>
        <w:gridCol w:w="1312"/>
      </w:tblGrid>
      <w:tr w:rsidR="005D61AB" w:rsidRPr="003F682E" w:rsidTr="00AE3687">
        <w:trPr>
          <w:trHeight w:val="315"/>
        </w:trPr>
        <w:tc>
          <w:tcPr>
            <w:tcW w:w="1395" w:type="dxa"/>
            <w:tcBorders>
              <w:top w:val="single" w:sz="4" w:space="0" w:color="auto"/>
              <w:left w:val="single" w:sz="4" w:space="0" w:color="auto"/>
              <w:bottom w:val="nil"/>
              <w:right w:val="nil"/>
            </w:tcBorders>
            <w:shd w:val="clear" w:color="auto" w:fill="auto"/>
            <w:hideMark/>
          </w:tcPr>
          <w:p w:rsidR="00112976" w:rsidRPr="003F682E" w:rsidRDefault="00112976" w:rsidP="00EF2D62">
            <w:pPr>
              <w:rPr>
                <w:rFonts w:cs="Arial"/>
                <w:b/>
                <w:bCs/>
                <w:lang w:val="es-ES_tradnl"/>
              </w:rPr>
            </w:pPr>
            <w:bookmarkStart w:id="43" w:name="_MON_1420012625"/>
            <w:bookmarkStart w:id="44" w:name="_MON_1421480327"/>
            <w:bookmarkEnd w:id="43"/>
            <w:bookmarkEnd w:id="44"/>
          </w:p>
        </w:tc>
        <w:tc>
          <w:tcPr>
            <w:tcW w:w="1314" w:type="dxa"/>
            <w:tcBorders>
              <w:top w:val="single" w:sz="4" w:space="0" w:color="auto"/>
              <w:left w:val="single" w:sz="4" w:space="0" w:color="auto"/>
              <w:bottom w:val="nil"/>
              <w:right w:val="single" w:sz="4" w:space="0" w:color="auto"/>
            </w:tcBorders>
            <w:shd w:val="clear" w:color="auto" w:fill="auto"/>
            <w:hideMark/>
          </w:tcPr>
          <w:p w:rsidR="00112976" w:rsidRPr="003F682E" w:rsidRDefault="00112976" w:rsidP="00EF2D62">
            <w:pPr>
              <w:jc w:val="center"/>
              <w:rPr>
                <w:rFonts w:cs="Arial"/>
                <w:i/>
                <w:iCs/>
                <w:lang w:val="es-ES_tradnl"/>
              </w:rPr>
            </w:pPr>
            <w:r w:rsidRPr="003F682E">
              <w:rPr>
                <w:rFonts w:cs="Arial"/>
                <w:i/>
                <w:lang w:val="es-ES_tradnl"/>
              </w:rPr>
              <w:t>2010-2011</w:t>
            </w:r>
          </w:p>
        </w:tc>
        <w:tc>
          <w:tcPr>
            <w:tcW w:w="1195" w:type="dxa"/>
            <w:tcBorders>
              <w:top w:val="single" w:sz="4" w:space="0" w:color="auto"/>
              <w:left w:val="nil"/>
              <w:bottom w:val="nil"/>
              <w:right w:val="single" w:sz="4" w:space="0" w:color="auto"/>
            </w:tcBorders>
            <w:shd w:val="clear" w:color="auto" w:fill="auto"/>
            <w:hideMark/>
          </w:tcPr>
          <w:p w:rsidR="00112976" w:rsidRPr="003F682E" w:rsidRDefault="00112976" w:rsidP="00EF2D62">
            <w:pPr>
              <w:jc w:val="center"/>
              <w:rPr>
                <w:rFonts w:cs="Arial"/>
                <w:i/>
                <w:iCs/>
                <w:lang w:val="es-ES_tradnl"/>
              </w:rPr>
            </w:pPr>
            <w:r w:rsidRPr="003F682E">
              <w:rPr>
                <w:rFonts w:cs="Arial"/>
                <w:i/>
                <w:lang w:val="es-ES_tradnl"/>
              </w:rPr>
              <w:t>2012-2013</w:t>
            </w:r>
          </w:p>
        </w:tc>
        <w:tc>
          <w:tcPr>
            <w:tcW w:w="2319" w:type="dxa"/>
            <w:gridSpan w:val="2"/>
            <w:tcBorders>
              <w:top w:val="single" w:sz="4" w:space="0" w:color="auto"/>
              <w:left w:val="nil"/>
              <w:bottom w:val="nil"/>
              <w:right w:val="single" w:sz="4" w:space="0" w:color="000000"/>
            </w:tcBorders>
            <w:shd w:val="clear" w:color="auto" w:fill="auto"/>
            <w:hideMark/>
          </w:tcPr>
          <w:p w:rsidR="00112976" w:rsidRPr="003F682E" w:rsidRDefault="00112976" w:rsidP="00EF2D62">
            <w:pPr>
              <w:jc w:val="center"/>
              <w:rPr>
                <w:rFonts w:cs="Arial"/>
                <w:i/>
                <w:iCs/>
                <w:lang w:val="es-ES_tradnl"/>
              </w:rPr>
            </w:pPr>
            <w:r w:rsidRPr="003F682E">
              <w:rPr>
                <w:rFonts w:cs="Arial"/>
                <w:i/>
                <w:lang w:val="es-ES_tradnl"/>
              </w:rPr>
              <w:t>Variación</w:t>
            </w:r>
          </w:p>
        </w:tc>
        <w:tc>
          <w:tcPr>
            <w:tcW w:w="1328" w:type="dxa"/>
            <w:tcBorders>
              <w:top w:val="single" w:sz="4" w:space="0" w:color="auto"/>
              <w:left w:val="nil"/>
              <w:bottom w:val="nil"/>
              <w:right w:val="single" w:sz="4" w:space="0" w:color="auto"/>
            </w:tcBorders>
            <w:shd w:val="clear" w:color="auto" w:fill="auto"/>
            <w:hideMark/>
          </w:tcPr>
          <w:p w:rsidR="00112976" w:rsidRPr="003F682E" w:rsidRDefault="00112976" w:rsidP="00EF2D62">
            <w:pPr>
              <w:jc w:val="center"/>
              <w:rPr>
                <w:rFonts w:cs="Arial"/>
                <w:i/>
                <w:iCs/>
                <w:lang w:val="es-ES_tradnl"/>
              </w:rPr>
            </w:pPr>
            <w:r w:rsidRPr="003F682E">
              <w:rPr>
                <w:rFonts w:cs="Arial"/>
                <w:i/>
                <w:lang w:val="es-ES_tradnl"/>
              </w:rPr>
              <w:t>2014-2015</w:t>
            </w:r>
          </w:p>
        </w:tc>
      </w:tr>
      <w:tr w:rsidR="005D61AB" w:rsidRPr="003F682E" w:rsidTr="00AE3687">
        <w:trPr>
          <w:trHeight w:val="255"/>
        </w:trPr>
        <w:tc>
          <w:tcPr>
            <w:tcW w:w="1395" w:type="dxa"/>
            <w:tcBorders>
              <w:top w:val="nil"/>
              <w:left w:val="single" w:sz="4" w:space="0" w:color="auto"/>
              <w:bottom w:val="nil"/>
              <w:right w:val="nil"/>
            </w:tcBorders>
            <w:shd w:val="clear" w:color="auto" w:fill="auto"/>
            <w:hideMark/>
          </w:tcPr>
          <w:p w:rsidR="00112976" w:rsidRPr="003F682E" w:rsidRDefault="00112976" w:rsidP="00EF2D62">
            <w:pPr>
              <w:rPr>
                <w:rFonts w:cs="Arial"/>
                <w:lang w:val="es-ES_tradnl"/>
              </w:rPr>
            </w:pPr>
            <w:r w:rsidRPr="003F682E">
              <w:rPr>
                <w:rFonts w:cs="Arial"/>
                <w:lang w:val="es-ES_tradnl"/>
              </w:rPr>
              <w:t>Fuente</w:t>
            </w:r>
          </w:p>
        </w:tc>
        <w:tc>
          <w:tcPr>
            <w:tcW w:w="1314" w:type="dxa"/>
            <w:tcBorders>
              <w:top w:val="nil"/>
              <w:left w:val="single" w:sz="4" w:space="0" w:color="auto"/>
              <w:bottom w:val="nil"/>
              <w:right w:val="single" w:sz="4" w:space="0" w:color="auto"/>
            </w:tcBorders>
            <w:shd w:val="clear" w:color="auto" w:fill="auto"/>
            <w:hideMark/>
          </w:tcPr>
          <w:p w:rsidR="00112976" w:rsidRPr="003F682E" w:rsidRDefault="00112976" w:rsidP="00EF2D62">
            <w:pPr>
              <w:jc w:val="center"/>
              <w:rPr>
                <w:rFonts w:cs="Arial"/>
                <w:i/>
                <w:iCs/>
                <w:lang w:val="es-ES_tradnl"/>
              </w:rPr>
            </w:pPr>
            <w:r w:rsidRPr="003F682E">
              <w:rPr>
                <w:rFonts w:cs="Arial"/>
                <w:i/>
                <w:iCs/>
                <w:lang w:val="es-ES_tradnl"/>
              </w:rPr>
              <w:t>Real</w:t>
            </w:r>
          </w:p>
        </w:tc>
        <w:tc>
          <w:tcPr>
            <w:tcW w:w="1195" w:type="dxa"/>
            <w:tcBorders>
              <w:top w:val="nil"/>
              <w:left w:val="nil"/>
              <w:bottom w:val="nil"/>
              <w:right w:val="single" w:sz="4" w:space="0" w:color="auto"/>
            </w:tcBorders>
            <w:shd w:val="clear" w:color="auto" w:fill="auto"/>
            <w:hideMark/>
          </w:tcPr>
          <w:p w:rsidR="00112976" w:rsidRPr="003F682E" w:rsidRDefault="00112976" w:rsidP="00EF2D62">
            <w:pPr>
              <w:jc w:val="center"/>
              <w:rPr>
                <w:rFonts w:cs="Arial"/>
                <w:i/>
                <w:iCs/>
                <w:lang w:val="es-ES_tradnl"/>
              </w:rPr>
            </w:pPr>
            <w:r w:rsidRPr="003F682E">
              <w:rPr>
                <w:rFonts w:cs="Arial"/>
                <w:i/>
                <w:lang w:val="es-ES_tradnl"/>
              </w:rPr>
              <w:t>Aprobado</w:t>
            </w:r>
          </w:p>
        </w:tc>
        <w:tc>
          <w:tcPr>
            <w:tcW w:w="1058" w:type="dxa"/>
            <w:tcBorders>
              <w:top w:val="nil"/>
              <w:left w:val="nil"/>
              <w:bottom w:val="nil"/>
              <w:right w:val="nil"/>
            </w:tcBorders>
            <w:shd w:val="clear" w:color="auto" w:fill="auto"/>
            <w:hideMark/>
          </w:tcPr>
          <w:p w:rsidR="00112976" w:rsidRPr="003F682E" w:rsidRDefault="00112976" w:rsidP="00EF2D62">
            <w:pPr>
              <w:rPr>
                <w:rFonts w:cs="Arial"/>
                <w:lang w:val="es-ES_tradnl"/>
              </w:rPr>
            </w:pPr>
          </w:p>
        </w:tc>
        <w:tc>
          <w:tcPr>
            <w:tcW w:w="1261" w:type="dxa"/>
            <w:tcBorders>
              <w:top w:val="nil"/>
              <w:left w:val="nil"/>
              <w:bottom w:val="nil"/>
              <w:right w:val="single" w:sz="4" w:space="0" w:color="auto"/>
            </w:tcBorders>
            <w:shd w:val="clear" w:color="auto" w:fill="auto"/>
            <w:hideMark/>
          </w:tcPr>
          <w:p w:rsidR="00112976" w:rsidRPr="003F682E" w:rsidRDefault="00112976" w:rsidP="00EF2D62">
            <w:pPr>
              <w:rPr>
                <w:rFonts w:cs="Arial"/>
                <w:lang w:val="es-ES_tradnl"/>
              </w:rPr>
            </w:pPr>
          </w:p>
        </w:tc>
        <w:tc>
          <w:tcPr>
            <w:tcW w:w="1328" w:type="dxa"/>
            <w:tcBorders>
              <w:top w:val="nil"/>
              <w:left w:val="nil"/>
              <w:bottom w:val="nil"/>
              <w:right w:val="single" w:sz="4" w:space="0" w:color="auto"/>
            </w:tcBorders>
            <w:shd w:val="clear" w:color="auto" w:fill="auto"/>
            <w:hideMark/>
          </w:tcPr>
          <w:p w:rsidR="00112976" w:rsidRPr="003F682E" w:rsidRDefault="00112976" w:rsidP="00EF2D62">
            <w:pPr>
              <w:jc w:val="center"/>
              <w:rPr>
                <w:rFonts w:cs="Arial"/>
                <w:i/>
                <w:iCs/>
                <w:lang w:val="es-ES_tradnl"/>
              </w:rPr>
            </w:pPr>
            <w:r w:rsidRPr="003F682E">
              <w:rPr>
                <w:rFonts w:cs="Arial"/>
                <w:i/>
                <w:lang w:val="es-ES_tradnl"/>
              </w:rPr>
              <w:t>Propuesto</w:t>
            </w:r>
          </w:p>
        </w:tc>
      </w:tr>
      <w:tr w:rsidR="005D61AB" w:rsidRPr="003F682E" w:rsidTr="00AE3687">
        <w:trPr>
          <w:trHeight w:val="255"/>
        </w:trPr>
        <w:tc>
          <w:tcPr>
            <w:tcW w:w="1395" w:type="dxa"/>
            <w:tcBorders>
              <w:top w:val="nil"/>
              <w:left w:val="single" w:sz="4" w:space="0" w:color="auto"/>
              <w:bottom w:val="single" w:sz="4" w:space="0" w:color="auto"/>
              <w:right w:val="nil"/>
            </w:tcBorders>
            <w:shd w:val="clear" w:color="auto" w:fill="auto"/>
            <w:hideMark/>
          </w:tcPr>
          <w:p w:rsidR="00112976" w:rsidRPr="003F682E" w:rsidRDefault="00112976" w:rsidP="00EF2D62">
            <w:pPr>
              <w:rPr>
                <w:rFonts w:cs="Arial"/>
                <w:b/>
                <w:bCs/>
                <w:lang w:val="es-ES_tradnl"/>
              </w:rPr>
            </w:pPr>
          </w:p>
        </w:tc>
        <w:tc>
          <w:tcPr>
            <w:tcW w:w="1314" w:type="dxa"/>
            <w:tcBorders>
              <w:top w:val="nil"/>
              <w:left w:val="single" w:sz="4" w:space="0" w:color="auto"/>
              <w:bottom w:val="single" w:sz="4" w:space="0" w:color="auto"/>
              <w:right w:val="single" w:sz="4" w:space="0" w:color="auto"/>
            </w:tcBorders>
            <w:shd w:val="clear" w:color="auto" w:fill="auto"/>
            <w:hideMark/>
          </w:tcPr>
          <w:p w:rsidR="00112976" w:rsidRPr="003F682E" w:rsidRDefault="00112976" w:rsidP="00EF2D62">
            <w:pPr>
              <w:jc w:val="center"/>
              <w:rPr>
                <w:rFonts w:cs="Arial"/>
                <w:i/>
                <w:iCs/>
                <w:lang w:val="es-ES_tradnl"/>
              </w:rPr>
            </w:pPr>
            <w:r w:rsidRPr="003F682E">
              <w:rPr>
                <w:rFonts w:cs="Arial"/>
                <w:i/>
                <w:lang w:val="es-ES_tradnl"/>
              </w:rPr>
              <w:t>A</w:t>
            </w:r>
          </w:p>
        </w:tc>
        <w:tc>
          <w:tcPr>
            <w:tcW w:w="1195" w:type="dxa"/>
            <w:tcBorders>
              <w:top w:val="nil"/>
              <w:left w:val="nil"/>
              <w:bottom w:val="single" w:sz="4" w:space="0" w:color="auto"/>
              <w:right w:val="single" w:sz="4" w:space="0" w:color="auto"/>
            </w:tcBorders>
            <w:shd w:val="clear" w:color="auto" w:fill="auto"/>
            <w:hideMark/>
          </w:tcPr>
          <w:p w:rsidR="00112976" w:rsidRPr="003F682E" w:rsidRDefault="00112976" w:rsidP="00EF2D62">
            <w:pPr>
              <w:jc w:val="center"/>
              <w:rPr>
                <w:rFonts w:cs="Arial"/>
                <w:i/>
                <w:iCs/>
                <w:lang w:val="es-ES_tradnl"/>
              </w:rPr>
            </w:pPr>
            <w:r w:rsidRPr="003F682E">
              <w:rPr>
                <w:rFonts w:cs="Arial"/>
                <w:i/>
                <w:lang w:val="es-ES_tradnl"/>
              </w:rPr>
              <w:t>B</w:t>
            </w:r>
          </w:p>
        </w:tc>
        <w:tc>
          <w:tcPr>
            <w:tcW w:w="1058" w:type="dxa"/>
            <w:tcBorders>
              <w:top w:val="single" w:sz="4" w:space="0" w:color="auto"/>
              <w:left w:val="nil"/>
              <w:bottom w:val="single" w:sz="4" w:space="0" w:color="auto"/>
              <w:right w:val="nil"/>
            </w:tcBorders>
            <w:shd w:val="clear" w:color="auto" w:fill="auto"/>
            <w:hideMark/>
          </w:tcPr>
          <w:p w:rsidR="00112976" w:rsidRPr="003F682E" w:rsidRDefault="00112976" w:rsidP="00EF2D62">
            <w:pPr>
              <w:jc w:val="center"/>
              <w:rPr>
                <w:rFonts w:cs="Arial"/>
                <w:i/>
                <w:iCs/>
                <w:lang w:val="es-ES_tradnl"/>
              </w:rPr>
            </w:pPr>
            <w:r w:rsidRPr="003F682E">
              <w:rPr>
                <w:rFonts w:cs="Arial"/>
                <w:i/>
                <w:lang w:val="es-ES_tradnl"/>
              </w:rPr>
              <w:t>C</w:t>
            </w:r>
          </w:p>
        </w:tc>
        <w:tc>
          <w:tcPr>
            <w:tcW w:w="1261" w:type="dxa"/>
            <w:tcBorders>
              <w:top w:val="single" w:sz="4" w:space="0" w:color="auto"/>
              <w:left w:val="single" w:sz="4" w:space="0" w:color="auto"/>
              <w:bottom w:val="single" w:sz="4" w:space="0" w:color="auto"/>
              <w:right w:val="single" w:sz="4" w:space="0" w:color="auto"/>
            </w:tcBorders>
            <w:shd w:val="clear" w:color="auto" w:fill="auto"/>
            <w:hideMark/>
          </w:tcPr>
          <w:p w:rsidR="00112976" w:rsidRPr="003F682E" w:rsidRDefault="00112976" w:rsidP="00EF2D62">
            <w:pPr>
              <w:jc w:val="center"/>
              <w:rPr>
                <w:rFonts w:cs="Arial"/>
                <w:i/>
                <w:iCs/>
                <w:lang w:val="es-ES_tradnl"/>
              </w:rPr>
            </w:pPr>
            <w:r w:rsidRPr="003F682E">
              <w:rPr>
                <w:rFonts w:cs="Arial"/>
                <w:i/>
                <w:lang w:val="es-ES_tradnl"/>
              </w:rPr>
              <w:t>C/</w:t>
            </w:r>
            <w:proofErr w:type="gramStart"/>
            <w:r w:rsidRPr="003F682E">
              <w:rPr>
                <w:rFonts w:cs="Arial"/>
                <w:i/>
                <w:lang w:val="es-ES_tradnl"/>
              </w:rPr>
              <w:t>B(</w:t>
            </w:r>
            <w:proofErr w:type="gramEnd"/>
            <w:r w:rsidRPr="003F682E">
              <w:rPr>
                <w:rFonts w:cs="Arial"/>
                <w:i/>
                <w:lang w:val="es-ES_tradnl"/>
              </w:rPr>
              <w:t>%)</w:t>
            </w:r>
          </w:p>
        </w:tc>
        <w:tc>
          <w:tcPr>
            <w:tcW w:w="1328" w:type="dxa"/>
            <w:tcBorders>
              <w:top w:val="single" w:sz="4" w:space="0" w:color="auto"/>
              <w:left w:val="nil"/>
              <w:bottom w:val="nil"/>
              <w:right w:val="single" w:sz="4" w:space="0" w:color="auto"/>
            </w:tcBorders>
            <w:shd w:val="clear" w:color="auto" w:fill="auto"/>
            <w:hideMark/>
          </w:tcPr>
          <w:p w:rsidR="00112976" w:rsidRPr="003F682E" w:rsidRDefault="00112976" w:rsidP="00EF2D62">
            <w:pPr>
              <w:jc w:val="center"/>
              <w:rPr>
                <w:rFonts w:cs="Arial"/>
                <w:i/>
                <w:iCs/>
                <w:lang w:val="es-ES_tradnl"/>
              </w:rPr>
            </w:pPr>
            <w:r w:rsidRPr="003F682E">
              <w:rPr>
                <w:rFonts w:cs="Arial"/>
                <w:i/>
                <w:lang w:val="es-ES_tradnl"/>
              </w:rPr>
              <w:t>D=B+C</w:t>
            </w:r>
          </w:p>
        </w:tc>
      </w:tr>
      <w:tr w:rsidR="005D61AB" w:rsidRPr="003F682E" w:rsidTr="00AE3687">
        <w:trPr>
          <w:trHeight w:val="450"/>
        </w:trPr>
        <w:tc>
          <w:tcPr>
            <w:tcW w:w="1395" w:type="dxa"/>
            <w:tcBorders>
              <w:top w:val="nil"/>
              <w:left w:val="single" w:sz="4" w:space="0" w:color="auto"/>
              <w:bottom w:val="nil"/>
              <w:right w:val="nil"/>
            </w:tcBorders>
            <w:shd w:val="clear" w:color="auto" w:fill="auto"/>
            <w:vAlign w:val="bottom"/>
            <w:hideMark/>
          </w:tcPr>
          <w:p w:rsidR="00112976" w:rsidRPr="00485C0A" w:rsidRDefault="00112976" w:rsidP="00EF2D62">
            <w:pPr>
              <w:jc w:val="left"/>
              <w:rPr>
                <w:rFonts w:cs="Arial"/>
                <w:lang w:val="es-ES_tradnl"/>
              </w:rPr>
            </w:pPr>
            <w:r w:rsidRPr="00485C0A">
              <w:rPr>
                <w:rFonts w:cs="Arial"/>
                <w:lang w:val="es-ES_tradnl"/>
              </w:rPr>
              <w:t>Contribuciones</w:t>
            </w:r>
          </w:p>
        </w:tc>
        <w:tc>
          <w:tcPr>
            <w:tcW w:w="1314" w:type="dxa"/>
            <w:tcBorders>
              <w:top w:val="nil"/>
              <w:left w:val="single" w:sz="4" w:space="0" w:color="auto"/>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6.563</w:t>
            </w:r>
          </w:p>
        </w:tc>
        <w:tc>
          <w:tcPr>
            <w:tcW w:w="1195"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6.657</w:t>
            </w:r>
          </w:p>
        </w:tc>
        <w:tc>
          <w:tcPr>
            <w:tcW w:w="1058"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21</w:t>
            </w:r>
          </w:p>
        </w:tc>
        <w:tc>
          <w:tcPr>
            <w:tcW w:w="1261" w:type="dxa"/>
            <w:tcBorders>
              <w:top w:val="nil"/>
              <w:left w:val="single" w:sz="4" w:space="0" w:color="auto"/>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0,3%</w:t>
            </w:r>
          </w:p>
        </w:tc>
        <w:tc>
          <w:tcPr>
            <w:tcW w:w="1328" w:type="dxa"/>
            <w:tcBorders>
              <w:top w:val="single" w:sz="4" w:space="0" w:color="auto"/>
              <w:left w:val="nil"/>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6.678</w:t>
            </w:r>
          </w:p>
        </w:tc>
      </w:tr>
      <w:tr w:rsidR="005D61AB" w:rsidRPr="003F682E" w:rsidTr="00AE3687">
        <w:trPr>
          <w:trHeight w:val="450"/>
        </w:trPr>
        <w:tc>
          <w:tcPr>
            <w:tcW w:w="1395" w:type="dxa"/>
            <w:tcBorders>
              <w:top w:val="nil"/>
              <w:left w:val="single" w:sz="4" w:space="0" w:color="auto"/>
              <w:bottom w:val="nil"/>
              <w:right w:val="nil"/>
            </w:tcBorders>
            <w:shd w:val="clear" w:color="auto" w:fill="auto"/>
            <w:vAlign w:val="bottom"/>
            <w:hideMark/>
          </w:tcPr>
          <w:p w:rsidR="00112976" w:rsidRPr="003F682E" w:rsidRDefault="00112976" w:rsidP="00EF2D62">
            <w:pPr>
              <w:jc w:val="left"/>
              <w:rPr>
                <w:rFonts w:cs="Arial"/>
                <w:lang w:val="es-ES_tradnl"/>
              </w:rPr>
            </w:pPr>
            <w:r w:rsidRPr="003F682E">
              <w:rPr>
                <w:rFonts w:cs="Arial"/>
                <w:lang w:val="es-ES_tradnl"/>
              </w:rPr>
              <w:t>Publicaciones</w:t>
            </w:r>
          </w:p>
        </w:tc>
        <w:tc>
          <w:tcPr>
            <w:tcW w:w="1314" w:type="dxa"/>
            <w:tcBorders>
              <w:top w:val="nil"/>
              <w:left w:val="single" w:sz="4" w:space="0" w:color="auto"/>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48</w:t>
            </w:r>
          </w:p>
        </w:tc>
        <w:tc>
          <w:tcPr>
            <w:tcW w:w="1195"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10</w:t>
            </w:r>
          </w:p>
        </w:tc>
        <w:tc>
          <w:tcPr>
            <w:tcW w:w="1058"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0</w:t>
            </w:r>
          </w:p>
        </w:tc>
        <w:tc>
          <w:tcPr>
            <w:tcW w:w="1261" w:type="dxa"/>
            <w:tcBorders>
              <w:top w:val="nil"/>
              <w:left w:val="single" w:sz="4" w:space="0" w:color="auto"/>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0,0%</w:t>
            </w:r>
          </w:p>
        </w:tc>
        <w:tc>
          <w:tcPr>
            <w:tcW w:w="1328"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10</w:t>
            </w:r>
          </w:p>
        </w:tc>
      </w:tr>
      <w:tr w:rsidR="005D61AB" w:rsidRPr="003F682E" w:rsidTr="00AE3687">
        <w:trPr>
          <w:trHeight w:val="450"/>
        </w:trPr>
        <w:tc>
          <w:tcPr>
            <w:tcW w:w="1395" w:type="dxa"/>
            <w:tcBorders>
              <w:top w:val="nil"/>
              <w:left w:val="single" w:sz="4" w:space="0" w:color="auto"/>
              <w:bottom w:val="nil"/>
              <w:right w:val="nil"/>
            </w:tcBorders>
            <w:shd w:val="clear" w:color="auto" w:fill="auto"/>
            <w:vAlign w:val="bottom"/>
            <w:hideMark/>
          </w:tcPr>
          <w:p w:rsidR="00112976" w:rsidRPr="003F682E" w:rsidRDefault="00112976" w:rsidP="00EF2D62">
            <w:pPr>
              <w:jc w:val="left"/>
              <w:rPr>
                <w:rFonts w:cs="Arial"/>
                <w:lang w:val="es-ES_tradnl"/>
              </w:rPr>
            </w:pPr>
            <w:r w:rsidRPr="003F682E">
              <w:rPr>
                <w:rFonts w:cs="Arial"/>
                <w:lang w:val="es-ES_tradnl"/>
              </w:rPr>
              <w:t>Interés</w:t>
            </w:r>
          </w:p>
        </w:tc>
        <w:tc>
          <w:tcPr>
            <w:tcW w:w="1314" w:type="dxa"/>
            <w:tcBorders>
              <w:top w:val="nil"/>
              <w:left w:val="single" w:sz="4" w:space="0" w:color="auto"/>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78</w:t>
            </w:r>
          </w:p>
        </w:tc>
        <w:tc>
          <w:tcPr>
            <w:tcW w:w="1195"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70</w:t>
            </w:r>
          </w:p>
        </w:tc>
        <w:tc>
          <w:tcPr>
            <w:tcW w:w="1058"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-50</w:t>
            </w:r>
          </w:p>
        </w:tc>
        <w:tc>
          <w:tcPr>
            <w:tcW w:w="1261" w:type="dxa"/>
            <w:tcBorders>
              <w:top w:val="nil"/>
              <w:left w:val="single" w:sz="4" w:space="0" w:color="auto"/>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-71,4%</w:t>
            </w:r>
          </w:p>
        </w:tc>
        <w:tc>
          <w:tcPr>
            <w:tcW w:w="1328"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20</w:t>
            </w:r>
          </w:p>
        </w:tc>
      </w:tr>
      <w:tr w:rsidR="005D61AB" w:rsidRPr="003F682E" w:rsidTr="00AE3687">
        <w:trPr>
          <w:trHeight w:val="450"/>
        </w:trPr>
        <w:tc>
          <w:tcPr>
            <w:tcW w:w="1395" w:type="dxa"/>
            <w:tcBorders>
              <w:top w:val="nil"/>
              <w:left w:val="single" w:sz="4" w:space="0" w:color="auto"/>
              <w:bottom w:val="nil"/>
              <w:right w:val="nil"/>
            </w:tcBorders>
            <w:shd w:val="clear" w:color="auto" w:fill="auto"/>
            <w:vAlign w:val="bottom"/>
            <w:hideMark/>
          </w:tcPr>
          <w:p w:rsidR="00112976" w:rsidRPr="003F682E" w:rsidRDefault="00112976" w:rsidP="00EF2D62">
            <w:pPr>
              <w:jc w:val="left"/>
              <w:rPr>
                <w:rFonts w:cs="Arial"/>
                <w:lang w:val="es-ES_tradnl"/>
              </w:rPr>
            </w:pPr>
            <w:r w:rsidRPr="003F682E">
              <w:rPr>
                <w:rFonts w:cs="Arial"/>
                <w:lang w:val="es-ES_tradnl"/>
              </w:rPr>
              <w:t>Otros*</w:t>
            </w:r>
          </w:p>
        </w:tc>
        <w:tc>
          <w:tcPr>
            <w:tcW w:w="1314" w:type="dxa"/>
            <w:tcBorders>
              <w:top w:val="nil"/>
              <w:left w:val="single" w:sz="4" w:space="0" w:color="auto"/>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212</w:t>
            </w:r>
          </w:p>
        </w:tc>
        <w:tc>
          <w:tcPr>
            <w:tcW w:w="1195"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61</w:t>
            </w:r>
          </w:p>
        </w:tc>
        <w:tc>
          <w:tcPr>
            <w:tcW w:w="1058" w:type="dxa"/>
            <w:tcBorders>
              <w:top w:val="nil"/>
              <w:left w:val="nil"/>
              <w:bottom w:val="nil"/>
              <w:right w:val="nil"/>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25</w:t>
            </w:r>
          </w:p>
        </w:tc>
        <w:tc>
          <w:tcPr>
            <w:tcW w:w="1261" w:type="dxa"/>
            <w:tcBorders>
              <w:top w:val="nil"/>
              <w:left w:val="single" w:sz="4" w:space="0" w:color="auto"/>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41,0%</w:t>
            </w:r>
          </w:p>
        </w:tc>
        <w:tc>
          <w:tcPr>
            <w:tcW w:w="1328" w:type="dxa"/>
            <w:tcBorders>
              <w:top w:val="nil"/>
              <w:left w:val="nil"/>
              <w:bottom w:val="nil"/>
              <w:right w:val="single" w:sz="4" w:space="0" w:color="auto"/>
            </w:tcBorders>
            <w:shd w:val="clear" w:color="auto" w:fill="auto"/>
            <w:vAlign w:val="bottom"/>
            <w:hideMark/>
          </w:tcPr>
          <w:p w:rsidR="00112976" w:rsidRPr="003F682E" w:rsidRDefault="00112976" w:rsidP="00EF2D62">
            <w:pPr>
              <w:jc w:val="right"/>
              <w:rPr>
                <w:rFonts w:cs="Arial"/>
                <w:lang w:val="es-ES_tradnl"/>
              </w:rPr>
            </w:pPr>
            <w:r w:rsidRPr="003F682E">
              <w:rPr>
                <w:rFonts w:cs="Arial"/>
                <w:lang w:val="es-ES_tradnl"/>
              </w:rPr>
              <w:t>86</w:t>
            </w:r>
          </w:p>
        </w:tc>
      </w:tr>
      <w:tr w:rsidR="005D61AB" w:rsidRPr="003F682E" w:rsidTr="00AE3687">
        <w:trPr>
          <w:trHeight w:val="585"/>
        </w:trPr>
        <w:tc>
          <w:tcPr>
            <w:tcW w:w="1395" w:type="dxa"/>
            <w:tcBorders>
              <w:top w:val="single" w:sz="4" w:space="0" w:color="auto"/>
              <w:left w:val="single" w:sz="4" w:space="0" w:color="auto"/>
              <w:bottom w:val="single" w:sz="4" w:space="0" w:color="auto"/>
              <w:right w:val="nil"/>
            </w:tcBorders>
            <w:shd w:val="clear" w:color="auto" w:fill="auto"/>
            <w:vAlign w:val="bottom"/>
            <w:hideMark/>
          </w:tcPr>
          <w:p w:rsidR="00112976" w:rsidRPr="003F682E" w:rsidRDefault="00112976" w:rsidP="00EF2D62">
            <w:pPr>
              <w:rPr>
                <w:rFonts w:cs="Arial"/>
                <w:b/>
                <w:bCs/>
                <w:lang w:val="es-ES_tradnl"/>
              </w:rPr>
            </w:pPr>
            <w:r w:rsidRPr="003F682E">
              <w:rPr>
                <w:rFonts w:cs="Arial"/>
                <w:b/>
                <w:lang w:val="es-ES_tradnl"/>
              </w:rPr>
              <w:t>Total</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6.901</w:t>
            </w:r>
          </w:p>
        </w:tc>
        <w:tc>
          <w:tcPr>
            <w:tcW w:w="1195"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6.798</w:t>
            </w:r>
          </w:p>
        </w:tc>
        <w:tc>
          <w:tcPr>
            <w:tcW w:w="1058"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-4</w:t>
            </w:r>
          </w:p>
        </w:tc>
        <w:tc>
          <w:tcPr>
            <w:tcW w:w="1261"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-0,06%</w:t>
            </w:r>
          </w:p>
        </w:tc>
        <w:tc>
          <w:tcPr>
            <w:tcW w:w="1328" w:type="dxa"/>
            <w:tcBorders>
              <w:top w:val="single" w:sz="4" w:space="0" w:color="auto"/>
              <w:left w:val="nil"/>
              <w:bottom w:val="single" w:sz="4" w:space="0" w:color="auto"/>
              <w:right w:val="single" w:sz="4" w:space="0" w:color="auto"/>
            </w:tcBorders>
            <w:shd w:val="clear" w:color="auto" w:fill="auto"/>
            <w:vAlign w:val="bottom"/>
            <w:hideMark/>
          </w:tcPr>
          <w:p w:rsidR="00112976" w:rsidRPr="003F682E" w:rsidRDefault="00112976" w:rsidP="00EF2D62">
            <w:pPr>
              <w:jc w:val="right"/>
              <w:rPr>
                <w:rFonts w:cs="Arial"/>
                <w:b/>
                <w:bCs/>
                <w:lang w:val="es-ES_tradnl"/>
              </w:rPr>
            </w:pPr>
            <w:r w:rsidRPr="003F682E">
              <w:rPr>
                <w:rFonts w:cs="Arial"/>
                <w:b/>
                <w:lang w:val="es-ES_tradnl"/>
              </w:rPr>
              <w:t>6.794</w:t>
            </w:r>
          </w:p>
        </w:tc>
      </w:tr>
    </w:tbl>
    <w:p w:rsidR="00FF5D3C" w:rsidRPr="003856C8" w:rsidRDefault="00FF5D3C" w:rsidP="00EF2D62">
      <w:pPr>
        <w:spacing w:before="120"/>
        <w:ind w:left="993" w:right="1134"/>
        <w:rPr>
          <w:rFonts w:cs="Arial"/>
          <w:i/>
          <w:sz w:val="18"/>
          <w:szCs w:val="18"/>
          <w:lang w:val="es-ES_tradnl"/>
        </w:rPr>
      </w:pPr>
      <w:r w:rsidRPr="003856C8">
        <w:rPr>
          <w:rFonts w:cs="Arial"/>
          <w:sz w:val="18"/>
          <w:szCs w:val="18"/>
          <w:lang w:val="es-ES_tradnl"/>
        </w:rPr>
        <w:t>*</w:t>
      </w:r>
      <w:proofErr w:type="gramStart"/>
      <w:r w:rsidRPr="003856C8">
        <w:rPr>
          <w:rFonts w:cs="Arial"/>
          <w:sz w:val="18"/>
          <w:szCs w:val="18"/>
          <w:lang w:val="es-ES_tradnl"/>
        </w:rPr>
        <w:t xml:space="preserve">:  </w:t>
      </w:r>
      <w:r w:rsidRPr="003856C8">
        <w:rPr>
          <w:rFonts w:cs="Arial"/>
          <w:i/>
          <w:sz w:val="18"/>
          <w:szCs w:val="18"/>
          <w:lang w:val="es-ES_tradnl"/>
        </w:rPr>
        <w:t>Incluye</w:t>
      </w:r>
      <w:proofErr w:type="gramEnd"/>
      <w:r w:rsidRPr="003856C8">
        <w:rPr>
          <w:rFonts w:cs="Arial"/>
          <w:i/>
          <w:sz w:val="18"/>
          <w:szCs w:val="18"/>
          <w:lang w:val="es-ES_tradnl"/>
        </w:rPr>
        <w:t xml:space="preserve"> principalmente los reembolsos procedentes de los fondos fiduciarios y los ingresos procedentes de las tasas abonadas por los participantes en el programa de enseñanza a distancia de la UPOV.</w:t>
      </w:r>
    </w:p>
    <w:p w:rsidR="00FF08D0" w:rsidRPr="003856C8" w:rsidRDefault="00FF08D0" w:rsidP="00EF2D62">
      <w:pPr>
        <w:spacing w:before="120"/>
        <w:ind w:right="1134"/>
        <w:rPr>
          <w:rFonts w:cs="Arial"/>
          <w:sz w:val="18"/>
          <w:szCs w:val="18"/>
          <w:lang w:val="es-ES_tradnl"/>
        </w:rPr>
      </w:pPr>
    </w:p>
    <w:p w:rsidR="00FF08D0" w:rsidRPr="002B0BD5" w:rsidRDefault="00FF08D0" w:rsidP="00EF2D62">
      <w:pPr>
        <w:jc w:val="left"/>
        <w:rPr>
          <w:rFonts w:cs="Arial"/>
          <w:lang w:val="es-ES_tradnl"/>
        </w:rPr>
      </w:pPr>
      <w:r w:rsidRPr="002B0BD5">
        <w:rPr>
          <w:rFonts w:cs="Arial"/>
          <w:lang w:val="es-ES_tradnl"/>
        </w:rPr>
        <w:br w:type="page"/>
      </w:r>
    </w:p>
    <w:p w:rsidR="00FF5D3C" w:rsidRPr="002B0BD5" w:rsidRDefault="00FF5D3C" w:rsidP="00EF2D62">
      <w:pPr>
        <w:pStyle w:val="Heading1"/>
      </w:pPr>
      <w:bookmarkStart w:id="45" w:name="_Toc363577078"/>
      <w:r w:rsidRPr="002B0BD5">
        <w:t>4.</w:t>
      </w:r>
      <w:r w:rsidR="00FF08D0" w:rsidRPr="002B0BD5">
        <w:tab/>
      </w:r>
      <w:r w:rsidRPr="002B0BD5">
        <w:t>INDICADORES FINANCIEROS CORRESPONDIENTES AL PERÍODO 2008-2017</w:t>
      </w:r>
      <w:bookmarkEnd w:id="45"/>
    </w:p>
    <w:p w:rsidR="00FF5D3C" w:rsidRPr="002B0BD5" w:rsidRDefault="00FF5D3C" w:rsidP="00EF2D62">
      <w:pPr>
        <w:rPr>
          <w:rFonts w:cs="Arial"/>
          <w:lang w:val="es-ES_tradnl"/>
        </w:rPr>
      </w:pPr>
    </w:p>
    <w:p w:rsidR="00FF5D3C" w:rsidRPr="002B0BD5" w:rsidRDefault="00FF5D3C" w:rsidP="00EF2D62">
      <w:pPr>
        <w:tabs>
          <w:tab w:val="left" w:pos="567"/>
        </w:tabs>
        <w:rPr>
          <w:rFonts w:cs="Arial"/>
          <w:lang w:val="es-ES_tradnl"/>
        </w:rPr>
      </w:pPr>
      <w:r w:rsidRPr="002B0BD5">
        <w:rPr>
          <w:rFonts w:cs="Arial"/>
          <w:lang w:val="es-ES_tradnl"/>
        </w:rPr>
        <w:t xml:space="preserve">4.1 </w:t>
      </w:r>
      <w:r w:rsidR="00FF08D0" w:rsidRPr="002B0BD5">
        <w:rPr>
          <w:rFonts w:cs="Arial"/>
          <w:lang w:val="es-ES_tradnl"/>
        </w:rPr>
        <w:tab/>
      </w:r>
      <w:r w:rsidRPr="002B0BD5">
        <w:rPr>
          <w:rFonts w:cs="Arial"/>
          <w:lang w:val="es-ES_tradnl"/>
        </w:rPr>
        <w:t>En el programa y presupuesto para el bienio 2014-2015 se incluyen indicadores financieros que abarcan un período de 10 años y comprenden los dos años posteriores al nuevo bienio e información recabada del pasado reciente.  El propósito de la presentación de los indicadores financieros es situar el presupuesto para el bienio 2014-2015 en un contexto, con indicación de las tendencias y una evaluación de su viabilidad financiera futura.  Esta información se proporciona con objeto de facilitar a los miembros la revisión del programa y presupuesto propuesto, así como la adopción de decisiones al respecto, por lo que no debe interpretarse que impone compromiso financiero alguno ni aprobación con posterioridad a 2015.</w:t>
      </w:r>
      <w:r w:rsidR="00421639" w:rsidRPr="002B0BD5">
        <w:rPr>
          <w:rFonts w:cs="Arial"/>
          <w:lang w:val="es-ES_tradnl"/>
        </w:rPr>
        <w:t xml:space="preserve">  </w:t>
      </w:r>
    </w:p>
    <w:p w:rsidR="00FF5D3C" w:rsidRPr="002B0BD5" w:rsidRDefault="00FF5D3C" w:rsidP="00EF2D62">
      <w:pPr>
        <w:tabs>
          <w:tab w:val="left" w:pos="567"/>
        </w:tabs>
        <w:rPr>
          <w:rFonts w:cs="Arial"/>
          <w:lang w:val="es-ES_tradnl"/>
        </w:rPr>
      </w:pPr>
    </w:p>
    <w:p w:rsidR="00FF5D3C" w:rsidRPr="002B0BD5" w:rsidRDefault="00FF5D3C" w:rsidP="00EF2D62">
      <w:pPr>
        <w:tabs>
          <w:tab w:val="left" w:pos="567"/>
        </w:tabs>
        <w:rPr>
          <w:rFonts w:cs="Arial"/>
          <w:lang w:val="es-ES_tradnl"/>
        </w:rPr>
      </w:pPr>
      <w:r w:rsidRPr="002B0BD5">
        <w:rPr>
          <w:rFonts w:cs="Arial"/>
          <w:lang w:val="es-ES_tradnl"/>
        </w:rPr>
        <w:t xml:space="preserve">4.2 </w:t>
      </w:r>
      <w:r w:rsidR="00FF08D0" w:rsidRPr="002B0BD5">
        <w:rPr>
          <w:rFonts w:cs="Arial"/>
          <w:lang w:val="es-ES_tradnl"/>
        </w:rPr>
        <w:tab/>
      </w:r>
      <w:r w:rsidRPr="002B0BD5">
        <w:rPr>
          <w:rFonts w:cs="Arial"/>
          <w:lang w:val="es-ES_tradnl"/>
        </w:rPr>
        <w:t xml:space="preserve">En el </w:t>
      </w:r>
      <w:r w:rsidRPr="002B0BD5">
        <w:rPr>
          <w:rFonts w:cs="Arial"/>
          <w:b/>
          <w:lang w:val="es-ES_tradnl"/>
        </w:rPr>
        <w:t>Cuadro 9</w:t>
      </w:r>
      <w:r w:rsidRPr="002B0BD5">
        <w:rPr>
          <w:rFonts w:cs="Arial"/>
          <w:lang w:val="es-ES_tradnl"/>
        </w:rPr>
        <w:t xml:space="preserve"> y en el </w:t>
      </w:r>
      <w:r w:rsidRPr="002B0BD5">
        <w:rPr>
          <w:rFonts w:cs="Arial"/>
          <w:b/>
          <w:lang w:val="es-ES_tradnl"/>
        </w:rPr>
        <w:t>gráfico</w:t>
      </w:r>
      <w:r w:rsidRPr="002B0BD5">
        <w:rPr>
          <w:rFonts w:cs="Arial"/>
          <w:lang w:val="es-ES_tradnl"/>
        </w:rPr>
        <w:t xml:space="preserve"> que figuran a continuación se expone la evolución del presupuesto ordinario en lo que se refiere a los ingresos, los gastos y los fondos de reserva y operaciones.</w:t>
      </w:r>
    </w:p>
    <w:p w:rsidR="00FF5D3C" w:rsidRPr="002B0BD5" w:rsidRDefault="00FF5D3C" w:rsidP="00EF2D62">
      <w:pPr>
        <w:tabs>
          <w:tab w:val="left" w:pos="567"/>
        </w:tabs>
        <w:rPr>
          <w:rFonts w:cs="Arial"/>
          <w:lang w:val="es-ES_tradnl"/>
        </w:rPr>
      </w:pPr>
    </w:p>
    <w:p w:rsidR="00FF5D3C" w:rsidRPr="002B0BD5" w:rsidRDefault="00FF5D3C" w:rsidP="00EF2D62">
      <w:pPr>
        <w:pStyle w:val="Heading4"/>
        <w:rPr>
          <w:lang w:val="es-ES_tradnl"/>
        </w:rPr>
      </w:pPr>
      <w:bookmarkStart w:id="46" w:name="_Toc363577079"/>
      <w:r w:rsidRPr="002B0BD5">
        <w:rPr>
          <w:lang w:val="es-ES_tradnl"/>
        </w:rPr>
        <w:t>Cuadro 9</w:t>
      </w:r>
      <w:proofErr w:type="gramStart"/>
      <w:r w:rsidRPr="002B0BD5">
        <w:rPr>
          <w:lang w:val="es-ES_tradnl"/>
        </w:rPr>
        <w:t>:  Ingresos</w:t>
      </w:r>
      <w:proofErr w:type="gramEnd"/>
      <w:r w:rsidRPr="002B0BD5">
        <w:rPr>
          <w:lang w:val="es-ES_tradnl"/>
        </w:rPr>
        <w:t>, gastos y reservas para el período 2008-2017</w:t>
      </w:r>
      <w:bookmarkEnd w:id="46"/>
    </w:p>
    <w:p w:rsidR="00FF5D3C" w:rsidRPr="002B0BD5" w:rsidRDefault="00FF5D3C" w:rsidP="00EF2D62">
      <w:pPr>
        <w:jc w:val="center"/>
        <w:rPr>
          <w:rFonts w:cs="Arial"/>
          <w:lang w:val="es-ES_tradnl"/>
        </w:rPr>
      </w:pPr>
      <w:r w:rsidRPr="002B0BD5">
        <w:rPr>
          <w:rFonts w:cs="Arial"/>
          <w:lang w:val="es-ES_tradnl"/>
        </w:rPr>
        <w:t>(</w:t>
      </w:r>
      <w:proofErr w:type="gramStart"/>
      <w:r w:rsidRPr="002B0BD5">
        <w:rPr>
          <w:rFonts w:cs="Arial"/>
          <w:lang w:val="es-ES_tradnl"/>
        </w:rPr>
        <w:t>en</w:t>
      </w:r>
      <w:proofErr w:type="gramEnd"/>
      <w:r w:rsidRPr="002B0BD5">
        <w:rPr>
          <w:rFonts w:cs="Arial"/>
          <w:lang w:val="es-ES_tradnl"/>
        </w:rPr>
        <w:t xml:space="preserve"> miles de francos suizos)</w:t>
      </w:r>
    </w:p>
    <w:p w:rsidR="004236BB" w:rsidRPr="002B0BD5" w:rsidRDefault="004236BB" w:rsidP="00EF2D62">
      <w:pPr>
        <w:jc w:val="center"/>
        <w:rPr>
          <w:rFonts w:cs="Arial"/>
          <w:lang w:val="es-ES_tradnl"/>
        </w:rPr>
      </w:pPr>
    </w:p>
    <w:tbl>
      <w:tblPr>
        <w:tblW w:w="9670" w:type="dxa"/>
        <w:tblInd w:w="93" w:type="dxa"/>
        <w:tblLook w:val="04A0" w:firstRow="1" w:lastRow="0" w:firstColumn="1" w:lastColumn="0" w:noHBand="0" w:noVBand="1"/>
      </w:tblPr>
      <w:tblGrid>
        <w:gridCol w:w="2000"/>
        <w:gridCol w:w="767"/>
        <w:gridCol w:w="767"/>
        <w:gridCol w:w="767"/>
        <w:gridCol w:w="767"/>
        <w:gridCol w:w="767"/>
        <w:gridCol w:w="767"/>
        <w:gridCol w:w="767"/>
        <w:gridCol w:w="767"/>
        <w:gridCol w:w="767"/>
        <w:gridCol w:w="767"/>
      </w:tblGrid>
      <w:tr w:rsidR="005D61AB" w:rsidRPr="00494E4B" w:rsidTr="00494E4B">
        <w:trPr>
          <w:trHeight w:val="255"/>
        </w:trPr>
        <w:tc>
          <w:tcPr>
            <w:tcW w:w="2000" w:type="dxa"/>
            <w:tcBorders>
              <w:top w:val="nil"/>
              <w:left w:val="nil"/>
              <w:bottom w:val="nil"/>
              <w:right w:val="nil"/>
            </w:tcBorders>
            <w:shd w:val="clear" w:color="000000" w:fill="FFFFFF"/>
            <w:noWrap/>
            <w:vAlign w:val="bottom"/>
            <w:hideMark/>
          </w:tcPr>
          <w:p w:rsidR="00112976" w:rsidRPr="00494E4B" w:rsidRDefault="00112976" w:rsidP="00EF2D62">
            <w:pPr>
              <w:jc w:val="left"/>
              <w:rPr>
                <w:rFonts w:cs="Arial"/>
                <w:sz w:val="18"/>
                <w:szCs w:val="18"/>
                <w:lang w:val="es-ES_tradnl"/>
              </w:rPr>
            </w:pPr>
            <w:r w:rsidRPr="00494E4B">
              <w:rPr>
                <w:rFonts w:cs="Arial"/>
                <w:sz w:val="18"/>
                <w:szCs w:val="18"/>
                <w:lang w:val="es-ES_tradnl"/>
              </w:rPr>
              <w:t xml:space="preserve">Base presupuestaria </w:t>
            </w:r>
          </w:p>
        </w:tc>
        <w:tc>
          <w:tcPr>
            <w:tcW w:w="767" w:type="dxa"/>
            <w:tcBorders>
              <w:top w:val="nil"/>
              <w:left w:val="nil"/>
              <w:bottom w:val="nil"/>
              <w:right w:val="nil"/>
            </w:tcBorders>
            <w:shd w:val="clear" w:color="000000" w:fill="FFFFFF"/>
            <w:noWrap/>
            <w:vAlign w:val="bottom"/>
            <w:hideMark/>
          </w:tcPr>
          <w:p w:rsidR="00112976" w:rsidRPr="00494E4B" w:rsidRDefault="00112976" w:rsidP="00EF2D62">
            <w:pPr>
              <w:jc w:val="left"/>
              <w:rPr>
                <w:rFonts w:cs="Arial"/>
                <w:sz w:val="18"/>
                <w:szCs w:val="18"/>
                <w:lang w:val="es-ES_tradnl"/>
              </w:rPr>
            </w:pPr>
            <w:r w:rsidRPr="00494E4B">
              <w:rPr>
                <w:rFonts w:cs="Arial"/>
                <w:sz w:val="18"/>
                <w:szCs w:val="18"/>
                <w:lang w:val="es-ES_tradnl"/>
              </w:rPr>
              <w:t> </w:t>
            </w:r>
          </w:p>
        </w:tc>
        <w:tc>
          <w:tcPr>
            <w:tcW w:w="767" w:type="dxa"/>
            <w:tcBorders>
              <w:top w:val="nil"/>
              <w:left w:val="nil"/>
              <w:bottom w:val="nil"/>
              <w:right w:val="nil"/>
            </w:tcBorders>
            <w:shd w:val="clear" w:color="000000" w:fill="FFFFFF"/>
            <w:noWrap/>
            <w:vAlign w:val="bottom"/>
            <w:hideMark/>
          </w:tcPr>
          <w:p w:rsidR="00112976" w:rsidRPr="00494E4B" w:rsidRDefault="00112976" w:rsidP="00EF2D62">
            <w:pPr>
              <w:jc w:val="left"/>
              <w:rPr>
                <w:rFonts w:cs="Arial"/>
                <w:sz w:val="18"/>
                <w:szCs w:val="18"/>
                <w:lang w:val="es-ES_tradnl"/>
              </w:rPr>
            </w:pPr>
            <w:r w:rsidRPr="00494E4B">
              <w:rPr>
                <w:rFonts w:cs="Arial"/>
                <w:sz w:val="18"/>
                <w:szCs w:val="18"/>
                <w:lang w:val="es-ES_tradnl"/>
              </w:rPr>
              <w:t> </w:t>
            </w:r>
          </w:p>
        </w:tc>
        <w:tc>
          <w:tcPr>
            <w:tcW w:w="767" w:type="dxa"/>
            <w:tcBorders>
              <w:top w:val="nil"/>
              <w:left w:val="nil"/>
              <w:bottom w:val="nil"/>
              <w:right w:val="nil"/>
            </w:tcBorders>
            <w:shd w:val="clear" w:color="000000" w:fill="FFFFFF"/>
            <w:noWrap/>
            <w:vAlign w:val="bottom"/>
            <w:hideMark/>
          </w:tcPr>
          <w:p w:rsidR="00112976" w:rsidRPr="00494E4B" w:rsidRDefault="00112976" w:rsidP="00EF2D62">
            <w:pPr>
              <w:jc w:val="left"/>
              <w:rPr>
                <w:rFonts w:cs="Arial"/>
                <w:sz w:val="18"/>
                <w:szCs w:val="18"/>
                <w:lang w:val="es-ES_tradnl"/>
              </w:rPr>
            </w:pPr>
            <w:r w:rsidRPr="00494E4B">
              <w:rPr>
                <w:rFonts w:cs="Arial"/>
                <w:sz w:val="18"/>
                <w:szCs w:val="18"/>
                <w:lang w:val="es-ES_tradnl"/>
              </w:rPr>
              <w:t> </w:t>
            </w:r>
          </w:p>
        </w:tc>
        <w:tc>
          <w:tcPr>
            <w:tcW w:w="767" w:type="dxa"/>
            <w:tcBorders>
              <w:top w:val="nil"/>
              <w:left w:val="nil"/>
              <w:bottom w:val="nil"/>
            </w:tcBorders>
            <w:shd w:val="clear" w:color="000000" w:fill="FFFFFF"/>
            <w:noWrap/>
            <w:vAlign w:val="bottom"/>
            <w:hideMark/>
          </w:tcPr>
          <w:p w:rsidR="00112976" w:rsidRPr="00494E4B" w:rsidRDefault="00112976" w:rsidP="00EF2D62">
            <w:pPr>
              <w:jc w:val="left"/>
              <w:rPr>
                <w:rFonts w:cs="Arial"/>
                <w:sz w:val="18"/>
                <w:szCs w:val="18"/>
                <w:lang w:val="es-ES_tradnl"/>
              </w:rPr>
            </w:pPr>
            <w:r w:rsidRPr="00494E4B">
              <w:rPr>
                <w:rFonts w:cs="Arial"/>
                <w:sz w:val="18"/>
                <w:szCs w:val="18"/>
                <w:lang w:val="es-ES_tradnl"/>
              </w:rPr>
              <w:t> </w:t>
            </w:r>
          </w:p>
        </w:tc>
        <w:tc>
          <w:tcPr>
            <w:tcW w:w="3068" w:type="dxa"/>
            <w:gridSpan w:val="4"/>
            <w:tcBorders>
              <w:bottom w:val="single" w:sz="4" w:space="0" w:color="auto"/>
            </w:tcBorders>
            <w:shd w:val="clear" w:color="000000" w:fill="FFFFFF"/>
            <w:noWrap/>
            <w:vAlign w:val="bottom"/>
            <w:hideMark/>
          </w:tcPr>
          <w:p w:rsidR="00112976" w:rsidRPr="00494E4B" w:rsidRDefault="00112976" w:rsidP="00EF2D62">
            <w:pPr>
              <w:jc w:val="center"/>
              <w:rPr>
                <w:rFonts w:cs="Arial"/>
                <w:sz w:val="18"/>
                <w:szCs w:val="18"/>
                <w:lang w:val="es-ES_tradnl"/>
              </w:rPr>
            </w:pPr>
            <w:r w:rsidRPr="00494E4B">
              <w:rPr>
                <w:rFonts w:cs="Arial"/>
                <w:sz w:val="18"/>
                <w:szCs w:val="18"/>
                <w:lang w:val="es-ES_tradnl"/>
              </w:rPr>
              <w:t> </w:t>
            </w:r>
          </w:p>
        </w:tc>
        <w:tc>
          <w:tcPr>
            <w:tcW w:w="767" w:type="dxa"/>
            <w:tcBorders>
              <w:left w:val="nil"/>
              <w:bottom w:val="single" w:sz="4" w:space="0" w:color="auto"/>
              <w:right w:val="nil"/>
            </w:tcBorders>
            <w:shd w:val="clear" w:color="000000" w:fill="FFFFFF"/>
            <w:noWrap/>
            <w:vAlign w:val="bottom"/>
            <w:hideMark/>
          </w:tcPr>
          <w:p w:rsidR="00112976" w:rsidRPr="00494E4B" w:rsidRDefault="00112976" w:rsidP="00EF2D62">
            <w:pPr>
              <w:jc w:val="left"/>
              <w:rPr>
                <w:rFonts w:cs="Arial"/>
                <w:sz w:val="18"/>
                <w:szCs w:val="18"/>
                <w:lang w:val="es-ES_tradnl"/>
              </w:rPr>
            </w:pPr>
            <w:r w:rsidRPr="00494E4B">
              <w:rPr>
                <w:rFonts w:cs="Arial"/>
                <w:sz w:val="18"/>
                <w:szCs w:val="18"/>
                <w:lang w:val="es-ES_tradnl"/>
              </w:rPr>
              <w:t> </w:t>
            </w:r>
          </w:p>
        </w:tc>
        <w:tc>
          <w:tcPr>
            <w:tcW w:w="767" w:type="dxa"/>
            <w:tcBorders>
              <w:left w:val="nil"/>
              <w:bottom w:val="single" w:sz="4" w:space="0" w:color="auto"/>
            </w:tcBorders>
            <w:shd w:val="clear" w:color="000000" w:fill="FFFFFF"/>
            <w:noWrap/>
            <w:vAlign w:val="bottom"/>
            <w:hideMark/>
          </w:tcPr>
          <w:p w:rsidR="00112976" w:rsidRPr="00494E4B" w:rsidRDefault="00112976" w:rsidP="00EF2D62">
            <w:pPr>
              <w:jc w:val="left"/>
              <w:rPr>
                <w:rFonts w:cs="Arial"/>
                <w:sz w:val="18"/>
                <w:szCs w:val="18"/>
                <w:lang w:val="es-ES_tradnl"/>
              </w:rPr>
            </w:pPr>
            <w:r w:rsidRPr="00494E4B">
              <w:rPr>
                <w:rFonts w:cs="Arial"/>
                <w:sz w:val="18"/>
                <w:szCs w:val="18"/>
                <w:lang w:val="es-ES_tradnl"/>
              </w:rPr>
              <w:t> </w:t>
            </w:r>
          </w:p>
        </w:tc>
      </w:tr>
      <w:tr w:rsidR="005D61AB" w:rsidRPr="00494E4B" w:rsidTr="00A96B04">
        <w:trPr>
          <w:trHeight w:val="300"/>
        </w:trPr>
        <w:tc>
          <w:tcPr>
            <w:tcW w:w="2000" w:type="dxa"/>
            <w:tcBorders>
              <w:top w:val="single" w:sz="4" w:space="0" w:color="auto"/>
              <w:left w:val="single" w:sz="4" w:space="0" w:color="auto"/>
              <w:bottom w:val="nil"/>
              <w:right w:val="single" w:sz="4" w:space="0" w:color="auto"/>
            </w:tcBorders>
            <w:shd w:val="clear" w:color="000000" w:fill="FFFFFF"/>
            <w:hideMark/>
          </w:tcPr>
          <w:p w:rsidR="00112976" w:rsidRPr="00494E4B" w:rsidRDefault="00112976" w:rsidP="00EF2D62">
            <w:pPr>
              <w:jc w:val="center"/>
              <w:rPr>
                <w:rFonts w:cs="Arial"/>
                <w:i/>
                <w:iCs/>
                <w:sz w:val="18"/>
                <w:szCs w:val="18"/>
                <w:lang w:val="es-ES_tradnl"/>
              </w:rPr>
            </w:pPr>
            <w:bookmarkStart w:id="47" w:name="RANGE!B6"/>
            <w:r w:rsidRPr="00494E4B">
              <w:rPr>
                <w:rFonts w:cs="Arial"/>
                <w:i/>
                <w:sz w:val="18"/>
                <w:szCs w:val="18"/>
                <w:lang w:val="es-ES_tradnl"/>
              </w:rPr>
              <w:t> </w:t>
            </w:r>
            <w:bookmarkEnd w:id="47"/>
          </w:p>
        </w:tc>
        <w:tc>
          <w:tcPr>
            <w:tcW w:w="3068" w:type="dxa"/>
            <w:gridSpan w:val="4"/>
            <w:tcBorders>
              <w:top w:val="single" w:sz="4" w:space="0" w:color="auto"/>
              <w:left w:val="nil"/>
              <w:bottom w:val="single" w:sz="4" w:space="0" w:color="auto"/>
              <w:right w:val="single" w:sz="4" w:space="0" w:color="auto"/>
            </w:tcBorders>
            <w:shd w:val="clear" w:color="000000" w:fill="FFFFFF"/>
            <w:hideMark/>
          </w:tcPr>
          <w:p w:rsidR="00112976" w:rsidRPr="00494E4B" w:rsidRDefault="00112976" w:rsidP="00EF2D62">
            <w:pPr>
              <w:jc w:val="center"/>
              <w:rPr>
                <w:rFonts w:cs="Arial"/>
                <w:i/>
                <w:iCs/>
                <w:sz w:val="18"/>
                <w:szCs w:val="18"/>
                <w:lang w:val="es-ES_tradnl"/>
              </w:rPr>
            </w:pPr>
            <w:r w:rsidRPr="00494E4B">
              <w:rPr>
                <w:rFonts w:cs="Arial"/>
                <w:i/>
                <w:iCs/>
                <w:sz w:val="18"/>
                <w:szCs w:val="18"/>
                <w:lang w:val="es-ES_tradnl"/>
              </w:rPr>
              <w:t>Real</w:t>
            </w:r>
          </w:p>
        </w:tc>
        <w:tc>
          <w:tcPr>
            <w:tcW w:w="1534"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112976" w:rsidRPr="00494E4B" w:rsidRDefault="00112976" w:rsidP="00EF2D62">
            <w:pPr>
              <w:jc w:val="center"/>
              <w:rPr>
                <w:rFonts w:cs="Arial"/>
                <w:i/>
                <w:iCs/>
                <w:sz w:val="18"/>
                <w:szCs w:val="18"/>
                <w:lang w:val="es-ES_tradnl"/>
              </w:rPr>
            </w:pPr>
            <w:r w:rsidRPr="00494E4B">
              <w:rPr>
                <w:rFonts w:cs="Arial"/>
                <w:i/>
                <w:sz w:val="18"/>
                <w:szCs w:val="18"/>
                <w:lang w:val="es-ES_tradnl"/>
              </w:rPr>
              <w:t>Presupuesto</w:t>
            </w:r>
          </w:p>
        </w:tc>
        <w:tc>
          <w:tcPr>
            <w:tcW w:w="1534" w:type="dxa"/>
            <w:gridSpan w:val="2"/>
            <w:tcBorders>
              <w:top w:val="single" w:sz="4" w:space="0" w:color="auto"/>
              <w:left w:val="nil"/>
              <w:bottom w:val="single" w:sz="4" w:space="0" w:color="auto"/>
              <w:right w:val="single" w:sz="4" w:space="0" w:color="000000"/>
            </w:tcBorders>
            <w:shd w:val="clear" w:color="000000" w:fill="FFFFFF"/>
            <w:hideMark/>
          </w:tcPr>
          <w:p w:rsidR="00112976" w:rsidRPr="00494E4B" w:rsidRDefault="00112976" w:rsidP="00EF2D62">
            <w:pPr>
              <w:jc w:val="center"/>
              <w:rPr>
                <w:rFonts w:cs="Arial"/>
                <w:i/>
                <w:iCs/>
                <w:sz w:val="18"/>
                <w:szCs w:val="18"/>
                <w:lang w:val="es-ES_tradnl"/>
              </w:rPr>
            </w:pPr>
            <w:r w:rsidRPr="00494E4B">
              <w:rPr>
                <w:rFonts w:cs="Arial"/>
                <w:i/>
                <w:sz w:val="18"/>
                <w:szCs w:val="18"/>
                <w:lang w:val="es-ES_tradnl"/>
              </w:rPr>
              <w:t>Propuesto</w:t>
            </w:r>
          </w:p>
        </w:tc>
        <w:tc>
          <w:tcPr>
            <w:tcW w:w="1534" w:type="dxa"/>
            <w:gridSpan w:val="2"/>
            <w:tcBorders>
              <w:top w:val="single" w:sz="4" w:space="0" w:color="auto"/>
              <w:left w:val="nil"/>
              <w:bottom w:val="single" w:sz="4" w:space="0" w:color="auto"/>
              <w:right w:val="single" w:sz="4" w:space="0" w:color="000000"/>
            </w:tcBorders>
            <w:shd w:val="clear" w:color="000000" w:fill="FFFFFF"/>
            <w:hideMark/>
          </w:tcPr>
          <w:p w:rsidR="00112976" w:rsidRPr="00494E4B" w:rsidRDefault="00112976" w:rsidP="00EF2D62">
            <w:pPr>
              <w:jc w:val="center"/>
              <w:rPr>
                <w:rFonts w:cs="Arial"/>
                <w:i/>
                <w:iCs/>
                <w:sz w:val="18"/>
                <w:szCs w:val="18"/>
                <w:lang w:val="es-ES_tradnl"/>
              </w:rPr>
            </w:pPr>
            <w:r w:rsidRPr="00494E4B">
              <w:rPr>
                <w:rFonts w:cs="Arial"/>
                <w:i/>
                <w:sz w:val="18"/>
                <w:szCs w:val="18"/>
                <w:lang w:val="es-ES_tradnl"/>
              </w:rPr>
              <w:t>Estimado</w:t>
            </w:r>
          </w:p>
        </w:tc>
      </w:tr>
      <w:tr w:rsidR="005D61AB" w:rsidRPr="00494E4B" w:rsidTr="00494E4B">
        <w:trPr>
          <w:trHeight w:val="255"/>
        </w:trPr>
        <w:tc>
          <w:tcPr>
            <w:tcW w:w="2000" w:type="dxa"/>
            <w:tcBorders>
              <w:top w:val="nil"/>
              <w:left w:val="single" w:sz="4" w:space="0" w:color="auto"/>
              <w:bottom w:val="single" w:sz="4" w:space="0" w:color="auto"/>
              <w:right w:val="single" w:sz="4" w:space="0" w:color="auto"/>
            </w:tcBorders>
            <w:shd w:val="clear" w:color="000000" w:fill="FFFFFF"/>
            <w:hideMark/>
          </w:tcPr>
          <w:p w:rsidR="00112976" w:rsidRPr="00494E4B" w:rsidRDefault="00112976" w:rsidP="00EF2D62">
            <w:pPr>
              <w:jc w:val="right"/>
              <w:rPr>
                <w:rFonts w:cs="Arial"/>
                <w:i/>
                <w:iCs/>
                <w:sz w:val="18"/>
                <w:szCs w:val="18"/>
                <w:lang w:val="es-ES_tradnl"/>
              </w:rPr>
            </w:pPr>
            <w:r w:rsidRPr="00494E4B">
              <w:rPr>
                <w:rFonts w:cs="Arial"/>
                <w:i/>
                <w:sz w:val="18"/>
                <w:szCs w:val="18"/>
                <w:lang w:val="es-ES_tradnl"/>
              </w:rPr>
              <w:t> </w:t>
            </w:r>
          </w:p>
        </w:tc>
        <w:tc>
          <w:tcPr>
            <w:tcW w:w="767" w:type="dxa"/>
            <w:tcBorders>
              <w:top w:val="nil"/>
              <w:left w:val="nil"/>
              <w:bottom w:val="single" w:sz="4" w:space="0" w:color="auto"/>
              <w:right w:val="nil"/>
            </w:tcBorders>
            <w:shd w:val="clear" w:color="000000" w:fill="FFFFFF"/>
            <w:hideMark/>
          </w:tcPr>
          <w:p w:rsidR="00112976" w:rsidRPr="00494E4B" w:rsidRDefault="00112976" w:rsidP="00EF2D62">
            <w:pPr>
              <w:jc w:val="center"/>
              <w:rPr>
                <w:rFonts w:cs="Arial"/>
                <w:i/>
                <w:iCs/>
                <w:sz w:val="18"/>
                <w:szCs w:val="18"/>
                <w:lang w:val="es-ES_tradnl"/>
              </w:rPr>
            </w:pPr>
            <w:r w:rsidRPr="00494E4B">
              <w:rPr>
                <w:rFonts w:cs="Arial"/>
                <w:i/>
                <w:sz w:val="18"/>
                <w:szCs w:val="18"/>
                <w:lang w:val="es-ES_tradnl"/>
              </w:rPr>
              <w:t>2008</w:t>
            </w:r>
          </w:p>
        </w:tc>
        <w:tc>
          <w:tcPr>
            <w:tcW w:w="767" w:type="dxa"/>
            <w:tcBorders>
              <w:top w:val="nil"/>
              <w:left w:val="nil"/>
              <w:bottom w:val="single" w:sz="4" w:space="0" w:color="auto"/>
              <w:right w:val="nil"/>
            </w:tcBorders>
            <w:shd w:val="clear" w:color="000000" w:fill="FFFFFF"/>
            <w:hideMark/>
          </w:tcPr>
          <w:p w:rsidR="00112976" w:rsidRPr="00494E4B" w:rsidRDefault="00112976" w:rsidP="00EF2D62">
            <w:pPr>
              <w:jc w:val="center"/>
              <w:rPr>
                <w:rFonts w:cs="Arial"/>
                <w:i/>
                <w:iCs/>
                <w:sz w:val="18"/>
                <w:szCs w:val="18"/>
                <w:lang w:val="es-ES_tradnl"/>
              </w:rPr>
            </w:pPr>
            <w:r w:rsidRPr="00494E4B">
              <w:rPr>
                <w:rFonts w:cs="Arial"/>
                <w:i/>
                <w:sz w:val="18"/>
                <w:szCs w:val="18"/>
                <w:lang w:val="es-ES_tradnl"/>
              </w:rPr>
              <w:t>2009</w:t>
            </w:r>
          </w:p>
        </w:tc>
        <w:tc>
          <w:tcPr>
            <w:tcW w:w="767" w:type="dxa"/>
            <w:tcBorders>
              <w:top w:val="nil"/>
              <w:left w:val="nil"/>
              <w:bottom w:val="single" w:sz="4" w:space="0" w:color="auto"/>
              <w:right w:val="nil"/>
            </w:tcBorders>
            <w:shd w:val="clear" w:color="000000" w:fill="FFFFFF"/>
            <w:hideMark/>
          </w:tcPr>
          <w:p w:rsidR="00112976" w:rsidRPr="00494E4B" w:rsidRDefault="00112976" w:rsidP="00EF2D62">
            <w:pPr>
              <w:jc w:val="center"/>
              <w:rPr>
                <w:rFonts w:cs="Arial"/>
                <w:i/>
                <w:iCs/>
                <w:sz w:val="18"/>
                <w:szCs w:val="18"/>
                <w:lang w:val="es-ES_tradnl"/>
              </w:rPr>
            </w:pPr>
            <w:r w:rsidRPr="00494E4B">
              <w:rPr>
                <w:rFonts w:cs="Arial"/>
                <w:i/>
                <w:sz w:val="18"/>
                <w:szCs w:val="18"/>
                <w:lang w:val="es-ES_tradnl"/>
              </w:rPr>
              <w:t>2010</w:t>
            </w:r>
          </w:p>
        </w:tc>
        <w:tc>
          <w:tcPr>
            <w:tcW w:w="767" w:type="dxa"/>
            <w:tcBorders>
              <w:top w:val="nil"/>
              <w:left w:val="nil"/>
              <w:bottom w:val="single" w:sz="4" w:space="0" w:color="auto"/>
              <w:right w:val="single" w:sz="4" w:space="0" w:color="auto"/>
            </w:tcBorders>
            <w:shd w:val="clear" w:color="000000" w:fill="FFFFFF"/>
            <w:hideMark/>
          </w:tcPr>
          <w:p w:rsidR="00112976" w:rsidRPr="00494E4B" w:rsidRDefault="00112976" w:rsidP="00EF2D62">
            <w:pPr>
              <w:jc w:val="center"/>
              <w:rPr>
                <w:rFonts w:cs="Arial"/>
                <w:i/>
                <w:iCs/>
                <w:sz w:val="18"/>
                <w:szCs w:val="18"/>
                <w:lang w:val="es-ES_tradnl"/>
              </w:rPr>
            </w:pPr>
            <w:r w:rsidRPr="00494E4B">
              <w:rPr>
                <w:rFonts w:cs="Arial"/>
                <w:i/>
                <w:sz w:val="18"/>
                <w:szCs w:val="18"/>
                <w:lang w:val="es-ES_tradnl"/>
              </w:rPr>
              <w:t>2011</w:t>
            </w:r>
          </w:p>
        </w:tc>
        <w:tc>
          <w:tcPr>
            <w:tcW w:w="767" w:type="dxa"/>
            <w:tcBorders>
              <w:top w:val="nil"/>
              <w:left w:val="nil"/>
              <w:bottom w:val="single" w:sz="4" w:space="0" w:color="auto"/>
              <w:right w:val="nil"/>
            </w:tcBorders>
            <w:shd w:val="clear" w:color="000000" w:fill="FFFFFF"/>
            <w:hideMark/>
          </w:tcPr>
          <w:p w:rsidR="00112976" w:rsidRPr="00494E4B" w:rsidRDefault="00112976" w:rsidP="00EF2D62">
            <w:pPr>
              <w:jc w:val="center"/>
              <w:rPr>
                <w:rFonts w:cs="Arial"/>
                <w:i/>
                <w:iCs/>
                <w:sz w:val="18"/>
                <w:szCs w:val="18"/>
                <w:lang w:val="es-ES_tradnl"/>
              </w:rPr>
            </w:pPr>
            <w:r w:rsidRPr="00494E4B">
              <w:rPr>
                <w:rFonts w:cs="Arial"/>
                <w:i/>
                <w:sz w:val="18"/>
                <w:szCs w:val="18"/>
                <w:lang w:val="es-ES_tradnl"/>
              </w:rPr>
              <w:t>2012</w:t>
            </w:r>
          </w:p>
        </w:tc>
        <w:tc>
          <w:tcPr>
            <w:tcW w:w="767" w:type="dxa"/>
            <w:tcBorders>
              <w:top w:val="nil"/>
              <w:left w:val="nil"/>
              <w:bottom w:val="single" w:sz="4" w:space="0" w:color="auto"/>
              <w:right w:val="single" w:sz="4" w:space="0" w:color="auto"/>
            </w:tcBorders>
            <w:shd w:val="clear" w:color="000000" w:fill="FFFFFF"/>
            <w:hideMark/>
          </w:tcPr>
          <w:p w:rsidR="00112976" w:rsidRPr="00494E4B" w:rsidRDefault="00112976" w:rsidP="00EF2D62">
            <w:pPr>
              <w:jc w:val="center"/>
              <w:rPr>
                <w:rFonts w:cs="Arial"/>
                <w:i/>
                <w:iCs/>
                <w:sz w:val="18"/>
                <w:szCs w:val="18"/>
                <w:lang w:val="es-ES_tradnl"/>
              </w:rPr>
            </w:pPr>
            <w:r w:rsidRPr="00494E4B">
              <w:rPr>
                <w:rFonts w:cs="Arial"/>
                <w:i/>
                <w:sz w:val="18"/>
                <w:szCs w:val="18"/>
                <w:lang w:val="es-ES_tradnl"/>
              </w:rPr>
              <w:t>2013</w:t>
            </w:r>
          </w:p>
        </w:tc>
        <w:tc>
          <w:tcPr>
            <w:tcW w:w="767" w:type="dxa"/>
            <w:tcBorders>
              <w:top w:val="nil"/>
              <w:left w:val="nil"/>
              <w:bottom w:val="single" w:sz="4" w:space="0" w:color="auto"/>
              <w:right w:val="nil"/>
            </w:tcBorders>
            <w:shd w:val="clear" w:color="000000" w:fill="FFFFFF"/>
            <w:hideMark/>
          </w:tcPr>
          <w:p w:rsidR="00112976" w:rsidRPr="00494E4B" w:rsidRDefault="00112976" w:rsidP="00EF2D62">
            <w:pPr>
              <w:jc w:val="center"/>
              <w:rPr>
                <w:rFonts w:cs="Arial"/>
                <w:i/>
                <w:iCs/>
                <w:sz w:val="18"/>
                <w:szCs w:val="18"/>
                <w:lang w:val="es-ES_tradnl"/>
              </w:rPr>
            </w:pPr>
            <w:r w:rsidRPr="00494E4B">
              <w:rPr>
                <w:rFonts w:cs="Arial"/>
                <w:i/>
                <w:sz w:val="18"/>
                <w:szCs w:val="18"/>
                <w:lang w:val="es-ES_tradnl"/>
              </w:rPr>
              <w:t>2014</w:t>
            </w:r>
          </w:p>
        </w:tc>
        <w:tc>
          <w:tcPr>
            <w:tcW w:w="767" w:type="dxa"/>
            <w:tcBorders>
              <w:top w:val="nil"/>
              <w:left w:val="nil"/>
              <w:bottom w:val="single" w:sz="4" w:space="0" w:color="auto"/>
              <w:right w:val="single" w:sz="4" w:space="0" w:color="auto"/>
            </w:tcBorders>
            <w:shd w:val="clear" w:color="000000" w:fill="FFFFFF"/>
            <w:hideMark/>
          </w:tcPr>
          <w:p w:rsidR="00112976" w:rsidRPr="00494E4B" w:rsidRDefault="00112976" w:rsidP="00EF2D62">
            <w:pPr>
              <w:jc w:val="center"/>
              <w:rPr>
                <w:rFonts w:cs="Arial"/>
                <w:i/>
                <w:iCs/>
                <w:sz w:val="18"/>
                <w:szCs w:val="18"/>
                <w:lang w:val="es-ES_tradnl"/>
              </w:rPr>
            </w:pPr>
            <w:r w:rsidRPr="00494E4B">
              <w:rPr>
                <w:rFonts w:cs="Arial"/>
                <w:i/>
                <w:sz w:val="18"/>
                <w:szCs w:val="18"/>
                <w:lang w:val="es-ES_tradnl"/>
              </w:rPr>
              <w:t>2015</w:t>
            </w:r>
          </w:p>
        </w:tc>
        <w:tc>
          <w:tcPr>
            <w:tcW w:w="767" w:type="dxa"/>
            <w:tcBorders>
              <w:top w:val="nil"/>
              <w:left w:val="nil"/>
              <w:bottom w:val="single" w:sz="4" w:space="0" w:color="auto"/>
              <w:right w:val="nil"/>
            </w:tcBorders>
            <w:shd w:val="clear" w:color="000000" w:fill="FFFFFF"/>
            <w:hideMark/>
          </w:tcPr>
          <w:p w:rsidR="00112976" w:rsidRPr="00494E4B" w:rsidRDefault="00112976" w:rsidP="00EF2D62">
            <w:pPr>
              <w:jc w:val="center"/>
              <w:rPr>
                <w:rFonts w:cs="Arial"/>
                <w:i/>
                <w:iCs/>
                <w:sz w:val="18"/>
                <w:szCs w:val="18"/>
                <w:lang w:val="es-ES_tradnl"/>
              </w:rPr>
            </w:pPr>
            <w:r w:rsidRPr="00494E4B">
              <w:rPr>
                <w:rFonts w:cs="Arial"/>
                <w:i/>
                <w:sz w:val="18"/>
                <w:szCs w:val="18"/>
                <w:lang w:val="es-ES_tradnl"/>
              </w:rPr>
              <w:t>2016</w:t>
            </w:r>
          </w:p>
        </w:tc>
        <w:tc>
          <w:tcPr>
            <w:tcW w:w="767" w:type="dxa"/>
            <w:tcBorders>
              <w:top w:val="nil"/>
              <w:left w:val="nil"/>
              <w:bottom w:val="single" w:sz="4" w:space="0" w:color="auto"/>
              <w:right w:val="single" w:sz="4" w:space="0" w:color="auto"/>
            </w:tcBorders>
            <w:shd w:val="clear" w:color="000000" w:fill="FFFFFF"/>
            <w:hideMark/>
          </w:tcPr>
          <w:p w:rsidR="00112976" w:rsidRPr="00494E4B" w:rsidRDefault="00112976" w:rsidP="00EF2D62">
            <w:pPr>
              <w:jc w:val="center"/>
              <w:rPr>
                <w:rFonts w:cs="Arial"/>
                <w:i/>
                <w:iCs/>
                <w:sz w:val="18"/>
                <w:szCs w:val="18"/>
                <w:lang w:val="es-ES_tradnl"/>
              </w:rPr>
            </w:pPr>
            <w:r w:rsidRPr="00494E4B">
              <w:rPr>
                <w:rFonts w:cs="Arial"/>
                <w:i/>
                <w:sz w:val="18"/>
                <w:szCs w:val="18"/>
                <w:lang w:val="es-ES_tradnl"/>
              </w:rPr>
              <w:t>2017</w:t>
            </w:r>
          </w:p>
        </w:tc>
      </w:tr>
      <w:tr w:rsidR="005D61AB" w:rsidRPr="00494E4B" w:rsidTr="00494E4B">
        <w:trPr>
          <w:trHeight w:val="345"/>
        </w:trPr>
        <w:tc>
          <w:tcPr>
            <w:tcW w:w="2000" w:type="dxa"/>
            <w:tcBorders>
              <w:top w:val="nil"/>
              <w:left w:val="single" w:sz="4" w:space="0" w:color="auto"/>
              <w:bottom w:val="nil"/>
              <w:right w:val="nil"/>
            </w:tcBorders>
            <w:shd w:val="clear" w:color="000000" w:fill="FFFFFF"/>
            <w:vAlign w:val="bottom"/>
            <w:hideMark/>
          </w:tcPr>
          <w:p w:rsidR="00112976" w:rsidRPr="00494E4B" w:rsidRDefault="00112976" w:rsidP="00EF2D62">
            <w:pPr>
              <w:jc w:val="left"/>
              <w:rPr>
                <w:rFonts w:cs="Arial"/>
                <w:sz w:val="18"/>
                <w:szCs w:val="18"/>
                <w:lang w:val="es-ES_tradnl"/>
              </w:rPr>
            </w:pPr>
            <w:bookmarkStart w:id="48" w:name="RANGE!B8"/>
            <w:r w:rsidRPr="00494E4B">
              <w:rPr>
                <w:rFonts w:cs="Arial"/>
                <w:sz w:val="18"/>
                <w:szCs w:val="18"/>
                <w:lang w:val="es-ES_tradnl"/>
              </w:rPr>
              <w:t>Ingresos</w:t>
            </w:r>
            <w:bookmarkEnd w:id="48"/>
          </w:p>
        </w:tc>
        <w:tc>
          <w:tcPr>
            <w:tcW w:w="767" w:type="dxa"/>
            <w:tcBorders>
              <w:top w:val="nil"/>
              <w:left w:val="nil"/>
              <w:bottom w:val="nil"/>
              <w:right w:val="nil"/>
            </w:tcBorders>
            <w:shd w:val="clear" w:color="000000" w:fill="FFFFFF"/>
            <w:vAlign w:val="bottom"/>
            <w:hideMark/>
          </w:tcPr>
          <w:p w:rsidR="00112976" w:rsidRPr="00494E4B" w:rsidRDefault="00112976" w:rsidP="00EF2D62">
            <w:pPr>
              <w:jc w:val="right"/>
              <w:rPr>
                <w:rFonts w:cs="Arial"/>
                <w:sz w:val="18"/>
                <w:szCs w:val="18"/>
                <w:lang w:val="es-ES_tradnl"/>
              </w:rPr>
            </w:pPr>
            <w:r w:rsidRPr="00494E4B">
              <w:rPr>
                <w:rFonts w:cs="Arial"/>
                <w:sz w:val="18"/>
                <w:szCs w:val="18"/>
                <w:lang w:val="es-ES_tradnl"/>
              </w:rPr>
              <w:t>3.378</w:t>
            </w:r>
          </w:p>
        </w:tc>
        <w:tc>
          <w:tcPr>
            <w:tcW w:w="767" w:type="dxa"/>
            <w:tcBorders>
              <w:top w:val="nil"/>
              <w:left w:val="nil"/>
              <w:bottom w:val="nil"/>
              <w:right w:val="nil"/>
            </w:tcBorders>
            <w:shd w:val="clear" w:color="000000" w:fill="FFFFFF"/>
            <w:vAlign w:val="bottom"/>
            <w:hideMark/>
          </w:tcPr>
          <w:p w:rsidR="00112976" w:rsidRPr="00494E4B" w:rsidRDefault="00112976" w:rsidP="00EF2D62">
            <w:pPr>
              <w:jc w:val="right"/>
              <w:rPr>
                <w:rFonts w:cs="Arial"/>
                <w:sz w:val="18"/>
                <w:szCs w:val="18"/>
                <w:lang w:val="es-ES_tradnl"/>
              </w:rPr>
            </w:pPr>
            <w:r w:rsidRPr="00494E4B">
              <w:rPr>
                <w:rFonts w:cs="Arial"/>
                <w:sz w:val="18"/>
                <w:szCs w:val="18"/>
                <w:lang w:val="es-ES_tradnl"/>
              </w:rPr>
              <w:t>3.393</w:t>
            </w:r>
          </w:p>
        </w:tc>
        <w:tc>
          <w:tcPr>
            <w:tcW w:w="767" w:type="dxa"/>
            <w:tcBorders>
              <w:top w:val="nil"/>
              <w:left w:val="nil"/>
              <w:bottom w:val="nil"/>
              <w:right w:val="nil"/>
            </w:tcBorders>
            <w:shd w:val="clear" w:color="000000" w:fill="FFFFFF"/>
            <w:vAlign w:val="bottom"/>
            <w:hideMark/>
          </w:tcPr>
          <w:p w:rsidR="00112976" w:rsidRPr="00494E4B" w:rsidRDefault="00112976" w:rsidP="00EF2D62">
            <w:pPr>
              <w:jc w:val="right"/>
              <w:rPr>
                <w:rFonts w:cs="Arial"/>
                <w:sz w:val="18"/>
                <w:szCs w:val="18"/>
                <w:lang w:val="es-ES_tradnl"/>
              </w:rPr>
            </w:pPr>
            <w:r w:rsidRPr="00494E4B">
              <w:rPr>
                <w:rFonts w:cs="Arial"/>
                <w:sz w:val="18"/>
                <w:szCs w:val="18"/>
                <w:lang w:val="es-ES_tradnl"/>
              </w:rPr>
              <w:t>3.412</w:t>
            </w:r>
          </w:p>
        </w:tc>
        <w:tc>
          <w:tcPr>
            <w:tcW w:w="767" w:type="dxa"/>
            <w:tcBorders>
              <w:top w:val="nil"/>
              <w:left w:val="nil"/>
              <w:bottom w:val="nil"/>
              <w:right w:val="single" w:sz="4" w:space="0" w:color="auto"/>
            </w:tcBorders>
            <w:shd w:val="clear" w:color="000000" w:fill="FFFFFF"/>
            <w:vAlign w:val="bottom"/>
            <w:hideMark/>
          </w:tcPr>
          <w:p w:rsidR="00112976" w:rsidRPr="00494E4B" w:rsidRDefault="00112976" w:rsidP="00EF2D62">
            <w:pPr>
              <w:jc w:val="right"/>
              <w:rPr>
                <w:rFonts w:cs="Arial"/>
                <w:sz w:val="18"/>
                <w:szCs w:val="18"/>
                <w:lang w:val="es-ES_tradnl"/>
              </w:rPr>
            </w:pPr>
            <w:r w:rsidRPr="00494E4B">
              <w:rPr>
                <w:rFonts w:cs="Arial"/>
                <w:sz w:val="18"/>
                <w:szCs w:val="18"/>
                <w:lang w:val="es-ES_tradnl"/>
              </w:rPr>
              <w:t>3.489</w:t>
            </w:r>
          </w:p>
        </w:tc>
        <w:tc>
          <w:tcPr>
            <w:tcW w:w="767" w:type="dxa"/>
            <w:tcBorders>
              <w:top w:val="nil"/>
              <w:left w:val="nil"/>
              <w:bottom w:val="nil"/>
              <w:right w:val="nil"/>
            </w:tcBorders>
            <w:shd w:val="clear" w:color="000000" w:fill="FFFFFF"/>
            <w:noWrap/>
            <w:vAlign w:val="bottom"/>
            <w:hideMark/>
          </w:tcPr>
          <w:p w:rsidR="00112976" w:rsidRPr="00494E4B" w:rsidRDefault="00112976" w:rsidP="00EF2D62">
            <w:pPr>
              <w:jc w:val="right"/>
              <w:rPr>
                <w:rFonts w:cs="Arial"/>
                <w:sz w:val="18"/>
                <w:szCs w:val="18"/>
                <w:lang w:val="es-ES_tradnl"/>
              </w:rPr>
            </w:pPr>
            <w:r w:rsidRPr="00494E4B">
              <w:rPr>
                <w:rFonts w:cs="Arial"/>
                <w:sz w:val="18"/>
                <w:szCs w:val="18"/>
                <w:lang w:val="es-ES_tradnl"/>
              </w:rPr>
              <w:t>3.394</w:t>
            </w:r>
          </w:p>
        </w:tc>
        <w:tc>
          <w:tcPr>
            <w:tcW w:w="767" w:type="dxa"/>
            <w:tcBorders>
              <w:top w:val="nil"/>
              <w:left w:val="nil"/>
              <w:bottom w:val="nil"/>
              <w:right w:val="single" w:sz="4" w:space="0" w:color="auto"/>
            </w:tcBorders>
            <w:shd w:val="clear" w:color="000000" w:fill="FFFFFF"/>
            <w:noWrap/>
            <w:vAlign w:val="bottom"/>
            <w:hideMark/>
          </w:tcPr>
          <w:p w:rsidR="00112976" w:rsidRPr="00494E4B" w:rsidRDefault="00112976" w:rsidP="00EF2D62">
            <w:pPr>
              <w:jc w:val="right"/>
              <w:rPr>
                <w:rFonts w:cs="Arial"/>
                <w:sz w:val="18"/>
                <w:szCs w:val="18"/>
                <w:lang w:val="es-ES_tradnl"/>
              </w:rPr>
            </w:pPr>
            <w:r w:rsidRPr="00494E4B">
              <w:rPr>
                <w:rFonts w:cs="Arial"/>
                <w:sz w:val="18"/>
                <w:szCs w:val="18"/>
                <w:lang w:val="es-ES_tradnl"/>
              </w:rPr>
              <w:t>3.404</w:t>
            </w:r>
          </w:p>
        </w:tc>
        <w:tc>
          <w:tcPr>
            <w:tcW w:w="767" w:type="dxa"/>
            <w:tcBorders>
              <w:top w:val="nil"/>
              <w:left w:val="nil"/>
              <w:bottom w:val="nil"/>
              <w:right w:val="nil"/>
            </w:tcBorders>
            <w:shd w:val="clear" w:color="000000" w:fill="FFFFFF"/>
            <w:noWrap/>
            <w:vAlign w:val="bottom"/>
            <w:hideMark/>
          </w:tcPr>
          <w:p w:rsidR="00112976" w:rsidRPr="00494E4B" w:rsidRDefault="00112976" w:rsidP="00EF2D62">
            <w:pPr>
              <w:jc w:val="right"/>
              <w:rPr>
                <w:rFonts w:cs="Arial"/>
                <w:sz w:val="18"/>
                <w:szCs w:val="18"/>
                <w:lang w:val="es-ES_tradnl"/>
              </w:rPr>
            </w:pPr>
            <w:r w:rsidRPr="00494E4B">
              <w:rPr>
                <w:rFonts w:cs="Arial"/>
                <w:sz w:val="18"/>
                <w:szCs w:val="18"/>
                <w:lang w:val="es-ES_tradnl"/>
              </w:rPr>
              <w:t>3.392</w:t>
            </w:r>
          </w:p>
        </w:tc>
        <w:tc>
          <w:tcPr>
            <w:tcW w:w="767" w:type="dxa"/>
            <w:tcBorders>
              <w:top w:val="nil"/>
              <w:left w:val="nil"/>
              <w:bottom w:val="nil"/>
              <w:right w:val="single" w:sz="4" w:space="0" w:color="auto"/>
            </w:tcBorders>
            <w:shd w:val="clear" w:color="000000" w:fill="FFFFFF"/>
            <w:noWrap/>
            <w:vAlign w:val="bottom"/>
            <w:hideMark/>
          </w:tcPr>
          <w:p w:rsidR="00112976" w:rsidRPr="00494E4B" w:rsidRDefault="00112976" w:rsidP="00EF2D62">
            <w:pPr>
              <w:jc w:val="right"/>
              <w:rPr>
                <w:rFonts w:cs="Arial"/>
                <w:sz w:val="18"/>
                <w:szCs w:val="18"/>
                <w:lang w:val="es-ES_tradnl"/>
              </w:rPr>
            </w:pPr>
            <w:r w:rsidRPr="00494E4B">
              <w:rPr>
                <w:rFonts w:cs="Arial"/>
                <w:sz w:val="18"/>
                <w:szCs w:val="18"/>
                <w:lang w:val="es-ES_tradnl"/>
              </w:rPr>
              <w:t>3.402</w:t>
            </w:r>
          </w:p>
        </w:tc>
        <w:tc>
          <w:tcPr>
            <w:tcW w:w="767" w:type="dxa"/>
            <w:tcBorders>
              <w:top w:val="nil"/>
              <w:left w:val="nil"/>
              <w:bottom w:val="nil"/>
              <w:right w:val="nil"/>
            </w:tcBorders>
            <w:shd w:val="clear" w:color="000000" w:fill="FFFFFF"/>
            <w:noWrap/>
            <w:vAlign w:val="bottom"/>
            <w:hideMark/>
          </w:tcPr>
          <w:p w:rsidR="00112976" w:rsidRPr="00494E4B" w:rsidRDefault="00112976" w:rsidP="00EF2D62">
            <w:pPr>
              <w:jc w:val="right"/>
              <w:rPr>
                <w:rFonts w:cs="Arial"/>
                <w:sz w:val="18"/>
                <w:szCs w:val="18"/>
                <w:lang w:val="es-ES_tradnl"/>
              </w:rPr>
            </w:pPr>
            <w:r w:rsidRPr="00494E4B">
              <w:rPr>
                <w:rFonts w:cs="Arial"/>
                <w:sz w:val="18"/>
                <w:szCs w:val="18"/>
                <w:lang w:val="es-ES_tradnl"/>
              </w:rPr>
              <w:t>3.413</w:t>
            </w:r>
          </w:p>
        </w:tc>
        <w:tc>
          <w:tcPr>
            <w:tcW w:w="767" w:type="dxa"/>
            <w:tcBorders>
              <w:top w:val="nil"/>
              <w:left w:val="nil"/>
              <w:bottom w:val="nil"/>
              <w:right w:val="single" w:sz="4" w:space="0" w:color="auto"/>
            </w:tcBorders>
            <w:shd w:val="clear" w:color="000000" w:fill="FFFFFF"/>
            <w:noWrap/>
            <w:vAlign w:val="bottom"/>
            <w:hideMark/>
          </w:tcPr>
          <w:p w:rsidR="00112976" w:rsidRPr="00494E4B" w:rsidRDefault="00112976" w:rsidP="00EF2D62">
            <w:pPr>
              <w:jc w:val="right"/>
              <w:rPr>
                <w:rFonts w:cs="Arial"/>
                <w:sz w:val="18"/>
                <w:szCs w:val="18"/>
                <w:lang w:val="es-ES_tradnl"/>
              </w:rPr>
            </w:pPr>
            <w:r w:rsidRPr="00494E4B">
              <w:rPr>
                <w:rFonts w:cs="Arial"/>
                <w:sz w:val="18"/>
                <w:szCs w:val="18"/>
                <w:lang w:val="es-ES_tradnl"/>
              </w:rPr>
              <w:t>3.423</w:t>
            </w:r>
          </w:p>
        </w:tc>
      </w:tr>
      <w:tr w:rsidR="005D61AB" w:rsidRPr="00494E4B" w:rsidTr="00494E4B">
        <w:trPr>
          <w:trHeight w:val="345"/>
        </w:trPr>
        <w:tc>
          <w:tcPr>
            <w:tcW w:w="2000" w:type="dxa"/>
            <w:tcBorders>
              <w:top w:val="nil"/>
              <w:left w:val="single" w:sz="4" w:space="0" w:color="auto"/>
              <w:bottom w:val="nil"/>
              <w:right w:val="nil"/>
            </w:tcBorders>
            <w:shd w:val="clear" w:color="000000" w:fill="FFFFFF"/>
            <w:vAlign w:val="bottom"/>
            <w:hideMark/>
          </w:tcPr>
          <w:p w:rsidR="00112976" w:rsidRPr="00494E4B" w:rsidRDefault="00112976" w:rsidP="00EF2D62">
            <w:pPr>
              <w:jc w:val="left"/>
              <w:rPr>
                <w:rFonts w:cs="Arial"/>
                <w:sz w:val="18"/>
                <w:szCs w:val="18"/>
                <w:lang w:val="es-ES_tradnl"/>
              </w:rPr>
            </w:pPr>
            <w:r w:rsidRPr="00494E4B">
              <w:rPr>
                <w:rFonts w:cs="Arial"/>
                <w:sz w:val="18"/>
                <w:szCs w:val="18"/>
                <w:lang w:val="es-ES_tradnl"/>
              </w:rPr>
              <w:t>Gastos</w:t>
            </w:r>
          </w:p>
        </w:tc>
        <w:tc>
          <w:tcPr>
            <w:tcW w:w="767" w:type="dxa"/>
            <w:tcBorders>
              <w:top w:val="nil"/>
              <w:left w:val="nil"/>
              <w:bottom w:val="nil"/>
              <w:right w:val="nil"/>
            </w:tcBorders>
            <w:shd w:val="clear" w:color="000000" w:fill="FFFFFF"/>
            <w:vAlign w:val="bottom"/>
            <w:hideMark/>
          </w:tcPr>
          <w:p w:rsidR="00112976" w:rsidRPr="00494E4B" w:rsidRDefault="00112976" w:rsidP="00EF2D62">
            <w:pPr>
              <w:jc w:val="right"/>
              <w:rPr>
                <w:rFonts w:cs="Arial"/>
                <w:sz w:val="18"/>
                <w:szCs w:val="18"/>
                <w:lang w:val="es-ES_tradnl"/>
              </w:rPr>
            </w:pPr>
            <w:r w:rsidRPr="00494E4B">
              <w:rPr>
                <w:rFonts w:cs="Arial"/>
                <w:sz w:val="18"/>
                <w:szCs w:val="18"/>
                <w:lang w:val="es-ES_tradnl"/>
              </w:rPr>
              <w:t>3.034</w:t>
            </w:r>
          </w:p>
        </w:tc>
        <w:tc>
          <w:tcPr>
            <w:tcW w:w="767" w:type="dxa"/>
            <w:tcBorders>
              <w:top w:val="nil"/>
              <w:left w:val="nil"/>
              <w:bottom w:val="nil"/>
              <w:right w:val="nil"/>
            </w:tcBorders>
            <w:shd w:val="clear" w:color="000000" w:fill="FFFFFF"/>
            <w:vAlign w:val="bottom"/>
            <w:hideMark/>
          </w:tcPr>
          <w:p w:rsidR="00112976" w:rsidRPr="00494E4B" w:rsidRDefault="00112976" w:rsidP="00EF2D62">
            <w:pPr>
              <w:jc w:val="right"/>
              <w:rPr>
                <w:rFonts w:cs="Arial"/>
                <w:sz w:val="18"/>
                <w:szCs w:val="18"/>
                <w:lang w:val="es-ES_tradnl"/>
              </w:rPr>
            </w:pPr>
            <w:r w:rsidRPr="00494E4B">
              <w:rPr>
                <w:rFonts w:cs="Arial"/>
                <w:sz w:val="18"/>
                <w:szCs w:val="18"/>
                <w:lang w:val="es-ES_tradnl"/>
              </w:rPr>
              <w:t>3.347</w:t>
            </w:r>
          </w:p>
        </w:tc>
        <w:tc>
          <w:tcPr>
            <w:tcW w:w="767" w:type="dxa"/>
            <w:tcBorders>
              <w:top w:val="nil"/>
              <w:left w:val="nil"/>
              <w:bottom w:val="nil"/>
              <w:right w:val="nil"/>
            </w:tcBorders>
            <w:shd w:val="clear" w:color="000000" w:fill="FFFFFF"/>
            <w:vAlign w:val="bottom"/>
            <w:hideMark/>
          </w:tcPr>
          <w:p w:rsidR="00112976" w:rsidRPr="00494E4B" w:rsidRDefault="00112976" w:rsidP="00EF2D62">
            <w:pPr>
              <w:jc w:val="right"/>
              <w:rPr>
                <w:rFonts w:cs="Arial"/>
                <w:sz w:val="18"/>
                <w:szCs w:val="18"/>
                <w:lang w:val="es-ES_tradnl"/>
              </w:rPr>
            </w:pPr>
            <w:r w:rsidRPr="00494E4B">
              <w:rPr>
                <w:rFonts w:cs="Arial"/>
                <w:sz w:val="18"/>
                <w:szCs w:val="18"/>
                <w:lang w:val="es-ES_tradnl"/>
              </w:rPr>
              <w:t>3.501</w:t>
            </w:r>
          </w:p>
        </w:tc>
        <w:tc>
          <w:tcPr>
            <w:tcW w:w="767" w:type="dxa"/>
            <w:tcBorders>
              <w:top w:val="nil"/>
              <w:left w:val="nil"/>
              <w:bottom w:val="nil"/>
              <w:right w:val="single" w:sz="4" w:space="0" w:color="auto"/>
            </w:tcBorders>
            <w:shd w:val="clear" w:color="000000" w:fill="FFFFFF"/>
            <w:vAlign w:val="bottom"/>
            <w:hideMark/>
          </w:tcPr>
          <w:p w:rsidR="00112976" w:rsidRPr="00494E4B" w:rsidRDefault="00112976" w:rsidP="00EF2D62">
            <w:pPr>
              <w:jc w:val="right"/>
              <w:rPr>
                <w:rFonts w:cs="Arial"/>
                <w:sz w:val="18"/>
                <w:szCs w:val="18"/>
                <w:lang w:val="es-ES_tradnl"/>
              </w:rPr>
            </w:pPr>
            <w:r w:rsidRPr="00494E4B">
              <w:rPr>
                <w:rFonts w:cs="Arial"/>
                <w:sz w:val="18"/>
                <w:szCs w:val="18"/>
                <w:lang w:val="es-ES_tradnl"/>
              </w:rPr>
              <w:t>2.978</w:t>
            </w:r>
          </w:p>
        </w:tc>
        <w:tc>
          <w:tcPr>
            <w:tcW w:w="767" w:type="dxa"/>
            <w:tcBorders>
              <w:top w:val="nil"/>
              <w:left w:val="nil"/>
              <w:bottom w:val="nil"/>
              <w:right w:val="nil"/>
            </w:tcBorders>
            <w:shd w:val="clear" w:color="000000" w:fill="FFFFFF"/>
            <w:vAlign w:val="bottom"/>
            <w:hideMark/>
          </w:tcPr>
          <w:p w:rsidR="00112976" w:rsidRPr="00494E4B" w:rsidRDefault="00112976" w:rsidP="00EF2D62">
            <w:pPr>
              <w:jc w:val="right"/>
              <w:rPr>
                <w:rFonts w:cs="Arial"/>
                <w:sz w:val="18"/>
                <w:szCs w:val="18"/>
                <w:lang w:val="es-ES_tradnl"/>
              </w:rPr>
            </w:pPr>
            <w:r w:rsidRPr="00494E4B">
              <w:rPr>
                <w:rFonts w:cs="Arial"/>
                <w:sz w:val="18"/>
                <w:szCs w:val="18"/>
                <w:lang w:val="es-ES_tradnl"/>
              </w:rPr>
              <w:t>3.394</w:t>
            </w:r>
          </w:p>
        </w:tc>
        <w:tc>
          <w:tcPr>
            <w:tcW w:w="767" w:type="dxa"/>
            <w:tcBorders>
              <w:top w:val="nil"/>
              <w:left w:val="nil"/>
              <w:bottom w:val="nil"/>
              <w:right w:val="single" w:sz="4" w:space="0" w:color="auto"/>
            </w:tcBorders>
            <w:shd w:val="clear" w:color="000000" w:fill="FFFFFF"/>
            <w:vAlign w:val="bottom"/>
            <w:hideMark/>
          </w:tcPr>
          <w:p w:rsidR="00112976" w:rsidRPr="00494E4B" w:rsidRDefault="00112976" w:rsidP="00EF2D62">
            <w:pPr>
              <w:jc w:val="right"/>
              <w:rPr>
                <w:rFonts w:cs="Arial"/>
                <w:sz w:val="18"/>
                <w:szCs w:val="18"/>
                <w:lang w:val="es-ES_tradnl"/>
              </w:rPr>
            </w:pPr>
            <w:r w:rsidRPr="00494E4B">
              <w:rPr>
                <w:rFonts w:cs="Arial"/>
                <w:sz w:val="18"/>
                <w:szCs w:val="18"/>
                <w:lang w:val="es-ES_tradnl"/>
              </w:rPr>
              <w:t>3.404</w:t>
            </w:r>
          </w:p>
        </w:tc>
        <w:tc>
          <w:tcPr>
            <w:tcW w:w="767" w:type="dxa"/>
            <w:tcBorders>
              <w:top w:val="nil"/>
              <w:left w:val="nil"/>
              <w:bottom w:val="nil"/>
              <w:right w:val="nil"/>
            </w:tcBorders>
            <w:shd w:val="clear" w:color="000000" w:fill="FFFFFF"/>
            <w:vAlign w:val="bottom"/>
            <w:hideMark/>
          </w:tcPr>
          <w:p w:rsidR="00112976" w:rsidRPr="00494E4B" w:rsidRDefault="00112976" w:rsidP="00EF2D62">
            <w:pPr>
              <w:jc w:val="right"/>
              <w:rPr>
                <w:rFonts w:cs="Arial"/>
                <w:sz w:val="18"/>
                <w:szCs w:val="18"/>
                <w:lang w:val="es-ES_tradnl"/>
              </w:rPr>
            </w:pPr>
            <w:r w:rsidRPr="00494E4B">
              <w:rPr>
                <w:rFonts w:cs="Arial"/>
                <w:sz w:val="18"/>
                <w:szCs w:val="18"/>
                <w:lang w:val="es-ES_tradnl"/>
              </w:rPr>
              <w:t>3.392</w:t>
            </w:r>
          </w:p>
        </w:tc>
        <w:tc>
          <w:tcPr>
            <w:tcW w:w="767" w:type="dxa"/>
            <w:tcBorders>
              <w:top w:val="nil"/>
              <w:left w:val="nil"/>
              <w:bottom w:val="nil"/>
              <w:right w:val="single" w:sz="4" w:space="0" w:color="auto"/>
            </w:tcBorders>
            <w:shd w:val="clear" w:color="000000" w:fill="FFFFFF"/>
            <w:vAlign w:val="bottom"/>
            <w:hideMark/>
          </w:tcPr>
          <w:p w:rsidR="00112976" w:rsidRPr="00494E4B" w:rsidRDefault="00112976" w:rsidP="00EF2D62">
            <w:pPr>
              <w:jc w:val="right"/>
              <w:rPr>
                <w:rFonts w:cs="Arial"/>
                <w:sz w:val="18"/>
                <w:szCs w:val="18"/>
                <w:lang w:val="es-ES_tradnl"/>
              </w:rPr>
            </w:pPr>
            <w:r w:rsidRPr="00494E4B">
              <w:rPr>
                <w:rFonts w:cs="Arial"/>
                <w:sz w:val="18"/>
                <w:szCs w:val="18"/>
                <w:lang w:val="es-ES_tradnl"/>
              </w:rPr>
              <w:t>3.402</w:t>
            </w:r>
          </w:p>
        </w:tc>
        <w:tc>
          <w:tcPr>
            <w:tcW w:w="767" w:type="dxa"/>
            <w:tcBorders>
              <w:top w:val="nil"/>
              <w:left w:val="nil"/>
              <w:bottom w:val="nil"/>
              <w:right w:val="nil"/>
            </w:tcBorders>
            <w:shd w:val="clear" w:color="000000" w:fill="FFFFFF"/>
            <w:noWrap/>
            <w:vAlign w:val="bottom"/>
            <w:hideMark/>
          </w:tcPr>
          <w:p w:rsidR="00112976" w:rsidRPr="00494E4B" w:rsidRDefault="00112976" w:rsidP="00EF2D62">
            <w:pPr>
              <w:jc w:val="right"/>
              <w:rPr>
                <w:rFonts w:cs="Arial"/>
                <w:sz w:val="18"/>
                <w:szCs w:val="18"/>
                <w:lang w:val="es-ES_tradnl"/>
              </w:rPr>
            </w:pPr>
            <w:r w:rsidRPr="00494E4B">
              <w:rPr>
                <w:rFonts w:cs="Arial"/>
                <w:sz w:val="18"/>
                <w:szCs w:val="18"/>
                <w:lang w:val="es-ES_tradnl"/>
              </w:rPr>
              <w:t>3.413</w:t>
            </w:r>
          </w:p>
        </w:tc>
        <w:tc>
          <w:tcPr>
            <w:tcW w:w="767" w:type="dxa"/>
            <w:tcBorders>
              <w:top w:val="nil"/>
              <w:left w:val="nil"/>
              <w:bottom w:val="nil"/>
              <w:right w:val="single" w:sz="4" w:space="0" w:color="auto"/>
            </w:tcBorders>
            <w:shd w:val="clear" w:color="000000" w:fill="FFFFFF"/>
            <w:noWrap/>
            <w:vAlign w:val="bottom"/>
            <w:hideMark/>
          </w:tcPr>
          <w:p w:rsidR="00112976" w:rsidRPr="00494E4B" w:rsidRDefault="00112976" w:rsidP="00EF2D62">
            <w:pPr>
              <w:jc w:val="right"/>
              <w:rPr>
                <w:rFonts w:cs="Arial"/>
                <w:sz w:val="18"/>
                <w:szCs w:val="18"/>
                <w:lang w:val="es-ES_tradnl"/>
              </w:rPr>
            </w:pPr>
            <w:r w:rsidRPr="00494E4B">
              <w:rPr>
                <w:rFonts w:cs="Arial"/>
                <w:sz w:val="18"/>
                <w:szCs w:val="18"/>
                <w:lang w:val="es-ES_tradnl"/>
              </w:rPr>
              <w:t>3.423</w:t>
            </w:r>
          </w:p>
        </w:tc>
      </w:tr>
      <w:tr w:rsidR="005D61AB" w:rsidRPr="00494E4B" w:rsidTr="00494E4B">
        <w:trPr>
          <w:trHeight w:val="390"/>
        </w:trPr>
        <w:tc>
          <w:tcPr>
            <w:tcW w:w="2000" w:type="dxa"/>
            <w:tcBorders>
              <w:top w:val="nil"/>
              <w:left w:val="single" w:sz="4" w:space="0" w:color="auto"/>
              <w:bottom w:val="single" w:sz="4" w:space="0" w:color="auto"/>
              <w:right w:val="nil"/>
            </w:tcBorders>
            <w:shd w:val="clear" w:color="000000" w:fill="FFFFFF"/>
            <w:vAlign w:val="bottom"/>
            <w:hideMark/>
          </w:tcPr>
          <w:p w:rsidR="00112976" w:rsidRPr="00494E4B" w:rsidRDefault="00112976" w:rsidP="00EF2D62">
            <w:pPr>
              <w:jc w:val="left"/>
              <w:rPr>
                <w:rFonts w:cs="Arial"/>
                <w:i/>
                <w:iCs/>
                <w:sz w:val="18"/>
                <w:szCs w:val="18"/>
                <w:lang w:val="es-ES_tradnl"/>
              </w:rPr>
            </w:pPr>
            <w:r w:rsidRPr="00494E4B">
              <w:rPr>
                <w:rFonts w:cs="Arial"/>
                <w:i/>
                <w:sz w:val="18"/>
                <w:szCs w:val="18"/>
                <w:lang w:val="es-ES_tradnl"/>
              </w:rPr>
              <w:t>Diferencia</w:t>
            </w:r>
          </w:p>
        </w:tc>
        <w:tc>
          <w:tcPr>
            <w:tcW w:w="767" w:type="dxa"/>
            <w:tcBorders>
              <w:top w:val="nil"/>
              <w:left w:val="nil"/>
              <w:bottom w:val="single" w:sz="4" w:space="0" w:color="auto"/>
              <w:right w:val="nil"/>
            </w:tcBorders>
            <w:shd w:val="clear" w:color="000000" w:fill="FFFFFF"/>
            <w:vAlign w:val="bottom"/>
            <w:hideMark/>
          </w:tcPr>
          <w:p w:rsidR="00112976" w:rsidRPr="00494E4B" w:rsidRDefault="00112976" w:rsidP="00EF2D62">
            <w:pPr>
              <w:jc w:val="right"/>
              <w:rPr>
                <w:rFonts w:cs="Arial"/>
                <w:i/>
                <w:iCs/>
                <w:sz w:val="18"/>
                <w:szCs w:val="18"/>
                <w:lang w:val="es-ES_tradnl"/>
              </w:rPr>
            </w:pPr>
            <w:r w:rsidRPr="00494E4B">
              <w:rPr>
                <w:rFonts w:cs="Arial"/>
                <w:i/>
                <w:sz w:val="18"/>
                <w:szCs w:val="18"/>
                <w:lang w:val="es-ES_tradnl"/>
              </w:rPr>
              <w:t>344</w:t>
            </w:r>
          </w:p>
        </w:tc>
        <w:tc>
          <w:tcPr>
            <w:tcW w:w="767" w:type="dxa"/>
            <w:tcBorders>
              <w:top w:val="nil"/>
              <w:left w:val="nil"/>
              <w:bottom w:val="single" w:sz="4" w:space="0" w:color="auto"/>
              <w:right w:val="nil"/>
            </w:tcBorders>
            <w:shd w:val="clear" w:color="000000" w:fill="FFFFFF"/>
            <w:vAlign w:val="bottom"/>
            <w:hideMark/>
          </w:tcPr>
          <w:p w:rsidR="00112976" w:rsidRPr="00494E4B" w:rsidRDefault="00112976" w:rsidP="00EF2D62">
            <w:pPr>
              <w:jc w:val="right"/>
              <w:rPr>
                <w:rFonts w:cs="Arial"/>
                <w:i/>
                <w:iCs/>
                <w:sz w:val="18"/>
                <w:szCs w:val="18"/>
                <w:lang w:val="es-ES_tradnl"/>
              </w:rPr>
            </w:pPr>
            <w:r w:rsidRPr="00494E4B">
              <w:rPr>
                <w:rFonts w:cs="Arial"/>
                <w:i/>
                <w:sz w:val="18"/>
                <w:szCs w:val="18"/>
                <w:lang w:val="es-ES_tradnl"/>
              </w:rPr>
              <w:t>46</w:t>
            </w:r>
          </w:p>
        </w:tc>
        <w:tc>
          <w:tcPr>
            <w:tcW w:w="767" w:type="dxa"/>
            <w:tcBorders>
              <w:top w:val="nil"/>
              <w:left w:val="nil"/>
              <w:bottom w:val="single" w:sz="4" w:space="0" w:color="auto"/>
              <w:right w:val="nil"/>
            </w:tcBorders>
            <w:shd w:val="clear" w:color="000000" w:fill="FFFFFF"/>
            <w:vAlign w:val="bottom"/>
            <w:hideMark/>
          </w:tcPr>
          <w:p w:rsidR="00112976" w:rsidRPr="00494E4B" w:rsidRDefault="00112976" w:rsidP="00EF2D62">
            <w:pPr>
              <w:jc w:val="right"/>
              <w:rPr>
                <w:rFonts w:cs="Arial"/>
                <w:i/>
                <w:iCs/>
                <w:sz w:val="18"/>
                <w:szCs w:val="18"/>
                <w:lang w:val="es-ES_tradnl"/>
              </w:rPr>
            </w:pPr>
            <w:r w:rsidRPr="00494E4B">
              <w:rPr>
                <w:rFonts w:cs="Arial"/>
                <w:i/>
                <w:sz w:val="18"/>
                <w:szCs w:val="18"/>
                <w:lang w:val="es-ES_tradnl"/>
              </w:rPr>
              <w:t>-89</w:t>
            </w:r>
          </w:p>
        </w:tc>
        <w:tc>
          <w:tcPr>
            <w:tcW w:w="767" w:type="dxa"/>
            <w:tcBorders>
              <w:top w:val="nil"/>
              <w:left w:val="nil"/>
              <w:bottom w:val="single" w:sz="4" w:space="0" w:color="auto"/>
              <w:right w:val="single" w:sz="4" w:space="0" w:color="auto"/>
            </w:tcBorders>
            <w:shd w:val="clear" w:color="000000" w:fill="FFFFFF"/>
            <w:vAlign w:val="bottom"/>
            <w:hideMark/>
          </w:tcPr>
          <w:p w:rsidR="00112976" w:rsidRPr="00494E4B" w:rsidRDefault="00112976" w:rsidP="00EF2D62">
            <w:pPr>
              <w:jc w:val="right"/>
              <w:rPr>
                <w:rFonts w:cs="Arial"/>
                <w:i/>
                <w:iCs/>
                <w:sz w:val="18"/>
                <w:szCs w:val="18"/>
                <w:lang w:val="es-ES_tradnl"/>
              </w:rPr>
            </w:pPr>
            <w:r w:rsidRPr="00494E4B">
              <w:rPr>
                <w:rFonts w:cs="Arial"/>
                <w:i/>
                <w:sz w:val="18"/>
                <w:szCs w:val="18"/>
                <w:lang w:val="es-ES_tradnl"/>
              </w:rPr>
              <w:t>511</w:t>
            </w:r>
          </w:p>
        </w:tc>
        <w:tc>
          <w:tcPr>
            <w:tcW w:w="767" w:type="dxa"/>
            <w:tcBorders>
              <w:top w:val="nil"/>
              <w:left w:val="nil"/>
              <w:bottom w:val="single" w:sz="4" w:space="0" w:color="auto"/>
              <w:right w:val="nil"/>
            </w:tcBorders>
            <w:shd w:val="clear" w:color="000000" w:fill="FFFFFF"/>
            <w:vAlign w:val="bottom"/>
            <w:hideMark/>
          </w:tcPr>
          <w:p w:rsidR="00112976" w:rsidRPr="00494E4B" w:rsidRDefault="00112976" w:rsidP="00EF2D62">
            <w:pPr>
              <w:jc w:val="right"/>
              <w:rPr>
                <w:rFonts w:cs="Arial"/>
                <w:i/>
                <w:iCs/>
                <w:sz w:val="18"/>
                <w:szCs w:val="18"/>
                <w:lang w:val="es-ES_tradnl"/>
              </w:rPr>
            </w:pPr>
            <w:r w:rsidRPr="00494E4B">
              <w:rPr>
                <w:rFonts w:cs="Arial"/>
                <w:i/>
                <w:sz w:val="18"/>
                <w:szCs w:val="18"/>
                <w:lang w:val="es-ES_tradnl"/>
              </w:rPr>
              <w:t>-</w:t>
            </w:r>
          </w:p>
        </w:tc>
        <w:tc>
          <w:tcPr>
            <w:tcW w:w="767" w:type="dxa"/>
            <w:tcBorders>
              <w:top w:val="nil"/>
              <w:left w:val="nil"/>
              <w:bottom w:val="single" w:sz="4" w:space="0" w:color="auto"/>
              <w:right w:val="single" w:sz="4" w:space="0" w:color="auto"/>
            </w:tcBorders>
            <w:shd w:val="clear" w:color="000000" w:fill="FFFFFF"/>
            <w:vAlign w:val="bottom"/>
            <w:hideMark/>
          </w:tcPr>
          <w:p w:rsidR="00112976" w:rsidRPr="00494E4B" w:rsidRDefault="00112976" w:rsidP="00EF2D62">
            <w:pPr>
              <w:jc w:val="right"/>
              <w:rPr>
                <w:rFonts w:cs="Arial"/>
                <w:i/>
                <w:iCs/>
                <w:sz w:val="18"/>
                <w:szCs w:val="18"/>
                <w:lang w:val="es-ES_tradnl"/>
              </w:rPr>
            </w:pPr>
            <w:r w:rsidRPr="00494E4B">
              <w:rPr>
                <w:rFonts w:cs="Arial"/>
                <w:i/>
                <w:sz w:val="18"/>
                <w:szCs w:val="18"/>
                <w:lang w:val="es-ES_tradnl"/>
              </w:rPr>
              <w:t>-</w:t>
            </w:r>
          </w:p>
        </w:tc>
        <w:tc>
          <w:tcPr>
            <w:tcW w:w="767" w:type="dxa"/>
            <w:tcBorders>
              <w:top w:val="nil"/>
              <w:left w:val="nil"/>
              <w:bottom w:val="single" w:sz="4" w:space="0" w:color="auto"/>
              <w:right w:val="nil"/>
            </w:tcBorders>
            <w:shd w:val="clear" w:color="000000" w:fill="FFFFFF"/>
            <w:vAlign w:val="bottom"/>
            <w:hideMark/>
          </w:tcPr>
          <w:p w:rsidR="00112976" w:rsidRPr="00494E4B" w:rsidRDefault="00112976" w:rsidP="00EF2D62">
            <w:pPr>
              <w:jc w:val="right"/>
              <w:rPr>
                <w:rFonts w:cs="Arial"/>
                <w:i/>
                <w:iCs/>
                <w:sz w:val="18"/>
                <w:szCs w:val="18"/>
                <w:lang w:val="es-ES_tradnl"/>
              </w:rPr>
            </w:pPr>
            <w:r w:rsidRPr="00494E4B">
              <w:rPr>
                <w:rFonts w:cs="Arial"/>
                <w:i/>
                <w:sz w:val="18"/>
                <w:szCs w:val="18"/>
                <w:lang w:val="es-ES_tradnl"/>
              </w:rPr>
              <w:t>-</w:t>
            </w:r>
          </w:p>
        </w:tc>
        <w:tc>
          <w:tcPr>
            <w:tcW w:w="767" w:type="dxa"/>
            <w:tcBorders>
              <w:top w:val="nil"/>
              <w:left w:val="nil"/>
              <w:bottom w:val="single" w:sz="4" w:space="0" w:color="auto"/>
              <w:right w:val="single" w:sz="4" w:space="0" w:color="auto"/>
            </w:tcBorders>
            <w:shd w:val="clear" w:color="000000" w:fill="FFFFFF"/>
            <w:vAlign w:val="bottom"/>
            <w:hideMark/>
          </w:tcPr>
          <w:p w:rsidR="00112976" w:rsidRPr="00494E4B" w:rsidRDefault="00112976" w:rsidP="00EF2D62">
            <w:pPr>
              <w:jc w:val="right"/>
              <w:rPr>
                <w:rFonts w:cs="Arial"/>
                <w:i/>
                <w:iCs/>
                <w:sz w:val="18"/>
                <w:szCs w:val="18"/>
                <w:lang w:val="es-ES_tradnl"/>
              </w:rPr>
            </w:pPr>
            <w:r w:rsidRPr="00494E4B">
              <w:rPr>
                <w:rFonts w:cs="Arial"/>
                <w:i/>
                <w:sz w:val="18"/>
                <w:szCs w:val="18"/>
                <w:lang w:val="es-ES_tradnl"/>
              </w:rPr>
              <w:t>-</w:t>
            </w:r>
          </w:p>
        </w:tc>
        <w:tc>
          <w:tcPr>
            <w:tcW w:w="767" w:type="dxa"/>
            <w:tcBorders>
              <w:top w:val="nil"/>
              <w:left w:val="nil"/>
              <w:bottom w:val="single" w:sz="4" w:space="0" w:color="auto"/>
              <w:right w:val="nil"/>
            </w:tcBorders>
            <w:shd w:val="clear" w:color="000000" w:fill="FFFFFF"/>
            <w:vAlign w:val="bottom"/>
            <w:hideMark/>
          </w:tcPr>
          <w:p w:rsidR="00112976" w:rsidRPr="00494E4B" w:rsidRDefault="00112976" w:rsidP="00EF2D62">
            <w:pPr>
              <w:jc w:val="right"/>
              <w:rPr>
                <w:rFonts w:cs="Arial"/>
                <w:i/>
                <w:iCs/>
                <w:sz w:val="18"/>
                <w:szCs w:val="18"/>
                <w:lang w:val="es-ES_tradnl"/>
              </w:rPr>
            </w:pPr>
          </w:p>
        </w:tc>
        <w:tc>
          <w:tcPr>
            <w:tcW w:w="767" w:type="dxa"/>
            <w:tcBorders>
              <w:top w:val="nil"/>
              <w:left w:val="nil"/>
              <w:bottom w:val="single" w:sz="4" w:space="0" w:color="auto"/>
              <w:right w:val="single" w:sz="4" w:space="0" w:color="auto"/>
            </w:tcBorders>
            <w:shd w:val="clear" w:color="000000" w:fill="FFFFFF"/>
            <w:vAlign w:val="bottom"/>
            <w:hideMark/>
          </w:tcPr>
          <w:p w:rsidR="00112976" w:rsidRPr="00494E4B" w:rsidRDefault="00112976" w:rsidP="00EF2D62">
            <w:pPr>
              <w:jc w:val="right"/>
              <w:rPr>
                <w:rFonts w:cs="Arial"/>
                <w:i/>
                <w:iCs/>
                <w:sz w:val="18"/>
                <w:szCs w:val="18"/>
                <w:lang w:val="es-ES_tradnl"/>
              </w:rPr>
            </w:pPr>
          </w:p>
        </w:tc>
      </w:tr>
    </w:tbl>
    <w:p w:rsidR="00FF5D3C" w:rsidRPr="0095539D" w:rsidRDefault="00FF5D3C" w:rsidP="00EF2D62">
      <w:pPr>
        <w:jc w:val="center"/>
        <w:rPr>
          <w:rFonts w:cs="Arial"/>
          <w:sz w:val="18"/>
          <w:szCs w:val="18"/>
          <w:lang w:val="es-ES_tradnl"/>
        </w:rPr>
      </w:pPr>
    </w:p>
    <w:p w:rsidR="004236BB" w:rsidRPr="0095539D" w:rsidRDefault="004236BB" w:rsidP="00EF2D62">
      <w:pPr>
        <w:jc w:val="center"/>
        <w:rPr>
          <w:rFonts w:cs="Arial"/>
          <w:sz w:val="18"/>
          <w:szCs w:val="18"/>
          <w:lang w:val="es-ES_tradnl"/>
        </w:rPr>
      </w:pPr>
    </w:p>
    <w:tbl>
      <w:tblPr>
        <w:tblW w:w="5812" w:type="dxa"/>
        <w:tblInd w:w="892" w:type="dxa"/>
        <w:tblLook w:val="04A0" w:firstRow="1" w:lastRow="0" w:firstColumn="1" w:lastColumn="0" w:noHBand="0" w:noVBand="1"/>
      </w:tblPr>
      <w:tblGrid>
        <w:gridCol w:w="4644"/>
        <w:gridCol w:w="1168"/>
      </w:tblGrid>
      <w:tr w:rsidR="005D61AB" w:rsidRPr="0095539D" w:rsidTr="0095539D">
        <w:trPr>
          <w:trHeight w:val="255"/>
        </w:trPr>
        <w:tc>
          <w:tcPr>
            <w:tcW w:w="4644" w:type="dxa"/>
            <w:tcBorders>
              <w:top w:val="single" w:sz="4" w:space="0" w:color="auto"/>
              <w:left w:val="single" w:sz="4" w:space="0" w:color="auto"/>
              <w:bottom w:val="nil"/>
              <w:right w:val="nil"/>
            </w:tcBorders>
            <w:shd w:val="clear" w:color="auto" w:fill="auto"/>
            <w:noWrap/>
            <w:vAlign w:val="bottom"/>
            <w:hideMark/>
          </w:tcPr>
          <w:p w:rsidR="00112976" w:rsidRPr="0095539D" w:rsidRDefault="00112976" w:rsidP="00EF2D62">
            <w:pPr>
              <w:jc w:val="left"/>
              <w:rPr>
                <w:rFonts w:cs="Arial"/>
                <w:b/>
                <w:bCs/>
                <w:sz w:val="18"/>
                <w:szCs w:val="18"/>
                <w:u w:val="single"/>
                <w:lang w:val="es-ES_tradnl"/>
              </w:rPr>
            </w:pPr>
            <w:r w:rsidRPr="0095539D">
              <w:rPr>
                <w:rFonts w:cs="Arial"/>
                <w:b/>
                <w:sz w:val="18"/>
                <w:szCs w:val="18"/>
                <w:u w:val="single"/>
                <w:lang w:val="es-ES_tradnl"/>
              </w:rPr>
              <w:t>TOPE DE RESERVAS</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112976" w:rsidRPr="0095539D" w:rsidRDefault="0095539D" w:rsidP="00EF2D62">
            <w:pPr>
              <w:jc w:val="left"/>
              <w:rPr>
                <w:rFonts w:cs="Arial"/>
                <w:b/>
                <w:bCs/>
                <w:sz w:val="18"/>
                <w:szCs w:val="18"/>
                <w:lang w:val="es-ES_tradnl"/>
              </w:rPr>
            </w:pPr>
            <w:r>
              <w:rPr>
                <w:rFonts w:cs="Arial"/>
                <w:b/>
                <w:sz w:val="18"/>
                <w:szCs w:val="18"/>
                <w:lang w:val="es-ES_tradnl"/>
              </w:rPr>
              <w:t>2010-</w:t>
            </w:r>
            <w:r w:rsidR="00112976" w:rsidRPr="0095539D">
              <w:rPr>
                <w:rFonts w:cs="Arial"/>
                <w:b/>
                <w:sz w:val="18"/>
                <w:szCs w:val="18"/>
                <w:lang w:val="es-ES_tradnl"/>
              </w:rPr>
              <w:t>2011</w:t>
            </w:r>
          </w:p>
        </w:tc>
      </w:tr>
      <w:tr w:rsidR="005D61AB" w:rsidRPr="0095539D" w:rsidTr="0095539D">
        <w:trPr>
          <w:trHeight w:val="375"/>
        </w:trPr>
        <w:tc>
          <w:tcPr>
            <w:tcW w:w="4644" w:type="dxa"/>
            <w:tcBorders>
              <w:top w:val="nil"/>
              <w:left w:val="single" w:sz="4" w:space="0" w:color="auto"/>
              <w:bottom w:val="nil"/>
              <w:right w:val="nil"/>
            </w:tcBorders>
            <w:shd w:val="clear" w:color="auto" w:fill="auto"/>
            <w:noWrap/>
            <w:vAlign w:val="bottom"/>
            <w:hideMark/>
          </w:tcPr>
          <w:p w:rsidR="00112976" w:rsidRPr="0095539D" w:rsidRDefault="00112976" w:rsidP="00EF2D62">
            <w:pPr>
              <w:jc w:val="left"/>
              <w:rPr>
                <w:rFonts w:cs="Arial"/>
                <w:sz w:val="18"/>
                <w:szCs w:val="18"/>
                <w:lang w:val="es-ES_tradnl"/>
              </w:rPr>
            </w:pPr>
            <w:r w:rsidRPr="0095539D">
              <w:rPr>
                <w:rFonts w:cs="Arial"/>
                <w:sz w:val="18"/>
                <w:szCs w:val="18"/>
                <w:lang w:val="es-ES_tradnl"/>
              </w:rPr>
              <w:t xml:space="preserve">Saldo de cierre de reservas de 2011 </w:t>
            </w:r>
          </w:p>
        </w:tc>
        <w:tc>
          <w:tcPr>
            <w:tcW w:w="1168" w:type="dxa"/>
            <w:tcBorders>
              <w:top w:val="nil"/>
              <w:left w:val="nil"/>
              <w:bottom w:val="nil"/>
              <w:right w:val="single" w:sz="4" w:space="0" w:color="auto"/>
            </w:tcBorders>
            <w:shd w:val="clear" w:color="auto" w:fill="auto"/>
            <w:noWrap/>
            <w:vAlign w:val="bottom"/>
            <w:hideMark/>
          </w:tcPr>
          <w:p w:rsidR="00112976" w:rsidRPr="0095539D" w:rsidRDefault="00112976" w:rsidP="00EF2D62">
            <w:pPr>
              <w:jc w:val="right"/>
              <w:rPr>
                <w:rFonts w:cs="Arial"/>
                <w:sz w:val="18"/>
                <w:szCs w:val="18"/>
                <w:lang w:val="es-ES_tradnl"/>
              </w:rPr>
            </w:pPr>
            <w:r w:rsidRPr="0095539D">
              <w:rPr>
                <w:rFonts w:cs="Arial"/>
                <w:sz w:val="18"/>
                <w:szCs w:val="18"/>
                <w:lang w:val="es-ES_tradnl"/>
              </w:rPr>
              <w:t>1.459</w:t>
            </w:r>
          </w:p>
        </w:tc>
      </w:tr>
      <w:tr w:rsidR="005D61AB" w:rsidRPr="0095539D" w:rsidTr="0095539D">
        <w:trPr>
          <w:trHeight w:val="255"/>
        </w:trPr>
        <w:tc>
          <w:tcPr>
            <w:tcW w:w="4644" w:type="dxa"/>
            <w:tcBorders>
              <w:top w:val="nil"/>
              <w:left w:val="single" w:sz="4" w:space="0" w:color="auto"/>
              <w:bottom w:val="nil"/>
              <w:right w:val="nil"/>
            </w:tcBorders>
            <w:shd w:val="clear" w:color="auto" w:fill="auto"/>
            <w:noWrap/>
            <w:vAlign w:val="bottom"/>
            <w:hideMark/>
          </w:tcPr>
          <w:p w:rsidR="00112976" w:rsidRPr="0095539D" w:rsidRDefault="00112976" w:rsidP="00EF2D62">
            <w:pPr>
              <w:jc w:val="left"/>
              <w:rPr>
                <w:rFonts w:cs="Arial"/>
                <w:sz w:val="18"/>
                <w:szCs w:val="18"/>
                <w:lang w:val="es-ES_tradnl"/>
              </w:rPr>
            </w:pPr>
            <w:r w:rsidRPr="0095539D">
              <w:rPr>
                <w:rFonts w:cs="Arial"/>
                <w:sz w:val="18"/>
                <w:szCs w:val="18"/>
                <w:lang w:val="es-ES_tradnl"/>
              </w:rPr>
              <w:t>Ajustes en el saldo de apertura conforme a las IPSAS</w:t>
            </w:r>
          </w:p>
        </w:tc>
        <w:tc>
          <w:tcPr>
            <w:tcW w:w="1168" w:type="dxa"/>
            <w:tcBorders>
              <w:top w:val="nil"/>
              <w:left w:val="nil"/>
              <w:bottom w:val="single" w:sz="4" w:space="0" w:color="auto"/>
              <w:right w:val="single" w:sz="4" w:space="0" w:color="auto"/>
            </w:tcBorders>
            <w:shd w:val="clear" w:color="auto" w:fill="auto"/>
            <w:noWrap/>
            <w:vAlign w:val="bottom"/>
            <w:hideMark/>
          </w:tcPr>
          <w:p w:rsidR="00112976" w:rsidRPr="0095539D" w:rsidRDefault="00112976" w:rsidP="00EF2D62">
            <w:pPr>
              <w:jc w:val="right"/>
              <w:rPr>
                <w:rFonts w:cs="Arial"/>
                <w:sz w:val="18"/>
                <w:szCs w:val="18"/>
                <w:lang w:val="es-ES_tradnl"/>
              </w:rPr>
            </w:pPr>
            <w:r w:rsidRPr="0095539D">
              <w:rPr>
                <w:rFonts w:cs="Arial"/>
                <w:sz w:val="18"/>
                <w:szCs w:val="18"/>
                <w:lang w:val="es-ES_tradnl"/>
              </w:rPr>
              <w:t>-759</w:t>
            </w:r>
          </w:p>
        </w:tc>
      </w:tr>
      <w:tr w:rsidR="005D61AB" w:rsidRPr="0095539D" w:rsidTr="0095539D">
        <w:trPr>
          <w:trHeight w:val="255"/>
        </w:trPr>
        <w:tc>
          <w:tcPr>
            <w:tcW w:w="4644" w:type="dxa"/>
            <w:tcBorders>
              <w:top w:val="nil"/>
              <w:left w:val="single" w:sz="4" w:space="0" w:color="auto"/>
              <w:bottom w:val="single" w:sz="4" w:space="0" w:color="auto"/>
              <w:right w:val="nil"/>
            </w:tcBorders>
            <w:shd w:val="clear" w:color="auto" w:fill="auto"/>
            <w:noWrap/>
            <w:vAlign w:val="bottom"/>
            <w:hideMark/>
          </w:tcPr>
          <w:p w:rsidR="00112976" w:rsidRPr="0095539D" w:rsidRDefault="00112976" w:rsidP="00EF2D62">
            <w:pPr>
              <w:jc w:val="left"/>
              <w:rPr>
                <w:rFonts w:cs="Arial"/>
                <w:sz w:val="18"/>
                <w:szCs w:val="18"/>
                <w:lang w:val="es-ES_tradnl"/>
              </w:rPr>
            </w:pPr>
            <w:r w:rsidRPr="0095539D">
              <w:rPr>
                <w:rFonts w:cs="Arial"/>
                <w:sz w:val="18"/>
                <w:szCs w:val="18"/>
                <w:lang w:val="es-ES_tradnl"/>
              </w:rPr>
              <w:t>Saldo de apertura de reservas de 2012</w:t>
            </w:r>
          </w:p>
        </w:tc>
        <w:tc>
          <w:tcPr>
            <w:tcW w:w="1168" w:type="dxa"/>
            <w:tcBorders>
              <w:top w:val="nil"/>
              <w:left w:val="nil"/>
              <w:bottom w:val="single" w:sz="4" w:space="0" w:color="auto"/>
              <w:right w:val="single" w:sz="4" w:space="0" w:color="auto"/>
            </w:tcBorders>
            <w:shd w:val="clear" w:color="auto" w:fill="auto"/>
            <w:noWrap/>
            <w:vAlign w:val="bottom"/>
            <w:hideMark/>
          </w:tcPr>
          <w:p w:rsidR="00112976" w:rsidRPr="0095539D" w:rsidRDefault="00112976" w:rsidP="00EF2D62">
            <w:pPr>
              <w:jc w:val="right"/>
              <w:rPr>
                <w:rFonts w:cs="Arial"/>
                <w:sz w:val="18"/>
                <w:szCs w:val="18"/>
                <w:lang w:val="es-ES_tradnl"/>
              </w:rPr>
            </w:pPr>
            <w:r w:rsidRPr="0095539D">
              <w:rPr>
                <w:rFonts w:cs="Arial"/>
                <w:sz w:val="18"/>
                <w:szCs w:val="18"/>
                <w:lang w:val="es-ES_tradnl"/>
              </w:rPr>
              <w:t>700</w:t>
            </w:r>
          </w:p>
        </w:tc>
      </w:tr>
      <w:tr w:rsidR="005D61AB" w:rsidRPr="0095539D" w:rsidTr="0095539D">
        <w:trPr>
          <w:trHeight w:val="360"/>
        </w:trPr>
        <w:tc>
          <w:tcPr>
            <w:tcW w:w="4644" w:type="dxa"/>
            <w:tcBorders>
              <w:top w:val="nil"/>
              <w:left w:val="nil"/>
              <w:bottom w:val="nil"/>
              <w:right w:val="nil"/>
            </w:tcBorders>
            <w:shd w:val="clear" w:color="auto" w:fill="auto"/>
            <w:noWrap/>
            <w:vAlign w:val="bottom"/>
            <w:hideMark/>
          </w:tcPr>
          <w:p w:rsidR="00112976" w:rsidRPr="0095539D" w:rsidRDefault="00112976" w:rsidP="00EF2D62">
            <w:pPr>
              <w:jc w:val="left"/>
              <w:rPr>
                <w:rFonts w:cs="Arial"/>
                <w:sz w:val="18"/>
                <w:szCs w:val="18"/>
                <w:lang w:val="es-ES_tradnl"/>
              </w:rPr>
            </w:pPr>
          </w:p>
        </w:tc>
        <w:tc>
          <w:tcPr>
            <w:tcW w:w="1168" w:type="dxa"/>
            <w:tcBorders>
              <w:top w:val="nil"/>
              <w:left w:val="nil"/>
              <w:bottom w:val="nil"/>
              <w:right w:val="nil"/>
            </w:tcBorders>
            <w:shd w:val="clear" w:color="auto" w:fill="auto"/>
            <w:noWrap/>
            <w:vAlign w:val="bottom"/>
            <w:hideMark/>
          </w:tcPr>
          <w:p w:rsidR="00112976" w:rsidRPr="0095539D" w:rsidRDefault="00112976" w:rsidP="00EF2D62">
            <w:pPr>
              <w:jc w:val="right"/>
              <w:rPr>
                <w:rFonts w:cs="Arial"/>
                <w:sz w:val="18"/>
                <w:szCs w:val="18"/>
                <w:lang w:val="es-ES_tradnl"/>
              </w:rPr>
            </w:pPr>
          </w:p>
        </w:tc>
      </w:tr>
      <w:tr w:rsidR="005D61AB" w:rsidRPr="0095539D" w:rsidTr="0095539D">
        <w:trPr>
          <w:trHeight w:val="255"/>
        </w:trPr>
        <w:tc>
          <w:tcPr>
            <w:tcW w:w="4644" w:type="dxa"/>
            <w:tcBorders>
              <w:top w:val="single" w:sz="4" w:space="0" w:color="auto"/>
              <w:left w:val="single" w:sz="4" w:space="0" w:color="auto"/>
              <w:bottom w:val="nil"/>
              <w:right w:val="nil"/>
            </w:tcBorders>
            <w:shd w:val="clear" w:color="auto" w:fill="auto"/>
            <w:noWrap/>
            <w:vAlign w:val="bottom"/>
            <w:hideMark/>
          </w:tcPr>
          <w:p w:rsidR="00112976" w:rsidRPr="0095539D" w:rsidRDefault="00112976" w:rsidP="00EF2D62">
            <w:pPr>
              <w:jc w:val="left"/>
              <w:rPr>
                <w:rFonts w:cs="Arial"/>
                <w:sz w:val="18"/>
                <w:szCs w:val="18"/>
                <w:lang w:val="es-ES_tradnl"/>
              </w:rPr>
            </w:pPr>
            <w:r w:rsidRPr="0095539D">
              <w:rPr>
                <w:rFonts w:cs="Arial"/>
                <w:sz w:val="18"/>
                <w:szCs w:val="18"/>
                <w:lang w:val="es-ES_tradnl"/>
              </w:rPr>
              <w:t>Ingresos 2010/2011</w:t>
            </w:r>
          </w:p>
        </w:tc>
        <w:tc>
          <w:tcPr>
            <w:tcW w:w="1168" w:type="dxa"/>
            <w:tcBorders>
              <w:top w:val="single" w:sz="4" w:space="0" w:color="auto"/>
              <w:left w:val="nil"/>
              <w:bottom w:val="nil"/>
              <w:right w:val="single" w:sz="4" w:space="0" w:color="auto"/>
            </w:tcBorders>
            <w:shd w:val="clear" w:color="auto" w:fill="auto"/>
            <w:noWrap/>
            <w:vAlign w:val="bottom"/>
            <w:hideMark/>
          </w:tcPr>
          <w:p w:rsidR="00112976" w:rsidRPr="0095539D" w:rsidRDefault="00112976" w:rsidP="00EF2D62">
            <w:pPr>
              <w:jc w:val="right"/>
              <w:rPr>
                <w:rFonts w:cs="Arial"/>
                <w:sz w:val="18"/>
                <w:szCs w:val="18"/>
                <w:lang w:val="es-ES_tradnl"/>
              </w:rPr>
            </w:pPr>
            <w:r w:rsidRPr="0095539D">
              <w:rPr>
                <w:rFonts w:cs="Arial"/>
                <w:sz w:val="18"/>
                <w:szCs w:val="18"/>
                <w:lang w:val="es-ES_tradnl"/>
              </w:rPr>
              <w:t>6.901</w:t>
            </w:r>
          </w:p>
        </w:tc>
      </w:tr>
      <w:tr w:rsidR="005D61AB" w:rsidRPr="0095539D" w:rsidTr="0095539D">
        <w:trPr>
          <w:trHeight w:val="255"/>
        </w:trPr>
        <w:tc>
          <w:tcPr>
            <w:tcW w:w="4644" w:type="dxa"/>
            <w:tcBorders>
              <w:top w:val="nil"/>
              <w:left w:val="single" w:sz="4" w:space="0" w:color="auto"/>
              <w:bottom w:val="nil"/>
              <w:right w:val="nil"/>
            </w:tcBorders>
            <w:shd w:val="clear" w:color="auto" w:fill="auto"/>
            <w:noWrap/>
            <w:vAlign w:val="bottom"/>
            <w:hideMark/>
          </w:tcPr>
          <w:p w:rsidR="00112976" w:rsidRPr="0095539D" w:rsidRDefault="00112976" w:rsidP="00EF2D62">
            <w:pPr>
              <w:jc w:val="left"/>
              <w:rPr>
                <w:rFonts w:cs="Arial"/>
                <w:sz w:val="18"/>
                <w:szCs w:val="18"/>
                <w:lang w:val="es-ES_tradnl"/>
              </w:rPr>
            </w:pPr>
            <w:r w:rsidRPr="0095539D">
              <w:rPr>
                <w:rFonts w:cs="Arial"/>
                <w:sz w:val="18"/>
                <w:szCs w:val="18"/>
                <w:lang w:val="es-ES_tradnl"/>
              </w:rPr>
              <w:t>Tope de reservas como % de los ingresos (15%)*</w:t>
            </w:r>
          </w:p>
        </w:tc>
        <w:tc>
          <w:tcPr>
            <w:tcW w:w="1168" w:type="dxa"/>
            <w:tcBorders>
              <w:top w:val="nil"/>
              <w:left w:val="nil"/>
              <w:bottom w:val="nil"/>
              <w:right w:val="single" w:sz="4" w:space="0" w:color="auto"/>
            </w:tcBorders>
            <w:shd w:val="clear" w:color="auto" w:fill="auto"/>
            <w:noWrap/>
            <w:vAlign w:val="bottom"/>
            <w:hideMark/>
          </w:tcPr>
          <w:p w:rsidR="00112976" w:rsidRPr="0095539D" w:rsidRDefault="00112976" w:rsidP="00EF2D62">
            <w:pPr>
              <w:jc w:val="right"/>
              <w:rPr>
                <w:rFonts w:cs="Arial"/>
                <w:sz w:val="18"/>
                <w:szCs w:val="18"/>
                <w:lang w:val="es-ES_tradnl"/>
              </w:rPr>
            </w:pPr>
            <w:r w:rsidRPr="0095539D">
              <w:rPr>
                <w:rFonts w:cs="Arial"/>
                <w:sz w:val="18"/>
                <w:szCs w:val="18"/>
                <w:lang w:val="es-ES_tradnl"/>
              </w:rPr>
              <w:t xml:space="preserve">1.035 </w:t>
            </w:r>
          </w:p>
        </w:tc>
      </w:tr>
      <w:tr w:rsidR="005D61AB" w:rsidRPr="0095539D" w:rsidTr="0095539D">
        <w:trPr>
          <w:trHeight w:val="255"/>
        </w:trPr>
        <w:tc>
          <w:tcPr>
            <w:tcW w:w="4644" w:type="dxa"/>
            <w:tcBorders>
              <w:top w:val="nil"/>
              <w:left w:val="single" w:sz="4" w:space="0" w:color="auto"/>
              <w:bottom w:val="nil"/>
              <w:right w:val="nil"/>
            </w:tcBorders>
            <w:shd w:val="clear" w:color="auto" w:fill="auto"/>
            <w:noWrap/>
            <w:vAlign w:val="bottom"/>
            <w:hideMark/>
          </w:tcPr>
          <w:p w:rsidR="00112976" w:rsidRPr="0095539D" w:rsidRDefault="00112976" w:rsidP="00EF2D62">
            <w:pPr>
              <w:jc w:val="left"/>
              <w:rPr>
                <w:rFonts w:cs="Arial"/>
                <w:sz w:val="18"/>
                <w:szCs w:val="18"/>
                <w:lang w:val="es-ES_tradnl"/>
              </w:rPr>
            </w:pPr>
            <w:r w:rsidRPr="0095539D">
              <w:rPr>
                <w:rFonts w:cs="Arial"/>
                <w:sz w:val="18"/>
                <w:szCs w:val="18"/>
                <w:lang w:val="es-ES_tradnl"/>
              </w:rPr>
              <w:t>Fondo de reserva superior al 15%</w:t>
            </w:r>
          </w:p>
        </w:tc>
        <w:tc>
          <w:tcPr>
            <w:tcW w:w="1168" w:type="dxa"/>
            <w:tcBorders>
              <w:top w:val="nil"/>
              <w:left w:val="nil"/>
              <w:bottom w:val="nil"/>
              <w:right w:val="single" w:sz="4" w:space="0" w:color="auto"/>
            </w:tcBorders>
            <w:shd w:val="clear" w:color="auto" w:fill="auto"/>
            <w:noWrap/>
            <w:vAlign w:val="bottom"/>
            <w:hideMark/>
          </w:tcPr>
          <w:p w:rsidR="00112976" w:rsidRPr="0095539D" w:rsidRDefault="00112976" w:rsidP="00EF2D62">
            <w:pPr>
              <w:jc w:val="right"/>
              <w:rPr>
                <w:rFonts w:cs="Arial"/>
                <w:sz w:val="18"/>
                <w:szCs w:val="18"/>
                <w:lang w:val="es-ES_tradnl"/>
              </w:rPr>
            </w:pPr>
            <w:r w:rsidRPr="0095539D">
              <w:rPr>
                <w:rFonts w:cs="Arial"/>
                <w:sz w:val="18"/>
                <w:szCs w:val="18"/>
                <w:lang w:val="es-ES_tradnl"/>
              </w:rPr>
              <w:t>-335</w:t>
            </w:r>
          </w:p>
        </w:tc>
      </w:tr>
      <w:tr w:rsidR="005D61AB" w:rsidRPr="0095539D" w:rsidTr="0095539D">
        <w:trPr>
          <w:trHeight w:val="255"/>
        </w:trPr>
        <w:tc>
          <w:tcPr>
            <w:tcW w:w="4644" w:type="dxa"/>
            <w:tcBorders>
              <w:top w:val="nil"/>
              <w:left w:val="single" w:sz="4" w:space="0" w:color="auto"/>
              <w:bottom w:val="single" w:sz="4" w:space="0" w:color="auto"/>
              <w:right w:val="nil"/>
            </w:tcBorders>
            <w:shd w:val="clear" w:color="000000" w:fill="FFFFFF"/>
            <w:noWrap/>
            <w:vAlign w:val="bottom"/>
            <w:hideMark/>
          </w:tcPr>
          <w:p w:rsidR="00112976" w:rsidRPr="0095539D" w:rsidRDefault="00112976" w:rsidP="00EF2D62">
            <w:pPr>
              <w:jc w:val="left"/>
              <w:rPr>
                <w:rFonts w:cs="Arial"/>
                <w:sz w:val="18"/>
                <w:szCs w:val="18"/>
                <w:lang w:val="es-ES_tradnl"/>
              </w:rPr>
            </w:pPr>
          </w:p>
        </w:tc>
        <w:tc>
          <w:tcPr>
            <w:tcW w:w="1168" w:type="dxa"/>
            <w:tcBorders>
              <w:top w:val="nil"/>
              <w:left w:val="nil"/>
              <w:bottom w:val="single" w:sz="4" w:space="0" w:color="auto"/>
              <w:right w:val="single" w:sz="4" w:space="0" w:color="auto"/>
            </w:tcBorders>
            <w:shd w:val="clear" w:color="000000" w:fill="FFFFFF"/>
            <w:noWrap/>
            <w:vAlign w:val="bottom"/>
            <w:hideMark/>
          </w:tcPr>
          <w:p w:rsidR="00112976" w:rsidRPr="0095539D" w:rsidRDefault="00112976" w:rsidP="00EF2D62">
            <w:pPr>
              <w:jc w:val="right"/>
              <w:rPr>
                <w:rFonts w:cs="Arial"/>
                <w:sz w:val="18"/>
                <w:szCs w:val="18"/>
                <w:lang w:val="es-ES_tradnl"/>
              </w:rPr>
            </w:pPr>
          </w:p>
        </w:tc>
      </w:tr>
    </w:tbl>
    <w:p w:rsidR="00FF5D3C" w:rsidRPr="0095539D" w:rsidRDefault="00FF5D3C" w:rsidP="00EF2D62">
      <w:pPr>
        <w:jc w:val="left"/>
        <w:rPr>
          <w:rFonts w:cs="Arial"/>
          <w:sz w:val="18"/>
          <w:szCs w:val="18"/>
          <w:lang w:val="es-ES_tradnl"/>
        </w:rPr>
      </w:pPr>
    </w:p>
    <w:p w:rsidR="00FF5D3C" w:rsidRPr="0095539D" w:rsidRDefault="00FF5D3C" w:rsidP="0095539D">
      <w:pPr>
        <w:tabs>
          <w:tab w:val="left" w:pos="567"/>
        </w:tabs>
        <w:ind w:left="709"/>
        <w:rPr>
          <w:rFonts w:cs="Arial"/>
          <w:i/>
          <w:sz w:val="18"/>
          <w:szCs w:val="18"/>
          <w:lang w:val="es-ES_tradnl"/>
        </w:rPr>
      </w:pPr>
      <w:r w:rsidRPr="0095539D">
        <w:rPr>
          <w:rFonts w:cs="Arial"/>
          <w:i/>
          <w:sz w:val="18"/>
          <w:szCs w:val="18"/>
          <w:lang w:val="es-ES_tradnl"/>
        </w:rPr>
        <w:t>*</w:t>
      </w:r>
      <w:proofErr w:type="gramStart"/>
      <w:r w:rsidRPr="0095539D">
        <w:rPr>
          <w:rFonts w:cs="Arial"/>
          <w:i/>
          <w:sz w:val="18"/>
          <w:szCs w:val="18"/>
          <w:lang w:val="es-ES_tradnl"/>
        </w:rPr>
        <w:t>:  Conforme</w:t>
      </w:r>
      <w:proofErr w:type="gramEnd"/>
      <w:r w:rsidRPr="0095539D">
        <w:rPr>
          <w:rFonts w:cs="Arial"/>
          <w:i/>
          <w:sz w:val="18"/>
          <w:szCs w:val="18"/>
          <w:lang w:val="es-ES_tradnl"/>
        </w:rPr>
        <w:t xml:space="preserve"> al artículo 4.6 del Reglamento Financiero y la Reglamentación Financiera de la UPOV sobre fondos de reserva, “[l]a utilización, para fines distintos de la cobertura de déficit, del fondo de reserva, deberá ser decidida por el Consejo.  Si, tras el cierre del ejercicio económico, el importe del fondo de reserva supera el 15 por ciento de los ingresos totales del ejercicio económico, se reintegrará el</w:t>
      </w:r>
      <w:r w:rsidR="0095539D">
        <w:rPr>
          <w:rFonts w:cs="Arial"/>
          <w:i/>
          <w:sz w:val="18"/>
          <w:szCs w:val="18"/>
          <w:lang w:val="es-ES_tradnl"/>
        </w:rPr>
        <w:t xml:space="preserve"> excedente a los miembros de la </w:t>
      </w:r>
      <w:r w:rsidRPr="0095539D">
        <w:rPr>
          <w:rFonts w:cs="Arial"/>
          <w:i/>
          <w:sz w:val="18"/>
          <w:szCs w:val="18"/>
          <w:lang w:val="es-ES_tradnl"/>
        </w:rPr>
        <w:t>UPOV a menos que</w:t>
      </w:r>
      <w:r w:rsidR="00B14538" w:rsidRPr="0095539D">
        <w:rPr>
          <w:rFonts w:cs="Arial"/>
          <w:i/>
          <w:sz w:val="18"/>
          <w:szCs w:val="18"/>
          <w:lang w:val="es-ES_tradnl"/>
        </w:rPr>
        <w:t xml:space="preserve"> el Consejo decida otra cosa.  </w:t>
      </w:r>
      <w:r w:rsidRPr="0095539D">
        <w:rPr>
          <w:rFonts w:cs="Arial"/>
          <w:i/>
          <w:sz w:val="18"/>
          <w:szCs w:val="18"/>
          <w:lang w:val="es-ES_tradnl"/>
        </w:rPr>
        <w:t>Los miembros de la UPOV podrán solicitar que el reintegro que les corresponde se deposite en la cuenta especial o fondo fiduciario que ellos indiquen”</w:t>
      </w:r>
      <w:r w:rsidR="00FF2BD6" w:rsidRPr="0095539D">
        <w:rPr>
          <w:rFonts w:cs="Arial"/>
          <w:i/>
          <w:sz w:val="18"/>
          <w:szCs w:val="18"/>
          <w:lang w:val="es-ES_tradnl"/>
        </w:rPr>
        <w:t>.</w:t>
      </w:r>
    </w:p>
    <w:p w:rsidR="00FF5D3C" w:rsidRPr="0095539D" w:rsidRDefault="00FF5D3C" w:rsidP="00EF2D62">
      <w:pPr>
        <w:tabs>
          <w:tab w:val="left" w:pos="567"/>
        </w:tabs>
        <w:rPr>
          <w:rFonts w:cs="Arial"/>
          <w:i/>
          <w:sz w:val="18"/>
          <w:szCs w:val="18"/>
          <w:lang w:val="es-ES_tradnl"/>
        </w:rPr>
      </w:pPr>
    </w:p>
    <w:p w:rsidR="00FF5D3C" w:rsidRPr="003F682E" w:rsidRDefault="00FF5D3C" w:rsidP="00EF2D62">
      <w:pPr>
        <w:tabs>
          <w:tab w:val="left" w:pos="567"/>
        </w:tabs>
        <w:rPr>
          <w:rFonts w:cs="Arial"/>
          <w:i/>
          <w:sz w:val="18"/>
          <w:szCs w:val="18"/>
          <w:lang w:val="es-ES_tradnl"/>
        </w:rPr>
      </w:pPr>
    </w:p>
    <w:p w:rsidR="00FF5D3C" w:rsidRPr="002B0BD5" w:rsidRDefault="00FF5D3C" w:rsidP="00EF2D62">
      <w:pPr>
        <w:keepNext/>
        <w:tabs>
          <w:tab w:val="left" w:pos="567"/>
        </w:tabs>
        <w:jc w:val="center"/>
        <w:rPr>
          <w:rFonts w:cs="Arial"/>
          <w:b/>
          <w:lang w:val="es-ES_tradnl"/>
        </w:rPr>
      </w:pPr>
      <w:r w:rsidRPr="002B0BD5">
        <w:rPr>
          <w:rFonts w:cs="Arial"/>
          <w:b/>
          <w:lang w:val="es-ES_tradnl"/>
        </w:rPr>
        <w:t>Gráfico del Cuadro 9</w:t>
      </w:r>
    </w:p>
    <w:p w:rsidR="00FF5D3C" w:rsidRPr="002B0BD5" w:rsidRDefault="00FF5D3C" w:rsidP="00EF2D62">
      <w:pPr>
        <w:keepNext/>
        <w:rPr>
          <w:rFonts w:cs="Arial"/>
          <w:lang w:val="es-ES_tradnl"/>
        </w:rPr>
      </w:pPr>
    </w:p>
    <w:p w:rsidR="00FF5D3C" w:rsidRPr="002B0BD5" w:rsidRDefault="00592F40" w:rsidP="00592F40">
      <w:pPr>
        <w:tabs>
          <w:tab w:val="left" w:pos="567"/>
        </w:tabs>
        <w:jc w:val="center"/>
        <w:rPr>
          <w:rFonts w:cs="Arial"/>
          <w:lang w:val="es-ES_tradnl"/>
        </w:rPr>
      </w:pPr>
      <w:r w:rsidRPr="00592F40">
        <w:rPr>
          <w:noProof/>
        </w:rPr>
        <w:drawing>
          <wp:inline distT="0" distB="0" distL="0" distR="0" wp14:anchorId="10795F02" wp14:editId="1B3E7C03">
            <wp:extent cx="6035639" cy="324802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035639" cy="3248025"/>
                    </a:xfrm>
                    <a:prstGeom prst="rect">
                      <a:avLst/>
                    </a:prstGeom>
                  </pic:spPr>
                </pic:pic>
              </a:graphicData>
            </a:graphic>
          </wp:inline>
        </w:drawing>
      </w:r>
    </w:p>
    <w:p w:rsidR="00FF5D3C" w:rsidRPr="002B0BD5" w:rsidRDefault="00FF5D3C" w:rsidP="00EF2D62">
      <w:pPr>
        <w:rPr>
          <w:rFonts w:cs="Arial"/>
          <w:lang w:val="es-ES_tradnl"/>
        </w:rPr>
      </w:pPr>
    </w:p>
    <w:p w:rsidR="00FF5D3C" w:rsidRPr="002B0BD5" w:rsidRDefault="00FF5D3C" w:rsidP="00EF2D62">
      <w:pPr>
        <w:rPr>
          <w:rFonts w:cs="Arial"/>
          <w:lang w:val="es-ES_tradnl"/>
        </w:rPr>
      </w:pPr>
    </w:p>
    <w:p w:rsidR="00FF5D3C" w:rsidRPr="002B0BD5" w:rsidRDefault="00FF5D3C" w:rsidP="00EF2D62">
      <w:pPr>
        <w:rPr>
          <w:rFonts w:cs="Arial"/>
          <w:lang w:val="es-ES_tradnl"/>
        </w:rPr>
      </w:pPr>
      <w:r w:rsidRPr="002B0BD5">
        <w:rPr>
          <w:rFonts w:cs="Arial"/>
          <w:lang w:val="es-ES_tradnl"/>
        </w:rPr>
        <w:t xml:space="preserve">4.3 </w:t>
      </w:r>
      <w:r w:rsidR="00FF08D0" w:rsidRPr="002B0BD5">
        <w:rPr>
          <w:rFonts w:cs="Arial"/>
          <w:lang w:val="es-ES_tradnl"/>
        </w:rPr>
        <w:tab/>
      </w:r>
      <w:r w:rsidRPr="002B0BD5">
        <w:rPr>
          <w:rFonts w:cs="Arial"/>
          <w:lang w:val="es-ES_tradnl"/>
        </w:rPr>
        <w:t>Se parte de los siguientes supuestos:</w:t>
      </w:r>
    </w:p>
    <w:p w:rsidR="00FF5D3C" w:rsidRPr="002B0BD5" w:rsidRDefault="00FF5D3C" w:rsidP="00EF2D62">
      <w:pPr>
        <w:rPr>
          <w:rFonts w:cs="Arial"/>
          <w:lang w:val="es-ES_tradnl"/>
        </w:rPr>
      </w:pPr>
    </w:p>
    <w:p w:rsidR="00FF5D3C" w:rsidRPr="002B0BD5" w:rsidRDefault="00FF5D3C" w:rsidP="00EF2D62">
      <w:pPr>
        <w:ind w:left="1134" w:hanging="567"/>
        <w:rPr>
          <w:rFonts w:cs="Arial"/>
          <w:lang w:val="es-ES_tradnl"/>
        </w:rPr>
      </w:pPr>
      <w:r w:rsidRPr="002B0BD5">
        <w:rPr>
          <w:rFonts w:cs="Arial"/>
          <w:lang w:val="es-ES_tradnl"/>
        </w:rPr>
        <w:t xml:space="preserve">– </w:t>
      </w:r>
      <w:r w:rsidR="00FF08D0" w:rsidRPr="002B0BD5">
        <w:rPr>
          <w:rFonts w:cs="Arial"/>
          <w:lang w:val="es-ES_tradnl"/>
        </w:rPr>
        <w:tab/>
      </w:r>
      <w:r w:rsidRPr="002B0BD5">
        <w:rPr>
          <w:rFonts w:cs="Arial"/>
          <w:u w:val="single"/>
          <w:lang w:val="es-ES_tradnl"/>
        </w:rPr>
        <w:t>Ingresos y Fondo de Operaciones</w:t>
      </w:r>
      <w:proofErr w:type="gramStart"/>
      <w:r w:rsidRPr="002B0BD5">
        <w:rPr>
          <w:rFonts w:cs="Arial"/>
          <w:lang w:val="es-ES_tradnl"/>
        </w:rPr>
        <w:t>:  Adhesión</w:t>
      </w:r>
      <w:proofErr w:type="gramEnd"/>
      <w:r w:rsidRPr="002B0BD5">
        <w:rPr>
          <w:rFonts w:cs="Arial"/>
          <w:lang w:val="es-ES_tradnl"/>
        </w:rPr>
        <w:t xml:space="preserve"> de un miembro adicional por año que contribuya con 0,2 unidades de contribución al presupuesto y con 1.667 francos suizos al Fondo de Operaciones.  En algunos casos, se han redondeado los importes correspondientes.</w:t>
      </w:r>
    </w:p>
    <w:p w:rsidR="00FF5D3C" w:rsidRPr="002B0BD5" w:rsidRDefault="00FF5D3C" w:rsidP="00EF2D62">
      <w:pPr>
        <w:ind w:left="567" w:hanging="567"/>
        <w:rPr>
          <w:rFonts w:cs="Arial"/>
          <w:lang w:val="es-ES_tradnl"/>
        </w:rPr>
      </w:pPr>
    </w:p>
    <w:p w:rsidR="00FF5D3C" w:rsidRPr="002B0BD5" w:rsidRDefault="00FF5D3C" w:rsidP="00EF2D62">
      <w:pPr>
        <w:ind w:left="1134" w:hanging="567"/>
        <w:rPr>
          <w:rFonts w:cs="Arial"/>
          <w:lang w:val="es-ES_tradnl"/>
        </w:rPr>
      </w:pPr>
      <w:r w:rsidRPr="002B0BD5">
        <w:rPr>
          <w:rFonts w:cs="Arial"/>
          <w:lang w:val="es-ES_tradnl"/>
        </w:rPr>
        <w:t xml:space="preserve">– </w:t>
      </w:r>
      <w:r w:rsidR="00FF08D0" w:rsidRPr="002B0BD5">
        <w:rPr>
          <w:rFonts w:cs="Arial"/>
          <w:lang w:val="es-ES_tradnl"/>
        </w:rPr>
        <w:tab/>
      </w:r>
      <w:r w:rsidRPr="002B0BD5">
        <w:rPr>
          <w:rFonts w:cs="Arial"/>
          <w:u w:val="single"/>
          <w:lang w:val="es-ES_tradnl"/>
        </w:rPr>
        <w:t>Gastos</w:t>
      </w:r>
      <w:r w:rsidRPr="002B0BD5">
        <w:rPr>
          <w:rFonts w:cs="Arial"/>
          <w:lang w:val="es-ES_tradnl"/>
        </w:rPr>
        <w:t>:</w:t>
      </w:r>
      <w:r w:rsidR="00421639" w:rsidRPr="002B0BD5">
        <w:rPr>
          <w:rFonts w:cs="Arial"/>
          <w:lang w:val="es-ES_tradnl"/>
        </w:rPr>
        <w:t xml:space="preserve">  </w:t>
      </w:r>
    </w:p>
    <w:p w:rsidR="00FF5D3C" w:rsidRPr="002B0BD5" w:rsidRDefault="00FF5D3C" w:rsidP="00EF2D62">
      <w:pPr>
        <w:ind w:left="567" w:hanging="567"/>
        <w:rPr>
          <w:rFonts w:cs="Arial"/>
          <w:lang w:val="es-ES_tradnl"/>
        </w:rPr>
      </w:pPr>
    </w:p>
    <w:p w:rsidR="00FF5D3C" w:rsidRPr="002B0BD5" w:rsidRDefault="00FF5D3C" w:rsidP="00EF2D62">
      <w:pPr>
        <w:ind w:left="1134"/>
        <w:rPr>
          <w:rFonts w:cs="Arial"/>
          <w:lang w:val="es-ES_tradnl"/>
        </w:rPr>
      </w:pPr>
      <w:r w:rsidRPr="002B0BD5">
        <w:rPr>
          <w:rFonts w:cs="Arial"/>
          <w:i/>
          <w:lang w:val="es-ES_tradnl"/>
        </w:rPr>
        <w:t>Recursos de personal</w:t>
      </w:r>
      <w:proofErr w:type="gramStart"/>
      <w:r w:rsidRPr="002B0BD5">
        <w:rPr>
          <w:rFonts w:cs="Arial"/>
          <w:lang w:val="es-ES_tradnl"/>
        </w:rPr>
        <w:t>:  no</w:t>
      </w:r>
      <w:proofErr w:type="gramEnd"/>
      <w:r w:rsidRPr="002B0BD5">
        <w:rPr>
          <w:rFonts w:cs="Arial"/>
          <w:lang w:val="es-ES_tradnl"/>
        </w:rPr>
        <w:t xml:space="preserve"> se prevé incorporar personal adicional a la Oficina de la Unión durante el ejercicio objeto de examen.  Se anticipa que los gastos de personal equivaldrán al 65% del presupuesto en 2014-2015, y al 66% en 2016/2017;  compárese con el 66% en el bienio 2010-2011 y el 67% en el presupuesto de 2012-2013.</w:t>
      </w:r>
      <w:r w:rsidR="00421639" w:rsidRPr="002B0BD5">
        <w:rPr>
          <w:rFonts w:cs="Arial"/>
          <w:lang w:val="es-ES_tradnl"/>
        </w:rPr>
        <w:t xml:space="preserve">  </w:t>
      </w:r>
    </w:p>
    <w:p w:rsidR="00FF5D3C" w:rsidRPr="002B0BD5" w:rsidRDefault="00FF5D3C" w:rsidP="00EF2D62">
      <w:pPr>
        <w:ind w:left="567" w:hanging="567"/>
        <w:rPr>
          <w:rFonts w:cs="Arial"/>
          <w:lang w:val="es-ES_tradnl"/>
        </w:rPr>
      </w:pPr>
    </w:p>
    <w:p w:rsidR="00FF5D3C" w:rsidRPr="002B0BD5" w:rsidRDefault="00FF5D3C" w:rsidP="00EF2D62">
      <w:pPr>
        <w:ind w:left="1134"/>
        <w:rPr>
          <w:rFonts w:cs="Arial"/>
          <w:lang w:val="es-ES_tradnl"/>
        </w:rPr>
      </w:pPr>
      <w:r w:rsidRPr="002B0BD5">
        <w:rPr>
          <w:rFonts w:cs="Arial"/>
          <w:i/>
          <w:lang w:val="es-ES_tradnl"/>
        </w:rPr>
        <w:t>Recursos no relativos al personal</w:t>
      </w:r>
      <w:r w:rsidRPr="002B0BD5">
        <w:rPr>
          <w:rFonts w:cs="Arial"/>
          <w:lang w:val="es-ES_tradnl"/>
        </w:rPr>
        <w:t>:  se proyecta que los gastos de funcionamiento y los costos correspondientes al mobiliario y los suministros permanecerán estables y equivaldrán al 19% del presupuesto, tanto en el bienio 2014-2015 como en el bienio 2016-2017;  compárese con el 20% en el bienio 2010-2011 y el 19% en el presupuesto de 2012-2013.  Se proyecta que los costos correspondientes a viajes y servicios contractuales equivaldrán al 16% del presupuesto en el bienio 2014-2015 y al 15% en el bienio 2016-2017;  compárese con el 14% en el bienio 2010-2011 y el 15% en el presupuesto de 2012-2013.</w:t>
      </w:r>
    </w:p>
    <w:p w:rsidR="00FF5D3C" w:rsidRPr="002B0BD5" w:rsidRDefault="00FF5D3C" w:rsidP="00EF2D62">
      <w:pPr>
        <w:ind w:left="567" w:hanging="567"/>
        <w:rPr>
          <w:rFonts w:cs="Arial"/>
          <w:lang w:val="es-ES_tradnl"/>
        </w:rPr>
      </w:pPr>
    </w:p>
    <w:p w:rsidR="00FF5D3C" w:rsidRPr="002B0BD5" w:rsidRDefault="00FF5D3C" w:rsidP="00EF2D62">
      <w:pPr>
        <w:ind w:left="567" w:hanging="567"/>
        <w:rPr>
          <w:rFonts w:cs="Arial"/>
          <w:lang w:val="es-ES_tradnl"/>
        </w:rPr>
      </w:pPr>
    </w:p>
    <w:p w:rsidR="00421639" w:rsidRPr="002B0BD5" w:rsidRDefault="00421639" w:rsidP="00EF2D62">
      <w:pPr>
        <w:rPr>
          <w:rFonts w:cs="Arial"/>
          <w:lang w:val="es-ES_tradnl"/>
        </w:rPr>
        <w:sectPr w:rsidR="00421639" w:rsidRPr="002B0BD5" w:rsidSect="00DC35EC">
          <w:headerReference w:type="default" r:id="rId20"/>
          <w:headerReference w:type="first" r:id="rId21"/>
          <w:footerReference w:type="first" r:id="rId22"/>
          <w:pgSz w:w="11907" w:h="16840" w:code="9"/>
          <w:pgMar w:top="510" w:right="1134" w:bottom="1134" w:left="1134" w:header="510" w:footer="680" w:gutter="0"/>
          <w:pgNumType w:start="1"/>
          <w:cols w:space="720"/>
          <w:titlePg/>
        </w:sectPr>
      </w:pPr>
    </w:p>
    <w:p w:rsidR="00FF5D3C" w:rsidRPr="002B0BD5" w:rsidRDefault="00FF5D3C" w:rsidP="00EF2D62">
      <w:pPr>
        <w:jc w:val="center"/>
        <w:rPr>
          <w:rFonts w:cs="Arial"/>
          <w:lang w:val="es-ES_tradnl"/>
        </w:rPr>
      </w:pPr>
      <w:bookmarkStart w:id="49" w:name="_Toc363111288"/>
      <w:r w:rsidRPr="002B0BD5">
        <w:rPr>
          <w:rFonts w:cs="Arial"/>
          <w:lang w:val="es-ES_tradnl"/>
        </w:rPr>
        <w:t>APÉNDICE I</w:t>
      </w:r>
      <w:bookmarkEnd w:id="49"/>
    </w:p>
    <w:p w:rsidR="00FF5D3C" w:rsidRPr="002B0BD5" w:rsidRDefault="00FF5D3C" w:rsidP="00EF2D62">
      <w:pPr>
        <w:jc w:val="center"/>
        <w:rPr>
          <w:rFonts w:cs="Arial"/>
          <w:lang w:val="es-ES_tradnl"/>
        </w:rPr>
      </w:pPr>
    </w:p>
    <w:p w:rsidR="00FF5D3C" w:rsidRPr="002B0BD5" w:rsidRDefault="00FF5D3C" w:rsidP="00EF2D62">
      <w:pPr>
        <w:jc w:val="center"/>
        <w:rPr>
          <w:rFonts w:cs="Arial"/>
          <w:lang w:val="es-ES_tradnl"/>
        </w:rPr>
      </w:pPr>
    </w:p>
    <w:p w:rsidR="00FF5D3C" w:rsidRPr="002B0BD5" w:rsidRDefault="00FF5D3C" w:rsidP="00EF2D62">
      <w:pPr>
        <w:jc w:val="center"/>
        <w:rPr>
          <w:rFonts w:cs="Arial"/>
          <w:lang w:val="es-ES_tradnl"/>
        </w:rPr>
      </w:pPr>
      <w:r w:rsidRPr="002B0BD5">
        <w:rPr>
          <w:rFonts w:cs="Arial"/>
          <w:lang w:val="es-ES_tradnl"/>
        </w:rPr>
        <w:t>METODOLOGÍA PRESUPUESTARIA</w:t>
      </w:r>
    </w:p>
    <w:p w:rsidR="00FF5D3C" w:rsidRPr="002B0BD5" w:rsidRDefault="00FF5D3C" w:rsidP="00EF2D62">
      <w:pPr>
        <w:jc w:val="center"/>
        <w:rPr>
          <w:rFonts w:cs="Arial"/>
          <w:lang w:val="es-ES_tradnl"/>
        </w:rPr>
      </w:pPr>
    </w:p>
    <w:p w:rsidR="00FF5D3C" w:rsidRPr="002B0BD5" w:rsidRDefault="00FF5D3C" w:rsidP="00EF2D62">
      <w:pPr>
        <w:jc w:val="center"/>
        <w:rPr>
          <w:rFonts w:cs="Arial"/>
          <w:lang w:val="es-ES_tradnl"/>
        </w:rPr>
      </w:pPr>
    </w:p>
    <w:p w:rsidR="00FF5D3C" w:rsidRPr="002B0BD5" w:rsidRDefault="00FF5D3C" w:rsidP="00EF2D62">
      <w:pPr>
        <w:tabs>
          <w:tab w:val="left" w:pos="567"/>
        </w:tabs>
        <w:rPr>
          <w:rFonts w:cs="Arial"/>
          <w:lang w:val="es-ES_tradnl"/>
        </w:rPr>
      </w:pPr>
      <w:r w:rsidRPr="002B0BD5">
        <w:rPr>
          <w:rFonts w:cs="Arial"/>
          <w:lang w:val="es-ES_tradnl"/>
        </w:rPr>
        <w:t>1. En la descripción de la metodología del presupuesto ordinario se codifica y aclara la práctica presupuestaria, así como la función que atañe a las diferentes secciones en el marco del presente programa y presupuesto.  El proceso de elaboración del presupuesto comienza con el presupuesto aprobado para 2012-2013 y concluye con el presupuesto propuesto para el bienio 2014-2015, incorporando la variación de recursos entre el presupuesto de 2012-2013 y el presupuesto propuesto para el bienio 2014-2015.  En el Cuadro 4 se reseñan los principales indicadores examinados en el presente Apéndice I.</w:t>
      </w:r>
    </w:p>
    <w:p w:rsidR="00FF5D3C" w:rsidRPr="002B0BD5" w:rsidRDefault="00FF5D3C" w:rsidP="00EF2D62">
      <w:pPr>
        <w:rPr>
          <w:rFonts w:cs="Arial"/>
          <w:lang w:val="es-ES_tradnl"/>
        </w:rPr>
      </w:pPr>
    </w:p>
    <w:p w:rsidR="00FF5D3C" w:rsidRPr="002B0BD5" w:rsidRDefault="00FF5D3C" w:rsidP="00EF2D62">
      <w:pPr>
        <w:tabs>
          <w:tab w:val="left" w:pos="567"/>
        </w:tabs>
        <w:rPr>
          <w:rFonts w:cs="Arial"/>
          <w:lang w:val="es-ES_tradnl"/>
        </w:rPr>
      </w:pPr>
      <w:r w:rsidRPr="002B0BD5">
        <w:rPr>
          <w:rFonts w:cs="Arial"/>
          <w:lang w:val="es-ES_tradnl"/>
        </w:rPr>
        <w:t>2. Presupuesto de 2012-2013</w:t>
      </w:r>
      <w:proofErr w:type="gramStart"/>
      <w:r w:rsidRPr="002B0BD5">
        <w:rPr>
          <w:rFonts w:cs="Arial"/>
          <w:lang w:val="es-ES_tradnl"/>
        </w:rPr>
        <w:t>:  el</w:t>
      </w:r>
      <w:proofErr w:type="gramEnd"/>
      <w:r w:rsidRPr="002B0BD5">
        <w:rPr>
          <w:rFonts w:cs="Arial"/>
          <w:lang w:val="es-ES_tradnl"/>
        </w:rPr>
        <w:t xml:space="preserve"> punto de partida del presupuesto se presenta en el documento C/45/4 Rev.2.</w:t>
      </w:r>
    </w:p>
    <w:p w:rsidR="00FF5D3C" w:rsidRPr="002B0BD5" w:rsidRDefault="00FF5D3C" w:rsidP="00EF2D62">
      <w:pPr>
        <w:rPr>
          <w:rFonts w:cs="Arial"/>
          <w:lang w:val="es-ES_tradnl"/>
        </w:rPr>
      </w:pPr>
    </w:p>
    <w:p w:rsidR="00FF5D3C" w:rsidRPr="002B0BD5" w:rsidRDefault="00FF5D3C" w:rsidP="00EF2D62">
      <w:pPr>
        <w:tabs>
          <w:tab w:val="left" w:pos="567"/>
        </w:tabs>
        <w:rPr>
          <w:rFonts w:cs="Arial"/>
          <w:lang w:val="es-ES_tradnl"/>
        </w:rPr>
      </w:pPr>
      <w:r w:rsidRPr="002B0BD5">
        <w:rPr>
          <w:rFonts w:cs="Arial"/>
          <w:lang w:val="es-ES_tradnl"/>
        </w:rPr>
        <w:t>3. Presupuesto propuesto para el bienio 2014-2015</w:t>
      </w:r>
      <w:proofErr w:type="gramStart"/>
      <w:r w:rsidRPr="002B0BD5">
        <w:rPr>
          <w:rFonts w:cs="Arial"/>
          <w:lang w:val="es-ES_tradnl"/>
        </w:rPr>
        <w:t>:  el</w:t>
      </w:r>
      <w:proofErr w:type="gramEnd"/>
      <w:r w:rsidRPr="002B0BD5">
        <w:rPr>
          <w:rFonts w:cs="Arial"/>
          <w:lang w:val="es-ES_tradnl"/>
        </w:rPr>
        <w:t xml:space="preserve"> presupuesto propuesto es el resultado de añadir la variación de recursos al presupuesto de 2012-2013 y de efectuar los consiguientes reajustes en los rubros de gastos según las prioridades de la UPOV.</w:t>
      </w:r>
    </w:p>
    <w:p w:rsidR="00FF5D3C" w:rsidRPr="002B0BD5" w:rsidRDefault="00FF5D3C" w:rsidP="00EF2D62">
      <w:pPr>
        <w:rPr>
          <w:rFonts w:cs="Arial"/>
          <w:lang w:val="es-ES_tradnl"/>
        </w:rPr>
      </w:pPr>
    </w:p>
    <w:p w:rsidR="00FF5D3C" w:rsidRPr="002B0BD5" w:rsidRDefault="00FF5D3C" w:rsidP="00EF2D62">
      <w:pPr>
        <w:tabs>
          <w:tab w:val="left" w:pos="567"/>
        </w:tabs>
        <w:rPr>
          <w:rFonts w:cs="Arial"/>
          <w:lang w:val="es-ES_tradnl"/>
        </w:rPr>
      </w:pPr>
      <w:r w:rsidRPr="002B0BD5">
        <w:rPr>
          <w:rFonts w:cs="Arial"/>
          <w:lang w:val="es-ES_tradnl"/>
        </w:rPr>
        <w:t>4. En el Cuadro 9 del presente documento figura un plan de recursos de 10 años destinado a proporcionar un panorama general financiero integrado, en el que se incluyen las estimaciones presupuestarias, la disponibilidad de los recursos y los movimientos del fondo de reserva.  Se considera que este plan de recursos ayudará a evaluar la viabilidad financiera de la Unión a mediano plazo.</w:t>
      </w:r>
    </w:p>
    <w:p w:rsidR="00FF5D3C" w:rsidRPr="002B0BD5" w:rsidRDefault="00FF5D3C" w:rsidP="00EF2D62">
      <w:pPr>
        <w:rPr>
          <w:rFonts w:cs="Arial"/>
          <w:lang w:val="es-ES_tradnl"/>
        </w:rPr>
      </w:pPr>
    </w:p>
    <w:p w:rsidR="00FF5D3C" w:rsidRPr="002B0BD5" w:rsidRDefault="00FF5D3C" w:rsidP="00EF2D62">
      <w:pPr>
        <w:rPr>
          <w:rFonts w:cs="Arial"/>
          <w:lang w:val="es-ES_tradnl"/>
        </w:rPr>
      </w:pPr>
    </w:p>
    <w:p w:rsidR="00FF5D3C" w:rsidRPr="002B0BD5" w:rsidRDefault="00FF5D3C" w:rsidP="00EF2D62">
      <w:pPr>
        <w:jc w:val="center"/>
        <w:rPr>
          <w:rFonts w:cs="Arial"/>
          <w:lang w:val="es-ES_tradnl"/>
        </w:rPr>
      </w:pPr>
    </w:p>
    <w:p w:rsidR="00FF5D3C" w:rsidRPr="002B0BD5" w:rsidRDefault="00FF5D3C" w:rsidP="00EF2D62">
      <w:pPr>
        <w:jc w:val="right"/>
        <w:rPr>
          <w:rFonts w:cs="Arial"/>
          <w:snapToGrid w:val="0"/>
          <w:lang w:val="es-ES_tradnl"/>
        </w:rPr>
      </w:pPr>
      <w:r w:rsidRPr="002B0BD5">
        <w:rPr>
          <w:rFonts w:cs="Arial"/>
          <w:snapToGrid w:val="0"/>
          <w:lang w:val="es-ES_tradnl"/>
        </w:rPr>
        <w:t>[Sigue el Apéndice II]</w:t>
      </w:r>
    </w:p>
    <w:p w:rsidR="00FF5D3C" w:rsidRPr="002B0BD5" w:rsidRDefault="00FF5D3C" w:rsidP="00EF2D62">
      <w:pPr>
        <w:rPr>
          <w:rFonts w:cs="Arial"/>
          <w:lang w:val="es-ES_tradnl"/>
        </w:rPr>
      </w:pPr>
    </w:p>
    <w:p w:rsidR="00FF5D3C" w:rsidRPr="002B0BD5" w:rsidRDefault="00FF5D3C" w:rsidP="00EF2D62">
      <w:pPr>
        <w:rPr>
          <w:rFonts w:cs="Arial"/>
          <w:lang w:val="es-ES_tradnl"/>
        </w:rPr>
      </w:pPr>
    </w:p>
    <w:p w:rsidR="00FF5D3C" w:rsidRPr="002B0BD5" w:rsidRDefault="00FF5D3C" w:rsidP="00EF2D62">
      <w:pPr>
        <w:rPr>
          <w:rFonts w:cs="Arial"/>
          <w:lang w:val="es-ES_tradnl"/>
        </w:rPr>
      </w:pPr>
    </w:p>
    <w:p w:rsidR="00FF5D3C" w:rsidRPr="002B0BD5" w:rsidRDefault="00FF5D3C" w:rsidP="00EF2D62">
      <w:pPr>
        <w:rPr>
          <w:rFonts w:cs="Arial"/>
          <w:lang w:val="es-ES_tradnl"/>
        </w:rPr>
      </w:pPr>
    </w:p>
    <w:p w:rsidR="00421639" w:rsidRPr="002B0BD5" w:rsidRDefault="00421639" w:rsidP="00EF2D62">
      <w:pPr>
        <w:rPr>
          <w:rFonts w:cs="Arial"/>
          <w:lang w:val="es-ES_tradnl"/>
        </w:rPr>
        <w:sectPr w:rsidR="00421639" w:rsidRPr="002B0BD5" w:rsidSect="00DC35EC">
          <w:headerReference w:type="default" r:id="rId23"/>
          <w:headerReference w:type="first" r:id="rId24"/>
          <w:pgSz w:w="11907" w:h="16840" w:code="9"/>
          <w:pgMar w:top="510" w:right="1134" w:bottom="1134" w:left="1134" w:header="510" w:footer="680" w:gutter="0"/>
          <w:cols w:space="720"/>
          <w:titlePg/>
        </w:sectPr>
      </w:pPr>
    </w:p>
    <w:p w:rsidR="00FF5D3C" w:rsidRPr="002B0BD5" w:rsidRDefault="00FF5D3C" w:rsidP="00EF2D62">
      <w:pPr>
        <w:jc w:val="center"/>
        <w:rPr>
          <w:rFonts w:cs="Arial"/>
          <w:lang w:val="es-ES_tradnl"/>
        </w:rPr>
      </w:pPr>
      <w:r w:rsidRPr="002B0BD5">
        <w:rPr>
          <w:rFonts w:cs="Arial"/>
          <w:lang w:val="es-ES_tradnl"/>
        </w:rPr>
        <w:t>APÉNDICE II</w:t>
      </w:r>
    </w:p>
    <w:p w:rsidR="00FF5D3C" w:rsidRPr="002B0BD5" w:rsidRDefault="00FF5D3C" w:rsidP="00EF2D62">
      <w:pPr>
        <w:jc w:val="center"/>
        <w:rPr>
          <w:rFonts w:cs="Arial"/>
          <w:lang w:val="es-ES_tradnl"/>
        </w:rPr>
      </w:pPr>
    </w:p>
    <w:p w:rsidR="00FF5D3C" w:rsidRPr="002B0BD5" w:rsidRDefault="00FF5D3C" w:rsidP="00EF2D62">
      <w:pPr>
        <w:jc w:val="center"/>
        <w:rPr>
          <w:rFonts w:cs="Arial"/>
          <w:lang w:val="es-ES_tradnl"/>
        </w:rPr>
      </w:pPr>
    </w:p>
    <w:p w:rsidR="00FF5D3C" w:rsidRPr="002B0BD5" w:rsidRDefault="00FF5D3C" w:rsidP="00EF2D62">
      <w:pPr>
        <w:jc w:val="center"/>
        <w:rPr>
          <w:rFonts w:cs="Arial"/>
          <w:lang w:val="es-ES_tradnl"/>
        </w:rPr>
      </w:pPr>
      <w:r w:rsidRPr="002B0BD5">
        <w:rPr>
          <w:rFonts w:cs="Arial"/>
          <w:lang w:val="es-ES_tradnl"/>
        </w:rPr>
        <w:t>CONTRIBUCIONES DE LOS MIEMBROS</w:t>
      </w:r>
    </w:p>
    <w:p w:rsidR="00FF5D3C" w:rsidRPr="002B0BD5" w:rsidRDefault="0030273A" w:rsidP="00EF2D62">
      <w:pPr>
        <w:jc w:val="center"/>
        <w:rPr>
          <w:rFonts w:cs="Arial"/>
          <w:lang w:val="es-ES_tradnl"/>
        </w:rPr>
      </w:pPr>
      <w:r>
        <w:rPr>
          <w:rFonts w:cs="Arial"/>
          <w:lang w:val="es-ES_tradnl"/>
        </w:rPr>
        <w:t xml:space="preserve">AL </w:t>
      </w:r>
      <w:r w:rsidR="00112976" w:rsidRPr="002B0BD5">
        <w:rPr>
          <w:rFonts w:cs="Arial"/>
          <w:lang w:val="es-ES_tradnl"/>
        </w:rPr>
        <w:t xml:space="preserve">31 DE JULIO DE </w:t>
      </w:r>
      <w:r w:rsidR="00C56AAD">
        <w:rPr>
          <w:rFonts w:cs="Arial"/>
          <w:lang w:val="es-ES_tradnl"/>
        </w:rPr>
        <w:t>2013</w:t>
      </w:r>
    </w:p>
    <w:p w:rsidR="00FF5D3C" w:rsidRPr="002B0BD5" w:rsidRDefault="00FF5D3C" w:rsidP="00EF2D62">
      <w:pPr>
        <w:jc w:val="center"/>
        <w:rPr>
          <w:rFonts w:cs="Arial"/>
          <w:caps/>
          <w:lang w:val="es-ES_tradnl"/>
        </w:rPr>
      </w:pPr>
      <w:r w:rsidRPr="002B0BD5">
        <w:rPr>
          <w:rFonts w:cs="Arial"/>
          <w:lang w:val="es-ES_tradnl"/>
        </w:rPr>
        <w:t>(</w:t>
      </w:r>
      <w:proofErr w:type="gramStart"/>
      <w:r w:rsidRPr="002B0BD5">
        <w:rPr>
          <w:rFonts w:cs="Arial"/>
          <w:lang w:val="es-ES_tradnl"/>
        </w:rPr>
        <w:t>en</w:t>
      </w:r>
      <w:proofErr w:type="gramEnd"/>
      <w:r w:rsidRPr="002B0BD5">
        <w:rPr>
          <w:rFonts w:cs="Arial"/>
          <w:lang w:val="es-ES_tradnl"/>
        </w:rPr>
        <w:t xml:space="preserve"> francos suizos)</w:t>
      </w:r>
    </w:p>
    <w:p w:rsidR="00273F01" w:rsidRPr="00D85B9A" w:rsidRDefault="00273F01" w:rsidP="00273F01">
      <w:pPr>
        <w:pStyle w:val="Endofdocument"/>
        <w:ind w:left="0"/>
        <w:jc w:val="both"/>
        <w:rPr>
          <w:rFonts w:ascii="Arial" w:hAnsi="Arial" w:cs="Arial"/>
          <w:snapToGrid w:val="0"/>
          <w:sz w:val="20"/>
          <w:lang w:val="es-ES"/>
        </w:rPr>
      </w:pPr>
    </w:p>
    <w:tbl>
      <w:tblPr>
        <w:tblW w:w="9680" w:type="dxa"/>
        <w:jc w:val="center"/>
        <w:tblInd w:w="30" w:type="dxa"/>
        <w:tblLayout w:type="fixed"/>
        <w:tblCellMar>
          <w:left w:w="30" w:type="dxa"/>
          <w:right w:w="30" w:type="dxa"/>
        </w:tblCellMar>
        <w:tblLook w:val="0000" w:firstRow="0" w:lastRow="0" w:firstColumn="0" w:lastColumn="0" w:noHBand="0" w:noVBand="0"/>
      </w:tblPr>
      <w:tblGrid>
        <w:gridCol w:w="1218"/>
        <w:gridCol w:w="1134"/>
        <w:gridCol w:w="3177"/>
        <w:gridCol w:w="1032"/>
        <w:gridCol w:w="1560"/>
        <w:gridCol w:w="1559"/>
      </w:tblGrid>
      <w:tr w:rsidR="00273F01" w:rsidRPr="00D85B9A" w:rsidTr="00273F01">
        <w:trPr>
          <w:cantSplit/>
          <w:trHeight w:val="340"/>
          <w:tblHeader/>
          <w:jc w:val="center"/>
        </w:trPr>
        <w:tc>
          <w:tcPr>
            <w:tcW w:w="1218" w:type="dxa"/>
            <w:tcBorders>
              <w:top w:val="single" w:sz="8" w:space="0" w:color="auto"/>
              <w:bottom w:val="single" w:sz="8" w:space="0" w:color="auto"/>
            </w:tcBorders>
            <w:vAlign w:val="bottom"/>
          </w:tcPr>
          <w:p w:rsidR="00273F01" w:rsidRPr="00D85B9A" w:rsidRDefault="00273F01" w:rsidP="00273F01">
            <w:pPr>
              <w:spacing w:before="120" w:after="120"/>
              <w:jc w:val="center"/>
              <w:rPr>
                <w:rFonts w:cs="Arial"/>
                <w:lang w:val="es-ES"/>
              </w:rPr>
            </w:pPr>
            <w:r w:rsidRPr="00D85B9A">
              <w:rPr>
                <w:rFonts w:cs="Arial"/>
                <w:lang w:val="es-ES"/>
              </w:rPr>
              <w:t>2012</w:t>
            </w:r>
            <w:r w:rsidRPr="00D85B9A">
              <w:rPr>
                <w:rFonts w:cs="Arial"/>
                <w:lang w:val="es-ES"/>
              </w:rPr>
              <w:br/>
            </w:r>
            <w:r w:rsidRPr="00D85B9A">
              <w:rPr>
                <w:rFonts w:cs="Arial"/>
                <w:snapToGrid w:val="0"/>
                <w:lang w:val="es-ES"/>
              </w:rPr>
              <w:t>Real</w:t>
            </w:r>
          </w:p>
        </w:tc>
        <w:tc>
          <w:tcPr>
            <w:tcW w:w="1134" w:type="dxa"/>
            <w:tcBorders>
              <w:top w:val="single" w:sz="8" w:space="0" w:color="auto"/>
              <w:bottom w:val="single" w:sz="8" w:space="0" w:color="auto"/>
            </w:tcBorders>
            <w:vAlign w:val="bottom"/>
          </w:tcPr>
          <w:p w:rsidR="00273F01" w:rsidRPr="00D85B9A" w:rsidRDefault="00273F01" w:rsidP="00273F01">
            <w:pPr>
              <w:spacing w:before="120" w:after="120"/>
              <w:jc w:val="center"/>
              <w:rPr>
                <w:rFonts w:cs="Arial"/>
                <w:lang w:val="es-ES"/>
              </w:rPr>
            </w:pPr>
            <w:r w:rsidRPr="00D85B9A">
              <w:rPr>
                <w:rFonts w:cs="Arial"/>
                <w:lang w:val="es-ES"/>
              </w:rPr>
              <w:t>2013</w:t>
            </w:r>
            <w:r w:rsidRPr="00D85B9A">
              <w:rPr>
                <w:rFonts w:cs="Arial"/>
                <w:lang w:val="es-ES"/>
              </w:rPr>
              <w:br/>
            </w:r>
            <w:r w:rsidRPr="00D85B9A">
              <w:rPr>
                <w:rFonts w:cs="Arial"/>
                <w:snapToGrid w:val="0"/>
                <w:lang w:val="es-ES"/>
              </w:rPr>
              <w:t>Real</w:t>
            </w:r>
          </w:p>
        </w:tc>
        <w:tc>
          <w:tcPr>
            <w:tcW w:w="3177" w:type="dxa"/>
            <w:tcBorders>
              <w:top w:val="single" w:sz="8" w:space="0" w:color="auto"/>
              <w:bottom w:val="single" w:sz="8" w:space="0" w:color="auto"/>
            </w:tcBorders>
            <w:vAlign w:val="bottom"/>
          </w:tcPr>
          <w:p w:rsidR="00273F01" w:rsidRPr="00D85B9A" w:rsidRDefault="00273F01" w:rsidP="00273F01">
            <w:pPr>
              <w:spacing w:before="120" w:after="120"/>
              <w:jc w:val="center"/>
              <w:rPr>
                <w:rFonts w:cs="Arial"/>
                <w:snapToGrid w:val="0"/>
                <w:lang w:val="es-ES"/>
              </w:rPr>
            </w:pPr>
            <w:r w:rsidRPr="00D85B9A">
              <w:rPr>
                <w:rFonts w:cs="Arial"/>
                <w:snapToGrid w:val="0"/>
                <w:lang w:val="es-ES"/>
              </w:rPr>
              <w:t>Miembros</w:t>
            </w:r>
          </w:p>
        </w:tc>
        <w:tc>
          <w:tcPr>
            <w:tcW w:w="1032" w:type="dxa"/>
            <w:tcBorders>
              <w:top w:val="single" w:sz="8" w:space="0" w:color="auto"/>
              <w:bottom w:val="single" w:sz="8" w:space="0" w:color="auto"/>
            </w:tcBorders>
            <w:vAlign w:val="bottom"/>
          </w:tcPr>
          <w:p w:rsidR="00273F01" w:rsidRPr="00D85B9A" w:rsidRDefault="00273F01" w:rsidP="00273F01">
            <w:pPr>
              <w:spacing w:before="120" w:after="120"/>
              <w:jc w:val="center"/>
              <w:rPr>
                <w:rFonts w:cs="Arial"/>
                <w:snapToGrid w:val="0"/>
                <w:lang w:val="es-ES"/>
              </w:rPr>
            </w:pPr>
            <w:r w:rsidRPr="00D85B9A">
              <w:rPr>
                <w:rFonts w:cs="Arial"/>
                <w:snapToGrid w:val="0"/>
                <w:lang w:val="es-ES"/>
              </w:rPr>
              <w:t>Número de unidades</w:t>
            </w:r>
          </w:p>
        </w:tc>
        <w:tc>
          <w:tcPr>
            <w:tcW w:w="1560" w:type="dxa"/>
            <w:tcBorders>
              <w:top w:val="single" w:sz="8" w:space="0" w:color="auto"/>
              <w:bottom w:val="single" w:sz="8" w:space="0" w:color="auto"/>
            </w:tcBorders>
            <w:vAlign w:val="bottom"/>
          </w:tcPr>
          <w:p w:rsidR="00273F01" w:rsidRPr="00D85B9A" w:rsidRDefault="00273F01" w:rsidP="00273F01">
            <w:pPr>
              <w:spacing w:before="120" w:after="120"/>
              <w:jc w:val="center"/>
              <w:rPr>
                <w:rFonts w:cs="Arial"/>
                <w:lang w:val="es-ES"/>
              </w:rPr>
            </w:pPr>
            <w:r w:rsidRPr="00D85B9A">
              <w:rPr>
                <w:rFonts w:cs="Arial"/>
                <w:lang w:val="es-ES"/>
              </w:rPr>
              <w:t>Pagaderas en</w:t>
            </w:r>
            <w:r w:rsidRPr="00D85B9A">
              <w:rPr>
                <w:rFonts w:cs="Arial"/>
                <w:lang w:val="es-ES"/>
              </w:rPr>
              <w:br/>
              <w:t>enero de</w:t>
            </w:r>
            <w:r w:rsidRPr="00D85B9A">
              <w:rPr>
                <w:rFonts w:cs="Arial"/>
                <w:snapToGrid w:val="0"/>
                <w:lang w:val="es-ES"/>
              </w:rPr>
              <w:t xml:space="preserve"> 2014</w:t>
            </w:r>
          </w:p>
        </w:tc>
        <w:tc>
          <w:tcPr>
            <w:tcW w:w="1559" w:type="dxa"/>
            <w:tcBorders>
              <w:top w:val="single" w:sz="8" w:space="0" w:color="auto"/>
              <w:bottom w:val="single" w:sz="8" w:space="0" w:color="auto"/>
            </w:tcBorders>
            <w:vAlign w:val="bottom"/>
          </w:tcPr>
          <w:p w:rsidR="00273F01" w:rsidRPr="00D85B9A" w:rsidRDefault="00273F01" w:rsidP="00273F01">
            <w:pPr>
              <w:spacing w:before="120" w:after="120"/>
              <w:jc w:val="center"/>
              <w:rPr>
                <w:rFonts w:cs="Arial"/>
                <w:lang w:val="es-ES"/>
              </w:rPr>
            </w:pPr>
            <w:r w:rsidRPr="00D85B9A">
              <w:rPr>
                <w:rFonts w:cs="Arial"/>
                <w:lang w:val="es-ES"/>
              </w:rPr>
              <w:t xml:space="preserve">Pagaderas en enero de </w:t>
            </w:r>
            <w:r w:rsidRPr="00D85B9A">
              <w:rPr>
                <w:rFonts w:cs="Arial"/>
                <w:snapToGrid w:val="0"/>
                <w:lang w:val="es-ES"/>
              </w:rPr>
              <w:t>2015</w:t>
            </w:r>
          </w:p>
        </w:tc>
      </w:tr>
      <w:tr w:rsidR="00273F01" w:rsidRPr="00D85B9A" w:rsidTr="00273F01">
        <w:tblPrEx>
          <w:tblCellMar>
            <w:left w:w="85" w:type="dxa"/>
            <w:right w:w="85" w:type="dxa"/>
          </w:tblCellMar>
        </w:tblPrEx>
        <w:trPr>
          <w:cantSplit/>
          <w:tblHeader/>
          <w:jc w:val="center"/>
        </w:trPr>
        <w:tc>
          <w:tcPr>
            <w:tcW w:w="1218" w:type="dxa"/>
            <w:tcBorders>
              <w:top w:val="single" w:sz="8" w:space="0" w:color="auto"/>
            </w:tcBorders>
          </w:tcPr>
          <w:p w:rsidR="00273F01" w:rsidRPr="00D85B9A" w:rsidRDefault="00273F01" w:rsidP="00273F01">
            <w:pPr>
              <w:jc w:val="right"/>
              <w:rPr>
                <w:rFonts w:cs="Arial"/>
                <w:snapToGrid w:val="0"/>
                <w:lang w:val="es-ES"/>
              </w:rPr>
            </w:pPr>
          </w:p>
        </w:tc>
        <w:tc>
          <w:tcPr>
            <w:tcW w:w="1134" w:type="dxa"/>
            <w:tcBorders>
              <w:top w:val="single" w:sz="8" w:space="0" w:color="auto"/>
            </w:tcBorders>
          </w:tcPr>
          <w:p w:rsidR="00273F01" w:rsidRPr="00D85B9A" w:rsidRDefault="00273F01" w:rsidP="00273F01">
            <w:pPr>
              <w:jc w:val="right"/>
              <w:rPr>
                <w:rFonts w:cs="Arial"/>
                <w:snapToGrid w:val="0"/>
                <w:lang w:val="es-ES"/>
              </w:rPr>
            </w:pPr>
          </w:p>
        </w:tc>
        <w:tc>
          <w:tcPr>
            <w:tcW w:w="3177" w:type="dxa"/>
            <w:tcBorders>
              <w:top w:val="single" w:sz="8" w:space="0" w:color="auto"/>
            </w:tcBorders>
          </w:tcPr>
          <w:p w:rsidR="00273F01" w:rsidRPr="00D85B9A" w:rsidRDefault="00273F01" w:rsidP="00273F01">
            <w:pPr>
              <w:ind w:left="138"/>
              <w:rPr>
                <w:rFonts w:cs="Arial"/>
                <w:snapToGrid w:val="0"/>
                <w:lang w:val="es-ES"/>
              </w:rPr>
            </w:pPr>
          </w:p>
        </w:tc>
        <w:tc>
          <w:tcPr>
            <w:tcW w:w="1032" w:type="dxa"/>
            <w:tcBorders>
              <w:top w:val="single" w:sz="8" w:space="0" w:color="auto"/>
            </w:tcBorders>
          </w:tcPr>
          <w:p w:rsidR="00273F01" w:rsidRPr="00D85B9A" w:rsidRDefault="00273F01" w:rsidP="00273F01">
            <w:pPr>
              <w:tabs>
                <w:tab w:val="decimal" w:pos="482"/>
              </w:tabs>
              <w:jc w:val="left"/>
              <w:rPr>
                <w:rFonts w:cs="Arial"/>
                <w:snapToGrid w:val="0"/>
                <w:lang w:val="es-ES"/>
              </w:rPr>
            </w:pPr>
          </w:p>
        </w:tc>
        <w:tc>
          <w:tcPr>
            <w:tcW w:w="1560" w:type="dxa"/>
            <w:tcBorders>
              <w:top w:val="single" w:sz="8" w:space="0" w:color="auto"/>
            </w:tcBorders>
          </w:tcPr>
          <w:p w:rsidR="00273F01" w:rsidRPr="00D85B9A" w:rsidRDefault="00273F01" w:rsidP="00273F01">
            <w:pPr>
              <w:jc w:val="right"/>
              <w:rPr>
                <w:rFonts w:cs="Arial"/>
                <w:snapToGrid w:val="0"/>
                <w:lang w:val="es-ES"/>
              </w:rPr>
            </w:pPr>
          </w:p>
        </w:tc>
        <w:tc>
          <w:tcPr>
            <w:tcW w:w="1559" w:type="dxa"/>
            <w:tcBorders>
              <w:top w:val="single" w:sz="8" w:space="0" w:color="auto"/>
            </w:tcBorders>
          </w:tcPr>
          <w:p w:rsidR="00273F01" w:rsidRPr="00D85B9A" w:rsidRDefault="00273F01" w:rsidP="00273F01">
            <w:pPr>
              <w:jc w:val="right"/>
              <w:rPr>
                <w:rFonts w:cs="Arial"/>
                <w:snapToGrid w:val="0"/>
                <w:lang w:val="es-ES"/>
              </w:rPr>
            </w:pP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bookmarkStart w:id="50" w:name="_Hlk173836680"/>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Albania</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0</w:t>
            </w:r>
            <w:r>
              <w:rPr>
                <w:rFonts w:cs="Arial"/>
                <w:snapToGrid w:val="0"/>
                <w:lang w:val="es-ES"/>
              </w:rPr>
              <w:t>,</w:t>
            </w:r>
            <w:r w:rsidRPr="00D85B9A">
              <w:rPr>
                <w:rFonts w:cs="Arial"/>
                <w:snapToGrid w:val="0"/>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bookmarkEnd w:id="50"/>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268</w:t>
            </w:r>
            <w:r>
              <w:rPr>
                <w:rFonts w:cs="Arial"/>
                <w:snapToGrid w:val="0"/>
                <w:lang w:val="es-ES"/>
              </w:rPr>
              <w:t>.</w:t>
            </w:r>
            <w:r w:rsidRPr="00D85B9A">
              <w:rPr>
                <w:rFonts w:cs="Arial"/>
                <w:snapToGrid w:val="0"/>
                <w:lang w:val="es-ES"/>
              </w:rPr>
              <w:t>205</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268</w:t>
            </w:r>
            <w:r>
              <w:rPr>
                <w:rFonts w:cs="Arial"/>
                <w:snapToGrid w:val="0"/>
                <w:lang w:val="es-ES"/>
              </w:rPr>
              <w:t>.</w:t>
            </w:r>
            <w:r w:rsidRPr="00D85B9A">
              <w:rPr>
                <w:rFonts w:cs="Arial"/>
                <w:snapToGrid w:val="0"/>
                <w:lang w:val="es-ES"/>
              </w:rPr>
              <w:t>205</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Alemania</w:t>
            </w:r>
          </w:p>
        </w:tc>
        <w:tc>
          <w:tcPr>
            <w:tcW w:w="1032" w:type="dxa"/>
          </w:tcPr>
          <w:p w:rsidR="00273F01" w:rsidRPr="00D85B9A" w:rsidRDefault="00273F01" w:rsidP="00E41A9D">
            <w:pPr>
              <w:ind w:right="113"/>
              <w:jc w:val="right"/>
              <w:rPr>
                <w:rFonts w:cs="Arial"/>
                <w:snapToGrid w:val="0"/>
                <w:lang w:val="es-ES"/>
              </w:rPr>
            </w:pPr>
            <w:r w:rsidRPr="00D85B9A">
              <w:rPr>
                <w:rFonts w:cs="Arial"/>
                <w:lang w:val="es-ES"/>
              </w:rPr>
              <w:t>5</w:t>
            </w:r>
            <w:r>
              <w:rPr>
                <w:rFonts w:cs="Arial"/>
                <w:lang w:val="es-ES"/>
              </w:rPr>
              <w:t>,</w:t>
            </w:r>
            <w:r w:rsidRPr="00D85B9A">
              <w:rPr>
                <w:rFonts w:cs="Arial"/>
                <w:lang w:val="es-ES"/>
              </w:rPr>
              <w:t>00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268</w:t>
            </w:r>
            <w:r>
              <w:rPr>
                <w:rFonts w:cs="Arial"/>
                <w:snapToGrid w:val="0"/>
                <w:lang w:val="es-ES"/>
              </w:rPr>
              <w:t>.</w:t>
            </w:r>
            <w:r w:rsidRPr="00D85B9A">
              <w:rPr>
                <w:rFonts w:cs="Arial"/>
                <w:snapToGrid w:val="0"/>
                <w:lang w:val="es-ES"/>
              </w:rPr>
              <w:t>205</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268</w:t>
            </w:r>
            <w:r>
              <w:rPr>
                <w:rFonts w:cs="Arial"/>
                <w:snapToGrid w:val="0"/>
                <w:lang w:val="es-ES"/>
              </w:rPr>
              <w:t>.</w:t>
            </w:r>
            <w:r w:rsidRPr="00D85B9A">
              <w:rPr>
                <w:rFonts w:cs="Arial"/>
                <w:snapToGrid w:val="0"/>
                <w:lang w:val="es-ES"/>
              </w:rPr>
              <w:t>205</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Argentina</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0</w:t>
            </w:r>
            <w:r>
              <w:rPr>
                <w:rFonts w:cs="Arial"/>
                <w:snapToGrid w:val="0"/>
                <w:lang w:val="es-ES"/>
              </w:rPr>
              <w:t>,</w:t>
            </w:r>
            <w:r w:rsidRPr="00D85B9A">
              <w:rPr>
                <w:rFonts w:cs="Arial"/>
                <w:snapToGrid w:val="0"/>
                <w:lang w:val="es-ES"/>
              </w:rPr>
              <w:t>50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Australia</w:t>
            </w:r>
          </w:p>
        </w:tc>
        <w:tc>
          <w:tcPr>
            <w:tcW w:w="1032" w:type="dxa"/>
          </w:tcPr>
          <w:p w:rsidR="00273F01" w:rsidRPr="00D85B9A" w:rsidRDefault="00273F01" w:rsidP="00E41A9D">
            <w:pPr>
              <w:ind w:right="113"/>
              <w:jc w:val="right"/>
              <w:rPr>
                <w:rFonts w:cs="Arial"/>
                <w:snapToGrid w:val="0"/>
                <w:lang w:val="es-ES"/>
              </w:rPr>
            </w:pPr>
            <w:r w:rsidRPr="00D85B9A">
              <w:rPr>
                <w:rFonts w:cs="Arial"/>
                <w:lang w:val="es-ES"/>
              </w:rPr>
              <w:t>1</w:t>
            </w:r>
            <w:r>
              <w:rPr>
                <w:rFonts w:cs="Arial"/>
                <w:lang w:val="es-ES"/>
              </w:rPr>
              <w:t>,</w:t>
            </w:r>
            <w:r w:rsidRPr="00D85B9A">
              <w:rPr>
                <w:rFonts w:cs="Arial"/>
                <w:lang w:val="es-ES"/>
              </w:rPr>
              <w:t>00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40</w:t>
            </w:r>
            <w:r>
              <w:rPr>
                <w:rFonts w:cs="Arial"/>
                <w:snapToGrid w:val="0"/>
                <w:lang w:val="es-ES"/>
              </w:rPr>
              <w:t>.</w:t>
            </w:r>
            <w:r w:rsidRPr="00D85B9A">
              <w:rPr>
                <w:rFonts w:cs="Arial"/>
                <w:snapToGrid w:val="0"/>
                <w:lang w:val="es-ES"/>
              </w:rPr>
              <w:t>231</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40</w:t>
            </w:r>
            <w:r>
              <w:rPr>
                <w:rFonts w:cs="Arial"/>
                <w:snapToGrid w:val="0"/>
                <w:lang w:val="es-ES"/>
              </w:rPr>
              <w:t>.</w:t>
            </w:r>
            <w:r w:rsidRPr="00D85B9A">
              <w:rPr>
                <w:rFonts w:cs="Arial"/>
                <w:snapToGrid w:val="0"/>
                <w:lang w:val="es-ES"/>
              </w:rPr>
              <w:t>231</w:t>
            </w:r>
          </w:p>
        </w:tc>
        <w:tc>
          <w:tcPr>
            <w:tcW w:w="3177" w:type="dxa"/>
          </w:tcPr>
          <w:p w:rsidR="00273F01" w:rsidRPr="00D85B9A" w:rsidRDefault="00273F01" w:rsidP="00273F01">
            <w:pPr>
              <w:ind w:left="57"/>
              <w:rPr>
                <w:rFonts w:cs="Arial"/>
                <w:snapToGrid w:val="0"/>
                <w:vertAlign w:val="superscript"/>
                <w:lang w:val="es-ES"/>
              </w:rPr>
            </w:pPr>
            <w:r w:rsidRPr="00D85B9A">
              <w:rPr>
                <w:rFonts w:cs="Arial"/>
                <w:snapToGrid w:val="0"/>
                <w:lang w:val="es-ES"/>
              </w:rPr>
              <w:t>Austria</w:t>
            </w:r>
            <w:r w:rsidRPr="00D85B9A">
              <w:rPr>
                <w:rFonts w:cs="Arial"/>
                <w:snapToGrid w:val="0"/>
                <w:vertAlign w:val="superscript"/>
                <w:lang w:val="es-ES"/>
              </w:rPr>
              <w:t xml:space="preserve"> </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0</w:t>
            </w:r>
            <w:r>
              <w:rPr>
                <w:rFonts w:cs="Arial"/>
                <w:snapToGrid w:val="0"/>
                <w:lang w:val="es-ES"/>
              </w:rPr>
              <w:t>,</w:t>
            </w:r>
            <w:r w:rsidRPr="00D85B9A">
              <w:rPr>
                <w:rFonts w:cs="Arial"/>
                <w:snapToGrid w:val="0"/>
                <w:lang w:val="es-ES"/>
              </w:rPr>
              <w:t>75</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40</w:t>
            </w:r>
            <w:r>
              <w:rPr>
                <w:rFonts w:cs="Arial"/>
                <w:snapToGrid w:val="0"/>
                <w:lang w:val="es-ES"/>
              </w:rPr>
              <w:t>.</w:t>
            </w:r>
            <w:r w:rsidRPr="00D85B9A">
              <w:rPr>
                <w:rFonts w:cs="Arial"/>
                <w:snapToGrid w:val="0"/>
                <w:lang w:val="es-ES"/>
              </w:rPr>
              <w:t>231</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40</w:t>
            </w:r>
            <w:r>
              <w:rPr>
                <w:rFonts w:cs="Arial"/>
                <w:snapToGrid w:val="0"/>
                <w:lang w:val="es-ES"/>
              </w:rPr>
              <w:t>.</w:t>
            </w:r>
            <w:r w:rsidRPr="00D85B9A">
              <w:rPr>
                <w:rFonts w:cs="Arial"/>
                <w:snapToGrid w:val="0"/>
                <w:lang w:val="es-ES"/>
              </w:rPr>
              <w:t>231</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Azerbaiyán</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0</w:t>
            </w:r>
            <w:r>
              <w:rPr>
                <w:rFonts w:cs="Arial"/>
                <w:snapToGrid w:val="0"/>
                <w:lang w:val="es-ES"/>
              </w:rPr>
              <w:t>,</w:t>
            </w:r>
            <w:r w:rsidRPr="00D85B9A">
              <w:rPr>
                <w:rFonts w:cs="Arial"/>
                <w:snapToGrid w:val="0"/>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vertAlign w:val="superscript"/>
                <w:lang w:val="es-ES"/>
              </w:rPr>
            </w:pPr>
            <w:r w:rsidRPr="00D85B9A">
              <w:rPr>
                <w:rFonts w:cs="Arial"/>
                <w:snapToGrid w:val="0"/>
                <w:lang w:val="es-ES"/>
              </w:rPr>
              <w:t>Belarús</w:t>
            </w:r>
          </w:p>
        </w:tc>
        <w:tc>
          <w:tcPr>
            <w:tcW w:w="1032" w:type="dxa"/>
          </w:tcPr>
          <w:p w:rsidR="00273F01" w:rsidRPr="00D85B9A" w:rsidRDefault="00273F01" w:rsidP="00E41A9D">
            <w:pPr>
              <w:ind w:right="113"/>
              <w:jc w:val="right"/>
              <w:rPr>
                <w:rFonts w:cs="Arial"/>
                <w:snapToGrid w:val="0"/>
                <w:vertAlign w:val="superscript"/>
                <w:lang w:val="es-ES"/>
              </w:rPr>
            </w:pPr>
            <w:r w:rsidRPr="00D85B9A">
              <w:rPr>
                <w:rFonts w:cs="Arial"/>
                <w:snapToGrid w:val="0"/>
                <w:lang w:val="es-ES"/>
              </w:rPr>
              <w:t>0</w:t>
            </w:r>
            <w:r>
              <w:rPr>
                <w:rFonts w:cs="Arial"/>
                <w:snapToGrid w:val="0"/>
                <w:lang w:val="es-ES"/>
              </w:rPr>
              <w:t>,</w:t>
            </w:r>
            <w:r w:rsidRPr="00D85B9A">
              <w:rPr>
                <w:rFonts w:cs="Arial"/>
                <w:snapToGrid w:val="0"/>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80</w:t>
            </w:r>
            <w:r>
              <w:rPr>
                <w:rFonts w:cs="Arial"/>
                <w:snapToGrid w:val="0"/>
                <w:lang w:val="es-ES"/>
              </w:rPr>
              <w:t>.</w:t>
            </w:r>
            <w:r w:rsidRPr="00D85B9A">
              <w:rPr>
                <w:rFonts w:cs="Arial"/>
                <w:snapToGrid w:val="0"/>
                <w:lang w:val="es-ES"/>
              </w:rPr>
              <w:t>462</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80</w:t>
            </w:r>
            <w:r>
              <w:rPr>
                <w:rFonts w:cs="Arial"/>
                <w:snapToGrid w:val="0"/>
                <w:lang w:val="es-ES"/>
              </w:rPr>
              <w:t>.</w:t>
            </w:r>
            <w:r w:rsidRPr="00D85B9A">
              <w:rPr>
                <w:rFonts w:cs="Arial"/>
                <w:snapToGrid w:val="0"/>
                <w:lang w:val="es-ES"/>
              </w:rPr>
              <w:t>462</w:t>
            </w:r>
          </w:p>
        </w:tc>
        <w:tc>
          <w:tcPr>
            <w:tcW w:w="3177" w:type="dxa"/>
          </w:tcPr>
          <w:p w:rsidR="00273F01" w:rsidRPr="00D85B9A" w:rsidRDefault="00273F01" w:rsidP="00273F01">
            <w:pPr>
              <w:ind w:left="57"/>
              <w:rPr>
                <w:rFonts w:cs="Arial"/>
                <w:snapToGrid w:val="0"/>
                <w:vertAlign w:val="superscript"/>
                <w:lang w:val="es-ES"/>
              </w:rPr>
            </w:pPr>
            <w:r w:rsidRPr="00D85B9A">
              <w:rPr>
                <w:rFonts w:cs="Arial"/>
                <w:snapToGrid w:val="0"/>
                <w:lang w:val="es-ES"/>
              </w:rPr>
              <w:t>Bélgica</w:t>
            </w:r>
            <w:r w:rsidRPr="00D85B9A">
              <w:rPr>
                <w:rFonts w:cs="Arial"/>
                <w:snapToGrid w:val="0"/>
                <w:vertAlign w:val="superscript"/>
                <w:lang w:val="es-ES"/>
              </w:rPr>
              <w:t xml:space="preserve"> </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1</w:t>
            </w:r>
            <w:r>
              <w:rPr>
                <w:rFonts w:cs="Arial"/>
                <w:snapToGrid w:val="0"/>
                <w:lang w:val="es-ES"/>
              </w:rPr>
              <w:t>,</w:t>
            </w:r>
            <w:r w:rsidRPr="00D85B9A">
              <w:rPr>
                <w:rFonts w:cs="Arial"/>
                <w:snapToGrid w:val="0"/>
                <w:lang w:val="es-ES"/>
              </w:rPr>
              <w:t>50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80</w:t>
            </w:r>
            <w:r>
              <w:rPr>
                <w:rFonts w:cs="Arial"/>
                <w:snapToGrid w:val="0"/>
                <w:lang w:val="es-ES"/>
              </w:rPr>
              <w:t>.</w:t>
            </w:r>
            <w:r w:rsidRPr="00D85B9A">
              <w:rPr>
                <w:rFonts w:cs="Arial"/>
                <w:snapToGrid w:val="0"/>
                <w:lang w:val="es-ES"/>
              </w:rPr>
              <w:t>462</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80</w:t>
            </w:r>
            <w:r>
              <w:rPr>
                <w:rFonts w:cs="Arial"/>
                <w:snapToGrid w:val="0"/>
                <w:lang w:val="es-ES"/>
              </w:rPr>
              <w:t>.</w:t>
            </w:r>
            <w:r w:rsidRPr="00D85B9A">
              <w:rPr>
                <w:rFonts w:cs="Arial"/>
                <w:snapToGrid w:val="0"/>
                <w:lang w:val="es-ES"/>
              </w:rPr>
              <w:t>462</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Bolivia (Estado Plurinacional de)</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0</w:t>
            </w:r>
            <w:r>
              <w:rPr>
                <w:rFonts w:cs="Arial"/>
                <w:snapToGrid w:val="0"/>
                <w:lang w:val="es-ES"/>
              </w:rPr>
              <w:t>,</w:t>
            </w:r>
            <w:r w:rsidRPr="00D85B9A">
              <w:rPr>
                <w:rFonts w:cs="Arial"/>
                <w:snapToGrid w:val="0"/>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13</w:t>
            </w:r>
            <w:r>
              <w:rPr>
                <w:rFonts w:cs="Arial"/>
                <w:snapToGrid w:val="0"/>
                <w:lang w:val="es-ES"/>
              </w:rPr>
              <w:t>.</w:t>
            </w:r>
            <w:r w:rsidRPr="00D85B9A">
              <w:rPr>
                <w:rFonts w:cs="Arial"/>
                <w:snapToGrid w:val="0"/>
                <w:lang w:val="es-ES"/>
              </w:rPr>
              <w:t>410</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13</w:t>
            </w:r>
            <w:r>
              <w:rPr>
                <w:rFonts w:cs="Arial"/>
                <w:snapToGrid w:val="0"/>
                <w:lang w:val="es-ES"/>
              </w:rPr>
              <w:t>.</w:t>
            </w:r>
            <w:r w:rsidRPr="00D85B9A">
              <w:rPr>
                <w:rFonts w:cs="Arial"/>
                <w:snapToGrid w:val="0"/>
                <w:lang w:val="es-ES"/>
              </w:rPr>
              <w:t>410</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Brasil</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0</w:t>
            </w:r>
            <w:r>
              <w:rPr>
                <w:rFonts w:cs="Arial"/>
                <w:snapToGrid w:val="0"/>
                <w:lang w:val="es-ES"/>
              </w:rPr>
              <w:t>,</w:t>
            </w:r>
            <w:r w:rsidRPr="00D85B9A">
              <w:rPr>
                <w:rFonts w:cs="Arial"/>
                <w:snapToGrid w:val="0"/>
                <w:lang w:val="es-ES"/>
              </w:rPr>
              <w:t>25</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13</w:t>
            </w:r>
            <w:r>
              <w:rPr>
                <w:rFonts w:cs="Arial"/>
                <w:snapToGrid w:val="0"/>
                <w:lang w:val="es-ES"/>
              </w:rPr>
              <w:t>.</w:t>
            </w:r>
            <w:r w:rsidRPr="00D85B9A">
              <w:rPr>
                <w:rFonts w:cs="Arial"/>
                <w:snapToGrid w:val="0"/>
                <w:lang w:val="es-ES"/>
              </w:rPr>
              <w:t>410</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13</w:t>
            </w:r>
            <w:r>
              <w:rPr>
                <w:rFonts w:cs="Arial"/>
                <w:snapToGrid w:val="0"/>
                <w:lang w:val="es-ES"/>
              </w:rPr>
              <w:t>.</w:t>
            </w:r>
            <w:r w:rsidRPr="00D85B9A">
              <w:rPr>
                <w:rFonts w:cs="Arial"/>
                <w:snapToGrid w:val="0"/>
                <w:lang w:val="es-ES"/>
              </w:rPr>
              <w:t>410</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Bulgaria</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0</w:t>
            </w:r>
            <w:r>
              <w:rPr>
                <w:rFonts w:cs="Arial"/>
                <w:snapToGrid w:val="0"/>
                <w:lang w:val="es-ES"/>
              </w:rPr>
              <w:t>,</w:t>
            </w:r>
            <w:r w:rsidRPr="00D85B9A">
              <w:rPr>
                <w:rFonts w:cs="Arial"/>
                <w:snapToGrid w:val="0"/>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Canadá</w:t>
            </w:r>
          </w:p>
        </w:tc>
        <w:tc>
          <w:tcPr>
            <w:tcW w:w="1032" w:type="dxa"/>
          </w:tcPr>
          <w:p w:rsidR="00273F01" w:rsidRPr="00D85B9A" w:rsidRDefault="00273F01" w:rsidP="00E41A9D">
            <w:pPr>
              <w:ind w:right="113"/>
              <w:jc w:val="right"/>
              <w:rPr>
                <w:rFonts w:cs="Arial"/>
                <w:snapToGrid w:val="0"/>
                <w:lang w:val="es-ES"/>
              </w:rPr>
            </w:pPr>
            <w:r w:rsidRPr="00D85B9A">
              <w:rPr>
                <w:rFonts w:cs="Arial"/>
                <w:lang w:val="es-ES"/>
              </w:rPr>
              <w:t>1</w:t>
            </w:r>
            <w:r>
              <w:rPr>
                <w:rFonts w:cs="Arial"/>
                <w:lang w:val="es-ES"/>
              </w:rPr>
              <w:t>,</w:t>
            </w:r>
            <w:r w:rsidRPr="00D85B9A">
              <w:rPr>
                <w:rFonts w:cs="Arial"/>
                <w:lang w:val="es-ES"/>
              </w:rPr>
              <w:t>00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Chile</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0</w:t>
            </w:r>
            <w:r>
              <w:rPr>
                <w:rFonts w:cs="Arial"/>
                <w:snapToGrid w:val="0"/>
                <w:lang w:val="es-ES"/>
              </w:rPr>
              <w:t>,</w:t>
            </w:r>
            <w:r w:rsidRPr="00D85B9A">
              <w:rPr>
                <w:rFonts w:cs="Arial"/>
                <w:snapToGrid w:val="0"/>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China</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0</w:t>
            </w:r>
            <w:r>
              <w:rPr>
                <w:rFonts w:cs="Arial"/>
                <w:snapToGrid w:val="0"/>
                <w:lang w:val="es-ES"/>
              </w:rPr>
              <w:t>,</w:t>
            </w:r>
            <w:r w:rsidRPr="00D85B9A">
              <w:rPr>
                <w:rFonts w:cs="Arial"/>
                <w:snapToGrid w:val="0"/>
                <w:lang w:val="es-ES"/>
              </w:rPr>
              <w:t>50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Colombia</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0</w:t>
            </w:r>
            <w:r>
              <w:rPr>
                <w:rFonts w:cs="Arial"/>
                <w:snapToGrid w:val="0"/>
                <w:lang w:val="es-ES"/>
              </w:rPr>
              <w:t>,</w:t>
            </w:r>
            <w:r w:rsidRPr="00D85B9A">
              <w:rPr>
                <w:rFonts w:cs="Arial"/>
                <w:snapToGrid w:val="0"/>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Costa Rica</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0</w:t>
            </w:r>
            <w:r>
              <w:rPr>
                <w:rFonts w:cs="Arial"/>
                <w:snapToGrid w:val="0"/>
                <w:lang w:val="es-ES"/>
              </w:rPr>
              <w:t>,</w:t>
            </w:r>
            <w:r w:rsidRPr="00D85B9A">
              <w:rPr>
                <w:rFonts w:cs="Arial"/>
                <w:snapToGrid w:val="0"/>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Croacia</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0</w:t>
            </w:r>
            <w:r>
              <w:rPr>
                <w:rFonts w:cs="Arial"/>
                <w:snapToGrid w:val="0"/>
                <w:lang w:val="es-ES"/>
              </w:rPr>
              <w:t>,</w:t>
            </w:r>
            <w:r w:rsidRPr="00D85B9A">
              <w:rPr>
                <w:rFonts w:cs="Arial"/>
                <w:snapToGrid w:val="0"/>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Dinamarca</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0</w:t>
            </w:r>
            <w:r>
              <w:rPr>
                <w:rFonts w:cs="Arial"/>
                <w:snapToGrid w:val="0"/>
                <w:lang w:val="es-ES"/>
              </w:rPr>
              <w:t>,</w:t>
            </w:r>
            <w:r w:rsidRPr="00D85B9A">
              <w:rPr>
                <w:rFonts w:cs="Arial"/>
                <w:snapToGrid w:val="0"/>
                <w:lang w:val="es-ES"/>
              </w:rPr>
              <w:t>50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Ecuador</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0</w:t>
            </w:r>
            <w:r>
              <w:rPr>
                <w:rFonts w:cs="Arial"/>
                <w:snapToGrid w:val="0"/>
                <w:lang w:val="es-ES"/>
              </w:rPr>
              <w:t>,</w:t>
            </w:r>
            <w:r w:rsidRPr="00D85B9A">
              <w:rPr>
                <w:rFonts w:cs="Arial"/>
                <w:snapToGrid w:val="0"/>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3177" w:type="dxa"/>
          </w:tcPr>
          <w:p w:rsidR="00273F01" w:rsidRPr="00D85B9A" w:rsidRDefault="00273F01" w:rsidP="00273F01">
            <w:pPr>
              <w:ind w:left="57" w:right="-141"/>
              <w:rPr>
                <w:rFonts w:cs="Arial"/>
                <w:snapToGrid w:val="0"/>
                <w:lang w:val="es-ES"/>
              </w:rPr>
            </w:pPr>
            <w:r w:rsidRPr="00D85B9A">
              <w:rPr>
                <w:rFonts w:cs="Arial"/>
                <w:snapToGrid w:val="0"/>
                <w:lang w:val="es-ES"/>
              </w:rPr>
              <w:t>Eslovaquia</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50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ight="-141"/>
              <w:rPr>
                <w:rFonts w:cs="Arial"/>
                <w:snapToGrid w:val="0"/>
                <w:lang w:val="es-ES"/>
              </w:rPr>
            </w:pPr>
            <w:r w:rsidRPr="00D85B9A">
              <w:rPr>
                <w:rFonts w:cs="Arial"/>
                <w:snapToGrid w:val="0"/>
                <w:lang w:val="es-ES"/>
              </w:rPr>
              <w:t>Eslovenia</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107</w:t>
            </w:r>
            <w:r>
              <w:rPr>
                <w:rFonts w:cs="Arial"/>
                <w:snapToGrid w:val="0"/>
                <w:lang w:val="es-ES"/>
              </w:rPr>
              <w:t>.</w:t>
            </w:r>
            <w:r w:rsidRPr="00D85B9A">
              <w:rPr>
                <w:rFonts w:cs="Arial"/>
                <w:snapToGrid w:val="0"/>
                <w:lang w:val="es-ES"/>
              </w:rPr>
              <w:t>282</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107</w:t>
            </w:r>
            <w:r>
              <w:rPr>
                <w:rFonts w:cs="Arial"/>
                <w:snapToGrid w:val="0"/>
                <w:lang w:val="es-ES"/>
              </w:rPr>
              <w:t>.</w:t>
            </w:r>
            <w:r w:rsidRPr="00D85B9A">
              <w:rPr>
                <w:rFonts w:cs="Arial"/>
                <w:snapToGrid w:val="0"/>
                <w:lang w:val="es-ES"/>
              </w:rPr>
              <w:t>282</w:t>
            </w:r>
          </w:p>
        </w:tc>
        <w:tc>
          <w:tcPr>
            <w:tcW w:w="3177" w:type="dxa"/>
          </w:tcPr>
          <w:p w:rsidR="00273F01" w:rsidRPr="00D85B9A" w:rsidRDefault="00273F01" w:rsidP="00273F01">
            <w:pPr>
              <w:ind w:left="57" w:right="-141"/>
              <w:rPr>
                <w:rFonts w:cs="Arial"/>
                <w:snapToGrid w:val="0"/>
                <w:lang w:val="es-ES"/>
              </w:rPr>
            </w:pPr>
            <w:r w:rsidRPr="00D85B9A">
              <w:rPr>
                <w:rFonts w:cs="Arial"/>
                <w:snapToGrid w:val="0"/>
                <w:lang w:val="es-ES"/>
              </w:rPr>
              <w:t>España</w:t>
            </w:r>
          </w:p>
        </w:tc>
        <w:tc>
          <w:tcPr>
            <w:tcW w:w="1032" w:type="dxa"/>
          </w:tcPr>
          <w:p w:rsidR="00273F01" w:rsidRPr="00D85B9A" w:rsidRDefault="00273F01" w:rsidP="00E41A9D">
            <w:pPr>
              <w:ind w:right="113"/>
              <w:jc w:val="right"/>
              <w:rPr>
                <w:rFonts w:cs="Arial"/>
                <w:lang w:val="es-ES"/>
              </w:rPr>
            </w:pPr>
            <w:r w:rsidRPr="00D85B9A">
              <w:rPr>
                <w:rFonts w:cs="Arial"/>
                <w:lang w:val="es-ES"/>
              </w:rPr>
              <w:t>2</w:t>
            </w:r>
            <w:r>
              <w:rPr>
                <w:rFonts w:cs="Arial"/>
                <w:lang w:val="es-ES"/>
              </w:rPr>
              <w:t>,</w:t>
            </w:r>
            <w:r w:rsidRPr="00D85B9A">
              <w:rPr>
                <w:rFonts w:cs="Arial"/>
                <w:lang w:val="es-ES"/>
              </w:rPr>
              <w:t>00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107</w:t>
            </w:r>
            <w:r>
              <w:rPr>
                <w:rFonts w:cs="Arial"/>
                <w:snapToGrid w:val="0"/>
                <w:lang w:val="es-ES"/>
              </w:rPr>
              <w:t>.</w:t>
            </w:r>
            <w:r w:rsidRPr="00D85B9A">
              <w:rPr>
                <w:rFonts w:cs="Arial"/>
                <w:snapToGrid w:val="0"/>
                <w:lang w:val="es-ES"/>
              </w:rPr>
              <w:t>282</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107</w:t>
            </w:r>
            <w:r>
              <w:rPr>
                <w:rFonts w:cs="Arial"/>
                <w:snapToGrid w:val="0"/>
                <w:lang w:val="es-ES"/>
              </w:rPr>
              <w:t>.</w:t>
            </w:r>
            <w:r w:rsidRPr="00D85B9A">
              <w:rPr>
                <w:rFonts w:cs="Arial"/>
                <w:snapToGrid w:val="0"/>
                <w:lang w:val="es-ES"/>
              </w:rPr>
              <w:t>282</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268</w:t>
            </w:r>
            <w:r>
              <w:rPr>
                <w:rFonts w:cs="Arial"/>
                <w:snapToGrid w:val="0"/>
                <w:lang w:val="es-ES"/>
              </w:rPr>
              <w:t>.</w:t>
            </w:r>
            <w:r w:rsidRPr="00D85B9A">
              <w:rPr>
                <w:rFonts w:cs="Arial"/>
                <w:snapToGrid w:val="0"/>
                <w:lang w:val="es-ES"/>
              </w:rPr>
              <w:t>205</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268</w:t>
            </w:r>
            <w:r>
              <w:rPr>
                <w:rFonts w:cs="Arial"/>
                <w:snapToGrid w:val="0"/>
                <w:lang w:val="es-ES"/>
              </w:rPr>
              <w:t>.</w:t>
            </w:r>
            <w:r w:rsidRPr="00D85B9A">
              <w:rPr>
                <w:rFonts w:cs="Arial"/>
                <w:snapToGrid w:val="0"/>
                <w:lang w:val="es-ES"/>
              </w:rPr>
              <w:t>205</w:t>
            </w:r>
          </w:p>
        </w:tc>
        <w:tc>
          <w:tcPr>
            <w:tcW w:w="3177" w:type="dxa"/>
          </w:tcPr>
          <w:p w:rsidR="00273F01" w:rsidRPr="00D85B9A" w:rsidRDefault="00273F01" w:rsidP="00273F01">
            <w:pPr>
              <w:ind w:left="57" w:right="-141"/>
              <w:jc w:val="left"/>
              <w:rPr>
                <w:rFonts w:cs="Arial"/>
                <w:snapToGrid w:val="0"/>
                <w:lang w:val="es-ES"/>
              </w:rPr>
            </w:pPr>
            <w:r w:rsidRPr="00D85B9A">
              <w:rPr>
                <w:rFonts w:cs="Arial"/>
                <w:snapToGrid w:val="0"/>
                <w:lang w:val="es-ES"/>
              </w:rPr>
              <w:t>Estados Unidos de América</w:t>
            </w:r>
          </w:p>
        </w:tc>
        <w:tc>
          <w:tcPr>
            <w:tcW w:w="1032" w:type="dxa"/>
          </w:tcPr>
          <w:p w:rsidR="00273F01" w:rsidRPr="00D85B9A" w:rsidRDefault="00273F01" w:rsidP="00E41A9D">
            <w:pPr>
              <w:ind w:right="113"/>
              <w:jc w:val="right"/>
              <w:rPr>
                <w:rFonts w:cs="Arial"/>
                <w:lang w:val="es-ES"/>
              </w:rPr>
            </w:pPr>
            <w:r w:rsidRPr="00D85B9A">
              <w:rPr>
                <w:rFonts w:cs="Arial"/>
                <w:lang w:val="es-ES"/>
              </w:rPr>
              <w:t>5</w:t>
            </w:r>
            <w:r>
              <w:rPr>
                <w:rFonts w:cs="Arial"/>
                <w:lang w:val="es-ES"/>
              </w:rPr>
              <w:t>,</w:t>
            </w:r>
            <w:r w:rsidRPr="00D85B9A">
              <w:rPr>
                <w:rFonts w:cs="Arial"/>
                <w:lang w:val="es-ES"/>
              </w:rPr>
              <w:t>00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268</w:t>
            </w:r>
            <w:r>
              <w:rPr>
                <w:rFonts w:cs="Arial"/>
                <w:snapToGrid w:val="0"/>
                <w:lang w:val="es-ES"/>
              </w:rPr>
              <w:t>.</w:t>
            </w:r>
            <w:r w:rsidRPr="00D85B9A">
              <w:rPr>
                <w:rFonts w:cs="Arial"/>
                <w:snapToGrid w:val="0"/>
                <w:lang w:val="es-ES"/>
              </w:rPr>
              <w:t>205</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268</w:t>
            </w:r>
            <w:r>
              <w:rPr>
                <w:rFonts w:cs="Arial"/>
                <w:snapToGrid w:val="0"/>
                <w:lang w:val="es-ES"/>
              </w:rPr>
              <w:t>.</w:t>
            </w:r>
            <w:r w:rsidRPr="00D85B9A">
              <w:rPr>
                <w:rFonts w:cs="Arial"/>
                <w:snapToGrid w:val="0"/>
                <w:lang w:val="es-ES"/>
              </w:rPr>
              <w:t>205</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Estonia</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0</w:t>
            </w:r>
            <w:r>
              <w:rPr>
                <w:rFonts w:cs="Arial"/>
                <w:snapToGrid w:val="0"/>
                <w:lang w:val="es-ES"/>
              </w:rPr>
              <w:t>,</w:t>
            </w:r>
            <w:r w:rsidRPr="00D85B9A">
              <w:rPr>
                <w:rFonts w:cs="Arial"/>
                <w:snapToGrid w:val="0"/>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spacing w:after="40"/>
              <w:ind w:left="57" w:right="-141"/>
              <w:jc w:val="left"/>
              <w:rPr>
                <w:rFonts w:cs="Arial"/>
                <w:snapToGrid w:val="0"/>
                <w:lang w:val="es-ES"/>
              </w:rPr>
            </w:pPr>
            <w:r w:rsidRPr="00D85B9A">
              <w:rPr>
                <w:rFonts w:cs="Arial"/>
                <w:snapToGrid w:val="0"/>
                <w:lang w:val="es-ES"/>
              </w:rPr>
              <w:t>ex República Yugoslava de Macedonia</w:t>
            </w:r>
          </w:p>
        </w:tc>
        <w:tc>
          <w:tcPr>
            <w:tcW w:w="1032" w:type="dxa"/>
          </w:tcPr>
          <w:p w:rsidR="00273F01" w:rsidRPr="00D85B9A" w:rsidRDefault="00273F01" w:rsidP="00E41A9D">
            <w:pPr>
              <w:spacing w:after="40"/>
              <w:ind w:right="113"/>
              <w:jc w:val="right"/>
              <w:rPr>
                <w:rFonts w:cs="Arial"/>
                <w:lang w:val="es-ES"/>
              </w:rPr>
            </w:pPr>
            <w:r w:rsidRPr="00D85B9A">
              <w:rPr>
                <w:rFonts w:cs="Arial"/>
                <w:lang w:val="es-ES"/>
              </w:rPr>
              <w:t>0</w:t>
            </w:r>
            <w:r>
              <w:rPr>
                <w:rFonts w:cs="Arial"/>
                <w:lang w:val="es-ES"/>
              </w:rPr>
              <w:t>,</w:t>
            </w:r>
            <w:r w:rsidRPr="00D85B9A">
              <w:rPr>
                <w:rFonts w:cs="Arial"/>
                <w:lang w:val="es-ES"/>
              </w:rPr>
              <w:t>20</w:t>
            </w:r>
          </w:p>
        </w:tc>
        <w:tc>
          <w:tcPr>
            <w:tcW w:w="1560" w:type="dxa"/>
          </w:tcPr>
          <w:p w:rsidR="00273F01" w:rsidRPr="00D85B9A" w:rsidRDefault="00273F01" w:rsidP="00273F01">
            <w:pPr>
              <w:spacing w:after="40"/>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spacing w:after="40"/>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3177" w:type="dxa"/>
          </w:tcPr>
          <w:p w:rsidR="00273F01" w:rsidRPr="00D85B9A" w:rsidRDefault="00273F01" w:rsidP="00273F01">
            <w:pPr>
              <w:ind w:left="57" w:right="-141"/>
              <w:rPr>
                <w:rFonts w:cs="Arial"/>
                <w:snapToGrid w:val="0"/>
                <w:lang w:val="es-ES"/>
              </w:rPr>
            </w:pPr>
            <w:r w:rsidRPr="00D85B9A">
              <w:rPr>
                <w:rFonts w:cs="Arial"/>
                <w:snapToGrid w:val="0"/>
                <w:lang w:val="es-ES"/>
              </w:rPr>
              <w:t>Federación de Rusia</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50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Finlandia</w:t>
            </w:r>
          </w:p>
        </w:tc>
        <w:tc>
          <w:tcPr>
            <w:tcW w:w="1032" w:type="dxa"/>
          </w:tcPr>
          <w:p w:rsidR="00273F01" w:rsidRPr="00D85B9A" w:rsidRDefault="00273F01" w:rsidP="00E41A9D">
            <w:pPr>
              <w:ind w:right="113"/>
              <w:jc w:val="right"/>
              <w:rPr>
                <w:rFonts w:cs="Arial"/>
                <w:snapToGrid w:val="0"/>
                <w:lang w:val="es-ES"/>
              </w:rPr>
            </w:pPr>
            <w:r w:rsidRPr="00D85B9A">
              <w:rPr>
                <w:rFonts w:cs="Arial"/>
                <w:lang w:val="es-ES"/>
              </w:rPr>
              <w:t>1</w:t>
            </w:r>
            <w:r>
              <w:rPr>
                <w:rFonts w:cs="Arial"/>
                <w:lang w:val="es-ES"/>
              </w:rPr>
              <w:t>,</w:t>
            </w:r>
            <w:r w:rsidRPr="00D85B9A">
              <w:rPr>
                <w:rFonts w:cs="Arial"/>
                <w:lang w:val="es-ES"/>
              </w:rPr>
              <w:t>00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268</w:t>
            </w:r>
            <w:r>
              <w:rPr>
                <w:rFonts w:cs="Arial"/>
                <w:snapToGrid w:val="0"/>
                <w:lang w:val="es-ES"/>
              </w:rPr>
              <w:t>.</w:t>
            </w:r>
            <w:r w:rsidRPr="00D85B9A">
              <w:rPr>
                <w:rFonts w:cs="Arial"/>
                <w:snapToGrid w:val="0"/>
                <w:lang w:val="es-ES"/>
              </w:rPr>
              <w:t>205</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268</w:t>
            </w:r>
            <w:r>
              <w:rPr>
                <w:rFonts w:cs="Arial"/>
                <w:snapToGrid w:val="0"/>
                <w:lang w:val="es-ES"/>
              </w:rPr>
              <w:t>.</w:t>
            </w:r>
            <w:r w:rsidRPr="00D85B9A">
              <w:rPr>
                <w:rFonts w:cs="Arial"/>
                <w:snapToGrid w:val="0"/>
                <w:lang w:val="es-ES"/>
              </w:rPr>
              <w:t>205</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Francia</w:t>
            </w:r>
          </w:p>
        </w:tc>
        <w:tc>
          <w:tcPr>
            <w:tcW w:w="1032" w:type="dxa"/>
          </w:tcPr>
          <w:p w:rsidR="00273F01" w:rsidRPr="00D85B9A" w:rsidRDefault="00273F01" w:rsidP="00E41A9D">
            <w:pPr>
              <w:ind w:right="113"/>
              <w:jc w:val="right"/>
              <w:rPr>
                <w:rFonts w:cs="Arial"/>
                <w:snapToGrid w:val="0"/>
                <w:lang w:val="es-ES"/>
              </w:rPr>
            </w:pPr>
            <w:r w:rsidRPr="00D85B9A">
              <w:rPr>
                <w:rFonts w:cs="Arial"/>
                <w:lang w:val="es-ES"/>
              </w:rPr>
              <w:t>5</w:t>
            </w:r>
            <w:r>
              <w:rPr>
                <w:rFonts w:cs="Arial"/>
                <w:lang w:val="es-ES"/>
              </w:rPr>
              <w:t>,</w:t>
            </w:r>
            <w:r w:rsidRPr="00D85B9A">
              <w:rPr>
                <w:rFonts w:cs="Arial"/>
                <w:lang w:val="es-ES"/>
              </w:rPr>
              <w:t>00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268</w:t>
            </w:r>
            <w:r>
              <w:rPr>
                <w:rFonts w:cs="Arial"/>
                <w:snapToGrid w:val="0"/>
                <w:lang w:val="es-ES"/>
              </w:rPr>
              <w:t>.</w:t>
            </w:r>
            <w:r w:rsidRPr="00D85B9A">
              <w:rPr>
                <w:rFonts w:cs="Arial"/>
                <w:snapToGrid w:val="0"/>
                <w:lang w:val="es-ES"/>
              </w:rPr>
              <w:t>205</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268</w:t>
            </w:r>
            <w:r>
              <w:rPr>
                <w:rFonts w:cs="Arial"/>
                <w:snapToGrid w:val="0"/>
                <w:lang w:val="es-ES"/>
              </w:rPr>
              <w:t>.</w:t>
            </w:r>
            <w:r w:rsidRPr="00D85B9A">
              <w:rPr>
                <w:rFonts w:cs="Arial"/>
                <w:snapToGrid w:val="0"/>
                <w:lang w:val="es-ES"/>
              </w:rPr>
              <w:t>205</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ind w:left="57"/>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Georgia</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0</w:t>
            </w:r>
            <w:r>
              <w:rPr>
                <w:rFonts w:cs="Arial"/>
                <w:snapToGrid w:val="0"/>
                <w:lang w:val="es-ES"/>
              </w:rPr>
              <w:t>,</w:t>
            </w:r>
            <w:r w:rsidRPr="00D85B9A">
              <w:rPr>
                <w:rFonts w:cs="Arial"/>
                <w:snapToGrid w:val="0"/>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Hungría</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0</w:t>
            </w:r>
            <w:r>
              <w:rPr>
                <w:rFonts w:cs="Arial"/>
                <w:snapToGrid w:val="0"/>
                <w:lang w:val="es-ES"/>
              </w:rPr>
              <w:t>,</w:t>
            </w:r>
            <w:r w:rsidRPr="00D85B9A">
              <w:rPr>
                <w:rFonts w:cs="Arial"/>
                <w:snapToGrid w:val="0"/>
                <w:lang w:val="es-ES"/>
              </w:rPr>
              <w:t>50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Islandia</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0</w:t>
            </w:r>
            <w:r>
              <w:rPr>
                <w:rFonts w:cs="Arial"/>
                <w:snapToGrid w:val="0"/>
                <w:lang w:val="es-ES"/>
              </w:rPr>
              <w:t>,</w:t>
            </w:r>
            <w:r w:rsidRPr="00D85B9A">
              <w:rPr>
                <w:rFonts w:cs="Arial"/>
                <w:snapToGrid w:val="0"/>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Irlanda</w:t>
            </w:r>
          </w:p>
        </w:tc>
        <w:tc>
          <w:tcPr>
            <w:tcW w:w="1032" w:type="dxa"/>
          </w:tcPr>
          <w:p w:rsidR="00273F01" w:rsidRPr="00D85B9A" w:rsidRDefault="00273F01" w:rsidP="00E41A9D">
            <w:pPr>
              <w:ind w:right="113"/>
              <w:jc w:val="right"/>
              <w:rPr>
                <w:rFonts w:cs="Arial"/>
                <w:snapToGrid w:val="0"/>
                <w:vertAlign w:val="superscript"/>
                <w:lang w:val="es-ES"/>
              </w:rPr>
            </w:pPr>
            <w:r w:rsidRPr="00D85B9A">
              <w:rPr>
                <w:rFonts w:cs="Arial"/>
                <w:lang w:val="es-ES"/>
              </w:rPr>
              <w:t>1</w:t>
            </w:r>
            <w:r>
              <w:rPr>
                <w:rFonts w:cs="Arial"/>
                <w:lang w:val="es-ES"/>
              </w:rPr>
              <w:t>,</w:t>
            </w:r>
            <w:r w:rsidRPr="00D85B9A">
              <w:rPr>
                <w:rFonts w:cs="Arial"/>
                <w:lang w:val="es-ES"/>
              </w:rPr>
              <w:t>00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Israel</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0</w:t>
            </w:r>
            <w:r>
              <w:rPr>
                <w:rFonts w:cs="Arial"/>
                <w:snapToGrid w:val="0"/>
                <w:lang w:val="es-ES"/>
              </w:rPr>
              <w:t>,</w:t>
            </w:r>
            <w:r w:rsidRPr="00D85B9A">
              <w:rPr>
                <w:rFonts w:cs="Arial"/>
                <w:snapToGrid w:val="0"/>
                <w:lang w:val="es-ES"/>
              </w:rPr>
              <w:t>50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107</w:t>
            </w:r>
            <w:r>
              <w:rPr>
                <w:rFonts w:cs="Arial"/>
                <w:snapToGrid w:val="0"/>
                <w:lang w:val="es-ES"/>
              </w:rPr>
              <w:t>.</w:t>
            </w:r>
            <w:r w:rsidRPr="00D85B9A">
              <w:rPr>
                <w:rFonts w:cs="Arial"/>
                <w:snapToGrid w:val="0"/>
                <w:lang w:val="es-ES"/>
              </w:rPr>
              <w:t>282</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107</w:t>
            </w:r>
            <w:r>
              <w:rPr>
                <w:rFonts w:cs="Arial"/>
                <w:snapToGrid w:val="0"/>
                <w:lang w:val="es-ES"/>
              </w:rPr>
              <w:t>.</w:t>
            </w:r>
            <w:r w:rsidRPr="00D85B9A">
              <w:rPr>
                <w:rFonts w:cs="Arial"/>
                <w:snapToGrid w:val="0"/>
                <w:lang w:val="es-ES"/>
              </w:rPr>
              <w:t>282</w:t>
            </w:r>
          </w:p>
        </w:tc>
        <w:tc>
          <w:tcPr>
            <w:tcW w:w="3177" w:type="dxa"/>
          </w:tcPr>
          <w:p w:rsidR="00273F01" w:rsidRPr="00D85B9A" w:rsidRDefault="00273F01" w:rsidP="00273F01">
            <w:pPr>
              <w:ind w:left="57"/>
              <w:rPr>
                <w:rFonts w:cs="Arial"/>
                <w:snapToGrid w:val="0"/>
                <w:vertAlign w:val="superscript"/>
                <w:lang w:val="es-ES"/>
              </w:rPr>
            </w:pPr>
            <w:r w:rsidRPr="00D85B9A">
              <w:rPr>
                <w:rFonts w:cs="Arial"/>
                <w:snapToGrid w:val="0"/>
                <w:lang w:val="es-ES"/>
              </w:rPr>
              <w:t>Italia</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2</w:t>
            </w:r>
            <w:r>
              <w:rPr>
                <w:rFonts w:cs="Arial"/>
                <w:snapToGrid w:val="0"/>
                <w:lang w:val="es-ES"/>
              </w:rPr>
              <w:t>,</w:t>
            </w:r>
            <w:r w:rsidRPr="00D85B9A">
              <w:rPr>
                <w:rFonts w:cs="Arial"/>
                <w:snapToGrid w:val="0"/>
                <w:lang w:val="es-ES"/>
              </w:rPr>
              <w:t>00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107</w:t>
            </w:r>
            <w:r>
              <w:rPr>
                <w:rFonts w:cs="Arial"/>
                <w:snapToGrid w:val="0"/>
                <w:lang w:val="es-ES"/>
              </w:rPr>
              <w:t>.</w:t>
            </w:r>
            <w:r w:rsidRPr="00D85B9A">
              <w:rPr>
                <w:rFonts w:cs="Arial"/>
                <w:snapToGrid w:val="0"/>
                <w:lang w:val="es-ES"/>
              </w:rPr>
              <w:t>282</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107</w:t>
            </w:r>
            <w:r>
              <w:rPr>
                <w:rFonts w:cs="Arial"/>
                <w:snapToGrid w:val="0"/>
                <w:lang w:val="es-ES"/>
              </w:rPr>
              <w:t>.</w:t>
            </w:r>
            <w:r w:rsidRPr="00D85B9A">
              <w:rPr>
                <w:rFonts w:cs="Arial"/>
                <w:snapToGrid w:val="0"/>
                <w:lang w:val="es-ES"/>
              </w:rPr>
              <w:t>282</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268</w:t>
            </w:r>
            <w:r>
              <w:rPr>
                <w:rFonts w:cs="Arial"/>
                <w:snapToGrid w:val="0"/>
                <w:lang w:val="es-ES"/>
              </w:rPr>
              <w:t>.</w:t>
            </w:r>
            <w:r w:rsidRPr="00D85B9A">
              <w:rPr>
                <w:rFonts w:cs="Arial"/>
                <w:snapToGrid w:val="0"/>
                <w:lang w:val="es-ES"/>
              </w:rPr>
              <w:t>205</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268</w:t>
            </w:r>
            <w:r>
              <w:rPr>
                <w:rFonts w:cs="Arial"/>
                <w:snapToGrid w:val="0"/>
                <w:lang w:val="es-ES"/>
              </w:rPr>
              <w:t>.</w:t>
            </w:r>
            <w:r w:rsidRPr="00D85B9A">
              <w:rPr>
                <w:rFonts w:cs="Arial"/>
                <w:snapToGrid w:val="0"/>
                <w:lang w:val="es-ES"/>
              </w:rPr>
              <w:t>205</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Japón</w:t>
            </w:r>
          </w:p>
        </w:tc>
        <w:tc>
          <w:tcPr>
            <w:tcW w:w="1032" w:type="dxa"/>
          </w:tcPr>
          <w:p w:rsidR="00273F01" w:rsidRPr="00D85B9A" w:rsidRDefault="00273F01" w:rsidP="00E41A9D">
            <w:pPr>
              <w:ind w:right="113"/>
              <w:jc w:val="right"/>
              <w:rPr>
                <w:rFonts w:cs="Arial"/>
                <w:snapToGrid w:val="0"/>
                <w:lang w:val="es-ES"/>
              </w:rPr>
            </w:pPr>
            <w:r w:rsidRPr="00D85B9A">
              <w:rPr>
                <w:rFonts w:cs="Arial"/>
                <w:lang w:val="es-ES"/>
              </w:rPr>
              <w:t>5</w:t>
            </w:r>
            <w:r>
              <w:rPr>
                <w:rFonts w:cs="Arial"/>
                <w:lang w:val="es-ES"/>
              </w:rPr>
              <w:t>,</w:t>
            </w:r>
            <w:r w:rsidRPr="00D85B9A">
              <w:rPr>
                <w:rFonts w:cs="Arial"/>
                <w:lang w:val="es-ES"/>
              </w:rPr>
              <w:t>00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268</w:t>
            </w:r>
            <w:r>
              <w:rPr>
                <w:rFonts w:cs="Arial"/>
                <w:snapToGrid w:val="0"/>
                <w:lang w:val="es-ES"/>
              </w:rPr>
              <w:t>.</w:t>
            </w:r>
            <w:r w:rsidRPr="00D85B9A">
              <w:rPr>
                <w:rFonts w:cs="Arial"/>
                <w:snapToGrid w:val="0"/>
                <w:lang w:val="es-ES"/>
              </w:rPr>
              <w:t>205</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268</w:t>
            </w:r>
            <w:r>
              <w:rPr>
                <w:rFonts w:cs="Arial"/>
                <w:snapToGrid w:val="0"/>
                <w:lang w:val="es-ES"/>
              </w:rPr>
              <w:t>.</w:t>
            </w:r>
            <w:r w:rsidRPr="00D85B9A">
              <w:rPr>
                <w:rFonts w:cs="Arial"/>
                <w:snapToGrid w:val="0"/>
                <w:lang w:val="es-ES"/>
              </w:rPr>
              <w:t>205</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Jordania</w:t>
            </w:r>
          </w:p>
        </w:tc>
        <w:tc>
          <w:tcPr>
            <w:tcW w:w="1032" w:type="dxa"/>
          </w:tcPr>
          <w:p w:rsidR="00273F01" w:rsidRPr="00D85B9A" w:rsidRDefault="00273F01" w:rsidP="00E41A9D">
            <w:pPr>
              <w:ind w:right="113"/>
              <w:jc w:val="right"/>
              <w:rPr>
                <w:rFonts w:cs="Arial"/>
                <w:lang w:val="es-ES"/>
              </w:rPr>
            </w:pPr>
            <w:r w:rsidRPr="00D85B9A">
              <w:rPr>
                <w:rFonts w:cs="Arial"/>
                <w:snapToGrid w:val="0"/>
                <w:lang w:val="es-ES"/>
              </w:rPr>
              <w:t>0</w:t>
            </w:r>
            <w:r>
              <w:rPr>
                <w:rFonts w:cs="Arial"/>
                <w:snapToGrid w:val="0"/>
                <w:lang w:val="es-ES"/>
              </w:rPr>
              <w:t>,</w:t>
            </w:r>
            <w:r w:rsidRPr="00D85B9A">
              <w:rPr>
                <w:rFonts w:cs="Arial"/>
                <w:snapToGrid w:val="0"/>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Kenya</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Kirguistán</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Letonia</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Lituania</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Marruecos</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40</w:t>
            </w:r>
            <w:r>
              <w:rPr>
                <w:rFonts w:cs="Arial"/>
                <w:snapToGrid w:val="0"/>
                <w:lang w:val="es-ES"/>
              </w:rPr>
              <w:t>.</w:t>
            </w:r>
            <w:r w:rsidRPr="00D85B9A">
              <w:rPr>
                <w:rFonts w:cs="Arial"/>
                <w:snapToGrid w:val="0"/>
                <w:lang w:val="es-ES"/>
              </w:rPr>
              <w:t>231</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40</w:t>
            </w:r>
            <w:r>
              <w:rPr>
                <w:rFonts w:cs="Arial"/>
                <w:snapToGrid w:val="0"/>
                <w:lang w:val="es-ES"/>
              </w:rPr>
              <w:t>.</w:t>
            </w:r>
            <w:r w:rsidRPr="00D85B9A">
              <w:rPr>
                <w:rFonts w:cs="Arial"/>
                <w:snapToGrid w:val="0"/>
                <w:lang w:val="es-ES"/>
              </w:rPr>
              <w:t>231</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México</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0</w:t>
            </w:r>
            <w:r>
              <w:rPr>
                <w:rFonts w:cs="Arial"/>
                <w:snapToGrid w:val="0"/>
                <w:lang w:val="es-ES"/>
              </w:rPr>
              <w:t>,</w:t>
            </w:r>
            <w:r w:rsidRPr="00D85B9A">
              <w:rPr>
                <w:rFonts w:cs="Arial"/>
                <w:snapToGrid w:val="0"/>
                <w:lang w:val="es-ES"/>
              </w:rPr>
              <w:t>75</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40</w:t>
            </w:r>
            <w:r>
              <w:rPr>
                <w:rFonts w:cs="Arial"/>
                <w:snapToGrid w:val="0"/>
                <w:lang w:val="es-ES"/>
              </w:rPr>
              <w:t>.</w:t>
            </w:r>
            <w:r w:rsidRPr="00D85B9A">
              <w:rPr>
                <w:rFonts w:cs="Arial"/>
                <w:snapToGrid w:val="0"/>
                <w:lang w:val="es-ES"/>
              </w:rPr>
              <w:t>231</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40</w:t>
            </w:r>
            <w:r>
              <w:rPr>
                <w:rFonts w:cs="Arial"/>
                <w:snapToGrid w:val="0"/>
                <w:lang w:val="es-ES"/>
              </w:rPr>
              <w:t>.</w:t>
            </w:r>
            <w:r w:rsidRPr="00D85B9A">
              <w:rPr>
                <w:rFonts w:cs="Arial"/>
                <w:snapToGrid w:val="0"/>
                <w:lang w:val="es-ES"/>
              </w:rPr>
              <w:t>231</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Nicaragua</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Noruega</w:t>
            </w:r>
          </w:p>
        </w:tc>
        <w:tc>
          <w:tcPr>
            <w:tcW w:w="1032" w:type="dxa"/>
          </w:tcPr>
          <w:p w:rsidR="00273F01" w:rsidRPr="00D85B9A" w:rsidRDefault="00273F01" w:rsidP="00E41A9D">
            <w:pPr>
              <w:ind w:right="113"/>
              <w:jc w:val="right"/>
              <w:rPr>
                <w:rFonts w:cs="Arial"/>
                <w:lang w:val="es-ES"/>
              </w:rPr>
            </w:pPr>
            <w:r w:rsidRPr="00D85B9A">
              <w:rPr>
                <w:rFonts w:cs="Arial"/>
                <w:lang w:val="es-ES"/>
              </w:rPr>
              <w:t>1</w:t>
            </w:r>
            <w:r>
              <w:rPr>
                <w:rFonts w:cs="Arial"/>
                <w:lang w:val="es-ES"/>
              </w:rPr>
              <w:t>,</w:t>
            </w:r>
            <w:r w:rsidRPr="00D85B9A">
              <w:rPr>
                <w:rFonts w:cs="Arial"/>
                <w:lang w:val="es-ES"/>
              </w:rPr>
              <w:t>00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Nueva Zelandia</w:t>
            </w:r>
          </w:p>
        </w:tc>
        <w:tc>
          <w:tcPr>
            <w:tcW w:w="1032" w:type="dxa"/>
          </w:tcPr>
          <w:p w:rsidR="00273F01" w:rsidRPr="00D85B9A" w:rsidRDefault="00273F01" w:rsidP="00E41A9D">
            <w:pPr>
              <w:ind w:right="113"/>
              <w:jc w:val="right"/>
              <w:rPr>
                <w:rFonts w:cs="Arial"/>
                <w:lang w:val="es-ES"/>
              </w:rPr>
            </w:pPr>
            <w:r w:rsidRPr="00D85B9A">
              <w:rPr>
                <w:rFonts w:cs="Arial"/>
                <w:lang w:val="es-ES"/>
              </w:rPr>
              <w:t>1</w:t>
            </w:r>
            <w:r>
              <w:rPr>
                <w:rFonts w:cs="Arial"/>
                <w:lang w:val="es-ES"/>
              </w:rPr>
              <w:t>,</w:t>
            </w:r>
            <w:r w:rsidRPr="00D85B9A">
              <w:rPr>
                <w:rFonts w:cs="Arial"/>
                <w:lang w:val="es-ES"/>
              </w:rPr>
              <w:t>00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Omán</w:t>
            </w:r>
          </w:p>
        </w:tc>
        <w:tc>
          <w:tcPr>
            <w:tcW w:w="1032" w:type="dxa"/>
          </w:tcPr>
          <w:p w:rsidR="00273F01" w:rsidRPr="00D85B9A" w:rsidRDefault="00273F01" w:rsidP="00E41A9D">
            <w:pPr>
              <w:ind w:right="113"/>
              <w:jc w:val="right"/>
              <w:rPr>
                <w:rFonts w:cs="Arial"/>
                <w:lang w:val="es-ES"/>
              </w:rPr>
            </w:pPr>
            <w:r w:rsidRPr="00D85B9A">
              <w:rPr>
                <w:rFonts w:cs="Arial"/>
                <w:lang w:val="es-ES"/>
              </w:rPr>
              <w:t>1</w:t>
            </w:r>
            <w:r>
              <w:rPr>
                <w:rFonts w:cs="Arial"/>
                <w:lang w:val="es-ES"/>
              </w:rPr>
              <w:t>,</w:t>
            </w:r>
            <w:r w:rsidRPr="00D85B9A">
              <w:rPr>
                <w:rFonts w:cs="Arial"/>
                <w:lang w:val="es-ES"/>
              </w:rPr>
              <w:t>00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160</w:t>
            </w:r>
            <w:r>
              <w:rPr>
                <w:rFonts w:cs="Arial"/>
                <w:snapToGrid w:val="0"/>
                <w:lang w:val="es-ES"/>
              </w:rPr>
              <w:t>.</w:t>
            </w:r>
            <w:r w:rsidRPr="00D85B9A">
              <w:rPr>
                <w:rFonts w:cs="Arial"/>
                <w:snapToGrid w:val="0"/>
                <w:lang w:val="es-ES"/>
              </w:rPr>
              <w:t>923</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160</w:t>
            </w:r>
            <w:r>
              <w:rPr>
                <w:rFonts w:cs="Arial"/>
                <w:snapToGrid w:val="0"/>
                <w:lang w:val="es-ES"/>
              </w:rPr>
              <w:t>.</w:t>
            </w:r>
            <w:r w:rsidRPr="00D85B9A">
              <w:rPr>
                <w:rFonts w:cs="Arial"/>
                <w:snapToGrid w:val="0"/>
                <w:lang w:val="es-ES"/>
              </w:rPr>
              <w:t>923</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Países Bajos</w:t>
            </w:r>
          </w:p>
        </w:tc>
        <w:tc>
          <w:tcPr>
            <w:tcW w:w="1032" w:type="dxa"/>
          </w:tcPr>
          <w:p w:rsidR="00273F01" w:rsidRPr="00D85B9A" w:rsidRDefault="00273F01" w:rsidP="00E41A9D">
            <w:pPr>
              <w:ind w:right="113"/>
              <w:jc w:val="right"/>
              <w:rPr>
                <w:rFonts w:cs="Arial"/>
                <w:lang w:val="es-ES"/>
              </w:rPr>
            </w:pPr>
            <w:r w:rsidRPr="00D85B9A">
              <w:rPr>
                <w:rFonts w:cs="Arial"/>
                <w:lang w:val="es-ES"/>
              </w:rPr>
              <w:t>3</w:t>
            </w:r>
            <w:r>
              <w:rPr>
                <w:rFonts w:cs="Arial"/>
                <w:lang w:val="es-ES"/>
              </w:rPr>
              <w:t>,</w:t>
            </w:r>
            <w:r w:rsidRPr="00D85B9A">
              <w:rPr>
                <w:rFonts w:cs="Arial"/>
                <w:lang w:val="es-ES"/>
              </w:rPr>
              <w:t>00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160</w:t>
            </w:r>
            <w:r>
              <w:rPr>
                <w:rFonts w:cs="Arial"/>
                <w:snapToGrid w:val="0"/>
                <w:lang w:val="es-ES"/>
              </w:rPr>
              <w:t>.</w:t>
            </w:r>
            <w:r w:rsidRPr="00D85B9A">
              <w:rPr>
                <w:rFonts w:cs="Arial"/>
                <w:snapToGrid w:val="0"/>
                <w:lang w:val="es-ES"/>
              </w:rPr>
              <w:t>923</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160</w:t>
            </w:r>
            <w:r>
              <w:rPr>
                <w:rFonts w:cs="Arial"/>
                <w:snapToGrid w:val="0"/>
                <w:lang w:val="es-ES"/>
              </w:rPr>
              <w:t>.</w:t>
            </w:r>
            <w:r w:rsidRPr="00D85B9A">
              <w:rPr>
                <w:rFonts w:cs="Arial"/>
                <w:snapToGrid w:val="0"/>
                <w:lang w:val="es-ES"/>
              </w:rPr>
              <w:t>923</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Panamá</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Paraguay</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Perú</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Polonia</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50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ight="-141"/>
              <w:rPr>
                <w:rFonts w:cs="Arial"/>
                <w:snapToGrid w:val="0"/>
                <w:lang w:val="es-ES"/>
              </w:rPr>
            </w:pPr>
            <w:r w:rsidRPr="00D85B9A">
              <w:rPr>
                <w:rFonts w:cs="Arial"/>
                <w:snapToGrid w:val="0"/>
                <w:lang w:val="es-ES"/>
              </w:rPr>
              <w:t>Portugal</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107</w:t>
            </w:r>
            <w:r>
              <w:rPr>
                <w:rFonts w:cs="Arial"/>
                <w:snapToGrid w:val="0"/>
                <w:lang w:val="es-ES"/>
              </w:rPr>
              <w:t>.</w:t>
            </w:r>
            <w:r w:rsidRPr="00D85B9A">
              <w:rPr>
                <w:rFonts w:cs="Arial"/>
                <w:snapToGrid w:val="0"/>
                <w:lang w:val="es-ES"/>
              </w:rPr>
              <w:t>282</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107</w:t>
            </w:r>
            <w:r>
              <w:rPr>
                <w:rFonts w:cs="Arial"/>
                <w:snapToGrid w:val="0"/>
                <w:lang w:val="es-ES"/>
              </w:rPr>
              <w:t>.</w:t>
            </w:r>
            <w:r w:rsidRPr="00D85B9A">
              <w:rPr>
                <w:rFonts w:cs="Arial"/>
                <w:snapToGrid w:val="0"/>
                <w:lang w:val="es-ES"/>
              </w:rPr>
              <w:t>282</w:t>
            </w:r>
          </w:p>
        </w:tc>
        <w:tc>
          <w:tcPr>
            <w:tcW w:w="3177" w:type="dxa"/>
          </w:tcPr>
          <w:p w:rsidR="00273F01" w:rsidRPr="00D85B9A" w:rsidRDefault="00273F01" w:rsidP="00273F01">
            <w:pPr>
              <w:ind w:left="57" w:right="-141"/>
              <w:rPr>
                <w:rFonts w:cs="Arial"/>
                <w:snapToGrid w:val="0"/>
                <w:lang w:val="es-ES"/>
              </w:rPr>
            </w:pPr>
            <w:r w:rsidRPr="00D85B9A">
              <w:rPr>
                <w:rFonts w:cs="Arial"/>
                <w:snapToGrid w:val="0"/>
                <w:lang w:val="es-ES"/>
              </w:rPr>
              <w:t>Reino Unido</w:t>
            </w:r>
          </w:p>
        </w:tc>
        <w:tc>
          <w:tcPr>
            <w:tcW w:w="1032" w:type="dxa"/>
          </w:tcPr>
          <w:p w:rsidR="00273F01" w:rsidRPr="00D85B9A" w:rsidRDefault="00273F01" w:rsidP="00E41A9D">
            <w:pPr>
              <w:ind w:right="113"/>
              <w:jc w:val="right"/>
              <w:rPr>
                <w:rFonts w:cs="Arial"/>
                <w:lang w:val="es-ES"/>
              </w:rPr>
            </w:pPr>
            <w:r w:rsidRPr="00D85B9A">
              <w:rPr>
                <w:rFonts w:cs="Arial"/>
                <w:lang w:val="es-ES"/>
              </w:rPr>
              <w:t>2</w:t>
            </w:r>
            <w:r>
              <w:rPr>
                <w:rFonts w:cs="Arial"/>
                <w:lang w:val="es-ES"/>
              </w:rPr>
              <w:t>,</w:t>
            </w:r>
            <w:r w:rsidRPr="00D85B9A">
              <w:rPr>
                <w:rFonts w:cs="Arial"/>
                <w:lang w:val="es-ES"/>
              </w:rPr>
              <w:t>00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107</w:t>
            </w:r>
            <w:r>
              <w:rPr>
                <w:rFonts w:cs="Arial"/>
                <w:snapToGrid w:val="0"/>
                <w:lang w:val="es-ES"/>
              </w:rPr>
              <w:t>.</w:t>
            </w:r>
            <w:r w:rsidRPr="00D85B9A">
              <w:rPr>
                <w:rFonts w:cs="Arial"/>
                <w:snapToGrid w:val="0"/>
                <w:lang w:val="es-ES"/>
              </w:rPr>
              <w:t>282</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107</w:t>
            </w:r>
            <w:r>
              <w:rPr>
                <w:rFonts w:cs="Arial"/>
                <w:snapToGrid w:val="0"/>
                <w:lang w:val="es-ES"/>
              </w:rPr>
              <w:t>.</w:t>
            </w:r>
            <w:r w:rsidRPr="00D85B9A">
              <w:rPr>
                <w:rFonts w:cs="Arial"/>
                <w:snapToGrid w:val="0"/>
                <w:lang w:val="es-ES"/>
              </w:rPr>
              <w:t>282</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República Checa</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0</w:t>
            </w:r>
            <w:r>
              <w:rPr>
                <w:rFonts w:cs="Arial"/>
                <w:snapToGrid w:val="0"/>
                <w:lang w:val="es-ES"/>
              </w:rPr>
              <w:t>,</w:t>
            </w:r>
            <w:r w:rsidRPr="00D85B9A">
              <w:rPr>
                <w:rFonts w:cs="Arial"/>
                <w:snapToGrid w:val="0"/>
                <w:lang w:val="es-ES"/>
              </w:rPr>
              <w:t>50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80</w:t>
            </w:r>
            <w:r>
              <w:rPr>
                <w:rFonts w:cs="Arial"/>
                <w:snapToGrid w:val="0"/>
                <w:lang w:val="es-ES"/>
              </w:rPr>
              <w:t>.</w:t>
            </w:r>
            <w:r w:rsidRPr="00D85B9A">
              <w:rPr>
                <w:rFonts w:cs="Arial"/>
                <w:snapToGrid w:val="0"/>
                <w:lang w:val="es-ES"/>
              </w:rPr>
              <w:t>462</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80</w:t>
            </w:r>
            <w:r>
              <w:rPr>
                <w:rFonts w:cs="Arial"/>
                <w:snapToGrid w:val="0"/>
                <w:lang w:val="es-ES"/>
              </w:rPr>
              <w:t>.</w:t>
            </w:r>
            <w:r w:rsidRPr="00D85B9A">
              <w:rPr>
                <w:rFonts w:cs="Arial"/>
                <w:snapToGrid w:val="0"/>
                <w:lang w:val="es-ES"/>
              </w:rPr>
              <w:t>462</w:t>
            </w:r>
          </w:p>
        </w:tc>
        <w:tc>
          <w:tcPr>
            <w:tcW w:w="3177" w:type="dxa"/>
          </w:tcPr>
          <w:p w:rsidR="00273F01" w:rsidRPr="00D85B9A" w:rsidRDefault="00273F01" w:rsidP="00273F01">
            <w:pPr>
              <w:ind w:left="57" w:right="-141"/>
              <w:rPr>
                <w:rFonts w:cs="Arial"/>
                <w:snapToGrid w:val="0"/>
                <w:lang w:val="es-ES"/>
              </w:rPr>
            </w:pPr>
            <w:r w:rsidRPr="00D85B9A">
              <w:rPr>
                <w:rFonts w:cs="Arial"/>
                <w:snapToGrid w:val="0"/>
                <w:lang w:val="es-ES"/>
              </w:rPr>
              <w:t>República de Corea</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1</w:t>
            </w:r>
            <w:r>
              <w:rPr>
                <w:rFonts w:cs="Arial"/>
                <w:snapToGrid w:val="0"/>
                <w:lang w:val="es-ES"/>
              </w:rPr>
              <w:t>,</w:t>
            </w:r>
            <w:r w:rsidRPr="00D85B9A">
              <w:rPr>
                <w:rFonts w:cs="Arial"/>
                <w:snapToGrid w:val="0"/>
                <w:lang w:val="es-ES"/>
              </w:rPr>
              <w:t>50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80</w:t>
            </w:r>
            <w:r>
              <w:rPr>
                <w:rFonts w:cs="Arial"/>
                <w:snapToGrid w:val="0"/>
                <w:lang w:val="es-ES"/>
              </w:rPr>
              <w:t>.</w:t>
            </w:r>
            <w:r w:rsidRPr="00D85B9A">
              <w:rPr>
                <w:rFonts w:cs="Arial"/>
                <w:snapToGrid w:val="0"/>
                <w:lang w:val="es-ES"/>
              </w:rPr>
              <w:t>462</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80</w:t>
            </w:r>
            <w:r>
              <w:rPr>
                <w:rFonts w:cs="Arial"/>
                <w:snapToGrid w:val="0"/>
                <w:lang w:val="es-ES"/>
              </w:rPr>
              <w:t>.</w:t>
            </w:r>
            <w:r w:rsidRPr="00D85B9A">
              <w:rPr>
                <w:rFonts w:cs="Arial"/>
                <w:snapToGrid w:val="0"/>
                <w:lang w:val="es-ES"/>
              </w:rPr>
              <w:t>462</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ight="-141"/>
              <w:rPr>
                <w:rFonts w:cs="Arial"/>
                <w:snapToGrid w:val="0"/>
                <w:lang w:val="es-ES"/>
              </w:rPr>
            </w:pPr>
            <w:r w:rsidRPr="00D85B9A">
              <w:rPr>
                <w:rFonts w:cs="Arial"/>
                <w:snapToGrid w:val="0"/>
                <w:lang w:val="es-ES"/>
              </w:rPr>
              <w:t>República de Moldova</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República Dominicana</w:t>
            </w:r>
          </w:p>
        </w:tc>
        <w:tc>
          <w:tcPr>
            <w:tcW w:w="1032" w:type="dxa"/>
          </w:tcPr>
          <w:p w:rsidR="00273F01" w:rsidRPr="00D85B9A" w:rsidRDefault="00273F01" w:rsidP="00E41A9D">
            <w:pPr>
              <w:ind w:right="113"/>
              <w:jc w:val="right"/>
              <w:rPr>
                <w:rFonts w:cs="Arial"/>
                <w:snapToGrid w:val="0"/>
                <w:lang w:val="es-ES"/>
              </w:rPr>
            </w:pPr>
            <w:r w:rsidRPr="00D85B9A">
              <w:rPr>
                <w:rFonts w:cs="Arial"/>
                <w:snapToGrid w:val="0"/>
                <w:lang w:val="es-ES"/>
              </w:rPr>
              <w:t>0</w:t>
            </w:r>
            <w:r>
              <w:rPr>
                <w:rFonts w:cs="Arial"/>
                <w:snapToGrid w:val="0"/>
                <w:lang w:val="es-ES"/>
              </w:rPr>
              <w:t>,</w:t>
            </w:r>
            <w:r w:rsidRPr="00D85B9A">
              <w:rPr>
                <w:rFonts w:cs="Arial"/>
                <w:snapToGrid w:val="0"/>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ight="-141"/>
              <w:rPr>
                <w:rFonts w:cs="Arial"/>
                <w:snapToGrid w:val="0"/>
                <w:lang w:val="es-ES"/>
              </w:rPr>
            </w:pPr>
            <w:r w:rsidRPr="00D85B9A">
              <w:rPr>
                <w:rFonts w:cs="Arial"/>
                <w:snapToGrid w:val="0"/>
                <w:lang w:val="es-ES"/>
              </w:rPr>
              <w:t>Rumania</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0</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0</w:t>
            </w:r>
          </w:p>
        </w:tc>
        <w:tc>
          <w:tcPr>
            <w:tcW w:w="3177" w:type="dxa"/>
          </w:tcPr>
          <w:p w:rsidR="00273F01" w:rsidRPr="00D85B9A" w:rsidRDefault="00273F01" w:rsidP="00273F01">
            <w:pPr>
              <w:ind w:left="57" w:right="-141"/>
              <w:rPr>
                <w:rFonts w:cs="Arial"/>
                <w:snapToGrid w:val="0"/>
                <w:lang w:val="es-ES"/>
              </w:rPr>
            </w:pPr>
            <w:r w:rsidRPr="00D85B9A">
              <w:rPr>
                <w:rFonts w:cs="Arial"/>
                <w:snapToGrid w:val="0"/>
                <w:lang w:val="es-ES"/>
              </w:rPr>
              <w:t>Serbia</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ight="-141"/>
              <w:rPr>
                <w:rFonts w:cs="Arial"/>
                <w:snapToGrid w:val="0"/>
                <w:lang w:val="es-ES"/>
              </w:rPr>
            </w:pPr>
            <w:r w:rsidRPr="00D85B9A">
              <w:rPr>
                <w:rFonts w:cs="Arial"/>
                <w:snapToGrid w:val="0"/>
                <w:lang w:val="es-ES"/>
              </w:rPr>
              <w:t>Singapur</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3177" w:type="dxa"/>
          </w:tcPr>
          <w:p w:rsidR="00273F01" w:rsidRPr="00D85B9A" w:rsidRDefault="00273F01" w:rsidP="00273F01">
            <w:pPr>
              <w:tabs>
                <w:tab w:val="left" w:pos="212"/>
              </w:tabs>
              <w:ind w:left="57" w:right="-141"/>
              <w:rPr>
                <w:rFonts w:cs="Arial"/>
                <w:snapToGrid w:val="0"/>
                <w:lang w:val="es-ES"/>
              </w:rPr>
            </w:pPr>
            <w:r w:rsidRPr="00D85B9A">
              <w:rPr>
                <w:rFonts w:cs="Arial"/>
                <w:snapToGrid w:val="0"/>
                <w:lang w:val="es-ES"/>
              </w:rPr>
              <w:t>Sudáfrica</w:t>
            </w:r>
          </w:p>
        </w:tc>
        <w:tc>
          <w:tcPr>
            <w:tcW w:w="1032" w:type="dxa"/>
          </w:tcPr>
          <w:p w:rsidR="00273F01" w:rsidRPr="00D85B9A" w:rsidRDefault="00273F01" w:rsidP="00E41A9D">
            <w:pPr>
              <w:ind w:right="113"/>
              <w:jc w:val="right"/>
              <w:rPr>
                <w:rFonts w:cs="Arial"/>
                <w:lang w:val="es-ES"/>
              </w:rPr>
            </w:pPr>
            <w:r w:rsidRPr="00D85B9A">
              <w:rPr>
                <w:rFonts w:cs="Arial"/>
                <w:lang w:val="es-ES"/>
              </w:rPr>
              <w:t>1</w:t>
            </w:r>
            <w:r>
              <w:rPr>
                <w:rFonts w:cs="Arial"/>
                <w:lang w:val="es-ES"/>
              </w:rPr>
              <w:t>,</w:t>
            </w:r>
            <w:r w:rsidRPr="00D85B9A">
              <w:rPr>
                <w:rFonts w:cs="Arial"/>
                <w:lang w:val="es-ES"/>
              </w:rPr>
              <w:t>00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53</w:t>
            </w:r>
            <w:r>
              <w:rPr>
                <w:rFonts w:cs="Arial"/>
                <w:snapToGrid w:val="0"/>
                <w:lang w:val="es-ES"/>
              </w:rPr>
              <w:t>.</w:t>
            </w:r>
            <w:r w:rsidRPr="00D85B9A">
              <w:rPr>
                <w:rFonts w:cs="Arial"/>
                <w:snapToGrid w:val="0"/>
                <w:lang w:val="es-ES"/>
              </w:rPr>
              <w:t>641</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80</w:t>
            </w:r>
            <w:r>
              <w:rPr>
                <w:rFonts w:cs="Arial"/>
                <w:snapToGrid w:val="0"/>
                <w:lang w:val="es-ES"/>
              </w:rPr>
              <w:t>.</w:t>
            </w:r>
            <w:r w:rsidRPr="00D85B9A">
              <w:rPr>
                <w:rFonts w:cs="Arial"/>
                <w:snapToGrid w:val="0"/>
                <w:lang w:val="es-ES"/>
              </w:rPr>
              <w:t>462</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80</w:t>
            </w:r>
            <w:r>
              <w:rPr>
                <w:rFonts w:cs="Arial"/>
                <w:snapToGrid w:val="0"/>
                <w:lang w:val="es-ES"/>
              </w:rPr>
              <w:t>.</w:t>
            </w:r>
            <w:r w:rsidRPr="00D85B9A">
              <w:rPr>
                <w:rFonts w:cs="Arial"/>
                <w:snapToGrid w:val="0"/>
                <w:lang w:val="es-ES"/>
              </w:rPr>
              <w:t>462</w:t>
            </w:r>
          </w:p>
        </w:tc>
        <w:tc>
          <w:tcPr>
            <w:tcW w:w="3177" w:type="dxa"/>
          </w:tcPr>
          <w:p w:rsidR="00273F01" w:rsidRPr="00D85B9A" w:rsidRDefault="00273F01" w:rsidP="00273F01">
            <w:pPr>
              <w:ind w:left="57" w:right="-141"/>
              <w:rPr>
                <w:rFonts w:cs="Arial"/>
                <w:snapToGrid w:val="0"/>
                <w:lang w:val="es-ES"/>
              </w:rPr>
            </w:pPr>
            <w:r w:rsidRPr="00D85B9A">
              <w:rPr>
                <w:rFonts w:cs="Arial"/>
                <w:snapToGrid w:val="0"/>
                <w:lang w:val="es-ES"/>
              </w:rPr>
              <w:t>Suecia</w:t>
            </w:r>
          </w:p>
        </w:tc>
        <w:tc>
          <w:tcPr>
            <w:tcW w:w="1032" w:type="dxa"/>
          </w:tcPr>
          <w:p w:rsidR="00273F01" w:rsidRPr="00D85B9A" w:rsidRDefault="00273F01" w:rsidP="00E41A9D">
            <w:pPr>
              <w:ind w:right="113"/>
              <w:jc w:val="right"/>
              <w:rPr>
                <w:rFonts w:cs="Arial"/>
                <w:lang w:val="es-ES"/>
              </w:rPr>
            </w:pPr>
            <w:r w:rsidRPr="00D85B9A">
              <w:rPr>
                <w:rFonts w:cs="Arial"/>
                <w:lang w:val="es-ES"/>
              </w:rPr>
              <w:t>1</w:t>
            </w:r>
            <w:r>
              <w:rPr>
                <w:rFonts w:cs="Arial"/>
                <w:lang w:val="es-ES"/>
              </w:rPr>
              <w:t>,</w:t>
            </w:r>
            <w:r w:rsidRPr="00D85B9A">
              <w:rPr>
                <w:rFonts w:cs="Arial"/>
                <w:lang w:val="es-ES"/>
              </w:rPr>
              <w:t>50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80</w:t>
            </w:r>
            <w:r>
              <w:rPr>
                <w:rFonts w:cs="Arial"/>
                <w:snapToGrid w:val="0"/>
                <w:lang w:val="es-ES"/>
              </w:rPr>
              <w:t>.</w:t>
            </w:r>
            <w:r w:rsidRPr="00D85B9A">
              <w:rPr>
                <w:rFonts w:cs="Arial"/>
                <w:snapToGrid w:val="0"/>
                <w:lang w:val="es-ES"/>
              </w:rPr>
              <w:t>462</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80</w:t>
            </w:r>
            <w:r>
              <w:rPr>
                <w:rFonts w:cs="Arial"/>
                <w:snapToGrid w:val="0"/>
                <w:lang w:val="es-ES"/>
              </w:rPr>
              <w:t>.</w:t>
            </w:r>
            <w:r w:rsidRPr="00D85B9A">
              <w:rPr>
                <w:rFonts w:cs="Arial"/>
                <w:snapToGrid w:val="0"/>
                <w:lang w:val="es-ES"/>
              </w:rPr>
              <w:t>462</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80</w:t>
            </w:r>
            <w:r>
              <w:rPr>
                <w:rFonts w:cs="Arial"/>
                <w:snapToGrid w:val="0"/>
                <w:lang w:val="es-ES"/>
              </w:rPr>
              <w:t>.</w:t>
            </w:r>
            <w:r w:rsidRPr="00D85B9A">
              <w:rPr>
                <w:rFonts w:cs="Arial"/>
                <w:snapToGrid w:val="0"/>
                <w:lang w:val="es-ES"/>
              </w:rPr>
              <w:t>462</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80</w:t>
            </w:r>
            <w:r>
              <w:rPr>
                <w:rFonts w:cs="Arial"/>
                <w:snapToGrid w:val="0"/>
                <w:lang w:val="es-ES"/>
              </w:rPr>
              <w:t>.</w:t>
            </w:r>
            <w:r w:rsidRPr="00D85B9A">
              <w:rPr>
                <w:rFonts w:cs="Arial"/>
                <w:snapToGrid w:val="0"/>
                <w:lang w:val="es-ES"/>
              </w:rPr>
              <w:t>462</w:t>
            </w:r>
          </w:p>
        </w:tc>
        <w:tc>
          <w:tcPr>
            <w:tcW w:w="3177" w:type="dxa"/>
          </w:tcPr>
          <w:p w:rsidR="00273F01" w:rsidRPr="00D85B9A" w:rsidRDefault="00273F01" w:rsidP="00273F01">
            <w:pPr>
              <w:ind w:left="57" w:right="-141"/>
              <w:rPr>
                <w:rFonts w:cs="Arial"/>
                <w:snapToGrid w:val="0"/>
                <w:lang w:val="es-ES"/>
              </w:rPr>
            </w:pPr>
            <w:r w:rsidRPr="00D85B9A">
              <w:rPr>
                <w:rFonts w:cs="Arial"/>
                <w:snapToGrid w:val="0"/>
                <w:lang w:val="es-ES"/>
              </w:rPr>
              <w:t>Suiza</w:t>
            </w:r>
          </w:p>
        </w:tc>
        <w:tc>
          <w:tcPr>
            <w:tcW w:w="1032" w:type="dxa"/>
          </w:tcPr>
          <w:p w:rsidR="00273F01" w:rsidRPr="00D85B9A" w:rsidRDefault="00273F01" w:rsidP="00E41A9D">
            <w:pPr>
              <w:ind w:right="113"/>
              <w:jc w:val="right"/>
              <w:rPr>
                <w:rFonts w:cs="Arial"/>
                <w:lang w:val="es-ES"/>
              </w:rPr>
            </w:pPr>
            <w:r w:rsidRPr="00D85B9A">
              <w:rPr>
                <w:rFonts w:cs="Arial"/>
                <w:lang w:val="es-ES"/>
              </w:rPr>
              <w:t>1</w:t>
            </w:r>
            <w:r>
              <w:rPr>
                <w:rFonts w:cs="Arial"/>
                <w:lang w:val="es-ES"/>
              </w:rPr>
              <w:t>,</w:t>
            </w:r>
            <w:r w:rsidRPr="00D85B9A">
              <w:rPr>
                <w:rFonts w:cs="Arial"/>
                <w:lang w:val="es-ES"/>
              </w:rPr>
              <w:t>50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80</w:t>
            </w:r>
            <w:r>
              <w:rPr>
                <w:rFonts w:cs="Arial"/>
                <w:snapToGrid w:val="0"/>
                <w:lang w:val="es-ES"/>
              </w:rPr>
              <w:t>.</w:t>
            </w:r>
            <w:r w:rsidRPr="00D85B9A">
              <w:rPr>
                <w:rFonts w:cs="Arial"/>
                <w:snapToGrid w:val="0"/>
                <w:lang w:val="es-ES"/>
              </w:rPr>
              <w:t>462</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80</w:t>
            </w:r>
            <w:r>
              <w:rPr>
                <w:rFonts w:cs="Arial"/>
                <w:snapToGrid w:val="0"/>
                <w:lang w:val="es-ES"/>
              </w:rPr>
              <w:t>.</w:t>
            </w:r>
            <w:r w:rsidRPr="00D85B9A">
              <w:rPr>
                <w:rFonts w:cs="Arial"/>
                <w:snapToGrid w:val="0"/>
                <w:lang w:val="es-ES"/>
              </w:rPr>
              <w:t>462</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ight="-141"/>
              <w:rPr>
                <w:rFonts w:cs="Arial"/>
                <w:snapToGrid w:val="0"/>
                <w:lang w:val="es-ES"/>
              </w:rPr>
            </w:pPr>
            <w:r w:rsidRPr="00D85B9A">
              <w:rPr>
                <w:rFonts w:cs="Arial"/>
                <w:snapToGrid w:val="0"/>
                <w:lang w:val="es-ES"/>
              </w:rPr>
              <w:t>Trinidad y Tabago</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ight="-141"/>
              <w:rPr>
                <w:rFonts w:cs="Arial"/>
                <w:snapToGrid w:val="0"/>
                <w:lang w:val="es-ES"/>
              </w:rPr>
            </w:pPr>
            <w:r w:rsidRPr="00D85B9A">
              <w:rPr>
                <w:rFonts w:cs="Arial"/>
                <w:snapToGrid w:val="0"/>
                <w:lang w:val="es-ES"/>
              </w:rPr>
              <w:t>Túnez</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3177" w:type="dxa"/>
          </w:tcPr>
          <w:p w:rsidR="00273F01" w:rsidRPr="00D85B9A" w:rsidRDefault="00273F01" w:rsidP="00273F01">
            <w:pPr>
              <w:ind w:left="57" w:right="-141"/>
              <w:rPr>
                <w:rFonts w:cs="Arial"/>
                <w:snapToGrid w:val="0"/>
                <w:lang w:val="es-ES"/>
              </w:rPr>
            </w:pPr>
            <w:r w:rsidRPr="00D85B9A">
              <w:rPr>
                <w:rFonts w:cs="Arial"/>
                <w:snapToGrid w:val="0"/>
                <w:lang w:val="es-ES"/>
              </w:rPr>
              <w:t>Turquía</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50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26</w:t>
            </w:r>
            <w:r>
              <w:rPr>
                <w:rFonts w:cs="Arial"/>
                <w:snapToGrid w:val="0"/>
                <w:lang w:val="es-ES"/>
              </w:rPr>
              <w:t>.</w:t>
            </w:r>
            <w:r w:rsidRPr="00D85B9A">
              <w:rPr>
                <w:rFonts w:cs="Arial"/>
                <w:snapToGrid w:val="0"/>
                <w:lang w:val="es-ES"/>
              </w:rPr>
              <w:t>820</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ight="-141"/>
              <w:rPr>
                <w:rFonts w:cs="Arial"/>
                <w:snapToGrid w:val="0"/>
                <w:lang w:val="es-ES"/>
              </w:rPr>
            </w:pPr>
            <w:r w:rsidRPr="00D85B9A">
              <w:rPr>
                <w:rFonts w:cs="Arial"/>
                <w:snapToGrid w:val="0"/>
                <w:lang w:val="es-ES"/>
              </w:rPr>
              <w:t>Ucrania</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268</w:t>
            </w:r>
            <w:r>
              <w:rPr>
                <w:rFonts w:cs="Arial"/>
                <w:snapToGrid w:val="0"/>
                <w:lang w:val="es-ES"/>
              </w:rPr>
              <w:t>.</w:t>
            </w:r>
            <w:r w:rsidRPr="00D85B9A">
              <w:rPr>
                <w:rFonts w:cs="Arial"/>
                <w:snapToGrid w:val="0"/>
                <w:lang w:val="es-ES"/>
              </w:rPr>
              <w:t>205</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268</w:t>
            </w:r>
            <w:r>
              <w:rPr>
                <w:rFonts w:cs="Arial"/>
                <w:snapToGrid w:val="0"/>
                <w:lang w:val="es-ES"/>
              </w:rPr>
              <w:t>.</w:t>
            </w:r>
            <w:r w:rsidRPr="00D85B9A">
              <w:rPr>
                <w:rFonts w:cs="Arial"/>
                <w:snapToGrid w:val="0"/>
                <w:lang w:val="es-ES"/>
              </w:rPr>
              <w:t>205</w:t>
            </w:r>
          </w:p>
        </w:tc>
        <w:tc>
          <w:tcPr>
            <w:tcW w:w="3177" w:type="dxa"/>
          </w:tcPr>
          <w:p w:rsidR="00273F01" w:rsidRPr="00D85B9A" w:rsidRDefault="00273F01" w:rsidP="00273F01">
            <w:pPr>
              <w:ind w:left="57"/>
              <w:rPr>
                <w:rFonts w:cs="Arial"/>
                <w:snapToGrid w:val="0"/>
                <w:lang w:val="es-ES"/>
              </w:rPr>
            </w:pPr>
            <w:r w:rsidRPr="00D85B9A">
              <w:rPr>
                <w:rFonts w:cs="Arial"/>
                <w:snapToGrid w:val="0"/>
                <w:lang w:val="es-ES"/>
              </w:rPr>
              <w:t>Unión Europea</w:t>
            </w:r>
          </w:p>
        </w:tc>
        <w:tc>
          <w:tcPr>
            <w:tcW w:w="1032" w:type="dxa"/>
          </w:tcPr>
          <w:p w:rsidR="00273F01" w:rsidRPr="00D85B9A" w:rsidRDefault="00273F01" w:rsidP="00E41A9D">
            <w:pPr>
              <w:ind w:right="113"/>
              <w:jc w:val="right"/>
              <w:rPr>
                <w:rFonts w:cs="Arial"/>
                <w:snapToGrid w:val="0"/>
                <w:lang w:val="es-ES"/>
              </w:rPr>
            </w:pPr>
            <w:r w:rsidRPr="00D85B9A">
              <w:rPr>
                <w:rFonts w:cs="Arial"/>
                <w:lang w:val="es-ES"/>
              </w:rPr>
              <w:t>5</w:t>
            </w:r>
            <w:r>
              <w:rPr>
                <w:rFonts w:cs="Arial"/>
                <w:lang w:val="es-ES"/>
              </w:rPr>
              <w:t>,</w:t>
            </w:r>
            <w:r w:rsidRPr="00D85B9A">
              <w:rPr>
                <w:rFonts w:cs="Arial"/>
                <w:lang w:val="es-ES"/>
              </w:rPr>
              <w:t>00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268</w:t>
            </w:r>
            <w:r>
              <w:rPr>
                <w:rFonts w:cs="Arial"/>
                <w:snapToGrid w:val="0"/>
                <w:lang w:val="es-ES"/>
              </w:rPr>
              <w:t>.</w:t>
            </w:r>
            <w:r w:rsidRPr="00D85B9A">
              <w:rPr>
                <w:rFonts w:cs="Arial"/>
                <w:snapToGrid w:val="0"/>
                <w:lang w:val="es-ES"/>
              </w:rPr>
              <w:t>205</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268</w:t>
            </w:r>
            <w:r>
              <w:rPr>
                <w:rFonts w:cs="Arial"/>
                <w:snapToGrid w:val="0"/>
                <w:lang w:val="es-ES"/>
              </w:rPr>
              <w:t>.</w:t>
            </w:r>
            <w:r w:rsidRPr="00D85B9A">
              <w:rPr>
                <w:rFonts w:cs="Arial"/>
                <w:snapToGrid w:val="0"/>
                <w:lang w:val="es-ES"/>
              </w:rPr>
              <w:t>205</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ight="-141"/>
              <w:rPr>
                <w:rFonts w:cs="Arial"/>
                <w:snapToGrid w:val="0"/>
                <w:lang w:val="es-ES"/>
              </w:rPr>
            </w:pPr>
            <w:r w:rsidRPr="00D85B9A">
              <w:rPr>
                <w:rFonts w:cs="Arial"/>
                <w:snapToGrid w:val="0"/>
                <w:lang w:val="es-ES"/>
              </w:rPr>
              <w:t>Uruguay</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ight="-141"/>
              <w:rPr>
                <w:rFonts w:cs="Arial"/>
                <w:snapToGrid w:val="0"/>
                <w:lang w:val="es-ES"/>
              </w:rPr>
            </w:pPr>
            <w:r w:rsidRPr="00D85B9A">
              <w:rPr>
                <w:rFonts w:cs="Arial"/>
                <w:snapToGrid w:val="0"/>
                <w:lang w:val="es-ES"/>
              </w:rPr>
              <w:t>Uzbekistán</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jc w:val="center"/>
        </w:trPr>
        <w:tc>
          <w:tcPr>
            <w:tcW w:w="1218"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134" w:type="dxa"/>
          </w:tcPr>
          <w:p w:rsidR="00273F01" w:rsidRPr="00D85B9A" w:rsidRDefault="00273F01" w:rsidP="00273F01">
            <w:pPr>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3177" w:type="dxa"/>
          </w:tcPr>
          <w:p w:rsidR="00273F01" w:rsidRPr="00D85B9A" w:rsidRDefault="00273F01" w:rsidP="00273F01">
            <w:pPr>
              <w:ind w:left="57" w:right="-141"/>
              <w:rPr>
                <w:rFonts w:cs="Arial"/>
                <w:snapToGrid w:val="0"/>
                <w:lang w:val="es-ES"/>
              </w:rPr>
            </w:pPr>
            <w:r w:rsidRPr="00D85B9A">
              <w:rPr>
                <w:rFonts w:cs="Arial"/>
                <w:snapToGrid w:val="0"/>
                <w:lang w:val="es-ES"/>
              </w:rPr>
              <w:t>Viet Nam</w:t>
            </w:r>
          </w:p>
        </w:tc>
        <w:tc>
          <w:tcPr>
            <w:tcW w:w="1032" w:type="dxa"/>
          </w:tcPr>
          <w:p w:rsidR="00273F01" w:rsidRPr="00D85B9A" w:rsidRDefault="00273F01" w:rsidP="00E41A9D">
            <w:pPr>
              <w:ind w:right="113"/>
              <w:jc w:val="right"/>
              <w:rPr>
                <w:rFonts w:cs="Arial"/>
                <w:lang w:val="es-ES"/>
              </w:rPr>
            </w:pPr>
            <w:r w:rsidRPr="00D85B9A">
              <w:rPr>
                <w:rFonts w:cs="Arial"/>
                <w:lang w:val="es-ES"/>
              </w:rPr>
              <w:t>0</w:t>
            </w:r>
            <w:r>
              <w:rPr>
                <w:rFonts w:cs="Arial"/>
                <w:lang w:val="es-ES"/>
              </w:rPr>
              <w:t>,</w:t>
            </w:r>
            <w:r w:rsidRPr="00D85B9A">
              <w:rPr>
                <w:rFonts w:cs="Arial"/>
                <w:lang w:val="es-ES"/>
              </w:rPr>
              <w:t>20</w:t>
            </w:r>
          </w:p>
        </w:tc>
        <w:tc>
          <w:tcPr>
            <w:tcW w:w="1560"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c>
          <w:tcPr>
            <w:tcW w:w="1559" w:type="dxa"/>
          </w:tcPr>
          <w:p w:rsidR="00273F01" w:rsidRPr="00D85B9A" w:rsidRDefault="00273F01" w:rsidP="00273F01">
            <w:pPr>
              <w:ind w:right="113"/>
              <w:jc w:val="right"/>
              <w:rPr>
                <w:rFonts w:cs="Arial"/>
                <w:snapToGrid w:val="0"/>
                <w:lang w:val="es-ES"/>
              </w:rPr>
            </w:pPr>
            <w:r w:rsidRPr="00D85B9A">
              <w:rPr>
                <w:rFonts w:cs="Arial"/>
                <w:snapToGrid w:val="0"/>
                <w:lang w:val="es-ES"/>
              </w:rPr>
              <w:t>10</w:t>
            </w:r>
            <w:r>
              <w:rPr>
                <w:rFonts w:cs="Arial"/>
                <w:snapToGrid w:val="0"/>
                <w:lang w:val="es-ES"/>
              </w:rPr>
              <w:t>.</w:t>
            </w:r>
            <w:r w:rsidRPr="00D85B9A">
              <w:rPr>
                <w:rFonts w:cs="Arial"/>
                <w:snapToGrid w:val="0"/>
                <w:lang w:val="es-ES"/>
              </w:rPr>
              <w:t>728</w:t>
            </w:r>
          </w:p>
        </w:tc>
      </w:tr>
      <w:tr w:rsidR="00273F01" w:rsidRPr="00D85B9A" w:rsidTr="00273F01">
        <w:tblPrEx>
          <w:tblCellMar>
            <w:left w:w="85" w:type="dxa"/>
            <w:right w:w="85" w:type="dxa"/>
          </w:tblCellMar>
        </w:tblPrEx>
        <w:trPr>
          <w:cantSplit/>
          <w:trHeight w:val="312"/>
          <w:tblHeader/>
          <w:jc w:val="center"/>
        </w:trPr>
        <w:tc>
          <w:tcPr>
            <w:tcW w:w="1218" w:type="dxa"/>
            <w:tcBorders>
              <w:bottom w:val="single" w:sz="8" w:space="0" w:color="auto"/>
            </w:tcBorders>
          </w:tcPr>
          <w:p w:rsidR="00273F01" w:rsidRPr="00D85B9A" w:rsidRDefault="00273F01" w:rsidP="00273F01">
            <w:pPr>
              <w:jc w:val="right"/>
              <w:rPr>
                <w:rFonts w:cs="Arial"/>
                <w:snapToGrid w:val="0"/>
                <w:lang w:val="es-ES"/>
              </w:rPr>
            </w:pPr>
          </w:p>
        </w:tc>
        <w:tc>
          <w:tcPr>
            <w:tcW w:w="1134" w:type="dxa"/>
            <w:tcBorders>
              <w:bottom w:val="single" w:sz="8" w:space="0" w:color="auto"/>
            </w:tcBorders>
          </w:tcPr>
          <w:p w:rsidR="00273F01" w:rsidRPr="00D85B9A" w:rsidRDefault="00273F01" w:rsidP="00273F01">
            <w:pPr>
              <w:jc w:val="right"/>
              <w:rPr>
                <w:rFonts w:cs="Arial"/>
                <w:snapToGrid w:val="0"/>
                <w:lang w:val="es-ES"/>
              </w:rPr>
            </w:pPr>
          </w:p>
        </w:tc>
        <w:tc>
          <w:tcPr>
            <w:tcW w:w="3177" w:type="dxa"/>
            <w:tcBorders>
              <w:bottom w:val="single" w:sz="8" w:space="0" w:color="auto"/>
            </w:tcBorders>
          </w:tcPr>
          <w:p w:rsidR="00273F01" w:rsidRPr="00D85B9A" w:rsidRDefault="00273F01" w:rsidP="00273F01">
            <w:pPr>
              <w:ind w:left="138"/>
              <w:rPr>
                <w:rFonts w:cs="Arial"/>
                <w:snapToGrid w:val="0"/>
                <w:lang w:val="es-ES"/>
              </w:rPr>
            </w:pPr>
          </w:p>
        </w:tc>
        <w:tc>
          <w:tcPr>
            <w:tcW w:w="1032" w:type="dxa"/>
            <w:tcBorders>
              <w:bottom w:val="single" w:sz="8" w:space="0" w:color="auto"/>
            </w:tcBorders>
          </w:tcPr>
          <w:p w:rsidR="00273F01" w:rsidRPr="00D85B9A" w:rsidRDefault="00273F01" w:rsidP="00E41A9D">
            <w:pPr>
              <w:ind w:right="113"/>
              <w:jc w:val="right"/>
              <w:rPr>
                <w:rFonts w:cs="Arial"/>
                <w:snapToGrid w:val="0"/>
                <w:lang w:val="es-ES"/>
              </w:rPr>
            </w:pPr>
          </w:p>
        </w:tc>
        <w:tc>
          <w:tcPr>
            <w:tcW w:w="1560" w:type="dxa"/>
            <w:tcBorders>
              <w:bottom w:val="single" w:sz="8" w:space="0" w:color="auto"/>
            </w:tcBorders>
          </w:tcPr>
          <w:p w:rsidR="00273F01" w:rsidRPr="00D85B9A" w:rsidRDefault="00273F01" w:rsidP="00273F01">
            <w:pPr>
              <w:ind w:right="113"/>
              <w:jc w:val="right"/>
              <w:rPr>
                <w:rFonts w:cs="Arial"/>
                <w:snapToGrid w:val="0"/>
                <w:lang w:val="es-ES"/>
              </w:rPr>
            </w:pPr>
          </w:p>
        </w:tc>
        <w:tc>
          <w:tcPr>
            <w:tcW w:w="1559" w:type="dxa"/>
            <w:tcBorders>
              <w:bottom w:val="single" w:sz="8" w:space="0" w:color="auto"/>
            </w:tcBorders>
          </w:tcPr>
          <w:p w:rsidR="00273F01" w:rsidRPr="00D85B9A" w:rsidRDefault="00273F01" w:rsidP="00273F01">
            <w:pPr>
              <w:ind w:right="113"/>
              <w:jc w:val="right"/>
              <w:rPr>
                <w:rFonts w:cs="Arial"/>
                <w:snapToGrid w:val="0"/>
                <w:lang w:val="es-ES"/>
              </w:rPr>
            </w:pPr>
          </w:p>
        </w:tc>
      </w:tr>
      <w:tr w:rsidR="00273F01" w:rsidRPr="00D85B9A" w:rsidTr="00273F01">
        <w:tblPrEx>
          <w:tblCellMar>
            <w:left w:w="85" w:type="dxa"/>
            <w:right w:w="85" w:type="dxa"/>
          </w:tblCellMar>
        </w:tblPrEx>
        <w:trPr>
          <w:cantSplit/>
          <w:trHeight w:val="312"/>
          <w:jc w:val="center"/>
        </w:trPr>
        <w:tc>
          <w:tcPr>
            <w:tcW w:w="1218" w:type="dxa"/>
            <w:tcBorders>
              <w:top w:val="single" w:sz="8" w:space="0" w:color="auto"/>
              <w:bottom w:val="single" w:sz="8" w:space="0" w:color="auto"/>
            </w:tcBorders>
          </w:tcPr>
          <w:p w:rsidR="00273F01" w:rsidRPr="00D85B9A" w:rsidRDefault="00273F01" w:rsidP="00273F01">
            <w:pPr>
              <w:spacing w:before="40"/>
              <w:ind w:left="-98" w:right="-113"/>
              <w:jc w:val="center"/>
              <w:rPr>
                <w:rFonts w:cs="Arial"/>
                <w:b/>
                <w:snapToGrid w:val="0"/>
                <w:lang w:val="es-ES"/>
              </w:rPr>
            </w:pPr>
            <w:r w:rsidRPr="00D85B9A">
              <w:rPr>
                <w:rFonts w:cs="Arial"/>
                <w:b/>
                <w:snapToGrid w:val="0"/>
                <w:lang w:val="es-ES"/>
              </w:rPr>
              <w:t>3</w:t>
            </w:r>
            <w:r>
              <w:rPr>
                <w:rFonts w:cs="Arial"/>
                <w:b/>
                <w:snapToGrid w:val="0"/>
                <w:lang w:val="es-ES"/>
              </w:rPr>
              <w:t>.</w:t>
            </w:r>
            <w:r w:rsidRPr="00D85B9A">
              <w:rPr>
                <w:rFonts w:cs="Arial"/>
                <w:b/>
                <w:snapToGrid w:val="0"/>
                <w:lang w:val="es-ES"/>
              </w:rPr>
              <w:t>323</w:t>
            </w:r>
            <w:r>
              <w:rPr>
                <w:rFonts w:cs="Arial"/>
                <w:b/>
                <w:snapToGrid w:val="0"/>
                <w:lang w:val="es-ES"/>
              </w:rPr>
              <w:t>.</w:t>
            </w:r>
            <w:r w:rsidRPr="00D85B9A">
              <w:rPr>
                <w:rFonts w:cs="Arial"/>
                <w:b/>
                <w:snapToGrid w:val="0"/>
                <w:lang w:val="es-ES"/>
              </w:rPr>
              <w:t>050</w:t>
            </w:r>
          </w:p>
        </w:tc>
        <w:tc>
          <w:tcPr>
            <w:tcW w:w="1134" w:type="dxa"/>
            <w:tcBorders>
              <w:top w:val="single" w:sz="8" w:space="0" w:color="auto"/>
              <w:bottom w:val="single" w:sz="8" w:space="0" w:color="auto"/>
            </w:tcBorders>
          </w:tcPr>
          <w:p w:rsidR="00273F01" w:rsidRPr="00D85B9A" w:rsidRDefault="00273F01" w:rsidP="00273F01">
            <w:pPr>
              <w:spacing w:before="40"/>
              <w:ind w:hanging="1"/>
              <w:jc w:val="center"/>
              <w:rPr>
                <w:rFonts w:cs="Arial"/>
                <w:b/>
                <w:snapToGrid w:val="0"/>
                <w:lang w:val="es-ES"/>
              </w:rPr>
            </w:pPr>
            <w:r w:rsidRPr="00D85B9A">
              <w:rPr>
                <w:rFonts w:cs="Arial"/>
                <w:b/>
                <w:snapToGrid w:val="0"/>
                <w:lang w:val="es-ES"/>
              </w:rPr>
              <w:t>3</w:t>
            </w:r>
            <w:r>
              <w:rPr>
                <w:rFonts w:cs="Arial"/>
                <w:b/>
                <w:snapToGrid w:val="0"/>
                <w:lang w:val="es-ES"/>
              </w:rPr>
              <w:t>.</w:t>
            </w:r>
            <w:r w:rsidRPr="00D85B9A">
              <w:rPr>
                <w:rFonts w:cs="Arial"/>
                <w:b/>
                <w:snapToGrid w:val="0"/>
                <w:lang w:val="es-ES"/>
              </w:rPr>
              <w:t>323</w:t>
            </w:r>
            <w:r>
              <w:rPr>
                <w:rFonts w:cs="Arial"/>
                <w:b/>
                <w:snapToGrid w:val="0"/>
                <w:lang w:val="es-ES"/>
              </w:rPr>
              <w:t>.</w:t>
            </w:r>
            <w:r w:rsidRPr="00D85B9A">
              <w:rPr>
                <w:rFonts w:cs="Arial"/>
                <w:b/>
                <w:snapToGrid w:val="0"/>
                <w:lang w:val="es-ES"/>
              </w:rPr>
              <w:t>050</w:t>
            </w:r>
          </w:p>
        </w:tc>
        <w:tc>
          <w:tcPr>
            <w:tcW w:w="3177" w:type="dxa"/>
            <w:tcBorders>
              <w:top w:val="single" w:sz="8" w:space="0" w:color="auto"/>
              <w:bottom w:val="single" w:sz="8" w:space="0" w:color="auto"/>
            </w:tcBorders>
          </w:tcPr>
          <w:p w:rsidR="00273F01" w:rsidRPr="00D85B9A" w:rsidRDefault="00273F01" w:rsidP="00273F01">
            <w:pPr>
              <w:spacing w:before="40"/>
              <w:ind w:left="57"/>
              <w:rPr>
                <w:rFonts w:cs="Arial"/>
                <w:b/>
                <w:snapToGrid w:val="0"/>
                <w:vertAlign w:val="superscript"/>
                <w:lang w:val="es-ES"/>
              </w:rPr>
            </w:pPr>
          </w:p>
        </w:tc>
        <w:tc>
          <w:tcPr>
            <w:tcW w:w="1032" w:type="dxa"/>
            <w:tcBorders>
              <w:top w:val="single" w:sz="8" w:space="0" w:color="auto"/>
              <w:bottom w:val="single" w:sz="8" w:space="0" w:color="auto"/>
            </w:tcBorders>
          </w:tcPr>
          <w:p w:rsidR="00273F01" w:rsidRPr="00D85B9A" w:rsidRDefault="00273F01" w:rsidP="00E41A9D">
            <w:pPr>
              <w:spacing w:before="40"/>
              <w:ind w:right="113"/>
              <w:jc w:val="right"/>
              <w:rPr>
                <w:rFonts w:cs="Arial"/>
                <w:b/>
                <w:snapToGrid w:val="0"/>
                <w:lang w:val="es-ES"/>
              </w:rPr>
            </w:pPr>
            <w:r w:rsidRPr="00D85B9A">
              <w:rPr>
                <w:rFonts w:cs="Arial"/>
                <w:b/>
                <w:snapToGrid w:val="0"/>
                <w:lang w:val="es-ES"/>
              </w:rPr>
              <w:t>62</w:t>
            </w:r>
            <w:r>
              <w:rPr>
                <w:rFonts w:cs="Arial"/>
                <w:b/>
                <w:snapToGrid w:val="0"/>
                <w:lang w:val="es-ES"/>
              </w:rPr>
              <w:t>,</w:t>
            </w:r>
            <w:r w:rsidRPr="00D85B9A">
              <w:rPr>
                <w:rFonts w:cs="Arial"/>
                <w:b/>
                <w:snapToGrid w:val="0"/>
                <w:lang w:val="es-ES"/>
              </w:rPr>
              <w:t>15</w:t>
            </w:r>
          </w:p>
        </w:tc>
        <w:tc>
          <w:tcPr>
            <w:tcW w:w="1560" w:type="dxa"/>
            <w:tcBorders>
              <w:top w:val="single" w:sz="8" w:space="0" w:color="auto"/>
              <w:bottom w:val="single" w:sz="8" w:space="0" w:color="auto"/>
            </w:tcBorders>
          </w:tcPr>
          <w:p w:rsidR="00273F01" w:rsidRPr="00D85B9A" w:rsidRDefault="00273F01" w:rsidP="00273F01">
            <w:pPr>
              <w:spacing w:before="40"/>
              <w:ind w:right="113"/>
              <w:jc w:val="right"/>
              <w:rPr>
                <w:rFonts w:cs="Arial"/>
                <w:b/>
                <w:snapToGrid w:val="0"/>
                <w:lang w:val="es-ES"/>
              </w:rPr>
            </w:pPr>
            <w:bookmarkStart w:id="51" w:name="OLE_LINK1"/>
            <w:bookmarkStart w:id="52" w:name="OLE_LINK2"/>
            <w:r w:rsidRPr="00D85B9A">
              <w:rPr>
                <w:rFonts w:cs="Arial"/>
                <w:b/>
                <w:snapToGrid w:val="0"/>
                <w:lang w:val="es-ES"/>
              </w:rPr>
              <w:t>3</w:t>
            </w:r>
            <w:r>
              <w:rPr>
                <w:rFonts w:cs="Arial"/>
                <w:b/>
                <w:snapToGrid w:val="0"/>
                <w:lang w:val="es-ES"/>
              </w:rPr>
              <w:t>.</w:t>
            </w:r>
            <w:r w:rsidRPr="00D85B9A">
              <w:rPr>
                <w:rFonts w:cs="Arial"/>
                <w:b/>
                <w:snapToGrid w:val="0"/>
                <w:lang w:val="es-ES"/>
              </w:rPr>
              <w:t>333</w:t>
            </w:r>
            <w:r>
              <w:rPr>
                <w:rFonts w:cs="Arial"/>
                <w:b/>
                <w:snapToGrid w:val="0"/>
                <w:lang w:val="es-ES"/>
              </w:rPr>
              <w:t>.</w:t>
            </w:r>
            <w:r w:rsidRPr="00D85B9A">
              <w:rPr>
                <w:rFonts w:cs="Arial"/>
                <w:b/>
                <w:snapToGrid w:val="0"/>
                <w:lang w:val="es-ES"/>
              </w:rPr>
              <w:t>778</w:t>
            </w:r>
            <w:bookmarkEnd w:id="51"/>
            <w:bookmarkEnd w:id="52"/>
          </w:p>
        </w:tc>
        <w:tc>
          <w:tcPr>
            <w:tcW w:w="1559" w:type="dxa"/>
            <w:tcBorders>
              <w:top w:val="single" w:sz="8" w:space="0" w:color="auto"/>
              <w:bottom w:val="single" w:sz="8" w:space="0" w:color="auto"/>
            </w:tcBorders>
          </w:tcPr>
          <w:p w:rsidR="00273F01" w:rsidRPr="00D85B9A" w:rsidRDefault="00273F01" w:rsidP="00273F01">
            <w:pPr>
              <w:spacing w:before="40"/>
              <w:ind w:right="113"/>
              <w:jc w:val="right"/>
              <w:rPr>
                <w:rFonts w:cs="Arial"/>
                <w:b/>
                <w:snapToGrid w:val="0"/>
                <w:lang w:val="es-ES"/>
              </w:rPr>
            </w:pPr>
            <w:r w:rsidRPr="00D85B9A">
              <w:rPr>
                <w:rFonts w:cs="Arial"/>
                <w:b/>
                <w:snapToGrid w:val="0"/>
                <w:lang w:val="es-ES"/>
              </w:rPr>
              <w:t>3</w:t>
            </w:r>
            <w:r>
              <w:rPr>
                <w:rFonts w:cs="Arial"/>
                <w:b/>
                <w:snapToGrid w:val="0"/>
                <w:lang w:val="es-ES"/>
              </w:rPr>
              <w:t>.</w:t>
            </w:r>
            <w:r w:rsidRPr="00D85B9A">
              <w:rPr>
                <w:rFonts w:cs="Arial"/>
                <w:b/>
                <w:snapToGrid w:val="0"/>
                <w:lang w:val="es-ES"/>
              </w:rPr>
              <w:t>333</w:t>
            </w:r>
            <w:r>
              <w:rPr>
                <w:rFonts w:cs="Arial"/>
                <w:b/>
                <w:snapToGrid w:val="0"/>
                <w:lang w:val="es-ES"/>
              </w:rPr>
              <w:t>.</w:t>
            </w:r>
            <w:r w:rsidRPr="00D85B9A">
              <w:rPr>
                <w:rFonts w:cs="Arial"/>
                <w:b/>
                <w:snapToGrid w:val="0"/>
                <w:lang w:val="es-ES"/>
              </w:rPr>
              <w:t>778</w:t>
            </w:r>
          </w:p>
        </w:tc>
      </w:tr>
    </w:tbl>
    <w:p w:rsidR="00273F01" w:rsidRPr="00D85B9A" w:rsidRDefault="00273F01" w:rsidP="00273F01">
      <w:pPr>
        <w:pStyle w:val="Endofdocument"/>
        <w:ind w:left="0"/>
        <w:jc w:val="both"/>
        <w:rPr>
          <w:rFonts w:ascii="Arial" w:hAnsi="Arial" w:cs="Arial"/>
          <w:snapToGrid w:val="0"/>
          <w:sz w:val="20"/>
          <w:lang w:val="es-ES"/>
        </w:rPr>
      </w:pPr>
    </w:p>
    <w:p w:rsidR="00FF5D3C" w:rsidRPr="002B0BD5" w:rsidRDefault="00FF5D3C" w:rsidP="00EF2D62">
      <w:pPr>
        <w:rPr>
          <w:rFonts w:cs="Arial"/>
          <w:lang w:val="es-ES_tradnl"/>
        </w:rPr>
      </w:pPr>
    </w:p>
    <w:p w:rsidR="00FF5D3C" w:rsidRPr="002B0BD5" w:rsidRDefault="00FF5D3C" w:rsidP="00EF2D62">
      <w:pPr>
        <w:rPr>
          <w:rFonts w:cs="Arial"/>
          <w:lang w:val="es-ES_tradnl"/>
        </w:rPr>
      </w:pPr>
    </w:p>
    <w:p w:rsidR="00FF5D3C" w:rsidRPr="002B0BD5" w:rsidRDefault="00FF5D3C" w:rsidP="00EF2D62">
      <w:pPr>
        <w:tabs>
          <w:tab w:val="decimal" w:pos="9071"/>
        </w:tabs>
        <w:ind w:right="-1"/>
        <w:jc w:val="right"/>
        <w:rPr>
          <w:rFonts w:cs="Arial"/>
          <w:lang w:val="es-ES_tradnl"/>
        </w:rPr>
      </w:pPr>
      <w:r w:rsidRPr="002B0BD5">
        <w:rPr>
          <w:rFonts w:cs="Arial"/>
          <w:snapToGrid w:val="0"/>
          <w:lang w:val="es-ES_tradnl"/>
        </w:rPr>
        <w:t>[Sigue el Apéndice III]</w:t>
      </w:r>
    </w:p>
    <w:p w:rsidR="00421639" w:rsidRPr="002B0BD5" w:rsidRDefault="00421639" w:rsidP="00EF2D62">
      <w:pPr>
        <w:rPr>
          <w:rFonts w:cs="Arial"/>
          <w:b/>
          <w:lang w:val="es-ES_tradnl"/>
        </w:rPr>
        <w:sectPr w:rsidR="00421639" w:rsidRPr="002B0BD5" w:rsidSect="00DC35EC">
          <w:headerReference w:type="default" r:id="rId25"/>
          <w:footerReference w:type="first" r:id="rId26"/>
          <w:pgSz w:w="11907" w:h="16840" w:code="9"/>
          <w:pgMar w:top="510" w:right="1134" w:bottom="1134" w:left="1134" w:header="510" w:footer="680" w:gutter="0"/>
          <w:pgNumType w:start="1"/>
          <w:cols w:space="720"/>
          <w:titlePg/>
        </w:sectPr>
      </w:pPr>
    </w:p>
    <w:p w:rsidR="00FF5D3C" w:rsidRPr="002B0BD5" w:rsidRDefault="00FF5D3C" w:rsidP="00EF2D62">
      <w:pPr>
        <w:jc w:val="center"/>
        <w:rPr>
          <w:rFonts w:cs="Arial"/>
          <w:lang w:val="es-ES_tradnl"/>
        </w:rPr>
      </w:pPr>
      <w:r w:rsidRPr="002B0BD5">
        <w:rPr>
          <w:rFonts w:cs="Arial"/>
          <w:lang w:val="es-ES_tradnl"/>
        </w:rPr>
        <w:t>APÉNDICE III</w:t>
      </w:r>
    </w:p>
    <w:p w:rsidR="00FF5D3C" w:rsidRPr="002B0BD5" w:rsidRDefault="00FF5D3C" w:rsidP="00EF2D62">
      <w:pPr>
        <w:jc w:val="center"/>
        <w:rPr>
          <w:rFonts w:cs="Arial"/>
          <w:lang w:val="es-ES_tradnl"/>
        </w:rPr>
      </w:pPr>
    </w:p>
    <w:p w:rsidR="00FF5D3C" w:rsidRPr="002B0BD5" w:rsidRDefault="00FF5D3C" w:rsidP="00EF2D62">
      <w:pPr>
        <w:jc w:val="center"/>
        <w:rPr>
          <w:rFonts w:cs="Arial"/>
          <w:lang w:val="es-ES_tradnl"/>
        </w:rPr>
      </w:pPr>
      <w:r w:rsidRPr="002B0BD5">
        <w:rPr>
          <w:rFonts w:cs="Arial"/>
          <w:lang w:val="es-ES_tradnl"/>
        </w:rPr>
        <w:t>DEFINICIONES DE LOS RUBROS PRESUPUESTARIOS</w:t>
      </w:r>
    </w:p>
    <w:p w:rsidR="00FF5D3C" w:rsidRPr="002B0BD5" w:rsidRDefault="00FF5D3C" w:rsidP="00EF2D62">
      <w:pPr>
        <w:rPr>
          <w:rFonts w:cs="Arial"/>
          <w:lang w:val="es-ES_tradnl"/>
        </w:rPr>
      </w:pPr>
    </w:p>
    <w:p w:rsidR="00FF5D3C" w:rsidRPr="002B0BD5" w:rsidRDefault="00FF5D3C" w:rsidP="00EF2D62">
      <w:pPr>
        <w:jc w:val="center"/>
        <w:rPr>
          <w:rFonts w:cs="Arial"/>
          <w:b/>
          <w:lang w:val="es-ES_tradnl"/>
        </w:rPr>
      </w:pPr>
      <w:r w:rsidRPr="002B0BD5">
        <w:rPr>
          <w:rStyle w:val="underline"/>
          <w:rFonts w:cs="Arial"/>
          <w:b/>
          <w:lang w:val="es-ES_tradnl"/>
        </w:rPr>
        <w:t>Fuentes de ingresos</w:t>
      </w:r>
    </w:p>
    <w:p w:rsidR="00FF5D3C" w:rsidRPr="002B0BD5" w:rsidRDefault="00FF5D3C" w:rsidP="00EF2D62">
      <w:pPr>
        <w:rPr>
          <w:rFonts w:cs="Arial"/>
          <w:lang w:val="es-ES_tradnl"/>
        </w:rPr>
      </w:pPr>
    </w:p>
    <w:p w:rsidR="00FF5D3C" w:rsidRPr="002B0BD5" w:rsidRDefault="00FF5D3C" w:rsidP="00EF2D62">
      <w:pPr>
        <w:rPr>
          <w:rFonts w:cs="Arial"/>
          <w:lang w:val="es-ES_tradnl"/>
        </w:rPr>
      </w:pPr>
    </w:p>
    <w:p w:rsidR="00FF5D3C" w:rsidRPr="002B0BD5" w:rsidRDefault="00FF5D3C" w:rsidP="00EF2D62">
      <w:pPr>
        <w:rPr>
          <w:rStyle w:val="underline"/>
          <w:rFonts w:cs="Arial"/>
          <w:b/>
          <w:i/>
          <w:lang w:val="es-ES_tradnl"/>
        </w:rPr>
      </w:pPr>
      <w:r w:rsidRPr="002B0BD5">
        <w:rPr>
          <w:rFonts w:cs="Arial"/>
          <w:b/>
          <w:u w:val="single"/>
          <w:lang w:val="es-ES_tradnl"/>
        </w:rPr>
        <w:t>Contribuciones</w:t>
      </w:r>
    </w:p>
    <w:p w:rsidR="00FF5D3C" w:rsidRPr="002B0BD5" w:rsidRDefault="00FF5D3C" w:rsidP="00EF2D62">
      <w:pPr>
        <w:rPr>
          <w:rFonts w:cs="Arial"/>
          <w:lang w:val="es-ES_tradnl"/>
        </w:rPr>
      </w:pPr>
    </w:p>
    <w:p w:rsidR="00FF5D3C" w:rsidRPr="002B0BD5" w:rsidRDefault="00FF5D3C" w:rsidP="00EF2D62">
      <w:pPr>
        <w:rPr>
          <w:rFonts w:cs="Arial"/>
          <w:lang w:val="es-ES_tradnl"/>
        </w:rPr>
      </w:pPr>
      <w:r w:rsidRPr="002B0BD5">
        <w:rPr>
          <w:rFonts w:cs="Arial"/>
          <w:lang w:val="es-ES_tradnl"/>
        </w:rPr>
        <w:t>Contribuciones de los miembros de la Unión en virtud del Convenio de la</w:t>
      </w:r>
      <w:r w:rsidR="00E36F52">
        <w:rPr>
          <w:rFonts w:cs="Arial"/>
          <w:lang w:val="es-ES_tradnl"/>
        </w:rPr>
        <w:t xml:space="preserve"> UPOV (Artículo 29 del Acta de </w:t>
      </w:r>
      <w:r w:rsidRPr="002B0BD5">
        <w:rPr>
          <w:rFonts w:cs="Arial"/>
          <w:lang w:val="es-ES_tradnl"/>
        </w:rPr>
        <w:t>1991 y Artículo 26 del Acta de 1978).</w:t>
      </w:r>
    </w:p>
    <w:p w:rsidR="00FF5D3C" w:rsidRPr="002B0BD5" w:rsidRDefault="00FF5D3C" w:rsidP="00EF2D62">
      <w:pPr>
        <w:rPr>
          <w:rFonts w:cs="Arial"/>
          <w:lang w:val="es-ES_tradnl"/>
        </w:rPr>
      </w:pPr>
    </w:p>
    <w:p w:rsidR="00FF5D3C" w:rsidRPr="002B0BD5" w:rsidRDefault="00FF5D3C" w:rsidP="00EF2D62">
      <w:pPr>
        <w:spacing w:after="40"/>
        <w:rPr>
          <w:rFonts w:cs="Arial"/>
          <w:b/>
          <w:lang w:val="es-ES_tradnl"/>
        </w:rPr>
      </w:pPr>
      <w:r w:rsidRPr="002B0BD5">
        <w:rPr>
          <w:rFonts w:cs="Arial"/>
          <w:b/>
          <w:lang w:val="es-ES_tradnl"/>
        </w:rPr>
        <w:t>Ingresos por concepto de publicaciones</w:t>
      </w:r>
    </w:p>
    <w:p w:rsidR="00FF5D3C" w:rsidRPr="002B0BD5" w:rsidRDefault="00FF5D3C" w:rsidP="00EF2D62">
      <w:pPr>
        <w:rPr>
          <w:rFonts w:cs="Arial"/>
          <w:lang w:val="es-ES_tradnl"/>
        </w:rPr>
      </w:pPr>
      <w:r w:rsidRPr="002B0BD5">
        <w:rPr>
          <w:rFonts w:cs="Arial"/>
          <w:lang w:val="es-ES_tradnl"/>
        </w:rPr>
        <w:t>Ingresos resultantes de la venta de publicaciones y productos de la Oficina de la Unión.</w:t>
      </w:r>
    </w:p>
    <w:p w:rsidR="00FF5D3C" w:rsidRPr="002B0BD5" w:rsidRDefault="00FF5D3C" w:rsidP="00EF2D62">
      <w:pPr>
        <w:rPr>
          <w:rFonts w:cs="Arial"/>
          <w:lang w:val="es-ES_tradnl"/>
        </w:rPr>
      </w:pPr>
    </w:p>
    <w:p w:rsidR="00FF5D3C" w:rsidRPr="002B0BD5" w:rsidRDefault="00FF5D3C" w:rsidP="00EF2D62">
      <w:pPr>
        <w:spacing w:after="40"/>
        <w:rPr>
          <w:rFonts w:cs="Arial"/>
          <w:b/>
          <w:lang w:val="es-ES_tradnl"/>
        </w:rPr>
      </w:pPr>
      <w:r w:rsidRPr="002B0BD5">
        <w:rPr>
          <w:rFonts w:cs="Arial"/>
          <w:b/>
          <w:lang w:val="es-ES_tradnl"/>
        </w:rPr>
        <w:t>Ingresos por concepto de intereses</w:t>
      </w:r>
    </w:p>
    <w:p w:rsidR="00FF5D3C" w:rsidRPr="002B0BD5" w:rsidRDefault="00FF5D3C" w:rsidP="00EF2D62">
      <w:pPr>
        <w:rPr>
          <w:rFonts w:cs="Arial"/>
          <w:lang w:val="es-ES_tradnl"/>
        </w:rPr>
      </w:pPr>
      <w:r w:rsidRPr="002B0BD5">
        <w:rPr>
          <w:rFonts w:cs="Arial"/>
          <w:lang w:val="es-ES_tradnl"/>
        </w:rPr>
        <w:t>Ingresos resultantes de intereses sobre depósitos de capital.</w:t>
      </w:r>
    </w:p>
    <w:p w:rsidR="00FF5D3C" w:rsidRPr="002B0BD5" w:rsidRDefault="00FF5D3C" w:rsidP="00EF2D62">
      <w:pPr>
        <w:rPr>
          <w:rFonts w:cs="Arial"/>
          <w:lang w:val="es-ES_tradnl"/>
        </w:rPr>
      </w:pPr>
    </w:p>
    <w:p w:rsidR="00FF5D3C" w:rsidRPr="002B0BD5" w:rsidRDefault="00FF5D3C" w:rsidP="00EF2D62">
      <w:pPr>
        <w:spacing w:after="40"/>
        <w:rPr>
          <w:rFonts w:cs="Arial"/>
          <w:b/>
          <w:lang w:val="es-ES_tradnl"/>
        </w:rPr>
      </w:pPr>
      <w:r w:rsidRPr="002B0BD5">
        <w:rPr>
          <w:rFonts w:cs="Arial"/>
          <w:b/>
          <w:lang w:val="es-ES_tradnl"/>
        </w:rPr>
        <w:t>Otros Ingresos</w:t>
      </w:r>
    </w:p>
    <w:p w:rsidR="00FF5D3C" w:rsidRPr="002B0BD5" w:rsidRDefault="00FF5D3C" w:rsidP="00EF2D62">
      <w:pPr>
        <w:rPr>
          <w:rFonts w:cs="Arial"/>
          <w:lang w:val="es-ES_tradnl"/>
        </w:rPr>
      </w:pPr>
      <w:r w:rsidRPr="002B0BD5">
        <w:rPr>
          <w:rFonts w:cs="Arial"/>
          <w:lang w:val="es-ES_tradnl"/>
        </w:rPr>
        <w:t xml:space="preserve">Todos los ingresos no descritos anteriormente, incluidos los reajustes contables (créditos) respecto de años anteriores, </w:t>
      </w:r>
      <w:r w:rsidR="00E73F3D" w:rsidRPr="002B0BD5">
        <w:rPr>
          <w:rFonts w:cs="Arial"/>
          <w:lang w:val="es-ES_tradnl"/>
        </w:rPr>
        <w:t xml:space="preserve">los </w:t>
      </w:r>
      <w:r w:rsidRPr="002B0BD5">
        <w:rPr>
          <w:rFonts w:cs="Arial"/>
          <w:lang w:val="es-ES_tradnl"/>
        </w:rPr>
        <w:t>reajustes monetarios (créditos) y los ingresos destinados a sufragar “gastos de apoyo” relativos a las actividades extrapresupuestarias ejecutadas por la UPOV y financiadas por los fondos fiduciarios.</w:t>
      </w:r>
    </w:p>
    <w:p w:rsidR="00FF5D3C" w:rsidRPr="002B0BD5" w:rsidRDefault="00FF5D3C" w:rsidP="00EF2D62">
      <w:pPr>
        <w:rPr>
          <w:rFonts w:cs="Arial"/>
          <w:lang w:val="es-ES_tradnl"/>
        </w:rPr>
      </w:pPr>
    </w:p>
    <w:p w:rsidR="00FF5D3C" w:rsidRPr="002B0BD5" w:rsidRDefault="00FF5D3C" w:rsidP="00EF2D62">
      <w:pPr>
        <w:rPr>
          <w:rFonts w:cs="Arial"/>
          <w:lang w:val="es-ES_tradnl"/>
        </w:rPr>
      </w:pPr>
    </w:p>
    <w:p w:rsidR="00FF5D3C" w:rsidRPr="002B0BD5" w:rsidRDefault="00FF5D3C" w:rsidP="00EF2D62">
      <w:pPr>
        <w:jc w:val="center"/>
        <w:rPr>
          <w:rStyle w:val="underline"/>
          <w:rFonts w:cs="Arial"/>
          <w:b/>
          <w:lang w:val="es-ES_tradnl"/>
        </w:rPr>
      </w:pPr>
      <w:r w:rsidRPr="002B0BD5">
        <w:rPr>
          <w:rStyle w:val="underline"/>
          <w:rFonts w:cs="Arial"/>
          <w:b/>
          <w:lang w:val="es-ES_tradnl"/>
        </w:rPr>
        <w:t>Objetos de gasto</w:t>
      </w:r>
    </w:p>
    <w:p w:rsidR="00FF5D3C" w:rsidRPr="002B0BD5" w:rsidRDefault="00FF5D3C" w:rsidP="00EF2D62">
      <w:pPr>
        <w:jc w:val="center"/>
        <w:rPr>
          <w:rFonts w:cs="Arial"/>
          <w:lang w:val="es-ES_tradnl"/>
        </w:rPr>
      </w:pPr>
    </w:p>
    <w:p w:rsidR="00FF5D3C" w:rsidRPr="002B0BD5" w:rsidRDefault="00FF5D3C" w:rsidP="00EF2D62">
      <w:pPr>
        <w:jc w:val="center"/>
        <w:rPr>
          <w:rFonts w:cs="Arial"/>
          <w:lang w:val="es-ES_tradnl"/>
        </w:rPr>
      </w:pPr>
    </w:p>
    <w:p w:rsidR="00FF5D3C" w:rsidRPr="00E36F52" w:rsidRDefault="00E36F52" w:rsidP="00EF2D62">
      <w:pPr>
        <w:pStyle w:val="zanxtext"/>
        <w:spacing w:before="0"/>
        <w:ind w:right="91"/>
        <w:jc w:val="both"/>
        <w:rPr>
          <w:rFonts w:ascii="Arial" w:hAnsi="Arial" w:cs="Arial"/>
          <w:bCs/>
          <w:sz w:val="20"/>
          <w:lang w:val="es-ES_tradnl"/>
        </w:rPr>
      </w:pPr>
      <w:r w:rsidRPr="00E36F52">
        <w:rPr>
          <w:rFonts w:ascii="Arial" w:hAnsi="Arial" w:cs="Arial"/>
          <w:bCs/>
          <w:sz w:val="20"/>
          <w:lang w:val="es-ES_tradnl"/>
        </w:rPr>
        <w:t>GASTOS DE PERSONAL</w:t>
      </w:r>
    </w:p>
    <w:p w:rsidR="00FF5D3C" w:rsidRPr="002B0BD5" w:rsidRDefault="00FF5D3C" w:rsidP="00EF2D62">
      <w:pPr>
        <w:pStyle w:val="zanxtext"/>
        <w:spacing w:before="0"/>
        <w:ind w:right="91"/>
        <w:jc w:val="both"/>
        <w:rPr>
          <w:rFonts w:ascii="Arial" w:hAnsi="Arial" w:cs="Arial"/>
          <w:b/>
          <w:sz w:val="20"/>
          <w:u w:val="single"/>
          <w:lang w:val="es-ES_tradnl"/>
        </w:rPr>
      </w:pPr>
    </w:p>
    <w:p w:rsidR="0027708D" w:rsidRPr="002B0BD5" w:rsidRDefault="0027708D" w:rsidP="00EF2D62">
      <w:pPr>
        <w:tabs>
          <w:tab w:val="left" w:pos="567"/>
        </w:tabs>
        <w:ind w:left="567" w:right="91"/>
        <w:rPr>
          <w:rFonts w:cs="Arial"/>
          <w:lang w:val="es-ES_tradnl"/>
        </w:rPr>
      </w:pPr>
      <w:r w:rsidRPr="002B0BD5">
        <w:rPr>
          <w:rFonts w:cs="Arial"/>
          <w:b/>
          <w:i/>
          <w:lang w:val="es-ES_tradnl"/>
        </w:rPr>
        <w:t>Puestos:</w:t>
      </w:r>
      <w:r w:rsidRPr="002B0BD5">
        <w:rPr>
          <w:rFonts w:cs="Arial"/>
          <w:lang w:val="es-ES_tradnl"/>
        </w:rPr>
        <w:t xml:space="preserve">  remuneración recibida por los miembros del personal, en particular, los sueldos, el reajuste por lugar de destino, las prestaciones por personas a cargo, las prestaciones por conocimiento de idiomas y las horas extraordinarias, los subsidios de no residente, las primas por destino y el subsidio por gastos de representación.</w:t>
      </w:r>
    </w:p>
    <w:p w:rsidR="0027708D" w:rsidRPr="002B0BD5" w:rsidRDefault="0027708D" w:rsidP="00EF2D62">
      <w:pPr>
        <w:tabs>
          <w:tab w:val="left" w:pos="567"/>
        </w:tabs>
        <w:ind w:left="567" w:right="91"/>
        <w:rPr>
          <w:rFonts w:cs="Arial"/>
          <w:i/>
          <w:lang w:val="es-ES_tradnl"/>
        </w:rPr>
      </w:pPr>
    </w:p>
    <w:p w:rsidR="00FF5D3C" w:rsidRPr="002B0BD5" w:rsidRDefault="0027708D" w:rsidP="00EF2D62">
      <w:pPr>
        <w:tabs>
          <w:tab w:val="left" w:pos="567"/>
        </w:tabs>
        <w:ind w:left="567" w:right="91"/>
        <w:rPr>
          <w:rFonts w:cs="Arial"/>
          <w:lang w:val="es-ES_tradnl"/>
        </w:rPr>
      </w:pPr>
      <w:r w:rsidRPr="002B0BD5">
        <w:rPr>
          <w:rFonts w:cs="Arial"/>
          <w:b/>
          <w:i/>
          <w:lang w:val="es-ES_tradnl"/>
        </w:rPr>
        <w:t>Personal temporero</w:t>
      </w:r>
      <w:proofErr w:type="gramStart"/>
      <w:r w:rsidRPr="002B0BD5">
        <w:rPr>
          <w:rFonts w:cs="Arial"/>
          <w:b/>
          <w:i/>
          <w:lang w:val="es-ES_tradnl"/>
        </w:rPr>
        <w:t>:</w:t>
      </w:r>
      <w:r w:rsidRPr="002B0BD5">
        <w:rPr>
          <w:rFonts w:cs="Arial"/>
          <w:lang w:val="es-ES_tradnl"/>
        </w:rPr>
        <w:t xml:space="preserve">  remuneración</w:t>
      </w:r>
      <w:proofErr w:type="gramEnd"/>
      <w:r w:rsidRPr="002B0BD5">
        <w:rPr>
          <w:rFonts w:cs="Arial"/>
          <w:lang w:val="es-ES_tradnl"/>
        </w:rPr>
        <w:t xml:space="preserve"> y subsidios pagados a profesionales y empleados de servicios generales con contratos de corta duración</w:t>
      </w:r>
      <w:r w:rsidR="002418F6" w:rsidRPr="002B0BD5">
        <w:rPr>
          <w:rFonts w:cs="Arial"/>
          <w:lang w:val="es-ES_tradnl"/>
        </w:rPr>
        <w:t>.</w:t>
      </w:r>
    </w:p>
    <w:p w:rsidR="00FF5D3C" w:rsidRPr="002B0BD5" w:rsidRDefault="00FF5D3C" w:rsidP="00EF2D62">
      <w:pPr>
        <w:rPr>
          <w:rFonts w:cs="Arial"/>
          <w:b/>
          <w:bCs/>
          <w:lang w:val="es-ES_tradnl"/>
        </w:rPr>
      </w:pPr>
    </w:p>
    <w:p w:rsidR="00FF5D3C" w:rsidRPr="002B0BD5" w:rsidRDefault="00FF5D3C" w:rsidP="00EF2D62">
      <w:pPr>
        <w:rPr>
          <w:rFonts w:cs="Arial"/>
          <w:lang w:val="es-ES_tradnl"/>
        </w:rPr>
      </w:pPr>
    </w:p>
    <w:p w:rsidR="00FF5D3C" w:rsidRPr="00E36F52" w:rsidRDefault="00E36F52" w:rsidP="00EF2D62">
      <w:pPr>
        <w:rPr>
          <w:rFonts w:cs="Arial"/>
          <w:lang w:val="es-ES_tradnl"/>
        </w:rPr>
      </w:pPr>
      <w:r w:rsidRPr="00E36F52">
        <w:rPr>
          <w:rFonts w:cs="Arial"/>
          <w:lang w:val="es-ES_tradnl"/>
        </w:rPr>
        <w:t>GASTOS NO RELATIVOS AL PERSONAL</w:t>
      </w:r>
    </w:p>
    <w:p w:rsidR="00FF5D3C" w:rsidRPr="002B0BD5" w:rsidRDefault="00FF5D3C" w:rsidP="00EF2D62">
      <w:pPr>
        <w:rPr>
          <w:rFonts w:cs="Arial"/>
          <w:lang w:val="es-ES_tradnl"/>
        </w:rPr>
      </w:pPr>
    </w:p>
    <w:p w:rsidR="0027708D" w:rsidRPr="002B0BD5" w:rsidRDefault="0027708D" w:rsidP="00EF2D62">
      <w:pPr>
        <w:rPr>
          <w:rFonts w:cs="Arial"/>
          <w:b/>
          <w:bCs/>
          <w:lang w:val="es-ES_tradnl"/>
        </w:rPr>
      </w:pPr>
      <w:r w:rsidRPr="002B0BD5">
        <w:rPr>
          <w:rFonts w:cs="Arial"/>
          <w:b/>
          <w:lang w:val="es-ES_tradnl"/>
        </w:rPr>
        <w:t xml:space="preserve">Pasantías </w:t>
      </w:r>
    </w:p>
    <w:p w:rsidR="0027708D" w:rsidRPr="002B0BD5" w:rsidRDefault="0027708D" w:rsidP="00EF2D62">
      <w:pPr>
        <w:rPr>
          <w:rFonts w:cs="Arial"/>
          <w:b/>
          <w:bCs/>
          <w:lang w:val="es-ES_tradnl"/>
        </w:rPr>
      </w:pPr>
    </w:p>
    <w:p w:rsidR="0027708D" w:rsidRPr="002B0BD5" w:rsidRDefault="0027708D" w:rsidP="00E36F52">
      <w:pPr>
        <w:numPr>
          <w:ilvl w:val="0"/>
          <w:numId w:val="12"/>
        </w:numPr>
        <w:tabs>
          <w:tab w:val="clear" w:pos="1287"/>
        </w:tabs>
        <w:ind w:left="567" w:hanging="283"/>
        <w:rPr>
          <w:rFonts w:cs="Arial"/>
          <w:lang w:val="es-ES_tradnl"/>
        </w:rPr>
      </w:pPr>
      <w:r w:rsidRPr="002B0BD5">
        <w:rPr>
          <w:rFonts w:cs="Arial"/>
          <w:b/>
          <w:i/>
          <w:lang w:val="es-ES_tradnl"/>
        </w:rPr>
        <w:t>Pasantías</w:t>
      </w:r>
      <w:proofErr w:type="gramStart"/>
      <w:r w:rsidRPr="002B0BD5">
        <w:rPr>
          <w:rFonts w:cs="Arial"/>
          <w:lang w:val="es-ES_tradnl"/>
        </w:rPr>
        <w:t xml:space="preserve">: </w:t>
      </w:r>
      <w:r w:rsidR="006E42D6" w:rsidRPr="002B0BD5">
        <w:rPr>
          <w:rFonts w:cs="Arial"/>
          <w:lang w:val="es-ES_tradnl"/>
        </w:rPr>
        <w:t xml:space="preserve"> </w:t>
      </w:r>
      <w:r w:rsidRPr="002B0BD5">
        <w:rPr>
          <w:rFonts w:cs="Arial"/>
          <w:lang w:val="es-ES_tradnl"/>
        </w:rPr>
        <w:t>remuneración</w:t>
      </w:r>
      <w:proofErr w:type="gramEnd"/>
      <w:r w:rsidRPr="002B0BD5">
        <w:rPr>
          <w:rFonts w:cs="Arial"/>
          <w:lang w:val="es-ES_tradnl"/>
        </w:rPr>
        <w:t xml:space="preserve"> y subsidios pagados a los pasantes. </w:t>
      </w:r>
    </w:p>
    <w:p w:rsidR="0027708D" w:rsidRPr="002B0BD5" w:rsidRDefault="0027708D" w:rsidP="00EF2D62">
      <w:pPr>
        <w:rPr>
          <w:rFonts w:cs="Arial"/>
          <w:lang w:val="es-ES_tradnl"/>
        </w:rPr>
      </w:pPr>
    </w:p>
    <w:p w:rsidR="0027708D" w:rsidRPr="002B0BD5" w:rsidRDefault="0027708D" w:rsidP="00EF2D62">
      <w:pPr>
        <w:rPr>
          <w:rFonts w:cs="Arial"/>
          <w:b/>
          <w:bCs/>
          <w:lang w:val="es-ES_tradnl"/>
        </w:rPr>
      </w:pPr>
      <w:bookmarkStart w:id="53" w:name="RANGE!A3"/>
    </w:p>
    <w:p w:rsidR="0027708D" w:rsidRPr="002B0BD5" w:rsidRDefault="0027708D" w:rsidP="00EF2D62">
      <w:pPr>
        <w:rPr>
          <w:rFonts w:cs="Arial"/>
          <w:b/>
          <w:bCs/>
          <w:lang w:val="es-ES_tradnl"/>
        </w:rPr>
      </w:pPr>
      <w:r w:rsidRPr="002B0BD5">
        <w:rPr>
          <w:rFonts w:cs="Arial"/>
          <w:b/>
          <w:lang w:val="es-ES_tradnl"/>
        </w:rPr>
        <w:t>Viajes</w:t>
      </w:r>
      <w:bookmarkEnd w:id="53"/>
    </w:p>
    <w:p w:rsidR="0027708D" w:rsidRPr="002B0BD5" w:rsidRDefault="0027708D" w:rsidP="00EF2D62">
      <w:pPr>
        <w:rPr>
          <w:rFonts w:cs="Arial"/>
          <w:lang w:val="es-ES_tradnl"/>
        </w:rPr>
      </w:pPr>
    </w:p>
    <w:p w:rsidR="0027708D" w:rsidRPr="002B0BD5" w:rsidRDefault="0027708D" w:rsidP="00E36F52">
      <w:pPr>
        <w:numPr>
          <w:ilvl w:val="0"/>
          <w:numId w:val="12"/>
        </w:numPr>
        <w:tabs>
          <w:tab w:val="clear" w:pos="1287"/>
        </w:tabs>
        <w:ind w:left="567" w:hanging="283"/>
        <w:rPr>
          <w:rFonts w:cs="Arial"/>
          <w:lang w:val="es-ES_tradnl"/>
        </w:rPr>
      </w:pPr>
      <w:r w:rsidRPr="002B0BD5">
        <w:rPr>
          <w:rFonts w:cs="Arial"/>
          <w:b/>
          <w:i/>
          <w:lang w:val="es-ES_tradnl"/>
        </w:rPr>
        <w:t>Misiones del personal</w:t>
      </w:r>
      <w:proofErr w:type="gramStart"/>
      <w:r w:rsidRPr="002B0BD5">
        <w:rPr>
          <w:rFonts w:cs="Arial"/>
          <w:b/>
          <w:i/>
          <w:lang w:val="es-ES_tradnl"/>
        </w:rPr>
        <w:t>:</w:t>
      </w:r>
      <w:r w:rsidRPr="002B0BD5">
        <w:rPr>
          <w:rFonts w:cs="Arial"/>
          <w:lang w:val="es-ES_tradnl"/>
        </w:rPr>
        <w:t xml:space="preserve"> </w:t>
      </w:r>
      <w:r w:rsidR="006E42D6" w:rsidRPr="002B0BD5">
        <w:rPr>
          <w:rFonts w:cs="Arial"/>
          <w:lang w:val="es-ES_tradnl"/>
        </w:rPr>
        <w:t xml:space="preserve"> </w:t>
      </w:r>
      <w:r w:rsidRPr="002B0BD5">
        <w:rPr>
          <w:rFonts w:cs="Arial"/>
          <w:lang w:val="es-ES_tradnl"/>
        </w:rPr>
        <w:t>gastos</w:t>
      </w:r>
      <w:proofErr w:type="gramEnd"/>
      <w:r w:rsidRPr="002B0BD5">
        <w:rPr>
          <w:rFonts w:cs="Arial"/>
          <w:lang w:val="es-ES_tradnl"/>
        </w:rPr>
        <w:t xml:space="preserve"> de viaje y dietas para todo el personal que efectúe viajes oficiales.</w:t>
      </w:r>
    </w:p>
    <w:p w:rsidR="0027708D" w:rsidRPr="002B0BD5" w:rsidRDefault="0027708D" w:rsidP="00EF2D62">
      <w:pPr>
        <w:tabs>
          <w:tab w:val="num" w:pos="567"/>
        </w:tabs>
        <w:rPr>
          <w:rFonts w:cs="Arial"/>
          <w:lang w:val="es-ES_tradnl"/>
        </w:rPr>
      </w:pPr>
    </w:p>
    <w:p w:rsidR="00FF5D3C" w:rsidRPr="002B0BD5" w:rsidRDefault="0027708D" w:rsidP="00E36F52">
      <w:pPr>
        <w:numPr>
          <w:ilvl w:val="0"/>
          <w:numId w:val="12"/>
        </w:numPr>
        <w:tabs>
          <w:tab w:val="clear" w:pos="1287"/>
        </w:tabs>
        <w:ind w:left="567" w:hanging="283"/>
        <w:rPr>
          <w:rFonts w:cs="Arial"/>
          <w:lang w:val="es-ES_tradnl"/>
        </w:rPr>
      </w:pPr>
      <w:r w:rsidRPr="002B0BD5">
        <w:rPr>
          <w:rFonts w:cs="Arial"/>
          <w:b/>
          <w:i/>
          <w:lang w:val="es-ES_tradnl"/>
        </w:rPr>
        <w:t>Viajes de terceros</w:t>
      </w:r>
      <w:proofErr w:type="gramStart"/>
      <w:r w:rsidRPr="002B0BD5">
        <w:rPr>
          <w:rFonts w:cs="Arial"/>
          <w:lang w:val="es-ES_tradnl"/>
        </w:rPr>
        <w:t>:</w:t>
      </w:r>
      <w:r w:rsidR="006E42D6" w:rsidRPr="002B0BD5">
        <w:rPr>
          <w:rFonts w:cs="Arial"/>
          <w:lang w:val="es-ES_tradnl"/>
        </w:rPr>
        <w:t xml:space="preserve"> </w:t>
      </w:r>
      <w:r w:rsidRPr="002B0BD5">
        <w:rPr>
          <w:rFonts w:cs="Arial"/>
          <w:lang w:val="es-ES_tradnl"/>
        </w:rPr>
        <w:t xml:space="preserve"> gastos</w:t>
      </w:r>
      <w:proofErr w:type="gramEnd"/>
      <w:r w:rsidRPr="002B0BD5">
        <w:rPr>
          <w:rFonts w:cs="Arial"/>
          <w:lang w:val="es-ES_tradnl"/>
        </w:rPr>
        <w:t xml:space="preserve"> de viajes y dietas para terceros, </w:t>
      </w:r>
      <w:r w:rsidR="00E36F52">
        <w:rPr>
          <w:rFonts w:cs="Arial"/>
          <w:lang w:val="es-ES_tradnl"/>
        </w:rPr>
        <w:t xml:space="preserve">incluidos los gastos de viajes de </w:t>
      </w:r>
      <w:r w:rsidRPr="002B0BD5">
        <w:rPr>
          <w:rFonts w:cs="Arial"/>
          <w:lang w:val="es-ES_tradnl"/>
        </w:rPr>
        <w:t>funcionarios gubernamentales, participantes y conferenciantes que asist</w:t>
      </w:r>
      <w:r w:rsidR="00E36F52">
        <w:rPr>
          <w:rFonts w:cs="Arial"/>
          <w:lang w:val="es-ES_tradnl"/>
        </w:rPr>
        <w:t>e</w:t>
      </w:r>
      <w:r w:rsidRPr="002B0BD5">
        <w:rPr>
          <w:rFonts w:cs="Arial"/>
          <w:lang w:val="es-ES_tradnl"/>
        </w:rPr>
        <w:t>n a las reunio</w:t>
      </w:r>
      <w:r w:rsidR="00E36F52">
        <w:rPr>
          <w:rFonts w:cs="Arial"/>
          <w:lang w:val="es-ES_tradnl"/>
        </w:rPr>
        <w:t>nes patrocinadas por la UPOV</w:t>
      </w:r>
      <w:r w:rsidR="002418F6" w:rsidRPr="002B0BD5">
        <w:rPr>
          <w:rFonts w:cs="Arial"/>
          <w:lang w:val="es-ES_tradnl"/>
        </w:rPr>
        <w:t>.</w:t>
      </w:r>
    </w:p>
    <w:p w:rsidR="00FF5D3C" w:rsidRPr="002B0BD5" w:rsidRDefault="00FF5D3C" w:rsidP="00EF2D62">
      <w:pPr>
        <w:tabs>
          <w:tab w:val="num" w:pos="567"/>
        </w:tabs>
        <w:rPr>
          <w:rFonts w:cs="Arial"/>
          <w:lang w:val="es-ES_tradnl"/>
        </w:rPr>
      </w:pPr>
    </w:p>
    <w:p w:rsidR="00FF5D3C" w:rsidRPr="002B0BD5" w:rsidRDefault="00FF5D3C" w:rsidP="00EF2D62">
      <w:pPr>
        <w:rPr>
          <w:rFonts w:cs="Arial"/>
          <w:b/>
          <w:bCs/>
          <w:lang w:val="es-ES_tradnl"/>
        </w:rPr>
      </w:pPr>
      <w:bookmarkStart w:id="54" w:name="RANGE!A11"/>
    </w:p>
    <w:bookmarkEnd w:id="54"/>
    <w:p w:rsidR="00FF5D3C" w:rsidRPr="002B0BD5" w:rsidRDefault="00FF5D3C" w:rsidP="00EF2D62">
      <w:pPr>
        <w:rPr>
          <w:rFonts w:cs="Arial"/>
          <w:b/>
          <w:bCs/>
          <w:lang w:val="es-ES_tradnl"/>
        </w:rPr>
      </w:pPr>
      <w:r w:rsidRPr="002B0BD5">
        <w:rPr>
          <w:rFonts w:cs="Arial"/>
          <w:b/>
          <w:bCs/>
          <w:lang w:val="es-ES_tradnl"/>
        </w:rPr>
        <w:t>Servicios contractuales</w:t>
      </w:r>
    </w:p>
    <w:p w:rsidR="00FF5D3C" w:rsidRPr="002B0BD5" w:rsidRDefault="00FF5D3C" w:rsidP="00EF2D62">
      <w:pPr>
        <w:rPr>
          <w:rFonts w:cs="Arial"/>
          <w:lang w:val="es-ES_tradnl"/>
        </w:rPr>
      </w:pPr>
    </w:p>
    <w:p w:rsidR="00FF5D3C" w:rsidRPr="002B0BD5" w:rsidRDefault="00DC3E44" w:rsidP="00E36F52">
      <w:pPr>
        <w:numPr>
          <w:ilvl w:val="0"/>
          <w:numId w:val="12"/>
        </w:numPr>
        <w:tabs>
          <w:tab w:val="clear" w:pos="1287"/>
        </w:tabs>
        <w:ind w:left="567" w:hanging="283"/>
        <w:rPr>
          <w:rFonts w:cs="Arial"/>
          <w:lang w:val="es-ES_tradnl"/>
        </w:rPr>
      </w:pPr>
      <w:r w:rsidRPr="002B0BD5">
        <w:rPr>
          <w:rFonts w:cs="Arial"/>
          <w:b/>
          <w:bCs/>
          <w:i/>
          <w:iCs/>
          <w:lang w:val="es-ES_tradnl"/>
        </w:rPr>
        <w:t>Conferencias</w:t>
      </w:r>
      <w:proofErr w:type="gramStart"/>
      <w:r w:rsidRPr="002B0BD5">
        <w:rPr>
          <w:rFonts w:cs="Arial"/>
          <w:bCs/>
          <w:iCs/>
          <w:lang w:val="es-ES_tradnl"/>
        </w:rPr>
        <w:t xml:space="preserve">: </w:t>
      </w:r>
      <w:r w:rsidR="006E42D6" w:rsidRPr="002B0BD5">
        <w:rPr>
          <w:rFonts w:cs="Arial"/>
          <w:bCs/>
          <w:iCs/>
          <w:lang w:val="es-ES_tradnl"/>
        </w:rPr>
        <w:t xml:space="preserve"> </w:t>
      </w:r>
      <w:r w:rsidRPr="002B0BD5">
        <w:rPr>
          <w:rFonts w:cs="Arial"/>
          <w:bCs/>
          <w:iCs/>
          <w:lang w:val="es-ES_tradnl"/>
        </w:rPr>
        <w:t>r</w:t>
      </w:r>
      <w:r w:rsidR="00FF5D3C" w:rsidRPr="002B0BD5">
        <w:rPr>
          <w:rFonts w:cs="Arial"/>
          <w:bCs/>
          <w:iCs/>
          <w:lang w:val="es-ES_tradnl"/>
        </w:rPr>
        <w:t>emuneración</w:t>
      </w:r>
      <w:proofErr w:type="gramEnd"/>
      <w:r w:rsidR="00FF5D3C" w:rsidRPr="002B0BD5">
        <w:rPr>
          <w:rFonts w:cs="Arial"/>
          <w:bCs/>
          <w:iCs/>
          <w:lang w:val="es-ES_tradnl"/>
        </w:rPr>
        <w:t>, gastos de viaje y dietas para intérpretes;  alquiler de instalaciones de conferencia y equipo de interpretación;  refrigerio y recepciones;  y el costo de cualquier otro servicio directamente vinculado a la organización de una conferencia.</w:t>
      </w:r>
      <w:r w:rsidR="002418F6" w:rsidRPr="002B0BD5">
        <w:rPr>
          <w:rFonts w:cs="Arial"/>
          <w:lang w:val="es-ES_tradnl"/>
        </w:rPr>
        <w:t xml:space="preserve"> </w:t>
      </w:r>
    </w:p>
    <w:p w:rsidR="00FF5D3C" w:rsidRPr="002B0BD5" w:rsidRDefault="00FF5D3C" w:rsidP="00EF2D62">
      <w:pPr>
        <w:rPr>
          <w:rFonts w:cs="Arial"/>
          <w:lang w:val="es-ES_tradnl"/>
        </w:rPr>
      </w:pPr>
    </w:p>
    <w:p w:rsidR="00FF5D3C" w:rsidRPr="002B0BD5" w:rsidRDefault="00DC3E44" w:rsidP="00E36F52">
      <w:pPr>
        <w:keepLines/>
        <w:numPr>
          <w:ilvl w:val="0"/>
          <w:numId w:val="12"/>
        </w:numPr>
        <w:tabs>
          <w:tab w:val="clear" w:pos="1287"/>
        </w:tabs>
        <w:ind w:left="567" w:hanging="283"/>
        <w:rPr>
          <w:rFonts w:cs="Arial"/>
          <w:lang w:val="es-ES_tradnl"/>
        </w:rPr>
      </w:pPr>
      <w:r w:rsidRPr="002B0BD5">
        <w:rPr>
          <w:rFonts w:cs="Arial"/>
          <w:b/>
          <w:bCs/>
          <w:i/>
          <w:iCs/>
          <w:lang w:val="es-ES_tradnl"/>
        </w:rPr>
        <w:t>Publicaciones</w:t>
      </w:r>
      <w:r w:rsidRPr="002B0BD5">
        <w:rPr>
          <w:rFonts w:cs="Arial"/>
          <w:bCs/>
          <w:iCs/>
          <w:lang w:val="es-ES_tradnl"/>
        </w:rPr>
        <w:t xml:space="preserve">: </w:t>
      </w:r>
      <w:r w:rsidR="006E42D6" w:rsidRPr="002B0BD5">
        <w:rPr>
          <w:rFonts w:cs="Arial"/>
          <w:bCs/>
          <w:iCs/>
          <w:lang w:val="es-ES_tradnl"/>
        </w:rPr>
        <w:t xml:space="preserve"> </w:t>
      </w:r>
      <w:r w:rsidRPr="002B0BD5">
        <w:rPr>
          <w:rFonts w:cs="Arial"/>
          <w:bCs/>
          <w:iCs/>
          <w:lang w:val="es-ES_tradnl"/>
        </w:rPr>
        <w:t>i</w:t>
      </w:r>
      <w:r w:rsidR="00FF5D3C" w:rsidRPr="002B0BD5">
        <w:rPr>
          <w:rFonts w:cs="Arial"/>
          <w:bCs/>
          <w:iCs/>
          <w:lang w:val="es-ES_tradnl"/>
        </w:rPr>
        <w:t>mpresión y encuadernación a cargo de terceros</w:t>
      </w:r>
      <w:r w:rsidR="00AC5BB7" w:rsidRPr="002B0BD5">
        <w:rPr>
          <w:rFonts w:cs="Arial"/>
          <w:bCs/>
          <w:iCs/>
          <w:lang w:val="es-ES_tradnl"/>
        </w:rPr>
        <w:t>;</w:t>
      </w:r>
      <w:r w:rsidR="00FF5D3C" w:rsidRPr="002B0BD5">
        <w:rPr>
          <w:rFonts w:cs="Arial"/>
          <w:bCs/>
          <w:iCs/>
          <w:lang w:val="es-ES_tradnl"/>
        </w:rPr>
        <w:t xml:space="preserve">  revistas</w:t>
      </w:r>
      <w:r w:rsidR="00AC5BB7" w:rsidRPr="002B0BD5">
        <w:rPr>
          <w:rFonts w:cs="Arial"/>
          <w:bCs/>
          <w:iCs/>
          <w:lang w:val="es-ES_tradnl"/>
        </w:rPr>
        <w:t>;</w:t>
      </w:r>
      <w:r w:rsidR="00FF5D3C" w:rsidRPr="002B0BD5">
        <w:rPr>
          <w:rFonts w:cs="Arial"/>
          <w:bCs/>
          <w:iCs/>
          <w:lang w:val="es-ES_tradnl"/>
        </w:rPr>
        <w:t xml:space="preserve">  el papel y la impresión;  otro material impreso:  la reimpresión de artículos publicados en revistas;  folletos;  tratados;  colecciones de textos;  manuales;  formularios de trabajo y material impreso diverso;  publicación de CD-ROM, vídeos, cintas magnéticas y otras formas de publicación electrónica.</w:t>
      </w:r>
    </w:p>
    <w:p w:rsidR="00FF5D3C" w:rsidRPr="002B0BD5" w:rsidRDefault="00FF5D3C" w:rsidP="00EF2D62">
      <w:pPr>
        <w:rPr>
          <w:rFonts w:cs="Arial"/>
          <w:lang w:val="es-ES_tradnl"/>
        </w:rPr>
      </w:pPr>
    </w:p>
    <w:p w:rsidR="0027708D" w:rsidRPr="002B0BD5" w:rsidRDefault="0027708D" w:rsidP="00E36F52">
      <w:pPr>
        <w:numPr>
          <w:ilvl w:val="0"/>
          <w:numId w:val="12"/>
        </w:numPr>
        <w:tabs>
          <w:tab w:val="clear" w:pos="1287"/>
        </w:tabs>
        <w:ind w:left="567" w:hanging="283"/>
        <w:rPr>
          <w:rFonts w:cs="Arial"/>
          <w:lang w:val="es-ES_tradnl"/>
        </w:rPr>
      </w:pPr>
      <w:r w:rsidRPr="002B0BD5">
        <w:rPr>
          <w:rFonts w:cs="Arial"/>
          <w:b/>
          <w:i/>
          <w:lang w:val="es-ES_tradnl"/>
        </w:rPr>
        <w:t>Servicios contractuales individuales</w:t>
      </w:r>
      <w:proofErr w:type="gramStart"/>
      <w:r w:rsidRPr="002B0BD5">
        <w:rPr>
          <w:rFonts w:cs="Arial"/>
          <w:lang w:val="es-ES_tradnl"/>
        </w:rPr>
        <w:t xml:space="preserve">: </w:t>
      </w:r>
      <w:r w:rsidR="006E42D6" w:rsidRPr="002B0BD5">
        <w:rPr>
          <w:rFonts w:cs="Arial"/>
          <w:lang w:val="es-ES_tradnl"/>
        </w:rPr>
        <w:t xml:space="preserve"> </w:t>
      </w:r>
      <w:r w:rsidRPr="002B0BD5">
        <w:rPr>
          <w:rFonts w:cs="Arial"/>
          <w:lang w:val="es-ES_tradnl"/>
        </w:rPr>
        <w:t>remuneración</w:t>
      </w:r>
      <w:proofErr w:type="gramEnd"/>
      <w:r w:rsidRPr="002B0BD5">
        <w:rPr>
          <w:rFonts w:cs="Arial"/>
          <w:lang w:val="es-ES_tradnl"/>
        </w:rPr>
        <w:t xml:space="preserve"> pagada en concepto de servicios contractuales individuales.  </w:t>
      </w:r>
    </w:p>
    <w:p w:rsidR="0027708D" w:rsidRPr="002B0BD5" w:rsidRDefault="0027708D" w:rsidP="00EF2D62">
      <w:pPr>
        <w:rPr>
          <w:rFonts w:cs="Arial"/>
          <w:lang w:val="es-ES_tradnl"/>
        </w:rPr>
      </w:pPr>
    </w:p>
    <w:p w:rsidR="00FF5D3C" w:rsidRPr="002B0BD5" w:rsidRDefault="0027708D" w:rsidP="00E36F52">
      <w:pPr>
        <w:numPr>
          <w:ilvl w:val="0"/>
          <w:numId w:val="12"/>
        </w:numPr>
        <w:tabs>
          <w:tab w:val="clear" w:pos="1287"/>
        </w:tabs>
        <w:ind w:left="567" w:hanging="283"/>
        <w:rPr>
          <w:rFonts w:cs="Arial"/>
          <w:lang w:val="es-ES_tradnl"/>
        </w:rPr>
      </w:pPr>
      <w:r w:rsidRPr="002B0BD5">
        <w:rPr>
          <w:rFonts w:cs="Arial"/>
          <w:b/>
          <w:i/>
          <w:lang w:val="es-ES_tradnl"/>
        </w:rPr>
        <w:t>Otros servicios contractuales</w:t>
      </w:r>
      <w:proofErr w:type="gramStart"/>
      <w:r w:rsidRPr="002B0BD5">
        <w:rPr>
          <w:rFonts w:cs="Arial"/>
          <w:b/>
          <w:i/>
          <w:lang w:val="es-ES_tradnl"/>
        </w:rPr>
        <w:t xml:space="preserve">: </w:t>
      </w:r>
      <w:r w:rsidR="006E42D6" w:rsidRPr="002B0BD5">
        <w:rPr>
          <w:rFonts w:cs="Arial"/>
          <w:b/>
          <w:i/>
          <w:lang w:val="es-ES_tradnl"/>
        </w:rPr>
        <w:t xml:space="preserve"> </w:t>
      </w:r>
      <w:r w:rsidRPr="002B0BD5">
        <w:rPr>
          <w:rFonts w:cs="Arial"/>
          <w:lang w:val="es-ES_tradnl"/>
        </w:rPr>
        <w:t>engloba</w:t>
      </w:r>
      <w:proofErr w:type="gramEnd"/>
      <w:r w:rsidRPr="002B0BD5">
        <w:rPr>
          <w:rFonts w:cs="Arial"/>
          <w:lang w:val="es-ES_tradnl"/>
        </w:rPr>
        <w:t xml:space="preserve"> los servicios contractuales restantes prestados por prestadores comerciales e institucionales de servicios</w:t>
      </w:r>
      <w:r w:rsidR="002418F6" w:rsidRPr="002B0BD5">
        <w:rPr>
          <w:rFonts w:cs="Arial"/>
          <w:lang w:val="es-ES_tradnl"/>
        </w:rPr>
        <w:t>.</w:t>
      </w:r>
    </w:p>
    <w:p w:rsidR="00FF5D3C" w:rsidRPr="002B0BD5" w:rsidRDefault="00FF5D3C" w:rsidP="00EF2D62">
      <w:pPr>
        <w:rPr>
          <w:rFonts w:cs="Arial"/>
          <w:lang w:val="es-ES_tradnl"/>
        </w:rPr>
      </w:pPr>
    </w:p>
    <w:p w:rsidR="00FF5D3C" w:rsidRPr="002B0BD5" w:rsidRDefault="00FF5D3C" w:rsidP="00EF2D62">
      <w:pPr>
        <w:rPr>
          <w:rFonts w:cs="Arial"/>
          <w:b/>
          <w:bCs/>
          <w:lang w:val="es-ES_tradnl"/>
        </w:rPr>
      </w:pPr>
      <w:bookmarkStart w:id="55" w:name="RANGE!A23"/>
    </w:p>
    <w:bookmarkEnd w:id="55"/>
    <w:p w:rsidR="00FF5D3C" w:rsidRPr="002B0BD5" w:rsidRDefault="00FF5D3C" w:rsidP="00EF2D62">
      <w:pPr>
        <w:rPr>
          <w:rFonts w:cs="Arial"/>
          <w:b/>
          <w:bCs/>
          <w:lang w:val="es-ES_tradnl"/>
        </w:rPr>
      </w:pPr>
      <w:r w:rsidRPr="002B0BD5">
        <w:rPr>
          <w:rFonts w:cs="Arial"/>
          <w:b/>
          <w:bCs/>
          <w:lang w:val="es-ES_tradnl"/>
        </w:rPr>
        <w:t>Gastos de funcionamiento</w:t>
      </w:r>
    </w:p>
    <w:p w:rsidR="00FF5D3C" w:rsidRPr="002B0BD5" w:rsidRDefault="00FF5D3C" w:rsidP="00EF2D62">
      <w:pPr>
        <w:rPr>
          <w:rFonts w:cs="Arial"/>
          <w:lang w:val="es-ES_tradnl"/>
        </w:rPr>
      </w:pPr>
    </w:p>
    <w:p w:rsidR="0027708D" w:rsidRPr="002B0BD5" w:rsidRDefault="0027708D" w:rsidP="00E36F52">
      <w:pPr>
        <w:numPr>
          <w:ilvl w:val="0"/>
          <w:numId w:val="12"/>
        </w:numPr>
        <w:tabs>
          <w:tab w:val="clear" w:pos="1287"/>
        </w:tabs>
        <w:ind w:left="567" w:hanging="283"/>
        <w:rPr>
          <w:rFonts w:cs="Arial"/>
          <w:lang w:val="es-ES_tradnl"/>
        </w:rPr>
      </w:pPr>
      <w:r w:rsidRPr="002B0BD5">
        <w:rPr>
          <w:rFonts w:cs="Arial"/>
          <w:b/>
          <w:i/>
          <w:lang w:val="es-ES_tradnl"/>
        </w:rPr>
        <w:t>Locales y mantenimiento</w:t>
      </w:r>
      <w:proofErr w:type="gramStart"/>
      <w:r w:rsidRPr="002B0BD5">
        <w:rPr>
          <w:rFonts w:cs="Arial"/>
          <w:lang w:val="es-ES_tradnl"/>
        </w:rPr>
        <w:t xml:space="preserve">: </w:t>
      </w:r>
      <w:r w:rsidR="006E42D6" w:rsidRPr="002B0BD5">
        <w:rPr>
          <w:rFonts w:cs="Arial"/>
          <w:lang w:val="es-ES_tradnl"/>
        </w:rPr>
        <w:t xml:space="preserve"> </w:t>
      </w:r>
      <w:r w:rsidRPr="002B0BD5">
        <w:rPr>
          <w:rFonts w:cs="Arial"/>
          <w:bCs/>
          <w:iCs/>
          <w:lang w:val="es-ES_tradnl"/>
        </w:rPr>
        <w:t>adquisición</w:t>
      </w:r>
      <w:proofErr w:type="gramEnd"/>
      <w:r w:rsidRPr="002B0BD5">
        <w:rPr>
          <w:rFonts w:cs="Arial"/>
          <w:lang w:val="es-ES_tradnl"/>
        </w:rPr>
        <w:t>, alquiler, mejora y mantenimiento del espacio de oficinas y alquiler o mantenimiento del equipo y el mobiliario.</w:t>
      </w:r>
    </w:p>
    <w:p w:rsidR="0027708D" w:rsidRPr="002B0BD5" w:rsidRDefault="0027708D" w:rsidP="00EF2D62">
      <w:pPr>
        <w:rPr>
          <w:rFonts w:cs="Arial"/>
          <w:lang w:val="es-ES_tradnl"/>
        </w:rPr>
      </w:pPr>
    </w:p>
    <w:p w:rsidR="0027708D" w:rsidRPr="002B0BD5" w:rsidRDefault="0027708D" w:rsidP="00E36F52">
      <w:pPr>
        <w:numPr>
          <w:ilvl w:val="0"/>
          <w:numId w:val="12"/>
        </w:numPr>
        <w:tabs>
          <w:tab w:val="clear" w:pos="1287"/>
        </w:tabs>
        <w:ind w:left="567" w:hanging="283"/>
        <w:rPr>
          <w:rFonts w:cs="Arial"/>
          <w:lang w:val="es-ES_tradnl"/>
        </w:rPr>
      </w:pPr>
      <w:r w:rsidRPr="002B0BD5">
        <w:rPr>
          <w:rFonts w:cs="Arial"/>
          <w:b/>
          <w:i/>
          <w:lang w:val="es-ES_tradnl"/>
        </w:rPr>
        <w:t>Comunicación</w:t>
      </w:r>
      <w:proofErr w:type="gramStart"/>
      <w:r w:rsidRPr="002B0BD5">
        <w:rPr>
          <w:rFonts w:cs="Arial"/>
          <w:lang w:val="es-ES_tradnl"/>
        </w:rPr>
        <w:t>:  gastos</w:t>
      </w:r>
      <w:proofErr w:type="gramEnd"/>
      <w:r w:rsidRPr="002B0BD5">
        <w:rPr>
          <w:rFonts w:cs="Arial"/>
          <w:lang w:val="es-ES_tradnl"/>
        </w:rPr>
        <w:t xml:space="preserve"> de </w:t>
      </w:r>
      <w:r w:rsidRPr="002B0BD5">
        <w:rPr>
          <w:rFonts w:cs="Arial"/>
          <w:bCs/>
          <w:iCs/>
          <w:lang w:val="es-ES_tradnl"/>
        </w:rPr>
        <w:t>comunicación</w:t>
      </w:r>
      <w:r w:rsidRPr="002B0BD5">
        <w:rPr>
          <w:rFonts w:cs="Arial"/>
          <w:lang w:val="es-ES_tradnl"/>
        </w:rPr>
        <w:t xml:space="preserve"> como los gastos de teléfono, Internet, fax y correo, franqueo y transporte de documentos. </w:t>
      </w:r>
    </w:p>
    <w:p w:rsidR="0027708D" w:rsidRPr="002B0BD5" w:rsidRDefault="0027708D" w:rsidP="00EF2D62">
      <w:pPr>
        <w:rPr>
          <w:rFonts w:cs="Arial"/>
          <w:lang w:val="es-ES_tradnl"/>
        </w:rPr>
      </w:pPr>
    </w:p>
    <w:p w:rsidR="0027708D" w:rsidRPr="002B0BD5" w:rsidRDefault="0027708D" w:rsidP="00E36F52">
      <w:pPr>
        <w:numPr>
          <w:ilvl w:val="0"/>
          <w:numId w:val="12"/>
        </w:numPr>
        <w:tabs>
          <w:tab w:val="clear" w:pos="1287"/>
        </w:tabs>
        <w:ind w:left="567" w:hanging="283"/>
        <w:rPr>
          <w:rFonts w:cs="Arial"/>
          <w:lang w:val="es-ES_tradnl"/>
        </w:rPr>
      </w:pPr>
      <w:r w:rsidRPr="002B0BD5">
        <w:rPr>
          <w:rFonts w:cs="Arial"/>
          <w:b/>
          <w:i/>
          <w:lang w:val="es-ES_tradnl"/>
        </w:rPr>
        <w:t>Representación</w:t>
      </w:r>
      <w:proofErr w:type="gramStart"/>
      <w:r w:rsidRPr="002B0BD5">
        <w:rPr>
          <w:rFonts w:cs="Arial"/>
          <w:lang w:val="es-ES_tradnl"/>
        </w:rPr>
        <w:t xml:space="preserve">: </w:t>
      </w:r>
      <w:r w:rsidR="006E42D6" w:rsidRPr="002B0BD5">
        <w:rPr>
          <w:rFonts w:cs="Arial"/>
          <w:lang w:val="es-ES_tradnl"/>
        </w:rPr>
        <w:t xml:space="preserve"> </w:t>
      </w:r>
      <w:r w:rsidRPr="002B0BD5">
        <w:rPr>
          <w:rFonts w:cs="Arial"/>
          <w:lang w:val="es-ES_tradnl"/>
        </w:rPr>
        <w:t>gastos</w:t>
      </w:r>
      <w:proofErr w:type="gramEnd"/>
      <w:r w:rsidRPr="002B0BD5">
        <w:rPr>
          <w:rFonts w:cs="Arial"/>
          <w:lang w:val="es-ES_tradnl"/>
        </w:rPr>
        <w:t xml:space="preserve"> en atenciones </w:t>
      </w:r>
      <w:r w:rsidRPr="002B0BD5">
        <w:rPr>
          <w:rFonts w:cs="Arial"/>
          <w:bCs/>
          <w:iCs/>
          <w:lang w:val="es-ES_tradnl"/>
        </w:rPr>
        <w:t>sociales</w:t>
      </w:r>
      <w:r w:rsidRPr="002B0BD5">
        <w:rPr>
          <w:rFonts w:cs="Arial"/>
          <w:lang w:val="es-ES_tradnl"/>
        </w:rPr>
        <w:t xml:space="preserve"> oficiales.</w:t>
      </w:r>
    </w:p>
    <w:p w:rsidR="0027708D" w:rsidRPr="002B0BD5" w:rsidRDefault="0027708D" w:rsidP="00EF2D62">
      <w:pPr>
        <w:rPr>
          <w:rFonts w:cs="Arial"/>
          <w:lang w:val="es-ES_tradnl"/>
        </w:rPr>
      </w:pPr>
    </w:p>
    <w:p w:rsidR="0027708D" w:rsidRPr="002B0BD5" w:rsidRDefault="0027708D" w:rsidP="00E36F52">
      <w:pPr>
        <w:numPr>
          <w:ilvl w:val="0"/>
          <w:numId w:val="12"/>
        </w:numPr>
        <w:tabs>
          <w:tab w:val="clear" w:pos="1287"/>
        </w:tabs>
        <w:ind w:left="567" w:hanging="283"/>
        <w:rPr>
          <w:rFonts w:cs="Arial"/>
          <w:lang w:val="es-ES_tradnl"/>
        </w:rPr>
      </w:pPr>
      <w:r w:rsidRPr="002B0BD5">
        <w:rPr>
          <w:rFonts w:cs="Arial"/>
          <w:b/>
          <w:i/>
          <w:lang w:val="es-ES_tradnl"/>
        </w:rPr>
        <w:t>Cargos administrativos y bancarios</w:t>
      </w:r>
      <w:proofErr w:type="gramStart"/>
      <w:r w:rsidRPr="002B0BD5">
        <w:rPr>
          <w:rFonts w:cs="Arial"/>
          <w:lang w:val="es-ES_tradnl"/>
        </w:rPr>
        <w:t>:  cargos</w:t>
      </w:r>
      <w:proofErr w:type="gramEnd"/>
      <w:r w:rsidRPr="002B0BD5">
        <w:rPr>
          <w:rFonts w:cs="Arial"/>
          <w:lang w:val="es-ES_tradnl"/>
        </w:rPr>
        <w:t xml:space="preserve"> </w:t>
      </w:r>
      <w:r w:rsidRPr="002B0BD5">
        <w:rPr>
          <w:rFonts w:cs="Arial"/>
          <w:bCs/>
          <w:iCs/>
          <w:lang w:val="es-ES_tradnl"/>
        </w:rPr>
        <w:t>bancarios</w:t>
      </w:r>
      <w:r w:rsidR="00AD50C2" w:rsidRPr="002B0BD5">
        <w:rPr>
          <w:rFonts w:cs="Arial"/>
          <w:lang w:val="es-ES_tradnl"/>
        </w:rPr>
        <w:t xml:space="preserve">;  </w:t>
      </w:r>
      <w:r w:rsidRPr="002B0BD5">
        <w:rPr>
          <w:rFonts w:cs="Arial"/>
          <w:lang w:val="es-ES_tradnl"/>
        </w:rPr>
        <w:t>ajustes por variación de los tipos de cambio</w:t>
      </w:r>
      <w:r w:rsidR="00AD50C2" w:rsidRPr="002B0BD5">
        <w:rPr>
          <w:rFonts w:cs="Arial"/>
          <w:lang w:val="es-ES_tradnl"/>
        </w:rPr>
        <w:t xml:space="preserve">;  </w:t>
      </w:r>
      <w:r w:rsidRPr="002B0BD5">
        <w:rPr>
          <w:rFonts w:cs="Arial"/>
          <w:lang w:val="es-ES_tradnl"/>
        </w:rPr>
        <w:t xml:space="preserve">contribución a la Asociación del Personal.  </w:t>
      </w:r>
    </w:p>
    <w:p w:rsidR="0027708D" w:rsidRPr="002B0BD5" w:rsidRDefault="0027708D" w:rsidP="00EF2D62">
      <w:pPr>
        <w:rPr>
          <w:rFonts w:cs="Arial"/>
          <w:lang w:val="es-ES_tradnl"/>
        </w:rPr>
      </w:pPr>
    </w:p>
    <w:p w:rsidR="00FF5D3C" w:rsidRPr="002B0BD5" w:rsidRDefault="0027708D" w:rsidP="00E36F52">
      <w:pPr>
        <w:numPr>
          <w:ilvl w:val="0"/>
          <w:numId w:val="12"/>
        </w:numPr>
        <w:tabs>
          <w:tab w:val="clear" w:pos="1287"/>
        </w:tabs>
        <w:ind w:left="567" w:hanging="283"/>
        <w:rPr>
          <w:rFonts w:cs="Arial"/>
          <w:lang w:val="es-ES_tradnl"/>
        </w:rPr>
      </w:pPr>
      <w:r w:rsidRPr="002B0BD5">
        <w:rPr>
          <w:rFonts w:cs="Arial"/>
          <w:b/>
          <w:i/>
          <w:lang w:val="es-ES_tradnl"/>
        </w:rPr>
        <w:t xml:space="preserve">Servicios en común con las </w:t>
      </w:r>
      <w:r w:rsidR="00E36F52">
        <w:rPr>
          <w:rFonts w:cs="Arial"/>
          <w:b/>
          <w:i/>
          <w:lang w:val="es-ES_tradnl"/>
        </w:rPr>
        <w:t>Naciones Unidas</w:t>
      </w:r>
      <w:proofErr w:type="gramStart"/>
      <w:r w:rsidR="006E42D6" w:rsidRPr="002B0BD5">
        <w:rPr>
          <w:rFonts w:cs="Arial"/>
          <w:lang w:val="es-ES_tradnl"/>
        </w:rPr>
        <w:t xml:space="preserve">: </w:t>
      </w:r>
      <w:r w:rsidRPr="002B0BD5">
        <w:rPr>
          <w:rFonts w:cs="Arial"/>
          <w:lang w:val="es-ES_tradnl"/>
        </w:rPr>
        <w:t xml:space="preserve"> </w:t>
      </w:r>
      <w:r w:rsidR="008F6446" w:rsidRPr="002B0BD5">
        <w:rPr>
          <w:rFonts w:cs="Arial"/>
          <w:lang w:val="es-ES_tradnl"/>
        </w:rPr>
        <w:t>a</w:t>
      </w:r>
      <w:r w:rsidRPr="002B0BD5">
        <w:rPr>
          <w:rFonts w:cs="Arial"/>
          <w:lang w:val="es-ES_tradnl"/>
        </w:rPr>
        <w:t>sistencia</w:t>
      </w:r>
      <w:proofErr w:type="gramEnd"/>
      <w:r w:rsidRPr="002B0BD5">
        <w:rPr>
          <w:rFonts w:cs="Arial"/>
          <w:lang w:val="es-ES_tradnl"/>
        </w:rPr>
        <w:t xml:space="preserve"> médica, contribuciones a las actividades administrativas comunes en el sistema de </w:t>
      </w:r>
      <w:r w:rsidR="00E36F52">
        <w:rPr>
          <w:rFonts w:cs="Arial"/>
          <w:lang w:val="es-ES_tradnl"/>
        </w:rPr>
        <w:t>las Naciones Unidas</w:t>
      </w:r>
      <w:r w:rsidRPr="002B0BD5">
        <w:rPr>
          <w:rFonts w:cs="Arial"/>
          <w:lang w:val="es-ES_tradnl"/>
        </w:rPr>
        <w:t xml:space="preserve">, actividades cofinanciadas por las </w:t>
      </w:r>
      <w:r w:rsidR="00E36F52">
        <w:rPr>
          <w:rFonts w:cs="Arial"/>
          <w:lang w:val="es-ES_tradnl"/>
        </w:rPr>
        <w:t>Naciones Unidas,</w:t>
      </w:r>
      <w:r w:rsidRPr="002B0BD5">
        <w:rPr>
          <w:rFonts w:cs="Arial"/>
          <w:lang w:val="es-ES_tradnl"/>
        </w:rPr>
        <w:t xml:space="preserve"> Tribunal Administrativo</w:t>
      </w:r>
      <w:r w:rsidR="002418F6" w:rsidRPr="002B0BD5">
        <w:rPr>
          <w:rFonts w:cs="Arial"/>
          <w:lang w:val="es-ES_tradnl"/>
        </w:rPr>
        <w:t>.</w:t>
      </w:r>
    </w:p>
    <w:p w:rsidR="00FF5D3C" w:rsidRPr="002B0BD5" w:rsidRDefault="00FF5D3C" w:rsidP="00EF2D62">
      <w:pPr>
        <w:rPr>
          <w:rFonts w:cs="Arial"/>
          <w:b/>
          <w:bCs/>
          <w:lang w:val="es-ES_tradnl"/>
        </w:rPr>
      </w:pPr>
    </w:p>
    <w:p w:rsidR="00FF5D3C" w:rsidRPr="002B0BD5" w:rsidRDefault="00FF5D3C" w:rsidP="00EF2D62">
      <w:pPr>
        <w:rPr>
          <w:rFonts w:cs="Arial"/>
          <w:b/>
          <w:bCs/>
          <w:lang w:val="es-ES_tradnl"/>
        </w:rPr>
      </w:pPr>
      <w:bookmarkStart w:id="56" w:name="RANGE!A35"/>
    </w:p>
    <w:bookmarkEnd w:id="56"/>
    <w:p w:rsidR="00FF5D3C" w:rsidRPr="00D1471F" w:rsidRDefault="00FF5D3C" w:rsidP="00EF2D62">
      <w:pPr>
        <w:rPr>
          <w:rFonts w:cs="Arial"/>
          <w:b/>
          <w:bCs/>
          <w:lang w:val="es-ES_tradnl"/>
        </w:rPr>
      </w:pPr>
      <w:r w:rsidRPr="00D1471F">
        <w:rPr>
          <w:rFonts w:cs="Arial"/>
          <w:b/>
          <w:bCs/>
          <w:lang w:val="es-ES_tradnl"/>
        </w:rPr>
        <w:t>Equipo y suministros</w:t>
      </w:r>
    </w:p>
    <w:p w:rsidR="00FF5D3C" w:rsidRPr="002B0BD5" w:rsidRDefault="00FF5D3C" w:rsidP="00EF2D62">
      <w:pPr>
        <w:rPr>
          <w:rFonts w:cs="Arial"/>
          <w:lang w:val="es-ES_tradnl"/>
        </w:rPr>
      </w:pPr>
    </w:p>
    <w:p w:rsidR="00FF5D3C" w:rsidRPr="002B0BD5" w:rsidRDefault="0027708D" w:rsidP="00E36F52">
      <w:pPr>
        <w:numPr>
          <w:ilvl w:val="0"/>
          <w:numId w:val="12"/>
        </w:numPr>
        <w:tabs>
          <w:tab w:val="clear" w:pos="1287"/>
        </w:tabs>
        <w:ind w:left="567" w:hanging="283"/>
        <w:rPr>
          <w:rFonts w:cs="Arial"/>
          <w:lang w:val="es-ES_tradnl"/>
        </w:rPr>
      </w:pPr>
      <w:r w:rsidRPr="002B0BD5">
        <w:rPr>
          <w:rFonts w:cs="Arial"/>
          <w:b/>
          <w:i/>
          <w:lang w:val="es-ES_tradnl"/>
        </w:rPr>
        <w:t>Mobiliario y equipo</w:t>
      </w:r>
      <w:proofErr w:type="gramStart"/>
      <w:r w:rsidR="006E42D6" w:rsidRPr="002B0BD5">
        <w:rPr>
          <w:rFonts w:cs="Arial"/>
          <w:lang w:val="es-ES_tradnl"/>
        </w:rPr>
        <w:t xml:space="preserve">:  </w:t>
      </w:r>
      <w:r w:rsidRPr="002B0BD5">
        <w:rPr>
          <w:rFonts w:cs="Arial"/>
          <w:lang w:val="es-ES_tradnl"/>
        </w:rPr>
        <w:t>compra</w:t>
      </w:r>
      <w:proofErr w:type="gramEnd"/>
      <w:r w:rsidRPr="002B0BD5">
        <w:rPr>
          <w:rFonts w:cs="Arial"/>
          <w:lang w:val="es-ES_tradnl"/>
        </w:rPr>
        <w:t xml:space="preserve"> de mobiliario y máquinas de oficina</w:t>
      </w:r>
      <w:r w:rsidR="00AD50C2" w:rsidRPr="002B0BD5">
        <w:rPr>
          <w:rFonts w:cs="Arial"/>
          <w:lang w:val="es-ES_tradnl"/>
        </w:rPr>
        <w:t xml:space="preserve">;  </w:t>
      </w:r>
      <w:r w:rsidRPr="002B0BD5">
        <w:rPr>
          <w:rFonts w:cs="Arial"/>
          <w:lang w:val="es-ES_tradnl"/>
        </w:rPr>
        <w:t>equipo informático (computadoras de escritorio y portátiles, impresoras, servidores, etc.)</w:t>
      </w:r>
      <w:r w:rsidR="008F6446" w:rsidRPr="002B0BD5">
        <w:rPr>
          <w:rFonts w:cs="Arial"/>
          <w:lang w:val="es-ES_tradnl"/>
        </w:rPr>
        <w:t>,</w:t>
      </w:r>
      <w:r w:rsidR="00AD50C2" w:rsidRPr="002B0BD5">
        <w:rPr>
          <w:rFonts w:cs="Arial"/>
          <w:lang w:val="es-ES_tradnl"/>
        </w:rPr>
        <w:t xml:space="preserve">  </w:t>
      </w:r>
      <w:r w:rsidRPr="002B0BD5">
        <w:rPr>
          <w:rFonts w:cs="Arial"/>
          <w:lang w:val="es-ES_tradnl"/>
        </w:rPr>
        <w:t>equipo para servicios de conferencias</w:t>
      </w:r>
      <w:r w:rsidR="008F6446" w:rsidRPr="002B0BD5">
        <w:rPr>
          <w:rFonts w:cs="Arial"/>
          <w:lang w:val="es-ES_tradnl"/>
        </w:rPr>
        <w:t>,</w:t>
      </w:r>
      <w:r w:rsidR="00AD50C2" w:rsidRPr="002B0BD5">
        <w:rPr>
          <w:rFonts w:cs="Arial"/>
          <w:lang w:val="es-ES_tradnl"/>
        </w:rPr>
        <w:t xml:space="preserve">  </w:t>
      </w:r>
      <w:r w:rsidRPr="002B0BD5">
        <w:rPr>
          <w:rFonts w:cs="Arial"/>
          <w:lang w:val="es-ES_tradnl"/>
        </w:rPr>
        <w:t>equipo de reproducción</w:t>
      </w:r>
      <w:r w:rsidR="00AD50C2" w:rsidRPr="002B0BD5">
        <w:rPr>
          <w:rFonts w:cs="Arial"/>
          <w:lang w:val="es-ES_tradnl"/>
        </w:rPr>
        <w:t xml:space="preserve">  </w:t>
      </w:r>
      <w:r w:rsidRPr="002B0BD5">
        <w:rPr>
          <w:rFonts w:cs="Arial"/>
          <w:lang w:val="es-ES_tradnl"/>
        </w:rPr>
        <w:t>y equipo de transporte</w:t>
      </w:r>
      <w:r w:rsidR="002418F6" w:rsidRPr="002B0BD5">
        <w:rPr>
          <w:rFonts w:cs="Arial"/>
          <w:lang w:val="es-ES_tradnl"/>
        </w:rPr>
        <w:t>.</w:t>
      </w:r>
    </w:p>
    <w:p w:rsidR="00FF5D3C" w:rsidRPr="002B0BD5" w:rsidRDefault="00FF5D3C" w:rsidP="00EF2D62">
      <w:pPr>
        <w:rPr>
          <w:rFonts w:cs="Arial"/>
          <w:lang w:val="es-ES_tradnl"/>
        </w:rPr>
      </w:pPr>
    </w:p>
    <w:p w:rsidR="00FF5D3C" w:rsidRPr="002B0BD5" w:rsidRDefault="00AC5BB7" w:rsidP="00E36F52">
      <w:pPr>
        <w:numPr>
          <w:ilvl w:val="0"/>
          <w:numId w:val="12"/>
        </w:numPr>
        <w:tabs>
          <w:tab w:val="clear" w:pos="1287"/>
        </w:tabs>
        <w:ind w:left="567" w:hanging="283"/>
        <w:rPr>
          <w:rFonts w:cs="Arial"/>
          <w:lang w:val="es-ES_tradnl"/>
        </w:rPr>
      </w:pPr>
      <w:r w:rsidRPr="002B0BD5">
        <w:rPr>
          <w:rFonts w:cs="Arial"/>
          <w:b/>
          <w:bCs/>
          <w:i/>
          <w:iCs/>
          <w:lang w:val="es-ES_tradnl"/>
        </w:rPr>
        <w:t>Suministros y materiales</w:t>
      </w:r>
      <w:proofErr w:type="gramStart"/>
      <w:r w:rsidR="006E42D6" w:rsidRPr="002B0BD5">
        <w:rPr>
          <w:rFonts w:cs="Arial"/>
          <w:bCs/>
          <w:iCs/>
          <w:lang w:val="es-ES_tradnl"/>
        </w:rPr>
        <w:t xml:space="preserve">:  </w:t>
      </w:r>
      <w:r w:rsidR="00FF5D3C" w:rsidRPr="002B0BD5">
        <w:rPr>
          <w:rFonts w:cs="Arial"/>
          <w:bCs/>
          <w:iCs/>
          <w:lang w:val="es-ES_tradnl"/>
        </w:rPr>
        <w:t>papelería</w:t>
      </w:r>
      <w:proofErr w:type="gramEnd"/>
      <w:r w:rsidR="00FF5D3C" w:rsidRPr="002B0BD5">
        <w:rPr>
          <w:rFonts w:cs="Arial"/>
          <w:bCs/>
          <w:iCs/>
          <w:lang w:val="es-ES_tradnl"/>
        </w:rPr>
        <w:t xml:space="preserve"> y suministros de oficina;  suministros de reproducción interna (offset, microfilmes, etcétera);  libros para la biblioteca y suscripciones a revistas y </w:t>
      </w:r>
      <w:r w:rsidR="008F6446" w:rsidRPr="002B0BD5">
        <w:rPr>
          <w:rFonts w:cs="Arial"/>
          <w:bCs/>
          <w:iCs/>
          <w:lang w:val="es-ES_tradnl"/>
        </w:rPr>
        <w:t xml:space="preserve">publicaciones </w:t>
      </w:r>
      <w:r w:rsidR="00FF5D3C" w:rsidRPr="002B0BD5">
        <w:rPr>
          <w:rFonts w:cs="Arial"/>
          <w:bCs/>
          <w:iCs/>
          <w:lang w:val="es-ES_tradnl"/>
        </w:rPr>
        <w:t>periódic</w:t>
      </w:r>
      <w:r w:rsidR="008F6446" w:rsidRPr="002B0BD5">
        <w:rPr>
          <w:rFonts w:cs="Arial"/>
          <w:bCs/>
          <w:iCs/>
          <w:lang w:val="es-ES_tradnl"/>
        </w:rPr>
        <w:t>a</w:t>
      </w:r>
      <w:r w:rsidR="00FF5D3C" w:rsidRPr="002B0BD5">
        <w:rPr>
          <w:rFonts w:cs="Arial"/>
          <w:bCs/>
          <w:iCs/>
          <w:lang w:val="es-ES_tradnl"/>
        </w:rPr>
        <w:t xml:space="preserve">s;  uniformes;  </w:t>
      </w:r>
      <w:r w:rsidR="008F6446" w:rsidRPr="002B0BD5">
        <w:rPr>
          <w:rFonts w:cs="Arial"/>
          <w:bCs/>
          <w:iCs/>
          <w:lang w:val="es-ES_tradnl"/>
        </w:rPr>
        <w:t>material para computadoras</w:t>
      </w:r>
      <w:r w:rsidR="00FF5D3C" w:rsidRPr="002B0BD5">
        <w:rPr>
          <w:rFonts w:cs="Arial"/>
          <w:bCs/>
          <w:iCs/>
          <w:lang w:val="es-ES_tradnl"/>
        </w:rPr>
        <w:t>;  programas informáticos y licencias.</w:t>
      </w:r>
    </w:p>
    <w:p w:rsidR="00FF5D3C" w:rsidRPr="002B0BD5" w:rsidRDefault="00FF5D3C" w:rsidP="00EF2D62">
      <w:pPr>
        <w:jc w:val="center"/>
        <w:rPr>
          <w:rFonts w:cs="Arial"/>
          <w:lang w:val="es-ES_tradnl"/>
        </w:rPr>
      </w:pPr>
    </w:p>
    <w:p w:rsidR="00FF5D3C" w:rsidRPr="002B0BD5" w:rsidRDefault="00FF5D3C" w:rsidP="00EF2D62">
      <w:pPr>
        <w:jc w:val="center"/>
        <w:rPr>
          <w:rFonts w:cs="Arial"/>
          <w:lang w:val="es-ES_tradnl"/>
        </w:rPr>
      </w:pPr>
    </w:p>
    <w:p w:rsidR="00FF5D3C" w:rsidRPr="002B0BD5" w:rsidRDefault="00FF5D3C" w:rsidP="00EF2D62">
      <w:pPr>
        <w:jc w:val="center"/>
        <w:rPr>
          <w:rStyle w:val="underline"/>
          <w:rFonts w:cs="Arial"/>
          <w:b/>
          <w:lang w:val="es-ES_tradnl"/>
        </w:rPr>
      </w:pPr>
      <w:r w:rsidRPr="002B0BD5">
        <w:rPr>
          <w:rStyle w:val="underline"/>
          <w:rFonts w:cs="Arial"/>
          <w:b/>
          <w:lang w:val="es-ES_tradnl"/>
        </w:rPr>
        <w:t>Programa</w:t>
      </w:r>
    </w:p>
    <w:p w:rsidR="00FF5D3C" w:rsidRPr="002B0BD5" w:rsidRDefault="00FF5D3C" w:rsidP="00EF2D62">
      <w:pPr>
        <w:jc w:val="center"/>
        <w:rPr>
          <w:rFonts w:cs="Arial"/>
          <w:lang w:val="es-ES_tradnl"/>
        </w:rPr>
      </w:pPr>
    </w:p>
    <w:p w:rsidR="00FF5D3C" w:rsidRPr="002B0BD5" w:rsidRDefault="00FF5D3C" w:rsidP="00EF2D62">
      <w:pPr>
        <w:jc w:val="center"/>
        <w:rPr>
          <w:rFonts w:cs="Arial"/>
          <w:lang w:val="es-ES_tradnl"/>
        </w:rPr>
      </w:pPr>
    </w:p>
    <w:p w:rsidR="00FF5D3C" w:rsidRPr="002B0BD5" w:rsidRDefault="00FF5D3C" w:rsidP="00EF2D62">
      <w:pPr>
        <w:rPr>
          <w:rFonts w:cs="Arial"/>
          <w:lang w:val="es-ES_tradnl"/>
        </w:rPr>
      </w:pPr>
      <w:r w:rsidRPr="002B0BD5">
        <w:rPr>
          <w:rFonts w:cs="Arial"/>
          <w:b/>
          <w:lang w:val="es-ES_tradnl"/>
        </w:rPr>
        <w:t>Programa principal</w:t>
      </w:r>
      <w:proofErr w:type="gramStart"/>
      <w:r w:rsidRPr="002B0BD5">
        <w:rPr>
          <w:rFonts w:cs="Arial"/>
          <w:b/>
          <w:lang w:val="es-ES_tradnl"/>
        </w:rPr>
        <w:t>:</w:t>
      </w:r>
      <w:r w:rsidRPr="002B0BD5">
        <w:rPr>
          <w:rFonts w:cs="Arial"/>
          <w:lang w:val="es-ES_tradnl"/>
        </w:rPr>
        <w:t xml:space="preserve">  La</w:t>
      </w:r>
      <w:proofErr w:type="gramEnd"/>
      <w:r w:rsidRPr="002B0BD5">
        <w:rPr>
          <w:rFonts w:cs="Arial"/>
          <w:lang w:val="es-ES_tradnl"/>
        </w:rPr>
        <w:t xml:space="preserve"> UPOV cuenta con un programa principal único concebido en función de la necesidad de tratar las prioridades definidas por sus miembros.  Sus objetivos principales han sido agrupados por grupo en los subprogramas.</w:t>
      </w:r>
    </w:p>
    <w:p w:rsidR="00FF5D3C" w:rsidRPr="002B0BD5" w:rsidRDefault="00FF5D3C" w:rsidP="00EF2D62">
      <w:pPr>
        <w:rPr>
          <w:rFonts w:cs="Arial"/>
          <w:lang w:val="es-ES_tradnl"/>
        </w:rPr>
      </w:pPr>
    </w:p>
    <w:p w:rsidR="00FF5D3C" w:rsidRPr="002B0BD5" w:rsidRDefault="00FF5D3C" w:rsidP="00EF2D62">
      <w:pPr>
        <w:rPr>
          <w:rFonts w:cs="Arial"/>
          <w:lang w:val="es-ES_tradnl"/>
        </w:rPr>
      </w:pPr>
      <w:r w:rsidRPr="002B0BD5">
        <w:rPr>
          <w:rFonts w:cs="Arial"/>
          <w:b/>
          <w:lang w:val="es-ES_tradnl"/>
        </w:rPr>
        <w:t>Subprogramas</w:t>
      </w:r>
      <w:proofErr w:type="gramStart"/>
      <w:r w:rsidRPr="002B0BD5">
        <w:rPr>
          <w:rFonts w:cs="Arial"/>
          <w:b/>
          <w:lang w:val="es-ES_tradnl"/>
        </w:rPr>
        <w:t>:</w:t>
      </w:r>
      <w:r w:rsidRPr="002B0BD5">
        <w:rPr>
          <w:rFonts w:cs="Arial"/>
          <w:lang w:val="es-ES_tradnl"/>
        </w:rPr>
        <w:t xml:space="preserve">  El</w:t>
      </w:r>
      <w:proofErr w:type="gramEnd"/>
      <w:r w:rsidRPr="002B0BD5">
        <w:rPr>
          <w:rFonts w:cs="Arial"/>
          <w:lang w:val="es-ES_tradnl"/>
        </w:rPr>
        <w:t xml:space="preserve"> programa principal de la UPOV está dividido en cuatro subprogramas (UV.1-UV.4).  Los progresos realizados en cada subprograma se controlan en función de objetivos predeterminados.  Ese proceso sirve de apoyo a la utilización eficaz y rentable de los recursos y al mantenimiento del sistema de rendición de cuentas para la ejecución del programa.</w:t>
      </w:r>
    </w:p>
    <w:p w:rsidR="00421639" w:rsidRPr="002B0BD5" w:rsidRDefault="00FF5D3C" w:rsidP="00EF2D62">
      <w:pPr>
        <w:pStyle w:val="endofdoc"/>
        <w:widowControl/>
        <w:rPr>
          <w:lang w:val="es-ES_tradnl"/>
        </w:rPr>
      </w:pPr>
      <w:r w:rsidRPr="002B0BD5">
        <w:rPr>
          <w:lang w:val="es-ES_tradnl"/>
        </w:rPr>
        <w:t>[Fin del Apéndice III y del documento]</w:t>
      </w:r>
    </w:p>
    <w:sectPr w:rsidR="00421639" w:rsidRPr="002B0BD5" w:rsidSect="00421639">
      <w:headerReference w:type="default" r:id="rId2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F01" w:rsidRDefault="00273F01" w:rsidP="006655D3">
      <w:r>
        <w:separator/>
      </w:r>
    </w:p>
    <w:p w:rsidR="00273F01" w:rsidRDefault="00273F01" w:rsidP="006655D3"/>
    <w:p w:rsidR="00273F01" w:rsidRDefault="00273F01" w:rsidP="006655D3"/>
  </w:endnote>
  <w:endnote w:type="continuationSeparator" w:id="0">
    <w:p w:rsidR="00273F01" w:rsidRDefault="00273F01" w:rsidP="006655D3">
      <w:r>
        <w:separator/>
      </w:r>
    </w:p>
    <w:p w:rsidR="00273F01" w:rsidRPr="00560A6D" w:rsidRDefault="00273F01">
      <w:pPr>
        <w:pStyle w:val="Footer"/>
        <w:spacing w:after="60"/>
        <w:rPr>
          <w:sz w:val="18"/>
          <w:lang w:val="fr-FR"/>
        </w:rPr>
      </w:pPr>
      <w:r w:rsidRPr="00560A6D">
        <w:rPr>
          <w:sz w:val="18"/>
          <w:lang w:val="fr-FR"/>
        </w:rPr>
        <w:t>[Suite de la note de la page précédente]</w:t>
      </w:r>
    </w:p>
    <w:p w:rsidR="00273F01" w:rsidRPr="00560A6D" w:rsidRDefault="00273F01" w:rsidP="006655D3">
      <w:pPr>
        <w:rPr>
          <w:lang w:val="fr-FR"/>
        </w:rPr>
      </w:pPr>
    </w:p>
    <w:p w:rsidR="00273F01" w:rsidRPr="00560A6D" w:rsidRDefault="00273F01" w:rsidP="006655D3">
      <w:pPr>
        <w:rPr>
          <w:lang w:val="fr-FR"/>
        </w:rPr>
      </w:pPr>
    </w:p>
  </w:endnote>
  <w:endnote w:type="continuationNotice" w:id="1">
    <w:p w:rsidR="00273F01" w:rsidRPr="00560A6D" w:rsidRDefault="00273F01" w:rsidP="006655D3">
      <w:pPr>
        <w:rPr>
          <w:lang w:val="fr-FR"/>
        </w:rPr>
      </w:pPr>
      <w:r w:rsidRPr="00560A6D">
        <w:rPr>
          <w:lang w:val="fr-FR"/>
        </w:rPr>
        <w:t>[Suite de la note page suivante]</w:t>
      </w:r>
    </w:p>
    <w:p w:rsidR="00273F01" w:rsidRPr="00560A6D" w:rsidRDefault="00273F01" w:rsidP="006655D3">
      <w:pPr>
        <w:rPr>
          <w:lang w:val="fr-FR"/>
        </w:rPr>
      </w:pPr>
    </w:p>
    <w:p w:rsidR="00273F01" w:rsidRPr="00560A6D" w:rsidRDefault="00273F0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F01" w:rsidRPr="00221F69" w:rsidRDefault="00273F01" w:rsidP="00DC3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F01" w:rsidRDefault="00273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F01" w:rsidRDefault="00273F01" w:rsidP="00C95616">
      <w:pPr>
        <w:spacing w:before="120"/>
      </w:pPr>
      <w:r>
        <w:separator/>
      </w:r>
    </w:p>
  </w:footnote>
  <w:footnote w:type="continuationSeparator" w:id="0">
    <w:p w:rsidR="00273F01" w:rsidRDefault="00273F01" w:rsidP="006655D3">
      <w:r>
        <w:separator/>
      </w:r>
    </w:p>
  </w:footnote>
  <w:footnote w:type="continuationNotice" w:id="1">
    <w:p w:rsidR="00273F01" w:rsidRPr="00A56FAA" w:rsidRDefault="00273F01"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F01" w:rsidRPr="00C5280D" w:rsidRDefault="00B131D3" w:rsidP="00AA40DB">
    <w:pPr>
      <w:pStyle w:val="Header"/>
      <w:rPr>
        <w:rStyle w:val="PageNumber"/>
      </w:rPr>
    </w:pPr>
    <w:r>
      <w:rPr>
        <w:rStyle w:val="PageNumber"/>
      </w:rPr>
      <w:t>C/47/4 Rev.</w:t>
    </w:r>
  </w:p>
  <w:p w:rsidR="00273F01" w:rsidRPr="00C5280D" w:rsidRDefault="00273F01" w:rsidP="00AA40DB">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01440A">
      <w:rPr>
        <w:rStyle w:val="PageNumber"/>
        <w:noProof/>
      </w:rPr>
      <w:t>2</w:t>
    </w:r>
    <w:r w:rsidRPr="00C5280D">
      <w:rPr>
        <w:rStyle w:val="PageNumber"/>
      </w:rPr>
      <w:fldChar w:fldCharType="end"/>
    </w:r>
  </w:p>
  <w:p w:rsidR="00273F01" w:rsidRPr="00C5280D" w:rsidRDefault="00273F01"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F01" w:rsidRPr="00C45A85" w:rsidRDefault="00B131D3" w:rsidP="00AA40DB">
    <w:pPr>
      <w:pStyle w:val="Header"/>
      <w:rPr>
        <w:rStyle w:val="PageNumber"/>
        <w:sz w:val="22"/>
      </w:rPr>
    </w:pPr>
    <w:r>
      <w:rPr>
        <w:rStyle w:val="PageNumber"/>
        <w:sz w:val="22"/>
      </w:rPr>
      <w:t>C/47/4 Rev.</w:t>
    </w:r>
  </w:p>
  <w:p w:rsidR="00273F01" w:rsidRPr="00C45A85" w:rsidRDefault="00273F01" w:rsidP="00AA40DB">
    <w:pPr>
      <w:pStyle w:val="Header"/>
    </w:pPr>
    <w:r w:rsidRPr="00C45A85">
      <w:t xml:space="preserve">Anexo, página </w:t>
    </w:r>
    <w:r w:rsidRPr="00C45A85">
      <w:rPr>
        <w:rStyle w:val="PageNumber"/>
        <w:sz w:val="22"/>
        <w:lang w:val="es-ES"/>
      </w:rPr>
      <w:fldChar w:fldCharType="begin"/>
    </w:r>
    <w:r w:rsidRPr="00C45A85">
      <w:rPr>
        <w:rStyle w:val="PageNumber"/>
        <w:sz w:val="22"/>
        <w:lang w:val="es-ES"/>
      </w:rPr>
      <w:instrText xml:space="preserve"> PAGE </w:instrText>
    </w:r>
    <w:r w:rsidRPr="00C45A85">
      <w:rPr>
        <w:rStyle w:val="PageNumber"/>
        <w:sz w:val="22"/>
        <w:lang w:val="es-ES"/>
      </w:rPr>
      <w:fldChar w:fldCharType="separate"/>
    </w:r>
    <w:r w:rsidR="00A8001C">
      <w:rPr>
        <w:rStyle w:val="PageNumber"/>
        <w:noProof/>
        <w:sz w:val="22"/>
        <w:lang w:val="es-ES"/>
      </w:rPr>
      <w:t>25</w:t>
    </w:r>
    <w:r w:rsidRPr="00C45A85">
      <w:rPr>
        <w:rStyle w:val="PageNumber"/>
        <w:sz w:val="22"/>
        <w:lang w:val="es-ES"/>
      </w:rPr>
      <w:fldChar w:fldCharType="end"/>
    </w:r>
  </w:p>
  <w:p w:rsidR="00273F01" w:rsidRPr="00C5280D" w:rsidRDefault="00273F01"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F01" w:rsidRPr="00BC3BFA" w:rsidRDefault="00B131D3" w:rsidP="00BC3BFA">
    <w:pPr>
      <w:jc w:val="center"/>
      <w:rPr>
        <w:rFonts w:cs="Arial"/>
        <w:lang w:val="es-ES_tradnl"/>
      </w:rPr>
    </w:pPr>
    <w:r>
      <w:rPr>
        <w:rFonts w:cs="Arial"/>
        <w:lang w:val="es-ES_tradnl"/>
      </w:rPr>
      <w:t>C/47/4 Rev.</w:t>
    </w:r>
  </w:p>
  <w:p w:rsidR="00273F01" w:rsidRPr="00BC3BFA" w:rsidRDefault="00273F01" w:rsidP="00BC3BFA">
    <w:pPr>
      <w:jc w:val="center"/>
      <w:rPr>
        <w:rFonts w:cs="Arial"/>
        <w:lang w:val="es-ES_tradnl"/>
      </w:rPr>
    </w:pPr>
  </w:p>
  <w:p w:rsidR="00273F01" w:rsidRPr="00BC3BFA" w:rsidRDefault="00273F01" w:rsidP="00AA40DB">
    <w:pPr>
      <w:pStyle w:val="Header"/>
    </w:pPr>
    <w:r w:rsidRPr="00BC3BFA">
      <w:t>ANEXO</w:t>
    </w:r>
  </w:p>
  <w:p w:rsidR="00273F01" w:rsidRDefault="00273F01" w:rsidP="00AA40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F01" w:rsidRPr="00C5280D" w:rsidRDefault="00273F01" w:rsidP="00AA40DB">
    <w:pPr>
      <w:pStyle w:val="Header"/>
      <w:rPr>
        <w:rStyle w:val="PageNumber"/>
      </w:rPr>
    </w:pPr>
    <w:r w:rsidRPr="00FF5D3C">
      <w:rPr>
        <w:rStyle w:val="PageNumber"/>
        <w:color w:val="008080"/>
      </w:rPr>
      <w:t>CC/85/4</w:t>
    </w:r>
  </w:p>
  <w:p w:rsidR="00273F01" w:rsidRPr="00C5280D" w:rsidRDefault="00273F01"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F01" w:rsidRPr="00F06CCB" w:rsidRDefault="00B131D3" w:rsidP="00AA40DB">
    <w:pPr>
      <w:pStyle w:val="Header"/>
      <w:rPr>
        <w:rStyle w:val="PageNumber"/>
      </w:rPr>
    </w:pPr>
    <w:r>
      <w:rPr>
        <w:rStyle w:val="PageNumber"/>
      </w:rPr>
      <w:t>C/47/4 Rev.</w:t>
    </w:r>
    <w:proofErr w:type="gramStart"/>
    <w:r w:rsidR="00273F01" w:rsidRPr="00F06CCB">
      <w:rPr>
        <w:rStyle w:val="PageNumber"/>
      </w:rPr>
      <w:t>:  ANEXO</w:t>
    </w:r>
    <w:proofErr w:type="gramEnd"/>
  </w:p>
  <w:p w:rsidR="00273F01" w:rsidRPr="005C7228" w:rsidRDefault="00273F01" w:rsidP="00AA40D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F01" w:rsidRPr="00F06CCB" w:rsidRDefault="00273F01" w:rsidP="00AA40DB">
    <w:pPr>
      <w:pStyle w:val="Header"/>
    </w:pPr>
    <w:r w:rsidRPr="00F06CCB">
      <w:rPr>
        <w:rStyle w:val="PageNumber"/>
      </w:rPr>
      <w:t>C</w:t>
    </w:r>
    <w:r w:rsidR="00B131D3">
      <w:rPr>
        <w:rStyle w:val="PageNumber"/>
      </w:rPr>
      <w:t>C/47/4 Rev.</w:t>
    </w:r>
    <w:proofErr w:type="gramStart"/>
    <w:r w:rsidRPr="00F06CCB">
      <w:rPr>
        <w:rStyle w:val="PageNumber"/>
      </w:rPr>
      <w:t xml:space="preserve">: </w:t>
    </w:r>
    <w:r w:rsidRPr="00F06CCB">
      <w:t xml:space="preserve"> ANEXO</w:t>
    </w:r>
    <w:proofErr w:type="gramEnd"/>
  </w:p>
  <w:p w:rsidR="00273F01" w:rsidRPr="00F06CCB" w:rsidRDefault="00273F01" w:rsidP="00AA40DB">
    <w:pPr>
      <w:pStyle w:val="Header"/>
      <w:rPr>
        <w:rStyle w:val="PageNumber"/>
      </w:rPr>
    </w:pPr>
    <w:r w:rsidRPr="00F06CCB">
      <w:t>Apéndice II, página 2</w:t>
    </w:r>
  </w:p>
  <w:p w:rsidR="00273F01" w:rsidRPr="00F06CCB" w:rsidRDefault="00273F01" w:rsidP="00AA40D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F01" w:rsidRPr="000F652A" w:rsidRDefault="00273F01" w:rsidP="00AA40DB">
    <w:pPr>
      <w:pStyle w:val="Header"/>
      <w:rPr>
        <w:rStyle w:val="PageNumber"/>
      </w:rPr>
    </w:pPr>
    <w:r w:rsidRPr="005D61AB">
      <w:rPr>
        <w:rStyle w:val="PageNumber"/>
      </w:rPr>
      <w:t>C</w:t>
    </w:r>
    <w:r w:rsidR="00B131D3">
      <w:rPr>
        <w:rStyle w:val="PageNumber"/>
      </w:rPr>
      <w:t>C/47/4 Rev.</w:t>
    </w:r>
    <w:proofErr w:type="gramStart"/>
    <w:r w:rsidRPr="005D61AB">
      <w:rPr>
        <w:rStyle w:val="PageNumber"/>
      </w:rPr>
      <w:t>:  ANEXO</w:t>
    </w:r>
    <w:proofErr w:type="gramEnd"/>
  </w:p>
  <w:p w:rsidR="00273F01" w:rsidRPr="00AA40DB" w:rsidRDefault="00273F01" w:rsidP="00AA40DB">
    <w:pPr>
      <w:pStyle w:val="Header"/>
      <w:rPr>
        <w:rStyle w:val="PageNumber"/>
      </w:rPr>
    </w:pPr>
    <w:r w:rsidRPr="00AA40DB">
      <w:t xml:space="preserve">Apéndice III, página </w:t>
    </w:r>
    <w:r w:rsidRPr="00AA40DB">
      <w:rPr>
        <w:rStyle w:val="PageNumber"/>
      </w:rPr>
      <w:fldChar w:fldCharType="begin"/>
    </w:r>
    <w:r w:rsidRPr="00AA40DB">
      <w:rPr>
        <w:rStyle w:val="PageNumber"/>
      </w:rPr>
      <w:instrText xml:space="preserve"> PAGE </w:instrText>
    </w:r>
    <w:r w:rsidRPr="00AA40DB">
      <w:rPr>
        <w:rStyle w:val="PageNumber"/>
      </w:rPr>
      <w:fldChar w:fldCharType="separate"/>
    </w:r>
    <w:r w:rsidR="00A8001C">
      <w:rPr>
        <w:rStyle w:val="PageNumber"/>
        <w:noProof/>
      </w:rPr>
      <w:t>2</w:t>
    </w:r>
    <w:r w:rsidRPr="00AA40DB">
      <w:rPr>
        <w:rStyle w:val="PageNumber"/>
      </w:rPr>
      <w:fldChar w:fldCharType="end"/>
    </w:r>
  </w:p>
  <w:p w:rsidR="00273F01" w:rsidRPr="000F652A" w:rsidRDefault="00273F01" w:rsidP="00AA40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2D170B"/>
    <w:multiLevelType w:val="hybridMultilevel"/>
    <w:tmpl w:val="4BC8BF5A"/>
    <w:lvl w:ilvl="0" w:tplc="1890D324">
      <w:start w:val="1"/>
      <w:numFmt w:val="lowerRoman"/>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FB0B05"/>
    <w:multiLevelType w:val="hybridMultilevel"/>
    <w:tmpl w:val="952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1A7FFC"/>
    <w:multiLevelType w:val="hybridMultilevel"/>
    <w:tmpl w:val="11A65C02"/>
    <w:lvl w:ilvl="0" w:tplc="1890D32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E1587A"/>
    <w:multiLevelType w:val="hybridMultilevel"/>
    <w:tmpl w:val="53A0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5E7006"/>
    <w:multiLevelType w:val="hybridMultilevel"/>
    <w:tmpl w:val="FCB44B40"/>
    <w:lvl w:ilvl="0" w:tplc="75FA6534">
      <w:start w:val="1"/>
      <w:numFmt w:val="decimal"/>
      <w:lvlText w:val="%1."/>
      <w:lvlJc w:val="left"/>
      <w:pPr>
        <w:tabs>
          <w:tab w:val="num" w:pos="360"/>
        </w:tabs>
        <w:ind w:left="360" w:hanging="360"/>
      </w:pPr>
    </w:lvl>
    <w:lvl w:ilvl="1" w:tplc="160E8812">
      <w:start w:val="1"/>
      <w:numFmt w:val="lowerLetter"/>
      <w:lvlText w:val="(%2)"/>
      <w:lvlJc w:val="left"/>
      <w:pPr>
        <w:tabs>
          <w:tab w:val="num" w:pos="1080"/>
        </w:tabs>
        <w:ind w:left="1080" w:hanging="360"/>
      </w:pPr>
      <w:rPr>
        <w:rFonts w:hint="default"/>
      </w:rPr>
    </w:lvl>
    <w:lvl w:ilvl="2" w:tplc="87E848DC">
      <w:start w:val="1"/>
      <w:numFmt w:val="lowerRoman"/>
      <w:lvlText w:val="(%3)"/>
      <w:lvlJc w:val="left"/>
      <w:pPr>
        <w:tabs>
          <w:tab w:val="num" w:pos="1790"/>
        </w:tabs>
        <w:ind w:left="1620" w:firstLine="0"/>
      </w:pPr>
      <w:rPr>
        <w:rFonts w:hint="default"/>
      </w:rPr>
    </w:lvl>
    <w:lvl w:ilvl="3" w:tplc="87B6F5D8">
      <w:start w:val="1"/>
      <w:numFmt w:val="decimal"/>
      <w:lvlText w:val="(%4)"/>
      <w:lvlJc w:val="left"/>
      <w:pPr>
        <w:tabs>
          <w:tab w:val="num" w:pos="2520"/>
        </w:tabs>
        <w:ind w:left="2520" w:hanging="360"/>
      </w:pPr>
      <w:rPr>
        <w:rFonts w:hint="default"/>
      </w:rPr>
    </w:lvl>
    <w:lvl w:ilvl="4" w:tplc="04090003">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nsid w:val="24726D81"/>
    <w:multiLevelType w:val="hybridMultilevel"/>
    <w:tmpl w:val="259AE5A4"/>
    <w:lvl w:ilvl="0" w:tplc="04090001">
      <w:start w:val="1"/>
      <w:numFmt w:val="bullet"/>
      <w:lvlText w:val=""/>
      <w:lvlJc w:val="left"/>
      <w:pPr>
        <w:tabs>
          <w:tab w:val="num" w:pos="1160"/>
        </w:tabs>
        <w:ind w:left="1160" w:hanging="360"/>
      </w:pPr>
      <w:rPr>
        <w:rFonts w:ascii="Symbol" w:hAnsi="Symbol" w:hint="default"/>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7">
    <w:nsid w:val="276F7D50"/>
    <w:multiLevelType w:val="hybridMultilevel"/>
    <w:tmpl w:val="E26E1252"/>
    <w:lvl w:ilvl="0" w:tplc="04090001">
      <w:start w:val="1"/>
      <w:numFmt w:val="bullet"/>
      <w:lvlText w:val=""/>
      <w:lvlJc w:val="left"/>
      <w:pPr>
        <w:tabs>
          <w:tab w:val="num" w:pos="1160"/>
        </w:tabs>
        <w:ind w:left="1160" w:hanging="360"/>
      </w:pPr>
      <w:rPr>
        <w:rFonts w:ascii="Symbol" w:hAnsi="Symbol" w:hint="default"/>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8">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7F1CA2"/>
    <w:multiLevelType w:val="hybridMultilevel"/>
    <w:tmpl w:val="449ED5AA"/>
    <w:lvl w:ilvl="0" w:tplc="04090001">
      <w:start w:val="1"/>
      <w:numFmt w:val="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cs="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cs="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nsid w:val="319B534E"/>
    <w:multiLevelType w:val="hybridMultilevel"/>
    <w:tmpl w:val="FD5C801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1583"/>
        </w:tabs>
        <w:ind w:left="1583" w:hanging="360"/>
      </w:pPr>
      <w:rPr>
        <w:rFonts w:ascii="Courier New" w:hAnsi="Courier New" w:cs="Courier New" w:hint="default"/>
      </w:rPr>
    </w:lvl>
    <w:lvl w:ilvl="2" w:tplc="04090005">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11">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386AE8"/>
    <w:multiLevelType w:val="hybridMultilevel"/>
    <w:tmpl w:val="57E2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313078"/>
    <w:multiLevelType w:val="hybridMultilevel"/>
    <w:tmpl w:val="32D6B086"/>
    <w:lvl w:ilvl="0" w:tplc="1890D32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891400"/>
    <w:multiLevelType w:val="hybridMultilevel"/>
    <w:tmpl w:val="B4245BC0"/>
    <w:lvl w:ilvl="0" w:tplc="BD7A920E">
      <w:numFmt w:val="bullet"/>
      <w:lvlText w:val="–"/>
      <w:lvlJc w:val="left"/>
      <w:pPr>
        <w:ind w:left="1494" w:hanging="360"/>
      </w:pPr>
      <w:rPr>
        <w:rFonts w:ascii="Arial" w:eastAsia="Times New Roman" w:hAnsi="Arial" w:cs="Aria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5">
    <w:nsid w:val="59530B29"/>
    <w:multiLevelType w:val="hybridMultilevel"/>
    <w:tmpl w:val="E36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5955E84"/>
    <w:multiLevelType w:val="hybridMultilevel"/>
    <w:tmpl w:val="98EC26D4"/>
    <w:lvl w:ilvl="0" w:tplc="2FA4F12A">
      <w:numFmt w:val="bullet"/>
      <w:lvlText w:val="–"/>
      <w:lvlJc w:val="left"/>
      <w:pPr>
        <w:ind w:left="1494" w:hanging="360"/>
      </w:pPr>
      <w:rPr>
        <w:rFonts w:ascii="Arial" w:eastAsia="Times New Roman" w:hAnsi="Arial" w:cs="Aria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7">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2"/>
  </w:num>
  <w:num w:numId="4">
    <w:abstractNumId w:val="15"/>
  </w:num>
  <w:num w:numId="5">
    <w:abstractNumId w:val="2"/>
  </w:num>
  <w:num w:numId="6">
    <w:abstractNumId w:val="4"/>
  </w:num>
  <w:num w:numId="7">
    <w:abstractNumId w:val="8"/>
  </w:num>
  <w:num w:numId="8">
    <w:abstractNumId w:val="17"/>
  </w:num>
  <w:num w:numId="9">
    <w:abstractNumId w:val="3"/>
  </w:num>
  <w:num w:numId="10">
    <w:abstractNumId w:val="1"/>
  </w:num>
  <w:num w:numId="11">
    <w:abstractNumId w:val="13"/>
  </w:num>
  <w:num w:numId="12">
    <w:abstractNumId w:val="10"/>
  </w:num>
  <w:num w:numId="13">
    <w:abstractNumId w:val="9"/>
  </w:num>
  <w:num w:numId="14">
    <w:abstractNumId w:val="7"/>
  </w:num>
  <w:num w:numId="15">
    <w:abstractNumId w:val="6"/>
  </w:num>
  <w:num w:numId="16">
    <w:abstractNumId w:val="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Job 33324"/>
    <w:docVar w:name="TextBaseURL" w:val="empty"/>
    <w:docVar w:name="UILng" w:val="en"/>
  </w:docVars>
  <w:rsids>
    <w:rsidRoot w:val="00A44F6C"/>
    <w:rsid w:val="00010CF3"/>
    <w:rsid w:val="00011E27"/>
    <w:rsid w:val="0001440A"/>
    <w:rsid w:val="000148BC"/>
    <w:rsid w:val="0001601D"/>
    <w:rsid w:val="000217E0"/>
    <w:rsid w:val="00024AB8"/>
    <w:rsid w:val="000307FC"/>
    <w:rsid w:val="00030854"/>
    <w:rsid w:val="00036028"/>
    <w:rsid w:val="0004373E"/>
    <w:rsid w:val="00044642"/>
    <w:rsid w:val="000446B9"/>
    <w:rsid w:val="00047AFB"/>
    <w:rsid w:val="00047E21"/>
    <w:rsid w:val="00054950"/>
    <w:rsid w:val="0005633D"/>
    <w:rsid w:val="000573DF"/>
    <w:rsid w:val="0006146E"/>
    <w:rsid w:val="000712DA"/>
    <w:rsid w:val="00073E66"/>
    <w:rsid w:val="00076151"/>
    <w:rsid w:val="00076D66"/>
    <w:rsid w:val="00085505"/>
    <w:rsid w:val="0008638A"/>
    <w:rsid w:val="0009121A"/>
    <w:rsid w:val="00094AD1"/>
    <w:rsid w:val="000A13F2"/>
    <w:rsid w:val="000A5458"/>
    <w:rsid w:val="000A68B4"/>
    <w:rsid w:val="000A7CFE"/>
    <w:rsid w:val="000B0F70"/>
    <w:rsid w:val="000C7021"/>
    <w:rsid w:val="000D6BBC"/>
    <w:rsid w:val="000D7780"/>
    <w:rsid w:val="000D7C2D"/>
    <w:rsid w:val="000F20F4"/>
    <w:rsid w:val="000F652A"/>
    <w:rsid w:val="00101832"/>
    <w:rsid w:val="00104D50"/>
    <w:rsid w:val="00105929"/>
    <w:rsid w:val="00112976"/>
    <w:rsid w:val="001131D5"/>
    <w:rsid w:val="0013632B"/>
    <w:rsid w:val="00141DB8"/>
    <w:rsid w:val="00150417"/>
    <w:rsid w:val="00151753"/>
    <w:rsid w:val="00167B98"/>
    <w:rsid w:val="0017474A"/>
    <w:rsid w:val="001758C6"/>
    <w:rsid w:val="00182B99"/>
    <w:rsid w:val="00184C4D"/>
    <w:rsid w:val="001856B5"/>
    <w:rsid w:val="001A0080"/>
    <w:rsid w:val="001A0E1A"/>
    <w:rsid w:val="001A6BDC"/>
    <w:rsid w:val="001B5703"/>
    <w:rsid w:val="001E0CF9"/>
    <w:rsid w:val="001E327C"/>
    <w:rsid w:val="00201444"/>
    <w:rsid w:val="00201B45"/>
    <w:rsid w:val="0021332C"/>
    <w:rsid w:val="00213982"/>
    <w:rsid w:val="0021446A"/>
    <w:rsid w:val="002418F6"/>
    <w:rsid w:val="0024415F"/>
    <w:rsid w:val="0024416D"/>
    <w:rsid w:val="00245F28"/>
    <w:rsid w:val="0025384C"/>
    <w:rsid w:val="002560FD"/>
    <w:rsid w:val="00273F01"/>
    <w:rsid w:val="0027708D"/>
    <w:rsid w:val="002800A0"/>
    <w:rsid w:val="002801B3"/>
    <w:rsid w:val="0028098F"/>
    <w:rsid w:val="00281060"/>
    <w:rsid w:val="002940E8"/>
    <w:rsid w:val="002A6E50"/>
    <w:rsid w:val="002B0BD5"/>
    <w:rsid w:val="002B6CFF"/>
    <w:rsid w:val="002C256A"/>
    <w:rsid w:val="002C4A47"/>
    <w:rsid w:val="002D06E1"/>
    <w:rsid w:val="002E51D8"/>
    <w:rsid w:val="0030273A"/>
    <w:rsid w:val="0030402B"/>
    <w:rsid w:val="00305A7F"/>
    <w:rsid w:val="00315280"/>
    <w:rsid w:val="003152FE"/>
    <w:rsid w:val="00325C7B"/>
    <w:rsid w:val="00327436"/>
    <w:rsid w:val="0033507D"/>
    <w:rsid w:val="00341660"/>
    <w:rsid w:val="00344BD6"/>
    <w:rsid w:val="00346788"/>
    <w:rsid w:val="0035241B"/>
    <w:rsid w:val="0035528D"/>
    <w:rsid w:val="00361821"/>
    <w:rsid w:val="00362F97"/>
    <w:rsid w:val="003856C8"/>
    <w:rsid w:val="003B550A"/>
    <w:rsid w:val="003B76FD"/>
    <w:rsid w:val="003D227C"/>
    <w:rsid w:val="003D2B4D"/>
    <w:rsid w:val="003F54EA"/>
    <w:rsid w:val="003F682E"/>
    <w:rsid w:val="00416F63"/>
    <w:rsid w:val="00420BD2"/>
    <w:rsid w:val="00421639"/>
    <w:rsid w:val="0042339F"/>
    <w:rsid w:val="004236BB"/>
    <w:rsid w:val="00444A88"/>
    <w:rsid w:val="00446789"/>
    <w:rsid w:val="00471088"/>
    <w:rsid w:val="00474DA4"/>
    <w:rsid w:val="00476B4D"/>
    <w:rsid w:val="004805FA"/>
    <w:rsid w:val="0048211D"/>
    <w:rsid w:val="00485C0A"/>
    <w:rsid w:val="00486CD9"/>
    <w:rsid w:val="00494E4B"/>
    <w:rsid w:val="004951EA"/>
    <w:rsid w:val="004B6286"/>
    <w:rsid w:val="004D047D"/>
    <w:rsid w:val="004D76C2"/>
    <w:rsid w:val="004E7B00"/>
    <w:rsid w:val="004F305A"/>
    <w:rsid w:val="00507E82"/>
    <w:rsid w:val="00512164"/>
    <w:rsid w:val="00520297"/>
    <w:rsid w:val="005338F9"/>
    <w:rsid w:val="0054281C"/>
    <w:rsid w:val="005464A6"/>
    <w:rsid w:val="0055268D"/>
    <w:rsid w:val="00560A6D"/>
    <w:rsid w:val="00561957"/>
    <w:rsid w:val="00576BE4"/>
    <w:rsid w:val="00592F40"/>
    <w:rsid w:val="005A400A"/>
    <w:rsid w:val="005A4243"/>
    <w:rsid w:val="005B0934"/>
    <w:rsid w:val="005B1E10"/>
    <w:rsid w:val="005B2FA6"/>
    <w:rsid w:val="005C0E12"/>
    <w:rsid w:val="005D431C"/>
    <w:rsid w:val="005D61AB"/>
    <w:rsid w:val="005D77D2"/>
    <w:rsid w:val="005D7C3C"/>
    <w:rsid w:val="005E348F"/>
    <w:rsid w:val="005E79BF"/>
    <w:rsid w:val="005F05B6"/>
    <w:rsid w:val="00605481"/>
    <w:rsid w:val="00612379"/>
    <w:rsid w:val="0061555F"/>
    <w:rsid w:val="0061672D"/>
    <w:rsid w:val="00630A77"/>
    <w:rsid w:val="00631856"/>
    <w:rsid w:val="00635BBC"/>
    <w:rsid w:val="00641200"/>
    <w:rsid w:val="006504E2"/>
    <w:rsid w:val="00650965"/>
    <w:rsid w:val="00653452"/>
    <w:rsid w:val="00656D37"/>
    <w:rsid w:val="006631E3"/>
    <w:rsid w:val="006655D3"/>
    <w:rsid w:val="00687EB4"/>
    <w:rsid w:val="006A62F2"/>
    <w:rsid w:val="006B17D2"/>
    <w:rsid w:val="006B2291"/>
    <w:rsid w:val="006C224E"/>
    <w:rsid w:val="006C532E"/>
    <w:rsid w:val="006C6E31"/>
    <w:rsid w:val="006D29AC"/>
    <w:rsid w:val="006D5D8F"/>
    <w:rsid w:val="006D780A"/>
    <w:rsid w:val="006E0BCE"/>
    <w:rsid w:val="006E42D6"/>
    <w:rsid w:val="006F35E5"/>
    <w:rsid w:val="006F39B1"/>
    <w:rsid w:val="006F4476"/>
    <w:rsid w:val="007115E9"/>
    <w:rsid w:val="00722B37"/>
    <w:rsid w:val="007313F2"/>
    <w:rsid w:val="00732DEC"/>
    <w:rsid w:val="00735BD5"/>
    <w:rsid w:val="00737E13"/>
    <w:rsid w:val="007425EB"/>
    <w:rsid w:val="0075335B"/>
    <w:rsid w:val="007556F6"/>
    <w:rsid w:val="00760EEF"/>
    <w:rsid w:val="00777EE5"/>
    <w:rsid w:val="007829D8"/>
    <w:rsid w:val="00784836"/>
    <w:rsid w:val="00784DBB"/>
    <w:rsid w:val="0079023E"/>
    <w:rsid w:val="00792929"/>
    <w:rsid w:val="0079624A"/>
    <w:rsid w:val="007A2854"/>
    <w:rsid w:val="007A4FCD"/>
    <w:rsid w:val="007A7840"/>
    <w:rsid w:val="007D0B9D"/>
    <w:rsid w:val="007D19B0"/>
    <w:rsid w:val="007F498F"/>
    <w:rsid w:val="00801EF0"/>
    <w:rsid w:val="008066A6"/>
    <w:rsid w:val="0080679D"/>
    <w:rsid w:val="008108B0"/>
    <w:rsid w:val="00811B20"/>
    <w:rsid w:val="0082296E"/>
    <w:rsid w:val="00823E90"/>
    <w:rsid w:val="00824099"/>
    <w:rsid w:val="00830231"/>
    <w:rsid w:val="0085263B"/>
    <w:rsid w:val="00865309"/>
    <w:rsid w:val="00867AC1"/>
    <w:rsid w:val="00882F36"/>
    <w:rsid w:val="008853D2"/>
    <w:rsid w:val="008A3C6D"/>
    <w:rsid w:val="008A743F"/>
    <w:rsid w:val="008C0970"/>
    <w:rsid w:val="008C1D8B"/>
    <w:rsid w:val="008C4275"/>
    <w:rsid w:val="008D2CF7"/>
    <w:rsid w:val="008E35A1"/>
    <w:rsid w:val="008F6446"/>
    <w:rsid w:val="00900C26"/>
    <w:rsid w:val="0090197F"/>
    <w:rsid w:val="00901A3F"/>
    <w:rsid w:val="00906DDC"/>
    <w:rsid w:val="00915EB9"/>
    <w:rsid w:val="00934E09"/>
    <w:rsid w:val="00936253"/>
    <w:rsid w:val="009425E0"/>
    <w:rsid w:val="00946029"/>
    <w:rsid w:val="00952DD4"/>
    <w:rsid w:val="0095539D"/>
    <w:rsid w:val="00964A0D"/>
    <w:rsid w:val="00966021"/>
    <w:rsid w:val="00970FED"/>
    <w:rsid w:val="009719A4"/>
    <w:rsid w:val="00974363"/>
    <w:rsid w:val="009747D9"/>
    <w:rsid w:val="009756F1"/>
    <w:rsid w:val="00986A61"/>
    <w:rsid w:val="00997029"/>
    <w:rsid w:val="009A0B7E"/>
    <w:rsid w:val="009A6280"/>
    <w:rsid w:val="009C0336"/>
    <w:rsid w:val="009D690D"/>
    <w:rsid w:val="009E65B6"/>
    <w:rsid w:val="009F3219"/>
    <w:rsid w:val="009F7D0F"/>
    <w:rsid w:val="00A24A4D"/>
    <w:rsid w:val="00A42AC3"/>
    <w:rsid w:val="00A430CF"/>
    <w:rsid w:val="00A44F6C"/>
    <w:rsid w:val="00A54309"/>
    <w:rsid w:val="00A56434"/>
    <w:rsid w:val="00A56FAA"/>
    <w:rsid w:val="00A76A85"/>
    <w:rsid w:val="00A8001C"/>
    <w:rsid w:val="00A8151A"/>
    <w:rsid w:val="00A857BC"/>
    <w:rsid w:val="00A96B04"/>
    <w:rsid w:val="00AA40DB"/>
    <w:rsid w:val="00AA536B"/>
    <w:rsid w:val="00AB0A0A"/>
    <w:rsid w:val="00AB2B93"/>
    <w:rsid w:val="00AB7E5B"/>
    <w:rsid w:val="00AC5BB7"/>
    <w:rsid w:val="00AD50C2"/>
    <w:rsid w:val="00AE0EF1"/>
    <w:rsid w:val="00AE2937"/>
    <w:rsid w:val="00AE3687"/>
    <w:rsid w:val="00B07301"/>
    <w:rsid w:val="00B12DB8"/>
    <w:rsid w:val="00B131D3"/>
    <w:rsid w:val="00B14538"/>
    <w:rsid w:val="00B224DE"/>
    <w:rsid w:val="00B27378"/>
    <w:rsid w:val="00B41068"/>
    <w:rsid w:val="00B417A5"/>
    <w:rsid w:val="00B41F30"/>
    <w:rsid w:val="00B45CA8"/>
    <w:rsid w:val="00B46575"/>
    <w:rsid w:val="00B47D5C"/>
    <w:rsid w:val="00B8035E"/>
    <w:rsid w:val="00B84BBD"/>
    <w:rsid w:val="00B859A5"/>
    <w:rsid w:val="00B87775"/>
    <w:rsid w:val="00BA25F0"/>
    <w:rsid w:val="00BA43FB"/>
    <w:rsid w:val="00BB0A3D"/>
    <w:rsid w:val="00BC127D"/>
    <w:rsid w:val="00BC1FE6"/>
    <w:rsid w:val="00BC3BFA"/>
    <w:rsid w:val="00BD3B21"/>
    <w:rsid w:val="00BE04D9"/>
    <w:rsid w:val="00BE70AC"/>
    <w:rsid w:val="00BF0818"/>
    <w:rsid w:val="00BF78EF"/>
    <w:rsid w:val="00C061B6"/>
    <w:rsid w:val="00C2446C"/>
    <w:rsid w:val="00C36AE5"/>
    <w:rsid w:val="00C41F17"/>
    <w:rsid w:val="00C45A85"/>
    <w:rsid w:val="00C50FD0"/>
    <w:rsid w:val="00C51D44"/>
    <w:rsid w:val="00C5280D"/>
    <w:rsid w:val="00C56AAD"/>
    <w:rsid w:val="00C5791C"/>
    <w:rsid w:val="00C63B52"/>
    <w:rsid w:val="00C651CE"/>
    <w:rsid w:val="00C66290"/>
    <w:rsid w:val="00C724E7"/>
    <w:rsid w:val="00C72B7A"/>
    <w:rsid w:val="00C731EF"/>
    <w:rsid w:val="00C740F2"/>
    <w:rsid w:val="00C95616"/>
    <w:rsid w:val="00C973F2"/>
    <w:rsid w:val="00CA304C"/>
    <w:rsid w:val="00CA3BA8"/>
    <w:rsid w:val="00CA774A"/>
    <w:rsid w:val="00CA77D0"/>
    <w:rsid w:val="00CB720E"/>
    <w:rsid w:val="00CB75C1"/>
    <w:rsid w:val="00CC11B0"/>
    <w:rsid w:val="00CF7E36"/>
    <w:rsid w:val="00D1471F"/>
    <w:rsid w:val="00D26E03"/>
    <w:rsid w:val="00D3708D"/>
    <w:rsid w:val="00D40426"/>
    <w:rsid w:val="00D40B03"/>
    <w:rsid w:val="00D541D0"/>
    <w:rsid w:val="00D57C96"/>
    <w:rsid w:val="00D67D01"/>
    <w:rsid w:val="00D906BE"/>
    <w:rsid w:val="00D91203"/>
    <w:rsid w:val="00D942DC"/>
    <w:rsid w:val="00D95174"/>
    <w:rsid w:val="00DA0559"/>
    <w:rsid w:val="00DA6F36"/>
    <w:rsid w:val="00DB1940"/>
    <w:rsid w:val="00DB593C"/>
    <w:rsid w:val="00DB596E"/>
    <w:rsid w:val="00DB6B6B"/>
    <w:rsid w:val="00DC00EA"/>
    <w:rsid w:val="00DC35EC"/>
    <w:rsid w:val="00DC3E44"/>
    <w:rsid w:val="00DD18EE"/>
    <w:rsid w:val="00DD4DAE"/>
    <w:rsid w:val="00DE14BA"/>
    <w:rsid w:val="00E20BE0"/>
    <w:rsid w:val="00E23C6A"/>
    <w:rsid w:val="00E32CBA"/>
    <w:rsid w:val="00E32F7E"/>
    <w:rsid w:val="00E33A50"/>
    <w:rsid w:val="00E36F52"/>
    <w:rsid w:val="00E41A9D"/>
    <w:rsid w:val="00E53156"/>
    <w:rsid w:val="00E62CBD"/>
    <w:rsid w:val="00E64320"/>
    <w:rsid w:val="00E72D49"/>
    <w:rsid w:val="00E73F3D"/>
    <w:rsid w:val="00E745D6"/>
    <w:rsid w:val="00E7593C"/>
    <w:rsid w:val="00E7678A"/>
    <w:rsid w:val="00E80F31"/>
    <w:rsid w:val="00E935F1"/>
    <w:rsid w:val="00E94A81"/>
    <w:rsid w:val="00EA0320"/>
    <w:rsid w:val="00EA16ED"/>
    <w:rsid w:val="00EA1FFB"/>
    <w:rsid w:val="00EB048E"/>
    <w:rsid w:val="00EC2F57"/>
    <w:rsid w:val="00ED0B5B"/>
    <w:rsid w:val="00ED32C1"/>
    <w:rsid w:val="00EE34DF"/>
    <w:rsid w:val="00EE6EF2"/>
    <w:rsid w:val="00EF2D62"/>
    <w:rsid w:val="00EF2F89"/>
    <w:rsid w:val="00EF3628"/>
    <w:rsid w:val="00EF6346"/>
    <w:rsid w:val="00F06CCB"/>
    <w:rsid w:val="00F10700"/>
    <w:rsid w:val="00F1237A"/>
    <w:rsid w:val="00F214B3"/>
    <w:rsid w:val="00F22CBD"/>
    <w:rsid w:val="00F333C3"/>
    <w:rsid w:val="00F41D77"/>
    <w:rsid w:val="00F45372"/>
    <w:rsid w:val="00F560F7"/>
    <w:rsid w:val="00F56C99"/>
    <w:rsid w:val="00F6334D"/>
    <w:rsid w:val="00F73EDC"/>
    <w:rsid w:val="00F8026F"/>
    <w:rsid w:val="00F80602"/>
    <w:rsid w:val="00F84365"/>
    <w:rsid w:val="00F93AB4"/>
    <w:rsid w:val="00FA1B68"/>
    <w:rsid w:val="00FA49AB"/>
    <w:rsid w:val="00FC2AA8"/>
    <w:rsid w:val="00FE2F44"/>
    <w:rsid w:val="00FE39C7"/>
    <w:rsid w:val="00FF08D0"/>
    <w:rsid w:val="00FF2BD6"/>
    <w:rsid w:val="00FF50C7"/>
    <w:rsid w:val="00FF5D3C"/>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4BA"/>
    <w:pPr>
      <w:jc w:val="both"/>
    </w:pPr>
    <w:rPr>
      <w:rFonts w:ascii="Arial" w:hAnsi="Arial"/>
    </w:rPr>
  </w:style>
  <w:style w:type="paragraph" w:styleId="Heading1">
    <w:name w:val="heading 1"/>
    <w:next w:val="Normal"/>
    <w:autoRedefine/>
    <w:qFormat/>
    <w:rsid w:val="008C1D8B"/>
    <w:pPr>
      <w:keepNext/>
      <w:outlineLvl w:val="0"/>
    </w:pPr>
    <w:rPr>
      <w:rFonts w:ascii="Arial" w:hAnsi="Arial"/>
      <w:b/>
      <w:bCs/>
      <w:caps/>
      <w:lang w:val="es-ES_tradnl"/>
    </w:rPr>
  </w:style>
  <w:style w:type="paragraph" w:styleId="Heading2">
    <w:name w:val="heading 2"/>
    <w:next w:val="Normal"/>
    <w:autoRedefine/>
    <w:qFormat/>
    <w:rsid w:val="008C1D8B"/>
    <w:pPr>
      <w:keepNext/>
      <w:tabs>
        <w:tab w:val="left" w:pos="567"/>
      </w:tabs>
      <w:ind w:left="2835" w:hanging="2835"/>
      <w:outlineLvl w:val="1"/>
    </w:pPr>
    <w:rPr>
      <w:rFonts w:ascii="Arial" w:hAnsi="Arial"/>
      <w:b/>
      <w:bCs/>
      <w:u w:val="single"/>
      <w:lang w:val="es-ES_tradnl"/>
    </w:rPr>
  </w:style>
  <w:style w:type="paragraph" w:styleId="Heading3">
    <w:name w:val="heading 3"/>
    <w:next w:val="Normal"/>
    <w:autoRedefine/>
    <w:qFormat/>
    <w:rsid w:val="005D431C"/>
    <w:pPr>
      <w:outlineLvl w:val="2"/>
    </w:pPr>
    <w:rPr>
      <w:rFonts w:ascii="Arial" w:hAnsi="Arial"/>
      <w:b/>
      <w:bCs/>
      <w:iCs/>
      <w:lang w:val="es-ES_tradnl"/>
    </w:rPr>
  </w:style>
  <w:style w:type="paragraph" w:styleId="Heading4">
    <w:name w:val="heading 4"/>
    <w:next w:val="Normal"/>
    <w:autoRedefine/>
    <w:qFormat/>
    <w:rsid w:val="00E80F31"/>
    <w:pPr>
      <w:keepNext/>
      <w:ind w:left="567"/>
      <w:jc w:val="center"/>
      <w:outlineLvl w:val="3"/>
    </w:pPr>
    <w:rPr>
      <w:rFonts w:ascii="Arial" w:hAnsi="Arial"/>
      <w:b/>
      <w:bCs/>
      <w:iCs/>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AA40DB"/>
    <w:pPr>
      <w:tabs>
        <w:tab w:val="center" w:pos="4536"/>
        <w:tab w:val="right" w:pos="9072"/>
      </w:tabs>
      <w:jc w:val="center"/>
    </w:pPr>
    <w:rPr>
      <w:rFonts w:ascii="Arial" w:hAnsi="Arial"/>
      <w:lang w:val="es-ES_tradn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CA3BA8"/>
    <w:pPr>
      <w:widowControl w:val="0"/>
      <w:spacing w:before="36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094AD1"/>
    <w:pPr>
      <w:tabs>
        <w:tab w:val="right" w:leader="dot" w:pos="9639"/>
      </w:tabs>
      <w:spacing w:before="120"/>
      <w:ind w:left="1134" w:right="851" w:hanging="567"/>
      <w:contextualSpacing/>
    </w:pPr>
    <w:rPr>
      <w:rFonts w:ascii="Arial" w:hAnsi="Arial"/>
      <w:noProof/>
    </w:rPr>
  </w:style>
  <w:style w:type="paragraph" w:styleId="TOC3">
    <w:name w:val="toc 3"/>
    <w:next w:val="Normal"/>
    <w:autoRedefine/>
    <w:uiPriority w:val="39"/>
    <w:rsid w:val="00094AD1"/>
    <w:pPr>
      <w:tabs>
        <w:tab w:val="left" w:pos="1276"/>
        <w:tab w:val="right" w:leader="dot" w:pos="9639"/>
      </w:tabs>
      <w:spacing w:before="120"/>
      <w:ind w:left="170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uiPriority w:val="39"/>
    <w:rsid w:val="00094AD1"/>
    <w:pPr>
      <w:tabs>
        <w:tab w:val="right" w:leader="dot" w:pos="9639"/>
      </w:tabs>
      <w:spacing w:before="120"/>
      <w:ind w:left="1560" w:right="851" w:hanging="993"/>
    </w:pPr>
    <w:rPr>
      <w:rFonts w:ascii="Arial" w:hAnsi="Arial"/>
      <w:iCs/>
      <w:noProof/>
      <w:lang w:val="fr-FR"/>
    </w:rPr>
  </w:style>
  <w:style w:type="paragraph" w:styleId="TOC1">
    <w:name w:val="toc 1"/>
    <w:next w:val="Normal"/>
    <w:autoRedefine/>
    <w:uiPriority w:val="39"/>
    <w:rsid w:val="0024415F"/>
    <w:pPr>
      <w:tabs>
        <w:tab w:val="right" w:leader="dot" w:pos="9639"/>
      </w:tabs>
      <w:ind w:left="567" w:right="284" w:hanging="567"/>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table" w:styleId="TableGrid">
    <w:name w:val="Table Grid"/>
    <w:basedOn w:val="TableNormal"/>
    <w:rsid w:val="00A44F6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4Normal">
    <w:name w:val="Inf_4_Normal"/>
    <w:basedOn w:val="Normal"/>
    <w:rsid w:val="00421639"/>
    <w:pPr>
      <w:spacing w:before="108"/>
    </w:pPr>
    <w:rPr>
      <w:rFonts w:ascii="Times New Roman" w:hAnsi="Times New Roman"/>
      <w:sz w:val="24"/>
    </w:rPr>
  </w:style>
  <w:style w:type="paragraph" w:customStyle="1" w:styleId="Inf4Heading4">
    <w:name w:val="Inf_4_Heading_4"/>
    <w:basedOn w:val="Heading4"/>
    <w:next w:val="Normal"/>
    <w:rsid w:val="00421639"/>
    <w:pPr>
      <w:spacing w:before="120"/>
      <w:ind w:left="0"/>
    </w:pPr>
    <w:rPr>
      <w:rFonts w:ascii="Times New Roman" w:hAnsi="Times New Roman"/>
      <w:b w:val="0"/>
      <w:bCs w:val="0"/>
      <w:i/>
      <w:sz w:val="22"/>
      <w:lang w:val="en-US"/>
    </w:rPr>
  </w:style>
  <w:style w:type="paragraph" w:customStyle="1" w:styleId="Inf4Heading6">
    <w:name w:val="Inf_4_Heading_6"/>
    <w:basedOn w:val="Normal"/>
    <w:rsid w:val="00421639"/>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421639"/>
    <w:pPr>
      <w:spacing w:before="240"/>
    </w:pPr>
    <w:rPr>
      <w:rFonts w:ascii="Times New Roman" w:hAnsi="Times New Roman"/>
      <w:b w:val="0"/>
      <w:bCs w:val="0"/>
      <w:i/>
      <w:sz w:val="24"/>
    </w:rPr>
  </w:style>
  <w:style w:type="paragraph" w:customStyle="1" w:styleId="ZchnZchn1">
    <w:name w:val="Zchn Zchn1"/>
    <w:basedOn w:val="Normal"/>
    <w:rsid w:val="00421639"/>
    <w:pPr>
      <w:spacing w:after="160" w:line="240" w:lineRule="exact"/>
      <w:jc w:val="left"/>
    </w:pPr>
    <w:rPr>
      <w:rFonts w:ascii="Verdana" w:eastAsia="PMingLiU" w:hAnsi="Verdana"/>
    </w:rPr>
  </w:style>
  <w:style w:type="paragraph" w:styleId="Subtitle">
    <w:name w:val="Subtitle"/>
    <w:basedOn w:val="Normal"/>
    <w:link w:val="SubtitleChar"/>
    <w:qFormat/>
    <w:rsid w:val="00421639"/>
    <w:pPr>
      <w:jc w:val="center"/>
    </w:pPr>
    <w:rPr>
      <w:rFonts w:ascii="Times New Roman" w:hAnsi="Times New Roman"/>
      <w:b/>
      <w:caps/>
      <w:color w:val="0000FF"/>
      <w:sz w:val="28"/>
    </w:rPr>
  </w:style>
  <w:style w:type="character" w:customStyle="1" w:styleId="SubtitleChar">
    <w:name w:val="Subtitle Char"/>
    <w:basedOn w:val="DefaultParagraphFont"/>
    <w:link w:val="Subtitle"/>
    <w:rsid w:val="00421639"/>
    <w:rPr>
      <w:b/>
      <w:caps/>
      <w:color w:val="0000FF"/>
      <w:sz w:val="28"/>
    </w:rPr>
  </w:style>
  <w:style w:type="character" w:customStyle="1" w:styleId="underline">
    <w:name w:val="underline"/>
    <w:basedOn w:val="DefaultParagraphFont"/>
    <w:rsid w:val="00421639"/>
    <w:rPr>
      <w:u w:val="single"/>
    </w:rPr>
  </w:style>
  <w:style w:type="paragraph" w:customStyle="1" w:styleId="zanxtext">
    <w:name w:val="zanxtext"/>
    <w:basedOn w:val="Normal"/>
    <w:rsid w:val="002418F6"/>
    <w:pPr>
      <w:spacing w:before="120"/>
      <w:jc w:val="left"/>
    </w:pPr>
    <w:rPr>
      <w:rFonts w:ascii="Times New Roman" w:hAnsi="Times New Roman"/>
      <w:sz w:val="24"/>
    </w:rPr>
  </w:style>
  <w:style w:type="paragraph" w:styleId="ListParagraph">
    <w:name w:val="List Paragraph"/>
    <w:basedOn w:val="Normal"/>
    <w:uiPriority w:val="34"/>
    <w:qFormat/>
    <w:rsid w:val="00BC3BFA"/>
    <w:pPr>
      <w:ind w:left="720"/>
      <w:contextualSpacing/>
    </w:pPr>
  </w:style>
  <w:style w:type="paragraph" w:styleId="TOCHeading">
    <w:name w:val="TOC Heading"/>
    <w:basedOn w:val="Heading1"/>
    <w:next w:val="Normal"/>
    <w:uiPriority w:val="39"/>
    <w:unhideWhenUsed/>
    <w:qFormat/>
    <w:rsid w:val="00964A0D"/>
    <w:pPr>
      <w:keepLines/>
      <w:spacing w:before="480" w:line="276" w:lineRule="auto"/>
      <w:outlineLvl w:val="9"/>
    </w:pPr>
    <w:rPr>
      <w:rFonts w:asciiTheme="majorHAnsi" w:eastAsiaTheme="majorEastAsia" w:hAnsiTheme="majorHAnsi" w:cstheme="majorBidi"/>
      <w:b w:val="0"/>
      <w:bCs w:val="0"/>
      <w:caps w:val="0"/>
      <w:color w:val="365F91" w:themeColor="accent1" w:themeShade="BF"/>
      <w:sz w:val="28"/>
      <w:szCs w:val="28"/>
      <w:lang w:val="en-US" w:eastAsia="ja-JP"/>
    </w:rPr>
  </w:style>
  <w:style w:type="paragraph" w:customStyle="1" w:styleId="Endofdocument">
    <w:name w:val="End of document"/>
    <w:basedOn w:val="Normal"/>
    <w:rsid w:val="00273F01"/>
    <w:pPr>
      <w:ind w:left="4536"/>
      <w:jc w:val="center"/>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4BA"/>
    <w:pPr>
      <w:jc w:val="both"/>
    </w:pPr>
    <w:rPr>
      <w:rFonts w:ascii="Arial" w:hAnsi="Arial"/>
    </w:rPr>
  </w:style>
  <w:style w:type="paragraph" w:styleId="Heading1">
    <w:name w:val="heading 1"/>
    <w:next w:val="Normal"/>
    <w:autoRedefine/>
    <w:qFormat/>
    <w:rsid w:val="008C1D8B"/>
    <w:pPr>
      <w:keepNext/>
      <w:outlineLvl w:val="0"/>
    </w:pPr>
    <w:rPr>
      <w:rFonts w:ascii="Arial" w:hAnsi="Arial"/>
      <w:b/>
      <w:bCs/>
      <w:caps/>
      <w:lang w:val="es-ES_tradnl"/>
    </w:rPr>
  </w:style>
  <w:style w:type="paragraph" w:styleId="Heading2">
    <w:name w:val="heading 2"/>
    <w:next w:val="Normal"/>
    <w:autoRedefine/>
    <w:qFormat/>
    <w:rsid w:val="008C1D8B"/>
    <w:pPr>
      <w:keepNext/>
      <w:tabs>
        <w:tab w:val="left" w:pos="567"/>
      </w:tabs>
      <w:ind w:left="2835" w:hanging="2835"/>
      <w:outlineLvl w:val="1"/>
    </w:pPr>
    <w:rPr>
      <w:rFonts w:ascii="Arial" w:hAnsi="Arial"/>
      <w:b/>
      <w:bCs/>
      <w:u w:val="single"/>
      <w:lang w:val="es-ES_tradnl"/>
    </w:rPr>
  </w:style>
  <w:style w:type="paragraph" w:styleId="Heading3">
    <w:name w:val="heading 3"/>
    <w:next w:val="Normal"/>
    <w:autoRedefine/>
    <w:qFormat/>
    <w:rsid w:val="005D431C"/>
    <w:pPr>
      <w:outlineLvl w:val="2"/>
    </w:pPr>
    <w:rPr>
      <w:rFonts w:ascii="Arial" w:hAnsi="Arial"/>
      <w:b/>
      <w:bCs/>
      <w:iCs/>
      <w:lang w:val="es-ES_tradnl"/>
    </w:rPr>
  </w:style>
  <w:style w:type="paragraph" w:styleId="Heading4">
    <w:name w:val="heading 4"/>
    <w:next w:val="Normal"/>
    <w:autoRedefine/>
    <w:qFormat/>
    <w:rsid w:val="00E80F31"/>
    <w:pPr>
      <w:keepNext/>
      <w:ind w:left="567"/>
      <w:jc w:val="center"/>
      <w:outlineLvl w:val="3"/>
    </w:pPr>
    <w:rPr>
      <w:rFonts w:ascii="Arial" w:hAnsi="Arial"/>
      <w:b/>
      <w:bCs/>
      <w:iCs/>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AA40DB"/>
    <w:pPr>
      <w:tabs>
        <w:tab w:val="center" w:pos="4536"/>
        <w:tab w:val="right" w:pos="9072"/>
      </w:tabs>
      <w:jc w:val="center"/>
    </w:pPr>
    <w:rPr>
      <w:rFonts w:ascii="Arial" w:hAnsi="Arial"/>
      <w:lang w:val="es-ES_tradn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CA3BA8"/>
    <w:pPr>
      <w:widowControl w:val="0"/>
      <w:spacing w:before="36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094AD1"/>
    <w:pPr>
      <w:tabs>
        <w:tab w:val="right" w:leader="dot" w:pos="9639"/>
      </w:tabs>
      <w:spacing w:before="120"/>
      <w:ind w:left="1134" w:right="851" w:hanging="567"/>
      <w:contextualSpacing/>
    </w:pPr>
    <w:rPr>
      <w:rFonts w:ascii="Arial" w:hAnsi="Arial"/>
      <w:noProof/>
    </w:rPr>
  </w:style>
  <w:style w:type="paragraph" w:styleId="TOC3">
    <w:name w:val="toc 3"/>
    <w:next w:val="Normal"/>
    <w:autoRedefine/>
    <w:uiPriority w:val="39"/>
    <w:rsid w:val="00094AD1"/>
    <w:pPr>
      <w:tabs>
        <w:tab w:val="left" w:pos="1276"/>
        <w:tab w:val="right" w:leader="dot" w:pos="9639"/>
      </w:tabs>
      <w:spacing w:before="120"/>
      <w:ind w:left="170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uiPriority w:val="39"/>
    <w:rsid w:val="00094AD1"/>
    <w:pPr>
      <w:tabs>
        <w:tab w:val="right" w:leader="dot" w:pos="9639"/>
      </w:tabs>
      <w:spacing w:before="120"/>
      <w:ind w:left="1560" w:right="851" w:hanging="993"/>
    </w:pPr>
    <w:rPr>
      <w:rFonts w:ascii="Arial" w:hAnsi="Arial"/>
      <w:iCs/>
      <w:noProof/>
      <w:lang w:val="fr-FR"/>
    </w:rPr>
  </w:style>
  <w:style w:type="paragraph" w:styleId="TOC1">
    <w:name w:val="toc 1"/>
    <w:next w:val="Normal"/>
    <w:autoRedefine/>
    <w:uiPriority w:val="39"/>
    <w:rsid w:val="0024415F"/>
    <w:pPr>
      <w:tabs>
        <w:tab w:val="right" w:leader="dot" w:pos="9639"/>
      </w:tabs>
      <w:ind w:left="567" w:right="284" w:hanging="567"/>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table" w:styleId="TableGrid">
    <w:name w:val="Table Grid"/>
    <w:basedOn w:val="TableNormal"/>
    <w:rsid w:val="00A44F6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4Normal">
    <w:name w:val="Inf_4_Normal"/>
    <w:basedOn w:val="Normal"/>
    <w:rsid w:val="00421639"/>
    <w:pPr>
      <w:spacing w:before="108"/>
    </w:pPr>
    <w:rPr>
      <w:rFonts w:ascii="Times New Roman" w:hAnsi="Times New Roman"/>
      <w:sz w:val="24"/>
    </w:rPr>
  </w:style>
  <w:style w:type="paragraph" w:customStyle="1" w:styleId="Inf4Heading4">
    <w:name w:val="Inf_4_Heading_4"/>
    <w:basedOn w:val="Heading4"/>
    <w:next w:val="Normal"/>
    <w:rsid w:val="00421639"/>
    <w:pPr>
      <w:spacing w:before="120"/>
      <w:ind w:left="0"/>
    </w:pPr>
    <w:rPr>
      <w:rFonts w:ascii="Times New Roman" w:hAnsi="Times New Roman"/>
      <w:b w:val="0"/>
      <w:bCs w:val="0"/>
      <w:i/>
      <w:sz w:val="22"/>
      <w:lang w:val="en-US"/>
    </w:rPr>
  </w:style>
  <w:style w:type="paragraph" w:customStyle="1" w:styleId="Inf4Heading6">
    <w:name w:val="Inf_4_Heading_6"/>
    <w:basedOn w:val="Normal"/>
    <w:rsid w:val="00421639"/>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421639"/>
    <w:pPr>
      <w:spacing w:before="240"/>
    </w:pPr>
    <w:rPr>
      <w:rFonts w:ascii="Times New Roman" w:hAnsi="Times New Roman"/>
      <w:b w:val="0"/>
      <w:bCs w:val="0"/>
      <w:i/>
      <w:sz w:val="24"/>
    </w:rPr>
  </w:style>
  <w:style w:type="paragraph" w:customStyle="1" w:styleId="ZchnZchn1">
    <w:name w:val="Zchn Zchn1"/>
    <w:basedOn w:val="Normal"/>
    <w:rsid w:val="00421639"/>
    <w:pPr>
      <w:spacing w:after="160" w:line="240" w:lineRule="exact"/>
      <w:jc w:val="left"/>
    </w:pPr>
    <w:rPr>
      <w:rFonts w:ascii="Verdana" w:eastAsia="PMingLiU" w:hAnsi="Verdana"/>
    </w:rPr>
  </w:style>
  <w:style w:type="paragraph" w:styleId="Subtitle">
    <w:name w:val="Subtitle"/>
    <w:basedOn w:val="Normal"/>
    <w:link w:val="SubtitleChar"/>
    <w:qFormat/>
    <w:rsid w:val="00421639"/>
    <w:pPr>
      <w:jc w:val="center"/>
    </w:pPr>
    <w:rPr>
      <w:rFonts w:ascii="Times New Roman" w:hAnsi="Times New Roman"/>
      <w:b/>
      <w:caps/>
      <w:color w:val="0000FF"/>
      <w:sz w:val="28"/>
    </w:rPr>
  </w:style>
  <w:style w:type="character" w:customStyle="1" w:styleId="SubtitleChar">
    <w:name w:val="Subtitle Char"/>
    <w:basedOn w:val="DefaultParagraphFont"/>
    <w:link w:val="Subtitle"/>
    <w:rsid w:val="00421639"/>
    <w:rPr>
      <w:b/>
      <w:caps/>
      <w:color w:val="0000FF"/>
      <w:sz w:val="28"/>
    </w:rPr>
  </w:style>
  <w:style w:type="character" w:customStyle="1" w:styleId="underline">
    <w:name w:val="underline"/>
    <w:basedOn w:val="DefaultParagraphFont"/>
    <w:rsid w:val="00421639"/>
    <w:rPr>
      <w:u w:val="single"/>
    </w:rPr>
  </w:style>
  <w:style w:type="paragraph" w:customStyle="1" w:styleId="zanxtext">
    <w:name w:val="zanxtext"/>
    <w:basedOn w:val="Normal"/>
    <w:rsid w:val="002418F6"/>
    <w:pPr>
      <w:spacing w:before="120"/>
      <w:jc w:val="left"/>
    </w:pPr>
    <w:rPr>
      <w:rFonts w:ascii="Times New Roman" w:hAnsi="Times New Roman"/>
      <w:sz w:val="24"/>
    </w:rPr>
  </w:style>
  <w:style w:type="paragraph" w:styleId="ListParagraph">
    <w:name w:val="List Paragraph"/>
    <w:basedOn w:val="Normal"/>
    <w:uiPriority w:val="34"/>
    <w:qFormat/>
    <w:rsid w:val="00BC3BFA"/>
    <w:pPr>
      <w:ind w:left="720"/>
      <w:contextualSpacing/>
    </w:pPr>
  </w:style>
  <w:style w:type="paragraph" w:styleId="TOCHeading">
    <w:name w:val="TOC Heading"/>
    <w:basedOn w:val="Heading1"/>
    <w:next w:val="Normal"/>
    <w:uiPriority w:val="39"/>
    <w:unhideWhenUsed/>
    <w:qFormat/>
    <w:rsid w:val="00964A0D"/>
    <w:pPr>
      <w:keepLines/>
      <w:spacing w:before="480" w:line="276" w:lineRule="auto"/>
      <w:outlineLvl w:val="9"/>
    </w:pPr>
    <w:rPr>
      <w:rFonts w:asciiTheme="majorHAnsi" w:eastAsiaTheme="majorEastAsia" w:hAnsiTheme="majorHAnsi" w:cstheme="majorBidi"/>
      <w:b w:val="0"/>
      <w:bCs w:val="0"/>
      <w:caps w:val="0"/>
      <w:color w:val="365F91" w:themeColor="accent1" w:themeShade="BF"/>
      <w:sz w:val="28"/>
      <w:szCs w:val="28"/>
      <w:lang w:val="en-US" w:eastAsia="ja-JP"/>
    </w:rPr>
  </w:style>
  <w:style w:type="paragraph" w:customStyle="1" w:styleId="Endofdocument">
    <w:name w:val="End of document"/>
    <w:basedOn w:val="Normal"/>
    <w:rsid w:val="00273F01"/>
    <w:pPr>
      <w:ind w:left="4536"/>
      <w:jc w:val="center"/>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7569">
      <w:bodyDiv w:val="1"/>
      <w:marLeft w:val="0"/>
      <w:marRight w:val="0"/>
      <w:marTop w:val="0"/>
      <w:marBottom w:val="0"/>
      <w:divBdr>
        <w:top w:val="none" w:sz="0" w:space="0" w:color="auto"/>
        <w:left w:val="none" w:sz="0" w:space="0" w:color="auto"/>
        <w:bottom w:val="none" w:sz="0" w:space="0" w:color="auto"/>
        <w:right w:val="none" w:sz="0" w:space="0" w:color="auto"/>
      </w:divBdr>
    </w:div>
    <w:div w:id="405610906">
      <w:bodyDiv w:val="1"/>
      <w:marLeft w:val="0"/>
      <w:marRight w:val="0"/>
      <w:marTop w:val="0"/>
      <w:marBottom w:val="0"/>
      <w:divBdr>
        <w:top w:val="none" w:sz="0" w:space="0" w:color="auto"/>
        <w:left w:val="none" w:sz="0" w:space="0" w:color="auto"/>
        <w:bottom w:val="none" w:sz="0" w:space="0" w:color="auto"/>
        <w:right w:val="none" w:sz="0" w:space="0" w:color="auto"/>
      </w:divBdr>
    </w:div>
    <w:div w:id="520434709">
      <w:bodyDiv w:val="1"/>
      <w:marLeft w:val="0"/>
      <w:marRight w:val="0"/>
      <w:marTop w:val="0"/>
      <w:marBottom w:val="0"/>
      <w:divBdr>
        <w:top w:val="none" w:sz="0" w:space="0" w:color="auto"/>
        <w:left w:val="none" w:sz="0" w:space="0" w:color="auto"/>
        <w:bottom w:val="none" w:sz="0" w:space="0" w:color="auto"/>
        <w:right w:val="none" w:sz="0" w:space="0" w:color="auto"/>
      </w:divBdr>
    </w:div>
    <w:div w:id="682972164">
      <w:bodyDiv w:val="1"/>
      <w:marLeft w:val="0"/>
      <w:marRight w:val="0"/>
      <w:marTop w:val="0"/>
      <w:marBottom w:val="0"/>
      <w:divBdr>
        <w:top w:val="none" w:sz="0" w:space="0" w:color="auto"/>
        <w:left w:val="none" w:sz="0" w:space="0" w:color="auto"/>
        <w:bottom w:val="none" w:sz="0" w:space="0" w:color="auto"/>
        <w:right w:val="none" w:sz="0" w:space="0" w:color="auto"/>
      </w:divBdr>
    </w:div>
    <w:div w:id="742070775">
      <w:bodyDiv w:val="1"/>
      <w:marLeft w:val="0"/>
      <w:marRight w:val="0"/>
      <w:marTop w:val="0"/>
      <w:marBottom w:val="0"/>
      <w:divBdr>
        <w:top w:val="none" w:sz="0" w:space="0" w:color="auto"/>
        <w:left w:val="none" w:sz="0" w:space="0" w:color="auto"/>
        <w:bottom w:val="none" w:sz="0" w:space="0" w:color="auto"/>
        <w:right w:val="none" w:sz="0" w:space="0" w:color="auto"/>
      </w:divBdr>
    </w:div>
    <w:div w:id="800264511">
      <w:bodyDiv w:val="1"/>
      <w:marLeft w:val="0"/>
      <w:marRight w:val="0"/>
      <w:marTop w:val="0"/>
      <w:marBottom w:val="0"/>
      <w:divBdr>
        <w:top w:val="none" w:sz="0" w:space="0" w:color="auto"/>
        <w:left w:val="none" w:sz="0" w:space="0" w:color="auto"/>
        <w:bottom w:val="none" w:sz="0" w:space="0" w:color="auto"/>
        <w:right w:val="none" w:sz="0" w:space="0" w:color="auto"/>
      </w:divBdr>
    </w:div>
    <w:div w:id="954948981">
      <w:bodyDiv w:val="1"/>
      <w:marLeft w:val="0"/>
      <w:marRight w:val="0"/>
      <w:marTop w:val="0"/>
      <w:marBottom w:val="0"/>
      <w:divBdr>
        <w:top w:val="none" w:sz="0" w:space="0" w:color="auto"/>
        <w:left w:val="none" w:sz="0" w:space="0" w:color="auto"/>
        <w:bottom w:val="none" w:sz="0" w:space="0" w:color="auto"/>
        <w:right w:val="none" w:sz="0" w:space="0" w:color="auto"/>
      </w:divBdr>
    </w:div>
    <w:div w:id="1134831097">
      <w:bodyDiv w:val="1"/>
      <w:marLeft w:val="0"/>
      <w:marRight w:val="0"/>
      <w:marTop w:val="0"/>
      <w:marBottom w:val="0"/>
      <w:divBdr>
        <w:top w:val="none" w:sz="0" w:space="0" w:color="auto"/>
        <w:left w:val="none" w:sz="0" w:space="0" w:color="auto"/>
        <w:bottom w:val="none" w:sz="0" w:space="0" w:color="auto"/>
        <w:right w:val="none" w:sz="0" w:space="0" w:color="auto"/>
      </w:divBdr>
    </w:div>
    <w:div w:id="1361079602">
      <w:bodyDiv w:val="1"/>
      <w:marLeft w:val="0"/>
      <w:marRight w:val="0"/>
      <w:marTop w:val="0"/>
      <w:marBottom w:val="0"/>
      <w:divBdr>
        <w:top w:val="none" w:sz="0" w:space="0" w:color="auto"/>
        <w:left w:val="none" w:sz="0" w:space="0" w:color="auto"/>
        <w:bottom w:val="none" w:sz="0" w:space="0" w:color="auto"/>
        <w:right w:val="none" w:sz="0" w:space="0" w:color="auto"/>
      </w:divBdr>
    </w:div>
    <w:div w:id="1380593716">
      <w:bodyDiv w:val="1"/>
      <w:marLeft w:val="0"/>
      <w:marRight w:val="0"/>
      <w:marTop w:val="0"/>
      <w:marBottom w:val="0"/>
      <w:divBdr>
        <w:top w:val="none" w:sz="0" w:space="0" w:color="auto"/>
        <w:left w:val="none" w:sz="0" w:space="0" w:color="auto"/>
        <w:bottom w:val="none" w:sz="0" w:space="0" w:color="auto"/>
        <w:right w:val="none" w:sz="0" w:space="0" w:color="auto"/>
      </w:divBdr>
    </w:div>
    <w:div w:id="1447702472">
      <w:bodyDiv w:val="1"/>
      <w:marLeft w:val="0"/>
      <w:marRight w:val="0"/>
      <w:marTop w:val="0"/>
      <w:marBottom w:val="0"/>
      <w:divBdr>
        <w:top w:val="none" w:sz="0" w:space="0" w:color="auto"/>
        <w:left w:val="none" w:sz="0" w:space="0" w:color="auto"/>
        <w:bottom w:val="none" w:sz="0" w:space="0" w:color="auto"/>
        <w:right w:val="none" w:sz="0" w:space="0" w:color="auto"/>
      </w:divBdr>
    </w:div>
    <w:div w:id="1789161914">
      <w:bodyDiv w:val="1"/>
      <w:marLeft w:val="0"/>
      <w:marRight w:val="0"/>
      <w:marTop w:val="0"/>
      <w:marBottom w:val="0"/>
      <w:divBdr>
        <w:top w:val="none" w:sz="0" w:space="0" w:color="auto"/>
        <w:left w:val="none" w:sz="0" w:space="0" w:color="auto"/>
        <w:bottom w:val="none" w:sz="0" w:space="0" w:color="auto"/>
        <w:right w:val="none" w:sz="0" w:space="0" w:color="auto"/>
      </w:divBdr>
    </w:div>
    <w:div w:id="1842163759">
      <w:bodyDiv w:val="1"/>
      <w:marLeft w:val="0"/>
      <w:marRight w:val="0"/>
      <w:marTop w:val="0"/>
      <w:marBottom w:val="0"/>
      <w:divBdr>
        <w:top w:val="none" w:sz="0" w:space="0" w:color="auto"/>
        <w:left w:val="none" w:sz="0" w:space="0" w:color="auto"/>
        <w:bottom w:val="none" w:sz="0" w:space="0" w:color="auto"/>
        <w:right w:val="none" w:sz="0" w:space="0" w:color="auto"/>
      </w:divBdr>
    </w:div>
    <w:div w:id="1995913811">
      <w:bodyDiv w:val="1"/>
      <w:marLeft w:val="0"/>
      <w:marRight w:val="0"/>
      <w:marTop w:val="0"/>
      <w:marBottom w:val="0"/>
      <w:divBdr>
        <w:top w:val="none" w:sz="0" w:space="0" w:color="auto"/>
        <w:left w:val="none" w:sz="0" w:space="0" w:color="auto"/>
        <w:bottom w:val="none" w:sz="0" w:space="0" w:color="auto"/>
        <w:right w:val="none" w:sz="0" w:space="0" w:color="auto"/>
      </w:divBdr>
    </w:div>
    <w:div w:id="2024822881">
      <w:bodyDiv w:val="1"/>
      <w:marLeft w:val="0"/>
      <w:marRight w:val="0"/>
      <w:marTop w:val="0"/>
      <w:marBottom w:val="0"/>
      <w:divBdr>
        <w:top w:val="none" w:sz="0" w:space="0" w:color="auto"/>
        <w:left w:val="none" w:sz="0" w:space="0" w:color="auto"/>
        <w:bottom w:val="none" w:sz="0" w:space="0" w:color="auto"/>
        <w:right w:val="none" w:sz="0" w:space="0" w:color="auto"/>
      </w:divBdr>
    </w:div>
    <w:div w:id="2133278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etings/es/details.jsp?meeting_id=26104" TargetMode="External"/><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upov.int/meetings/es/details.jsp?meeting_id=22163" TargetMode="External"/><Relationship Id="rId17" Type="http://schemas.openxmlformats.org/officeDocument/2006/relationships/image" Target="media/image4.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s/details.jsp?meeting_id=24133"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about/es/pdf/353_upov_report.pdf" TargetMode="External"/><Relationship Id="rId22" Type="http://schemas.openxmlformats.org/officeDocument/2006/relationships/footer" Target="footer1.xm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F6060-56A6-4325-BD96-087582C9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11404</Words>
  <Characters>65003</Characters>
  <Application>Microsoft Office Word</Application>
  <DocSecurity>0</DocSecurity>
  <Lines>541</Lines>
  <Paragraphs>152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template TC/48 ENGLISH</vt:lpstr>
      <vt:lpstr>template TC/48 ENGLISH</vt:lpstr>
    </vt:vector>
  </TitlesOfParts>
  <Company>UPOV</Company>
  <LinksUpToDate>false</LinksUpToDate>
  <CharactersWithSpaces>76255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SANCHEZ-VIZCAINO GOMEZ Rosa Maria</dc:creator>
  <cp:lastModifiedBy>SANCHEZ-VIZCAINO GOMEZ Rosa Maria</cp:lastModifiedBy>
  <cp:revision>7</cp:revision>
  <cp:lastPrinted>2013-11-01T08:55:00Z</cp:lastPrinted>
  <dcterms:created xsi:type="dcterms:W3CDTF">2013-11-01T08:52:00Z</dcterms:created>
  <dcterms:modified xsi:type="dcterms:W3CDTF">2013-11-01T16:51:00Z</dcterms:modified>
</cp:coreProperties>
</file>