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3E65EC" w:rsidTr="00C13808">
        <w:trPr>
          <w:trHeight w:val="1760"/>
        </w:trPr>
        <w:tc>
          <w:tcPr>
            <w:tcW w:w="4243" w:type="dxa"/>
          </w:tcPr>
          <w:p w:rsidR="000D7780" w:rsidRPr="00450DD1" w:rsidRDefault="000D7780" w:rsidP="00450DD1">
            <w:pPr>
              <w:widowControl w:val="0"/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0D7780" w:rsidRPr="009745D0" w:rsidRDefault="00745D66" w:rsidP="00450DD1">
            <w:pPr>
              <w:pStyle w:val="LogoUPOV"/>
              <w:widowControl w:val="0"/>
              <w:rPr>
                <w:lang w:val="es-ES_tradnl"/>
              </w:rPr>
            </w:pPr>
            <w:r w:rsidRPr="009745D0">
              <w:rPr>
                <w:noProof/>
              </w:rPr>
              <w:drawing>
                <wp:inline distT="0" distB="0" distL="0" distR="0" wp14:anchorId="645408C6" wp14:editId="06E175A4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9745D0" w:rsidRDefault="00A47CDB" w:rsidP="00450DD1">
            <w:pPr>
              <w:pStyle w:val="Lettrine"/>
              <w:widowControl w:val="0"/>
              <w:rPr>
                <w:lang w:val="es-ES_tradnl"/>
              </w:rPr>
            </w:pPr>
            <w:r w:rsidRPr="009745D0">
              <w:rPr>
                <w:lang w:val="es-ES_tradnl"/>
              </w:rPr>
              <w:t>S</w:t>
            </w:r>
          </w:p>
          <w:p w:rsidR="000D7780" w:rsidRPr="009745D0" w:rsidRDefault="00F73179" w:rsidP="00450DD1">
            <w:pPr>
              <w:pStyle w:val="Docoriginal"/>
              <w:widowControl w:val="0"/>
              <w:ind w:left="952"/>
              <w:rPr>
                <w:lang w:val="es-ES_tradnl"/>
              </w:rPr>
            </w:pPr>
            <w:r w:rsidRPr="009745D0">
              <w:rPr>
                <w:lang w:val="es-ES_tradnl"/>
              </w:rPr>
              <w:t>C/47</w:t>
            </w:r>
            <w:r w:rsidR="00E80F31" w:rsidRPr="009745D0">
              <w:rPr>
                <w:lang w:val="es-ES_tradnl"/>
              </w:rPr>
              <w:t>/</w:t>
            </w:r>
            <w:bookmarkStart w:id="0" w:name="Code"/>
            <w:bookmarkEnd w:id="0"/>
            <w:r w:rsidR="001B7EE9" w:rsidRPr="009745D0">
              <w:rPr>
                <w:lang w:val="es-ES_tradnl"/>
              </w:rPr>
              <w:t>13</w:t>
            </w:r>
          </w:p>
          <w:p w:rsidR="000D7780" w:rsidRPr="009745D0" w:rsidRDefault="0061555F" w:rsidP="00450DD1">
            <w:pPr>
              <w:pStyle w:val="Docoriginal"/>
              <w:widowControl w:val="0"/>
              <w:ind w:left="952"/>
              <w:rPr>
                <w:b w:val="0"/>
                <w:spacing w:val="0"/>
                <w:lang w:val="es-ES_tradnl"/>
              </w:rPr>
            </w:pPr>
            <w:r w:rsidRPr="009745D0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9745D0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9745D0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9745D0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Original"/>
            <w:bookmarkEnd w:id="1"/>
            <w:r w:rsidR="00A47CDB" w:rsidRPr="009745D0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9745D0" w:rsidRDefault="00A47CDB" w:rsidP="00450DD1">
            <w:pPr>
              <w:pStyle w:val="Docoriginal"/>
              <w:widowControl w:val="0"/>
              <w:ind w:left="952"/>
              <w:rPr>
                <w:lang w:val="es-ES_tradnl"/>
              </w:rPr>
            </w:pPr>
            <w:r w:rsidRPr="009745D0">
              <w:rPr>
                <w:spacing w:val="0"/>
                <w:lang w:val="es-ES_tradnl"/>
              </w:rPr>
              <w:t>FECHA</w:t>
            </w:r>
            <w:r w:rsidR="000D7780" w:rsidRPr="009745D0">
              <w:rPr>
                <w:spacing w:val="0"/>
                <w:lang w:val="es-ES_tradnl"/>
              </w:rPr>
              <w:t>:</w:t>
            </w:r>
            <w:r w:rsidR="0061555F" w:rsidRPr="009745D0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9745D0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F636BB" w:rsidRPr="009745D0">
              <w:rPr>
                <w:b w:val="0"/>
                <w:spacing w:val="0"/>
                <w:lang w:val="es-ES_tradnl"/>
              </w:rPr>
              <w:t>27</w:t>
            </w:r>
            <w:r w:rsidR="00E80F31" w:rsidRPr="009745D0">
              <w:rPr>
                <w:b w:val="0"/>
                <w:spacing w:val="0"/>
                <w:lang w:val="es-ES_tradnl"/>
              </w:rPr>
              <w:t xml:space="preserve"> </w:t>
            </w:r>
            <w:r w:rsidRPr="009745D0">
              <w:rPr>
                <w:b w:val="0"/>
                <w:spacing w:val="0"/>
                <w:lang w:val="es-ES_tradnl"/>
              </w:rPr>
              <w:t xml:space="preserve">de </w:t>
            </w:r>
            <w:r w:rsidR="00373109" w:rsidRPr="009745D0">
              <w:rPr>
                <w:b w:val="0"/>
                <w:spacing w:val="0"/>
                <w:lang w:val="es-ES_tradnl"/>
              </w:rPr>
              <w:t xml:space="preserve">septiembre </w:t>
            </w:r>
            <w:r w:rsidRPr="009745D0">
              <w:rPr>
                <w:b w:val="0"/>
                <w:spacing w:val="0"/>
                <w:lang w:val="es-ES_tradnl"/>
              </w:rPr>
              <w:t xml:space="preserve">de </w:t>
            </w:r>
            <w:r w:rsidR="001131D5" w:rsidRPr="009745D0">
              <w:rPr>
                <w:b w:val="0"/>
                <w:spacing w:val="0"/>
                <w:lang w:val="es-ES_tradnl"/>
              </w:rPr>
              <w:t>201</w:t>
            </w:r>
            <w:r w:rsidR="00F73179" w:rsidRPr="009745D0">
              <w:rPr>
                <w:b w:val="0"/>
                <w:spacing w:val="0"/>
                <w:lang w:val="es-ES_tradnl"/>
              </w:rPr>
              <w:t>3</w:t>
            </w:r>
          </w:p>
        </w:tc>
      </w:tr>
      <w:tr w:rsidR="000D7780" w:rsidRPr="003E65EC" w:rsidTr="00C13808">
        <w:tc>
          <w:tcPr>
            <w:tcW w:w="10131" w:type="dxa"/>
            <w:gridSpan w:val="3"/>
          </w:tcPr>
          <w:p w:rsidR="000D7780" w:rsidRPr="00450DD1" w:rsidRDefault="00A47CDB" w:rsidP="00450DD1">
            <w:pPr>
              <w:pStyle w:val="upove"/>
              <w:widowControl w:val="0"/>
              <w:rPr>
                <w:sz w:val="28"/>
                <w:lang w:val="es-ES_tradnl"/>
              </w:rPr>
            </w:pPr>
            <w:r w:rsidRPr="00450DD1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450DD1" w:rsidTr="00C13808">
        <w:tc>
          <w:tcPr>
            <w:tcW w:w="10131" w:type="dxa"/>
            <w:gridSpan w:val="3"/>
          </w:tcPr>
          <w:p w:rsidR="000D7780" w:rsidRPr="00450DD1" w:rsidRDefault="00A47CDB" w:rsidP="00450DD1">
            <w:pPr>
              <w:pStyle w:val="Country"/>
              <w:widowControl w:val="0"/>
              <w:rPr>
                <w:lang w:val="es-ES_tradnl"/>
              </w:rPr>
            </w:pPr>
            <w:r w:rsidRPr="00450DD1">
              <w:rPr>
                <w:lang w:val="es-ES_tradnl"/>
              </w:rPr>
              <w:t>Ginebra</w:t>
            </w:r>
          </w:p>
        </w:tc>
      </w:tr>
    </w:tbl>
    <w:p w:rsidR="000D7780" w:rsidRPr="00450DD1" w:rsidRDefault="00E80F31" w:rsidP="00450DD1">
      <w:pPr>
        <w:pStyle w:val="Sessiontc"/>
        <w:widowControl w:val="0"/>
        <w:rPr>
          <w:lang w:val="es-ES_tradnl"/>
        </w:rPr>
      </w:pPr>
      <w:r w:rsidRPr="00450DD1">
        <w:rPr>
          <w:lang w:val="es-ES_tradnl"/>
        </w:rPr>
        <w:t>CONSEJO</w:t>
      </w:r>
    </w:p>
    <w:p w:rsidR="00361821" w:rsidRPr="00450DD1" w:rsidRDefault="00A47CDB" w:rsidP="00450DD1">
      <w:pPr>
        <w:pStyle w:val="Sessiontcplacedate"/>
        <w:widowControl w:val="0"/>
        <w:rPr>
          <w:lang w:val="es-ES_tradnl"/>
        </w:rPr>
      </w:pPr>
      <w:r w:rsidRPr="00450DD1">
        <w:rPr>
          <w:lang w:val="es-ES_tradnl"/>
        </w:rPr>
        <w:t xml:space="preserve">Cuadragésima </w:t>
      </w:r>
      <w:r w:rsidR="00F73179" w:rsidRPr="00450DD1">
        <w:rPr>
          <w:lang w:val="es-ES_tradnl"/>
        </w:rPr>
        <w:t xml:space="preserve">séptima </w:t>
      </w:r>
      <w:r w:rsidR="00142198" w:rsidRPr="00450DD1">
        <w:rPr>
          <w:lang w:val="es-ES_tradnl"/>
        </w:rPr>
        <w:t>sesión ordinaria</w:t>
      </w:r>
      <w:r w:rsidRPr="00450DD1">
        <w:rPr>
          <w:lang w:val="es-ES_tradnl"/>
        </w:rPr>
        <w:br/>
        <w:t xml:space="preserve">Ginebra, </w:t>
      </w:r>
      <w:r w:rsidR="00F73179" w:rsidRPr="00450DD1">
        <w:rPr>
          <w:lang w:val="es-ES_tradnl"/>
        </w:rPr>
        <w:t>24</w:t>
      </w:r>
      <w:r w:rsidR="00E80F31" w:rsidRPr="00450DD1">
        <w:rPr>
          <w:lang w:val="es-ES_tradnl"/>
        </w:rPr>
        <w:t xml:space="preserve"> de </w:t>
      </w:r>
      <w:r w:rsidR="00F73179" w:rsidRPr="00450DD1">
        <w:rPr>
          <w:lang w:val="es-ES_tradnl"/>
        </w:rPr>
        <w:t xml:space="preserve">octubre </w:t>
      </w:r>
      <w:r w:rsidR="00E80F31" w:rsidRPr="00450DD1">
        <w:rPr>
          <w:lang w:val="es-ES_tradnl"/>
        </w:rPr>
        <w:t xml:space="preserve">de </w:t>
      </w:r>
      <w:r w:rsidRPr="00450DD1">
        <w:rPr>
          <w:lang w:val="es-ES_tradnl"/>
        </w:rPr>
        <w:t>201</w:t>
      </w:r>
      <w:r w:rsidR="00F73179" w:rsidRPr="00450DD1">
        <w:rPr>
          <w:lang w:val="es-ES_tradnl"/>
        </w:rPr>
        <w:t>3</w:t>
      </w:r>
    </w:p>
    <w:p w:rsidR="00FE4464" w:rsidRPr="00450DD1" w:rsidRDefault="00C64D0A" w:rsidP="00450DD1">
      <w:pPr>
        <w:pStyle w:val="Titleofdoc0"/>
        <w:widowControl w:val="0"/>
        <w:rPr>
          <w:lang w:val="es-ES_tradnl"/>
        </w:rPr>
      </w:pPr>
      <w:bookmarkStart w:id="3" w:name="TitleOfDoc"/>
      <w:bookmarkEnd w:id="3"/>
      <w:r w:rsidRPr="00450DD1">
        <w:rPr>
          <w:lang w:val="es-ES_tradnl"/>
        </w:rPr>
        <w:t>aprobación de</w:t>
      </w:r>
      <w:r w:rsidR="00FE4464" w:rsidRPr="00450DD1">
        <w:rPr>
          <w:lang w:val="es-ES_tradnl"/>
        </w:rPr>
        <w:t xml:space="preserve"> document</w:t>
      </w:r>
      <w:r w:rsidRPr="00450DD1">
        <w:rPr>
          <w:lang w:val="es-ES_tradnl"/>
        </w:rPr>
        <w:t>o</w:t>
      </w:r>
      <w:r w:rsidR="00FE4464" w:rsidRPr="00450DD1">
        <w:rPr>
          <w:lang w:val="es-ES_tradnl"/>
        </w:rPr>
        <w:t>s</w:t>
      </w:r>
    </w:p>
    <w:p w:rsidR="000D7780" w:rsidRPr="00450DD1" w:rsidRDefault="00A47CDB" w:rsidP="00450DD1">
      <w:pPr>
        <w:pStyle w:val="preparedby1"/>
        <w:widowControl w:val="0"/>
        <w:rPr>
          <w:lang w:val="es-ES_tradnl"/>
        </w:rPr>
      </w:pPr>
      <w:bookmarkStart w:id="4" w:name="Prepared"/>
      <w:bookmarkEnd w:id="4"/>
      <w:r w:rsidRPr="00450DD1">
        <w:rPr>
          <w:lang w:val="es-ES_tradnl"/>
        </w:rPr>
        <w:t>Documento preparado por la Oficina de la Unión</w:t>
      </w:r>
      <w:r w:rsidR="0000571E" w:rsidRPr="00450DD1">
        <w:rPr>
          <w:lang w:val="es-ES_tradnl"/>
        </w:rPr>
        <w:br/>
      </w:r>
      <w:r w:rsidR="0000571E" w:rsidRPr="00450DD1">
        <w:rPr>
          <w:lang w:val="es-ES_tradnl"/>
        </w:rPr>
        <w:br/>
      </w:r>
      <w:r w:rsidR="001C5971" w:rsidRPr="00450DD1">
        <w:rPr>
          <w:color w:val="A6A6A6"/>
          <w:lang w:val="es-ES_tradnl"/>
        </w:rPr>
        <w:t>Descargo de responsabilidad:  el presente documento no constituye</w:t>
      </w:r>
      <w:r w:rsidR="001C5971" w:rsidRPr="00450DD1">
        <w:rPr>
          <w:color w:val="A6A6A6"/>
          <w:lang w:val="es-ES_tradnl"/>
        </w:rPr>
        <w:br/>
        <w:t>un documento de política u orientación de la UPOV</w:t>
      </w:r>
    </w:p>
    <w:p w:rsidR="00FE4464" w:rsidRPr="00450DD1" w:rsidRDefault="008C7915" w:rsidP="00450DD1">
      <w:pPr>
        <w:widowControl w:val="0"/>
        <w:rPr>
          <w:spacing w:val="-2"/>
          <w:lang w:val="es-ES_tradnl"/>
        </w:rPr>
      </w:pPr>
      <w:r w:rsidRPr="00450DD1">
        <w:rPr>
          <w:lang w:val="es-ES_tradnl"/>
        </w:rPr>
        <w:fldChar w:fldCharType="begin"/>
      </w:r>
      <w:r w:rsidR="00FE4464" w:rsidRPr="00450DD1">
        <w:rPr>
          <w:lang w:val="es-ES_tradnl"/>
        </w:rPr>
        <w:instrText xml:space="preserve"> AUTONUM  </w:instrText>
      </w:r>
      <w:r w:rsidRPr="00450DD1">
        <w:rPr>
          <w:lang w:val="es-ES_tradnl"/>
        </w:rPr>
        <w:fldChar w:fldCharType="end"/>
      </w:r>
      <w:r w:rsidR="00FE4464" w:rsidRPr="00450DD1">
        <w:rPr>
          <w:lang w:val="es-ES_tradnl"/>
        </w:rPr>
        <w:tab/>
      </w:r>
      <w:r w:rsidR="00DA6FDE" w:rsidRPr="00450DD1">
        <w:rPr>
          <w:lang w:val="es-ES_tradnl"/>
        </w:rPr>
        <w:t xml:space="preserve">La finalidad del presente documento es suministrar información sobre los documentos que se invitará </w:t>
      </w:r>
      <w:r w:rsidR="0073187C" w:rsidRPr="00450DD1">
        <w:rPr>
          <w:lang w:val="es-ES_tradnl"/>
        </w:rPr>
        <w:t xml:space="preserve">a aprobar </w:t>
      </w:r>
      <w:r w:rsidR="001B7EE9" w:rsidRPr="00450DD1">
        <w:rPr>
          <w:lang w:val="es-ES_tradnl"/>
        </w:rPr>
        <w:t xml:space="preserve">al Consejo </w:t>
      </w:r>
      <w:r w:rsidR="00DA6FDE" w:rsidRPr="00450DD1">
        <w:rPr>
          <w:lang w:val="es-ES_tradnl"/>
        </w:rPr>
        <w:t xml:space="preserve">en su cuadragésima séptima sesión ordinaria, que tendrá lugar en Ginebra el 24 de octubre de </w:t>
      </w:r>
      <w:r w:rsidR="00FE4464" w:rsidRPr="00450DD1">
        <w:rPr>
          <w:lang w:val="es-ES_tradnl"/>
        </w:rPr>
        <w:t>2013:</w:t>
      </w:r>
    </w:p>
    <w:p w:rsidR="00FE4464" w:rsidRPr="00450DD1" w:rsidRDefault="00FE4464" w:rsidP="00450DD1">
      <w:pPr>
        <w:widowControl w:val="0"/>
        <w:rPr>
          <w:spacing w:val="-2"/>
          <w:lang w:val="es-ES_tradnl"/>
        </w:rPr>
      </w:pPr>
    </w:p>
    <w:p w:rsidR="00FE4464" w:rsidRPr="00450DD1" w:rsidRDefault="00902F03" w:rsidP="00450DD1">
      <w:pPr>
        <w:widowControl w:val="0"/>
        <w:ind w:left="1134" w:hanging="567"/>
        <w:rPr>
          <w:szCs w:val="24"/>
          <w:u w:val="single"/>
          <w:lang w:val="es-ES_tradnl"/>
        </w:rPr>
      </w:pPr>
      <w:r w:rsidRPr="00450DD1">
        <w:rPr>
          <w:szCs w:val="24"/>
          <w:u w:val="single"/>
          <w:lang w:val="es-ES_tradnl"/>
        </w:rPr>
        <w:t xml:space="preserve">Documentos </w:t>
      </w:r>
      <w:r w:rsidR="00FE4464" w:rsidRPr="00450DD1">
        <w:rPr>
          <w:szCs w:val="24"/>
          <w:u w:val="single"/>
          <w:lang w:val="es-ES_tradnl"/>
        </w:rPr>
        <w:t xml:space="preserve">TGP </w:t>
      </w:r>
    </w:p>
    <w:p w:rsidR="00FE4464" w:rsidRPr="00450DD1" w:rsidRDefault="00FE4464" w:rsidP="00450DD1">
      <w:pPr>
        <w:widowControl w:val="0"/>
        <w:ind w:left="1134" w:hanging="567"/>
        <w:rPr>
          <w:szCs w:val="24"/>
          <w:lang w:val="es-ES_tradnl"/>
        </w:rPr>
      </w:pPr>
    </w:p>
    <w:p w:rsidR="00FE4464" w:rsidRPr="00450DD1" w:rsidRDefault="00FE4464" w:rsidP="00450DD1">
      <w:pPr>
        <w:widowControl w:val="0"/>
        <w:ind w:left="2410" w:hanging="1843"/>
        <w:rPr>
          <w:bCs/>
          <w:snapToGrid w:val="0"/>
          <w:szCs w:val="24"/>
          <w:lang w:val="es-ES_tradnl"/>
        </w:rPr>
      </w:pPr>
      <w:r w:rsidRPr="00450DD1">
        <w:rPr>
          <w:lang w:val="es-ES_tradnl"/>
        </w:rPr>
        <w:t>TGP/14/2</w:t>
      </w:r>
      <w:r w:rsidRPr="00450DD1">
        <w:rPr>
          <w:lang w:val="es-ES_tradnl"/>
        </w:rPr>
        <w:tab/>
      </w:r>
      <w:r w:rsidR="00902F03" w:rsidRPr="00450DD1">
        <w:rPr>
          <w:rFonts w:cs="Arial"/>
          <w:lang w:val="es-ES_tradnl"/>
        </w:rPr>
        <w:t>Glosario de términos utilizados en los documentos de la UPOV (Revisión)</w:t>
      </w:r>
      <w:r w:rsidR="001B7EE9" w:rsidRPr="00450DD1">
        <w:rPr>
          <w:bCs/>
          <w:snapToGrid w:val="0"/>
          <w:szCs w:val="24"/>
          <w:lang w:val="es-ES_tradnl"/>
        </w:rPr>
        <w:t xml:space="preserve"> </w:t>
      </w:r>
      <w:r w:rsidRPr="00450DD1">
        <w:rPr>
          <w:bCs/>
          <w:snapToGrid w:val="0"/>
          <w:szCs w:val="24"/>
          <w:lang w:val="es-ES_tradnl"/>
        </w:rPr>
        <w:t>(document</w:t>
      </w:r>
      <w:r w:rsidR="00902F03" w:rsidRPr="00450DD1">
        <w:rPr>
          <w:bCs/>
          <w:snapToGrid w:val="0"/>
          <w:szCs w:val="24"/>
          <w:lang w:val="es-ES_tradnl"/>
        </w:rPr>
        <w:t>o</w:t>
      </w:r>
      <w:r w:rsidRPr="00450DD1">
        <w:rPr>
          <w:bCs/>
          <w:snapToGrid w:val="0"/>
          <w:szCs w:val="24"/>
          <w:lang w:val="es-ES_tradnl"/>
        </w:rPr>
        <w:t> TGP/14/2 Draft 1)</w:t>
      </w:r>
    </w:p>
    <w:p w:rsidR="00FE4464" w:rsidRPr="00450DD1" w:rsidRDefault="00FE4464" w:rsidP="00450DD1">
      <w:pPr>
        <w:widowControl w:val="0"/>
        <w:ind w:left="2410" w:hanging="1843"/>
        <w:rPr>
          <w:lang w:val="es-ES_tradnl"/>
        </w:rPr>
      </w:pPr>
    </w:p>
    <w:p w:rsidR="00FE4464" w:rsidRPr="00450DD1" w:rsidRDefault="00FE4464" w:rsidP="00450DD1">
      <w:pPr>
        <w:widowControl w:val="0"/>
        <w:ind w:left="2410" w:hanging="1843"/>
        <w:rPr>
          <w:bCs/>
          <w:snapToGrid w:val="0"/>
          <w:szCs w:val="24"/>
          <w:lang w:val="es-ES_tradnl"/>
        </w:rPr>
      </w:pPr>
      <w:r w:rsidRPr="00450DD1">
        <w:rPr>
          <w:lang w:val="es-ES_tradnl"/>
        </w:rPr>
        <w:t>TGP</w:t>
      </w:r>
      <w:r w:rsidRPr="00450DD1">
        <w:rPr>
          <w:bCs/>
          <w:snapToGrid w:val="0"/>
          <w:szCs w:val="24"/>
          <w:lang w:val="es-ES_tradnl"/>
        </w:rPr>
        <w:t>/15/1</w:t>
      </w:r>
      <w:r w:rsidRPr="00450DD1">
        <w:rPr>
          <w:bCs/>
          <w:snapToGrid w:val="0"/>
          <w:szCs w:val="24"/>
          <w:lang w:val="es-ES_tradnl"/>
        </w:rPr>
        <w:tab/>
      </w:r>
      <w:r w:rsidRPr="00450DD1">
        <w:rPr>
          <w:rFonts w:cs="Arial"/>
          <w:strike/>
          <w:snapToGrid w:val="0"/>
          <w:lang w:val="es-ES_tradnl"/>
        </w:rPr>
        <w:t>[</w:t>
      </w:r>
      <w:r w:rsidR="00BD77A1" w:rsidRPr="00450DD1">
        <w:rPr>
          <w:rFonts w:cs="Arial"/>
          <w:strike/>
          <w:snapToGrid w:val="0"/>
          <w:lang w:val="es-ES_tradnl"/>
        </w:rPr>
        <w:t>Nuevos tipos de caracteres]</w:t>
      </w:r>
      <w:r w:rsidR="00BD77A1" w:rsidRPr="00450DD1">
        <w:rPr>
          <w:rFonts w:cs="Arial"/>
          <w:lang w:val="es-ES_tradnl"/>
        </w:rPr>
        <w:t xml:space="preserve"> [Orientación sobre el uso de marcadores bioquímicos y moleculares en el examen de la distinción, la homogeneidad y la estabilidad</w:t>
      </w:r>
      <w:r w:rsidR="001B7EE9" w:rsidRPr="00450DD1">
        <w:rPr>
          <w:rFonts w:cs="Arial"/>
          <w:lang w:val="es-ES_tradnl"/>
        </w:rPr>
        <w:t xml:space="preserve"> </w:t>
      </w:r>
      <w:r w:rsidR="00BD77A1" w:rsidRPr="00450DD1">
        <w:rPr>
          <w:rFonts w:cs="Arial"/>
          <w:lang w:val="es-ES_tradnl"/>
        </w:rPr>
        <w:t>(DHE)] (documento TGP/15/1 Draft </w:t>
      </w:r>
      <w:r w:rsidRPr="00450DD1">
        <w:rPr>
          <w:bCs/>
          <w:snapToGrid w:val="0"/>
          <w:szCs w:val="24"/>
          <w:lang w:val="es-ES_tradnl"/>
        </w:rPr>
        <w:t>5)</w:t>
      </w:r>
    </w:p>
    <w:p w:rsidR="00FE4464" w:rsidRPr="00450DD1" w:rsidRDefault="00FE4464" w:rsidP="00450DD1">
      <w:pPr>
        <w:widowControl w:val="0"/>
        <w:ind w:left="2410" w:hanging="1843"/>
        <w:rPr>
          <w:bCs/>
          <w:snapToGrid w:val="0"/>
          <w:szCs w:val="24"/>
          <w:lang w:val="es-ES_tradnl"/>
        </w:rPr>
      </w:pPr>
    </w:p>
    <w:p w:rsidR="00FE4464" w:rsidRPr="00450DD1" w:rsidRDefault="00FE4464" w:rsidP="00450DD1">
      <w:pPr>
        <w:widowControl w:val="0"/>
        <w:ind w:left="2410" w:hanging="1843"/>
        <w:rPr>
          <w:lang w:val="es-ES_tradnl"/>
        </w:rPr>
      </w:pPr>
      <w:r w:rsidRPr="00450DD1">
        <w:rPr>
          <w:bCs/>
          <w:snapToGrid w:val="0"/>
          <w:szCs w:val="24"/>
          <w:lang w:val="es-ES_tradnl"/>
        </w:rPr>
        <w:t>TGP/0/6</w:t>
      </w:r>
      <w:r w:rsidRPr="00450DD1">
        <w:rPr>
          <w:bCs/>
          <w:snapToGrid w:val="0"/>
          <w:szCs w:val="24"/>
          <w:lang w:val="es-ES_tradnl"/>
        </w:rPr>
        <w:tab/>
      </w:r>
      <w:r w:rsidR="00BD77A1" w:rsidRPr="00450DD1">
        <w:rPr>
          <w:rFonts w:cs="Arial"/>
          <w:lang w:val="es-ES_tradnl"/>
        </w:rPr>
        <w:t>Lista de documentos TGP y fechas de última publicación (Revisión</w:t>
      </w:r>
      <w:r w:rsidRPr="00450DD1">
        <w:rPr>
          <w:bCs/>
          <w:snapToGrid w:val="0"/>
          <w:szCs w:val="24"/>
          <w:lang w:val="es-ES_tradnl"/>
        </w:rPr>
        <w:t>)</w:t>
      </w:r>
      <w:r w:rsidR="00BD77A1" w:rsidRPr="00450DD1">
        <w:rPr>
          <w:bCs/>
          <w:snapToGrid w:val="0"/>
          <w:szCs w:val="24"/>
          <w:lang w:val="es-ES_tradnl"/>
        </w:rPr>
        <w:t xml:space="preserve"> </w:t>
      </w:r>
      <w:r w:rsidRPr="00450DD1">
        <w:rPr>
          <w:bCs/>
          <w:snapToGrid w:val="0"/>
          <w:szCs w:val="24"/>
          <w:lang w:val="es-ES_tradnl"/>
        </w:rPr>
        <w:t>(document</w:t>
      </w:r>
      <w:r w:rsidR="00BD77A1" w:rsidRPr="00450DD1">
        <w:rPr>
          <w:bCs/>
          <w:snapToGrid w:val="0"/>
          <w:szCs w:val="24"/>
          <w:lang w:val="es-ES_tradnl"/>
        </w:rPr>
        <w:t>o</w:t>
      </w:r>
      <w:r w:rsidRPr="00450DD1">
        <w:rPr>
          <w:bCs/>
          <w:snapToGrid w:val="0"/>
          <w:szCs w:val="24"/>
          <w:lang w:val="es-ES_tradnl"/>
        </w:rPr>
        <w:t> TGP/0/6 Draft 1)</w:t>
      </w:r>
    </w:p>
    <w:p w:rsidR="00FE4464" w:rsidRPr="00450DD1" w:rsidRDefault="00FE4464" w:rsidP="00450DD1">
      <w:pPr>
        <w:widowControl w:val="0"/>
        <w:ind w:left="1134" w:hanging="567"/>
        <w:rPr>
          <w:szCs w:val="24"/>
          <w:lang w:val="es-ES_tradnl"/>
        </w:rPr>
      </w:pPr>
    </w:p>
    <w:p w:rsidR="00FE4464" w:rsidRPr="00450DD1" w:rsidRDefault="00BD77A1" w:rsidP="00450DD1">
      <w:pPr>
        <w:widowControl w:val="0"/>
        <w:ind w:left="567"/>
        <w:rPr>
          <w:bCs/>
          <w:snapToGrid w:val="0"/>
          <w:szCs w:val="24"/>
          <w:lang w:val="es-ES_tradnl"/>
        </w:rPr>
      </w:pPr>
      <w:r w:rsidRPr="00450DD1">
        <w:rPr>
          <w:bCs/>
          <w:snapToGrid w:val="0"/>
          <w:szCs w:val="24"/>
          <w:u w:val="single"/>
          <w:lang w:val="es-ES_tradnl"/>
        </w:rPr>
        <w:t>Notas explicativas</w:t>
      </w:r>
    </w:p>
    <w:p w:rsidR="00FE4464" w:rsidRPr="00450DD1" w:rsidRDefault="00FE4464" w:rsidP="00450DD1">
      <w:pPr>
        <w:widowControl w:val="0"/>
        <w:ind w:left="2268" w:hanging="1701"/>
        <w:rPr>
          <w:bCs/>
          <w:snapToGrid w:val="0"/>
          <w:szCs w:val="24"/>
          <w:lang w:val="es-ES_tradnl"/>
        </w:rPr>
      </w:pPr>
    </w:p>
    <w:p w:rsidR="00FE4464" w:rsidRPr="00450DD1" w:rsidRDefault="00FE4464" w:rsidP="00450DD1">
      <w:pPr>
        <w:widowControl w:val="0"/>
        <w:ind w:left="2410" w:hanging="1843"/>
        <w:rPr>
          <w:bCs/>
          <w:snapToGrid w:val="0"/>
          <w:szCs w:val="24"/>
          <w:lang w:val="es-ES_tradnl"/>
        </w:rPr>
      </w:pPr>
      <w:r w:rsidRPr="00450DD1">
        <w:rPr>
          <w:bCs/>
          <w:snapToGrid w:val="0"/>
          <w:szCs w:val="24"/>
          <w:lang w:val="es-ES_tradnl"/>
        </w:rPr>
        <w:t>UPOV/EXN/BRD/1</w:t>
      </w:r>
      <w:r w:rsidRPr="00450DD1">
        <w:rPr>
          <w:bCs/>
          <w:snapToGrid w:val="0"/>
          <w:szCs w:val="24"/>
          <w:lang w:val="es-ES_tradnl"/>
        </w:rPr>
        <w:tab/>
      </w:r>
      <w:r w:rsidR="00BD77A1" w:rsidRPr="00450DD1">
        <w:rPr>
          <w:rFonts w:cs="Arial"/>
          <w:lang w:val="es-ES_tradnl"/>
        </w:rPr>
        <w:t xml:space="preserve">Notas explicativas sobre la definición de obtentor con arreglo al Acta de 1991 del Convenio de la UPOV (documento </w:t>
      </w:r>
      <w:r w:rsidRPr="00450DD1">
        <w:rPr>
          <w:bCs/>
          <w:snapToGrid w:val="0"/>
          <w:szCs w:val="24"/>
          <w:lang w:val="es-ES_tradnl"/>
        </w:rPr>
        <w:t>UPOV/EXN/BRD Draft 7)</w:t>
      </w:r>
    </w:p>
    <w:p w:rsidR="00FE4464" w:rsidRPr="00450DD1" w:rsidRDefault="00FE4464" w:rsidP="00450DD1">
      <w:pPr>
        <w:widowControl w:val="0"/>
        <w:ind w:left="2410" w:hanging="1843"/>
        <w:rPr>
          <w:bCs/>
          <w:snapToGrid w:val="0"/>
          <w:szCs w:val="24"/>
          <w:lang w:val="es-ES_tradnl"/>
        </w:rPr>
      </w:pPr>
    </w:p>
    <w:p w:rsidR="00FE4464" w:rsidRPr="00450DD1" w:rsidRDefault="00FE4464" w:rsidP="00450DD1">
      <w:pPr>
        <w:widowControl w:val="0"/>
        <w:ind w:left="2410" w:hanging="1843"/>
        <w:rPr>
          <w:lang w:val="es-ES_tradnl"/>
        </w:rPr>
      </w:pPr>
      <w:r w:rsidRPr="00450DD1">
        <w:rPr>
          <w:bCs/>
          <w:snapToGrid w:val="0"/>
          <w:szCs w:val="24"/>
          <w:lang w:val="es-ES_tradnl"/>
        </w:rPr>
        <w:t>UPOV</w:t>
      </w:r>
      <w:r w:rsidRPr="00450DD1">
        <w:rPr>
          <w:lang w:val="es-ES_tradnl"/>
        </w:rPr>
        <w:t>/EXN/HRV/1</w:t>
      </w:r>
      <w:r w:rsidRPr="00450DD1">
        <w:rPr>
          <w:lang w:val="es-ES_tradnl"/>
        </w:rPr>
        <w:tab/>
      </w:r>
      <w:r w:rsidR="00500CCC" w:rsidRPr="00450DD1">
        <w:rPr>
          <w:rFonts w:cs="Arial"/>
          <w:lang w:val="es-ES_tradnl"/>
        </w:rPr>
        <w:t xml:space="preserve">Notas explicativas sobre los actos respecto del producto de la cosecha con arreglo al Acta de 1991 del Convenio de la UPOV </w:t>
      </w:r>
      <w:r w:rsidR="00BD77A1" w:rsidRPr="00450DD1">
        <w:rPr>
          <w:rFonts w:cs="Arial"/>
          <w:lang w:val="es-ES_tradnl"/>
        </w:rPr>
        <w:t>(documento</w:t>
      </w:r>
      <w:r w:rsidR="000637D0" w:rsidRPr="00450DD1">
        <w:rPr>
          <w:lang w:val="es-ES_tradnl"/>
        </w:rPr>
        <w:t> </w:t>
      </w:r>
      <w:r w:rsidRPr="00450DD1">
        <w:rPr>
          <w:lang w:val="es-ES_tradnl"/>
        </w:rPr>
        <w:t>UPOV/EXN/HRV</w:t>
      </w:r>
      <w:r w:rsidR="000637D0" w:rsidRPr="00450DD1">
        <w:rPr>
          <w:lang w:val="es-ES_tradnl"/>
        </w:rPr>
        <w:t> </w:t>
      </w:r>
      <w:r w:rsidRPr="00450DD1">
        <w:rPr>
          <w:lang w:val="es-ES_tradnl"/>
        </w:rPr>
        <w:t>Draft 10)</w:t>
      </w:r>
    </w:p>
    <w:p w:rsidR="00FE4464" w:rsidRPr="00450DD1" w:rsidRDefault="00FE4464" w:rsidP="00450DD1">
      <w:pPr>
        <w:widowControl w:val="0"/>
        <w:ind w:left="2977" w:hanging="1843"/>
        <w:rPr>
          <w:bCs/>
          <w:snapToGrid w:val="0"/>
          <w:szCs w:val="24"/>
          <w:lang w:val="es-ES_tradnl"/>
        </w:rPr>
      </w:pPr>
    </w:p>
    <w:p w:rsidR="00FE4464" w:rsidRPr="00450DD1" w:rsidRDefault="00BD77A1" w:rsidP="00450DD1">
      <w:pPr>
        <w:widowControl w:val="0"/>
        <w:ind w:left="567"/>
        <w:rPr>
          <w:bCs/>
          <w:snapToGrid w:val="0"/>
          <w:szCs w:val="24"/>
          <w:u w:val="single"/>
          <w:lang w:val="es-ES_tradnl"/>
        </w:rPr>
      </w:pPr>
      <w:r w:rsidRPr="00450DD1">
        <w:rPr>
          <w:bCs/>
          <w:snapToGrid w:val="0"/>
          <w:szCs w:val="24"/>
          <w:u w:val="single"/>
          <w:lang w:val="es-ES_tradnl"/>
        </w:rPr>
        <w:t>Documentos de información</w:t>
      </w:r>
    </w:p>
    <w:p w:rsidR="00FE4464" w:rsidRPr="00450DD1" w:rsidRDefault="00FE4464" w:rsidP="00450DD1">
      <w:pPr>
        <w:widowControl w:val="0"/>
        <w:ind w:left="2268" w:hanging="1701"/>
        <w:rPr>
          <w:bCs/>
          <w:snapToGrid w:val="0"/>
          <w:szCs w:val="24"/>
          <w:lang w:val="es-ES_tradnl"/>
        </w:rPr>
      </w:pPr>
    </w:p>
    <w:p w:rsidR="00FE4464" w:rsidRPr="00450DD1" w:rsidRDefault="00FE4464" w:rsidP="00450DD1">
      <w:pPr>
        <w:widowControl w:val="0"/>
        <w:ind w:left="2410" w:hanging="1843"/>
        <w:rPr>
          <w:bCs/>
          <w:snapToGrid w:val="0"/>
          <w:szCs w:val="24"/>
          <w:lang w:val="es-ES_tradnl"/>
        </w:rPr>
      </w:pPr>
      <w:r w:rsidRPr="00450DD1">
        <w:rPr>
          <w:bCs/>
          <w:snapToGrid w:val="0"/>
          <w:szCs w:val="24"/>
          <w:lang w:val="es-ES_tradnl"/>
        </w:rPr>
        <w:t>UPOV/INF/6/3</w:t>
      </w:r>
      <w:r w:rsidRPr="00450DD1">
        <w:rPr>
          <w:bCs/>
          <w:snapToGrid w:val="0"/>
          <w:szCs w:val="24"/>
          <w:lang w:val="es-ES_tradnl"/>
        </w:rPr>
        <w:tab/>
      </w:r>
      <w:r w:rsidR="00BD77A1" w:rsidRPr="00450DD1">
        <w:rPr>
          <w:rFonts w:cs="Arial"/>
          <w:lang w:val="es-ES_tradnl"/>
        </w:rPr>
        <w:t xml:space="preserve">Orientaciones para la redacción de leyes basadas en el Acta de 1991 del Convenio de la UPOV (Revisión) (documento </w:t>
      </w:r>
      <w:r w:rsidRPr="00450DD1">
        <w:rPr>
          <w:bCs/>
          <w:snapToGrid w:val="0"/>
          <w:szCs w:val="24"/>
          <w:lang w:val="es-ES_tradnl"/>
        </w:rPr>
        <w:t>C/47/13, Anex</w:t>
      </w:r>
      <w:r w:rsidR="00BD77A1" w:rsidRPr="00450DD1">
        <w:rPr>
          <w:bCs/>
          <w:snapToGrid w:val="0"/>
          <w:szCs w:val="24"/>
          <w:lang w:val="es-ES_tradnl"/>
        </w:rPr>
        <w:t>o</w:t>
      </w:r>
      <w:r w:rsidRPr="00450DD1">
        <w:rPr>
          <w:bCs/>
          <w:snapToGrid w:val="0"/>
          <w:szCs w:val="24"/>
          <w:lang w:val="es-ES_tradnl"/>
        </w:rPr>
        <w:t>)</w:t>
      </w:r>
    </w:p>
    <w:p w:rsidR="00FE4464" w:rsidRPr="00450DD1" w:rsidRDefault="00FE4464" w:rsidP="00450DD1">
      <w:pPr>
        <w:widowControl w:val="0"/>
        <w:ind w:left="2410" w:hanging="1843"/>
        <w:rPr>
          <w:bCs/>
          <w:snapToGrid w:val="0"/>
          <w:szCs w:val="24"/>
          <w:lang w:val="es-ES_tradnl"/>
        </w:rPr>
      </w:pPr>
    </w:p>
    <w:p w:rsidR="00FE4464" w:rsidRPr="00450DD1" w:rsidRDefault="00FE4464" w:rsidP="00450DD1">
      <w:pPr>
        <w:widowControl w:val="0"/>
        <w:ind w:left="2410" w:hanging="1843"/>
        <w:rPr>
          <w:kern w:val="28"/>
          <w:lang w:val="es-ES_tradnl"/>
        </w:rPr>
      </w:pPr>
      <w:r w:rsidRPr="00450DD1">
        <w:rPr>
          <w:bCs/>
          <w:snapToGrid w:val="0"/>
          <w:szCs w:val="24"/>
          <w:lang w:val="es-ES_tradnl"/>
        </w:rPr>
        <w:t>UPOV/INF/16/3</w:t>
      </w:r>
      <w:r w:rsidRPr="00450DD1">
        <w:rPr>
          <w:bCs/>
          <w:snapToGrid w:val="0"/>
          <w:szCs w:val="24"/>
          <w:lang w:val="es-ES_tradnl"/>
        </w:rPr>
        <w:tab/>
      </w:r>
      <w:r w:rsidR="00BD77A1" w:rsidRPr="00450DD1">
        <w:rPr>
          <w:rFonts w:cs="Arial"/>
          <w:lang w:val="es-ES_tradnl"/>
        </w:rPr>
        <w:t>Programas informáticos para intercambio (Revisión</w:t>
      </w:r>
      <w:r w:rsidRPr="00450DD1">
        <w:rPr>
          <w:bCs/>
          <w:snapToGrid w:val="0"/>
          <w:spacing w:val="-4"/>
          <w:szCs w:val="24"/>
          <w:lang w:val="es-ES_tradnl"/>
        </w:rPr>
        <w:t>) (document</w:t>
      </w:r>
      <w:r w:rsidR="00BD77A1" w:rsidRPr="00450DD1">
        <w:rPr>
          <w:bCs/>
          <w:snapToGrid w:val="0"/>
          <w:spacing w:val="-4"/>
          <w:szCs w:val="24"/>
          <w:lang w:val="es-ES_tradnl"/>
        </w:rPr>
        <w:t>o UPOV/INF/16/3 </w:t>
      </w:r>
      <w:r w:rsidRPr="00450DD1">
        <w:rPr>
          <w:bCs/>
          <w:snapToGrid w:val="0"/>
          <w:spacing w:val="-4"/>
          <w:szCs w:val="24"/>
          <w:lang w:val="es-ES_tradnl"/>
        </w:rPr>
        <w:t>Draft 1)</w:t>
      </w:r>
    </w:p>
    <w:p w:rsidR="00FE4464" w:rsidRPr="00450DD1" w:rsidRDefault="00FE4464" w:rsidP="00450DD1">
      <w:pPr>
        <w:widowControl w:val="0"/>
        <w:ind w:left="2410" w:hanging="1843"/>
        <w:rPr>
          <w:bCs/>
          <w:snapToGrid w:val="0"/>
          <w:szCs w:val="24"/>
          <w:lang w:val="es-ES_tradnl"/>
        </w:rPr>
      </w:pPr>
    </w:p>
    <w:p w:rsidR="00FE4464" w:rsidRPr="00450DD1" w:rsidRDefault="00FE4464" w:rsidP="00450DD1">
      <w:pPr>
        <w:widowControl w:val="0"/>
        <w:ind w:left="2410" w:hanging="1843"/>
        <w:rPr>
          <w:lang w:val="es-ES_tradnl"/>
        </w:rPr>
      </w:pPr>
      <w:r w:rsidRPr="00450DD1">
        <w:rPr>
          <w:bCs/>
          <w:snapToGrid w:val="0"/>
          <w:szCs w:val="24"/>
          <w:lang w:val="es-ES_tradnl"/>
        </w:rPr>
        <w:t>UPOV/INF-EXN/5</w:t>
      </w:r>
      <w:r w:rsidRPr="00450DD1">
        <w:rPr>
          <w:bCs/>
          <w:snapToGrid w:val="0"/>
          <w:szCs w:val="24"/>
          <w:lang w:val="es-ES_tradnl"/>
        </w:rPr>
        <w:tab/>
      </w:r>
      <w:r w:rsidR="00BD77A1" w:rsidRPr="00450DD1">
        <w:rPr>
          <w:rFonts w:cs="Arial"/>
          <w:lang w:val="es-ES_tradnl"/>
        </w:rPr>
        <w:t>Lista de documentos UPOV/INF/-EXN y fechas de última publicación</w:t>
      </w:r>
      <w:r w:rsidR="00BD77A1" w:rsidRPr="00450DD1">
        <w:rPr>
          <w:lang w:val="es-ES_tradnl"/>
        </w:rPr>
        <w:t xml:space="preserve"> </w:t>
      </w:r>
      <w:r w:rsidRPr="00450DD1">
        <w:rPr>
          <w:lang w:val="es-ES_tradnl"/>
        </w:rPr>
        <w:t>(document</w:t>
      </w:r>
      <w:r w:rsidR="001F30A9" w:rsidRPr="00450DD1">
        <w:rPr>
          <w:lang w:val="es-ES_tradnl"/>
        </w:rPr>
        <w:t>o</w:t>
      </w:r>
      <w:r w:rsidRPr="00450DD1">
        <w:rPr>
          <w:lang w:val="es-ES_tradnl"/>
        </w:rPr>
        <w:t> UPOV/INF-EXN/5 Draft 1)</w:t>
      </w:r>
    </w:p>
    <w:p w:rsidR="00FE4464" w:rsidRPr="00450DD1" w:rsidRDefault="00FE4464" w:rsidP="00450DD1">
      <w:pPr>
        <w:widowControl w:val="0"/>
        <w:ind w:left="1134" w:hanging="567"/>
        <w:rPr>
          <w:szCs w:val="24"/>
          <w:lang w:val="es-ES_tradnl"/>
        </w:rPr>
      </w:pPr>
    </w:p>
    <w:p w:rsidR="00FE4464" w:rsidRPr="00450DD1" w:rsidRDefault="00FE4464" w:rsidP="00450DD1">
      <w:pPr>
        <w:pStyle w:val="Heading1"/>
        <w:keepNext w:val="0"/>
        <w:widowControl w:val="0"/>
        <w:rPr>
          <w:lang w:val="es-ES_tradnl"/>
        </w:rPr>
      </w:pPr>
      <w:r w:rsidRPr="00450DD1">
        <w:rPr>
          <w:lang w:val="es-ES_tradnl"/>
        </w:rPr>
        <w:br w:type="page"/>
      </w:r>
      <w:bookmarkStart w:id="5" w:name="_GoBack"/>
      <w:bookmarkEnd w:id="5"/>
      <w:r w:rsidRPr="00450DD1">
        <w:rPr>
          <w:lang w:val="es-ES_tradnl"/>
        </w:rPr>
        <w:lastRenderedPageBreak/>
        <w:t>DOCUMENT</w:t>
      </w:r>
      <w:r w:rsidR="00500CCC" w:rsidRPr="00450DD1">
        <w:rPr>
          <w:lang w:val="es-ES_tradnl"/>
        </w:rPr>
        <w:t>O</w:t>
      </w:r>
      <w:r w:rsidRPr="00450DD1">
        <w:rPr>
          <w:lang w:val="es-ES_tradnl"/>
        </w:rPr>
        <w:t>S</w:t>
      </w:r>
      <w:r w:rsidR="00500CCC" w:rsidRPr="00450DD1">
        <w:rPr>
          <w:lang w:val="es-ES_tradnl"/>
        </w:rPr>
        <w:t xml:space="preserve"> TGP</w:t>
      </w: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FE4464" w:rsidP="00450DD1">
      <w:pPr>
        <w:widowControl w:val="0"/>
        <w:tabs>
          <w:tab w:val="left" w:pos="0"/>
        </w:tabs>
        <w:rPr>
          <w:u w:val="single"/>
          <w:lang w:val="es-ES_tradnl"/>
        </w:rPr>
      </w:pPr>
      <w:r w:rsidRPr="00450DD1">
        <w:rPr>
          <w:u w:val="single"/>
          <w:lang w:val="es-ES_tradnl"/>
        </w:rPr>
        <w:t xml:space="preserve">TGP/14/2:  </w:t>
      </w:r>
      <w:r w:rsidR="00500CCC" w:rsidRPr="00450DD1">
        <w:rPr>
          <w:u w:val="single"/>
          <w:lang w:val="es-ES_tradnl"/>
        </w:rPr>
        <w:t xml:space="preserve">Glosario de términos utilizados en los documentos de la UPOV </w:t>
      </w:r>
      <w:r w:rsidRPr="00450DD1">
        <w:rPr>
          <w:u w:val="single"/>
          <w:lang w:val="es-ES_tradnl"/>
        </w:rPr>
        <w:t>(Revisi</w:t>
      </w:r>
      <w:r w:rsidR="00500CCC" w:rsidRPr="00450DD1">
        <w:rPr>
          <w:u w:val="single"/>
          <w:lang w:val="es-ES_tradnl"/>
        </w:rPr>
        <w:t>ó</w:t>
      </w:r>
      <w:r w:rsidRPr="00450DD1">
        <w:rPr>
          <w:u w:val="single"/>
          <w:lang w:val="es-ES_tradnl"/>
        </w:rPr>
        <w:t>n)</w:t>
      </w:r>
    </w:p>
    <w:p w:rsidR="00FE4464" w:rsidRPr="00450DD1" w:rsidRDefault="00FE4464" w:rsidP="00450DD1">
      <w:pPr>
        <w:widowControl w:val="0"/>
        <w:tabs>
          <w:tab w:val="left" w:pos="0"/>
        </w:tabs>
        <w:rPr>
          <w:lang w:val="es-ES_tradnl"/>
        </w:rPr>
      </w:pPr>
    </w:p>
    <w:p w:rsidR="00FE4464" w:rsidRPr="00450DD1" w:rsidRDefault="008C7915" w:rsidP="00450DD1">
      <w:pPr>
        <w:widowControl w:val="0"/>
        <w:rPr>
          <w:lang w:val="es-ES_tradnl"/>
        </w:rPr>
      </w:pPr>
      <w:r w:rsidRPr="00450DD1">
        <w:rPr>
          <w:color w:val="000000"/>
          <w:lang w:val="es-ES_tradnl"/>
        </w:rPr>
        <w:fldChar w:fldCharType="begin"/>
      </w:r>
      <w:r w:rsidR="00FE4464" w:rsidRPr="00450DD1">
        <w:rPr>
          <w:color w:val="000000"/>
          <w:lang w:val="es-ES_tradnl"/>
        </w:rPr>
        <w:instrText xml:space="preserve"> AUTONUM  </w:instrText>
      </w:r>
      <w:r w:rsidRPr="00450DD1">
        <w:rPr>
          <w:color w:val="000000"/>
          <w:lang w:val="es-ES_tradnl"/>
        </w:rPr>
        <w:fldChar w:fldCharType="end"/>
      </w:r>
      <w:r w:rsidR="00FE4464" w:rsidRPr="00450DD1">
        <w:rPr>
          <w:color w:val="000000"/>
          <w:lang w:val="es-ES_tradnl"/>
        </w:rPr>
        <w:tab/>
      </w:r>
      <w:r w:rsidR="003B66C3" w:rsidRPr="00450DD1">
        <w:rPr>
          <w:color w:val="000000"/>
          <w:lang w:val="es-ES_tradnl"/>
        </w:rPr>
        <w:t xml:space="preserve">El Comité Técnico (TC), en su cuadragésima novena sesión, celebrada en Ginebra del 18 al 20 de marzo de 2013, y el Comité Administrativo y Jurídico (CAJ), en su sexagésima séptima sesión, celebrada en Ginebra el 21 de marzo de 2013, aprobaron las modificaciones del texto de los documentos </w:t>
      </w:r>
      <w:r w:rsidR="003B66C3" w:rsidRPr="00450DD1">
        <w:rPr>
          <w:lang w:val="es-ES_tradnl"/>
        </w:rPr>
        <w:t>TC/49/35 y</w:t>
      </w:r>
      <w:r w:rsidR="00B45C95" w:rsidRPr="00450DD1">
        <w:rPr>
          <w:lang w:val="es-ES_tradnl"/>
        </w:rPr>
        <w:t xml:space="preserve"> </w:t>
      </w:r>
      <w:r w:rsidR="003B66C3" w:rsidRPr="00450DD1">
        <w:rPr>
          <w:lang w:val="es-ES_tradnl"/>
        </w:rPr>
        <w:t>CAJ/67/11, respectivamente</w:t>
      </w:r>
      <w:r w:rsidR="00860DF1" w:rsidRPr="00450DD1">
        <w:rPr>
          <w:lang w:val="es-ES_tradnl"/>
        </w:rPr>
        <w:t xml:space="preserve">, </w:t>
      </w:r>
      <w:r w:rsidR="00894B4F" w:rsidRPr="00450DD1">
        <w:rPr>
          <w:lang w:val="es-ES_tradnl"/>
        </w:rPr>
        <w:t>ambos titulados</w:t>
      </w:r>
      <w:r w:rsidR="00B45C95" w:rsidRPr="00450DD1">
        <w:rPr>
          <w:lang w:val="es-ES_tradnl"/>
        </w:rPr>
        <w:t xml:space="preserve"> </w:t>
      </w:r>
      <w:r w:rsidR="00894B4F" w:rsidRPr="00450DD1">
        <w:rPr>
          <w:lang w:val="es-ES_tradnl"/>
        </w:rPr>
        <w:t xml:space="preserve">“Revisión de las secciones actuales del documento TGP/14: </w:t>
      </w:r>
      <w:r w:rsidR="00AC5325" w:rsidRPr="00450DD1">
        <w:rPr>
          <w:lang w:val="es-ES_tradnl"/>
        </w:rPr>
        <w:t xml:space="preserve"> </w:t>
      </w:r>
      <w:r w:rsidR="00894B4F" w:rsidRPr="00450DD1">
        <w:rPr>
          <w:lang w:val="es-ES_tradnl"/>
        </w:rPr>
        <w:t xml:space="preserve">Sección 2: </w:t>
      </w:r>
      <w:r w:rsidR="00AC5325" w:rsidRPr="00450DD1">
        <w:rPr>
          <w:lang w:val="es-ES_tradnl"/>
        </w:rPr>
        <w:t xml:space="preserve"> </w:t>
      </w:r>
      <w:r w:rsidR="00894B4F" w:rsidRPr="00450DD1">
        <w:rPr>
          <w:lang w:val="es-ES_tradnl"/>
        </w:rPr>
        <w:t xml:space="preserve">Términos botánicos, Subsección 2: </w:t>
      </w:r>
      <w:r w:rsidR="00AC5325" w:rsidRPr="00450DD1">
        <w:rPr>
          <w:lang w:val="es-ES_tradnl"/>
        </w:rPr>
        <w:t xml:space="preserve"> </w:t>
      </w:r>
      <w:r w:rsidR="00894B4F" w:rsidRPr="00450DD1">
        <w:rPr>
          <w:lang w:val="es-ES_tradnl"/>
        </w:rPr>
        <w:t>Formas y estructuras</w:t>
      </w:r>
      <w:r w:rsidR="00894B4F" w:rsidRPr="00450DD1">
        <w:rPr>
          <w:rFonts w:cs="Arial"/>
          <w:lang w:val="es-ES_tradnl"/>
        </w:rPr>
        <w:t xml:space="preserve">” y de los documentos </w:t>
      </w:r>
      <w:r w:rsidR="00894B4F" w:rsidRPr="00450DD1">
        <w:rPr>
          <w:lang w:val="es-ES_tradnl"/>
        </w:rPr>
        <w:t>TC/49/35</w:t>
      </w:r>
      <w:r w:rsidR="00B45C95" w:rsidRPr="00450DD1">
        <w:rPr>
          <w:lang w:val="es-ES_tradnl"/>
        </w:rPr>
        <w:t xml:space="preserve"> </w:t>
      </w:r>
      <w:r w:rsidR="00894B4F" w:rsidRPr="00450DD1">
        <w:rPr>
          <w:lang w:val="es-ES_tradnl"/>
        </w:rPr>
        <w:t>y CAJ/67/12, ambos titulados</w:t>
      </w:r>
      <w:r w:rsidR="00B45C95" w:rsidRPr="00450DD1">
        <w:rPr>
          <w:lang w:val="es-ES_tradnl"/>
        </w:rPr>
        <w:t xml:space="preserve"> </w:t>
      </w:r>
      <w:r w:rsidR="00894B4F" w:rsidRPr="00450DD1">
        <w:rPr>
          <w:lang w:val="es-ES_tradnl"/>
        </w:rPr>
        <w:t xml:space="preserve">“Revisión del documento TGP/14: </w:t>
      </w:r>
      <w:r w:rsidR="00AC5325" w:rsidRPr="00450DD1">
        <w:rPr>
          <w:lang w:val="es-ES_tradnl"/>
        </w:rPr>
        <w:t xml:space="preserve"> </w:t>
      </w:r>
      <w:r w:rsidR="00894B4F" w:rsidRPr="00450DD1">
        <w:rPr>
          <w:lang w:val="es-ES_tradnl"/>
        </w:rPr>
        <w:t xml:space="preserve">Sección 2: </w:t>
      </w:r>
      <w:r w:rsidR="00AC5325" w:rsidRPr="00450DD1">
        <w:rPr>
          <w:lang w:val="es-ES_tradnl"/>
        </w:rPr>
        <w:t xml:space="preserve"> </w:t>
      </w:r>
      <w:r w:rsidR="00894B4F" w:rsidRPr="00450DD1">
        <w:rPr>
          <w:lang w:val="es-ES_tradnl"/>
        </w:rPr>
        <w:t>Términos botánicos, Subsección</w:t>
      </w:r>
      <w:r w:rsidR="00C64D0A" w:rsidRPr="00450DD1">
        <w:rPr>
          <w:lang w:val="es-ES_tradnl"/>
        </w:rPr>
        <w:t> </w:t>
      </w:r>
      <w:r w:rsidR="00894B4F" w:rsidRPr="00450DD1">
        <w:rPr>
          <w:lang w:val="es-ES_tradnl"/>
        </w:rPr>
        <w:t xml:space="preserve">3: </w:t>
      </w:r>
      <w:r w:rsidR="00AC5325" w:rsidRPr="00450DD1">
        <w:rPr>
          <w:lang w:val="es-ES_tradnl"/>
        </w:rPr>
        <w:t xml:space="preserve"> </w:t>
      </w:r>
      <w:r w:rsidR="00894B4F" w:rsidRPr="00450DD1">
        <w:rPr>
          <w:lang w:val="es-ES_tradnl"/>
        </w:rPr>
        <w:t>Color</w:t>
      </w:r>
      <w:r w:rsidR="00860DF1" w:rsidRPr="00450DD1">
        <w:rPr>
          <w:lang w:val="es-ES_tradnl"/>
        </w:rPr>
        <w:t xml:space="preserve">”. </w:t>
      </w:r>
      <w:r w:rsidR="00AC5325" w:rsidRPr="00450DD1">
        <w:rPr>
          <w:lang w:val="es-ES_tradnl"/>
        </w:rPr>
        <w:t xml:space="preserve"> </w:t>
      </w:r>
      <w:r w:rsidR="00860DF1" w:rsidRPr="00450DD1">
        <w:rPr>
          <w:lang w:val="es-ES_tradnl"/>
        </w:rPr>
        <w:t>S</w:t>
      </w:r>
      <w:r w:rsidR="003B66C3" w:rsidRPr="00450DD1">
        <w:rPr>
          <w:color w:val="000000"/>
          <w:lang w:val="es-ES_tradnl"/>
        </w:rPr>
        <w:t xml:space="preserve">obre esa base, </w:t>
      </w:r>
      <w:r w:rsidR="00860DF1" w:rsidRPr="00450DD1">
        <w:rPr>
          <w:color w:val="000000"/>
          <w:lang w:val="es-ES_tradnl"/>
        </w:rPr>
        <w:t xml:space="preserve">el TC y el CAJ </w:t>
      </w:r>
      <w:r w:rsidR="003B66C3" w:rsidRPr="00450DD1">
        <w:rPr>
          <w:color w:val="000000"/>
          <w:lang w:val="es-ES_tradnl"/>
        </w:rPr>
        <w:t>decidieron que el documento TGP/1</w:t>
      </w:r>
      <w:r w:rsidR="00860DF1" w:rsidRPr="00450DD1">
        <w:rPr>
          <w:color w:val="000000"/>
          <w:lang w:val="es-ES_tradnl"/>
        </w:rPr>
        <w:t>4</w:t>
      </w:r>
      <w:r w:rsidR="003B66C3" w:rsidRPr="00450DD1">
        <w:rPr>
          <w:color w:val="000000"/>
          <w:lang w:val="es-ES_tradnl"/>
        </w:rPr>
        <w:t xml:space="preserve">/2 </w:t>
      </w:r>
      <w:r w:rsidR="00C64D0A" w:rsidRPr="00450DD1">
        <w:rPr>
          <w:color w:val="000000"/>
          <w:lang w:val="es-ES_tradnl"/>
        </w:rPr>
        <w:t>se</w:t>
      </w:r>
      <w:r w:rsidR="003B66C3" w:rsidRPr="00450DD1">
        <w:rPr>
          <w:color w:val="000000"/>
          <w:lang w:val="es-ES_tradnl"/>
        </w:rPr>
        <w:t xml:space="preserve"> someti</w:t>
      </w:r>
      <w:r w:rsidR="00C64D0A" w:rsidRPr="00450DD1">
        <w:rPr>
          <w:color w:val="000000"/>
          <w:lang w:val="es-ES_tradnl"/>
        </w:rPr>
        <w:t>era</w:t>
      </w:r>
      <w:r w:rsidR="003B66C3" w:rsidRPr="00450DD1">
        <w:rPr>
          <w:color w:val="000000"/>
          <w:lang w:val="es-ES_tradnl"/>
        </w:rPr>
        <w:t xml:space="preserve"> a la aprobación del Consejo en su cuadragésima</w:t>
      </w:r>
      <w:r w:rsidR="00860DF1" w:rsidRPr="00450DD1">
        <w:rPr>
          <w:color w:val="000000"/>
          <w:lang w:val="es-ES_tradnl"/>
        </w:rPr>
        <w:t xml:space="preserve"> séptima</w:t>
      </w:r>
      <w:r w:rsidR="003B66C3" w:rsidRPr="00450DD1">
        <w:rPr>
          <w:color w:val="000000"/>
          <w:lang w:val="es-ES_tradnl"/>
        </w:rPr>
        <w:t xml:space="preserve"> sesión ordinaria</w:t>
      </w:r>
      <w:r w:rsidR="00FE4464" w:rsidRPr="00450DD1">
        <w:rPr>
          <w:lang w:val="es-ES_tradnl"/>
        </w:rPr>
        <w:t>.</w:t>
      </w: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8C7915" w:rsidP="00450DD1">
      <w:pPr>
        <w:widowControl w:val="0"/>
        <w:rPr>
          <w:lang w:val="es-ES_tradnl"/>
        </w:rPr>
      </w:pPr>
      <w:r w:rsidRPr="00450DD1">
        <w:rPr>
          <w:lang w:val="es-ES_tradnl"/>
        </w:rPr>
        <w:fldChar w:fldCharType="begin"/>
      </w:r>
      <w:r w:rsidR="00FE4464" w:rsidRPr="00450DD1">
        <w:rPr>
          <w:lang w:val="es-ES_tradnl"/>
        </w:rPr>
        <w:instrText xml:space="preserve"> AUTONUM  </w:instrText>
      </w:r>
      <w:r w:rsidRPr="00450DD1">
        <w:rPr>
          <w:lang w:val="es-ES_tradnl"/>
        </w:rPr>
        <w:fldChar w:fldCharType="end"/>
      </w:r>
      <w:r w:rsidR="00FE4464" w:rsidRPr="00450DD1">
        <w:rPr>
          <w:lang w:val="es-ES_tradnl"/>
        </w:rPr>
        <w:tab/>
      </w:r>
      <w:r w:rsidR="009A0B45" w:rsidRPr="00450DD1">
        <w:rPr>
          <w:rFonts w:cs="Arial"/>
          <w:snapToGrid w:val="0"/>
          <w:lang w:val="es-ES_tradnl"/>
        </w:rPr>
        <w:t xml:space="preserve">El TC y el CAJ </w:t>
      </w:r>
      <w:r w:rsidR="00D82EF0" w:rsidRPr="00450DD1">
        <w:rPr>
          <w:rFonts w:cs="Arial"/>
          <w:snapToGrid w:val="0"/>
          <w:lang w:val="es-ES_tradnl"/>
        </w:rPr>
        <w:t>observaron</w:t>
      </w:r>
      <w:r w:rsidR="009A0B45" w:rsidRPr="00450DD1">
        <w:rPr>
          <w:rFonts w:cs="Arial"/>
          <w:snapToGrid w:val="0"/>
          <w:lang w:val="es-ES_tradnl"/>
        </w:rPr>
        <w:t xml:space="preserve"> que</w:t>
      </w:r>
      <w:r w:rsidR="00FE4464" w:rsidRPr="00450DD1">
        <w:rPr>
          <w:rFonts w:cs="Arial"/>
          <w:snapToGrid w:val="0"/>
          <w:lang w:val="es-ES_tradnl"/>
        </w:rPr>
        <w:t xml:space="preserve"> </w:t>
      </w:r>
      <w:r w:rsidR="00D74296" w:rsidRPr="00450DD1">
        <w:rPr>
          <w:rFonts w:cs="Arial"/>
          <w:snapToGrid w:val="0"/>
          <w:lang w:val="es-ES_tradnl"/>
        </w:rPr>
        <w:t>la actualización de las definiciones de términos e índices</w:t>
      </w:r>
      <w:r w:rsidR="00CB3D76" w:rsidRPr="00450DD1">
        <w:rPr>
          <w:rFonts w:cs="Arial"/>
          <w:snapToGrid w:val="0"/>
          <w:lang w:val="es-ES_tradnl"/>
        </w:rPr>
        <w:t xml:space="preserve"> </w:t>
      </w:r>
      <w:r w:rsidR="00D74296" w:rsidRPr="00450DD1">
        <w:rPr>
          <w:rFonts w:cs="Arial"/>
          <w:snapToGrid w:val="0"/>
          <w:lang w:val="es-ES_tradnl"/>
        </w:rPr>
        <w:t xml:space="preserve">y </w:t>
      </w:r>
      <w:r w:rsidR="0073187C">
        <w:rPr>
          <w:rFonts w:cs="Arial"/>
          <w:snapToGrid w:val="0"/>
          <w:lang w:val="es-ES_tradnl"/>
        </w:rPr>
        <w:t>la verificación</w:t>
      </w:r>
      <w:r w:rsidR="00D74296" w:rsidRPr="00450DD1">
        <w:rPr>
          <w:rFonts w:cs="Arial"/>
          <w:snapToGrid w:val="0"/>
          <w:lang w:val="es-ES_tradnl"/>
        </w:rPr>
        <w:t xml:space="preserve"> de las traducciones al alemán, </w:t>
      </w:r>
      <w:r w:rsidR="0073187C">
        <w:rPr>
          <w:rFonts w:cs="Arial"/>
          <w:snapToGrid w:val="0"/>
          <w:lang w:val="es-ES_tradnl"/>
        </w:rPr>
        <w:t>al</w:t>
      </w:r>
      <w:r w:rsidR="00C64D0A" w:rsidRPr="00450DD1">
        <w:rPr>
          <w:rFonts w:cs="Arial"/>
          <w:snapToGrid w:val="0"/>
          <w:lang w:val="es-ES_tradnl"/>
        </w:rPr>
        <w:t xml:space="preserve"> </w:t>
      </w:r>
      <w:r w:rsidR="00D74296" w:rsidRPr="00450DD1">
        <w:rPr>
          <w:rFonts w:cs="Arial"/>
          <w:snapToGrid w:val="0"/>
          <w:lang w:val="es-ES_tradnl"/>
        </w:rPr>
        <w:t xml:space="preserve">español y </w:t>
      </w:r>
      <w:r w:rsidR="0073187C">
        <w:rPr>
          <w:rFonts w:cs="Arial"/>
          <w:snapToGrid w:val="0"/>
          <w:lang w:val="es-ES_tradnl"/>
        </w:rPr>
        <w:t>a</w:t>
      </w:r>
      <w:r w:rsidR="00C64D0A" w:rsidRPr="00450DD1">
        <w:rPr>
          <w:rFonts w:cs="Arial"/>
          <w:snapToGrid w:val="0"/>
          <w:lang w:val="es-ES_tradnl"/>
        </w:rPr>
        <w:t xml:space="preserve">l </w:t>
      </w:r>
      <w:r w:rsidR="00D74296" w:rsidRPr="00450DD1">
        <w:rPr>
          <w:rFonts w:cs="Arial"/>
          <w:snapToGrid w:val="0"/>
          <w:lang w:val="es-ES_tradnl"/>
        </w:rPr>
        <w:t>francés del texto original en inglés por los miembros pertinentes del Comité de Redacción</w:t>
      </w:r>
      <w:r w:rsidR="00FE4464" w:rsidRPr="00450DD1">
        <w:rPr>
          <w:lang w:val="es-ES_tradnl"/>
        </w:rPr>
        <w:t> </w:t>
      </w:r>
      <w:r w:rsidR="00C64D0A" w:rsidRPr="00450DD1">
        <w:rPr>
          <w:lang w:val="es-ES_tradnl"/>
        </w:rPr>
        <w:t>se realizarán antes de que se presente al Consejo el proyecto de documento TGP/14/2</w:t>
      </w:r>
      <w:r w:rsidR="00D82EF0" w:rsidRPr="00450DD1">
        <w:rPr>
          <w:lang w:val="es-ES_tradnl"/>
        </w:rPr>
        <w:t>.</w:t>
      </w:r>
      <w:r w:rsidR="00C64D0A" w:rsidRPr="00450DD1">
        <w:rPr>
          <w:lang w:val="es-ES_tradnl"/>
        </w:rPr>
        <w:t xml:space="preserve"> </w:t>
      </w:r>
      <w:r w:rsidR="00D74296" w:rsidRPr="00450DD1">
        <w:rPr>
          <w:lang w:val="es-ES_tradnl"/>
        </w:rPr>
        <w:t>En el d</w:t>
      </w:r>
      <w:r w:rsidR="00FE4464" w:rsidRPr="00450DD1">
        <w:rPr>
          <w:lang w:val="es-ES_tradnl"/>
        </w:rPr>
        <w:t>ocument</w:t>
      </w:r>
      <w:r w:rsidR="00D74296" w:rsidRPr="00450DD1">
        <w:rPr>
          <w:lang w:val="es-ES_tradnl"/>
        </w:rPr>
        <w:t xml:space="preserve">o TGP/14/2 Draft 1 se recogen </w:t>
      </w:r>
      <w:r w:rsidR="00421FB9" w:rsidRPr="00450DD1">
        <w:rPr>
          <w:lang w:val="es-ES_tradnl"/>
        </w:rPr>
        <w:t xml:space="preserve">la actualización de las definiciones de términos e índices y </w:t>
      </w:r>
      <w:r w:rsidR="00D74296" w:rsidRPr="00450DD1">
        <w:rPr>
          <w:lang w:val="es-ES_tradnl"/>
        </w:rPr>
        <w:t xml:space="preserve">los cambios de redacción propuestos por los miembros del Comité de Redacción </w:t>
      </w:r>
      <w:r w:rsidR="00F14F93">
        <w:rPr>
          <w:lang w:val="es-ES_tradnl"/>
        </w:rPr>
        <w:t>pertinentes</w:t>
      </w:r>
      <w:r w:rsidR="00FE4464" w:rsidRPr="00450DD1">
        <w:rPr>
          <w:lang w:val="es-ES_tradnl"/>
        </w:rPr>
        <w:t>.</w:t>
      </w: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8C7915" w:rsidP="00450DD1">
      <w:pPr>
        <w:pStyle w:val="DecisionParagraphs"/>
        <w:widowControl w:val="0"/>
        <w:rPr>
          <w:lang w:val="es-ES_tradnl"/>
        </w:rPr>
      </w:pPr>
      <w:r w:rsidRPr="00450DD1">
        <w:rPr>
          <w:lang w:val="es-ES_tradnl"/>
        </w:rPr>
        <w:fldChar w:fldCharType="begin"/>
      </w:r>
      <w:r w:rsidR="00FE4464" w:rsidRPr="00450DD1">
        <w:rPr>
          <w:lang w:val="es-ES_tradnl"/>
        </w:rPr>
        <w:instrText xml:space="preserve"> AUTONUM  </w:instrText>
      </w:r>
      <w:r w:rsidRPr="00450DD1">
        <w:rPr>
          <w:lang w:val="es-ES_tradnl"/>
        </w:rPr>
        <w:fldChar w:fldCharType="end"/>
      </w:r>
      <w:r w:rsidR="00FE4464" w:rsidRPr="00450DD1">
        <w:rPr>
          <w:lang w:val="es-ES_tradnl"/>
        </w:rPr>
        <w:tab/>
      </w:r>
      <w:r w:rsidR="00005EAE" w:rsidRPr="00450DD1">
        <w:rPr>
          <w:lang w:val="es-ES_tradnl"/>
        </w:rPr>
        <w:t>Se invita al Consejo a aprobar la revisión del documento</w:t>
      </w:r>
      <w:r w:rsidR="00FE4464" w:rsidRPr="00450DD1">
        <w:rPr>
          <w:lang w:val="es-ES_tradnl"/>
        </w:rPr>
        <w:t xml:space="preserve"> TGP/14 “</w:t>
      </w:r>
      <w:r w:rsidR="00891FB5" w:rsidRPr="00450DD1">
        <w:rPr>
          <w:lang w:val="es-ES_tradnl"/>
        </w:rPr>
        <w:t>Glosario de términos utilizados en los documentos de la UPOV</w:t>
      </w:r>
      <w:r w:rsidR="00FE4464" w:rsidRPr="00450DD1">
        <w:rPr>
          <w:bCs/>
          <w:szCs w:val="24"/>
          <w:lang w:val="es-ES_tradnl"/>
        </w:rPr>
        <w:t>” (document</w:t>
      </w:r>
      <w:r w:rsidR="00891FB5" w:rsidRPr="00450DD1">
        <w:rPr>
          <w:bCs/>
          <w:szCs w:val="24"/>
          <w:lang w:val="es-ES_tradnl"/>
        </w:rPr>
        <w:t>o</w:t>
      </w:r>
      <w:r w:rsidR="00D82EF0" w:rsidRPr="00450DD1">
        <w:rPr>
          <w:bCs/>
          <w:szCs w:val="24"/>
          <w:lang w:val="es-ES_tradnl"/>
        </w:rPr>
        <w:t> </w:t>
      </w:r>
      <w:r w:rsidR="00FE4464" w:rsidRPr="00450DD1">
        <w:rPr>
          <w:lang w:val="es-ES_tradnl"/>
        </w:rPr>
        <w:t xml:space="preserve">TGP/14/2) </w:t>
      </w:r>
      <w:r w:rsidR="00005EAE" w:rsidRPr="00450DD1">
        <w:rPr>
          <w:lang w:val="es-ES_tradnl"/>
        </w:rPr>
        <w:t>sobre la base del</w:t>
      </w:r>
      <w:r w:rsidR="00FE4464" w:rsidRPr="00450DD1">
        <w:rPr>
          <w:lang w:val="es-ES_tradnl"/>
        </w:rPr>
        <w:t xml:space="preserve"> </w:t>
      </w:r>
      <w:r w:rsidR="00FE4464" w:rsidRPr="00450DD1">
        <w:rPr>
          <w:bCs/>
          <w:szCs w:val="24"/>
          <w:lang w:val="es-ES_tradnl"/>
        </w:rPr>
        <w:t>document</w:t>
      </w:r>
      <w:r w:rsidR="00005EAE" w:rsidRPr="00450DD1">
        <w:rPr>
          <w:bCs/>
          <w:szCs w:val="24"/>
          <w:lang w:val="es-ES_tradnl"/>
        </w:rPr>
        <w:t>o</w:t>
      </w:r>
      <w:r w:rsidR="00FE4464" w:rsidRPr="00450DD1">
        <w:rPr>
          <w:bCs/>
          <w:szCs w:val="24"/>
          <w:lang w:val="es-ES_tradnl"/>
        </w:rPr>
        <w:t> TGP/14/2 Draft 1</w:t>
      </w:r>
      <w:r w:rsidR="00FE4464" w:rsidRPr="00450DD1">
        <w:rPr>
          <w:lang w:val="es-ES_tradnl"/>
        </w:rPr>
        <w:t>.</w:t>
      </w: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C65CA1" w:rsidRDefault="00FE4464" w:rsidP="00450DD1">
      <w:pPr>
        <w:widowControl w:val="0"/>
        <w:autoSpaceDE w:val="0"/>
        <w:autoSpaceDN w:val="0"/>
        <w:adjustRightInd w:val="0"/>
        <w:jc w:val="left"/>
        <w:rPr>
          <w:rFonts w:cs="Arial"/>
          <w:snapToGrid w:val="0"/>
          <w:u w:val="single"/>
          <w:lang w:val="es-ES_tradnl"/>
        </w:rPr>
      </w:pPr>
      <w:r w:rsidRPr="00C65CA1">
        <w:rPr>
          <w:bCs/>
          <w:snapToGrid w:val="0"/>
          <w:szCs w:val="24"/>
          <w:u w:val="single"/>
          <w:lang w:val="es-ES_tradnl"/>
        </w:rPr>
        <w:t xml:space="preserve">TGP/15/1:  </w:t>
      </w:r>
      <w:r w:rsidRPr="00C65CA1">
        <w:rPr>
          <w:rFonts w:cs="Arial"/>
          <w:strike/>
          <w:snapToGrid w:val="0"/>
          <w:u w:val="single"/>
          <w:lang w:val="es-ES_tradnl"/>
        </w:rPr>
        <w:t>[N</w:t>
      </w:r>
      <w:r w:rsidR="00500CCC" w:rsidRPr="00C65CA1">
        <w:rPr>
          <w:rFonts w:cs="Arial"/>
          <w:strike/>
          <w:snapToGrid w:val="0"/>
          <w:u w:val="single"/>
          <w:lang w:val="es-ES_tradnl"/>
        </w:rPr>
        <w:t>uevos tipos de caracteres</w:t>
      </w:r>
      <w:r w:rsidRPr="00C65CA1">
        <w:rPr>
          <w:rFonts w:cs="Arial"/>
          <w:strike/>
          <w:snapToGrid w:val="0"/>
          <w:u w:val="single"/>
          <w:lang w:val="es-ES_tradnl"/>
        </w:rPr>
        <w:t>]</w:t>
      </w:r>
      <w:r w:rsidRPr="00C65CA1">
        <w:rPr>
          <w:rFonts w:cs="Arial"/>
          <w:snapToGrid w:val="0"/>
          <w:u w:val="single"/>
          <w:lang w:val="es-ES_tradnl"/>
        </w:rPr>
        <w:t xml:space="preserve"> </w:t>
      </w:r>
      <w:r w:rsidR="00500CCC" w:rsidRPr="00C65CA1">
        <w:rPr>
          <w:rFonts w:cs="Arial"/>
          <w:u w:val="single"/>
          <w:lang w:val="es-ES_tradnl"/>
        </w:rPr>
        <w:t>[Orientación sobre el uso de marcadores bioquímicos y moleculares en el examen de la distinción, la homogeneidad y la estabilidad (DHE)]</w:t>
      </w:r>
    </w:p>
    <w:p w:rsidR="00FE4464" w:rsidRPr="00450DD1" w:rsidRDefault="00FE4464" w:rsidP="00450DD1">
      <w:pPr>
        <w:widowControl w:val="0"/>
        <w:rPr>
          <w:lang w:val="es-ES_tradnl" w:eastAsia="zh-CN"/>
        </w:rPr>
      </w:pPr>
    </w:p>
    <w:p w:rsidR="00FE4464" w:rsidRPr="00450DD1" w:rsidRDefault="008C7915" w:rsidP="00450DD1">
      <w:pPr>
        <w:widowControl w:val="0"/>
        <w:rPr>
          <w:lang w:val="es-ES_tradnl"/>
        </w:rPr>
      </w:pPr>
      <w:r w:rsidRPr="00450DD1">
        <w:rPr>
          <w:lang w:val="es-ES_tradnl" w:eastAsia="zh-CN"/>
        </w:rPr>
        <w:fldChar w:fldCharType="begin"/>
      </w:r>
      <w:r w:rsidR="00FE4464" w:rsidRPr="00450DD1">
        <w:rPr>
          <w:lang w:val="es-ES_tradnl" w:eastAsia="zh-CN"/>
        </w:rPr>
        <w:instrText xml:space="preserve"> AUTONUM  </w:instrText>
      </w:r>
      <w:r w:rsidRPr="00450DD1">
        <w:rPr>
          <w:lang w:val="es-ES_tradnl" w:eastAsia="zh-CN"/>
        </w:rPr>
        <w:fldChar w:fldCharType="end"/>
      </w:r>
      <w:r w:rsidR="00FE4464" w:rsidRPr="00450DD1">
        <w:rPr>
          <w:lang w:val="es-ES_tradnl" w:eastAsia="zh-CN"/>
        </w:rPr>
        <w:tab/>
      </w:r>
      <w:r w:rsidR="00AA5254" w:rsidRPr="00450DD1">
        <w:rPr>
          <w:lang w:val="es-ES_tradnl"/>
        </w:rPr>
        <w:t>El</w:t>
      </w:r>
      <w:r w:rsidR="00FE4464" w:rsidRPr="00450DD1">
        <w:rPr>
          <w:lang w:val="es-ES_tradnl"/>
        </w:rPr>
        <w:t xml:space="preserve"> TC, </w:t>
      </w:r>
      <w:r w:rsidR="00AA5254" w:rsidRPr="00450DD1">
        <w:rPr>
          <w:lang w:val="es-ES_tradnl" w:eastAsia="zh-CN"/>
        </w:rPr>
        <w:t xml:space="preserve">en su cuadragésima novena sesión, y el CAJ en su </w:t>
      </w:r>
      <w:r w:rsidR="00742B86" w:rsidRPr="00450DD1">
        <w:rPr>
          <w:lang w:val="es-ES_tradnl" w:eastAsia="zh-CN"/>
        </w:rPr>
        <w:t>sexagésima</w:t>
      </w:r>
      <w:r w:rsidR="00AA5254" w:rsidRPr="00450DD1">
        <w:rPr>
          <w:lang w:val="es-ES_tradnl" w:eastAsia="zh-CN"/>
        </w:rPr>
        <w:t xml:space="preserve"> séptima sesión,</w:t>
      </w:r>
      <w:r w:rsidR="00B45C95" w:rsidRPr="00450DD1">
        <w:rPr>
          <w:lang w:val="es-ES_tradnl" w:eastAsia="zh-CN"/>
        </w:rPr>
        <w:t xml:space="preserve"> </w:t>
      </w:r>
      <w:r w:rsidR="00AA5254" w:rsidRPr="00450DD1">
        <w:rPr>
          <w:lang w:val="es-ES_tradnl"/>
        </w:rPr>
        <w:t>acordaron aprobar el</w:t>
      </w:r>
      <w:r w:rsidR="00FE4464" w:rsidRPr="00450DD1">
        <w:rPr>
          <w:lang w:val="es-ES_tradnl"/>
        </w:rPr>
        <w:t xml:space="preserve"> document</w:t>
      </w:r>
      <w:r w:rsidR="00AA5254" w:rsidRPr="00450DD1">
        <w:rPr>
          <w:lang w:val="es-ES_tradnl"/>
        </w:rPr>
        <w:t>o</w:t>
      </w:r>
      <w:r w:rsidR="00FE4464" w:rsidRPr="00450DD1">
        <w:rPr>
          <w:lang w:val="es-ES_tradnl"/>
        </w:rPr>
        <w:t> TGP/15/1 Draft 4</w:t>
      </w:r>
      <w:r w:rsidR="00AA5254" w:rsidRPr="00450DD1">
        <w:rPr>
          <w:lang w:val="es-ES_tradnl"/>
        </w:rPr>
        <w:t xml:space="preserve"> como base para la aprobación del documento TGP/15/1 por el Consejo, en su cuadragésima séptima </w:t>
      </w:r>
      <w:r w:rsidR="00C63B20" w:rsidRPr="00450DD1">
        <w:rPr>
          <w:lang w:val="es-ES_tradnl"/>
        </w:rPr>
        <w:t>sesión ordinaria</w:t>
      </w:r>
      <w:r w:rsidR="00FE4464" w:rsidRPr="00450DD1">
        <w:rPr>
          <w:lang w:val="es-ES_tradnl"/>
        </w:rPr>
        <w:t>.</w:t>
      </w: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8C7915" w:rsidP="00450DD1">
      <w:pPr>
        <w:widowControl w:val="0"/>
        <w:rPr>
          <w:rFonts w:cs="Arial"/>
          <w:snapToGrid w:val="0"/>
          <w:lang w:val="es-ES_tradnl"/>
        </w:rPr>
      </w:pPr>
      <w:r w:rsidRPr="00450DD1">
        <w:rPr>
          <w:lang w:val="es-ES_tradnl"/>
        </w:rPr>
        <w:fldChar w:fldCharType="begin"/>
      </w:r>
      <w:r w:rsidR="00FE4464" w:rsidRPr="00450DD1">
        <w:rPr>
          <w:lang w:val="es-ES_tradnl"/>
        </w:rPr>
        <w:instrText xml:space="preserve"> AUTONUM  </w:instrText>
      </w:r>
      <w:r w:rsidRPr="00450DD1">
        <w:rPr>
          <w:lang w:val="es-ES_tradnl"/>
        </w:rPr>
        <w:fldChar w:fldCharType="end"/>
      </w:r>
      <w:r w:rsidR="00FE4464" w:rsidRPr="00450DD1">
        <w:rPr>
          <w:lang w:val="es-ES_tradnl"/>
        </w:rPr>
        <w:tab/>
      </w:r>
      <w:r w:rsidR="009A0B45" w:rsidRPr="00450DD1">
        <w:rPr>
          <w:lang w:val="es-ES_tradnl"/>
        </w:rPr>
        <w:t xml:space="preserve">El TC y el CAJ </w:t>
      </w:r>
      <w:r w:rsidR="00D82EF0" w:rsidRPr="00450DD1">
        <w:rPr>
          <w:lang w:val="es-ES_tradnl"/>
        </w:rPr>
        <w:t>observaron</w:t>
      </w:r>
      <w:r w:rsidR="009A0B45" w:rsidRPr="00450DD1">
        <w:rPr>
          <w:lang w:val="es-ES_tradnl"/>
        </w:rPr>
        <w:t xml:space="preserve"> que</w:t>
      </w:r>
      <w:r w:rsidR="00AA5254" w:rsidRPr="00450DD1">
        <w:rPr>
          <w:lang w:val="es-ES_tradnl"/>
        </w:rPr>
        <w:t xml:space="preserve"> </w:t>
      </w:r>
      <w:r w:rsidR="00AA5254" w:rsidRPr="00450DD1">
        <w:rPr>
          <w:rFonts w:cs="Arial"/>
          <w:snapToGrid w:val="0"/>
          <w:lang w:val="es-ES_tradnl"/>
        </w:rPr>
        <w:t>los miembros pertinentes del Comité de Redacción</w:t>
      </w:r>
      <w:r w:rsidR="00AA5254" w:rsidRPr="00450DD1">
        <w:rPr>
          <w:lang w:val="es-ES_tradnl"/>
        </w:rPr>
        <w:t xml:space="preserve"> </w:t>
      </w:r>
      <w:r w:rsidR="0073187C">
        <w:rPr>
          <w:lang w:val="es-ES_tradnl"/>
        </w:rPr>
        <w:t>verificarán</w:t>
      </w:r>
      <w:r w:rsidR="00AA5254" w:rsidRPr="00450DD1">
        <w:rPr>
          <w:lang w:val="es-ES_tradnl"/>
        </w:rPr>
        <w:t xml:space="preserve"> </w:t>
      </w:r>
      <w:r w:rsidR="00AA5254" w:rsidRPr="00450DD1">
        <w:rPr>
          <w:rFonts w:cs="Arial"/>
          <w:snapToGrid w:val="0"/>
          <w:lang w:val="es-ES_tradnl"/>
        </w:rPr>
        <w:t>las traducciones al francés,</w:t>
      </w:r>
      <w:r w:rsidR="0073187C">
        <w:rPr>
          <w:rFonts w:cs="Arial"/>
          <w:snapToGrid w:val="0"/>
          <w:lang w:val="es-ES_tradnl"/>
        </w:rPr>
        <w:t xml:space="preserve"> a</w:t>
      </w:r>
      <w:r w:rsidR="00AA5254" w:rsidRPr="00450DD1">
        <w:rPr>
          <w:rFonts w:cs="Arial"/>
          <w:snapToGrid w:val="0"/>
          <w:lang w:val="es-ES_tradnl"/>
        </w:rPr>
        <w:t xml:space="preserve">l alemán y </w:t>
      </w:r>
      <w:r w:rsidR="0073187C">
        <w:rPr>
          <w:rFonts w:cs="Arial"/>
          <w:snapToGrid w:val="0"/>
          <w:lang w:val="es-ES_tradnl"/>
        </w:rPr>
        <w:t>a</w:t>
      </w:r>
      <w:r w:rsidR="00AA5254" w:rsidRPr="00450DD1">
        <w:rPr>
          <w:rFonts w:cs="Arial"/>
          <w:snapToGrid w:val="0"/>
          <w:lang w:val="es-ES_tradnl"/>
        </w:rPr>
        <w:t>l español del texto original en inglés</w:t>
      </w:r>
      <w:r w:rsidR="00B45C95" w:rsidRPr="00450DD1">
        <w:rPr>
          <w:rFonts w:cs="Arial"/>
          <w:snapToGrid w:val="0"/>
          <w:lang w:val="es-ES_tradnl"/>
        </w:rPr>
        <w:t xml:space="preserve"> </w:t>
      </w:r>
      <w:r w:rsidR="00AA5254" w:rsidRPr="00450DD1">
        <w:rPr>
          <w:lang w:val="es-ES_tradnl"/>
        </w:rPr>
        <w:t xml:space="preserve">antes de la presentación del proyecto de </w:t>
      </w:r>
      <w:r w:rsidR="00FE4464" w:rsidRPr="00450DD1">
        <w:rPr>
          <w:lang w:val="es-ES_tradnl"/>
        </w:rPr>
        <w:t>document</w:t>
      </w:r>
      <w:r w:rsidR="00AA5254" w:rsidRPr="00450DD1">
        <w:rPr>
          <w:lang w:val="es-ES_tradnl"/>
        </w:rPr>
        <w:t>o</w:t>
      </w:r>
      <w:r w:rsidR="00FE4464" w:rsidRPr="00450DD1">
        <w:rPr>
          <w:lang w:val="es-ES_tradnl"/>
        </w:rPr>
        <w:t xml:space="preserve"> TGP/15/1 </w:t>
      </w:r>
      <w:r w:rsidR="00AA5254" w:rsidRPr="00450DD1">
        <w:rPr>
          <w:lang w:val="es-ES_tradnl"/>
        </w:rPr>
        <w:t>al Consejo</w:t>
      </w:r>
      <w:r w:rsidR="00FE4464" w:rsidRPr="00450DD1">
        <w:rPr>
          <w:lang w:val="es-ES_tradnl"/>
        </w:rPr>
        <w:t xml:space="preserve">. </w:t>
      </w:r>
      <w:r w:rsidR="00AC5325" w:rsidRPr="00450DD1">
        <w:rPr>
          <w:lang w:val="es-ES_tradnl"/>
        </w:rPr>
        <w:t xml:space="preserve"> </w:t>
      </w:r>
      <w:r w:rsidR="00AA5254" w:rsidRPr="00450DD1">
        <w:rPr>
          <w:lang w:val="es-ES_tradnl"/>
        </w:rPr>
        <w:t>En el d</w:t>
      </w:r>
      <w:r w:rsidR="00FE4464" w:rsidRPr="00450DD1">
        <w:rPr>
          <w:lang w:val="es-ES_tradnl"/>
        </w:rPr>
        <w:t>ocument</w:t>
      </w:r>
      <w:r w:rsidR="00AA5254" w:rsidRPr="00450DD1">
        <w:rPr>
          <w:lang w:val="es-ES_tradnl"/>
        </w:rPr>
        <w:t>o</w:t>
      </w:r>
      <w:r w:rsidR="00FE4464" w:rsidRPr="00450DD1">
        <w:rPr>
          <w:lang w:val="es-ES_tradnl"/>
        </w:rPr>
        <w:t xml:space="preserve"> </w:t>
      </w:r>
      <w:r w:rsidR="00FE4464" w:rsidRPr="00450DD1">
        <w:rPr>
          <w:bCs/>
          <w:szCs w:val="24"/>
          <w:lang w:val="es-ES_tradnl"/>
        </w:rPr>
        <w:t xml:space="preserve">TGP/15/1 Draft </w:t>
      </w:r>
      <w:r w:rsidR="00AA5254" w:rsidRPr="00450DD1">
        <w:rPr>
          <w:bCs/>
          <w:szCs w:val="24"/>
          <w:lang w:val="es-ES_tradnl"/>
        </w:rPr>
        <w:t xml:space="preserve">5 </w:t>
      </w:r>
      <w:r w:rsidR="00AA5254" w:rsidRPr="00450DD1">
        <w:rPr>
          <w:lang w:val="es-ES_tradnl"/>
        </w:rPr>
        <w:t xml:space="preserve">se recogen los cambios de redacción propuestos por los miembros del Comité de Redacción </w:t>
      </w:r>
      <w:r w:rsidR="00F14F93">
        <w:rPr>
          <w:lang w:val="es-ES_tradnl"/>
        </w:rPr>
        <w:t>pertinentes</w:t>
      </w:r>
      <w:r w:rsidR="00FE4464" w:rsidRPr="00450DD1">
        <w:rPr>
          <w:lang w:val="es-ES_tradnl"/>
        </w:rPr>
        <w:t>.</w:t>
      </w: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8C7915" w:rsidP="00450DD1">
      <w:pPr>
        <w:widowControl w:val="0"/>
        <w:rPr>
          <w:lang w:val="es-ES_tradnl"/>
        </w:rPr>
      </w:pPr>
      <w:r w:rsidRPr="00450DD1">
        <w:rPr>
          <w:lang w:val="es-ES_tradnl"/>
        </w:rPr>
        <w:fldChar w:fldCharType="begin"/>
      </w:r>
      <w:r w:rsidR="00FE4464" w:rsidRPr="00450DD1">
        <w:rPr>
          <w:lang w:val="es-ES_tradnl"/>
        </w:rPr>
        <w:instrText xml:space="preserve"> AUTONUM  </w:instrText>
      </w:r>
      <w:r w:rsidRPr="00450DD1">
        <w:rPr>
          <w:lang w:val="es-ES_tradnl"/>
        </w:rPr>
        <w:fldChar w:fldCharType="end"/>
      </w:r>
      <w:r w:rsidR="00FE4464" w:rsidRPr="00450DD1">
        <w:rPr>
          <w:lang w:val="es-ES_tradnl"/>
        </w:rPr>
        <w:tab/>
      </w:r>
      <w:r w:rsidR="009A0B45" w:rsidRPr="00450DD1">
        <w:rPr>
          <w:lang w:val="es-ES_tradnl"/>
        </w:rPr>
        <w:t>El TC y el CAJ tomaron nota de que</w:t>
      </w:r>
      <w:r w:rsidR="00FE4464" w:rsidRPr="00450DD1">
        <w:rPr>
          <w:lang w:val="es-ES_tradnl"/>
        </w:rPr>
        <w:t xml:space="preserve"> </w:t>
      </w:r>
      <w:r w:rsidR="00AA5254" w:rsidRPr="00450DD1">
        <w:rPr>
          <w:lang w:val="es-ES_tradnl"/>
        </w:rPr>
        <w:t xml:space="preserve">el </w:t>
      </w:r>
      <w:r w:rsidR="00FE4464" w:rsidRPr="00450DD1">
        <w:rPr>
          <w:lang w:val="es-ES_tradnl"/>
        </w:rPr>
        <w:t>document</w:t>
      </w:r>
      <w:r w:rsidR="00AA5254" w:rsidRPr="00450DD1">
        <w:rPr>
          <w:lang w:val="es-ES_tradnl"/>
        </w:rPr>
        <w:t>o</w:t>
      </w:r>
      <w:r w:rsidR="00FE4464" w:rsidRPr="00450DD1">
        <w:rPr>
          <w:lang w:val="es-ES_tradnl"/>
        </w:rPr>
        <w:t xml:space="preserve"> TGP/15/1 </w:t>
      </w:r>
      <w:r w:rsidR="00AF60C9" w:rsidRPr="00450DD1">
        <w:rPr>
          <w:lang w:val="es-ES_tradnl"/>
        </w:rPr>
        <w:t>podrá revisarse en el futuro, por ejemplo para incorporar ejemplos adicionales relativos a los modelo</w:t>
      </w:r>
      <w:r w:rsidR="00FE4464" w:rsidRPr="00450DD1">
        <w:rPr>
          <w:lang w:val="es-ES_tradnl"/>
        </w:rPr>
        <w:t>s.</w:t>
      </w: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8C7915" w:rsidP="00450DD1">
      <w:pPr>
        <w:widowControl w:val="0"/>
        <w:rPr>
          <w:lang w:val="es-ES_tradnl"/>
        </w:rPr>
      </w:pPr>
      <w:r w:rsidRPr="00450DD1">
        <w:rPr>
          <w:lang w:val="es-ES_tradnl"/>
        </w:rPr>
        <w:fldChar w:fldCharType="begin"/>
      </w:r>
      <w:r w:rsidR="00FE4464" w:rsidRPr="00450DD1">
        <w:rPr>
          <w:lang w:val="es-ES_tradnl"/>
        </w:rPr>
        <w:instrText xml:space="preserve"> AUTONUM  </w:instrText>
      </w:r>
      <w:r w:rsidRPr="00450DD1">
        <w:rPr>
          <w:lang w:val="es-ES_tradnl"/>
        </w:rPr>
        <w:fldChar w:fldCharType="end"/>
      </w:r>
      <w:r w:rsidR="00FE4464" w:rsidRPr="00450DD1">
        <w:rPr>
          <w:lang w:val="es-ES_tradnl"/>
        </w:rPr>
        <w:tab/>
      </w:r>
      <w:r w:rsidR="005C5433" w:rsidRPr="00450DD1">
        <w:rPr>
          <w:lang w:val="es-ES_tradnl"/>
        </w:rPr>
        <w:t xml:space="preserve">En </w:t>
      </w:r>
      <w:r w:rsidR="004E1EA9" w:rsidRPr="00450DD1">
        <w:rPr>
          <w:lang w:val="es-ES_tradnl"/>
        </w:rPr>
        <w:t xml:space="preserve">la sección 4.7 de la </w:t>
      </w:r>
      <w:r w:rsidR="00FE4464" w:rsidRPr="00450DD1">
        <w:rPr>
          <w:lang w:val="es-ES_tradnl"/>
        </w:rPr>
        <w:t>“</w:t>
      </w:r>
      <w:r w:rsidR="00CE1CAE" w:rsidRPr="00450DD1">
        <w:rPr>
          <w:lang w:val="es-ES_tradnl"/>
        </w:rPr>
        <w:t>Introducción general al examen de la distinción, la homogeneidad y la estabilidad y a la elaboración de descripciones armonizadas de las obtenciones vegetales</w:t>
      </w:r>
      <w:r w:rsidR="00FE4464" w:rsidRPr="00450DD1">
        <w:rPr>
          <w:lang w:val="es-ES_tradnl"/>
        </w:rPr>
        <w:t>” (document</w:t>
      </w:r>
      <w:r w:rsidR="00CE1CAE" w:rsidRPr="00450DD1">
        <w:rPr>
          <w:lang w:val="es-ES_tradnl"/>
        </w:rPr>
        <w:t>o</w:t>
      </w:r>
      <w:r w:rsidR="004E1EA9" w:rsidRPr="00450DD1">
        <w:rPr>
          <w:lang w:val="es-ES_tradnl"/>
        </w:rPr>
        <w:t> </w:t>
      </w:r>
      <w:r w:rsidR="00FE4464" w:rsidRPr="00450DD1">
        <w:rPr>
          <w:lang w:val="es-ES_tradnl"/>
        </w:rPr>
        <w:t xml:space="preserve">TG/1/3) </w:t>
      </w:r>
      <w:r w:rsidR="005C5433" w:rsidRPr="00450DD1">
        <w:rPr>
          <w:lang w:val="es-ES_tradnl"/>
        </w:rPr>
        <w:t xml:space="preserve">se hace referencia al </w:t>
      </w:r>
      <w:r w:rsidR="00F14F93">
        <w:rPr>
          <w:lang w:val="es-ES_tradnl"/>
        </w:rPr>
        <w:t xml:space="preserve">documento </w:t>
      </w:r>
      <w:r w:rsidR="00FE4464" w:rsidRPr="00450DD1">
        <w:rPr>
          <w:lang w:val="es-ES_tradnl"/>
        </w:rPr>
        <w:t xml:space="preserve">TGP/15.  </w:t>
      </w:r>
      <w:r w:rsidR="009A0B45" w:rsidRPr="00450DD1">
        <w:rPr>
          <w:lang w:val="es-ES_tradnl"/>
        </w:rPr>
        <w:t>El TC y el CAJ tomaron nota de que</w:t>
      </w:r>
      <w:r w:rsidR="00FE4464" w:rsidRPr="00450DD1">
        <w:rPr>
          <w:lang w:val="es-ES_tradnl"/>
        </w:rPr>
        <w:t xml:space="preserve">, </w:t>
      </w:r>
      <w:r w:rsidR="005C5433" w:rsidRPr="00450DD1">
        <w:rPr>
          <w:lang w:val="es-ES_tradnl"/>
        </w:rPr>
        <w:t xml:space="preserve">en el momento de </w:t>
      </w:r>
      <w:r w:rsidR="004E1EA9" w:rsidRPr="00450DD1">
        <w:rPr>
          <w:lang w:val="es-ES_tradnl"/>
        </w:rPr>
        <w:t>la</w:t>
      </w:r>
      <w:r w:rsidR="005C5433" w:rsidRPr="00450DD1">
        <w:rPr>
          <w:lang w:val="es-ES_tradnl"/>
        </w:rPr>
        <w:t xml:space="preserve"> aprobación</w:t>
      </w:r>
      <w:r w:rsidR="004E1EA9" w:rsidRPr="00450DD1">
        <w:rPr>
          <w:lang w:val="es-ES_tradnl"/>
        </w:rPr>
        <w:t>,</w:t>
      </w:r>
      <w:r w:rsidR="005C5433" w:rsidRPr="00450DD1">
        <w:rPr>
          <w:lang w:val="es-ES_tradnl"/>
        </w:rPr>
        <w:t xml:space="preserve"> se deberá cambiar </w:t>
      </w:r>
      <w:r w:rsidR="00CB3D76" w:rsidRPr="00450DD1">
        <w:rPr>
          <w:lang w:val="es-ES_tradnl"/>
        </w:rPr>
        <w:t>en dicha sección</w:t>
      </w:r>
      <w:r w:rsidR="006B5FE5" w:rsidRPr="00450DD1">
        <w:rPr>
          <w:lang w:val="es-ES_tradnl"/>
        </w:rPr>
        <w:t xml:space="preserve"> </w:t>
      </w:r>
      <w:r w:rsidR="005C5433" w:rsidRPr="00450DD1">
        <w:rPr>
          <w:lang w:val="es-ES_tradnl"/>
        </w:rPr>
        <w:t xml:space="preserve">el título del </w:t>
      </w:r>
      <w:r w:rsidR="00FE4464" w:rsidRPr="00450DD1">
        <w:rPr>
          <w:rFonts w:cs="Arial"/>
          <w:lang w:val="es-ES_tradnl"/>
        </w:rPr>
        <w:t>document</w:t>
      </w:r>
      <w:r w:rsidR="005C5433" w:rsidRPr="00450DD1">
        <w:rPr>
          <w:rFonts w:cs="Arial"/>
          <w:lang w:val="es-ES_tradnl"/>
        </w:rPr>
        <w:t>o</w:t>
      </w:r>
      <w:r w:rsidR="00FE4464" w:rsidRPr="00450DD1">
        <w:rPr>
          <w:rFonts w:cs="Arial"/>
          <w:lang w:val="es-ES_tradnl"/>
        </w:rPr>
        <w:t> TGP/15 “</w:t>
      </w:r>
      <w:r w:rsidR="009A0B45" w:rsidRPr="00450DD1">
        <w:rPr>
          <w:rFonts w:cs="Arial"/>
          <w:lang w:val="es-ES_tradnl"/>
        </w:rPr>
        <w:t>Nuevos tipos de caracteres</w:t>
      </w:r>
      <w:r w:rsidR="00FE4464" w:rsidRPr="00450DD1">
        <w:rPr>
          <w:rFonts w:cs="Arial"/>
          <w:lang w:val="es-ES_tradnl"/>
        </w:rPr>
        <w:t xml:space="preserve">” </w:t>
      </w:r>
      <w:r w:rsidR="005C5433" w:rsidRPr="00450DD1">
        <w:rPr>
          <w:rFonts w:cs="Arial"/>
          <w:lang w:val="es-ES_tradnl"/>
        </w:rPr>
        <w:t>por</w:t>
      </w:r>
      <w:r w:rsidR="00FE4464" w:rsidRPr="00450DD1">
        <w:rPr>
          <w:rFonts w:cs="Arial"/>
          <w:lang w:val="es-ES_tradnl"/>
        </w:rPr>
        <w:t xml:space="preserve"> </w:t>
      </w:r>
      <w:r w:rsidR="00FE4464" w:rsidRPr="00450DD1">
        <w:rPr>
          <w:rFonts w:cs="Arial"/>
          <w:snapToGrid w:val="0"/>
          <w:lang w:val="es-ES_tradnl"/>
        </w:rPr>
        <w:t>“</w:t>
      </w:r>
      <w:r w:rsidR="009A0B45" w:rsidRPr="00450DD1">
        <w:rPr>
          <w:rFonts w:cs="Arial"/>
          <w:lang w:val="es-ES_tradnl"/>
        </w:rPr>
        <w:t>Orientación sobre el uso de marcadores bioquímicos y moleculares en el examen de la distinción, la homogeneidad y la estabilidad (DHE)</w:t>
      </w:r>
      <w:r w:rsidR="00FE4464" w:rsidRPr="00450DD1">
        <w:rPr>
          <w:rFonts w:cs="Arial"/>
          <w:lang w:val="es-ES_tradnl"/>
        </w:rPr>
        <w:t xml:space="preserve">”. </w:t>
      </w: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8C7915" w:rsidP="00450DD1">
      <w:pPr>
        <w:pStyle w:val="DecisionParagraphs"/>
        <w:widowControl w:val="0"/>
        <w:rPr>
          <w:rFonts w:cs="Arial"/>
          <w:snapToGrid w:val="0"/>
          <w:u w:val="single"/>
          <w:lang w:val="es-ES_tradnl"/>
        </w:rPr>
      </w:pPr>
      <w:r w:rsidRPr="00450DD1">
        <w:rPr>
          <w:lang w:val="es-ES_tradnl" w:eastAsia="zh-CN"/>
        </w:rPr>
        <w:fldChar w:fldCharType="begin"/>
      </w:r>
      <w:r w:rsidR="00FE4464" w:rsidRPr="00450DD1">
        <w:rPr>
          <w:lang w:val="es-ES_tradnl" w:eastAsia="zh-CN"/>
        </w:rPr>
        <w:instrText xml:space="preserve"> AUTONUM  </w:instrText>
      </w:r>
      <w:r w:rsidRPr="00450DD1">
        <w:rPr>
          <w:lang w:val="es-ES_tradnl" w:eastAsia="zh-CN"/>
        </w:rPr>
        <w:fldChar w:fldCharType="end"/>
      </w:r>
      <w:r w:rsidR="00FE4464" w:rsidRPr="00450DD1">
        <w:rPr>
          <w:lang w:val="es-ES_tradnl" w:eastAsia="zh-CN"/>
        </w:rPr>
        <w:tab/>
      </w:r>
      <w:r w:rsidR="00005EAE" w:rsidRPr="00450DD1">
        <w:rPr>
          <w:lang w:val="es-ES_tradnl"/>
        </w:rPr>
        <w:t>Se invita al Consejo a aprobar el documento</w:t>
      </w:r>
      <w:r w:rsidR="006B5FE5" w:rsidRPr="00450DD1">
        <w:rPr>
          <w:lang w:val="es-ES_tradnl"/>
        </w:rPr>
        <w:t> </w:t>
      </w:r>
      <w:r w:rsidR="00FE4464" w:rsidRPr="00450DD1">
        <w:rPr>
          <w:lang w:val="es-ES_tradnl"/>
        </w:rPr>
        <w:t>TGP/15/1 “</w:t>
      </w:r>
      <w:r w:rsidR="00005EAE" w:rsidRPr="00450DD1">
        <w:rPr>
          <w:rFonts w:cs="Arial"/>
          <w:lang w:val="es-ES_tradnl"/>
        </w:rPr>
        <w:t>Orientación sobre el uso de marcadores bioquímicos y moleculares en el examen de la distinción, la homogeneidad y la estabilidad (DHE</w:t>
      </w:r>
      <w:r w:rsidR="00FE4464" w:rsidRPr="00450DD1">
        <w:rPr>
          <w:lang w:val="es-ES_tradnl"/>
        </w:rPr>
        <w:t xml:space="preserve">)” </w:t>
      </w:r>
      <w:r w:rsidR="00005EAE" w:rsidRPr="00450DD1">
        <w:rPr>
          <w:lang w:val="es-ES_tradnl"/>
        </w:rPr>
        <w:t>sobre la base del documento</w:t>
      </w:r>
      <w:r w:rsidR="00FE4464" w:rsidRPr="00450DD1">
        <w:rPr>
          <w:bCs/>
          <w:szCs w:val="24"/>
          <w:lang w:val="es-ES_tradnl"/>
        </w:rPr>
        <w:t> TGP/15/1 Draft</w:t>
      </w:r>
      <w:r w:rsidR="006B5FE5" w:rsidRPr="00450DD1">
        <w:rPr>
          <w:bCs/>
          <w:szCs w:val="24"/>
          <w:lang w:val="es-ES_tradnl"/>
        </w:rPr>
        <w:t> </w:t>
      </w:r>
      <w:r w:rsidR="00FE4464" w:rsidRPr="00450DD1">
        <w:rPr>
          <w:bCs/>
          <w:szCs w:val="24"/>
          <w:lang w:val="es-ES_tradnl"/>
        </w:rPr>
        <w:t>5.</w:t>
      </w:r>
    </w:p>
    <w:p w:rsidR="00FE4464" w:rsidRPr="00450DD1" w:rsidRDefault="00FE4464" w:rsidP="00450DD1">
      <w:pPr>
        <w:widowControl w:val="0"/>
        <w:ind w:left="1134" w:hanging="1134"/>
        <w:rPr>
          <w:u w:val="single"/>
          <w:lang w:val="es-ES_tradnl" w:eastAsia="zh-CN"/>
        </w:rPr>
      </w:pPr>
    </w:p>
    <w:p w:rsidR="00FE4464" w:rsidRPr="00450DD1" w:rsidRDefault="00FE4464" w:rsidP="00450DD1">
      <w:pPr>
        <w:widowControl w:val="0"/>
        <w:ind w:left="1134" w:hanging="1134"/>
        <w:rPr>
          <w:u w:val="single"/>
          <w:lang w:val="es-ES_tradnl" w:eastAsia="zh-CN"/>
        </w:rPr>
      </w:pPr>
    </w:p>
    <w:p w:rsidR="00546BA7" w:rsidRDefault="00546BA7">
      <w:pPr>
        <w:jc w:val="left"/>
        <w:rPr>
          <w:u w:val="single"/>
          <w:lang w:val="es-ES_tradnl"/>
        </w:rPr>
      </w:pPr>
      <w:r>
        <w:rPr>
          <w:u w:val="single"/>
          <w:lang w:val="es-ES_tradnl"/>
        </w:rPr>
        <w:br w:type="page"/>
      </w:r>
    </w:p>
    <w:p w:rsidR="00FE4464" w:rsidRPr="00450DD1" w:rsidRDefault="00FE4464" w:rsidP="00450DD1">
      <w:pPr>
        <w:widowControl w:val="0"/>
        <w:ind w:left="1134" w:hanging="1134"/>
        <w:rPr>
          <w:u w:val="single"/>
          <w:lang w:val="es-ES_tradnl"/>
        </w:rPr>
      </w:pPr>
      <w:r w:rsidRPr="00450DD1">
        <w:rPr>
          <w:u w:val="single"/>
          <w:lang w:val="es-ES_tradnl"/>
        </w:rPr>
        <w:lastRenderedPageBreak/>
        <w:t xml:space="preserve">TGP/0/6:  </w:t>
      </w:r>
      <w:r w:rsidR="00500CCC" w:rsidRPr="00450DD1">
        <w:rPr>
          <w:rFonts w:cs="Arial"/>
          <w:u w:val="single"/>
          <w:lang w:val="es-ES_tradnl"/>
        </w:rPr>
        <w:t>Lista de documentos TGP y fechas de última publicación (Revisión</w:t>
      </w:r>
      <w:r w:rsidRPr="00450DD1">
        <w:rPr>
          <w:u w:val="single"/>
          <w:lang w:val="es-ES_tradnl"/>
        </w:rPr>
        <w:t>)</w:t>
      </w:r>
    </w:p>
    <w:p w:rsidR="00FE4464" w:rsidRPr="00450DD1" w:rsidRDefault="00FE4464" w:rsidP="00450DD1">
      <w:pPr>
        <w:widowControl w:val="0"/>
        <w:rPr>
          <w:lang w:val="es-ES_tradnl" w:eastAsia="zh-CN"/>
        </w:rPr>
      </w:pPr>
    </w:p>
    <w:p w:rsidR="00FE4464" w:rsidRPr="00450DD1" w:rsidRDefault="008C7915" w:rsidP="00450DD1">
      <w:pPr>
        <w:widowControl w:val="0"/>
        <w:rPr>
          <w:lang w:val="es-ES_tradnl"/>
        </w:rPr>
      </w:pPr>
      <w:r w:rsidRPr="00450DD1">
        <w:rPr>
          <w:lang w:val="es-ES_tradnl" w:eastAsia="zh-CN"/>
        </w:rPr>
        <w:fldChar w:fldCharType="begin"/>
      </w:r>
      <w:r w:rsidR="00FE4464" w:rsidRPr="00450DD1">
        <w:rPr>
          <w:lang w:val="es-ES_tradnl" w:eastAsia="zh-CN"/>
        </w:rPr>
        <w:instrText xml:space="preserve"> AUTONUM  </w:instrText>
      </w:r>
      <w:r w:rsidRPr="00450DD1">
        <w:rPr>
          <w:lang w:val="es-ES_tradnl" w:eastAsia="zh-CN"/>
        </w:rPr>
        <w:fldChar w:fldCharType="end"/>
      </w:r>
      <w:r w:rsidR="00FE4464" w:rsidRPr="00450DD1">
        <w:rPr>
          <w:lang w:val="es-ES_tradnl" w:eastAsia="zh-CN"/>
        </w:rPr>
        <w:tab/>
      </w:r>
      <w:r w:rsidR="005C5433" w:rsidRPr="00450DD1">
        <w:rPr>
          <w:lang w:val="es-ES_tradnl"/>
        </w:rPr>
        <w:t>Junto con la aprobación del</w:t>
      </w:r>
      <w:r w:rsidR="00FE4464" w:rsidRPr="00450DD1">
        <w:rPr>
          <w:lang w:val="es-ES_tradnl"/>
        </w:rPr>
        <w:t xml:space="preserve"> document</w:t>
      </w:r>
      <w:r w:rsidR="005C5433" w:rsidRPr="00450DD1">
        <w:rPr>
          <w:lang w:val="es-ES_tradnl"/>
        </w:rPr>
        <w:t>o</w:t>
      </w:r>
      <w:r w:rsidR="00FE4464" w:rsidRPr="00450DD1">
        <w:rPr>
          <w:lang w:val="es-ES_tradnl"/>
        </w:rPr>
        <w:t xml:space="preserve"> TGP/14/2 “</w:t>
      </w:r>
      <w:r w:rsidR="000D0B2E" w:rsidRPr="00450DD1">
        <w:rPr>
          <w:rFonts w:cs="Arial"/>
          <w:lang w:val="es-ES_tradnl"/>
        </w:rPr>
        <w:t>Glosario de términos utilizados en los documentos de la UPOV (Revisión</w:t>
      </w:r>
      <w:r w:rsidR="00FE4464" w:rsidRPr="00450DD1">
        <w:rPr>
          <w:lang w:val="es-ES_tradnl"/>
        </w:rPr>
        <w:t xml:space="preserve">)” </w:t>
      </w:r>
      <w:r w:rsidR="005C5433" w:rsidRPr="00450DD1">
        <w:rPr>
          <w:lang w:val="es-ES_tradnl"/>
        </w:rPr>
        <w:t>y del documento</w:t>
      </w:r>
      <w:r w:rsidR="00FE4464" w:rsidRPr="00450DD1">
        <w:rPr>
          <w:lang w:val="es-ES_tradnl"/>
        </w:rPr>
        <w:t xml:space="preserve"> TGP/15/1 “</w:t>
      </w:r>
      <w:r w:rsidR="000D0B2E" w:rsidRPr="00450DD1">
        <w:rPr>
          <w:rFonts w:cs="Arial"/>
          <w:strike/>
          <w:snapToGrid w:val="0"/>
          <w:lang w:val="es-ES_tradnl"/>
        </w:rPr>
        <w:t>[Nuevos tipos de caracteres</w:t>
      </w:r>
      <w:r w:rsidR="000D0B2E" w:rsidRPr="00450DD1">
        <w:rPr>
          <w:rFonts w:cs="Arial"/>
          <w:dstrike/>
          <w:snapToGrid w:val="0"/>
          <w:lang w:val="es-ES_tradnl"/>
        </w:rPr>
        <w:t>]</w:t>
      </w:r>
      <w:r w:rsidR="000D0B2E" w:rsidRPr="00450DD1">
        <w:rPr>
          <w:rFonts w:cs="Arial"/>
          <w:lang w:val="es-ES_tradnl"/>
        </w:rPr>
        <w:t xml:space="preserve"> [Orientación sobre el uso de marcadores bioquímicos y moleculares en el examen de la distinción, la homogeneidad y la estabilidad</w:t>
      </w:r>
      <w:r w:rsidR="006B5FE5" w:rsidRPr="00450DD1">
        <w:rPr>
          <w:rFonts w:cs="Arial"/>
          <w:lang w:val="es-ES_tradnl"/>
        </w:rPr>
        <w:t xml:space="preserve"> </w:t>
      </w:r>
      <w:r w:rsidR="000D0B2E" w:rsidRPr="00450DD1">
        <w:rPr>
          <w:rFonts w:cs="Arial"/>
          <w:lang w:val="es-ES_tradnl"/>
        </w:rPr>
        <w:t>(DHE)</w:t>
      </w:r>
      <w:r w:rsidR="00FE4464" w:rsidRPr="00450DD1">
        <w:rPr>
          <w:lang w:val="es-ES_tradnl"/>
        </w:rPr>
        <w:t xml:space="preserve">]”, </w:t>
      </w:r>
      <w:r w:rsidR="005C5433" w:rsidRPr="00450DD1">
        <w:rPr>
          <w:lang w:val="es-ES_tradnl"/>
        </w:rPr>
        <w:t xml:space="preserve">se propone aprobar la revisión del documento </w:t>
      </w:r>
      <w:r w:rsidR="00FE4464" w:rsidRPr="00450DD1">
        <w:rPr>
          <w:lang w:val="es-ES_tradnl" w:eastAsia="zh-CN"/>
        </w:rPr>
        <w:t xml:space="preserve">TGP/0 </w:t>
      </w:r>
      <w:r w:rsidR="00005EAE" w:rsidRPr="00450DD1">
        <w:rPr>
          <w:lang w:val="es-ES_tradnl"/>
        </w:rPr>
        <w:t>sobre la base del documento</w:t>
      </w:r>
      <w:r w:rsidR="005902F7" w:rsidRPr="00450DD1">
        <w:rPr>
          <w:lang w:val="es-ES_tradnl"/>
        </w:rPr>
        <w:t xml:space="preserve"> TGP/0/6 </w:t>
      </w:r>
      <w:r w:rsidR="00FE4464" w:rsidRPr="00450DD1">
        <w:rPr>
          <w:lang w:val="es-ES_tradnl"/>
        </w:rPr>
        <w:t>Draft</w:t>
      </w:r>
      <w:r w:rsidR="005902F7" w:rsidRPr="00450DD1">
        <w:rPr>
          <w:lang w:val="es-ES_tradnl"/>
        </w:rPr>
        <w:t> </w:t>
      </w:r>
      <w:r w:rsidR="00FE4464" w:rsidRPr="00450DD1">
        <w:rPr>
          <w:lang w:val="es-ES_tradnl"/>
        </w:rPr>
        <w:t>1</w:t>
      </w:r>
      <w:r w:rsidR="00CB3D76" w:rsidRPr="00450DD1">
        <w:rPr>
          <w:lang w:val="es-ES_tradnl" w:eastAsia="zh-CN"/>
        </w:rPr>
        <w:t xml:space="preserve"> en la cuadragésima séptima sesión ordinaria del Consejo</w:t>
      </w:r>
      <w:r w:rsidR="00FE4464" w:rsidRPr="00450DD1">
        <w:rPr>
          <w:lang w:val="es-ES_tradnl"/>
        </w:rPr>
        <w:t>.</w:t>
      </w:r>
    </w:p>
    <w:p w:rsidR="00FE4464" w:rsidRPr="00450DD1" w:rsidRDefault="00FE4464" w:rsidP="00450DD1">
      <w:pPr>
        <w:widowControl w:val="0"/>
        <w:rPr>
          <w:lang w:val="es-ES_tradnl" w:eastAsia="zh-CN"/>
        </w:rPr>
      </w:pPr>
    </w:p>
    <w:p w:rsidR="00FE4464" w:rsidRDefault="008C7915" w:rsidP="00450DD1">
      <w:pPr>
        <w:pStyle w:val="DecisionParagraphs"/>
        <w:widowControl w:val="0"/>
        <w:rPr>
          <w:lang w:val="es-ES_tradnl" w:eastAsia="zh-CN"/>
        </w:rPr>
      </w:pPr>
      <w:r w:rsidRPr="00450DD1">
        <w:rPr>
          <w:lang w:val="es-ES_tradnl" w:eastAsia="zh-CN"/>
        </w:rPr>
        <w:fldChar w:fldCharType="begin"/>
      </w:r>
      <w:r w:rsidR="00FE4464" w:rsidRPr="00450DD1">
        <w:rPr>
          <w:lang w:val="es-ES_tradnl" w:eastAsia="zh-CN"/>
        </w:rPr>
        <w:instrText xml:space="preserve"> AUTONUM  </w:instrText>
      </w:r>
      <w:r w:rsidRPr="00450DD1">
        <w:rPr>
          <w:lang w:val="es-ES_tradnl" w:eastAsia="zh-CN"/>
        </w:rPr>
        <w:fldChar w:fldCharType="end"/>
      </w:r>
      <w:r w:rsidR="00FE4464" w:rsidRPr="00450DD1">
        <w:rPr>
          <w:lang w:val="es-ES_tradnl" w:eastAsia="zh-CN"/>
        </w:rPr>
        <w:tab/>
      </w:r>
      <w:r w:rsidR="00005EAE" w:rsidRPr="00450DD1">
        <w:rPr>
          <w:lang w:val="es-ES_tradnl" w:eastAsia="zh-CN"/>
        </w:rPr>
        <w:t>Se invita al Consejo a aprobar el documento</w:t>
      </w:r>
      <w:r w:rsidR="00FE4464" w:rsidRPr="00450DD1">
        <w:rPr>
          <w:lang w:val="es-ES_tradnl" w:eastAsia="zh-CN"/>
        </w:rPr>
        <w:t xml:space="preserve"> TGP/0/6 “</w:t>
      </w:r>
      <w:r w:rsidR="00626F3D" w:rsidRPr="00450DD1">
        <w:rPr>
          <w:rFonts w:cs="Arial"/>
          <w:lang w:val="es-ES_tradnl"/>
        </w:rPr>
        <w:t>Lista de documentos TGP y fechas de última publicación</w:t>
      </w:r>
      <w:r w:rsidR="00FE4464" w:rsidRPr="00450DD1">
        <w:rPr>
          <w:lang w:val="es-ES_tradnl" w:eastAsia="zh-CN"/>
        </w:rPr>
        <w:t xml:space="preserve">”, </w:t>
      </w:r>
      <w:r w:rsidR="00005EAE" w:rsidRPr="00450DD1">
        <w:rPr>
          <w:lang w:val="es-ES_tradnl" w:eastAsia="zh-CN"/>
        </w:rPr>
        <w:t>sobre la base del documento</w:t>
      </w:r>
      <w:r w:rsidR="00CB3D76" w:rsidRPr="00450DD1">
        <w:rPr>
          <w:lang w:val="es-ES_tradnl" w:eastAsia="zh-CN"/>
        </w:rPr>
        <w:t> </w:t>
      </w:r>
      <w:r w:rsidR="00FE4464" w:rsidRPr="00450DD1">
        <w:rPr>
          <w:lang w:val="es-ES_tradnl" w:eastAsia="zh-CN"/>
        </w:rPr>
        <w:t>TGP/0/6 Draft 1.</w:t>
      </w:r>
    </w:p>
    <w:p w:rsidR="009745D0" w:rsidRDefault="009745D0" w:rsidP="009745D0">
      <w:pPr>
        <w:rPr>
          <w:lang w:val="es-ES_tradnl" w:eastAsia="zh-CN"/>
        </w:rPr>
      </w:pPr>
    </w:p>
    <w:p w:rsidR="009745D0" w:rsidRDefault="009745D0" w:rsidP="009745D0">
      <w:pPr>
        <w:rPr>
          <w:lang w:val="es-ES_tradnl" w:eastAsia="zh-CN"/>
        </w:rPr>
      </w:pPr>
    </w:p>
    <w:p w:rsidR="009745D0" w:rsidRPr="00450DD1" w:rsidRDefault="009745D0" w:rsidP="009745D0">
      <w:pPr>
        <w:rPr>
          <w:lang w:val="es-ES_tradnl" w:eastAsia="zh-CN"/>
        </w:rPr>
      </w:pPr>
    </w:p>
    <w:p w:rsidR="00FE4464" w:rsidRPr="00450DD1" w:rsidRDefault="00500CCC" w:rsidP="00450DD1">
      <w:pPr>
        <w:widowControl w:val="0"/>
        <w:rPr>
          <w:bCs/>
          <w:snapToGrid w:val="0"/>
          <w:szCs w:val="24"/>
          <w:lang w:val="es-ES_tradnl"/>
        </w:rPr>
      </w:pPr>
      <w:r w:rsidRPr="00450DD1">
        <w:rPr>
          <w:bCs/>
          <w:snapToGrid w:val="0"/>
          <w:szCs w:val="24"/>
          <w:lang w:val="es-ES_tradnl"/>
        </w:rPr>
        <w:t>NOTAS EXPLICATIVAS</w:t>
      </w:r>
    </w:p>
    <w:p w:rsidR="00FE4464" w:rsidRPr="00450DD1" w:rsidRDefault="00FE4464" w:rsidP="00450DD1">
      <w:pPr>
        <w:widowControl w:val="0"/>
        <w:ind w:left="1701" w:hanging="1701"/>
        <w:rPr>
          <w:bCs/>
          <w:snapToGrid w:val="0"/>
          <w:szCs w:val="24"/>
          <w:lang w:val="es-ES_tradnl"/>
        </w:rPr>
      </w:pPr>
    </w:p>
    <w:p w:rsidR="00FE4464" w:rsidRPr="00450DD1" w:rsidRDefault="00FE4464" w:rsidP="00450DD1">
      <w:pPr>
        <w:widowControl w:val="0"/>
        <w:rPr>
          <w:bCs/>
          <w:snapToGrid w:val="0"/>
          <w:szCs w:val="24"/>
          <w:u w:val="single"/>
          <w:lang w:val="es-ES_tradnl"/>
        </w:rPr>
      </w:pPr>
      <w:r w:rsidRPr="00450DD1">
        <w:rPr>
          <w:bCs/>
          <w:snapToGrid w:val="0"/>
          <w:szCs w:val="24"/>
          <w:u w:val="single"/>
          <w:lang w:val="es-ES_tradnl"/>
        </w:rPr>
        <w:t xml:space="preserve">UPOV/EXN/BRD/1:  </w:t>
      </w:r>
      <w:r w:rsidR="00500CCC" w:rsidRPr="00450DD1">
        <w:rPr>
          <w:rFonts w:cs="Arial"/>
          <w:u w:val="single"/>
          <w:lang w:val="es-ES_tradnl"/>
        </w:rPr>
        <w:t>Notas explicativas sobre la definición de obtentor con arreglo al Acta de 1991 del Convenio de la UPOV</w:t>
      </w:r>
    </w:p>
    <w:p w:rsidR="00FE4464" w:rsidRPr="00450DD1" w:rsidRDefault="00FE4464" w:rsidP="00450DD1">
      <w:pPr>
        <w:widowControl w:val="0"/>
        <w:rPr>
          <w:snapToGrid w:val="0"/>
          <w:lang w:val="es-ES_tradnl"/>
        </w:rPr>
      </w:pPr>
    </w:p>
    <w:p w:rsidR="00FE4464" w:rsidRPr="00450DD1" w:rsidRDefault="008C7915" w:rsidP="00450DD1">
      <w:pPr>
        <w:widowControl w:val="0"/>
        <w:rPr>
          <w:lang w:val="es-ES_tradnl"/>
        </w:rPr>
      </w:pPr>
      <w:r w:rsidRPr="00450DD1">
        <w:rPr>
          <w:lang w:val="es-ES_tradnl"/>
        </w:rPr>
        <w:fldChar w:fldCharType="begin"/>
      </w:r>
      <w:r w:rsidR="00FE4464" w:rsidRPr="00450DD1">
        <w:rPr>
          <w:lang w:val="es-ES_tradnl"/>
        </w:rPr>
        <w:instrText xml:space="preserve"> AUTONUM  </w:instrText>
      </w:r>
      <w:r w:rsidRPr="00450DD1">
        <w:rPr>
          <w:lang w:val="es-ES_tradnl"/>
        </w:rPr>
        <w:fldChar w:fldCharType="end"/>
      </w:r>
      <w:r w:rsidR="00FE4464" w:rsidRPr="00450DD1">
        <w:rPr>
          <w:lang w:val="es-ES_tradnl"/>
        </w:rPr>
        <w:tab/>
      </w:r>
      <w:r w:rsidR="00356569" w:rsidRPr="00450DD1">
        <w:rPr>
          <w:lang w:val="es-ES_tradnl"/>
        </w:rPr>
        <w:t xml:space="preserve">En su sexagésima séptima sesión, el </w:t>
      </w:r>
      <w:r w:rsidR="00FE4464" w:rsidRPr="00450DD1">
        <w:rPr>
          <w:lang w:val="es-ES_tradnl" w:eastAsia="zh-CN"/>
        </w:rPr>
        <w:t>CAJ</w:t>
      </w:r>
      <w:r w:rsidR="00356569" w:rsidRPr="00450DD1">
        <w:rPr>
          <w:lang w:val="es-ES_tradnl" w:eastAsia="zh-CN"/>
        </w:rPr>
        <w:t xml:space="preserve"> </w:t>
      </w:r>
      <w:r w:rsidR="00356569" w:rsidRPr="00450DD1">
        <w:rPr>
          <w:lang w:val="es-ES_tradnl"/>
        </w:rPr>
        <w:t xml:space="preserve">acordó </w:t>
      </w:r>
      <w:r w:rsidR="0041462F">
        <w:rPr>
          <w:lang w:val="es-ES_tradnl"/>
        </w:rPr>
        <w:t xml:space="preserve">que el texto </w:t>
      </w:r>
      <w:r w:rsidR="00356569" w:rsidRPr="00450DD1">
        <w:rPr>
          <w:lang w:val="es-ES_tradnl"/>
        </w:rPr>
        <w:t>de</w:t>
      </w:r>
      <w:r w:rsidR="0041462F">
        <w:rPr>
          <w:lang w:val="es-ES_tradnl"/>
        </w:rPr>
        <w:t>l</w:t>
      </w:r>
      <w:r w:rsidR="00356569" w:rsidRPr="00450DD1">
        <w:rPr>
          <w:lang w:val="es-ES_tradnl"/>
        </w:rPr>
        <w:t xml:space="preserve"> </w:t>
      </w:r>
      <w:r w:rsidR="00FE4464" w:rsidRPr="00450DD1">
        <w:rPr>
          <w:lang w:val="es-ES_tradnl"/>
        </w:rPr>
        <w:t>document</w:t>
      </w:r>
      <w:r w:rsidR="00356569" w:rsidRPr="00450DD1">
        <w:rPr>
          <w:lang w:val="es-ES_tradnl"/>
        </w:rPr>
        <w:t>o</w:t>
      </w:r>
      <w:r w:rsidR="00FE4464" w:rsidRPr="00450DD1">
        <w:rPr>
          <w:lang w:val="es-ES_tradnl"/>
        </w:rPr>
        <w:t xml:space="preserve"> UPOV/EXN/BRD Draft 7 </w:t>
      </w:r>
      <w:r w:rsidR="0041462F">
        <w:rPr>
          <w:lang w:val="es-ES_tradnl"/>
        </w:rPr>
        <w:t xml:space="preserve">sirviera de </w:t>
      </w:r>
      <w:r w:rsidR="00751CBD" w:rsidRPr="00450DD1">
        <w:rPr>
          <w:lang w:val="es-ES_tradnl"/>
        </w:rPr>
        <w:t xml:space="preserve">base para la aprobación del documento </w:t>
      </w:r>
      <w:r w:rsidR="00751CBD" w:rsidRPr="00450DD1">
        <w:rPr>
          <w:bCs/>
          <w:szCs w:val="24"/>
          <w:lang w:val="es-ES_tradnl"/>
        </w:rPr>
        <w:t xml:space="preserve">UPOV/EXN/BRD/1 </w:t>
      </w:r>
      <w:r w:rsidR="00751CBD" w:rsidRPr="00450DD1">
        <w:rPr>
          <w:lang w:val="es-ES_tradnl"/>
        </w:rPr>
        <w:t xml:space="preserve">por el Consejo en su cuadragésima </w:t>
      </w:r>
      <w:r w:rsidR="00751CBD" w:rsidRPr="00450DD1">
        <w:rPr>
          <w:rFonts w:cs="Arial"/>
          <w:lang w:val="es-ES_tradnl"/>
        </w:rPr>
        <w:t xml:space="preserve">séptima </w:t>
      </w:r>
      <w:r w:rsidR="00751CBD" w:rsidRPr="00450DD1">
        <w:rPr>
          <w:lang w:val="es-ES_tradnl"/>
        </w:rPr>
        <w:t>sesión ordinaria</w:t>
      </w:r>
      <w:r w:rsidR="00FE4464" w:rsidRPr="00450DD1">
        <w:rPr>
          <w:rFonts w:cs="Arial"/>
          <w:lang w:val="es-ES_tradnl"/>
        </w:rPr>
        <w:t>.</w:t>
      </w: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8C7915" w:rsidP="00450DD1">
      <w:pPr>
        <w:pStyle w:val="DecisionParagraphs"/>
        <w:widowControl w:val="0"/>
        <w:rPr>
          <w:lang w:val="es-ES_tradnl" w:eastAsia="zh-CN"/>
        </w:rPr>
      </w:pPr>
      <w:r w:rsidRPr="00450DD1">
        <w:rPr>
          <w:lang w:val="es-ES_tradnl" w:eastAsia="zh-CN"/>
        </w:rPr>
        <w:fldChar w:fldCharType="begin"/>
      </w:r>
      <w:r w:rsidR="00FE4464" w:rsidRPr="00450DD1">
        <w:rPr>
          <w:lang w:val="es-ES_tradnl" w:eastAsia="zh-CN"/>
        </w:rPr>
        <w:instrText xml:space="preserve"> AUTONUM  </w:instrText>
      </w:r>
      <w:r w:rsidRPr="00450DD1">
        <w:rPr>
          <w:lang w:val="es-ES_tradnl" w:eastAsia="zh-CN"/>
        </w:rPr>
        <w:fldChar w:fldCharType="end"/>
      </w:r>
      <w:r w:rsidR="00FE4464" w:rsidRPr="00450DD1">
        <w:rPr>
          <w:lang w:val="es-ES_tradnl" w:eastAsia="zh-CN"/>
        </w:rPr>
        <w:tab/>
      </w:r>
      <w:r w:rsidR="00005EAE" w:rsidRPr="00450DD1">
        <w:rPr>
          <w:lang w:val="es-ES_tradnl" w:eastAsia="zh-CN"/>
        </w:rPr>
        <w:t>Se invita al Consejo a aprobar el documento</w:t>
      </w:r>
      <w:r w:rsidR="00FE4464" w:rsidRPr="00450DD1">
        <w:rPr>
          <w:lang w:val="es-ES_tradnl" w:eastAsia="zh-CN"/>
        </w:rPr>
        <w:t xml:space="preserve"> </w:t>
      </w:r>
      <w:r w:rsidR="00FE4464" w:rsidRPr="00450DD1">
        <w:rPr>
          <w:bCs/>
          <w:szCs w:val="24"/>
          <w:lang w:val="es-ES_tradnl"/>
        </w:rPr>
        <w:t xml:space="preserve">UPOV/EXN/BRD/1 </w:t>
      </w:r>
      <w:r w:rsidR="00FE4464" w:rsidRPr="00450DD1">
        <w:rPr>
          <w:lang w:val="es-ES_tradnl" w:eastAsia="zh-CN"/>
        </w:rPr>
        <w:t>“</w:t>
      </w:r>
      <w:r w:rsidR="000D0B2E" w:rsidRPr="00450DD1">
        <w:rPr>
          <w:rFonts w:cs="Arial"/>
          <w:lang w:val="es-ES_tradnl"/>
        </w:rPr>
        <w:t>Notas explicativas sobre la definición de obtentor con arreglo al Acta de 1991 del Convenio de la UPOV</w:t>
      </w:r>
      <w:r w:rsidR="00FE4464" w:rsidRPr="00450DD1">
        <w:rPr>
          <w:lang w:val="es-ES_tradnl" w:eastAsia="zh-CN"/>
        </w:rPr>
        <w:t xml:space="preserve">”, </w:t>
      </w:r>
      <w:r w:rsidR="00005EAE" w:rsidRPr="00450DD1">
        <w:rPr>
          <w:lang w:val="es-ES_tradnl" w:eastAsia="zh-CN"/>
        </w:rPr>
        <w:t>sobre la base del documento</w:t>
      </w:r>
      <w:r w:rsidR="00FE4464" w:rsidRPr="00450DD1">
        <w:rPr>
          <w:lang w:val="es-ES_tradnl" w:eastAsia="zh-CN"/>
        </w:rPr>
        <w:t xml:space="preserve"> </w:t>
      </w:r>
      <w:r w:rsidR="00FE4464" w:rsidRPr="00450DD1">
        <w:rPr>
          <w:bCs/>
          <w:szCs w:val="24"/>
          <w:lang w:val="es-ES_tradnl"/>
        </w:rPr>
        <w:t>UPOV/EXN/BRD Draft 7</w:t>
      </w:r>
      <w:r w:rsidR="00FE4464" w:rsidRPr="00450DD1">
        <w:rPr>
          <w:lang w:val="es-ES_tradnl" w:eastAsia="zh-CN"/>
        </w:rPr>
        <w:t>.</w:t>
      </w: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FE4464" w:rsidP="00450DD1">
      <w:pPr>
        <w:widowControl w:val="0"/>
        <w:ind w:left="1843" w:hanging="1843"/>
        <w:rPr>
          <w:bCs/>
          <w:snapToGrid w:val="0"/>
          <w:szCs w:val="24"/>
          <w:lang w:val="es-ES_tradnl"/>
        </w:rPr>
      </w:pPr>
    </w:p>
    <w:p w:rsidR="00FE4464" w:rsidRPr="00450DD1" w:rsidRDefault="00FE4464" w:rsidP="00450DD1">
      <w:pPr>
        <w:widowControl w:val="0"/>
        <w:autoSpaceDE w:val="0"/>
        <w:autoSpaceDN w:val="0"/>
        <w:adjustRightInd w:val="0"/>
        <w:jc w:val="left"/>
        <w:rPr>
          <w:lang w:val="es-ES_tradnl"/>
        </w:rPr>
      </w:pPr>
      <w:r w:rsidRPr="00450DD1">
        <w:rPr>
          <w:bCs/>
          <w:snapToGrid w:val="0"/>
          <w:szCs w:val="24"/>
          <w:u w:val="single"/>
          <w:lang w:val="es-ES_tradnl"/>
        </w:rPr>
        <w:t>UPOV</w:t>
      </w:r>
      <w:r w:rsidRPr="00450DD1">
        <w:rPr>
          <w:u w:val="single"/>
          <w:lang w:val="es-ES_tradnl"/>
        </w:rPr>
        <w:t xml:space="preserve">/EXN/HRV/1:  </w:t>
      </w:r>
      <w:r w:rsidR="00500CCC" w:rsidRPr="00450DD1">
        <w:rPr>
          <w:u w:val="single"/>
          <w:lang w:val="es-ES_tradnl"/>
        </w:rPr>
        <w:t>Notas explicativas sobre los actos respecto del producto de la cosecha con arreglo al Acta de 1991 del Convenio de la UPOV</w:t>
      </w: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8C7915" w:rsidP="00450DD1">
      <w:pPr>
        <w:widowControl w:val="0"/>
        <w:rPr>
          <w:bCs/>
          <w:snapToGrid w:val="0"/>
          <w:szCs w:val="24"/>
          <w:lang w:val="es-ES_tradnl"/>
        </w:rPr>
      </w:pPr>
      <w:r w:rsidRPr="00450DD1">
        <w:rPr>
          <w:bCs/>
          <w:snapToGrid w:val="0"/>
          <w:szCs w:val="24"/>
          <w:lang w:val="es-ES_tradnl"/>
        </w:rPr>
        <w:fldChar w:fldCharType="begin"/>
      </w:r>
      <w:r w:rsidR="00FE4464" w:rsidRPr="00450DD1">
        <w:rPr>
          <w:bCs/>
          <w:snapToGrid w:val="0"/>
          <w:szCs w:val="24"/>
          <w:lang w:val="es-ES_tradnl"/>
        </w:rPr>
        <w:instrText xml:space="preserve"> AUTONUM  </w:instrText>
      </w:r>
      <w:r w:rsidRPr="00450DD1">
        <w:rPr>
          <w:bCs/>
          <w:snapToGrid w:val="0"/>
          <w:szCs w:val="24"/>
          <w:lang w:val="es-ES_tradnl"/>
        </w:rPr>
        <w:fldChar w:fldCharType="end"/>
      </w:r>
      <w:r w:rsidR="00FE4464" w:rsidRPr="00450DD1">
        <w:rPr>
          <w:bCs/>
          <w:snapToGrid w:val="0"/>
          <w:szCs w:val="24"/>
          <w:lang w:val="es-ES_tradnl"/>
        </w:rPr>
        <w:tab/>
      </w:r>
      <w:r w:rsidR="00B42264" w:rsidRPr="00450DD1">
        <w:rPr>
          <w:bCs/>
          <w:snapToGrid w:val="0"/>
          <w:szCs w:val="24"/>
          <w:lang w:val="es-ES_tradnl"/>
        </w:rPr>
        <w:t>Siempre que el</w:t>
      </w:r>
      <w:r w:rsidR="00FE4464" w:rsidRPr="00450DD1">
        <w:rPr>
          <w:bCs/>
          <w:snapToGrid w:val="0"/>
          <w:szCs w:val="24"/>
          <w:lang w:val="es-ES_tradnl"/>
        </w:rPr>
        <w:t xml:space="preserve"> CAJ</w:t>
      </w:r>
      <w:r w:rsidR="005F2C3B" w:rsidRPr="00450DD1">
        <w:rPr>
          <w:bCs/>
          <w:snapToGrid w:val="0"/>
          <w:szCs w:val="24"/>
          <w:lang w:val="es-ES_tradnl"/>
        </w:rPr>
        <w:t xml:space="preserve"> lo apruebe</w:t>
      </w:r>
      <w:r w:rsidR="00FE4464" w:rsidRPr="00450DD1">
        <w:rPr>
          <w:bCs/>
          <w:snapToGrid w:val="0"/>
          <w:szCs w:val="24"/>
          <w:lang w:val="es-ES_tradnl"/>
        </w:rPr>
        <w:t xml:space="preserve"> </w:t>
      </w:r>
      <w:r w:rsidR="00990F28" w:rsidRPr="00450DD1">
        <w:rPr>
          <w:bCs/>
          <w:snapToGrid w:val="0"/>
          <w:szCs w:val="24"/>
          <w:lang w:val="es-ES_tradnl"/>
        </w:rPr>
        <w:t>en su</w:t>
      </w:r>
      <w:r w:rsidR="00B42264" w:rsidRPr="00450DD1">
        <w:rPr>
          <w:bCs/>
          <w:snapToGrid w:val="0"/>
          <w:szCs w:val="24"/>
          <w:lang w:val="es-ES_tradnl"/>
        </w:rPr>
        <w:t xml:space="preserve"> sexagésima octava sesión,</w:t>
      </w:r>
      <w:r w:rsidR="00FE4464" w:rsidRPr="00450DD1">
        <w:rPr>
          <w:rFonts w:cs="Arial"/>
          <w:lang w:val="es-ES_tradnl"/>
        </w:rPr>
        <w:t xml:space="preserve"> </w:t>
      </w:r>
      <w:r w:rsidR="00B42264" w:rsidRPr="00450DD1">
        <w:rPr>
          <w:rFonts w:cs="Arial"/>
          <w:lang w:val="es-ES_tradnl"/>
        </w:rPr>
        <w:t xml:space="preserve">se invitará al Consejo a </w:t>
      </w:r>
      <w:r w:rsidR="00260C62" w:rsidRPr="00450DD1">
        <w:rPr>
          <w:rFonts w:cs="Arial"/>
          <w:lang w:val="es-ES_tradnl"/>
        </w:rPr>
        <w:t>aprobar</w:t>
      </w:r>
      <w:r w:rsidR="001B454E" w:rsidRPr="00450DD1">
        <w:rPr>
          <w:rFonts w:cs="Arial"/>
          <w:lang w:val="es-ES_tradnl"/>
        </w:rPr>
        <w:t xml:space="preserve"> </w:t>
      </w:r>
      <w:r w:rsidR="00260C62" w:rsidRPr="00450DD1">
        <w:rPr>
          <w:rFonts w:cs="Arial"/>
          <w:lang w:val="es-ES_tradnl"/>
        </w:rPr>
        <w:t>e</w:t>
      </w:r>
      <w:r w:rsidR="001B454E" w:rsidRPr="00450DD1">
        <w:rPr>
          <w:rFonts w:cs="Arial"/>
          <w:lang w:val="es-ES_tradnl"/>
        </w:rPr>
        <w:t xml:space="preserve">l </w:t>
      </w:r>
      <w:r w:rsidR="00FE4464" w:rsidRPr="00450DD1">
        <w:rPr>
          <w:rFonts w:cs="Arial"/>
          <w:lang w:val="es-ES_tradnl"/>
        </w:rPr>
        <w:t>document</w:t>
      </w:r>
      <w:r w:rsidR="00B42264" w:rsidRPr="00450DD1">
        <w:rPr>
          <w:rFonts w:cs="Arial"/>
          <w:lang w:val="es-ES_tradnl"/>
        </w:rPr>
        <w:t>o</w:t>
      </w:r>
      <w:r w:rsidR="00FE4464" w:rsidRPr="00450DD1">
        <w:rPr>
          <w:rFonts w:cs="Arial"/>
          <w:lang w:val="es-ES_tradnl"/>
        </w:rPr>
        <w:t xml:space="preserve"> UPOV/EXN/HRV/1, </w:t>
      </w:r>
      <w:r w:rsidR="001B454E" w:rsidRPr="00450DD1">
        <w:rPr>
          <w:rFonts w:cs="Arial"/>
          <w:lang w:val="es-ES_tradnl"/>
        </w:rPr>
        <w:t xml:space="preserve">en su cuadragésima séptima sesión ordinaria </w:t>
      </w:r>
      <w:r w:rsidR="00005EAE" w:rsidRPr="00450DD1">
        <w:rPr>
          <w:rFonts w:cs="Arial"/>
          <w:lang w:val="es-ES_tradnl"/>
        </w:rPr>
        <w:t>sobre la base del documento</w:t>
      </w:r>
      <w:r w:rsidR="00260C62" w:rsidRPr="00450DD1">
        <w:rPr>
          <w:rFonts w:cs="Arial"/>
          <w:lang w:val="es-ES_tradnl"/>
        </w:rPr>
        <w:t> </w:t>
      </w:r>
      <w:r w:rsidR="00FE4464" w:rsidRPr="00450DD1">
        <w:rPr>
          <w:rFonts w:cs="Arial"/>
          <w:lang w:val="es-ES_tradnl"/>
        </w:rPr>
        <w:t>UPOV/EXN/HRV Draft 10.</w:t>
      </w:r>
    </w:p>
    <w:p w:rsidR="00FE4464" w:rsidRPr="00450DD1" w:rsidRDefault="00FE4464" w:rsidP="00450DD1">
      <w:pPr>
        <w:widowControl w:val="0"/>
        <w:rPr>
          <w:bCs/>
          <w:snapToGrid w:val="0"/>
          <w:szCs w:val="24"/>
          <w:lang w:val="es-ES_tradnl"/>
        </w:rPr>
      </w:pPr>
    </w:p>
    <w:p w:rsidR="00FE4464" w:rsidRPr="00450DD1" w:rsidRDefault="008C7915" w:rsidP="00450DD1">
      <w:pPr>
        <w:pStyle w:val="DecisionParagraphs"/>
        <w:widowControl w:val="0"/>
        <w:rPr>
          <w:lang w:val="es-ES_tradnl" w:eastAsia="zh-CN"/>
        </w:rPr>
      </w:pPr>
      <w:r w:rsidRPr="00450DD1">
        <w:rPr>
          <w:lang w:val="es-ES_tradnl" w:eastAsia="zh-CN"/>
        </w:rPr>
        <w:fldChar w:fldCharType="begin"/>
      </w:r>
      <w:r w:rsidR="00FE4464" w:rsidRPr="00450DD1">
        <w:rPr>
          <w:lang w:val="es-ES_tradnl" w:eastAsia="zh-CN"/>
        </w:rPr>
        <w:instrText xml:space="preserve"> AUTONUM  </w:instrText>
      </w:r>
      <w:r w:rsidRPr="00450DD1">
        <w:rPr>
          <w:lang w:val="es-ES_tradnl" w:eastAsia="zh-CN"/>
        </w:rPr>
        <w:fldChar w:fldCharType="end"/>
      </w:r>
      <w:r w:rsidR="00FE4464" w:rsidRPr="00450DD1">
        <w:rPr>
          <w:lang w:val="es-ES_tradnl" w:eastAsia="zh-CN"/>
        </w:rPr>
        <w:tab/>
      </w:r>
      <w:r w:rsidR="00005EAE" w:rsidRPr="00450DD1">
        <w:rPr>
          <w:lang w:val="es-ES_tradnl" w:eastAsia="zh-CN"/>
        </w:rPr>
        <w:t>Se invita al Consejo a aprobar el documento</w:t>
      </w:r>
      <w:r w:rsidR="00260C62" w:rsidRPr="00450DD1">
        <w:rPr>
          <w:lang w:val="es-ES_tradnl" w:eastAsia="zh-CN"/>
        </w:rPr>
        <w:t> </w:t>
      </w:r>
      <w:r w:rsidR="00FE4464" w:rsidRPr="00450DD1">
        <w:rPr>
          <w:lang w:val="es-ES_tradnl"/>
        </w:rPr>
        <w:t xml:space="preserve">UPOV/EXN/HRV/1 </w:t>
      </w:r>
      <w:r w:rsidR="00FE4464" w:rsidRPr="00450DD1">
        <w:rPr>
          <w:lang w:val="es-ES_tradnl" w:eastAsia="zh-CN"/>
        </w:rPr>
        <w:t>“</w:t>
      </w:r>
      <w:r w:rsidR="0001299A" w:rsidRPr="00450DD1">
        <w:rPr>
          <w:lang w:val="es-ES_tradnl"/>
        </w:rPr>
        <w:t>Notas explicativas sobre los actos respecto del producto de la cosecha con arreglo al Acta de 1991 del Convenio de la UPOV</w:t>
      </w:r>
      <w:r w:rsidR="00FE4464" w:rsidRPr="00450DD1">
        <w:rPr>
          <w:lang w:val="es-ES_tradnl" w:eastAsia="zh-CN"/>
        </w:rPr>
        <w:t xml:space="preserve">”, </w:t>
      </w:r>
      <w:r w:rsidR="00005EAE" w:rsidRPr="00450DD1">
        <w:rPr>
          <w:lang w:val="es-ES_tradnl" w:eastAsia="zh-CN"/>
        </w:rPr>
        <w:t>sobre la base del documento</w:t>
      </w:r>
      <w:r w:rsidR="00260C62" w:rsidRPr="00450DD1">
        <w:rPr>
          <w:lang w:val="es-ES_tradnl" w:eastAsia="zh-CN"/>
        </w:rPr>
        <w:t> </w:t>
      </w:r>
      <w:r w:rsidR="00FE4464" w:rsidRPr="00450DD1">
        <w:rPr>
          <w:lang w:val="es-ES_tradnl"/>
        </w:rPr>
        <w:t>UPOV/EXN/HRV Draft 10</w:t>
      </w:r>
      <w:r w:rsidR="00FE4464" w:rsidRPr="00450DD1">
        <w:rPr>
          <w:lang w:val="es-ES_tradnl" w:eastAsia="zh-CN"/>
        </w:rPr>
        <w:t xml:space="preserve">, </w:t>
      </w:r>
      <w:r w:rsidR="00CB2F27" w:rsidRPr="00450DD1">
        <w:rPr>
          <w:lang w:val="es-ES_tradnl" w:eastAsia="zh-CN"/>
        </w:rPr>
        <w:t>según</w:t>
      </w:r>
      <w:r w:rsidR="000D0B2E" w:rsidRPr="00450DD1">
        <w:rPr>
          <w:lang w:val="es-ES_tradnl" w:eastAsia="zh-CN"/>
        </w:rPr>
        <w:t xml:space="preserve"> se indica en el párrafo</w:t>
      </w:r>
      <w:r w:rsidR="00FE4464" w:rsidRPr="00450DD1">
        <w:rPr>
          <w:lang w:val="es-ES_tradnl" w:eastAsia="zh-CN"/>
        </w:rPr>
        <w:t xml:space="preserve"> 14, </w:t>
      </w:r>
      <w:r w:rsidR="000D0B2E" w:rsidRPr="00450DD1">
        <w:rPr>
          <w:lang w:val="es-ES_tradnl" w:eastAsia="zh-CN"/>
        </w:rPr>
        <w:t>supra</w:t>
      </w:r>
      <w:r w:rsidR="00FE4464" w:rsidRPr="00450DD1">
        <w:rPr>
          <w:lang w:val="es-ES_tradnl" w:eastAsia="zh-CN"/>
        </w:rPr>
        <w:t>.</w:t>
      </w: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FE4464" w:rsidP="00450DD1">
      <w:pPr>
        <w:widowControl w:val="0"/>
        <w:tabs>
          <w:tab w:val="left" w:pos="567"/>
        </w:tabs>
        <w:ind w:left="567" w:hanging="567"/>
        <w:rPr>
          <w:lang w:val="es-ES_tradnl"/>
        </w:rPr>
      </w:pPr>
      <w:r w:rsidRPr="00450DD1">
        <w:rPr>
          <w:lang w:val="es-ES_tradnl"/>
        </w:rPr>
        <w:t>DOCUMENT</w:t>
      </w:r>
      <w:r w:rsidR="00500CCC" w:rsidRPr="00450DD1">
        <w:rPr>
          <w:lang w:val="es-ES_tradnl"/>
        </w:rPr>
        <w:t>O</w:t>
      </w:r>
      <w:r w:rsidRPr="00450DD1">
        <w:rPr>
          <w:lang w:val="es-ES_tradnl"/>
        </w:rPr>
        <w:t>S</w:t>
      </w:r>
      <w:r w:rsidR="00500CCC" w:rsidRPr="00450DD1">
        <w:rPr>
          <w:lang w:val="es-ES_tradnl"/>
        </w:rPr>
        <w:t xml:space="preserve"> DE INFORMACIÓN</w:t>
      </w: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FE4464" w:rsidP="00450DD1">
      <w:pPr>
        <w:widowControl w:val="0"/>
        <w:rPr>
          <w:u w:val="single"/>
          <w:lang w:val="es-ES_tradnl"/>
        </w:rPr>
      </w:pPr>
      <w:r w:rsidRPr="00450DD1">
        <w:rPr>
          <w:bCs/>
          <w:snapToGrid w:val="0"/>
          <w:szCs w:val="24"/>
          <w:u w:val="single"/>
          <w:lang w:val="es-ES_tradnl"/>
        </w:rPr>
        <w:t xml:space="preserve">UPOV/INF/6/3:  </w:t>
      </w:r>
      <w:r w:rsidR="00500CCC" w:rsidRPr="00450DD1">
        <w:rPr>
          <w:rFonts w:cs="Arial"/>
          <w:u w:val="single"/>
          <w:lang w:val="es-ES_tradnl"/>
        </w:rPr>
        <w:t>Orientaciones para la redacción de leyes basadas en el Acta de 1991 del Convenio de la UPOV (Revisión)</w:t>
      </w:r>
      <w:r w:rsidR="00500CCC" w:rsidRPr="00450DD1">
        <w:rPr>
          <w:rFonts w:cs="Arial"/>
          <w:lang w:val="es-ES_tradnl"/>
        </w:rPr>
        <w:t xml:space="preserve"> </w:t>
      </w:r>
      <w:r w:rsidRPr="00450DD1">
        <w:rPr>
          <w:u w:val="single"/>
          <w:lang w:val="es-ES_tradnl"/>
        </w:rPr>
        <w:t>(document</w:t>
      </w:r>
      <w:r w:rsidR="00500CCC" w:rsidRPr="00450DD1">
        <w:rPr>
          <w:u w:val="single"/>
          <w:lang w:val="es-ES_tradnl"/>
        </w:rPr>
        <w:t>o</w:t>
      </w:r>
      <w:r w:rsidRPr="00450DD1">
        <w:rPr>
          <w:u w:val="single"/>
          <w:lang w:val="es-ES_tradnl"/>
        </w:rPr>
        <w:t xml:space="preserve"> C/47/13, Anex</w:t>
      </w:r>
      <w:r w:rsidR="00500CCC" w:rsidRPr="00450DD1">
        <w:rPr>
          <w:u w:val="single"/>
          <w:lang w:val="es-ES_tradnl"/>
        </w:rPr>
        <w:t>o</w:t>
      </w:r>
      <w:r w:rsidRPr="00450DD1">
        <w:rPr>
          <w:u w:val="single"/>
          <w:lang w:val="es-ES_tradnl"/>
        </w:rPr>
        <w:t>)</w:t>
      </w: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8C7915" w:rsidP="009745D0">
      <w:pPr>
        <w:widowControl w:val="0"/>
        <w:spacing w:after="240"/>
        <w:rPr>
          <w:szCs w:val="24"/>
          <w:lang w:val="es-ES_tradnl"/>
        </w:rPr>
      </w:pPr>
      <w:r w:rsidRPr="00450DD1">
        <w:rPr>
          <w:lang w:val="es-ES_tradnl"/>
        </w:rPr>
        <w:fldChar w:fldCharType="begin"/>
      </w:r>
      <w:r w:rsidR="00FE4464" w:rsidRPr="00450DD1">
        <w:rPr>
          <w:lang w:val="es-ES_tradnl"/>
        </w:rPr>
        <w:instrText xml:space="preserve"> AUTONUM  </w:instrText>
      </w:r>
      <w:r w:rsidRPr="00450DD1">
        <w:rPr>
          <w:lang w:val="es-ES_tradnl"/>
        </w:rPr>
        <w:fldChar w:fldCharType="end"/>
      </w:r>
      <w:r w:rsidR="00FE4464" w:rsidRPr="00450DD1">
        <w:rPr>
          <w:lang w:val="es-ES_tradnl"/>
        </w:rPr>
        <w:tab/>
      </w:r>
      <w:r w:rsidR="00531543" w:rsidRPr="00450DD1">
        <w:rPr>
          <w:lang w:val="es-ES_tradnl"/>
        </w:rPr>
        <w:t>E</w:t>
      </w:r>
      <w:r w:rsidR="00C63B20" w:rsidRPr="00450DD1">
        <w:rPr>
          <w:lang w:val="es-ES_tradnl"/>
        </w:rPr>
        <w:t>n su</w:t>
      </w:r>
      <w:r w:rsidR="00FE4464" w:rsidRPr="00450DD1">
        <w:rPr>
          <w:lang w:val="es-ES_tradnl"/>
        </w:rPr>
        <w:t xml:space="preserve"> </w:t>
      </w:r>
      <w:r w:rsidR="00C63B20" w:rsidRPr="00450DD1">
        <w:rPr>
          <w:lang w:val="es-ES_tradnl"/>
        </w:rPr>
        <w:t>cuadragésima tercera</w:t>
      </w:r>
      <w:r w:rsidR="00FE4464" w:rsidRPr="00450DD1">
        <w:rPr>
          <w:lang w:val="es-ES_tradnl"/>
        </w:rPr>
        <w:t xml:space="preserve"> </w:t>
      </w:r>
      <w:r w:rsidR="00C63B20" w:rsidRPr="00450DD1">
        <w:rPr>
          <w:lang w:val="es-ES_tradnl"/>
        </w:rPr>
        <w:t>sesión ordinaria</w:t>
      </w:r>
      <w:r w:rsidR="00FE4464" w:rsidRPr="00450DD1">
        <w:rPr>
          <w:lang w:val="es-ES_tradnl"/>
        </w:rPr>
        <w:t xml:space="preserve">, </w:t>
      </w:r>
      <w:r w:rsidR="00C63B20" w:rsidRPr="00450DD1">
        <w:rPr>
          <w:lang w:val="es-ES_tradnl"/>
        </w:rPr>
        <w:t>celebrada en Ginebra el</w:t>
      </w:r>
      <w:r w:rsidR="00FE4464" w:rsidRPr="00450DD1">
        <w:rPr>
          <w:lang w:val="es-ES_tradnl"/>
        </w:rPr>
        <w:t xml:space="preserve"> 22</w:t>
      </w:r>
      <w:r w:rsidR="00C63B20" w:rsidRPr="00450DD1">
        <w:rPr>
          <w:lang w:val="es-ES_tradnl"/>
        </w:rPr>
        <w:t xml:space="preserve"> de octubre de</w:t>
      </w:r>
      <w:r w:rsidR="00FE4464" w:rsidRPr="00450DD1">
        <w:rPr>
          <w:lang w:val="es-ES_tradnl"/>
        </w:rPr>
        <w:t xml:space="preserve"> 2009, </w:t>
      </w:r>
      <w:r w:rsidR="00531543" w:rsidRPr="00450DD1">
        <w:rPr>
          <w:lang w:val="es-ES_tradnl"/>
        </w:rPr>
        <w:t xml:space="preserve">el Consejo, </w:t>
      </w:r>
      <w:r w:rsidR="00C63B20" w:rsidRPr="00450DD1">
        <w:rPr>
          <w:lang w:val="es-ES_tradnl"/>
        </w:rPr>
        <w:t>aprobó el documento</w:t>
      </w:r>
      <w:r w:rsidR="00FE4464" w:rsidRPr="00450DD1">
        <w:rPr>
          <w:lang w:val="es-ES_tradnl"/>
        </w:rPr>
        <w:t xml:space="preserve"> UPOV/INF/6/1 “</w:t>
      </w:r>
      <w:r w:rsidR="00C63B20" w:rsidRPr="00450DD1">
        <w:rPr>
          <w:lang w:val="es-ES_tradnl"/>
        </w:rPr>
        <w:t>Orientaciones para la redacción de leyes basadas en el Acta de 1991 del Convenio de la UPOV</w:t>
      </w:r>
      <w:r w:rsidR="00FE4464" w:rsidRPr="00450DD1">
        <w:rPr>
          <w:lang w:val="es-ES_tradnl"/>
        </w:rPr>
        <w:t xml:space="preserve">”.  </w:t>
      </w:r>
      <w:r w:rsidR="00531543" w:rsidRPr="00450DD1">
        <w:rPr>
          <w:lang w:val="es-ES_tradnl"/>
        </w:rPr>
        <w:t>E</w:t>
      </w:r>
      <w:r w:rsidR="00C63B20" w:rsidRPr="00450DD1">
        <w:rPr>
          <w:lang w:val="es-ES_tradnl"/>
        </w:rPr>
        <w:t>n su</w:t>
      </w:r>
      <w:r w:rsidR="00FE4464" w:rsidRPr="00450DD1">
        <w:rPr>
          <w:lang w:val="es-ES_tradnl"/>
        </w:rPr>
        <w:t xml:space="preserve"> </w:t>
      </w:r>
      <w:r w:rsidR="00C63B20" w:rsidRPr="00450DD1">
        <w:rPr>
          <w:lang w:val="es-ES_tradnl"/>
        </w:rPr>
        <w:t>cuadragésima quinta sesión ordinaria</w:t>
      </w:r>
      <w:r w:rsidR="00FE4464" w:rsidRPr="00450DD1">
        <w:rPr>
          <w:lang w:val="es-ES_tradnl"/>
        </w:rPr>
        <w:t xml:space="preserve">, </w:t>
      </w:r>
      <w:r w:rsidR="00C63B20" w:rsidRPr="00450DD1">
        <w:rPr>
          <w:lang w:val="es-ES_tradnl"/>
        </w:rPr>
        <w:t>celebrada en Ginebra el</w:t>
      </w:r>
      <w:r w:rsidR="00FE4464" w:rsidRPr="00450DD1">
        <w:rPr>
          <w:lang w:val="es-ES_tradnl"/>
        </w:rPr>
        <w:t xml:space="preserve"> 20</w:t>
      </w:r>
      <w:r w:rsidR="008E44EC" w:rsidRPr="00450DD1">
        <w:rPr>
          <w:lang w:val="es-ES_tradnl"/>
        </w:rPr>
        <w:t xml:space="preserve"> de octubre de</w:t>
      </w:r>
      <w:r w:rsidR="00FE4464" w:rsidRPr="00450DD1">
        <w:rPr>
          <w:lang w:val="es-ES_tradnl"/>
        </w:rPr>
        <w:t xml:space="preserve"> 2011, </w:t>
      </w:r>
      <w:r w:rsidR="00531543" w:rsidRPr="00450DD1">
        <w:rPr>
          <w:lang w:val="es-ES_tradnl"/>
        </w:rPr>
        <w:t>el Consejo</w:t>
      </w:r>
      <w:r w:rsidR="00CB2F27" w:rsidRPr="00450DD1">
        <w:rPr>
          <w:lang w:val="es-ES_tradnl"/>
        </w:rPr>
        <w:t xml:space="preserve"> </w:t>
      </w:r>
      <w:r w:rsidR="00C63B20" w:rsidRPr="00450DD1">
        <w:rPr>
          <w:lang w:val="es-ES_tradnl"/>
        </w:rPr>
        <w:t>aprobó una revisión del documento</w:t>
      </w:r>
      <w:r w:rsidR="00FE4464" w:rsidRPr="00450DD1">
        <w:rPr>
          <w:lang w:val="es-ES_tradnl"/>
        </w:rPr>
        <w:t xml:space="preserve"> UPOV/INF/6 (document</w:t>
      </w:r>
      <w:r w:rsidR="00C63B20" w:rsidRPr="00450DD1">
        <w:rPr>
          <w:lang w:val="es-ES_tradnl"/>
        </w:rPr>
        <w:t>o</w:t>
      </w:r>
      <w:r w:rsidR="005618B2" w:rsidRPr="00450DD1">
        <w:rPr>
          <w:lang w:val="es-ES_tradnl"/>
        </w:rPr>
        <w:t> </w:t>
      </w:r>
      <w:r w:rsidR="00FE4464" w:rsidRPr="00450DD1">
        <w:rPr>
          <w:lang w:val="es-ES_tradnl"/>
        </w:rPr>
        <w:t xml:space="preserve">UPOV/INF/6/2).  </w:t>
      </w:r>
      <w:r w:rsidR="00E003B9" w:rsidRPr="00450DD1">
        <w:rPr>
          <w:lang w:val="es-ES_tradnl"/>
        </w:rPr>
        <w:t>En la p</w:t>
      </w:r>
      <w:r w:rsidR="00FE4464" w:rsidRPr="00450DD1">
        <w:rPr>
          <w:lang w:val="es-ES_tradnl"/>
        </w:rPr>
        <w:t>art</w:t>
      </w:r>
      <w:r w:rsidR="00E003B9" w:rsidRPr="00450DD1">
        <w:rPr>
          <w:lang w:val="es-ES_tradnl"/>
        </w:rPr>
        <w:t>e</w:t>
      </w:r>
      <w:r w:rsidR="00FE4464" w:rsidRPr="00450DD1">
        <w:rPr>
          <w:lang w:val="es-ES_tradnl"/>
        </w:rPr>
        <w:t xml:space="preserve"> II </w:t>
      </w:r>
      <w:r w:rsidR="00E003B9" w:rsidRPr="00450DD1">
        <w:rPr>
          <w:lang w:val="es-ES_tradnl"/>
        </w:rPr>
        <w:t>del</w:t>
      </w:r>
      <w:r w:rsidR="00FE4464" w:rsidRPr="00450DD1">
        <w:rPr>
          <w:lang w:val="es-ES_tradnl"/>
        </w:rPr>
        <w:t xml:space="preserve"> document</w:t>
      </w:r>
      <w:r w:rsidR="00E003B9" w:rsidRPr="00450DD1">
        <w:rPr>
          <w:lang w:val="es-ES_tradnl"/>
        </w:rPr>
        <w:t>o</w:t>
      </w:r>
      <w:r w:rsidR="00FE4464" w:rsidRPr="00450DD1">
        <w:rPr>
          <w:lang w:val="es-ES_tradnl"/>
        </w:rPr>
        <w:t xml:space="preserve"> UPOV/INF/6 </w:t>
      </w:r>
      <w:r w:rsidR="00E003B9" w:rsidRPr="00450DD1">
        <w:rPr>
          <w:lang w:val="es-ES_tradnl"/>
        </w:rPr>
        <w:t>figuran las</w:t>
      </w:r>
      <w:r w:rsidR="00FE4464" w:rsidRPr="00450DD1">
        <w:rPr>
          <w:lang w:val="es-ES_tradnl"/>
        </w:rPr>
        <w:t xml:space="preserve"> </w:t>
      </w:r>
      <w:r w:rsidR="00742B86" w:rsidRPr="00450DD1">
        <w:rPr>
          <w:lang w:val="es-ES_tradnl"/>
        </w:rPr>
        <w:t xml:space="preserve">notas basadas en material de información sobre determinados artículos del </w:t>
      </w:r>
      <w:r w:rsidR="005618B2" w:rsidRPr="00450DD1">
        <w:rPr>
          <w:lang w:val="es-ES_tradnl"/>
        </w:rPr>
        <w:t>A</w:t>
      </w:r>
      <w:r w:rsidR="00742B86" w:rsidRPr="00450DD1">
        <w:rPr>
          <w:lang w:val="es-ES_tradnl"/>
        </w:rPr>
        <w:t>cta de 1991 del Convenio de la UPOV y, en particular, las notas explicativas</w:t>
      </w:r>
      <w:r w:rsidR="00FE4464" w:rsidRPr="00450DD1">
        <w:rPr>
          <w:lang w:val="es-ES_tradnl"/>
        </w:rPr>
        <w:t xml:space="preserve">.  </w:t>
      </w:r>
      <w:r w:rsidR="00531543" w:rsidRPr="00450DD1">
        <w:rPr>
          <w:lang w:val="es-ES_tradnl"/>
        </w:rPr>
        <w:t>Desde</w:t>
      </w:r>
      <w:r w:rsidR="00742B86" w:rsidRPr="00450DD1">
        <w:rPr>
          <w:lang w:val="es-ES_tradnl"/>
        </w:rPr>
        <w:t xml:space="preserve"> que el Consejo </w:t>
      </w:r>
      <w:r w:rsidR="00531543" w:rsidRPr="00450DD1">
        <w:rPr>
          <w:lang w:val="es-ES_tradnl"/>
        </w:rPr>
        <w:t>aprobó e</w:t>
      </w:r>
      <w:r w:rsidR="00742B86" w:rsidRPr="00450DD1">
        <w:rPr>
          <w:lang w:val="es-ES_tradnl"/>
        </w:rPr>
        <w:t>l</w:t>
      </w:r>
      <w:r w:rsidR="00FE4464" w:rsidRPr="00450DD1">
        <w:rPr>
          <w:lang w:val="es-ES_tradnl"/>
        </w:rPr>
        <w:t xml:space="preserve"> document</w:t>
      </w:r>
      <w:r w:rsidR="00742B86" w:rsidRPr="00450DD1">
        <w:rPr>
          <w:lang w:val="es-ES_tradnl"/>
        </w:rPr>
        <w:t>o</w:t>
      </w:r>
      <w:r w:rsidR="00FE4464" w:rsidRPr="00450DD1">
        <w:rPr>
          <w:lang w:val="es-ES_tradnl"/>
        </w:rPr>
        <w:t xml:space="preserve"> UPOV/INF/6/2, </w:t>
      </w:r>
      <w:r w:rsidR="00597588" w:rsidRPr="00450DD1">
        <w:rPr>
          <w:szCs w:val="24"/>
          <w:lang w:val="es-ES_tradnl"/>
        </w:rPr>
        <w:t xml:space="preserve">se han revisado </w:t>
      </w:r>
      <w:r w:rsidR="00742B86" w:rsidRPr="00450DD1">
        <w:rPr>
          <w:lang w:val="es-ES_tradnl"/>
        </w:rPr>
        <w:t>las</w:t>
      </w:r>
      <w:r w:rsidR="00FE4464" w:rsidRPr="00450DD1">
        <w:rPr>
          <w:lang w:val="es-ES_tradnl"/>
        </w:rPr>
        <w:t xml:space="preserve"> “</w:t>
      </w:r>
      <w:r w:rsidR="008E44EC" w:rsidRPr="00450DD1">
        <w:rPr>
          <w:szCs w:val="24"/>
          <w:lang w:val="es-ES_tradnl"/>
        </w:rPr>
        <w:t>Notas explicativas sobre las denominaciones de variedades con arreglo al Convenio de la UPOV</w:t>
      </w:r>
      <w:r w:rsidR="00FE4464" w:rsidRPr="00450DD1">
        <w:rPr>
          <w:szCs w:val="24"/>
          <w:lang w:val="es-ES_tradnl"/>
        </w:rPr>
        <w:t xml:space="preserve">” </w:t>
      </w:r>
      <w:r w:rsidR="00D70A9A" w:rsidRPr="00450DD1">
        <w:rPr>
          <w:szCs w:val="24"/>
          <w:lang w:val="es-ES_tradnl"/>
        </w:rPr>
        <w:t>(documento</w:t>
      </w:r>
      <w:r w:rsidR="005618B2" w:rsidRPr="00450DD1">
        <w:rPr>
          <w:szCs w:val="24"/>
          <w:lang w:val="es-ES_tradnl"/>
        </w:rPr>
        <w:t> </w:t>
      </w:r>
      <w:r w:rsidR="00FE4464" w:rsidRPr="00450DD1">
        <w:rPr>
          <w:szCs w:val="24"/>
          <w:lang w:val="es-ES_tradnl"/>
        </w:rPr>
        <w:t xml:space="preserve">UPOV/INF/12/4) </w:t>
      </w:r>
      <w:r w:rsidR="00742B86" w:rsidRPr="00450DD1">
        <w:rPr>
          <w:szCs w:val="24"/>
          <w:lang w:val="es-ES_tradnl"/>
        </w:rPr>
        <w:t xml:space="preserve">y se ha aprobado el documento </w:t>
      </w:r>
      <w:r w:rsidR="00FE4464" w:rsidRPr="00450DD1">
        <w:rPr>
          <w:szCs w:val="24"/>
          <w:lang w:val="es-ES_tradnl"/>
        </w:rPr>
        <w:t>UPOV/INF/21/1 “</w:t>
      </w:r>
      <w:r w:rsidR="008E44EC" w:rsidRPr="00450DD1">
        <w:rPr>
          <w:szCs w:val="24"/>
          <w:lang w:val="es-ES_tradnl"/>
        </w:rPr>
        <w:t>Mecanismos alternativos de solución de controversias</w:t>
      </w:r>
      <w:r w:rsidR="00FE4464" w:rsidRPr="00450DD1">
        <w:rPr>
          <w:szCs w:val="24"/>
          <w:lang w:val="es-ES_tradnl"/>
        </w:rPr>
        <w:t>”.</w:t>
      </w:r>
    </w:p>
    <w:p w:rsidR="00FE4464" w:rsidRPr="00450DD1" w:rsidRDefault="008C7915" w:rsidP="00450DD1">
      <w:pPr>
        <w:widowControl w:val="0"/>
        <w:rPr>
          <w:lang w:val="es-ES_tradnl"/>
        </w:rPr>
      </w:pPr>
      <w:r w:rsidRPr="00450DD1">
        <w:rPr>
          <w:szCs w:val="24"/>
          <w:lang w:val="es-ES_tradnl"/>
        </w:rPr>
        <w:lastRenderedPageBreak/>
        <w:fldChar w:fldCharType="begin"/>
      </w:r>
      <w:r w:rsidR="00FE4464" w:rsidRPr="00450DD1">
        <w:rPr>
          <w:szCs w:val="24"/>
          <w:lang w:val="es-ES_tradnl"/>
        </w:rPr>
        <w:instrText xml:space="preserve"> AUTONUM  </w:instrText>
      </w:r>
      <w:r w:rsidRPr="00450DD1">
        <w:rPr>
          <w:szCs w:val="24"/>
          <w:lang w:val="es-ES_tradnl"/>
        </w:rPr>
        <w:fldChar w:fldCharType="end"/>
      </w:r>
      <w:r w:rsidR="00FE4464" w:rsidRPr="00450DD1">
        <w:rPr>
          <w:szCs w:val="24"/>
          <w:lang w:val="es-ES_tradnl"/>
        </w:rPr>
        <w:tab/>
      </w:r>
      <w:r w:rsidR="00C417C5" w:rsidRPr="00450DD1">
        <w:rPr>
          <w:lang w:val="es-ES_tradnl"/>
        </w:rPr>
        <w:t xml:space="preserve">En su </w:t>
      </w:r>
      <w:r w:rsidR="00C417C5" w:rsidRPr="00450DD1">
        <w:rPr>
          <w:lang w:val="es-ES_tradnl" w:eastAsia="zh-CN"/>
        </w:rPr>
        <w:t>sexagésima séptima sesión</w:t>
      </w:r>
      <w:r w:rsidR="00C417C5" w:rsidRPr="00450DD1">
        <w:rPr>
          <w:lang w:val="es-ES_tradnl"/>
        </w:rPr>
        <w:t>, el CAJ</w:t>
      </w:r>
      <w:r w:rsidR="00597588" w:rsidRPr="00450DD1">
        <w:rPr>
          <w:lang w:val="es-ES_tradnl"/>
        </w:rPr>
        <w:t xml:space="preserve"> </w:t>
      </w:r>
      <w:r w:rsidR="00F14F93">
        <w:rPr>
          <w:lang w:val="es-ES_tradnl"/>
        </w:rPr>
        <w:t xml:space="preserve">tomó nota de </w:t>
      </w:r>
      <w:r w:rsidR="00D70A9A" w:rsidRPr="00450DD1">
        <w:rPr>
          <w:lang w:val="es-ES_tradnl"/>
        </w:rPr>
        <w:t>que se invitará al Consejo a aprobar la revisión del documento</w:t>
      </w:r>
      <w:r w:rsidR="00FE4464" w:rsidRPr="00450DD1">
        <w:rPr>
          <w:lang w:val="es-ES_tradnl"/>
        </w:rPr>
        <w:t xml:space="preserve"> UPOV/INF/6/2 </w:t>
      </w:r>
      <w:r w:rsidR="00D70A9A" w:rsidRPr="00450DD1">
        <w:rPr>
          <w:lang w:val="es-ES_tradnl"/>
        </w:rPr>
        <w:t>(documento</w:t>
      </w:r>
      <w:r w:rsidR="00FE4464" w:rsidRPr="00450DD1">
        <w:rPr>
          <w:rFonts w:cs="Arial"/>
          <w:lang w:val="es-ES_tradnl"/>
        </w:rPr>
        <w:t> UPOV/INF/6/3)</w:t>
      </w:r>
      <w:r w:rsidR="00FE4464" w:rsidRPr="00450DD1">
        <w:rPr>
          <w:lang w:val="es-ES_tradnl"/>
        </w:rPr>
        <w:t xml:space="preserve">, </w:t>
      </w:r>
      <w:r w:rsidR="00BE6890" w:rsidRPr="00450DD1">
        <w:rPr>
          <w:lang w:val="es-ES_tradnl"/>
        </w:rPr>
        <w:t>junto</w:t>
      </w:r>
      <w:r w:rsidR="00D70A9A" w:rsidRPr="00450DD1">
        <w:rPr>
          <w:lang w:val="es-ES_tradnl"/>
        </w:rPr>
        <w:t xml:space="preserve"> con las notas explicativas que se invitará </w:t>
      </w:r>
      <w:r w:rsidR="00980504" w:rsidRPr="00450DD1">
        <w:rPr>
          <w:lang w:val="es-ES_tradnl"/>
        </w:rPr>
        <w:t xml:space="preserve">a aprobar </w:t>
      </w:r>
      <w:r w:rsidR="00BE6890" w:rsidRPr="00450DD1">
        <w:rPr>
          <w:lang w:val="es-ES_tradnl"/>
        </w:rPr>
        <w:t xml:space="preserve">al Consejo </w:t>
      </w:r>
      <w:r w:rsidR="00D70A9A" w:rsidRPr="00450DD1">
        <w:rPr>
          <w:lang w:val="es-ES_tradnl"/>
        </w:rPr>
        <w:t xml:space="preserve">en su cuadragésima séptima sesión ordinaria </w:t>
      </w:r>
      <w:r w:rsidR="00FE4464" w:rsidRPr="00450DD1">
        <w:rPr>
          <w:rFonts w:cs="Arial"/>
          <w:lang w:val="es-ES_tradnl"/>
        </w:rPr>
        <w:t>(</w:t>
      </w:r>
      <w:r w:rsidR="00D70A9A" w:rsidRPr="00450DD1">
        <w:rPr>
          <w:rFonts w:cs="Arial"/>
          <w:lang w:val="es-ES_tradnl"/>
        </w:rPr>
        <w:t xml:space="preserve">véase la </w:t>
      </w:r>
      <w:r w:rsidR="00FE4464" w:rsidRPr="00450DD1">
        <w:rPr>
          <w:rFonts w:cs="Arial"/>
          <w:lang w:val="es-ES_tradnl"/>
        </w:rPr>
        <w:t>sec</w:t>
      </w:r>
      <w:r w:rsidR="00D70A9A" w:rsidRPr="00450DD1">
        <w:rPr>
          <w:rFonts w:cs="Arial"/>
          <w:lang w:val="es-ES_tradnl"/>
        </w:rPr>
        <w:t>ció</w:t>
      </w:r>
      <w:r w:rsidR="00FE4464" w:rsidRPr="00450DD1">
        <w:rPr>
          <w:rFonts w:cs="Arial"/>
          <w:lang w:val="es-ES_tradnl"/>
        </w:rPr>
        <w:t>n “</w:t>
      </w:r>
      <w:r w:rsidR="00D70A9A" w:rsidRPr="00450DD1">
        <w:rPr>
          <w:bCs/>
          <w:snapToGrid w:val="0"/>
          <w:szCs w:val="24"/>
          <w:lang w:val="es-ES_tradnl"/>
        </w:rPr>
        <w:t>Notas explicativas</w:t>
      </w:r>
      <w:r w:rsidR="00FE4464" w:rsidRPr="00450DD1">
        <w:rPr>
          <w:rFonts w:cs="Arial"/>
          <w:lang w:val="es-ES_tradnl"/>
        </w:rPr>
        <w:t xml:space="preserve">“, </w:t>
      </w:r>
      <w:r w:rsidR="00D70A9A" w:rsidRPr="00450DD1">
        <w:rPr>
          <w:rFonts w:cs="Arial"/>
          <w:lang w:val="es-ES_tradnl"/>
        </w:rPr>
        <w:t>supra</w:t>
      </w:r>
      <w:r w:rsidR="00FE4464" w:rsidRPr="00450DD1">
        <w:rPr>
          <w:rFonts w:cs="Arial"/>
          <w:lang w:val="es-ES_tradnl"/>
        </w:rPr>
        <w:t>).</w:t>
      </w: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8C7915" w:rsidP="00450DD1">
      <w:pPr>
        <w:pStyle w:val="DecisionParagraphs"/>
        <w:widowControl w:val="0"/>
        <w:rPr>
          <w:lang w:val="es-ES_tradnl"/>
        </w:rPr>
      </w:pPr>
      <w:r w:rsidRPr="00450DD1">
        <w:rPr>
          <w:lang w:val="es-ES_tradnl"/>
        </w:rPr>
        <w:fldChar w:fldCharType="begin"/>
      </w:r>
      <w:r w:rsidR="00FE4464" w:rsidRPr="00450DD1">
        <w:rPr>
          <w:lang w:val="es-ES_tradnl"/>
        </w:rPr>
        <w:instrText xml:space="preserve"> AUTONUM  </w:instrText>
      </w:r>
      <w:r w:rsidRPr="00450DD1">
        <w:rPr>
          <w:lang w:val="es-ES_tradnl"/>
        </w:rPr>
        <w:fldChar w:fldCharType="end"/>
      </w:r>
      <w:r w:rsidR="00FE4464" w:rsidRPr="00450DD1">
        <w:rPr>
          <w:lang w:val="es-ES_tradnl"/>
        </w:rPr>
        <w:tab/>
      </w:r>
      <w:r w:rsidR="008E44EC" w:rsidRPr="00450DD1">
        <w:rPr>
          <w:lang w:val="es-ES_tradnl"/>
        </w:rPr>
        <w:t>Se invita al Consejo a</w:t>
      </w:r>
      <w:r w:rsidR="00FE4464" w:rsidRPr="00450DD1">
        <w:rPr>
          <w:lang w:val="es-ES_tradnl"/>
        </w:rPr>
        <w:t xml:space="preserve"> </w:t>
      </w:r>
      <w:r w:rsidR="008E44EC" w:rsidRPr="00450DD1">
        <w:rPr>
          <w:lang w:val="es-ES_tradnl"/>
        </w:rPr>
        <w:t>aprobar la revisión del documento</w:t>
      </w:r>
      <w:r w:rsidR="00FE4464" w:rsidRPr="00450DD1">
        <w:rPr>
          <w:lang w:val="es-ES_tradnl"/>
        </w:rPr>
        <w:t xml:space="preserve"> UPOV/INF/6 “</w:t>
      </w:r>
      <w:r w:rsidR="00C63B20" w:rsidRPr="00450DD1">
        <w:rPr>
          <w:lang w:val="es-ES_tradnl"/>
        </w:rPr>
        <w:t>Orientaciones para la redacción de leyes basadas en el Acta de 1991 del Convenio de la UPOV</w:t>
      </w:r>
      <w:r w:rsidR="00FE4464" w:rsidRPr="00450DD1">
        <w:rPr>
          <w:lang w:val="es-ES_tradnl"/>
        </w:rPr>
        <w:t>” (document</w:t>
      </w:r>
      <w:r w:rsidR="008E44EC" w:rsidRPr="00450DD1">
        <w:rPr>
          <w:lang w:val="es-ES_tradnl"/>
        </w:rPr>
        <w:t>o</w:t>
      </w:r>
      <w:r w:rsidR="00FE4464" w:rsidRPr="00450DD1">
        <w:rPr>
          <w:lang w:val="es-ES_tradnl"/>
        </w:rPr>
        <w:t xml:space="preserve"> UPOV/INF/6/3), </w:t>
      </w:r>
      <w:r w:rsidR="008E44EC" w:rsidRPr="00450DD1">
        <w:rPr>
          <w:lang w:val="es-ES_tradnl"/>
        </w:rPr>
        <w:t>sobre la base de las modificaciones propuestas al documento</w:t>
      </w:r>
      <w:r w:rsidR="00FE4464" w:rsidRPr="00450DD1">
        <w:rPr>
          <w:lang w:val="es-ES_tradnl"/>
        </w:rPr>
        <w:t xml:space="preserve"> UPOV/INF/6/2, </w:t>
      </w:r>
      <w:r w:rsidR="00D70A9A" w:rsidRPr="00450DD1">
        <w:rPr>
          <w:lang w:val="es-ES_tradnl"/>
        </w:rPr>
        <w:t>que figura</w:t>
      </w:r>
      <w:r w:rsidR="008D272D" w:rsidRPr="00450DD1">
        <w:rPr>
          <w:lang w:val="es-ES_tradnl"/>
        </w:rPr>
        <w:t>n</w:t>
      </w:r>
      <w:r w:rsidR="00D70A9A" w:rsidRPr="00450DD1">
        <w:rPr>
          <w:lang w:val="es-ES_tradnl"/>
        </w:rPr>
        <w:t xml:space="preserve"> en el Anexo del presente documento</w:t>
      </w:r>
      <w:r w:rsidR="00FE4464" w:rsidRPr="00450DD1">
        <w:rPr>
          <w:lang w:val="es-ES_tradnl"/>
        </w:rPr>
        <w:t>.</w:t>
      </w:r>
    </w:p>
    <w:p w:rsidR="00FE4464" w:rsidRPr="00450DD1" w:rsidRDefault="00FE4464" w:rsidP="00450DD1">
      <w:pPr>
        <w:widowControl w:val="0"/>
        <w:rPr>
          <w:u w:val="single"/>
          <w:lang w:val="es-ES_tradnl"/>
        </w:rPr>
      </w:pPr>
    </w:p>
    <w:p w:rsidR="00FE4464" w:rsidRPr="00450DD1" w:rsidRDefault="00FE4464" w:rsidP="00450DD1">
      <w:pPr>
        <w:widowControl w:val="0"/>
        <w:rPr>
          <w:u w:val="single"/>
          <w:lang w:val="es-ES_tradnl"/>
        </w:rPr>
      </w:pPr>
    </w:p>
    <w:p w:rsidR="00FE4464" w:rsidRPr="00450DD1" w:rsidRDefault="00FE4464" w:rsidP="00450DD1">
      <w:pPr>
        <w:widowControl w:val="0"/>
        <w:rPr>
          <w:bCs/>
          <w:snapToGrid w:val="0"/>
          <w:spacing w:val="-4"/>
          <w:szCs w:val="24"/>
          <w:lang w:val="es-ES_tradnl"/>
        </w:rPr>
      </w:pPr>
      <w:r w:rsidRPr="00450DD1">
        <w:rPr>
          <w:bCs/>
          <w:snapToGrid w:val="0"/>
          <w:szCs w:val="24"/>
          <w:u w:val="single"/>
          <w:lang w:val="es-ES_tradnl"/>
        </w:rPr>
        <w:t xml:space="preserve">UPOV/INF/16/3:  </w:t>
      </w:r>
      <w:r w:rsidR="008B59AC" w:rsidRPr="00450DD1">
        <w:rPr>
          <w:rFonts w:cs="Arial"/>
          <w:u w:val="single"/>
          <w:lang w:val="es-ES_tradnl"/>
        </w:rPr>
        <w:t>Programas informáticos para intercambio</w:t>
      </w:r>
      <w:r w:rsidR="008B59AC" w:rsidRPr="00450DD1">
        <w:rPr>
          <w:rFonts w:cs="Arial"/>
          <w:lang w:val="es-ES_tradnl"/>
        </w:rPr>
        <w:t xml:space="preserve"> </w:t>
      </w:r>
      <w:r w:rsidRPr="00450DD1">
        <w:rPr>
          <w:bCs/>
          <w:snapToGrid w:val="0"/>
          <w:spacing w:val="-4"/>
          <w:szCs w:val="24"/>
          <w:u w:val="single"/>
          <w:lang w:val="es-ES_tradnl"/>
        </w:rPr>
        <w:t>(Revisi</w:t>
      </w:r>
      <w:r w:rsidR="008B59AC" w:rsidRPr="00450DD1">
        <w:rPr>
          <w:bCs/>
          <w:snapToGrid w:val="0"/>
          <w:spacing w:val="-4"/>
          <w:szCs w:val="24"/>
          <w:u w:val="single"/>
          <w:lang w:val="es-ES_tradnl"/>
        </w:rPr>
        <w:t>ó</w:t>
      </w:r>
      <w:r w:rsidRPr="00450DD1">
        <w:rPr>
          <w:bCs/>
          <w:snapToGrid w:val="0"/>
          <w:spacing w:val="-4"/>
          <w:szCs w:val="24"/>
          <w:u w:val="single"/>
          <w:lang w:val="es-ES_tradnl"/>
        </w:rPr>
        <w:t>n)</w:t>
      </w: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8C7915" w:rsidP="00450DD1">
      <w:pPr>
        <w:widowControl w:val="0"/>
        <w:rPr>
          <w:lang w:val="es-ES_tradnl"/>
        </w:rPr>
      </w:pPr>
      <w:r w:rsidRPr="00450DD1">
        <w:rPr>
          <w:lang w:val="es-ES_tradnl"/>
        </w:rPr>
        <w:fldChar w:fldCharType="begin"/>
      </w:r>
      <w:r w:rsidR="00FE4464" w:rsidRPr="00450DD1">
        <w:rPr>
          <w:lang w:val="es-ES_tradnl"/>
        </w:rPr>
        <w:instrText xml:space="preserve"> AUTONUM  </w:instrText>
      </w:r>
      <w:r w:rsidRPr="00450DD1">
        <w:rPr>
          <w:lang w:val="es-ES_tradnl"/>
        </w:rPr>
        <w:fldChar w:fldCharType="end"/>
      </w:r>
      <w:r w:rsidR="00FE4464" w:rsidRPr="00450DD1">
        <w:rPr>
          <w:lang w:val="es-ES_tradnl"/>
        </w:rPr>
        <w:tab/>
      </w:r>
      <w:r w:rsidR="008E44EC" w:rsidRPr="00450DD1">
        <w:rPr>
          <w:lang w:val="es-ES_tradnl" w:eastAsia="ja-JP"/>
        </w:rPr>
        <w:t>El</w:t>
      </w:r>
      <w:r w:rsidR="00FE4464" w:rsidRPr="00450DD1">
        <w:rPr>
          <w:lang w:val="es-ES_tradnl" w:eastAsia="ja-JP"/>
        </w:rPr>
        <w:t xml:space="preserve"> TC, </w:t>
      </w:r>
      <w:r w:rsidR="008E44EC" w:rsidRPr="00450DD1">
        <w:rPr>
          <w:lang w:val="es-ES_tradnl" w:eastAsia="zh-CN"/>
        </w:rPr>
        <w:t>en su</w:t>
      </w:r>
      <w:r w:rsidR="00FE4464" w:rsidRPr="00450DD1">
        <w:rPr>
          <w:lang w:val="es-ES_tradnl" w:eastAsia="zh-CN"/>
        </w:rPr>
        <w:t xml:space="preserve"> </w:t>
      </w:r>
      <w:r w:rsidR="008E44EC" w:rsidRPr="00450DD1">
        <w:rPr>
          <w:lang w:val="es-ES_tradnl"/>
        </w:rPr>
        <w:t>cuadragésima novena</w:t>
      </w:r>
      <w:r w:rsidR="00FE4464" w:rsidRPr="00450DD1">
        <w:rPr>
          <w:lang w:val="es-ES_tradnl"/>
        </w:rPr>
        <w:t xml:space="preserve"> ses</w:t>
      </w:r>
      <w:r w:rsidR="008E44EC" w:rsidRPr="00450DD1">
        <w:rPr>
          <w:lang w:val="es-ES_tradnl"/>
        </w:rPr>
        <w:t>ió</w:t>
      </w:r>
      <w:r w:rsidR="00FE4464" w:rsidRPr="00450DD1">
        <w:rPr>
          <w:lang w:val="es-ES_tradnl"/>
        </w:rPr>
        <w:t>n</w:t>
      </w:r>
      <w:r w:rsidR="00FE4464" w:rsidRPr="00450DD1">
        <w:rPr>
          <w:lang w:val="es-ES_tradnl" w:eastAsia="ja-JP"/>
        </w:rPr>
        <w:t xml:space="preserve">, </w:t>
      </w:r>
      <w:r w:rsidR="008E44EC" w:rsidRPr="00450DD1">
        <w:rPr>
          <w:lang w:val="es-ES_tradnl"/>
        </w:rPr>
        <w:t xml:space="preserve">aprobó </w:t>
      </w:r>
      <w:r w:rsidR="00E01DF7" w:rsidRPr="00450DD1">
        <w:rPr>
          <w:lang w:val="es-ES_tradnl"/>
        </w:rPr>
        <w:t>l</w:t>
      </w:r>
      <w:r w:rsidR="008E44EC" w:rsidRPr="00450DD1">
        <w:rPr>
          <w:lang w:val="es-ES_tradnl"/>
        </w:rPr>
        <w:t>a revisión del documento</w:t>
      </w:r>
      <w:r w:rsidR="00FE4464" w:rsidRPr="00450DD1">
        <w:rPr>
          <w:lang w:val="es-ES_tradnl"/>
        </w:rPr>
        <w:t xml:space="preserve"> UPOV/INF/16 “</w:t>
      </w:r>
      <w:r w:rsidR="008E44EC" w:rsidRPr="00450DD1">
        <w:rPr>
          <w:lang w:val="es-ES_tradnl"/>
        </w:rPr>
        <w:t>Programas informáticos para intercambio</w:t>
      </w:r>
      <w:r w:rsidR="00FE4464" w:rsidRPr="00450DD1">
        <w:rPr>
          <w:lang w:val="es-ES_tradnl"/>
        </w:rPr>
        <w:t xml:space="preserve">”, </w:t>
      </w:r>
      <w:r w:rsidR="00D70A9A" w:rsidRPr="00450DD1">
        <w:rPr>
          <w:lang w:val="es-ES_tradnl"/>
        </w:rPr>
        <w:t>que se presenta en el documento</w:t>
      </w:r>
      <w:r w:rsidR="00FE4464" w:rsidRPr="00450DD1">
        <w:rPr>
          <w:lang w:val="es-ES_tradnl"/>
        </w:rPr>
        <w:t xml:space="preserve"> UPOV/INF/16/3 Draft 1.  </w:t>
      </w:r>
      <w:r w:rsidR="00E01DF7" w:rsidRPr="00450DD1">
        <w:rPr>
          <w:lang w:val="es-ES_tradnl"/>
        </w:rPr>
        <w:t>Además,</w:t>
      </w:r>
      <w:r w:rsidR="001C14F6" w:rsidRPr="00450DD1">
        <w:rPr>
          <w:lang w:val="es-ES_tradnl"/>
        </w:rPr>
        <w:t xml:space="preserve"> señaló que, siempre y cuando lo aprobara el CAJ en su sexagésima octava</w:t>
      </w:r>
      <w:r w:rsidR="00E01DF7" w:rsidRPr="00450DD1">
        <w:rPr>
          <w:lang w:val="es-ES_tradnl"/>
        </w:rPr>
        <w:t xml:space="preserve"> sesión</w:t>
      </w:r>
      <w:r w:rsidR="001C14F6" w:rsidRPr="00450DD1">
        <w:rPr>
          <w:lang w:val="es-ES_tradnl"/>
        </w:rPr>
        <w:t xml:space="preserve">, </w:t>
      </w:r>
      <w:r w:rsidR="004B50EF" w:rsidRPr="00450DD1">
        <w:rPr>
          <w:lang w:val="es-ES_tradnl"/>
        </w:rPr>
        <w:t>l</w:t>
      </w:r>
      <w:r w:rsidR="00E01DF7" w:rsidRPr="00450DD1">
        <w:rPr>
          <w:lang w:val="es-ES_tradnl"/>
        </w:rPr>
        <w:t>a versión revisada del documento UPOV/INF/16 (documento UPOV/INF/16/</w:t>
      </w:r>
      <w:r w:rsidR="00F14F93">
        <w:rPr>
          <w:lang w:val="es-ES_tradnl"/>
        </w:rPr>
        <w:t>3</w:t>
      </w:r>
      <w:r w:rsidR="00E01DF7" w:rsidRPr="00450DD1">
        <w:rPr>
          <w:lang w:val="es-ES_tradnl"/>
        </w:rPr>
        <w:t xml:space="preserve">) </w:t>
      </w:r>
      <w:r w:rsidR="001C14F6" w:rsidRPr="00450DD1">
        <w:rPr>
          <w:lang w:val="es-ES_tradnl"/>
        </w:rPr>
        <w:t>se someterá a la aprobación del Consejo en su cuadragésima séptima</w:t>
      </w:r>
      <w:r w:rsidR="00FE4464" w:rsidRPr="00450DD1">
        <w:rPr>
          <w:rFonts w:cs="Arial"/>
          <w:lang w:val="es-ES_tradnl"/>
        </w:rPr>
        <w:t xml:space="preserve"> </w:t>
      </w:r>
      <w:r w:rsidR="00C63B20" w:rsidRPr="00450DD1">
        <w:rPr>
          <w:rFonts w:cs="Arial"/>
          <w:lang w:val="es-ES_tradnl"/>
        </w:rPr>
        <w:t>sesión ordinaria</w:t>
      </w:r>
      <w:r w:rsidR="00FE4464" w:rsidRPr="00450DD1">
        <w:rPr>
          <w:lang w:val="es-ES_tradnl"/>
        </w:rPr>
        <w:t xml:space="preserve">.  </w:t>
      </w:r>
      <w:r w:rsidR="001C14F6" w:rsidRPr="00450DD1">
        <w:rPr>
          <w:lang w:val="es-ES_tradnl"/>
        </w:rPr>
        <w:t xml:space="preserve">En </w:t>
      </w:r>
      <w:r w:rsidR="00E01DF7" w:rsidRPr="00450DD1">
        <w:rPr>
          <w:lang w:val="es-ES_tradnl"/>
        </w:rPr>
        <w:t>dicha</w:t>
      </w:r>
      <w:r w:rsidR="001C14F6" w:rsidRPr="00450DD1">
        <w:rPr>
          <w:lang w:val="es-ES_tradnl"/>
        </w:rPr>
        <w:t xml:space="preserve"> </w:t>
      </w:r>
      <w:r w:rsidR="00E01DF7" w:rsidRPr="00450DD1">
        <w:rPr>
          <w:lang w:val="es-ES_tradnl"/>
        </w:rPr>
        <w:t>sesión ordinaria</w:t>
      </w:r>
      <w:r w:rsidR="00C733C4" w:rsidRPr="00450DD1">
        <w:rPr>
          <w:lang w:val="es-ES_tradnl"/>
        </w:rPr>
        <w:t>,</w:t>
      </w:r>
      <w:r w:rsidR="001C14F6" w:rsidRPr="00450DD1">
        <w:rPr>
          <w:lang w:val="es-ES_tradnl"/>
        </w:rPr>
        <w:t xml:space="preserve"> se presentará </w:t>
      </w:r>
      <w:r w:rsidR="008D272D" w:rsidRPr="00450DD1">
        <w:rPr>
          <w:lang w:val="es-ES_tradnl"/>
        </w:rPr>
        <w:t xml:space="preserve">al Consejo </w:t>
      </w:r>
      <w:r w:rsidR="001C14F6" w:rsidRPr="00450DD1">
        <w:rPr>
          <w:lang w:val="es-ES_tradnl"/>
        </w:rPr>
        <w:t>un informe sobre las conclusiones a las que llegue el CAJ</w:t>
      </w:r>
      <w:r w:rsidR="008D272D" w:rsidRPr="00450DD1">
        <w:rPr>
          <w:lang w:val="es-ES_tradnl"/>
        </w:rPr>
        <w:t>,</w:t>
      </w:r>
      <w:r w:rsidR="001C14F6" w:rsidRPr="00450DD1">
        <w:rPr>
          <w:lang w:val="es-ES_tradnl"/>
        </w:rPr>
        <w:t xml:space="preserve"> en su sexagésima octava sesión, </w:t>
      </w:r>
      <w:r w:rsidR="008D272D" w:rsidRPr="00450DD1">
        <w:rPr>
          <w:lang w:val="es-ES_tradnl"/>
        </w:rPr>
        <w:t>relativas</w:t>
      </w:r>
      <w:r w:rsidR="001C14F6" w:rsidRPr="00450DD1">
        <w:rPr>
          <w:lang w:val="es-ES_tradnl"/>
        </w:rPr>
        <w:t xml:space="preserve"> </w:t>
      </w:r>
      <w:r w:rsidR="00F14F93">
        <w:rPr>
          <w:lang w:val="es-ES_tradnl"/>
        </w:rPr>
        <w:t xml:space="preserve">a </w:t>
      </w:r>
      <w:r w:rsidR="001C14F6" w:rsidRPr="00450DD1">
        <w:rPr>
          <w:lang w:val="es-ES_tradnl"/>
        </w:rPr>
        <w:t xml:space="preserve">la propuesta de modificar el documento </w:t>
      </w:r>
      <w:r w:rsidR="00FE4464" w:rsidRPr="00450DD1">
        <w:rPr>
          <w:lang w:val="es-ES_tradnl"/>
        </w:rPr>
        <w:t>UPOV/INF/16</w:t>
      </w:r>
      <w:r w:rsidR="00FE4464" w:rsidRPr="00450DD1">
        <w:rPr>
          <w:rFonts w:cs="Arial"/>
          <w:lang w:val="es-ES_tradnl"/>
        </w:rPr>
        <w:t>.</w:t>
      </w: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8C7915" w:rsidP="00450DD1">
      <w:pPr>
        <w:pStyle w:val="DecisionParagraphs"/>
        <w:widowControl w:val="0"/>
        <w:rPr>
          <w:i w:val="0"/>
          <w:lang w:val="es-ES_tradnl"/>
        </w:rPr>
      </w:pPr>
      <w:r w:rsidRPr="00450DD1">
        <w:rPr>
          <w:color w:val="000000"/>
          <w:lang w:val="es-ES_tradnl"/>
        </w:rPr>
        <w:fldChar w:fldCharType="begin"/>
      </w:r>
      <w:r w:rsidR="00FE4464" w:rsidRPr="00450DD1">
        <w:rPr>
          <w:color w:val="000000"/>
          <w:lang w:val="es-ES_tradnl"/>
        </w:rPr>
        <w:instrText xml:space="preserve"> AUTONUM  </w:instrText>
      </w:r>
      <w:r w:rsidRPr="00450DD1">
        <w:rPr>
          <w:color w:val="000000"/>
          <w:lang w:val="es-ES_tradnl"/>
        </w:rPr>
        <w:fldChar w:fldCharType="end"/>
      </w:r>
      <w:r w:rsidR="00FE4464" w:rsidRPr="00450DD1">
        <w:rPr>
          <w:color w:val="000000"/>
          <w:lang w:val="es-ES_tradnl"/>
        </w:rPr>
        <w:tab/>
      </w:r>
      <w:r w:rsidR="008E44EC" w:rsidRPr="00450DD1">
        <w:rPr>
          <w:lang w:val="es-ES_tradnl"/>
        </w:rPr>
        <w:t>S</w:t>
      </w:r>
      <w:r w:rsidR="00634D85" w:rsidRPr="00450DD1">
        <w:rPr>
          <w:lang w:val="es-ES_tradnl"/>
        </w:rPr>
        <w:t xml:space="preserve">iempre y cuando lo apruebe el CAJ, se </w:t>
      </w:r>
      <w:r w:rsidR="008E44EC" w:rsidRPr="00450DD1">
        <w:rPr>
          <w:lang w:val="es-ES_tradnl"/>
        </w:rPr>
        <w:t>invita al Consejo a</w:t>
      </w:r>
      <w:r w:rsidR="00634D85" w:rsidRPr="00450DD1">
        <w:rPr>
          <w:lang w:val="es-ES_tradnl"/>
        </w:rPr>
        <w:t xml:space="preserve"> aprobar</w:t>
      </w:r>
      <w:r w:rsidR="00FE4464" w:rsidRPr="00450DD1">
        <w:rPr>
          <w:lang w:val="es-ES_tradnl"/>
        </w:rPr>
        <w:t xml:space="preserve"> </w:t>
      </w:r>
      <w:r w:rsidR="008E44EC" w:rsidRPr="00450DD1">
        <w:rPr>
          <w:lang w:val="es-ES_tradnl"/>
        </w:rPr>
        <w:t>la revisión del documento</w:t>
      </w:r>
      <w:r w:rsidR="00FE4464" w:rsidRPr="00450DD1">
        <w:rPr>
          <w:lang w:val="es-ES_tradnl"/>
        </w:rPr>
        <w:t xml:space="preserve"> UPOV/INF/16</w:t>
      </w:r>
      <w:r w:rsidR="00FE4464" w:rsidRPr="00450DD1">
        <w:rPr>
          <w:color w:val="000000"/>
          <w:lang w:val="es-ES_tradnl"/>
        </w:rPr>
        <w:t xml:space="preserve"> </w:t>
      </w:r>
      <w:r w:rsidR="00FE4464" w:rsidRPr="00450DD1">
        <w:rPr>
          <w:lang w:val="es-ES_tradnl"/>
        </w:rPr>
        <w:t>“</w:t>
      </w:r>
      <w:r w:rsidR="008E44EC" w:rsidRPr="00450DD1">
        <w:rPr>
          <w:lang w:val="es-ES_tradnl"/>
        </w:rPr>
        <w:t>Programas informáticos para intercambio</w:t>
      </w:r>
      <w:r w:rsidR="00FE4464" w:rsidRPr="00450DD1">
        <w:rPr>
          <w:lang w:val="es-ES_tradnl"/>
        </w:rPr>
        <w:t>”</w:t>
      </w:r>
      <w:r w:rsidR="00FE4464" w:rsidRPr="00450DD1">
        <w:rPr>
          <w:color w:val="000000"/>
          <w:lang w:val="es-ES_tradnl"/>
        </w:rPr>
        <w:t xml:space="preserve">, </w:t>
      </w:r>
      <w:r w:rsidR="00005EAE" w:rsidRPr="00450DD1">
        <w:rPr>
          <w:lang w:val="es-ES_tradnl" w:eastAsia="zh-CN"/>
        </w:rPr>
        <w:t>sobre la base del documento</w:t>
      </w:r>
      <w:r w:rsidR="00FE4464" w:rsidRPr="00450DD1">
        <w:rPr>
          <w:lang w:val="es-ES_tradnl" w:eastAsia="zh-CN"/>
        </w:rPr>
        <w:t xml:space="preserve"> </w:t>
      </w:r>
      <w:r w:rsidR="00FE4464" w:rsidRPr="00450DD1">
        <w:rPr>
          <w:bCs/>
          <w:spacing w:val="-4"/>
          <w:szCs w:val="24"/>
          <w:lang w:val="es-ES_tradnl"/>
        </w:rPr>
        <w:t>UPOV/INF/16/3 Draft 1.</w:t>
      </w:r>
    </w:p>
    <w:p w:rsidR="00FE4464" w:rsidRPr="00450DD1" w:rsidRDefault="00FE4464" w:rsidP="00450DD1">
      <w:pPr>
        <w:widowControl w:val="0"/>
        <w:rPr>
          <w:lang w:val="es-ES_tradnl" w:eastAsia="zh-CN"/>
        </w:rPr>
      </w:pPr>
    </w:p>
    <w:p w:rsidR="00FE4464" w:rsidRPr="00450DD1" w:rsidRDefault="00FE4464" w:rsidP="00450DD1">
      <w:pPr>
        <w:widowControl w:val="0"/>
        <w:rPr>
          <w:lang w:val="es-ES_tradnl" w:eastAsia="zh-CN"/>
        </w:rPr>
      </w:pPr>
    </w:p>
    <w:p w:rsidR="00FE4464" w:rsidRPr="00450DD1" w:rsidRDefault="00FE4464" w:rsidP="00450DD1">
      <w:pPr>
        <w:widowControl w:val="0"/>
        <w:rPr>
          <w:u w:val="single"/>
          <w:lang w:val="es-ES_tradnl"/>
        </w:rPr>
      </w:pPr>
      <w:r w:rsidRPr="00450DD1">
        <w:rPr>
          <w:bCs/>
          <w:snapToGrid w:val="0"/>
          <w:szCs w:val="24"/>
          <w:u w:val="single"/>
          <w:lang w:val="es-ES_tradnl"/>
        </w:rPr>
        <w:t xml:space="preserve">UPOV/INF-EXN/5:  </w:t>
      </w:r>
      <w:r w:rsidR="008B59AC" w:rsidRPr="00450DD1">
        <w:rPr>
          <w:rFonts w:cs="Arial"/>
          <w:u w:val="single"/>
          <w:lang w:val="es-ES_tradnl"/>
        </w:rPr>
        <w:t>Lista de documentos UPOV/INF/-EXN y fechas de última publicación</w:t>
      </w: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8C7915" w:rsidP="00450DD1">
      <w:pPr>
        <w:widowControl w:val="0"/>
        <w:rPr>
          <w:lang w:val="es-ES_tradnl"/>
        </w:rPr>
      </w:pPr>
      <w:r w:rsidRPr="00450DD1">
        <w:rPr>
          <w:lang w:val="es-ES_tradnl"/>
        </w:rPr>
        <w:fldChar w:fldCharType="begin"/>
      </w:r>
      <w:r w:rsidR="00FE4464" w:rsidRPr="00450DD1">
        <w:rPr>
          <w:lang w:val="es-ES_tradnl"/>
        </w:rPr>
        <w:instrText xml:space="preserve"> AUTONUM  </w:instrText>
      </w:r>
      <w:r w:rsidRPr="00450DD1">
        <w:rPr>
          <w:lang w:val="es-ES_tradnl"/>
        </w:rPr>
        <w:fldChar w:fldCharType="end"/>
      </w:r>
      <w:r w:rsidR="00FE4464" w:rsidRPr="00450DD1">
        <w:rPr>
          <w:lang w:val="es-ES_tradnl"/>
        </w:rPr>
        <w:tab/>
      </w:r>
      <w:r w:rsidR="00C203B3" w:rsidRPr="00450DD1">
        <w:rPr>
          <w:lang w:val="es-ES_tradnl"/>
        </w:rPr>
        <w:t xml:space="preserve">Junto con los documentos de información que se invitará </w:t>
      </w:r>
      <w:r w:rsidR="004B50EF" w:rsidRPr="00450DD1">
        <w:rPr>
          <w:lang w:val="es-ES_tradnl"/>
        </w:rPr>
        <w:t xml:space="preserve">a aprobar </w:t>
      </w:r>
      <w:r w:rsidR="00980504" w:rsidRPr="00450DD1">
        <w:rPr>
          <w:lang w:val="es-ES_tradnl"/>
        </w:rPr>
        <w:t xml:space="preserve">al Consejo </w:t>
      </w:r>
      <w:r w:rsidR="00C203B3" w:rsidRPr="00450DD1">
        <w:rPr>
          <w:lang w:val="es-ES_tradnl"/>
        </w:rPr>
        <w:t xml:space="preserve">en su cuadragésima séptima sesión ordinaria, y de conformidad con el procedimiento para actualizar documentos aprobados previamente por el Consejo, se propone aprobar el documento </w:t>
      </w:r>
      <w:r w:rsidR="00FE4464" w:rsidRPr="00450DD1">
        <w:rPr>
          <w:lang w:val="es-ES_tradnl"/>
        </w:rPr>
        <w:t>UPOV/INF</w:t>
      </w:r>
      <w:r w:rsidR="00FE4464" w:rsidRPr="00450DD1">
        <w:rPr>
          <w:lang w:val="es-ES_tradnl"/>
        </w:rPr>
        <w:noBreakHyphen/>
        <w:t>EXN/5 “</w:t>
      </w:r>
      <w:r w:rsidR="00A364EC" w:rsidRPr="00450DD1">
        <w:rPr>
          <w:lang w:val="es-ES_tradnl"/>
        </w:rPr>
        <w:t>Lista de documentos</w:t>
      </w:r>
      <w:r w:rsidR="00B45C95" w:rsidRPr="00450DD1">
        <w:rPr>
          <w:lang w:val="es-ES_tradnl"/>
        </w:rPr>
        <w:t xml:space="preserve"> </w:t>
      </w:r>
      <w:r w:rsidR="00FE4464" w:rsidRPr="00450DD1">
        <w:rPr>
          <w:lang w:val="es-ES_tradnl"/>
        </w:rPr>
        <w:t>UPOV/INF</w:t>
      </w:r>
      <w:r w:rsidR="00FE4464" w:rsidRPr="00450DD1">
        <w:rPr>
          <w:lang w:val="es-ES_tradnl"/>
        </w:rPr>
        <w:noBreakHyphen/>
        <w:t xml:space="preserve">EXN </w:t>
      </w:r>
      <w:r w:rsidR="00A364EC" w:rsidRPr="00450DD1">
        <w:rPr>
          <w:rFonts w:cs="Arial"/>
          <w:lang w:val="es-ES_tradnl"/>
        </w:rPr>
        <w:t>y fechas de última publicación</w:t>
      </w:r>
      <w:r w:rsidR="00FE4464" w:rsidRPr="00450DD1">
        <w:rPr>
          <w:lang w:val="es-ES_tradnl"/>
        </w:rPr>
        <w:t>”</w:t>
      </w:r>
      <w:r w:rsidR="006D55DE" w:rsidRPr="00450DD1">
        <w:rPr>
          <w:lang w:val="es-ES_tradnl"/>
        </w:rPr>
        <w:t>,</w:t>
      </w:r>
      <w:r w:rsidR="00FE4464" w:rsidRPr="00450DD1">
        <w:rPr>
          <w:lang w:val="es-ES_tradnl"/>
        </w:rPr>
        <w:t xml:space="preserve"> </w:t>
      </w:r>
      <w:r w:rsidR="00005EAE" w:rsidRPr="00450DD1">
        <w:rPr>
          <w:lang w:val="es-ES_tradnl"/>
        </w:rPr>
        <w:t>sobre la base del documento</w:t>
      </w:r>
      <w:r w:rsidR="00FE4464" w:rsidRPr="00450DD1">
        <w:rPr>
          <w:lang w:val="es-ES_tradnl"/>
        </w:rPr>
        <w:t> UPOV/INF</w:t>
      </w:r>
      <w:r w:rsidR="00FE4464" w:rsidRPr="00450DD1">
        <w:rPr>
          <w:lang w:val="es-ES_tradnl"/>
        </w:rPr>
        <w:noBreakHyphen/>
        <w:t>EXN/5 Draft 1.</w:t>
      </w: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8C7915" w:rsidP="00450DD1">
      <w:pPr>
        <w:pStyle w:val="DecisionParagraphs"/>
        <w:widowControl w:val="0"/>
        <w:rPr>
          <w:lang w:val="es-ES_tradnl"/>
        </w:rPr>
      </w:pPr>
      <w:r w:rsidRPr="00450DD1">
        <w:rPr>
          <w:lang w:val="es-ES_tradnl"/>
        </w:rPr>
        <w:fldChar w:fldCharType="begin"/>
      </w:r>
      <w:r w:rsidR="00FE4464" w:rsidRPr="00450DD1">
        <w:rPr>
          <w:lang w:val="es-ES_tradnl"/>
        </w:rPr>
        <w:instrText xml:space="preserve"> AUTONUM  </w:instrText>
      </w:r>
      <w:r w:rsidRPr="00450DD1">
        <w:rPr>
          <w:lang w:val="es-ES_tradnl"/>
        </w:rPr>
        <w:fldChar w:fldCharType="end"/>
      </w:r>
      <w:r w:rsidR="00FE4464" w:rsidRPr="00450DD1">
        <w:rPr>
          <w:lang w:val="es-ES_tradnl"/>
        </w:rPr>
        <w:tab/>
      </w:r>
      <w:r w:rsidR="008E44EC" w:rsidRPr="00450DD1">
        <w:rPr>
          <w:lang w:val="es-ES_tradnl"/>
        </w:rPr>
        <w:t>Se invita al Consejo a</w:t>
      </w:r>
      <w:r w:rsidR="00FE4464" w:rsidRPr="00450DD1">
        <w:rPr>
          <w:lang w:val="es-ES_tradnl"/>
        </w:rPr>
        <w:t xml:space="preserve"> </w:t>
      </w:r>
      <w:r w:rsidR="008E44EC" w:rsidRPr="00450DD1">
        <w:rPr>
          <w:lang w:val="es-ES_tradnl"/>
        </w:rPr>
        <w:t>aprobar la revisión del documento</w:t>
      </w:r>
      <w:r w:rsidR="00FE4464" w:rsidRPr="00450DD1">
        <w:rPr>
          <w:lang w:val="es-ES_tradnl"/>
        </w:rPr>
        <w:t xml:space="preserve"> UPOV/INF-EXN “</w:t>
      </w:r>
      <w:r w:rsidR="00A364EC" w:rsidRPr="00450DD1">
        <w:rPr>
          <w:rFonts w:cs="Arial"/>
          <w:lang w:val="es-ES_tradnl"/>
        </w:rPr>
        <w:t>Lista de documentos INF-EXN y fechas de última publicación</w:t>
      </w:r>
      <w:r w:rsidR="00FE4464" w:rsidRPr="00450DD1">
        <w:rPr>
          <w:lang w:val="es-ES_tradnl"/>
        </w:rPr>
        <w:t xml:space="preserve">” </w:t>
      </w:r>
      <w:r w:rsidR="00D70A9A" w:rsidRPr="00450DD1">
        <w:rPr>
          <w:lang w:val="es-ES_tradnl"/>
        </w:rPr>
        <w:t>(documento</w:t>
      </w:r>
      <w:r w:rsidR="004B50EF" w:rsidRPr="00450DD1">
        <w:rPr>
          <w:lang w:val="es-ES_tradnl"/>
        </w:rPr>
        <w:t> </w:t>
      </w:r>
      <w:r w:rsidR="00FE4464" w:rsidRPr="00450DD1">
        <w:rPr>
          <w:lang w:val="es-ES_tradnl"/>
        </w:rPr>
        <w:t xml:space="preserve">UPOV/INF-EXN/5) </w:t>
      </w:r>
      <w:r w:rsidR="00005EAE" w:rsidRPr="00450DD1">
        <w:rPr>
          <w:lang w:val="es-ES_tradnl"/>
        </w:rPr>
        <w:t>sobre la base del documento</w:t>
      </w:r>
      <w:r w:rsidR="00FE4464" w:rsidRPr="00450DD1">
        <w:rPr>
          <w:lang w:val="es-ES_tradnl"/>
        </w:rPr>
        <w:t xml:space="preserve"> UPOV/INF</w:t>
      </w:r>
      <w:r w:rsidR="00FE4464" w:rsidRPr="00450DD1">
        <w:rPr>
          <w:lang w:val="es-ES_tradnl"/>
        </w:rPr>
        <w:noBreakHyphen/>
        <w:t>EXN/5 Draft 1.</w:t>
      </w:r>
    </w:p>
    <w:p w:rsidR="00FE4464" w:rsidRPr="00450DD1" w:rsidRDefault="00FE4464" w:rsidP="00450DD1">
      <w:pPr>
        <w:widowControl w:val="0"/>
        <w:rPr>
          <w:snapToGrid w:val="0"/>
          <w:lang w:val="es-ES_tradnl"/>
        </w:rPr>
      </w:pPr>
    </w:p>
    <w:p w:rsidR="00FE4464" w:rsidRPr="00450DD1" w:rsidRDefault="00FE4464" w:rsidP="00450DD1">
      <w:pPr>
        <w:widowControl w:val="0"/>
        <w:tabs>
          <w:tab w:val="left" w:pos="1701"/>
        </w:tabs>
        <w:rPr>
          <w:spacing w:val="-2"/>
          <w:szCs w:val="24"/>
          <w:u w:val="single"/>
          <w:lang w:val="es-ES_tradnl"/>
        </w:rPr>
      </w:pPr>
    </w:p>
    <w:p w:rsidR="00FE4464" w:rsidRPr="00450DD1" w:rsidRDefault="00FE4464" w:rsidP="00450DD1">
      <w:pPr>
        <w:widowControl w:val="0"/>
        <w:tabs>
          <w:tab w:val="left" w:pos="1701"/>
        </w:tabs>
        <w:rPr>
          <w:spacing w:val="-2"/>
          <w:szCs w:val="24"/>
          <w:u w:val="single"/>
          <w:lang w:val="es-ES_tradnl"/>
        </w:rPr>
      </w:pPr>
    </w:p>
    <w:p w:rsidR="00FE4464" w:rsidRPr="00450DD1" w:rsidRDefault="00FE4464" w:rsidP="00450DD1">
      <w:pPr>
        <w:widowControl w:val="0"/>
        <w:jc w:val="right"/>
        <w:rPr>
          <w:lang w:val="es-ES_tradnl"/>
        </w:rPr>
      </w:pPr>
      <w:r w:rsidRPr="00450DD1">
        <w:rPr>
          <w:lang w:val="es-ES_tradnl"/>
        </w:rPr>
        <w:t>[</w:t>
      </w:r>
      <w:r w:rsidR="00E84B79" w:rsidRPr="00450DD1">
        <w:rPr>
          <w:lang w:val="es-ES_tradnl"/>
        </w:rPr>
        <w:t>Sigue el</w:t>
      </w:r>
      <w:r w:rsidRPr="00450DD1">
        <w:rPr>
          <w:lang w:val="es-ES_tradnl"/>
        </w:rPr>
        <w:t xml:space="preserve"> </w:t>
      </w:r>
      <w:r w:rsidR="00E84B79" w:rsidRPr="00450DD1">
        <w:rPr>
          <w:lang w:val="es-ES_tradnl"/>
        </w:rPr>
        <w:t>Anexo</w:t>
      </w:r>
      <w:r w:rsidRPr="00450DD1">
        <w:rPr>
          <w:lang w:val="es-ES_tradnl"/>
        </w:rPr>
        <w:t>]</w:t>
      </w: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FE4464" w:rsidP="00450DD1">
      <w:pPr>
        <w:widowControl w:val="0"/>
        <w:rPr>
          <w:lang w:val="es-ES_tradnl"/>
        </w:rPr>
        <w:sectPr w:rsidR="00FE4464" w:rsidRPr="00450DD1" w:rsidSect="00AA5254">
          <w:headerReference w:type="default" r:id="rId8"/>
          <w:pgSz w:w="11907" w:h="16840" w:code="9"/>
          <w:pgMar w:top="510" w:right="1134" w:bottom="1134" w:left="1134" w:header="510" w:footer="624" w:gutter="0"/>
          <w:cols w:space="720"/>
          <w:titlePg/>
        </w:sectPr>
      </w:pPr>
    </w:p>
    <w:p w:rsidR="00FE4464" w:rsidRPr="00450DD1" w:rsidRDefault="00FE4464" w:rsidP="00450DD1">
      <w:pPr>
        <w:widowControl w:val="0"/>
        <w:jc w:val="center"/>
        <w:rPr>
          <w:lang w:val="es-ES_tradnl"/>
        </w:rPr>
      </w:pPr>
      <w:r w:rsidRPr="00450DD1">
        <w:rPr>
          <w:lang w:val="es-ES_tradnl"/>
        </w:rPr>
        <w:lastRenderedPageBreak/>
        <w:t>C/47/13</w:t>
      </w:r>
    </w:p>
    <w:p w:rsidR="00FE4464" w:rsidRPr="00450DD1" w:rsidRDefault="00FE4464" w:rsidP="00450DD1">
      <w:pPr>
        <w:widowControl w:val="0"/>
        <w:jc w:val="center"/>
        <w:rPr>
          <w:lang w:val="es-ES_tradnl"/>
        </w:rPr>
      </w:pPr>
    </w:p>
    <w:p w:rsidR="00FE4464" w:rsidRPr="00450DD1" w:rsidRDefault="00FE4464" w:rsidP="00450DD1">
      <w:pPr>
        <w:widowControl w:val="0"/>
        <w:jc w:val="center"/>
        <w:rPr>
          <w:lang w:val="es-ES_tradnl"/>
        </w:rPr>
      </w:pPr>
      <w:r w:rsidRPr="00450DD1">
        <w:rPr>
          <w:lang w:val="es-ES_tradnl"/>
        </w:rPr>
        <w:t>ANEX</w:t>
      </w:r>
      <w:r w:rsidR="00D34C08" w:rsidRPr="00450DD1">
        <w:rPr>
          <w:lang w:val="es-ES_tradnl"/>
        </w:rPr>
        <w:t>O</w:t>
      </w:r>
    </w:p>
    <w:p w:rsidR="00FE4464" w:rsidRPr="00450DD1" w:rsidRDefault="00FE4464" w:rsidP="00450DD1">
      <w:pPr>
        <w:widowControl w:val="0"/>
        <w:jc w:val="center"/>
        <w:rPr>
          <w:lang w:val="es-ES_tradnl"/>
        </w:rPr>
      </w:pPr>
    </w:p>
    <w:p w:rsidR="00FE4464" w:rsidRPr="00450DD1" w:rsidRDefault="00FE4464" w:rsidP="00450DD1">
      <w:pPr>
        <w:widowControl w:val="0"/>
        <w:jc w:val="center"/>
        <w:rPr>
          <w:lang w:val="es-ES_tradnl"/>
        </w:rPr>
      </w:pPr>
    </w:p>
    <w:p w:rsidR="00FE4464" w:rsidRPr="00450DD1" w:rsidRDefault="00FE4464" w:rsidP="00450DD1">
      <w:pPr>
        <w:widowControl w:val="0"/>
        <w:jc w:val="center"/>
        <w:rPr>
          <w:lang w:val="es-ES_tradnl"/>
        </w:rPr>
      </w:pPr>
      <w:r w:rsidRPr="00450DD1">
        <w:rPr>
          <w:lang w:val="es-ES_tradnl"/>
        </w:rPr>
        <w:t>DOCUMENT</w:t>
      </w:r>
      <w:r w:rsidR="00F521CB" w:rsidRPr="00450DD1">
        <w:rPr>
          <w:lang w:val="es-ES_tradnl"/>
        </w:rPr>
        <w:t>O</w:t>
      </w:r>
      <w:r w:rsidRPr="00450DD1">
        <w:rPr>
          <w:lang w:val="es-ES_tradnl"/>
        </w:rPr>
        <w:t xml:space="preserve"> UPOV/INF/6/3</w:t>
      </w:r>
    </w:p>
    <w:p w:rsidR="00FE4464" w:rsidRPr="00450DD1" w:rsidRDefault="00FE4464" w:rsidP="00450DD1">
      <w:pPr>
        <w:widowControl w:val="0"/>
        <w:jc w:val="center"/>
        <w:rPr>
          <w:lang w:val="es-ES_tradnl"/>
        </w:rPr>
      </w:pPr>
    </w:p>
    <w:p w:rsidR="00FE4464" w:rsidRPr="00450DD1" w:rsidRDefault="00FE4464" w:rsidP="00450DD1">
      <w:pPr>
        <w:widowControl w:val="0"/>
        <w:jc w:val="center"/>
        <w:rPr>
          <w:lang w:val="es-ES_tradnl"/>
        </w:rPr>
      </w:pPr>
      <w:r w:rsidRPr="00450DD1">
        <w:rPr>
          <w:lang w:val="es-ES_tradnl"/>
        </w:rPr>
        <w:t>“</w:t>
      </w:r>
      <w:r w:rsidR="00F521CB" w:rsidRPr="00450DD1">
        <w:rPr>
          <w:lang w:val="es-ES_tradnl"/>
        </w:rPr>
        <w:t>ORIENTACIONES PARA LA REDACCIÓN DE LEYES BASADAS EN E</w:t>
      </w:r>
      <w:r w:rsidR="00723334" w:rsidRPr="00450DD1">
        <w:rPr>
          <w:lang w:val="es-ES_tradnl"/>
        </w:rPr>
        <w:t>L</w:t>
      </w:r>
      <w:r w:rsidR="00F521CB" w:rsidRPr="00450DD1">
        <w:rPr>
          <w:lang w:val="es-ES_tradnl"/>
        </w:rPr>
        <w:t xml:space="preserve"> ACTA DE </w:t>
      </w:r>
      <w:r w:rsidR="00F521CB" w:rsidRPr="00450DD1">
        <w:rPr>
          <w:rFonts w:cs="Arial"/>
          <w:lang w:val="es-ES_tradnl"/>
        </w:rPr>
        <w:t>1991</w:t>
      </w:r>
      <w:r w:rsidR="00723334" w:rsidRPr="00450DD1">
        <w:rPr>
          <w:rFonts w:cs="Arial"/>
          <w:lang w:val="es-ES_tradnl"/>
        </w:rPr>
        <w:br/>
      </w:r>
      <w:r w:rsidR="00F521CB" w:rsidRPr="00450DD1">
        <w:rPr>
          <w:rFonts w:cs="Arial"/>
          <w:lang w:val="es-ES_tradnl"/>
        </w:rPr>
        <w:t>DEL CONVENIO DE LA UPOV</w:t>
      </w:r>
      <w:r w:rsidRPr="00450DD1">
        <w:rPr>
          <w:lang w:val="es-ES_tradnl"/>
        </w:rPr>
        <w:t>”</w:t>
      </w:r>
      <w:r w:rsidRPr="00450DD1">
        <w:rPr>
          <w:lang w:val="es-ES_tradnl"/>
        </w:rPr>
        <w:br/>
        <w:t>(REVISI</w:t>
      </w:r>
      <w:r w:rsidR="00F521CB" w:rsidRPr="00450DD1">
        <w:rPr>
          <w:lang w:val="es-ES_tradnl"/>
        </w:rPr>
        <w:t>Ó</w:t>
      </w:r>
      <w:r w:rsidRPr="00450DD1">
        <w:rPr>
          <w:lang w:val="es-ES_tradnl"/>
        </w:rPr>
        <w:t>N)</w:t>
      </w:r>
    </w:p>
    <w:p w:rsidR="00FE4464" w:rsidRPr="00450DD1" w:rsidRDefault="00FE4464" w:rsidP="00450DD1">
      <w:pPr>
        <w:widowControl w:val="0"/>
        <w:jc w:val="center"/>
        <w:rPr>
          <w:lang w:val="es-ES_tradnl"/>
        </w:rPr>
      </w:pPr>
    </w:p>
    <w:p w:rsidR="00FE4464" w:rsidRPr="00450DD1" w:rsidRDefault="00FE4464" w:rsidP="00450DD1">
      <w:pPr>
        <w:widowControl w:val="0"/>
        <w:jc w:val="center"/>
        <w:rPr>
          <w:lang w:val="es-ES_tradnl"/>
        </w:rPr>
      </w:pPr>
    </w:p>
    <w:p w:rsidR="00FE4464" w:rsidRPr="00450DD1" w:rsidRDefault="00F521CB" w:rsidP="00450DD1">
      <w:pPr>
        <w:widowControl w:val="0"/>
        <w:jc w:val="center"/>
        <w:rPr>
          <w:lang w:val="es-ES_tradnl"/>
        </w:rPr>
      </w:pPr>
      <w:r w:rsidRPr="00450DD1">
        <w:rPr>
          <w:lang w:val="es-ES_tradnl"/>
        </w:rPr>
        <w:t>MODIFICACIONES PROPUESTAS</w:t>
      </w:r>
    </w:p>
    <w:p w:rsidR="00FE4464" w:rsidRPr="00450DD1" w:rsidRDefault="00FE4464" w:rsidP="00450DD1">
      <w:pPr>
        <w:widowControl w:val="0"/>
        <w:jc w:val="center"/>
        <w:rPr>
          <w:lang w:val="es-ES_tradnl"/>
        </w:rPr>
      </w:pPr>
    </w:p>
    <w:p w:rsidR="00FE4464" w:rsidRPr="00450DD1" w:rsidRDefault="00FE4464" w:rsidP="00450DD1">
      <w:pPr>
        <w:widowControl w:val="0"/>
        <w:jc w:val="center"/>
        <w:rPr>
          <w:lang w:val="es-ES_tradnl"/>
        </w:rPr>
      </w:pPr>
    </w:p>
    <w:p w:rsidR="00FE4464" w:rsidRPr="00450DD1" w:rsidRDefault="00FE4464" w:rsidP="00450DD1">
      <w:pPr>
        <w:widowControl w:val="0"/>
        <w:jc w:val="center"/>
        <w:rPr>
          <w:lang w:val="es-ES_tradnl"/>
        </w:rPr>
      </w:pPr>
    </w:p>
    <w:p w:rsidR="00FE4464" w:rsidRPr="00450DD1" w:rsidRDefault="00FE4464" w:rsidP="00450DD1">
      <w:pPr>
        <w:widowControl w:val="0"/>
        <w:rPr>
          <w:szCs w:val="24"/>
          <w:lang w:val="es-ES_tradnl"/>
        </w:rPr>
      </w:pPr>
      <w:r w:rsidRPr="00450DD1">
        <w:rPr>
          <w:szCs w:val="24"/>
          <w:u w:val="single"/>
          <w:lang w:val="es-ES_tradnl"/>
        </w:rPr>
        <w:t>“</w:t>
      </w:r>
      <w:r w:rsidR="00F521CB" w:rsidRPr="00450DD1">
        <w:rPr>
          <w:szCs w:val="24"/>
          <w:u w:val="single"/>
          <w:lang w:val="es-ES_tradnl"/>
        </w:rPr>
        <w:t>Notas sobre el artículo</w:t>
      </w:r>
      <w:r w:rsidRPr="00450DD1">
        <w:rPr>
          <w:szCs w:val="24"/>
          <w:u w:val="single"/>
          <w:lang w:val="es-ES_tradnl"/>
        </w:rPr>
        <w:t xml:space="preserve"> 1”:  </w:t>
      </w:r>
      <w:r w:rsidR="00F521CB" w:rsidRPr="00450DD1">
        <w:rPr>
          <w:szCs w:val="24"/>
          <w:u w:val="single"/>
          <w:lang w:val="es-ES_tradnl"/>
        </w:rPr>
        <w:t>añadir el texto extraído de las “Notas explicativas sobre la definición de obtentor con arreglo al Acta de 1991 del Convenio de la UPOV</w:t>
      </w:r>
      <w:r w:rsidRPr="00450DD1">
        <w:rPr>
          <w:bCs/>
          <w:snapToGrid w:val="0"/>
          <w:szCs w:val="24"/>
          <w:u w:val="single"/>
          <w:lang w:val="es-ES_tradnl"/>
        </w:rPr>
        <w:t xml:space="preserve">” </w:t>
      </w:r>
      <w:r w:rsidR="00D70A9A" w:rsidRPr="00450DD1">
        <w:rPr>
          <w:szCs w:val="24"/>
          <w:u w:val="single"/>
          <w:lang w:val="es-ES_tradnl"/>
        </w:rPr>
        <w:t>(documento</w:t>
      </w:r>
      <w:r w:rsidRPr="00450DD1">
        <w:rPr>
          <w:szCs w:val="24"/>
          <w:u w:val="single"/>
          <w:lang w:val="es-ES_tradnl"/>
        </w:rPr>
        <w:t> UPOV/EXN/BRD/1)</w:t>
      </w:r>
    </w:p>
    <w:p w:rsidR="00FE4464" w:rsidRPr="00450DD1" w:rsidRDefault="00FE4464" w:rsidP="00450DD1">
      <w:pPr>
        <w:widowControl w:val="0"/>
        <w:rPr>
          <w:szCs w:val="24"/>
          <w:lang w:val="es-ES_tradnl"/>
        </w:rPr>
      </w:pPr>
    </w:p>
    <w:p w:rsidR="00FE4464" w:rsidRPr="00450DD1" w:rsidRDefault="00FE4464" w:rsidP="00450DD1">
      <w:pPr>
        <w:widowControl w:val="0"/>
        <w:rPr>
          <w:bCs/>
          <w:snapToGrid w:val="0"/>
          <w:szCs w:val="24"/>
          <w:u w:val="single"/>
          <w:lang w:val="es-ES_tradnl"/>
        </w:rPr>
      </w:pPr>
    </w:p>
    <w:p w:rsidR="00FE4464" w:rsidRPr="00450DD1" w:rsidRDefault="00FE4464" w:rsidP="00450DD1">
      <w:pPr>
        <w:widowControl w:val="0"/>
        <w:rPr>
          <w:szCs w:val="24"/>
          <w:lang w:val="es-ES_tradnl"/>
        </w:rPr>
      </w:pPr>
      <w:r w:rsidRPr="00450DD1">
        <w:rPr>
          <w:szCs w:val="24"/>
          <w:u w:val="single"/>
          <w:lang w:val="es-ES_tradnl"/>
        </w:rPr>
        <w:t>“</w:t>
      </w:r>
      <w:r w:rsidR="00F521CB" w:rsidRPr="00450DD1">
        <w:rPr>
          <w:szCs w:val="24"/>
          <w:u w:val="single"/>
          <w:lang w:val="es-ES_tradnl"/>
        </w:rPr>
        <w:t>Notas sobre el artículo</w:t>
      </w:r>
      <w:r w:rsidRPr="00450DD1">
        <w:rPr>
          <w:szCs w:val="24"/>
          <w:u w:val="single"/>
          <w:lang w:val="es-ES_tradnl"/>
        </w:rPr>
        <w:t xml:space="preserve"> 14”:  </w:t>
      </w:r>
      <w:r w:rsidR="00F521CB" w:rsidRPr="00450DD1">
        <w:rPr>
          <w:szCs w:val="24"/>
          <w:u w:val="single"/>
          <w:lang w:val="es-ES_tradnl"/>
        </w:rPr>
        <w:t xml:space="preserve">añadir el texto extraído de las </w:t>
      </w:r>
      <w:r w:rsidRPr="00450DD1">
        <w:rPr>
          <w:szCs w:val="24"/>
          <w:u w:val="single"/>
          <w:lang w:val="es-ES_tradnl"/>
        </w:rPr>
        <w:t>“</w:t>
      </w:r>
      <w:r w:rsidR="00F521CB" w:rsidRPr="00450DD1">
        <w:rPr>
          <w:szCs w:val="24"/>
          <w:u w:val="single"/>
          <w:lang w:val="es-ES_tradnl"/>
        </w:rPr>
        <w:t>Notas explicativas sobre los actos respecto del producto de la cosecha con arreglo al Acta de 1991 del Convenio de la UPOV</w:t>
      </w:r>
      <w:r w:rsidRPr="00450DD1">
        <w:rPr>
          <w:u w:val="single"/>
          <w:lang w:val="es-ES_tradnl"/>
        </w:rPr>
        <w:t>”</w:t>
      </w:r>
      <w:r w:rsidRPr="00450DD1">
        <w:rPr>
          <w:bCs/>
          <w:snapToGrid w:val="0"/>
          <w:szCs w:val="24"/>
          <w:u w:val="single"/>
          <w:lang w:val="es-ES_tradnl"/>
        </w:rPr>
        <w:t xml:space="preserve"> </w:t>
      </w:r>
      <w:r w:rsidR="00D70A9A" w:rsidRPr="00450DD1">
        <w:rPr>
          <w:szCs w:val="24"/>
          <w:u w:val="single"/>
          <w:lang w:val="es-ES_tradnl"/>
        </w:rPr>
        <w:t>(documento</w:t>
      </w:r>
      <w:r w:rsidRPr="00450DD1">
        <w:rPr>
          <w:szCs w:val="24"/>
          <w:u w:val="single"/>
          <w:lang w:val="es-ES_tradnl"/>
        </w:rPr>
        <w:t> </w:t>
      </w:r>
      <w:r w:rsidRPr="00450DD1">
        <w:rPr>
          <w:bCs/>
          <w:snapToGrid w:val="0"/>
          <w:szCs w:val="24"/>
          <w:u w:val="single"/>
          <w:lang w:val="es-ES_tradnl"/>
        </w:rPr>
        <w:t>UPOV</w:t>
      </w:r>
      <w:r w:rsidRPr="00450DD1">
        <w:rPr>
          <w:u w:val="single"/>
          <w:lang w:val="es-ES_tradnl"/>
        </w:rPr>
        <w:t>/EXN/HRV/1</w:t>
      </w:r>
      <w:r w:rsidRPr="00450DD1">
        <w:rPr>
          <w:szCs w:val="24"/>
          <w:u w:val="single"/>
          <w:lang w:val="es-ES_tradnl"/>
        </w:rPr>
        <w:t>)</w:t>
      </w: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FE4464" w:rsidP="00450DD1">
      <w:pPr>
        <w:widowControl w:val="0"/>
        <w:rPr>
          <w:u w:val="single"/>
          <w:lang w:val="es-ES_tradnl"/>
        </w:rPr>
      </w:pPr>
      <w:r w:rsidRPr="00450DD1">
        <w:rPr>
          <w:u w:val="single"/>
          <w:lang w:val="es-ES_tradnl"/>
        </w:rPr>
        <w:t>“</w:t>
      </w:r>
      <w:r w:rsidR="00F521CB" w:rsidRPr="00450DD1">
        <w:rPr>
          <w:u w:val="single"/>
          <w:lang w:val="es-ES_tradnl"/>
        </w:rPr>
        <w:t>Notas sobre el artículo</w:t>
      </w:r>
      <w:r w:rsidRPr="00450DD1">
        <w:rPr>
          <w:u w:val="single"/>
          <w:lang w:val="es-ES_tradnl"/>
        </w:rPr>
        <w:t xml:space="preserve"> 20”: </w:t>
      </w:r>
      <w:r w:rsidR="00AC5325" w:rsidRPr="00450DD1">
        <w:rPr>
          <w:u w:val="single"/>
          <w:lang w:val="es-ES_tradnl"/>
        </w:rPr>
        <w:t xml:space="preserve"> </w:t>
      </w:r>
      <w:r w:rsidR="001730DB" w:rsidRPr="00450DD1">
        <w:rPr>
          <w:u w:val="single"/>
          <w:lang w:val="es-ES_tradnl"/>
        </w:rPr>
        <w:t>añadir la nueva clase</w:t>
      </w:r>
      <w:r w:rsidRPr="00450DD1">
        <w:rPr>
          <w:u w:val="single"/>
          <w:lang w:val="es-ES_tradnl"/>
        </w:rPr>
        <w:t xml:space="preserve"> 213 </w:t>
      </w:r>
      <w:r w:rsidR="001730DB" w:rsidRPr="00450DD1">
        <w:rPr>
          <w:u w:val="single"/>
          <w:lang w:val="es-ES_tradnl"/>
        </w:rPr>
        <w:t xml:space="preserve">de </w:t>
      </w:r>
      <w:r w:rsidR="00742B86" w:rsidRPr="00450DD1">
        <w:rPr>
          <w:u w:val="single"/>
          <w:lang w:val="es-ES_tradnl"/>
        </w:rPr>
        <w:t>las "Notas</w:t>
      </w:r>
      <w:r w:rsidR="001730DB" w:rsidRPr="00450DD1">
        <w:rPr>
          <w:u w:val="single"/>
          <w:lang w:val="es-ES_tradnl"/>
        </w:rPr>
        <w:t xml:space="preserve"> explicativas sobre las denominaciones de variedades con arreglo al Convenio de la UPOV</w:t>
      </w:r>
      <w:r w:rsidRPr="00450DD1">
        <w:rPr>
          <w:szCs w:val="24"/>
          <w:u w:val="single"/>
          <w:lang w:val="es-ES_tradnl"/>
        </w:rPr>
        <w:t xml:space="preserve">” </w:t>
      </w:r>
      <w:r w:rsidR="00D70A9A" w:rsidRPr="00450DD1">
        <w:rPr>
          <w:szCs w:val="24"/>
          <w:u w:val="single"/>
          <w:lang w:val="es-ES_tradnl"/>
        </w:rPr>
        <w:t>(documento</w:t>
      </w:r>
      <w:r w:rsidRPr="00450DD1">
        <w:rPr>
          <w:szCs w:val="24"/>
          <w:u w:val="single"/>
          <w:lang w:val="es-ES_tradnl"/>
        </w:rPr>
        <w:t xml:space="preserve"> UPOV/INF/12/4)</w:t>
      </w:r>
    </w:p>
    <w:p w:rsidR="00FE4464" w:rsidRPr="00450DD1" w:rsidRDefault="00FE4464" w:rsidP="00450DD1">
      <w:pPr>
        <w:widowControl w:val="0"/>
        <w:jc w:val="center"/>
        <w:rPr>
          <w:lang w:val="es-ES_tradnl"/>
        </w:rPr>
      </w:pPr>
    </w:p>
    <w:p w:rsidR="00FE4464" w:rsidRPr="00450DD1" w:rsidRDefault="00FE4464" w:rsidP="00450DD1">
      <w:pPr>
        <w:widowControl w:val="0"/>
        <w:jc w:val="center"/>
        <w:rPr>
          <w:lang w:val="es-ES_tradnl"/>
        </w:rPr>
      </w:pPr>
    </w:p>
    <w:tbl>
      <w:tblPr>
        <w:tblW w:w="9133" w:type="dxa"/>
        <w:jc w:val="right"/>
        <w:tblInd w:w="1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"/>
        <w:gridCol w:w="1276"/>
        <w:gridCol w:w="5672"/>
        <w:gridCol w:w="1983"/>
        <w:gridCol w:w="61"/>
      </w:tblGrid>
      <w:tr w:rsidR="00FE4464" w:rsidRPr="00450DD1" w:rsidTr="00AA5254">
        <w:trPr>
          <w:gridAfter w:val="1"/>
          <w:wAfter w:w="56" w:type="dxa"/>
          <w:cantSplit/>
          <w:tblHeader/>
          <w:jc w:val="right"/>
        </w:trPr>
        <w:tc>
          <w:tcPr>
            <w:tcW w:w="141" w:type="dxa"/>
            <w:tcBorders>
              <w:right w:val="nil"/>
            </w:tcBorders>
            <w:shd w:val="clear" w:color="auto" w:fill="auto"/>
            <w:vAlign w:val="center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695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E4464" w:rsidRPr="00450DD1" w:rsidRDefault="001730DB" w:rsidP="00450DD1">
            <w:pPr>
              <w:widowControl w:val="0"/>
              <w:spacing w:before="10" w:after="10"/>
              <w:jc w:val="center"/>
              <w:rPr>
                <w:sz w:val="18"/>
                <w:szCs w:val="18"/>
                <w:u w:val="single"/>
                <w:lang w:val="es-ES_tradnl"/>
              </w:rPr>
            </w:pPr>
            <w:r w:rsidRPr="00450DD1">
              <w:rPr>
                <w:sz w:val="18"/>
                <w:szCs w:val="18"/>
                <w:u w:val="single"/>
                <w:lang w:val="es-ES_tradnl"/>
              </w:rPr>
              <w:t>Nombres botánicos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4464" w:rsidRPr="00450DD1" w:rsidRDefault="001730DB" w:rsidP="00450DD1">
            <w:pPr>
              <w:widowControl w:val="0"/>
              <w:spacing w:before="10" w:after="10"/>
              <w:jc w:val="center"/>
              <w:rPr>
                <w:sz w:val="18"/>
                <w:szCs w:val="18"/>
                <w:u w:val="single"/>
                <w:lang w:val="es-ES_tradnl"/>
              </w:rPr>
            </w:pPr>
            <w:r w:rsidRPr="00450DD1">
              <w:rPr>
                <w:sz w:val="18"/>
                <w:szCs w:val="18"/>
                <w:u w:val="single"/>
                <w:lang w:val="es-ES_tradnl"/>
              </w:rPr>
              <w:t xml:space="preserve">Códigos </w:t>
            </w:r>
            <w:r w:rsidR="00723334" w:rsidRPr="00450DD1">
              <w:rPr>
                <w:sz w:val="18"/>
                <w:szCs w:val="18"/>
                <w:u w:val="single"/>
                <w:lang w:val="es-ES_tradnl"/>
              </w:rPr>
              <w:t xml:space="preserve">de la </w:t>
            </w:r>
            <w:r w:rsidR="00FE4464" w:rsidRPr="00450DD1">
              <w:rPr>
                <w:sz w:val="18"/>
                <w:szCs w:val="18"/>
                <w:u w:val="single"/>
                <w:lang w:val="es-ES_tradnl"/>
              </w:rPr>
              <w:t xml:space="preserve">UPOV </w:t>
            </w:r>
          </w:p>
        </w:tc>
      </w:tr>
      <w:tr w:rsidR="00FE4464" w:rsidRPr="00450DD1" w:rsidTr="00AA5254">
        <w:trPr>
          <w:gridAfter w:val="1"/>
          <w:wAfter w:w="56" w:type="dxa"/>
          <w:cantSplit/>
          <w:tblHeader/>
          <w:jc w:val="right"/>
        </w:trPr>
        <w:tc>
          <w:tcPr>
            <w:tcW w:w="141" w:type="dxa"/>
            <w:tcBorders>
              <w:left w:val="nil"/>
              <w:right w:val="nil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695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FE4464" w:rsidRPr="00450DD1" w:rsidTr="00AA5254">
        <w:trPr>
          <w:cantSplit/>
          <w:jc w:val="right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  <w:r w:rsidRPr="00450DD1">
              <w:rPr>
                <w:sz w:val="18"/>
                <w:szCs w:val="18"/>
                <w:lang w:val="es-ES_tradnl"/>
              </w:rPr>
              <w:t>Clas</w:t>
            </w:r>
            <w:r w:rsidR="001730DB" w:rsidRPr="00450DD1">
              <w:rPr>
                <w:sz w:val="18"/>
                <w:szCs w:val="18"/>
                <w:lang w:val="es-ES_tradnl"/>
              </w:rPr>
              <w:t>e</w:t>
            </w:r>
            <w:r w:rsidRPr="00450DD1">
              <w:rPr>
                <w:sz w:val="18"/>
                <w:szCs w:val="18"/>
                <w:lang w:val="es-ES_tradnl"/>
              </w:rPr>
              <w:t xml:space="preserve"> 213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ind w:firstLine="28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50DD1">
              <w:rPr>
                <w:color w:val="000000"/>
                <w:sz w:val="18"/>
                <w:szCs w:val="18"/>
                <w:lang w:val="es-ES_tradnl"/>
              </w:rPr>
              <w:t>Eupatorium L.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  <w:r w:rsidRPr="00450DD1">
              <w:rPr>
                <w:sz w:val="18"/>
                <w:szCs w:val="18"/>
                <w:lang w:val="es-ES_tradnl"/>
              </w:rPr>
              <w:t>EUPAT</w:t>
            </w:r>
          </w:p>
        </w:tc>
      </w:tr>
      <w:tr w:rsidR="00FE4464" w:rsidRPr="00450DD1" w:rsidTr="00AA5254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546BA7" w:rsidRDefault="00FE4464" w:rsidP="00450DD1">
            <w:pPr>
              <w:widowControl w:val="0"/>
              <w:spacing w:before="10" w:after="10"/>
              <w:ind w:firstLine="454"/>
              <w:jc w:val="left"/>
              <w:rPr>
                <w:color w:val="000000"/>
                <w:sz w:val="18"/>
                <w:szCs w:val="18"/>
              </w:rPr>
            </w:pPr>
            <w:r w:rsidRPr="00546BA7">
              <w:rPr>
                <w:color w:val="000000"/>
                <w:sz w:val="18"/>
                <w:szCs w:val="18"/>
              </w:rPr>
              <w:t>Acanthostyles R. M. King &amp; H. Rob.</w:t>
            </w:r>
          </w:p>
        </w:tc>
        <w:tc>
          <w:tcPr>
            <w:tcW w:w="2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  <w:r w:rsidRPr="00450DD1">
              <w:rPr>
                <w:sz w:val="18"/>
                <w:szCs w:val="18"/>
                <w:lang w:val="es-ES_tradnl"/>
              </w:rPr>
              <w:t>-</w:t>
            </w:r>
          </w:p>
        </w:tc>
      </w:tr>
      <w:tr w:rsidR="00FE4464" w:rsidRPr="00450DD1" w:rsidTr="00AA5254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ind w:firstLine="454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50DD1">
              <w:rPr>
                <w:iCs/>
                <w:color w:val="000000"/>
                <w:sz w:val="18"/>
                <w:szCs w:val="18"/>
                <w:lang w:val="es-ES_tradnl"/>
              </w:rPr>
              <w:t>Ageratina Spach</w:t>
            </w:r>
          </w:p>
        </w:tc>
        <w:tc>
          <w:tcPr>
            <w:tcW w:w="2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  <w:r w:rsidRPr="00450DD1">
              <w:rPr>
                <w:sz w:val="18"/>
                <w:szCs w:val="18"/>
                <w:lang w:val="es-ES_tradnl"/>
              </w:rPr>
              <w:t>AGERT</w:t>
            </w:r>
          </w:p>
        </w:tc>
      </w:tr>
      <w:tr w:rsidR="00FE4464" w:rsidRPr="00450DD1" w:rsidTr="00AA5254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546BA7" w:rsidRDefault="00FE4464" w:rsidP="00450DD1">
            <w:pPr>
              <w:widowControl w:val="0"/>
              <w:spacing w:before="10" w:after="10"/>
              <w:ind w:firstLine="454"/>
              <w:jc w:val="left"/>
              <w:rPr>
                <w:color w:val="000000"/>
                <w:sz w:val="18"/>
                <w:szCs w:val="18"/>
              </w:rPr>
            </w:pPr>
            <w:r w:rsidRPr="00546BA7">
              <w:rPr>
                <w:sz w:val="18"/>
                <w:szCs w:val="18"/>
              </w:rPr>
              <w:t>Asplundianthus R. M. King &amp; H. Rob.</w:t>
            </w:r>
          </w:p>
        </w:tc>
        <w:tc>
          <w:tcPr>
            <w:tcW w:w="2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  <w:r w:rsidRPr="00450DD1">
              <w:rPr>
                <w:sz w:val="18"/>
                <w:szCs w:val="18"/>
                <w:lang w:val="es-ES_tradnl"/>
              </w:rPr>
              <w:t>-</w:t>
            </w:r>
          </w:p>
        </w:tc>
      </w:tr>
      <w:tr w:rsidR="00FE4464" w:rsidRPr="00450DD1" w:rsidTr="00AA5254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546BA7" w:rsidRDefault="00FE4464" w:rsidP="00450DD1">
            <w:pPr>
              <w:widowControl w:val="0"/>
              <w:spacing w:before="10" w:after="10"/>
              <w:ind w:firstLine="454"/>
              <w:jc w:val="left"/>
              <w:rPr>
                <w:color w:val="000000"/>
                <w:sz w:val="18"/>
                <w:szCs w:val="18"/>
              </w:rPr>
            </w:pPr>
            <w:r w:rsidRPr="00546BA7">
              <w:rPr>
                <w:sz w:val="18"/>
                <w:szCs w:val="18"/>
              </w:rPr>
              <w:t>Bartlettina R. M. King &amp; H. Rob.</w:t>
            </w:r>
          </w:p>
        </w:tc>
        <w:tc>
          <w:tcPr>
            <w:tcW w:w="2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  <w:r w:rsidRPr="00450DD1">
              <w:rPr>
                <w:sz w:val="18"/>
                <w:szCs w:val="18"/>
                <w:lang w:val="es-ES_tradnl"/>
              </w:rPr>
              <w:t>-</w:t>
            </w:r>
          </w:p>
        </w:tc>
      </w:tr>
      <w:tr w:rsidR="00FE4464" w:rsidRPr="00450DD1" w:rsidTr="00AA5254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ind w:firstLine="454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50DD1">
              <w:rPr>
                <w:sz w:val="18"/>
                <w:szCs w:val="18"/>
                <w:lang w:val="es-ES_tradnl"/>
              </w:rPr>
              <w:t>Campuloclinium DC.</w:t>
            </w:r>
          </w:p>
        </w:tc>
        <w:tc>
          <w:tcPr>
            <w:tcW w:w="2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  <w:r w:rsidRPr="00450DD1">
              <w:rPr>
                <w:sz w:val="18"/>
                <w:szCs w:val="18"/>
                <w:lang w:val="es-ES_tradnl"/>
              </w:rPr>
              <w:t>-</w:t>
            </w:r>
          </w:p>
        </w:tc>
      </w:tr>
      <w:tr w:rsidR="00FE4464" w:rsidRPr="00450DD1" w:rsidTr="00AA5254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ind w:firstLine="454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50DD1">
              <w:rPr>
                <w:sz w:val="18"/>
                <w:szCs w:val="18"/>
                <w:lang w:val="es-ES_tradnl"/>
              </w:rPr>
              <w:t>Chromolaena DC.</w:t>
            </w:r>
          </w:p>
        </w:tc>
        <w:tc>
          <w:tcPr>
            <w:tcW w:w="2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  <w:r w:rsidRPr="00450DD1">
              <w:rPr>
                <w:sz w:val="18"/>
                <w:szCs w:val="18"/>
                <w:lang w:val="es-ES_tradnl"/>
              </w:rPr>
              <w:t>-</w:t>
            </w:r>
          </w:p>
        </w:tc>
      </w:tr>
      <w:tr w:rsidR="00FE4464" w:rsidRPr="00450DD1" w:rsidTr="00AA5254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ind w:firstLine="454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50DD1">
              <w:rPr>
                <w:sz w:val="18"/>
                <w:szCs w:val="18"/>
                <w:lang w:val="es-ES_tradnl"/>
              </w:rPr>
              <w:t>Conoclinium DC.</w:t>
            </w:r>
          </w:p>
        </w:tc>
        <w:tc>
          <w:tcPr>
            <w:tcW w:w="2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  <w:r w:rsidRPr="00450DD1">
              <w:rPr>
                <w:sz w:val="18"/>
                <w:szCs w:val="18"/>
                <w:lang w:val="es-ES_tradnl"/>
              </w:rPr>
              <w:t>-</w:t>
            </w:r>
          </w:p>
        </w:tc>
      </w:tr>
      <w:tr w:rsidR="00FE4464" w:rsidRPr="00450DD1" w:rsidTr="00AA5254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546BA7" w:rsidRDefault="00FE4464" w:rsidP="00450DD1">
            <w:pPr>
              <w:widowControl w:val="0"/>
              <w:spacing w:before="10" w:after="10"/>
              <w:ind w:firstLine="454"/>
              <w:jc w:val="left"/>
              <w:rPr>
                <w:color w:val="000000"/>
                <w:sz w:val="18"/>
                <w:szCs w:val="18"/>
              </w:rPr>
            </w:pPr>
            <w:r w:rsidRPr="00546BA7">
              <w:rPr>
                <w:sz w:val="18"/>
                <w:szCs w:val="18"/>
              </w:rPr>
              <w:t>Cronquistianthus R. M. King &amp; H. Rob.</w:t>
            </w:r>
          </w:p>
        </w:tc>
        <w:tc>
          <w:tcPr>
            <w:tcW w:w="2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  <w:r w:rsidRPr="00450DD1">
              <w:rPr>
                <w:sz w:val="18"/>
                <w:szCs w:val="18"/>
                <w:lang w:val="es-ES_tradnl"/>
              </w:rPr>
              <w:t>-</w:t>
            </w:r>
          </w:p>
        </w:tc>
      </w:tr>
      <w:tr w:rsidR="00FE4464" w:rsidRPr="00450DD1" w:rsidTr="00AA5254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ind w:firstLine="454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50DD1">
              <w:rPr>
                <w:iCs/>
                <w:color w:val="000000"/>
                <w:sz w:val="18"/>
                <w:szCs w:val="18"/>
                <w:lang w:val="es-ES_tradnl"/>
              </w:rPr>
              <w:t>Eutrochium Raf.</w:t>
            </w:r>
          </w:p>
        </w:tc>
        <w:tc>
          <w:tcPr>
            <w:tcW w:w="2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  <w:r w:rsidRPr="00450DD1">
              <w:rPr>
                <w:sz w:val="18"/>
                <w:szCs w:val="18"/>
                <w:lang w:val="es-ES_tradnl"/>
              </w:rPr>
              <w:t>EUTRO</w:t>
            </w:r>
          </w:p>
        </w:tc>
      </w:tr>
      <w:tr w:rsidR="00FE4464" w:rsidRPr="00450DD1" w:rsidTr="00AA5254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ind w:firstLine="454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50DD1">
              <w:rPr>
                <w:sz w:val="18"/>
                <w:szCs w:val="18"/>
                <w:lang w:val="es-ES_tradnl"/>
              </w:rPr>
              <w:t>Fleischmannia Sch. Bip.</w:t>
            </w:r>
          </w:p>
        </w:tc>
        <w:tc>
          <w:tcPr>
            <w:tcW w:w="2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  <w:r w:rsidRPr="00450DD1">
              <w:rPr>
                <w:sz w:val="18"/>
                <w:szCs w:val="18"/>
                <w:lang w:val="es-ES_tradnl"/>
              </w:rPr>
              <w:t>-</w:t>
            </w:r>
          </w:p>
        </w:tc>
      </w:tr>
      <w:tr w:rsidR="00FE4464" w:rsidRPr="00450DD1" w:rsidTr="00AA5254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ind w:firstLine="454"/>
              <w:jc w:val="left"/>
              <w:rPr>
                <w:sz w:val="18"/>
                <w:szCs w:val="18"/>
                <w:lang w:val="es-ES_tradnl"/>
              </w:rPr>
            </w:pPr>
            <w:r w:rsidRPr="00450DD1">
              <w:rPr>
                <w:sz w:val="18"/>
                <w:szCs w:val="18"/>
                <w:lang w:val="es-ES_tradnl"/>
              </w:rPr>
              <w:t>Praxelis Cass.</w:t>
            </w:r>
          </w:p>
        </w:tc>
        <w:tc>
          <w:tcPr>
            <w:tcW w:w="2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  <w:r w:rsidRPr="00450DD1">
              <w:rPr>
                <w:sz w:val="18"/>
                <w:szCs w:val="18"/>
                <w:lang w:val="es-ES_tradnl"/>
              </w:rPr>
              <w:t>-</w:t>
            </w:r>
          </w:p>
        </w:tc>
      </w:tr>
      <w:tr w:rsidR="00FE4464" w:rsidRPr="00450DD1" w:rsidTr="00AA5254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64" w:rsidRPr="00546BA7" w:rsidRDefault="00FE4464" w:rsidP="00450DD1">
            <w:pPr>
              <w:widowControl w:val="0"/>
              <w:spacing w:before="10" w:after="10"/>
              <w:ind w:firstLine="454"/>
              <w:jc w:val="left"/>
              <w:rPr>
                <w:color w:val="000000"/>
                <w:sz w:val="18"/>
                <w:szCs w:val="18"/>
              </w:rPr>
            </w:pPr>
            <w:r w:rsidRPr="00546BA7">
              <w:rPr>
                <w:rFonts w:cs="Arial"/>
                <w:sz w:val="18"/>
                <w:szCs w:val="18"/>
              </w:rPr>
              <w:t>Viereckia R. M. King &amp; H. Rob.</w:t>
            </w:r>
          </w:p>
        </w:tc>
        <w:tc>
          <w:tcPr>
            <w:tcW w:w="2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64" w:rsidRPr="00450DD1" w:rsidRDefault="00FE4464" w:rsidP="00450DD1">
            <w:pPr>
              <w:widowControl w:val="0"/>
              <w:spacing w:before="10" w:after="10"/>
              <w:jc w:val="left"/>
              <w:rPr>
                <w:sz w:val="18"/>
                <w:szCs w:val="18"/>
                <w:lang w:val="es-ES_tradnl"/>
              </w:rPr>
            </w:pPr>
            <w:r w:rsidRPr="00450DD1">
              <w:rPr>
                <w:sz w:val="18"/>
                <w:szCs w:val="18"/>
                <w:lang w:val="es-ES_tradnl"/>
              </w:rPr>
              <w:t>-</w:t>
            </w:r>
          </w:p>
        </w:tc>
      </w:tr>
    </w:tbl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FE4464" w:rsidP="00450DD1">
      <w:pPr>
        <w:widowControl w:val="0"/>
        <w:jc w:val="left"/>
        <w:rPr>
          <w:lang w:val="es-ES_tradnl"/>
        </w:rPr>
      </w:pPr>
    </w:p>
    <w:p w:rsidR="00FE4464" w:rsidRPr="00450DD1" w:rsidRDefault="00FE4464" w:rsidP="00450DD1">
      <w:pPr>
        <w:widowControl w:val="0"/>
        <w:jc w:val="left"/>
        <w:rPr>
          <w:u w:val="single"/>
          <w:lang w:val="es-ES_tradnl"/>
        </w:rPr>
      </w:pPr>
      <w:r w:rsidRPr="00450DD1">
        <w:rPr>
          <w:u w:val="single"/>
          <w:lang w:val="es-ES_tradnl"/>
        </w:rPr>
        <w:t>“</w:t>
      </w:r>
      <w:r w:rsidR="00F521CB" w:rsidRPr="00450DD1">
        <w:rPr>
          <w:u w:val="single"/>
          <w:lang w:val="es-ES_tradnl"/>
        </w:rPr>
        <w:t>Notas sobre el artículo</w:t>
      </w:r>
      <w:r w:rsidRPr="00450DD1">
        <w:rPr>
          <w:u w:val="single"/>
          <w:lang w:val="es-ES_tradnl"/>
        </w:rPr>
        <w:t xml:space="preserve"> 30”: </w:t>
      </w:r>
      <w:r w:rsidR="00AC5325" w:rsidRPr="00450DD1">
        <w:rPr>
          <w:u w:val="single"/>
          <w:lang w:val="es-ES_tradnl"/>
        </w:rPr>
        <w:t xml:space="preserve"> </w:t>
      </w:r>
      <w:r w:rsidR="001730DB" w:rsidRPr="00450DD1">
        <w:rPr>
          <w:u w:val="single"/>
          <w:lang w:val="es-ES_tradnl"/>
        </w:rPr>
        <w:t>añadir en la nota 1.1.2.</w:t>
      </w:r>
      <w:r w:rsidRPr="00450DD1">
        <w:rPr>
          <w:u w:val="single"/>
          <w:lang w:val="es-ES_tradnl"/>
        </w:rPr>
        <w:t>e)</w:t>
      </w:r>
    </w:p>
    <w:p w:rsidR="00FE4464" w:rsidRPr="00450DD1" w:rsidRDefault="00FE4464" w:rsidP="00450DD1">
      <w:pPr>
        <w:widowControl w:val="0"/>
        <w:jc w:val="left"/>
        <w:rPr>
          <w:lang w:val="es-ES_tradnl"/>
        </w:rPr>
      </w:pPr>
    </w:p>
    <w:p w:rsidR="00FE4464" w:rsidRPr="00450DD1" w:rsidRDefault="001730DB" w:rsidP="00450DD1">
      <w:pPr>
        <w:widowControl w:val="0"/>
        <w:ind w:left="567" w:right="567"/>
        <w:rPr>
          <w:sz w:val="18"/>
          <w:szCs w:val="18"/>
          <w:lang w:val="es-ES_tradnl"/>
        </w:rPr>
      </w:pPr>
      <w:r w:rsidRPr="00450DD1">
        <w:rPr>
          <w:sz w:val="18"/>
          <w:szCs w:val="18"/>
          <w:lang w:val="es-ES_tradnl"/>
        </w:rPr>
        <w:t>“</w:t>
      </w:r>
      <w:r w:rsidR="00FE4464" w:rsidRPr="00450DD1">
        <w:rPr>
          <w:sz w:val="18"/>
          <w:szCs w:val="18"/>
          <w:lang w:val="es-ES_tradnl"/>
        </w:rPr>
        <w:t>e)</w:t>
      </w:r>
      <w:r w:rsidR="00FE4464" w:rsidRPr="00450DD1">
        <w:rPr>
          <w:sz w:val="18"/>
          <w:szCs w:val="18"/>
          <w:lang w:val="es-ES_tradnl"/>
        </w:rPr>
        <w:tab/>
      </w:r>
      <w:r w:rsidRPr="00450DD1">
        <w:rPr>
          <w:sz w:val="18"/>
          <w:szCs w:val="18"/>
          <w:lang w:val="es-ES_tradnl"/>
        </w:rPr>
        <w:t>Medidas resultantes de mecanismos alternativos de solución de controversias</w:t>
      </w:r>
    </w:p>
    <w:p w:rsidR="00FE4464" w:rsidRPr="00450DD1" w:rsidRDefault="00FE4464" w:rsidP="00450DD1">
      <w:pPr>
        <w:widowControl w:val="0"/>
        <w:ind w:left="567" w:right="567"/>
        <w:rPr>
          <w:sz w:val="18"/>
          <w:szCs w:val="18"/>
          <w:lang w:val="es-ES_tradnl"/>
        </w:rPr>
      </w:pPr>
    </w:p>
    <w:p w:rsidR="00FE4464" w:rsidRPr="00450DD1" w:rsidRDefault="001730DB" w:rsidP="00450DD1">
      <w:pPr>
        <w:widowControl w:val="0"/>
        <w:ind w:left="567" w:right="567"/>
        <w:rPr>
          <w:sz w:val="18"/>
          <w:szCs w:val="18"/>
          <w:lang w:val="es-ES_tradnl"/>
        </w:rPr>
      </w:pPr>
      <w:r w:rsidRPr="00450DD1">
        <w:rPr>
          <w:sz w:val="18"/>
          <w:szCs w:val="18"/>
          <w:lang w:val="es-ES_tradnl"/>
        </w:rPr>
        <w:t>Medidas civiles (véase el apartado a) anterior) adoptadas a partir de mecanismos alternativos de solución de controversias (por ejemplo, el arbitraje</w:t>
      </w:r>
      <w:r w:rsidR="00FE4464" w:rsidRPr="00450DD1">
        <w:rPr>
          <w:sz w:val="18"/>
          <w:szCs w:val="18"/>
          <w:lang w:val="es-ES_tradnl"/>
        </w:rPr>
        <w:t>)</w:t>
      </w:r>
      <w:r w:rsidR="00723334" w:rsidRPr="00450DD1">
        <w:rPr>
          <w:sz w:val="18"/>
          <w:szCs w:val="18"/>
          <w:lang w:val="es-ES_tradnl"/>
        </w:rPr>
        <w:t>”</w:t>
      </w:r>
      <w:r w:rsidR="00FE4464" w:rsidRPr="00450DD1">
        <w:rPr>
          <w:sz w:val="18"/>
          <w:szCs w:val="18"/>
          <w:lang w:val="es-ES_tradnl"/>
        </w:rPr>
        <w:t xml:space="preserve">. </w:t>
      </w:r>
    </w:p>
    <w:p w:rsidR="00FE4464" w:rsidRPr="00450DD1" w:rsidRDefault="00FE4464" w:rsidP="00450DD1">
      <w:pPr>
        <w:widowControl w:val="0"/>
        <w:jc w:val="left"/>
        <w:rPr>
          <w:lang w:val="es-ES_tradnl"/>
        </w:rPr>
      </w:pPr>
    </w:p>
    <w:p w:rsidR="00FE4464" w:rsidRPr="00450DD1" w:rsidRDefault="001730DB" w:rsidP="00450DD1">
      <w:pPr>
        <w:widowControl w:val="0"/>
        <w:rPr>
          <w:szCs w:val="24"/>
          <w:lang w:val="es-ES_tradnl"/>
        </w:rPr>
      </w:pPr>
      <w:r w:rsidRPr="00450DD1">
        <w:rPr>
          <w:u w:val="single"/>
          <w:lang w:val="es-ES_tradnl"/>
        </w:rPr>
        <w:t>la siguiente nota al pie</w:t>
      </w:r>
      <w:r w:rsidR="00FE4464" w:rsidRPr="00450DD1">
        <w:rPr>
          <w:lang w:val="es-ES_tradnl"/>
        </w:rPr>
        <w:t>: “</w:t>
      </w:r>
      <w:r w:rsidRPr="00450DD1">
        <w:rPr>
          <w:lang w:val="es-ES_tradnl"/>
        </w:rPr>
        <w:t>véase el</w:t>
      </w:r>
      <w:r w:rsidR="00FE4464" w:rsidRPr="00450DD1">
        <w:rPr>
          <w:lang w:val="es-ES_tradnl"/>
        </w:rPr>
        <w:t xml:space="preserve"> </w:t>
      </w:r>
      <w:r w:rsidR="00FE4464" w:rsidRPr="00450DD1">
        <w:rPr>
          <w:szCs w:val="24"/>
          <w:lang w:val="es-ES_tradnl"/>
        </w:rPr>
        <w:t>document</w:t>
      </w:r>
      <w:r w:rsidRPr="00450DD1">
        <w:rPr>
          <w:szCs w:val="24"/>
          <w:lang w:val="es-ES_tradnl"/>
        </w:rPr>
        <w:t>o</w:t>
      </w:r>
      <w:r w:rsidR="00FE4464" w:rsidRPr="00450DD1">
        <w:rPr>
          <w:szCs w:val="24"/>
          <w:lang w:val="es-ES_tradnl"/>
        </w:rPr>
        <w:t xml:space="preserve"> UPOV/INF/21 </w:t>
      </w:r>
      <w:r w:rsidR="00F14F93">
        <w:rPr>
          <w:szCs w:val="24"/>
          <w:lang w:val="es-ES_tradnl"/>
        </w:rPr>
        <w:t>‘</w:t>
      </w:r>
      <w:r w:rsidRPr="00450DD1">
        <w:rPr>
          <w:szCs w:val="24"/>
          <w:lang w:val="es-ES_tradnl"/>
        </w:rPr>
        <w:t>Mecanismos alternativos de solución de controversias</w:t>
      </w:r>
      <w:r w:rsidR="00F14F93">
        <w:rPr>
          <w:szCs w:val="24"/>
          <w:lang w:val="es-ES_tradnl"/>
        </w:rPr>
        <w:t>’</w:t>
      </w:r>
      <w:r w:rsidR="00FE4464" w:rsidRPr="00450DD1">
        <w:rPr>
          <w:szCs w:val="24"/>
          <w:lang w:val="es-ES_tradnl"/>
        </w:rPr>
        <w:t xml:space="preserve"> </w:t>
      </w:r>
      <w:r w:rsidRPr="00450DD1">
        <w:rPr>
          <w:szCs w:val="24"/>
          <w:lang w:val="es-ES_tradnl"/>
        </w:rPr>
        <w:t>en</w:t>
      </w:r>
      <w:r w:rsidR="00FE4464" w:rsidRPr="00450DD1">
        <w:rPr>
          <w:szCs w:val="24"/>
          <w:lang w:val="es-ES_tradnl"/>
        </w:rPr>
        <w:t xml:space="preserve"> </w:t>
      </w:r>
      <w:hyperlink r:id="rId9" w:history="1">
        <w:r w:rsidRPr="00450DD1">
          <w:rPr>
            <w:rStyle w:val="Hyperlink"/>
            <w:lang w:val="es-ES_tradnl"/>
          </w:rPr>
          <w:t>http://www.upov.int/information_documents/es/</w:t>
        </w:r>
      </w:hyperlink>
      <w:r w:rsidR="00723334" w:rsidRPr="00450DD1">
        <w:rPr>
          <w:lang w:val="es-ES_tradnl"/>
        </w:rPr>
        <w:t>.</w:t>
      </w:r>
      <w:r w:rsidR="00F14F93">
        <w:rPr>
          <w:lang w:val="es-ES_tradnl"/>
        </w:rPr>
        <w:t>”</w:t>
      </w:r>
    </w:p>
    <w:p w:rsidR="00FE4464" w:rsidRPr="00450DD1" w:rsidRDefault="00FE4464" w:rsidP="00450DD1">
      <w:pPr>
        <w:widowControl w:val="0"/>
        <w:jc w:val="left"/>
        <w:rPr>
          <w:lang w:val="es-ES_tradnl"/>
        </w:rPr>
      </w:pPr>
    </w:p>
    <w:p w:rsidR="00FE4464" w:rsidRPr="00450DD1" w:rsidRDefault="00FE4464" w:rsidP="00450DD1">
      <w:pPr>
        <w:widowControl w:val="0"/>
        <w:jc w:val="left"/>
        <w:rPr>
          <w:lang w:val="es-ES_tradnl"/>
        </w:rPr>
      </w:pPr>
    </w:p>
    <w:p w:rsidR="00FE4464" w:rsidRPr="00450DD1" w:rsidRDefault="00FE4464" w:rsidP="00450DD1">
      <w:pPr>
        <w:widowControl w:val="0"/>
        <w:rPr>
          <w:lang w:val="es-ES_tradnl"/>
        </w:rPr>
      </w:pPr>
    </w:p>
    <w:p w:rsidR="00FE4464" w:rsidRPr="00450DD1" w:rsidRDefault="00FE4464" w:rsidP="00450DD1">
      <w:pPr>
        <w:widowControl w:val="0"/>
        <w:jc w:val="right"/>
        <w:rPr>
          <w:lang w:val="es-ES_tradnl"/>
        </w:rPr>
      </w:pPr>
      <w:r w:rsidRPr="00450DD1">
        <w:rPr>
          <w:lang w:val="es-ES_tradnl"/>
        </w:rPr>
        <w:t xml:space="preserve">[Fin del </w:t>
      </w:r>
      <w:r w:rsidR="00723334" w:rsidRPr="00450DD1">
        <w:rPr>
          <w:lang w:val="es-ES_tradnl"/>
        </w:rPr>
        <w:t>A</w:t>
      </w:r>
      <w:r w:rsidRPr="00450DD1">
        <w:rPr>
          <w:lang w:val="es-ES_tradnl"/>
        </w:rPr>
        <w:t>nexo y del documento]</w:t>
      </w:r>
    </w:p>
    <w:p w:rsidR="00900C26" w:rsidRPr="00450DD1" w:rsidRDefault="00900C26" w:rsidP="00450DD1">
      <w:pPr>
        <w:pStyle w:val="TOC1"/>
        <w:widowControl w:val="0"/>
        <w:rPr>
          <w:snapToGrid w:val="0"/>
          <w:lang w:val="es-ES_tradnl"/>
        </w:rPr>
      </w:pPr>
    </w:p>
    <w:sectPr w:rsidR="00900C26" w:rsidRPr="00450DD1" w:rsidSect="00906DDC">
      <w:headerReference w:type="default" r:id="rId10"/>
      <w:footerReference w:type="firs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81" w:rsidRDefault="00EE3F81" w:rsidP="00F45372">
      <w:r>
        <w:separator/>
      </w:r>
    </w:p>
    <w:p w:rsidR="00EE3F81" w:rsidRDefault="00EE3F81" w:rsidP="00F45372"/>
    <w:p w:rsidR="00EE3F81" w:rsidRDefault="00EE3F81" w:rsidP="00F45372"/>
  </w:endnote>
  <w:endnote w:type="continuationSeparator" w:id="0">
    <w:p w:rsidR="00EE3F81" w:rsidRDefault="00EE3F81" w:rsidP="00F45372">
      <w:r>
        <w:separator/>
      </w:r>
    </w:p>
    <w:p w:rsidR="00EE3F81" w:rsidRPr="00B108A6" w:rsidRDefault="00EE3F81">
      <w:pPr>
        <w:pStyle w:val="Footer"/>
        <w:spacing w:after="60"/>
        <w:rPr>
          <w:sz w:val="18"/>
          <w:lang w:val="fr-FR"/>
        </w:rPr>
      </w:pPr>
      <w:r w:rsidRPr="00B108A6">
        <w:rPr>
          <w:sz w:val="18"/>
          <w:lang w:val="fr-FR"/>
        </w:rPr>
        <w:t>[Suite de la note de la page précédente]</w:t>
      </w:r>
    </w:p>
    <w:p w:rsidR="00EE3F81" w:rsidRPr="00B108A6" w:rsidRDefault="00EE3F81" w:rsidP="00F45372">
      <w:pPr>
        <w:rPr>
          <w:lang w:val="fr-FR"/>
        </w:rPr>
      </w:pPr>
    </w:p>
    <w:p w:rsidR="00EE3F81" w:rsidRPr="00B108A6" w:rsidRDefault="00EE3F81" w:rsidP="00F45372">
      <w:pPr>
        <w:rPr>
          <w:lang w:val="fr-FR"/>
        </w:rPr>
      </w:pPr>
    </w:p>
  </w:endnote>
  <w:endnote w:type="continuationNotice" w:id="1">
    <w:p w:rsidR="00EE3F81" w:rsidRPr="00B108A6" w:rsidRDefault="00EE3F81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EE3F81" w:rsidRPr="00B108A6" w:rsidRDefault="00EE3F81" w:rsidP="00F45372">
      <w:pPr>
        <w:rPr>
          <w:lang w:val="fr-FR"/>
        </w:rPr>
      </w:pPr>
    </w:p>
    <w:p w:rsidR="00EE3F81" w:rsidRPr="00B108A6" w:rsidRDefault="00EE3F81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254" w:rsidRPr="00F14F93" w:rsidRDefault="00AA5254" w:rsidP="00F14F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81" w:rsidRDefault="00EE3F81" w:rsidP="006A59FA">
      <w:pPr>
        <w:spacing w:before="120"/>
      </w:pPr>
      <w:r>
        <w:separator/>
      </w:r>
    </w:p>
  </w:footnote>
  <w:footnote w:type="continuationSeparator" w:id="0">
    <w:p w:rsidR="00EE3F81" w:rsidRDefault="00EE3F81" w:rsidP="00F45372">
      <w:r>
        <w:separator/>
      </w:r>
    </w:p>
  </w:footnote>
  <w:footnote w:type="continuationNotice" w:id="1">
    <w:p w:rsidR="00EE3F81" w:rsidRPr="00721353" w:rsidRDefault="00EE3F81" w:rsidP="0072135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254" w:rsidRDefault="00AA5254">
    <w:pPr>
      <w:jc w:val="center"/>
    </w:pPr>
    <w:r>
      <w:t>C/47/13</w:t>
    </w:r>
  </w:p>
  <w:p w:rsidR="00AA5254" w:rsidRDefault="00AA5254">
    <w:pPr>
      <w:jc w:val="center"/>
    </w:pPr>
    <w:r>
      <w:t xml:space="preserve">página </w:t>
    </w:r>
    <w:r w:rsidR="00012493">
      <w:fldChar w:fldCharType="begin"/>
    </w:r>
    <w:r w:rsidR="00012493">
      <w:instrText xml:space="preserve"> PAGE  \* MERGEFORMAT </w:instrText>
    </w:r>
    <w:r w:rsidR="00012493">
      <w:fldChar w:fldCharType="separate"/>
    </w:r>
    <w:r w:rsidR="00F14F93">
      <w:rPr>
        <w:noProof/>
      </w:rPr>
      <w:t>2</w:t>
    </w:r>
    <w:r w:rsidR="00012493">
      <w:rPr>
        <w:noProof/>
      </w:rPr>
      <w:fldChar w:fldCharType="end"/>
    </w:r>
  </w:p>
  <w:p w:rsidR="00AA5254" w:rsidRDefault="00AA5254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254" w:rsidRPr="008D3729" w:rsidRDefault="00AA5254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C/47/</w:t>
    </w:r>
  </w:p>
  <w:p w:rsidR="00AA5254" w:rsidRPr="008D3729" w:rsidRDefault="00AA5254" w:rsidP="00EB048E">
    <w:pPr>
      <w:pStyle w:val="Header"/>
      <w:rPr>
        <w:lang w:val="es-ES_tradnl"/>
      </w:rPr>
    </w:pPr>
    <w:r w:rsidRPr="008D3729">
      <w:rPr>
        <w:lang w:val="es-ES_tradnl"/>
      </w:rPr>
      <w:t xml:space="preserve">página </w:t>
    </w:r>
    <w:r w:rsidR="008C7915"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="008C7915" w:rsidRPr="008D3729">
      <w:rPr>
        <w:rStyle w:val="PageNumber"/>
        <w:lang w:val="es-ES_tradnl"/>
      </w:rPr>
      <w:fldChar w:fldCharType="separate"/>
    </w:r>
    <w:r w:rsidR="00F14F93">
      <w:rPr>
        <w:rStyle w:val="PageNumber"/>
        <w:noProof/>
        <w:lang w:val="es-ES_tradnl"/>
      </w:rPr>
      <w:t>5</w:t>
    </w:r>
    <w:r w:rsidR="008C7915" w:rsidRPr="008D3729">
      <w:rPr>
        <w:rStyle w:val="PageNumber"/>
        <w:lang w:val="es-ES_tradnl"/>
      </w:rPr>
      <w:fldChar w:fldCharType="end"/>
    </w:r>
  </w:p>
  <w:p w:rsidR="00AA5254" w:rsidRPr="008D3729" w:rsidRDefault="00AA5254" w:rsidP="00F45372">
    <w:pPr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75"/>
    <w:rsid w:val="0000571E"/>
    <w:rsid w:val="00005EAE"/>
    <w:rsid w:val="00010CF3"/>
    <w:rsid w:val="00011E27"/>
    <w:rsid w:val="00012493"/>
    <w:rsid w:val="0001299A"/>
    <w:rsid w:val="000148BC"/>
    <w:rsid w:val="00024AB8"/>
    <w:rsid w:val="00030854"/>
    <w:rsid w:val="00034301"/>
    <w:rsid w:val="00036028"/>
    <w:rsid w:val="00044642"/>
    <w:rsid w:val="000446B9"/>
    <w:rsid w:val="00047E21"/>
    <w:rsid w:val="000637D0"/>
    <w:rsid w:val="00085505"/>
    <w:rsid w:val="000A02B5"/>
    <w:rsid w:val="000C244A"/>
    <w:rsid w:val="000C7021"/>
    <w:rsid w:val="000D0B2E"/>
    <w:rsid w:val="000D6BBC"/>
    <w:rsid w:val="000D7780"/>
    <w:rsid w:val="000E7472"/>
    <w:rsid w:val="00105929"/>
    <w:rsid w:val="001131D5"/>
    <w:rsid w:val="00141DB8"/>
    <w:rsid w:val="00142198"/>
    <w:rsid w:val="001730DB"/>
    <w:rsid w:val="0017474A"/>
    <w:rsid w:val="001758C6"/>
    <w:rsid w:val="001B454E"/>
    <w:rsid w:val="001B5FA6"/>
    <w:rsid w:val="001B7EE9"/>
    <w:rsid w:val="001C14F6"/>
    <w:rsid w:val="001C5971"/>
    <w:rsid w:val="001D4395"/>
    <w:rsid w:val="001F30A9"/>
    <w:rsid w:val="001F7DBD"/>
    <w:rsid w:val="0021332C"/>
    <w:rsid w:val="00213982"/>
    <w:rsid w:val="00235267"/>
    <w:rsid w:val="0024416D"/>
    <w:rsid w:val="00260C62"/>
    <w:rsid w:val="00264A36"/>
    <w:rsid w:val="00266E18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56569"/>
    <w:rsid w:val="00361821"/>
    <w:rsid w:val="00370631"/>
    <w:rsid w:val="00373109"/>
    <w:rsid w:val="003A7850"/>
    <w:rsid w:val="003B66C3"/>
    <w:rsid w:val="003D227C"/>
    <w:rsid w:val="003D2B4D"/>
    <w:rsid w:val="003D7E71"/>
    <w:rsid w:val="003E65EC"/>
    <w:rsid w:val="00400E97"/>
    <w:rsid w:val="0041462F"/>
    <w:rsid w:val="00421FB9"/>
    <w:rsid w:val="00444A88"/>
    <w:rsid w:val="00450DD1"/>
    <w:rsid w:val="00474DA4"/>
    <w:rsid w:val="00485D2B"/>
    <w:rsid w:val="004B50EF"/>
    <w:rsid w:val="004C14B0"/>
    <w:rsid w:val="004D047D"/>
    <w:rsid w:val="004E1EA9"/>
    <w:rsid w:val="004F305A"/>
    <w:rsid w:val="00500CCC"/>
    <w:rsid w:val="00512164"/>
    <w:rsid w:val="00520297"/>
    <w:rsid w:val="00531543"/>
    <w:rsid w:val="005338F9"/>
    <w:rsid w:val="0054281C"/>
    <w:rsid w:val="00546BA7"/>
    <w:rsid w:val="0055268D"/>
    <w:rsid w:val="005618B2"/>
    <w:rsid w:val="00576BE4"/>
    <w:rsid w:val="00576BF0"/>
    <w:rsid w:val="005902F7"/>
    <w:rsid w:val="00597588"/>
    <w:rsid w:val="005A400A"/>
    <w:rsid w:val="005A79ED"/>
    <w:rsid w:val="005C5433"/>
    <w:rsid w:val="005F2C3B"/>
    <w:rsid w:val="006003D4"/>
    <w:rsid w:val="00612379"/>
    <w:rsid w:val="0061555F"/>
    <w:rsid w:val="00626F3D"/>
    <w:rsid w:val="00634D85"/>
    <w:rsid w:val="00641200"/>
    <w:rsid w:val="006413FD"/>
    <w:rsid w:val="00687EB4"/>
    <w:rsid w:val="0069747C"/>
    <w:rsid w:val="006A0E0C"/>
    <w:rsid w:val="006A59FA"/>
    <w:rsid w:val="006B17D2"/>
    <w:rsid w:val="006B5FE5"/>
    <w:rsid w:val="006C224E"/>
    <w:rsid w:val="006D55DE"/>
    <w:rsid w:val="006D780A"/>
    <w:rsid w:val="00721353"/>
    <w:rsid w:val="00723334"/>
    <w:rsid w:val="0073187C"/>
    <w:rsid w:val="00732DEC"/>
    <w:rsid w:val="00735BD5"/>
    <w:rsid w:val="00742B86"/>
    <w:rsid w:val="00745D66"/>
    <w:rsid w:val="00751CBD"/>
    <w:rsid w:val="007556F6"/>
    <w:rsid w:val="00760EEF"/>
    <w:rsid w:val="00777EE5"/>
    <w:rsid w:val="00780A41"/>
    <w:rsid w:val="00784836"/>
    <w:rsid w:val="0079023E"/>
    <w:rsid w:val="007A2854"/>
    <w:rsid w:val="007A6DC0"/>
    <w:rsid w:val="007D0B9D"/>
    <w:rsid w:val="007D19B0"/>
    <w:rsid w:val="007F498F"/>
    <w:rsid w:val="0080679D"/>
    <w:rsid w:val="008108B0"/>
    <w:rsid w:val="00811B20"/>
    <w:rsid w:val="0082296E"/>
    <w:rsid w:val="00824099"/>
    <w:rsid w:val="00860DF1"/>
    <w:rsid w:val="00867AC1"/>
    <w:rsid w:val="00891FB5"/>
    <w:rsid w:val="00894B4F"/>
    <w:rsid w:val="008A743F"/>
    <w:rsid w:val="008B3975"/>
    <w:rsid w:val="008B59AC"/>
    <w:rsid w:val="008C0970"/>
    <w:rsid w:val="008C7915"/>
    <w:rsid w:val="008D272D"/>
    <w:rsid w:val="008D2CF7"/>
    <w:rsid w:val="008D3729"/>
    <w:rsid w:val="008E44EC"/>
    <w:rsid w:val="00900C26"/>
    <w:rsid w:val="0090197F"/>
    <w:rsid w:val="00902F03"/>
    <w:rsid w:val="00906DDC"/>
    <w:rsid w:val="00934E09"/>
    <w:rsid w:val="00936253"/>
    <w:rsid w:val="00952DD4"/>
    <w:rsid w:val="00970FED"/>
    <w:rsid w:val="009745D0"/>
    <w:rsid w:val="00980504"/>
    <w:rsid w:val="00990F28"/>
    <w:rsid w:val="00997029"/>
    <w:rsid w:val="009A0B45"/>
    <w:rsid w:val="009D690D"/>
    <w:rsid w:val="009E65B6"/>
    <w:rsid w:val="00A07169"/>
    <w:rsid w:val="00A364EC"/>
    <w:rsid w:val="00A42AC3"/>
    <w:rsid w:val="00A430CF"/>
    <w:rsid w:val="00A47CDB"/>
    <w:rsid w:val="00A54309"/>
    <w:rsid w:val="00A54F5B"/>
    <w:rsid w:val="00A929D4"/>
    <w:rsid w:val="00AA5254"/>
    <w:rsid w:val="00AB2B93"/>
    <w:rsid w:val="00AB7E5B"/>
    <w:rsid w:val="00AC5325"/>
    <w:rsid w:val="00AE0EF1"/>
    <w:rsid w:val="00AF60C9"/>
    <w:rsid w:val="00B07301"/>
    <w:rsid w:val="00B108A6"/>
    <w:rsid w:val="00B224DE"/>
    <w:rsid w:val="00B42264"/>
    <w:rsid w:val="00B45C95"/>
    <w:rsid w:val="00B72907"/>
    <w:rsid w:val="00B802D0"/>
    <w:rsid w:val="00B84BBD"/>
    <w:rsid w:val="00BA43FB"/>
    <w:rsid w:val="00BC127D"/>
    <w:rsid w:val="00BC1FE6"/>
    <w:rsid w:val="00BD77A1"/>
    <w:rsid w:val="00BE15E7"/>
    <w:rsid w:val="00BE6890"/>
    <w:rsid w:val="00C061B6"/>
    <w:rsid w:val="00C13808"/>
    <w:rsid w:val="00C203B3"/>
    <w:rsid w:val="00C2446C"/>
    <w:rsid w:val="00C36AE5"/>
    <w:rsid w:val="00C417C5"/>
    <w:rsid w:val="00C41F17"/>
    <w:rsid w:val="00C5791C"/>
    <w:rsid w:val="00C63B20"/>
    <w:rsid w:val="00C64D0A"/>
    <w:rsid w:val="00C65CA1"/>
    <w:rsid w:val="00C66290"/>
    <w:rsid w:val="00C72B7A"/>
    <w:rsid w:val="00C733C4"/>
    <w:rsid w:val="00C92624"/>
    <w:rsid w:val="00C973F2"/>
    <w:rsid w:val="00CA774A"/>
    <w:rsid w:val="00CB2F27"/>
    <w:rsid w:val="00CB3D76"/>
    <w:rsid w:val="00CC11B0"/>
    <w:rsid w:val="00CE1CAE"/>
    <w:rsid w:val="00CE27A9"/>
    <w:rsid w:val="00CF7E36"/>
    <w:rsid w:val="00D261C5"/>
    <w:rsid w:val="00D34C08"/>
    <w:rsid w:val="00D3708D"/>
    <w:rsid w:val="00D40426"/>
    <w:rsid w:val="00D57C96"/>
    <w:rsid w:val="00D70A9A"/>
    <w:rsid w:val="00D74296"/>
    <w:rsid w:val="00D82EF0"/>
    <w:rsid w:val="00D91203"/>
    <w:rsid w:val="00D95174"/>
    <w:rsid w:val="00DA4685"/>
    <w:rsid w:val="00DA6F36"/>
    <w:rsid w:val="00DA6FDE"/>
    <w:rsid w:val="00DB596E"/>
    <w:rsid w:val="00DC00EA"/>
    <w:rsid w:val="00E003B9"/>
    <w:rsid w:val="00E01DF7"/>
    <w:rsid w:val="00E72D49"/>
    <w:rsid w:val="00E7593C"/>
    <w:rsid w:val="00E7678A"/>
    <w:rsid w:val="00E80F31"/>
    <w:rsid w:val="00E84B79"/>
    <w:rsid w:val="00E935F1"/>
    <w:rsid w:val="00E94A81"/>
    <w:rsid w:val="00EA1FFB"/>
    <w:rsid w:val="00EA5245"/>
    <w:rsid w:val="00EA6841"/>
    <w:rsid w:val="00EB048E"/>
    <w:rsid w:val="00EE34DF"/>
    <w:rsid w:val="00EE3F81"/>
    <w:rsid w:val="00EF2F89"/>
    <w:rsid w:val="00F00A88"/>
    <w:rsid w:val="00F1237A"/>
    <w:rsid w:val="00F14F93"/>
    <w:rsid w:val="00F22CBD"/>
    <w:rsid w:val="00F45372"/>
    <w:rsid w:val="00F521CB"/>
    <w:rsid w:val="00F560F7"/>
    <w:rsid w:val="00F6334D"/>
    <w:rsid w:val="00F636BB"/>
    <w:rsid w:val="00F73179"/>
    <w:rsid w:val="00FA49AB"/>
    <w:rsid w:val="00FE39C7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FE4464"/>
    <w:rPr>
      <w:rFonts w:ascii="Arial" w:hAnsi="Arial"/>
      <w:i/>
    </w:rPr>
  </w:style>
  <w:style w:type="character" w:styleId="FollowedHyperlink">
    <w:name w:val="FollowedHyperlink"/>
    <w:basedOn w:val="DefaultParagraphFont"/>
    <w:rsid w:val="001730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FE4464"/>
    <w:rPr>
      <w:rFonts w:ascii="Arial" w:hAnsi="Arial"/>
      <w:i/>
    </w:rPr>
  </w:style>
  <w:style w:type="character" w:styleId="FollowedHyperlink">
    <w:name w:val="FollowedHyperlink"/>
    <w:basedOn w:val="DefaultParagraphFont"/>
    <w:rsid w:val="001730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upov.int/information_documents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1855</Words>
  <Characters>10597</Characters>
  <Application>Microsoft Office Word</Application>
  <DocSecurity>0</DocSecurity>
  <Lines>252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UPOV</Company>
  <LinksUpToDate>false</LinksUpToDate>
  <CharactersWithSpaces>12337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 LLORET Amparo</dc:creator>
  <dc:description>DG/vz_x000d_
29.09.13</dc:description>
  <cp:lastModifiedBy>BESSE Ariane</cp:lastModifiedBy>
  <cp:revision>14</cp:revision>
  <cp:lastPrinted>2013-10-03T15:36:00Z</cp:lastPrinted>
  <dcterms:created xsi:type="dcterms:W3CDTF">2013-10-02T15:36:00Z</dcterms:created>
  <dcterms:modified xsi:type="dcterms:W3CDTF">2013-10-03T15:37:00Z</dcterms:modified>
</cp:coreProperties>
</file>