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6798D50" w14:textId="77777777" w:rsidTr="00EB4E9C">
        <w:tc>
          <w:tcPr>
            <w:tcW w:w="6522" w:type="dxa"/>
          </w:tcPr>
          <w:p w14:paraId="4A35B639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8912ACB" wp14:editId="2423A9E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9C912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5A543F3" w14:textId="77777777" w:rsidTr="00645CA8">
        <w:trPr>
          <w:trHeight w:val="219"/>
        </w:trPr>
        <w:tc>
          <w:tcPr>
            <w:tcW w:w="6522" w:type="dxa"/>
          </w:tcPr>
          <w:p w14:paraId="102F117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8BE3FDF" w14:textId="77777777" w:rsidR="00DC3802" w:rsidRPr="00DA4973" w:rsidRDefault="00DC3802" w:rsidP="00DA4973"/>
        </w:tc>
      </w:tr>
    </w:tbl>
    <w:p w14:paraId="202C9786" w14:textId="77777777" w:rsidR="00DC3802" w:rsidRDefault="00DC3802" w:rsidP="00DC3802"/>
    <w:p w14:paraId="69BDA5C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C3742D1" w14:textId="77777777" w:rsidTr="00EB4E9C">
        <w:tc>
          <w:tcPr>
            <w:tcW w:w="6512" w:type="dxa"/>
          </w:tcPr>
          <w:p w14:paraId="2B8DA2AE" w14:textId="77777777" w:rsidR="00EB4E9C" w:rsidRPr="00AC2883" w:rsidRDefault="00BD7555" w:rsidP="00AC2883">
            <w:pPr>
              <w:pStyle w:val="Sessiontc"/>
              <w:spacing w:line="240" w:lineRule="auto"/>
            </w:pPr>
            <w:r w:rsidRPr="00BD7555">
              <w:t xml:space="preserve">Working </w:t>
            </w:r>
            <w:r w:rsidR="00C27B66" w:rsidRPr="00BD7555">
              <w:t xml:space="preserve">Group </w:t>
            </w:r>
            <w:r w:rsidRPr="00BD7555">
              <w:t xml:space="preserve">on </w:t>
            </w:r>
            <w:r w:rsidR="00C27B66" w:rsidRPr="00BD7555">
              <w:t>Guidance Concerning Smallholder Farmers</w:t>
            </w:r>
            <w:r w:rsidR="00C27B66">
              <w:t xml:space="preserve"> </w:t>
            </w:r>
            <w:r>
              <w:t xml:space="preserve">in </w:t>
            </w:r>
            <w:r w:rsidR="00C27B66">
              <w:t xml:space="preserve">Relation </w:t>
            </w:r>
            <w:r>
              <w:t xml:space="preserve">to </w:t>
            </w:r>
            <w:r w:rsidR="00C27B66">
              <w:t xml:space="preserve">Private </w:t>
            </w:r>
            <w:r>
              <w:t xml:space="preserve">and </w:t>
            </w:r>
            <w:r w:rsidR="00C27B66">
              <w:t>Non</w:t>
            </w:r>
            <w:r>
              <w:t>-</w:t>
            </w:r>
            <w:r w:rsidR="00C27B66" w:rsidRPr="00BD7555">
              <w:t>Commercial Use</w:t>
            </w:r>
          </w:p>
          <w:p w14:paraId="73A6A973" w14:textId="77777777" w:rsidR="00E850FD" w:rsidRDefault="00C27B66" w:rsidP="00E850FD">
            <w:pPr>
              <w:pStyle w:val="Sessiontcplacedate"/>
            </w:pPr>
            <w:r>
              <w:t>Six</w:t>
            </w:r>
            <w:r w:rsidR="003D043B">
              <w:t>th</w:t>
            </w:r>
            <w:r w:rsidR="00E850FD">
              <w:t xml:space="preserve"> Meeting</w:t>
            </w:r>
          </w:p>
          <w:p w14:paraId="5BBFA27A" w14:textId="77777777" w:rsidR="00EB4E9C" w:rsidRPr="00DC3802" w:rsidRDefault="00E850FD" w:rsidP="00E47C42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C27B66">
              <w:t>October 23</w:t>
            </w:r>
            <w:r w:rsidR="003D043B">
              <w:t>, 2024</w:t>
            </w:r>
          </w:p>
        </w:tc>
        <w:tc>
          <w:tcPr>
            <w:tcW w:w="3127" w:type="dxa"/>
          </w:tcPr>
          <w:p w14:paraId="61C90C58" w14:textId="590545F4" w:rsidR="00EB4E9C" w:rsidRDefault="00A655E8" w:rsidP="003C7FBE">
            <w:pPr>
              <w:pStyle w:val="Doccode"/>
            </w:pPr>
            <w:r>
              <w:t>WG-</w:t>
            </w:r>
            <w:r w:rsidR="00C27B66">
              <w:t>SHF/6</w:t>
            </w:r>
            <w:r w:rsidR="003D043B">
              <w:t>/</w:t>
            </w:r>
            <w:r w:rsidR="00C86B51">
              <w:t>2</w:t>
            </w:r>
          </w:p>
          <w:p w14:paraId="78EB66A1" w14:textId="77777777" w:rsidR="00A655E8" w:rsidRPr="003C7FBE" w:rsidRDefault="00A655E8" w:rsidP="003C7FBE">
            <w:pPr>
              <w:pStyle w:val="Doccode"/>
            </w:pPr>
          </w:p>
          <w:p w14:paraId="79CD2672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E48DC46" w14:textId="14A808C5" w:rsidR="00EB4E9C" w:rsidRPr="007C1D92" w:rsidRDefault="00EB4E9C" w:rsidP="00E47C4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B19A0" w:rsidRPr="00D93B1D">
              <w:rPr>
                <w:b w:val="0"/>
                <w:spacing w:val="0"/>
              </w:rPr>
              <w:t xml:space="preserve">August </w:t>
            </w:r>
            <w:r w:rsidR="009D178C" w:rsidRPr="00D93B1D">
              <w:rPr>
                <w:b w:val="0"/>
                <w:spacing w:val="0"/>
              </w:rPr>
              <w:t>1</w:t>
            </w:r>
            <w:r w:rsidR="00DE5DC6">
              <w:rPr>
                <w:b w:val="0"/>
                <w:spacing w:val="0"/>
              </w:rPr>
              <w:t>4</w:t>
            </w:r>
            <w:r w:rsidR="00045CF7" w:rsidRPr="00D93B1D">
              <w:rPr>
                <w:b w:val="0"/>
                <w:spacing w:val="0"/>
              </w:rPr>
              <w:t>, 2024</w:t>
            </w:r>
          </w:p>
        </w:tc>
      </w:tr>
    </w:tbl>
    <w:p w14:paraId="4F0B4083" w14:textId="72F78B86" w:rsidR="000D7780" w:rsidRPr="00ED3885" w:rsidRDefault="00ED3885" w:rsidP="006A644A">
      <w:pPr>
        <w:pStyle w:val="Titleofdoc0"/>
        <w:rPr>
          <w:i/>
          <w:iCs/>
        </w:rPr>
      </w:pPr>
      <w:r w:rsidRPr="00ED3885">
        <w:t>Compilation of responses to the questions concerning the exception “</w:t>
      </w:r>
      <w:r w:rsidRPr="00ED3885">
        <w:rPr>
          <w:i/>
          <w:iCs/>
        </w:rPr>
        <w:t>acts done privately and for non commercial purposes”</w:t>
      </w:r>
    </w:p>
    <w:p w14:paraId="7DB6D3B4" w14:textId="77777777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14:paraId="69E492BB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36468B88" w14:textId="77777777" w:rsidR="00045CF7" w:rsidRDefault="00045CF7" w:rsidP="00045CF7">
      <w:pPr>
        <w:pStyle w:val="Heading1"/>
      </w:pPr>
      <w:r>
        <w:t>EXECUTIVE SUMMARY</w:t>
      </w:r>
    </w:p>
    <w:p w14:paraId="4B63AB2F" w14:textId="77777777" w:rsidR="00045CF7" w:rsidRDefault="00045CF7" w:rsidP="00045CF7"/>
    <w:p w14:paraId="341D35B3" w14:textId="041DAA04" w:rsidR="009D178C" w:rsidRPr="009D178C" w:rsidRDefault="00045CF7" w:rsidP="009D178C">
      <w:r w:rsidRPr="00851C3F">
        <w:fldChar w:fldCharType="begin"/>
      </w:r>
      <w:r w:rsidRPr="00851C3F">
        <w:instrText xml:space="preserve"> AUTONUM  </w:instrText>
      </w:r>
      <w:r w:rsidRPr="00851C3F">
        <w:fldChar w:fldCharType="end"/>
      </w:r>
      <w:r w:rsidRPr="00851C3F">
        <w:tab/>
        <w:t xml:space="preserve">The purpose of this document is to report on replies to </w:t>
      </w:r>
      <w:r w:rsidR="00851C3F" w:rsidRPr="00851C3F">
        <w:t xml:space="preserve">the questions concerning the exception </w:t>
      </w:r>
      <w:r w:rsidR="00851C3F" w:rsidRPr="00851C3F">
        <w:rPr>
          <w:i/>
          <w:iCs/>
        </w:rPr>
        <w:t>“acts done privately and for non-commercial purposes”</w:t>
      </w:r>
      <w:r w:rsidRPr="00851C3F">
        <w:t xml:space="preserve">, </w:t>
      </w:r>
      <w:r w:rsidR="009105D2">
        <w:t>and invite</w:t>
      </w:r>
      <w:r w:rsidRPr="00851C3F">
        <w:t xml:space="preserve"> the Working Group on Guidance concerning Smallholder Farmers in relation to private and non-commercial use (WG-SHF) </w:t>
      </w:r>
      <w:r w:rsidR="009D178C">
        <w:t xml:space="preserve">to </w:t>
      </w:r>
      <w:r w:rsidR="009D178C" w:rsidRPr="009D178C">
        <w:t xml:space="preserve">consider the responses to the questions in </w:t>
      </w:r>
      <w:r w:rsidR="009105D2">
        <w:t>presented in the A</w:t>
      </w:r>
      <w:r w:rsidR="009D178C" w:rsidRPr="009D178C">
        <w:t>nnex</w:t>
      </w:r>
      <w:r w:rsidR="009105D2">
        <w:t xml:space="preserve"> to this document.</w:t>
      </w:r>
    </w:p>
    <w:p w14:paraId="425A2751" w14:textId="5FA1DFEE" w:rsidR="00045CF7" w:rsidRPr="00045CF7" w:rsidRDefault="00045CF7" w:rsidP="00045CF7">
      <w:pPr>
        <w:rPr>
          <w:highlight w:val="yellow"/>
        </w:rPr>
      </w:pPr>
    </w:p>
    <w:p w14:paraId="17A31E14" w14:textId="77777777" w:rsidR="00045CF7" w:rsidRPr="00851C3F" w:rsidRDefault="00045CF7" w:rsidP="00045CF7">
      <w:r w:rsidRPr="00851C3F">
        <w:fldChar w:fldCharType="begin"/>
      </w:r>
      <w:r w:rsidRPr="00851C3F">
        <w:instrText xml:space="preserve"> AUTONUM  </w:instrText>
      </w:r>
      <w:r w:rsidRPr="00851C3F">
        <w:fldChar w:fldCharType="end"/>
      </w:r>
      <w:r w:rsidRPr="00851C3F">
        <w:tab/>
        <w:t xml:space="preserve">The WG-SHF is invited to:  </w:t>
      </w:r>
    </w:p>
    <w:p w14:paraId="67C59BF6" w14:textId="77777777" w:rsidR="00045CF7" w:rsidRPr="00851C3F" w:rsidRDefault="00045CF7" w:rsidP="00045CF7">
      <w:pPr>
        <w:rPr>
          <w:rFonts w:cs="Arial"/>
          <w:highlight w:val="yellow"/>
        </w:rPr>
      </w:pPr>
    </w:p>
    <w:p w14:paraId="22FD1D23" w14:textId="77777777" w:rsidR="00045CF7" w:rsidRPr="00851C3F" w:rsidRDefault="00045CF7" w:rsidP="00045CF7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51C3F">
        <w:rPr>
          <w:rFonts w:ascii="Arial" w:hAnsi="Arial" w:cs="Arial"/>
          <w:sz w:val="20"/>
          <w:szCs w:val="20"/>
        </w:rPr>
        <w:t xml:space="preserve">note the information provided in this document; </w:t>
      </w:r>
    </w:p>
    <w:p w14:paraId="6353895A" w14:textId="77777777" w:rsidR="00045CF7" w:rsidRPr="00851C3F" w:rsidRDefault="00045CF7" w:rsidP="00045CF7">
      <w:pPr>
        <w:pStyle w:val="DecisionParagraphs"/>
        <w:ind w:left="1080"/>
        <w:rPr>
          <w:rFonts w:cs="Arial"/>
          <w:highlight w:val="yellow"/>
        </w:rPr>
      </w:pPr>
    </w:p>
    <w:p w14:paraId="16C92008" w14:textId="698BCBA0" w:rsidR="00045CF7" w:rsidRPr="00851C3F" w:rsidRDefault="00045CF7" w:rsidP="00045CF7">
      <w:pPr>
        <w:pStyle w:val="DecisionParagraphs"/>
        <w:numPr>
          <w:ilvl w:val="0"/>
          <w:numId w:val="2"/>
        </w:numPr>
        <w:ind w:left="1134" w:hanging="567"/>
        <w:rPr>
          <w:rFonts w:cs="Arial"/>
          <w:i w:val="0"/>
          <w:iCs/>
        </w:rPr>
      </w:pPr>
      <w:r w:rsidRPr="00851C3F">
        <w:rPr>
          <w:rFonts w:cs="Arial"/>
          <w:i w:val="0"/>
          <w:iCs/>
        </w:rPr>
        <w:t xml:space="preserve">consider the </w:t>
      </w:r>
      <w:r w:rsidR="00851C3F" w:rsidRPr="00851C3F">
        <w:rPr>
          <w:rFonts w:cs="Arial"/>
          <w:i w:val="0"/>
          <w:iCs/>
        </w:rPr>
        <w:t>responses to the questions</w:t>
      </w:r>
      <w:r w:rsidRPr="00851C3F">
        <w:rPr>
          <w:rFonts w:cs="Arial"/>
          <w:i w:val="0"/>
          <w:iCs/>
        </w:rPr>
        <w:t>, as set out in the Annex</w:t>
      </w:r>
      <w:r w:rsidR="00843467">
        <w:rPr>
          <w:rFonts w:cs="Arial"/>
          <w:i w:val="0"/>
          <w:iCs/>
        </w:rPr>
        <w:t>.</w:t>
      </w:r>
    </w:p>
    <w:p w14:paraId="496B9971" w14:textId="77777777" w:rsidR="00045CF7" w:rsidRPr="00851C3F" w:rsidRDefault="00045CF7" w:rsidP="00045CF7">
      <w:pPr>
        <w:rPr>
          <w:rFonts w:cs="Arial"/>
        </w:rPr>
      </w:pPr>
    </w:p>
    <w:p w14:paraId="3FEA62AF" w14:textId="77777777" w:rsidR="00045CF7" w:rsidRPr="00851C3F" w:rsidRDefault="00045CF7" w:rsidP="00045CF7">
      <w:pPr>
        <w:jc w:val="left"/>
        <w:rPr>
          <w:rFonts w:cs="Arial"/>
        </w:rPr>
      </w:pPr>
    </w:p>
    <w:p w14:paraId="1DD8BD3A" w14:textId="77777777" w:rsidR="00045CF7" w:rsidRDefault="00045CF7" w:rsidP="00045CF7">
      <w:pPr>
        <w:pStyle w:val="Heading1"/>
      </w:pPr>
      <w:bookmarkStart w:id="0" w:name="_Toc146893261"/>
      <w:r w:rsidRPr="001F2FE9">
        <w:t>BACKGROUND</w:t>
      </w:r>
      <w:bookmarkEnd w:id="0"/>
    </w:p>
    <w:p w14:paraId="67A16165" w14:textId="77777777" w:rsidR="00BB19A0" w:rsidRPr="00BB19A0" w:rsidRDefault="00BB19A0" w:rsidP="00BB19A0"/>
    <w:p w14:paraId="32798BF9" w14:textId="77777777" w:rsidR="00351C5A" w:rsidRPr="009E3A69" w:rsidRDefault="00BB19A0" w:rsidP="00351C5A">
      <w:r w:rsidRPr="00851C3F">
        <w:fldChar w:fldCharType="begin"/>
      </w:r>
      <w:r w:rsidRPr="00851C3F">
        <w:instrText xml:space="preserve"> AUTONUM  </w:instrText>
      </w:r>
      <w:r w:rsidRPr="00851C3F">
        <w:fldChar w:fldCharType="end"/>
      </w:r>
      <w:r w:rsidRPr="00851C3F">
        <w:tab/>
      </w:r>
      <w:r w:rsidRPr="00851C3F">
        <w:rPr>
          <w:rFonts w:cs="Arial"/>
        </w:rPr>
        <w:t>The WG-SHF</w:t>
      </w:r>
      <w:r>
        <w:rPr>
          <w:rFonts w:cs="Arial"/>
        </w:rPr>
        <w:t>, at its fourth meeting, held in Geneva on October 25, 2023,</w:t>
      </w:r>
      <w:r w:rsidRPr="00851C3F">
        <w:rPr>
          <w:rFonts w:cs="Arial"/>
        </w:rPr>
        <w:t xml:space="preserve"> agreed that gathering information would be useful to provide the basis for developing guidance concerning smallholder farmers in relation to private and non</w:t>
      </w:r>
      <w:r w:rsidRPr="00851C3F">
        <w:rPr>
          <w:rFonts w:cs="Arial"/>
        </w:rPr>
        <w:noBreakHyphen/>
        <w:t>commercial use</w:t>
      </w:r>
      <w:r>
        <w:rPr>
          <w:rFonts w:cs="Arial"/>
        </w:rPr>
        <w:t xml:space="preserve"> and agreed that the Office of the Union should issue a circular</w:t>
      </w:r>
      <w:r w:rsidR="00351C5A">
        <w:rPr>
          <w:rFonts w:cs="Arial"/>
        </w:rPr>
        <w:t xml:space="preserve"> </w:t>
      </w:r>
      <w:r w:rsidR="00351C5A" w:rsidRPr="00851C3F">
        <w:t>with a request to identify questions and to whom they should be addressed</w:t>
      </w:r>
      <w:r w:rsidR="00351C5A">
        <w:t xml:space="preserve"> </w:t>
      </w:r>
      <w:r w:rsidR="00351C5A" w:rsidRPr="00851C3F">
        <w:t xml:space="preserve">in order to collect information for the WG-SHF to continue its work.  </w:t>
      </w:r>
      <w:r w:rsidR="00351C5A">
        <w:t xml:space="preserve"> </w:t>
      </w:r>
    </w:p>
    <w:p w14:paraId="7BD33032" w14:textId="77777777" w:rsidR="00BB19A0" w:rsidRPr="00851C3F" w:rsidRDefault="00BB19A0" w:rsidP="00BB19A0">
      <w:pPr>
        <w:rPr>
          <w:rFonts w:cs="Arial"/>
        </w:rPr>
      </w:pPr>
    </w:p>
    <w:p w14:paraId="2AD9AF63" w14:textId="2FC01FF1" w:rsidR="00BB19A0" w:rsidRPr="009E3A69" w:rsidRDefault="00BB19A0" w:rsidP="00BB19A0">
      <w:r w:rsidRPr="00851C3F">
        <w:fldChar w:fldCharType="begin"/>
      </w:r>
      <w:r w:rsidRPr="00851C3F">
        <w:instrText xml:space="preserve"> AUTONUM  </w:instrText>
      </w:r>
      <w:r w:rsidRPr="00851C3F">
        <w:fldChar w:fldCharType="end"/>
      </w:r>
      <w:r w:rsidRPr="00851C3F">
        <w:tab/>
      </w:r>
      <w:r>
        <w:t xml:space="preserve">The </w:t>
      </w:r>
      <w:r w:rsidRPr="00851C3F">
        <w:t>Office of the Union</w:t>
      </w:r>
      <w:r>
        <w:t xml:space="preserve"> </w:t>
      </w:r>
      <w:r w:rsidRPr="00851C3F">
        <w:t>issue</w:t>
      </w:r>
      <w:r>
        <w:t>d</w:t>
      </w:r>
      <w:r w:rsidRPr="00851C3F">
        <w:t xml:space="preserve"> circular</w:t>
      </w:r>
      <w:r>
        <w:t xml:space="preserve"> </w:t>
      </w:r>
      <w:r w:rsidRPr="00851C3F">
        <w:t>E-24/005</w:t>
      </w:r>
      <w:r>
        <w:t xml:space="preserve"> on January 19, 2024,</w:t>
      </w:r>
      <w:r w:rsidRPr="00851C3F">
        <w:t xml:space="preserve"> to the members of the WG-SHF with a request to identify questions and to whom they should be addressed, </w:t>
      </w:r>
    </w:p>
    <w:p w14:paraId="1EE011E5" w14:textId="77777777" w:rsidR="00045CF7" w:rsidRDefault="00045CF7" w:rsidP="00045CF7">
      <w:pPr>
        <w:keepNext/>
      </w:pPr>
    </w:p>
    <w:p w14:paraId="12A37D66" w14:textId="5DB45F09" w:rsidR="00045CF7" w:rsidRPr="00BB19A0" w:rsidRDefault="00045CF7" w:rsidP="00045CF7">
      <w:pPr>
        <w:rPr>
          <w:rFonts w:cs="Arial"/>
          <w:color w:val="000000"/>
        </w:rPr>
      </w:pPr>
      <w:r w:rsidRPr="00851C3F">
        <w:fldChar w:fldCharType="begin"/>
      </w:r>
      <w:r w:rsidRPr="00851C3F">
        <w:instrText xml:space="preserve"> AUTONUM  </w:instrText>
      </w:r>
      <w:r w:rsidRPr="00851C3F">
        <w:fldChar w:fldCharType="end"/>
      </w:r>
      <w:r w:rsidRPr="00851C3F">
        <w:rPr>
          <w:rFonts w:cs="Arial"/>
          <w:color w:val="000000"/>
        </w:rPr>
        <w:t xml:space="preserve"> </w:t>
      </w:r>
      <w:r w:rsidRPr="00851C3F">
        <w:rPr>
          <w:rFonts w:cs="Arial"/>
          <w:color w:val="000000"/>
        </w:rPr>
        <w:tab/>
        <w:t xml:space="preserve">The WG-SHF, at its </w:t>
      </w:r>
      <w:r w:rsidR="00851C3F" w:rsidRPr="00851C3F">
        <w:rPr>
          <w:rFonts w:cs="Arial"/>
          <w:color w:val="000000"/>
        </w:rPr>
        <w:t>fift</w:t>
      </w:r>
      <w:r w:rsidRPr="00851C3F">
        <w:rPr>
          <w:rFonts w:cs="Arial"/>
          <w:color w:val="000000"/>
        </w:rPr>
        <w:t xml:space="preserve">h meeting, held in Geneva on </w:t>
      </w:r>
      <w:r w:rsidR="00851C3F" w:rsidRPr="00851C3F">
        <w:rPr>
          <w:rFonts w:cs="Arial"/>
          <w:color w:val="000000"/>
        </w:rPr>
        <w:t>March 22, 2024</w:t>
      </w:r>
      <w:r w:rsidRPr="00851C3F">
        <w:rPr>
          <w:rFonts w:cs="Arial"/>
          <w:color w:val="000000"/>
        </w:rPr>
        <w:t xml:space="preserve">, considered document </w:t>
      </w:r>
      <w:r w:rsidRPr="00851C3F">
        <w:rPr>
          <w:rFonts w:cs="Arial"/>
          <w:color w:val="000000"/>
        </w:rPr>
        <w:br/>
        <w:t>WG-SHF/</w:t>
      </w:r>
      <w:r w:rsidR="00851C3F" w:rsidRPr="00851C3F">
        <w:rPr>
          <w:rFonts w:cs="Arial"/>
          <w:color w:val="000000"/>
        </w:rPr>
        <w:t>5</w:t>
      </w:r>
      <w:r w:rsidRPr="00851C3F">
        <w:rPr>
          <w:rFonts w:cs="Arial"/>
          <w:color w:val="000000"/>
        </w:rPr>
        <w:t>/2, “</w:t>
      </w:r>
      <w:r w:rsidR="00851C3F" w:rsidRPr="00851C3F">
        <w:t>Proposals by members of the WG-SHF on questions to collect information for the WG-SHF</w:t>
      </w:r>
      <w:r w:rsidRPr="00851C3F">
        <w:rPr>
          <w:rFonts w:cs="Arial"/>
          <w:color w:val="000000"/>
        </w:rPr>
        <w:t xml:space="preserve">”. </w:t>
      </w:r>
      <w:bookmarkStart w:id="1" w:name="_Hlk152578501"/>
      <w:r w:rsidR="00D66FA7" w:rsidRPr="00851C3F">
        <w:t>Based on the replies to the Circular</w:t>
      </w:r>
      <w:r w:rsidR="00D66FA7">
        <w:t xml:space="preserve"> and the discussion at </w:t>
      </w:r>
      <w:r w:rsidR="00D66FA7" w:rsidRPr="00851C3F">
        <w:rPr>
          <w:rFonts w:cs="Arial"/>
          <w:color w:val="000000"/>
        </w:rPr>
        <w:t>its fifth meeting</w:t>
      </w:r>
      <w:r w:rsidR="00D66FA7">
        <w:t>,</w:t>
      </w:r>
      <w:r w:rsidR="00D66FA7" w:rsidRPr="00851C3F">
        <w:t xml:space="preserve"> the </w:t>
      </w:r>
      <w:r w:rsidR="00D66FA7" w:rsidRPr="009E3A69">
        <w:t>Office of the Union prepared a questionnaire.</w:t>
      </w:r>
    </w:p>
    <w:bookmarkEnd w:id="1"/>
    <w:p w14:paraId="49F9B17B" w14:textId="77777777" w:rsidR="00843467" w:rsidRPr="009E3A69" w:rsidRDefault="00843467" w:rsidP="00045CF7"/>
    <w:p w14:paraId="36DE623A" w14:textId="1E0F8FCB" w:rsidR="00843467" w:rsidRPr="009E3A69" w:rsidRDefault="00843467" w:rsidP="00843467">
      <w:pPr>
        <w:keepNext/>
        <w:rPr>
          <w:rFonts w:cs="Arial"/>
        </w:rPr>
      </w:pPr>
      <w:r w:rsidRPr="009E3A69">
        <w:rPr>
          <w:rFonts w:cs="Arial"/>
          <w:spacing w:val="-2"/>
        </w:rPr>
        <w:fldChar w:fldCharType="begin"/>
      </w:r>
      <w:r w:rsidRPr="009E3A69">
        <w:rPr>
          <w:rFonts w:cs="Arial"/>
          <w:spacing w:val="-2"/>
        </w:rPr>
        <w:instrText xml:space="preserve"> AUTONUM  </w:instrText>
      </w:r>
      <w:r w:rsidRPr="009E3A69">
        <w:rPr>
          <w:rFonts w:cs="Arial"/>
          <w:spacing w:val="-2"/>
        </w:rPr>
        <w:fldChar w:fldCharType="end"/>
      </w:r>
      <w:r w:rsidRPr="009E3A69">
        <w:rPr>
          <w:rFonts w:cs="Arial"/>
          <w:spacing w:val="-2"/>
        </w:rPr>
        <w:tab/>
      </w:r>
      <w:r w:rsidRPr="009E3A69">
        <w:rPr>
          <w:rFonts w:cs="Arial"/>
        </w:rPr>
        <w:t xml:space="preserve">The WG-SHF agreed that the following questions should be sent to all UPOV members (see paragraph </w:t>
      </w:r>
      <w:r w:rsidR="009105D2">
        <w:rPr>
          <w:rFonts w:cs="Arial"/>
        </w:rPr>
        <w:t> </w:t>
      </w:r>
      <w:r w:rsidRPr="009E3A69">
        <w:rPr>
          <w:rFonts w:cs="Arial"/>
        </w:rPr>
        <w:t xml:space="preserve">32 “Report”, document WG-SHF/5/3): </w:t>
      </w:r>
    </w:p>
    <w:p w14:paraId="0C6B2C41" w14:textId="77777777" w:rsidR="00843467" w:rsidRDefault="00843467" w:rsidP="00843467">
      <w:pPr>
        <w:rPr>
          <w:lang w:val="en-GB"/>
        </w:rPr>
      </w:pPr>
    </w:p>
    <w:p w14:paraId="068D83A5" w14:textId="77777777" w:rsidR="00843467" w:rsidRPr="008D28B7" w:rsidRDefault="00843467" w:rsidP="00843467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 xml:space="preserve">Is your country/intergovernmental organization implementing the exception “acts done privately and for non-commercial purposes”? If so, how is it implemented? </w:t>
      </w:r>
    </w:p>
    <w:p w14:paraId="7E001619" w14:textId="77777777" w:rsidR="00843467" w:rsidRPr="008D28B7" w:rsidRDefault="00843467" w:rsidP="00843467">
      <w:pPr>
        <w:ind w:left="1134" w:right="459"/>
        <w:rPr>
          <w:rFonts w:cs="Arial"/>
          <w:i/>
          <w:iCs/>
          <w:sz w:val="18"/>
          <w:szCs w:val="18"/>
        </w:rPr>
      </w:pPr>
    </w:p>
    <w:p w14:paraId="645CB005" w14:textId="77777777" w:rsidR="00843467" w:rsidRPr="008D28B7" w:rsidRDefault="00843467" w:rsidP="00843467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>Concerning this exception, are there definitions for the following term: “acts done privately and for non-commercial purposes”?</w:t>
      </w:r>
    </w:p>
    <w:p w14:paraId="52D9A23B" w14:textId="77777777" w:rsidR="00843467" w:rsidRPr="008D28B7" w:rsidRDefault="00843467" w:rsidP="00843467">
      <w:pPr>
        <w:ind w:left="1134" w:right="459"/>
        <w:rPr>
          <w:rFonts w:cs="Arial"/>
          <w:i/>
          <w:iCs/>
          <w:sz w:val="18"/>
          <w:szCs w:val="18"/>
        </w:rPr>
      </w:pPr>
    </w:p>
    <w:p w14:paraId="0231994A" w14:textId="77777777" w:rsidR="00843467" w:rsidRPr="008D28B7" w:rsidRDefault="00843467" w:rsidP="00843467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 xml:space="preserve">Please specify legislation/regulation and jurisprudence concerning this exception. </w:t>
      </w:r>
    </w:p>
    <w:p w14:paraId="43D255EB" w14:textId="77777777" w:rsidR="00843467" w:rsidRPr="008D28B7" w:rsidRDefault="00843467" w:rsidP="00843467">
      <w:pPr>
        <w:ind w:left="1134" w:right="459"/>
        <w:rPr>
          <w:rFonts w:cs="Arial"/>
          <w:i/>
          <w:iCs/>
          <w:sz w:val="18"/>
          <w:szCs w:val="18"/>
        </w:rPr>
      </w:pPr>
    </w:p>
    <w:p w14:paraId="7736EE63" w14:textId="77777777" w:rsidR="00843467" w:rsidRPr="008D28B7" w:rsidRDefault="00843467" w:rsidP="00843467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>Are there any challenges and/or opportunities in implementing this exception in your jurisdiction? Please explain.</w:t>
      </w:r>
    </w:p>
    <w:p w14:paraId="6931CEFB" w14:textId="77777777" w:rsidR="00843467" w:rsidRDefault="00843467" w:rsidP="00045CF7"/>
    <w:p w14:paraId="15E7075B" w14:textId="4BF56F65" w:rsidR="00843467" w:rsidRPr="00731BCA" w:rsidRDefault="00843467" w:rsidP="00045CF7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On April 22, 2024, the Office of the Union issued </w:t>
      </w:r>
      <w:r w:rsidRPr="00843467">
        <w:t>Circular E-24/047</w:t>
      </w:r>
      <w:r>
        <w:t xml:space="preserve"> </w:t>
      </w:r>
      <w:r w:rsidRPr="00843467">
        <w:t>invit</w:t>
      </w:r>
      <w:r>
        <w:t>ing</w:t>
      </w:r>
      <w:r w:rsidRPr="00843467">
        <w:t xml:space="preserve"> all UPOV members to reply to the </w:t>
      </w:r>
      <w:r>
        <w:t>above-mentioned</w:t>
      </w:r>
      <w:r w:rsidRPr="00843467">
        <w:t xml:space="preserve"> questions.</w:t>
      </w:r>
    </w:p>
    <w:p w14:paraId="43CD8E17" w14:textId="77777777" w:rsidR="00045CF7" w:rsidRDefault="00045CF7" w:rsidP="00045CF7">
      <w:pPr>
        <w:keepLines/>
        <w:rPr>
          <w:rFonts w:cs="Arial"/>
        </w:rPr>
      </w:pPr>
    </w:p>
    <w:p w14:paraId="3284C9A9" w14:textId="2BF27F5F" w:rsidR="00045CF7" w:rsidRPr="00851C3F" w:rsidRDefault="00045CF7" w:rsidP="00045CF7">
      <w:pPr>
        <w:rPr>
          <w:rFonts w:eastAsiaTheme="minorEastAsia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51C3F">
        <w:rPr>
          <w:rFonts w:eastAsiaTheme="minorEastAsia" w:cs="Arial"/>
          <w:spacing w:val="-4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51C3F">
        <w:rPr>
          <w:rFonts w:eastAsiaTheme="minorEastAsia" w:cs="Arial"/>
          <w:spacing w:val="-4"/>
        </w:rPr>
        <w:tab/>
      </w:r>
      <w:r w:rsidR="00843467">
        <w:rPr>
          <w:rFonts w:eastAsiaTheme="minorEastAsia" w:cs="Arial"/>
          <w:spacing w:val="-4"/>
        </w:rPr>
        <w:t xml:space="preserve">In reply to </w:t>
      </w:r>
      <w:r w:rsidR="00843467" w:rsidRPr="00843467">
        <w:t>Circular E-24/047</w:t>
      </w:r>
      <w:r w:rsidR="00843467">
        <w:t xml:space="preserve">, the Office of the Union received 38 responses. </w:t>
      </w:r>
      <w:r w:rsidRPr="00851C3F">
        <w:rPr>
          <w:rFonts w:eastAsiaTheme="minorEastAsia" w:cs="Arial"/>
          <w:spacing w:val="-4"/>
        </w:rPr>
        <w:t xml:space="preserve">The Annex to this document provides for a compilation of the responses to </w:t>
      </w:r>
      <w:r w:rsidR="00851C3F">
        <w:rPr>
          <w:rFonts w:eastAsiaTheme="minorEastAsia" w:cs="Arial"/>
          <w:spacing w:val="-4"/>
        </w:rPr>
        <w:t>the questions</w:t>
      </w:r>
      <w:r w:rsidRPr="00851C3F">
        <w:rPr>
          <w:rFonts w:eastAsiaTheme="minorEastAsia"/>
        </w:rPr>
        <w:t>.</w:t>
      </w:r>
    </w:p>
    <w:p w14:paraId="5045DEA2" w14:textId="77777777" w:rsidR="00045CF7" w:rsidRPr="00045CF7" w:rsidRDefault="00045CF7" w:rsidP="00045CF7">
      <w:pPr>
        <w:rPr>
          <w:highlight w:val="yellow"/>
        </w:rPr>
      </w:pPr>
    </w:p>
    <w:p w14:paraId="237ABE4D" w14:textId="16915445" w:rsidR="00045CF7" w:rsidRDefault="00045CF7" w:rsidP="00045CF7">
      <w:pPr>
        <w:rPr>
          <w:rFonts w:cs="Arial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51C3F">
        <w:rPr>
          <w:rFonts w:eastAsiaTheme="minorEastAsia" w:cs="Arial"/>
          <w:spacing w:val="-4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51C3F">
        <w:t xml:space="preserve"> </w:t>
      </w:r>
      <w:r w:rsidRPr="00851C3F">
        <w:tab/>
      </w:r>
      <w:r w:rsidR="00851C3F">
        <w:rPr>
          <w:rFonts w:cs="Arial"/>
        </w:rPr>
        <w:t>The re</w:t>
      </w:r>
      <w:r w:rsidR="00843467">
        <w:rPr>
          <w:rFonts w:cs="Arial"/>
        </w:rPr>
        <w:t>sponses</w:t>
      </w:r>
      <w:r w:rsidR="00851C3F">
        <w:rPr>
          <w:rFonts w:cs="Arial"/>
        </w:rPr>
        <w:t xml:space="preserve"> to the questions </w:t>
      </w:r>
      <w:r w:rsidR="00843467">
        <w:rPr>
          <w:rFonts w:cs="Arial"/>
        </w:rPr>
        <w:t xml:space="preserve">are </w:t>
      </w:r>
      <w:r w:rsidR="00826A38">
        <w:rPr>
          <w:rFonts w:cs="Arial"/>
        </w:rPr>
        <w:t xml:space="preserve">also </w:t>
      </w:r>
      <w:r w:rsidR="00843467">
        <w:rPr>
          <w:rFonts w:cs="Arial"/>
        </w:rPr>
        <w:t>published on the UPOV Website</w:t>
      </w:r>
      <w:r w:rsidR="00B87016">
        <w:rPr>
          <w:rFonts w:cs="Arial"/>
        </w:rPr>
        <w:t xml:space="preserve">, </w:t>
      </w:r>
      <w:r w:rsidR="00843467">
        <w:rPr>
          <w:rFonts w:cs="Arial"/>
        </w:rPr>
        <w:t xml:space="preserve">available under: </w:t>
      </w:r>
      <w:hyperlink r:id="rId8" w:history="1">
        <w:r w:rsidR="00843467" w:rsidRPr="00B07377">
          <w:rPr>
            <w:rStyle w:val="Hyperlink"/>
            <w:rFonts w:cs="Arial"/>
          </w:rPr>
          <w:t>https://www.upov.int/meetings/en/details.jsp?meeting_id=83694</w:t>
        </w:r>
      </w:hyperlink>
      <w:r w:rsidR="00843467">
        <w:rPr>
          <w:rFonts w:cs="Arial"/>
        </w:rPr>
        <w:t xml:space="preserve">. </w:t>
      </w:r>
    </w:p>
    <w:p w14:paraId="0A44F800" w14:textId="77777777" w:rsidR="00B87016" w:rsidRDefault="00B87016" w:rsidP="00045CF7">
      <w:pPr>
        <w:rPr>
          <w:rFonts w:cs="Arial"/>
        </w:rPr>
      </w:pPr>
    </w:p>
    <w:p w14:paraId="566CE365" w14:textId="28851E69" w:rsidR="00B87016" w:rsidRDefault="00B87016" w:rsidP="00045CF7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9105D2">
        <w:rPr>
          <w:rFonts w:cs="Arial"/>
        </w:rPr>
        <w:t xml:space="preserve"> To assist the WG-SHF in its considerations, </w:t>
      </w:r>
      <w:r w:rsidR="009105D2" w:rsidRPr="009105D2">
        <w:rPr>
          <w:rFonts w:cs="Arial"/>
        </w:rPr>
        <w:t xml:space="preserve">some </w:t>
      </w:r>
      <w:r w:rsidR="009105D2" w:rsidRPr="00D93B1D">
        <w:rPr>
          <w:rFonts w:cs="Arial"/>
        </w:rPr>
        <w:t>general observations on the replies received</w:t>
      </w:r>
      <w:r w:rsidR="009105D2" w:rsidRPr="009105D2">
        <w:rPr>
          <w:rFonts w:cs="Arial"/>
        </w:rPr>
        <w:t xml:space="preserve"> </w:t>
      </w:r>
      <w:r w:rsidR="009105D2" w:rsidRPr="00D93B1D">
        <w:rPr>
          <w:rFonts w:cs="Arial"/>
        </w:rPr>
        <w:t>are presented below</w:t>
      </w:r>
      <w:r w:rsidRPr="009105D2">
        <w:rPr>
          <w:rFonts w:cs="Arial"/>
        </w:rPr>
        <w:t>:</w:t>
      </w:r>
    </w:p>
    <w:p w14:paraId="27EB9CB5" w14:textId="77777777" w:rsidR="00B87016" w:rsidRDefault="00B87016" w:rsidP="00045CF7">
      <w:pPr>
        <w:rPr>
          <w:rFonts w:cs="Arial"/>
        </w:rPr>
      </w:pPr>
    </w:p>
    <w:p w14:paraId="3CFFB546" w14:textId="77777777" w:rsidR="00B87016" w:rsidRDefault="00B87016" w:rsidP="00B87016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 xml:space="preserve">Is your country/intergovernmental organization implementing the exception “acts done privately and for non-commercial purposes”? If so, how is it implemented? </w:t>
      </w:r>
    </w:p>
    <w:p w14:paraId="1BC32440" w14:textId="77777777" w:rsidR="00B87016" w:rsidRDefault="00B87016" w:rsidP="00B87016"/>
    <w:p w14:paraId="23589E97" w14:textId="62AE104B" w:rsidR="00B87016" w:rsidRDefault="00B87016" w:rsidP="00B87016">
      <w:r>
        <w:t xml:space="preserve">The exception </w:t>
      </w:r>
      <w:r w:rsidR="00245A39">
        <w:t xml:space="preserve">appears </w:t>
      </w:r>
      <w:r>
        <w:t xml:space="preserve">to have been implemented in </w:t>
      </w:r>
      <w:r w:rsidR="00A343AC">
        <w:t xml:space="preserve">all </w:t>
      </w:r>
      <w:r w:rsidR="007C4B9E">
        <w:t>of</w:t>
      </w:r>
      <w:r>
        <w:t xml:space="preserve"> the </w:t>
      </w:r>
      <w:r w:rsidR="003D6101">
        <w:t xml:space="preserve">UPOV </w:t>
      </w:r>
      <w:r w:rsidR="00A77A12">
        <w:t>members</w:t>
      </w:r>
      <w:r>
        <w:t xml:space="preserve"> that have </w:t>
      </w:r>
      <w:r w:rsidR="00025A26">
        <w:t>provided responses</w:t>
      </w:r>
      <w:r>
        <w:t>,</w:t>
      </w:r>
      <w:r w:rsidR="00A77A12">
        <w:t xml:space="preserve"> </w:t>
      </w:r>
      <w:r>
        <w:t>bound by the 1991 Act</w:t>
      </w:r>
      <w:r w:rsidR="00A343AC">
        <w:t xml:space="preserve">, as well as a few members that have provided responses, bound by the </w:t>
      </w:r>
      <w:r>
        <w:t>1978 Act.</w:t>
      </w:r>
    </w:p>
    <w:p w14:paraId="38DA05D6" w14:textId="77777777" w:rsidR="00B87016" w:rsidRPr="008D28B7" w:rsidRDefault="00B87016" w:rsidP="00E74A95">
      <w:pPr>
        <w:ind w:right="459"/>
        <w:rPr>
          <w:rFonts w:cs="Arial"/>
          <w:i/>
          <w:iCs/>
          <w:sz w:val="18"/>
          <w:szCs w:val="18"/>
        </w:rPr>
      </w:pPr>
    </w:p>
    <w:p w14:paraId="1F1EC08E" w14:textId="77777777" w:rsidR="00B87016" w:rsidRPr="008D28B7" w:rsidRDefault="00B87016" w:rsidP="00B87016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>Concerning this exception, are there definitions for the following term: “acts done privately and for non-commercial purposes”?</w:t>
      </w:r>
    </w:p>
    <w:p w14:paraId="7A569F42" w14:textId="77777777" w:rsidR="00B87016" w:rsidRDefault="00B87016" w:rsidP="00B87016"/>
    <w:p w14:paraId="40FB24BC" w14:textId="0D806451" w:rsidR="00B87016" w:rsidRDefault="00437302" w:rsidP="00B87016">
      <w:r>
        <w:t>Almost all response</w:t>
      </w:r>
      <w:r w:rsidR="002C40AA">
        <w:t>s</w:t>
      </w:r>
      <w:r>
        <w:t xml:space="preserve"> provide that there is no specific definition other than the text of the law. Some responses </w:t>
      </w:r>
      <w:r w:rsidR="003D6101">
        <w:t xml:space="preserve">nevertheless </w:t>
      </w:r>
      <w:r>
        <w:t>provide</w:t>
      </w:r>
      <w:r w:rsidR="00245A39">
        <w:t>d</w:t>
      </w:r>
      <w:r>
        <w:t xml:space="preserve"> explanations on how the term is to be understood</w:t>
      </w:r>
      <w:r w:rsidR="00245A39">
        <w:t xml:space="preserve"> in their respective jurisdiction</w:t>
      </w:r>
      <w:r>
        <w:t xml:space="preserve">. </w:t>
      </w:r>
    </w:p>
    <w:p w14:paraId="17E428AC" w14:textId="77777777" w:rsidR="00025A26" w:rsidRPr="00B87016" w:rsidRDefault="00025A26" w:rsidP="00B87016"/>
    <w:p w14:paraId="66EF8B11" w14:textId="77777777" w:rsidR="00B87016" w:rsidRPr="008D28B7" w:rsidRDefault="00B87016" w:rsidP="00B87016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 xml:space="preserve">Please specify legislation/regulation and jurisprudence concerning this exception. </w:t>
      </w:r>
    </w:p>
    <w:p w14:paraId="0EB6ED69" w14:textId="77777777" w:rsidR="00B87016" w:rsidRDefault="00B87016" w:rsidP="00B87016"/>
    <w:p w14:paraId="5F5E1FD2" w14:textId="04EC9D0D" w:rsidR="00245A39" w:rsidRDefault="003D6101" w:rsidP="00B87016">
      <w:r>
        <w:t>The responses from UPOV members that have implemented the ex</w:t>
      </w:r>
      <w:r w:rsidR="002C40AA">
        <w:t>c</w:t>
      </w:r>
      <w:r>
        <w:t>eption, refer to the relevant legislation</w:t>
      </w:r>
      <w:r w:rsidR="00245A39">
        <w:t xml:space="preserve"> in which the exception has been encoded</w:t>
      </w:r>
      <w:r>
        <w:t>.</w:t>
      </w:r>
    </w:p>
    <w:p w14:paraId="28E5E507" w14:textId="1A44E050" w:rsidR="003D6101" w:rsidRDefault="003D6101" w:rsidP="00B87016">
      <w:r>
        <w:t xml:space="preserve"> </w:t>
      </w:r>
    </w:p>
    <w:p w14:paraId="7AA8C82C" w14:textId="1C011171" w:rsidR="00D30E2B" w:rsidRDefault="003D6101" w:rsidP="003D6101">
      <w:r>
        <w:t xml:space="preserve">No </w:t>
      </w:r>
      <w:r w:rsidR="00245A39">
        <w:t>response specified jurisprudence concerning the exception</w:t>
      </w:r>
      <w:r w:rsidR="000D34B0">
        <w:t xml:space="preserve">. </w:t>
      </w:r>
    </w:p>
    <w:p w14:paraId="0377FB2E" w14:textId="77777777" w:rsidR="00D30E2B" w:rsidRDefault="00D30E2B" w:rsidP="00B87016"/>
    <w:p w14:paraId="5283715F" w14:textId="7F827AD4" w:rsidR="00025A26" w:rsidRPr="00B87016" w:rsidRDefault="00D30E2B" w:rsidP="00B87016">
      <w:r>
        <w:t xml:space="preserve"> </w:t>
      </w:r>
    </w:p>
    <w:p w14:paraId="1ABE8DA5" w14:textId="77777777" w:rsidR="00B87016" w:rsidRPr="008D28B7" w:rsidRDefault="00B87016" w:rsidP="00B87016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D28B7">
        <w:rPr>
          <w:rFonts w:ascii="Arial" w:hAnsi="Arial" w:cs="Arial"/>
          <w:i/>
          <w:iCs/>
          <w:sz w:val="18"/>
          <w:szCs w:val="18"/>
        </w:rPr>
        <w:t>Are there any challenges and/or opportunities in implementing this exception in your jurisdiction? Please explain.</w:t>
      </w:r>
    </w:p>
    <w:p w14:paraId="059D7C1E" w14:textId="77777777" w:rsidR="00843467" w:rsidRDefault="00843467" w:rsidP="00B87016"/>
    <w:p w14:paraId="44A7ABD3" w14:textId="759BA781" w:rsidR="00B65049" w:rsidRDefault="00025A26" w:rsidP="002031B0">
      <w:r w:rsidRPr="00025A26">
        <w:t>The vast majority of responding countries did not identify any specific challenges</w:t>
      </w:r>
      <w:r w:rsidR="00B65049">
        <w:t xml:space="preserve"> </w:t>
      </w:r>
      <w:r w:rsidR="000D34B0">
        <w:t xml:space="preserve">or opportunities </w:t>
      </w:r>
      <w:r w:rsidR="00B65049">
        <w:t xml:space="preserve">in relation to implementing the exception in </w:t>
      </w:r>
      <w:r w:rsidR="000D34B0">
        <w:t>their</w:t>
      </w:r>
      <w:r w:rsidR="00B65049">
        <w:t xml:space="preserve"> jurisdiction</w:t>
      </w:r>
      <w:r w:rsidR="000D34B0">
        <w:t>s</w:t>
      </w:r>
      <w:r w:rsidR="00B65049">
        <w:t>.</w:t>
      </w:r>
    </w:p>
    <w:p w14:paraId="5B76FD5F" w14:textId="77777777" w:rsidR="00B65049" w:rsidRDefault="00B65049" w:rsidP="002031B0"/>
    <w:p w14:paraId="23DCE6D7" w14:textId="3965F072" w:rsidR="00DA4EBC" w:rsidRDefault="00B65049" w:rsidP="00B65049">
      <w:r>
        <w:t>Some members report</w:t>
      </w:r>
      <w:r w:rsidR="00245A39">
        <w:t>ed</w:t>
      </w:r>
      <w:r>
        <w:t xml:space="preserve"> on challenges </w:t>
      </w:r>
      <w:r w:rsidR="00245A39">
        <w:t xml:space="preserve">and opportunities </w:t>
      </w:r>
      <w:r>
        <w:t>in implementing the optional exemption (Article 15.2 of the 1991-Act of the UPOV Convention)</w:t>
      </w:r>
      <w:r w:rsidR="009D7A6C">
        <w:t xml:space="preserve">, which </w:t>
      </w:r>
      <w:r w:rsidR="00245A39">
        <w:t xml:space="preserve">was not the subject of </w:t>
      </w:r>
      <w:r w:rsidR="009D7A6C">
        <w:t xml:space="preserve">the survey. </w:t>
      </w:r>
    </w:p>
    <w:p w14:paraId="68473E6B" w14:textId="77777777" w:rsidR="009D7A6C" w:rsidRDefault="009D7A6C" w:rsidP="00B65049"/>
    <w:p w14:paraId="63F2CC04" w14:textId="680BF83B" w:rsidR="000D34B0" w:rsidRDefault="000D34B0" w:rsidP="000D34B0">
      <w:r>
        <w:t xml:space="preserve">Some responses </w:t>
      </w:r>
      <w:r w:rsidR="002C40AA">
        <w:t>highlight</w:t>
      </w:r>
      <w:r w:rsidR="00245A39">
        <w:t>ed</w:t>
      </w:r>
      <w:r>
        <w:t xml:space="preserve"> that there is a challenge to </w:t>
      </w:r>
      <w:r w:rsidRPr="00DA4EBC">
        <w:t xml:space="preserve">establish the difference between small </w:t>
      </w:r>
      <w:r>
        <w:t xml:space="preserve">holder </w:t>
      </w:r>
      <w:r w:rsidRPr="00DA4EBC">
        <w:t>farmer</w:t>
      </w:r>
      <w:r w:rsidR="002C40AA">
        <w:t>s</w:t>
      </w:r>
      <w:r w:rsidRPr="00DA4EBC">
        <w:t xml:space="preserve"> and subsistence farmer</w:t>
      </w:r>
      <w:r w:rsidR="002C40AA">
        <w:t>s</w:t>
      </w:r>
      <w:r>
        <w:t xml:space="preserve">. One member </w:t>
      </w:r>
      <w:r w:rsidR="00245A39">
        <w:t>stated</w:t>
      </w:r>
      <w:r>
        <w:t xml:space="preserve"> that</w:t>
      </w:r>
      <w:r w:rsidR="002C40AA">
        <w:t xml:space="preserve"> such</w:t>
      </w:r>
      <w:r>
        <w:t xml:space="preserve"> a definition would assist in applying the </w:t>
      </w:r>
      <w:r w:rsidRPr="00DA4EBC">
        <w:t xml:space="preserve">exception for </w:t>
      </w:r>
      <w:r>
        <w:t xml:space="preserve">private and </w:t>
      </w:r>
      <w:r w:rsidRPr="00DA4EBC">
        <w:t>non-commercial purposes</w:t>
      </w:r>
      <w:r>
        <w:t xml:space="preserve">. </w:t>
      </w:r>
    </w:p>
    <w:p w14:paraId="746F4E56" w14:textId="74899AC1" w:rsidR="000D34B0" w:rsidRDefault="000D34B0" w:rsidP="00B65049"/>
    <w:p w14:paraId="5D72162F" w14:textId="77777777" w:rsidR="00050E16" w:rsidRPr="004B1215" w:rsidRDefault="00050E16" w:rsidP="004B1215"/>
    <w:p w14:paraId="1B42AB51" w14:textId="77777777" w:rsidR="00851C3F" w:rsidRDefault="00851C3F">
      <w:pPr>
        <w:jc w:val="left"/>
      </w:pPr>
    </w:p>
    <w:p w14:paraId="23CB2C89" w14:textId="77777777" w:rsidR="00851C3F" w:rsidRDefault="00851C3F" w:rsidP="00851C3F">
      <w:pPr>
        <w:pStyle w:val="DecisionParagraphs"/>
        <w:keepNext/>
        <w:rPr>
          <w:rFonts w:cs="Arial"/>
        </w:rPr>
      </w:pPr>
      <w:r w:rsidRPr="00416F54">
        <w:rPr>
          <w:rFonts w:cs="Arial"/>
        </w:rPr>
        <w:fldChar w:fldCharType="begin"/>
      </w:r>
      <w:r w:rsidRPr="00416F54">
        <w:rPr>
          <w:rFonts w:cs="Arial"/>
        </w:rPr>
        <w:instrText xml:space="preserve"> AUTONUM  </w:instrText>
      </w:r>
      <w:r w:rsidRPr="00416F54">
        <w:rPr>
          <w:rFonts w:cs="Arial"/>
        </w:rPr>
        <w:fldChar w:fldCharType="end"/>
      </w:r>
      <w:r w:rsidRPr="00416F54">
        <w:rPr>
          <w:rFonts w:cs="Arial"/>
        </w:rPr>
        <w:tab/>
        <w:t xml:space="preserve">The </w:t>
      </w:r>
      <w:r>
        <w:rPr>
          <w:rFonts w:cs="Arial"/>
        </w:rPr>
        <w:t>WG-SHF</w:t>
      </w:r>
      <w:r w:rsidRPr="00416F54">
        <w:rPr>
          <w:rFonts w:cs="Arial"/>
        </w:rPr>
        <w:t xml:space="preserve"> is invited to: </w:t>
      </w:r>
      <w:r>
        <w:rPr>
          <w:rFonts w:cs="Arial"/>
        </w:rPr>
        <w:t xml:space="preserve"> </w:t>
      </w:r>
    </w:p>
    <w:p w14:paraId="447841F6" w14:textId="77777777" w:rsidR="00851C3F" w:rsidRPr="00416F54" w:rsidRDefault="00851C3F" w:rsidP="00851C3F">
      <w:pPr>
        <w:pStyle w:val="DecisionParagraphs"/>
        <w:keepNext/>
        <w:rPr>
          <w:rFonts w:cs="Arial"/>
        </w:rPr>
      </w:pPr>
    </w:p>
    <w:p w14:paraId="54874B10" w14:textId="77777777" w:rsidR="00851C3F" w:rsidRPr="00C16503" w:rsidRDefault="00851C3F" w:rsidP="00851C3F">
      <w:pPr>
        <w:pStyle w:val="DecisionParagraphs"/>
        <w:rPr>
          <w:rFonts w:cs="Arial"/>
        </w:rPr>
      </w:pPr>
      <w:r w:rsidRPr="00C16503">
        <w:rPr>
          <w:rFonts w:cs="Arial"/>
        </w:rPr>
        <w:tab/>
        <w:t>(a)</w:t>
      </w:r>
      <w:r w:rsidRPr="00C16503">
        <w:rPr>
          <w:rFonts w:cs="Arial"/>
        </w:rPr>
        <w:tab/>
        <w:t xml:space="preserve"> </w:t>
      </w:r>
      <w:r>
        <w:rPr>
          <w:rFonts w:cs="Arial"/>
        </w:rPr>
        <w:t xml:space="preserve">note the information provided in this document; </w:t>
      </w:r>
    </w:p>
    <w:p w14:paraId="655796B4" w14:textId="77777777" w:rsidR="00851C3F" w:rsidRPr="00C16503" w:rsidRDefault="00851C3F" w:rsidP="00851C3F">
      <w:pPr>
        <w:pStyle w:val="DecisionParagraphs"/>
        <w:rPr>
          <w:rFonts w:cs="Arial"/>
        </w:rPr>
      </w:pPr>
    </w:p>
    <w:p w14:paraId="6C3D54D3" w14:textId="5E1F8752" w:rsidR="00851C3F" w:rsidRDefault="00851C3F" w:rsidP="00851C3F">
      <w:pPr>
        <w:pStyle w:val="DecisionParagraphs"/>
      </w:pPr>
      <w:r w:rsidRPr="00C16503">
        <w:rPr>
          <w:rFonts w:cs="Arial"/>
        </w:rPr>
        <w:tab/>
        <w:t>(b)</w:t>
      </w:r>
      <w:r w:rsidRPr="00C16503">
        <w:rPr>
          <w:rFonts w:cs="Arial"/>
        </w:rPr>
        <w:tab/>
      </w:r>
      <w:r w:rsidR="00FF7C87" w:rsidRPr="00FF7C87">
        <w:rPr>
          <w:rFonts w:cs="Arial"/>
        </w:rPr>
        <w:t>consider the responses to the questions</w:t>
      </w:r>
      <w:r w:rsidR="00D93B1D">
        <w:rPr>
          <w:rFonts w:cs="Arial"/>
        </w:rPr>
        <w:t xml:space="preserve"> </w:t>
      </w:r>
      <w:r w:rsidR="009105D2">
        <w:rPr>
          <w:rFonts w:cs="Arial"/>
        </w:rPr>
        <w:t xml:space="preserve">presented </w:t>
      </w:r>
      <w:r w:rsidR="00FF7C87" w:rsidRPr="00FF7C87">
        <w:rPr>
          <w:rFonts w:cs="Arial"/>
        </w:rPr>
        <w:t>in the Annex.</w:t>
      </w:r>
    </w:p>
    <w:p w14:paraId="07EC0FE7" w14:textId="77777777" w:rsidR="00851C3F" w:rsidRDefault="00851C3F" w:rsidP="00851C3F">
      <w:pPr>
        <w:pStyle w:val="DecisionParagraphs"/>
      </w:pPr>
    </w:p>
    <w:p w14:paraId="59621BA3" w14:textId="77777777" w:rsidR="00851C3F" w:rsidRDefault="00851C3F">
      <w:pPr>
        <w:jc w:val="left"/>
      </w:pPr>
    </w:p>
    <w:p w14:paraId="4857630F" w14:textId="77777777" w:rsidR="00050E16" w:rsidRPr="00C651CE" w:rsidRDefault="00050E16" w:rsidP="00050E16"/>
    <w:p w14:paraId="206BD5B5" w14:textId="77777777" w:rsidR="00843467" w:rsidRDefault="00050E16" w:rsidP="00050E16">
      <w:pPr>
        <w:jc w:val="right"/>
      </w:pPr>
      <w:r w:rsidRPr="00C5280D">
        <w:t>[</w:t>
      </w:r>
      <w:r w:rsidR="00851C3F">
        <w:t>Annex follows</w:t>
      </w:r>
      <w:r w:rsidRPr="00C5280D">
        <w:t>]</w:t>
      </w:r>
    </w:p>
    <w:p w14:paraId="752B5029" w14:textId="77777777" w:rsidR="00C33338" w:rsidRDefault="00C33338" w:rsidP="00050E16">
      <w:pPr>
        <w:jc w:val="right"/>
      </w:pPr>
    </w:p>
    <w:p w14:paraId="2C976928" w14:textId="77777777" w:rsidR="00C33338" w:rsidRDefault="00C33338" w:rsidP="00050E16">
      <w:pPr>
        <w:jc w:val="right"/>
        <w:sectPr w:rsidR="00C33338" w:rsidSect="00C33338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5B80098B" w14:textId="47463D42" w:rsidR="009B440E" w:rsidRDefault="009B440E" w:rsidP="00050E16">
      <w:pPr>
        <w:jc w:val="right"/>
      </w:pPr>
    </w:p>
    <w:p w14:paraId="5DB2CC53" w14:textId="12C43BFA" w:rsidR="00843467" w:rsidRDefault="00843467" w:rsidP="00843467">
      <w:pPr>
        <w:jc w:val="center"/>
      </w:pPr>
      <w:r w:rsidRPr="00843467">
        <w:t xml:space="preserve">Compilation of responses to the questions concerning the exception “acts done privately and for </w:t>
      </w:r>
      <w:proofErr w:type="spellStart"/>
      <w:r w:rsidRPr="00843467">
        <w:t>non commercial</w:t>
      </w:r>
      <w:proofErr w:type="spellEnd"/>
      <w:r w:rsidRPr="00843467">
        <w:t xml:space="preserve"> purposes”</w:t>
      </w:r>
      <w:r>
        <w:t xml:space="preserve"> </w:t>
      </w:r>
      <w:r w:rsidR="00692681">
        <w:t xml:space="preserve">received in reply to </w:t>
      </w:r>
      <w:r w:rsidR="00692681" w:rsidRPr="00843467">
        <w:t>Circular E-24/047</w:t>
      </w:r>
      <w:r w:rsidR="00692681">
        <w:t>of April 22, 2024</w:t>
      </w:r>
    </w:p>
    <w:p w14:paraId="112E7344" w14:textId="77777777" w:rsidR="00692681" w:rsidRDefault="00692681" w:rsidP="00843467">
      <w:pPr>
        <w:jc w:val="center"/>
      </w:pPr>
    </w:p>
    <w:p w14:paraId="6378DAD7" w14:textId="77777777" w:rsidR="00692681" w:rsidRDefault="00692681" w:rsidP="00843467">
      <w:pPr>
        <w:jc w:val="center"/>
      </w:pPr>
    </w:p>
    <w:p w14:paraId="28F052C7" w14:textId="77777777" w:rsidR="00692681" w:rsidRPr="00843467" w:rsidRDefault="00692681" w:rsidP="00843467">
      <w:pPr>
        <w:jc w:val="center"/>
      </w:pPr>
    </w:p>
    <w:p w14:paraId="59FB0431" w14:textId="01C9642E" w:rsidR="00903264" w:rsidRDefault="00C33338">
      <w:pPr>
        <w:jc w:val="left"/>
      </w:pPr>
      <w:r>
        <w:t>The excel table with the compilation of responses is available at:</w:t>
      </w:r>
    </w:p>
    <w:p w14:paraId="60F1FB56" w14:textId="4491EB8E" w:rsidR="00C33338" w:rsidRDefault="009D52A2" w:rsidP="009B440E">
      <w:pPr>
        <w:jc w:val="left"/>
      </w:pPr>
      <w:hyperlink r:id="rId10" w:history="1">
        <w:r w:rsidRPr="0026543F">
          <w:rPr>
            <w:rStyle w:val="Hyperlink"/>
          </w:rPr>
          <w:t>https://www.upov.int/meetings/en/doc_details.jsp?meeting_id=83694&amp;doc_id=634988</w:t>
        </w:r>
      </w:hyperlink>
      <w:r>
        <w:t xml:space="preserve"> </w:t>
      </w:r>
    </w:p>
    <w:p w14:paraId="515F954C" w14:textId="77777777" w:rsidR="00C33338" w:rsidRDefault="00C33338" w:rsidP="009B440E">
      <w:pPr>
        <w:jc w:val="left"/>
      </w:pPr>
    </w:p>
    <w:p w14:paraId="2C68EF0E" w14:textId="77777777" w:rsidR="00C33338" w:rsidRDefault="00C33338" w:rsidP="009B440E">
      <w:pPr>
        <w:jc w:val="left"/>
      </w:pPr>
    </w:p>
    <w:p w14:paraId="4B8F92BD" w14:textId="77777777" w:rsidR="00C33338" w:rsidRDefault="00C33338" w:rsidP="009B440E">
      <w:pPr>
        <w:jc w:val="left"/>
      </w:pPr>
    </w:p>
    <w:p w14:paraId="5911BC4A" w14:textId="77777777" w:rsidR="00C33338" w:rsidRDefault="00C33338" w:rsidP="009B440E">
      <w:pPr>
        <w:jc w:val="left"/>
      </w:pPr>
    </w:p>
    <w:p w14:paraId="4A4D613A" w14:textId="571C621B" w:rsidR="00C33338" w:rsidRPr="00C5280D" w:rsidRDefault="00C33338" w:rsidP="00C33338">
      <w:pPr>
        <w:jc w:val="right"/>
      </w:pPr>
      <w:r w:rsidRPr="00C5280D">
        <w:t>[</w:t>
      </w:r>
      <w:r>
        <w:t>End of Annex and of document]</w:t>
      </w:r>
    </w:p>
    <w:sectPr w:rsidR="00C33338" w:rsidRPr="00C5280D" w:rsidSect="00906DDC"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A9A9" w14:textId="77777777" w:rsidR="00FA2114" w:rsidRDefault="00FA2114" w:rsidP="006655D3">
      <w:r>
        <w:separator/>
      </w:r>
    </w:p>
    <w:p w14:paraId="50109A53" w14:textId="77777777" w:rsidR="00FA2114" w:rsidRDefault="00FA2114" w:rsidP="006655D3"/>
    <w:p w14:paraId="27FD4B81" w14:textId="77777777" w:rsidR="00FA2114" w:rsidRDefault="00FA2114" w:rsidP="006655D3"/>
  </w:endnote>
  <w:endnote w:type="continuationSeparator" w:id="0">
    <w:p w14:paraId="1464CCAC" w14:textId="77777777" w:rsidR="00FA2114" w:rsidRDefault="00FA2114" w:rsidP="006655D3">
      <w:r>
        <w:separator/>
      </w:r>
    </w:p>
    <w:p w14:paraId="7A0CB188" w14:textId="77777777" w:rsidR="00FA2114" w:rsidRPr="00294751" w:rsidRDefault="00FA21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403A072" w14:textId="77777777" w:rsidR="00FA2114" w:rsidRPr="00294751" w:rsidRDefault="00FA2114" w:rsidP="006655D3">
      <w:pPr>
        <w:rPr>
          <w:lang w:val="fr-FR"/>
        </w:rPr>
      </w:pPr>
    </w:p>
    <w:p w14:paraId="2A2F20F0" w14:textId="77777777" w:rsidR="00FA2114" w:rsidRPr="00294751" w:rsidRDefault="00FA2114" w:rsidP="006655D3">
      <w:pPr>
        <w:rPr>
          <w:lang w:val="fr-FR"/>
        </w:rPr>
      </w:pPr>
    </w:p>
  </w:endnote>
  <w:endnote w:type="continuationNotice" w:id="1">
    <w:p w14:paraId="0273221C" w14:textId="77777777" w:rsidR="00FA2114" w:rsidRPr="00294751" w:rsidRDefault="00FA21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F03FCD" w14:textId="77777777" w:rsidR="00FA2114" w:rsidRPr="00294751" w:rsidRDefault="00FA2114" w:rsidP="006655D3">
      <w:pPr>
        <w:rPr>
          <w:lang w:val="fr-FR"/>
        </w:rPr>
      </w:pPr>
    </w:p>
    <w:p w14:paraId="3CCC54B9" w14:textId="77777777" w:rsidR="00FA2114" w:rsidRPr="00294751" w:rsidRDefault="00FA21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78FB" w14:textId="77777777" w:rsidR="00FA2114" w:rsidRDefault="00FA2114" w:rsidP="006655D3">
      <w:r>
        <w:separator/>
      </w:r>
    </w:p>
  </w:footnote>
  <w:footnote w:type="continuationSeparator" w:id="0">
    <w:p w14:paraId="3CCEA50C" w14:textId="77777777" w:rsidR="00FA2114" w:rsidRDefault="00FA2114" w:rsidP="006655D3">
      <w:r>
        <w:separator/>
      </w:r>
    </w:p>
  </w:footnote>
  <w:footnote w:type="continuationNotice" w:id="1">
    <w:p w14:paraId="06FE3B7A" w14:textId="77777777" w:rsidR="00FA2114" w:rsidRPr="00AB530F" w:rsidRDefault="00FA21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C459" w14:textId="77777777" w:rsidR="00C33338" w:rsidRPr="00C5280D" w:rsidRDefault="00C33338" w:rsidP="00EB048E">
    <w:pPr>
      <w:pStyle w:val="Header"/>
      <w:rPr>
        <w:rStyle w:val="PageNumber"/>
        <w:lang w:val="en-US"/>
      </w:rPr>
    </w:pPr>
    <w:r w:rsidRPr="00A655E8">
      <w:rPr>
        <w:rStyle w:val="PageNumber"/>
        <w:lang w:val="en-US"/>
      </w:rPr>
      <w:t>WG-</w:t>
    </w:r>
    <w:r>
      <w:rPr>
        <w:rStyle w:val="PageNumber"/>
        <w:lang w:val="en-US"/>
      </w:rPr>
      <w:t>SHF/6/2</w:t>
    </w:r>
  </w:p>
  <w:p w14:paraId="34EB4022" w14:textId="77777777" w:rsidR="00C33338" w:rsidRPr="00C5280D" w:rsidRDefault="00C33338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0081BDD" w14:textId="77777777" w:rsidR="00C33338" w:rsidRPr="00C5280D" w:rsidRDefault="00C33338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DA579" w14:textId="2C639129" w:rsidR="00843467" w:rsidRDefault="00843467" w:rsidP="00843467">
    <w:pPr>
      <w:pStyle w:val="Header"/>
      <w:rPr>
        <w:lang w:val="fr-CH"/>
      </w:rPr>
    </w:pPr>
    <w:r>
      <w:rPr>
        <w:lang w:val="fr-CH"/>
      </w:rPr>
      <w:t>WG-SHF/6/2</w:t>
    </w:r>
  </w:p>
  <w:p w14:paraId="49F1F56A" w14:textId="77777777" w:rsidR="00843467" w:rsidRDefault="00843467" w:rsidP="00843467">
    <w:pPr>
      <w:pStyle w:val="Header"/>
      <w:rPr>
        <w:lang w:val="fr-CH"/>
      </w:rPr>
    </w:pPr>
  </w:p>
  <w:p w14:paraId="6260B0E8" w14:textId="7653A7DF" w:rsidR="00843467" w:rsidRDefault="00843467" w:rsidP="00843467">
    <w:pPr>
      <w:pStyle w:val="Header"/>
      <w:rPr>
        <w:lang w:val="fr-CH"/>
      </w:rPr>
    </w:pPr>
    <w:r>
      <w:rPr>
        <w:lang w:val="fr-CH"/>
      </w:rPr>
      <w:t>ANNEX</w:t>
    </w:r>
  </w:p>
  <w:p w14:paraId="56028D25" w14:textId="77777777" w:rsidR="00843467" w:rsidRDefault="0084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713C"/>
    <w:multiLevelType w:val="hybridMultilevel"/>
    <w:tmpl w:val="1116FEB4"/>
    <w:lvl w:ilvl="0" w:tplc="C39000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56DE9"/>
    <w:multiLevelType w:val="hybridMultilevel"/>
    <w:tmpl w:val="6EC278E8"/>
    <w:lvl w:ilvl="0" w:tplc="DB2480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DE22896"/>
    <w:multiLevelType w:val="hybridMultilevel"/>
    <w:tmpl w:val="6EC278E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11360887">
    <w:abstractNumId w:val="1"/>
  </w:num>
  <w:num w:numId="2" w16cid:durableId="271713820">
    <w:abstractNumId w:val="0"/>
  </w:num>
  <w:num w:numId="3" w16cid:durableId="11149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E4"/>
    <w:rsid w:val="00010CF3"/>
    <w:rsid w:val="00011E27"/>
    <w:rsid w:val="000148BC"/>
    <w:rsid w:val="00024AB8"/>
    <w:rsid w:val="00025A26"/>
    <w:rsid w:val="00030854"/>
    <w:rsid w:val="00036028"/>
    <w:rsid w:val="00044642"/>
    <w:rsid w:val="000446B9"/>
    <w:rsid w:val="00044BBB"/>
    <w:rsid w:val="00045CF7"/>
    <w:rsid w:val="00047E21"/>
    <w:rsid w:val="00050E16"/>
    <w:rsid w:val="00085505"/>
    <w:rsid w:val="000C4E25"/>
    <w:rsid w:val="000C7021"/>
    <w:rsid w:val="000D34B0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1E430C"/>
    <w:rsid w:val="002031B0"/>
    <w:rsid w:val="0021332C"/>
    <w:rsid w:val="00213982"/>
    <w:rsid w:val="0024416D"/>
    <w:rsid w:val="00245A39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C40AA"/>
    <w:rsid w:val="002F3F0B"/>
    <w:rsid w:val="00305A7F"/>
    <w:rsid w:val="00313304"/>
    <w:rsid w:val="003152FE"/>
    <w:rsid w:val="00327436"/>
    <w:rsid w:val="00344BD6"/>
    <w:rsid w:val="00351C5A"/>
    <w:rsid w:val="0035528D"/>
    <w:rsid w:val="00361821"/>
    <w:rsid w:val="00361E9E"/>
    <w:rsid w:val="003A5AAF"/>
    <w:rsid w:val="003C7FBE"/>
    <w:rsid w:val="003D043B"/>
    <w:rsid w:val="003D227C"/>
    <w:rsid w:val="003D2B4D"/>
    <w:rsid w:val="003D6101"/>
    <w:rsid w:val="004062A8"/>
    <w:rsid w:val="00434690"/>
    <w:rsid w:val="00437302"/>
    <w:rsid w:val="00444A88"/>
    <w:rsid w:val="00474DA4"/>
    <w:rsid w:val="00476B4D"/>
    <w:rsid w:val="004805FA"/>
    <w:rsid w:val="004935D2"/>
    <w:rsid w:val="004A3BAE"/>
    <w:rsid w:val="004B1215"/>
    <w:rsid w:val="004C30F6"/>
    <w:rsid w:val="004D047D"/>
    <w:rsid w:val="004F1E9E"/>
    <w:rsid w:val="004F305A"/>
    <w:rsid w:val="00512164"/>
    <w:rsid w:val="00513ADF"/>
    <w:rsid w:val="00520297"/>
    <w:rsid w:val="005338F9"/>
    <w:rsid w:val="0054281C"/>
    <w:rsid w:val="00544581"/>
    <w:rsid w:val="005514E4"/>
    <w:rsid w:val="0055268D"/>
    <w:rsid w:val="00576BE4"/>
    <w:rsid w:val="005779DB"/>
    <w:rsid w:val="00596BAC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681"/>
    <w:rsid w:val="00695C56"/>
    <w:rsid w:val="006A5CDE"/>
    <w:rsid w:val="006A644A"/>
    <w:rsid w:val="006B17D2"/>
    <w:rsid w:val="006C224E"/>
    <w:rsid w:val="006D780A"/>
    <w:rsid w:val="006E69FB"/>
    <w:rsid w:val="0071271E"/>
    <w:rsid w:val="00713FF9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789B"/>
    <w:rsid w:val="0079023E"/>
    <w:rsid w:val="007A1C03"/>
    <w:rsid w:val="007A2854"/>
    <w:rsid w:val="007C1D92"/>
    <w:rsid w:val="007C4B9E"/>
    <w:rsid w:val="007C4CB9"/>
    <w:rsid w:val="007D0B9D"/>
    <w:rsid w:val="007D19B0"/>
    <w:rsid w:val="007E4C6D"/>
    <w:rsid w:val="007F498F"/>
    <w:rsid w:val="0080679D"/>
    <w:rsid w:val="008108B0"/>
    <w:rsid w:val="00811B20"/>
    <w:rsid w:val="00812609"/>
    <w:rsid w:val="008211B5"/>
    <w:rsid w:val="0082296E"/>
    <w:rsid w:val="00824099"/>
    <w:rsid w:val="00826A38"/>
    <w:rsid w:val="00843467"/>
    <w:rsid w:val="00846D7C"/>
    <w:rsid w:val="00851C3F"/>
    <w:rsid w:val="00867AC1"/>
    <w:rsid w:val="008710E1"/>
    <w:rsid w:val="00886CB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05D2"/>
    <w:rsid w:val="00934E09"/>
    <w:rsid w:val="00936253"/>
    <w:rsid w:val="00940D46"/>
    <w:rsid w:val="00941739"/>
    <w:rsid w:val="00952DD4"/>
    <w:rsid w:val="0096339F"/>
    <w:rsid w:val="00965AE7"/>
    <w:rsid w:val="00970FED"/>
    <w:rsid w:val="009744EB"/>
    <w:rsid w:val="00992D82"/>
    <w:rsid w:val="009941A8"/>
    <w:rsid w:val="00997029"/>
    <w:rsid w:val="009A7339"/>
    <w:rsid w:val="009B440E"/>
    <w:rsid w:val="009B4AFA"/>
    <w:rsid w:val="009D178C"/>
    <w:rsid w:val="009D52A2"/>
    <w:rsid w:val="009D690D"/>
    <w:rsid w:val="009D7A6C"/>
    <w:rsid w:val="009E3A69"/>
    <w:rsid w:val="009E65B6"/>
    <w:rsid w:val="009F77CF"/>
    <w:rsid w:val="00A24C10"/>
    <w:rsid w:val="00A343AC"/>
    <w:rsid w:val="00A42AC3"/>
    <w:rsid w:val="00A430CF"/>
    <w:rsid w:val="00A54309"/>
    <w:rsid w:val="00A655E8"/>
    <w:rsid w:val="00A67958"/>
    <w:rsid w:val="00A77A12"/>
    <w:rsid w:val="00A80F2A"/>
    <w:rsid w:val="00AB2B93"/>
    <w:rsid w:val="00AB530F"/>
    <w:rsid w:val="00AB7E5B"/>
    <w:rsid w:val="00AC2883"/>
    <w:rsid w:val="00AE0EF1"/>
    <w:rsid w:val="00AE2937"/>
    <w:rsid w:val="00AF75C9"/>
    <w:rsid w:val="00B07301"/>
    <w:rsid w:val="00B11F3E"/>
    <w:rsid w:val="00B224DE"/>
    <w:rsid w:val="00B324D4"/>
    <w:rsid w:val="00B46575"/>
    <w:rsid w:val="00B61777"/>
    <w:rsid w:val="00B622E6"/>
    <w:rsid w:val="00B65049"/>
    <w:rsid w:val="00B84BBD"/>
    <w:rsid w:val="00B87016"/>
    <w:rsid w:val="00BA43FB"/>
    <w:rsid w:val="00BB19A0"/>
    <w:rsid w:val="00BC127D"/>
    <w:rsid w:val="00BC1FE6"/>
    <w:rsid w:val="00BD7555"/>
    <w:rsid w:val="00C061B6"/>
    <w:rsid w:val="00C2446C"/>
    <w:rsid w:val="00C27B66"/>
    <w:rsid w:val="00C33338"/>
    <w:rsid w:val="00C36AE5"/>
    <w:rsid w:val="00C4093F"/>
    <w:rsid w:val="00C41F17"/>
    <w:rsid w:val="00C527FA"/>
    <w:rsid w:val="00C5280D"/>
    <w:rsid w:val="00C53EB3"/>
    <w:rsid w:val="00C5791C"/>
    <w:rsid w:val="00C66290"/>
    <w:rsid w:val="00C72B7A"/>
    <w:rsid w:val="00C86B51"/>
    <w:rsid w:val="00C973F2"/>
    <w:rsid w:val="00CA304C"/>
    <w:rsid w:val="00CA7520"/>
    <w:rsid w:val="00CA774A"/>
    <w:rsid w:val="00CC11B0"/>
    <w:rsid w:val="00CC2841"/>
    <w:rsid w:val="00CF00FD"/>
    <w:rsid w:val="00CF1330"/>
    <w:rsid w:val="00CF7E36"/>
    <w:rsid w:val="00D16009"/>
    <w:rsid w:val="00D30E2B"/>
    <w:rsid w:val="00D3708D"/>
    <w:rsid w:val="00D40426"/>
    <w:rsid w:val="00D57C96"/>
    <w:rsid w:val="00D57D18"/>
    <w:rsid w:val="00D66FA7"/>
    <w:rsid w:val="00D91203"/>
    <w:rsid w:val="00D93B1D"/>
    <w:rsid w:val="00D95174"/>
    <w:rsid w:val="00DA1B7B"/>
    <w:rsid w:val="00DA4973"/>
    <w:rsid w:val="00DA4EBC"/>
    <w:rsid w:val="00DA6F36"/>
    <w:rsid w:val="00DB596E"/>
    <w:rsid w:val="00DB7773"/>
    <w:rsid w:val="00DC00EA"/>
    <w:rsid w:val="00DC3802"/>
    <w:rsid w:val="00DD44DF"/>
    <w:rsid w:val="00DD6208"/>
    <w:rsid w:val="00DE5DC6"/>
    <w:rsid w:val="00E07D87"/>
    <w:rsid w:val="00E249C8"/>
    <w:rsid w:val="00E32F7E"/>
    <w:rsid w:val="00E45BAF"/>
    <w:rsid w:val="00E47C42"/>
    <w:rsid w:val="00E5267B"/>
    <w:rsid w:val="00E559F0"/>
    <w:rsid w:val="00E63C0E"/>
    <w:rsid w:val="00E70A85"/>
    <w:rsid w:val="00E72D49"/>
    <w:rsid w:val="00E74A95"/>
    <w:rsid w:val="00E7593C"/>
    <w:rsid w:val="00E7678A"/>
    <w:rsid w:val="00E850FD"/>
    <w:rsid w:val="00E935F1"/>
    <w:rsid w:val="00E94A81"/>
    <w:rsid w:val="00EA1FFB"/>
    <w:rsid w:val="00EA4401"/>
    <w:rsid w:val="00EB048E"/>
    <w:rsid w:val="00EB4E9C"/>
    <w:rsid w:val="00ED3885"/>
    <w:rsid w:val="00EE34DF"/>
    <w:rsid w:val="00EE43E0"/>
    <w:rsid w:val="00EF2F89"/>
    <w:rsid w:val="00F03E98"/>
    <w:rsid w:val="00F10325"/>
    <w:rsid w:val="00F122B0"/>
    <w:rsid w:val="00F1237A"/>
    <w:rsid w:val="00F22CBD"/>
    <w:rsid w:val="00F272F1"/>
    <w:rsid w:val="00F31412"/>
    <w:rsid w:val="00F45372"/>
    <w:rsid w:val="00F46DA4"/>
    <w:rsid w:val="00F560F7"/>
    <w:rsid w:val="00F6334D"/>
    <w:rsid w:val="00F63599"/>
    <w:rsid w:val="00FA2114"/>
    <w:rsid w:val="00FA49AB"/>
    <w:rsid w:val="00FE39C7"/>
    <w:rsid w:val="00FF4D0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7ADF1"/>
  <w15:docId w15:val="{B8181E3D-7ABD-4E66-9FBE-6F80A84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45CF7"/>
    <w:pPr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45CF7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43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3A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1C0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836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oc_details.jsp?meeting_id=83694&amp;doc_id=63498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SHF\WG-SHF_6_October_23_2024\templates\wg_shf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wg_shf_6_EN.dotx</Template>
  <TotalTime>320</TotalTime>
  <Pages>3</Pages>
  <Words>815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WG-SHF/6</vt:lpstr>
    </vt:vector>
  </TitlesOfParts>
  <Company>UPOV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</dc:title>
  <dc:creator>NICOLO Laurianne</dc:creator>
  <cp:lastModifiedBy>NICOLO Laurianne</cp:lastModifiedBy>
  <cp:revision>17</cp:revision>
  <cp:lastPrinted>2024-08-09T07:47:00Z</cp:lastPrinted>
  <dcterms:created xsi:type="dcterms:W3CDTF">2024-07-29T11:21:00Z</dcterms:created>
  <dcterms:modified xsi:type="dcterms:W3CDTF">2024-08-14T07:20:00Z</dcterms:modified>
</cp:coreProperties>
</file>