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F379F94" w14:textId="77777777" w:rsidTr="00EB4E9C">
        <w:tc>
          <w:tcPr>
            <w:tcW w:w="6522" w:type="dxa"/>
          </w:tcPr>
          <w:p w14:paraId="542E95D3" w14:textId="3F8FB55D" w:rsidR="00DC3802" w:rsidRPr="00AC2883" w:rsidRDefault="0067333B" w:rsidP="00AC2883">
            <w:r>
              <w:rPr>
                <w:noProof/>
                <w:sz w:val="16"/>
              </w:rPr>
              <w:drawing>
                <wp:inline distT="0" distB="0" distL="0" distR="0" wp14:anchorId="072D7A25" wp14:editId="76B38A3F">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A36B12C" w14:textId="77777777" w:rsidR="00DC3802" w:rsidRPr="007C1D92" w:rsidRDefault="00DC3802" w:rsidP="00AC2883">
            <w:pPr>
              <w:pStyle w:val="Lettrine"/>
            </w:pPr>
            <w:r w:rsidRPr="00172084">
              <w:t>E</w:t>
            </w:r>
          </w:p>
        </w:tc>
      </w:tr>
      <w:tr w:rsidR="00DC3802" w:rsidRPr="00DA4973" w14:paraId="6BF3292A" w14:textId="77777777" w:rsidTr="00645CA8">
        <w:trPr>
          <w:trHeight w:val="219"/>
        </w:trPr>
        <w:tc>
          <w:tcPr>
            <w:tcW w:w="6522" w:type="dxa"/>
          </w:tcPr>
          <w:p w14:paraId="53F1CC41" w14:textId="77777777" w:rsidR="00DC3802" w:rsidRPr="00AC2883" w:rsidRDefault="00DC3802" w:rsidP="00AC2883">
            <w:pPr>
              <w:pStyle w:val="upove"/>
            </w:pPr>
            <w:r w:rsidRPr="00AC2883">
              <w:t>International Union for the Protection of New Varieties of Plants</w:t>
            </w:r>
          </w:p>
        </w:tc>
        <w:tc>
          <w:tcPr>
            <w:tcW w:w="3117" w:type="dxa"/>
          </w:tcPr>
          <w:p w14:paraId="7E35AB22" w14:textId="77777777" w:rsidR="00DC3802" w:rsidRPr="00DA4973" w:rsidRDefault="00DC3802" w:rsidP="00DA4973"/>
        </w:tc>
      </w:tr>
    </w:tbl>
    <w:p w14:paraId="6A7F2D29" w14:textId="77777777" w:rsidR="00DC3802" w:rsidRDefault="00DC3802" w:rsidP="00DC3802"/>
    <w:p w14:paraId="2BF4764E" w14:textId="77777777" w:rsidR="0004297B" w:rsidRPr="00365DC1" w:rsidRDefault="0004297B" w:rsidP="0004297B"/>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C5280D" w14:paraId="58731F60" w14:textId="77777777" w:rsidTr="00EB56DD">
        <w:tc>
          <w:tcPr>
            <w:tcW w:w="6512" w:type="dxa"/>
          </w:tcPr>
          <w:p w14:paraId="5C6B6434" w14:textId="77777777" w:rsidR="0004297B" w:rsidRPr="00AC2883" w:rsidRDefault="00B46AEE" w:rsidP="00EB56DD">
            <w:pPr>
              <w:pStyle w:val="Sessiontc"/>
              <w:spacing w:line="240" w:lineRule="auto"/>
            </w:pPr>
            <w:r w:rsidRPr="00B46AEE">
              <w:t xml:space="preserve">Working </w:t>
            </w:r>
            <w:r w:rsidR="00260EA2" w:rsidRPr="00B46AEE">
              <w:t>Group on Harvested Material and Unauthorized Use of Propagating Material</w:t>
            </w:r>
          </w:p>
          <w:p w14:paraId="1EEFFEE0" w14:textId="77777777" w:rsidR="00A73882" w:rsidRDefault="00F55A83" w:rsidP="00A73882">
            <w:pPr>
              <w:pStyle w:val="Sessiontcplacedate"/>
            </w:pPr>
            <w:r>
              <w:t>Eigh</w:t>
            </w:r>
            <w:r w:rsidR="00CD680A">
              <w:t xml:space="preserve">th </w:t>
            </w:r>
            <w:r w:rsidR="00A73882">
              <w:t>Meeting</w:t>
            </w:r>
          </w:p>
          <w:p w14:paraId="7811A4FF" w14:textId="77777777" w:rsidR="0004297B" w:rsidRPr="00DC3802" w:rsidRDefault="00A73882" w:rsidP="00644B33">
            <w:pPr>
              <w:pStyle w:val="Sessiontcplacedate"/>
              <w:rPr>
                <w:sz w:val="22"/>
              </w:rPr>
            </w:pPr>
            <w:r>
              <w:t xml:space="preserve">Geneva, </w:t>
            </w:r>
            <w:r w:rsidR="00CD680A">
              <w:t>October 22</w:t>
            </w:r>
            <w:r w:rsidR="00644B33" w:rsidRPr="00644B33">
              <w:t>, 202</w:t>
            </w:r>
            <w:r w:rsidR="00F55A83">
              <w:t>5</w:t>
            </w:r>
          </w:p>
        </w:tc>
        <w:tc>
          <w:tcPr>
            <w:tcW w:w="3127" w:type="dxa"/>
          </w:tcPr>
          <w:p w14:paraId="57F3D1BB" w14:textId="44497E06" w:rsidR="0004297B" w:rsidRDefault="00B46AEE" w:rsidP="00EB56DD">
            <w:pPr>
              <w:pStyle w:val="Doccode"/>
            </w:pPr>
            <w:r>
              <w:t>WG-</w:t>
            </w:r>
            <w:r w:rsidR="00CD680A">
              <w:t>HRV</w:t>
            </w:r>
            <w:r w:rsidR="00F55A83">
              <w:t>/8/</w:t>
            </w:r>
            <w:r w:rsidR="00377434">
              <w:t>2</w:t>
            </w:r>
          </w:p>
          <w:p w14:paraId="3FC1DFF4" w14:textId="77777777" w:rsidR="0004297B" w:rsidRPr="003C7FBE" w:rsidRDefault="0004297B" w:rsidP="00EB56DD">
            <w:pPr>
              <w:pStyle w:val="Doccode"/>
            </w:pPr>
          </w:p>
          <w:p w14:paraId="0BB9787F" w14:textId="77777777" w:rsidR="0004297B" w:rsidRPr="003C7FBE" w:rsidRDefault="0004297B" w:rsidP="00EB56DD">
            <w:pPr>
              <w:pStyle w:val="Docoriginal"/>
            </w:pPr>
            <w:r w:rsidRPr="00AC2883">
              <w:t>Original:</w:t>
            </w:r>
            <w:r w:rsidRPr="000E636A">
              <w:rPr>
                <w:b w:val="0"/>
                <w:spacing w:val="0"/>
              </w:rPr>
              <w:t xml:space="preserve">  English</w:t>
            </w:r>
          </w:p>
          <w:p w14:paraId="65506658" w14:textId="506C8430" w:rsidR="0004297B" w:rsidRPr="007C1D92" w:rsidRDefault="0004297B" w:rsidP="00644B33">
            <w:pPr>
              <w:pStyle w:val="Docoriginal"/>
            </w:pPr>
            <w:r w:rsidRPr="00AC2883">
              <w:t>Date</w:t>
            </w:r>
            <w:proofErr w:type="gramStart"/>
            <w:r w:rsidRPr="00AC2883">
              <w:t>:</w:t>
            </w:r>
            <w:r w:rsidRPr="000E636A">
              <w:rPr>
                <w:b w:val="0"/>
                <w:spacing w:val="0"/>
              </w:rPr>
              <w:t xml:space="preserve">  </w:t>
            </w:r>
            <w:r w:rsidR="0091516F" w:rsidRPr="00F81C35">
              <w:rPr>
                <w:b w:val="0"/>
                <w:spacing w:val="0"/>
              </w:rPr>
              <w:t>September</w:t>
            </w:r>
            <w:proofErr w:type="gramEnd"/>
            <w:r w:rsidR="0091516F" w:rsidRPr="00F81C35">
              <w:rPr>
                <w:b w:val="0"/>
                <w:spacing w:val="0"/>
              </w:rPr>
              <w:t xml:space="preserve"> </w:t>
            </w:r>
            <w:r w:rsidR="00BE33F3" w:rsidRPr="00F81C35">
              <w:rPr>
                <w:b w:val="0"/>
                <w:spacing w:val="0"/>
              </w:rPr>
              <w:t>2</w:t>
            </w:r>
            <w:r w:rsidR="00F81C35" w:rsidRPr="00F81C35">
              <w:rPr>
                <w:b w:val="0"/>
                <w:spacing w:val="0"/>
              </w:rPr>
              <w:t>4</w:t>
            </w:r>
            <w:r w:rsidR="00D33FB4">
              <w:rPr>
                <w:b w:val="0"/>
                <w:spacing w:val="0"/>
              </w:rPr>
              <w:t>, 2025</w:t>
            </w:r>
          </w:p>
        </w:tc>
      </w:tr>
    </w:tbl>
    <w:p w14:paraId="538784CF" w14:textId="69C22123" w:rsidR="0004297B" w:rsidRPr="006A644A" w:rsidRDefault="00BA52D5" w:rsidP="0004297B">
      <w:pPr>
        <w:pStyle w:val="Titleofdoc0"/>
      </w:pPr>
      <w:r w:rsidRPr="00BA52D5">
        <w:t>Study on the “Scope of the Breeder’s Right” and the relationship with the “Exhaustion of the Breeder’s Right”</w:t>
      </w:r>
    </w:p>
    <w:p w14:paraId="10FED85D" w14:textId="77777777" w:rsidR="0004297B" w:rsidRPr="006A644A" w:rsidRDefault="0004297B" w:rsidP="0004297B">
      <w:pPr>
        <w:pStyle w:val="preparedby1"/>
        <w:jc w:val="left"/>
      </w:pPr>
      <w:r w:rsidRPr="000C4E25">
        <w:t>Document prepared by the Office of the Union</w:t>
      </w:r>
    </w:p>
    <w:p w14:paraId="1BBF0F20" w14:textId="77777777" w:rsidR="0004297B" w:rsidRPr="006A644A" w:rsidRDefault="0004297B" w:rsidP="0004297B">
      <w:pPr>
        <w:pStyle w:val="Disclaimer"/>
      </w:pPr>
      <w:r w:rsidRPr="006A644A">
        <w:t>Disclaimer</w:t>
      </w:r>
      <w:proofErr w:type="gramStart"/>
      <w:r w:rsidRPr="006A644A">
        <w:t>:  this</w:t>
      </w:r>
      <w:proofErr w:type="gramEnd"/>
      <w:r w:rsidRPr="006A644A">
        <w:t xml:space="preserve"> document does not represent UPOV policies or guidance</w:t>
      </w:r>
    </w:p>
    <w:p w14:paraId="54C42C18" w14:textId="728010C9" w:rsidR="00E727A5" w:rsidRPr="007A67D1" w:rsidRDefault="00E727A5" w:rsidP="006C6976">
      <w:pPr>
        <w:pStyle w:val="Heading1"/>
        <w:rPr>
          <w:rFonts w:cs="Times New Roman"/>
        </w:rPr>
      </w:pPr>
      <w:r w:rsidRPr="00125F1C">
        <w:t>BACKGROUND</w:t>
      </w:r>
    </w:p>
    <w:p w14:paraId="1A7B53BE" w14:textId="77777777" w:rsidR="00E727A5" w:rsidRDefault="00E727A5" w:rsidP="00D33FB4">
      <w:pPr>
        <w:rPr>
          <w:rFonts w:cs="Arial"/>
        </w:rPr>
      </w:pPr>
    </w:p>
    <w:p w14:paraId="6F4D10CC" w14:textId="29729FC3" w:rsidR="00D33FB4" w:rsidRDefault="00D33FB4" w:rsidP="00D33FB4">
      <w:pPr>
        <w:rPr>
          <w:rFonts w:cs="Arial"/>
        </w:rPr>
      </w:pPr>
      <w:r w:rsidRPr="00416F54">
        <w:rPr>
          <w:rFonts w:cs="Arial"/>
        </w:rPr>
        <w:fldChar w:fldCharType="begin"/>
      </w:r>
      <w:r w:rsidRPr="00416F54">
        <w:rPr>
          <w:rFonts w:cs="Arial"/>
        </w:rPr>
        <w:instrText xml:space="preserve"> AUTONUM  </w:instrText>
      </w:r>
      <w:r w:rsidRPr="00416F54">
        <w:rPr>
          <w:rFonts w:cs="Arial"/>
        </w:rPr>
        <w:fldChar w:fldCharType="end"/>
      </w:r>
      <w:r w:rsidRPr="00416F54">
        <w:rPr>
          <w:rFonts w:cs="Arial"/>
        </w:rPr>
        <w:tab/>
      </w:r>
      <w:r w:rsidRPr="00D14043">
        <w:rPr>
          <w:rFonts w:cs="Arial"/>
        </w:rPr>
        <w:t xml:space="preserve">The purpose of this document is to invite the Working Group on harvested material and unauthorized use of propagating material (WG-HRV) to </w:t>
      </w:r>
      <w:r>
        <w:rPr>
          <w:rFonts w:cs="Arial"/>
        </w:rPr>
        <w:t>take note of the</w:t>
      </w:r>
      <w:r w:rsidR="006840D7">
        <w:rPr>
          <w:rFonts w:cs="Arial"/>
        </w:rPr>
        <w:t xml:space="preserve"> authors’ </w:t>
      </w:r>
      <w:r w:rsidR="00D26695">
        <w:rPr>
          <w:rFonts w:cs="Arial"/>
        </w:rPr>
        <w:t xml:space="preserve">draft </w:t>
      </w:r>
      <w:r w:rsidR="006840D7">
        <w:rPr>
          <w:rFonts w:cs="Arial"/>
        </w:rPr>
        <w:t>study</w:t>
      </w:r>
      <w:r>
        <w:rPr>
          <w:rFonts w:cs="Arial"/>
        </w:rPr>
        <w:t xml:space="preserve"> on the </w:t>
      </w:r>
      <w:r w:rsidRPr="00BB406D">
        <w:rPr>
          <w:rFonts w:cs="Arial"/>
        </w:rPr>
        <w:t>“Scope of the Breeder’s Right” and the relationship with the “Exhaustion of the Breeder’s Right”</w:t>
      </w:r>
      <w:r>
        <w:rPr>
          <w:rFonts w:cs="Arial"/>
        </w:rPr>
        <w:t>.</w:t>
      </w:r>
    </w:p>
    <w:p w14:paraId="7A8A45C3" w14:textId="77777777" w:rsidR="00D33FB4" w:rsidRDefault="00D33FB4" w:rsidP="00D33FB4">
      <w:pPr>
        <w:jc w:val="left"/>
      </w:pPr>
    </w:p>
    <w:p w14:paraId="25A33A29" w14:textId="4CD7B649" w:rsidR="00D33FB4" w:rsidRDefault="00D33FB4" w:rsidP="00D33FB4">
      <w:r>
        <w:fldChar w:fldCharType="begin"/>
      </w:r>
      <w:r>
        <w:instrText xml:space="preserve"> AUTONUM  </w:instrText>
      </w:r>
      <w:r>
        <w:fldChar w:fldCharType="end"/>
      </w:r>
      <w:r>
        <w:tab/>
        <w:t xml:space="preserve">This </w:t>
      </w:r>
      <w:r w:rsidR="00D26695">
        <w:t>draft</w:t>
      </w:r>
      <w:r>
        <w:t xml:space="preserve"> </w:t>
      </w:r>
      <w:r w:rsidR="006840D7">
        <w:t>study</w:t>
      </w:r>
      <w:r>
        <w:t xml:space="preserve"> provided by the authors is reproduced in </w:t>
      </w:r>
      <w:r w:rsidRPr="00315110">
        <w:t xml:space="preserve">Annex I of this document. </w:t>
      </w:r>
      <w:bookmarkStart w:id="0" w:name="_Hlk209444584"/>
    </w:p>
    <w:bookmarkEnd w:id="0"/>
    <w:p w14:paraId="62683BA8" w14:textId="77777777" w:rsidR="00D33FB4" w:rsidRDefault="00D33FB4" w:rsidP="00D33FB4">
      <w:pPr>
        <w:rPr>
          <w:color w:val="262626"/>
        </w:rPr>
      </w:pPr>
    </w:p>
    <w:p w14:paraId="634C6003" w14:textId="1B161AA5" w:rsidR="00D33FB4" w:rsidRPr="004C70E6" w:rsidRDefault="00D33FB4" w:rsidP="00D33FB4">
      <w:pPr>
        <w:rPr>
          <w:lang w:val="en-GB"/>
        </w:rPr>
      </w:pPr>
      <w:r>
        <w:rPr>
          <w:lang w:val="en-GB"/>
        </w:rPr>
        <w:fldChar w:fldCharType="begin"/>
      </w:r>
      <w:r>
        <w:rPr>
          <w:lang w:val="en-GB"/>
        </w:rPr>
        <w:instrText xml:space="preserve"> AUTONUM  </w:instrText>
      </w:r>
      <w:r>
        <w:rPr>
          <w:lang w:val="en-GB"/>
        </w:rPr>
        <w:fldChar w:fldCharType="end"/>
      </w:r>
      <w:r>
        <w:rPr>
          <w:lang w:val="en-GB"/>
        </w:rPr>
        <w:tab/>
      </w:r>
      <w:r w:rsidRPr="004C70E6">
        <w:rPr>
          <w:lang w:val="en-GB"/>
        </w:rPr>
        <w:t>The WG-HRV</w:t>
      </w:r>
      <w:r>
        <w:rPr>
          <w:lang w:val="en-GB"/>
        </w:rPr>
        <w:t>, during its sixth meeting</w:t>
      </w:r>
      <w:r>
        <w:rPr>
          <w:rStyle w:val="FootnoteReference"/>
          <w:color w:val="262626"/>
        </w:rPr>
        <w:footnoteReference w:id="2"/>
      </w:r>
      <w:r>
        <w:rPr>
          <w:lang w:val="en-GB"/>
        </w:rPr>
        <w:t>,</w:t>
      </w:r>
      <w:r w:rsidRPr="004C70E6">
        <w:rPr>
          <w:lang w:val="en-GB"/>
        </w:rPr>
        <w:t xml:space="preserve"> </w:t>
      </w:r>
      <w:r>
        <w:rPr>
          <w:lang w:val="en-GB"/>
        </w:rPr>
        <w:t xml:space="preserve">agreed </w:t>
      </w:r>
      <w:r w:rsidRPr="004C70E6">
        <w:rPr>
          <w:lang w:val="en-GB"/>
        </w:rPr>
        <w:t>that</w:t>
      </w:r>
      <w:r w:rsidR="00F019EE">
        <w:rPr>
          <w:lang w:val="en-GB"/>
        </w:rPr>
        <w:t xml:space="preserve"> </w:t>
      </w:r>
      <w:r>
        <w:rPr>
          <w:lang w:val="en-GB"/>
        </w:rPr>
        <w:t xml:space="preserve">the </w:t>
      </w:r>
      <w:r w:rsidRPr="004C70E6">
        <w:rPr>
          <w:lang w:val="en-GB"/>
        </w:rPr>
        <w:t xml:space="preserve">final report </w:t>
      </w:r>
      <w:r>
        <w:rPr>
          <w:lang w:val="en-GB"/>
        </w:rPr>
        <w:t>would be expected by</w:t>
      </w:r>
      <w:r w:rsidRPr="004C70E6">
        <w:rPr>
          <w:lang w:val="en-GB"/>
        </w:rPr>
        <w:t xml:space="preserve"> September</w:t>
      </w:r>
      <w:r w:rsidR="00D3593A">
        <w:rPr>
          <w:lang w:val="en-GB"/>
        </w:rPr>
        <w:t> </w:t>
      </w:r>
      <w:r>
        <w:rPr>
          <w:lang w:val="en-GB"/>
        </w:rPr>
        <w:t xml:space="preserve">1, </w:t>
      </w:r>
      <w:r w:rsidRPr="004C70E6">
        <w:rPr>
          <w:lang w:val="en-GB"/>
        </w:rPr>
        <w:t>2025</w:t>
      </w:r>
      <w:r>
        <w:rPr>
          <w:lang w:val="en-GB"/>
        </w:rPr>
        <w:t xml:space="preserve">, </w:t>
      </w:r>
      <w:r>
        <w:t>as mentioned in the Terms of Reference.</w:t>
      </w:r>
    </w:p>
    <w:p w14:paraId="040C4369" w14:textId="77777777" w:rsidR="00D33FB4" w:rsidRDefault="00D33FB4" w:rsidP="00D33FB4">
      <w:pPr>
        <w:rPr>
          <w:lang w:val="en-GB"/>
        </w:rPr>
      </w:pPr>
    </w:p>
    <w:p w14:paraId="332E0867" w14:textId="5098CCBD" w:rsidR="00F019EE" w:rsidRPr="00F019EE" w:rsidRDefault="00F019EE" w:rsidP="00D33FB4">
      <w:r>
        <w:rPr>
          <w:lang w:val="en-GB"/>
        </w:rPr>
        <w:fldChar w:fldCharType="begin"/>
      </w:r>
      <w:r>
        <w:rPr>
          <w:lang w:val="en-GB"/>
        </w:rPr>
        <w:instrText xml:space="preserve"> AUTONUM  </w:instrText>
      </w:r>
      <w:r>
        <w:rPr>
          <w:lang w:val="en-GB"/>
        </w:rPr>
        <w:fldChar w:fldCharType="end"/>
      </w:r>
      <w:r>
        <w:rPr>
          <w:lang w:val="en-GB"/>
        </w:rPr>
        <w:tab/>
        <w:t>The Terms of Reference mentions that t</w:t>
      </w:r>
      <w:r w:rsidRPr="00F019EE">
        <w:rPr>
          <w:lang w:val="en-GB"/>
        </w:rPr>
        <w:t>he time could be prolonged upon request by the authors.</w:t>
      </w:r>
    </w:p>
    <w:p w14:paraId="48CF9334" w14:textId="77777777" w:rsidR="00F019EE" w:rsidRDefault="00F019EE" w:rsidP="00D33FB4">
      <w:pPr>
        <w:rPr>
          <w:lang w:val="en-GB"/>
        </w:rPr>
      </w:pPr>
    </w:p>
    <w:p w14:paraId="1A9BE146" w14:textId="47F1B1EC" w:rsidR="007A67D1" w:rsidRDefault="00F019EE" w:rsidP="00D33FB4">
      <w:pPr>
        <w:rPr>
          <w:lang w:val="en-GB"/>
        </w:rPr>
      </w:pPr>
      <w:r>
        <w:rPr>
          <w:lang w:val="en-GB"/>
        </w:rPr>
        <w:fldChar w:fldCharType="begin"/>
      </w:r>
      <w:r>
        <w:rPr>
          <w:lang w:val="en-GB"/>
        </w:rPr>
        <w:instrText xml:space="preserve"> AUTONUM  </w:instrText>
      </w:r>
      <w:r>
        <w:rPr>
          <w:lang w:val="en-GB"/>
        </w:rPr>
        <w:fldChar w:fldCharType="end"/>
      </w:r>
      <w:r>
        <w:rPr>
          <w:lang w:val="en-GB"/>
        </w:rPr>
        <w:tab/>
      </w:r>
      <w:bookmarkStart w:id="1" w:name="_Hlk209533210"/>
      <w:r>
        <w:rPr>
          <w:lang w:val="en-GB"/>
        </w:rPr>
        <w:t xml:space="preserve">With Circular </w:t>
      </w:r>
      <w:bookmarkStart w:id="2" w:name="_Hlk209444619"/>
      <w:r>
        <w:rPr>
          <w:lang w:val="en-GB"/>
        </w:rPr>
        <w:t>E-25/</w:t>
      </w:r>
      <w:r w:rsidR="007A67D1">
        <w:rPr>
          <w:lang w:val="en-GB"/>
        </w:rPr>
        <w:t>053</w:t>
      </w:r>
      <w:r>
        <w:rPr>
          <w:lang w:val="en-GB"/>
        </w:rPr>
        <w:t xml:space="preserve"> </w:t>
      </w:r>
      <w:bookmarkEnd w:id="2"/>
      <w:r>
        <w:rPr>
          <w:lang w:val="en-GB"/>
        </w:rPr>
        <w:t xml:space="preserve">of </w:t>
      </w:r>
      <w:r w:rsidR="007A67D1">
        <w:rPr>
          <w:lang w:val="en-GB"/>
        </w:rPr>
        <w:t>September 11</w:t>
      </w:r>
      <w:r>
        <w:rPr>
          <w:lang w:val="en-GB"/>
        </w:rPr>
        <w:t>, 2025, the WG-HRV was informed that the authors of the study requested to postpone the delivery date of the final report to December 15, 2025</w:t>
      </w:r>
      <w:r w:rsidR="007A67D1">
        <w:rPr>
          <w:lang w:val="en-GB"/>
        </w:rPr>
        <w:t>, as</w:t>
      </w:r>
      <w:r w:rsidR="007A67D1" w:rsidRPr="007A67D1">
        <w:rPr>
          <w:lang w:val="en-GB"/>
        </w:rPr>
        <w:t xml:space="preserve"> the scope of the study, particularly the review of the </w:t>
      </w:r>
      <w:r w:rsidR="007A67D1" w:rsidRPr="00F019EE">
        <w:rPr>
          <w:lang w:val="en-GB"/>
        </w:rPr>
        <w:t xml:space="preserve">history of the development of </w:t>
      </w:r>
      <w:r w:rsidR="00BE33F3">
        <w:rPr>
          <w:lang w:val="en-GB"/>
        </w:rPr>
        <w:t>A</w:t>
      </w:r>
      <w:r w:rsidR="00BE33F3" w:rsidRPr="00F019EE">
        <w:rPr>
          <w:lang w:val="en-GB"/>
        </w:rPr>
        <w:t xml:space="preserve">rticles </w:t>
      </w:r>
      <w:r w:rsidR="007A67D1" w:rsidRPr="00F019EE">
        <w:rPr>
          <w:lang w:val="en-GB"/>
        </w:rPr>
        <w:t>14 and 16 of the 1991 Act</w:t>
      </w:r>
      <w:r w:rsidR="007A67D1">
        <w:rPr>
          <w:lang w:val="en-GB"/>
        </w:rPr>
        <w:t>, was extensive</w:t>
      </w:r>
      <w:r w:rsidR="007A67D1" w:rsidRPr="007A67D1">
        <w:rPr>
          <w:lang w:val="en-GB"/>
        </w:rPr>
        <w:t xml:space="preserve"> </w:t>
      </w:r>
      <w:r w:rsidR="007A67D1">
        <w:rPr>
          <w:lang w:val="en-GB"/>
        </w:rPr>
        <w:t xml:space="preserve">and </w:t>
      </w:r>
      <w:r w:rsidR="007A67D1" w:rsidRPr="007A67D1">
        <w:rPr>
          <w:lang w:val="en-GB"/>
        </w:rPr>
        <w:t>the collection and analysis of material required more time than initially anticipated.</w:t>
      </w:r>
      <w:bookmarkEnd w:id="1"/>
    </w:p>
    <w:p w14:paraId="136F6932" w14:textId="77777777" w:rsidR="0004297B" w:rsidRPr="00D33FB4" w:rsidRDefault="0004297B" w:rsidP="0004297B">
      <w:pPr>
        <w:rPr>
          <w:lang w:val="en-GB"/>
        </w:rPr>
      </w:pPr>
    </w:p>
    <w:p w14:paraId="12E04540" w14:textId="77777777" w:rsidR="00D33FB4" w:rsidRDefault="00D33FB4" w:rsidP="00D33FB4"/>
    <w:p w14:paraId="40CD7068" w14:textId="224D729A" w:rsidR="00D33FB4" w:rsidRDefault="00D33FB4" w:rsidP="00D33FB4">
      <w:r>
        <w:t xml:space="preserve">PRESENTATION BY THE AUTTHORS DURING THE MEETING ON </w:t>
      </w:r>
      <w:r w:rsidR="00F019EE">
        <w:t>OCTOBER 22</w:t>
      </w:r>
      <w:r>
        <w:t>, 2025</w:t>
      </w:r>
    </w:p>
    <w:p w14:paraId="245E1C8D" w14:textId="77777777" w:rsidR="00D33FB4" w:rsidRDefault="00D33FB4" w:rsidP="00D33FB4"/>
    <w:p w14:paraId="497A0DBC" w14:textId="7D484DAE" w:rsidR="00D33FB4" w:rsidRDefault="00D33FB4" w:rsidP="00D33FB4">
      <w:r>
        <w:fldChar w:fldCharType="begin"/>
      </w:r>
      <w:r>
        <w:instrText xml:space="preserve"> AUTONUM  </w:instrText>
      </w:r>
      <w:r>
        <w:fldChar w:fldCharType="end"/>
      </w:r>
      <w:r>
        <w:tab/>
        <w:t xml:space="preserve">The authors will </w:t>
      </w:r>
      <w:r w:rsidR="007A67D1" w:rsidRPr="007A67D1">
        <w:t xml:space="preserve">present a draft study at the eighth meeting of the WG-HRV, on October 22, 2025, in </w:t>
      </w:r>
      <w:r w:rsidR="007A67D1">
        <w:t xml:space="preserve">person. This </w:t>
      </w:r>
      <w:r w:rsidR="00BE33F3">
        <w:t>draft study</w:t>
      </w:r>
      <w:r w:rsidR="007A67D1">
        <w:t xml:space="preserve"> is </w:t>
      </w:r>
      <w:r w:rsidRPr="00315110">
        <w:t>reproduced in Annex I</w:t>
      </w:r>
      <w:r>
        <w:t xml:space="preserve"> </w:t>
      </w:r>
      <w:r w:rsidR="006840D7">
        <w:t>of</w:t>
      </w:r>
      <w:r>
        <w:t xml:space="preserve"> this document.  </w:t>
      </w:r>
    </w:p>
    <w:p w14:paraId="2BEFF08F" w14:textId="77777777" w:rsidR="00561055" w:rsidRDefault="00561055" w:rsidP="00D33FB4"/>
    <w:p w14:paraId="03EFDB25" w14:textId="149C1F01" w:rsidR="00BE33F3" w:rsidRDefault="00561055" w:rsidP="00BE33F3">
      <w:r>
        <w:fldChar w:fldCharType="begin"/>
      </w:r>
      <w:r>
        <w:instrText xml:space="preserve"> AUTONUM  </w:instrText>
      </w:r>
      <w:r>
        <w:fldChar w:fldCharType="end"/>
      </w:r>
      <w:r>
        <w:tab/>
      </w:r>
      <w:r w:rsidRPr="00561055">
        <w:t xml:space="preserve">The authors will be ready to deliver a </w:t>
      </w:r>
      <w:bookmarkStart w:id="3" w:name="_Hlk209444516"/>
      <w:r w:rsidRPr="00561055">
        <w:t xml:space="preserve">final </w:t>
      </w:r>
      <w:r w:rsidR="00BE33F3">
        <w:t>version of the study</w:t>
      </w:r>
      <w:r w:rsidR="00BE33F3" w:rsidRPr="00561055">
        <w:t xml:space="preserve"> </w:t>
      </w:r>
      <w:bookmarkEnd w:id="3"/>
      <w:r w:rsidRPr="00561055">
        <w:t>on December 15, 2025</w:t>
      </w:r>
      <w:r>
        <w:t>,</w:t>
      </w:r>
      <w:r w:rsidRPr="00561055">
        <w:t xml:space="preserve"> to the Office of the Union.</w:t>
      </w:r>
      <w:r w:rsidR="00D26695">
        <w:t xml:space="preserve"> </w:t>
      </w:r>
      <w:r w:rsidRPr="00561055">
        <w:t xml:space="preserve"> The </w:t>
      </w:r>
      <w:r w:rsidR="00D3593A">
        <w:t>study</w:t>
      </w:r>
      <w:r w:rsidRPr="00561055">
        <w:t xml:space="preserve"> will be made available to the WG-HRV in January 2026, giving the members time to consider the </w:t>
      </w:r>
      <w:r w:rsidR="00BE33F3" w:rsidRPr="00BE33F3">
        <w:t>final version of the study</w:t>
      </w:r>
      <w:r w:rsidRPr="00561055">
        <w:t xml:space="preserve"> before the ninth meeting of the WG-HRV, foreseen to take place in March 2026, date to be confirmed.</w:t>
      </w:r>
      <w:r w:rsidR="00BE33F3">
        <w:t xml:space="preserve"> </w:t>
      </w:r>
      <w:r w:rsidR="00BE33F3" w:rsidRPr="00315110">
        <w:t xml:space="preserve">The Terms of Reference of the study </w:t>
      </w:r>
      <w:r w:rsidR="00BE33F3">
        <w:t xml:space="preserve">as </w:t>
      </w:r>
      <w:r w:rsidR="00BE33F3" w:rsidRPr="00315110">
        <w:t xml:space="preserve">approved by the WG-HRV, at </w:t>
      </w:r>
      <w:r w:rsidR="00BE33F3" w:rsidRPr="00315110">
        <w:rPr>
          <w:lang w:val="en-GB"/>
        </w:rPr>
        <w:t xml:space="preserve">its sixth meeting, </w:t>
      </w:r>
      <w:r w:rsidR="00BE33F3">
        <w:rPr>
          <w:lang w:val="en-GB"/>
        </w:rPr>
        <w:t xml:space="preserve">and amended by Circular </w:t>
      </w:r>
      <w:r w:rsidR="00BE33F3" w:rsidRPr="00BE33F3">
        <w:rPr>
          <w:lang w:val="en-GB"/>
        </w:rPr>
        <w:t>E-25/053</w:t>
      </w:r>
      <w:r w:rsidR="00BE33F3">
        <w:rPr>
          <w:lang w:val="en-GB"/>
        </w:rPr>
        <w:t>,</w:t>
      </w:r>
      <w:r w:rsidR="00BE33F3" w:rsidRPr="00BE33F3">
        <w:rPr>
          <w:lang w:val="en-GB"/>
        </w:rPr>
        <w:t xml:space="preserve"> </w:t>
      </w:r>
      <w:r w:rsidR="00BE33F3" w:rsidRPr="00315110">
        <w:t>are reproduced in Annex II of</w:t>
      </w:r>
      <w:r w:rsidR="00BE33F3">
        <w:t xml:space="preserve"> this document.</w:t>
      </w:r>
    </w:p>
    <w:p w14:paraId="4049573A" w14:textId="23B6D2F0" w:rsidR="00561055" w:rsidRDefault="00561055" w:rsidP="00D33FB4"/>
    <w:p w14:paraId="2E1206A9" w14:textId="77777777" w:rsidR="002A7C98" w:rsidRPr="00606666" w:rsidRDefault="002A7C98" w:rsidP="002A7C98"/>
    <w:p w14:paraId="0496517F" w14:textId="68226E9A" w:rsidR="002A7C98" w:rsidRPr="00606666" w:rsidRDefault="002A7C98" w:rsidP="002A7C98">
      <w:pPr>
        <w:pStyle w:val="DecisionParagraphs"/>
        <w:rPr>
          <w:rFonts w:cs="Arial"/>
          <w:highlight w:val="yellow"/>
        </w:rPr>
      </w:pPr>
      <w:r w:rsidRPr="00606666">
        <w:rPr>
          <w:rFonts w:cs="Arial"/>
        </w:rPr>
        <w:fldChar w:fldCharType="begin"/>
      </w:r>
      <w:r w:rsidRPr="00606666">
        <w:rPr>
          <w:rFonts w:cs="Arial"/>
        </w:rPr>
        <w:instrText xml:space="preserve"> AUTONUM  </w:instrText>
      </w:r>
      <w:r w:rsidRPr="00606666">
        <w:rPr>
          <w:rFonts w:cs="Arial"/>
        </w:rPr>
        <w:fldChar w:fldCharType="end"/>
      </w:r>
      <w:r w:rsidRPr="00606666">
        <w:rPr>
          <w:rFonts w:cs="Arial"/>
        </w:rPr>
        <w:tab/>
        <w:t xml:space="preserve">The </w:t>
      </w:r>
      <w:r w:rsidR="004B2FB1">
        <w:rPr>
          <w:rFonts w:cs="Arial"/>
        </w:rPr>
        <w:t>WG-HRV</w:t>
      </w:r>
      <w:r w:rsidRPr="00606666">
        <w:rPr>
          <w:rFonts w:cs="Arial"/>
        </w:rPr>
        <w:t xml:space="preserve"> is invited to note the</w:t>
      </w:r>
      <w:r>
        <w:rPr>
          <w:rFonts w:cs="Arial"/>
        </w:rPr>
        <w:t xml:space="preserve"> draft study provided in Annex</w:t>
      </w:r>
      <w:r w:rsidR="00D2328B">
        <w:rPr>
          <w:rFonts w:cs="Arial"/>
        </w:rPr>
        <w:t xml:space="preserve"> I</w:t>
      </w:r>
      <w:r>
        <w:rPr>
          <w:rFonts w:cs="Arial"/>
        </w:rPr>
        <w:t xml:space="preserve"> to this document</w:t>
      </w:r>
      <w:r w:rsidRPr="00606666">
        <w:rPr>
          <w:rFonts w:cs="Arial"/>
        </w:rPr>
        <w:t>.</w:t>
      </w:r>
    </w:p>
    <w:p w14:paraId="15C12F49" w14:textId="77777777" w:rsidR="002A7C98" w:rsidRPr="00606666" w:rsidRDefault="002A7C98" w:rsidP="002A7C98"/>
    <w:p w14:paraId="1F210F31" w14:textId="77777777" w:rsidR="00544581" w:rsidRDefault="00544581">
      <w:pPr>
        <w:jc w:val="left"/>
      </w:pPr>
    </w:p>
    <w:p w14:paraId="525088C4" w14:textId="77777777" w:rsidR="00050E16" w:rsidRPr="00C651CE" w:rsidRDefault="00050E16" w:rsidP="00050E16"/>
    <w:p w14:paraId="769BA95B" w14:textId="7105A575" w:rsidR="00561055" w:rsidRDefault="00050E16" w:rsidP="00050E16">
      <w:pPr>
        <w:jc w:val="right"/>
      </w:pPr>
      <w:r w:rsidRPr="00C5280D">
        <w:t>[</w:t>
      </w:r>
      <w:r w:rsidR="00561055">
        <w:t>Annex I follows</w:t>
      </w:r>
      <w:r w:rsidRPr="00C5280D">
        <w:t>]</w:t>
      </w:r>
    </w:p>
    <w:p w14:paraId="58081C87" w14:textId="7C5208B9" w:rsidR="00561055" w:rsidRDefault="00561055" w:rsidP="00561055">
      <w:pPr>
        <w:jc w:val="left"/>
      </w:pPr>
    </w:p>
    <w:p w14:paraId="72258C21" w14:textId="77777777" w:rsidR="005C7CCD" w:rsidRDefault="005C7CCD" w:rsidP="00561055">
      <w:pPr>
        <w:jc w:val="left"/>
        <w:sectPr w:rsidR="005C7CCD" w:rsidSect="0004198B">
          <w:headerReference w:type="default" r:id="rId9"/>
          <w:pgSz w:w="11907" w:h="16840" w:code="9"/>
          <w:pgMar w:top="510" w:right="1134" w:bottom="1134" w:left="1134" w:header="510" w:footer="680" w:gutter="0"/>
          <w:pgNumType w:start="1"/>
          <w:cols w:space="720"/>
          <w:titlePg/>
        </w:sectPr>
      </w:pPr>
    </w:p>
    <w:p w14:paraId="3724C71C" w14:textId="6DBCBC61" w:rsidR="002A7C98" w:rsidRPr="002A7C98" w:rsidRDefault="002A7C98" w:rsidP="00315110">
      <w:pPr>
        <w:jc w:val="center"/>
      </w:pPr>
      <w:r w:rsidRPr="00315110">
        <w:rPr>
          <w:b/>
          <w:bCs/>
        </w:rPr>
        <w:lastRenderedPageBreak/>
        <w:t>Draft Study</w:t>
      </w:r>
    </w:p>
    <w:p w14:paraId="4B7818A6" w14:textId="77777777" w:rsidR="002A7C98" w:rsidRDefault="002A7C98" w:rsidP="006C6976">
      <w:pPr>
        <w:jc w:val="left"/>
      </w:pPr>
    </w:p>
    <w:p w14:paraId="054BFB5D" w14:textId="7D6CA162" w:rsidR="006C6976" w:rsidRPr="006C6976" w:rsidRDefault="006C6976" w:rsidP="006C6976">
      <w:pPr>
        <w:jc w:val="left"/>
      </w:pPr>
      <w:r w:rsidRPr="006C6976">
        <w:t>STUDY ON THE "SCOPE OF THE BREEDER'S RIGHT" AND THE RELATIONSHIP WITH THE "EXHAUSTION OF THE BREEDER'S RIGHT"</w:t>
      </w:r>
    </w:p>
    <w:p w14:paraId="4EF6DACD" w14:textId="77777777" w:rsidR="006C6976" w:rsidRPr="006C6976" w:rsidRDefault="006C6976" w:rsidP="006C6976">
      <w:pPr>
        <w:jc w:val="left"/>
      </w:pPr>
    </w:p>
    <w:p w14:paraId="6F34D744" w14:textId="77777777" w:rsidR="006C6976" w:rsidRPr="006C6976" w:rsidRDefault="006C6976" w:rsidP="006C6976">
      <w:pPr>
        <w:jc w:val="left"/>
      </w:pPr>
      <w:r w:rsidRPr="006C6976">
        <w:t>by the members of the Expert Group:</w:t>
      </w:r>
    </w:p>
    <w:p w14:paraId="59334204" w14:textId="77777777" w:rsidR="006C6976" w:rsidRPr="006C6976" w:rsidRDefault="006C6976" w:rsidP="006C6976">
      <w:pPr>
        <w:jc w:val="left"/>
      </w:pPr>
    </w:p>
    <w:p w14:paraId="1E78661A" w14:textId="77777777" w:rsidR="006C6976" w:rsidRPr="006C6976" w:rsidRDefault="006C6976" w:rsidP="006C6976">
      <w:pPr>
        <w:jc w:val="left"/>
      </w:pPr>
      <w:r w:rsidRPr="006C6976">
        <w:t>Huib Ghijsen, Viviane Kunisawa, Charles Lawson, Axel Metzger, Joseph Straus</w:t>
      </w:r>
    </w:p>
    <w:p w14:paraId="0BF1B456" w14:textId="77777777" w:rsidR="006C6976" w:rsidRPr="006C6976" w:rsidRDefault="006C6976" w:rsidP="006C6976">
      <w:pPr>
        <w:jc w:val="left"/>
      </w:pPr>
    </w:p>
    <w:p w14:paraId="52A00642" w14:textId="573FFE57" w:rsidR="006C6976" w:rsidRPr="00315110" w:rsidRDefault="006C6976" w:rsidP="006C6976">
      <w:pPr>
        <w:jc w:val="left"/>
        <w:rPr>
          <w:b/>
          <w:bCs/>
        </w:rPr>
      </w:pPr>
      <w:r w:rsidRPr="00315110">
        <w:rPr>
          <w:b/>
          <w:bCs/>
        </w:rPr>
        <w:t>Interim Report September 2025</w:t>
      </w:r>
      <w:r w:rsidR="002A7C98" w:rsidRPr="00315110">
        <w:rPr>
          <w:b/>
          <w:bCs/>
        </w:rPr>
        <w:t xml:space="preserve"> </w:t>
      </w:r>
    </w:p>
    <w:p w14:paraId="601CE299" w14:textId="77777777" w:rsidR="006C6976" w:rsidRPr="00315110" w:rsidRDefault="006C6976" w:rsidP="006C6976">
      <w:pPr>
        <w:jc w:val="left"/>
        <w:rPr>
          <w:b/>
        </w:rPr>
      </w:pPr>
    </w:p>
    <w:p w14:paraId="4F2DF281" w14:textId="77777777" w:rsidR="006C6976" w:rsidRPr="006C6976" w:rsidRDefault="006C6976" w:rsidP="006C6976">
      <w:pPr>
        <w:jc w:val="left"/>
      </w:pPr>
      <w:r w:rsidRPr="006C6976">
        <w:t>Terms of Reference, Annex to the document CAJ/81/5 Add:</w:t>
      </w:r>
    </w:p>
    <w:p w14:paraId="30BD206C" w14:textId="77777777" w:rsidR="006C6976" w:rsidRPr="006C6976" w:rsidRDefault="006C6976" w:rsidP="006C6976">
      <w:pPr>
        <w:jc w:val="left"/>
      </w:pPr>
    </w:p>
    <w:p w14:paraId="629195BD" w14:textId="77777777" w:rsidR="006C6976" w:rsidRPr="006C6976" w:rsidRDefault="006C6976" w:rsidP="00F465C7">
      <w:pPr>
        <w:numPr>
          <w:ilvl w:val="0"/>
          <w:numId w:val="3"/>
        </w:numPr>
      </w:pPr>
      <w:r w:rsidRPr="006C6976">
        <w:t>Analysis of the intentions of the drafters of the 1991 Act of the UPOV Convention in relation to the “Scope of the Breeder’s Right” in Article 14(1) and (2) of the 1991 Act, including the notions of “unauthorized use” and “reasonable opportunity” and the relationship with the “Exhaustion of the Breeder’s Right” in Article 16 of the 1991 Act; and</w:t>
      </w:r>
    </w:p>
    <w:p w14:paraId="062A70F2" w14:textId="77777777" w:rsidR="006C6976" w:rsidRPr="006C6976" w:rsidRDefault="006C6976" w:rsidP="00F465C7">
      <w:pPr>
        <w:numPr>
          <w:ilvl w:val="0"/>
          <w:numId w:val="3"/>
        </w:numPr>
      </w:pPr>
      <w:r w:rsidRPr="006C6976">
        <w:t>Summaries of relevant court cases from UPOV members bound by the 1991 Act.</w:t>
      </w:r>
    </w:p>
    <w:p w14:paraId="253B9C01" w14:textId="77777777" w:rsidR="006C6976" w:rsidRPr="006C6976" w:rsidRDefault="006C6976" w:rsidP="00F465C7"/>
    <w:p w14:paraId="7ADC8CA7" w14:textId="77777777" w:rsidR="006C6976" w:rsidRPr="006C6976" w:rsidRDefault="006C6976" w:rsidP="00F465C7">
      <w:proofErr w:type="gramStart"/>
      <w:r w:rsidRPr="006C6976">
        <w:t>On account of</w:t>
      </w:r>
      <w:proofErr w:type="gramEnd"/>
      <w:r w:rsidRPr="006C6976">
        <w:t xml:space="preserve"> a time frame appearing too tight for this extensive study, the relationship of unauthorized use” and “reasonable opportunity” with the “Exhaustion of the Breeder’s Right” has not yet been analyzed.</w:t>
      </w:r>
    </w:p>
    <w:p w14:paraId="7A0CEF01" w14:textId="77777777" w:rsidR="006C6976" w:rsidRPr="006C6976" w:rsidRDefault="006C6976" w:rsidP="00F465C7"/>
    <w:p w14:paraId="5D3A01CE" w14:textId="77777777" w:rsidR="006C6976" w:rsidRPr="006C6976" w:rsidRDefault="006C6976" w:rsidP="00F465C7">
      <w:pPr>
        <w:rPr>
          <w:b/>
          <w:bCs/>
        </w:rPr>
      </w:pPr>
      <w:r w:rsidRPr="006C6976">
        <w:rPr>
          <w:b/>
          <w:bCs/>
        </w:rPr>
        <w:t>The provisional results of the study:</w:t>
      </w:r>
    </w:p>
    <w:p w14:paraId="15643333" w14:textId="77777777" w:rsidR="006C6976" w:rsidRPr="006C6976" w:rsidRDefault="006C6976" w:rsidP="00F465C7">
      <w:pPr>
        <w:rPr>
          <w:b/>
        </w:rPr>
      </w:pPr>
    </w:p>
    <w:p w14:paraId="400CEC91" w14:textId="77777777" w:rsidR="006C6976" w:rsidRPr="006C6976" w:rsidRDefault="006C6976" w:rsidP="00F465C7">
      <w:r w:rsidRPr="006C6976">
        <w:t>The Expert Group (the Group) had 4 meetings via Teams in the period April – July 2025. The Group analyzed the history of the 1978 and 1991 UPOV Conventions and the intentions of the drafters, for the concepts of article 14(2) of UPOV 1991, viz. “unauthorized use”, “reasonable opportunity”, “propagating material” and “harvested material”, by studying the preparatory papers and the records of the diplomatic conferences, together with the relevant jurisprudence. The study on the concepts of “propagating material” and “harvested material” were performed as they are also regarded as an integral part of article 14(2) UPOV 1991.</w:t>
      </w:r>
    </w:p>
    <w:p w14:paraId="4ADC43A0" w14:textId="77777777" w:rsidR="006C6976" w:rsidRPr="006C6976" w:rsidRDefault="006C6976" w:rsidP="006C6976">
      <w:pPr>
        <w:jc w:val="left"/>
      </w:pPr>
    </w:p>
    <w:p w14:paraId="7F1B3FDE" w14:textId="77777777" w:rsidR="006C6976" w:rsidRPr="006C6976" w:rsidRDefault="006C6976" w:rsidP="006C6976">
      <w:pPr>
        <w:jc w:val="left"/>
      </w:pPr>
      <w:proofErr w:type="gramStart"/>
      <w:r w:rsidRPr="006C6976">
        <w:t>On the basis of</w:t>
      </w:r>
      <w:proofErr w:type="gramEnd"/>
      <w:r w:rsidRPr="006C6976">
        <w:t xml:space="preserve"> these extensive studies, the Group arrives at the following provisional and summarized conclusions:</w:t>
      </w:r>
    </w:p>
    <w:p w14:paraId="536E1352" w14:textId="77777777" w:rsidR="006C6976" w:rsidRPr="006C6976" w:rsidRDefault="006C6976" w:rsidP="006C6976">
      <w:pPr>
        <w:jc w:val="left"/>
      </w:pPr>
    </w:p>
    <w:p w14:paraId="40E80B61" w14:textId="77777777" w:rsidR="006C6976" w:rsidRPr="006C6976" w:rsidRDefault="006C6976" w:rsidP="006C6976">
      <w:pPr>
        <w:numPr>
          <w:ilvl w:val="0"/>
          <w:numId w:val="2"/>
        </w:numPr>
        <w:rPr>
          <w:b/>
          <w:bCs/>
        </w:rPr>
      </w:pPr>
      <w:r w:rsidRPr="006C6976">
        <w:rPr>
          <w:b/>
          <w:bCs/>
        </w:rPr>
        <w:t>Unauthorized use</w:t>
      </w:r>
    </w:p>
    <w:p w14:paraId="210952DE" w14:textId="77777777" w:rsidR="006C6976" w:rsidRPr="006C6976" w:rsidRDefault="006C6976" w:rsidP="006C6976">
      <w:pPr>
        <w:jc w:val="left"/>
        <w:rPr>
          <w:b/>
        </w:rPr>
      </w:pPr>
    </w:p>
    <w:p w14:paraId="7DBCE530" w14:textId="77777777" w:rsidR="006C6976" w:rsidRPr="006C6976" w:rsidRDefault="006C6976" w:rsidP="006C6976">
      <w:pPr>
        <w:numPr>
          <w:ilvl w:val="1"/>
          <w:numId w:val="2"/>
        </w:numPr>
        <w:jc w:val="left"/>
      </w:pPr>
      <w:r w:rsidRPr="006C6976">
        <w:t>The analysis of the Preparatory Documents and the Records of the Diplomatic Conference as regards the notion of "unauthorized use of propagating material" of the protected variety in Article 14 (1) (b), now Article 14 (2) UPOV 1991, leads to the following conclusions:</w:t>
      </w:r>
    </w:p>
    <w:p w14:paraId="52B15AC6" w14:textId="77777777" w:rsidR="006C6976" w:rsidRPr="006C6976" w:rsidRDefault="006C6976" w:rsidP="006C6976">
      <w:pPr>
        <w:jc w:val="left"/>
      </w:pPr>
    </w:p>
    <w:p w14:paraId="78F42CFA" w14:textId="77777777" w:rsidR="006C6976" w:rsidRDefault="006C6976" w:rsidP="006C6976">
      <w:pPr>
        <w:numPr>
          <w:ilvl w:val="1"/>
          <w:numId w:val="2"/>
        </w:numPr>
        <w:jc w:val="left"/>
      </w:pPr>
      <w:r w:rsidRPr="006C6976">
        <w:t>Any use specified in Article 14 (1) (a) UPOV 1991, including any conditioned under Article 14 (1) (b), of propagating material of a protected variety, requires authorization of the owner of the breeder's right related to that variety. It is otherwise an unauthorized use.</w:t>
      </w:r>
    </w:p>
    <w:p w14:paraId="6D1ACD0B" w14:textId="77777777" w:rsidR="006C6976" w:rsidRDefault="006C6976" w:rsidP="006C6976">
      <w:pPr>
        <w:pStyle w:val="ListParagraph"/>
      </w:pPr>
    </w:p>
    <w:p w14:paraId="383914B6" w14:textId="77777777" w:rsidR="006C6976" w:rsidRPr="00981F05" w:rsidRDefault="006C6976" w:rsidP="006C6976">
      <w:pPr>
        <w:pStyle w:val="ListParagraph"/>
        <w:widowControl w:val="0"/>
        <w:numPr>
          <w:ilvl w:val="1"/>
          <w:numId w:val="2"/>
        </w:numPr>
        <w:tabs>
          <w:tab w:val="left" w:pos="835"/>
          <w:tab w:val="left" w:pos="836"/>
        </w:tabs>
        <w:autoSpaceDE w:val="0"/>
        <w:autoSpaceDN w:val="0"/>
        <w:spacing w:before="76"/>
        <w:ind w:right="208"/>
        <w:contextualSpacing w:val="0"/>
        <w:rPr>
          <w:rFonts w:cs="Arial"/>
        </w:rPr>
      </w:pPr>
      <w:r w:rsidRPr="00981F05">
        <w:rPr>
          <w:rFonts w:cs="Arial"/>
        </w:rPr>
        <w:t>The</w:t>
      </w:r>
      <w:r w:rsidRPr="00981F05">
        <w:rPr>
          <w:rFonts w:cs="Arial"/>
          <w:spacing w:val="-4"/>
        </w:rPr>
        <w:t xml:space="preserve"> </w:t>
      </w:r>
      <w:r w:rsidRPr="00981F05">
        <w:rPr>
          <w:rFonts w:cs="Arial"/>
        </w:rPr>
        <w:t>notion</w:t>
      </w:r>
      <w:r w:rsidRPr="00981F05">
        <w:rPr>
          <w:rFonts w:cs="Arial"/>
          <w:spacing w:val="-3"/>
        </w:rPr>
        <w:t xml:space="preserve"> </w:t>
      </w:r>
      <w:r w:rsidRPr="00981F05">
        <w:rPr>
          <w:rFonts w:cs="Arial"/>
        </w:rPr>
        <w:t>‘unauthorized’</w:t>
      </w:r>
      <w:r w:rsidRPr="00981F05">
        <w:rPr>
          <w:rFonts w:cs="Arial"/>
          <w:spacing w:val="-3"/>
        </w:rPr>
        <w:t xml:space="preserve"> </w:t>
      </w:r>
      <w:r w:rsidRPr="00981F05">
        <w:rPr>
          <w:rFonts w:cs="Arial"/>
        </w:rPr>
        <w:t>in</w:t>
      </w:r>
      <w:r w:rsidRPr="00981F05">
        <w:rPr>
          <w:rFonts w:cs="Arial"/>
          <w:spacing w:val="-3"/>
        </w:rPr>
        <w:t xml:space="preserve"> </w:t>
      </w:r>
      <w:r w:rsidRPr="00981F05">
        <w:rPr>
          <w:rFonts w:cs="Arial"/>
        </w:rPr>
        <w:t>Article</w:t>
      </w:r>
      <w:r w:rsidRPr="00981F05">
        <w:rPr>
          <w:rFonts w:cs="Arial"/>
          <w:spacing w:val="-4"/>
        </w:rPr>
        <w:t xml:space="preserve"> </w:t>
      </w:r>
      <w:r w:rsidRPr="00981F05">
        <w:rPr>
          <w:rFonts w:cs="Arial"/>
        </w:rPr>
        <w:t>14</w:t>
      </w:r>
      <w:r w:rsidRPr="00981F05">
        <w:rPr>
          <w:rFonts w:cs="Arial"/>
          <w:spacing w:val="-3"/>
        </w:rPr>
        <w:t xml:space="preserve"> </w:t>
      </w:r>
      <w:r w:rsidRPr="00981F05">
        <w:rPr>
          <w:rFonts w:cs="Arial"/>
        </w:rPr>
        <w:t>(2)</w:t>
      </w:r>
      <w:r w:rsidRPr="00981F05">
        <w:rPr>
          <w:rFonts w:cs="Arial"/>
          <w:spacing w:val="-3"/>
        </w:rPr>
        <w:t xml:space="preserve"> </w:t>
      </w:r>
      <w:r w:rsidRPr="00981F05">
        <w:rPr>
          <w:rFonts w:cs="Arial"/>
        </w:rPr>
        <w:t>UPOV</w:t>
      </w:r>
      <w:r w:rsidRPr="00981F05">
        <w:rPr>
          <w:rFonts w:cs="Arial"/>
          <w:spacing w:val="-3"/>
        </w:rPr>
        <w:t xml:space="preserve"> </w:t>
      </w:r>
      <w:r w:rsidRPr="00981F05">
        <w:rPr>
          <w:rFonts w:cs="Arial"/>
        </w:rPr>
        <w:t>1991</w:t>
      </w:r>
      <w:r w:rsidRPr="00981F05">
        <w:rPr>
          <w:rFonts w:cs="Arial"/>
          <w:spacing w:val="-3"/>
        </w:rPr>
        <w:t xml:space="preserve"> </w:t>
      </w:r>
      <w:r w:rsidRPr="00981F05">
        <w:rPr>
          <w:rFonts w:cs="Arial"/>
        </w:rPr>
        <w:t>relates</w:t>
      </w:r>
      <w:r w:rsidRPr="00981F05">
        <w:rPr>
          <w:rFonts w:cs="Arial"/>
          <w:spacing w:val="-3"/>
        </w:rPr>
        <w:t xml:space="preserve"> </w:t>
      </w:r>
      <w:r w:rsidRPr="00981F05">
        <w:rPr>
          <w:rFonts w:cs="Arial"/>
        </w:rPr>
        <w:t>to</w:t>
      </w:r>
      <w:r w:rsidRPr="00981F05">
        <w:rPr>
          <w:rFonts w:cs="Arial"/>
          <w:spacing w:val="-3"/>
        </w:rPr>
        <w:t xml:space="preserve"> </w:t>
      </w:r>
      <w:r w:rsidRPr="00981F05">
        <w:rPr>
          <w:rFonts w:cs="Arial"/>
        </w:rPr>
        <w:t>the</w:t>
      </w:r>
      <w:r w:rsidRPr="00981F05">
        <w:rPr>
          <w:rFonts w:cs="Arial"/>
          <w:spacing w:val="-4"/>
        </w:rPr>
        <w:t xml:space="preserve"> </w:t>
      </w:r>
      <w:r w:rsidRPr="00981F05">
        <w:rPr>
          <w:rFonts w:cs="Arial"/>
        </w:rPr>
        <w:t>authorization</w:t>
      </w:r>
      <w:r w:rsidRPr="00981F05">
        <w:rPr>
          <w:rFonts w:cs="Arial"/>
          <w:spacing w:val="-3"/>
        </w:rPr>
        <w:t xml:space="preserve"> </w:t>
      </w:r>
      <w:r w:rsidRPr="00981F05">
        <w:rPr>
          <w:rFonts w:cs="Arial"/>
        </w:rPr>
        <w:t>of the holder of the breeder's right at issue and not to the legal status of the propagating material used for obtaining the harvested material. It is irrelevant whether the use of the propagating material outside the territory where the respective breeder’s right is granted, valid and enforced, is covered by any proprietary right or not, i.e. legally or illegally used.</w:t>
      </w:r>
    </w:p>
    <w:p w14:paraId="00DC4B62" w14:textId="77777777" w:rsidR="006C6976" w:rsidRPr="00981F05" w:rsidRDefault="006C6976" w:rsidP="006C6976">
      <w:pPr>
        <w:pStyle w:val="BodyText"/>
        <w:spacing w:before="10"/>
        <w:rPr>
          <w:rFonts w:cs="Arial"/>
        </w:rPr>
      </w:pPr>
    </w:p>
    <w:p w14:paraId="1E44AA19" w14:textId="77777777" w:rsidR="006C6976" w:rsidRPr="00981F05" w:rsidRDefault="006C6976" w:rsidP="006C6976">
      <w:pPr>
        <w:pStyle w:val="ListParagraph"/>
        <w:widowControl w:val="0"/>
        <w:numPr>
          <w:ilvl w:val="1"/>
          <w:numId w:val="2"/>
        </w:numPr>
        <w:tabs>
          <w:tab w:val="left" w:pos="835"/>
          <w:tab w:val="left" w:pos="836"/>
        </w:tabs>
        <w:autoSpaceDE w:val="0"/>
        <w:autoSpaceDN w:val="0"/>
        <w:spacing w:line="292" w:lineRule="exact"/>
        <w:ind w:hanging="361"/>
        <w:contextualSpacing w:val="0"/>
        <w:rPr>
          <w:rFonts w:cs="Arial"/>
        </w:rPr>
      </w:pPr>
      <w:r w:rsidRPr="00981F05">
        <w:rPr>
          <w:rFonts w:cs="Arial"/>
        </w:rPr>
        <w:t>The</w:t>
      </w:r>
      <w:r w:rsidRPr="00981F05">
        <w:rPr>
          <w:rFonts w:cs="Arial"/>
          <w:spacing w:val="-5"/>
        </w:rPr>
        <w:t xml:space="preserve"> </w:t>
      </w:r>
      <w:r w:rsidRPr="00981F05">
        <w:rPr>
          <w:rFonts w:cs="Arial"/>
        </w:rPr>
        <w:t>two</w:t>
      </w:r>
      <w:r w:rsidRPr="00981F05">
        <w:rPr>
          <w:rFonts w:cs="Arial"/>
          <w:spacing w:val="-1"/>
        </w:rPr>
        <w:t xml:space="preserve"> </w:t>
      </w:r>
      <w:r w:rsidRPr="00981F05">
        <w:rPr>
          <w:rFonts w:cs="Arial"/>
        </w:rPr>
        <w:t>preconditions</w:t>
      </w:r>
      <w:r w:rsidRPr="00981F05">
        <w:rPr>
          <w:rFonts w:cs="Arial"/>
          <w:spacing w:val="-1"/>
        </w:rPr>
        <w:t xml:space="preserve"> </w:t>
      </w:r>
      <w:r w:rsidRPr="00981F05">
        <w:rPr>
          <w:rFonts w:cs="Arial"/>
        </w:rPr>
        <w:t>for</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extension</w:t>
      </w:r>
      <w:r w:rsidRPr="00981F05">
        <w:rPr>
          <w:rFonts w:cs="Arial"/>
          <w:spacing w:val="-1"/>
        </w:rPr>
        <w:t xml:space="preserve"> </w:t>
      </w:r>
      <w:r w:rsidRPr="00981F05">
        <w:rPr>
          <w:rFonts w:cs="Arial"/>
        </w:rPr>
        <w:t>of</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breeder’s</w:t>
      </w:r>
      <w:r w:rsidRPr="00981F05">
        <w:rPr>
          <w:rFonts w:cs="Arial"/>
          <w:spacing w:val="-1"/>
        </w:rPr>
        <w:t xml:space="preserve"> </w:t>
      </w:r>
      <w:r w:rsidRPr="00981F05">
        <w:rPr>
          <w:rFonts w:cs="Arial"/>
        </w:rPr>
        <w:t>right</w:t>
      </w:r>
      <w:r w:rsidRPr="00981F05">
        <w:rPr>
          <w:rFonts w:cs="Arial"/>
          <w:spacing w:val="-2"/>
        </w:rPr>
        <w:t xml:space="preserve"> </w:t>
      </w:r>
      <w:r w:rsidRPr="00981F05">
        <w:rPr>
          <w:rFonts w:cs="Arial"/>
        </w:rPr>
        <w:t>to</w:t>
      </w:r>
      <w:r w:rsidRPr="00981F05">
        <w:rPr>
          <w:rFonts w:cs="Arial"/>
          <w:spacing w:val="-1"/>
        </w:rPr>
        <w:t xml:space="preserve"> </w:t>
      </w:r>
      <w:r w:rsidRPr="00981F05">
        <w:rPr>
          <w:rFonts w:cs="Arial"/>
        </w:rPr>
        <w:t>harvested</w:t>
      </w:r>
      <w:r w:rsidRPr="00981F05">
        <w:rPr>
          <w:rFonts w:cs="Arial"/>
          <w:spacing w:val="-1"/>
        </w:rPr>
        <w:t xml:space="preserve"> </w:t>
      </w:r>
      <w:r w:rsidRPr="00981F05">
        <w:rPr>
          <w:rFonts w:cs="Arial"/>
          <w:spacing w:val="-2"/>
        </w:rPr>
        <w:t>material,</w:t>
      </w:r>
    </w:p>
    <w:p w14:paraId="4B3E3D1A" w14:textId="77777777" w:rsidR="006C6976" w:rsidRPr="00981F05" w:rsidRDefault="006C6976" w:rsidP="006C6976">
      <w:pPr>
        <w:pStyle w:val="BodyText"/>
        <w:ind w:left="836" w:right="174"/>
        <w:rPr>
          <w:rFonts w:cs="Arial"/>
        </w:rPr>
      </w:pPr>
      <w:r w:rsidRPr="00981F05">
        <w:rPr>
          <w:rFonts w:cs="Arial"/>
        </w:rPr>
        <w:t>i.e. "unauthorized use" of the propagating material of the protected variety, and that the</w:t>
      </w:r>
      <w:r w:rsidRPr="00981F05">
        <w:rPr>
          <w:rFonts w:cs="Arial"/>
          <w:spacing w:val="-3"/>
        </w:rPr>
        <w:t xml:space="preserve"> </w:t>
      </w:r>
      <w:r w:rsidRPr="00981F05">
        <w:rPr>
          <w:rFonts w:cs="Arial"/>
        </w:rPr>
        <w:t>"breeder</w:t>
      </w:r>
      <w:r w:rsidRPr="00981F05">
        <w:rPr>
          <w:rFonts w:cs="Arial"/>
          <w:spacing w:val="-2"/>
        </w:rPr>
        <w:t xml:space="preserve"> </w:t>
      </w:r>
      <w:r w:rsidRPr="00981F05">
        <w:rPr>
          <w:rFonts w:cs="Arial"/>
        </w:rPr>
        <w:t>has</w:t>
      </w:r>
      <w:r w:rsidRPr="00981F05">
        <w:rPr>
          <w:rFonts w:cs="Arial"/>
          <w:spacing w:val="-2"/>
        </w:rPr>
        <w:t xml:space="preserve"> </w:t>
      </w:r>
      <w:r w:rsidRPr="00981F05">
        <w:rPr>
          <w:rFonts w:cs="Arial"/>
        </w:rPr>
        <w:t>had</w:t>
      </w:r>
      <w:r w:rsidRPr="00981F05">
        <w:rPr>
          <w:rFonts w:cs="Arial"/>
          <w:spacing w:val="-2"/>
        </w:rPr>
        <w:t xml:space="preserve"> </w:t>
      </w:r>
      <w:r w:rsidRPr="00981F05">
        <w:rPr>
          <w:rFonts w:cs="Arial"/>
        </w:rPr>
        <w:t>[no]</w:t>
      </w:r>
      <w:r w:rsidRPr="00981F05">
        <w:rPr>
          <w:rFonts w:cs="Arial"/>
          <w:spacing w:val="-2"/>
        </w:rPr>
        <w:t xml:space="preserve"> </w:t>
      </w:r>
      <w:r w:rsidRPr="00981F05">
        <w:rPr>
          <w:rFonts w:cs="Arial"/>
        </w:rPr>
        <w:t>reasonable</w:t>
      </w:r>
      <w:r w:rsidRPr="00981F05">
        <w:rPr>
          <w:rFonts w:cs="Arial"/>
          <w:spacing w:val="-3"/>
        </w:rPr>
        <w:t xml:space="preserve"> </w:t>
      </w:r>
      <w:r w:rsidRPr="00981F05">
        <w:rPr>
          <w:rFonts w:cs="Arial"/>
        </w:rPr>
        <w:t>opportunity</w:t>
      </w:r>
      <w:r w:rsidRPr="00981F05">
        <w:rPr>
          <w:rFonts w:cs="Arial"/>
          <w:spacing w:val="-2"/>
        </w:rPr>
        <w:t xml:space="preserve"> </w:t>
      </w:r>
      <w:r w:rsidRPr="00981F05">
        <w:rPr>
          <w:rFonts w:cs="Arial"/>
        </w:rPr>
        <w:t>to</w:t>
      </w:r>
      <w:r w:rsidRPr="00981F05">
        <w:rPr>
          <w:rFonts w:cs="Arial"/>
          <w:spacing w:val="-2"/>
        </w:rPr>
        <w:t xml:space="preserve"> </w:t>
      </w:r>
      <w:r w:rsidRPr="00981F05">
        <w:rPr>
          <w:rFonts w:cs="Arial"/>
        </w:rPr>
        <w:t>exercise</w:t>
      </w:r>
      <w:r w:rsidRPr="00981F05">
        <w:rPr>
          <w:rFonts w:cs="Arial"/>
          <w:spacing w:val="-3"/>
        </w:rPr>
        <w:t xml:space="preserve"> </w:t>
      </w:r>
      <w:r w:rsidRPr="00981F05">
        <w:rPr>
          <w:rFonts w:cs="Arial"/>
        </w:rPr>
        <w:t>the</w:t>
      </w:r>
      <w:r w:rsidRPr="00981F05">
        <w:rPr>
          <w:rFonts w:cs="Arial"/>
          <w:spacing w:val="-3"/>
        </w:rPr>
        <w:t xml:space="preserve"> </w:t>
      </w:r>
      <w:r w:rsidRPr="00981F05">
        <w:rPr>
          <w:rFonts w:cs="Arial"/>
        </w:rPr>
        <w:t>right</w:t>
      </w:r>
      <w:r w:rsidRPr="00981F05">
        <w:rPr>
          <w:rFonts w:cs="Arial"/>
          <w:spacing w:val="-3"/>
        </w:rPr>
        <w:t xml:space="preserve"> </w:t>
      </w:r>
      <w:r w:rsidRPr="00981F05">
        <w:rPr>
          <w:rFonts w:cs="Arial"/>
        </w:rPr>
        <w:t>in</w:t>
      </w:r>
      <w:r w:rsidRPr="00981F05">
        <w:rPr>
          <w:rFonts w:cs="Arial"/>
          <w:spacing w:val="-2"/>
        </w:rPr>
        <w:t xml:space="preserve"> </w:t>
      </w:r>
      <w:r w:rsidRPr="00981F05">
        <w:rPr>
          <w:rFonts w:cs="Arial"/>
        </w:rPr>
        <w:t>relation</w:t>
      </w:r>
      <w:r w:rsidRPr="00981F05">
        <w:rPr>
          <w:rFonts w:cs="Arial"/>
          <w:spacing w:val="-2"/>
        </w:rPr>
        <w:t xml:space="preserve"> </w:t>
      </w:r>
      <w:r w:rsidRPr="00981F05">
        <w:rPr>
          <w:rFonts w:cs="Arial"/>
        </w:rPr>
        <w:t>to</w:t>
      </w:r>
      <w:r w:rsidRPr="00981F05">
        <w:rPr>
          <w:rFonts w:cs="Arial"/>
          <w:spacing w:val="-2"/>
        </w:rPr>
        <w:t xml:space="preserve"> </w:t>
      </w:r>
      <w:r w:rsidRPr="00981F05">
        <w:rPr>
          <w:rFonts w:cs="Arial"/>
        </w:rPr>
        <w:t xml:space="preserve">the said propagating material", in Article 14 (2) UPOV </w:t>
      </w:r>
      <w:proofErr w:type="gramStart"/>
      <w:r w:rsidRPr="00981F05">
        <w:rPr>
          <w:rFonts w:cs="Arial"/>
        </w:rPr>
        <w:t>constitute</w:t>
      </w:r>
      <w:proofErr w:type="gramEnd"/>
      <w:r w:rsidRPr="00981F05">
        <w:rPr>
          <w:rFonts w:cs="Arial"/>
        </w:rPr>
        <w:t xml:space="preserve"> an inseparable whole.</w:t>
      </w:r>
    </w:p>
    <w:p w14:paraId="2DBAE061" w14:textId="77777777" w:rsidR="006C6976" w:rsidRPr="00981F05" w:rsidRDefault="006C6976" w:rsidP="006C6976">
      <w:pPr>
        <w:pStyle w:val="BodyText"/>
        <w:spacing w:before="1"/>
        <w:rPr>
          <w:rFonts w:cs="Arial"/>
        </w:rPr>
      </w:pPr>
    </w:p>
    <w:p w14:paraId="753EC7CB" w14:textId="77777777" w:rsidR="006C6976" w:rsidRPr="00981F05" w:rsidRDefault="006C6976" w:rsidP="006C6976">
      <w:pPr>
        <w:pStyle w:val="ListParagraph"/>
        <w:widowControl w:val="0"/>
        <w:numPr>
          <w:ilvl w:val="1"/>
          <w:numId w:val="2"/>
        </w:numPr>
        <w:tabs>
          <w:tab w:val="left" w:pos="836"/>
        </w:tabs>
        <w:autoSpaceDE w:val="0"/>
        <w:autoSpaceDN w:val="0"/>
        <w:spacing w:line="292" w:lineRule="exact"/>
        <w:ind w:hanging="361"/>
        <w:contextualSpacing w:val="0"/>
        <w:rPr>
          <w:rFonts w:cs="Arial"/>
        </w:rPr>
      </w:pPr>
      <w:r w:rsidRPr="00981F05">
        <w:rPr>
          <w:rFonts w:cs="Arial"/>
        </w:rPr>
        <w:t>The</w:t>
      </w:r>
      <w:r w:rsidRPr="00981F05">
        <w:rPr>
          <w:rFonts w:cs="Arial"/>
          <w:spacing w:val="-5"/>
        </w:rPr>
        <w:t xml:space="preserve"> </w:t>
      </w:r>
      <w:r w:rsidRPr="00981F05">
        <w:rPr>
          <w:rFonts w:cs="Arial"/>
        </w:rPr>
        <w:t>introduction</w:t>
      </w:r>
      <w:r w:rsidRPr="00981F05">
        <w:rPr>
          <w:rFonts w:cs="Arial"/>
          <w:spacing w:val="-1"/>
        </w:rPr>
        <w:t xml:space="preserve"> </w:t>
      </w:r>
      <w:r w:rsidRPr="00981F05">
        <w:rPr>
          <w:rFonts w:cs="Arial"/>
        </w:rPr>
        <w:t>of</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notion</w:t>
      </w:r>
      <w:r w:rsidRPr="00981F05">
        <w:rPr>
          <w:rFonts w:cs="Arial"/>
          <w:spacing w:val="-1"/>
        </w:rPr>
        <w:t xml:space="preserve"> </w:t>
      </w:r>
      <w:r w:rsidRPr="00981F05">
        <w:rPr>
          <w:rFonts w:cs="Arial"/>
        </w:rPr>
        <w:t>"reasonable</w:t>
      </w:r>
      <w:r w:rsidRPr="00981F05">
        <w:rPr>
          <w:rFonts w:cs="Arial"/>
          <w:spacing w:val="-2"/>
        </w:rPr>
        <w:t xml:space="preserve"> </w:t>
      </w:r>
      <w:r w:rsidRPr="00981F05">
        <w:rPr>
          <w:rFonts w:cs="Arial"/>
        </w:rPr>
        <w:t>opportunity"</w:t>
      </w:r>
      <w:r w:rsidRPr="00981F05">
        <w:rPr>
          <w:rFonts w:cs="Arial"/>
          <w:spacing w:val="-1"/>
        </w:rPr>
        <w:t xml:space="preserve"> </w:t>
      </w:r>
      <w:r w:rsidRPr="00981F05">
        <w:rPr>
          <w:rFonts w:cs="Arial"/>
        </w:rPr>
        <w:t>into</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wording</w:t>
      </w:r>
      <w:r w:rsidRPr="00981F05">
        <w:rPr>
          <w:rFonts w:cs="Arial"/>
          <w:spacing w:val="-1"/>
        </w:rPr>
        <w:t xml:space="preserve"> </w:t>
      </w:r>
      <w:r w:rsidRPr="00981F05">
        <w:rPr>
          <w:rFonts w:cs="Arial"/>
        </w:rPr>
        <w:t>of</w:t>
      </w:r>
      <w:r w:rsidRPr="00981F05">
        <w:rPr>
          <w:rFonts w:cs="Arial"/>
          <w:spacing w:val="-1"/>
        </w:rPr>
        <w:t xml:space="preserve"> </w:t>
      </w:r>
      <w:r w:rsidRPr="00981F05">
        <w:rPr>
          <w:rFonts w:cs="Arial"/>
        </w:rPr>
        <w:t>Article</w:t>
      </w:r>
      <w:r w:rsidRPr="00981F05">
        <w:rPr>
          <w:rFonts w:cs="Arial"/>
          <w:spacing w:val="-2"/>
        </w:rPr>
        <w:t xml:space="preserve"> </w:t>
      </w:r>
      <w:r w:rsidRPr="00981F05">
        <w:rPr>
          <w:rFonts w:cs="Arial"/>
          <w:spacing w:val="-5"/>
        </w:rPr>
        <w:t>14</w:t>
      </w:r>
    </w:p>
    <w:p w14:paraId="0483BFCB" w14:textId="77777777" w:rsidR="006C6976" w:rsidRPr="00981F05" w:rsidRDefault="006C6976" w:rsidP="006C6976">
      <w:pPr>
        <w:pStyle w:val="BodyText"/>
        <w:ind w:left="836" w:right="323"/>
        <w:rPr>
          <w:rFonts w:cs="Arial"/>
        </w:rPr>
      </w:pPr>
      <w:r w:rsidRPr="00981F05">
        <w:rPr>
          <w:rFonts w:cs="Arial"/>
        </w:rPr>
        <w:t>(2)</w:t>
      </w:r>
      <w:r w:rsidRPr="00981F05">
        <w:rPr>
          <w:rFonts w:cs="Arial"/>
          <w:spacing w:val="-1"/>
        </w:rPr>
        <w:t xml:space="preserve"> </w:t>
      </w:r>
      <w:r w:rsidRPr="00981F05">
        <w:rPr>
          <w:rFonts w:cs="Arial"/>
        </w:rPr>
        <w:t>has</w:t>
      </w:r>
      <w:r w:rsidRPr="00981F05">
        <w:rPr>
          <w:rFonts w:cs="Arial"/>
          <w:spacing w:val="-1"/>
        </w:rPr>
        <w:t xml:space="preserve"> </w:t>
      </w:r>
      <w:r w:rsidRPr="00981F05">
        <w:rPr>
          <w:rFonts w:cs="Arial"/>
        </w:rPr>
        <w:t>widened</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possibility</w:t>
      </w:r>
      <w:r w:rsidRPr="00981F05">
        <w:rPr>
          <w:rFonts w:cs="Arial"/>
          <w:spacing w:val="-1"/>
        </w:rPr>
        <w:t xml:space="preserve"> </w:t>
      </w:r>
      <w:r w:rsidRPr="00981F05">
        <w:rPr>
          <w:rFonts w:cs="Arial"/>
        </w:rPr>
        <w:t>to</w:t>
      </w:r>
      <w:r w:rsidRPr="00981F05">
        <w:rPr>
          <w:rFonts w:cs="Arial"/>
          <w:spacing w:val="-1"/>
        </w:rPr>
        <w:t xml:space="preserve"> </w:t>
      </w:r>
      <w:r w:rsidRPr="00981F05">
        <w:rPr>
          <w:rFonts w:cs="Arial"/>
        </w:rPr>
        <w:t>claim</w:t>
      </w:r>
      <w:r w:rsidRPr="00981F05">
        <w:rPr>
          <w:rFonts w:cs="Arial"/>
          <w:spacing w:val="-1"/>
        </w:rPr>
        <w:t xml:space="preserve"> </w:t>
      </w:r>
      <w:r w:rsidRPr="00981F05">
        <w:rPr>
          <w:rFonts w:cs="Arial"/>
        </w:rPr>
        <w:t>protection</w:t>
      </w:r>
      <w:r w:rsidRPr="00981F05">
        <w:rPr>
          <w:rFonts w:cs="Arial"/>
          <w:spacing w:val="-1"/>
        </w:rPr>
        <w:t xml:space="preserve"> </w:t>
      </w:r>
      <w:r w:rsidRPr="00981F05">
        <w:rPr>
          <w:rFonts w:cs="Arial"/>
        </w:rPr>
        <w:t>of</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breeder’s</w:t>
      </w:r>
      <w:r w:rsidRPr="00981F05">
        <w:rPr>
          <w:rFonts w:cs="Arial"/>
          <w:spacing w:val="-1"/>
        </w:rPr>
        <w:t xml:space="preserve"> </w:t>
      </w:r>
      <w:r w:rsidRPr="00981F05">
        <w:rPr>
          <w:rFonts w:cs="Arial"/>
        </w:rPr>
        <w:t>right</w:t>
      </w:r>
      <w:r w:rsidRPr="00981F05">
        <w:rPr>
          <w:rFonts w:cs="Arial"/>
          <w:spacing w:val="-2"/>
        </w:rPr>
        <w:t xml:space="preserve"> </w:t>
      </w:r>
      <w:r w:rsidRPr="00981F05">
        <w:rPr>
          <w:rFonts w:cs="Arial"/>
        </w:rPr>
        <w:t>to</w:t>
      </w:r>
      <w:r w:rsidRPr="00981F05">
        <w:rPr>
          <w:rFonts w:cs="Arial"/>
          <w:spacing w:val="-1"/>
        </w:rPr>
        <w:t xml:space="preserve"> </w:t>
      </w:r>
      <w:r w:rsidRPr="00981F05">
        <w:rPr>
          <w:rFonts w:cs="Arial"/>
        </w:rPr>
        <w:t>harvested material</w:t>
      </w:r>
      <w:r w:rsidRPr="00981F05">
        <w:rPr>
          <w:rFonts w:cs="Arial"/>
          <w:spacing w:val="-3"/>
        </w:rPr>
        <w:t xml:space="preserve"> </w:t>
      </w:r>
      <w:r w:rsidRPr="00981F05">
        <w:rPr>
          <w:rFonts w:cs="Arial"/>
        </w:rPr>
        <w:t>beyond</w:t>
      </w:r>
      <w:r w:rsidRPr="00981F05">
        <w:rPr>
          <w:rFonts w:cs="Arial"/>
          <w:spacing w:val="-3"/>
        </w:rPr>
        <w:t xml:space="preserve"> </w:t>
      </w:r>
      <w:r w:rsidRPr="00981F05">
        <w:rPr>
          <w:rFonts w:cs="Arial"/>
        </w:rPr>
        <w:t>the</w:t>
      </w:r>
      <w:r w:rsidRPr="00981F05">
        <w:rPr>
          <w:rFonts w:cs="Arial"/>
          <w:spacing w:val="-4"/>
        </w:rPr>
        <w:t xml:space="preserve"> </w:t>
      </w:r>
      <w:r w:rsidRPr="00981F05">
        <w:rPr>
          <w:rFonts w:cs="Arial"/>
        </w:rPr>
        <w:t>previous</w:t>
      </w:r>
      <w:r w:rsidRPr="00981F05">
        <w:rPr>
          <w:rFonts w:cs="Arial"/>
          <w:spacing w:val="-3"/>
        </w:rPr>
        <w:t xml:space="preserve"> </w:t>
      </w:r>
      <w:r w:rsidRPr="00981F05">
        <w:rPr>
          <w:rFonts w:cs="Arial"/>
        </w:rPr>
        <w:t>notion</w:t>
      </w:r>
      <w:r w:rsidRPr="00981F05">
        <w:rPr>
          <w:rFonts w:cs="Arial"/>
          <w:spacing w:val="-3"/>
        </w:rPr>
        <w:t xml:space="preserve"> </w:t>
      </w:r>
      <w:r w:rsidRPr="00981F05">
        <w:rPr>
          <w:rFonts w:cs="Arial"/>
        </w:rPr>
        <w:t>of</w:t>
      </w:r>
      <w:r w:rsidRPr="00981F05">
        <w:rPr>
          <w:rFonts w:cs="Arial"/>
          <w:spacing w:val="-3"/>
        </w:rPr>
        <w:t xml:space="preserve"> </w:t>
      </w:r>
      <w:r w:rsidRPr="00981F05">
        <w:rPr>
          <w:rFonts w:cs="Arial"/>
        </w:rPr>
        <w:t>"has</w:t>
      </w:r>
      <w:r w:rsidRPr="00981F05">
        <w:rPr>
          <w:rFonts w:cs="Arial"/>
          <w:spacing w:val="-3"/>
        </w:rPr>
        <w:t xml:space="preserve"> </w:t>
      </w:r>
      <w:r w:rsidRPr="00981F05">
        <w:rPr>
          <w:rFonts w:cs="Arial"/>
        </w:rPr>
        <w:t>had</w:t>
      </w:r>
      <w:r w:rsidRPr="00981F05">
        <w:rPr>
          <w:rFonts w:cs="Arial"/>
          <w:spacing w:val="-3"/>
        </w:rPr>
        <w:t xml:space="preserve"> </w:t>
      </w:r>
      <w:r w:rsidRPr="00981F05">
        <w:rPr>
          <w:rFonts w:cs="Arial"/>
        </w:rPr>
        <w:t>no</w:t>
      </w:r>
      <w:r w:rsidRPr="00981F05">
        <w:rPr>
          <w:rFonts w:cs="Arial"/>
          <w:spacing w:val="-3"/>
        </w:rPr>
        <w:t xml:space="preserve"> </w:t>
      </w:r>
      <w:r w:rsidRPr="00981F05">
        <w:rPr>
          <w:rFonts w:cs="Arial"/>
        </w:rPr>
        <w:t>legal</w:t>
      </w:r>
      <w:r w:rsidRPr="00981F05">
        <w:rPr>
          <w:rFonts w:cs="Arial"/>
          <w:spacing w:val="-3"/>
        </w:rPr>
        <w:t xml:space="preserve"> </w:t>
      </w:r>
      <w:r w:rsidRPr="00981F05">
        <w:rPr>
          <w:rFonts w:cs="Arial"/>
        </w:rPr>
        <w:t>possibility</w:t>
      </w:r>
      <w:r w:rsidRPr="00981F05">
        <w:rPr>
          <w:rFonts w:cs="Arial"/>
          <w:spacing w:val="-3"/>
        </w:rPr>
        <w:t xml:space="preserve"> </w:t>
      </w:r>
      <w:r w:rsidRPr="00981F05">
        <w:rPr>
          <w:rFonts w:cs="Arial"/>
        </w:rPr>
        <w:t>to</w:t>
      </w:r>
      <w:r w:rsidRPr="00981F05">
        <w:rPr>
          <w:rFonts w:cs="Arial"/>
          <w:spacing w:val="-3"/>
        </w:rPr>
        <w:t xml:space="preserve"> </w:t>
      </w:r>
      <w:r w:rsidRPr="00981F05">
        <w:rPr>
          <w:rFonts w:cs="Arial"/>
        </w:rPr>
        <w:t>exercising</w:t>
      </w:r>
      <w:r w:rsidRPr="00981F05">
        <w:rPr>
          <w:rFonts w:cs="Arial"/>
          <w:spacing w:val="-3"/>
        </w:rPr>
        <w:t xml:space="preserve"> </w:t>
      </w:r>
      <w:r w:rsidRPr="00981F05">
        <w:rPr>
          <w:rFonts w:cs="Arial"/>
        </w:rPr>
        <w:t>the right in relation to the propagating material".</w:t>
      </w:r>
    </w:p>
    <w:p w14:paraId="4D618AC3" w14:textId="77777777" w:rsidR="006C6976" w:rsidRPr="00981F05" w:rsidRDefault="006C6976" w:rsidP="006C6976">
      <w:pPr>
        <w:pStyle w:val="BodyText"/>
        <w:rPr>
          <w:rFonts w:cs="Arial"/>
        </w:rPr>
      </w:pPr>
    </w:p>
    <w:p w14:paraId="321547A3" w14:textId="77777777" w:rsidR="006C6976" w:rsidRPr="00981F05" w:rsidRDefault="006C6976" w:rsidP="006C6976">
      <w:pPr>
        <w:pStyle w:val="ListParagraph"/>
        <w:widowControl w:val="0"/>
        <w:numPr>
          <w:ilvl w:val="1"/>
          <w:numId w:val="2"/>
        </w:numPr>
        <w:tabs>
          <w:tab w:val="left" w:pos="835"/>
          <w:tab w:val="left" w:pos="836"/>
        </w:tabs>
        <w:autoSpaceDE w:val="0"/>
        <w:autoSpaceDN w:val="0"/>
        <w:ind w:right="248"/>
        <w:contextualSpacing w:val="0"/>
        <w:rPr>
          <w:rFonts w:cs="Arial"/>
        </w:rPr>
      </w:pPr>
      <w:proofErr w:type="gramStart"/>
      <w:r w:rsidRPr="00981F05">
        <w:rPr>
          <w:rFonts w:cs="Arial"/>
        </w:rPr>
        <w:lastRenderedPageBreak/>
        <w:t>Under</w:t>
      </w:r>
      <w:proofErr w:type="gramEnd"/>
      <w:r w:rsidRPr="00981F05">
        <w:rPr>
          <w:rFonts w:cs="Arial"/>
          <w:spacing w:val="-2"/>
        </w:rPr>
        <w:t xml:space="preserve"> </w:t>
      </w:r>
      <w:r w:rsidRPr="00981F05">
        <w:rPr>
          <w:rFonts w:cs="Arial"/>
        </w:rPr>
        <w:t>the</w:t>
      </w:r>
      <w:r w:rsidRPr="00981F05">
        <w:rPr>
          <w:rFonts w:cs="Arial"/>
          <w:spacing w:val="-3"/>
        </w:rPr>
        <w:t xml:space="preserve"> </w:t>
      </w:r>
      <w:r w:rsidRPr="00981F05">
        <w:rPr>
          <w:rFonts w:cs="Arial"/>
        </w:rPr>
        <w:t>cascading</w:t>
      </w:r>
      <w:r w:rsidRPr="00981F05">
        <w:rPr>
          <w:rFonts w:cs="Arial"/>
          <w:spacing w:val="-2"/>
        </w:rPr>
        <w:t xml:space="preserve"> </w:t>
      </w:r>
      <w:r w:rsidRPr="00981F05">
        <w:rPr>
          <w:rFonts w:cs="Arial"/>
        </w:rPr>
        <w:t>principle</w:t>
      </w:r>
      <w:r w:rsidRPr="00981F05">
        <w:rPr>
          <w:rFonts w:cs="Arial"/>
          <w:spacing w:val="-3"/>
        </w:rPr>
        <w:t xml:space="preserve"> </w:t>
      </w:r>
      <w:r w:rsidRPr="00981F05">
        <w:rPr>
          <w:rFonts w:cs="Arial"/>
        </w:rPr>
        <w:t>set</w:t>
      </w:r>
      <w:r w:rsidRPr="00981F05">
        <w:rPr>
          <w:rFonts w:cs="Arial"/>
          <w:spacing w:val="-2"/>
        </w:rPr>
        <w:t xml:space="preserve"> </w:t>
      </w:r>
      <w:r w:rsidRPr="00981F05">
        <w:rPr>
          <w:rFonts w:cs="Arial"/>
        </w:rPr>
        <w:t>forth</w:t>
      </w:r>
      <w:r w:rsidRPr="00981F05">
        <w:rPr>
          <w:rFonts w:cs="Arial"/>
          <w:spacing w:val="-2"/>
        </w:rPr>
        <w:t xml:space="preserve"> </w:t>
      </w:r>
      <w:r w:rsidRPr="00981F05">
        <w:rPr>
          <w:rFonts w:cs="Arial"/>
        </w:rPr>
        <w:t>in</w:t>
      </w:r>
      <w:r w:rsidRPr="00981F05">
        <w:rPr>
          <w:rFonts w:cs="Arial"/>
          <w:spacing w:val="-2"/>
        </w:rPr>
        <w:t xml:space="preserve"> </w:t>
      </w:r>
      <w:r w:rsidRPr="00981F05">
        <w:rPr>
          <w:rFonts w:cs="Arial"/>
        </w:rPr>
        <w:t>Article</w:t>
      </w:r>
      <w:r w:rsidRPr="00981F05">
        <w:rPr>
          <w:rFonts w:cs="Arial"/>
          <w:spacing w:val="-3"/>
        </w:rPr>
        <w:t xml:space="preserve"> </w:t>
      </w:r>
      <w:r w:rsidRPr="00981F05">
        <w:rPr>
          <w:rFonts w:cs="Arial"/>
        </w:rPr>
        <w:t>14</w:t>
      </w:r>
      <w:r w:rsidRPr="00981F05">
        <w:rPr>
          <w:rFonts w:cs="Arial"/>
          <w:spacing w:val="-2"/>
        </w:rPr>
        <w:t xml:space="preserve"> </w:t>
      </w:r>
      <w:r w:rsidRPr="00981F05">
        <w:rPr>
          <w:rFonts w:cs="Arial"/>
        </w:rPr>
        <w:t>(2)</w:t>
      </w:r>
      <w:r w:rsidRPr="00981F05">
        <w:rPr>
          <w:rFonts w:cs="Arial"/>
          <w:spacing w:val="-2"/>
        </w:rPr>
        <w:t xml:space="preserve"> </w:t>
      </w:r>
      <w:r w:rsidRPr="00981F05">
        <w:rPr>
          <w:rFonts w:cs="Arial"/>
        </w:rPr>
        <w:t>UPOV</w:t>
      </w:r>
      <w:r w:rsidRPr="00981F05">
        <w:rPr>
          <w:rFonts w:cs="Arial"/>
          <w:spacing w:val="-2"/>
        </w:rPr>
        <w:t xml:space="preserve"> </w:t>
      </w:r>
      <w:proofErr w:type="gramStart"/>
      <w:r w:rsidRPr="00981F05">
        <w:rPr>
          <w:rFonts w:cs="Arial"/>
        </w:rPr>
        <w:t>1991</w:t>
      </w:r>
      <w:proofErr w:type="gramEnd"/>
      <w:r w:rsidRPr="00981F05">
        <w:rPr>
          <w:rFonts w:cs="Arial"/>
          <w:spacing w:val="-2"/>
        </w:rPr>
        <w:t xml:space="preserve"> </w:t>
      </w:r>
      <w:r w:rsidRPr="00981F05">
        <w:rPr>
          <w:rFonts w:cs="Arial"/>
        </w:rPr>
        <w:t>the</w:t>
      </w:r>
      <w:r w:rsidRPr="00981F05">
        <w:rPr>
          <w:rFonts w:cs="Arial"/>
          <w:spacing w:val="-3"/>
        </w:rPr>
        <w:t xml:space="preserve"> </w:t>
      </w:r>
      <w:r w:rsidRPr="00981F05">
        <w:rPr>
          <w:rFonts w:cs="Arial"/>
        </w:rPr>
        <w:t>owner</w:t>
      </w:r>
      <w:r w:rsidRPr="00981F05">
        <w:rPr>
          <w:rFonts w:cs="Arial"/>
          <w:spacing w:val="-2"/>
        </w:rPr>
        <w:t xml:space="preserve"> </w:t>
      </w:r>
      <w:r w:rsidRPr="00981F05">
        <w:rPr>
          <w:rFonts w:cs="Arial"/>
        </w:rPr>
        <w:t>of</w:t>
      </w:r>
      <w:r w:rsidRPr="00981F05">
        <w:rPr>
          <w:rFonts w:cs="Arial"/>
          <w:spacing w:val="-2"/>
        </w:rPr>
        <w:t xml:space="preserve"> </w:t>
      </w:r>
      <w:r w:rsidRPr="00981F05">
        <w:rPr>
          <w:rFonts w:cs="Arial"/>
        </w:rPr>
        <w:t xml:space="preserve">the right can exercise the </w:t>
      </w:r>
      <w:proofErr w:type="gramStart"/>
      <w:r w:rsidRPr="00981F05">
        <w:rPr>
          <w:rFonts w:cs="Arial"/>
        </w:rPr>
        <w:t>right once</w:t>
      </w:r>
      <w:proofErr w:type="gramEnd"/>
      <w:r w:rsidRPr="00981F05">
        <w:rPr>
          <w:rFonts w:cs="Arial"/>
        </w:rPr>
        <w:t xml:space="preserve"> only and receive a royalty once only, subject to possible contractual conditions and </w:t>
      </w:r>
      <w:proofErr w:type="gramStart"/>
      <w:r w:rsidRPr="00981F05">
        <w:rPr>
          <w:rFonts w:cs="Arial"/>
        </w:rPr>
        <w:t>limitation</w:t>
      </w:r>
      <w:proofErr w:type="gramEnd"/>
      <w:r w:rsidRPr="00981F05">
        <w:rPr>
          <w:rFonts w:cs="Arial"/>
        </w:rPr>
        <w:t xml:space="preserve"> imposed by the owner of the breeder’s </w:t>
      </w:r>
      <w:r w:rsidRPr="00981F05">
        <w:rPr>
          <w:rFonts w:cs="Arial"/>
          <w:spacing w:val="-2"/>
        </w:rPr>
        <w:t>right.</w:t>
      </w:r>
    </w:p>
    <w:p w14:paraId="756A0829" w14:textId="77777777" w:rsidR="006C6976" w:rsidRPr="00981F05" w:rsidRDefault="006C6976" w:rsidP="006C6976">
      <w:pPr>
        <w:pStyle w:val="BodyText"/>
        <w:spacing w:before="11"/>
        <w:rPr>
          <w:rFonts w:cs="Arial"/>
        </w:rPr>
      </w:pPr>
    </w:p>
    <w:p w14:paraId="7FC805D3" w14:textId="77777777" w:rsidR="006C6976" w:rsidRPr="00981F05" w:rsidRDefault="006C6976" w:rsidP="006C6976">
      <w:pPr>
        <w:pStyle w:val="ListParagraph"/>
        <w:widowControl w:val="0"/>
        <w:numPr>
          <w:ilvl w:val="1"/>
          <w:numId w:val="2"/>
        </w:numPr>
        <w:tabs>
          <w:tab w:val="left" w:pos="835"/>
          <w:tab w:val="left" w:pos="836"/>
        </w:tabs>
        <w:autoSpaceDE w:val="0"/>
        <w:autoSpaceDN w:val="0"/>
        <w:ind w:right="322"/>
        <w:contextualSpacing w:val="0"/>
        <w:rPr>
          <w:rFonts w:cs="Arial"/>
        </w:rPr>
      </w:pPr>
      <w:r w:rsidRPr="00981F05">
        <w:rPr>
          <w:rFonts w:cs="Arial"/>
        </w:rPr>
        <w:t>The authorization of the breeder’s right holder is required for all acts specified in Article</w:t>
      </w:r>
      <w:r w:rsidRPr="00981F05">
        <w:rPr>
          <w:rFonts w:cs="Arial"/>
          <w:spacing w:val="-4"/>
        </w:rPr>
        <w:t xml:space="preserve"> </w:t>
      </w:r>
      <w:r w:rsidRPr="00981F05">
        <w:rPr>
          <w:rFonts w:cs="Arial"/>
        </w:rPr>
        <w:t>14</w:t>
      </w:r>
      <w:r w:rsidRPr="00981F05">
        <w:rPr>
          <w:rFonts w:cs="Arial"/>
          <w:spacing w:val="-3"/>
        </w:rPr>
        <w:t xml:space="preserve"> </w:t>
      </w:r>
      <w:r w:rsidRPr="00981F05">
        <w:rPr>
          <w:rFonts w:cs="Arial"/>
        </w:rPr>
        <w:t>(1)</w:t>
      </w:r>
      <w:r w:rsidRPr="00981F05">
        <w:rPr>
          <w:rFonts w:cs="Arial"/>
          <w:spacing w:val="-3"/>
        </w:rPr>
        <w:t xml:space="preserve"> </w:t>
      </w:r>
      <w:r w:rsidRPr="00981F05">
        <w:rPr>
          <w:rFonts w:cs="Arial"/>
        </w:rPr>
        <w:t>(i)-(vii)</w:t>
      </w:r>
      <w:r w:rsidRPr="00981F05">
        <w:rPr>
          <w:rFonts w:cs="Arial"/>
          <w:spacing w:val="-3"/>
        </w:rPr>
        <w:t xml:space="preserve"> </w:t>
      </w:r>
      <w:r w:rsidRPr="00981F05">
        <w:rPr>
          <w:rFonts w:cs="Arial"/>
        </w:rPr>
        <w:t>UPOV</w:t>
      </w:r>
      <w:r w:rsidRPr="00981F05">
        <w:rPr>
          <w:rFonts w:cs="Arial"/>
          <w:spacing w:val="-3"/>
        </w:rPr>
        <w:t xml:space="preserve"> </w:t>
      </w:r>
      <w:r w:rsidRPr="00981F05">
        <w:rPr>
          <w:rFonts w:cs="Arial"/>
        </w:rPr>
        <w:t>1991,</w:t>
      </w:r>
      <w:r w:rsidRPr="00981F05">
        <w:rPr>
          <w:rFonts w:cs="Arial"/>
          <w:spacing w:val="-3"/>
        </w:rPr>
        <w:t xml:space="preserve"> </w:t>
      </w:r>
      <w:r w:rsidRPr="00981F05">
        <w:rPr>
          <w:rFonts w:cs="Arial"/>
        </w:rPr>
        <w:t>also</w:t>
      </w:r>
      <w:r w:rsidRPr="00981F05">
        <w:rPr>
          <w:rFonts w:cs="Arial"/>
          <w:spacing w:val="-3"/>
        </w:rPr>
        <w:t xml:space="preserve"> </w:t>
      </w:r>
      <w:r w:rsidRPr="00981F05">
        <w:rPr>
          <w:rFonts w:cs="Arial"/>
        </w:rPr>
        <w:t>related</w:t>
      </w:r>
      <w:r w:rsidRPr="00981F05">
        <w:rPr>
          <w:rFonts w:cs="Arial"/>
          <w:spacing w:val="-3"/>
        </w:rPr>
        <w:t xml:space="preserve"> </w:t>
      </w:r>
      <w:r w:rsidRPr="00981F05">
        <w:rPr>
          <w:rFonts w:cs="Arial"/>
        </w:rPr>
        <w:t>to</w:t>
      </w:r>
      <w:r w:rsidRPr="00981F05">
        <w:rPr>
          <w:rFonts w:cs="Arial"/>
          <w:spacing w:val="-3"/>
        </w:rPr>
        <w:t xml:space="preserve"> </w:t>
      </w:r>
      <w:r w:rsidRPr="00981F05">
        <w:rPr>
          <w:rFonts w:cs="Arial"/>
        </w:rPr>
        <w:t>the</w:t>
      </w:r>
      <w:r w:rsidRPr="00981F05">
        <w:rPr>
          <w:rFonts w:cs="Arial"/>
          <w:spacing w:val="-4"/>
        </w:rPr>
        <w:t xml:space="preserve"> </w:t>
      </w:r>
      <w:r w:rsidRPr="00981F05">
        <w:rPr>
          <w:rFonts w:cs="Arial"/>
        </w:rPr>
        <w:t>harvested</w:t>
      </w:r>
      <w:r w:rsidRPr="00981F05">
        <w:rPr>
          <w:rFonts w:cs="Arial"/>
          <w:spacing w:val="-3"/>
        </w:rPr>
        <w:t xml:space="preserve"> </w:t>
      </w:r>
      <w:r w:rsidRPr="00981F05">
        <w:rPr>
          <w:rFonts w:cs="Arial"/>
        </w:rPr>
        <w:t>material</w:t>
      </w:r>
      <w:r w:rsidRPr="00981F05">
        <w:rPr>
          <w:rFonts w:cs="Arial"/>
          <w:spacing w:val="-3"/>
        </w:rPr>
        <w:t xml:space="preserve"> </w:t>
      </w:r>
      <w:r w:rsidRPr="00981F05">
        <w:rPr>
          <w:rFonts w:cs="Arial"/>
        </w:rPr>
        <w:t>so</w:t>
      </w:r>
      <w:r w:rsidRPr="00981F05">
        <w:rPr>
          <w:rFonts w:cs="Arial"/>
          <w:spacing w:val="-3"/>
        </w:rPr>
        <w:t xml:space="preserve"> </w:t>
      </w:r>
      <w:r w:rsidRPr="00981F05">
        <w:rPr>
          <w:rFonts w:cs="Arial"/>
        </w:rPr>
        <w:t xml:space="preserve">obtained outside the validity of the respective breeder’s right, when that harvested material </w:t>
      </w:r>
      <w:proofErr w:type="gramStart"/>
      <w:r w:rsidRPr="00981F05">
        <w:rPr>
          <w:rFonts w:cs="Arial"/>
        </w:rPr>
        <w:t>enters into</w:t>
      </w:r>
      <w:proofErr w:type="gramEnd"/>
      <w:r w:rsidRPr="00981F05">
        <w:rPr>
          <w:rFonts w:cs="Arial"/>
        </w:rPr>
        <w:t xml:space="preserve"> and is distributed in the territory where the respective breeder’s right is valid. As the harvested material then fulfills the cumulative requirements "unauthorized use” and “no reasonable opportunity to exercise his right". Any other </w:t>
      </w:r>
      <w:proofErr w:type="gramStart"/>
      <w:r w:rsidRPr="00981F05">
        <w:rPr>
          <w:rFonts w:cs="Arial"/>
        </w:rPr>
        <w:t>exercising</w:t>
      </w:r>
      <w:proofErr w:type="gramEnd"/>
      <w:r w:rsidRPr="00981F05">
        <w:rPr>
          <w:rFonts w:cs="Arial"/>
        </w:rPr>
        <w:t xml:space="preserve"> of that right, e.g. by claiming royalties, at the same time constitutes "exercising of the breeder’s right at the earliest possible stage" within the cascade.</w:t>
      </w:r>
    </w:p>
    <w:p w14:paraId="37947673" w14:textId="77777777" w:rsidR="006C6976" w:rsidRPr="00981F05" w:rsidRDefault="006C6976" w:rsidP="006C6976">
      <w:pPr>
        <w:pStyle w:val="BodyText"/>
        <w:spacing w:before="6"/>
        <w:rPr>
          <w:rFonts w:cs="Arial"/>
        </w:rPr>
      </w:pPr>
    </w:p>
    <w:p w14:paraId="5590EAEC" w14:textId="77777777" w:rsidR="006C6976" w:rsidRPr="00981F05" w:rsidRDefault="006C6976" w:rsidP="006C6976">
      <w:pPr>
        <w:pStyle w:val="ListParagraph"/>
        <w:widowControl w:val="0"/>
        <w:numPr>
          <w:ilvl w:val="1"/>
          <w:numId w:val="2"/>
        </w:numPr>
        <w:tabs>
          <w:tab w:val="left" w:pos="835"/>
          <w:tab w:val="left" w:pos="836"/>
        </w:tabs>
        <w:autoSpaceDE w:val="0"/>
        <w:autoSpaceDN w:val="0"/>
        <w:spacing w:line="237" w:lineRule="auto"/>
        <w:ind w:right="203"/>
        <w:contextualSpacing w:val="0"/>
        <w:rPr>
          <w:rFonts w:cs="Arial"/>
        </w:rPr>
      </w:pPr>
      <w:r w:rsidRPr="00981F05">
        <w:rPr>
          <w:rFonts w:cs="Arial"/>
        </w:rPr>
        <w:t xml:space="preserve">Summarized: </w:t>
      </w:r>
      <w:r w:rsidRPr="00981F05">
        <w:rPr>
          <w:rFonts w:cs="Arial"/>
          <w:i/>
        </w:rPr>
        <w:t xml:space="preserve">“Unauthorized use”: </w:t>
      </w:r>
      <w:r w:rsidRPr="00981F05">
        <w:rPr>
          <w:rFonts w:cs="Arial"/>
        </w:rPr>
        <w:t xml:space="preserve">the use of propagating material of a protected variety, without the authorization of the holder, </w:t>
      </w:r>
      <w:proofErr w:type="gramStart"/>
      <w:r w:rsidRPr="00981F05">
        <w:rPr>
          <w:rFonts w:cs="Arial"/>
        </w:rPr>
        <w:t>for the production of</w:t>
      </w:r>
      <w:proofErr w:type="gramEnd"/>
      <w:r w:rsidRPr="00981F05">
        <w:rPr>
          <w:rFonts w:cs="Arial"/>
        </w:rPr>
        <w:t xml:space="preserve"> the resulting harvested</w:t>
      </w:r>
      <w:r w:rsidRPr="00981F05">
        <w:rPr>
          <w:rFonts w:cs="Arial"/>
          <w:spacing w:val="-3"/>
        </w:rPr>
        <w:t xml:space="preserve"> </w:t>
      </w:r>
      <w:r w:rsidRPr="00981F05">
        <w:rPr>
          <w:rFonts w:cs="Arial"/>
        </w:rPr>
        <w:t>material</w:t>
      </w:r>
      <w:r w:rsidRPr="00981F05">
        <w:rPr>
          <w:rFonts w:cs="Arial"/>
          <w:spacing w:val="-3"/>
        </w:rPr>
        <w:t xml:space="preserve"> </w:t>
      </w:r>
      <w:r w:rsidRPr="00981F05">
        <w:rPr>
          <w:rFonts w:cs="Arial"/>
        </w:rPr>
        <w:t>within</w:t>
      </w:r>
      <w:r w:rsidRPr="00981F05">
        <w:rPr>
          <w:rFonts w:cs="Arial"/>
          <w:spacing w:val="-3"/>
        </w:rPr>
        <w:t xml:space="preserve"> </w:t>
      </w:r>
      <w:r w:rsidRPr="00981F05">
        <w:rPr>
          <w:rFonts w:cs="Arial"/>
        </w:rPr>
        <w:t>or</w:t>
      </w:r>
      <w:r w:rsidRPr="00981F05">
        <w:rPr>
          <w:rFonts w:cs="Arial"/>
          <w:spacing w:val="-3"/>
        </w:rPr>
        <w:t xml:space="preserve"> </w:t>
      </w:r>
      <w:r w:rsidRPr="00981F05">
        <w:rPr>
          <w:rFonts w:cs="Arial"/>
        </w:rPr>
        <w:t>outside</w:t>
      </w:r>
      <w:r w:rsidRPr="00981F05">
        <w:rPr>
          <w:rFonts w:cs="Arial"/>
          <w:spacing w:val="-4"/>
        </w:rPr>
        <w:t xml:space="preserve"> </w:t>
      </w:r>
      <w:r w:rsidRPr="00981F05">
        <w:rPr>
          <w:rFonts w:cs="Arial"/>
        </w:rPr>
        <w:t>the</w:t>
      </w:r>
      <w:r w:rsidRPr="00981F05">
        <w:rPr>
          <w:rFonts w:cs="Arial"/>
          <w:spacing w:val="-4"/>
        </w:rPr>
        <w:t xml:space="preserve"> </w:t>
      </w:r>
      <w:r w:rsidRPr="00981F05">
        <w:rPr>
          <w:rFonts w:cs="Arial"/>
        </w:rPr>
        <w:t>territory</w:t>
      </w:r>
      <w:r w:rsidRPr="00981F05">
        <w:rPr>
          <w:rFonts w:cs="Arial"/>
          <w:spacing w:val="-3"/>
        </w:rPr>
        <w:t xml:space="preserve"> </w:t>
      </w:r>
      <w:r w:rsidRPr="00981F05">
        <w:rPr>
          <w:rFonts w:cs="Arial"/>
        </w:rPr>
        <w:t>where</w:t>
      </w:r>
      <w:r w:rsidRPr="00981F05">
        <w:rPr>
          <w:rFonts w:cs="Arial"/>
          <w:spacing w:val="-4"/>
        </w:rPr>
        <w:t xml:space="preserve"> </w:t>
      </w:r>
      <w:r w:rsidRPr="00981F05">
        <w:rPr>
          <w:rFonts w:cs="Arial"/>
        </w:rPr>
        <w:t>the</w:t>
      </w:r>
      <w:r w:rsidRPr="00981F05">
        <w:rPr>
          <w:rFonts w:cs="Arial"/>
          <w:spacing w:val="-4"/>
        </w:rPr>
        <w:t xml:space="preserve"> </w:t>
      </w:r>
      <w:r w:rsidRPr="00981F05">
        <w:rPr>
          <w:rFonts w:cs="Arial"/>
        </w:rPr>
        <w:t>variety</w:t>
      </w:r>
      <w:r w:rsidRPr="00981F05">
        <w:rPr>
          <w:rFonts w:cs="Arial"/>
          <w:spacing w:val="-3"/>
        </w:rPr>
        <w:t xml:space="preserve"> </w:t>
      </w:r>
      <w:r w:rsidRPr="00981F05">
        <w:rPr>
          <w:rFonts w:cs="Arial"/>
        </w:rPr>
        <w:t>is</w:t>
      </w:r>
      <w:r w:rsidRPr="00981F05">
        <w:rPr>
          <w:rFonts w:cs="Arial"/>
          <w:spacing w:val="-3"/>
        </w:rPr>
        <w:t xml:space="preserve"> </w:t>
      </w:r>
      <w:r w:rsidRPr="00981F05">
        <w:rPr>
          <w:rFonts w:cs="Arial"/>
        </w:rPr>
        <w:t>protected</w:t>
      </w:r>
      <w:r w:rsidRPr="00981F05">
        <w:rPr>
          <w:rFonts w:cs="Arial"/>
          <w:spacing w:val="-3"/>
        </w:rPr>
        <w:t xml:space="preserve"> </w:t>
      </w:r>
      <w:r w:rsidRPr="00981F05">
        <w:rPr>
          <w:rFonts w:cs="Arial"/>
        </w:rPr>
        <w:t>and,</w:t>
      </w:r>
      <w:r w:rsidRPr="00981F05">
        <w:rPr>
          <w:rFonts w:cs="Arial"/>
          <w:spacing w:val="-3"/>
        </w:rPr>
        <w:t xml:space="preserve"> </w:t>
      </w:r>
      <w:r w:rsidRPr="00981F05">
        <w:rPr>
          <w:rFonts w:cs="Arial"/>
        </w:rPr>
        <w:t>in the latter case, where the possibly imported harvested material falls under the protection of article 14(2) UPOV 1991.</w:t>
      </w:r>
    </w:p>
    <w:p w14:paraId="33915513" w14:textId="77777777" w:rsidR="006C6976" w:rsidRPr="00981F05" w:rsidRDefault="006C6976" w:rsidP="006C6976">
      <w:pPr>
        <w:pStyle w:val="BodyText"/>
        <w:rPr>
          <w:rFonts w:cs="Arial"/>
        </w:rPr>
      </w:pPr>
    </w:p>
    <w:p w14:paraId="69797E9C" w14:textId="77777777" w:rsidR="006C6976" w:rsidRPr="00981F05" w:rsidRDefault="006C6976" w:rsidP="006C6976">
      <w:pPr>
        <w:pStyle w:val="BodyText"/>
        <w:spacing w:before="8"/>
        <w:rPr>
          <w:rFonts w:cs="Arial"/>
        </w:rPr>
      </w:pPr>
    </w:p>
    <w:p w14:paraId="74FB162A" w14:textId="77777777" w:rsidR="006C6976" w:rsidRPr="006C6976" w:rsidRDefault="006C6976" w:rsidP="006C6976">
      <w:pPr>
        <w:pStyle w:val="Heading1"/>
        <w:numPr>
          <w:ilvl w:val="0"/>
          <w:numId w:val="2"/>
        </w:numPr>
      </w:pPr>
      <w:r w:rsidRPr="006C6976">
        <w:t>Reasonable</w:t>
      </w:r>
      <w:r w:rsidRPr="006C6976">
        <w:rPr>
          <w:spacing w:val="-3"/>
        </w:rPr>
        <w:t xml:space="preserve"> </w:t>
      </w:r>
      <w:r w:rsidRPr="006C6976">
        <w:t>opportunity:</w:t>
      </w:r>
    </w:p>
    <w:p w14:paraId="5F8E2DE3" w14:textId="77777777" w:rsidR="006C6976" w:rsidRPr="00981F05" w:rsidRDefault="006C6976" w:rsidP="006C6976">
      <w:pPr>
        <w:pStyle w:val="BodyText"/>
        <w:spacing w:before="5"/>
        <w:rPr>
          <w:rFonts w:cs="Arial"/>
          <w:b/>
        </w:rPr>
      </w:pPr>
    </w:p>
    <w:p w14:paraId="6C833534" w14:textId="77777777" w:rsidR="006C6976" w:rsidRPr="00981F05" w:rsidRDefault="006C6976" w:rsidP="006C6976">
      <w:pPr>
        <w:pStyle w:val="ListParagraph"/>
        <w:widowControl w:val="0"/>
        <w:numPr>
          <w:ilvl w:val="1"/>
          <w:numId w:val="2"/>
        </w:numPr>
        <w:tabs>
          <w:tab w:val="left" w:pos="836"/>
        </w:tabs>
        <w:autoSpaceDE w:val="0"/>
        <w:autoSpaceDN w:val="0"/>
        <w:spacing w:line="259" w:lineRule="auto"/>
        <w:ind w:right="114"/>
        <w:contextualSpacing w:val="0"/>
        <w:rPr>
          <w:rFonts w:cs="Arial"/>
        </w:rPr>
      </w:pPr>
      <w:r w:rsidRPr="00981F05">
        <w:rPr>
          <w:rFonts w:cs="Arial"/>
        </w:rPr>
        <w:t xml:space="preserve">The </w:t>
      </w:r>
      <w:r w:rsidRPr="00981F05">
        <w:rPr>
          <w:rFonts w:cs="Arial"/>
          <w:i/>
        </w:rPr>
        <w:t xml:space="preserve">reasonable opportunity </w:t>
      </w:r>
      <w:r w:rsidRPr="00981F05">
        <w:rPr>
          <w:rFonts w:cs="Arial"/>
        </w:rPr>
        <w:t>clause was introduced during the 1991 Diplomatic Conference</w:t>
      </w:r>
      <w:r w:rsidRPr="00981F05">
        <w:rPr>
          <w:rFonts w:cs="Arial"/>
          <w:spacing w:val="-15"/>
        </w:rPr>
        <w:t xml:space="preserve"> </w:t>
      </w:r>
      <w:r w:rsidRPr="00981F05">
        <w:rPr>
          <w:rFonts w:cs="Arial"/>
        </w:rPr>
        <w:t>as</w:t>
      </w:r>
      <w:r w:rsidRPr="00981F05">
        <w:rPr>
          <w:rFonts w:cs="Arial"/>
          <w:spacing w:val="-15"/>
        </w:rPr>
        <w:t xml:space="preserve"> </w:t>
      </w:r>
      <w:r w:rsidRPr="00981F05">
        <w:rPr>
          <w:rFonts w:cs="Arial"/>
        </w:rPr>
        <w:t>a</w:t>
      </w:r>
      <w:r w:rsidRPr="00981F05">
        <w:rPr>
          <w:rFonts w:cs="Arial"/>
          <w:spacing w:val="-15"/>
        </w:rPr>
        <w:t xml:space="preserve"> </w:t>
      </w:r>
      <w:r w:rsidRPr="00981F05">
        <w:rPr>
          <w:rFonts w:cs="Arial"/>
        </w:rPr>
        <w:t>flexible</w:t>
      </w:r>
      <w:r w:rsidRPr="00981F05">
        <w:rPr>
          <w:rFonts w:cs="Arial"/>
          <w:spacing w:val="-15"/>
        </w:rPr>
        <w:t xml:space="preserve"> </w:t>
      </w:r>
      <w:r w:rsidRPr="00981F05">
        <w:rPr>
          <w:rFonts w:cs="Arial"/>
        </w:rPr>
        <w:t>alternative</w:t>
      </w:r>
      <w:r w:rsidRPr="00981F05">
        <w:rPr>
          <w:rFonts w:cs="Arial"/>
          <w:spacing w:val="-15"/>
        </w:rPr>
        <w:t xml:space="preserve"> </w:t>
      </w:r>
      <w:r w:rsidRPr="00981F05">
        <w:rPr>
          <w:rFonts w:cs="Arial"/>
        </w:rPr>
        <w:t>to</w:t>
      </w:r>
      <w:r w:rsidRPr="00981F05">
        <w:rPr>
          <w:rFonts w:cs="Arial"/>
          <w:spacing w:val="-15"/>
        </w:rPr>
        <w:t xml:space="preserve"> </w:t>
      </w:r>
      <w:r w:rsidRPr="00981F05">
        <w:rPr>
          <w:rFonts w:cs="Arial"/>
        </w:rPr>
        <w:t>stricter</w:t>
      </w:r>
      <w:r w:rsidRPr="00981F05">
        <w:rPr>
          <w:rFonts w:cs="Arial"/>
          <w:spacing w:val="-15"/>
        </w:rPr>
        <w:t xml:space="preserve"> </w:t>
      </w:r>
      <w:r w:rsidRPr="00981F05">
        <w:rPr>
          <w:rFonts w:cs="Arial"/>
        </w:rPr>
        <w:t>proposals</w:t>
      </w:r>
      <w:r w:rsidRPr="00981F05">
        <w:rPr>
          <w:rFonts w:cs="Arial"/>
          <w:spacing w:val="-15"/>
        </w:rPr>
        <w:t xml:space="preserve"> </w:t>
      </w:r>
      <w:r w:rsidRPr="00981F05">
        <w:rPr>
          <w:rFonts w:cs="Arial"/>
        </w:rPr>
        <w:t>(“no</w:t>
      </w:r>
      <w:r w:rsidRPr="00981F05">
        <w:rPr>
          <w:rFonts w:cs="Arial"/>
          <w:spacing w:val="-15"/>
        </w:rPr>
        <w:t xml:space="preserve"> </w:t>
      </w:r>
      <w:r w:rsidRPr="00981F05">
        <w:rPr>
          <w:rFonts w:cs="Arial"/>
        </w:rPr>
        <w:t>legal</w:t>
      </w:r>
      <w:r w:rsidRPr="00981F05">
        <w:rPr>
          <w:rFonts w:cs="Arial"/>
          <w:spacing w:val="-15"/>
        </w:rPr>
        <w:t xml:space="preserve"> </w:t>
      </w:r>
      <w:r w:rsidRPr="00981F05">
        <w:rPr>
          <w:rFonts w:cs="Arial"/>
        </w:rPr>
        <w:t>possibility”</w:t>
      </w:r>
      <w:r w:rsidRPr="00981F05">
        <w:rPr>
          <w:rFonts w:cs="Arial"/>
          <w:spacing w:val="-15"/>
        </w:rPr>
        <w:t xml:space="preserve"> </w:t>
      </w:r>
      <w:r w:rsidRPr="00981F05">
        <w:rPr>
          <w:rFonts w:cs="Arial"/>
        </w:rPr>
        <w:t>/</w:t>
      </w:r>
      <w:r w:rsidRPr="00981F05">
        <w:rPr>
          <w:rFonts w:cs="Arial"/>
          <w:spacing w:val="-15"/>
        </w:rPr>
        <w:t xml:space="preserve"> </w:t>
      </w:r>
      <w:r w:rsidRPr="00981F05">
        <w:rPr>
          <w:rFonts w:cs="Arial"/>
        </w:rPr>
        <w:t>“in</w:t>
      </w:r>
      <w:r w:rsidRPr="00981F05">
        <w:rPr>
          <w:rFonts w:cs="Arial"/>
          <w:spacing w:val="-15"/>
        </w:rPr>
        <w:t xml:space="preserve"> </w:t>
      </w:r>
      <w:r w:rsidRPr="00981F05">
        <w:rPr>
          <w:rFonts w:cs="Arial"/>
        </w:rPr>
        <w:t>spite of all due care”) and it had not appeared in the 1978</w:t>
      </w:r>
      <w:r w:rsidRPr="00981F05">
        <w:rPr>
          <w:rFonts w:cs="Arial"/>
          <w:spacing w:val="-7"/>
        </w:rPr>
        <w:t xml:space="preserve"> </w:t>
      </w:r>
      <w:r w:rsidRPr="00981F05">
        <w:rPr>
          <w:rFonts w:cs="Arial"/>
        </w:rPr>
        <w:t>Act or earlier texts.</w:t>
      </w:r>
    </w:p>
    <w:p w14:paraId="78995AFB" w14:textId="77777777" w:rsidR="006C6976"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rPr>
      </w:pPr>
      <w:r w:rsidRPr="00981F05">
        <w:rPr>
          <w:rFonts w:cs="Arial"/>
        </w:rPr>
        <w:t>The clause was adopted as a compromise during the 1991 Diplomatic Conference, replacing stricter proposals such as “no legal possibility” or “in spite of all due care.” This</w:t>
      </w:r>
      <w:r w:rsidRPr="00981F05">
        <w:rPr>
          <w:rFonts w:cs="Arial"/>
          <w:spacing w:val="-15"/>
        </w:rPr>
        <w:t xml:space="preserve"> </w:t>
      </w:r>
      <w:r w:rsidRPr="00981F05">
        <w:rPr>
          <w:rFonts w:cs="Arial"/>
        </w:rPr>
        <w:t>drafting</w:t>
      </w:r>
      <w:r w:rsidRPr="00981F05">
        <w:rPr>
          <w:rFonts w:cs="Arial"/>
          <w:spacing w:val="-15"/>
        </w:rPr>
        <w:t xml:space="preserve"> </w:t>
      </w:r>
      <w:r w:rsidRPr="00981F05">
        <w:rPr>
          <w:rFonts w:cs="Arial"/>
        </w:rPr>
        <w:t>choice</w:t>
      </w:r>
      <w:r w:rsidRPr="00981F05">
        <w:rPr>
          <w:rFonts w:cs="Arial"/>
          <w:spacing w:val="-15"/>
        </w:rPr>
        <w:t xml:space="preserve"> </w:t>
      </w:r>
      <w:r w:rsidRPr="00981F05">
        <w:rPr>
          <w:rFonts w:cs="Arial"/>
        </w:rPr>
        <w:t>ensured</w:t>
      </w:r>
      <w:r w:rsidRPr="00981F05">
        <w:rPr>
          <w:rFonts w:cs="Arial"/>
          <w:spacing w:val="-15"/>
        </w:rPr>
        <w:t xml:space="preserve"> </w:t>
      </w:r>
      <w:r w:rsidRPr="00981F05">
        <w:rPr>
          <w:rFonts w:cs="Arial"/>
        </w:rPr>
        <w:t>a</w:t>
      </w:r>
      <w:r w:rsidRPr="00981F05">
        <w:rPr>
          <w:rFonts w:cs="Arial"/>
          <w:spacing w:val="-15"/>
        </w:rPr>
        <w:t xml:space="preserve"> </w:t>
      </w:r>
      <w:r w:rsidRPr="00981F05">
        <w:rPr>
          <w:rFonts w:cs="Arial"/>
        </w:rPr>
        <w:t>flexible,</w:t>
      </w:r>
      <w:r w:rsidRPr="00981F05">
        <w:rPr>
          <w:rFonts w:cs="Arial"/>
          <w:spacing w:val="-15"/>
        </w:rPr>
        <w:t xml:space="preserve"> </w:t>
      </w:r>
      <w:r w:rsidRPr="00981F05">
        <w:rPr>
          <w:rFonts w:cs="Arial"/>
        </w:rPr>
        <w:t>context-sensitive</w:t>
      </w:r>
      <w:r w:rsidRPr="00981F05">
        <w:rPr>
          <w:rFonts w:cs="Arial"/>
          <w:spacing w:val="-15"/>
        </w:rPr>
        <w:t xml:space="preserve"> </w:t>
      </w:r>
      <w:r w:rsidRPr="00981F05">
        <w:rPr>
          <w:rFonts w:cs="Arial"/>
        </w:rPr>
        <w:t>interpretation</w:t>
      </w:r>
      <w:r w:rsidRPr="00981F05">
        <w:rPr>
          <w:rFonts w:cs="Arial"/>
          <w:spacing w:val="-15"/>
        </w:rPr>
        <w:t xml:space="preserve"> </w:t>
      </w:r>
      <w:r w:rsidRPr="00981F05">
        <w:rPr>
          <w:rFonts w:cs="Arial"/>
        </w:rPr>
        <w:t>while</w:t>
      </w:r>
      <w:r w:rsidRPr="00981F05">
        <w:rPr>
          <w:rFonts w:cs="Arial"/>
          <w:spacing w:val="-15"/>
        </w:rPr>
        <w:t xml:space="preserve"> </w:t>
      </w:r>
      <w:r w:rsidRPr="00981F05">
        <w:rPr>
          <w:rFonts w:cs="Arial"/>
        </w:rPr>
        <w:t>preserving the cascade structure. It reflects a negotiated compromise intended to preserve the cascade structure while allowing contextual judicial interpretation and marked a new safeguard in extending rights to harvested material.</w:t>
      </w:r>
    </w:p>
    <w:p w14:paraId="0C782F5D" w14:textId="6E0CB56F" w:rsidR="006C6976" w:rsidRPr="006C6976"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rPr>
      </w:pPr>
      <w:r w:rsidRPr="006C6976">
        <w:rPr>
          <w:rFonts w:cs="Arial"/>
        </w:rPr>
        <w:t>Its primary function is to ensure proportionality: downstream enforcement over harvested</w:t>
      </w:r>
      <w:r w:rsidRPr="006C6976">
        <w:rPr>
          <w:rFonts w:cs="Arial"/>
          <w:spacing w:val="-7"/>
        </w:rPr>
        <w:t xml:space="preserve"> </w:t>
      </w:r>
      <w:r w:rsidRPr="006C6976">
        <w:rPr>
          <w:rFonts w:cs="Arial"/>
        </w:rPr>
        <w:t>material</w:t>
      </w:r>
      <w:r w:rsidRPr="006C6976">
        <w:rPr>
          <w:rFonts w:cs="Arial"/>
          <w:spacing w:val="-7"/>
        </w:rPr>
        <w:t xml:space="preserve"> </w:t>
      </w:r>
      <w:r w:rsidRPr="006C6976">
        <w:rPr>
          <w:rFonts w:cs="Arial"/>
        </w:rPr>
        <w:t>is</w:t>
      </w:r>
      <w:r w:rsidRPr="006C6976">
        <w:rPr>
          <w:rFonts w:cs="Arial"/>
          <w:spacing w:val="-7"/>
        </w:rPr>
        <w:t xml:space="preserve"> </w:t>
      </w:r>
      <w:r w:rsidRPr="006C6976">
        <w:rPr>
          <w:rFonts w:cs="Arial"/>
        </w:rPr>
        <w:t>permitted</w:t>
      </w:r>
      <w:r w:rsidRPr="006C6976">
        <w:rPr>
          <w:rFonts w:cs="Arial"/>
          <w:spacing w:val="-7"/>
        </w:rPr>
        <w:t xml:space="preserve"> </w:t>
      </w:r>
      <w:r w:rsidRPr="006C6976">
        <w:rPr>
          <w:rFonts w:cs="Arial"/>
        </w:rPr>
        <w:t>only</w:t>
      </w:r>
      <w:r w:rsidRPr="006C6976">
        <w:rPr>
          <w:rFonts w:cs="Arial"/>
          <w:spacing w:val="-7"/>
        </w:rPr>
        <w:t xml:space="preserve"> </w:t>
      </w:r>
      <w:r w:rsidRPr="006C6976">
        <w:rPr>
          <w:rFonts w:cs="Arial"/>
        </w:rPr>
        <w:t>when</w:t>
      </w:r>
      <w:r w:rsidRPr="006C6976">
        <w:rPr>
          <w:rFonts w:cs="Arial"/>
          <w:spacing w:val="-7"/>
        </w:rPr>
        <w:t xml:space="preserve"> </w:t>
      </w:r>
      <w:r w:rsidRPr="006C6976">
        <w:rPr>
          <w:rFonts w:cs="Arial"/>
        </w:rPr>
        <w:t>breeders</w:t>
      </w:r>
      <w:r w:rsidRPr="006C6976">
        <w:rPr>
          <w:rFonts w:cs="Arial"/>
          <w:spacing w:val="-7"/>
        </w:rPr>
        <w:t xml:space="preserve"> </w:t>
      </w:r>
      <w:proofErr w:type="gramStart"/>
      <w:r w:rsidRPr="006C6976">
        <w:rPr>
          <w:rFonts w:cs="Arial"/>
        </w:rPr>
        <w:t>lacked</w:t>
      </w:r>
      <w:proofErr w:type="gramEnd"/>
      <w:r w:rsidRPr="006C6976">
        <w:rPr>
          <w:rFonts w:cs="Arial"/>
          <w:spacing w:val="-7"/>
        </w:rPr>
        <w:t xml:space="preserve"> </w:t>
      </w:r>
      <w:r w:rsidRPr="006C6976">
        <w:rPr>
          <w:rFonts w:cs="Arial"/>
        </w:rPr>
        <w:t>a</w:t>
      </w:r>
      <w:r w:rsidRPr="006C6976">
        <w:rPr>
          <w:rFonts w:cs="Arial"/>
          <w:spacing w:val="-7"/>
        </w:rPr>
        <w:t xml:space="preserve"> </w:t>
      </w:r>
      <w:r w:rsidRPr="006C6976">
        <w:rPr>
          <w:rFonts w:cs="Arial"/>
        </w:rPr>
        <w:t>realistic</w:t>
      </w:r>
      <w:r w:rsidRPr="006C6976">
        <w:rPr>
          <w:rFonts w:cs="Arial"/>
          <w:spacing w:val="-7"/>
        </w:rPr>
        <w:t xml:space="preserve"> </w:t>
      </w:r>
      <w:r w:rsidRPr="006C6976">
        <w:rPr>
          <w:rFonts w:cs="Arial"/>
        </w:rPr>
        <w:t>chance</w:t>
      </w:r>
      <w:r w:rsidRPr="006C6976">
        <w:rPr>
          <w:rFonts w:cs="Arial"/>
          <w:spacing w:val="-7"/>
        </w:rPr>
        <w:t xml:space="preserve"> </w:t>
      </w:r>
      <w:r w:rsidRPr="006C6976">
        <w:rPr>
          <w:rFonts w:cs="Arial"/>
        </w:rPr>
        <w:t>to</w:t>
      </w:r>
      <w:r w:rsidRPr="006C6976">
        <w:rPr>
          <w:rFonts w:cs="Arial"/>
          <w:spacing w:val="-7"/>
        </w:rPr>
        <w:t xml:space="preserve"> </w:t>
      </w:r>
      <w:r w:rsidRPr="006C6976">
        <w:rPr>
          <w:rFonts w:cs="Arial"/>
        </w:rPr>
        <w:t>exercise rights</w:t>
      </w:r>
      <w:r w:rsidRPr="006C6976">
        <w:rPr>
          <w:rFonts w:cs="Arial"/>
          <w:spacing w:val="-7"/>
        </w:rPr>
        <w:t xml:space="preserve"> </w:t>
      </w:r>
      <w:r w:rsidRPr="006C6976">
        <w:rPr>
          <w:rFonts w:cs="Arial"/>
        </w:rPr>
        <w:t>earlier</w:t>
      </w:r>
      <w:r w:rsidRPr="006C6976">
        <w:rPr>
          <w:rFonts w:cs="Arial"/>
          <w:spacing w:val="-7"/>
        </w:rPr>
        <w:t xml:space="preserve"> </w:t>
      </w:r>
      <w:r w:rsidRPr="006C6976">
        <w:rPr>
          <w:rFonts w:cs="Arial"/>
        </w:rPr>
        <w:t>at</w:t>
      </w:r>
      <w:r w:rsidRPr="006C6976">
        <w:rPr>
          <w:rFonts w:cs="Arial"/>
          <w:spacing w:val="-7"/>
        </w:rPr>
        <w:t xml:space="preserve"> </w:t>
      </w:r>
      <w:r w:rsidRPr="006C6976">
        <w:rPr>
          <w:rFonts w:cs="Arial"/>
        </w:rPr>
        <w:t>the</w:t>
      </w:r>
      <w:r w:rsidRPr="006C6976">
        <w:rPr>
          <w:rFonts w:cs="Arial"/>
          <w:spacing w:val="-7"/>
        </w:rPr>
        <w:t xml:space="preserve"> </w:t>
      </w:r>
      <w:r w:rsidRPr="006C6976">
        <w:rPr>
          <w:rFonts w:cs="Arial"/>
        </w:rPr>
        <w:t>propagation</w:t>
      </w:r>
      <w:r w:rsidRPr="006C6976">
        <w:rPr>
          <w:rFonts w:cs="Arial"/>
          <w:spacing w:val="-7"/>
        </w:rPr>
        <w:t xml:space="preserve"> </w:t>
      </w:r>
      <w:r w:rsidRPr="006C6976">
        <w:rPr>
          <w:rFonts w:cs="Arial"/>
        </w:rPr>
        <w:t>stage.</w:t>
      </w:r>
      <w:r w:rsidRPr="006C6976">
        <w:rPr>
          <w:rFonts w:cs="Arial"/>
          <w:spacing w:val="-11"/>
        </w:rPr>
        <w:t xml:space="preserve"> </w:t>
      </w:r>
      <w:r w:rsidRPr="006C6976">
        <w:rPr>
          <w:rFonts w:cs="Arial"/>
        </w:rPr>
        <w:t>The</w:t>
      </w:r>
      <w:r w:rsidRPr="006C6976">
        <w:rPr>
          <w:rFonts w:cs="Arial"/>
          <w:spacing w:val="-7"/>
        </w:rPr>
        <w:t xml:space="preserve"> </w:t>
      </w:r>
      <w:r w:rsidRPr="006C6976">
        <w:rPr>
          <w:rFonts w:cs="Arial"/>
        </w:rPr>
        <w:t>distinction</w:t>
      </w:r>
      <w:r w:rsidRPr="006C6976">
        <w:rPr>
          <w:rFonts w:cs="Arial"/>
          <w:spacing w:val="-7"/>
        </w:rPr>
        <w:t xml:space="preserve"> </w:t>
      </w:r>
      <w:r w:rsidRPr="006C6976">
        <w:rPr>
          <w:rFonts w:cs="Arial"/>
        </w:rPr>
        <w:t>drawn</w:t>
      </w:r>
      <w:r w:rsidRPr="006C6976">
        <w:rPr>
          <w:rFonts w:cs="Arial"/>
          <w:spacing w:val="-7"/>
        </w:rPr>
        <w:t xml:space="preserve"> </w:t>
      </w:r>
      <w:r w:rsidRPr="006C6976">
        <w:rPr>
          <w:rFonts w:cs="Arial"/>
        </w:rPr>
        <w:t>at</w:t>
      </w:r>
      <w:r w:rsidRPr="006C6976">
        <w:rPr>
          <w:rFonts w:cs="Arial"/>
          <w:spacing w:val="-7"/>
        </w:rPr>
        <w:t xml:space="preserve"> </w:t>
      </w:r>
      <w:r w:rsidRPr="006C6976">
        <w:rPr>
          <w:rFonts w:cs="Arial"/>
        </w:rPr>
        <w:t>the</w:t>
      </w:r>
      <w:r w:rsidRPr="006C6976">
        <w:rPr>
          <w:rFonts w:cs="Arial"/>
          <w:spacing w:val="-7"/>
        </w:rPr>
        <w:t xml:space="preserve"> </w:t>
      </w:r>
      <w:r w:rsidRPr="006C6976">
        <w:rPr>
          <w:rFonts w:cs="Arial"/>
        </w:rPr>
        <w:t>Conference</w:t>
      </w:r>
      <w:r w:rsidRPr="006C6976">
        <w:rPr>
          <w:rFonts w:cs="Arial"/>
          <w:spacing w:val="-7"/>
        </w:rPr>
        <w:t xml:space="preserve"> </w:t>
      </w:r>
      <w:r w:rsidRPr="006C6976">
        <w:rPr>
          <w:rFonts w:cs="Arial"/>
        </w:rPr>
        <w:t xml:space="preserve">between “exercise” of rights (e.g., licensing or royalty collection) and “enforcement” (legal remedies) confirmed that </w:t>
      </w:r>
      <w:r w:rsidRPr="006C6976">
        <w:rPr>
          <w:rFonts w:cs="Arial"/>
          <w:i/>
        </w:rPr>
        <w:t xml:space="preserve">reasonable opportunity </w:t>
      </w:r>
      <w:r w:rsidRPr="006C6976">
        <w:rPr>
          <w:rFonts w:cs="Arial"/>
        </w:rPr>
        <w:t>pertains primarily to the former: whether the breeder had a commercially meaningful chance to intervene upstream.</w:t>
      </w:r>
    </w:p>
    <w:p w14:paraId="79BDBD27" w14:textId="77777777" w:rsidR="006C6976" w:rsidRPr="00981F05" w:rsidRDefault="006C6976" w:rsidP="006C6976">
      <w:pPr>
        <w:pStyle w:val="ListParagraph"/>
        <w:widowControl w:val="0"/>
        <w:numPr>
          <w:ilvl w:val="1"/>
          <w:numId w:val="2"/>
        </w:numPr>
        <w:tabs>
          <w:tab w:val="left" w:pos="836"/>
        </w:tabs>
        <w:autoSpaceDE w:val="0"/>
        <w:autoSpaceDN w:val="0"/>
        <w:spacing w:before="160" w:line="259" w:lineRule="auto"/>
        <w:ind w:right="114"/>
        <w:contextualSpacing w:val="0"/>
        <w:rPr>
          <w:rFonts w:cs="Arial"/>
        </w:rPr>
      </w:pPr>
      <w:r w:rsidRPr="00981F05">
        <w:rPr>
          <w:rFonts w:cs="Arial"/>
        </w:rPr>
        <w:t>Explanatory</w:t>
      </w:r>
      <w:r w:rsidRPr="00981F05">
        <w:rPr>
          <w:rFonts w:cs="Arial"/>
          <w:spacing w:val="-1"/>
        </w:rPr>
        <w:t xml:space="preserve"> </w:t>
      </w:r>
      <w:r w:rsidRPr="00981F05">
        <w:rPr>
          <w:rFonts w:cs="Arial"/>
        </w:rPr>
        <w:t>Notes</w:t>
      </w:r>
      <w:r w:rsidRPr="00981F05">
        <w:rPr>
          <w:rFonts w:cs="Arial"/>
          <w:spacing w:val="-1"/>
        </w:rPr>
        <w:t xml:space="preserve"> </w:t>
      </w:r>
      <w:r w:rsidRPr="00981F05">
        <w:rPr>
          <w:rFonts w:cs="Arial"/>
        </w:rPr>
        <w:t>(UPOV/EXN/HRV/1)</w:t>
      </w:r>
      <w:r w:rsidRPr="00981F05">
        <w:rPr>
          <w:rFonts w:cs="Arial"/>
          <w:spacing w:val="-1"/>
        </w:rPr>
        <w:t xml:space="preserve"> </w:t>
      </w:r>
      <w:r w:rsidRPr="00981F05">
        <w:rPr>
          <w:rFonts w:cs="Arial"/>
        </w:rPr>
        <w:t>state</w:t>
      </w:r>
      <w:r w:rsidRPr="00981F05">
        <w:rPr>
          <w:rFonts w:cs="Arial"/>
          <w:spacing w:val="-1"/>
        </w:rPr>
        <w:t xml:space="preserve"> </w:t>
      </w:r>
      <w:r w:rsidRPr="00981F05">
        <w:rPr>
          <w:rFonts w:cs="Arial"/>
        </w:rPr>
        <w:t>that</w:t>
      </w:r>
      <w:r w:rsidRPr="00981F05">
        <w:rPr>
          <w:rFonts w:cs="Arial"/>
          <w:spacing w:val="-1"/>
        </w:rPr>
        <w:t xml:space="preserve"> </w:t>
      </w:r>
      <w:r w:rsidRPr="00981F05">
        <w:rPr>
          <w:rFonts w:cs="Arial"/>
        </w:rPr>
        <w:t>two</w:t>
      </w:r>
      <w:r w:rsidRPr="00981F05">
        <w:rPr>
          <w:rFonts w:cs="Arial"/>
          <w:spacing w:val="-1"/>
        </w:rPr>
        <w:t xml:space="preserve"> </w:t>
      </w:r>
      <w:r w:rsidRPr="00981F05">
        <w:rPr>
          <w:rFonts w:cs="Arial"/>
        </w:rPr>
        <w:t>cumulative</w:t>
      </w:r>
      <w:r w:rsidRPr="00981F05">
        <w:rPr>
          <w:rFonts w:cs="Arial"/>
          <w:spacing w:val="-1"/>
        </w:rPr>
        <w:t xml:space="preserve"> </w:t>
      </w:r>
      <w:r w:rsidRPr="00981F05">
        <w:rPr>
          <w:rFonts w:cs="Arial"/>
        </w:rPr>
        <w:t>conditions</w:t>
      </w:r>
      <w:r w:rsidRPr="00981F05">
        <w:rPr>
          <w:rFonts w:cs="Arial"/>
          <w:spacing w:val="-1"/>
        </w:rPr>
        <w:t xml:space="preserve"> </w:t>
      </w:r>
      <w:r w:rsidRPr="00981F05">
        <w:rPr>
          <w:rFonts w:cs="Arial"/>
        </w:rPr>
        <w:t>must</w:t>
      </w:r>
      <w:r w:rsidRPr="00981F05">
        <w:rPr>
          <w:rFonts w:cs="Arial"/>
          <w:spacing w:val="-1"/>
        </w:rPr>
        <w:t xml:space="preserve"> </w:t>
      </w:r>
      <w:r w:rsidRPr="00981F05">
        <w:rPr>
          <w:rFonts w:cs="Arial"/>
        </w:rPr>
        <w:t>be met:</w:t>
      </w:r>
      <w:r w:rsidRPr="00981F05">
        <w:rPr>
          <w:rFonts w:cs="Arial"/>
          <w:spacing w:val="-3"/>
        </w:rPr>
        <w:t xml:space="preserve"> </w:t>
      </w:r>
      <w:r w:rsidRPr="00981F05">
        <w:rPr>
          <w:rFonts w:cs="Arial"/>
        </w:rPr>
        <w:t>(i)</w:t>
      </w:r>
      <w:r w:rsidRPr="00981F05">
        <w:rPr>
          <w:rFonts w:cs="Arial"/>
          <w:spacing w:val="-3"/>
        </w:rPr>
        <w:t xml:space="preserve"> </w:t>
      </w:r>
      <w:r w:rsidRPr="00981F05">
        <w:rPr>
          <w:rFonts w:cs="Arial"/>
        </w:rPr>
        <w:t>unauthorized</w:t>
      </w:r>
      <w:r w:rsidRPr="00981F05">
        <w:rPr>
          <w:rFonts w:cs="Arial"/>
          <w:spacing w:val="-3"/>
        </w:rPr>
        <w:t xml:space="preserve"> </w:t>
      </w:r>
      <w:r w:rsidRPr="00981F05">
        <w:rPr>
          <w:rFonts w:cs="Arial"/>
        </w:rPr>
        <w:t>use</w:t>
      </w:r>
      <w:r w:rsidRPr="00981F05">
        <w:rPr>
          <w:rFonts w:cs="Arial"/>
          <w:spacing w:val="-3"/>
        </w:rPr>
        <w:t xml:space="preserve"> </w:t>
      </w:r>
      <w:r w:rsidRPr="00981F05">
        <w:rPr>
          <w:rFonts w:cs="Arial"/>
        </w:rPr>
        <w:t>of</w:t>
      </w:r>
      <w:r w:rsidRPr="00981F05">
        <w:rPr>
          <w:rFonts w:cs="Arial"/>
          <w:spacing w:val="-3"/>
        </w:rPr>
        <w:t xml:space="preserve"> </w:t>
      </w:r>
      <w:r w:rsidRPr="00981F05">
        <w:rPr>
          <w:rFonts w:cs="Arial"/>
        </w:rPr>
        <w:t>propagating</w:t>
      </w:r>
      <w:r w:rsidRPr="00981F05">
        <w:rPr>
          <w:rFonts w:cs="Arial"/>
          <w:spacing w:val="-3"/>
        </w:rPr>
        <w:t xml:space="preserve"> </w:t>
      </w:r>
      <w:r w:rsidRPr="00981F05">
        <w:rPr>
          <w:rFonts w:cs="Arial"/>
        </w:rPr>
        <w:t>material,</w:t>
      </w:r>
      <w:r w:rsidRPr="00981F05">
        <w:rPr>
          <w:rFonts w:cs="Arial"/>
          <w:spacing w:val="-3"/>
        </w:rPr>
        <w:t xml:space="preserve"> </w:t>
      </w:r>
      <w:r w:rsidRPr="00981F05">
        <w:rPr>
          <w:rFonts w:cs="Arial"/>
        </w:rPr>
        <w:t>and</w:t>
      </w:r>
      <w:r w:rsidRPr="00981F05">
        <w:rPr>
          <w:rFonts w:cs="Arial"/>
          <w:spacing w:val="-3"/>
        </w:rPr>
        <w:t xml:space="preserve"> </w:t>
      </w:r>
      <w:r w:rsidRPr="00981F05">
        <w:rPr>
          <w:rFonts w:cs="Arial"/>
        </w:rPr>
        <w:t>(ii)</w:t>
      </w:r>
      <w:r w:rsidRPr="00981F05">
        <w:rPr>
          <w:rFonts w:cs="Arial"/>
          <w:spacing w:val="-3"/>
        </w:rPr>
        <w:t xml:space="preserve"> </w:t>
      </w:r>
      <w:r w:rsidRPr="00981F05">
        <w:rPr>
          <w:rFonts w:cs="Arial"/>
        </w:rPr>
        <w:t>no</w:t>
      </w:r>
      <w:r w:rsidRPr="00981F05">
        <w:rPr>
          <w:rFonts w:cs="Arial"/>
          <w:spacing w:val="-3"/>
        </w:rPr>
        <w:t xml:space="preserve"> </w:t>
      </w:r>
      <w:r w:rsidRPr="00981F05">
        <w:rPr>
          <w:rFonts w:cs="Arial"/>
        </w:rPr>
        <w:t>reasonable</w:t>
      </w:r>
      <w:r w:rsidRPr="00981F05">
        <w:rPr>
          <w:rFonts w:cs="Arial"/>
          <w:spacing w:val="-3"/>
        </w:rPr>
        <w:t xml:space="preserve"> </w:t>
      </w:r>
      <w:r w:rsidRPr="00981F05">
        <w:rPr>
          <w:rFonts w:cs="Arial"/>
        </w:rPr>
        <w:t>opportunity</w:t>
      </w:r>
      <w:r w:rsidRPr="00981F05">
        <w:rPr>
          <w:rFonts w:cs="Arial"/>
          <w:spacing w:val="-3"/>
        </w:rPr>
        <w:t xml:space="preserve"> </w:t>
      </w:r>
      <w:r w:rsidRPr="00981F05">
        <w:rPr>
          <w:rFonts w:cs="Arial"/>
        </w:rPr>
        <w:t>to act at that stage. The clause is territorial and fact-based, assessed according to the specific circumstances of each case.</w:t>
      </w:r>
    </w:p>
    <w:p w14:paraId="7F0E6E1C" w14:textId="77777777" w:rsidR="006C6976" w:rsidRPr="00981F05" w:rsidRDefault="006C6976" w:rsidP="006C6976">
      <w:pPr>
        <w:pStyle w:val="ListParagraph"/>
        <w:widowControl w:val="0"/>
        <w:numPr>
          <w:ilvl w:val="1"/>
          <w:numId w:val="2"/>
        </w:numPr>
        <w:tabs>
          <w:tab w:val="left" w:pos="835"/>
          <w:tab w:val="left" w:pos="836"/>
        </w:tabs>
        <w:autoSpaceDE w:val="0"/>
        <w:autoSpaceDN w:val="0"/>
        <w:spacing w:before="157"/>
        <w:ind w:hanging="361"/>
        <w:contextualSpacing w:val="0"/>
        <w:rPr>
          <w:rFonts w:cs="Arial"/>
        </w:rPr>
      </w:pPr>
      <w:r w:rsidRPr="00981F05">
        <w:rPr>
          <w:rFonts w:cs="Arial"/>
        </w:rPr>
        <w:t>Case</w:t>
      </w:r>
      <w:r w:rsidRPr="00981F05">
        <w:rPr>
          <w:rFonts w:cs="Arial"/>
          <w:spacing w:val="-5"/>
        </w:rPr>
        <w:t xml:space="preserve"> </w:t>
      </w:r>
      <w:r w:rsidRPr="00981F05">
        <w:rPr>
          <w:rFonts w:cs="Arial"/>
        </w:rPr>
        <w:t>law</w:t>
      </w:r>
      <w:r w:rsidRPr="00981F05">
        <w:rPr>
          <w:rFonts w:cs="Arial"/>
          <w:spacing w:val="-1"/>
        </w:rPr>
        <w:t xml:space="preserve"> </w:t>
      </w:r>
      <w:r w:rsidRPr="00981F05">
        <w:rPr>
          <w:rFonts w:cs="Arial"/>
        </w:rPr>
        <w:t>shows</w:t>
      </w:r>
      <w:r w:rsidRPr="00981F05">
        <w:rPr>
          <w:rFonts w:cs="Arial"/>
          <w:spacing w:val="-1"/>
        </w:rPr>
        <w:t xml:space="preserve"> </w:t>
      </w:r>
      <w:proofErr w:type="gramStart"/>
      <w:r w:rsidRPr="00981F05">
        <w:rPr>
          <w:rFonts w:cs="Arial"/>
        </w:rPr>
        <w:t>illustrates</w:t>
      </w:r>
      <w:proofErr w:type="gramEnd"/>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practical</w:t>
      </w:r>
      <w:r w:rsidRPr="00981F05">
        <w:rPr>
          <w:rFonts w:cs="Arial"/>
          <w:spacing w:val="-1"/>
        </w:rPr>
        <w:t xml:space="preserve"> </w:t>
      </w:r>
      <w:r w:rsidRPr="00981F05">
        <w:rPr>
          <w:rFonts w:cs="Arial"/>
        </w:rPr>
        <w:t>scope</w:t>
      </w:r>
      <w:r w:rsidRPr="00981F05">
        <w:rPr>
          <w:rFonts w:cs="Arial"/>
          <w:spacing w:val="-2"/>
        </w:rPr>
        <w:t xml:space="preserve"> </w:t>
      </w:r>
      <w:r w:rsidRPr="00981F05">
        <w:rPr>
          <w:rFonts w:cs="Arial"/>
        </w:rPr>
        <w:t>of</w:t>
      </w:r>
      <w:r w:rsidRPr="00981F05">
        <w:rPr>
          <w:rFonts w:cs="Arial"/>
          <w:spacing w:val="-1"/>
        </w:rPr>
        <w:t xml:space="preserve"> </w:t>
      </w:r>
      <w:r w:rsidRPr="00981F05">
        <w:rPr>
          <w:rFonts w:cs="Arial"/>
        </w:rPr>
        <w:t>this</w:t>
      </w:r>
      <w:r w:rsidRPr="00981F05">
        <w:rPr>
          <w:rFonts w:cs="Arial"/>
          <w:spacing w:val="-1"/>
        </w:rPr>
        <w:t xml:space="preserve"> </w:t>
      </w:r>
      <w:r w:rsidRPr="00981F05">
        <w:rPr>
          <w:rFonts w:cs="Arial"/>
          <w:spacing w:val="-2"/>
        </w:rPr>
        <w:t>condition.</w:t>
      </w:r>
    </w:p>
    <w:p w14:paraId="67A32C91" w14:textId="77777777" w:rsidR="006C6976" w:rsidRPr="00981F05" w:rsidRDefault="006C6976" w:rsidP="006C6976">
      <w:pPr>
        <w:pStyle w:val="ListParagraph"/>
        <w:widowControl w:val="0"/>
        <w:numPr>
          <w:ilvl w:val="2"/>
          <w:numId w:val="2"/>
        </w:numPr>
        <w:tabs>
          <w:tab w:val="left" w:pos="1556"/>
        </w:tabs>
        <w:autoSpaceDE w:val="0"/>
        <w:autoSpaceDN w:val="0"/>
        <w:spacing w:before="185" w:line="254" w:lineRule="auto"/>
        <w:ind w:right="114"/>
        <w:contextualSpacing w:val="0"/>
        <w:rPr>
          <w:rFonts w:cs="Arial"/>
        </w:rPr>
      </w:pPr>
      <w:proofErr w:type="spellStart"/>
      <w:r w:rsidRPr="00981F05">
        <w:rPr>
          <w:rFonts w:cs="Arial"/>
          <w:b/>
        </w:rPr>
        <w:t>Nadorcott</w:t>
      </w:r>
      <w:proofErr w:type="spellEnd"/>
      <w:r w:rsidRPr="00981F05">
        <w:rPr>
          <w:rFonts w:cs="Arial"/>
          <w:b/>
        </w:rPr>
        <w:t xml:space="preserve"> (CJEU) </w:t>
      </w:r>
      <w:r w:rsidRPr="00981F05">
        <w:rPr>
          <w:rFonts w:cs="Arial"/>
        </w:rPr>
        <w:t>– restrictive; the provisional protection period does not require</w:t>
      </w:r>
      <w:r w:rsidRPr="00981F05">
        <w:rPr>
          <w:rFonts w:cs="Arial"/>
          <w:spacing w:val="-11"/>
        </w:rPr>
        <w:t xml:space="preserve"> </w:t>
      </w:r>
      <w:r w:rsidRPr="00981F05">
        <w:rPr>
          <w:rFonts w:cs="Arial"/>
        </w:rPr>
        <w:t>the</w:t>
      </w:r>
      <w:r w:rsidRPr="00981F05">
        <w:rPr>
          <w:rFonts w:cs="Arial"/>
          <w:spacing w:val="-11"/>
        </w:rPr>
        <w:t xml:space="preserve"> </w:t>
      </w:r>
      <w:r w:rsidRPr="00981F05">
        <w:rPr>
          <w:rFonts w:cs="Arial"/>
        </w:rPr>
        <w:t>preconditions</w:t>
      </w:r>
      <w:r w:rsidRPr="00981F05">
        <w:rPr>
          <w:rFonts w:cs="Arial"/>
          <w:spacing w:val="-10"/>
        </w:rPr>
        <w:t xml:space="preserve"> </w:t>
      </w:r>
      <w:r w:rsidRPr="00981F05">
        <w:rPr>
          <w:rFonts w:cs="Arial"/>
        </w:rPr>
        <w:t>of</w:t>
      </w:r>
      <w:r w:rsidRPr="00981F05">
        <w:rPr>
          <w:rFonts w:cs="Arial"/>
          <w:spacing w:val="-10"/>
        </w:rPr>
        <w:t xml:space="preserve"> </w:t>
      </w:r>
      <w:r w:rsidRPr="00981F05">
        <w:rPr>
          <w:rFonts w:cs="Arial"/>
        </w:rPr>
        <w:t>unauthorized</w:t>
      </w:r>
      <w:r w:rsidRPr="00981F05">
        <w:rPr>
          <w:rFonts w:cs="Arial"/>
          <w:spacing w:val="-10"/>
        </w:rPr>
        <w:t xml:space="preserve"> </w:t>
      </w:r>
      <w:r w:rsidRPr="00981F05">
        <w:rPr>
          <w:rFonts w:cs="Arial"/>
        </w:rPr>
        <w:t>use</w:t>
      </w:r>
      <w:r w:rsidRPr="00981F05">
        <w:rPr>
          <w:rFonts w:cs="Arial"/>
          <w:spacing w:val="-10"/>
        </w:rPr>
        <w:t xml:space="preserve"> </w:t>
      </w:r>
      <w:r w:rsidRPr="00981F05">
        <w:rPr>
          <w:rFonts w:cs="Arial"/>
        </w:rPr>
        <w:t>and</w:t>
      </w:r>
      <w:r w:rsidRPr="00981F05">
        <w:rPr>
          <w:rFonts w:cs="Arial"/>
          <w:spacing w:val="-10"/>
        </w:rPr>
        <w:t xml:space="preserve"> </w:t>
      </w:r>
      <w:r w:rsidRPr="00981F05">
        <w:rPr>
          <w:rFonts w:cs="Arial"/>
        </w:rPr>
        <w:t>the</w:t>
      </w:r>
      <w:r w:rsidRPr="00981F05">
        <w:rPr>
          <w:rFonts w:cs="Arial"/>
          <w:spacing w:val="-11"/>
        </w:rPr>
        <w:t xml:space="preserve"> </w:t>
      </w:r>
      <w:r w:rsidRPr="00981F05">
        <w:rPr>
          <w:rFonts w:cs="Arial"/>
        </w:rPr>
        <w:t>reasonable</w:t>
      </w:r>
      <w:r w:rsidRPr="00981F05">
        <w:rPr>
          <w:rFonts w:cs="Arial"/>
          <w:spacing w:val="-10"/>
        </w:rPr>
        <w:t xml:space="preserve"> </w:t>
      </w:r>
      <w:r w:rsidRPr="00981F05">
        <w:rPr>
          <w:rFonts w:cs="Arial"/>
        </w:rPr>
        <w:t>opportunity,</w:t>
      </w:r>
      <w:r w:rsidRPr="00981F05">
        <w:rPr>
          <w:rFonts w:cs="Arial"/>
          <w:spacing w:val="-10"/>
        </w:rPr>
        <w:t xml:space="preserve"> </w:t>
      </w:r>
      <w:r w:rsidRPr="00981F05">
        <w:rPr>
          <w:rFonts w:cs="Arial"/>
        </w:rPr>
        <w:t>as the cascade applies only to a protected variety.</w:t>
      </w:r>
    </w:p>
    <w:p w14:paraId="79F1B560" w14:textId="77777777" w:rsidR="006C6976" w:rsidRPr="00981F05" w:rsidRDefault="006C6976" w:rsidP="006C6976">
      <w:pPr>
        <w:pStyle w:val="ListParagraph"/>
        <w:widowControl w:val="0"/>
        <w:numPr>
          <w:ilvl w:val="2"/>
          <w:numId w:val="2"/>
        </w:numPr>
        <w:tabs>
          <w:tab w:val="left" w:pos="1556"/>
        </w:tabs>
        <w:autoSpaceDE w:val="0"/>
        <w:autoSpaceDN w:val="0"/>
        <w:spacing w:before="165" w:line="254" w:lineRule="auto"/>
        <w:ind w:right="114"/>
        <w:contextualSpacing w:val="0"/>
        <w:rPr>
          <w:rFonts w:cs="Arial"/>
        </w:rPr>
      </w:pPr>
      <w:r w:rsidRPr="00981F05">
        <w:rPr>
          <w:rFonts w:cs="Arial"/>
          <w:b/>
        </w:rPr>
        <w:t xml:space="preserve">Melanie (BGH, Germany) </w:t>
      </w:r>
      <w:r w:rsidRPr="00981F05">
        <w:rPr>
          <w:rFonts w:cs="Arial"/>
        </w:rPr>
        <w:t>– extraterritorial limits (no rights in France) constituted absence of opportunity. It was held that the breeder’s inability to enforce rights extraterritorially was sufficient to satisfy the clause.</w:t>
      </w:r>
    </w:p>
    <w:p w14:paraId="48C829FF" w14:textId="77777777" w:rsidR="006C6976" w:rsidRPr="00981F05" w:rsidRDefault="006C6976" w:rsidP="006C6976">
      <w:pPr>
        <w:pStyle w:val="ListParagraph"/>
        <w:widowControl w:val="0"/>
        <w:numPr>
          <w:ilvl w:val="2"/>
          <w:numId w:val="2"/>
        </w:numPr>
        <w:tabs>
          <w:tab w:val="left" w:pos="1556"/>
        </w:tabs>
        <w:autoSpaceDE w:val="0"/>
        <w:autoSpaceDN w:val="0"/>
        <w:spacing w:before="170" w:line="256" w:lineRule="auto"/>
        <w:ind w:right="114"/>
        <w:contextualSpacing w:val="0"/>
        <w:rPr>
          <w:rFonts w:cs="Arial"/>
        </w:rPr>
      </w:pPr>
      <w:r w:rsidRPr="00981F05">
        <w:rPr>
          <w:rFonts w:cs="Arial"/>
          <w:b/>
          <w:spacing w:val="-2"/>
        </w:rPr>
        <w:t>Shiitake</w:t>
      </w:r>
      <w:r w:rsidRPr="00981F05">
        <w:rPr>
          <w:rFonts w:cs="Arial"/>
          <w:b/>
          <w:spacing w:val="-13"/>
        </w:rPr>
        <w:t xml:space="preserve"> </w:t>
      </w:r>
      <w:r w:rsidRPr="00981F05">
        <w:rPr>
          <w:rFonts w:cs="Arial"/>
          <w:b/>
          <w:spacing w:val="-2"/>
        </w:rPr>
        <w:t>(IP</w:t>
      </w:r>
      <w:r w:rsidRPr="00981F05">
        <w:rPr>
          <w:rFonts w:cs="Arial"/>
          <w:b/>
          <w:spacing w:val="-13"/>
        </w:rPr>
        <w:t xml:space="preserve"> </w:t>
      </w:r>
      <w:r w:rsidRPr="00981F05">
        <w:rPr>
          <w:rFonts w:cs="Arial"/>
          <w:b/>
          <w:spacing w:val="-2"/>
        </w:rPr>
        <w:t>High</w:t>
      </w:r>
      <w:r w:rsidRPr="00981F05">
        <w:rPr>
          <w:rFonts w:cs="Arial"/>
          <w:b/>
          <w:spacing w:val="-4"/>
        </w:rPr>
        <w:t xml:space="preserve"> </w:t>
      </w:r>
      <w:r w:rsidRPr="00981F05">
        <w:rPr>
          <w:rFonts w:cs="Arial"/>
          <w:b/>
          <w:spacing w:val="-2"/>
        </w:rPr>
        <w:t>Court,</w:t>
      </w:r>
      <w:r w:rsidRPr="00981F05">
        <w:rPr>
          <w:rFonts w:cs="Arial"/>
          <w:b/>
          <w:spacing w:val="-5"/>
        </w:rPr>
        <w:t xml:space="preserve"> </w:t>
      </w:r>
      <w:r w:rsidRPr="00981F05">
        <w:rPr>
          <w:rFonts w:cs="Arial"/>
          <w:b/>
          <w:spacing w:val="-2"/>
        </w:rPr>
        <w:t>Japan)</w:t>
      </w:r>
      <w:r w:rsidRPr="00981F05">
        <w:rPr>
          <w:rFonts w:cs="Arial"/>
          <w:b/>
          <w:spacing w:val="-6"/>
        </w:rPr>
        <w:t xml:space="preserve"> </w:t>
      </w:r>
      <w:r w:rsidRPr="00981F05">
        <w:rPr>
          <w:rFonts w:cs="Arial"/>
          <w:spacing w:val="-2"/>
        </w:rPr>
        <w:t>–</w:t>
      </w:r>
      <w:r w:rsidRPr="00981F05">
        <w:rPr>
          <w:rFonts w:cs="Arial"/>
          <w:spacing w:val="-5"/>
        </w:rPr>
        <w:t xml:space="preserve"> </w:t>
      </w:r>
      <w:r w:rsidRPr="00981F05">
        <w:rPr>
          <w:rFonts w:cs="Arial"/>
          <w:spacing w:val="-2"/>
        </w:rPr>
        <w:t>recognized</w:t>
      </w:r>
      <w:r w:rsidRPr="00981F05">
        <w:rPr>
          <w:rFonts w:cs="Arial"/>
          <w:spacing w:val="-5"/>
        </w:rPr>
        <w:t xml:space="preserve"> </w:t>
      </w:r>
      <w:r w:rsidRPr="00981F05">
        <w:rPr>
          <w:rFonts w:cs="Arial"/>
          <w:spacing w:val="-2"/>
        </w:rPr>
        <w:t>broader</w:t>
      </w:r>
      <w:r w:rsidRPr="00981F05">
        <w:rPr>
          <w:rFonts w:cs="Arial"/>
          <w:spacing w:val="-5"/>
        </w:rPr>
        <w:t xml:space="preserve"> </w:t>
      </w:r>
      <w:r w:rsidRPr="00981F05">
        <w:rPr>
          <w:rFonts w:cs="Arial"/>
          <w:spacing w:val="-2"/>
        </w:rPr>
        <w:t>factual</w:t>
      </w:r>
      <w:r w:rsidRPr="00981F05">
        <w:rPr>
          <w:rFonts w:cs="Arial"/>
          <w:spacing w:val="-5"/>
        </w:rPr>
        <w:t xml:space="preserve"> </w:t>
      </w:r>
      <w:r w:rsidRPr="00981F05">
        <w:rPr>
          <w:rFonts w:cs="Arial"/>
          <w:spacing w:val="-2"/>
        </w:rPr>
        <w:t>limits</w:t>
      </w:r>
      <w:r w:rsidRPr="00981F05">
        <w:rPr>
          <w:rFonts w:cs="Arial"/>
          <w:spacing w:val="-5"/>
        </w:rPr>
        <w:t xml:space="preserve"> </w:t>
      </w:r>
      <w:r w:rsidRPr="00981F05">
        <w:rPr>
          <w:rFonts w:cs="Arial"/>
          <w:spacing w:val="-2"/>
        </w:rPr>
        <w:t>(legal</w:t>
      </w:r>
      <w:r w:rsidRPr="00981F05">
        <w:rPr>
          <w:rFonts w:cs="Arial"/>
          <w:spacing w:val="-5"/>
        </w:rPr>
        <w:t xml:space="preserve"> </w:t>
      </w:r>
      <w:r w:rsidRPr="00981F05">
        <w:rPr>
          <w:rFonts w:cs="Arial"/>
          <w:spacing w:val="-2"/>
        </w:rPr>
        <w:t xml:space="preserve">gaps </w:t>
      </w:r>
      <w:r w:rsidRPr="00981F05">
        <w:rPr>
          <w:rFonts w:cs="Arial"/>
        </w:rPr>
        <w:t xml:space="preserve">abroad, evidentiary and technical hurdles). It extended the reasoning further, recognizing that lack of legal protection abroad, evidentiary constraints, and technical challenges could jointly amount to absence of a reasonable </w:t>
      </w:r>
      <w:r w:rsidRPr="00981F05">
        <w:rPr>
          <w:rFonts w:cs="Arial"/>
          <w:spacing w:val="-2"/>
        </w:rPr>
        <w:t>opportunity.</w:t>
      </w:r>
    </w:p>
    <w:p w14:paraId="41FFFADF" w14:textId="77777777" w:rsidR="006C6976" w:rsidRPr="00981F05" w:rsidRDefault="006C6976" w:rsidP="006C6976">
      <w:pPr>
        <w:pStyle w:val="ListParagraph"/>
        <w:widowControl w:val="0"/>
        <w:numPr>
          <w:ilvl w:val="2"/>
          <w:numId w:val="2"/>
        </w:numPr>
        <w:tabs>
          <w:tab w:val="left" w:pos="1556"/>
        </w:tabs>
        <w:autoSpaceDE w:val="0"/>
        <w:autoSpaceDN w:val="0"/>
        <w:spacing w:before="162" w:line="254" w:lineRule="auto"/>
        <w:ind w:right="114"/>
        <w:contextualSpacing w:val="0"/>
        <w:rPr>
          <w:rFonts w:cs="Arial"/>
        </w:rPr>
      </w:pPr>
      <w:proofErr w:type="spellStart"/>
      <w:r w:rsidRPr="00981F05">
        <w:rPr>
          <w:rFonts w:cs="Arial"/>
          <w:b/>
        </w:rPr>
        <w:t>Erntegut</w:t>
      </w:r>
      <w:proofErr w:type="spellEnd"/>
      <w:r w:rsidRPr="00981F05">
        <w:rPr>
          <w:rFonts w:cs="Arial"/>
          <w:b/>
        </w:rPr>
        <w:t xml:space="preserve"> (BGH, Germany) </w:t>
      </w:r>
      <w:r w:rsidRPr="00981F05">
        <w:rPr>
          <w:rFonts w:cs="Arial"/>
        </w:rPr>
        <w:t>– emphasized the importance of the concrete possibility for the breeder to exercise his right; lack of traceability and hidden supply chains excluded the opportunity to act upstream.</w:t>
      </w:r>
    </w:p>
    <w:p w14:paraId="560EF414" w14:textId="77777777" w:rsidR="006C6976" w:rsidRDefault="006C6976" w:rsidP="006C6976">
      <w:pPr>
        <w:pStyle w:val="ListParagraph"/>
        <w:widowControl w:val="0"/>
        <w:numPr>
          <w:ilvl w:val="1"/>
          <w:numId w:val="2"/>
        </w:numPr>
        <w:tabs>
          <w:tab w:val="left" w:pos="836"/>
        </w:tabs>
        <w:autoSpaceDE w:val="0"/>
        <w:autoSpaceDN w:val="0"/>
        <w:spacing w:before="170" w:line="259" w:lineRule="auto"/>
        <w:ind w:right="114"/>
        <w:contextualSpacing w:val="0"/>
        <w:rPr>
          <w:rFonts w:cs="Arial"/>
        </w:rPr>
        <w:sectPr w:rsidR="006C6976" w:rsidSect="0004198B">
          <w:headerReference w:type="default" r:id="rId10"/>
          <w:headerReference w:type="first" r:id="rId11"/>
          <w:pgSz w:w="11907" w:h="16840" w:code="9"/>
          <w:pgMar w:top="510" w:right="1134" w:bottom="1134" w:left="1134" w:header="510" w:footer="680" w:gutter="0"/>
          <w:pgNumType w:start="1"/>
          <w:cols w:space="720"/>
          <w:titlePg/>
        </w:sectPr>
      </w:pPr>
    </w:p>
    <w:p w14:paraId="144811AF" w14:textId="77777777" w:rsidR="006C6976" w:rsidRPr="00981F05" w:rsidRDefault="006C6976" w:rsidP="006C6976">
      <w:pPr>
        <w:pStyle w:val="ListParagraph"/>
        <w:widowControl w:val="0"/>
        <w:numPr>
          <w:ilvl w:val="1"/>
          <w:numId w:val="2"/>
        </w:numPr>
        <w:tabs>
          <w:tab w:val="left" w:pos="836"/>
        </w:tabs>
        <w:autoSpaceDE w:val="0"/>
        <w:autoSpaceDN w:val="0"/>
        <w:spacing w:before="170" w:line="259" w:lineRule="auto"/>
        <w:ind w:right="114"/>
        <w:contextualSpacing w:val="0"/>
        <w:rPr>
          <w:rFonts w:cs="Arial"/>
        </w:rPr>
      </w:pPr>
      <w:r w:rsidRPr="00981F05">
        <w:rPr>
          <w:rFonts w:cs="Arial"/>
        </w:rPr>
        <w:lastRenderedPageBreak/>
        <w:t xml:space="preserve">Across jurisdictions, the notion of </w:t>
      </w:r>
      <w:r w:rsidRPr="00981F05">
        <w:rPr>
          <w:rFonts w:cs="Arial"/>
          <w:i/>
        </w:rPr>
        <w:t xml:space="preserve">reasonable opportunity </w:t>
      </w:r>
      <w:r w:rsidRPr="00981F05">
        <w:rPr>
          <w:rFonts w:cs="Arial"/>
        </w:rPr>
        <w:t>has emerged as a decisive threshold: it prevents opportunistic or retroactive enforcement while preserving the breeder’s ability to act when upstream control was legally or practically impossible.</w:t>
      </w:r>
    </w:p>
    <w:p w14:paraId="2BDB23CB" w14:textId="77777777" w:rsidR="006C6976" w:rsidRPr="00981F05"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rPr>
      </w:pPr>
      <w:r w:rsidRPr="00981F05">
        <w:rPr>
          <w:rFonts w:cs="Arial"/>
        </w:rPr>
        <w:t>Summarized:</w:t>
      </w:r>
      <w:r w:rsidRPr="00981F05">
        <w:rPr>
          <w:rFonts w:cs="Arial"/>
          <w:spacing w:val="40"/>
        </w:rPr>
        <w:t xml:space="preserve"> </w:t>
      </w:r>
      <w:r w:rsidRPr="00981F05">
        <w:rPr>
          <w:rFonts w:cs="Arial"/>
          <w:i/>
        </w:rPr>
        <w:t xml:space="preserve">reasonable opportunity </w:t>
      </w:r>
      <w:r w:rsidRPr="00981F05">
        <w:rPr>
          <w:rFonts w:cs="Arial"/>
        </w:rPr>
        <w:t>has emerged as the decisive threshold for applying the cascade principle: it prevents retroactive or opportunistic claims while ensuring</w:t>
      </w:r>
      <w:r w:rsidRPr="00981F05">
        <w:rPr>
          <w:rFonts w:cs="Arial"/>
          <w:spacing w:val="-1"/>
        </w:rPr>
        <w:t xml:space="preserve"> </w:t>
      </w:r>
      <w:r w:rsidRPr="00981F05">
        <w:rPr>
          <w:rFonts w:cs="Arial"/>
        </w:rPr>
        <w:t>breeders</w:t>
      </w:r>
      <w:r w:rsidRPr="00981F05">
        <w:rPr>
          <w:rFonts w:cs="Arial"/>
          <w:spacing w:val="-1"/>
        </w:rPr>
        <w:t xml:space="preserve"> </w:t>
      </w:r>
      <w:r w:rsidRPr="00981F05">
        <w:rPr>
          <w:rFonts w:cs="Arial"/>
        </w:rPr>
        <w:t>are</w:t>
      </w:r>
      <w:r w:rsidRPr="00981F05">
        <w:rPr>
          <w:rFonts w:cs="Arial"/>
          <w:spacing w:val="-1"/>
        </w:rPr>
        <w:t xml:space="preserve"> </w:t>
      </w:r>
      <w:r w:rsidRPr="00981F05">
        <w:rPr>
          <w:rFonts w:cs="Arial"/>
        </w:rPr>
        <w:t>not</w:t>
      </w:r>
      <w:r w:rsidRPr="00981F05">
        <w:rPr>
          <w:rFonts w:cs="Arial"/>
          <w:spacing w:val="-1"/>
        </w:rPr>
        <w:t xml:space="preserve"> </w:t>
      </w:r>
      <w:r w:rsidRPr="00981F05">
        <w:rPr>
          <w:rFonts w:cs="Arial"/>
        </w:rPr>
        <w:t>deprived</w:t>
      </w:r>
      <w:r w:rsidRPr="00981F05">
        <w:rPr>
          <w:rFonts w:cs="Arial"/>
          <w:spacing w:val="-1"/>
        </w:rPr>
        <w:t xml:space="preserve"> </w:t>
      </w:r>
      <w:r w:rsidRPr="00981F05">
        <w:rPr>
          <w:rFonts w:cs="Arial"/>
        </w:rPr>
        <w:t>of</w:t>
      </w:r>
      <w:r w:rsidRPr="00981F05">
        <w:rPr>
          <w:rFonts w:cs="Arial"/>
          <w:spacing w:val="-1"/>
        </w:rPr>
        <w:t xml:space="preserve"> </w:t>
      </w:r>
      <w:r w:rsidRPr="00981F05">
        <w:rPr>
          <w:rFonts w:cs="Arial"/>
        </w:rPr>
        <w:t>protection</w:t>
      </w:r>
      <w:r w:rsidRPr="00981F05">
        <w:rPr>
          <w:rFonts w:cs="Arial"/>
          <w:spacing w:val="-1"/>
        </w:rPr>
        <w:t xml:space="preserve"> </w:t>
      </w:r>
      <w:r w:rsidRPr="00981F05">
        <w:rPr>
          <w:rFonts w:cs="Arial"/>
        </w:rPr>
        <w:t>when</w:t>
      </w:r>
      <w:r w:rsidRPr="00981F05">
        <w:rPr>
          <w:rFonts w:cs="Arial"/>
          <w:spacing w:val="-1"/>
        </w:rPr>
        <w:t xml:space="preserve"> </w:t>
      </w:r>
      <w:r w:rsidRPr="00981F05">
        <w:rPr>
          <w:rFonts w:cs="Arial"/>
        </w:rPr>
        <w:t>upstream</w:t>
      </w:r>
      <w:r w:rsidRPr="00981F05">
        <w:rPr>
          <w:rFonts w:cs="Arial"/>
          <w:spacing w:val="-1"/>
        </w:rPr>
        <w:t xml:space="preserve"> </w:t>
      </w:r>
      <w:r w:rsidRPr="00981F05">
        <w:rPr>
          <w:rFonts w:cs="Arial"/>
        </w:rPr>
        <w:t>enforcement</w:t>
      </w:r>
      <w:r w:rsidRPr="00981F05">
        <w:rPr>
          <w:rFonts w:cs="Arial"/>
          <w:spacing w:val="-1"/>
        </w:rPr>
        <w:t xml:space="preserve"> </w:t>
      </w:r>
      <w:r w:rsidRPr="00981F05">
        <w:rPr>
          <w:rFonts w:cs="Arial"/>
        </w:rPr>
        <w:t>is</w:t>
      </w:r>
      <w:r w:rsidRPr="00981F05">
        <w:rPr>
          <w:rFonts w:cs="Arial"/>
          <w:spacing w:val="-1"/>
        </w:rPr>
        <w:t xml:space="preserve"> </w:t>
      </w:r>
      <w:r w:rsidRPr="00981F05">
        <w:rPr>
          <w:rFonts w:cs="Arial"/>
        </w:rPr>
        <w:t>legally or practically impossible.</w:t>
      </w:r>
    </w:p>
    <w:p w14:paraId="10F8E596" w14:textId="77777777" w:rsidR="006C6976" w:rsidRPr="00981F05" w:rsidRDefault="006C6976" w:rsidP="006C6976">
      <w:pPr>
        <w:pStyle w:val="BodyText"/>
        <w:spacing w:before="5"/>
        <w:rPr>
          <w:rFonts w:cs="Arial"/>
        </w:rPr>
      </w:pPr>
    </w:p>
    <w:p w14:paraId="378C5FDE" w14:textId="77777777" w:rsidR="006C6976" w:rsidRPr="006C6976" w:rsidRDefault="006C6976" w:rsidP="006C6976">
      <w:pPr>
        <w:pStyle w:val="Heading1"/>
      </w:pPr>
      <w:r w:rsidRPr="006C6976">
        <w:t>III</w:t>
      </w:r>
      <w:r w:rsidRPr="006C6976">
        <w:rPr>
          <w:spacing w:val="-2"/>
        </w:rPr>
        <w:t xml:space="preserve"> </w:t>
      </w:r>
      <w:r w:rsidRPr="006C6976">
        <w:t>Propagating</w:t>
      </w:r>
      <w:r w:rsidRPr="006C6976">
        <w:rPr>
          <w:spacing w:val="-1"/>
        </w:rPr>
        <w:t xml:space="preserve"> </w:t>
      </w:r>
      <w:r w:rsidRPr="006C6976">
        <w:t>material</w:t>
      </w:r>
      <w:r w:rsidRPr="006C6976">
        <w:rPr>
          <w:spacing w:val="-3"/>
        </w:rPr>
        <w:t xml:space="preserve"> </w:t>
      </w:r>
      <w:r w:rsidRPr="006C6976">
        <w:t>and</w:t>
      </w:r>
      <w:r w:rsidRPr="006C6976">
        <w:rPr>
          <w:spacing w:val="-1"/>
        </w:rPr>
        <w:t xml:space="preserve"> </w:t>
      </w:r>
      <w:r w:rsidRPr="006C6976">
        <w:t>harvested</w:t>
      </w:r>
      <w:r w:rsidRPr="006C6976">
        <w:rPr>
          <w:spacing w:val="-1"/>
        </w:rPr>
        <w:t xml:space="preserve"> </w:t>
      </w:r>
      <w:r w:rsidRPr="006C6976">
        <w:rPr>
          <w:spacing w:val="-2"/>
        </w:rPr>
        <w:t>material:</w:t>
      </w:r>
    </w:p>
    <w:p w14:paraId="1F46A037" w14:textId="77777777" w:rsidR="006C6976" w:rsidRPr="00981F05" w:rsidRDefault="006C6976" w:rsidP="006C6976">
      <w:pPr>
        <w:pStyle w:val="BodyText"/>
        <w:spacing w:before="5"/>
        <w:rPr>
          <w:rFonts w:cs="Arial"/>
          <w:b/>
        </w:rPr>
      </w:pPr>
    </w:p>
    <w:p w14:paraId="737D2C47" w14:textId="77777777" w:rsidR="006C6976" w:rsidRDefault="006C6976" w:rsidP="006C6976">
      <w:pPr>
        <w:pStyle w:val="BodyText"/>
        <w:spacing w:line="276" w:lineRule="auto"/>
        <w:ind w:left="116" w:right="262"/>
        <w:rPr>
          <w:rFonts w:cs="Arial"/>
        </w:rPr>
      </w:pPr>
      <w:r w:rsidRPr="00981F05">
        <w:rPr>
          <w:rFonts w:cs="Arial"/>
        </w:rPr>
        <w:t>The Records of the 1991 Conference take a clear position on not defining “propagating material” and “harvested material”. They discussed proposed amendments that were ultimately</w:t>
      </w:r>
      <w:r w:rsidRPr="00981F05">
        <w:rPr>
          <w:rFonts w:cs="Arial"/>
          <w:spacing w:val="-3"/>
        </w:rPr>
        <w:t xml:space="preserve"> </w:t>
      </w:r>
      <w:r w:rsidRPr="00981F05">
        <w:rPr>
          <w:rFonts w:cs="Arial"/>
        </w:rPr>
        <w:t>not</w:t>
      </w:r>
      <w:r w:rsidRPr="00981F05">
        <w:rPr>
          <w:rFonts w:cs="Arial"/>
          <w:spacing w:val="-4"/>
        </w:rPr>
        <w:t xml:space="preserve"> </w:t>
      </w:r>
      <w:r w:rsidRPr="00981F05">
        <w:rPr>
          <w:rFonts w:cs="Arial"/>
        </w:rPr>
        <w:t>adopted,</w:t>
      </w:r>
      <w:r w:rsidRPr="00981F05">
        <w:rPr>
          <w:rFonts w:cs="Arial"/>
          <w:spacing w:val="-3"/>
        </w:rPr>
        <w:t xml:space="preserve"> </w:t>
      </w:r>
      <w:r w:rsidRPr="00981F05">
        <w:rPr>
          <w:rFonts w:cs="Arial"/>
        </w:rPr>
        <w:t>which</w:t>
      </w:r>
      <w:r w:rsidRPr="00981F05">
        <w:rPr>
          <w:rFonts w:cs="Arial"/>
          <w:spacing w:val="-3"/>
        </w:rPr>
        <w:t xml:space="preserve"> </w:t>
      </w:r>
      <w:r w:rsidRPr="00981F05">
        <w:rPr>
          <w:rFonts w:cs="Arial"/>
        </w:rPr>
        <w:t>allows</w:t>
      </w:r>
      <w:r w:rsidRPr="00981F05">
        <w:rPr>
          <w:rFonts w:cs="Arial"/>
          <w:spacing w:val="-3"/>
        </w:rPr>
        <w:t xml:space="preserve"> </w:t>
      </w:r>
      <w:r w:rsidRPr="00981F05">
        <w:rPr>
          <w:rFonts w:cs="Arial"/>
        </w:rPr>
        <w:t>conclusions</w:t>
      </w:r>
      <w:r w:rsidRPr="00981F05">
        <w:rPr>
          <w:rFonts w:cs="Arial"/>
          <w:spacing w:val="-3"/>
        </w:rPr>
        <w:t xml:space="preserve"> </w:t>
      </w:r>
      <w:r w:rsidRPr="00981F05">
        <w:rPr>
          <w:rFonts w:cs="Arial"/>
        </w:rPr>
        <w:t>to</w:t>
      </w:r>
      <w:r w:rsidRPr="00981F05">
        <w:rPr>
          <w:rFonts w:cs="Arial"/>
          <w:spacing w:val="-3"/>
        </w:rPr>
        <w:t xml:space="preserve"> </w:t>
      </w:r>
      <w:r w:rsidRPr="00981F05">
        <w:rPr>
          <w:rFonts w:cs="Arial"/>
        </w:rPr>
        <w:t>be</w:t>
      </w:r>
      <w:r w:rsidRPr="00981F05">
        <w:rPr>
          <w:rFonts w:cs="Arial"/>
          <w:spacing w:val="-4"/>
        </w:rPr>
        <w:t xml:space="preserve"> </w:t>
      </w:r>
      <w:r w:rsidRPr="00981F05">
        <w:rPr>
          <w:rFonts w:cs="Arial"/>
        </w:rPr>
        <w:t>drawn</w:t>
      </w:r>
      <w:r w:rsidRPr="00981F05">
        <w:rPr>
          <w:rFonts w:cs="Arial"/>
          <w:spacing w:val="-3"/>
        </w:rPr>
        <w:t xml:space="preserve"> </w:t>
      </w:r>
      <w:r w:rsidRPr="00981F05">
        <w:rPr>
          <w:rFonts w:cs="Arial"/>
        </w:rPr>
        <w:t>about</w:t>
      </w:r>
      <w:r w:rsidRPr="00981F05">
        <w:rPr>
          <w:rFonts w:cs="Arial"/>
          <w:spacing w:val="-4"/>
        </w:rPr>
        <w:t xml:space="preserve"> </w:t>
      </w:r>
      <w:r w:rsidRPr="00981F05">
        <w:rPr>
          <w:rFonts w:cs="Arial"/>
        </w:rPr>
        <w:t>the</w:t>
      </w:r>
      <w:r w:rsidRPr="00981F05">
        <w:rPr>
          <w:rFonts w:cs="Arial"/>
          <w:spacing w:val="-4"/>
        </w:rPr>
        <w:t xml:space="preserve"> </w:t>
      </w:r>
      <w:r w:rsidRPr="00981F05">
        <w:rPr>
          <w:rFonts w:cs="Arial"/>
        </w:rPr>
        <w:t>understanding</w:t>
      </w:r>
      <w:r w:rsidRPr="00981F05">
        <w:rPr>
          <w:rFonts w:cs="Arial"/>
          <w:spacing w:val="-3"/>
        </w:rPr>
        <w:t xml:space="preserve"> </w:t>
      </w:r>
      <w:r w:rsidRPr="00981F05">
        <w:rPr>
          <w:rFonts w:cs="Arial"/>
        </w:rPr>
        <w:t>of</w:t>
      </w:r>
      <w:r w:rsidRPr="00981F05">
        <w:rPr>
          <w:rFonts w:cs="Arial"/>
          <w:spacing w:val="-3"/>
        </w:rPr>
        <w:t xml:space="preserve"> </w:t>
      </w:r>
      <w:r w:rsidRPr="00981F05">
        <w:rPr>
          <w:rFonts w:cs="Arial"/>
        </w:rPr>
        <w:t xml:space="preserve">the final text, but they explain this only indirectly and without taking a clear position on the disputed issue about the scope of protections. These debates also deferred some of the discussion about “propagating material” and “harvested material” to the discussions about exhaustion (Article 16). </w:t>
      </w:r>
      <w:proofErr w:type="gramStart"/>
      <w:r w:rsidRPr="00981F05">
        <w:rPr>
          <w:rFonts w:cs="Arial"/>
        </w:rPr>
        <w:t>With this in mind, the</w:t>
      </w:r>
      <w:proofErr w:type="gramEnd"/>
      <w:r w:rsidRPr="00981F05">
        <w:rPr>
          <w:rFonts w:cs="Arial"/>
        </w:rPr>
        <w:t xml:space="preserve"> following cautious conclusions are apparent:</w:t>
      </w:r>
    </w:p>
    <w:p w14:paraId="1415D2A8" w14:textId="77777777" w:rsidR="006C6976" w:rsidRPr="00981F05" w:rsidRDefault="006C6976" w:rsidP="006C6976">
      <w:pPr>
        <w:pStyle w:val="BodyText"/>
        <w:spacing w:line="276" w:lineRule="auto"/>
        <w:ind w:left="116" w:right="262"/>
        <w:rPr>
          <w:rFonts w:cs="Arial"/>
        </w:rPr>
      </w:pPr>
    </w:p>
    <w:p w14:paraId="58CA985E" w14:textId="77777777" w:rsidR="006C6976" w:rsidRPr="00981F05" w:rsidRDefault="006C6976" w:rsidP="006C6976">
      <w:pPr>
        <w:pStyle w:val="ListParagraph"/>
        <w:widowControl w:val="0"/>
        <w:numPr>
          <w:ilvl w:val="0"/>
          <w:numId w:val="4"/>
        </w:numPr>
        <w:tabs>
          <w:tab w:val="left" w:pos="682"/>
          <w:tab w:val="left" w:pos="683"/>
        </w:tabs>
        <w:autoSpaceDE w:val="0"/>
        <w:autoSpaceDN w:val="0"/>
        <w:spacing w:before="79" w:line="276" w:lineRule="auto"/>
        <w:ind w:right="115"/>
        <w:contextualSpacing w:val="0"/>
        <w:jc w:val="both"/>
        <w:rPr>
          <w:rFonts w:cs="Arial"/>
        </w:rPr>
      </w:pPr>
      <w:r w:rsidRPr="00981F05">
        <w:rPr>
          <w:rFonts w:cs="Arial"/>
        </w:rPr>
        <w:t>For</w:t>
      </w:r>
      <w:r w:rsidRPr="00981F05">
        <w:rPr>
          <w:rFonts w:cs="Arial"/>
          <w:spacing w:val="-3"/>
        </w:rPr>
        <w:t xml:space="preserve"> </w:t>
      </w:r>
      <w:r w:rsidRPr="00981F05">
        <w:rPr>
          <w:rFonts w:cs="Arial"/>
        </w:rPr>
        <w:t>“harvested</w:t>
      </w:r>
      <w:r w:rsidRPr="00981F05">
        <w:rPr>
          <w:rFonts w:cs="Arial"/>
          <w:spacing w:val="-3"/>
        </w:rPr>
        <w:t xml:space="preserve"> </w:t>
      </w:r>
      <w:r w:rsidRPr="00981F05">
        <w:rPr>
          <w:rFonts w:cs="Arial"/>
        </w:rPr>
        <w:t>materials”</w:t>
      </w:r>
      <w:r w:rsidRPr="00981F05">
        <w:rPr>
          <w:rFonts w:cs="Arial"/>
          <w:spacing w:val="-4"/>
        </w:rPr>
        <w:t xml:space="preserve"> </w:t>
      </w:r>
      <w:r w:rsidRPr="00981F05">
        <w:rPr>
          <w:rFonts w:cs="Arial"/>
        </w:rPr>
        <w:t>that</w:t>
      </w:r>
      <w:r w:rsidRPr="00981F05">
        <w:rPr>
          <w:rFonts w:cs="Arial"/>
          <w:spacing w:val="-3"/>
        </w:rPr>
        <w:t xml:space="preserve"> </w:t>
      </w:r>
      <w:r w:rsidRPr="00981F05">
        <w:rPr>
          <w:rFonts w:cs="Arial"/>
        </w:rPr>
        <w:t>can</w:t>
      </w:r>
      <w:r w:rsidRPr="00981F05">
        <w:rPr>
          <w:rFonts w:cs="Arial"/>
          <w:spacing w:val="-3"/>
        </w:rPr>
        <w:t xml:space="preserve"> </w:t>
      </w:r>
      <w:r w:rsidRPr="00981F05">
        <w:rPr>
          <w:rFonts w:cs="Arial"/>
        </w:rPr>
        <w:t>be</w:t>
      </w:r>
      <w:r w:rsidRPr="00981F05">
        <w:rPr>
          <w:rFonts w:cs="Arial"/>
          <w:spacing w:val="-4"/>
        </w:rPr>
        <w:t xml:space="preserve"> </w:t>
      </w:r>
      <w:r w:rsidRPr="00981F05">
        <w:rPr>
          <w:rFonts w:cs="Arial"/>
        </w:rPr>
        <w:t>used</w:t>
      </w:r>
      <w:r w:rsidRPr="00981F05">
        <w:rPr>
          <w:rFonts w:cs="Arial"/>
          <w:spacing w:val="-3"/>
        </w:rPr>
        <w:t xml:space="preserve"> </w:t>
      </w:r>
      <w:r w:rsidRPr="00981F05">
        <w:rPr>
          <w:rFonts w:cs="Arial"/>
        </w:rPr>
        <w:t>as</w:t>
      </w:r>
      <w:r w:rsidRPr="00981F05">
        <w:rPr>
          <w:rFonts w:cs="Arial"/>
          <w:spacing w:val="-3"/>
        </w:rPr>
        <w:t xml:space="preserve"> </w:t>
      </w:r>
      <w:r w:rsidRPr="00981F05">
        <w:rPr>
          <w:rFonts w:cs="Arial"/>
        </w:rPr>
        <w:t>“propagating</w:t>
      </w:r>
      <w:r w:rsidRPr="00981F05">
        <w:rPr>
          <w:rFonts w:cs="Arial"/>
          <w:spacing w:val="-3"/>
        </w:rPr>
        <w:t xml:space="preserve"> </w:t>
      </w:r>
      <w:r w:rsidRPr="00981F05">
        <w:rPr>
          <w:rFonts w:cs="Arial"/>
        </w:rPr>
        <w:t>materials”</w:t>
      </w:r>
      <w:r w:rsidRPr="00981F05">
        <w:rPr>
          <w:rFonts w:cs="Arial"/>
          <w:spacing w:val="-4"/>
        </w:rPr>
        <w:t xml:space="preserve"> </w:t>
      </w:r>
      <w:r w:rsidRPr="00981F05">
        <w:rPr>
          <w:rFonts w:cs="Arial"/>
        </w:rPr>
        <w:t>or</w:t>
      </w:r>
      <w:r w:rsidRPr="00981F05">
        <w:rPr>
          <w:rFonts w:cs="Arial"/>
          <w:spacing w:val="-3"/>
        </w:rPr>
        <w:t xml:space="preserve"> </w:t>
      </w:r>
      <w:r w:rsidRPr="00981F05">
        <w:rPr>
          <w:rFonts w:cs="Arial"/>
        </w:rPr>
        <w:t>as</w:t>
      </w:r>
      <w:r w:rsidRPr="00981F05">
        <w:rPr>
          <w:rFonts w:cs="Arial"/>
          <w:spacing w:val="-3"/>
        </w:rPr>
        <w:t xml:space="preserve"> </w:t>
      </w:r>
      <w:r w:rsidRPr="00981F05">
        <w:rPr>
          <w:rFonts w:cs="Arial"/>
        </w:rPr>
        <w:t xml:space="preserve">consumption products (potatoes, crops, and so on), the mere biological possibility to use those materials for reproduction has not been seen as sufficient to apply the 1st level of the cascade; however the Records do not take a clear position as to what additional conditions (e.g. intention or knowledge) must be met to </w:t>
      </w:r>
      <w:proofErr w:type="spellStart"/>
      <w:r w:rsidRPr="00981F05">
        <w:rPr>
          <w:rFonts w:cs="Arial"/>
        </w:rPr>
        <w:t>characterise</w:t>
      </w:r>
      <w:proofErr w:type="spellEnd"/>
      <w:r w:rsidRPr="00981F05">
        <w:rPr>
          <w:rFonts w:cs="Arial"/>
        </w:rPr>
        <w:t xml:space="preserve"> consumption products as “propagating materials”.</w:t>
      </w:r>
    </w:p>
    <w:p w14:paraId="6F442211" w14:textId="77777777" w:rsidR="006C6976" w:rsidRPr="00981F05" w:rsidRDefault="006C6976" w:rsidP="006C6976">
      <w:pPr>
        <w:pStyle w:val="ListParagraph"/>
        <w:widowControl w:val="0"/>
        <w:numPr>
          <w:ilvl w:val="0"/>
          <w:numId w:val="4"/>
        </w:numPr>
        <w:tabs>
          <w:tab w:val="left" w:pos="682"/>
          <w:tab w:val="left" w:pos="683"/>
        </w:tabs>
        <w:autoSpaceDE w:val="0"/>
        <w:autoSpaceDN w:val="0"/>
        <w:spacing w:before="1" w:line="276" w:lineRule="auto"/>
        <w:ind w:right="147"/>
        <w:contextualSpacing w:val="0"/>
        <w:jc w:val="both"/>
        <w:rPr>
          <w:rFonts w:cs="Arial"/>
        </w:rPr>
      </w:pPr>
      <w:r w:rsidRPr="00981F05">
        <w:rPr>
          <w:rFonts w:cs="Arial"/>
        </w:rPr>
        <w:t>The Records indicate that plant material which is neither “propagating material” nor “harvested goods” in a literal sense should still be covered, especially full plants (pot plants, fruit trees), cut flowers, flower bulbs, cuttings, seedlings, and so on. For cut flowers, the Records give clear indications that the drafters considered them as “harvested</w:t>
      </w:r>
      <w:r w:rsidRPr="00981F05">
        <w:rPr>
          <w:rFonts w:cs="Arial"/>
          <w:spacing w:val="-3"/>
        </w:rPr>
        <w:t xml:space="preserve"> </w:t>
      </w:r>
      <w:r w:rsidRPr="00981F05">
        <w:rPr>
          <w:rFonts w:cs="Arial"/>
        </w:rPr>
        <w:t>materials”.</w:t>
      </w:r>
      <w:r w:rsidRPr="00981F05">
        <w:rPr>
          <w:rFonts w:cs="Arial"/>
          <w:spacing w:val="-8"/>
        </w:rPr>
        <w:t xml:space="preserve"> </w:t>
      </w:r>
      <w:r w:rsidRPr="00981F05">
        <w:rPr>
          <w:rFonts w:cs="Arial"/>
        </w:rPr>
        <w:t>The</w:t>
      </w:r>
      <w:r w:rsidRPr="00981F05">
        <w:rPr>
          <w:rFonts w:cs="Arial"/>
          <w:spacing w:val="-4"/>
        </w:rPr>
        <w:t xml:space="preserve"> </w:t>
      </w:r>
      <w:r w:rsidRPr="00981F05">
        <w:rPr>
          <w:rFonts w:cs="Arial"/>
        </w:rPr>
        <w:t>delegates</w:t>
      </w:r>
      <w:r w:rsidRPr="00981F05">
        <w:rPr>
          <w:rFonts w:cs="Arial"/>
          <w:spacing w:val="-3"/>
        </w:rPr>
        <w:t xml:space="preserve"> </w:t>
      </w:r>
      <w:proofErr w:type="gramStart"/>
      <w:r w:rsidRPr="00981F05">
        <w:rPr>
          <w:rFonts w:cs="Arial"/>
        </w:rPr>
        <w:t>referred</w:t>
      </w:r>
      <w:proofErr w:type="gramEnd"/>
      <w:r w:rsidRPr="00981F05">
        <w:rPr>
          <w:rFonts w:cs="Arial"/>
          <w:spacing w:val="-3"/>
        </w:rPr>
        <w:t xml:space="preserve"> </w:t>
      </w:r>
      <w:r w:rsidRPr="00981F05">
        <w:rPr>
          <w:rFonts w:cs="Arial"/>
        </w:rPr>
        <w:t>breeders</w:t>
      </w:r>
      <w:r w:rsidRPr="00981F05">
        <w:rPr>
          <w:rFonts w:cs="Arial"/>
          <w:spacing w:val="-3"/>
        </w:rPr>
        <w:t xml:space="preserve"> </w:t>
      </w:r>
      <w:r w:rsidRPr="00981F05">
        <w:rPr>
          <w:rFonts w:cs="Arial"/>
        </w:rPr>
        <w:t>who</w:t>
      </w:r>
      <w:r w:rsidRPr="00981F05">
        <w:rPr>
          <w:rFonts w:cs="Arial"/>
          <w:spacing w:val="-3"/>
        </w:rPr>
        <w:t xml:space="preserve"> </w:t>
      </w:r>
      <w:r w:rsidRPr="00981F05">
        <w:rPr>
          <w:rFonts w:cs="Arial"/>
        </w:rPr>
        <w:t>wish</w:t>
      </w:r>
      <w:r w:rsidRPr="00981F05">
        <w:rPr>
          <w:rFonts w:cs="Arial"/>
          <w:spacing w:val="-3"/>
        </w:rPr>
        <w:t xml:space="preserve"> </w:t>
      </w:r>
      <w:r w:rsidRPr="00981F05">
        <w:rPr>
          <w:rFonts w:cs="Arial"/>
        </w:rPr>
        <w:t>to</w:t>
      </w:r>
      <w:r w:rsidRPr="00981F05">
        <w:rPr>
          <w:rFonts w:cs="Arial"/>
          <w:spacing w:val="-3"/>
        </w:rPr>
        <w:t xml:space="preserve"> </w:t>
      </w:r>
      <w:r w:rsidRPr="00981F05">
        <w:rPr>
          <w:rFonts w:cs="Arial"/>
        </w:rPr>
        <w:t>have</w:t>
      </w:r>
      <w:r w:rsidRPr="00981F05">
        <w:rPr>
          <w:rFonts w:cs="Arial"/>
          <w:spacing w:val="-4"/>
        </w:rPr>
        <w:t xml:space="preserve"> </w:t>
      </w:r>
      <w:r w:rsidRPr="00981F05">
        <w:rPr>
          <w:rFonts w:cs="Arial"/>
        </w:rPr>
        <w:t>more</w:t>
      </w:r>
      <w:r w:rsidRPr="00981F05">
        <w:rPr>
          <w:rFonts w:cs="Arial"/>
          <w:spacing w:val="-4"/>
        </w:rPr>
        <w:t xml:space="preserve"> </w:t>
      </w:r>
      <w:r w:rsidRPr="00981F05">
        <w:rPr>
          <w:rFonts w:cs="Arial"/>
        </w:rPr>
        <w:t>extensive protection to the conclusion of appropriate contracts.</w:t>
      </w:r>
    </w:p>
    <w:p w14:paraId="23DBD0CD" w14:textId="77777777" w:rsidR="006C6976" w:rsidRPr="00981F05" w:rsidRDefault="006C6976" w:rsidP="006C6976">
      <w:pPr>
        <w:pStyle w:val="BodyText"/>
        <w:spacing w:before="5"/>
        <w:rPr>
          <w:rFonts w:cs="Arial"/>
        </w:rPr>
      </w:pPr>
    </w:p>
    <w:p w14:paraId="42E60E3B" w14:textId="77777777" w:rsidR="006C6976" w:rsidRPr="00981F05" w:rsidRDefault="006C6976" w:rsidP="006C6976">
      <w:pPr>
        <w:pStyle w:val="BodyText"/>
        <w:spacing w:line="237" w:lineRule="auto"/>
        <w:ind w:left="116" w:right="115"/>
        <w:rPr>
          <w:rFonts w:cs="Arial"/>
        </w:rPr>
      </w:pPr>
      <w:r w:rsidRPr="00981F05">
        <w:rPr>
          <w:rFonts w:cs="Arial"/>
        </w:rPr>
        <w:t xml:space="preserve">The court decisions do not paint a completely coherent picture, but can be summarized as </w:t>
      </w:r>
      <w:r w:rsidRPr="00981F05">
        <w:rPr>
          <w:rFonts w:cs="Arial"/>
          <w:spacing w:val="-2"/>
        </w:rPr>
        <w:t>follows:</w:t>
      </w:r>
    </w:p>
    <w:p w14:paraId="0EBCCB66" w14:textId="77777777" w:rsidR="006C6976" w:rsidRPr="00981F05" w:rsidRDefault="006C6976" w:rsidP="006C6976">
      <w:pPr>
        <w:pStyle w:val="ListParagraph"/>
        <w:widowControl w:val="0"/>
        <w:numPr>
          <w:ilvl w:val="0"/>
          <w:numId w:val="5"/>
        </w:numPr>
        <w:tabs>
          <w:tab w:val="left" w:pos="683"/>
        </w:tabs>
        <w:autoSpaceDE w:val="0"/>
        <w:autoSpaceDN w:val="0"/>
        <w:spacing w:before="4"/>
        <w:ind w:right="114"/>
        <w:contextualSpacing w:val="0"/>
        <w:jc w:val="both"/>
        <w:rPr>
          <w:rFonts w:cs="Arial"/>
        </w:rPr>
      </w:pPr>
      <w:r w:rsidRPr="00981F05">
        <w:rPr>
          <w:rFonts w:cs="Arial"/>
        </w:rPr>
        <w:t>Plant material which is not capable of reproduction true-to-type cannot be characterized as propagating material but only as harvested material (or certain products) if the conditions are met.</w:t>
      </w:r>
    </w:p>
    <w:p w14:paraId="7BD3B2FC" w14:textId="77777777" w:rsidR="006C6976" w:rsidRPr="00981F05" w:rsidRDefault="006C6976" w:rsidP="006C6976">
      <w:pPr>
        <w:pStyle w:val="ListParagraph"/>
        <w:widowControl w:val="0"/>
        <w:numPr>
          <w:ilvl w:val="0"/>
          <w:numId w:val="5"/>
        </w:numPr>
        <w:tabs>
          <w:tab w:val="left" w:pos="683"/>
        </w:tabs>
        <w:autoSpaceDE w:val="0"/>
        <w:autoSpaceDN w:val="0"/>
        <w:spacing w:line="242" w:lineRule="auto"/>
        <w:ind w:right="114"/>
        <w:contextualSpacing w:val="0"/>
        <w:jc w:val="both"/>
        <w:rPr>
          <w:rFonts w:cs="Arial"/>
        </w:rPr>
      </w:pPr>
      <w:r w:rsidRPr="00981F05">
        <w:rPr>
          <w:rFonts w:cs="Arial"/>
        </w:rPr>
        <w:t xml:space="preserve">Plant material which is capable of reproduction true-to-type must not necessarily be </w:t>
      </w:r>
      <w:proofErr w:type="spellStart"/>
      <w:r w:rsidRPr="00981F05">
        <w:rPr>
          <w:rFonts w:cs="Arial"/>
        </w:rPr>
        <w:t>characterised</w:t>
      </w:r>
      <w:proofErr w:type="spellEnd"/>
      <w:r w:rsidRPr="00981F05">
        <w:rPr>
          <w:rFonts w:cs="Arial"/>
        </w:rPr>
        <w:t xml:space="preserve"> as propagating material. Here one </w:t>
      </w:r>
      <w:proofErr w:type="gramStart"/>
      <w:r w:rsidRPr="00981F05">
        <w:rPr>
          <w:rFonts w:cs="Arial"/>
        </w:rPr>
        <w:t>has to</w:t>
      </w:r>
      <w:proofErr w:type="gramEnd"/>
      <w:r w:rsidRPr="00981F05">
        <w:rPr>
          <w:rFonts w:cs="Arial"/>
        </w:rPr>
        <w:t xml:space="preserve"> distinguish several cases:</w:t>
      </w:r>
    </w:p>
    <w:p w14:paraId="038670D3" w14:textId="77777777" w:rsidR="006C6976" w:rsidRPr="00981F05" w:rsidRDefault="006C6976" w:rsidP="006C6976">
      <w:pPr>
        <w:pStyle w:val="ListParagraph"/>
        <w:widowControl w:val="0"/>
        <w:numPr>
          <w:ilvl w:val="1"/>
          <w:numId w:val="5"/>
        </w:numPr>
        <w:tabs>
          <w:tab w:val="left" w:pos="1250"/>
        </w:tabs>
        <w:autoSpaceDE w:val="0"/>
        <w:autoSpaceDN w:val="0"/>
        <w:spacing w:line="271" w:lineRule="exact"/>
        <w:ind w:hanging="568"/>
        <w:contextualSpacing w:val="0"/>
        <w:jc w:val="both"/>
        <w:rPr>
          <w:rFonts w:cs="Arial"/>
        </w:rPr>
      </w:pPr>
      <w:r w:rsidRPr="00981F05">
        <w:rPr>
          <w:rFonts w:cs="Arial"/>
        </w:rPr>
        <w:t>Parts</w:t>
      </w:r>
      <w:r w:rsidRPr="00981F05">
        <w:rPr>
          <w:rFonts w:cs="Arial"/>
          <w:spacing w:val="-4"/>
        </w:rPr>
        <w:t xml:space="preserve"> </w:t>
      </w:r>
      <w:r w:rsidRPr="00981F05">
        <w:rPr>
          <w:rFonts w:cs="Arial"/>
        </w:rPr>
        <w:t>of</w:t>
      </w:r>
      <w:r w:rsidRPr="00981F05">
        <w:rPr>
          <w:rFonts w:cs="Arial"/>
          <w:spacing w:val="-2"/>
        </w:rPr>
        <w:t xml:space="preserve"> </w:t>
      </w:r>
      <w:r w:rsidRPr="00981F05">
        <w:rPr>
          <w:rFonts w:cs="Arial"/>
        </w:rPr>
        <w:t>plants</w:t>
      </w:r>
      <w:r w:rsidRPr="00981F05">
        <w:rPr>
          <w:rFonts w:cs="Arial"/>
          <w:spacing w:val="-1"/>
        </w:rPr>
        <w:t xml:space="preserve"> </w:t>
      </w:r>
      <w:r w:rsidRPr="00981F05">
        <w:rPr>
          <w:rFonts w:cs="Arial"/>
        </w:rPr>
        <w:t>or</w:t>
      </w:r>
      <w:r w:rsidRPr="00981F05">
        <w:rPr>
          <w:rFonts w:cs="Arial"/>
          <w:spacing w:val="-2"/>
        </w:rPr>
        <w:t xml:space="preserve"> </w:t>
      </w:r>
      <w:r w:rsidRPr="00981F05">
        <w:rPr>
          <w:rFonts w:cs="Arial"/>
        </w:rPr>
        <w:t>full</w:t>
      </w:r>
      <w:r w:rsidRPr="00981F05">
        <w:rPr>
          <w:rFonts w:cs="Arial"/>
          <w:spacing w:val="-1"/>
        </w:rPr>
        <w:t xml:space="preserve"> </w:t>
      </w:r>
      <w:r w:rsidRPr="00981F05">
        <w:rPr>
          <w:rFonts w:cs="Arial"/>
        </w:rPr>
        <w:t>plants</w:t>
      </w:r>
      <w:r w:rsidRPr="00981F05">
        <w:rPr>
          <w:rFonts w:cs="Arial"/>
          <w:spacing w:val="-2"/>
        </w:rPr>
        <w:t xml:space="preserve"> </w:t>
      </w:r>
      <w:r w:rsidRPr="00981F05">
        <w:rPr>
          <w:rFonts w:cs="Arial"/>
        </w:rPr>
        <w:t>optimized</w:t>
      </w:r>
      <w:r w:rsidRPr="00981F05">
        <w:rPr>
          <w:rFonts w:cs="Arial"/>
          <w:spacing w:val="-1"/>
        </w:rPr>
        <w:t xml:space="preserve"> </w:t>
      </w:r>
      <w:r w:rsidRPr="00981F05">
        <w:rPr>
          <w:rFonts w:cs="Arial"/>
        </w:rPr>
        <w:t>for</w:t>
      </w:r>
      <w:r w:rsidRPr="00981F05">
        <w:rPr>
          <w:rFonts w:cs="Arial"/>
          <w:spacing w:val="-2"/>
        </w:rPr>
        <w:t xml:space="preserve"> </w:t>
      </w:r>
      <w:r w:rsidRPr="00981F05">
        <w:rPr>
          <w:rFonts w:cs="Arial"/>
        </w:rPr>
        <w:t>reproduction</w:t>
      </w:r>
      <w:r w:rsidRPr="00981F05">
        <w:rPr>
          <w:rFonts w:cs="Arial"/>
          <w:spacing w:val="-1"/>
        </w:rPr>
        <w:t xml:space="preserve"> </w:t>
      </w:r>
      <w:r w:rsidRPr="00981F05">
        <w:rPr>
          <w:rFonts w:cs="Arial"/>
        </w:rPr>
        <w:t>are</w:t>
      </w:r>
      <w:r w:rsidRPr="00981F05">
        <w:rPr>
          <w:rFonts w:cs="Arial"/>
          <w:spacing w:val="-3"/>
        </w:rPr>
        <w:t xml:space="preserve"> </w:t>
      </w:r>
      <w:r w:rsidRPr="00981F05">
        <w:rPr>
          <w:rFonts w:cs="Arial"/>
        </w:rPr>
        <w:t>propagating</w:t>
      </w:r>
      <w:r w:rsidRPr="00981F05">
        <w:rPr>
          <w:rFonts w:cs="Arial"/>
          <w:spacing w:val="-1"/>
        </w:rPr>
        <w:t xml:space="preserve"> </w:t>
      </w:r>
      <w:r w:rsidRPr="00981F05">
        <w:rPr>
          <w:rFonts w:cs="Arial"/>
          <w:spacing w:val="-2"/>
        </w:rPr>
        <w:t>material.</w:t>
      </w:r>
    </w:p>
    <w:p w14:paraId="57A30B1E" w14:textId="77777777" w:rsidR="006C6976" w:rsidRPr="00981F05" w:rsidRDefault="006C6976" w:rsidP="006C6976">
      <w:pPr>
        <w:pStyle w:val="ListParagraph"/>
        <w:widowControl w:val="0"/>
        <w:numPr>
          <w:ilvl w:val="1"/>
          <w:numId w:val="5"/>
        </w:numPr>
        <w:tabs>
          <w:tab w:val="left" w:pos="1250"/>
        </w:tabs>
        <w:autoSpaceDE w:val="0"/>
        <w:autoSpaceDN w:val="0"/>
        <w:spacing w:before="2" w:line="237" w:lineRule="auto"/>
        <w:ind w:right="114"/>
        <w:contextualSpacing w:val="0"/>
        <w:jc w:val="both"/>
        <w:rPr>
          <w:rFonts w:cs="Arial"/>
        </w:rPr>
      </w:pPr>
      <w:r w:rsidRPr="00981F05">
        <w:rPr>
          <w:rFonts w:cs="Arial"/>
        </w:rPr>
        <w:t>Parts of plants or full plants optimized for (professional) cultivation or growing is propagating material (flower bulbs, cuttings) (“Goldfinger”, “Amaryllis”).</w:t>
      </w:r>
    </w:p>
    <w:p w14:paraId="24EE6E25" w14:textId="77777777" w:rsidR="006C6976" w:rsidRPr="00981F05" w:rsidRDefault="006C6976" w:rsidP="006C6976">
      <w:pPr>
        <w:pStyle w:val="ListParagraph"/>
        <w:widowControl w:val="0"/>
        <w:numPr>
          <w:ilvl w:val="1"/>
          <w:numId w:val="5"/>
        </w:numPr>
        <w:tabs>
          <w:tab w:val="left" w:pos="823"/>
          <w:tab w:val="left" w:pos="824"/>
        </w:tabs>
        <w:autoSpaceDE w:val="0"/>
        <w:autoSpaceDN w:val="0"/>
        <w:spacing w:before="3"/>
        <w:ind w:left="116" w:right="354" w:firstLine="0"/>
        <w:contextualSpacing w:val="0"/>
        <w:jc w:val="both"/>
        <w:rPr>
          <w:rFonts w:cs="Arial"/>
        </w:rPr>
      </w:pPr>
      <w:r w:rsidRPr="00981F05">
        <w:rPr>
          <w:rFonts w:cs="Arial"/>
        </w:rPr>
        <w:t>Parts of plants or full plants that are typical products of consumption harvested material</w:t>
      </w:r>
      <w:r w:rsidRPr="00981F05">
        <w:rPr>
          <w:rFonts w:cs="Arial"/>
          <w:spacing w:val="-2"/>
        </w:rPr>
        <w:t xml:space="preserve"> </w:t>
      </w:r>
      <w:r w:rsidRPr="00981F05">
        <w:rPr>
          <w:rFonts w:cs="Arial"/>
        </w:rPr>
        <w:t>(potatoes,</w:t>
      </w:r>
      <w:r w:rsidRPr="00981F05">
        <w:rPr>
          <w:rFonts w:cs="Arial"/>
          <w:spacing w:val="-2"/>
        </w:rPr>
        <w:t xml:space="preserve"> </w:t>
      </w:r>
      <w:r w:rsidRPr="00981F05">
        <w:rPr>
          <w:rFonts w:cs="Arial"/>
        </w:rPr>
        <w:t>crops,</w:t>
      </w:r>
      <w:r w:rsidRPr="00981F05">
        <w:rPr>
          <w:rFonts w:cs="Arial"/>
          <w:spacing w:val="-3"/>
        </w:rPr>
        <w:t xml:space="preserve"> </w:t>
      </w:r>
      <w:r w:rsidRPr="00981F05">
        <w:rPr>
          <w:rFonts w:cs="Arial"/>
        </w:rPr>
        <w:t>cut</w:t>
      </w:r>
      <w:r w:rsidRPr="00981F05">
        <w:rPr>
          <w:rFonts w:cs="Arial"/>
          <w:spacing w:val="-3"/>
        </w:rPr>
        <w:t xml:space="preserve"> </w:t>
      </w:r>
      <w:r w:rsidRPr="00981F05">
        <w:rPr>
          <w:rFonts w:cs="Arial"/>
        </w:rPr>
        <w:t>flowers,</w:t>
      </w:r>
      <w:r w:rsidRPr="00981F05">
        <w:rPr>
          <w:rFonts w:cs="Arial"/>
          <w:spacing w:val="-2"/>
        </w:rPr>
        <w:t xml:space="preserve"> </w:t>
      </w:r>
      <w:r w:rsidRPr="00981F05">
        <w:rPr>
          <w:rFonts w:cs="Arial"/>
        </w:rPr>
        <w:t>pot</w:t>
      </w:r>
      <w:r w:rsidRPr="00981F05">
        <w:rPr>
          <w:rFonts w:cs="Arial"/>
          <w:spacing w:val="-3"/>
        </w:rPr>
        <w:t xml:space="preserve"> </w:t>
      </w:r>
      <w:r w:rsidRPr="00981F05">
        <w:rPr>
          <w:rFonts w:cs="Arial"/>
        </w:rPr>
        <w:t>plants,</w:t>
      </w:r>
      <w:r w:rsidRPr="00981F05">
        <w:rPr>
          <w:rFonts w:cs="Arial"/>
          <w:spacing w:val="-2"/>
        </w:rPr>
        <w:t xml:space="preserve"> </w:t>
      </w:r>
      <w:r w:rsidRPr="00981F05">
        <w:rPr>
          <w:rFonts w:cs="Arial"/>
        </w:rPr>
        <w:t>Shitake</w:t>
      </w:r>
      <w:r w:rsidRPr="00981F05">
        <w:rPr>
          <w:rFonts w:cs="Arial"/>
          <w:spacing w:val="-3"/>
        </w:rPr>
        <w:t xml:space="preserve"> </w:t>
      </w:r>
      <w:r w:rsidRPr="00981F05">
        <w:rPr>
          <w:rFonts w:cs="Arial"/>
        </w:rPr>
        <w:t>mushrooms),</w:t>
      </w:r>
      <w:r w:rsidRPr="00981F05">
        <w:rPr>
          <w:rFonts w:cs="Arial"/>
          <w:spacing w:val="-2"/>
        </w:rPr>
        <w:t xml:space="preserve"> </w:t>
      </w:r>
      <w:r w:rsidRPr="00981F05">
        <w:rPr>
          <w:rFonts w:cs="Arial"/>
        </w:rPr>
        <w:t>if</w:t>
      </w:r>
      <w:r w:rsidRPr="00981F05">
        <w:rPr>
          <w:rFonts w:cs="Arial"/>
          <w:spacing w:val="-2"/>
        </w:rPr>
        <w:t xml:space="preserve"> </w:t>
      </w:r>
      <w:r w:rsidRPr="00981F05">
        <w:rPr>
          <w:rFonts w:cs="Arial"/>
        </w:rPr>
        <w:t>not</w:t>
      </w:r>
      <w:r w:rsidRPr="00981F05">
        <w:rPr>
          <w:rFonts w:cs="Arial"/>
          <w:spacing w:val="-3"/>
        </w:rPr>
        <w:t xml:space="preserve"> </w:t>
      </w:r>
      <w:r w:rsidRPr="00981F05">
        <w:rPr>
          <w:rFonts w:cs="Arial"/>
        </w:rPr>
        <w:t>sold</w:t>
      </w:r>
      <w:r w:rsidRPr="00981F05">
        <w:rPr>
          <w:rFonts w:cs="Arial"/>
          <w:spacing w:val="-2"/>
        </w:rPr>
        <w:t xml:space="preserve"> </w:t>
      </w:r>
      <w:r w:rsidRPr="00981F05">
        <w:rPr>
          <w:rFonts w:cs="Arial"/>
        </w:rPr>
        <w:t>or</w:t>
      </w:r>
      <w:r w:rsidRPr="00981F05">
        <w:rPr>
          <w:rFonts w:cs="Arial"/>
          <w:spacing w:val="-2"/>
        </w:rPr>
        <w:t xml:space="preserve"> </w:t>
      </w:r>
      <w:r w:rsidRPr="00981F05">
        <w:rPr>
          <w:rFonts w:cs="Arial"/>
        </w:rPr>
        <w:t>used</w:t>
      </w:r>
      <w:r w:rsidRPr="00981F05">
        <w:rPr>
          <w:rFonts w:cs="Arial"/>
          <w:spacing w:val="-3"/>
        </w:rPr>
        <w:t xml:space="preserve"> </w:t>
      </w:r>
      <w:r w:rsidRPr="00981F05">
        <w:rPr>
          <w:rFonts w:cs="Arial"/>
        </w:rPr>
        <w:t>as propagating or cultivation material (“</w:t>
      </w:r>
      <w:proofErr w:type="spellStart"/>
      <w:r w:rsidRPr="00981F05">
        <w:rPr>
          <w:rFonts w:cs="Arial"/>
        </w:rPr>
        <w:t>Achat</w:t>
      </w:r>
      <w:proofErr w:type="spellEnd"/>
      <w:r w:rsidRPr="00981F05">
        <w:rPr>
          <w:rFonts w:cs="Arial"/>
        </w:rPr>
        <w:t>”, “</w:t>
      </w:r>
      <w:proofErr w:type="spellStart"/>
      <w:r w:rsidRPr="00981F05">
        <w:rPr>
          <w:rFonts w:cs="Arial"/>
        </w:rPr>
        <w:t>Cilena</w:t>
      </w:r>
      <w:proofErr w:type="spellEnd"/>
      <w:r w:rsidRPr="00981F05">
        <w:rPr>
          <w:rFonts w:cs="Arial"/>
        </w:rPr>
        <w:t xml:space="preserve">”, “Melanie”, but “Franklin”, but </w:t>
      </w:r>
      <w:r w:rsidRPr="00981F05">
        <w:rPr>
          <w:rFonts w:cs="Arial"/>
          <w:spacing w:val="-2"/>
        </w:rPr>
        <w:t>“Amethyst”).</w:t>
      </w:r>
    </w:p>
    <w:p w14:paraId="6A0438A9" w14:textId="77777777" w:rsidR="006C6976" w:rsidRPr="00981F05" w:rsidRDefault="006C6976" w:rsidP="006C6976">
      <w:pPr>
        <w:pStyle w:val="BodyText"/>
        <w:spacing w:before="9"/>
        <w:rPr>
          <w:rFonts w:cs="Arial"/>
        </w:rPr>
      </w:pPr>
    </w:p>
    <w:p w14:paraId="3EFEA694" w14:textId="77777777" w:rsidR="006C6976" w:rsidRPr="00981F05" w:rsidRDefault="006C6976" w:rsidP="006C6976">
      <w:pPr>
        <w:pStyle w:val="Heading1"/>
        <w:spacing w:before="1"/>
      </w:pPr>
      <w:r w:rsidRPr="00981F05">
        <w:t>Future</w:t>
      </w:r>
      <w:r w:rsidRPr="00981F05">
        <w:rPr>
          <w:spacing w:val="-2"/>
        </w:rPr>
        <w:t xml:space="preserve"> work:</w:t>
      </w:r>
    </w:p>
    <w:p w14:paraId="4A4946EB" w14:textId="77777777" w:rsidR="006C6976" w:rsidRPr="00981F05" w:rsidRDefault="006C6976" w:rsidP="006C6976">
      <w:pPr>
        <w:pStyle w:val="BodyText"/>
        <w:spacing w:before="11"/>
        <w:rPr>
          <w:rFonts w:cs="Arial"/>
          <w:b/>
        </w:rPr>
      </w:pPr>
    </w:p>
    <w:p w14:paraId="78328653" w14:textId="77777777" w:rsidR="006C6976" w:rsidRPr="00981F05" w:rsidRDefault="006C6976" w:rsidP="006C6976">
      <w:pPr>
        <w:pStyle w:val="ListParagraph"/>
        <w:widowControl w:val="0"/>
        <w:numPr>
          <w:ilvl w:val="2"/>
          <w:numId w:val="5"/>
        </w:numPr>
        <w:tabs>
          <w:tab w:val="left" w:pos="356"/>
        </w:tabs>
        <w:autoSpaceDE w:val="0"/>
        <w:autoSpaceDN w:val="0"/>
        <w:contextualSpacing w:val="0"/>
        <w:jc w:val="both"/>
        <w:rPr>
          <w:rFonts w:cs="Arial"/>
        </w:rPr>
      </w:pPr>
      <w:r w:rsidRPr="00981F05">
        <w:rPr>
          <w:rFonts w:cs="Arial"/>
        </w:rPr>
        <w:t>To</w:t>
      </w:r>
      <w:r w:rsidRPr="00981F05">
        <w:rPr>
          <w:rFonts w:cs="Arial"/>
          <w:spacing w:val="-4"/>
        </w:rPr>
        <w:t xml:space="preserve"> </w:t>
      </w:r>
      <w:r w:rsidRPr="00981F05">
        <w:rPr>
          <w:rFonts w:cs="Arial"/>
        </w:rPr>
        <w:t>analyze</w:t>
      </w:r>
      <w:r w:rsidRPr="00981F05">
        <w:rPr>
          <w:rFonts w:cs="Arial"/>
          <w:spacing w:val="57"/>
        </w:rPr>
        <w:t xml:space="preserve"> </w:t>
      </w:r>
      <w:r w:rsidRPr="00981F05">
        <w:rPr>
          <w:rFonts w:cs="Arial"/>
        </w:rPr>
        <w:t>the</w:t>
      </w:r>
      <w:r w:rsidRPr="00981F05">
        <w:rPr>
          <w:rFonts w:cs="Arial"/>
          <w:spacing w:val="-3"/>
        </w:rPr>
        <w:t xml:space="preserve"> </w:t>
      </w:r>
      <w:r w:rsidRPr="00981F05">
        <w:rPr>
          <w:rFonts w:cs="Arial"/>
        </w:rPr>
        <w:t>relationship</w:t>
      </w:r>
      <w:r w:rsidRPr="00981F05">
        <w:rPr>
          <w:rFonts w:cs="Arial"/>
          <w:spacing w:val="-2"/>
        </w:rPr>
        <w:t xml:space="preserve"> </w:t>
      </w:r>
      <w:r w:rsidRPr="00981F05">
        <w:rPr>
          <w:rFonts w:cs="Arial"/>
        </w:rPr>
        <w:t>between</w:t>
      </w:r>
      <w:r w:rsidRPr="00981F05">
        <w:rPr>
          <w:rFonts w:cs="Arial"/>
          <w:spacing w:val="-1"/>
        </w:rPr>
        <w:t xml:space="preserve"> </w:t>
      </w:r>
      <w:r w:rsidRPr="00981F05">
        <w:rPr>
          <w:rFonts w:cs="Arial"/>
        </w:rPr>
        <w:t>unauthorized</w:t>
      </w:r>
      <w:r w:rsidRPr="00981F05">
        <w:rPr>
          <w:rFonts w:cs="Arial"/>
          <w:spacing w:val="-2"/>
        </w:rPr>
        <w:t xml:space="preserve"> </w:t>
      </w:r>
      <w:r w:rsidRPr="00981F05">
        <w:rPr>
          <w:rFonts w:cs="Arial"/>
        </w:rPr>
        <w:t>use</w:t>
      </w:r>
      <w:r w:rsidRPr="00981F05">
        <w:rPr>
          <w:rFonts w:cs="Arial"/>
          <w:spacing w:val="-2"/>
        </w:rPr>
        <w:t xml:space="preserve"> </w:t>
      </w:r>
      <w:r w:rsidRPr="00981F05">
        <w:rPr>
          <w:rFonts w:cs="Arial"/>
        </w:rPr>
        <w:t>and</w:t>
      </w:r>
      <w:r w:rsidRPr="00981F05">
        <w:rPr>
          <w:rFonts w:cs="Arial"/>
          <w:spacing w:val="-1"/>
        </w:rPr>
        <w:t xml:space="preserve"> </w:t>
      </w:r>
      <w:r w:rsidRPr="00981F05">
        <w:rPr>
          <w:rFonts w:cs="Arial"/>
          <w:spacing w:val="-2"/>
        </w:rPr>
        <w:t>Exhaustion.</w:t>
      </w:r>
    </w:p>
    <w:p w14:paraId="45582001" w14:textId="77777777" w:rsidR="006C6976" w:rsidRPr="00981F05" w:rsidRDefault="006C6976" w:rsidP="006C6976">
      <w:pPr>
        <w:pStyle w:val="BodyText"/>
        <w:rPr>
          <w:rFonts w:cs="Arial"/>
        </w:rPr>
      </w:pPr>
    </w:p>
    <w:p w14:paraId="60D097F5" w14:textId="77777777" w:rsidR="006C6976" w:rsidRPr="00981F05" w:rsidRDefault="006C6976" w:rsidP="006C6976">
      <w:pPr>
        <w:pStyle w:val="ListParagraph"/>
        <w:widowControl w:val="0"/>
        <w:numPr>
          <w:ilvl w:val="2"/>
          <w:numId w:val="5"/>
        </w:numPr>
        <w:tabs>
          <w:tab w:val="left" w:pos="356"/>
        </w:tabs>
        <w:autoSpaceDE w:val="0"/>
        <w:autoSpaceDN w:val="0"/>
        <w:contextualSpacing w:val="0"/>
        <w:jc w:val="both"/>
        <w:rPr>
          <w:rFonts w:cs="Arial"/>
        </w:rPr>
      </w:pPr>
      <w:r w:rsidRPr="00981F05">
        <w:rPr>
          <w:rFonts w:cs="Arial"/>
        </w:rPr>
        <w:t>Summaries</w:t>
      </w:r>
      <w:r w:rsidRPr="00981F05">
        <w:rPr>
          <w:rFonts w:cs="Arial"/>
          <w:spacing w:val="-2"/>
        </w:rPr>
        <w:t xml:space="preserve"> </w:t>
      </w:r>
      <w:r w:rsidRPr="00981F05">
        <w:rPr>
          <w:rFonts w:cs="Arial"/>
        </w:rPr>
        <w:t>of</w:t>
      </w:r>
      <w:r w:rsidRPr="00981F05">
        <w:rPr>
          <w:rFonts w:cs="Arial"/>
          <w:spacing w:val="-1"/>
        </w:rPr>
        <w:t xml:space="preserve"> </w:t>
      </w:r>
      <w:r w:rsidRPr="00981F05">
        <w:rPr>
          <w:rFonts w:cs="Arial"/>
        </w:rPr>
        <w:t>relevant</w:t>
      </w:r>
      <w:r w:rsidRPr="00981F05">
        <w:rPr>
          <w:rFonts w:cs="Arial"/>
          <w:spacing w:val="-2"/>
        </w:rPr>
        <w:t xml:space="preserve"> </w:t>
      </w:r>
      <w:r w:rsidRPr="00981F05">
        <w:rPr>
          <w:rFonts w:cs="Arial"/>
        </w:rPr>
        <w:t>court</w:t>
      </w:r>
      <w:r w:rsidRPr="00981F05">
        <w:rPr>
          <w:rFonts w:cs="Arial"/>
          <w:spacing w:val="-2"/>
        </w:rPr>
        <w:t xml:space="preserve"> </w:t>
      </w:r>
      <w:r w:rsidRPr="00981F05">
        <w:rPr>
          <w:rFonts w:cs="Arial"/>
        </w:rPr>
        <w:t>cases</w:t>
      </w:r>
      <w:r w:rsidRPr="00981F05">
        <w:rPr>
          <w:rFonts w:cs="Arial"/>
          <w:spacing w:val="-1"/>
        </w:rPr>
        <w:t xml:space="preserve"> </w:t>
      </w:r>
      <w:r w:rsidRPr="00981F05">
        <w:rPr>
          <w:rFonts w:cs="Arial"/>
        </w:rPr>
        <w:t>from</w:t>
      </w:r>
      <w:r w:rsidRPr="00981F05">
        <w:rPr>
          <w:rFonts w:cs="Arial"/>
          <w:spacing w:val="-2"/>
        </w:rPr>
        <w:t xml:space="preserve"> </w:t>
      </w:r>
      <w:r w:rsidRPr="00981F05">
        <w:rPr>
          <w:rFonts w:cs="Arial"/>
        </w:rPr>
        <w:t>UPOV</w:t>
      </w:r>
      <w:r w:rsidRPr="00981F05">
        <w:rPr>
          <w:rFonts w:cs="Arial"/>
          <w:spacing w:val="-1"/>
        </w:rPr>
        <w:t xml:space="preserve"> </w:t>
      </w:r>
      <w:r w:rsidRPr="00981F05">
        <w:rPr>
          <w:rFonts w:cs="Arial"/>
        </w:rPr>
        <w:t>members</w:t>
      </w:r>
      <w:r w:rsidRPr="00981F05">
        <w:rPr>
          <w:rFonts w:cs="Arial"/>
          <w:spacing w:val="-1"/>
        </w:rPr>
        <w:t xml:space="preserve"> </w:t>
      </w:r>
      <w:r w:rsidRPr="00981F05">
        <w:rPr>
          <w:rFonts w:cs="Arial"/>
        </w:rPr>
        <w:t>bound</w:t>
      </w:r>
      <w:r w:rsidRPr="00981F05">
        <w:rPr>
          <w:rFonts w:cs="Arial"/>
          <w:spacing w:val="-1"/>
        </w:rPr>
        <w:t xml:space="preserve"> </w:t>
      </w:r>
      <w:r w:rsidRPr="00981F05">
        <w:rPr>
          <w:rFonts w:cs="Arial"/>
        </w:rPr>
        <w:t>by</w:t>
      </w:r>
      <w:r w:rsidRPr="00981F05">
        <w:rPr>
          <w:rFonts w:cs="Arial"/>
          <w:spacing w:val="-1"/>
        </w:rPr>
        <w:t xml:space="preserve"> </w:t>
      </w:r>
      <w:r w:rsidRPr="00981F05">
        <w:rPr>
          <w:rFonts w:cs="Arial"/>
        </w:rPr>
        <w:t>the</w:t>
      </w:r>
      <w:r w:rsidRPr="00981F05">
        <w:rPr>
          <w:rFonts w:cs="Arial"/>
          <w:spacing w:val="-2"/>
        </w:rPr>
        <w:t xml:space="preserve"> </w:t>
      </w:r>
      <w:r w:rsidRPr="00981F05">
        <w:rPr>
          <w:rFonts w:cs="Arial"/>
        </w:rPr>
        <w:t>1991</w:t>
      </w:r>
      <w:r w:rsidRPr="00981F05">
        <w:rPr>
          <w:rFonts w:cs="Arial"/>
          <w:spacing w:val="-1"/>
        </w:rPr>
        <w:t xml:space="preserve"> </w:t>
      </w:r>
      <w:r w:rsidRPr="00981F05">
        <w:rPr>
          <w:rFonts w:cs="Arial"/>
          <w:spacing w:val="-4"/>
        </w:rPr>
        <w:t>Act.</w:t>
      </w:r>
    </w:p>
    <w:p w14:paraId="3D628ACA" w14:textId="77777777" w:rsidR="006C6976" w:rsidRPr="00981F05" w:rsidRDefault="006C6976" w:rsidP="006C6976">
      <w:pPr>
        <w:pStyle w:val="BodyText"/>
        <w:rPr>
          <w:rFonts w:cs="Arial"/>
        </w:rPr>
      </w:pPr>
    </w:p>
    <w:p w14:paraId="62AF88C8" w14:textId="6709B884" w:rsidR="005C7CCD" w:rsidRPr="006C6976" w:rsidRDefault="006C6976" w:rsidP="006C6976">
      <w:pPr>
        <w:pStyle w:val="BodyText"/>
        <w:spacing w:line="242" w:lineRule="auto"/>
        <w:ind w:left="116"/>
        <w:rPr>
          <w:rFonts w:cs="Arial"/>
        </w:rPr>
      </w:pPr>
      <w:r w:rsidRPr="00981F05">
        <w:rPr>
          <w:rFonts w:cs="Arial"/>
        </w:rPr>
        <w:t>The</w:t>
      </w:r>
      <w:r w:rsidRPr="00981F05">
        <w:rPr>
          <w:rFonts w:cs="Arial"/>
          <w:spacing w:val="-3"/>
        </w:rPr>
        <w:t xml:space="preserve"> </w:t>
      </w:r>
      <w:r w:rsidRPr="00981F05">
        <w:rPr>
          <w:rFonts w:cs="Arial"/>
        </w:rPr>
        <w:t>Group</w:t>
      </w:r>
      <w:r w:rsidRPr="00981F05">
        <w:rPr>
          <w:rFonts w:cs="Arial"/>
          <w:spacing w:val="-2"/>
        </w:rPr>
        <w:t xml:space="preserve"> </w:t>
      </w:r>
      <w:r w:rsidRPr="00981F05">
        <w:rPr>
          <w:rFonts w:cs="Arial"/>
        </w:rPr>
        <w:t>aims</w:t>
      </w:r>
      <w:r w:rsidRPr="00981F05">
        <w:rPr>
          <w:rFonts w:cs="Arial"/>
          <w:spacing w:val="-2"/>
        </w:rPr>
        <w:t xml:space="preserve"> </w:t>
      </w:r>
      <w:r w:rsidRPr="00981F05">
        <w:rPr>
          <w:rFonts w:cs="Arial"/>
        </w:rPr>
        <w:t>to</w:t>
      </w:r>
      <w:r w:rsidRPr="00981F05">
        <w:rPr>
          <w:rFonts w:cs="Arial"/>
          <w:spacing w:val="-2"/>
        </w:rPr>
        <w:t xml:space="preserve"> </w:t>
      </w:r>
      <w:r w:rsidRPr="00981F05">
        <w:rPr>
          <w:rFonts w:cs="Arial"/>
        </w:rPr>
        <w:t>present</w:t>
      </w:r>
      <w:r w:rsidRPr="00981F05">
        <w:rPr>
          <w:rFonts w:cs="Arial"/>
          <w:spacing w:val="-3"/>
        </w:rPr>
        <w:t xml:space="preserve"> </w:t>
      </w:r>
      <w:r w:rsidRPr="00981F05">
        <w:rPr>
          <w:rFonts w:cs="Arial"/>
        </w:rPr>
        <w:t>a</w:t>
      </w:r>
      <w:r w:rsidRPr="00981F05">
        <w:rPr>
          <w:rFonts w:cs="Arial"/>
          <w:spacing w:val="-2"/>
        </w:rPr>
        <w:t xml:space="preserve"> </w:t>
      </w:r>
      <w:r w:rsidRPr="00981F05">
        <w:rPr>
          <w:rFonts w:cs="Arial"/>
        </w:rPr>
        <w:t>concept</w:t>
      </w:r>
      <w:r w:rsidRPr="00981F05">
        <w:rPr>
          <w:rFonts w:cs="Arial"/>
          <w:spacing w:val="-3"/>
        </w:rPr>
        <w:t xml:space="preserve"> </w:t>
      </w:r>
      <w:r w:rsidRPr="00981F05">
        <w:rPr>
          <w:rFonts w:cs="Arial"/>
        </w:rPr>
        <w:t>of</w:t>
      </w:r>
      <w:r w:rsidRPr="00981F05">
        <w:rPr>
          <w:rFonts w:cs="Arial"/>
          <w:spacing w:val="-2"/>
        </w:rPr>
        <w:t xml:space="preserve"> </w:t>
      </w:r>
      <w:r w:rsidRPr="00981F05">
        <w:rPr>
          <w:rFonts w:cs="Arial"/>
        </w:rPr>
        <w:t>the</w:t>
      </w:r>
      <w:r w:rsidRPr="00981F05">
        <w:rPr>
          <w:rFonts w:cs="Arial"/>
          <w:spacing w:val="-2"/>
        </w:rPr>
        <w:t xml:space="preserve"> </w:t>
      </w:r>
      <w:r w:rsidRPr="00981F05">
        <w:rPr>
          <w:rFonts w:cs="Arial"/>
        </w:rPr>
        <w:t>final</w:t>
      </w:r>
      <w:r w:rsidRPr="00981F05">
        <w:rPr>
          <w:rFonts w:cs="Arial"/>
          <w:spacing w:val="-2"/>
        </w:rPr>
        <w:t xml:space="preserve"> </w:t>
      </w:r>
      <w:r w:rsidRPr="00981F05">
        <w:rPr>
          <w:rFonts w:cs="Arial"/>
        </w:rPr>
        <w:t>report</w:t>
      </w:r>
      <w:r w:rsidRPr="00981F05">
        <w:rPr>
          <w:rFonts w:cs="Arial"/>
          <w:spacing w:val="-3"/>
        </w:rPr>
        <w:t xml:space="preserve"> </w:t>
      </w:r>
      <w:r w:rsidRPr="00981F05">
        <w:rPr>
          <w:rFonts w:cs="Arial"/>
        </w:rPr>
        <w:t>before</w:t>
      </w:r>
      <w:r w:rsidRPr="00981F05">
        <w:rPr>
          <w:rFonts w:cs="Arial"/>
          <w:spacing w:val="-3"/>
        </w:rPr>
        <w:t xml:space="preserve"> </w:t>
      </w:r>
      <w:r w:rsidRPr="00981F05">
        <w:rPr>
          <w:rFonts w:cs="Arial"/>
        </w:rPr>
        <w:t>the</w:t>
      </w:r>
      <w:r w:rsidRPr="00981F05">
        <w:rPr>
          <w:rFonts w:cs="Arial"/>
          <w:spacing w:val="-3"/>
        </w:rPr>
        <w:t xml:space="preserve"> </w:t>
      </w:r>
      <w:r w:rsidRPr="00981F05">
        <w:rPr>
          <w:rFonts w:cs="Arial"/>
        </w:rPr>
        <w:t>end</w:t>
      </w:r>
      <w:r w:rsidRPr="00981F05">
        <w:rPr>
          <w:rFonts w:cs="Arial"/>
          <w:spacing w:val="-2"/>
        </w:rPr>
        <w:t xml:space="preserve"> </w:t>
      </w:r>
      <w:r w:rsidRPr="00981F05">
        <w:rPr>
          <w:rFonts w:cs="Arial"/>
        </w:rPr>
        <w:t>of</w:t>
      </w:r>
      <w:r w:rsidRPr="00981F05">
        <w:rPr>
          <w:rFonts w:cs="Arial"/>
          <w:spacing w:val="40"/>
        </w:rPr>
        <w:t xml:space="preserve"> </w:t>
      </w:r>
      <w:r w:rsidRPr="00981F05">
        <w:rPr>
          <w:rFonts w:cs="Arial"/>
        </w:rPr>
        <w:t>2025,</w:t>
      </w:r>
      <w:r w:rsidRPr="00981F05">
        <w:rPr>
          <w:rFonts w:cs="Arial"/>
          <w:spacing w:val="-2"/>
        </w:rPr>
        <w:t xml:space="preserve"> </w:t>
      </w:r>
      <w:r w:rsidRPr="00981F05">
        <w:rPr>
          <w:rFonts w:cs="Arial"/>
        </w:rPr>
        <w:t>that</w:t>
      </w:r>
      <w:r w:rsidRPr="00981F05">
        <w:rPr>
          <w:rFonts w:cs="Arial"/>
          <w:spacing w:val="-2"/>
        </w:rPr>
        <w:t xml:space="preserve"> </w:t>
      </w:r>
      <w:r w:rsidRPr="00981F05">
        <w:rPr>
          <w:rFonts w:cs="Arial"/>
        </w:rPr>
        <w:t>will</w:t>
      </w:r>
      <w:r w:rsidRPr="00981F05">
        <w:rPr>
          <w:rFonts w:cs="Arial"/>
          <w:spacing w:val="-2"/>
        </w:rPr>
        <w:t xml:space="preserve"> </w:t>
      </w:r>
      <w:r w:rsidRPr="00981F05">
        <w:rPr>
          <w:rFonts w:cs="Arial"/>
        </w:rPr>
        <w:t>be finalized</w:t>
      </w:r>
      <w:r w:rsidRPr="00981F05">
        <w:rPr>
          <w:rFonts w:cs="Arial"/>
          <w:spacing w:val="40"/>
        </w:rPr>
        <w:t xml:space="preserve"> </w:t>
      </w:r>
      <w:r w:rsidRPr="00981F05">
        <w:rPr>
          <w:rFonts w:cs="Arial"/>
        </w:rPr>
        <w:t xml:space="preserve">and discussed in the </w:t>
      </w:r>
      <w:r w:rsidR="0035513E">
        <w:rPr>
          <w:rFonts w:cs="Arial"/>
        </w:rPr>
        <w:t>WG-HRV</w:t>
      </w:r>
      <w:r w:rsidRPr="00981F05">
        <w:rPr>
          <w:rFonts w:cs="Arial"/>
        </w:rPr>
        <w:t xml:space="preserve"> March 2026 meeting.</w:t>
      </w:r>
    </w:p>
    <w:p w14:paraId="72AAE4C5" w14:textId="77777777" w:rsidR="005C7CCD" w:rsidRDefault="005C7CCD" w:rsidP="00561055">
      <w:pPr>
        <w:jc w:val="left"/>
      </w:pPr>
    </w:p>
    <w:p w14:paraId="6801EEBE" w14:textId="77777777" w:rsidR="005C7CCD" w:rsidRDefault="005C7CCD" w:rsidP="00561055">
      <w:pPr>
        <w:jc w:val="left"/>
      </w:pPr>
    </w:p>
    <w:p w14:paraId="463A1991" w14:textId="77777777" w:rsidR="005C7CCD" w:rsidRDefault="005C7CCD" w:rsidP="00561055">
      <w:pPr>
        <w:jc w:val="left"/>
      </w:pPr>
    </w:p>
    <w:p w14:paraId="0A2797D4" w14:textId="77777777" w:rsidR="00D26695" w:rsidRPr="00DB2AF6" w:rsidRDefault="00D26695" w:rsidP="00D26695">
      <w:pPr>
        <w:jc w:val="right"/>
        <w:rPr>
          <w:lang w:val="en-AU"/>
        </w:rPr>
      </w:pPr>
      <w:r w:rsidRPr="00DB2AF6">
        <w:rPr>
          <w:lang w:val="en-AU"/>
        </w:rPr>
        <w:t>[Annex II follows]</w:t>
      </w:r>
    </w:p>
    <w:p w14:paraId="46426F91" w14:textId="77777777" w:rsidR="005C7CCD" w:rsidRDefault="005C7CCD" w:rsidP="00561055">
      <w:pPr>
        <w:jc w:val="left"/>
      </w:pPr>
    </w:p>
    <w:p w14:paraId="672DF07A" w14:textId="77777777" w:rsidR="00561055" w:rsidRDefault="00561055" w:rsidP="00561055">
      <w:pPr>
        <w:jc w:val="left"/>
      </w:pPr>
    </w:p>
    <w:p w14:paraId="39F30A96" w14:textId="77777777" w:rsidR="00561055" w:rsidRDefault="00561055" w:rsidP="00561055">
      <w:pPr>
        <w:jc w:val="left"/>
        <w:sectPr w:rsidR="00561055" w:rsidSect="0004198B">
          <w:headerReference w:type="first" r:id="rId12"/>
          <w:pgSz w:w="11907" w:h="16840" w:code="9"/>
          <w:pgMar w:top="510" w:right="1134" w:bottom="1134" w:left="1134" w:header="510" w:footer="680" w:gutter="0"/>
          <w:pgNumType w:start="1"/>
          <w:cols w:space="720"/>
          <w:titlePg/>
        </w:sectPr>
      </w:pPr>
    </w:p>
    <w:p w14:paraId="3E302EFB" w14:textId="77777777" w:rsidR="00561055" w:rsidRPr="00DB2E26" w:rsidRDefault="00561055" w:rsidP="00561055">
      <w:pPr>
        <w:jc w:val="center"/>
        <w:rPr>
          <w:b/>
          <w:bCs/>
        </w:rPr>
      </w:pPr>
      <w:bookmarkStart w:id="4" w:name="_Hlk172119356"/>
      <w:r w:rsidRPr="00527057">
        <w:rPr>
          <w:rFonts w:cs="Arial"/>
        </w:rPr>
        <w:lastRenderedPageBreak/>
        <w:t xml:space="preserve">TERMS OF REFERENCE </w:t>
      </w:r>
      <w:r w:rsidRPr="007F0F7A">
        <w:rPr>
          <w:rFonts w:cs="Arial"/>
        </w:rPr>
        <w:t xml:space="preserve">OF </w:t>
      </w:r>
      <w:r>
        <w:rPr>
          <w:rFonts w:cs="Arial"/>
        </w:rPr>
        <w:t>THE</w:t>
      </w:r>
      <w:r w:rsidRPr="007F0F7A">
        <w:t xml:space="preserve"> STUDY ON THE "SCOPE OF THE BREEDER'S RIGHT" AND THE RELATIONSHIP WITH THE "EXHAUSTION OF THE BREEDER'S RIGHT"</w:t>
      </w:r>
    </w:p>
    <w:bookmarkEnd w:id="4"/>
    <w:p w14:paraId="598729B9" w14:textId="03E9ED6C" w:rsidR="00561055" w:rsidRPr="00D3593A" w:rsidRDefault="00BE33F3" w:rsidP="00D3593A">
      <w:pPr>
        <w:jc w:val="center"/>
        <w:rPr>
          <w:i/>
          <w:iCs/>
        </w:rPr>
      </w:pPr>
      <w:r w:rsidRPr="00D3593A">
        <w:rPr>
          <w:i/>
          <w:iCs/>
        </w:rPr>
        <w:t>as approved by the WG-HRV, at its sixth meeting, and amended by Circular E-25/053</w:t>
      </w:r>
    </w:p>
    <w:p w14:paraId="3158968B" w14:textId="77777777" w:rsidR="00561055" w:rsidRDefault="00561055" w:rsidP="00561055">
      <w:pPr>
        <w:jc w:val="left"/>
      </w:pPr>
    </w:p>
    <w:p w14:paraId="2E942166" w14:textId="77777777" w:rsidR="00561055" w:rsidRDefault="00561055" w:rsidP="006C6976">
      <w:pPr>
        <w:pStyle w:val="Heading1"/>
      </w:pPr>
      <w:r>
        <w:t>SCOPE:</w:t>
      </w:r>
    </w:p>
    <w:p w14:paraId="03D203CD" w14:textId="77777777" w:rsidR="00561055" w:rsidRDefault="00561055" w:rsidP="00561055">
      <w:pPr>
        <w:jc w:val="left"/>
      </w:pPr>
    </w:p>
    <w:p w14:paraId="2AE8765D" w14:textId="77777777" w:rsidR="00561055" w:rsidRPr="003338C4" w:rsidRDefault="00561055" w:rsidP="00561055">
      <w:pPr>
        <w:widowControl w:val="0"/>
        <w:tabs>
          <w:tab w:val="left" w:pos="762"/>
        </w:tabs>
        <w:autoSpaceDE w:val="0"/>
        <w:autoSpaceDN w:val="0"/>
        <w:rPr>
          <w:color w:val="262626"/>
        </w:rPr>
      </w:pPr>
      <w:r w:rsidRPr="003338C4">
        <w:rPr>
          <w:color w:val="262626"/>
        </w:rPr>
        <w:t>The study to include</w:t>
      </w:r>
      <w:r>
        <w:rPr>
          <w:color w:val="262626"/>
        </w:rPr>
        <w:t>:</w:t>
      </w:r>
    </w:p>
    <w:p w14:paraId="33118BAD" w14:textId="77777777" w:rsidR="00561055" w:rsidRPr="003338C4" w:rsidRDefault="00561055" w:rsidP="00561055">
      <w:pPr>
        <w:widowControl w:val="0"/>
        <w:tabs>
          <w:tab w:val="left" w:pos="762"/>
        </w:tabs>
        <w:autoSpaceDE w:val="0"/>
        <w:autoSpaceDN w:val="0"/>
        <w:rPr>
          <w:color w:val="262626"/>
        </w:rPr>
      </w:pPr>
    </w:p>
    <w:p w14:paraId="43284709" w14:textId="77777777" w:rsidR="00561055" w:rsidRDefault="00561055" w:rsidP="00561055">
      <w:pPr>
        <w:pStyle w:val="ListParagraph"/>
        <w:widowControl w:val="0"/>
        <w:numPr>
          <w:ilvl w:val="0"/>
          <w:numId w:val="1"/>
        </w:numPr>
        <w:tabs>
          <w:tab w:val="left" w:pos="762"/>
        </w:tabs>
        <w:autoSpaceDE w:val="0"/>
        <w:autoSpaceDN w:val="0"/>
        <w:rPr>
          <w:color w:val="262626"/>
        </w:rPr>
      </w:pPr>
      <w:r w:rsidRPr="003338C4">
        <w:rPr>
          <w:color w:val="262626"/>
        </w:rPr>
        <w:t xml:space="preserve">a </w:t>
      </w:r>
      <w:r w:rsidRPr="003338C4">
        <w:rPr>
          <w:color w:val="262626"/>
          <w:u w:val="single"/>
        </w:rPr>
        <w:t>first part</w:t>
      </w:r>
      <w:r w:rsidRPr="003338C4">
        <w:rPr>
          <w:color w:val="262626"/>
        </w:rPr>
        <w:t xml:space="preserve"> with an analysis of </w:t>
      </w:r>
      <w:r w:rsidRPr="003338C4">
        <w:rPr>
          <w:color w:val="161616"/>
        </w:rPr>
        <w:t xml:space="preserve">the intentions </w:t>
      </w:r>
      <w:r w:rsidRPr="003338C4">
        <w:rPr>
          <w:color w:val="262626"/>
        </w:rPr>
        <w:t xml:space="preserve">of the drafters of </w:t>
      </w:r>
      <w:r w:rsidRPr="003338C4">
        <w:rPr>
          <w:color w:val="161616"/>
        </w:rPr>
        <w:t xml:space="preserve">the 1991 Act of the UPOV Convention </w:t>
      </w:r>
      <w:r w:rsidRPr="003338C4">
        <w:rPr>
          <w:color w:val="262626"/>
        </w:rPr>
        <w:t xml:space="preserve">in </w:t>
      </w:r>
      <w:r w:rsidRPr="003338C4">
        <w:rPr>
          <w:color w:val="161616"/>
        </w:rPr>
        <w:t xml:space="preserve">relation to </w:t>
      </w:r>
      <w:r w:rsidRPr="00C0541A">
        <w:rPr>
          <w:color w:val="262626"/>
        </w:rPr>
        <w:t xml:space="preserve">the “Scope of the Breeder’s Right” in Article 14(1) and (2) of the 1991 Act, including the notions of “unauthorized use” and “reasonable opportunity” and the relationship with the “Exhaustion of the Breeder’s Right” in </w:t>
      </w:r>
      <w:r w:rsidRPr="00747EAA">
        <w:rPr>
          <w:color w:val="262626"/>
        </w:rPr>
        <w:t>Article 16 of the 1991 Act; and</w:t>
      </w:r>
    </w:p>
    <w:p w14:paraId="7B3A0047" w14:textId="77777777" w:rsidR="00561055" w:rsidRPr="00747EAA" w:rsidRDefault="00561055" w:rsidP="00561055">
      <w:pPr>
        <w:pStyle w:val="ListParagraph"/>
        <w:widowControl w:val="0"/>
        <w:tabs>
          <w:tab w:val="left" w:pos="762"/>
        </w:tabs>
        <w:autoSpaceDE w:val="0"/>
        <w:autoSpaceDN w:val="0"/>
        <w:rPr>
          <w:color w:val="262626"/>
        </w:rPr>
      </w:pPr>
    </w:p>
    <w:p w14:paraId="7B29A617" w14:textId="77777777" w:rsidR="00561055" w:rsidRPr="003338C4" w:rsidRDefault="00561055" w:rsidP="00561055">
      <w:pPr>
        <w:pStyle w:val="ListParagraph"/>
        <w:widowControl w:val="0"/>
        <w:numPr>
          <w:ilvl w:val="0"/>
          <w:numId w:val="1"/>
        </w:numPr>
        <w:tabs>
          <w:tab w:val="left" w:pos="762"/>
        </w:tabs>
        <w:autoSpaceDE w:val="0"/>
        <w:autoSpaceDN w:val="0"/>
        <w:rPr>
          <w:color w:val="343434"/>
        </w:rPr>
      </w:pPr>
      <w:r w:rsidRPr="003338C4">
        <w:rPr>
          <w:color w:val="262626"/>
        </w:rPr>
        <w:t xml:space="preserve">a </w:t>
      </w:r>
      <w:r w:rsidRPr="003338C4">
        <w:rPr>
          <w:color w:val="343434"/>
          <w:u w:val="single"/>
        </w:rPr>
        <w:t xml:space="preserve">second </w:t>
      </w:r>
      <w:r w:rsidRPr="003338C4">
        <w:rPr>
          <w:color w:val="262626"/>
          <w:u w:val="single"/>
        </w:rPr>
        <w:t>part</w:t>
      </w:r>
      <w:r w:rsidRPr="003338C4">
        <w:rPr>
          <w:color w:val="262626"/>
        </w:rPr>
        <w:t xml:space="preserve"> with</w:t>
      </w:r>
      <w:r w:rsidRPr="003338C4">
        <w:rPr>
          <w:color w:val="161616"/>
        </w:rPr>
        <w:t xml:space="preserve"> summaries </w:t>
      </w:r>
      <w:r w:rsidRPr="003338C4">
        <w:rPr>
          <w:color w:val="343434"/>
        </w:rPr>
        <w:t>of</w:t>
      </w:r>
      <w:r w:rsidRPr="003338C4">
        <w:rPr>
          <w:color w:val="262626"/>
        </w:rPr>
        <w:t xml:space="preserve"> relevant court </w:t>
      </w:r>
      <w:r w:rsidRPr="003338C4">
        <w:rPr>
          <w:color w:val="343434"/>
        </w:rPr>
        <w:t xml:space="preserve">cases from UPOV members bound by </w:t>
      </w:r>
      <w:r w:rsidRPr="003338C4">
        <w:rPr>
          <w:color w:val="343434"/>
        </w:rPr>
        <w:br/>
        <w:t>the 1991 Act.</w:t>
      </w:r>
    </w:p>
    <w:p w14:paraId="07D5BBC4" w14:textId="77777777" w:rsidR="00561055" w:rsidRDefault="00561055" w:rsidP="00561055">
      <w:pPr>
        <w:widowControl w:val="0"/>
        <w:tabs>
          <w:tab w:val="left" w:pos="762"/>
        </w:tabs>
        <w:autoSpaceDE w:val="0"/>
        <w:autoSpaceDN w:val="0"/>
        <w:rPr>
          <w:color w:val="262626"/>
        </w:rPr>
      </w:pPr>
    </w:p>
    <w:p w14:paraId="2D9107F9" w14:textId="77777777" w:rsidR="00561055" w:rsidRDefault="00561055" w:rsidP="00561055">
      <w:pPr>
        <w:widowControl w:val="0"/>
        <w:tabs>
          <w:tab w:val="left" w:pos="762"/>
        </w:tabs>
        <w:autoSpaceDE w:val="0"/>
        <w:autoSpaceDN w:val="0"/>
        <w:rPr>
          <w:color w:val="262626"/>
        </w:rPr>
      </w:pPr>
    </w:p>
    <w:p w14:paraId="2FEBB705" w14:textId="77777777" w:rsidR="00561055" w:rsidRPr="00EE3214" w:rsidRDefault="00561055" w:rsidP="006C6976">
      <w:pPr>
        <w:pStyle w:val="Heading1"/>
      </w:pPr>
      <w:bookmarkStart w:id="5" w:name="_Toc172119299"/>
      <w:bookmarkStart w:id="6" w:name="_Toc172119336"/>
      <w:r>
        <w:t>COMPOSITION:</w:t>
      </w:r>
      <w:bookmarkEnd w:id="5"/>
      <w:bookmarkEnd w:id="6"/>
    </w:p>
    <w:p w14:paraId="00D91350" w14:textId="77777777" w:rsidR="00561055" w:rsidRDefault="00561055" w:rsidP="00561055">
      <w:pPr>
        <w:widowControl w:val="0"/>
        <w:tabs>
          <w:tab w:val="left" w:pos="762"/>
        </w:tabs>
        <w:autoSpaceDE w:val="0"/>
        <w:autoSpaceDN w:val="0"/>
        <w:ind w:right="113"/>
        <w:rPr>
          <w:color w:val="262626"/>
        </w:rPr>
      </w:pPr>
    </w:p>
    <w:p w14:paraId="22C68508" w14:textId="77777777" w:rsidR="00561055" w:rsidRPr="003338C4" w:rsidRDefault="00561055" w:rsidP="00561055">
      <w:r w:rsidRPr="003338C4">
        <w:t xml:space="preserve">The study should be carried out by the five authors mentioned below. The authors should agree on one of them to </w:t>
      </w:r>
      <w:proofErr w:type="gramStart"/>
      <w:r w:rsidRPr="003338C4">
        <w:t>be coordinating</w:t>
      </w:r>
      <w:proofErr w:type="gramEnd"/>
      <w:r w:rsidRPr="003338C4">
        <w:t xml:space="preserve"> their work.</w:t>
      </w:r>
    </w:p>
    <w:p w14:paraId="34EA5AC0" w14:textId="77777777" w:rsidR="00561055" w:rsidRPr="003338C4" w:rsidRDefault="00561055" w:rsidP="00561055"/>
    <w:p w14:paraId="1DA84ABC" w14:textId="77777777" w:rsidR="00561055" w:rsidRPr="003338C4" w:rsidRDefault="00561055" w:rsidP="00561055">
      <w:r w:rsidRPr="003338C4">
        <w:t xml:space="preserve">The working language of the authors should be </w:t>
      </w:r>
      <w:proofErr w:type="gramStart"/>
      <w:r w:rsidRPr="003338C4">
        <w:t>English</w:t>
      </w:r>
      <w:proofErr w:type="gramEnd"/>
      <w:r w:rsidRPr="003338C4">
        <w:t xml:space="preserve"> and the study should be drafted in English. </w:t>
      </w:r>
    </w:p>
    <w:p w14:paraId="5C47DB5C" w14:textId="77777777" w:rsidR="00561055" w:rsidRDefault="00561055" w:rsidP="00561055">
      <w:pPr>
        <w:jc w:val="left"/>
        <w:rPr>
          <w:spacing w:val="-2"/>
        </w:rPr>
      </w:pPr>
    </w:p>
    <w:tbl>
      <w:tblPr>
        <w:tblStyle w:val="TableGrid"/>
        <w:tblW w:w="3145" w:type="dxa"/>
        <w:jc w:val="center"/>
        <w:tblInd w:w="0" w:type="dxa"/>
        <w:tblLook w:val="04A0" w:firstRow="1" w:lastRow="0" w:firstColumn="1" w:lastColumn="0" w:noHBand="0" w:noVBand="1"/>
      </w:tblPr>
      <w:tblGrid>
        <w:gridCol w:w="3145"/>
      </w:tblGrid>
      <w:tr w:rsidR="00561055" w:rsidRPr="00E02B4F" w14:paraId="4FE320F5" w14:textId="77777777" w:rsidTr="00982D2E">
        <w:trPr>
          <w:jc w:val="center"/>
        </w:trPr>
        <w:tc>
          <w:tcPr>
            <w:tcW w:w="3145" w:type="dxa"/>
            <w:tcBorders>
              <w:top w:val="single" w:sz="4" w:space="0" w:color="auto"/>
              <w:left w:val="single" w:sz="4" w:space="0" w:color="auto"/>
              <w:bottom w:val="single" w:sz="4" w:space="0" w:color="auto"/>
              <w:right w:val="single" w:sz="4" w:space="0" w:color="auto"/>
            </w:tcBorders>
            <w:hideMark/>
          </w:tcPr>
          <w:p w14:paraId="4BB73E70" w14:textId="77777777" w:rsidR="00561055" w:rsidRPr="007B7881" w:rsidRDefault="00561055" w:rsidP="00982D2E">
            <w:pPr>
              <w:jc w:val="left"/>
              <w:rPr>
                <w:b/>
                <w:bCs/>
                <w:spacing w:val="-2"/>
              </w:rPr>
            </w:pPr>
            <w:r w:rsidRPr="00073978">
              <w:rPr>
                <w:b/>
                <w:bCs/>
                <w:spacing w:val="-2"/>
              </w:rPr>
              <w:t>Experts</w:t>
            </w:r>
            <w:r>
              <w:rPr>
                <w:b/>
                <w:bCs/>
                <w:spacing w:val="-2"/>
              </w:rPr>
              <w:t xml:space="preserve"> </w:t>
            </w:r>
            <w:r w:rsidRPr="00073978">
              <w:rPr>
                <w:b/>
                <w:bCs/>
                <w:spacing w:val="-2"/>
              </w:rPr>
              <w:t>(alphabetic order)</w:t>
            </w:r>
          </w:p>
        </w:tc>
      </w:tr>
      <w:tr w:rsidR="00561055" w:rsidRPr="00E02B4F" w14:paraId="220C42EA" w14:textId="77777777" w:rsidTr="00982D2E">
        <w:trPr>
          <w:jc w:val="center"/>
        </w:trPr>
        <w:tc>
          <w:tcPr>
            <w:tcW w:w="3145" w:type="dxa"/>
            <w:tcBorders>
              <w:top w:val="single" w:sz="4" w:space="0" w:color="auto"/>
              <w:left w:val="single" w:sz="4" w:space="0" w:color="auto"/>
              <w:bottom w:val="single" w:sz="4" w:space="0" w:color="auto"/>
              <w:right w:val="single" w:sz="4" w:space="0" w:color="auto"/>
            </w:tcBorders>
          </w:tcPr>
          <w:p w14:paraId="577441C7" w14:textId="77777777" w:rsidR="00561055" w:rsidRPr="00073E6C" w:rsidRDefault="00561055" w:rsidP="00982D2E">
            <w:pPr>
              <w:jc w:val="left"/>
              <w:rPr>
                <w:spacing w:val="-2"/>
              </w:rPr>
            </w:pPr>
            <w:r w:rsidRPr="00073E6C">
              <w:rPr>
                <w:spacing w:val="-2"/>
              </w:rPr>
              <w:t>Mr</w:t>
            </w:r>
            <w:r>
              <w:rPr>
                <w:spacing w:val="-2"/>
              </w:rPr>
              <w:t>.</w:t>
            </w:r>
            <w:r w:rsidRPr="00073E6C">
              <w:rPr>
                <w:spacing w:val="-2"/>
              </w:rPr>
              <w:t xml:space="preserve"> Huib Ghijsen</w:t>
            </w:r>
          </w:p>
        </w:tc>
      </w:tr>
      <w:tr w:rsidR="00561055" w:rsidRPr="00E02B4F" w14:paraId="1D01BDA6" w14:textId="77777777" w:rsidTr="00982D2E">
        <w:trPr>
          <w:jc w:val="center"/>
        </w:trPr>
        <w:tc>
          <w:tcPr>
            <w:tcW w:w="3145" w:type="dxa"/>
            <w:tcBorders>
              <w:top w:val="single" w:sz="4" w:space="0" w:color="auto"/>
              <w:left w:val="single" w:sz="4" w:space="0" w:color="auto"/>
              <w:bottom w:val="single" w:sz="4" w:space="0" w:color="auto"/>
              <w:right w:val="single" w:sz="4" w:space="0" w:color="auto"/>
            </w:tcBorders>
          </w:tcPr>
          <w:p w14:paraId="4B6FD9C2" w14:textId="77777777" w:rsidR="00561055" w:rsidRPr="00073E6C" w:rsidRDefault="00561055" w:rsidP="00982D2E">
            <w:pPr>
              <w:jc w:val="left"/>
              <w:rPr>
                <w:spacing w:val="-2"/>
              </w:rPr>
            </w:pPr>
            <w:r w:rsidRPr="00073E6C">
              <w:rPr>
                <w:spacing w:val="-2"/>
                <w:lang w:val="es-ES_tradnl"/>
              </w:rPr>
              <w:t>Ms</w:t>
            </w:r>
            <w:r>
              <w:rPr>
                <w:spacing w:val="-2"/>
                <w:lang w:val="es-ES_tradnl"/>
              </w:rPr>
              <w:t>.</w:t>
            </w:r>
            <w:r w:rsidRPr="00073E6C">
              <w:rPr>
                <w:spacing w:val="-2"/>
                <w:lang w:val="es-ES_tradnl"/>
              </w:rPr>
              <w:t xml:space="preserve"> </w:t>
            </w:r>
            <w:proofErr w:type="spellStart"/>
            <w:r w:rsidRPr="00073E6C">
              <w:rPr>
                <w:spacing w:val="-2"/>
                <w:lang w:val="es-ES_tradnl"/>
              </w:rPr>
              <w:t>Vivianne</w:t>
            </w:r>
            <w:proofErr w:type="spellEnd"/>
            <w:r w:rsidRPr="00073E6C">
              <w:rPr>
                <w:spacing w:val="-2"/>
                <w:lang w:val="es-ES_tradnl"/>
              </w:rPr>
              <w:t xml:space="preserve"> Kunisawa</w:t>
            </w:r>
          </w:p>
        </w:tc>
      </w:tr>
      <w:tr w:rsidR="00561055" w:rsidRPr="00E02B4F" w14:paraId="1CE2DDD5" w14:textId="77777777" w:rsidTr="00982D2E">
        <w:trPr>
          <w:jc w:val="center"/>
        </w:trPr>
        <w:tc>
          <w:tcPr>
            <w:tcW w:w="3145" w:type="dxa"/>
            <w:tcBorders>
              <w:top w:val="single" w:sz="4" w:space="0" w:color="auto"/>
              <w:left w:val="single" w:sz="4" w:space="0" w:color="auto"/>
              <w:bottom w:val="single" w:sz="4" w:space="0" w:color="auto"/>
              <w:right w:val="single" w:sz="4" w:space="0" w:color="auto"/>
            </w:tcBorders>
            <w:hideMark/>
          </w:tcPr>
          <w:p w14:paraId="66D5386F" w14:textId="77777777" w:rsidR="00561055" w:rsidRPr="00073E6C" w:rsidRDefault="00561055" w:rsidP="00982D2E">
            <w:pPr>
              <w:jc w:val="left"/>
              <w:rPr>
                <w:spacing w:val="-2"/>
              </w:rPr>
            </w:pPr>
            <w:r w:rsidRPr="00073E6C">
              <w:rPr>
                <w:spacing w:val="-2"/>
              </w:rPr>
              <w:t>Mr</w:t>
            </w:r>
            <w:r>
              <w:rPr>
                <w:spacing w:val="-2"/>
              </w:rPr>
              <w:t>.</w:t>
            </w:r>
            <w:r w:rsidRPr="00073E6C">
              <w:rPr>
                <w:spacing w:val="-2"/>
              </w:rPr>
              <w:t xml:space="preserve"> Charles Lawson</w:t>
            </w:r>
          </w:p>
        </w:tc>
      </w:tr>
      <w:tr w:rsidR="00561055" w:rsidRPr="00E02B4F" w14:paraId="29617FBF" w14:textId="77777777" w:rsidTr="00982D2E">
        <w:trPr>
          <w:jc w:val="center"/>
        </w:trPr>
        <w:tc>
          <w:tcPr>
            <w:tcW w:w="3145" w:type="dxa"/>
            <w:tcBorders>
              <w:top w:val="single" w:sz="4" w:space="0" w:color="auto"/>
              <w:left w:val="single" w:sz="4" w:space="0" w:color="auto"/>
              <w:bottom w:val="single" w:sz="4" w:space="0" w:color="auto"/>
              <w:right w:val="single" w:sz="4" w:space="0" w:color="auto"/>
            </w:tcBorders>
          </w:tcPr>
          <w:p w14:paraId="4664F03F" w14:textId="77777777" w:rsidR="00561055" w:rsidRPr="00073E6C" w:rsidRDefault="00561055" w:rsidP="00982D2E">
            <w:pPr>
              <w:jc w:val="left"/>
              <w:rPr>
                <w:spacing w:val="-2"/>
              </w:rPr>
            </w:pPr>
            <w:r w:rsidRPr="00073E6C">
              <w:rPr>
                <w:spacing w:val="-2"/>
              </w:rPr>
              <w:t>Mr</w:t>
            </w:r>
            <w:r>
              <w:rPr>
                <w:spacing w:val="-2"/>
              </w:rPr>
              <w:t>.</w:t>
            </w:r>
            <w:r w:rsidRPr="00073E6C">
              <w:rPr>
                <w:spacing w:val="-2"/>
              </w:rPr>
              <w:t xml:space="preserve"> Axel Metzger</w:t>
            </w:r>
          </w:p>
        </w:tc>
      </w:tr>
      <w:tr w:rsidR="00561055" w:rsidRPr="00E02B4F" w14:paraId="5A2CF196" w14:textId="77777777" w:rsidTr="00982D2E">
        <w:trPr>
          <w:jc w:val="center"/>
        </w:trPr>
        <w:tc>
          <w:tcPr>
            <w:tcW w:w="3145" w:type="dxa"/>
            <w:tcBorders>
              <w:top w:val="single" w:sz="4" w:space="0" w:color="auto"/>
              <w:left w:val="single" w:sz="4" w:space="0" w:color="auto"/>
              <w:bottom w:val="single" w:sz="4" w:space="0" w:color="auto"/>
              <w:right w:val="single" w:sz="4" w:space="0" w:color="auto"/>
            </w:tcBorders>
            <w:hideMark/>
          </w:tcPr>
          <w:p w14:paraId="1C6E9A94" w14:textId="77777777" w:rsidR="00561055" w:rsidRPr="00073E6C" w:rsidRDefault="00561055" w:rsidP="00982D2E">
            <w:pPr>
              <w:jc w:val="left"/>
              <w:rPr>
                <w:spacing w:val="-2"/>
                <w:lang w:val="es-ES_tradnl"/>
              </w:rPr>
            </w:pPr>
            <w:r>
              <w:rPr>
                <w:spacing w:val="-2"/>
              </w:rPr>
              <w:t xml:space="preserve">Mr. </w:t>
            </w:r>
            <w:r w:rsidRPr="00073E6C">
              <w:rPr>
                <w:spacing w:val="-2"/>
              </w:rPr>
              <w:t>Joseph Straus</w:t>
            </w:r>
          </w:p>
        </w:tc>
      </w:tr>
    </w:tbl>
    <w:p w14:paraId="093CEED2" w14:textId="77777777" w:rsidR="00561055" w:rsidRDefault="00561055" w:rsidP="00561055">
      <w:pPr>
        <w:widowControl w:val="0"/>
        <w:tabs>
          <w:tab w:val="left" w:pos="762"/>
        </w:tabs>
        <w:autoSpaceDE w:val="0"/>
        <w:autoSpaceDN w:val="0"/>
        <w:jc w:val="left"/>
        <w:rPr>
          <w:color w:val="262626"/>
        </w:rPr>
      </w:pPr>
    </w:p>
    <w:p w14:paraId="01A2B447" w14:textId="77777777" w:rsidR="00561055" w:rsidRDefault="00561055" w:rsidP="00561055">
      <w:pPr>
        <w:rPr>
          <w:color w:val="262626"/>
        </w:rPr>
      </w:pPr>
    </w:p>
    <w:p w14:paraId="59EAADEE" w14:textId="77777777" w:rsidR="00561055" w:rsidRDefault="00561055" w:rsidP="00561055">
      <w:pPr>
        <w:widowControl w:val="0"/>
        <w:tabs>
          <w:tab w:val="left" w:pos="762"/>
        </w:tabs>
        <w:autoSpaceDE w:val="0"/>
        <w:autoSpaceDN w:val="0"/>
        <w:rPr>
          <w:caps/>
        </w:rPr>
      </w:pPr>
      <w:r w:rsidRPr="007F0F7A">
        <w:rPr>
          <w:caps/>
        </w:rPr>
        <w:t>MODUS OPERANDI:</w:t>
      </w:r>
    </w:p>
    <w:p w14:paraId="1B1F6EC3" w14:textId="77777777" w:rsidR="00561055" w:rsidRDefault="00561055" w:rsidP="00561055">
      <w:pPr>
        <w:widowControl w:val="0"/>
        <w:tabs>
          <w:tab w:val="left" w:pos="762"/>
        </w:tabs>
        <w:autoSpaceDE w:val="0"/>
        <w:autoSpaceDN w:val="0"/>
        <w:rPr>
          <w:color w:val="262626"/>
        </w:rPr>
      </w:pPr>
    </w:p>
    <w:p w14:paraId="1FE8F1FA" w14:textId="77777777" w:rsidR="00561055" w:rsidRPr="007F0F7A" w:rsidRDefault="00561055" w:rsidP="00561055">
      <w:pPr>
        <w:pStyle w:val="Heading2"/>
      </w:pPr>
      <w:bookmarkStart w:id="7" w:name="_Toc172119300"/>
      <w:bookmarkStart w:id="8" w:name="_Toc172119337"/>
      <w:r w:rsidRPr="007F0F7A">
        <w:t>Independence:</w:t>
      </w:r>
      <w:bookmarkEnd w:id="7"/>
      <w:bookmarkEnd w:id="8"/>
      <w:r w:rsidRPr="007F0F7A">
        <w:t xml:space="preserve"> </w:t>
      </w:r>
    </w:p>
    <w:p w14:paraId="4697D412" w14:textId="77777777" w:rsidR="00561055" w:rsidRPr="003338C4" w:rsidRDefault="00561055" w:rsidP="00561055"/>
    <w:p w14:paraId="49AF7E9F" w14:textId="77777777" w:rsidR="00561055" w:rsidRDefault="00561055" w:rsidP="00561055">
      <w:pPr>
        <w:widowControl w:val="0"/>
        <w:tabs>
          <w:tab w:val="left" w:pos="762"/>
        </w:tabs>
        <w:autoSpaceDE w:val="0"/>
        <w:autoSpaceDN w:val="0"/>
      </w:pPr>
      <w:r w:rsidRPr="007F0F7A">
        <w:rPr>
          <w:color w:val="262626"/>
        </w:rPr>
        <w:t xml:space="preserve">The authors are independent in drafting the </w:t>
      </w:r>
      <w:r>
        <w:rPr>
          <w:color w:val="262626"/>
        </w:rPr>
        <w:t>study, i</w:t>
      </w:r>
      <w:r>
        <w:t xml:space="preserve">n the sense that the authors should not receive individual instructions from anyone and that the authors should be impartial and objective. </w:t>
      </w:r>
    </w:p>
    <w:p w14:paraId="6C99698F" w14:textId="77777777" w:rsidR="00561055" w:rsidRDefault="00561055" w:rsidP="00561055">
      <w:pPr>
        <w:widowControl w:val="0"/>
        <w:tabs>
          <w:tab w:val="left" w:pos="762"/>
        </w:tabs>
        <w:autoSpaceDE w:val="0"/>
        <w:autoSpaceDN w:val="0"/>
      </w:pPr>
    </w:p>
    <w:p w14:paraId="54737DF2" w14:textId="77777777" w:rsidR="00561055" w:rsidRPr="007F0F7A" w:rsidRDefault="00561055" w:rsidP="00561055">
      <w:pPr>
        <w:widowControl w:val="0"/>
        <w:tabs>
          <w:tab w:val="left" w:pos="762"/>
        </w:tabs>
        <w:autoSpaceDE w:val="0"/>
        <w:autoSpaceDN w:val="0"/>
        <w:rPr>
          <w:color w:val="262626"/>
        </w:rPr>
      </w:pPr>
      <w:r>
        <w:t>The five authors should draft one study and should follow a c</w:t>
      </w:r>
      <w:r w:rsidRPr="006C076E">
        <w:t>ollaborative work</w:t>
      </w:r>
      <w:r>
        <w:t>ing method</w:t>
      </w:r>
      <w:r w:rsidRPr="006C076E">
        <w:t xml:space="preserve"> following academic standards</w:t>
      </w:r>
      <w:r>
        <w:t>. Following such standards, the authors should manage potential different perspectives or analysis and, if applicable, how such matters should be reflected in the study.</w:t>
      </w:r>
    </w:p>
    <w:p w14:paraId="6DB39570" w14:textId="77777777" w:rsidR="00561055" w:rsidRDefault="00561055" w:rsidP="00561055">
      <w:pPr>
        <w:widowControl w:val="0"/>
        <w:tabs>
          <w:tab w:val="left" w:pos="762"/>
        </w:tabs>
        <w:autoSpaceDE w:val="0"/>
        <w:autoSpaceDN w:val="0"/>
        <w:rPr>
          <w:color w:val="262626"/>
        </w:rPr>
      </w:pPr>
    </w:p>
    <w:p w14:paraId="1D78D271" w14:textId="77777777" w:rsidR="00561055" w:rsidRDefault="00561055" w:rsidP="00561055">
      <w:pPr>
        <w:widowControl w:val="0"/>
        <w:tabs>
          <w:tab w:val="left" w:pos="762"/>
        </w:tabs>
        <w:autoSpaceDE w:val="0"/>
        <w:autoSpaceDN w:val="0"/>
        <w:rPr>
          <w:color w:val="262626"/>
        </w:rPr>
      </w:pPr>
      <w:r>
        <w:rPr>
          <w:color w:val="262626"/>
        </w:rPr>
        <w:t xml:space="preserve">Having received the study, it is up to the WG-HRV to consider a possible follow-up and to request further guidance from the CAJ, as appropriate. </w:t>
      </w:r>
    </w:p>
    <w:p w14:paraId="3F2DEA21" w14:textId="77777777" w:rsidR="00561055" w:rsidRDefault="00561055" w:rsidP="00561055">
      <w:pPr>
        <w:widowControl w:val="0"/>
        <w:tabs>
          <w:tab w:val="left" w:pos="762"/>
        </w:tabs>
        <w:autoSpaceDE w:val="0"/>
        <w:autoSpaceDN w:val="0"/>
        <w:rPr>
          <w:color w:val="262626"/>
        </w:rPr>
      </w:pPr>
    </w:p>
    <w:p w14:paraId="5F7BCCDA" w14:textId="77777777" w:rsidR="00561055" w:rsidRDefault="00561055" w:rsidP="00561055">
      <w:pPr>
        <w:widowControl w:val="0"/>
        <w:tabs>
          <w:tab w:val="left" w:pos="762"/>
        </w:tabs>
        <w:autoSpaceDE w:val="0"/>
        <w:autoSpaceDN w:val="0"/>
        <w:rPr>
          <w:color w:val="262626"/>
        </w:rPr>
      </w:pPr>
      <w:r>
        <w:rPr>
          <w:color w:val="262626"/>
        </w:rPr>
        <w:t>UPOV members are not bound by the content and/or conclusions drawn in the study.</w:t>
      </w:r>
    </w:p>
    <w:p w14:paraId="2B6EB15F" w14:textId="77777777" w:rsidR="00561055" w:rsidRDefault="00561055" w:rsidP="00561055">
      <w:pPr>
        <w:widowControl w:val="0"/>
        <w:tabs>
          <w:tab w:val="left" w:pos="762"/>
        </w:tabs>
        <w:autoSpaceDE w:val="0"/>
        <w:autoSpaceDN w:val="0"/>
        <w:rPr>
          <w:color w:val="262626"/>
        </w:rPr>
      </w:pPr>
    </w:p>
    <w:p w14:paraId="50974BBF" w14:textId="77777777" w:rsidR="00561055" w:rsidRPr="00EE3214" w:rsidRDefault="00561055" w:rsidP="00561055">
      <w:pPr>
        <w:pStyle w:val="Heading2"/>
      </w:pPr>
      <w:bookmarkStart w:id="9" w:name="_Toc172119301"/>
      <w:bookmarkStart w:id="10" w:name="_Toc172119338"/>
      <w:r w:rsidRPr="00EE3214">
        <w:t>Timeline</w:t>
      </w:r>
      <w:r>
        <w:t>:</w:t>
      </w:r>
      <w:bookmarkEnd w:id="9"/>
      <w:bookmarkEnd w:id="10"/>
    </w:p>
    <w:p w14:paraId="5741CE1B" w14:textId="77777777" w:rsidR="00561055" w:rsidRDefault="00561055" w:rsidP="00561055">
      <w:pPr>
        <w:widowControl w:val="0"/>
        <w:tabs>
          <w:tab w:val="left" w:pos="762"/>
        </w:tabs>
        <w:autoSpaceDE w:val="0"/>
        <w:autoSpaceDN w:val="0"/>
        <w:rPr>
          <w:color w:val="161616"/>
        </w:rPr>
      </w:pPr>
    </w:p>
    <w:p w14:paraId="128CB4FB" w14:textId="49DC143E" w:rsidR="00561055" w:rsidRPr="00222C58" w:rsidRDefault="00561055" w:rsidP="00561055">
      <w:pPr>
        <w:widowControl w:val="0"/>
        <w:tabs>
          <w:tab w:val="left" w:pos="762"/>
        </w:tabs>
        <w:autoSpaceDE w:val="0"/>
        <w:autoSpaceDN w:val="0"/>
        <w:rPr>
          <w:rFonts w:cs="Arial"/>
        </w:rPr>
      </w:pPr>
      <w:bookmarkStart w:id="11" w:name="_Hlk209533393"/>
      <w:r w:rsidRPr="002117A1">
        <w:rPr>
          <w:rFonts w:cs="Arial"/>
        </w:rPr>
        <w:t xml:space="preserve">The authors will be asked to deliver the </w:t>
      </w:r>
      <w:r>
        <w:rPr>
          <w:rFonts w:cs="Arial"/>
        </w:rPr>
        <w:t xml:space="preserve">draft </w:t>
      </w:r>
      <w:r w:rsidRPr="002117A1">
        <w:rPr>
          <w:rFonts w:cs="Arial"/>
        </w:rPr>
        <w:t xml:space="preserve">study </w:t>
      </w:r>
      <w:r>
        <w:rPr>
          <w:rFonts w:cs="Arial"/>
        </w:rPr>
        <w:t xml:space="preserve">by </w:t>
      </w:r>
      <w:proofErr w:type="gramStart"/>
      <w:r w:rsidRPr="00222C58">
        <w:rPr>
          <w:rFonts w:cs="Arial"/>
        </w:rPr>
        <w:t>latest</w:t>
      </w:r>
      <w:proofErr w:type="gramEnd"/>
      <w:r w:rsidRPr="00222C58">
        <w:rPr>
          <w:rFonts w:cs="Arial"/>
        </w:rPr>
        <w:t xml:space="preserve"> </w:t>
      </w:r>
      <w:r w:rsidR="00BE33F3">
        <w:rPr>
          <w:rFonts w:cs="Arial"/>
        </w:rPr>
        <w:t>September 1</w:t>
      </w:r>
      <w:r>
        <w:rPr>
          <w:rFonts w:cs="Arial"/>
        </w:rPr>
        <w:t xml:space="preserve">, 2025, </w:t>
      </w:r>
      <w:r w:rsidRPr="002117A1">
        <w:rPr>
          <w:rFonts w:cs="Arial"/>
        </w:rPr>
        <w:t xml:space="preserve">for consideration at the </w:t>
      </w:r>
      <w:r w:rsidR="00D2328B">
        <w:rPr>
          <w:rFonts w:cs="Arial"/>
        </w:rPr>
        <w:t xml:space="preserve">eighth </w:t>
      </w:r>
      <w:r w:rsidRPr="002117A1">
        <w:rPr>
          <w:rFonts w:cs="Arial"/>
        </w:rPr>
        <w:t>meeting of the WG-HRV,</w:t>
      </w:r>
      <w:r w:rsidR="00D2328B">
        <w:rPr>
          <w:rFonts w:cs="Arial"/>
        </w:rPr>
        <w:t xml:space="preserve"> </w:t>
      </w:r>
      <w:r w:rsidR="00D2328B" w:rsidRPr="00D2328B">
        <w:rPr>
          <w:rFonts w:cs="Arial"/>
        </w:rPr>
        <w:t>on October 22, 2025</w:t>
      </w:r>
      <w:r w:rsidRPr="002117A1">
        <w:rPr>
          <w:rFonts w:cs="Arial"/>
        </w:rPr>
        <w:t>.</w:t>
      </w:r>
      <w:r>
        <w:rPr>
          <w:rFonts w:cs="Arial"/>
        </w:rPr>
        <w:t xml:space="preserve">  The final version of the study to be delivered by latest </w:t>
      </w:r>
      <w:r w:rsidR="00BE33F3">
        <w:rPr>
          <w:rFonts w:cs="Arial"/>
        </w:rPr>
        <w:t>December 15</w:t>
      </w:r>
      <w:r>
        <w:rPr>
          <w:rFonts w:cs="Arial"/>
        </w:rPr>
        <w:t>, 2025.</w:t>
      </w:r>
    </w:p>
    <w:bookmarkEnd w:id="11"/>
    <w:p w14:paraId="3B07CC7D" w14:textId="77777777" w:rsidR="00561055" w:rsidRDefault="00561055" w:rsidP="00561055">
      <w:pPr>
        <w:widowControl w:val="0"/>
        <w:tabs>
          <w:tab w:val="left" w:pos="762"/>
        </w:tabs>
        <w:autoSpaceDE w:val="0"/>
        <w:autoSpaceDN w:val="0"/>
        <w:rPr>
          <w:rFonts w:cs="Arial"/>
        </w:rPr>
      </w:pPr>
    </w:p>
    <w:p w14:paraId="71D0B3CB" w14:textId="77777777" w:rsidR="00561055" w:rsidRDefault="00561055" w:rsidP="00561055">
      <w:pPr>
        <w:widowControl w:val="0"/>
        <w:tabs>
          <w:tab w:val="left" w:pos="762"/>
        </w:tabs>
        <w:autoSpaceDE w:val="0"/>
        <w:autoSpaceDN w:val="0"/>
        <w:rPr>
          <w:color w:val="161616"/>
        </w:rPr>
      </w:pPr>
    </w:p>
    <w:p w14:paraId="6E8E6B61" w14:textId="77777777" w:rsidR="00561055" w:rsidRDefault="00561055" w:rsidP="00561055">
      <w:pPr>
        <w:pStyle w:val="Heading2"/>
      </w:pPr>
      <w:bookmarkStart w:id="12" w:name="_Toc172119302"/>
      <w:bookmarkStart w:id="13" w:name="_Toc172119339"/>
      <w:r w:rsidRPr="005C6757">
        <w:lastRenderedPageBreak/>
        <w:t>Financial support:</w:t>
      </w:r>
      <w:bookmarkEnd w:id="12"/>
      <w:bookmarkEnd w:id="13"/>
    </w:p>
    <w:p w14:paraId="68BA5329" w14:textId="77777777" w:rsidR="00561055" w:rsidRDefault="00561055" w:rsidP="00561055">
      <w:pPr>
        <w:keepNext/>
        <w:jc w:val="left"/>
      </w:pPr>
    </w:p>
    <w:p w14:paraId="4F152D87" w14:textId="77777777" w:rsidR="00561055" w:rsidRDefault="00561055" w:rsidP="00561055">
      <w:pPr>
        <w:keepNext/>
      </w:pPr>
      <w:r>
        <w:t xml:space="preserve">55,000 Swiss Francs which would include: </w:t>
      </w:r>
    </w:p>
    <w:p w14:paraId="7A806184" w14:textId="77777777" w:rsidR="00561055" w:rsidRDefault="00561055" w:rsidP="00561055">
      <w:pPr>
        <w:keepNext/>
      </w:pPr>
    </w:p>
    <w:p w14:paraId="2A29FE1D" w14:textId="77777777" w:rsidR="00561055" w:rsidRDefault="00561055" w:rsidP="00561055">
      <w:pPr>
        <w:keepNext/>
        <w:ind w:left="284" w:hanging="284"/>
      </w:pPr>
      <w:r w:rsidRPr="00222C58">
        <w:rPr>
          <w:rFonts w:ascii="MS Gothic" w:eastAsia="MS Gothic" w:hAnsi="MS Gothic" w:cs="MS Gothic" w:hint="eastAsia"/>
        </w:rPr>
        <w:t>・</w:t>
      </w:r>
      <w:r>
        <w:rPr>
          <w:rFonts w:ascii="MS Gothic" w:eastAsia="MS Gothic" w:hAnsi="MS Gothic" w:cs="MS Gothic"/>
        </w:rPr>
        <w:tab/>
      </w:r>
      <w:r>
        <w:t xml:space="preserve">Honorarium of 10,000 Swiss francs for each of the 5 authors. </w:t>
      </w:r>
    </w:p>
    <w:p w14:paraId="28066D70" w14:textId="77777777" w:rsidR="00561055" w:rsidRDefault="00561055" w:rsidP="00561055">
      <w:pPr>
        <w:ind w:left="284" w:hanging="284"/>
      </w:pPr>
      <w:r w:rsidRPr="00222C58">
        <w:rPr>
          <w:rFonts w:ascii="MS Gothic" w:eastAsia="MS Gothic" w:hAnsi="MS Gothic" w:cs="MS Gothic" w:hint="eastAsia"/>
        </w:rPr>
        <w:t>・</w:t>
      </w:r>
      <w:r>
        <w:rPr>
          <w:rFonts w:ascii="MS Gothic" w:eastAsia="MS Gothic" w:hAnsi="MS Gothic" w:cs="MS Gothic"/>
        </w:rPr>
        <w:tab/>
      </w:r>
      <w:r>
        <w:t xml:space="preserve">Travel expenses up to 5,000 Swiss francs in total for the 5 authors. The purpose of the </w:t>
      </w:r>
      <w:proofErr w:type="gramStart"/>
      <w:r>
        <w:t>travel</w:t>
      </w:r>
      <w:proofErr w:type="gramEnd"/>
      <w:r>
        <w:t xml:space="preserve"> could be to convene a meeting amongst the authors or to support travel to come to Geneva to present the findings of the study or any other unforeseen travel expenses.</w:t>
      </w:r>
    </w:p>
    <w:p w14:paraId="19A11F6E" w14:textId="77777777" w:rsidR="00561055" w:rsidRPr="009B0B13" w:rsidRDefault="00561055" w:rsidP="00561055"/>
    <w:p w14:paraId="553F8C36" w14:textId="77777777" w:rsidR="00561055" w:rsidRDefault="00561055" w:rsidP="00561055">
      <w:r>
        <w:t>T</w:t>
      </w:r>
      <w:r w:rsidRPr="002719FD">
        <w:t>he overall estimation of the cost</w:t>
      </w:r>
      <w:r>
        <w:t xml:space="preserve"> to be shared as follows: </w:t>
      </w:r>
      <w:r w:rsidRPr="002719FD">
        <w:t xml:space="preserve"> UPOV regular budget </w:t>
      </w:r>
      <w:r>
        <w:t>would</w:t>
      </w:r>
      <w:r w:rsidRPr="002719FD">
        <w:t xml:space="preserve"> cover 30</w:t>
      </w:r>
      <w:r>
        <w:t>,</w:t>
      </w:r>
      <w:r w:rsidRPr="002719FD">
        <w:t xml:space="preserve">000 </w:t>
      </w:r>
      <w:proofErr w:type="gramStart"/>
      <w:r w:rsidRPr="002719FD">
        <w:t xml:space="preserve">Swiss </w:t>
      </w:r>
      <w:r>
        <w:t> </w:t>
      </w:r>
      <w:r w:rsidRPr="002719FD">
        <w:t>francs</w:t>
      </w:r>
      <w:proofErr w:type="gramEnd"/>
      <w:r w:rsidRPr="002719FD">
        <w:t xml:space="preserve"> and </w:t>
      </w:r>
      <w:r>
        <w:t>the Funds-in-Trust Agreement between the Government of Japan and UPOV (</w:t>
      </w:r>
      <w:r w:rsidRPr="002719FD">
        <w:t>JP-FIT</w:t>
      </w:r>
      <w:r>
        <w:t xml:space="preserve">) would </w:t>
      </w:r>
      <w:r w:rsidRPr="002719FD">
        <w:t>cover 25</w:t>
      </w:r>
      <w:r>
        <w:t>,</w:t>
      </w:r>
      <w:r w:rsidRPr="002719FD">
        <w:t xml:space="preserve">000 Swiss francs.  </w:t>
      </w:r>
    </w:p>
    <w:p w14:paraId="01F2D7E0" w14:textId="77777777" w:rsidR="00561055" w:rsidRDefault="00561055" w:rsidP="00561055">
      <w:pPr>
        <w:jc w:val="left"/>
      </w:pPr>
    </w:p>
    <w:p w14:paraId="0AA80774" w14:textId="77777777" w:rsidR="00050E16" w:rsidRDefault="00050E16" w:rsidP="009B440E">
      <w:pPr>
        <w:jc w:val="left"/>
      </w:pPr>
    </w:p>
    <w:p w14:paraId="763A8BE4" w14:textId="77777777" w:rsidR="00561055" w:rsidRDefault="00561055" w:rsidP="009B440E">
      <w:pPr>
        <w:jc w:val="left"/>
      </w:pPr>
    </w:p>
    <w:p w14:paraId="2AA5F3BF" w14:textId="28ADF96A" w:rsidR="00561055" w:rsidRPr="00C5280D" w:rsidRDefault="00561055" w:rsidP="00561055">
      <w:pPr>
        <w:jc w:val="right"/>
      </w:pPr>
      <w:r>
        <w:t xml:space="preserve">[End of </w:t>
      </w:r>
      <w:r w:rsidR="00D2328B">
        <w:t xml:space="preserve">Annexes </w:t>
      </w:r>
      <w:r>
        <w:t>and of document]</w:t>
      </w:r>
    </w:p>
    <w:sectPr w:rsidR="00561055" w:rsidRPr="00C5280D" w:rsidSect="0004198B">
      <w:headerReference w:type="default" r:id="rId13"/>
      <w:headerReference w:type="first" r:id="rId14"/>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11B7" w14:textId="77777777" w:rsidR="00AC5977" w:rsidRDefault="00AC5977" w:rsidP="006655D3">
      <w:r>
        <w:separator/>
      </w:r>
    </w:p>
    <w:p w14:paraId="623A7052" w14:textId="77777777" w:rsidR="00AC5977" w:rsidRDefault="00AC5977" w:rsidP="006655D3"/>
    <w:p w14:paraId="76F3E7A2" w14:textId="77777777" w:rsidR="00AC5977" w:rsidRDefault="00AC5977" w:rsidP="006655D3"/>
  </w:endnote>
  <w:endnote w:type="continuationSeparator" w:id="0">
    <w:p w14:paraId="4C13042A" w14:textId="77777777" w:rsidR="00AC5977" w:rsidRDefault="00AC5977" w:rsidP="006655D3">
      <w:r>
        <w:separator/>
      </w:r>
    </w:p>
    <w:p w14:paraId="1093ABC2" w14:textId="77777777" w:rsidR="00AC5977" w:rsidRPr="00294751" w:rsidRDefault="00AC5977">
      <w:pPr>
        <w:pStyle w:val="Footer"/>
        <w:spacing w:after="60"/>
        <w:rPr>
          <w:sz w:val="18"/>
          <w:lang w:val="fr-FR"/>
        </w:rPr>
      </w:pPr>
      <w:r w:rsidRPr="00294751">
        <w:rPr>
          <w:sz w:val="18"/>
          <w:lang w:val="fr-FR"/>
        </w:rPr>
        <w:t>[Suite de la note de la page précédente]</w:t>
      </w:r>
    </w:p>
    <w:p w14:paraId="0C30E58E" w14:textId="77777777" w:rsidR="00AC5977" w:rsidRPr="00294751" w:rsidRDefault="00AC5977" w:rsidP="006655D3">
      <w:pPr>
        <w:rPr>
          <w:lang w:val="fr-FR"/>
        </w:rPr>
      </w:pPr>
    </w:p>
    <w:p w14:paraId="4AE33547" w14:textId="77777777" w:rsidR="00AC5977" w:rsidRPr="00294751" w:rsidRDefault="00AC5977" w:rsidP="006655D3">
      <w:pPr>
        <w:rPr>
          <w:lang w:val="fr-FR"/>
        </w:rPr>
      </w:pPr>
    </w:p>
  </w:endnote>
  <w:endnote w:type="continuationNotice" w:id="1">
    <w:p w14:paraId="057ED5FE" w14:textId="77777777" w:rsidR="00AC5977" w:rsidRPr="00294751" w:rsidRDefault="00AC5977" w:rsidP="006655D3">
      <w:pPr>
        <w:rPr>
          <w:lang w:val="fr-FR"/>
        </w:rPr>
      </w:pPr>
      <w:r w:rsidRPr="00294751">
        <w:rPr>
          <w:lang w:val="fr-FR"/>
        </w:rPr>
        <w:t>[Suite de la note page suivante]</w:t>
      </w:r>
    </w:p>
    <w:p w14:paraId="6DE420DA" w14:textId="77777777" w:rsidR="00AC5977" w:rsidRPr="00294751" w:rsidRDefault="00AC5977" w:rsidP="006655D3">
      <w:pPr>
        <w:rPr>
          <w:lang w:val="fr-FR"/>
        </w:rPr>
      </w:pPr>
    </w:p>
    <w:p w14:paraId="63CD3225" w14:textId="77777777" w:rsidR="00AC5977" w:rsidRPr="00294751" w:rsidRDefault="00AC597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BAB5" w14:textId="77777777" w:rsidR="00AC5977" w:rsidRDefault="00AC5977" w:rsidP="006655D3">
      <w:r>
        <w:separator/>
      </w:r>
    </w:p>
  </w:footnote>
  <w:footnote w:type="continuationSeparator" w:id="0">
    <w:p w14:paraId="36480842" w14:textId="77777777" w:rsidR="00AC5977" w:rsidRDefault="00AC5977" w:rsidP="006655D3">
      <w:r>
        <w:separator/>
      </w:r>
    </w:p>
  </w:footnote>
  <w:footnote w:type="continuationNotice" w:id="1">
    <w:p w14:paraId="17E489BD" w14:textId="77777777" w:rsidR="00AC5977" w:rsidRPr="00AB530F" w:rsidRDefault="00AC5977" w:rsidP="00AB530F">
      <w:pPr>
        <w:pStyle w:val="Footer"/>
      </w:pPr>
    </w:p>
  </w:footnote>
  <w:footnote w:id="2">
    <w:p w14:paraId="66A5A0F0" w14:textId="77777777" w:rsidR="00D33FB4" w:rsidRPr="000F606D" w:rsidRDefault="00D33FB4" w:rsidP="00D33FB4">
      <w:pPr>
        <w:pStyle w:val="FootnoteText"/>
        <w:rPr>
          <w:lang w:val="en-GB"/>
        </w:rPr>
      </w:pPr>
      <w:r>
        <w:rPr>
          <w:rStyle w:val="FootnoteReference"/>
        </w:rPr>
        <w:footnoteRef/>
      </w:r>
      <w:r>
        <w:tab/>
        <w:t>Held in Geneva on October 22,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688C" w14:textId="77777777" w:rsidR="0004198B" w:rsidRPr="00C5280D" w:rsidRDefault="00F44BF1" w:rsidP="00EB048E">
    <w:pPr>
      <w:pStyle w:val="Header"/>
      <w:rPr>
        <w:rStyle w:val="PageNumber"/>
        <w:lang w:val="en-US"/>
      </w:rPr>
    </w:pPr>
    <w:r w:rsidRPr="00F44BF1">
      <w:rPr>
        <w:rStyle w:val="PageNumber"/>
        <w:lang w:val="en-US"/>
      </w:rPr>
      <w:t>WG-</w:t>
    </w:r>
    <w:r w:rsidR="00CD680A">
      <w:rPr>
        <w:rStyle w:val="PageNumber"/>
        <w:lang w:val="en-US"/>
      </w:rPr>
      <w:t>HRV</w:t>
    </w:r>
    <w:r w:rsidR="00F55A83">
      <w:rPr>
        <w:rStyle w:val="PageNumber"/>
        <w:lang w:val="en-US"/>
      </w:rPr>
      <w:t>/8/</w:t>
    </w:r>
  </w:p>
  <w:p w14:paraId="1E40A40B"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30E20407"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AFD1" w14:textId="77777777" w:rsidR="006C6976" w:rsidRDefault="006C6976" w:rsidP="006C6976">
    <w:pPr>
      <w:pStyle w:val="Header"/>
      <w:rPr>
        <w:lang w:val="en-US"/>
      </w:rPr>
    </w:pPr>
    <w:r>
      <w:rPr>
        <w:lang w:val="en-US"/>
      </w:rPr>
      <w:t>WG-HRV/8/2</w:t>
    </w:r>
  </w:p>
  <w:p w14:paraId="5B4017D7" w14:textId="4A104571" w:rsidR="006C6976" w:rsidRDefault="006C6976" w:rsidP="006C6976">
    <w:pPr>
      <w:pStyle w:val="Header"/>
      <w:rPr>
        <w:lang w:val="en-US"/>
      </w:rPr>
    </w:pPr>
    <w:r>
      <w:rPr>
        <w:lang w:val="en-US"/>
      </w:rPr>
      <w:t>Annex I, page 2</w:t>
    </w:r>
  </w:p>
  <w:p w14:paraId="4A3D9F8A" w14:textId="77777777" w:rsidR="006C6976" w:rsidRPr="00C5280D" w:rsidRDefault="006C697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08F1" w14:textId="77777777" w:rsidR="006C6976" w:rsidRDefault="006C6976" w:rsidP="006C6976">
    <w:pPr>
      <w:pStyle w:val="Header"/>
      <w:rPr>
        <w:lang w:val="en-US"/>
      </w:rPr>
    </w:pPr>
    <w:r>
      <w:rPr>
        <w:lang w:val="en-US"/>
      </w:rPr>
      <w:t>WG-HRV/8/2</w:t>
    </w:r>
  </w:p>
  <w:p w14:paraId="6FF2DE3A" w14:textId="2CA8C855" w:rsidR="00315110" w:rsidRDefault="00315110" w:rsidP="00315110">
    <w:pPr>
      <w:pStyle w:val="Header"/>
      <w:rPr>
        <w:lang w:val="en-US"/>
      </w:rPr>
    </w:pPr>
  </w:p>
  <w:p w14:paraId="2360B077" w14:textId="7E0A7BA4" w:rsidR="00315110" w:rsidRDefault="00315110" w:rsidP="00315110">
    <w:pPr>
      <w:pStyle w:val="Header"/>
      <w:rPr>
        <w:lang w:val="en-US"/>
      </w:rPr>
    </w:pPr>
    <w:r>
      <w:rPr>
        <w:lang w:val="en-US"/>
      </w:rPr>
      <w:t>ANNEX I</w:t>
    </w:r>
  </w:p>
  <w:p w14:paraId="055BF102" w14:textId="77777777" w:rsidR="00315110" w:rsidRPr="005C7CCD" w:rsidRDefault="00315110" w:rsidP="00315110">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D39" w14:textId="77777777" w:rsidR="00315110" w:rsidRDefault="00315110" w:rsidP="006C6976">
    <w:pPr>
      <w:pStyle w:val="Header"/>
      <w:rPr>
        <w:lang w:val="en-US"/>
      </w:rPr>
    </w:pPr>
    <w:r>
      <w:rPr>
        <w:lang w:val="en-US"/>
      </w:rPr>
      <w:t>WG-HRV/8/2</w:t>
    </w:r>
  </w:p>
  <w:p w14:paraId="1CFD3AF3" w14:textId="77777777" w:rsidR="00315110" w:rsidRDefault="00315110" w:rsidP="00315110">
    <w:pPr>
      <w:pStyle w:val="Header"/>
      <w:rPr>
        <w:lang w:val="en-US"/>
      </w:rPr>
    </w:pPr>
    <w:r>
      <w:rPr>
        <w:lang w:val="en-US"/>
      </w:rPr>
      <w:t>Annex I, page 3</w:t>
    </w:r>
  </w:p>
  <w:p w14:paraId="3EAA0E8E" w14:textId="77777777" w:rsidR="00315110" w:rsidRPr="005C7CCD" w:rsidRDefault="00315110" w:rsidP="00315110">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33F3" w14:textId="15313483" w:rsidR="00561055" w:rsidRPr="00561055" w:rsidRDefault="00561055" w:rsidP="00EB048E">
    <w:pPr>
      <w:pStyle w:val="Header"/>
      <w:rPr>
        <w:rStyle w:val="PageNumber"/>
      </w:rPr>
    </w:pPr>
    <w:r w:rsidRPr="00561055">
      <w:rPr>
        <w:rStyle w:val="PageNumber"/>
      </w:rPr>
      <w:t>WG-HRV/8/2</w:t>
    </w:r>
  </w:p>
  <w:p w14:paraId="401DAD98" w14:textId="5952C95E" w:rsidR="00561055" w:rsidRPr="00561055" w:rsidRDefault="00561055" w:rsidP="00EB048E">
    <w:pPr>
      <w:pStyle w:val="Header"/>
    </w:pPr>
    <w:r w:rsidRPr="00561055">
      <w:t xml:space="preserve">Annex II, page </w:t>
    </w:r>
    <w:r w:rsidRPr="00C5280D">
      <w:rPr>
        <w:rStyle w:val="PageNumber"/>
        <w:lang w:val="en-US"/>
      </w:rPr>
      <w:fldChar w:fldCharType="begin"/>
    </w:r>
    <w:r w:rsidRPr="00561055">
      <w:rPr>
        <w:rStyle w:val="PageNumber"/>
      </w:rPr>
      <w:instrText xml:space="preserve"> PAGE </w:instrText>
    </w:r>
    <w:r w:rsidRPr="00C5280D">
      <w:rPr>
        <w:rStyle w:val="PageNumber"/>
        <w:lang w:val="en-US"/>
      </w:rPr>
      <w:fldChar w:fldCharType="separate"/>
    </w:r>
    <w:r w:rsidRPr="00561055">
      <w:rPr>
        <w:rStyle w:val="PageNumber"/>
        <w:noProof/>
      </w:rPr>
      <w:t>2</w:t>
    </w:r>
    <w:r w:rsidRPr="00C5280D">
      <w:rPr>
        <w:rStyle w:val="PageNumber"/>
        <w:lang w:val="en-US"/>
      </w:rPr>
      <w:fldChar w:fldCharType="end"/>
    </w:r>
  </w:p>
  <w:p w14:paraId="4D998286" w14:textId="77777777" w:rsidR="00561055" w:rsidRPr="00561055" w:rsidRDefault="00561055" w:rsidP="006655D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8238" w14:textId="0408120B" w:rsidR="00561055" w:rsidRDefault="00561055">
    <w:pPr>
      <w:pStyle w:val="Header"/>
      <w:rPr>
        <w:lang w:val="en-US"/>
      </w:rPr>
    </w:pPr>
    <w:r>
      <w:rPr>
        <w:lang w:val="en-US"/>
      </w:rPr>
      <w:t>WG-HRV/8/2</w:t>
    </w:r>
  </w:p>
  <w:p w14:paraId="1E5688B1" w14:textId="77777777" w:rsidR="00561055" w:rsidRDefault="00561055">
    <w:pPr>
      <w:pStyle w:val="Header"/>
      <w:rPr>
        <w:lang w:val="en-US"/>
      </w:rPr>
    </w:pPr>
  </w:p>
  <w:p w14:paraId="7963E800" w14:textId="7DD00FAC" w:rsidR="00561055" w:rsidRDefault="00561055">
    <w:pPr>
      <w:pStyle w:val="Header"/>
      <w:rPr>
        <w:lang w:val="en-US"/>
      </w:rPr>
    </w:pPr>
    <w:r>
      <w:rPr>
        <w:lang w:val="en-US"/>
      </w:rPr>
      <w:t>ANNEX II</w:t>
    </w:r>
  </w:p>
  <w:p w14:paraId="3CCF4080" w14:textId="77777777" w:rsidR="00561055" w:rsidRPr="00561055" w:rsidRDefault="0056105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484"/>
    <w:multiLevelType w:val="hybridMultilevel"/>
    <w:tmpl w:val="5EF0AFDC"/>
    <w:lvl w:ilvl="0" w:tplc="2512702C">
      <w:start w:val="1"/>
      <w:numFmt w:val="decimal"/>
      <w:lvlText w:val="%1)"/>
      <w:lvlJc w:val="left"/>
      <w:pPr>
        <w:ind w:left="116" w:hanging="260"/>
      </w:pPr>
      <w:rPr>
        <w:rFonts w:ascii="Arial" w:eastAsia="Times New Roman" w:hAnsi="Arial" w:cs="Arial" w:hint="default"/>
        <w:b w:val="0"/>
        <w:bCs w:val="0"/>
        <w:i w:val="0"/>
        <w:iCs w:val="0"/>
        <w:w w:val="100"/>
        <w:sz w:val="20"/>
        <w:szCs w:val="20"/>
        <w:lang w:val="en-US" w:eastAsia="en-US" w:bidi="ar-SA"/>
      </w:rPr>
    </w:lvl>
    <w:lvl w:ilvl="1" w:tplc="3B30EC42">
      <w:numFmt w:val="bullet"/>
      <w:lvlText w:val="•"/>
      <w:lvlJc w:val="left"/>
      <w:pPr>
        <w:ind w:left="1038" w:hanging="260"/>
      </w:pPr>
      <w:rPr>
        <w:rFonts w:hint="default"/>
        <w:lang w:val="en-US" w:eastAsia="en-US" w:bidi="ar-SA"/>
      </w:rPr>
    </w:lvl>
    <w:lvl w:ilvl="2" w:tplc="40A09C42">
      <w:numFmt w:val="bullet"/>
      <w:lvlText w:val="•"/>
      <w:lvlJc w:val="left"/>
      <w:pPr>
        <w:ind w:left="1956" w:hanging="260"/>
      </w:pPr>
      <w:rPr>
        <w:rFonts w:hint="default"/>
        <w:lang w:val="en-US" w:eastAsia="en-US" w:bidi="ar-SA"/>
      </w:rPr>
    </w:lvl>
    <w:lvl w:ilvl="3" w:tplc="25DA9EEA">
      <w:numFmt w:val="bullet"/>
      <w:lvlText w:val="•"/>
      <w:lvlJc w:val="left"/>
      <w:pPr>
        <w:ind w:left="2875" w:hanging="260"/>
      </w:pPr>
      <w:rPr>
        <w:rFonts w:hint="default"/>
        <w:lang w:val="en-US" w:eastAsia="en-US" w:bidi="ar-SA"/>
      </w:rPr>
    </w:lvl>
    <w:lvl w:ilvl="4" w:tplc="E988A940">
      <w:numFmt w:val="bullet"/>
      <w:lvlText w:val="•"/>
      <w:lvlJc w:val="left"/>
      <w:pPr>
        <w:ind w:left="3793" w:hanging="260"/>
      </w:pPr>
      <w:rPr>
        <w:rFonts w:hint="default"/>
        <w:lang w:val="en-US" w:eastAsia="en-US" w:bidi="ar-SA"/>
      </w:rPr>
    </w:lvl>
    <w:lvl w:ilvl="5" w:tplc="7AC2C906">
      <w:numFmt w:val="bullet"/>
      <w:lvlText w:val="•"/>
      <w:lvlJc w:val="left"/>
      <w:pPr>
        <w:ind w:left="4712" w:hanging="260"/>
      </w:pPr>
      <w:rPr>
        <w:rFonts w:hint="default"/>
        <w:lang w:val="en-US" w:eastAsia="en-US" w:bidi="ar-SA"/>
      </w:rPr>
    </w:lvl>
    <w:lvl w:ilvl="6" w:tplc="8480B5B4">
      <w:numFmt w:val="bullet"/>
      <w:lvlText w:val="•"/>
      <w:lvlJc w:val="left"/>
      <w:pPr>
        <w:ind w:left="5630" w:hanging="260"/>
      </w:pPr>
      <w:rPr>
        <w:rFonts w:hint="default"/>
        <w:lang w:val="en-US" w:eastAsia="en-US" w:bidi="ar-SA"/>
      </w:rPr>
    </w:lvl>
    <w:lvl w:ilvl="7" w:tplc="5A32C04E">
      <w:numFmt w:val="bullet"/>
      <w:lvlText w:val="•"/>
      <w:lvlJc w:val="left"/>
      <w:pPr>
        <w:ind w:left="6548" w:hanging="260"/>
      </w:pPr>
      <w:rPr>
        <w:rFonts w:hint="default"/>
        <w:lang w:val="en-US" w:eastAsia="en-US" w:bidi="ar-SA"/>
      </w:rPr>
    </w:lvl>
    <w:lvl w:ilvl="8" w:tplc="22C4434E">
      <w:numFmt w:val="bullet"/>
      <w:lvlText w:val="•"/>
      <w:lvlJc w:val="left"/>
      <w:pPr>
        <w:ind w:left="7467" w:hanging="260"/>
      </w:pPr>
      <w:rPr>
        <w:rFonts w:hint="default"/>
        <w:lang w:val="en-US" w:eastAsia="en-US" w:bidi="ar-SA"/>
      </w:r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B7AAA"/>
    <w:multiLevelType w:val="hybridMultilevel"/>
    <w:tmpl w:val="432C3F0A"/>
    <w:lvl w:ilvl="0" w:tplc="EC12F988">
      <w:start w:val="1"/>
      <w:numFmt w:val="upperRoman"/>
      <w:lvlText w:val="%1."/>
      <w:lvlJc w:val="left"/>
      <w:pPr>
        <w:ind w:left="389" w:hanging="274"/>
      </w:pPr>
      <w:rPr>
        <w:rFonts w:ascii="Arial" w:eastAsia="Times New Roman" w:hAnsi="Arial" w:cs="Arial" w:hint="default"/>
        <w:b/>
        <w:bCs/>
        <w:i w:val="0"/>
        <w:iCs w:val="0"/>
        <w:w w:val="100"/>
        <w:sz w:val="20"/>
        <w:szCs w:val="20"/>
        <w:lang w:val="en-US" w:eastAsia="en-US" w:bidi="ar-SA"/>
      </w:rPr>
    </w:lvl>
    <w:lvl w:ilvl="1" w:tplc="D09A4680">
      <w:numFmt w:val="bullet"/>
      <w:lvlText w:val=""/>
      <w:lvlJc w:val="left"/>
      <w:pPr>
        <w:ind w:left="836" w:hanging="360"/>
      </w:pPr>
      <w:rPr>
        <w:rFonts w:ascii="Symbol" w:eastAsia="Symbol" w:hAnsi="Symbol" w:cs="Symbol" w:hint="default"/>
        <w:w w:val="100"/>
        <w:lang w:val="en-US" w:eastAsia="en-US" w:bidi="ar-SA"/>
      </w:rPr>
    </w:lvl>
    <w:lvl w:ilvl="2" w:tplc="3280D698">
      <w:numFmt w:val="bullet"/>
      <w:lvlText w:val="o"/>
      <w:lvlJc w:val="left"/>
      <w:pPr>
        <w:ind w:left="1556" w:hanging="360"/>
      </w:pPr>
      <w:rPr>
        <w:rFonts w:ascii="Courier New" w:eastAsia="Courier New" w:hAnsi="Courier New" w:cs="Courier New" w:hint="default"/>
        <w:b w:val="0"/>
        <w:bCs w:val="0"/>
        <w:i w:val="0"/>
        <w:iCs w:val="0"/>
        <w:w w:val="100"/>
        <w:sz w:val="20"/>
        <w:szCs w:val="20"/>
        <w:lang w:val="en-US" w:eastAsia="en-US" w:bidi="ar-SA"/>
      </w:rPr>
    </w:lvl>
    <w:lvl w:ilvl="3" w:tplc="438CD4C8">
      <w:numFmt w:val="bullet"/>
      <w:lvlText w:val="•"/>
      <w:lvlJc w:val="left"/>
      <w:pPr>
        <w:ind w:left="2528" w:hanging="360"/>
      </w:pPr>
      <w:rPr>
        <w:rFonts w:hint="default"/>
        <w:lang w:val="en-US" w:eastAsia="en-US" w:bidi="ar-SA"/>
      </w:rPr>
    </w:lvl>
    <w:lvl w:ilvl="4" w:tplc="BF22372C">
      <w:numFmt w:val="bullet"/>
      <w:lvlText w:val="•"/>
      <w:lvlJc w:val="left"/>
      <w:pPr>
        <w:ind w:left="3496" w:hanging="360"/>
      </w:pPr>
      <w:rPr>
        <w:rFonts w:hint="default"/>
        <w:lang w:val="en-US" w:eastAsia="en-US" w:bidi="ar-SA"/>
      </w:rPr>
    </w:lvl>
    <w:lvl w:ilvl="5" w:tplc="F2F6600C">
      <w:numFmt w:val="bullet"/>
      <w:lvlText w:val="•"/>
      <w:lvlJc w:val="left"/>
      <w:pPr>
        <w:ind w:left="4464" w:hanging="360"/>
      </w:pPr>
      <w:rPr>
        <w:rFonts w:hint="default"/>
        <w:lang w:val="en-US" w:eastAsia="en-US" w:bidi="ar-SA"/>
      </w:rPr>
    </w:lvl>
    <w:lvl w:ilvl="6" w:tplc="03DC7EC8">
      <w:numFmt w:val="bullet"/>
      <w:lvlText w:val="•"/>
      <w:lvlJc w:val="left"/>
      <w:pPr>
        <w:ind w:left="5432" w:hanging="360"/>
      </w:pPr>
      <w:rPr>
        <w:rFonts w:hint="default"/>
        <w:lang w:val="en-US" w:eastAsia="en-US" w:bidi="ar-SA"/>
      </w:rPr>
    </w:lvl>
    <w:lvl w:ilvl="7" w:tplc="2932D4B4">
      <w:numFmt w:val="bullet"/>
      <w:lvlText w:val="•"/>
      <w:lvlJc w:val="left"/>
      <w:pPr>
        <w:ind w:left="6400" w:hanging="360"/>
      </w:pPr>
      <w:rPr>
        <w:rFonts w:hint="default"/>
        <w:lang w:val="en-US" w:eastAsia="en-US" w:bidi="ar-SA"/>
      </w:rPr>
    </w:lvl>
    <w:lvl w:ilvl="8" w:tplc="923C92FC">
      <w:numFmt w:val="bullet"/>
      <w:lvlText w:val="•"/>
      <w:lvlJc w:val="left"/>
      <w:pPr>
        <w:ind w:left="7368" w:hanging="360"/>
      </w:pPr>
      <w:rPr>
        <w:rFonts w:hint="default"/>
        <w:lang w:val="en-US" w:eastAsia="en-US" w:bidi="ar-SA"/>
      </w:rPr>
    </w:lvl>
  </w:abstractNum>
  <w:abstractNum w:abstractNumId="3" w15:restartNumberingAfterBreak="0">
    <w:nsid w:val="4CE93FC8"/>
    <w:multiLevelType w:val="hybridMultilevel"/>
    <w:tmpl w:val="ECD0A1FC"/>
    <w:lvl w:ilvl="0" w:tplc="BA189D44">
      <w:start w:val="1"/>
      <w:numFmt w:val="lowerLetter"/>
      <w:lvlText w:val="%1)"/>
      <w:lvlJc w:val="left"/>
      <w:pPr>
        <w:ind w:left="683" w:hanging="567"/>
        <w:jc w:val="left"/>
      </w:pPr>
      <w:rPr>
        <w:rFonts w:ascii="Arial" w:eastAsia="Times New Roman" w:hAnsi="Arial" w:cs="Arial" w:hint="default"/>
        <w:b w:val="0"/>
        <w:bCs w:val="0"/>
        <w:i w:val="0"/>
        <w:iCs w:val="0"/>
        <w:spacing w:val="-1"/>
        <w:w w:val="100"/>
        <w:sz w:val="20"/>
        <w:szCs w:val="20"/>
        <w:lang w:val="en-US" w:eastAsia="en-US" w:bidi="ar-SA"/>
      </w:rPr>
    </w:lvl>
    <w:lvl w:ilvl="1" w:tplc="A43E4AF6">
      <w:numFmt w:val="bullet"/>
      <w:lvlText w:val="•"/>
      <w:lvlJc w:val="left"/>
      <w:pPr>
        <w:ind w:left="1542" w:hanging="567"/>
      </w:pPr>
      <w:rPr>
        <w:rFonts w:hint="default"/>
        <w:lang w:val="en-US" w:eastAsia="en-US" w:bidi="ar-SA"/>
      </w:rPr>
    </w:lvl>
    <w:lvl w:ilvl="2" w:tplc="290876B4">
      <w:numFmt w:val="bullet"/>
      <w:lvlText w:val="•"/>
      <w:lvlJc w:val="left"/>
      <w:pPr>
        <w:ind w:left="2404" w:hanging="567"/>
      </w:pPr>
      <w:rPr>
        <w:rFonts w:hint="default"/>
        <w:lang w:val="en-US" w:eastAsia="en-US" w:bidi="ar-SA"/>
      </w:rPr>
    </w:lvl>
    <w:lvl w:ilvl="3" w:tplc="3DB00776">
      <w:numFmt w:val="bullet"/>
      <w:lvlText w:val="•"/>
      <w:lvlJc w:val="left"/>
      <w:pPr>
        <w:ind w:left="3267" w:hanging="567"/>
      </w:pPr>
      <w:rPr>
        <w:rFonts w:hint="default"/>
        <w:lang w:val="en-US" w:eastAsia="en-US" w:bidi="ar-SA"/>
      </w:rPr>
    </w:lvl>
    <w:lvl w:ilvl="4" w:tplc="9B942842">
      <w:numFmt w:val="bullet"/>
      <w:lvlText w:val="•"/>
      <w:lvlJc w:val="left"/>
      <w:pPr>
        <w:ind w:left="4129" w:hanging="567"/>
      </w:pPr>
      <w:rPr>
        <w:rFonts w:hint="default"/>
        <w:lang w:val="en-US" w:eastAsia="en-US" w:bidi="ar-SA"/>
      </w:rPr>
    </w:lvl>
    <w:lvl w:ilvl="5" w:tplc="C5D655B8">
      <w:numFmt w:val="bullet"/>
      <w:lvlText w:val="•"/>
      <w:lvlJc w:val="left"/>
      <w:pPr>
        <w:ind w:left="4992" w:hanging="567"/>
      </w:pPr>
      <w:rPr>
        <w:rFonts w:hint="default"/>
        <w:lang w:val="en-US" w:eastAsia="en-US" w:bidi="ar-SA"/>
      </w:rPr>
    </w:lvl>
    <w:lvl w:ilvl="6" w:tplc="DD942142">
      <w:numFmt w:val="bullet"/>
      <w:lvlText w:val="•"/>
      <w:lvlJc w:val="left"/>
      <w:pPr>
        <w:ind w:left="5854" w:hanging="567"/>
      </w:pPr>
      <w:rPr>
        <w:rFonts w:hint="default"/>
        <w:lang w:val="en-US" w:eastAsia="en-US" w:bidi="ar-SA"/>
      </w:rPr>
    </w:lvl>
    <w:lvl w:ilvl="7" w:tplc="351C0426">
      <w:numFmt w:val="bullet"/>
      <w:lvlText w:val="•"/>
      <w:lvlJc w:val="left"/>
      <w:pPr>
        <w:ind w:left="6716" w:hanging="567"/>
      </w:pPr>
      <w:rPr>
        <w:rFonts w:hint="default"/>
        <w:lang w:val="en-US" w:eastAsia="en-US" w:bidi="ar-SA"/>
      </w:rPr>
    </w:lvl>
    <w:lvl w:ilvl="8" w:tplc="9C8ADD6E">
      <w:numFmt w:val="bullet"/>
      <w:lvlText w:val="•"/>
      <w:lvlJc w:val="left"/>
      <w:pPr>
        <w:ind w:left="7579" w:hanging="567"/>
      </w:pPr>
      <w:rPr>
        <w:rFonts w:hint="default"/>
        <w:lang w:val="en-US" w:eastAsia="en-US" w:bidi="ar-SA"/>
      </w:rPr>
    </w:lvl>
  </w:abstractNum>
  <w:abstractNum w:abstractNumId="4" w15:restartNumberingAfterBreak="0">
    <w:nsid w:val="794B06A7"/>
    <w:multiLevelType w:val="hybridMultilevel"/>
    <w:tmpl w:val="E26E4872"/>
    <w:lvl w:ilvl="0" w:tplc="CFEE7AC4">
      <w:start w:val="1"/>
      <w:numFmt w:val="lowerLetter"/>
      <w:lvlText w:val="%1)"/>
      <w:lvlJc w:val="left"/>
      <w:pPr>
        <w:ind w:left="683" w:hanging="567"/>
        <w:jc w:val="left"/>
      </w:pPr>
      <w:rPr>
        <w:rFonts w:ascii="Arial" w:eastAsia="Times New Roman" w:hAnsi="Arial" w:cs="Arial" w:hint="default"/>
        <w:b w:val="0"/>
        <w:bCs w:val="0"/>
        <w:i w:val="0"/>
        <w:iCs w:val="0"/>
        <w:spacing w:val="-1"/>
        <w:w w:val="100"/>
        <w:sz w:val="20"/>
        <w:szCs w:val="20"/>
        <w:lang w:val="en-US" w:eastAsia="en-US" w:bidi="ar-SA"/>
      </w:rPr>
    </w:lvl>
    <w:lvl w:ilvl="1" w:tplc="A57C1F4A">
      <w:start w:val="1"/>
      <w:numFmt w:val="lowerRoman"/>
      <w:lvlText w:val="%2)"/>
      <w:lvlJc w:val="left"/>
      <w:pPr>
        <w:ind w:left="1250" w:hanging="567"/>
        <w:jc w:val="right"/>
      </w:pPr>
      <w:rPr>
        <w:rFonts w:ascii="Arial" w:eastAsia="Times New Roman" w:hAnsi="Arial" w:cs="Arial" w:hint="default"/>
        <w:b w:val="0"/>
        <w:bCs w:val="0"/>
        <w:i w:val="0"/>
        <w:iCs w:val="0"/>
        <w:w w:val="100"/>
        <w:sz w:val="20"/>
        <w:szCs w:val="20"/>
        <w:lang w:val="en-US" w:eastAsia="en-US" w:bidi="ar-SA"/>
      </w:rPr>
    </w:lvl>
    <w:lvl w:ilvl="2" w:tplc="76400D9E">
      <w:start w:val="1"/>
      <w:numFmt w:val="decimal"/>
      <w:lvlText w:val="%3."/>
      <w:lvlJc w:val="left"/>
      <w:pPr>
        <w:ind w:left="356" w:hanging="240"/>
        <w:jc w:val="left"/>
      </w:pPr>
      <w:rPr>
        <w:rFonts w:ascii="Arial" w:eastAsia="Times New Roman" w:hAnsi="Arial" w:cs="Arial" w:hint="default"/>
        <w:b w:val="0"/>
        <w:bCs w:val="0"/>
        <w:i w:val="0"/>
        <w:iCs w:val="0"/>
        <w:w w:val="100"/>
        <w:sz w:val="20"/>
        <w:szCs w:val="20"/>
        <w:lang w:val="en-US" w:eastAsia="en-US" w:bidi="ar-SA"/>
      </w:rPr>
    </w:lvl>
    <w:lvl w:ilvl="3" w:tplc="27BEF070">
      <w:numFmt w:val="bullet"/>
      <w:lvlText w:val="•"/>
      <w:lvlJc w:val="left"/>
      <w:pPr>
        <w:ind w:left="2265" w:hanging="240"/>
      </w:pPr>
      <w:rPr>
        <w:rFonts w:hint="default"/>
        <w:lang w:val="en-US" w:eastAsia="en-US" w:bidi="ar-SA"/>
      </w:rPr>
    </w:lvl>
    <w:lvl w:ilvl="4" w:tplc="8FA4FF24">
      <w:numFmt w:val="bullet"/>
      <w:lvlText w:val="•"/>
      <w:lvlJc w:val="left"/>
      <w:pPr>
        <w:ind w:left="3271" w:hanging="240"/>
      </w:pPr>
      <w:rPr>
        <w:rFonts w:hint="default"/>
        <w:lang w:val="en-US" w:eastAsia="en-US" w:bidi="ar-SA"/>
      </w:rPr>
    </w:lvl>
    <w:lvl w:ilvl="5" w:tplc="D414BBAC">
      <w:numFmt w:val="bullet"/>
      <w:lvlText w:val="•"/>
      <w:lvlJc w:val="left"/>
      <w:pPr>
        <w:ind w:left="4276" w:hanging="240"/>
      </w:pPr>
      <w:rPr>
        <w:rFonts w:hint="default"/>
        <w:lang w:val="en-US" w:eastAsia="en-US" w:bidi="ar-SA"/>
      </w:rPr>
    </w:lvl>
    <w:lvl w:ilvl="6" w:tplc="42A898D6">
      <w:numFmt w:val="bullet"/>
      <w:lvlText w:val="•"/>
      <w:lvlJc w:val="left"/>
      <w:pPr>
        <w:ind w:left="5282" w:hanging="240"/>
      </w:pPr>
      <w:rPr>
        <w:rFonts w:hint="default"/>
        <w:lang w:val="en-US" w:eastAsia="en-US" w:bidi="ar-SA"/>
      </w:rPr>
    </w:lvl>
    <w:lvl w:ilvl="7" w:tplc="B3C6405E">
      <w:numFmt w:val="bullet"/>
      <w:lvlText w:val="•"/>
      <w:lvlJc w:val="left"/>
      <w:pPr>
        <w:ind w:left="6287" w:hanging="240"/>
      </w:pPr>
      <w:rPr>
        <w:rFonts w:hint="default"/>
        <w:lang w:val="en-US" w:eastAsia="en-US" w:bidi="ar-SA"/>
      </w:rPr>
    </w:lvl>
    <w:lvl w:ilvl="8" w:tplc="A5BCD10A">
      <w:numFmt w:val="bullet"/>
      <w:lvlText w:val="•"/>
      <w:lvlJc w:val="left"/>
      <w:pPr>
        <w:ind w:left="7293" w:hanging="240"/>
      </w:pPr>
      <w:rPr>
        <w:rFonts w:hint="default"/>
        <w:lang w:val="en-US" w:eastAsia="en-US" w:bidi="ar-SA"/>
      </w:rPr>
    </w:lvl>
  </w:abstractNum>
  <w:num w:numId="1" w16cid:durableId="769742828">
    <w:abstractNumId w:val="1"/>
  </w:num>
  <w:num w:numId="2" w16cid:durableId="131869100">
    <w:abstractNumId w:val="2"/>
  </w:num>
  <w:num w:numId="3" w16cid:durableId="71122519">
    <w:abstractNumId w:val="0"/>
  </w:num>
  <w:num w:numId="4" w16cid:durableId="2143384813">
    <w:abstractNumId w:val="3"/>
  </w:num>
  <w:num w:numId="5" w16cid:durableId="202049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77"/>
    <w:rsid w:val="00010CF3"/>
    <w:rsid w:val="00011E27"/>
    <w:rsid w:val="000148BC"/>
    <w:rsid w:val="00024AB8"/>
    <w:rsid w:val="00030854"/>
    <w:rsid w:val="00036028"/>
    <w:rsid w:val="0004198B"/>
    <w:rsid w:val="0004297B"/>
    <w:rsid w:val="00044642"/>
    <w:rsid w:val="000446B9"/>
    <w:rsid w:val="00047E21"/>
    <w:rsid w:val="00050E16"/>
    <w:rsid w:val="00085505"/>
    <w:rsid w:val="000C4E25"/>
    <w:rsid w:val="000C7021"/>
    <w:rsid w:val="000D6BBC"/>
    <w:rsid w:val="000D7780"/>
    <w:rsid w:val="000E636A"/>
    <w:rsid w:val="000F2F11"/>
    <w:rsid w:val="00100A5F"/>
    <w:rsid w:val="00105929"/>
    <w:rsid w:val="00110BED"/>
    <w:rsid w:val="00110C36"/>
    <w:rsid w:val="001131D5"/>
    <w:rsid w:val="00114547"/>
    <w:rsid w:val="00141DB8"/>
    <w:rsid w:val="00172084"/>
    <w:rsid w:val="0017474A"/>
    <w:rsid w:val="001758C6"/>
    <w:rsid w:val="00182B99"/>
    <w:rsid w:val="001C1525"/>
    <w:rsid w:val="0020260C"/>
    <w:rsid w:val="0021332C"/>
    <w:rsid w:val="00213982"/>
    <w:rsid w:val="0022397B"/>
    <w:rsid w:val="0024416D"/>
    <w:rsid w:val="00260EA2"/>
    <w:rsid w:val="00271335"/>
    <w:rsid w:val="00271911"/>
    <w:rsid w:val="00273187"/>
    <w:rsid w:val="002800A0"/>
    <w:rsid w:val="002801B3"/>
    <w:rsid w:val="00281060"/>
    <w:rsid w:val="00284050"/>
    <w:rsid w:val="00285BD0"/>
    <w:rsid w:val="002940E8"/>
    <w:rsid w:val="00294751"/>
    <w:rsid w:val="002A6E50"/>
    <w:rsid w:val="002A7C98"/>
    <w:rsid w:val="002B4298"/>
    <w:rsid w:val="002B7A36"/>
    <w:rsid w:val="002C256A"/>
    <w:rsid w:val="002D5226"/>
    <w:rsid w:val="00305A7F"/>
    <w:rsid w:val="00315110"/>
    <w:rsid w:val="003152FE"/>
    <w:rsid w:val="00327436"/>
    <w:rsid w:val="00344BD6"/>
    <w:rsid w:val="0035513E"/>
    <w:rsid w:val="0035528D"/>
    <w:rsid w:val="00361821"/>
    <w:rsid w:val="00361E9E"/>
    <w:rsid w:val="003753EE"/>
    <w:rsid w:val="00377434"/>
    <w:rsid w:val="003A0835"/>
    <w:rsid w:val="003A5AAF"/>
    <w:rsid w:val="003B700A"/>
    <w:rsid w:val="003C5661"/>
    <w:rsid w:val="003C7FBE"/>
    <w:rsid w:val="003D227C"/>
    <w:rsid w:val="003D2B4D"/>
    <w:rsid w:val="003F37F5"/>
    <w:rsid w:val="00405714"/>
    <w:rsid w:val="00444A88"/>
    <w:rsid w:val="00455DA6"/>
    <w:rsid w:val="00474DA4"/>
    <w:rsid w:val="00476B4D"/>
    <w:rsid w:val="004805FA"/>
    <w:rsid w:val="004935D2"/>
    <w:rsid w:val="004B1215"/>
    <w:rsid w:val="004B2FB1"/>
    <w:rsid w:val="004D047D"/>
    <w:rsid w:val="004F1E9E"/>
    <w:rsid w:val="004F305A"/>
    <w:rsid w:val="00512164"/>
    <w:rsid w:val="00520297"/>
    <w:rsid w:val="00532395"/>
    <w:rsid w:val="005338F9"/>
    <w:rsid w:val="0054281C"/>
    <w:rsid w:val="00544581"/>
    <w:rsid w:val="0055268D"/>
    <w:rsid w:val="00561055"/>
    <w:rsid w:val="00575DE2"/>
    <w:rsid w:val="00576BE4"/>
    <w:rsid w:val="005779DB"/>
    <w:rsid w:val="00597BB8"/>
    <w:rsid w:val="005A2A67"/>
    <w:rsid w:val="005A400A"/>
    <w:rsid w:val="005A7FFC"/>
    <w:rsid w:val="005B269D"/>
    <w:rsid w:val="005C7CCD"/>
    <w:rsid w:val="005D13A6"/>
    <w:rsid w:val="005D3A9C"/>
    <w:rsid w:val="005E27B8"/>
    <w:rsid w:val="005F7B92"/>
    <w:rsid w:val="00612379"/>
    <w:rsid w:val="006153B6"/>
    <w:rsid w:val="0061555F"/>
    <w:rsid w:val="006245ED"/>
    <w:rsid w:val="0062468E"/>
    <w:rsid w:val="00636CA6"/>
    <w:rsid w:val="00641200"/>
    <w:rsid w:val="00644B33"/>
    <w:rsid w:val="00645CA8"/>
    <w:rsid w:val="006655D3"/>
    <w:rsid w:val="00667404"/>
    <w:rsid w:val="0067333B"/>
    <w:rsid w:val="006840D7"/>
    <w:rsid w:val="00687EB4"/>
    <w:rsid w:val="0069599B"/>
    <w:rsid w:val="00695C56"/>
    <w:rsid w:val="006A5CDE"/>
    <w:rsid w:val="006A644A"/>
    <w:rsid w:val="006B17D2"/>
    <w:rsid w:val="006C224E"/>
    <w:rsid w:val="006C6976"/>
    <w:rsid w:val="006D753E"/>
    <w:rsid w:val="006D780A"/>
    <w:rsid w:val="0071271E"/>
    <w:rsid w:val="00717D80"/>
    <w:rsid w:val="00732DEC"/>
    <w:rsid w:val="0073565F"/>
    <w:rsid w:val="00735BD5"/>
    <w:rsid w:val="007451EC"/>
    <w:rsid w:val="00751613"/>
    <w:rsid w:val="00753EE9"/>
    <w:rsid w:val="007556F6"/>
    <w:rsid w:val="00760EEF"/>
    <w:rsid w:val="00777EE5"/>
    <w:rsid w:val="00784836"/>
    <w:rsid w:val="0079023E"/>
    <w:rsid w:val="007A2854"/>
    <w:rsid w:val="007A67D1"/>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751DE"/>
    <w:rsid w:val="00890DF8"/>
    <w:rsid w:val="008A0ADE"/>
    <w:rsid w:val="008A743F"/>
    <w:rsid w:val="008C0970"/>
    <w:rsid w:val="008D0BC5"/>
    <w:rsid w:val="008D0F14"/>
    <w:rsid w:val="008D2CF7"/>
    <w:rsid w:val="00900C26"/>
    <w:rsid w:val="00901556"/>
    <w:rsid w:val="0090197F"/>
    <w:rsid w:val="00903264"/>
    <w:rsid w:val="00906DDC"/>
    <w:rsid w:val="0091516F"/>
    <w:rsid w:val="00934E09"/>
    <w:rsid w:val="00936253"/>
    <w:rsid w:val="00940D46"/>
    <w:rsid w:val="009413F1"/>
    <w:rsid w:val="00952DD4"/>
    <w:rsid w:val="009561F4"/>
    <w:rsid w:val="00965AE7"/>
    <w:rsid w:val="00970FED"/>
    <w:rsid w:val="00992D82"/>
    <w:rsid w:val="00997029"/>
    <w:rsid w:val="009A7339"/>
    <w:rsid w:val="009B440E"/>
    <w:rsid w:val="009C20EA"/>
    <w:rsid w:val="009C536A"/>
    <w:rsid w:val="009D690D"/>
    <w:rsid w:val="009E65B6"/>
    <w:rsid w:val="009E7203"/>
    <w:rsid w:val="009F0A51"/>
    <w:rsid w:val="009F77CF"/>
    <w:rsid w:val="00A24C10"/>
    <w:rsid w:val="00A42AC3"/>
    <w:rsid w:val="00A430CF"/>
    <w:rsid w:val="00A54309"/>
    <w:rsid w:val="00A610A9"/>
    <w:rsid w:val="00A73882"/>
    <w:rsid w:val="00A80F2A"/>
    <w:rsid w:val="00A96C33"/>
    <w:rsid w:val="00AB2B93"/>
    <w:rsid w:val="00AB530F"/>
    <w:rsid w:val="00AB7E5B"/>
    <w:rsid w:val="00AC2883"/>
    <w:rsid w:val="00AC5977"/>
    <w:rsid w:val="00AE0EF1"/>
    <w:rsid w:val="00AE2937"/>
    <w:rsid w:val="00AF0C5C"/>
    <w:rsid w:val="00B07301"/>
    <w:rsid w:val="00B11F3E"/>
    <w:rsid w:val="00B224DE"/>
    <w:rsid w:val="00B324D4"/>
    <w:rsid w:val="00B46575"/>
    <w:rsid w:val="00B46AEE"/>
    <w:rsid w:val="00B61777"/>
    <w:rsid w:val="00B622E6"/>
    <w:rsid w:val="00B83E82"/>
    <w:rsid w:val="00B84BBD"/>
    <w:rsid w:val="00BA43FB"/>
    <w:rsid w:val="00BA52D5"/>
    <w:rsid w:val="00BC127D"/>
    <w:rsid w:val="00BC1FE6"/>
    <w:rsid w:val="00BE33F3"/>
    <w:rsid w:val="00C061B6"/>
    <w:rsid w:val="00C2446C"/>
    <w:rsid w:val="00C36AE5"/>
    <w:rsid w:val="00C41F17"/>
    <w:rsid w:val="00C527FA"/>
    <w:rsid w:val="00C5280D"/>
    <w:rsid w:val="00C53EB3"/>
    <w:rsid w:val="00C5791C"/>
    <w:rsid w:val="00C66290"/>
    <w:rsid w:val="00C72B7A"/>
    <w:rsid w:val="00C75A58"/>
    <w:rsid w:val="00C973F2"/>
    <w:rsid w:val="00CA304C"/>
    <w:rsid w:val="00CA774A"/>
    <w:rsid w:val="00CB4921"/>
    <w:rsid w:val="00CC11B0"/>
    <w:rsid w:val="00CC2841"/>
    <w:rsid w:val="00CD680A"/>
    <w:rsid w:val="00CF0DB8"/>
    <w:rsid w:val="00CF1330"/>
    <w:rsid w:val="00CF7E36"/>
    <w:rsid w:val="00D2328B"/>
    <w:rsid w:val="00D26695"/>
    <w:rsid w:val="00D3368A"/>
    <w:rsid w:val="00D33FB4"/>
    <w:rsid w:val="00D3593A"/>
    <w:rsid w:val="00D3708D"/>
    <w:rsid w:val="00D40426"/>
    <w:rsid w:val="00D57C96"/>
    <w:rsid w:val="00D57D18"/>
    <w:rsid w:val="00D70E65"/>
    <w:rsid w:val="00D91203"/>
    <w:rsid w:val="00D95174"/>
    <w:rsid w:val="00DA4973"/>
    <w:rsid w:val="00DA6F36"/>
    <w:rsid w:val="00DB596E"/>
    <w:rsid w:val="00DB7773"/>
    <w:rsid w:val="00DC00EA"/>
    <w:rsid w:val="00DC3802"/>
    <w:rsid w:val="00DD6208"/>
    <w:rsid w:val="00DF7E99"/>
    <w:rsid w:val="00E07D87"/>
    <w:rsid w:val="00E249C8"/>
    <w:rsid w:val="00E32F7E"/>
    <w:rsid w:val="00E5267B"/>
    <w:rsid w:val="00E559F0"/>
    <w:rsid w:val="00E63C0E"/>
    <w:rsid w:val="00E727A5"/>
    <w:rsid w:val="00E72D49"/>
    <w:rsid w:val="00E7593C"/>
    <w:rsid w:val="00E7678A"/>
    <w:rsid w:val="00E935F1"/>
    <w:rsid w:val="00E94A81"/>
    <w:rsid w:val="00EA1FFB"/>
    <w:rsid w:val="00EB048E"/>
    <w:rsid w:val="00EB4E9C"/>
    <w:rsid w:val="00EE34DF"/>
    <w:rsid w:val="00EF2F89"/>
    <w:rsid w:val="00F019EE"/>
    <w:rsid w:val="00F03E98"/>
    <w:rsid w:val="00F1237A"/>
    <w:rsid w:val="00F22CBD"/>
    <w:rsid w:val="00F272F1"/>
    <w:rsid w:val="00F31412"/>
    <w:rsid w:val="00F44BF1"/>
    <w:rsid w:val="00F45372"/>
    <w:rsid w:val="00F465C7"/>
    <w:rsid w:val="00F55A83"/>
    <w:rsid w:val="00F560F7"/>
    <w:rsid w:val="00F61A34"/>
    <w:rsid w:val="00F6334D"/>
    <w:rsid w:val="00F63599"/>
    <w:rsid w:val="00F71781"/>
    <w:rsid w:val="00F81C35"/>
    <w:rsid w:val="00FA49AB"/>
    <w:rsid w:val="00FA7122"/>
    <w:rsid w:val="00FC5FD0"/>
    <w:rsid w:val="00FD5B2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877A2"/>
  <w15:docId w15:val="{C3D6CD4D-B04F-4EF1-B093-0B38D553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6C6976"/>
    <w:pPr>
      <w:keepNext/>
      <w:jc w:val="both"/>
      <w:outlineLvl w:val="0"/>
    </w:pPr>
    <w:rPr>
      <w:rFonts w:ascii="Arial" w:hAnsi="Arial" w:cs="Arial"/>
      <w:b/>
      <w:bCs/>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6C6976"/>
    <w:rPr>
      <w:rFonts w:ascii="Arial" w:hAnsi="Arial" w:cs="Arial"/>
      <w:b/>
      <w:bCs/>
      <w:caps/>
    </w:rPr>
  </w:style>
  <w:style w:type="paragraph" w:styleId="ListParagraph">
    <w:name w:val="List Paragraph"/>
    <w:basedOn w:val="Normal"/>
    <w:uiPriority w:val="1"/>
    <w:qFormat/>
    <w:rsid w:val="00561055"/>
    <w:pPr>
      <w:ind w:left="720"/>
      <w:contextualSpacing/>
    </w:pPr>
  </w:style>
  <w:style w:type="table" w:styleId="TableGrid">
    <w:name w:val="Table Grid"/>
    <w:basedOn w:val="TableNormal"/>
    <w:rsid w:val="0056105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27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8_October_22_2025\templates\wg_hrv_8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wg_hrv_8_EN.dotx</Template>
  <TotalTime>95</TotalTime>
  <Pages>6</Pages>
  <Words>2483</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WG-HRV/8</vt:lpstr>
    </vt:vector>
  </TitlesOfParts>
  <Company>UPOV</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lastModifiedBy>NICOLO Laurianne</cp:lastModifiedBy>
  <cp:revision>21</cp:revision>
  <cp:lastPrinted>2016-11-22T15:41:00Z</cp:lastPrinted>
  <dcterms:created xsi:type="dcterms:W3CDTF">2025-05-26T09:17:00Z</dcterms:created>
  <dcterms:modified xsi:type="dcterms:W3CDTF">2025-09-25T13:42:00Z</dcterms:modified>
</cp:coreProperties>
</file>