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3877CC" w:rsidRPr="00AC2883" w:rsidRDefault="007B2D5E" w:rsidP="003877CC">
            <w:pPr>
              <w:pStyle w:val="Sessiontc"/>
              <w:spacing w:line="240" w:lineRule="auto"/>
            </w:pPr>
            <w:r w:rsidRPr="00116388">
              <w:t>Working group on harvested material and unauthorized use of propagating material (WG-HRV)</w:t>
            </w:r>
          </w:p>
          <w:p w:rsidR="007B2D5E" w:rsidRDefault="007B2D5E" w:rsidP="007B2D5E">
            <w:pPr>
              <w:pStyle w:val="Sessiontcplacedate"/>
            </w:pPr>
            <w:r>
              <w:t>Third Meeting</w:t>
            </w:r>
          </w:p>
          <w:p w:rsidR="00EB4E9C" w:rsidRPr="00DC3802" w:rsidRDefault="007B2D5E" w:rsidP="007B2D5E">
            <w:pPr>
              <w:pStyle w:val="Sessiontcplacedate"/>
              <w:spacing w:before="0"/>
              <w:contextualSpacing w:val="0"/>
              <w:rPr>
                <w:sz w:val="22"/>
              </w:rPr>
            </w:pPr>
            <w:r w:rsidRPr="00DA4973">
              <w:t xml:space="preserve">Geneva, </w:t>
            </w:r>
            <w:r w:rsidRPr="009126F9">
              <w:t>March 21, 2023</w:t>
            </w:r>
          </w:p>
        </w:tc>
        <w:tc>
          <w:tcPr>
            <w:tcW w:w="3127" w:type="dxa"/>
          </w:tcPr>
          <w:p w:rsidR="003877CC" w:rsidRDefault="00E868D6" w:rsidP="003877CC">
            <w:pPr>
              <w:pStyle w:val="Doccode"/>
            </w:pPr>
            <w:r>
              <w:t>UPOV/</w:t>
            </w:r>
            <w:r w:rsidR="007B2D5E">
              <w:t>WG-</w:t>
            </w:r>
            <w:r w:rsidR="003877CC">
              <w:t>H</w:t>
            </w:r>
            <w:r w:rsidR="007B2D5E">
              <w:t>RV</w:t>
            </w:r>
            <w:r w:rsidR="003877CC">
              <w:t>/</w:t>
            </w:r>
            <w:r w:rsidR="007B2D5E">
              <w:t>3</w:t>
            </w:r>
            <w:r w:rsidR="00906173">
              <w:t>/</w:t>
            </w:r>
            <w:r w:rsidR="00693EC1">
              <w:t>3</w:t>
            </w:r>
          </w:p>
          <w:p w:rsidR="003877CC" w:rsidRPr="008443C4" w:rsidRDefault="003877CC" w:rsidP="003877CC">
            <w:pPr>
              <w:pStyle w:val="Docoriginal"/>
              <w:spacing w:before="480"/>
              <w:rPr>
                <w:lang w:val="en-US"/>
              </w:rPr>
            </w:pPr>
            <w:r w:rsidRPr="008443C4">
              <w:rPr>
                <w:lang w:val="en-US"/>
              </w:rPr>
              <w:t>Original:</w:t>
            </w:r>
            <w:r w:rsidRPr="008443C4">
              <w:rPr>
                <w:b w:val="0"/>
                <w:spacing w:val="0"/>
                <w:lang w:val="en-US"/>
              </w:rPr>
              <w:t xml:space="preserve">  English</w:t>
            </w:r>
          </w:p>
          <w:p w:rsidR="00D307D1" w:rsidRPr="008443C4" w:rsidRDefault="003877CC" w:rsidP="00E4589D">
            <w:pPr>
              <w:pStyle w:val="Docoriginal"/>
              <w:rPr>
                <w:i/>
                <w:lang w:val="en-US"/>
              </w:rPr>
            </w:pPr>
            <w:r w:rsidRPr="008443C4">
              <w:rPr>
                <w:lang w:val="en-US"/>
              </w:rPr>
              <w:t>Date:</w:t>
            </w:r>
            <w:r w:rsidRPr="008443C4">
              <w:rPr>
                <w:b w:val="0"/>
                <w:spacing w:val="0"/>
                <w:lang w:val="en-US"/>
              </w:rPr>
              <w:t xml:space="preserve">  </w:t>
            </w:r>
            <w:r w:rsidR="008443C4" w:rsidRPr="00780A77">
              <w:rPr>
                <w:b w:val="0"/>
                <w:spacing w:val="0"/>
                <w:lang w:val="en-US"/>
              </w:rPr>
              <w:t>F</w:t>
            </w:r>
            <w:r w:rsidR="00A14D5B">
              <w:rPr>
                <w:b w:val="0"/>
                <w:spacing w:val="0"/>
                <w:lang w:val="en-US"/>
              </w:rPr>
              <w:t>ebruary 17</w:t>
            </w:r>
            <w:r w:rsidR="00E868D6" w:rsidRPr="00780A77">
              <w:rPr>
                <w:b w:val="0"/>
                <w:spacing w:val="0"/>
                <w:lang w:val="en-US"/>
              </w:rPr>
              <w:t xml:space="preserve">, </w:t>
            </w:r>
            <w:r w:rsidRPr="00780A77">
              <w:rPr>
                <w:b w:val="0"/>
                <w:spacing w:val="0"/>
                <w:lang w:val="en-US"/>
              </w:rPr>
              <w:t>202</w:t>
            </w:r>
            <w:r w:rsidR="007B2D5E" w:rsidRPr="00780A77">
              <w:rPr>
                <w:b w:val="0"/>
                <w:spacing w:val="0"/>
                <w:lang w:val="en-US"/>
              </w:rPr>
              <w:t>3</w:t>
            </w:r>
          </w:p>
        </w:tc>
      </w:tr>
    </w:tbl>
    <w:p w:rsidR="000D7780" w:rsidRPr="006A644A" w:rsidRDefault="00693EC1" w:rsidP="006A644A">
      <w:pPr>
        <w:pStyle w:val="Titleofdoc0"/>
      </w:pPr>
      <w:r w:rsidRPr="00693EC1">
        <w:t>Perspectives on “unauthorized use” under Article 14</w:t>
      </w:r>
      <w:r w:rsidR="00962161">
        <w:t>(2) of the 1991 Act of the UPOV </w:t>
      </w:r>
      <w:r w:rsidRPr="00693EC1">
        <w:t>Convention</w:t>
      </w:r>
    </w:p>
    <w:p w:rsidR="006A644A" w:rsidRPr="006A644A" w:rsidRDefault="00AE0EF1" w:rsidP="006A644A">
      <w:pPr>
        <w:pStyle w:val="preparedby1"/>
        <w:jc w:val="left"/>
      </w:pPr>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962161" w:rsidRDefault="00962161" w:rsidP="00962161">
      <w:pPr>
        <w:keepNext/>
        <w:outlineLvl w:val="0"/>
        <w:rPr>
          <w:caps/>
          <w:snapToGrid w:val="0"/>
        </w:rPr>
      </w:pPr>
      <w:bookmarkStart w:id="0" w:name="_Toc522523019"/>
      <w:bookmarkStart w:id="1" w:name="_Toc522523121"/>
      <w:bookmarkStart w:id="2" w:name="_Toc14799780"/>
      <w:bookmarkStart w:id="3" w:name="_Toc127535879"/>
      <w:r w:rsidRPr="005C6424">
        <w:rPr>
          <w:caps/>
          <w:snapToGrid w:val="0"/>
        </w:rPr>
        <w:t>EXECUTIVE SUMMARY</w:t>
      </w:r>
      <w:bookmarkEnd w:id="0"/>
      <w:bookmarkEnd w:id="1"/>
      <w:bookmarkEnd w:id="2"/>
      <w:bookmarkEnd w:id="3"/>
    </w:p>
    <w:p w:rsidR="00962161" w:rsidRDefault="00962161" w:rsidP="00962161">
      <w:pPr>
        <w:keepNext/>
        <w:outlineLvl w:val="0"/>
      </w:pPr>
    </w:p>
    <w:p w:rsidR="00B36169" w:rsidRDefault="00962161" w:rsidP="00962161">
      <w:pPr>
        <w:rPr>
          <w:rFonts w:eastAsiaTheme="minorEastAsia" w:cs="Arial"/>
          <w:snapToGrid w:val="0"/>
        </w:rPr>
      </w:pPr>
      <w:r w:rsidRPr="005C6424">
        <w:fldChar w:fldCharType="begin"/>
      </w:r>
      <w:r w:rsidRPr="005C6424">
        <w:instrText xml:space="preserve"> AUTONUM  </w:instrText>
      </w:r>
      <w:r w:rsidRPr="005C6424">
        <w:fldChar w:fldCharType="end"/>
      </w:r>
      <w:r w:rsidRPr="005C6424">
        <w:tab/>
      </w:r>
      <w:r w:rsidRPr="005D1A60">
        <w:t xml:space="preserve">The purpose of this document is to </w:t>
      </w:r>
      <w:r w:rsidR="008E13E8">
        <w:t>present a proposal concerning</w:t>
      </w:r>
      <w:r w:rsidR="00B36169" w:rsidRPr="00B36169">
        <w:t xml:space="preserve"> the different perspectives of </w:t>
      </w:r>
      <w:r w:rsidRPr="005D1A60">
        <w:t xml:space="preserve"> “unauthorized use” </w:t>
      </w:r>
      <w:r w:rsidR="005D1A60">
        <w:t xml:space="preserve">under Article 14(2) of the 1991 Act and to invite the </w:t>
      </w:r>
      <w:r w:rsidR="005D1A60" w:rsidRPr="005D1A60">
        <w:t>Working Group on harvested material and unauthorized use of propagating material (WG-HRV)</w:t>
      </w:r>
      <w:r w:rsidR="00267C2B">
        <w:t xml:space="preserve"> to consider this</w:t>
      </w:r>
      <w:r w:rsidR="005D1A60">
        <w:t xml:space="preserve"> </w:t>
      </w:r>
      <w:r w:rsidR="008E13E8">
        <w:t xml:space="preserve">proposal </w:t>
      </w:r>
      <w:r w:rsidR="005D1A60">
        <w:t>in conjunction with the examples to be provided by the members of the WG-HRV.</w:t>
      </w:r>
    </w:p>
    <w:p w:rsidR="00962161" w:rsidRDefault="00962161" w:rsidP="00962161"/>
    <w:p w:rsidR="00962161" w:rsidRDefault="00962161" w:rsidP="00962161">
      <w:r w:rsidRPr="005C6424">
        <w:fldChar w:fldCharType="begin"/>
      </w:r>
      <w:r w:rsidRPr="005C6424">
        <w:instrText xml:space="preserve"> AUTONUM  </w:instrText>
      </w:r>
      <w:r w:rsidRPr="005C6424">
        <w:fldChar w:fldCharType="end"/>
      </w:r>
      <w:r w:rsidRPr="005C6424">
        <w:tab/>
      </w:r>
      <w:r>
        <w:t>The WG-HRV is invited to:</w:t>
      </w:r>
    </w:p>
    <w:p w:rsidR="00962161" w:rsidRDefault="00962161" w:rsidP="00962161"/>
    <w:p w:rsidR="00E4589D" w:rsidRDefault="00E4589D" w:rsidP="00E4589D">
      <w:r>
        <w:tab/>
        <w:t>(a)</w:t>
      </w:r>
      <w:r>
        <w:tab/>
      </w:r>
      <w:r w:rsidR="003D7754" w:rsidRPr="003D7754">
        <w:t>note tha</w:t>
      </w:r>
      <w:r w:rsidR="0017407D">
        <w:t>t the examples in reply to the c</w:t>
      </w:r>
      <w:r w:rsidR="003D7754" w:rsidRPr="003D7754">
        <w:t>ircular, as set out in paragraph 9 of this document, will be presented as an addendum to this document and will also be made available on the UPOV website</w:t>
      </w:r>
      <w:r>
        <w:t xml:space="preserve">:  </w:t>
      </w:r>
      <w:hyperlink r:id="rId9" w:history="1">
        <w:r w:rsidRPr="00E4589D">
          <w:rPr>
            <w:rStyle w:val="Hyperlink"/>
          </w:rPr>
          <w:t>https://www.upov.int/meetings/en/details.jsp?meeting_id=74773</w:t>
        </w:r>
      </w:hyperlink>
      <w:r>
        <w:t>;  and</w:t>
      </w:r>
    </w:p>
    <w:p w:rsidR="00E4589D" w:rsidRDefault="00E4589D" w:rsidP="00E4589D"/>
    <w:p w:rsidR="0040494E" w:rsidRDefault="00E4589D" w:rsidP="00E4589D">
      <w:r>
        <w:tab/>
        <w:t>(b)</w:t>
      </w:r>
      <w:r>
        <w:tab/>
      </w:r>
      <w:proofErr w:type="gramStart"/>
      <w:r w:rsidR="003D7754" w:rsidRPr="003D7754">
        <w:t>consider</w:t>
      </w:r>
      <w:proofErr w:type="gramEnd"/>
      <w:r w:rsidR="003D7754" w:rsidRPr="003D7754">
        <w:t xml:space="preserve"> the proposal in paragraph 8 of this document</w:t>
      </w:r>
      <w:r>
        <w:t>.</w:t>
      </w:r>
    </w:p>
    <w:p w:rsidR="00E4589D" w:rsidRDefault="00E4589D" w:rsidP="00E4589D"/>
    <w:p w:rsidR="00962161" w:rsidRPr="005C6424" w:rsidRDefault="00962161" w:rsidP="00962161">
      <w:pPr>
        <w:jc w:val="left"/>
      </w:pPr>
      <w:r w:rsidRPr="005C6424">
        <w:rPr>
          <w:rFonts w:cs="Arial"/>
        </w:rPr>
        <w:fldChar w:fldCharType="begin"/>
      </w:r>
      <w:r w:rsidRPr="005C6424">
        <w:rPr>
          <w:rFonts w:cs="Arial"/>
        </w:rPr>
        <w:instrText xml:space="preserve"> AUTONUM  </w:instrText>
      </w:r>
      <w:r w:rsidRPr="005C6424">
        <w:rPr>
          <w:rFonts w:cs="Arial"/>
        </w:rPr>
        <w:fldChar w:fldCharType="end"/>
      </w:r>
      <w:r w:rsidRPr="005C6424">
        <w:rPr>
          <w:rFonts w:cs="Arial"/>
        </w:rPr>
        <w:tab/>
      </w:r>
      <w:r w:rsidRPr="005C6424">
        <w:rPr>
          <w:rFonts w:cs="Arial"/>
          <w:lang w:eastAsia="ja-JP"/>
        </w:rPr>
        <w:t>The structure of this document is as follows:</w:t>
      </w:r>
    </w:p>
    <w:p w:rsidR="00A76CBA" w:rsidRDefault="00962161">
      <w:pPr>
        <w:pStyle w:val="TOC1"/>
        <w:rPr>
          <w:rFonts w:asciiTheme="minorHAnsi" w:eastAsiaTheme="minorEastAsia" w:hAnsiTheme="minorHAnsi" w:cstheme="minorBidi"/>
          <w:bCs w:val="0"/>
          <w:caps w:val="0"/>
          <w:sz w:val="22"/>
          <w:szCs w:val="22"/>
        </w:rPr>
      </w:pPr>
      <w:r>
        <w:rPr>
          <w:color w:val="000000"/>
        </w:rPr>
        <w:fldChar w:fldCharType="begin"/>
      </w:r>
      <w:r>
        <w:rPr>
          <w:color w:val="000000"/>
        </w:rPr>
        <w:instrText xml:space="preserve"> TOC \o "1-2" \u </w:instrText>
      </w:r>
      <w:r>
        <w:rPr>
          <w:color w:val="000000"/>
        </w:rPr>
        <w:fldChar w:fldCharType="separate"/>
      </w:r>
      <w:r w:rsidR="00A76CBA" w:rsidRPr="00DA4888">
        <w:rPr>
          <w:snapToGrid w:val="0"/>
        </w:rPr>
        <w:t>EXECUTIVE SUMMARY</w:t>
      </w:r>
      <w:r w:rsidR="00A76CBA">
        <w:tab/>
      </w:r>
      <w:r w:rsidR="00A76CBA">
        <w:fldChar w:fldCharType="begin"/>
      </w:r>
      <w:r w:rsidR="00A76CBA">
        <w:instrText xml:space="preserve"> PAGEREF _Toc127535879 \h </w:instrText>
      </w:r>
      <w:r w:rsidR="00A76CBA">
        <w:fldChar w:fldCharType="separate"/>
      </w:r>
      <w:r w:rsidR="00A76CBA">
        <w:t>1</w:t>
      </w:r>
      <w:r w:rsidR="00A76CBA">
        <w:fldChar w:fldCharType="end"/>
      </w:r>
    </w:p>
    <w:p w:rsidR="00A76CBA" w:rsidRDefault="00A76CBA">
      <w:pPr>
        <w:pStyle w:val="TOC1"/>
        <w:rPr>
          <w:rFonts w:asciiTheme="minorHAnsi" w:eastAsiaTheme="minorEastAsia" w:hAnsiTheme="minorHAnsi" w:cstheme="minorBidi"/>
          <w:bCs w:val="0"/>
          <w:caps w:val="0"/>
          <w:sz w:val="22"/>
          <w:szCs w:val="22"/>
        </w:rPr>
      </w:pPr>
      <w:r>
        <w:t>BACKGROUND</w:t>
      </w:r>
      <w:r>
        <w:tab/>
      </w:r>
      <w:r>
        <w:fldChar w:fldCharType="begin"/>
      </w:r>
      <w:r>
        <w:instrText xml:space="preserve"> PAGEREF _Toc127535880 \h </w:instrText>
      </w:r>
      <w:r>
        <w:fldChar w:fldCharType="separate"/>
      </w:r>
      <w:r>
        <w:t>1</w:t>
      </w:r>
      <w:r>
        <w:fldChar w:fldCharType="end"/>
      </w:r>
    </w:p>
    <w:p w:rsidR="00A76CBA" w:rsidRDefault="00A76CBA">
      <w:pPr>
        <w:pStyle w:val="TOC1"/>
        <w:rPr>
          <w:rFonts w:asciiTheme="minorHAnsi" w:eastAsiaTheme="minorEastAsia" w:hAnsiTheme="minorHAnsi" w:cstheme="minorBidi"/>
          <w:bCs w:val="0"/>
          <w:caps w:val="0"/>
          <w:sz w:val="22"/>
          <w:szCs w:val="22"/>
        </w:rPr>
      </w:pPr>
      <w:r w:rsidRPr="00DA4888">
        <w:t>introduction to the different perspectives of “unauthorized use” for the revision of the Explanatory Notes on Propagating Material, Acts in respect of Harvested Material and Provisional Protection under the UPOV Convention</w:t>
      </w:r>
      <w:r>
        <w:tab/>
      </w:r>
      <w:r>
        <w:fldChar w:fldCharType="begin"/>
      </w:r>
      <w:r>
        <w:instrText xml:space="preserve"> PAGEREF _Toc127535881 \h </w:instrText>
      </w:r>
      <w:r>
        <w:fldChar w:fldCharType="separate"/>
      </w:r>
      <w:r>
        <w:t>2</w:t>
      </w:r>
      <w:r>
        <w:fldChar w:fldCharType="end"/>
      </w:r>
    </w:p>
    <w:p w:rsidR="00A76CBA" w:rsidRDefault="00A76CBA">
      <w:pPr>
        <w:pStyle w:val="TOC2"/>
        <w:rPr>
          <w:rFonts w:asciiTheme="minorHAnsi" w:eastAsiaTheme="minorEastAsia" w:hAnsiTheme="minorHAnsi" w:cstheme="minorBidi"/>
          <w:i w:val="0"/>
          <w:sz w:val="22"/>
          <w:szCs w:val="22"/>
        </w:rPr>
      </w:pPr>
      <w:r>
        <w:t>Perspective of “unauthorized use” in the current explanatory notes</w:t>
      </w:r>
      <w:r>
        <w:tab/>
      </w:r>
      <w:r>
        <w:fldChar w:fldCharType="begin"/>
      </w:r>
      <w:r>
        <w:instrText xml:space="preserve"> PAGEREF _Toc127535882 \h </w:instrText>
      </w:r>
      <w:r>
        <w:fldChar w:fldCharType="separate"/>
      </w:r>
      <w:r>
        <w:t>2</w:t>
      </w:r>
      <w:r>
        <w:fldChar w:fldCharType="end"/>
      </w:r>
    </w:p>
    <w:p w:rsidR="00A76CBA" w:rsidRDefault="00A76CBA">
      <w:pPr>
        <w:pStyle w:val="TOC2"/>
        <w:rPr>
          <w:rFonts w:asciiTheme="minorHAnsi" w:eastAsiaTheme="minorEastAsia" w:hAnsiTheme="minorHAnsi" w:cstheme="minorBidi"/>
          <w:i w:val="0"/>
          <w:sz w:val="22"/>
          <w:szCs w:val="22"/>
        </w:rPr>
      </w:pPr>
      <w:r>
        <w:t>Other perspectives of “unauthorized use” for consideration by the WG-HRV</w:t>
      </w:r>
      <w:r>
        <w:tab/>
      </w:r>
      <w:r>
        <w:fldChar w:fldCharType="begin"/>
      </w:r>
      <w:r>
        <w:instrText xml:space="preserve"> PAGEREF _Toc127535883 \h </w:instrText>
      </w:r>
      <w:r>
        <w:fldChar w:fldCharType="separate"/>
      </w:r>
      <w:r>
        <w:t>2</w:t>
      </w:r>
      <w:r>
        <w:fldChar w:fldCharType="end"/>
      </w:r>
    </w:p>
    <w:p w:rsidR="00A76CBA" w:rsidRDefault="00A76CBA">
      <w:pPr>
        <w:pStyle w:val="TOC2"/>
        <w:rPr>
          <w:rFonts w:asciiTheme="minorHAnsi" w:eastAsiaTheme="minorEastAsia" w:hAnsiTheme="minorHAnsi" w:cstheme="minorBidi"/>
          <w:i w:val="0"/>
          <w:sz w:val="22"/>
          <w:szCs w:val="22"/>
        </w:rPr>
      </w:pPr>
      <w:r>
        <w:t>Invitation for the provision of examples agreed at the second meeting of the WG-HRV</w:t>
      </w:r>
      <w:r>
        <w:tab/>
      </w:r>
      <w:r>
        <w:fldChar w:fldCharType="begin"/>
      </w:r>
      <w:r>
        <w:instrText xml:space="preserve"> PAGEREF _Toc127535884 \h </w:instrText>
      </w:r>
      <w:r>
        <w:fldChar w:fldCharType="separate"/>
      </w:r>
      <w:r>
        <w:t>4</w:t>
      </w:r>
      <w:r>
        <w:fldChar w:fldCharType="end"/>
      </w:r>
    </w:p>
    <w:p w:rsidR="00962161" w:rsidRDefault="00962161" w:rsidP="00962161">
      <w:pPr>
        <w:ind w:left="851" w:hanging="851"/>
        <w:jc w:val="left"/>
        <w:rPr>
          <w:spacing w:val="-2"/>
        </w:rPr>
      </w:pPr>
      <w:r>
        <w:rPr>
          <w:rFonts w:cs="Arial"/>
          <w:color w:val="000000"/>
        </w:rPr>
        <w:fldChar w:fldCharType="end"/>
      </w:r>
    </w:p>
    <w:p w:rsidR="00962161" w:rsidRDefault="00962161" w:rsidP="00962161">
      <w:pPr>
        <w:jc w:val="left"/>
      </w:pPr>
      <w:bookmarkStart w:id="4" w:name="_Toc14799781"/>
    </w:p>
    <w:p w:rsidR="00E4589D" w:rsidRDefault="00E4589D" w:rsidP="00962161">
      <w:pPr>
        <w:jc w:val="left"/>
      </w:pPr>
    </w:p>
    <w:p w:rsidR="00962161" w:rsidRDefault="00962161" w:rsidP="0040494E">
      <w:pPr>
        <w:pStyle w:val="Heading1"/>
        <w:keepLines/>
      </w:pPr>
      <w:bookmarkStart w:id="5" w:name="_Toc127535880"/>
      <w:r>
        <w:t>BACKGROUND</w:t>
      </w:r>
      <w:bookmarkEnd w:id="5"/>
    </w:p>
    <w:p w:rsidR="00962161" w:rsidRDefault="00962161" w:rsidP="0040494E">
      <w:pPr>
        <w:keepNext/>
        <w:keepLines/>
      </w:pPr>
    </w:p>
    <w:p w:rsidR="009A3EE9" w:rsidRPr="00480FE7" w:rsidRDefault="00031341" w:rsidP="005C70A6">
      <w:pPr>
        <w:keepNext/>
        <w:keepLines/>
        <w:rPr>
          <w:b/>
          <w:bCs/>
        </w:rPr>
      </w:pPr>
      <w:r w:rsidRPr="002C1E98">
        <w:rPr>
          <w:spacing w:val="-4"/>
        </w:rPr>
        <w:fldChar w:fldCharType="begin"/>
      </w:r>
      <w:r w:rsidRPr="002C1E98">
        <w:rPr>
          <w:spacing w:val="-4"/>
        </w:rPr>
        <w:instrText xml:space="preserve"> AUTONUM  </w:instrText>
      </w:r>
      <w:r w:rsidRPr="002C1E98">
        <w:rPr>
          <w:spacing w:val="-4"/>
        </w:rPr>
        <w:fldChar w:fldCharType="end"/>
      </w:r>
      <w:r w:rsidRPr="002C1E98">
        <w:rPr>
          <w:spacing w:val="-4"/>
        </w:rPr>
        <w:tab/>
      </w:r>
      <w:r w:rsidRPr="007B77AA">
        <w:rPr>
          <w:spacing w:val="-2"/>
        </w:rPr>
        <w:t xml:space="preserve">The </w:t>
      </w:r>
      <w:r w:rsidR="00267C2B">
        <w:rPr>
          <w:spacing w:val="-2"/>
        </w:rPr>
        <w:t>WG-HRV</w:t>
      </w:r>
      <w:r>
        <w:rPr>
          <w:spacing w:val="-2"/>
        </w:rPr>
        <w:t xml:space="preserve">, at </w:t>
      </w:r>
      <w:r w:rsidRPr="007B77AA">
        <w:rPr>
          <w:spacing w:val="-2"/>
        </w:rPr>
        <w:t>its</w:t>
      </w:r>
      <w:r w:rsidRPr="007B77AA">
        <w:t xml:space="preserve"> </w:t>
      </w:r>
      <w:r w:rsidRPr="007B77AA">
        <w:rPr>
          <w:spacing w:val="-2"/>
        </w:rPr>
        <w:t>second meeting</w:t>
      </w:r>
      <w:r>
        <w:rPr>
          <w:spacing w:val="-2"/>
        </w:rPr>
        <w:t>, held</w:t>
      </w:r>
      <w:r w:rsidRPr="007B77AA">
        <w:rPr>
          <w:spacing w:val="-2"/>
        </w:rPr>
        <w:t xml:space="preserve"> via electronic means</w:t>
      </w:r>
      <w:r w:rsidRPr="007B77AA">
        <w:t xml:space="preserve"> on September 6, 2022,</w:t>
      </w:r>
      <w:r>
        <w:t xml:space="preserve"> </w:t>
      </w:r>
      <w:r w:rsidR="009A3EE9" w:rsidRPr="00E419CD">
        <w:t xml:space="preserve">agreed </w:t>
      </w:r>
      <w:r w:rsidR="009A3EE9">
        <w:t>the following (see document WG-</w:t>
      </w:r>
      <w:r w:rsidR="008443C4">
        <w:t> </w:t>
      </w:r>
      <w:r w:rsidR="009A3EE9">
        <w:t>HRV/2/6 “Draft Report”, paragraphs 23</w:t>
      </w:r>
      <w:r w:rsidR="00797033">
        <w:t>, 29,</w:t>
      </w:r>
      <w:r w:rsidR="009A3EE9" w:rsidRPr="009A3EE9">
        <w:t xml:space="preserve"> 33 and 34</w:t>
      </w:r>
      <w:r w:rsidR="009A3EE9">
        <w:t>, reproduced below):</w:t>
      </w:r>
    </w:p>
    <w:p w:rsidR="00031341" w:rsidRDefault="00031341" w:rsidP="005C70A6">
      <w:pPr>
        <w:keepNext/>
        <w:keepLines/>
      </w:pPr>
    </w:p>
    <w:p w:rsidR="00031341" w:rsidRPr="00797033" w:rsidRDefault="009A3EE9" w:rsidP="005C70A6">
      <w:pPr>
        <w:keepLines/>
        <w:ind w:left="567" w:right="459"/>
        <w:rPr>
          <w:sz w:val="18"/>
        </w:rPr>
      </w:pPr>
      <w:r w:rsidRPr="00797033">
        <w:rPr>
          <w:sz w:val="18"/>
        </w:rPr>
        <w:t>“</w:t>
      </w:r>
      <w:r w:rsidR="00031341" w:rsidRPr="00797033">
        <w:rPr>
          <w:sz w:val="18"/>
        </w:rPr>
        <w:t>23.</w:t>
      </w:r>
      <w:r w:rsidR="00031341" w:rsidRPr="00797033">
        <w:rPr>
          <w:sz w:val="18"/>
        </w:rPr>
        <w:tab/>
        <w:t>The Chair noted the different perspectives and interpretations of the notion “unauthorized use” and observed that the current explanatory notes did not reflect those different perspectives and interpretations.  He suggested to consider the inclusion of the different understandings in a similar way to the list of factors in the explanatory notes on propagating material.</w:t>
      </w:r>
    </w:p>
    <w:p w:rsidR="00797033" w:rsidRDefault="00797033" w:rsidP="005C70A6">
      <w:pPr>
        <w:keepLines/>
        <w:ind w:left="567" w:right="459"/>
        <w:rPr>
          <w:sz w:val="18"/>
        </w:rPr>
      </w:pPr>
    </w:p>
    <w:p w:rsidR="009A3EE9" w:rsidRPr="00797033" w:rsidRDefault="00797033" w:rsidP="005C70A6">
      <w:pPr>
        <w:keepLines/>
        <w:ind w:left="567" w:right="459"/>
        <w:rPr>
          <w:sz w:val="18"/>
        </w:rPr>
      </w:pPr>
      <w:r>
        <w:rPr>
          <w:sz w:val="18"/>
        </w:rPr>
        <w:t>“</w:t>
      </w:r>
      <w:r w:rsidRPr="00797033">
        <w:rPr>
          <w:sz w:val="18"/>
        </w:rPr>
        <w:t>29.</w:t>
      </w:r>
      <w:r w:rsidRPr="00797033">
        <w:rPr>
          <w:sz w:val="18"/>
        </w:rPr>
        <w:tab/>
        <w:t>The Chair noted that that reference to the Diplomatic Conference could be useful to explain the rationale for the introduction of the new perspectives presented by certain members of the Union that were not reflected in the current explanatory notes.</w:t>
      </w:r>
    </w:p>
    <w:p w:rsidR="00E4589D" w:rsidRDefault="00E4589D" w:rsidP="005C70A6">
      <w:pPr>
        <w:keepLines/>
        <w:ind w:left="567" w:right="459"/>
        <w:rPr>
          <w:sz w:val="18"/>
        </w:rPr>
      </w:pPr>
    </w:p>
    <w:p w:rsidR="009A3EE9" w:rsidRPr="00797033" w:rsidRDefault="009A3EE9" w:rsidP="005C70A6">
      <w:pPr>
        <w:keepLines/>
        <w:ind w:left="567" w:right="459"/>
        <w:rPr>
          <w:sz w:val="18"/>
        </w:rPr>
      </w:pPr>
      <w:r w:rsidRPr="00797033">
        <w:rPr>
          <w:sz w:val="18"/>
        </w:rPr>
        <w:t>[...]</w:t>
      </w:r>
    </w:p>
    <w:p w:rsidR="00031341" w:rsidRPr="00797033" w:rsidRDefault="009A3EE9" w:rsidP="00E4589D">
      <w:pPr>
        <w:keepLines/>
        <w:spacing w:before="160"/>
        <w:ind w:left="562" w:right="461"/>
        <w:rPr>
          <w:sz w:val="18"/>
        </w:rPr>
      </w:pPr>
      <w:r w:rsidRPr="00797033">
        <w:rPr>
          <w:sz w:val="18"/>
        </w:rPr>
        <w:lastRenderedPageBreak/>
        <w:t>“</w:t>
      </w:r>
      <w:r w:rsidR="00031341" w:rsidRPr="00797033">
        <w:rPr>
          <w:sz w:val="18"/>
        </w:rPr>
        <w:t>33.</w:t>
      </w:r>
      <w:r w:rsidR="00031341" w:rsidRPr="00797033">
        <w:rPr>
          <w:sz w:val="18"/>
        </w:rPr>
        <w:tab/>
        <w:t>The WG-HRV requested the Office of the Union to prepare a document that would explain the different perspectives of unauthorized use.  The WG-HRV agreed that the members of the WG</w:t>
      </w:r>
      <w:r w:rsidR="00031341" w:rsidRPr="00797033">
        <w:rPr>
          <w:sz w:val="18"/>
        </w:rPr>
        <w:noBreakHyphen/>
        <w:t xml:space="preserve">HRV would provide examples of their understanding on those provisions and how their understanding would impact the ability of breeders to exercise their rights in the territory.  </w:t>
      </w:r>
    </w:p>
    <w:p w:rsidR="00962161" w:rsidRDefault="00962161" w:rsidP="002D6675"/>
    <w:p w:rsidR="00A76CBA" w:rsidRPr="002D6675" w:rsidRDefault="00A76CBA" w:rsidP="002D6675">
      <w:bookmarkStart w:id="6" w:name="_GoBack"/>
      <w:bookmarkEnd w:id="6"/>
    </w:p>
    <w:p w:rsidR="00962161" w:rsidRPr="002D6675" w:rsidRDefault="00962161" w:rsidP="002D6675">
      <w:bookmarkStart w:id="7" w:name="_Toc51936361"/>
      <w:bookmarkEnd w:id="4"/>
    </w:p>
    <w:p w:rsidR="00962161" w:rsidRPr="008016D3" w:rsidRDefault="008016D3" w:rsidP="002D6675">
      <w:pPr>
        <w:keepNext/>
        <w:keepLines/>
        <w:outlineLvl w:val="0"/>
        <w:rPr>
          <w:caps/>
        </w:rPr>
      </w:pPr>
      <w:bookmarkStart w:id="8" w:name="_Toc127535881"/>
      <w:bookmarkEnd w:id="7"/>
      <w:r w:rsidRPr="00114517">
        <w:rPr>
          <w:caps/>
        </w:rPr>
        <w:t>introduction to the</w:t>
      </w:r>
      <w:r w:rsidRPr="008016D3">
        <w:rPr>
          <w:caps/>
        </w:rPr>
        <w:t xml:space="preserve"> different perspectives of “unauthorized use” for the revision of the Explanatory Notes on Propagating Material, Acts in respect of Harvested Material and Provisional Protection under the UPOV Convention</w:t>
      </w:r>
      <w:bookmarkEnd w:id="8"/>
    </w:p>
    <w:p w:rsidR="00962161" w:rsidRDefault="00962161" w:rsidP="002D6675">
      <w:pPr>
        <w:keepNext/>
        <w:keepLines/>
        <w:jc w:val="left"/>
      </w:pPr>
    </w:p>
    <w:p w:rsidR="00962161" w:rsidRDefault="00551703" w:rsidP="002D6675">
      <w:pPr>
        <w:pStyle w:val="Heading2"/>
      </w:pPr>
      <w:bookmarkStart w:id="9" w:name="_Toc127535882"/>
      <w:r>
        <w:t>Perspective</w:t>
      </w:r>
      <w:r w:rsidR="00762A6E" w:rsidRPr="00762A6E">
        <w:t xml:space="preserve"> of “unauthorized use” in the current explanatory notes</w:t>
      </w:r>
      <w:bookmarkEnd w:id="9"/>
    </w:p>
    <w:p w:rsidR="00962161" w:rsidRDefault="00962161" w:rsidP="002D6675">
      <w:pPr>
        <w:keepNext/>
        <w:jc w:val="left"/>
      </w:pPr>
    </w:p>
    <w:p w:rsidR="00551703" w:rsidRDefault="00962161" w:rsidP="002D6675">
      <w:pPr>
        <w:keepNext/>
        <w:keepLines/>
      </w:pPr>
      <w:r w:rsidRPr="005C6424">
        <w:rPr>
          <w:spacing w:val="-4"/>
        </w:rPr>
        <w:fldChar w:fldCharType="begin"/>
      </w:r>
      <w:r w:rsidRPr="005C6424">
        <w:rPr>
          <w:spacing w:val="-4"/>
        </w:rPr>
        <w:instrText xml:space="preserve"> AUTONUM  </w:instrText>
      </w:r>
      <w:r w:rsidRPr="005C6424">
        <w:rPr>
          <w:spacing w:val="-4"/>
        </w:rPr>
        <w:fldChar w:fldCharType="end"/>
      </w:r>
      <w:r w:rsidRPr="005C6424">
        <w:rPr>
          <w:spacing w:val="-4"/>
        </w:rPr>
        <w:tab/>
      </w:r>
      <w:r w:rsidR="00762A6E">
        <w:t xml:space="preserve">The WG-HRV, </w:t>
      </w:r>
      <w:r w:rsidR="00762A6E">
        <w:rPr>
          <w:spacing w:val="-2"/>
        </w:rPr>
        <w:t xml:space="preserve">at </w:t>
      </w:r>
      <w:r w:rsidR="00762A6E" w:rsidRPr="007B77AA">
        <w:rPr>
          <w:spacing w:val="-2"/>
        </w:rPr>
        <w:t>its</w:t>
      </w:r>
      <w:r w:rsidR="00762A6E" w:rsidRPr="007B77AA">
        <w:t xml:space="preserve"> </w:t>
      </w:r>
      <w:r w:rsidR="00762A6E" w:rsidRPr="007B77AA">
        <w:rPr>
          <w:spacing w:val="-2"/>
        </w:rPr>
        <w:t>second meeting</w:t>
      </w:r>
      <w:r w:rsidR="00762A6E">
        <w:rPr>
          <w:spacing w:val="-2"/>
        </w:rPr>
        <w:t>, held</w:t>
      </w:r>
      <w:r w:rsidR="00762A6E" w:rsidRPr="007B77AA">
        <w:rPr>
          <w:spacing w:val="-2"/>
        </w:rPr>
        <w:t xml:space="preserve"> via electronic means</w:t>
      </w:r>
      <w:r w:rsidR="00762A6E" w:rsidRPr="007B77AA">
        <w:t xml:space="preserve"> on September 6, 2022,</w:t>
      </w:r>
      <w:r w:rsidR="00762A6E">
        <w:t xml:space="preserve"> noted</w:t>
      </w:r>
      <w:r w:rsidR="00551703">
        <w:t xml:space="preserve"> the following (see document WG-HRV/2/6 “Draft Report”, paragraphs 18 and 19):</w:t>
      </w:r>
    </w:p>
    <w:p w:rsidR="00551703" w:rsidRDefault="00551703" w:rsidP="002D6675">
      <w:pPr>
        <w:keepNext/>
        <w:keepLines/>
      </w:pPr>
    </w:p>
    <w:p w:rsidR="00551703" w:rsidRPr="00551703" w:rsidRDefault="00551703" w:rsidP="00551703">
      <w:pPr>
        <w:keepNext/>
        <w:keepLines/>
        <w:ind w:left="567" w:right="459"/>
        <w:rPr>
          <w:sz w:val="18"/>
          <w:szCs w:val="18"/>
        </w:rPr>
      </w:pPr>
      <w:r w:rsidRPr="00551703">
        <w:rPr>
          <w:sz w:val="18"/>
          <w:szCs w:val="18"/>
        </w:rPr>
        <w:t>“18.</w:t>
      </w:r>
      <w:r w:rsidRPr="00551703">
        <w:rPr>
          <w:sz w:val="18"/>
          <w:szCs w:val="18"/>
        </w:rPr>
        <w:tab/>
        <w:t>The WG-HRV noted that document WG-HRV/2/2, Annex, contained the history of the cascade principle under the “Scope of the Breeder’s Right”, in Article 14 of the 1991 Act, and its relationship with the provisions on the “Exhaustion of the Breeder’s right”, under Article 16 of the 1991 Act.  It also contained the history of the notion of “unauthorized use” under Article 14(2) and the notion of “consent” under Article 16, including the moment where the term “consent” was changed by “authorization” in the scope of the right:</w:t>
      </w:r>
    </w:p>
    <w:p w:rsidR="00551703" w:rsidRPr="00551703" w:rsidRDefault="00551703" w:rsidP="00551703">
      <w:pPr>
        <w:keepNext/>
        <w:ind w:left="567" w:right="459"/>
        <w:rPr>
          <w:sz w:val="18"/>
          <w:szCs w:val="18"/>
        </w:rPr>
      </w:pPr>
    </w:p>
    <w:p w:rsidR="00551703" w:rsidRPr="00551703" w:rsidRDefault="00551703" w:rsidP="00551703">
      <w:pPr>
        <w:ind w:left="1134" w:right="459"/>
        <w:rPr>
          <w:sz w:val="18"/>
          <w:szCs w:val="18"/>
        </w:rPr>
      </w:pPr>
      <w:r w:rsidRPr="00551703">
        <w:rPr>
          <w:sz w:val="18"/>
          <w:szCs w:val="18"/>
        </w:rPr>
        <w:t xml:space="preserve">‘74. </w:t>
      </w:r>
      <w:r w:rsidRPr="00551703">
        <w:rPr>
          <w:sz w:val="18"/>
          <w:szCs w:val="18"/>
        </w:rPr>
        <w:tab/>
      </w:r>
      <w:r w:rsidRPr="00551703">
        <w:rPr>
          <w:sz w:val="18"/>
          <w:szCs w:val="18"/>
          <w:u w:val="single"/>
        </w:rPr>
        <w:t>Several delegations</w:t>
      </w:r>
      <w:r w:rsidRPr="00551703">
        <w:rPr>
          <w:sz w:val="18"/>
          <w:szCs w:val="18"/>
        </w:rPr>
        <w:t xml:space="preserve"> observed that the wording proposed by the Office of the Union now spoke of ‘authorization’ whereas the draft was based on the notion of ‘consent’. It was noted that the intention was not to modify the text in substance […]’</w:t>
      </w:r>
    </w:p>
    <w:p w:rsidR="00551703" w:rsidRPr="00551703" w:rsidRDefault="00551703" w:rsidP="00551703">
      <w:pPr>
        <w:ind w:right="459" w:firstLine="567"/>
        <w:rPr>
          <w:sz w:val="18"/>
          <w:szCs w:val="18"/>
        </w:rPr>
      </w:pPr>
    </w:p>
    <w:p w:rsidR="00551703" w:rsidRPr="00551703" w:rsidRDefault="00551703" w:rsidP="00551703">
      <w:pPr>
        <w:ind w:right="459" w:firstLine="567"/>
        <w:rPr>
          <w:sz w:val="18"/>
          <w:szCs w:val="18"/>
        </w:rPr>
      </w:pPr>
      <w:r w:rsidRPr="00551703">
        <w:rPr>
          <w:sz w:val="18"/>
          <w:szCs w:val="18"/>
        </w:rPr>
        <w:t>(</w:t>
      </w:r>
      <w:proofErr w:type="gramStart"/>
      <w:r w:rsidRPr="00551703">
        <w:rPr>
          <w:sz w:val="18"/>
          <w:szCs w:val="18"/>
        </w:rPr>
        <w:t>see</w:t>
      </w:r>
      <w:proofErr w:type="gramEnd"/>
      <w:r w:rsidRPr="00551703">
        <w:rPr>
          <w:sz w:val="18"/>
          <w:szCs w:val="18"/>
        </w:rPr>
        <w:t xml:space="preserve"> document WG-HRV/2/2, Annex, page 26).</w:t>
      </w:r>
    </w:p>
    <w:p w:rsidR="00551703" w:rsidRPr="00551703" w:rsidRDefault="00551703" w:rsidP="00551703">
      <w:pPr>
        <w:ind w:left="567" w:right="459"/>
        <w:rPr>
          <w:sz w:val="18"/>
          <w:szCs w:val="18"/>
        </w:rPr>
      </w:pPr>
    </w:p>
    <w:p w:rsidR="00551703" w:rsidRDefault="00551703" w:rsidP="00551703">
      <w:pPr>
        <w:ind w:left="567" w:right="459"/>
        <w:rPr>
          <w:sz w:val="18"/>
          <w:szCs w:val="18"/>
        </w:rPr>
      </w:pPr>
      <w:r w:rsidRPr="00551703">
        <w:rPr>
          <w:sz w:val="18"/>
          <w:szCs w:val="18"/>
        </w:rPr>
        <w:t>“19.</w:t>
      </w:r>
      <w:r w:rsidRPr="00551703">
        <w:rPr>
          <w:sz w:val="18"/>
          <w:szCs w:val="18"/>
        </w:rPr>
        <w:tab/>
        <w:t>The Chair noted that the concept of consent and the authorization was different in the current explanatory notes.</w:t>
      </w:r>
      <w:r>
        <w:rPr>
          <w:sz w:val="18"/>
          <w:szCs w:val="18"/>
        </w:rPr>
        <w:t>”</w:t>
      </w:r>
    </w:p>
    <w:p w:rsidR="00551703" w:rsidRPr="005C70A6" w:rsidRDefault="00551703" w:rsidP="00551703">
      <w:pPr>
        <w:ind w:left="567" w:right="459"/>
        <w:rPr>
          <w:sz w:val="18"/>
          <w:szCs w:val="18"/>
        </w:rPr>
      </w:pPr>
    </w:p>
    <w:p w:rsidR="00762A6E" w:rsidRDefault="008443C4" w:rsidP="0040494E">
      <w:pPr>
        <w:jc w:val="left"/>
      </w:pPr>
      <w:r>
        <w:fldChar w:fldCharType="begin"/>
      </w:r>
      <w:r>
        <w:instrText xml:space="preserve"> AUTONUM  </w:instrText>
      </w:r>
      <w:r>
        <w:fldChar w:fldCharType="end"/>
      </w:r>
      <w:r>
        <w:tab/>
        <w:t xml:space="preserve">The current explanatory notes (document </w:t>
      </w:r>
      <w:r w:rsidRPr="008443C4">
        <w:t>UPOV/EXN/HRV/1</w:t>
      </w:r>
      <w:r>
        <w:t>) provide as follows in relation to the term unauthorized use in Article 14(2) of the 1991 Act:</w:t>
      </w:r>
    </w:p>
    <w:p w:rsidR="008443C4" w:rsidRDefault="008443C4" w:rsidP="0040494E">
      <w:pPr>
        <w:jc w:val="left"/>
      </w:pPr>
    </w:p>
    <w:p w:rsidR="008443C4" w:rsidRPr="00551703" w:rsidRDefault="008443C4" w:rsidP="00551703">
      <w:pPr>
        <w:ind w:left="567"/>
        <w:rPr>
          <w:sz w:val="18"/>
          <w:szCs w:val="18"/>
        </w:rPr>
      </w:pPr>
      <w:r w:rsidRPr="00551703">
        <w:rPr>
          <w:sz w:val="18"/>
          <w:szCs w:val="18"/>
        </w:rPr>
        <w:t>“4.</w:t>
      </w:r>
      <w:r w:rsidRPr="00551703">
        <w:rPr>
          <w:sz w:val="18"/>
          <w:szCs w:val="18"/>
        </w:rPr>
        <w:tab/>
        <w:t>“Unauthorized use” refers to the acts in respect of the propagating material that require the authorization of the holder of the breeder’s right in the territory concerned (Article 14(1) of the 1991 Act), but where such authorization was not obtained.  Thus, unauthorized acts can only occur in the territory of the member of the Union where a breeder’s right has been granted and is in force.</w:t>
      </w:r>
      <w:r w:rsidR="00551703" w:rsidRPr="00551703">
        <w:rPr>
          <w:sz w:val="18"/>
          <w:szCs w:val="18"/>
        </w:rPr>
        <w:t>”</w:t>
      </w:r>
    </w:p>
    <w:p w:rsidR="008443C4" w:rsidRDefault="008443C4" w:rsidP="0040494E">
      <w:pPr>
        <w:jc w:val="left"/>
      </w:pPr>
    </w:p>
    <w:p w:rsidR="00551703" w:rsidRDefault="00551703" w:rsidP="0040494E">
      <w:pPr>
        <w:jc w:val="left"/>
      </w:pPr>
    </w:p>
    <w:p w:rsidR="00762A6E" w:rsidRDefault="005D1A60" w:rsidP="002D6675">
      <w:pPr>
        <w:pStyle w:val="Heading2"/>
      </w:pPr>
      <w:bookmarkStart w:id="10" w:name="_Toc127535883"/>
      <w:r>
        <w:t>Other perspectives</w:t>
      </w:r>
      <w:r w:rsidR="00762A6E" w:rsidRPr="00762A6E">
        <w:t xml:space="preserve"> of “unauthorized use” </w:t>
      </w:r>
      <w:r w:rsidR="00762A6E">
        <w:t xml:space="preserve">for consideration </w:t>
      </w:r>
      <w:r>
        <w:t>by the WG-</w:t>
      </w:r>
      <w:r w:rsidR="005C70A6">
        <w:t>HRV</w:t>
      </w:r>
      <w:bookmarkEnd w:id="10"/>
    </w:p>
    <w:p w:rsidR="00762A6E" w:rsidRDefault="00762A6E" w:rsidP="002D6675">
      <w:pPr>
        <w:keepNext/>
        <w:jc w:val="left"/>
        <w:rPr>
          <w:i/>
          <w:highlight w:val="yellow"/>
        </w:rPr>
      </w:pPr>
    </w:p>
    <w:p w:rsidR="005C70A6" w:rsidRPr="00780A77" w:rsidRDefault="005C70A6" w:rsidP="00780A77">
      <w:pPr>
        <w:keepNext/>
        <w:keepLines/>
        <w:rPr>
          <w:b/>
          <w:bCs/>
        </w:rPr>
      </w:pPr>
      <w:r w:rsidRPr="005C6424">
        <w:rPr>
          <w:spacing w:val="-4"/>
        </w:rPr>
        <w:fldChar w:fldCharType="begin"/>
      </w:r>
      <w:r w:rsidRPr="005C6424">
        <w:rPr>
          <w:spacing w:val="-4"/>
        </w:rPr>
        <w:instrText xml:space="preserve"> AUTONUM  </w:instrText>
      </w:r>
      <w:r w:rsidRPr="005C6424">
        <w:rPr>
          <w:spacing w:val="-4"/>
        </w:rPr>
        <w:fldChar w:fldCharType="end"/>
      </w:r>
      <w:r w:rsidRPr="005C6424">
        <w:rPr>
          <w:spacing w:val="-4"/>
        </w:rPr>
        <w:tab/>
      </w:r>
      <w:r w:rsidRPr="007B77AA">
        <w:rPr>
          <w:spacing w:val="-2"/>
        </w:rPr>
        <w:t>The WG-HRV</w:t>
      </w:r>
      <w:r>
        <w:rPr>
          <w:spacing w:val="-2"/>
        </w:rPr>
        <w:t xml:space="preserve">, at </w:t>
      </w:r>
      <w:r w:rsidRPr="007B77AA">
        <w:rPr>
          <w:spacing w:val="-2"/>
        </w:rPr>
        <w:t>its</w:t>
      </w:r>
      <w:r w:rsidRPr="007B77AA">
        <w:t xml:space="preserve"> </w:t>
      </w:r>
      <w:r w:rsidRPr="007B77AA">
        <w:rPr>
          <w:spacing w:val="-2"/>
        </w:rPr>
        <w:t>second meeting</w:t>
      </w:r>
      <w:r w:rsidRPr="007B77AA">
        <w:t>,</w:t>
      </w:r>
      <w:r>
        <w:t xml:space="preserve"> noted</w:t>
      </w:r>
      <w:r w:rsidRPr="00E419CD">
        <w:t xml:space="preserve"> </w:t>
      </w:r>
      <w:r>
        <w:t xml:space="preserve">the following (see document WG-HRV/2/6 “Draft Report”, paragraphs </w:t>
      </w:r>
      <w:r w:rsidR="00551703">
        <w:t>20</w:t>
      </w:r>
      <w:r>
        <w:t xml:space="preserve"> to 34, reproduced below):</w:t>
      </w:r>
    </w:p>
    <w:p w:rsidR="005C70A6" w:rsidRPr="005C70A6" w:rsidRDefault="005C70A6" w:rsidP="005C70A6">
      <w:pPr>
        <w:ind w:left="567" w:right="459"/>
        <w:rPr>
          <w:sz w:val="18"/>
          <w:szCs w:val="18"/>
        </w:rPr>
      </w:pPr>
    </w:p>
    <w:p w:rsidR="005C70A6" w:rsidRPr="005C70A6" w:rsidRDefault="005C70A6" w:rsidP="005C70A6">
      <w:pPr>
        <w:ind w:left="567" w:right="459"/>
        <w:rPr>
          <w:sz w:val="18"/>
          <w:szCs w:val="18"/>
        </w:rPr>
      </w:pPr>
      <w:r>
        <w:rPr>
          <w:sz w:val="18"/>
          <w:szCs w:val="18"/>
        </w:rPr>
        <w:t>“</w:t>
      </w:r>
      <w:r w:rsidRPr="005C70A6">
        <w:rPr>
          <w:sz w:val="18"/>
          <w:szCs w:val="18"/>
        </w:rPr>
        <w:t>20.</w:t>
      </w:r>
      <w:r w:rsidRPr="005C70A6">
        <w:rPr>
          <w:sz w:val="18"/>
          <w:szCs w:val="18"/>
        </w:rPr>
        <w:tab/>
        <w:t>The Delegations of the European Union and Australia expressed support to the explanation of “unauthorized use” in the current explanatory notes.  The Delegations of Spain, Japan and Netherlands preferred a broader understanding of “unauthorized use”.</w:t>
      </w:r>
    </w:p>
    <w:p w:rsidR="005C70A6" w:rsidRPr="005C70A6" w:rsidRDefault="005C70A6" w:rsidP="005C70A6">
      <w:pPr>
        <w:ind w:left="567" w:right="459"/>
        <w:rPr>
          <w:sz w:val="18"/>
          <w:szCs w:val="18"/>
        </w:rPr>
      </w:pPr>
    </w:p>
    <w:p w:rsidR="005C70A6" w:rsidRPr="005C70A6" w:rsidRDefault="005C70A6" w:rsidP="005C70A6">
      <w:pPr>
        <w:ind w:left="567" w:right="459"/>
        <w:rPr>
          <w:sz w:val="18"/>
          <w:szCs w:val="18"/>
        </w:rPr>
      </w:pPr>
      <w:r>
        <w:rPr>
          <w:sz w:val="18"/>
          <w:szCs w:val="18"/>
        </w:rPr>
        <w:t>“</w:t>
      </w:r>
      <w:r w:rsidRPr="005C70A6">
        <w:rPr>
          <w:sz w:val="18"/>
          <w:szCs w:val="18"/>
        </w:rPr>
        <w:t>21.</w:t>
      </w:r>
      <w:r w:rsidRPr="005C70A6">
        <w:rPr>
          <w:sz w:val="18"/>
          <w:szCs w:val="18"/>
        </w:rPr>
        <w:tab/>
        <w:t>The Delegation of Argentina explained that, for the domestic market, when a bag of seeds was legally purchased the breeder’s right was exhausted.</w:t>
      </w:r>
    </w:p>
    <w:p w:rsidR="005C70A6" w:rsidRPr="005C70A6" w:rsidRDefault="005C70A6" w:rsidP="005C70A6">
      <w:pPr>
        <w:ind w:left="567" w:right="459"/>
        <w:rPr>
          <w:sz w:val="18"/>
          <w:szCs w:val="18"/>
        </w:rPr>
      </w:pPr>
    </w:p>
    <w:p w:rsidR="005C70A6" w:rsidRPr="005C70A6" w:rsidRDefault="005C70A6" w:rsidP="005C70A6">
      <w:pPr>
        <w:ind w:left="567" w:right="459"/>
        <w:rPr>
          <w:sz w:val="18"/>
          <w:szCs w:val="18"/>
        </w:rPr>
      </w:pPr>
      <w:r>
        <w:rPr>
          <w:sz w:val="18"/>
          <w:szCs w:val="18"/>
        </w:rPr>
        <w:t>“</w:t>
      </w:r>
      <w:r w:rsidRPr="005C70A6">
        <w:rPr>
          <w:sz w:val="18"/>
          <w:szCs w:val="18"/>
        </w:rPr>
        <w:t>22.</w:t>
      </w:r>
      <w:r w:rsidRPr="005C70A6">
        <w:rPr>
          <w:sz w:val="18"/>
          <w:szCs w:val="18"/>
        </w:rPr>
        <w:tab/>
        <w:t xml:space="preserve">The Delegation of Japan referred to situations of unauthorized exports of material of perennial fruit tree plants that, if propagated abroad, could be harvested for a long time without the breeders having an opportunity to obtain remuneration. </w:t>
      </w:r>
    </w:p>
    <w:p w:rsidR="005C70A6" w:rsidRPr="005C70A6" w:rsidRDefault="005C70A6" w:rsidP="005C70A6">
      <w:pPr>
        <w:ind w:left="567" w:right="459"/>
        <w:rPr>
          <w:sz w:val="18"/>
          <w:szCs w:val="18"/>
        </w:rPr>
      </w:pPr>
    </w:p>
    <w:p w:rsidR="005C70A6" w:rsidRPr="005C70A6" w:rsidRDefault="005C70A6" w:rsidP="005C70A6">
      <w:pPr>
        <w:ind w:left="567" w:right="459"/>
        <w:rPr>
          <w:sz w:val="18"/>
          <w:szCs w:val="18"/>
        </w:rPr>
      </w:pPr>
      <w:r>
        <w:rPr>
          <w:sz w:val="18"/>
          <w:szCs w:val="18"/>
        </w:rPr>
        <w:t>“</w:t>
      </w:r>
      <w:r w:rsidRPr="005C70A6">
        <w:rPr>
          <w:sz w:val="18"/>
          <w:szCs w:val="18"/>
        </w:rPr>
        <w:t>23.</w:t>
      </w:r>
      <w:r w:rsidRPr="005C70A6">
        <w:rPr>
          <w:sz w:val="18"/>
          <w:szCs w:val="18"/>
        </w:rPr>
        <w:tab/>
        <w:t xml:space="preserve">The Chair noted the different perspectives and interpretations of the notion “unauthorized use” and observed that the current explanatory notes did not reflect those different perspectives and interpretations.  He suggested to consider the inclusion of the different understandings in a similar way to the list of factors in the explanatory notes on propagating material.  </w:t>
      </w:r>
    </w:p>
    <w:p w:rsidR="005C70A6" w:rsidRPr="005C70A6" w:rsidRDefault="005C70A6" w:rsidP="005C70A6">
      <w:pPr>
        <w:ind w:left="567" w:right="459"/>
        <w:rPr>
          <w:sz w:val="18"/>
          <w:szCs w:val="18"/>
        </w:rPr>
      </w:pPr>
    </w:p>
    <w:p w:rsidR="005C70A6" w:rsidRDefault="005C70A6" w:rsidP="005C70A6">
      <w:pPr>
        <w:ind w:left="567" w:right="459"/>
        <w:rPr>
          <w:sz w:val="18"/>
          <w:szCs w:val="18"/>
        </w:rPr>
      </w:pPr>
      <w:r>
        <w:rPr>
          <w:sz w:val="18"/>
          <w:szCs w:val="18"/>
        </w:rPr>
        <w:t>“</w:t>
      </w:r>
      <w:r w:rsidRPr="005C70A6">
        <w:rPr>
          <w:sz w:val="18"/>
          <w:szCs w:val="18"/>
        </w:rPr>
        <w:t>24.</w:t>
      </w:r>
      <w:r w:rsidRPr="005C70A6">
        <w:rPr>
          <w:sz w:val="18"/>
          <w:szCs w:val="18"/>
        </w:rPr>
        <w:tab/>
        <w:t>The Delegation of the United States of America suggested that it would be useful to have examples on how members of the Working Group understand and implement those provisions.</w:t>
      </w:r>
    </w:p>
    <w:p w:rsidR="00551703" w:rsidRPr="005C70A6" w:rsidRDefault="00551703" w:rsidP="005C70A6">
      <w:pPr>
        <w:ind w:left="567" w:right="459"/>
        <w:rPr>
          <w:sz w:val="18"/>
          <w:szCs w:val="18"/>
        </w:rPr>
      </w:pPr>
    </w:p>
    <w:p w:rsidR="005C70A6" w:rsidRPr="005C70A6" w:rsidRDefault="005C70A6" w:rsidP="00551703">
      <w:pPr>
        <w:ind w:left="567" w:right="459"/>
        <w:rPr>
          <w:sz w:val="18"/>
          <w:szCs w:val="18"/>
        </w:rPr>
      </w:pPr>
      <w:r>
        <w:rPr>
          <w:sz w:val="18"/>
          <w:szCs w:val="18"/>
        </w:rPr>
        <w:t>“</w:t>
      </w:r>
      <w:r w:rsidRPr="005C70A6">
        <w:rPr>
          <w:sz w:val="18"/>
          <w:szCs w:val="18"/>
        </w:rPr>
        <w:t>25.</w:t>
      </w:r>
      <w:r w:rsidRPr="005C70A6">
        <w:rPr>
          <w:sz w:val="18"/>
          <w:szCs w:val="18"/>
        </w:rPr>
        <w:tab/>
        <w:t>The Delegations of Australia, Netherlands and the European Union expressed support to the proposal.</w:t>
      </w:r>
    </w:p>
    <w:p w:rsidR="005C70A6" w:rsidRPr="005C70A6" w:rsidRDefault="005C70A6" w:rsidP="005C70A6">
      <w:pPr>
        <w:ind w:left="567" w:right="459"/>
        <w:rPr>
          <w:sz w:val="18"/>
          <w:szCs w:val="18"/>
        </w:rPr>
      </w:pPr>
    </w:p>
    <w:p w:rsidR="005C70A6" w:rsidRPr="005C70A6" w:rsidRDefault="005C70A6" w:rsidP="007502F5">
      <w:pPr>
        <w:keepLines/>
        <w:ind w:left="567" w:right="459"/>
        <w:rPr>
          <w:sz w:val="18"/>
          <w:szCs w:val="18"/>
        </w:rPr>
      </w:pPr>
      <w:r>
        <w:rPr>
          <w:sz w:val="18"/>
          <w:szCs w:val="18"/>
        </w:rPr>
        <w:lastRenderedPageBreak/>
        <w:t>“</w:t>
      </w:r>
      <w:r w:rsidRPr="005C70A6">
        <w:rPr>
          <w:sz w:val="18"/>
          <w:szCs w:val="18"/>
        </w:rPr>
        <w:t>26.</w:t>
      </w:r>
      <w:r w:rsidRPr="005C70A6">
        <w:rPr>
          <w:sz w:val="18"/>
          <w:szCs w:val="18"/>
        </w:rPr>
        <w:tab/>
        <w:t>The Delegation of Japan highlighted that, during the 1991 Diplomatic Conference for the Revision of the Convention, a proposal was made to consider unauthorized use of propagating material when the use was for the purpose of producing harvested material.  It further noted that that proposal was accepted without real opposition, as it was reflected in paragraph 1543 of the Records of the Diplomatic Conference:</w:t>
      </w:r>
    </w:p>
    <w:p w:rsidR="005C70A6" w:rsidRPr="005C70A6" w:rsidRDefault="005C70A6" w:rsidP="005C70A6">
      <w:pPr>
        <w:ind w:left="567" w:right="459"/>
        <w:rPr>
          <w:sz w:val="18"/>
          <w:szCs w:val="18"/>
        </w:rPr>
      </w:pPr>
    </w:p>
    <w:p w:rsidR="005C70A6" w:rsidRPr="007502F5" w:rsidRDefault="005C70A6" w:rsidP="005C70A6">
      <w:pPr>
        <w:tabs>
          <w:tab w:val="left" w:pos="1440"/>
        </w:tabs>
        <w:ind w:left="1134" w:right="459"/>
        <w:rPr>
          <w:spacing w:val="-4"/>
          <w:sz w:val="18"/>
          <w:szCs w:val="18"/>
        </w:rPr>
      </w:pPr>
      <w:r w:rsidRPr="007502F5">
        <w:rPr>
          <w:spacing w:val="-4"/>
          <w:sz w:val="18"/>
          <w:szCs w:val="18"/>
        </w:rPr>
        <w:t xml:space="preserve">‘1529.4 </w:t>
      </w:r>
      <w:r w:rsidRPr="007502F5">
        <w:rPr>
          <w:spacing w:val="-4"/>
          <w:sz w:val="18"/>
          <w:szCs w:val="18"/>
        </w:rPr>
        <w:tab/>
        <w:t>Concerning Article 14(1)(b), the Working Group had been conscious of the fact that the decision had been taken to remove the square brackets from the last clause appearing in the Basic Proposal.  It therefore proposed a system in which the harvested material of the protected variety could be the basis of a royalty collection where two conditions were met: (i) that the breeder had not authorized the use of propagating material for the purpose of producing that harvested material; and (ii) that the breeder had had no reasonable opportunities to exercise his right in relation to the propagating material.”</w:t>
      </w:r>
    </w:p>
    <w:p w:rsidR="005C70A6" w:rsidRPr="005C70A6" w:rsidRDefault="005C70A6" w:rsidP="005C70A6">
      <w:pPr>
        <w:ind w:left="1134" w:right="459"/>
        <w:jc w:val="left"/>
        <w:rPr>
          <w:sz w:val="18"/>
          <w:szCs w:val="18"/>
        </w:rPr>
      </w:pPr>
    </w:p>
    <w:p w:rsidR="005C70A6" w:rsidRPr="005C70A6" w:rsidRDefault="005C70A6" w:rsidP="005C70A6">
      <w:pPr>
        <w:ind w:left="1134" w:right="459"/>
        <w:jc w:val="left"/>
        <w:rPr>
          <w:sz w:val="18"/>
          <w:szCs w:val="18"/>
        </w:rPr>
      </w:pPr>
      <w:r>
        <w:rPr>
          <w:sz w:val="18"/>
          <w:szCs w:val="18"/>
        </w:rPr>
        <w:t>‘</w:t>
      </w:r>
      <w:r w:rsidRPr="005C70A6">
        <w:rPr>
          <w:sz w:val="18"/>
          <w:szCs w:val="18"/>
        </w:rPr>
        <w:t>[…]</w:t>
      </w:r>
    </w:p>
    <w:p w:rsidR="005C70A6" w:rsidRPr="005C70A6" w:rsidRDefault="005C70A6" w:rsidP="005C70A6">
      <w:pPr>
        <w:ind w:left="1134" w:right="459"/>
        <w:jc w:val="left"/>
        <w:rPr>
          <w:sz w:val="18"/>
          <w:szCs w:val="18"/>
        </w:rPr>
      </w:pPr>
    </w:p>
    <w:p w:rsidR="005C70A6" w:rsidRPr="005C70A6" w:rsidRDefault="005C70A6" w:rsidP="005C70A6">
      <w:pPr>
        <w:tabs>
          <w:tab w:val="left" w:pos="1440"/>
        </w:tabs>
        <w:ind w:left="1134" w:right="459"/>
        <w:jc w:val="left"/>
        <w:rPr>
          <w:sz w:val="18"/>
          <w:szCs w:val="18"/>
        </w:rPr>
      </w:pPr>
      <w:r>
        <w:rPr>
          <w:sz w:val="18"/>
          <w:szCs w:val="18"/>
        </w:rPr>
        <w:t>‘</w:t>
      </w:r>
      <w:r w:rsidRPr="005C70A6">
        <w:rPr>
          <w:sz w:val="18"/>
          <w:szCs w:val="18"/>
        </w:rPr>
        <w:t>1543.</w:t>
      </w:r>
      <w:r w:rsidRPr="005C70A6">
        <w:rPr>
          <w:sz w:val="18"/>
          <w:szCs w:val="18"/>
        </w:rPr>
        <w:tab/>
        <w:t>The PRESIDENT noted that there was no real opposition to the proposal. He concluded that it was therefore accepted. He thanked the Working Group and i</w:t>
      </w:r>
      <w:r>
        <w:rPr>
          <w:sz w:val="18"/>
          <w:szCs w:val="18"/>
        </w:rPr>
        <w:t>ts Chairman, Mr. Harvey (United </w:t>
      </w:r>
      <w:r w:rsidRPr="005C70A6">
        <w:rPr>
          <w:sz w:val="18"/>
          <w:szCs w:val="18"/>
        </w:rPr>
        <w:t>Kingdom).</w:t>
      </w:r>
      <w:r>
        <w:rPr>
          <w:sz w:val="18"/>
          <w:szCs w:val="18"/>
        </w:rPr>
        <w:t>’</w:t>
      </w:r>
    </w:p>
    <w:p w:rsidR="005C70A6" w:rsidRPr="005C70A6" w:rsidRDefault="005C70A6" w:rsidP="005C70A6">
      <w:pPr>
        <w:ind w:left="567" w:right="459"/>
        <w:rPr>
          <w:sz w:val="18"/>
          <w:szCs w:val="18"/>
        </w:rPr>
      </w:pPr>
    </w:p>
    <w:p w:rsidR="005C70A6" w:rsidRPr="005C70A6" w:rsidRDefault="005C70A6" w:rsidP="005C70A6">
      <w:pPr>
        <w:ind w:left="567" w:right="459"/>
        <w:rPr>
          <w:sz w:val="18"/>
          <w:szCs w:val="18"/>
          <w:lang w:val="fr-CH"/>
        </w:rPr>
      </w:pPr>
      <w:r w:rsidRPr="005C70A6">
        <w:rPr>
          <w:sz w:val="18"/>
          <w:szCs w:val="18"/>
          <w:lang w:val="fr-CH"/>
        </w:rPr>
        <w:t>(</w:t>
      </w:r>
      <w:proofErr w:type="gramStart"/>
      <w:r w:rsidRPr="005C70A6">
        <w:rPr>
          <w:sz w:val="18"/>
          <w:szCs w:val="18"/>
          <w:lang w:val="fr-CH"/>
        </w:rPr>
        <w:t>document</w:t>
      </w:r>
      <w:proofErr w:type="gramEnd"/>
      <w:r w:rsidRPr="005C70A6">
        <w:rPr>
          <w:sz w:val="18"/>
          <w:szCs w:val="18"/>
          <w:lang w:val="fr-CH"/>
        </w:rPr>
        <w:t xml:space="preserve"> </w:t>
      </w:r>
      <w:proofErr w:type="spellStart"/>
      <w:r w:rsidRPr="005C70A6">
        <w:rPr>
          <w:sz w:val="18"/>
          <w:szCs w:val="18"/>
          <w:lang w:val="fr-CH"/>
        </w:rPr>
        <w:t>WG-HRV</w:t>
      </w:r>
      <w:proofErr w:type="spellEnd"/>
      <w:r w:rsidRPr="005C70A6">
        <w:rPr>
          <w:sz w:val="18"/>
          <w:szCs w:val="18"/>
          <w:lang w:val="fr-CH"/>
        </w:rPr>
        <w:t xml:space="preserve">/2/2, </w:t>
      </w:r>
      <w:proofErr w:type="spellStart"/>
      <w:r w:rsidRPr="005C70A6">
        <w:rPr>
          <w:sz w:val="18"/>
          <w:szCs w:val="18"/>
          <w:lang w:val="fr-CH"/>
        </w:rPr>
        <w:t>Annex</w:t>
      </w:r>
      <w:proofErr w:type="spellEnd"/>
      <w:r w:rsidRPr="005C70A6">
        <w:rPr>
          <w:sz w:val="18"/>
          <w:szCs w:val="18"/>
          <w:lang w:val="fr-CH"/>
        </w:rPr>
        <w:t>, pages 59 and 60)</w:t>
      </w:r>
      <w:r>
        <w:rPr>
          <w:sz w:val="18"/>
          <w:szCs w:val="18"/>
          <w:lang w:val="fr-CH"/>
        </w:rPr>
        <w:t>.</w:t>
      </w:r>
    </w:p>
    <w:p w:rsidR="005C70A6" w:rsidRPr="005C70A6" w:rsidRDefault="005C70A6" w:rsidP="005C70A6">
      <w:pPr>
        <w:ind w:left="567" w:right="459"/>
        <w:rPr>
          <w:sz w:val="18"/>
          <w:szCs w:val="18"/>
          <w:lang w:val="fr-CH"/>
        </w:rPr>
      </w:pPr>
    </w:p>
    <w:p w:rsidR="005C70A6" w:rsidRPr="005C70A6" w:rsidRDefault="005C70A6" w:rsidP="005C70A6">
      <w:pPr>
        <w:ind w:left="567" w:right="459"/>
        <w:rPr>
          <w:sz w:val="18"/>
          <w:szCs w:val="18"/>
        </w:rPr>
      </w:pPr>
      <w:r>
        <w:rPr>
          <w:sz w:val="18"/>
          <w:szCs w:val="18"/>
        </w:rPr>
        <w:t>“</w:t>
      </w:r>
      <w:r w:rsidRPr="005C70A6">
        <w:rPr>
          <w:sz w:val="18"/>
          <w:szCs w:val="18"/>
        </w:rPr>
        <w:t>27.</w:t>
      </w:r>
      <w:r w:rsidRPr="005C70A6">
        <w:rPr>
          <w:sz w:val="18"/>
          <w:szCs w:val="18"/>
        </w:rPr>
        <w:tab/>
        <w:t xml:space="preserve">On the above basis, the Delegation of Japan suggested that planting and ongoing cultivation be included in the understanding of “unauthorized use” in the explanatory notes. </w:t>
      </w:r>
    </w:p>
    <w:p w:rsidR="005C70A6" w:rsidRPr="005C70A6" w:rsidRDefault="005C70A6" w:rsidP="005C70A6">
      <w:pPr>
        <w:ind w:left="567" w:right="459"/>
        <w:rPr>
          <w:sz w:val="18"/>
          <w:szCs w:val="18"/>
        </w:rPr>
      </w:pPr>
    </w:p>
    <w:p w:rsidR="005C70A6" w:rsidRPr="005C70A6" w:rsidRDefault="005C70A6" w:rsidP="005C70A6">
      <w:pPr>
        <w:ind w:left="567" w:right="459"/>
        <w:rPr>
          <w:spacing w:val="2"/>
          <w:sz w:val="18"/>
          <w:szCs w:val="18"/>
        </w:rPr>
      </w:pPr>
      <w:r>
        <w:rPr>
          <w:spacing w:val="2"/>
          <w:sz w:val="18"/>
          <w:szCs w:val="18"/>
        </w:rPr>
        <w:t>“</w:t>
      </w:r>
      <w:r w:rsidRPr="005C70A6">
        <w:rPr>
          <w:spacing w:val="2"/>
          <w:sz w:val="18"/>
          <w:szCs w:val="18"/>
        </w:rPr>
        <w:t>28.</w:t>
      </w:r>
      <w:r w:rsidRPr="005C70A6">
        <w:rPr>
          <w:spacing w:val="2"/>
          <w:sz w:val="18"/>
          <w:szCs w:val="18"/>
        </w:rPr>
        <w:tab/>
      </w:r>
      <w:proofErr w:type="gramStart"/>
      <w:r w:rsidRPr="005C70A6">
        <w:rPr>
          <w:spacing w:val="2"/>
          <w:sz w:val="18"/>
          <w:szCs w:val="18"/>
        </w:rPr>
        <w:t>The</w:t>
      </w:r>
      <w:proofErr w:type="gramEnd"/>
      <w:r w:rsidRPr="005C70A6">
        <w:rPr>
          <w:spacing w:val="2"/>
          <w:sz w:val="18"/>
          <w:szCs w:val="18"/>
        </w:rPr>
        <w:t xml:space="preserve"> representative of </w:t>
      </w:r>
      <w:proofErr w:type="spellStart"/>
      <w:r w:rsidRPr="005C70A6">
        <w:rPr>
          <w:spacing w:val="2"/>
          <w:sz w:val="18"/>
          <w:szCs w:val="18"/>
        </w:rPr>
        <w:t>CropLife</w:t>
      </w:r>
      <w:proofErr w:type="spellEnd"/>
      <w:r w:rsidRPr="005C70A6">
        <w:rPr>
          <w:spacing w:val="2"/>
          <w:sz w:val="18"/>
          <w:szCs w:val="18"/>
        </w:rPr>
        <w:t xml:space="preserve"> International expressed support for the intervention by the Delegation of Japan and considered that unauthorized “cultivation” should be understood as unauthorized use in Article 14(2) and part of the notion of “production” under Article 14(1) of the 1991 Act.</w:t>
      </w:r>
    </w:p>
    <w:p w:rsidR="005C70A6" w:rsidRPr="005C70A6" w:rsidRDefault="005C70A6" w:rsidP="005C70A6">
      <w:pPr>
        <w:ind w:left="567" w:right="459"/>
        <w:rPr>
          <w:sz w:val="18"/>
          <w:szCs w:val="18"/>
        </w:rPr>
      </w:pPr>
    </w:p>
    <w:p w:rsidR="005C70A6" w:rsidRPr="005C70A6" w:rsidRDefault="005C70A6" w:rsidP="005C70A6">
      <w:pPr>
        <w:spacing w:after="240"/>
        <w:ind w:left="567" w:right="459"/>
        <w:rPr>
          <w:sz w:val="18"/>
          <w:szCs w:val="18"/>
        </w:rPr>
      </w:pPr>
      <w:r>
        <w:rPr>
          <w:sz w:val="18"/>
          <w:szCs w:val="18"/>
        </w:rPr>
        <w:t>“</w:t>
      </w:r>
      <w:r w:rsidRPr="005C70A6">
        <w:rPr>
          <w:sz w:val="18"/>
          <w:szCs w:val="18"/>
        </w:rPr>
        <w:t>29.</w:t>
      </w:r>
      <w:r w:rsidRPr="005C70A6">
        <w:rPr>
          <w:sz w:val="18"/>
          <w:szCs w:val="18"/>
        </w:rPr>
        <w:tab/>
        <w:t>The Chair noted that that reference to the Diplomatic Conference could be useful to explain the rationale for the introduction of the new perspectives presented by certain members of the Union that were not reflected in the current explanatory notes.</w:t>
      </w:r>
    </w:p>
    <w:p w:rsidR="005C70A6" w:rsidRPr="005C70A6" w:rsidRDefault="005C70A6" w:rsidP="005C70A6">
      <w:pPr>
        <w:ind w:left="567" w:right="459"/>
        <w:rPr>
          <w:sz w:val="18"/>
          <w:szCs w:val="18"/>
        </w:rPr>
      </w:pPr>
      <w:r>
        <w:rPr>
          <w:sz w:val="18"/>
          <w:szCs w:val="18"/>
        </w:rPr>
        <w:t>“</w:t>
      </w:r>
      <w:r w:rsidRPr="005C70A6">
        <w:rPr>
          <w:sz w:val="18"/>
          <w:szCs w:val="18"/>
        </w:rPr>
        <w:t>30.</w:t>
      </w:r>
      <w:r w:rsidRPr="005C70A6">
        <w:rPr>
          <w:sz w:val="18"/>
          <w:szCs w:val="18"/>
        </w:rPr>
        <w:tab/>
        <w:t>The Delegation of the Netherlands was in favor that further work included relevant matters concerning the notion of “consent” under exhaustion of the breeder’s right in Article 16 of the 1991 Act.</w:t>
      </w:r>
    </w:p>
    <w:p w:rsidR="005C70A6" w:rsidRPr="005C70A6" w:rsidRDefault="005C70A6" w:rsidP="005C70A6">
      <w:pPr>
        <w:ind w:left="567" w:right="459"/>
        <w:rPr>
          <w:sz w:val="18"/>
          <w:szCs w:val="18"/>
        </w:rPr>
      </w:pPr>
    </w:p>
    <w:p w:rsidR="005C70A6" w:rsidRPr="005C70A6" w:rsidRDefault="005C70A6" w:rsidP="005C70A6">
      <w:pPr>
        <w:ind w:left="567" w:right="459"/>
        <w:rPr>
          <w:sz w:val="18"/>
          <w:szCs w:val="18"/>
        </w:rPr>
      </w:pPr>
      <w:r>
        <w:rPr>
          <w:sz w:val="18"/>
          <w:szCs w:val="18"/>
        </w:rPr>
        <w:t>“</w:t>
      </w:r>
      <w:r w:rsidRPr="005C70A6">
        <w:rPr>
          <w:sz w:val="18"/>
          <w:szCs w:val="18"/>
        </w:rPr>
        <w:t>31.</w:t>
      </w:r>
      <w:r w:rsidRPr="005C70A6">
        <w:rPr>
          <w:sz w:val="18"/>
          <w:szCs w:val="18"/>
        </w:rPr>
        <w:tab/>
        <w:t>The Delegation of the Republic of Korea expressed its concern about enlarging the term authorization outside of the territory.</w:t>
      </w:r>
    </w:p>
    <w:p w:rsidR="005C70A6" w:rsidRPr="005C70A6" w:rsidRDefault="005C70A6" w:rsidP="005C70A6">
      <w:pPr>
        <w:ind w:left="567" w:right="459"/>
        <w:rPr>
          <w:sz w:val="18"/>
          <w:szCs w:val="18"/>
        </w:rPr>
      </w:pPr>
    </w:p>
    <w:p w:rsidR="005C70A6" w:rsidRPr="005C70A6" w:rsidRDefault="005C70A6" w:rsidP="005C70A6">
      <w:pPr>
        <w:ind w:left="567" w:right="459"/>
        <w:rPr>
          <w:sz w:val="18"/>
          <w:szCs w:val="18"/>
        </w:rPr>
      </w:pPr>
      <w:r>
        <w:rPr>
          <w:sz w:val="18"/>
          <w:szCs w:val="18"/>
        </w:rPr>
        <w:t>“</w:t>
      </w:r>
      <w:r w:rsidRPr="005C70A6">
        <w:rPr>
          <w:sz w:val="18"/>
          <w:szCs w:val="18"/>
        </w:rPr>
        <w:t>32.</w:t>
      </w:r>
      <w:r w:rsidRPr="005C70A6">
        <w:rPr>
          <w:sz w:val="18"/>
          <w:szCs w:val="18"/>
        </w:rPr>
        <w:tab/>
        <w:t>The Delegation of Japan confirmed the understanding that the right was to be exercised within the territory where the right existed.</w:t>
      </w:r>
    </w:p>
    <w:p w:rsidR="005C70A6" w:rsidRPr="005C70A6" w:rsidRDefault="005C70A6" w:rsidP="005C70A6">
      <w:pPr>
        <w:ind w:left="567" w:right="459"/>
        <w:rPr>
          <w:sz w:val="18"/>
          <w:szCs w:val="18"/>
        </w:rPr>
      </w:pPr>
    </w:p>
    <w:p w:rsidR="005C70A6" w:rsidRPr="005C70A6" w:rsidRDefault="005C70A6" w:rsidP="005C70A6">
      <w:pPr>
        <w:ind w:left="567" w:right="459"/>
        <w:rPr>
          <w:sz w:val="18"/>
          <w:szCs w:val="18"/>
        </w:rPr>
      </w:pPr>
      <w:r>
        <w:rPr>
          <w:sz w:val="18"/>
          <w:szCs w:val="18"/>
        </w:rPr>
        <w:t>“</w:t>
      </w:r>
      <w:r w:rsidRPr="005C70A6">
        <w:rPr>
          <w:sz w:val="18"/>
          <w:szCs w:val="18"/>
        </w:rPr>
        <w:t>33.</w:t>
      </w:r>
      <w:r w:rsidRPr="005C70A6">
        <w:rPr>
          <w:sz w:val="18"/>
          <w:szCs w:val="18"/>
        </w:rPr>
        <w:tab/>
        <w:t>The WG-HRV requested the Office of the Union to prepare a document that would explain the different perspectives of unauthorized use.  The WG-HRV agreed that the members of the WG</w:t>
      </w:r>
      <w:r w:rsidRPr="005C70A6">
        <w:rPr>
          <w:sz w:val="18"/>
          <w:szCs w:val="18"/>
        </w:rPr>
        <w:noBreakHyphen/>
        <w:t xml:space="preserve">HRV would provide examples of their understanding on those provisions and how their understanding would impact the ability of breeders to exercise their rights in the territory.  </w:t>
      </w:r>
    </w:p>
    <w:p w:rsidR="005C70A6" w:rsidRPr="005C70A6" w:rsidRDefault="005C70A6" w:rsidP="005C70A6">
      <w:pPr>
        <w:ind w:left="567" w:right="459"/>
        <w:rPr>
          <w:sz w:val="18"/>
          <w:szCs w:val="18"/>
        </w:rPr>
      </w:pPr>
    </w:p>
    <w:p w:rsidR="005C70A6" w:rsidRPr="005C70A6" w:rsidRDefault="005C70A6" w:rsidP="005C70A6">
      <w:pPr>
        <w:ind w:left="567" w:right="459"/>
        <w:rPr>
          <w:sz w:val="18"/>
          <w:szCs w:val="18"/>
        </w:rPr>
      </w:pPr>
      <w:r>
        <w:rPr>
          <w:sz w:val="18"/>
          <w:szCs w:val="18"/>
        </w:rPr>
        <w:t>“</w:t>
      </w:r>
      <w:r w:rsidRPr="005C70A6">
        <w:rPr>
          <w:sz w:val="18"/>
          <w:szCs w:val="18"/>
        </w:rPr>
        <w:t>34.</w:t>
      </w:r>
      <w:r w:rsidRPr="005C70A6">
        <w:rPr>
          <w:sz w:val="18"/>
          <w:szCs w:val="18"/>
        </w:rPr>
        <w:tab/>
        <w:t>The WG-HRV agreed to postpone discussions of document WG-HRV/1/4, Annex, section “(d) Reasonable opportunity to exercise his right”, until the work on section (c) “Unauthorized use of propagating material”, as set out above, had been completed.</w:t>
      </w:r>
      <w:r>
        <w:rPr>
          <w:sz w:val="18"/>
          <w:szCs w:val="18"/>
        </w:rPr>
        <w:t>”</w:t>
      </w:r>
    </w:p>
    <w:p w:rsidR="00A36805" w:rsidRDefault="00A36805" w:rsidP="00A36805">
      <w:pPr>
        <w:rPr>
          <w:rFonts w:cs="Arial"/>
        </w:rPr>
      </w:pPr>
    </w:p>
    <w:p w:rsidR="00D36D1E" w:rsidRDefault="00D36D1E" w:rsidP="00127E12">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2401C9" w:rsidRPr="000B1F81">
        <w:rPr>
          <w:rFonts w:cs="Arial"/>
        </w:rPr>
        <w:t>On the above basis, t</w:t>
      </w:r>
      <w:r w:rsidR="00127E12" w:rsidRPr="000B1F81">
        <w:rPr>
          <w:rFonts w:cs="Arial"/>
        </w:rPr>
        <w:t xml:space="preserve">he WG-HRV may wish to consider the following approach </w:t>
      </w:r>
      <w:r w:rsidR="002401C9" w:rsidRPr="000B1F81">
        <w:rPr>
          <w:rFonts w:cs="Arial"/>
        </w:rPr>
        <w:t xml:space="preserve">to cover </w:t>
      </w:r>
      <w:r w:rsidR="00127E12" w:rsidRPr="000B1F81">
        <w:rPr>
          <w:rFonts w:cs="Arial"/>
        </w:rPr>
        <w:t>the different perspectives and interpretations of the notion “unauthorized use”</w:t>
      </w:r>
      <w:r w:rsidR="00B75DAD" w:rsidRPr="000B1F81">
        <w:rPr>
          <w:rFonts w:cs="Arial"/>
        </w:rPr>
        <w:t xml:space="preserve"> under Article 14(2) of the 1991 Act</w:t>
      </w:r>
      <w:r w:rsidR="000B2E15" w:rsidRPr="000B1F81">
        <w:rPr>
          <w:rFonts w:cs="Arial"/>
        </w:rPr>
        <w:t>:</w:t>
      </w:r>
    </w:p>
    <w:p w:rsidR="00B6684D" w:rsidRDefault="00B6684D" w:rsidP="00D36D1E">
      <w:pPr>
        <w:rPr>
          <w:rFonts w:cs="Arial"/>
        </w:rPr>
      </w:pPr>
    </w:p>
    <w:p w:rsidR="000B2E15" w:rsidRPr="007502F5" w:rsidRDefault="000B2E15" w:rsidP="007502F5">
      <w:pPr>
        <w:ind w:left="540"/>
        <w:rPr>
          <w:rFonts w:cs="Arial"/>
          <w:u w:val="single"/>
        </w:rPr>
      </w:pPr>
      <w:r w:rsidRPr="000B2E15">
        <w:rPr>
          <w:rFonts w:cs="Arial"/>
        </w:rPr>
        <w:t xml:space="preserve">(c) </w:t>
      </w:r>
      <w:r w:rsidR="007502F5">
        <w:rPr>
          <w:rFonts w:cs="Arial"/>
        </w:rPr>
        <w:tab/>
      </w:r>
      <w:r w:rsidRPr="007502F5">
        <w:rPr>
          <w:rFonts w:cs="Arial"/>
          <w:u w:val="single"/>
        </w:rPr>
        <w:t>Unauthorized use of propagating material</w:t>
      </w:r>
    </w:p>
    <w:p w:rsidR="000B2E15" w:rsidRPr="000B2E15" w:rsidRDefault="000B2E15" w:rsidP="007502F5">
      <w:pPr>
        <w:ind w:left="540"/>
        <w:rPr>
          <w:rFonts w:cs="Arial"/>
        </w:rPr>
      </w:pPr>
    </w:p>
    <w:p w:rsidR="000B2E15" w:rsidRPr="007502F5" w:rsidRDefault="000B2E15" w:rsidP="007502F5">
      <w:pPr>
        <w:ind w:left="540"/>
        <w:rPr>
          <w:rFonts w:cs="Arial"/>
          <w:i/>
          <w:strike/>
          <w:highlight w:val="lightGray"/>
        </w:rPr>
      </w:pPr>
      <w:r w:rsidRPr="007502F5">
        <w:rPr>
          <w:rFonts w:cs="Arial"/>
          <w:i/>
          <w:strike/>
          <w:highlight w:val="lightGray"/>
        </w:rPr>
        <w:t>Acts in respect of propagating material</w:t>
      </w:r>
    </w:p>
    <w:p w:rsidR="000B2E15" w:rsidRPr="000B2E15" w:rsidRDefault="000B2E15" w:rsidP="007502F5">
      <w:pPr>
        <w:rPr>
          <w:rFonts w:cs="Arial"/>
          <w:highlight w:val="yellow"/>
        </w:rPr>
      </w:pPr>
    </w:p>
    <w:p w:rsidR="000B2E15" w:rsidRPr="00284138" w:rsidRDefault="000B2E15" w:rsidP="007502F5">
      <w:pPr>
        <w:ind w:left="540"/>
        <w:rPr>
          <w:rFonts w:cs="Arial"/>
          <w:strike/>
        </w:rPr>
      </w:pPr>
      <w:r w:rsidRPr="00284138">
        <w:rPr>
          <w:rFonts w:cs="Arial"/>
          <w:strike/>
          <w:highlight w:val="lightGray"/>
        </w:rPr>
        <w:t xml:space="preserve">4. </w:t>
      </w:r>
      <w:r w:rsidR="007502F5">
        <w:rPr>
          <w:rFonts w:cs="Arial"/>
          <w:strike/>
          <w:highlight w:val="lightGray"/>
        </w:rPr>
        <w:tab/>
      </w:r>
      <w:r w:rsidRPr="00284138">
        <w:rPr>
          <w:rFonts w:cs="Arial"/>
          <w:strike/>
          <w:highlight w:val="lightGray"/>
        </w:rPr>
        <w:t>“Unauthorized use” refers to the acts in respect of the propagating material that require the authorization of the holder of the breeder’s right in the territory concerned (Article 14(1) of the 1991 Act), but where such authorization was not obtained. Thus, unauthorized acts can only occur in the territory of the member of the Union where a breeder’s right has been granted and is in force.</w:t>
      </w:r>
    </w:p>
    <w:p w:rsidR="00D36D1E" w:rsidRDefault="00D36D1E" w:rsidP="007502F5">
      <w:pPr>
        <w:ind w:left="540"/>
        <w:rPr>
          <w:rFonts w:cs="Arial"/>
        </w:rPr>
      </w:pPr>
    </w:p>
    <w:p w:rsidR="00B75DAD" w:rsidRDefault="000B2E15" w:rsidP="007502F5">
      <w:pPr>
        <w:keepNext/>
        <w:keepLines/>
        <w:ind w:left="540"/>
        <w:rPr>
          <w:highlight w:val="lightGray"/>
          <w:u w:val="single"/>
        </w:rPr>
      </w:pPr>
      <w:r w:rsidRPr="007502F5">
        <w:rPr>
          <w:highlight w:val="lightGray"/>
          <w:u w:val="single"/>
        </w:rPr>
        <w:lastRenderedPageBreak/>
        <w:t xml:space="preserve">4. </w:t>
      </w:r>
      <w:r w:rsidR="007502F5" w:rsidRPr="007502F5">
        <w:rPr>
          <w:highlight w:val="lightGray"/>
          <w:u w:val="single"/>
        </w:rPr>
        <w:tab/>
      </w:r>
      <w:r w:rsidR="00D36D1E" w:rsidRPr="007502F5">
        <w:rPr>
          <w:highlight w:val="lightGray"/>
          <w:u w:val="single"/>
        </w:rPr>
        <w:t>The</w:t>
      </w:r>
      <w:r w:rsidR="00D36D1E" w:rsidRPr="00284138">
        <w:rPr>
          <w:highlight w:val="lightGray"/>
          <w:u w:val="single"/>
        </w:rPr>
        <w:t xml:space="preserve"> UPOV Convention does not provide a definition of “</w:t>
      </w:r>
      <w:r w:rsidR="00B75DAD">
        <w:rPr>
          <w:rFonts w:cs="Arial"/>
          <w:highlight w:val="lightGray"/>
          <w:u w:val="single"/>
        </w:rPr>
        <w:t>u</w:t>
      </w:r>
      <w:r w:rsidRPr="00284138">
        <w:rPr>
          <w:rFonts w:cs="Arial"/>
          <w:highlight w:val="lightGray"/>
          <w:u w:val="single"/>
        </w:rPr>
        <w:t>nauthorized use</w:t>
      </w:r>
      <w:r w:rsidR="00D36D1E" w:rsidRPr="00284138">
        <w:rPr>
          <w:highlight w:val="lightGray"/>
          <w:u w:val="single"/>
        </w:rPr>
        <w:t>”</w:t>
      </w:r>
      <w:r w:rsidRPr="00284138">
        <w:rPr>
          <w:highlight w:val="lightGray"/>
          <w:u w:val="single"/>
        </w:rPr>
        <w:t xml:space="preserve"> under Article 14(2) of the 1991 Act of the UPOV Convention</w:t>
      </w:r>
      <w:r w:rsidR="00B75DAD">
        <w:rPr>
          <w:highlight w:val="lightGray"/>
          <w:u w:val="single"/>
        </w:rPr>
        <w:t>.</w:t>
      </w:r>
    </w:p>
    <w:p w:rsidR="00B75DAD" w:rsidRDefault="00B75DAD" w:rsidP="007502F5">
      <w:pPr>
        <w:keepNext/>
        <w:keepLines/>
        <w:ind w:left="540"/>
        <w:rPr>
          <w:highlight w:val="lightGray"/>
          <w:u w:val="single"/>
        </w:rPr>
      </w:pPr>
    </w:p>
    <w:p w:rsidR="00D36D1E" w:rsidRPr="00284138" w:rsidRDefault="00B75DAD" w:rsidP="000B1F81">
      <w:pPr>
        <w:keepNext/>
        <w:keepLines/>
        <w:ind w:left="540"/>
        <w:rPr>
          <w:u w:val="single"/>
        </w:rPr>
      </w:pPr>
      <w:r>
        <w:rPr>
          <w:highlight w:val="lightGray"/>
          <w:u w:val="single"/>
        </w:rPr>
        <w:t>5.</w:t>
      </w:r>
      <w:r>
        <w:rPr>
          <w:highlight w:val="lightGray"/>
          <w:u w:val="single"/>
        </w:rPr>
        <w:tab/>
      </w:r>
      <w:r w:rsidR="00D36D1E" w:rsidRPr="00284138">
        <w:rPr>
          <w:highlight w:val="lightGray"/>
          <w:u w:val="single"/>
        </w:rPr>
        <w:t xml:space="preserve">The following </w:t>
      </w:r>
      <w:r w:rsidR="00AC6EA0">
        <w:rPr>
          <w:highlight w:val="lightGray"/>
          <w:u w:val="single"/>
        </w:rPr>
        <w:t>is</w:t>
      </w:r>
      <w:r w:rsidR="00AC6EA0" w:rsidRPr="00284138">
        <w:rPr>
          <w:highlight w:val="lightGray"/>
          <w:u w:val="single"/>
        </w:rPr>
        <w:t xml:space="preserve"> </w:t>
      </w:r>
      <w:r w:rsidR="002401C9">
        <w:rPr>
          <w:highlight w:val="lightGray"/>
          <w:u w:val="single"/>
        </w:rPr>
        <w:t xml:space="preserve">a </w:t>
      </w:r>
      <w:r w:rsidR="00D36D1E" w:rsidRPr="00284138">
        <w:rPr>
          <w:highlight w:val="lightGray"/>
          <w:u w:val="single"/>
        </w:rPr>
        <w:t xml:space="preserve">non-exhaustive </w:t>
      </w:r>
      <w:r w:rsidR="002401C9">
        <w:rPr>
          <w:highlight w:val="lightGray"/>
          <w:u w:val="single"/>
        </w:rPr>
        <w:t>list</w:t>
      </w:r>
      <w:r w:rsidR="002401C9" w:rsidRPr="00284138">
        <w:rPr>
          <w:highlight w:val="lightGray"/>
          <w:u w:val="single"/>
        </w:rPr>
        <w:t xml:space="preserve"> </w:t>
      </w:r>
      <w:r w:rsidR="00D36D1E" w:rsidRPr="00284138">
        <w:rPr>
          <w:highlight w:val="lightGray"/>
          <w:u w:val="single"/>
        </w:rPr>
        <w:t xml:space="preserve">of factors that </w:t>
      </w:r>
      <w:r w:rsidR="002401C9">
        <w:rPr>
          <w:highlight w:val="lightGray"/>
          <w:u w:val="single"/>
        </w:rPr>
        <w:t>may be</w:t>
      </w:r>
      <w:r w:rsidR="00D36D1E" w:rsidRPr="00284138">
        <w:rPr>
          <w:highlight w:val="lightGray"/>
          <w:u w:val="single"/>
        </w:rPr>
        <w:t xml:space="preserve"> considered by members of the Union in relation to</w:t>
      </w:r>
      <w:r w:rsidR="000B2E15" w:rsidRPr="00284138">
        <w:rPr>
          <w:highlight w:val="lightGray"/>
          <w:u w:val="single"/>
        </w:rPr>
        <w:t xml:space="preserve"> the notion of “</w:t>
      </w:r>
      <w:r>
        <w:rPr>
          <w:rFonts w:cs="Arial"/>
          <w:highlight w:val="lightGray"/>
          <w:u w:val="single"/>
        </w:rPr>
        <w:t>u</w:t>
      </w:r>
      <w:r w:rsidR="000B2E15" w:rsidRPr="00284138">
        <w:rPr>
          <w:rFonts w:cs="Arial"/>
          <w:highlight w:val="lightGray"/>
          <w:u w:val="single"/>
        </w:rPr>
        <w:t>nauthorized use</w:t>
      </w:r>
      <w:r w:rsidR="000B1F81">
        <w:rPr>
          <w:highlight w:val="lightGray"/>
          <w:u w:val="single"/>
        </w:rPr>
        <w:t>”.</w:t>
      </w:r>
    </w:p>
    <w:p w:rsidR="000B2E15" w:rsidRDefault="000B2E15" w:rsidP="007502F5">
      <w:pPr>
        <w:keepNext/>
        <w:keepLines/>
        <w:ind w:left="540"/>
        <w:rPr>
          <w:rFonts w:cs="Arial"/>
        </w:rPr>
      </w:pPr>
    </w:p>
    <w:p w:rsidR="00284138" w:rsidRPr="00284138" w:rsidRDefault="000B2E15" w:rsidP="007502F5">
      <w:pPr>
        <w:keepLines/>
        <w:ind w:left="540" w:firstLine="567"/>
        <w:rPr>
          <w:rFonts w:cs="Arial"/>
          <w:highlight w:val="lightGray"/>
          <w:u w:val="single"/>
        </w:rPr>
      </w:pPr>
      <w:r w:rsidRPr="00284138">
        <w:rPr>
          <w:rFonts w:cs="Arial"/>
          <w:highlight w:val="lightGray"/>
          <w:u w:val="single"/>
        </w:rPr>
        <w:t>(a)</w:t>
      </w:r>
      <w:r w:rsidRPr="00284138">
        <w:rPr>
          <w:highlight w:val="lightGray"/>
          <w:u w:val="single"/>
        </w:rPr>
        <w:t xml:space="preserve"> </w:t>
      </w:r>
      <w:r w:rsidRPr="00284138">
        <w:rPr>
          <w:rFonts w:cs="Arial"/>
          <w:highlight w:val="lightGray"/>
          <w:u w:val="single"/>
        </w:rPr>
        <w:tab/>
      </w:r>
      <w:proofErr w:type="gramStart"/>
      <w:r w:rsidRPr="00284138">
        <w:rPr>
          <w:rFonts w:cs="Arial"/>
          <w:highlight w:val="lightGray"/>
          <w:u w:val="single"/>
        </w:rPr>
        <w:t>the</w:t>
      </w:r>
      <w:proofErr w:type="gramEnd"/>
      <w:r w:rsidRPr="00284138">
        <w:rPr>
          <w:rFonts w:cs="Arial"/>
          <w:highlight w:val="lightGray"/>
          <w:u w:val="single"/>
        </w:rPr>
        <w:t xml:space="preserve"> breeder </w:t>
      </w:r>
      <w:r w:rsidR="008E13E8">
        <w:rPr>
          <w:rFonts w:cs="Arial"/>
          <w:highlight w:val="lightGray"/>
          <w:u w:val="single"/>
        </w:rPr>
        <w:t>did</w:t>
      </w:r>
      <w:r w:rsidR="008E13E8" w:rsidRPr="00284138">
        <w:rPr>
          <w:rFonts w:cs="Arial"/>
          <w:highlight w:val="lightGray"/>
          <w:u w:val="single"/>
        </w:rPr>
        <w:t xml:space="preserve"> </w:t>
      </w:r>
      <w:r w:rsidRPr="00284138">
        <w:rPr>
          <w:rFonts w:cs="Arial"/>
          <w:highlight w:val="lightGray"/>
          <w:u w:val="single"/>
        </w:rPr>
        <w:t>not authorize the acts</w:t>
      </w:r>
      <w:r w:rsidR="00284138" w:rsidRPr="00284138">
        <w:rPr>
          <w:rFonts w:cs="Arial"/>
          <w:highlight w:val="lightGray"/>
          <w:u w:val="single"/>
        </w:rPr>
        <w:t xml:space="preserve"> provided in Article 14(1) of the 1991 Act </w:t>
      </w:r>
      <w:r w:rsidR="007502F5">
        <w:rPr>
          <w:highlight w:val="lightGray"/>
          <w:u w:val="single"/>
        </w:rPr>
        <w:t>of the UPOV </w:t>
      </w:r>
      <w:r w:rsidR="00284138" w:rsidRPr="00284138">
        <w:rPr>
          <w:highlight w:val="lightGray"/>
          <w:u w:val="single"/>
        </w:rPr>
        <w:t>Convention</w:t>
      </w:r>
      <w:r w:rsidR="00284138" w:rsidRPr="00284138">
        <w:rPr>
          <w:rFonts w:cs="Arial"/>
          <w:highlight w:val="lightGray"/>
          <w:u w:val="single"/>
        </w:rPr>
        <w:t xml:space="preserve">, </w:t>
      </w:r>
      <w:r w:rsidRPr="00284138">
        <w:rPr>
          <w:rFonts w:cs="Arial"/>
          <w:highlight w:val="lightGray"/>
          <w:u w:val="single"/>
        </w:rPr>
        <w:t xml:space="preserve">in respect of the propagating material </w:t>
      </w:r>
      <w:r w:rsidR="00284138" w:rsidRPr="00284138">
        <w:rPr>
          <w:rFonts w:cs="Arial"/>
          <w:highlight w:val="lightGray"/>
          <w:u w:val="single"/>
        </w:rPr>
        <w:t>of the protected variety.</w:t>
      </w:r>
      <w:r w:rsidR="00F7475A" w:rsidRPr="00F7475A">
        <w:rPr>
          <w:highlight w:val="lightGray"/>
          <w:u w:val="single"/>
        </w:rPr>
        <w:t xml:space="preserve"> </w:t>
      </w:r>
      <w:r w:rsidR="00B75DAD">
        <w:rPr>
          <w:highlight w:val="lightGray"/>
          <w:u w:val="single"/>
        </w:rPr>
        <w:t xml:space="preserve"> </w:t>
      </w:r>
      <w:r w:rsidR="000B1F81">
        <w:rPr>
          <w:highlight w:val="lightGray"/>
          <w:u w:val="single"/>
        </w:rPr>
        <w:t xml:space="preserve">In this context, </w:t>
      </w:r>
      <w:r w:rsidR="0017407D">
        <w:rPr>
          <w:highlight w:val="lightGray"/>
          <w:u w:val="single"/>
        </w:rPr>
        <w:t>“u</w:t>
      </w:r>
      <w:r w:rsidR="00F7475A" w:rsidRPr="00284138">
        <w:rPr>
          <w:highlight w:val="lightGray"/>
          <w:u w:val="single"/>
        </w:rPr>
        <w:t xml:space="preserve">nauthorized use” can only occur in the territory of the member of the Union where a breeder’s right has been granted </w:t>
      </w:r>
      <w:r w:rsidR="00B75DAD">
        <w:rPr>
          <w:highlight w:val="lightGray"/>
          <w:u w:val="single"/>
        </w:rPr>
        <w:t>and is in force;</w:t>
      </w:r>
    </w:p>
    <w:p w:rsidR="00284138" w:rsidRPr="00284138" w:rsidRDefault="00284138" w:rsidP="007502F5">
      <w:pPr>
        <w:ind w:left="540"/>
        <w:rPr>
          <w:rFonts w:cs="Arial"/>
          <w:highlight w:val="lightGray"/>
          <w:u w:val="single"/>
        </w:rPr>
      </w:pPr>
    </w:p>
    <w:p w:rsidR="000B2E15" w:rsidRPr="00284138" w:rsidRDefault="000B2E15" w:rsidP="007502F5">
      <w:pPr>
        <w:ind w:left="540" w:firstLine="567"/>
        <w:rPr>
          <w:rFonts w:cs="Arial"/>
          <w:highlight w:val="lightGray"/>
          <w:u w:val="single"/>
        </w:rPr>
      </w:pPr>
      <w:r w:rsidRPr="00284138">
        <w:rPr>
          <w:rFonts w:cs="Arial"/>
          <w:highlight w:val="lightGray"/>
          <w:u w:val="single"/>
        </w:rPr>
        <w:t>(b)</w:t>
      </w:r>
      <w:r w:rsidRPr="00284138">
        <w:rPr>
          <w:rFonts w:cs="Arial"/>
          <w:highlight w:val="lightGray"/>
          <w:u w:val="single"/>
        </w:rPr>
        <w:tab/>
      </w:r>
      <w:proofErr w:type="gramStart"/>
      <w:r w:rsidRPr="00284138">
        <w:rPr>
          <w:rFonts w:cs="Arial"/>
          <w:highlight w:val="lightGray"/>
          <w:u w:val="single"/>
        </w:rPr>
        <w:t>the</w:t>
      </w:r>
      <w:proofErr w:type="gramEnd"/>
      <w:r w:rsidRPr="00284138">
        <w:rPr>
          <w:rFonts w:cs="Arial"/>
          <w:highlight w:val="lightGray"/>
          <w:u w:val="single"/>
        </w:rPr>
        <w:t xml:space="preserve"> breeder </w:t>
      </w:r>
      <w:r w:rsidR="008E13E8">
        <w:rPr>
          <w:rFonts w:cs="Arial"/>
          <w:highlight w:val="lightGray"/>
          <w:u w:val="single"/>
        </w:rPr>
        <w:t>did</w:t>
      </w:r>
      <w:r w:rsidR="008E13E8" w:rsidRPr="00284138">
        <w:rPr>
          <w:rFonts w:cs="Arial"/>
          <w:highlight w:val="lightGray"/>
          <w:u w:val="single"/>
        </w:rPr>
        <w:t xml:space="preserve"> </w:t>
      </w:r>
      <w:r w:rsidRPr="00284138">
        <w:rPr>
          <w:rFonts w:cs="Arial"/>
          <w:highlight w:val="lightGray"/>
          <w:u w:val="single"/>
        </w:rPr>
        <w:t xml:space="preserve">not </w:t>
      </w:r>
      <w:r w:rsidR="000B1F81">
        <w:rPr>
          <w:rFonts w:cs="Arial"/>
          <w:highlight w:val="lightGray"/>
          <w:u w:val="single"/>
        </w:rPr>
        <w:t xml:space="preserve">authorize or </w:t>
      </w:r>
      <w:r w:rsidR="002401C9">
        <w:rPr>
          <w:rFonts w:cs="Arial"/>
          <w:highlight w:val="lightGray"/>
          <w:u w:val="single"/>
        </w:rPr>
        <w:t>consent</w:t>
      </w:r>
      <w:r w:rsidR="000B1F81" w:rsidRPr="00A14D5B">
        <w:rPr>
          <w:rStyle w:val="FootnoteReference"/>
          <w:rFonts w:cs="Arial"/>
          <w:b/>
          <w:highlight w:val="lightGray"/>
          <w:u w:val="single"/>
        </w:rPr>
        <w:footnoteReference w:id="2"/>
      </w:r>
      <w:r w:rsidR="002401C9">
        <w:rPr>
          <w:rFonts w:cs="Arial"/>
          <w:highlight w:val="lightGray"/>
          <w:u w:val="single"/>
        </w:rPr>
        <w:t xml:space="preserve"> to</w:t>
      </w:r>
      <w:r w:rsidR="002401C9" w:rsidRPr="00284138">
        <w:rPr>
          <w:rFonts w:cs="Arial"/>
          <w:highlight w:val="lightGray"/>
          <w:u w:val="single"/>
        </w:rPr>
        <w:t xml:space="preserve"> </w:t>
      </w:r>
      <w:r w:rsidRPr="00284138">
        <w:rPr>
          <w:rFonts w:cs="Arial"/>
          <w:highlight w:val="lightGray"/>
          <w:u w:val="single"/>
        </w:rPr>
        <w:t xml:space="preserve">the use of propagating material </w:t>
      </w:r>
      <w:r w:rsidR="00284138" w:rsidRPr="00284138">
        <w:rPr>
          <w:rFonts w:cs="Arial"/>
          <w:highlight w:val="lightGray"/>
          <w:u w:val="single"/>
        </w:rPr>
        <w:t xml:space="preserve">of the protected variety </w:t>
      </w:r>
      <w:r w:rsidRPr="00284138">
        <w:rPr>
          <w:rFonts w:cs="Arial"/>
          <w:highlight w:val="lightGray"/>
          <w:u w:val="single"/>
        </w:rPr>
        <w:t>for the purpose of producing the harvested mater</w:t>
      </w:r>
      <w:r w:rsidR="00C80642">
        <w:rPr>
          <w:rFonts w:cs="Arial"/>
          <w:highlight w:val="lightGray"/>
          <w:u w:val="single"/>
        </w:rPr>
        <w:t xml:space="preserve">ial; </w:t>
      </w:r>
    </w:p>
    <w:p w:rsidR="00284138" w:rsidRDefault="00284138" w:rsidP="007502F5">
      <w:pPr>
        <w:ind w:left="540" w:firstLine="567"/>
        <w:rPr>
          <w:rFonts w:cs="Arial"/>
          <w:highlight w:val="lightGray"/>
          <w:u w:val="single"/>
        </w:rPr>
      </w:pPr>
    </w:p>
    <w:p w:rsidR="000B2E15" w:rsidRDefault="00284138" w:rsidP="007502F5">
      <w:pPr>
        <w:ind w:left="540" w:firstLine="567"/>
        <w:rPr>
          <w:rFonts w:cs="Arial"/>
          <w:highlight w:val="lightGray"/>
          <w:u w:val="single"/>
        </w:rPr>
      </w:pPr>
      <w:r w:rsidRPr="00284138">
        <w:rPr>
          <w:rFonts w:cs="Arial"/>
          <w:highlight w:val="lightGray"/>
          <w:u w:val="single"/>
        </w:rPr>
        <w:t>(c</w:t>
      </w:r>
      <w:r w:rsidR="000B2E15" w:rsidRPr="00284138">
        <w:rPr>
          <w:rFonts w:cs="Arial"/>
          <w:highlight w:val="lightGray"/>
          <w:u w:val="single"/>
        </w:rPr>
        <w:t>)</w:t>
      </w:r>
      <w:r w:rsidR="000B2E15" w:rsidRPr="00284138">
        <w:rPr>
          <w:rFonts w:cs="Arial"/>
          <w:highlight w:val="lightGray"/>
          <w:u w:val="single"/>
        </w:rPr>
        <w:tab/>
      </w:r>
      <w:proofErr w:type="gramStart"/>
      <w:r w:rsidR="000B2E15" w:rsidRPr="00284138">
        <w:rPr>
          <w:rFonts w:cs="Arial"/>
          <w:highlight w:val="lightGray"/>
          <w:u w:val="single"/>
        </w:rPr>
        <w:t>the</w:t>
      </w:r>
      <w:proofErr w:type="gramEnd"/>
      <w:r w:rsidR="000B2E15" w:rsidRPr="00284138">
        <w:rPr>
          <w:rFonts w:cs="Arial"/>
          <w:highlight w:val="lightGray"/>
          <w:u w:val="single"/>
        </w:rPr>
        <w:t xml:space="preserve"> breeder </w:t>
      </w:r>
      <w:r w:rsidR="008E13E8">
        <w:rPr>
          <w:rFonts w:cs="Arial"/>
          <w:highlight w:val="lightGray"/>
          <w:u w:val="single"/>
        </w:rPr>
        <w:t>did</w:t>
      </w:r>
      <w:r w:rsidR="008E13E8" w:rsidRPr="00284138">
        <w:rPr>
          <w:rFonts w:cs="Arial"/>
          <w:highlight w:val="lightGray"/>
          <w:u w:val="single"/>
        </w:rPr>
        <w:t xml:space="preserve"> </w:t>
      </w:r>
      <w:r w:rsidR="000B2E15" w:rsidRPr="00284138">
        <w:rPr>
          <w:rFonts w:cs="Arial"/>
          <w:highlight w:val="lightGray"/>
          <w:u w:val="single"/>
        </w:rPr>
        <w:t xml:space="preserve">not </w:t>
      </w:r>
      <w:r w:rsidR="000B1F81">
        <w:rPr>
          <w:rFonts w:cs="Arial"/>
          <w:highlight w:val="lightGray"/>
          <w:u w:val="single"/>
        </w:rPr>
        <w:t xml:space="preserve">authorize or </w:t>
      </w:r>
      <w:r w:rsidR="00F7475A">
        <w:rPr>
          <w:rFonts w:cs="Arial"/>
          <w:highlight w:val="lightGray"/>
          <w:u w:val="single"/>
        </w:rPr>
        <w:t>consent</w:t>
      </w:r>
      <w:r w:rsidR="00D90EE3" w:rsidRPr="00A14D5B">
        <w:rPr>
          <w:rFonts w:cs="Arial"/>
          <w:b/>
          <w:highlight w:val="lightGray"/>
          <w:u w:val="single"/>
          <w:vertAlign w:val="superscript"/>
        </w:rPr>
        <w:t>1</w:t>
      </w:r>
      <w:r w:rsidR="00F7475A">
        <w:rPr>
          <w:rFonts w:cs="Arial"/>
          <w:highlight w:val="lightGray"/>
          <w:u w:val="single"/>
        </w:rPr>
        <w:t xml:space="preserve"> to</w:t>
      </w:r>
      <w:r w:rsidR="000B2E15" w:rsidRPr="00284138">
        <w:rPr>
          <w:rFonts w:cs="Arial"/>
          <w:highlight w:val="lightGray"/>
          <w:u w:val="single"/>
        </w:rPr>
        <w:t xml:space="preserve"> the planting and ongoing cultivation of the propagating material </w:t>
      </w:r>
      <w:r w:rsidRPr="00284138">
        <w:rPr>
          <w:rFonts w:cs="Arial"/>
          <w:highlight w:val="lightGray"/>
          <w:u w:val="single"/>
        </w:rPr>
        <w:t xml:space="preserve">of the protected variety </w:t>
      </w:r>
      <w:r w:rsidR="000B2E15" w:rsidRPr="00284138">
        <w:rPr>
          <w:rFonts w:cs="Arial"/>
          <w:highlight w:val="lightGray"/>
          <w:u w:val="single"/>
        </w:rPr>
        <w:t xml:space="preserve">for the purpose </w:t>
      </w:r>
      <w:r w:rsidR="00D90EE3">
        <w:rPr>
          <w:rFonts w:cs="Arial"/>
          <w:highlight w:val="lightGray"/>
          <w:u w:val="single"/>
        </w:rPr>
        <w:t>of producing harvested material</w:t>
      </w:r>
      <w:r w:rsidR="00C80642">
        <w:rPr>
          <w:rFonts w:cs="Arial"/>
          <w:highlight w:val="lightGray"/>
          <w:u w:val="single"/>
        </w:rPr>
        <w:t>;</w:t>
      </w:r>
    </w:p>
    <w:p w:rsidR="00C80642" w:rsidRDefault="00C80642" w:rsidP="007502F5">
      <w:pPr>
        <w:ind w:left="540"/>
        <w:rPr>
          <w:rFonts w:cs="Arial"/>
          <w:highlight w:val="lightGray"/>
          <w:u w:val="single"/>
        </w:rPr>
      </w:pPr>
    </w:p>
    <w:p w:rsidR="00C80642" w:rsidRPr="00C80642" w:rsidRDefault="00C80642" w:rsidP="007502F5">
      <w:pPr>
        <w:ind w:left="540" w:firstLine="567"/>
        <w:rPr>
          <w:rFonts w:cs="Arial"/>
          <w:u w:val="single"/>
        </w:rPr>
      </w:pPr>
      <w:r w:rsidRPr="000B1F81">
        <w:rPr>
          <w:rFonts w:cs="Arial"/>
          <w:highlight w:val="lightGray"/>
          <w:u w:val="single"/>
        </w:rPr>
        <w:t xml:space="preserve">(d) </w:t>
      </w:r>
      <w:r w:rsidRPr="000B1F81">
        <w:rPr>
          <w:rFonts w:cs="Arial"/>
          <w:highlight w:val="lightGray"/>
          <w:u w:val="single"/>
        </w:rPr>
        <w:tab/>
      </w:r>
      <w:proofErr w:type="gramStart"/>
      <w:r w:rsidRPr="000B1F81">
        <w:rPr>
          <w:rFonts w:cs="Arial"/>
          <w:highlight w:val="lightGray"/>
          <w:u w:val="single"/>
        </w:rPr>
        <w:t>the</w:t>
      </w:r>
      <w:proofErr w:type="gramEnd"/>
      <w:r w:rsidRPr="000B1F81">
        <w:rPr>
          <w:rFonts w:cs="Arial"/>
          <w:highlight w:val="lightGray"/>
          <w:u w:val="single"/>
        </w:rPr>
        <w:t xml:space="preserve"> production</w:t>
      </w:r>
      <w:r w:rsidR="00447B71" w:rsidRPr="000B1F81">
        <w:rPr>
          <w:rFonts w:cs="Arial"/>
          <w:highlight w:val="lightGray"/>
          <w:u w:val="single"/>
        </w:rPr>
        <w:t>, selling or marketing</w:t>
      </w:r>
      <w:r w:rsidRPr="000B1F81">
        <w:rPr>
          <w:rFonts w:cs="Arial"/>
          <w:highlight w:val="lightGray"/>
          <w:u w:val="single"/>
        </w:rPr>
        <w:t xml:space="preserve"> of harvested material</w:t>
      </w:r>
      <w:r w:rsidR="00B6684D" w:rsidRPr="000B1F81">
        <w:rPr>
          <w:rFonts w:cs="Arial"/>
          <w:highlight w:val="lightGray"/>
          <w:u w:val="single"/>
        </w:rPr>
        <w:t xml:space="preserve"> </w:t>
      </w:r>
      <w:r w:rsidR="008E13E8">
        <w:rPr>
          <w:rFonts w:cs="Arial"/>
          <w:highlight w:val="lightGray"/>
          <w:u w:val="single"/>
        </w:rPr>
        <w:t>was</w:t>
      </w:r>
      <w:r w:rsidR="008E13E8" w:rsidRPr="000B1F81">
        <w:rPr>
          <w:rFonts w:cs="Arial"/>
          <w:highlight w:val="lightGray"/>
          <w:u w:val="single"/>
        </w:rPr>
        <w:t xml:space="preserve"> </w:t>
      </w:r>
      <w:r w:rsidR="00B6684D" w:rsidRPr="000B1F81">
        <w:rPr>
          <w:rFonts w:cs="Arial"/>
          <w:highlight w:val="lightGray"/>
          <w:u w:val="single"/>
        </w:rPr>
        <w:t>in breach of the conditions or limitations</w:t>
      </w:r>
      <w:r w:rsidR="00F7475A" w:rsidRPr="000B1F81">
        <w:rPr>
          <w:rFonts w:cs="Arial"/>
          <w:highlight w:val="lightGray"/>
          <w:u w:val="single"/>
        </w:rPr>
        <w:t xml:space="preserve"> set by the breeder as a condition for </w:t>
      </w:r>
      <w:r w:rsidR="00AC6EA0" w:rsidRPr="000B1F81">
        <w:rPr>
          <w:rFonts w:cs="Arial"/>
          <w:highlight w:val="lightGray"/>
          <w:u w:val="single"/>
        </w:rPr>
        <w:t xml:space="preserve">authorization or </w:t>
      </w:r>
      <w:r w:rsidR="00F7475A" w:rsidRPr="000B1F81">
        <w:rPr>
          <w:rFonts w:cs="Arial"/>
          <w:highlight w:val="lightGray"/>
          <w:u w:val="single"/>
        </w:rPr>
        <w:t>consent</w:t>
      </w:r>
      <w:r w:rsidR="00D90EE3" w:rsidRPr="00A14D5B">
        <w:rPr>
          <w:rFonts w:cs="Arial"/>
          <w:b/>
          <w:highlight w:val="lightGray"/>
          <w:u w:val="single"/>
          <w:vertAlign w:val="superscript"/>
        </w:rPr>
        <w:t>1</w:t>
      </w:r>
      <w:r w:rsidR="000B1F81" w:rsidRPr="000B1F81">
        <w:rPr>
          <w:rFonts w:cs="Arial"/>
          <w:highlight w:val="lightGray"/>
          <w:u w:val="single"/>
        </w:rPr>
        <w:t>.</w:t>
      </w:r>
    </w:p>
    <w:p w:rsidR="00127E12" w:rsidRDefault="00127E12" w:rsidP="007502F5">
      <w:pPr>
        <w:ind w:left="540"/>
      </w:pPr>
    </w:p>
    <w:p w:rsidR="00127E12" w:rsidRDefault="002401C9" w:rsidP="007502F5">
      <w:pPr>
        <w:ind w:left="540" w:firstLine="540"/>
      </w:pPr>
      <w:r w:rsidRPr="00284138">
        <w:rPr>
          <w:highlight w:val="lightGray"/>
          <w:u w:val="single"/>
        </w:rPr>
        <w:t xml:space="preserve">The </w:t>
      </w:r>
      <w:r>
        <w:rPr>
          <w:highlight w:val="lightGray"/>
          <w:u w:val="single"/>
        </w:rPr>
        <w:t xml:space="preserve">above </w:t>
      </w:r>
      <w:r w:rsidRPr="00284138">
        <w:rPr>
          <w:highlight w:val="lightGray"/>
          <w:u w:val="single"/>
        </w:rPr>
        <w:t xml:space="preserve">factors should be considered in the context of </w:t>
      </w:r>
      <w:r>
        <w:rPr>
          <w:highlight w:val="lightGray"/>
          <w:u w:val="single"/>
        </w:rPr>
        <w:t>the</w:t>
      </w:r>
      <w:r w:rsidRPr="00284138">
        <w:rPr>
          <w:highlight w:val="lightGray"/>
          <w:u w:val="single"/>
        </w:rPr>
        <w:t xml:space="preserve"> member of the Union </w:t>
      </w:r>
      <w:r>
        <w:rPr>
          <w:highlight w:val="lightGray"/>
          <w:u w:val="single"/>
        </w:rPr>
        <w:t xml:space="preserve">concerned </w:t>
      </w:r>
      <w:r w:rsidRPr="00284138">
        <w:rPr>
          <w:highlight w:val="lightGray"/>
          <w:u w:val="single"/>
        </w:rPr>
        <w:t>and the particular circumstances.</w:t>
      </w:r>
    </w:p>
    <w:p w:rsidR="00E4589D" w:rsidRDefault="00E4589D" w:rsidP="007502F5">
      <w:pPr>
        <w:ind w:left="540"/>
      </w:pPr>
    </w:p>
    <w:p w:rsidR="007502F5" w:rsidRDefault="007502F5" w:rsidP="007502F5">
      <w:pPr>
        <w:ind w:left="540"/>
      </w:pPr>
    </w:p>
    <w:p w:rsidR="0040494E" w:rsidRDefault="00114517" w:rsidP="0040494E">
      <w:pPr>
        <w:pStyle w:val="Heading2"/>
      </w:pPr>
      <w:bookmarkStart w:id="11" w:name="_Toc127535884"/>
      <w:r>
        <w:t>Invitation for the provision of examples</w:t>
      </w:r>
      <w:r w:rsidR="0040494E" w:rsidRPr="0040494E">
        <w:t xml:space="preserve"> agreed at the </w:t>
      </w:r>
      <w:r w:rsidR="0040494E">
        <w:t>second</w:t>
      </w:r>
      <w:r w:rsidR="0040494E" w:rsidRPr="0040494E">
        <w:t xml:space="preserve"> meeting of the WG-HRV</w:t>
      </w:r>
      <w:bookmarkEnd w:id="11"/>
    </w:p>
    <w:p w:rsidR="00114517" w:rsidRPr="005C6424" w:rsidRDefault="00114517" w:rsidP="00797033"/>
    <w:p w:rsidR="00077523" w:rsidRPr="00077523" w:rsidRDefault="00077523" w:rsidP="00077523">
      <w:r w:rsidRPr="00A14D5B">
        <w:rPr>
          <w:spacing w:val="-4"/>
        </w:rPr>
        <w:fldChar w:fldCharType="begin"/>
      </w:r>
      <w:r w:rsidRPr="00A14D5B">
        <w:rPr>
          <w:spacing w:val="-4"/>
        </w:rPr>
        <w:instrText xml:space="preserve"> AUTONUM  </w:instrText>
      </w:r>
      <w:r w:rsidRPr="00A14D5B">
        <w:rPr>
          <w:spacing w:val="-4"/>
        </w:rPr>
        <w:fldChar w:fldCharType="end"/>
      </w:r>
      <w:r w:rsidRPr="005C6424">
        <w:rPr>
          <w:spacing w:val="-4"/>
        </w:rPr>
        <w:tab/>
      </w:r>
      <w:r w:rsidR="00780A77">
        <w:t xml:space="preserve">On the basis of the discussions of the </w:t>
      </w:r>
      <w:r w:rsidR="00780A77" w:rsidRPr="00077523">
        <w:t>WG-HRV</w:t>
      </w:r>
      <w:r w:rsidR="00780A77">
        <w:t xml:space="preserve"> at its second meeting (see above section “</w:t>
      </w:r>
      <w:r w:rsidR="00780A77" w:rsidRPr="00780A77">
        <w:t>Other pe</w:t>
      </w:r>
      <w:r w:rsidR="0017407D">
        <w:t>rspectives of ‘unauthorized use’</w:t>
      </w:r>
      <w:r w:rsidR="00780A77" w:rsidRPr="00780A77">
        <w:t xml:space="preserve"> for consideration by the WG-HRV</w:t>
      </w:r>
      <w:r w:rsidR="00780A77">
        <w:t>”), t</w:t>
      </w:r>
      <w:r w:rsidRPr="00077523">
        <w:t>he WG-HRV</w:t>
      </w:r>
      <w:r>
        <w:rPr>
          <w:spacing w:val="-2"/>
        </w:rPr>
        <w:t xml:space="preserve"> </w:t>
      </w:r>
      <w:r w:rsidRPr="00077523">
        <w:t>ag</w:t>
      </w:r>
      <w:r w:rsidR="00780A77">
        <w:t>reed that the members of the WG</w:t>
      </w:r>
      <w:r w:rsidR="00780A77">
        <w:noBreakHyphen/>
      </w:r>
      <w:r w:rsidRPr="00077523">
        <w:t xml:space="preserve">HRV would provide examples of their understanding </w:t>
      </w:r>
      <w:r w:rsidRPr="00114517">
        <w:t>on those provisions</w:t>
      </w:r>
      <w:r w:rsidRPr="00077523">
        <w:t xml:space="preserve"> and how their understanding would impact the ability of breeders to exercise their rights in the territory</w:t>
      </w:r>
      <w:r>
        <w:t xml:space="preserve"> (see document WG</w:t>
      </w:r>
      <w:r>
        <w:noBreakHyphen/>
        <w:t>HRV/2/6 “Draft Report”, paragraph 33).</w:t>
      </w:r>
      <w:r w:rsidR="00935FBB">
        <w:t xml:space="preserve">  The circular posting this document will also include an invitation to provide the above examples.</w:t>
      </w:r>
    </w:p>
    <w:p w:rsidR="0040494E" w:rsidRDefault="0040494E">
      <w:pPr>
        <w:jc w:val="left"/>
      </w:pPr>
    </w:p>
    <w:p w:rsidR="00797033" w:rsidRPr="00A14D5B" w:rsidRDefault="00077523" w:rsidP="00077523">
      <w:pPr>
        <w:jc w:val="left"/>
      </w:pPr>
      <w:r w:rsidRPr="005C6424">
        <w:rPr>
          <w:spacing w:val="-4"/>
        </w:rPr>
        <w:fldChar w:fldCharType="begin"/>
      </w:r>
      <w:r w:rsidRPr="005C6424">
        <w:rPr>
          <w:spacing w:val="-4"/>
        </w:rPr>
        <w:instrText xml:space="preserve"> AUTONUM  </w:instrText>
      </w:r>
      <w:r w:rsidRPr="005C6424">
        <w:rPr>
          <w:spacing w:val="-4"/>
        </w:rPr>
        <w:fldChar w:fldCharType="end"/>
      </w:r>
      <w:r w:rsidRPr="005C6424">
        <w:rPr>
          <w:spacing w:val="-4"/>
        </w:rPr>
        <w:tab/>
      </w:r>
      <w:r w:rsidR="00935FBB">
        <w:rPr>
          <w:spacing w:val="-4"/>
        </w:rPr>
        <w:t>Examples in reply to the c</w:t>
      </w:r>
      <w:r>
        <w:rPr>
          <w:spacing w:val="-4"/>
        </w:rPr>
        <w:t>ircular</w:t>
      </w:r>
      <w:r w:rsidR="0040494E">
        <w:rPr>
          <w:spacing w:val="-4"/>
        </w:rPr>
        <w:t>,</w:t>
      </w:r>
      <w:r>
        <w:rPr>
          <w:spacing w:val="-4"/>
        </w:rPr>
        <w:t xml:space="preserve"> as set out in paragraph </w:t>
      </w:r>
      <w:r w:rsidR="00B75DAD" w:rsidRPr="00A14D5B">
        <w:rPr>
          <w:spacing w:val="-4"/>
        </w:rPr>
        <w:t>9</w:t>
      </w:r>
      <w:r w:rsidR="0040494E" w:rsidRPr="00A14D5B">
        <w:rPr>
          <w:spacing w:val="-4"/>
        </w:rPr>
        <w:t xml:space="preserve"> of this document</w:t>
      </w:r>
      <w:r w:rsidRPr="00A14D5B">
        <w:rPr>
          <w:spacing w:val="-4"/>
        </w:rPr>
        <w:t>, will be presented as an addendum to this document.</w:t>
      </w:r>
    </w:p>
    <w:p w:rsidR="00050E16" w:rsidRPr="00A14D5B" w:rsidRDefault="00050E16" w:rsidP="00050E16"/>
    <w:p w:rsidR="00962161" w:rsidRPr="00A14D5B" w:rsidRDefault="00962161" w:rsidP="00962161">
      <w:pPr>
        <w:tabs>
          <w:tab w:val="left" w:pos="5387"/>
          <w:tab w:val="left" w:pos="5954"/>
        </w:tabs>
        <w:ind w:left="4820"/>
        <w:rPr>
          <w:rFonts w:cs="Arial"/>
          <w:i/>
        </w:rPr>
      </w:pPr>
      <w:r w:rsidRPr="00A14D5B">
        <w:rPr>
          <w:rFonts w:cs="Arial"/>
          <w:i/>
        </w:rPr>
        <w:fldChar w:fldCharType="begin"/>
      </w:r>
      <w:r w:rsidRPr="00A14D5B">
        <w:rPr>
          <w:rFonts w:cs="Arial"/>
          <w:i/>
        </w:rPr>
        <w:instrText xml:space="preserve"> AUTONUM  </w:instrText>
      </w:r>
      <w:r w:rsidRPr="00A14D5B">
        <w:rPr>
          <w:rFonts w:cs="Arial"/>
          <w:i/>
        </w:rPr>
        <w:fldChar w:fldCharType="end"/>
      </w:r>
      <w:r w:rsidRPr="00A14D5B">
        <w:rPr>
          <w:rFonts w:cs="Arial"/>
          <w:i/>
        </w:rPr>
        <w:tab/>
        <w:t xml:space="preserve">The </w:t>
      </w:r>
      <w:r w:rsidRPr="00A14D5B">
        <w:rPr>
          <w:i/>
          <w:snapToGrid w:val="0"/>
          <w:spacing w:val="-2"/>
        </w:rPr>
        <w:t>WG-HRV</w:t>
      </w:r>
      <w:r w:rsidRPr="00A14D5B">
        <w:rPr>
          <w:rFonts w:cs="Arial"/>
          <w:i/>
        </w:rPr>
        <w:t xml:space="preserve"> is invited to:</w:t>
      </w:r>
    </w:p>
    <w:p w:rsidR="00962161" w:rsidRPr="00A14D5B" w:rsidRDefault="00962161" w:rsidP="00114517">
      <w:pPr>
        <w:tabs>
          <w:tab w:val="left" w:pos="5387"/>
          <w:tab w:val="left" w:pos="5954"/>
        </w:tabs>
        <w:rPr>
          <w:rFonts w:cs="Arial"/>
          <w:i/>
        </w:rPr>
      </w:pPr>
    </w:p>
    <w:p w:rsidR="00962161" w:rsidRDefault="00962161" w:rsidP="00962161">
      <w:pPr>
        <w:tabs>
          <w:tab w:val="left" w:pos="5387"/>
          <w:tab w:val="left" w:pos="5954"/>
        </w:tabs>
        <w:ind w:left="4824"/>
        <w:rPr>
          <w:rFonts w:cs="Arial"/>
          <w:i/>
        </w:rPr>
      </w:pPr>
      <w:r w:rsidRPr="00A14D5B">
        <w:rPr>
          <w:rFonts w:cs="Arial"/>
          <w:i/>
        </w:rPr>
        <w:tab/>
      </w:r>
      <w:r w:rsidR="00114517" w:rsidRPr="00A14D5B">
        <w:rPr>
          <w:rFonts w:cs="Arial"/>
          <w:i/>
        </w:rPr>
        <w:t>(a</w:t>
      </w:r>
      <w:r w:rsidRPr="00A14D5B">
        <w:rPr>
          <w:rFonts w:cs="Arial"/>
          <w:i/>
        </w:rPr>
        <w:t>)</w:t>
      </w:r>
      <w:r w:rsidRPr="00A14D5B">
        <w:rPr>
          <w:rFonts w:cs="Arial"/>
          <w:i/>
        </w:rPr>
        <w:tab/>
      </w:r>
      <w:r w:rsidR="00077523" w:rsidRPr="00A14D5B">
        <w:rPr>
          <w:rFonts w:cs="Arial"/>
          <w:i/>
        </w:rPr>
        <w:t xml:space="preserve">note that </w:t>
      </w:r>
      <w:r w:rsidR="00780A77" w:rsidRPr="00A14D5B">
        <w:rPr>
          <w:rFonts w:cs="Arial"/>
          <w:i/>
        </w:rPr>
        <w:t xml:space="preserve">the </w:t>
      </w:r>
      <w:r w:rsidR="0017407D">
        <w:rPr>
          <w:rFonts w:cs="Arial"/>
          <w:i/>
        </w:rPr>
        <w:t>examples in reply to the c</w:t>
      </w:r>
      <w:r w:rsidR="00077523" w:rsidRPr="00A14D5B">
        <w:rPr>
          <w:rFonts w:cs="Arial"/>
          <w:i/>
        </w:rPr>
        <w:t>ircular</w:t>
      </w:r>
      <w:r w:rsidR="0040494E" w:rsidRPr="00A14D5B">
        <w:rPr>
          <w:rFonts w:cs="Arial"/>
          <w:i/>
        </w:rPr>
        <w:t>,</w:t>
      </w:r>
      <w:r w:rsidR="00077523" w:rsidRPr="00A14D5B">
        <w:rPr>
          <w:rFonts w:cs="Arial"/>
          <w:i/>
        </w:rPr>
        <w:t xml:space="preserve"> as set out in paragraph </w:t>
      </w:r>
      <w:r w:rsidR="00B75DAD" w:rsidRPr="00A14D5B">
        <w:rPr>
          <w:rFonts w:cs="Arial"/>
          <w:i/>
        </w:rPr>
        <w:t>9</w:t>
      </w:r>
      <w:r w:rsidR="0040494E" w:rsidRPr="00A14D5B">
        <w:t xml:space="preserve"> </w:t>
      </w:r>
      <w:r w:rsidR="0040494E" w:rsidRPr="00A14D5B">
        <w:rPr>
          <w:rFonts w:cs="Arial"/>
          <w:i/>
        </w:rPr>
        <w:t>of</w:t>
      </w:r>
      <w:r w:rsidR="0040494E" w:rsidRPr="0040494E">
        <w:rPr>
          <w:rFonts w:cs="Arial"/>
          <w:i/>
        </w:rPr>
        <w:t xml:space="preserve"> this document</w:t>
      </w:r>
      <w:r w:rsidR="0040494E">
        <w:rPr>
          <w:rFonts w:cs="Arial"/>
          <w:i/>
        </w:rPr>
        <w:t>,</w:t>
      </w:r>
      <w:r w:rsidR="00077523" w:rsidRPr="00077523">
        <w:rPr>
          <w:rFonts w:cs="Arial"/>
          <w:i/>
        </w:rPr>
        <w:t xml:space="preserve"> will be presented </w:t>
      </w:r>
      <w:r w:rsidR="00077523">
        <w:rPr>
          <w:rFonts w:cs="Arial"/>
          <w:i/>
        </w:rPr>
        <w:t>as an addendum to this document</w:t>
      </w:r>
      <w:r w:rsidR="00935FBB">
        <w:rPr>
          <w:rFonts w:cs="Arial"/>
          <w:i/>
        </w:rPr>
        <w:t xml:space="preserve"> and will also be made available on the UPOV website</w:t>
      </w:r>
      <w:r w:rsidR="00935FBB" w:rsidRPr="0040494E">
        <w:rPr>
          <w:rFonts w:cs="Arial"/>
          <w:i/>
        </w:rPr>
        <w:t xml:space="preserve">:  </w:t>
      </w:r>
      <w:hyperlink r:id="rId10" w:history="1">
        <w:r w:rsidR="00935FBB" w:rsidRPr="0040494E">
          <w:rPr>
            <w:rStyle w:val="Hyperlink"/>
            <w:rFonts w:cs="Arial"/>
            <w:i/>
          </w:rPr>
          <w:t>https://www.upov.int/meetings/en/details.jsp?meeting_id=74773</w:t>
        </w:r>
      </w:hyperlink>
      <w:r w:rsidR="00114517">
        <w:rPr>
          <w:rFonts w:cs="Arial"/>
          <w:i/>
        </w:rPr>
        <w:t>;</w:t>
      </w:r>
      <w:r w:rsidR="00267C2B">
        <w:rPr>
          <w:rFonts w:cs="Arial"/>
          <w:i/>
        </w:rPr>
        <w:t xml:space="preserve"> and</w:t>
      </w:r>
    </w:p>
    <w:p w:rsidR="00114517" w:rsidRDefault="00114517" w:rsidP="00962161">
      <w:pPr>
        <w:tabs>
          <w:tab w:val="left" w:pos="5387"/>
          <w:tab w:val="left" w:pos="5954"/>
        </w:tabs>
        <w:ind w:left="4824"/>
        <w:rPr>
          <w:rFonts w:cs="Arial"/>
          <w:i/>
        </w:rPr>
      </w:pPr>
    </w:p>
    <w:p w:rsidR="00114517" w:rsidRDefault="00114517" w:rsidP="00114517">
      <w:pPr>
        <w:tabs>
          <w:tab w:val="left" w:pos="5387"/>
          <w:tab w:val="left" w:pos="5954"/>
        </w:tabs>
        <w:ind w:left="4824"/>
        <w:rPr>
          <w:rFonts w:cs="Arial"/>
          <w:i/>
        </w:rPr>
      </w:pPr>
      <w:r>
        <w:rPr>
          <w:rFonts w:cs="Arial"/>
          <w:i/>
        </w:rPr>
        <w:tab/>
        <w:t>(b</w:t>
      </w:r>
      <w:r w:rsidRPr="00521043">
        <w:rPr>
          <w:rFonts w:cs="Arial"/>
          <w:i/>
        </w:rPr>
        <w:t>)</w:t>
      </w:r>
      <w:r w:rsidRPr="00521043">
        <w:rPr>
          <w:rFonts w:cs="Arial"/>
          <w:i/>
        </w:rPr>
        <w:tab/>
      </w:r>
      <w:proofErr w:type="gramStart"/>
      <w:r>
        <w:rPr>
          <w:rFonts w:cs="Arial"/>
          <w:i/>
        </w:rPr>
        <w:t>consider</w:t>
      </w:r>
      <w:proofErr w:type="gramEnd"/>
      <w:r w:rsidRPr="00521043">
        <w:rPr>
          <w:rFonts w:cs="Arial"/>
          <w:i/>
        </w:rPr>
        <w:t xml:space="preserve"> </w:t>
      </w:r>
      <w:r w:rsidR="008E13E8">
        <w:rPr>
          <w:rFonts w:cs="Arial"/>
          <w:i/>
        </w:rPr>
        <w:t xml:space="preserve">the proposal in paragraph 8 of </w:t>
      </w:r>
      <w:r w:rsidRPr="00521043">
        <w:rPr>
          <w:rFonts w:cs="Arial"/>
          <w:i/>
        </w:rPr>
        <w:t>this document</w:t>
      </w:r>
      <w:r w:rsidR="00267C2B">
        <w:rPr>
          <w:rFonts w:cs="Arial"/>
          <w:i/>
        </w:rPr>
        <w:t>.</w:t>
      </w:r>
    </w:p>
    <w:p w:rsidR="00962161" w:rsidRDefault="00962161" w:rsidP="00962161">
      <w:pPr>
        <w:rPr>
          <w:snapToGrid w:val="0"/>
        </w:rPr>
      </w:pPr>
    </w:p>
    <w:p w:rsidR="003D7754" w:rsidRDefault="003D7754" w:rsidP="00962161">
      <w:pPr>
        <w:rPr>
          <w:snapToGrid w:val="0"/>
        </w:rPr>
      </w:pPr>
    </w:p>
    <w:p w:rsidR="00962161" w:rsidRDefault="00962161" w:rsidP="00962161">
      <w:pPr>
        <w:jc w:val="right"/>
        <w:rPr>
          <w:snapToGrid w:val="0"/>
        </w:rPr>
      </w:pPr>
      <w:r>
        <w:rPr>
          <w:snapToGrid w:val="0"/>
        </w:rPr>
        <w:t>[</w:t>
      </w:r>
      <w:r w:rsidR="0040494E">
        <w:rPr>
          <w:snapToGrid w:val="0"/>
        </w:rPr>
        <w:t>End of document</w:t>
      </w:r>
      <w:r>
        <w:rPr>
          <w:snapToGrid w:val="0"/>
        </w:rPr>
        <w:t>]</w:t>
      </w:r>
    </w:p>
    <w:p w:rsidR="00666DA5" w:rsidRDefault="00666DA5">
      <w:pPr>
        <w:jc w:val="left"/>
      </w:pPr>
    </w:p>
    <w:sectPr w:rsidR="00666DA5"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EC1" w:rsidRDefault="00693EC1" w:rsidP="006655D3">
      <w:r>
        <w:separator/>
      </w:r>
    </w:p>
    <w:p w:rsidR="00693EC1" w:rsidRDefault="00693EC1" w:rsidP="006655D3"/>
    <w:p w:rsidR="00693EC1" w:rsidRDefault="00693EC1" w:rsidP="006655D3"/>
  </w:endnote>
  <w:endnote w:type="continuationSeparator" w:id="0">
    <w:p w:rsidR="00693EC1" w:rsidRDefault="00693EC1" w:rsidP="006655D3">
      <w:r>
        <w:separator/>
      </w:r>
    </w:p>
    <w:p w:rsidR="00693EC1" w:rsidRPr="00294751" w:rsidRDefault="00693EC1">
      <w:pPr>
        <w:pStyle w:val="Footer"/>
        <w:spacing w:after="60"/>
        <w:rPr>
          <w:sz w:val="18"/>
          <w:lang w:val="fr-FR"/>
        </w:rPr>
      </w:pPr>
      <w:r w:rsidRPr="00294751">
        <w:rPr>
          <w:sz w:val="18"/>
          <w:lang w:val="fr-FR"/>
        </w:rPr>
        <w:t>[Suite de la note de la page précédente]</w:t>
      </w:r>
    </w:p>
    <w:p w:rsidR="00693EC1" w:rsidRPr="00294751" w:rsidRDefault="00693EC1" w:rsidP="006655D3">
      <w:pPr>
        <w:rPr>
          <w:lang w:val="fr-FR"/>
        </w:rPr>
      </w:pPr>
    </w:p>
    <w:p w:rsidR="00693EC1" w:rsidRPr="00294751" w:rsidRDefault="00693EC1" w:rsidP="006655D3">
      <w:pPr>
        <w:rPr>
          <w:lang w:val="fr-FR"/>
        </w:rPr>
      </w:pPr>
    </w:p>
  </w:endnote>
  <w:endnote w:type="continuationNotice" w:id="1">
    <w:p w:rsidR="00693EC1" w:rsidRPr="00294751" w:rsidRDefault="00693EC1" w:rsidP="006655D3">
      <w:pPr>
        <w:rPr>
          <w:lang w:val="fr-FR"/>
        </w:rPr>
      </w:pPr>
      <w:r w:rsidRPr="00294751">
        <w:rPr>
          <w:lang w:val="fr-FR"/>
        </w:rPr>
        <w:t>[Suite de la note page suivante]</w:t>
      </w:r>
    </w:p>
    <w:p w:rsidR="00693EC1" w:rsidRPr="00294751" w:rsidRDefault="00693EC1" w:rsidP="006655D3">
      <w:pPr>
        <w:rPr>
          <w:lang w:val="fr-FR"/>
        </w:rPr>
      </w:pPr>
    </w:p>
    <w:p w:rsidR="00693EC1" w:rsidRPr="00294751" w:rsidRDefault="00693EC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EC1" w:rsidRDefault="00693EC1" w:rsidP="006655D3">
      <w:r>
        <w:separator/>
      </w:r>
    </w:p>
  </w:footnote>
  <w:footnote w:type="continuationSeparator" w:id="0">
    <w:p w:rsidR="00693EC1" w:rsidRDefault="00693EC1" w:rsidP="006655D3">
      <w:r>
        <w:separator/>
      </w:r>
    </w:p>
  </w:footnote>
  <w:footnote w:type="continuationNotice" w:id="1">
    <w:p w:rsidR="00693EC1" w:rsidRPr="00AB530F" w:rsidRDefault="00693EC1" w:rsidP="00AB530F">
      <w:pPr>
        <w:pStyle w:val="Footer"/>
      </w:pPr>
    </w:p>
  </w:footnote>
  <w:footnote w:id="2">
    <w:p w:rsidR="000B1F81" w:rsidRDefault="000B1F81">
      <w:pPr>
        <w:pStyle w:val="FootnoteText"/>
      </w:pPr>
      <w:r>
        <w:rPr>
          <w:rStyle w:val="FootnoteReference"/>
        </w:rPr>
        <w:footnoteRef/>
      </w:r>
      <w:r>
        <w:t xml:space="preserve"> </w:t>
      </w:r>
      <w:r w:rsidR="00D90EE3">
        <w:tab/>
        <w:t xml:space="preserve">During the preparatory work for the 1991 Diplomatic Conference </w:t>
      </w:r>
      <w:r w:rsidR="00D90EE3" w:rsidRPr="00D90EE3">
        <w:t xml:space="preserve">the term “consent” was changed by “authorization” in the scope of the right: </w:t>
      </w:r>
      <w:r w:rsidR="00D90EE3">
        <w:t xml:space="preserve"> “</w:t>
      </w:r>
      <w:r w:rsidR="003D7754">
        <w:t xml:space="preserve">74.  </w:t>
      </w:r>
      <w:r w:rsidR="00D90EE3" w:rsidRPr="00D90EE3">
        <w:t>Several delegations observed that the wording proposed by the Office of the Union now spoke of ‘authorization’ whereas the draft was based on the notion of ‘consent’. It was noted that the intention was not to m</w:t>
      </w:r>
      <w:r w:rsidR="00D90EE3">
        <w:t xml:space="preserve">odify the text in substance […]” (see </w:t>
      </w:r>
      <w:r w:rsidR="00D90EE3" w:rsidRPr="00D90EE3">
        <w:t>do</w:t>
      </w:r>
      <w:r w:rsidR="00A14D5B">
        <w:t xml:space="preserve">cument CAJ/27/8 “Report”, paragraph 74, </w:t>
      </w:r>
      <w:r w:rsidR="00D90EE3">
        <w:t xml:space="preserve">and </w:t>
      </w:r>
      <w:r w:rsidR="00D90EE3" w:rsidRPr="00D90EE3">
        <w:t>document WG-HR</w:t>
      </w:r>
      <w:r w:rsidR="00D90EE3">
        <w:t>V/2/6 “Draft Report”, paragraph 18</w:t>
      </w:r>
      <w:r w:rsidR="00D90EE3" w:rsidRPr="00D90EE3">
        <w:t>)</w:t>
      </w:r>
      <w:r w:rsidR="00D90EE3">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3877CC" w:rsidP="00EB048E">
    <w:pPr>
      <w:pStyle w:val="Header"/>
      <w:rPr>
        <w:rStyle w:val="PageNumber"/>
        <w:lang w:val="en-US"/>
      </w:rPr>
    </w:pPr>
    <w:r>
      <w:rPr>
        <w:rStyle w:val="PageNumber"/>
        <w:lang w:val="en-US"/>
      </w:rPr>
      <w:t>WG-</w:t>
    </w:r>
    <w:r w:rsidR="00031341">
      <w:rPr>
        <w:rStyle w:val="PageNumber"/>
        <w:lang w:val="en-US"/>
      </w:rPr>
      <w:t>HRV</w:t>
    </w:r>
    <w:r>
      <w:rPr>
        <w:rStyle w:val="PageNumber"/>
        <w:lang w:val="en-US"/>
      </w:rPr>
      <w:t>/</w:t>
    </w:r>
    <w:r w:rsidR="00031341">
      <w:rPr>
        <w:rStyle w:val="PageNumber"/>
        <w:lang w:val="en-US"/>
      </w:rPr>
      <w:t>3/3</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76CBA">
      <w:rPr>
        <w:rStyle w:val="PageNumber"/>
        <w:noProof/>
        <w:lang w:val="en-US"/>
      </w:rPr>
      <w:t>4</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E48B6"/>
    <w:multiLevelType w:val="hybridMultilevel"/>
    <w:tmpl w:val="42B2377A"/>
    <w:lvl w:ilvl="0" w:tplc="C0C6DE64">
      <w:start w:val="4"/>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5945DF4"/>
    <w:multiLevelType w:val="hybridMultilevel"/>
    <w:tmpl w:val="FBA69184"/>
    <w:lvl w:ilvl="0" w:tplc="A684AE4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C1"/>
    <w:rsid w:val="00010CF3"/>
    <w:rsid w:val="00011E27"/>
    <w:rsid w:val="000148BC"/>
    <w:rsid w:val="00024AB8"/>
    <w:rsid w:val="00030854"/>
    <w:rsid w:val="00031341"/>
    <w:rsid w:val="00036028"/>
    <w:rsid w:val="00044642"/>
    <w:rsid w:val="000446B9"/>
    <w:rsid w:val="000452DC"/>
    <w:rsid w:val="00047E21"/>
    <w:rsid w:val="00050E16"/>
    <w:rsid w:val="00077523"/>
    <w:rsid w:val="00085505"/>
    <w:rsid w:val="000B1F81"/>
    <w:rsid w:val="000B2E15"/>
    <w:rsid w:val="000C4E25"/>
    <w:rsid w:val="000C7021"/>
    <w:rsid w:val="000D2764"/>
    <w:rsid w:val="000D6BBC"/>
    <w:rsid w:val="000D7780"/>
    <w:rsid w:val="000E636A"/>
    <w:rsid w:val="000F2F11"/>
    <w:rsid w:val="00105929"/>
    <w:rsid w:val="00110C36"/>
    <w:rsid w:val="001131D5"/>
    <w:rsid w:val="00114517"/>
    <w:rsid w:val="00127E12"/>
    <w:rsid w:val="00141DB8"/>
    <w:rsid w:val="00172084"/>
    <w:rsid w:val="0017407D"/>
    <w:rsid w:val="0017474A"/>
    <w:rsid w:val="001758C6"/>
    <w:rsid w:val="00182B99"/>
    <w:rsid w:val="001C1525"/>
    <w:rsid w:val="001D0CF7"/>
    <w:rsid w:val="001E539A"/>
    <w:rsid w:val="001E6B99"/>
    <w:rsid w:val="001F3AC2"/>
    <w:rsid w:val="0021332C"/>
    <w:rsid w:val="00213982"/>
    <w:rsid w:val="002401C9"/>
    <w:rsid w:val="0024416D"/>
    <w:rsid w:val="00267C2B"/>
    <w:rsid w:val="00271911"/>
    <w:rsid w:val="002800A0"/>
    <w:rsid w:val="002801B3"/>
    <w:rsid w:val="00281060"/>
    <w:rsid w:val="00284138"/>
    <w:rsid w:val="002940E8"/>
    <w:rsid w:val="00294751"/>
    <w:rsid w:val="002A6E50"/>
    <w:rsid w:val="002B4298"/>
    <w:rsid w:val="002C256A"/>
    <w:rsid w:val="002D6675"/>
    <w:rsid w:val="00305A7F"/>
    <w:rsid w:val="003152FE"/>
    <w:rsid w:val="00327436"/>
    <w:rsid w:val="00344BD6"/>
    <w:rsid w:val="0035528D"/>
    <w:rsid w:val="00361821"/>
    <w:rsid w:val="00361E9E"/>
    <w:rsid w:val="003877CC"/>
    <w:rsid w:val="003C7FBE"/>
    <w:rsid w:val="003D227C"/>
    <w:rsid w:val="003D2B4D"/>
    <w:rsid w:val="003D7754"/>
    <w:rsid w:val="0040494E"/>
    <w:rsid w:val="00422032"/>
    <w:rsid w:val="00444A88"/>
    <w:rsid w:val="00447B71"/>
    <w:rsid w:val="00474DA4"/>
    <w:rsid w:val="00476B4D"/>
    <w:rsid w:val="004805FA"/>
    <w:rsid w:val="004935D2"/>
    <w:rsid w:val="00496DE8"/>
    <w:rsid w:val="004B1215"/>
    <w:rsid w:val="004B2158"/>
    <w:rsid w:val="004D047D"/>
    <w:rsid w:val="004F1E9E"/>
    <w:rsid w:val="004F305A"/>
    <w:rsid w:val="00504BD4"/>
    <w:rsid w:val="00512164"/>
    <w:rsid w:val="00520297"/>
    <w:rsid w:val="005338F9"/>
    <w:rsid w:val="0054281C"/>
    <w:rsid w:val="00544581"/>
    <w:rsid w:val="00551703"/>
    <w:rsid w:val="0055268D"/>
    <w:rsid w:val="005568A0"/>
    <w:rsid w:val="00567AED"/>
    <w:rsid w:val="00576BE4"/>
    <w:rsid w:val="005A37EA"/>
    <w:rsid w:val="005A400A"/>
    <w:rsid w:val="005C70A6"/>
    <w:rsid w:val="005D1A60"/>
    <w:rsid w:val="005F7B92"/>
    <w:rsid w:val="00612379"/>
    <w:rsid w:val="006153B6"/>
    <w:rsid w:val="0061555F"/>
    <w:rsid w:val="00636CA6"/>
    <w:rsid w:val="00641200"/>
    <w:rsid w:val="00645CA8"/>
    <w:rsid w:val="006655D3"/>
    <w:rsid w:val="00666DA5"/>
    <w:rsid w:val="00667404"/>
    <w:rsid w:val="00687EB4"/>
    <w:rsid w:val="00693EC1"/>
    <w:rsid w:val="00695C56"/>
    <w:rsid w:val="006A5CDE"/>
    <w:rsid w:val="006A644A"/>
    <w:rsid w:val="006B17D2"/>
    <w:rsid w:val="006C224E"/>
    <w:rsid w:val="006D2C4B"/>
    <w:rsid w:val="006D780A"/>
    <w:rsid w:val="0071271E"/>
    <w:rsid w:val="00732DEC"/>
    <w:rsid w:val="00735BD5"/>
    <w:rsid w:val="007502F5"/>
    <w:rsid w:val="00751613"/>
    <w:rsid w:val="007556F6"/>
    <w:rsid w:val="00760EEF"/>
    <w:rsid w:val="00762A6E"/>
    <w:rsid w:val="00777EE5"/>
    <w:rsid w:val="00780A77"/>
    <w:rsid w:val="007823AC"/>
    <w:rsid w:val="00784836"/>
    <w:rsid w:val="0079023E"/>
    <w:rsid w:val="00797033"/>
    <w:rsid w:val="007A0F84"/>
    <w:rsid w:val="007A2854"/>
    <w:rsid w:val="007B2D5E"/>
    <w:rsid w:val="007C1D92"/>
    <w:rsid w:val="007C4CB9"/>
    <w:rsid w:val="007D0B9D"/>
    <w:rsid w:val="007D19B0"/>
    <w:rsid w:val="007D3DD7"/>
    <w:rsid w:val="007F498F"/>
    <w:rsid w:val="008016D3"/>
    <w:rsid w:val="0080679D"/>
    <w:rsid w:val="008108B0"/>
    <w:rsid w:val="00811B20"/>
    <w:rsid w:val="008211B5"/>
    <w:rsid w:val="0082296E"/>
    <w:rsid w:val="00824099"/>
    <w:rsid w:val="008377D0"/>
    <w:rsid w:val="00840595"/>
    <w:rsid w:val="008443C4"/>
    <w:rsid w:val="00846D7C"/>
    <w:rsid w:val="00867AC1"/>
    <w:rsid w:val="00890DF8"/>
    <w:rsid w:val="008A743F"/>
    <w:rsid w:val="008C0970"/>
    <w:rsid w:val="008C3987"/>
    <w:rsid w:val="008D0BC5"/>
    <w:rsid w:val="008D2CF7"/>
    <w:rsid w:val="008E13E8"/>
    <w:rsid w:val="00900C26"/>
    <w:rsid w:val="0090197F"/>
    <w:rsid w:val="00902C86"/>
    <w:rsid w:val="00903264"/>
    <w:rsid w:val="00906173"/>
    <w:rsid w:val="00906DDC"/>
    <w:rsid w:val="00934E09"/>
    <w:rsid w:val="00935FBB"/>
    <w:rsid w:val="00936253"/>
    <w:rsid w:val="00940D46"/>
    <w:rsid w:val="00943997"/>
    <w:rsid w:val="00952DD4"/>
    <w:rsid w:val="00962161"/>
    <w:rsid w:val="00965AE7"/>
    <w:rsid w:val="00970FED"/>
    <w:rsid w:val="00992D82"/>
    <w:rsid w:val="00997029"/>
    <w:rsid w:val="009A3DBD"/>
    <w:rsid w:val="009A3EE9"/>
    <w:rsid w:val="009A7339"/>
    <w:rsid w:val="009B440E"/>
    <w:rsid w:val="009D690D"/>
    <w:rsid w:val="009E65B6"/>
    <w:rsid w:val="009F77CF"/>
    <w:rsid w:val="00A14D5B"/>
    <w:rsid w:val="00A24C10"/>
    <w:rsid w:val="00A33150"/>
    <w:rsid w:val="00A36805"/>
    <w:rsid w:val="00A42AC3"/>
    <w:rsid w:val="00A430CF"/>
    <w:rsid w:val="00A54309"/>
    <w:rsid w:val="00A76CBA"/>
    <w:rsid w:val="00AB2B93"/>
    <w:rsid w:val="00AB530F"/>
    <w:rsid w:val="00AB7E5B"/>
    <w:rsid w:val="00AC2883"/>
    <w:rsid w:val="00AC6EA0"/>
    <w:rsid w:val="00AE0EF1"/>
    <w:rsid w:val="00AE2937"/>
    <w:rsid w:val="00B07301"/>
    <w:rsid w:val="00B11F3E"/>
    <w:rsid w:val="00B224DE"/>
    <w:rsid w:val="00B324D4"/>
    <w:rsid w:val="00B36169"/>
    <w:rsid w:val="00B46575"/>
    <w:rsid w:val="00B61777"/>
    <w:rsid w:val="00B6684D"/>
    <w:rsid w:val="00B67675"/>
    <w:rsid w:val="00B75DAD"/>
    <w:rsid w:val="00B84BBD"/>
    <w:rsid w:val="00BA43FB"/>
    <w:rsid w:val="00BA528E"/>
    <w:rsid w:val="00BC127D"/>
    <w:rsid w:val="00BC1FE6"/>
    <w:rsid w:val="00C061B6"/>
    <w:rsid w:val="00C2446C"/>
    <w:rsid w:val="00C36AE5"/>
    <w:rsid w:val="00C41F17"/>
    <w:rsid w:val="00C527FA"/>
    <w:rsid w:val="00C5280D"/>
    <w:rsid w:val="00C53EB3"/>
    <w:rsid w:val="00C5791C"/>
    <w:rsid w:val="00C66290"/>
    <w:rsid w:val="00C72B7A"/>
    <w:rsid w:val="00C80642"/>
    <w:rsid w:val="00C973F2"/>
    <w:rsid w:val="00CA304C"/>
    <w:rsid w:val="00CA774A"/>
    <w:rsid w:val="00CC11B0"/>
    <w:rsid w:val="00CC2841"/>
    <w:rsid w:val="00CF1330"/>
    <w:rsid w:val="00CF7E36"/>
    <w:rsid w:val="00D307D1"/>
    <w:rsid w:val="00D36D1E"/>
    <w:rsid w:val="00D3708D"/>
    <w:rsid w:val="00D40426"/>
    <w:rsid w:val="00D57C96"/>
    <w:rsid w:val="00D57D18"/>
    <w:rsid w:val="00D90EE3"/>
    <w:rsid w:val="00D91203"/>
    <w:rsid w:val="00D95174"/>
    <w:rsid w:val="00DA4973"/>
    <w:rsid w:val="00DA6F36"/>
    <w:rsid w:val="00DB596E"/>
    <w:rsid w:val="00DB7773"/>
    <w:rsid w:val="00DC00EA"/>
    <w:rsid w:val="00DC3802"/>
    <w:rsid w:val="00E07D87"/>
    <w:rsid w:val="00E32F7E"/>
    <w:rsid w:val="00E4589D"/>
    <w:rsid w:val="00E5267B"/>
    <w:rsid w:val="00E63C0E"/>
    <w:rsid w:val="00E72D49"/>
    <w:rsid w:val="00E7593C"/>
    <w:rsid w:val="00E7678A"/>
    <w:rsid w:val="00E868D6"/>
    <w:rsid w:val="00E935F1"/>
    <w:rsid w:val="00E93C9E"/>
    <w:rsid w:val="00E94A81"/>
    <w:rsid w:val="00EA04C7"/>
    <w:rsid w:val="00EA1FFB"/>
    <w:rsid w:val="00EB048E"/>
    <w:rsid w:val="00EB4E9C"/>
    <w:rsid w:val="00EE34DF"/>
    <w:rsid w:val="00EE78D4"/>
    <w:rsid w:val="00EF2F89"/>
    <w:rsid w:val="00F03E98"/>
    <w:rsid w:val="00F1237A"/>
    <w:rsid w:val="00F221E0"/>
    <w:rsid w:val="00F22CBD"/>
    <w:rsid w:val="00F27044"/>
    <w:rsid w:val="00F272F1"/>
    <w:rsid w:val="00F45372"/>
    <w:rsid w:val="00F47FD9"/>
    <w:rsid w:val="00F560F7"/>
    <w:rsid w:val="00F6334D"/>
    <w:rsid w:val="00F63599"/>
    <w:rsid w:val="00F7475A"/>
    <w:rsid w:val="00FA49AB"/>
    <w:rsid w:val="00FB26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A5B2044"/>
  <w15:docId w15:val="{4814C92D-8953-4F4E-A2F0-052D2601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4C7"/>
    <w:pPr>
      <w:jc w:val="both"/>
    </w:pPr>
    <w:rPr>
      <w:rFonts w:ascii="Arial" w:hAnsi="Arial"/>
    </w:rPr>
  </w:style>
  <w:style w:type="paragraph" w:styleId="Heading1">
    <w:name w:val="heading 1"/>
    <w:next w:val="Normal"/>
    <w:autoRedefine/>
    <w:qFormat/>
    <w:rsid w:val="00EA04C7"/>
    <w:pPr>
      <w:keepNext/>
      <w:jc w:val="both"/>
      <w:outlineLvl w:val="0"/>
    </w:pPr>
    <w:rPr>
      <w:rFonts w:ascii="Arial" w:hAnsi="Arial"/>
      <w:caps/>
    </w:rPr>
  </w:style>
  <w:style w:type="paragraph" w:styleId="Heading2">
    <w:name w:val="heading 2"/>
    <w:next w:val="Normal"/>
    <w:link w:val="Heading2Char"/>
    <w:autoRedefine/>
    <w:qFormat/>
    <w:rsid w:val="00EA04C7"/>
    <w:pPr>
      <w:keepNext/>
      <w:jc w:val="both"/>
      <w:outlineLvl w:val="1"/>
    </w:pPr>
    <w:rPr>
      <w:rFonts w:ascii="Arial" w:hAnsi="Arial"/>
      <w:u w:val="single"/>
    </w:rPr>
  </w:style>
  <w:style w:type="paragraph" w:styleId="Heading3">
    <w:name w:val="heading 3"/>
    <w:next w:val="Normal"/>
    <w:autoRedefine/>
    <w:qFormat/>
    <w:rsid w:val="00EA04C7"/>
    <w:pPr>
      <w:keepNext/>
      <w:jc w:val="both"/>
      <w:outlineLvl w:val="2"/>
    </w:pPr>
    <w:rPr>
      <w:rFonts w:ascii="Arial" w:hAnsi="Arial"/>
      <w:i/>
    </w:rPr>
  </w:style>
  <w:style w:type="paragraph" w:styleId="Heading4">
    <w:name w:val="heading 4"/>
    <w:next w:val="Normal"/>
    <w:autoRedefine/>
    <w:qFormat/>
    <w:rsid w:val="00EA04C7"/>
    <w:pPr>
      <w:keepNext/>
      <w:ind w:left="567"/>
      <w:jc w:val="both"/>
      <w:outlineLvl w:val="3"/>
    </w:pPr>
    <w:rPr>
      <w:rFonts w:ascii="Arial" w:hAnsi="Arial"/>
      <w:u w:val="single"/>
      <w:lang w:val="fr-FR"/>
    </w:rPr>
  </w:style>
  <w:style w:type="paragraph" w:styleId="Heading5">
    <w:name w:val="heading 5"/>
    <w:next w:val="Normal"/>
    <w:autoRedefine/>
    <w:qFormat/>
    <w:rsid w:val="00EA04C7"/>
    <w:pPr>
      <w:keepNext/>
      <w:ind w:left="1134" w:hanging="567"/>
      <w:jc w:val="both"/>
      <w:outlineLvl w:val="4"/>
    </w:pPr>
    <w:rPr>
      <w:rFonts w:ascii="Arial" w:hAnsi="Arial"/>
      <w:i/>
    </w:rPr>
  </w:style>
  <w:style w:type="paragraph" w:styleId="Heading9">
    <w:name w:val="heading 9"/>
    <w:basedOn w:val="Normal"/>
    <w:next w:val="Normal"/>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lang w:val="fr-FR"/>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qFormat/>
    <w:rsid w:val="00EA04C7"/>
    <w:pPr>
      <w:spacing w:after="300"/>
      <w:jc w:val="center"/>
    </w:pPr>
    <w:rPr>
      <w:b/>
      <w:caps/>
      <w:kern w:val="28"/>
      <w:sz w:val="30"/>
    </w:rPr>
  </w:style>
  <w:style w:type="paragraph" w:customStyle="1" w:styleId="preparedby">
    <w:name w:val="preparedby"/>
    <w:basedOn w:val="Normal"/>
    <w:next w:val="Normal"/>
    <w:semiHidden/>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lang w:val="fr-FR"/>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autoRedefine/>
    <w:rsid w:val="00EA04C7"/>
    <w:pPr>
      <w:spacing w:before="60"/>
      <w:ind w:left="567" w:hanging="567"/>
      <w:jc w:val="both"/>
    </w:pPr>
    <w:rPr>
      <w:rFonts w:ascii="Arial" w:hAnsi="Arial"/>
      <w:sz w:val="16"/>
    </w:rPr>
  </w:style>
  <w:style w:type="character" w:styleId="FootnoteReference">
    <w:name w:val="footnote reference"/>
    <w:basedOn w:val="DefaultParagraphFont"/>
    <w:semiHidden/>
    <w:rsid w:val="00EA04C7"/>
    <w:rPr>
      <w:vertAlign w:val="superscript"/>
    </w:rPr>
  </w:style>
  <w:style w:type="paragraph" w:styleId="Closing">
    <w:name w:val="Closing"/>
    <w:basedOn w:val="Normal"/>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semiHidden/>
    <w:rsid w:val="00EA04C7"/>
    <w:pPr>
      <w:spacing w:before="60"/>
      <w:jc w:val="center"/>
    </w:pPr>
    <w:rPr>
      <w:b/>
    </w:rPr>
  </w:style>
  <w:style w:type="paragraph" w:customStyle="1" w:styleId="Organizer">
    <w:name w:val="Organizer"/>
    <w:basedOn w:val="Normal"/>
    <w:semiHidden/>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semiHidden/>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semiHidden/>
    <w:rsid w:val="00EA04C7"/>
  </w:style>
  <w:style w:type="paragraph" w:styleId="EndnoteText">
    <w:name w:val="endnote text"/>
    <w:basedOn w:val="Normal"/>
    <w:semiHidden/>
    <w:rsid w:val="00EA04C7"/>
  </w:style>
  <w:style w:type="character" w:styleId="EndnoteReference">
    <w:name w:val="endnote reference"/>
    <w:basedOn w:val="DefaultParagraphFont"/>
    <w:semiHidden/>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semiHidden/>
    <w:rsid w:val="00EA04C7"/>
    <w:pPr>
      <w:spacing w:before="60"/>
      <w:ind w:left="1276"/>
    </w:pPr>
    <w:rPr>
      <w:b/>
      <w:sz w:val="22"/>
    </w:rPr>
  </w:style>
  <w:style w:type="paragraph" w:styleId="Date">
    <w:name w:val="Date"/>
    <w:basedOn w:val="Normal"/>
    <w:semiHidden/>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rsid w:val="00EA04C7"/>
    <w:pPr>
      <w:keepNext/>
      <w:keepLines/>
      <w:spacing w:before="180" w:after="120"/>
      <w:jc w:val="left"/>
    </w:pPr>
    <w:rPr>
      <w:caps/>
      <w:noProof/>
      <w:snapToGrid w:val="0"/>
      <w:u w:val="single"/>
    </w:rPr>
  </w:style>
  <w:style w:type="paragraph" w:customStyle="1" w:styleId="pldetails">
    <w:name w:val="pldetails"/>
    <w:basedOn w:val="Normal"/>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semiHidden/>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EA04C7"/>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A04C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fr-FR"/>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pov.int/meetings/en/details.jsp?meeting_id=74773" TargetMode="External"/><Relationship Id="rId4" Type="http://schemas.openxmlformats.org/officeDocument/2006/relationships/settings" Target="settings.xml"/><Relationship Id="rId9" Type="http://schemas.openxmlformats.org/officeDocument/2006/relationships/hyperlink" Target="https://www.upov.int/meetings/en/details.jsp?meeting_id=747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WG-HRV\WG-HRV_3_March_21_2023\working%20document\templates\upov_wg_hrv_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4603E-F238-4C3D-9707-37722486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upov_wg_hrv_3_EN.dotx</Template>
  <TotalTime>16</TotalTime>
  <Pages>4</Pages>
  <Words>1988</Words>
  <Characters>11197</Characters>
  <Application>Microsoft Office Word</Application>
  <DocSecurity>0</DocSecurity>
  <Lines>386</Lines>
  <Paragraphs>160</Paragraphs>
  <ScaleCrop>false</ScaleCrop>
  <HeadingPairs>
    <vt:vector size="2" baseType="variant">
      <vt:variant>
        <vt:lpstr>Title</vt:lpstr>
      </vt:variant>
      <vt:variant>
        <vt:i4>1</vt:i4>
      </vt:variant>
    </vt:vector>
  </HeadingPairs>
  <TitlesOfParts>
    <vt:vector size="1" baseType="lpstr">
      <vt:lpstr>WG-HRV/3/3</vt:lpstr>
    </vt:vector>
  </TitlesOfParts>
  <Company>UPOV</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WG-HRV/3/3</dc:title>
  <dc:creator>Author</dc:creator>
  <cp:lastModifiedBy>SANTOS Carla Marina</cp:lastModifiedBy>
  <cp:revision>7</cp:revision>
  <cp:lastPrinted>2016-11-22T15:41:00Z</cp:lastPrinted>
  <dcterms:created xsi:type="dcterms:W3CDTF">2023-02-16T19:25:00Z</dcterms:created>
  <dcterms:modified xsi:type="dcterms:W3CDTF">2023-02-17T13:18:00Z</dcterms:modified>
</cp:coreProperties>
</file>