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C6F4C" w:rsidRPr="0043063A" w:rsidTr="003C192B">
        <w:tc>
          <w:tcPr>
            <w:tcW w:w="6522" w:type="dxa"/>
          </w:tcPr>
          <w:p w:rsidR="005C6F4C" w:rsidRPr="0043063A" w:rsidRDefault="005C6F4C" w:rsidP="003C192B">
            <w:bookmarkStart w:id="0" w:name="TitleOfDoc"/>
            <w:bookmarkEnd w:id="0"/>
            <w:r w:rsidRPr="0043063A">
              <w:rPr>
                <w:noProof/>
              </w:rPr>
              <w:drawing>
                <wp:inline distT="0" distB="0" distL="0" distR="0" wp14:anchorId="15556F5C" wp14:editId="099DD6A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C6F4C" w:rsidRPr="0043063A" w:rsidRDefault="005C6F4C" w:rsidP="003C192B">
            <w:pPr>
              <w:spacing w:line="340" w:lineRule="atLeast"/>
              <w:jc w:val="right"/>
              <w:rPr>
                <w:b/>
                <w:bCs/>
                <w:sz w:val="36"/>
              </w:rPr>
            </w:pPr>
            <w:r w:rsidRPr="0043063A">
              <w:rPr>
                <w:b/>
                <w:bCs/>
                <w:sz w:val="36"/>
              </w:rPr>
              <w:t>E</w:t>
            </w:r>
          </w:p>
        </w:tc>
      </w:tr>
      <w:tr w:rsidR="005C6F4C" w:rsidRPr="0043063A" w:rsidTr="003C192B">
        <w:trPr>
          <w:trHeight w:val="219"/>
        </w:trPr>
        <w:tc>
          <w:tcPr>
            <w:tcW w:w="6522" w:type="dxa"/>
          </w:tcPr>
          <w:p w:rsidR="005C6F4C" w:rsidRPr="0043063A" w:rsidRDefault="005C6F4C" w:rsidP="003C192B">
            <w:pPr>
              <w:spacing w:before="120"/>
              <w:rPr>
                <w:sz w:val="16"/>
              </w:rPr>
            </w:pPr>
            <w:r w:rsidRPr="0043063A">
              <w:rPr>
                <w:sz w:val="16"/>
              </w:rPr>
              <w:t>International Union for the Protection of New Varieties of Plants</w:t>
            </w:r>
          </w:p>
        </w:tc>
        <w:tc>
          <w:tcPr>
            <w:tcW w:w="3117" w:type="dxa"/>
          </w:tcPr>
          <w:p w:rsidR="005C6F4C" w:rsidRPr="0043063A" w:rsidRDefault="005C6F4C" w:rsidP="003C192B"/>
        </w:tc>
      </w:tr>
    </w:tbl>
    <w:p w:rsidR="005C6F4C" w:rsidRPr="0043063A" w:rsidRDefault="005C6F4C" w:rsidP="005C6F4C"/>
    <w:p w:rsidR="005C6F4C" w:rsidRPr="0043063A" w:rsidRDefault="005C6F4C" w:rsidP="005C6F4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C6F4C" w:rsidRPr="0043063A" w:rsidTr="003C192B">
        <w:tc>
          <w:tcPr>
            <w:tcW w:w="6512" w:type="dxa"/>
          </w:tcPr>
          <w:p w:rsidR="005C6F4C" w:rsidRPr="0043063A" w:rsidRDefault="005C6F4C" w:rsidP="003C192B">
            <w:pPr>
              <w:pStyle w:val="Sessiontc"/>
              <w:spacing w:line="240" w:lineRule="auto"/>
            </w:pPr>
            <w:r w:rsidRPr="0043063A">
              <w:t>Working group on harvested material and unauthorized use of propagating material</w:t>
            </w:r>
          </w:p>
          <w:p w:rsidR="005C6F4C" w:rsidRPr="0043063A" w:rsidRDefault="005C6F4C" w:rsidP="003C192B">
            <w:pPr>
              <w:spacing w:before="240"/>
              <w:contextualSpacing/>
              <w:jc w:val="left"/>
              <w:rPr>
                <w:b/>
                <w:bCs/>
                <w:kern w:val="28"/>
              </w:rPr>
            </w:pPr>
            <w:r w:rsidRPr="0043063A">
              <w:rPr>
                <w:b/>
                <w:bCs/>
                <w:kern w:val="28"/>
              </w:rPr>
              <w:t>First Meeting</w:t>
            </w:r>
          </w:p>
          <w:p w:rsidR="005C6F4C" w:rsidRPr="0043063A" w:rsidRDefault="005C6F4C" w:rsidP="003C192B">
            <w:pPr>
              <w:spacing w:before="240"/>
              <w:contextualSpacing/>
              <w:jc w:val="left"/>
              <w:rPr>
                <w:b/>
                <w:bCs/>
                <w:kern w:val="28"/>
                <w:sz w:val="22"/>
              </w:rPr>
            </w:pPr>
            <w:r w:rsidRPr="0043063A">
              <w:rPr>
                <w:b/>
                <w:bCs/>
                <w:kern w:val="28"/>
              </w:rPr>
              <w:t>Geneva, March 15, 2022</w:t>
            </w:r>
          </w:p>
        </w:tc>
        <w:tc>
          <w:tcPr>
            <w:tcW w:w="3127" w:type="dxa"/>
          </w:tcPr>
          <w:p w:rsidR="005C6F4C" w:rsidRDefault="005C6F4C" w:rsidP="003C192B">
            <w:pPr>
              <w:jc w:val="left"/>
              <w:rPr>
                <w:b/>
                <w:bCs/>
                <w:spacing w:val="10"/>
                <w:sz w:val="18"/>
              </w:rPr>
            </w:pPr>
            <w:r w:rsidRPr="0043063A">
              <w:rPr>
                <w:b/>
                <w:bCs/>
                <w:spacing w:val="10"/>
                <w:sz w:val="18"/>
              </w:rPr>
              <w:t>WG-HRV/1/</w:t>
            </w:r>
            <w:r>
              <w:rPr>
                <w:b/>
                <w:bCs/>
                <w:spacing w:val="10"/>
                <w:sz w:val="18"/>
              </w:rPr>
              <w:t>5</w:t>
            </w:r>
          </w:p>
          <w:p w:rsidR="005C6F4C" w:rsidRDefault="005C6F4C" w:rsidP="003C192B">
            <w:pPr>
              <w:jc w:val="left"/>
              <w:rPr>
                <w:b/>
                <w:bCs/>
                <w:spacing w:val="10"/>
                <w:sz w:val="18"/>
              </w:rPr>
            </w:pPr>
          </w:p>
          <w:p w:rsidR="005C6F4C" w:rsidRPr="0043063A" w:rsidRDefault="005C6F4C" w:rsidP="003C192B">
            <w:pPr>
              <w:spacing w:before="240" w:line="240" w:lineRule="exact"/>
              <w:jc w:val="left"/>
              <w:rPr>
                <w:b/>
                <w:bCs/>
                <w:sz w:val="18"/>
                <w:szCs w:val="18"/>
              </w:rPr>
            </w:pPr>
            <w:r w:rsidRPr="0043063A">
              <w:rPr>
                <w:b/>
                <w:bCs/>
                <w:sz w:val="18"/>
                <w:szCs w:val="18"/>
              </w:rPr>
              <w:t>Original:</w:t>
            </w:r>
            <w:r w:rsidRPr="0043063A">
              <w:rPr>
                <w:bCs/>
                <w:sz w:val="18"/>
                <w:szCs w:val="18"/>
              </w:rPr>
              <w:t xml:space="preserve">  English</w:t>
            </w:r>
          </w:p>
          <w:p w:rsidR="005C6F4C" w:rsidRPr="0043063A" w:rsidRDefault="005C6F4C" w:rsidP="003C192B">
            <w:pPr>
              <w:spacing w:before="240" w:line="240" w:lineRule="exact"/>
              <w:contextualSpacing/>
              <w:jc w:val="left"/>
              <w:rPr>
                <w:b/>
                <w:bCs/>
                <w:spacing w:val="10"/>
                <w:sz w:val="18"/>
              </w:rPr>
            </w:pPr>
            <w:r w:rsidRPr="0043063A">
              <w:rPr>
                <w:b/>
                <w:sz w:val="18"/>
                <w:szCs w:val="18"/>
              </w:rPr>
              <w:t>Date</w:t>
            </w:r>
            <w:r w:rsidRPr="00CA7F5E">
              <w:rPr>
                <w:sz w:val="18"/>
                <w:szCs w:val="18"/>
              </w:rPr>
              <w:t xml:space="preserve">:  </w:t>
            </w:r>
            <w:r w:rsidR="00CA7F5E" w:rsidRPr="00CA7F5E">
              <w:rPr>
                <w:sz w:val="18"/>
                <w:szCs w:val="18"/>
              </w:rPr>
              <w:t xml:space="preserve">February </w:t>
            </w:r>
            <w:r w:rsidR="00CA7F5E" w:rsidRPr="004F0F82">
              <w:rPr>
                <w:sz w:val="18"/>
                <w:szCs w:val="18"/>
              </w:rPr>
              <w:t>11</w:t>
            </w:r>
            <w:r w:rsidRPr="00CA7F5E">
              <w:rPr>
                <w:sz w:val="18"/>
                <w:szCs w:val="18"/>
              </w:rPr>
              <w:t>, 2022</w:t>
            </w:r>
          </w:p>
        </w:tc>
      </w:tr>
    </w:tbl>
    <w:p w:rsidR="005C6F4C" w:rsidRPr="0043063A" w:rsidRDefault="005C6F4C" w:rsidP="005C6F4C">
      <w:pPr>
        <w:pStyle w:val="Titleofdoc0"/>
      </w:pPr>
      <w:r w:rsidRPr="005F5D55">
        <w:t xml:space="preserve">Proposals concerning </w:t>
      </w:r>
      <w:r w:rsidRPr="0043063A">
        <w:t xml:space="preserve">the </w:t>
      </w:r>
      <w:r w:rsidRPr="005C6F4C">
        <w:t>Explanatory Notes on Provisional Protection under the UPOV Convention</w:t>
      </w:r>
    </w:p>
    <w:p w:rsidR="005C6F4C" w:rsidRPr="0043063A" w:rsidRDefault="005C6F4C" w:rsidP="005C6F4C">
      <w:pPr>
        <w:spacing w:after="240"/>
        <w:jc w:val="left"/>
        <w:rPr>
          <w:i/>
          <w:iCs/>
        </w:rPr>
      </w:pPr>
      <w:r w:rsidRPr="0043063A">
        <w:rPr>
          <w:i/>
          <w:iCs/>
        </w:rPr>
        <w:t>Document prepared by the Office of the Union</w:t>
      </w:r>
    </w:p>
    <w:p w:rsidR="005C6F4C" w:rsidRPr="0043063A" w:rsidRDefault="005C6F4C" w:rsidP="005C6F4C">
      <w:pPr>
        <w:spacing w:after="600"/>
        <w:jc w:val="left"/>
        <w:rPr>
          <w:i/>
          <w:iCs/>
          <w:color w:val="A6A6A6" w:themeColor="background1" w:themeShade="A6"/>
        </w:rPr>
      </w:pPr>
      <w:r w:rsidRPr="0043063A">
        <w:rPr>
          <w:i/>
          <w:iCs/>
          <w:color w:val="A6A6A6" w:themeColor="background1" w:themeShade="A6"/>
        </w:rPr>
        <w:t>Disclaimer:  this document does not represent UPOV policies or guidance</w:t>
      </w:r>
    </w:p>
    <w:p w:rsidR="005C6F4C" w:rsidRDefault="005D7952" w:rsidP="005C6F4C">
      <w:r>
        <w:t>1.</w:t>
      </w:r>
      <w:r w:rsidR="005C6F4C" w:rsidRPr="0043063A">
        <w:tab/>
        <w:t>The purpose of this document is to</w:t>
      </w:r>
      <w:r w:rsidR="005C6F4C">
        <w:t xml:space="preserve"> present</w:t>
      </w:r>
      <w:r w:rsidR="005C6F4C" w:rsidRPr="00105BDB">
        <w:t xml:space="preserve"> the </w:t>
      </w:r>
      <w:r w:rsidR="005C6F4C" w:rsidRPr="00F81216">
        <w:t xml:space="preserve">proposals </w:t>
      </w:r>
      <w:r w:rsidR="005C6F4C">
        <w:t xml:space="preserve">received in reply to Circular E-21/228 </w:t>
      </w:r>
      <w:r w:rsidR="005C6F4C" w:rsidRPr="00560BEC">
        <w:t xml:space="preserve">for a revision of document </w:t>
      </w:r>
      <w:r w:rsidR="005C6F4C">
        <w:rPr>
          <w:spacing w:val="-4"/>
        </w:rPr>
        <w:t>“</w:t>
      </w:r>
      <w:r w:rsidR="005C6F4C" w:rsidRPr="005C6F4C">
        <w:t>Explanatory Notes on Provisional Protection under the UPOV Convention</w:t>
      </w:r>
      <w:r w:rsidR="009D6E89">
        <w:t>” (document </w:t>
      </w:r>
      <w:r w:rsidR="005C6F4C">
        <w:rPr>
          <w:spacing w:val="-4"/>
        </w:rPr>
        <w:t>UPOV/EXN/PRP/2)</w:t>
      </w:r>
      <w:r w:rsidR="005C6F4C">
        <w:t>.</w:t>
      </w:r>
    </w:p>
    <w:p w:rsidR="005C6F4C" w:rsidRDefault="005C6F4C" w:rsidP="005C6F4C"/>
    <w:p w:rsidR="005C6F4C" w:rsidRDefault="005D7952" w:rsidP="005C6F4C">
      <w:r>
        <w:t>2.</w:t>
      </w:r>
      <w:r w:rsidR="005C6F4C" w:rsidRPr="0043063A">
        <w:tab/>
      </w:r>
      <w:r w:rsidR="005C6F4C">
        <w:t xml:space="preserve">In reply to UPOV Circular E-21/228, </w:t>
      </w:r>
      <w:r w:rsidR="005C6F4C" w:rsidRPr="00F81216">
        <w:t xml:space="preserve">proposals </w:t>
      </w:r>
      <w:r w:rsidR="005C6F4C">
        <w:t xml:space="preserve">for a revision of document </w:t>
      </w:r>
      <w:r w:rsidR="005C6F4C">
        <w:rPr>
          <w:spacing w:val="-4"/>
        </w:rPr>
        <w:t xml:space="preserve">UPOV/EXN/PRP/2 </w:t>
      </w:r>
      <w:r w:rsidR="005C6F4C">
        <w:t>were received</w:t>
      </w:r>
      <w:r w:rsidR="00CA7F5E">
        <w:t>, as a joint contribution,</w:t>
      </w:r>
      <w:r w:rsidR="005C6F4C">
        <w:t xml:space="preserve"> from the African Seed Trade Association (AFSTA), Asia and Pacific Seed Association (APSA),</w:t>
      </w:r>
      <w:r w:rsidR="005C6F4C" w:rsidRPr="00DF6776">
        <w:t xml:space="preserve"> </w:t>
      </w:r>
      <w:r w:rsidR="005C6F4C">
        <w:t xml:space="preserve">International Community of Breeders of Asexually Reproduced Horticultural Plants (CIOPORA), </w:t>
      </w:r>
      <w:proofErr w:type="spellStart"/>
      <w:r w:rsidR="005C6F4C">
        <w:t>CropLife</w:t>
      </w:r>
      <w:proofErr w:type="spellEnd"/>
      <w:r w:rsidR="005C6F4C">
        <w:t xml:space="preserve"> International,</w:t>
      </w:r>
      <w:r w:rsidR="005C6F4C" w:rsidRPr="00DF6776">
        <w:t xml:space="preserve"> </w:t>
      </w:r>
      <w:proofErr w:type="spellStart"/>
      <w:r w:rsidR="005C6F4C">
        <w:t>Euroseeds</w:t>
      </w:r>
      <w:proofErr w:type="spellEnd"/>
      <w:r w:rsidR="005C6F4C">
        <w:t>, International Seed Federation (ISF),</w:t>
      </w:r>
      <w:r w:rsidR="005C6F4C" w:rsidRPr="00DF6776">
        <w:t xml:space="preserve"> </w:t>
      </w:r>
      <w:r w:rsidR="005C6F4C">
        <w:t>and the Seed Association of the Americas (SAA).</w:t>
      </w:r>
    </w:p>
    <w:p w:rsidR="005C6F4C" w:rsidRPr="0043063A" w:rsidRDefault="005C6F4C" w:rsidP="005C6F4C">
      <w:pPr>
        <w:keepNext/>
        <w:outlineLvl w:val="0"/>
      </w:pPr>
    </w:p>
    <w:p w:rsidR="005C6F4C" w:rsidRPr="00E84ABE" w:rsidRDefault="005D7952" w:rsidP="005C6F4C">
      <w:pPr>
        <w:spacing w:after="20"/>
        <w:rPr>
          <w:spacing w:val="2"/>
        </w:rPr>
      </w:pPr>
      <w:r>
        <w:t>3.</w:t>
      </w:r>
      <w:r>
        <w:tab/>
      </w:r>
      <w:r w:rsidR="005C6F4C" w:rsidRPr="00E84ABE">
        <w:rPr>
          <w:spacing w:val="2"/>
        </w:rPr>
        <w:t xml:space="preserve">The </w:t>
      </w:r>
      <w:r w:rsidR="005C6F4C" w:rsidRPr="00F81216">
        <w:t xml:space="preserve">proposals </w:t>
      </w:r>
      <w:r w:rsidR="005C6F4C" w:rsidRPr="00F81216">
        <w:rPr>
          <w:spacing w:val="2"/>
        </w:rPr>
        <w:t xml:space="preserve">received have been </w:t>
      </w:r>
      <w:r w:rsidR="005C6F4C" w:rsidRPr="00F81216">
        <w:t xml:space="preserve">introduced in boxes in the text of document </w:t>
      </w:r>
      <w:r w:rsidR="005C6F4C">
        <w:rPr>
          <w:spacing w:val="-4"/>
        </w:rPr>
        <w:t>UPOV/EXN/PRP/2</w:t>
      </w:r>
      <w:r w:rsidR="005C6F4C" w:rsidRPr="00F81216">
        <w:rPr>
          <w:spacing w:val="-4"/>
        </w:rPr>
        <w:t>,</w:t>
      </w:r>
      <w:r w:rsidR="005C6F4C" w:rsidRPr="00F81216">
        <w:rPr>
          <w:spacing w:val="2"/>
        </w:rPr>
        <w:t xml:space="preserve"> for consideration by the WG-HRV and </w:t>
      </w:r>
      <w:r w:rsidR="005C6F4C" w:rsidRPr="00F81216">
        <w:rPr>
          <w:rFonts w:cs="Arial"/>
        </w:rPr>
        <w:t xml:space="preserve">endnotes </w:t>
      </w:r>
      <w:r w:rsidR="005C6F4C" w:rsidRPr="00F81216">
        <w:rPr>
          <w:rFonts w:cs="Arial"/>
          <w:lang w:eastAsia="ja-JP"/>
        </w:rPr>
        <w:t>provide</w:t>
      </w:r>
      <w:r w:rsidR="005C6F4C" w:rsidRPr="00F81216">
        <w:rPr>
          <w:rFonts w:cs="Arial"/>
        </w:rPr>
        <w:t xml:space="preserve"> background information, </w:t>
      </w:r>
      <w:r w:rsidR="005C6F4C" w:rsidRPr="00F81216">
        <w:rPr>
          <w:spacing w:val="2"/>
        </w:rPr>
        <w:t>as</w:t>
      </w:r>
      <w:r w:rsidR="005C6F4C">
        <w:rPr>
          <w:spacing w:val="2"/>
        </w:rPr>
        <w:t xml:space="preserve"> presented</w:t>
      </w:r>
      <w:r w:rsidR="005C6F4C" w:rsidRPr="00E84ABE">
        <w:rPr>
          <w:spacing w:val="2"/>
        </w:rPr>
        <w:t xml:space="preserve"> in</w:t>
      </w:r>
      <w:r w:rsidR="005C6F4C">
        <w:rPr>
          <w:spacing w:val="2"/>
        </w:rPr>
        <w:t xml:space="preserve"> the Annex </w:t>
      </w:r>
      <w:r w:rsidR="005C6F4C" w:rsidRPr="00E84ABE">
        <w:rPr>
          <w:spacing w:val="2"/>
        </w:rPr>
        <w:t>to this document.</w:t>
      </w:r>
    </w:p>
    <w:p w:rsidR="005C6F4C" w:rsidRDefault="005C6F4C" w:rsidP="005C6F4C"/>
    <w:p w:rsidR="005C6F4C" w:rsidRDefault="005C6F4C" w:rsidP="005C6F4C">
      <w:pPr>
        <w:jc w:val="right"/>
      </w:pPr>
    </w:p>
    <w:p w:rsidR="005C6F4C" w:rsidRDefault="005C6F4C" w:rsidP="005C6F4C">
      <w:pPr>
        <w:jc w:val="right"/>
      </w:pPr>
    </w:p>
    <w:p w:rsidR="005C6F4C" w:rsidRDefault="005C6F4C" w:rsidP="005C6F4C">
      <w:pPr>
        <w:jc w:val="right"/>
      </w:pPr>
      <w:r>
        <w:t>[Annex</w:t>
      </w:r>
      <w:r w:rsidRPr="00E84ABE">
        <w:t xml:space="preserve"> follow</w:t>
      </w:r>
      <w:r>
        <w:t>s</w:t>
      </w:r>
      <w:r w:rsidRPr="00E84ABE">
        <w:t>]</w:t>
      </w:r>
    </w:p>
    <w:p w:rsidR="005C6F4C" w:rsidRDefault="005C6F4C" w:rsidP="005C6F4C">
      <w:pPr>
        <w:jc w:val="left"/>
      </w:pPr>
    </w:p>
    <w:p w:rsidR="005C6F4C" w:rsidRDefault="005C6F4C" w:rsidP="005C6F4C">
      <w:pPr>
        <w:sectPr w:rsidR="005C6F4C" w:rsidSect="00BE4EC4">
          <w:headerReference w:type="even" r:id="rId9"/>
          <w:headerReference w:type="default" r:id="rId10"/>
          <w:endnotePr>
            <w:numFmt w:val="lowerLetter"/>
          </w:endnotePr>
          <w:pgSz w:w="11907" w:h="16840" w:code="9"/>
          <w:pgMar w:top="510" w:right="1134" w:bottom="1134" w:left="1134" w:header="510" w:footer="624" w:gutter="0"/>
          <w:cols w:space="720"/>
          <w:titlePg/>
        </w:sectPr>
      </w:pPr>
    </w:p>
    <w:p w:rsidR="005C6F4C" w:rsidRPr="00CD0CBC" w:rsidRDefault="005C6F4C" w:rsidP="005C6F4C">
      <w:pPr>
        <w:pStyle w:val="Header"/>
        <w:rPr>
          <w:rFonts w:cs="Arial"/>
          <w:lang w:val="en-US"/>
        </w:rPr>
      </w:pPr>
      <w:r>
        <w:rPr>
          <w:rFonts w:cs="Arial"/>
          <w:lang w:val="en-US"/>
        </w:rPr>
        <w:lastRenderedPageBreak/>
        <w:t>WG-HRV/1/5</w:t>
      </w:r>
    </w:p>
    <w:p w:rsidR="005C6F4C" w:rsidRPr="00CD0CBC" w:rsidRDefault="005C6F4C" w:rsidP="005C6F4C">
      <w:pPr>
        <w:pStyle w:val="Header"/>
        <w:rPr>
          <w:rFonts w:cs="Arial"/>
          <w:lang w:val="en-US"/>
        </w:rPr>
      </w:pPr>
    </w:p>
    <w:p w:rsidR="005C6F4C" w:rsidRDefault="005C6F4C" w:rsidP="005C6F4C">
      <w:pPr>
        <w:jc w:val="center"/>
      </w:pPr>
      <w:r>
        <w:t>ANNEX</w:t>
      </w:r>
    </w:p>
    <w:p w:rsidR="005C6F4C" w:rsidRPr="003E2F9B" w:rsidRDefault="005C6F4C" w:rsidP="005C6F4C">
      <w:pPr>
        <w:jc w:val="center"/>
      </w:pPr>
    </w:p>
    <w:p w:rsidR="005C6F4C" w:rsidRPr="003E2F9B" w:rsidRDefault="005C6F4C" w:rsidP="005C6F4C">
      <w:pPr>
        <w:jc w:val="center"/>
      </w:pPr>
    </w:p>
    <w:p w:rsidR="005C6F4C" w:rsidRDefault="005C6F4C" w:rsidP="005C6F4C">
      <w:pPr>
        <w:jc w:val="center"/>
        <w:rPr>
          <w:rFonts w:cs="Arial"/>
        </w:rPr>
      </w:pPr>
      <w:r w:rsidRPr="00F81216">
        <w:t xml:space="preserve">PROPOSALS </w:t>
      </w:r>
      <w:r>
        <w:t>CONCERNING</w:t>
      </w:r>
      <w:r w:rsidRPr="0043063A">
        <w:t xml:space="preserve"> THE </w:t>
      </w:r>
      <w:r w:rsidRPr="005C6F4C">
        <w:t xml:space="preserve">EXPLANATORY NOTES ON </w:t>
      </w:r>
      <w:r>
        <w:br/>
      </w:r>
      <w:r w:rsidRPr="005C6F4C">
        <w:t>PROVISIONAL PROTECTION UNDER THE UPOV CONVENTION</w:t>
      </w:r>
    </w:p>
    <w:p w:rsidR="005C6F4C" w:rsidRDefault="005C6F4C" w:rsidP="005C6F4C">
      <w:pPr>
        <w:jc w:val="center"/>
        <w:rPr>
          <w:rFonts w:cs="Arial"/>
        </w:rPr>
      </w:pPr>
    </w:p>
    <w:p w:rsidR="005C6F4C" w:rsidRDefault="005C6F4C" w:rsidP="005C6F4C">
      <w:pPr>
        <w:jc w:val="center"/>
        <w:rPr>
          <w:rFonts w:cs="Arial"/>
        </w:rPr>
      </w:pPr>
    </w:p>
    <w:p w:rsidR="005C6F4C" w:rsidRPr="00054A3B" w:rsidRDefault="005C6F4C" w:rsidP="005C6F4C">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5C6F4C" w:rsidRPr="00054A3B" w:rsidTr="003C192B">
        <w:trPr>
          <w:cantSplit/>
          <w:trHeight w:val="1690"/>
          <w:jc w:val="center"/>
        </w:trPr>
        <w:tc>
          <w:tcPr>
            <w:tcW w:w="8313" w:type="dxa"/>
            <w:shd w:val="clear" w:color="auto" w:fill="F2F2F2" w:themeFill="background1" w:themeFillShade="F2"/>
          </w:tcPr>
          <w:p w:rsidR="005C6F4C" w:rsidRPr="00054A3B" w:rsidRDefault="005C6F4C" w:rsidP="003C192B">
            <w:pPr>
              <w:jc w:val="center"/>
              <w:rPr>
                <w:i/>
              </w:rPr>
            </w:pPr>
            <w:r w:rsidRPr="00054A3B">
              <w:rPr>
                <w:i/>
              </w:rPr>
              <w:t>Disclaimer:  this document does not represent UPOV policies or guidance</w:t>
            </w:r>
          </w:p>
          <w:p w:rsidR="005C6F4C" w:rsidRPr="00054A3B" w:rsidRDefault="005C6F4C" w:rsidP="003C192B">
            <w:pPr>
              <w:jc w:val="center"/>
            </w:pPr>
          </w:p>
          <w:p w:rsidR="005C6F4C" w:rsidRPr="00054A3B" w:rsidRDefault="005C6F4C" w:rsidP="003C192B">
            <w:pPr>
              <w:jc w:val="center"/>
              <w:rPr>
                <w:rFonts w:cs="Arial"/>
                <w:u w:val="single"/>
              </w:rPr>
            </w:pPr>
            <w:r w:rsidRPr="00054A3B">
              <w:rPr>
                <w:rFonts w:cs="Arial"/>
                <w:u w:val="single"/>
              </w:rPr>
              <w:t>Note</w:t>
            </w:r>
          </w:p>
          <w:p w:rsidR="005C6F4C" w:rsidRPr="00054A3B" w:rsidRDefault="005C6F4C" w:rsidP="003C192B">
            <w:pPr>
              <w:rPr>
                <w:rFonts w:cs="Arial"/>
              </w:rPr>
            </w:pPr>
          </w:p>
          <w:p w:rsidR="005C6F4C" w:rsidRPr="00054A3B" w:rsidRDefault="005C6F4C" w:rsidP="003C192B">
            <w:pPr>
              <w:rPr>
                <w:rFonts w:cs="Arial"/>
                <w:lang w:eastAsia="ja-JP"/>
              </w:rPr>
            </w:pPr>
            <w:r w:rsidRPr="00F81216">
              <w:rPr>
                <w:rFonts w:cs="Arial"/>
              </w:rPr>
              <w:t xml:space="preserve">Proposals </w:t>
            </w:r>
            <w:r w:rsidRPr="00054A3B">
              <w:rPr>
                <w:rFonts w:cs="Arial"/>
              </w:rPr>
              <w:t>received in reply to Circular E-21/228 of November 18</w:t>
            </w:r>
            <w:r>
              <w:rPr>
                <w:rFonts w:cs="Arial"/>
              </w:rPr>
              <w:t>, 2021, on document UPOV/EXN/PRP</w:t>
            </w:r>
            <w:r w:rsidRPr="00054A3B">
              <w:rPr>
                <w:rFonts w:cs="Arial"/>
              </w:rPr>
              <w:t>/</w:t>
            </w:r>
            <w:r>
              <w:rPr>
                <w:rFonts w:cs="Arial"/>
              </w:rPr>
              <w:t>2</w:t>
            </w:r>
            <w:r w:rsidRPr="00054A3B">
              <w:rPr>
                <w:rFonts w:cs="Arial"/>
              </w:rPr>
              <w:t xml:space="preserve"> are presented in boxes.</w:t>
            </w:r>
          </w:p>
          <w:p w:rsidR="005C6F4C" w:rsidRPr="00054A3B" w:rsidRDefault="005C6F4C" w:rsidP="003C192B">
            <w:pPr>
              <w:rPr>
                <w:rFonts w:cs="Arial"/>
              </w:rPr>
            </w:pPr>
          </w:p>
          <w:p w:rsidR="005C6F4C" w:rsidRPr="00054A3B" w:rsidRDefault="005C6F4C" w:rsidP="003C192B">
            <w:pPr>
              <w:rPr>
                <w:rFonts w:cs="Arial"/>
              </w:rPr>
            </w:pPr>
            <w:r w:rsidRPr="00054A3B">
              <w:rPr>
                <w:rFonts w:cs="Arial"/>
              </w:rPr>
              <w:t xml:space="preserve">Endnotes </w:t>
            </w:r>
            <w:r w:rsidRPr="00054A3B">
              <w:rPr>
                <w:rFonts w:cs="Arial"/>
                <w:lang w:eastAsia="ja-JP"/>
              </w:rPr>
              <w:t>provide</w:t>
            </w:r>
            <w:r w:rsidRPr="00054A3B">
              <w:rPr>
                <w:rFonts w:cs="Arial"/>
              </w:rPr>
              <w:t xml:space="preserve"> background information. </w:t>
            </w:r>
          </w:p>
          <w:p w:rsidR="005C6F4C" w:rsidRPr="00054A3B" w:rsidRDefault="005C6F4C" w:rsidP="003C192B">
            <w:pPr>
              <w:rPr>
                <w:rFonts w:cs="Arial"/>
                <w:sz w:val="18"/>
                <w:szCs w:val="18"/>
                <w:u w:val="dottedHeavy"/>
              </w:rPr>
            </w:pPr>
          </w:p>
        </w:tc>
      </w:tr>
    </w:tbl>
    <w:p w:rsidR="005C6F4C" w:rsidRPr="00054A3B" w:rsidRDefault="005C6F4C" w:rsidP="005C6F4C">
      <w:pPr>
        <w:jc w:val="left"/>
      </w:pPr>
    </w:p>
    <w:p w:rsidR="005C6F4C" w:rsidRDefault="005C6F4C" w:rsidP="005C6F4C">
      <w:pPr>
        <w:jc w:val="center"/>
        <w:rPr>
          <w:rFonts w:cs="Arial"/>
        </w:rPr>
      </w:pPr>
    </w:p>
    <w:p w:rsidR="005C6F4C" w:rsidRDefault="005C6F4C" w:rsidP="005C6F4C">
      <w:pPr>
        <w:jc w:val="center"/>
        <w:rPr>
          <w:rFonts w:cs="Arial"/>
        </w:rPr>
      </w:pPr>
    </w:p>
    <w:p w:rsidR="008C30ED" w:rsidRDefault="008C30ED" w:rsidP="008C30ED">
      <w:pPr>
        <w:jc w:val="center"/>
      </w:pPr>
    </w:p>
    <w:p w:rsidR="00366C85" w:rsidRPr="00366C85" w:rsidRDefault="00366C85" w:rsidP="008C30ED">
      <w:pPr>
        <w:jc w:val="center"/>
        <w:rPr>
          <w:u w:val="single"/>
        </w:rPr>
      </w:pPr>
      <w:r w:rsidRPr="00366C85">
        <w:rPr>
          <w:u w:val="single"/>
        </w:rPr>
        <w:t>TABLE OF CONTENT</w:t>
      </w:r>
    </w:p>
    <w:p w:rsidR="008C30ED" w:rsidRPr="007934B1" w:rsidRDefault="006506CB" w:rsidP="006506CB">
      <w:pPr>
        <w:tabs>
          <w:tab w:val="left" w:pos="7930"/>
        </w:tabs>
        <w:jc w:val="left"/>
      </w:pPr>
      <w:r>
        <w:tab/>
      </w:r>
    </w:p>
    <w:p w:rsidR="008C30ED" w:rsidRPr="00366C85" w:rsidRDefault="008C30ED" w:rsidP="008C30ED">
      <w:pPr>
        <w:rPr>
          <w:i/>
          <w:sz w:val="18"/>
          <w:szCs w:val="18"/>
        </w:rPr>
      </w:pPr>
    </w:p>
    <w:p w:rsidR="00C51825" w:rsidRDefault="008C30ED">
      <w:pPr>
        <w:pStyle w:val="TOC2"/>
        <w:rPr>
          <w:rFonts w:asciiTheme="minorHAnsi" w:eastAsiaTheme="minorEastAsia" w:hAnsiTheme="minorHAnsi" w:cstheme="minorBidi"/>
          <w:sz w:val="22"/>
          <w:szCs w:val="22"/>
        </w:rPr>
      </w:pPr>
      <w:r w:rsidRPr="00366C85">
        <w:rPr>
          <w:bCs/>
        </w:rPr>
        <w:fldChar w:fldCharType="begin"/>
      </w:r>
      <w:r w:rsidRPr="00366C85">
        <w:instrText xml:space="preserve"> TOC \o "1-3" \u </w:instrText>
      </w:r>
      <w:r w:rsidRPr="00366C85">
        <w:rPr>
          <w:bCs/>
        </w:rPr>
        <w:fldChar w:fldCharType="separate"/>
      </w:r>
      <w:r w:rsidR="00C51825">
        <w:t>PREAMBLE</w:t>
      </w:r>
      <w:r w:rsidR="00C51825">
        <w:tab/>
      </w:r>
      <w:r w:rsidR="00C51825">
        <w:fldChar w:fldCharType="begin"/>
      </w:r>
      <w:r w:rsidR="00C51825">
        <w:instrText xml:space="preserve"> PAGEREF _Toc434413612 \h </w:instrText>
      </w:r>
      <w:r w:rsidR="00C51825">
        <w:fldChar w:fldCharType="separate"/>
      </w:r>
      <w:r w:rsidR="006506CB">
        <w:t>3</w:t>
      </w:r>
      <w:r w:rsidR="00C51825">
        <w:fldChar w:fldCharType="end"/>
      </w:r>
    </w:p>
    <w:p w:rsidR="00C51825" w:rsidRDefault="00C51825">
      <w:pPr>
        <w:pStyle w:val="TOC2"/>
        <w:rPr>
          <w:rFonts w:asciiTheme="minorHAnsi" w:eastAsiaTheme="minorEastAsia" w:hAnsiTheme="minorHAnsi" w:cstheme="minorBidi"/>
          <w:sz w:val="22"/>
          <w:szCs w:val="22"/>
        </w:rPr>
      </w:pPr>
      <w:r>
        <w:t>SECTION I:  PROVISIONS ON PROVISIONAL PROTECTION</w:t>
      </w:r>
      <w:r>
        <w:tab/>
      </w:r>
      <w:r>
        <w:fldChar w:fldCharType="begin"/>
      </w:r>
      <w:r>
        <w:instrText xml:space="preserve"> PAGEREF _Toc434413613 \h </w:instrText>
      </w:r>
      <w:r>
        <w:fldChar w:fldCharType="separate"/>
      </w:r>
      <w:r w:rsidR="006506CB">
        <w:t>4</w:t>
      </w:r>
      <w:r>
        <w:fldChar w:fldCharType="end"/>
      </w:r>
    </w:p>
    <w:p w:rsidR="00C51825" w:rsidRDefault="00C51825">
      <w:pPr>
        <w:pStyle w:val="TOC2"/>
        <w:rPr>
          <w:rFonts w:asciiTheme="minorHAnsi" w:eastAsiaTheme="minorEastAsia" w:hAnsiTheme="minorHAnsi" w:cstheme="minorBidi"/>
          <w:sz w:val="22"/>
          <w:szCs w:val="22"/>
        </w:rPr>
      </w:pPr>
      <w:r>
        <w:t>SECTION II:  CERTAIN ASPECTS OF THE PROVISIONS ON PROVISIONAL PROTECTION</w:t>
      </w:r>
      <w:r>
        <w:tab/>
      </w:r>
      <w:r>
        <w:fldChar w:fldCharType="begin"/>
      </w:r>
      <w:r>
        <w:instrText xml:space="preserve"> PAGEREF _Toc434413614 \h </w:instrText>
      </w:r>
      <w:r>
        <w:fldChar w:fldCharType="separate"/>
      </w:r>
      <w:r w:rsidR="006506CB">
        <w:t>5</w:t>
      </w:r>
      <w:r>
        <w:fldChar w:fldCharType="end"/>
      </w:r>
    </w:p>
    <w:p w:rsidR="008C30ED" w:rsidRPr="00CF2435" w:rsidRDefault="008C30ED" w:rsidP="00005D41">
      <w:pPr>
        <w:jc w:val="center"/>
      </w:pPr>
      <w:r w:rsidRPr="00366C85">
        <w:rPr>
          <w:caps/>
          <w:sz w:val="18"/>
          <w:szCs w:val="18"/>
        </w:rPr>
        <w:fldChar w:fldCharType="end"/>
      </w:r>
      <w:r>
        <w:br w:type="page"/>
      </w:r>
      <w:r w:rsidRPr="00CF2435">
        <w:lastRenderedPageBreak/>
        <w:t>EXPLANATORY NOTES ON PROVISIONAL PROTECTION</w:t>
      </w:r>
      <w:r w:rsidRPr="00CF2435">
        <w:br/>
        <w:t>UNDER THE UPOV CONVENTION</w:t>
      </w:r>
    </w:p>
    <w:p w:rsidR="008C30ED" w:rsidRPr="007934B1" w:rsidRDefault="008C30ED" w:rsidP="008C30ED"/>
    <w:p w:rsidR="008C30ED" w:rsidRPr="007F2014" w:rsidRDefault="008C30ED" w:rsidP="00005D41">
      <w:pPr>
        <w:pStyle w:val="Heading2"/>
      </w:pPr>
      <w:bookmarkStart w:id="1" w:name="_Toc434413612"/>
      <w:r w:rsidRPr="007F2014">
        <w:t>PREAMBLE</w:t>
      </w:r>
      <w:bookmarkEnd w:id="1"/>
    </w:p>
    <w:p w:rsidR="008C30ED" w:rsidRPr="007934B1" w:rsidRDefault="008C30ED" w:rsidP="008C30ED">
      <w:pPr>
        <w:rPr>
          <w:b/>
        </w:rPr>
      </w:pPr>
    </w:p>
    <w:p w:rsidR="008C30ED" w:rsidRPr="00012466" w:rsidRDefault="005D7952" w:rsidP="008C30ED">
      <w:r w:rsidRPr="0043063A">
        <w:fldChar w:fldCharType="begin"/>
      </w:r>
      <w:r w:rsidRPr="0043063A">
        <w:instrText xml:space="preserve"> AUTONUM  </w:instrText>
      </w:r>
      <w:r w:rsidRPr="0043063A">
        <w:fldChar w:fldCharType="end"/>
      </w:r>
      <w:r w:rsidRPr="0043063A">
        <w:tab/>
      </w:r>
      <w:r w:rsidR="008C30ED" w:rsidRPr="007934B1">
        <w:t>The purpose of these Explanatory Notes is to provide guidance on “</w:t>
      </w:r>
      <w:r w:rsidR="008C30ED">
        <w:t>Provisional Protection</w:t>
      </w:r>
      <w:r w:rsidR="008C30ED" w:rsidRPr="007934B1">
        <w:t xml:space="preserve">” under the International Convention for the Protection of New Varieties of Plants (UPOV Convention). </w:t>
      </w:r>
      <w:r w:rsidR="008C30ED">
        <w:t xml:space="preserve"> </w:t>
      </w:r>
      <w:r w:rsidR="008C30ED" w:rsidRPr="007934B1">
        <w:t>The only bi</w:t>
      </w:r>
      <w:r w:rsidR="008C30ED" w:rsidRPr="00012466">
        <w:t xml:space="preserve">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008C30ED" w:rsidRPr="00012466">
          <w:t>Union</w:t>
        </w:r>
      </w:smartTag>
      <w:r w:rsidR="008C30ED" w:rsidRPr="00012466">
        <w:t xml:space="preserve"> concerned.  </w:t>
      </w:r>
    </w:p>
    <w:p w:rsidR="008C30ED" w:rsidRPr="00012466" w:rsidRDefault="008C30ED" w:rsidP="008C30ED"/>
    <w:p w:rsidR="008C30ED" w:rsidRDefault="005D7952" w:rsidP="008C30ED">
      <w:pPr>
        <w:rPr>
          <w:lang w:val="en-GB"/>
        </w:rPr>
      </w:pPr>
      <w:r w:rsidRPr="0043063A">
        <w:fldChar w:fldCharType="begin"/>
      </w:r>
      <w:r w:rsidRPr="0043063A">
        <w:instrText xml:space="preserve"> AUTONUM  </w:instrText>
      </w:r>
      <w:r w:rsidRPr="0043063A">
        <w:fldChar w:fldCharType="end"/>
      </w:r>
      <w:r w:rsidRPr="0043063A">
        <w:tab/>
      </w:r>
      <w:r w:rsidR="008C30ED">
        <w:t>T</w:t>
      </w:r>
      <w:r w:rsidR="008C30ED" w:rsidRPr="00012466">
        <w:t xml:space="preserve">hese </w:t>
      </w:r>
      <w:r w:rsidR="008C30ED">
        <w:t xml:space="preserve">Explanatory Notes provide </w:t>
      </w:r>
      <w:r w:rsidR="008C30ED" w:rsidRPr="00012466">
        <w:t xml:space="preserve">guidance </w:t>
      </w:r>
      <w:r w:rsidR="008C30ED">
        <w:rPr>
          <w:lang w:val="en-GB"/>
        </w:rPr>
        <w:t xml:space="preserve">on certain aspects of the provisions </w:t>
      </w:r>
      <w:r w:rsidR="008C30ED">
        <w:t xml:space="preserve">on provisional protection contained </w:t>
      </w:r>
      <w:r w:rsidR="008C30ED" w:rsidRPr="007934B1">
        <w:t xml:space="preserve">in Article </w:t>
      </w:r>
      <w:r w:rsidR="008C30ED">
        <w:t>13</w:t>
      </w:r>
      <w:r w:rsidR="008C30ED" w:rsidRPr="007934B1">
        <w:t xml:space="preserve"> of the 1991 Act of</w:t>
      </w:r>
      <w:r w:rsidR="008C30ED">
        <w:t xml:space="preserve"> the UPOV Convention and in </w:t>
      </w:r>
      <w:r w:rsidR="008C30ED">
        <w:rPr>
          <w:lang w:val="en-GB"/>
        </w:rPr>
        <w:t xml:space="preserve">Article 7(3) </w:t>
      </w:r>
      <w:r w:rsidR="008C30ED" w:rsidRPr="007934B1">
        <w:rPr>
          <w:lang w:val="en-GB"/>
        </w:rPr>
        <w:t xml:space="preserve">of the 1978 Act </w:t>
      </w:r>
      <w:r w:rsidR="008C30ED">
        <w:rPr>
          <w:lang w:val="en-GB"/>
        </w:rPr>
        <w:t xml:space="preserve">of the UPOV Convention.  </w:t>
      </w:r>
    </w:p>
    <w:p w:rsidR="00054A3B" w:rsidRDefault="00054A3B" w:rsidP="00054A3B"/>
    <w:tbl>
      <w:tblPr>
        <w:tblStyle w:val="TableGrid"/>
        <w:tblW w:w="0" w:type="auto"/>
        <w:tblLook w:val="04A0" w:firstRow="1" w:lastRow="0" w:firstColumn="1" w:lastColumn="0" w:noHBand="0" w:noVBand="1"/>
      </w:tblPr>
      <w:tblGrid>
        <w:gridCol w:w="9629"/>
      </w:tblGrid>
      <w:tr w:rsidR="00054A3B" w:rsidRPr="00FD7B58" w:rsidTr="00004679">
        <w:tc>
          <w:tcPr>
            <w:tcW w:w="9629" w:type="dxa"/>
            <w:shd w:val="clear" w:color="auto" w:fill="F2F2F2" w:themeFill="background1" w:themeFillShade="F2"/>
          </w:tcPr>
          <w:p w:rsidR="00054A3B" w:rsidRPr="003B1AC3" w:rsidRDefault="00054A3B" w:rsidP="00004679">
            <w:pPr>
              <w:rPr>
                <w:sz w:val="10"/>
                <w:szCs w:val="10"/>
              </w:rPr>
            </w:pPr>
          </w:p>
          <w:p w:rsidR="00054A3B" w:rsidRPr="00C3009A" w:rsidRDefault="005C6F4C" w:rsidP="00004679">
            <w:pPr>
              <w:rPr>
                <w:sz w:val="18"/>
                <w:szCs w:val="18"/>
              </w:rPr>
            </w:pPr>
            <w:r w:rsidRPr="00F81216">
              <w:rPr>
                <w:sz w:val="18"/>
                <w:szCs w:val="18"/>
                <w:u w:val="single"/>
              </w:rPr>
              <w:t xml:space="preserve">Proposals </w:t>
            </w:r>
            <w:r w:rsidR="00054A3B">
              <w:rPr>
                <w:sz w:val="18"/>
                <w:szCs w:val="18"/>
                <w:u w:val="single"/>
              </w:rPr>
              <w:t>from</w:t>
            </w:r>
            <w:r w:rsidR="00054A3B" w:rsidRPr="00C3009A">
              <w:rPr>
                <w:sz w:val="18"/>
                <w:szCs w:val="18"/>
                <w:u w:val="single"/>
              </w:rPr>
              <w:t xml:space="preserve"> </w:t>
            </w:r>
            <w:r w:rsidR="00054A3B" w:rsidRPr="005B488F">
              <w:rPr>
                <w:sz w:val="18"/>
                <w:szCs w:val="18"/>
                <w:u w:val="single"/>
              </w:rPr>
              <w:t xml:space="preserve">ISF, CIOPORA, </w:t>
            </w:r>
            <w:proofErr w:type="spellStart"/>
            <w:r w:rsidR="00054A3B" w:rsidRPr="005B488F">
              <w:rPr>
                <w:sz w:val="18"/>
                <w:szCs w:val="18"/>
                <w:u w:val="single"/>
              </w:rPr>
              <w:t>CropLife</w:t>
            </w:r>
            <w:proofErr w:type="spellEnd"/>
            <w:r w:rsidR="00054A3B" w:rsidRPr="005B488F">
              <w:rPr>
                <w:sz w:val="18"/>
                <w:szCs w:val="18"/>
                <w:u w:val="single"/>
              </w:rPr>
              <w:t xml:space="preserve"> International, </w:t>
            </w:r>
            <w:proofErr w:type="spellStart"/>
            <w:r w:rsidR="00054A3B" w:rsidRPr="005B488F">
              <w:rPr>
                <w:sz w:val="18"/>
                <w:szCs w:val="18"/>
                <w:u w:val="single"/>
              </w:rPr>
              <w:t>Euroseeds</w:t>
            </w:r>
            <w:proofErr w:type="spellEnd"/>
            <w:r w:rsidR="00054A3B" w:rsidRPr="005B488F">
              <w:rPr>
                <w:sz w:val="18"/>
                <w:szCs w:val="18"/>
                <w:u w:val="single"/>
              </w:rPr>
              <w:t>, APSA, AFSTA, and SAA</w:t>
            </w:r>
            <w:r w:rsidR="00054A3B" w:rsidRPr="00F0265F">
              <w:rPr>
                <w:rStyle w:val="EndnoteReference"/>
                <w:b/>
              </w:rPr>
              <w:endnoteReference w:id="2"/>
            </w:r>
          </w:p>
          <w:p w:rsidR="00054A3B" w:rsidRPr="00385EFC" w:rsidRDefault="00054A3B" w:rsidP="00004679">
            <w:pPr>
              <w:rPr>
                <w:sz w:val="16"/>
                <w:szCs w:val="16"/>
              </w:rPr>
            </w:pPr>
          </w:p>
          <w:p w:rsidR="00054A3B" w:rsidRPr="005B488F" w:rsidRDefault="00FF4BEC" w:rsidP="00004679">
            <w:pPr>
              <w:rPr>
                <w:sz w:val="18"/>
                <w:szCs w:val="18"/>
              </w:rPr>
            </w:pPr>
            <w:r>
              <w:rPr>
                <w:sz w:val="18"/>
                <w:szCs w:val="18"/>
              </w:rPr>
              <w:t>Paragraph 2</w:t>
            </w:r>
            <w:r w:rsidR="00054A3B">
              <w:rPr>
                <w:sz w:val="18"/>
                <w:szCs w:val="18"/>
              </w:rPr>
              <w:t xml:space="preserve"> to be changed as follows:  “</w:t>
            </w:r>
            <w:r w:rsidRPr="00FF4BEC">
              <w:rPr>
                <w:sz w:val="18"/>
              </w:rPr>
              <w:t>These Explanatory Notes provide guidance on certain aspects of the provisions on provisional protection contained in Article 13 of the 1991 Act of the UPOV Convention and in Article 7(3) of the 1978 Act of the UPOV Convention</w:t>
            </w:r>
            <w:r>
              <w:rPr>
                <w:sz w:val="18"/>
              </w:rPr>
              <w:t xml:space="preserve"> </w:t>
            </w:r>
            <w:r w:rsidRPr="00FF4BEC">
              <w:rPr>
                <w:sz w:val="18"/>
                <w:highlight w:val="lightGray"/>
                <w:u w:val="single"/>
              </w:rPr>
              <w:t>in order to ensure that the minimum level of protection provided by these Conventions is applied by the member States in a uniform way</w:t>
            </w:r>
            <w:r w:rsidR="00054A3B" w:rsidRPr="00385EFC">
              <w:rPr>
                <w:sz w:val="18"/>
              </w:rPr>
              <w:t>.</w:t>
            </w:r>
            <w:r w:rsidR="00054A3B">
              <w:rPr>
                <w:sz w:val="18"/>
              </w:rPr>
              <w:t>”</w:t>
            </w:r>
          </w:p>
          <w:p w:rsidR="00054A3B" w:rsidRPr="00385EFC" w:rsidRDefault="00054A3B" w:rsidP="00004679">
            <w:pPr>
              <w:ind w:left="1148" w:hanging="630"/>
              <w:rPr>
                <w:sz w:val="8"/>
              </w:rPr>
            </w:pPr>
          </w:p>
        </w:tc>
      </w:tr>
    </w:tbl>
    <w:p w:rsidR="00054A3B" w:rsidRPr="004E7EAB" w:rsidRDefault="00054A3B" w:rsidP="00054A3B"/>
    <w:p w:rsidR="00054A3B" w:rsidRPr="004E7EAB" w:rsidRDefault="00054A3B" w:rsidP="00054A3B"/>
    <w:p w:rsidR="008C30ED" w:rsidRPr="00366754" w:rsidRDefault="008C30ED" w:rsidP="00CC30A7">
      <w:pPr>
        <w:pStyle w:val="Heading2"/>
      </w:pPr>
      <w:r>
        <w:br w:type="page"/>
      </w:r>
      <w:bookmarkStart w:id="3" w:name="_Toc434413613"/>
      <w:r>
        <w:lastRenderedPageBreak/>
        <w:t>SECTION</w:t>
      </w:r>
      <w:r w:rsidRPr="00366754">
        <w:t xml:space="preserve"> </w:t>
      </w:r>
      <w:r>
        <w:t xml:space="preserve">I:  </w:t>
      </w:r>
      <w:r w:rsidRPr="00366754">
        <w:t>PROVISIONS</w:t>
      </w:r>
      <w:r>
        <w:t xml:space="preserve"> ON PROVISIONAL PROTECTION</w:t>
      </w:r>
      <w:bookmarkEnd w:id="3"/>
    </w:p>
    <w:p w:rsidR="008C30ED" w:rsidRDefault="008C30ED" w:rsidP="008C30ED">
      <w:pPr>
        <w:rPr>
          <w:lang w:val="en-GB"/>
        </w:rPr>
      </w:pPr>
    </w:p>
    <w:p w:rsidR="008C30ED" w:rsidRDefault="005D7952" w:rsidP="008C30ED">
      <w:pPr>
        <w:rPr>
          <w:lang w:val="en-GB"/>
        </w:rPr>
      </w:pPr>
      <w:r w:rsidRPr="0043063A">
        <w:fldChar w:fldCharType="begin"/>
      </w:r>
      <w:r w:rsidRPr="0043063A">
        <w:instrText xml:space="preserve"> AUTONUM  </w:instrText>
      </w:r>
      <w:r w:rsidRPr="0043063A">
        <w:fldChar w:fldCharType="end"/>
      </w:r>
      <w:r w:rsidRPr="0043063A">
        <w:tab/>
      </w:r>
      <w:r w:rsidR="008C30ED">
        <w:rPr>
          <w:lang w:val="en-GB"/>
        </w:rPr>
        <w:t xml:space="preserve">The provisions on </w:t>
      </w:r>
      <w:r w:rsidR="008C30ED">
        <w:t xml:space="preserve">provisional protection </w:t>
      </w:r>
      <w:r w:rsidR="008C30ED" w:rsidRPr="007934B1">
        <w:t xml:space="preserve">contained in Article </w:t>
      </w:r>
      <w:r w:rsidR="008C30ED">
        <w:t>13</w:t>
      </w:r>
      <w:r w:rsidR="008C30ED" w:rsidRPr="007934B1">
        <w:t xml:space="preserve"> of the 1991 Act of</w:t>
      </w:r>
      <w:r w:rsidR="008C30ED">
        <w:t xml:space="preserve"> the UPOV Convention and </w:t>
      </w:r>
      <w:r w:rsidR="008C30ED">
        <w:rPr>
          <w:lang w:val="en-GB"/>
        </w:rPr>
        <w:t xml:space="preserve">Article 7(3) </w:t>
      </w:r>
      <w:r w:rsidR="008C30ED" w:rsidRPr="007934B1">
        <w:rPr>
          <w:lang w:val="en-GB"/>
        </w:rPr>
        <w:t xml:space="preserve">of the 1978 Act </w:t>
      </w:r>
      <w:r w:rsidR="008C30ED">
        <w:rPr>
          <w:lang w:val="en-GB"/>
        </w:rPr>
        <w:t>of the UPOV Convention are reproduced below:</w:t>
      </w:r>
    </w:p>
    <w:p w:rsidR="008C30ED" w:rsidRDefault="008C30ED" w:rsidP="008C30ED">
      <w:pPr>
        <w:rPr>
          <w:lang w:val="en-GB"/>
        </w:rPr>
      </w:pPr>
    </w:p>
    <w:p w:rsidR="008C30ED" w:rsidRDefault="008C30ED" w:rsidP="008C30ED">
      <w:pPr>
        <w:rPr>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1991 Act</w:t>
      </w:r>
      <w:r w:rsidRPr="006518E5">
        <w:rPr>
          <w:sz w:val="18"/>
          <w:szCs w:val="18"/>
          <w:lang w:val="en-GB"/>
        </w:rPr>
        <w:t xml:space="preserve"> of the UPOV Convention</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Article 13</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Provisional Protection</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rPr>
      </w:pPr>
      <w:r w:rsidRPr="006518E5">
        <w:rPr>
          <w:sz w:val="18"/>
          <w:szCs w:val="18"/>
        </w:rPr>
        <w:t>Each Contracting Party shall provide measures designed to safeguard the interests of the breeder during the period between the filing or the publication of the application for the grant of a breeder’s right and the grant of that right.  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  A Contracting Party may provide that the said measures shall only take effect in relation to persons whom the breeder has notified of the filing of the application.</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lang w:val="en-GB"/>
        </w:rPr>
      </w:pPr>
    </w:p>
    <w:p w:rsidR="008C30ED" w:rsidRPr="006518E5" w:rsidRDefault="008C30ED" w:rsidP="008C30ED">
      <w:pPr>
        <w:rPr>
          <w:rFonts w:cs="Arial"/>
          <w:sz w:val="18"/>
          <w:szCs w:val="18"/>
          <w:lang w:val="en-GB"/>
        </w:rPr>
      </w:pPr>
    </w:p>
    <w:p w:rsidR="008C30ED" w:rsidRPr="006518E5" w:rsidRDefault="008C30ED" w:rsidP="008C30ED">
      <w:pPr>
        <w:rPr>
          <w:rFonts w:cs="Arial"/>
          <w:sz w:val="18"/>
          <w:szCs w:val="18"/>
          <w:lang w:val="en-GB"/>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lang w:val="en-GB"/>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lang w:val="en-GB"/>
        </w:rPr>
        <w:t xml:space="preserve">1978 Act </w:t>
      </w:r>
      <w:r w:rsidRPr="006518E5">
        <w:rPr>
          <w:rFonts w:ascii="Arial" w:hAnsi="Arial" w:cs="Arial"/>
          <w:b w:val="0"/>
          <w:bCs/>
          <w:sz w:val="18"/>
          <w:szCs w:val="18"/>
          <w:lang w:val="en-GB"/>
        </w:rPr>
        <w:t>of the UPOV Convention</w:t>
      </w:r>
      <w:r w:rsidRPr="006518E5">
        <w:rPr>
          <w:rFonts w:ascii="Arial" w:hAnsi="Arial" w:cs="Arial"/>
          <w:b w:val="0"/>
          <w:bCs/>
          <w:sz w:val="18"/>
          <w:szCs w:val="18"/>
        </w:rPr>
        <w:t xml:space="preserve"> </w:t>
      </w: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Article 7(3)</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Provisional Protection</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ab/>
        <w:t>(3)</w:t>
      </w:r>
      <w:r w:rsidRPr="006518E5">
        <w:rPr>
          <w:rFonts w:cs="Arial"/>
          <w:sz w:val="18"/>
          <w:szCs w:val="18"/>
        </w:rPr>
        <w:tab/>
        <w:t>Any member State of the Union may provide measures to protect the breeder against abusive acts of third parties committed during the period between the filing of the application for protection and the decision thereon.</w:t>
      </w:r>
    </w:p>
    <w:p w:rsidR="008C30ED" w:rsidRPr="006518E5" w:rsidRDefault="008C30ED" w:rsidP="008C30ED">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rPr>
      </w:pPr>
    </w:p>
    <w:p w:rsidR="008C30ED" w:rsidRPr="006518E5" w:rsidRDefault="008C30ED" w:rsidP="008C30ED">
      <w:pPr>
        <w:pStyle w:val="Style1"/>
        <w:tabs>
          <w:tab w:val="clear" w:pos="907"/>
          <w:tab w:val="clear" w:pos="1077"/>
        </w:tabs>
        <w:suppressAutoHyphens/>
        <w:jc w:val="left"/>
        <w:rPr>
          <w:rFonts w:cs="Arial"/>
          <w:szCs w:val="20"/>
          <w:lang w:val="en-GB"/>
        </w:rPr>
      </w:pPr>
    </w:p>
    <w:p w:rsidR="008C30ED" w:rsidRDefault="008C30ED" w:rsidP="008C30ED">
      <w:pPr>
        <w:pStyle w:val="Style1"/>
        <w:tabs>
          <w:tab w:val="clear" w:pos="907"/>
          <w:tab w:val="clear" w:pos="1077"/>
        </w:tabs>
        <w:suppressAutoHyphens/>
        <w:jc w:val="left"/>
        <w:outlineLvl w:val="1"/>
        <w:rPr>
          <w:lang w:val="en-GB"/>
        </w:rPr>
      </w:pPr>
      <w:r>
        <w:rPr>
          <w:lang w:val="en-GB"/>
        </w:rPr>
        <w:br w:type="page"/>
      </w:r>
    </w:p>
    <w:p w:rsidR="008C30ED" w:rsidRPr="00366754" w:rsidRDefault="008C30ED" w:rsidP="00CC30A7">
      <w:pPr>
        <w:pStyle w:val="Heading2"/>
      </w:pPr>
      <w:bookmarkStart w:id="4" w:name="_Toc202089146"/>
      <w:bookmarkStart w:id="5" w:name="_Toc434413614"/>
      <w:r>
        <w:lastRenderedPageBreak/>
        <w:t>SECTION</w:t>
      </w:r>
      <w:r w:rsidRPr="00366754">
        <w:t xml:space="preserve"> </w:t>
      </w:r>
      <w:r>
        <w:t>II</w:t>
      </w:r>
      <w:r w:rsidRPr="00366754">
        <w:t xml:space="preserve">: </w:t>
      </w:r>
      <w:r>
        <w:t xml:space="preserve"> CERTAIN ASPECTS OF THE </w:t>
      </w:r>
      <w:r w:rsidRPr="00366754">
        <w:t>PROVISIONS</w:t>
      </w:r>
      <w:r w:rsidR="00CC30A7">
        <w:t xml:space="preserve"> </w:t>
      </w:r>
      <w:r>
        <w:t xml:space="preserve">ON </w:t>
      </w:r>
      <w:bookmarkEnd w:id="4"/>
      <w:r>
        <w:t>PROVISIONAL PROTECTION</w:t>
      </w:r>
      <w:bookmarkEnd w:id="5"/>
    </w:p>
    <w:p w:rsidR="008C30ED" w:rsidRPr="00855680" w:rsidRDefault="008C30ED" w:rsidP="008C30ED">
      <w:pPr>
        <w:pStyle w:val="Style1"/>
      </w:pPr>
    </w:p>
    <w:p w:rsidR="008C30ED" w:rsidRDefault="005D7952" w:rsidP="008C30ED">
      <w:pPr>
        <w:pStyle w:val="Style1"/>
        <w:tabs>
          <w:tab w:val="clear" w:pos="907"/>
          <w:tab w:val="clear" w:pos="1077"/>
          <w:tab w:val="left" w:pos="567"/>
        </w:tabs>
        <w:rPr>
          <w:lang w:val="en-GB"/>
        </w:rPr>
      </w:pPr>
      <w:r w:rsidRPr="0043063A">
        <w:fldChar w:fldCharType="begin"/>
      </w:r>
      <w:r w:rsidRPr="0043063A">
        <w:instrText xml:space="preserve"> AUTONUM  </w:instrText>
      </w:r>
      <w:r w:rsidRPr="0043063A">
        <w:fldChar w:fldCharType="end"/>
      </w:r>
      <w:r w:rsidRPr="0043063A">
        <w:tab/>
      </w:r>
      <w:r w:rsidR="008C30ED">
        <w:rPr>
          <w:lang w:val="en-GB"/>
        </w:rPr>
        <w:t xml:space="preserve">This section provides guidance on certain aspects of the </w:t>
      </w:r>
      <w:r w:rsidR="008C30ED">
        <w:t>provisions</w:t>
      </w:r>
      <w:r w:rsidR="008C30ED" w:rsidRPr="007934B1">
        <w:t xml:space="preserve"> </w:t>
      </w:r>
      <w:r w:rsidR="008C30ED">
        <w:t xml:space="preserve">on provisional protection </w:t>
      </w:r>
      <w:r w:rsidR="008C30ED" w:rsidRPr="007934B1">
        <w:t xml:space="preserve">contained in Article </w:t>
      </w:r>
      <w:r w:rsidR="008C30ED">
        <w:t>13</w:t>
      </w:r>
      <w:r w:rsidR="008C30ED" w:rsidRPr="007934B1">
        <w:t xml:space="preserve"> of the 1991 Act of</w:t>
      </w:r>
      <w:r w:rsidR="008C30ED">
        <w:t xml:space="preserve"> the UPOV Convention and </w:t>
      </w:r>
      <w:r w:rsidR="008C30ED">
        <w:rPr>
          <w:lang w:val="en-GB"/>
        </w:rPr>
        <w:t xml:space="preserve">Article 7(3) </w:t>
      </w:r>
      <w:r w:rsidR="008C30ED" w:rsidRPr="007934B1">
        <w:rPr>
          <w:lang w:val="en-GB"/>
        </w:rPr>
        <w:t xml:space="preserve">of the 1978 Act </w:t>
      </w:r>
      <w:r w:rsidR="008C30ED">
        <w:rPr>
          <w:lang w:val="en-GB"/>
        </w:rPr>
        <w:t>of the UPOV Convention.</w:t>
      </w:r>
    </w:p>
    <w:p w:rsidR="008C30ED" w:rsidRDefault="008C30ED" w:rsidP="008C30ED">
      <w:pPr>
        <w:pStyle w:val="Style1"/>
        <w:rPr>
          <w:lang w:val="en-GB"/>
        </w:rPr>
      </w:pPr>
    </w:p>
    <w:p w:rsidR="008C30ED" w:rsidRDefault="008C30ED" w:rsidP="008C30ED">
      <w:pPr>
        <w:pStyle w:val="Style1"/>
        <w:rPr>
          <w:lang w:val="en-GB"/>
        </w:rPr>
      </w:pPr>
    </w:p>
    <w:p w:rsidR="008C30ED" w:rsidRPr="00CE0DC1" w:rsidRDefault="008C30ED" w:rsidP="008C30ED">
      <w:pPr>
        <w:pStyle w:val="Style1"/>
        <w:rPr>
          <w:i/>
          <w:lang w:val="en-GB"/>
        </w:rPr>
      </w:pPr>
      <w:r w:rsidRPr="00CE0DC1">
        <w:rPr>
          <w:i/>
          <w:lang w:val="en-GB"/>
        </w:rPr>
        <w:t>Period and notification</w:t>
      </w:r>
    </w:p>
    <w:p w:rsidR="008C30ED" w:rsidRDefault="008C30ED" w:rsidP="008C30ED">
      <w:pPr>
        <w:pStyle w:val="Style1"/>
        <w:rPr>
          <w:lang w:val="en-GB"/>
        </w:rPr>
      </w:pPr>
    </w:p>
    <w:p w:rsidR="008C30ED" w:rsidRDefault="008C30ED" w:rsidP="008C30ED">
      <w:pPr>
        <w:pBdr>
          <w:top w:val="single" w:sz="4" w:space="6" w:color="auto"/>
          <w:left w:val="single" w:sz="4" w:space="4" w:color="auto"/>
          <w:bottom w:val="single" w:sz="4" w:space="6" w:color="auto"/>
          <w:right w:val="single" w:sz="4" w:space="4" w:color="auto"/>
        </w:pBdr>
        <w:shd w:val="clear" w:color="auto" w:fill="E6E6E6"/>
        <w:rPr>
          <w:b/>
        </w:rPr>
      </w:pPr>
      <w:r w:rsidRPr="00781643">
        <w:rPr>
          <w:b/>
        </w:rPr>
        <w:t xml:space="preserve">Each Contracting Party shall provide measures designed to safeguard the interests of the breeder during the period between [the filing] </w:t>
      </w:r>
      <w:r w:rsidRPr="00781643">
        <w:rPr>
          <w:b/>
          <w:i/>
        </w:rPr>
        <w:t>[or]</w:t>
      </w:r>
      <w:r w:rsidRPr="00781643">
        <w:rPr>
          <w:b/>
        </w:rPr>
        <w:t xml:space="preserve"> [the publication] of the application for the grant of a breeder’s right and the grant of that right.  [….] A Contracting Party may provide</w:t>
      </w:r>
      <w:r w:rsidRPr="00DE2F22">
        <w:rPr>
          <w:b/>
        </w:rPr>
        <w:t xml:space="preserve"> that the said measures shall only take effect in relation to persons whom the breeder has notified of the filing of the application.</w:t>
      </w:r>
    </w:p>
    <w:p w:rsidR="008C30ED" w:rsidRDefault="008C30ED" w:rsidP="008C30ED"/>
    <w:p w:rsidR="005D7952" w:rsidRDefault="005D7952" w:rsidP="008C30ED"/>
    <w:p w:rsidR="008C30ED" w:rsidRDefault="005D7952" w:rsidP="008C30ED">
      <w:pPr>
        <w:pStyle w:val="Style1"/>
        <w:tabs>
          <w:tab w:val="clear" w:pos="907"/>
          <w:tab w:val="clear" w:pos="1077"/>
          <w:tab w:val="decimal" w:pos="0"/>
        </w:tabs>
      </w:pPr>
      <w:r w:rsidRPr="0043063A">
        <w:fldChar w:fldCharType="begin"/>
      </w:r>
      <w:r w:rsidRPr="0043063A">
        <w:instrText xml:space="preserve"> AUTONUM  </w:instrText>
      </w:r>
      <w:r w:rsidRPr="0043063A">
        <w:fldChar w:fldCharType="end"/>
      </w:r>
      <w:r w:rsidRPr="0043063A">
        <w:tab/>
      </w:r>
      <w:r w:rsidR="008C30ED">
        <w:t>T</w:t>
      </w:r>
      <w:r w:rsidR="008C30ED">
        <w:rPr>
          <w:lang w:val="en-GB"/>
        </w:rPr>
        <w:t xml:space="preserve">he UPOV Convention provides that the period of protection (Article 19 of the 1991 Act and Article 8 of the 1978 Act) is counted from the date of grant of a breeder’s right.  The 1991 Act of the UPOV Convention requires that provisional </w:t>
      </w:r>
      <w:r w:rsidR="008C30ED">
        <w:t>protection is provided to the breeder during the period between the filing</w:t>
      </w:r>
      <w:r w:rsidR="008C30ED">
        <w:rPr>
          <w:rStyle w:val="FootnoteReference"/>
        </w:rPr>
        <w:footnoteReference w:id="1"/>
      </w:r>
      <w:r w:rsidR="008C30ED">
        <w:t xml:space="preserve"> or publication of the application for the grant of the breeder’s right and the grant of that right.</w:t>
      </w:r>
      <w:r w:rsidR="008C30ED">
        <w:rPr>
          <w:rStyle w:val="FootnoteReference"/>
        </w:rPr>
        <w:footnoteReference w:id="2"/>
      </w:r>
      <w:r w:rsidR="008C30ED">
        <w:t xml:space="preserve">  </w:t>
      </w:r>
    </w:p>
    <w:p w:rsidR="006F1060" w:rsidRDefault="006F1060" w:rsidP="006F1060"/>
    <w:tbl>
      <w:tblPr>
        <w:tblStyle w:val="TableGrid"/>
        <w:tblW w:w="0" w:type="auto"/>
        <w:tblLook w:val="04A0" w:firstRow="1" w:lastRow="0" w:firstColumn="1" w:lastColumn="0" w:noHBand="0" w:noVBand="1"/>
      </w:tblPr>
      <w:tblGrid>
        <w:gridCol w:w="9629"/>
      </w:tblGrid>
      <w:tr w:rsidR="006F1060" w:rsidRPr="00FD7B58" w:rsidTr="00004679">
        <w:tc>
          <w:tcPr>
            <w:tcW w:w="9629" w:type="dxa"/>
            <w:shd w:val="clear" w:color="auto" w:fill="F2F2F2" w:themeFill="background1" w:themeFillShade="F2"/>
          </w:tcPr>
          <w:p w:rsidR="006F1060" w:rsidRPr="003B1AC3" w:rsidRDefault="006F1060" w:rsidP="00004679">
            <w:pPr>
              <w:rPr>
                <w:sz w:val="10"/>
                <w:szCs w:val="10"/>
              </w:rPr>
            </w:pPr>
          </w:p>
          <w:p w:rsidR="006F1060" w:rsidRPr="00C3009A" w:rsidRDefault="005C6F4C" w:rsidP="00004679">
            <w:pPr>
              <w:rPr>
                <w:sz w:val="18"/>
                <w:szCs w:val="18"/>
              </w:rPr>
            </w:pPr>
            <w:r w:rsidRPr="00F81216">
              <w:rPr>
                <w:sz w:val="18"/>
                <w:szCs w:val="18"/>
                <w:u w:val="single"/>
              </w:rPr>
              <w:t xml:space="preserve">Proposals </w:t>
            </w:r>
            <w:r w:rsidR="006F1060">
              <w:rPr>
                <w:sz w:val="18"/>
                <w:szCs w:val="18"/>
                <w:u w:val="single"/>
              </w:rPr>
              <w:t>from</w:t>
            </w:r>
            <w:r w:rsidR="006F1060" w:rsidRPr="00C3009A">
              <w:rPr>
                <w:sz w:val="18"/>
                <w:szCs w:val="18"/>
                <w:u w:val="single"/>
              </w:rPr>
              <w:t xml:space="preserve"> </w:t>
            </w:r>
            <w:r w:rsidR="006F1060" w:rsidRPr="005B488F">
              <w:rPr>
                <w:sz w:val="18"/>
                <w:szCs w:val="18"/>
                <w:u w:val="single"/>
              </w:rPr>
              <w:t xml:space="preserve">ISF, CIOPORA, </w:t>
            </w:r>
            <w:proofErr w:type="spellStart"/>
            <w:r w:rsidR="006F1060" w:rsidRPr="005B488F">
              <w:rPr>
                <w:sz w:val="18"/>
                <w:szCs w:val="18"/>
                <w:u w:val="single"/>
              </w:rPr>
              <w:t>CropLife</w:t>
            </w:r>
            <w:proofErr w:type="spellEnd"/>
            <w:r w:rsidR="006F1060" w:rsidRPr="005B488F">
              <w:rPr>
                <w:sz w:val="18"/>
                <w:szCs w:val="18"/>
                <w:u w:val="single"/>
              </w:rPr>
              <w:t xml:space="preserve"> International, </w:t>
            </w:r>
            <w:proofErr w:type="spellStart"/>
            <w:r w:rsidR="006F1060" w:rsidRPr="005B488F">
              <w:rPr>
                <w:sz w:val="18"/>
                <w:szCs w:val="18"/>
                <w:u w:val="single"/>
              </w:rPr>
              <w:t>Euroseeds</w:t>
            </w:r>
            <w:proofErr w:type="spellEnd"/>
            <w:r w:rsidR="006F1060" w:rsidRPr="005B488F">
              <w:rPr>
                <w:sz w:val="18"/>
                <w:szCs w:val="18"/>
                <w:u w:val="single"/>
              </w:rPr>
              <w:t>, APSA, AFSTA, and SAA</w:t>
            </w:r>
            <w:r w:rsidR="006F1060" w:rsidRPr="00F0265F">
              <w:rPr>
                <w:rStyle w:val="EndnoteReference"/>
                <w:b/>
              </w:rPr>
              <w:endnoteReference w:id="3"/>
            </w:r>
          </w:p>
          <w:p w:rsidR="006F1060" w:rsidRPr="00385EFC" w:rsidRDefault="006F1060" w:rsidP="00004679">
            <w:pPr>
              <w:rPr>
                <w:sz w:val="16"/>
                <w:szCs w:val="16"/>
              </w:rPr>
            </w:pPr>
          </w:p>
          <w:p w:rsidR="006F1060" w:rsidRDefault="006F1060" w:rsidP="00004679">
            <w:pPr>
              <w:rPr>
                <w:sz w:val="18"/>
              </w:rPr>
            </w:pPr>
            <w:r>
              <w:rPr>
                <w:sz w:val="18"/>
                <w:szCs w:val="18"/>
              </w:rPr>
              <w:t>Paragraph 5 to be changed as follows:  “</w:t>
            </w:r>
            <w:r w:rsidRPr="006F1060">
              <w:rPr>
                <w:sz w:val="18"/>
              </w:rPr>
              <w:t xml:space="preserve">The UPOV Convention provides that the period of protection (Article 19 of the 1991 Act and Article 8 of the 1978 Act) </w:t>
            </w:r>
            <w:r w:rsidRPr="006F1060">
              <w:rPr>
                <w:strike/>
                <w:sz w:val="18"/>
                <w:highlight w:val="lightGray"/>
              </w:rPr>
              <w:t>is counted</w:t>
            </w:r>
            <w:r w:rsidRPr="006F1060">
              <w:rPr>
                <w:sz w:val="18"/>
              </w:rPr>
              <w:t xml:space="preserve"> </w:t>
            </w:r>
            <w:r w:rsidRPr="006F1060">
              <w:rPr>
                <w:sz w:val="18"/>
                <w:highlight w:val="lightGray"/>
                <w:u w:val="single"/>
              </w:rPr>
              <w:t>starting</w:t>
            </w:r>
            <w:r>
              <w:rPr>
                <w:sz w:val="18"/>
              </w:rPr>
              <w:t xml:space="preserve"> </w:t>
            </w:r>
            <w:r w:rsidRPr="006F1060">
              <w:rPr>
                <w:sz w:val="18"/>
              </w:rPr>
              <w:t>from the date of grant of a breeder’s right.  The 1991 Act of the UPOV Convention requires that provisional protection is provided to the breeder during the period between the filing</w:t>
            </w:r>
            <w:r w:rsidRPr="006F1060">
              <w:rPr>
                <w:sz w:val="18"/>
                <w:vertAlign w:val="superscript"/>
              </w:rPr>
              <w:t>1</w:t>
            </w:r>
            <w:r w:rsidRPr="006F1060">
              <w:rPr>
                <w:sz w:val="18"/>
              </w:rPr>
              <w:t xml:space="preserve"> or publication of the application for the grant of the breeder’s right and the grant of that right</w:t>
            </w:r>
            <w:r>
              <w:rPr>
                <w:sz w:val="18"/>
              </w:rPr>
              <w:t>.</w:t>
            </w:r>
            <w:r w:rsidRPr="006F1060">
              <w:rPr>
                <w:sz w:val="18"/>
                <w:vertAlign w:val="superscript"/>
              </w:rPr>
              <w:t>2</w:t>
            </w:r>
            <w:r>
              <w:rPr>
                <w:sz w:val="18"/>
              </w:rPr>
              <w:t xml:space="preserve"> </w:t>
            </w:r>
          </w:p>
          <w:p w:rsidR="006F1060" w:rsidRDefault="006F1060" w:rsidP="00004679">
            <w:pPr>
              <w:rPr>
                <w:sz w:val="18"/>
              </w:rPr>
            </w:pPr>
          </w:p>
          <w:p w:rsidR="006F1060" w:rsidRPr="005B488F" w:rsidRDefault="006F1060" w:rsidP="00004679">
            <w:pPr>
              <w:rPr>
                <w:sz w:val="18"/>
                <w:szCs w:val="18"/>
              </w:rPr>
            </w:pPr>
            <w:r w:rsidRPr="006F1060">
              <w:rPr>
                <w:sz w:val="18"/>
                <w:highlight w:val="lightGray"/>
                <w:u w:val="single"/>
              </w:rPr>
              <w:t>“In accordance with this principle, the applicant of a PVP filed in any UPOV Contracting Party shall enjoy provisional protection as from the date of the filing or “first application” in case of a priority claim under the respective Articles.</w:t>
            </w:r>
            <w:r>
              <w:rPr>
                <w:sz w:val="18"/>
                <w:highlight w:val="lightGray"/>
                <w:u w:val="single"/>
              </w:rPr>
              <w:t xml:space="preserve"> </w:t>
            </w:r>
            <w:r w:rsidRPr="006F1060">
              <w:rPr>
                <w:sz w:val="18"/>
                <w:highlight w:val="lightGray"/>
                <w:u w:val="single"/>
              </w:rPr>
              <w:t xml:space="preserve"> Provisional protection and liability, including compensation and damages, for unauthorized use are reckoned from the filing date or priority date, as the case may be, of the PVP application.</w:t>
            </w:r>
            <w:r>
              <w:rPr>
                <w:sz w:val="18"/>
              </w:rPr>
              <w:t>”</w:t>
            </w:r>
          </w:p>
          <w:p w:rsidR="006F1060" w:rsidRPr="00385EFC" w:rsidRDefault="006F1060" w:rsidP="00004679">
            <w:pPr>
              <w:ind w:left="1148" w:hanging="630"/>
              <w:rPr>
                <w:sz w:val="8"/>
              </w:rPr>
            </w:pPr>
          </w:p>
        </w:tc>
      </w:tr>
    </w:tbl>
    <w:p w:rsidR="006F1060" w:rsidRPr="004E7EAB" w:rsidRDefault="006F1060" w:rsidP="006F1060"/>
    <w:p w:rsidR="008C30ED" w:rsidRDefault="008C30ED" w:rsidP="008C30ED">
      <w:pPr>
        <w:pStyle w:val="Style1"/>
        <w:tabs>
          <w:tab w:val="clear" w:pos="907"/>
          <w:tab w:val="clear" w:pos="1077"/>
          <w:tab w:val="left" w:pos="0"/>
        </w:tabs>
      </w:pPr>
    </w:p>
    <w:p w:rsidR="008C30ED" w:rsidRDefault="005D7952" w:rsidP="008C30ED">
      <w:pPr>
        <w:pStyle w:val="Style1"/>
        <w:tabs>
          <w:tab w:val="clear" w:pos="907"/>
          <w:tab w:val="clear" w:pos="1077"/>
          <w:tab w:val="decimal" w:pos="0"/>
        </w:tabs>
      </w:pPr>
      <w:r w:rsidRPr="0043063A">
        <w:fldChar w:fldCharType="begin"/>
      </w:r>
      <w:r w:rsidRPr="0043063A">
        <w:instrText xml:space="preserve"> AUTONUM  </w:instrText>
      </w:r>
      <w:r w:rsidRPr="0043063A">
        <w:fldChar w:fldCharType="end"/>
      </w:r>
      <w:r w:rsidRPr="0043063A">
        <w:tab/>
      </w:r>
      <w:r w:rsidR="008C30ED" w:rsidRPr="00E75C13">
        <w:t xml:space="preserve">A member of the Union may provide in its legislation that the measures </w:t>
      </w:r>
      <w:r w:rsidR="008C30ED">
        <w:t>of provisional protection (see below notes on “</w:t>
      </w:r>
      <w:r w:rsidR="008C30ED" w:rsidRPr="00AB7BD3">
        <w:rPr>
          <w:lang w:val="en-GB"/>
        </w:rPr>
        <w:t>M</w:t>
      </w:r>
      <w:proofErr w:type="spellStart"/>
      <w:r w:rsidR="008C30ED" w:rsidRPr="00395AAC">
        <w:t>easures</w:t>
      </w:r>
      <w:proofErr w:type="spellEnd"/>
      <w:r w:rsidR="008C30ED">
        <w:t xml:space="preserve">”) </w:t>
      </w:r>
      <w:r w:rsidR="008C30ED" w:rsidRPr="00E75C13">
        <w:t>shall only take effect in relation to persons whom the breeder has notified of the filing of the application.</w:t>
      </w:r>
      <w:r w:rsidR="008C30ED">
        <w:t xml:space="preserve">  Such a notification may be considered to be fulfilled in relation to all persons when the law has retained the date of the publication as the initial date for provisional protection, because p</w:t>
      </w:r>
      <w:r w:rsidR="008C30ED" w:rsidRPr="00EA1BED">
        <w:t xml:space="preserve">ublication </w:t>
      </w:r>
      <w:r w:rsidR="008C30ED">
        <w:t>is generally recognized as a notification mechanism</w:t>
      </w:r>
      <w:r w:rsidR="008C30ED" w:rsidRPr="00EA1BED">
        <w:t xml:space="preserve"> of third parties.</w:t>
      </w:r>
    </w:p>
    <w:p w:rsidR="006F1060" w:rsidRDefault="006F1060" w:rsidP="006F1060"/>
    <w:tbl>
      <w:tblPr>
        <w:tblStyle w:val="TableGrid"/>
        <w:tblW w:w="0" w:type="auto"/>
        <w:tblLook w:val="04A0" w:firstRow="1" w:lastRow="0" w:firstColumn="1" w:lastColumn="0" w:noHBand="0" w:noVBand="1"/>
      </w:tblPr>
      <w:tblGrid>
        <w:gridCol w:w="9629"/>
      </w:tblGrid>
      <w:tr w:rsidR="006F1060" w:rsidRPr="00FD7B58" w:rsidTr="00004679">
        <w:tc>
          <w:tcPr>
            <w:tcW w:w="9629" w:type="dxa"/>
            <w:shd w:val="clear" w:color="auto" w:fill="F2F2F2" w:themeFill="background1" w:themeFillShade="F2"/>
          </w:tcPr>
          <w:p w:rsidR="006F1060" w:rsidRPr="003B1AC3" w:rsidRDefault="006F1060" w:rsidP="00004679">
            <w:pPr>
              <w:rPr>
                <w:sz w:val="10"/>
                <w:szCs w:val="10"/>
              </w:rPr>
            </w:pPr>
          </w:p>
          <w:p w:rsidR="006F1060" w:rsidRPr="00C3009A" w:rsidRDefault="005C6F4C" w:rsidP="00004679">
            <w:pPr>
              <w:rPr>
                <w:sz w:val="18"/>
                <w:szCs w:val="18"/>
              </w:rPr>
            </w:pPr>
            <w:r w:rsidRPr="00F81216">
              <w:rPr>
                <w:sz w:val="18"/>
                <w:szCs w:val="18"/>
                <w:u w:val="single"/>
              </w:rPr>
              <w:t xml:space="preserve">Proposals </w:t>
            </w:r>
            <w:r w:rsidR="006F1060">
              <w:rPr>
                <w:sz w:val="18"/>
                <w:szCs w:val="18"/>
                <w:u w:val="single"/>
              </w:rPr>
              <w:t>from</w:t>
            </w:r>
            <w:r w:rsidR="006F1060" w:rsidRPr="00C3009A">
              <w:rPr>
                <w:sz w:val="18"/>
                <w:szCs w:val="18"/>
                <w:u w:val="single"/>
              </w:rPr>
              <w:t xml:space="preserve"> </w:t>
            </w:r>
            <w:r w:rsidR="006F1060" w:rsidRPr="005B488F">
              <w:rPr>
                <w:sz w:val="18"/>
                <w:szCs w:val="18"/>
                <w:u w:val="single"/>
              </w:rPr>
              <w:t xml:space="preserve">ISF, CIOPORA, </w:t>
            </w:r>
            <w:proofErr w:type="spellStart"/>
            <w:r w:rsidR="006F1060" w:rsidRPr="005B488F">
              <w:rPr>
                <w:sz w:val="18"/>
                <w:szCs w:val="18"/>
                <w:u w:val="single"/>
              </w:rPr>
              <w:t>CropLife</w:t>
            </w:r>
            <w:proofErr w:type="spellEnd"/>
            <w:r w:rsidR="006F1060" w:rsidRPr="005B488F">
              <w:rPr>
                <w:sz w:val="18"/>
                <w:szCs w:val="18"/>
                <w:u w:val="single"/>
              </w:rPr>
              <w:t xml:space="preserve"> International, </w:t>
            </w:r>
            <w:proofErr w:type="spellStart"/>
            <w:r w:rsidR="006F1060" w:rsidRPr="005B488F">
              <w:rPr>
                <w:sz w:val="18"/>
                <w:szCs w:val="18"/>
                <w:u w:val="single"/>
              </w:rPr>
              <w:t>Euroseeds</w:t>
            </w:r>
            <w:proofErr w:type="spellEnd"/>
            <w:r w:rsidR="006F1060" w:rsidRPr="005B488F">
              <w:rPr>
                <w:sz w:val="18"/>
                <w:szCs w:val="18"/>
                <w:u w:val="single"/>
              </w:rPr>
              <w:t>, APSA, AFSTA, and SAA</w:t>
            </w:r>
            <w:r w:rsidR="006F1060" w:rsidRPr="00F0265F">
              <w:rPr>
                <w:rStyle w:val="EndnoteReference"/>
                <w:b/>
              </w:rPr>
              <w:endnoteReference w:id="4"/>
            </w:r>
          </w:p>
          <w:p w:rsidR="006F1060" w:rsidRPr="00385EFC" w:rsidRDefault="006F1060" w:rsidP="00004679">
            <w:pPr>
              <w:rPr>
                <w:sz w:val="16"/>
                <w:szCs w:val="16"/>
              </w:rPr>
            </w:pPr>
          </w:p>
          <w:p w:rsidR="006F1060" w:rsidRDefault="006F1060" w:rsidP="00004679">
            <w:pPr>
              <w:rPr>
                <w:sz w:val="18"/>
              </w:rPr>
            </w:pPr>
            <w:r>
              <w:rPr>
                <w:sz w:val="18"/>
                <w:szCs w:val="18"/>
              </w:rPr>
              <w:t xml:space="preserve">Paragraph 6 to be </w:t>
            </w:r>
            <w:r w:rsidR="00CA7F5E">
              <w:rPr>
                <w:sz w:val="18"/>
                <w:szCs w:val="18"/>
              </w:rPr>
              <w:t>updated with the following sentence</w:t>
            </w:r>
            <w:r>
              <w:rPr>
                <w:sz w:val="18"/>
                <w:szCs w:val="18"/>
              </w:rPr>
              <w:t>:  “</w:t>
            </w:r>
            <w:r w:rsidRPr="006F1060">
              <w:rPr>
                <w:sz w:val="18"/>
                <w:szCs w:val="18"/>
              </w:rPr>
              <w:t xml:space="preserve">A member of the Union may </w:t>
            </w:r>
            <w:r>
              <w:rPr>
                <w:sz w:val="18"/>
                <w:szCs w:val="18"/>
              </w:rPr>
              <w:t>(…).</w:t>
            </w:r>
          </w:p>
          <w:p w:rsidR="006F1060" w:rsidRDefault="006F1060" w:rsidP="00004679">
            <w:pPr>
              <w:rPr>
                <w:sz w:val="18"/>
              </w:rPr>
            </w:pPr>
          </w:p>
          <w:p w:rsidR="006F1060" w:rsidRPr="005B488F" w:rsidRDefault="006F1060" w:rsidP="00004679">
            <w:pPr>
              <w:rPr>
                <w:sz w:val="18"/>
                <w:szCs w:val="18"/>
              </w:rPr>
            </w:pPr>
            <w:r>
              <w:rPr>
                <w:sz w:val="18"/>
              </w:rPr>
              <w:t>“</w:t>
            </w:r>
            <w:r w:rsidRPr="006F1060">
              <w:rPr>
                <w:sz w:val="18"/>
                <w:highlight w:val="lightGray"/>
                <w:u w:val="single"/>
              </w:rPr>
              <w:t>A PVP publication refers to a PVP application that has been published in an official journal or gazette, either in the form of a physical document or in an electronic format.</w:t>
            </w:r>
            <w:r>
              <w:rPr>
                <w:sz w:val="18"/>
              </w:rPr>
              <w:t>”</w:t>
            </w:r>
          </w:p>
          <w:p w:rsidR="006F1060" w:rsidRPr="00385EFC" w:rsidRDefault="006F1060" w:rsidP="00004679">
            <w:pPr>
              <w:ind w:left="1148" w:hanging="630"/>
              <w:rPr>
                <w:sz w:val="8"/>
              </w:rPr>
            </w:pPr>
          </w:p>
        </w:tc>
      </w:tr>
    </w:tbl>
    <w:p w:rsidR="006F1060" w:rsidRPr="004E7EAB" w:rsidRDefault="006F1060" w:rsidP="006F1060"/>
    <w:p w:rsidR="006F1060" w:rsidRPr="004E7EAB" w:rsidRDefault="006F1060" w:rsidP="006F1060"/>
    <w:p w:rsidR="008C30ED" w:rsidRPr="00CE0DC1" w:rsidRDefault="008C30ED" w:rsidP="006F1060">
      <w:pPr>
        <w:pStyle w:val="Style1"/>
        <w:keepNext/>
        <w:rPr>
          <w:i/>
          <w:lang w:val="en-GB"/>
        </w:rPr>
      </w:pPr>
      <w:r w:rsidRPr="00CE0DC1">
        <w:rPr>
          <w:i/>
          <w:lang w:val="en-GB"/>
        </w:rPr>
        <w:lastRenderedPageBreak/>
        <w:t>Measures</w:t>
      </w:r>
    </w:p>
    <w:p w:rsidR="008C30ED" w:rsidRPr="00324494" w:rsidRDefault="008C30ED" w:rsidP="006F1060">
      <w:pPr>
        <w:pStyle w:val="Style1"/>
        <w:keepNext/>
        <w:rPr>
          <w:i/>
          <w:lang w:val="en-GB"/>
        </w:rPr>
      </w:pPr>
    </w:p>
    <w:p w:rsidR="008C30ED" w:rsidRPr="00324494" w:rsidRDefault="008C30ED" w:rsidP="006F1060">
      <w:pPr>
        <w:pStyle w:val="Style1"/>
        <w:keepNext/>
        <w:pBdr>
          <w:top w:val="single" w:sz="4" w:space="6" w:color="auto"/>
          <w:left w:val="single" w:sz="4" w:space="4" w:color="auto"/>
          <w:bottom w:val="single" w:sz="4" w:space="6" w:color="auto"/>
          <w:right w:val="single" w:sz="4" w:space="4" w:color="auto"/>
        </w:pBdr>
        <w:shd w:val="clear" w:color="auto" w:fill="E6E6E6"/>
        <w:rPr>
          <w:b/>
        </w:rPr>
      </w:pPr>
      <w:r w:rsidRPr="00781643">
        <w:rPr>
          <w:b/>
        </w:rPr>
        <w:t>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w:t>
      </w:r>
      <w:r w:rsidRPr="00324494">
        <w:rPr>
          <w:b/>
        </w:rPr>
        <w:t xml:space="preserve">  </w:t>
      </w:r>
    </w:p>
    <w:p w:rsidR="008C30ED" w:rsidRDefault="008C30ED" w:rsidP="006F1060">
      <w:pPr>
        <w:pStyle w:val="Style1"/>
        <w:keepNext/>
        <w:rPr>
          <w:lang w:val="en-GB"/>
        </w:rPr>
      </w:pPr>
    </w:p>
    <w:p w:rsidR="008C30ED" w:rsidRDefault="008C30ED" w:rsidP="006F1060">
      <w:pPr>
        <w:keepLines/>
        <w:tabs>
          <w:tab w:val="decimal" w:pos="0"/>
        </w:tabs>
      </w:pPr>
      <w:r>
        <w:fldChar w:fldCharType="begin"/>
      </w:r>
      <w:r>
        <w:instrText xml:space="preserve"> AUTONUM  </w:instrText>
      </w:r>
      <w:r>
        <w:fldChar w:fldCharType="end"/>
      </w:r>
      <w:r>
        <w:tab/>
      </w:r>
      <w:r w:rsidRPr="00BB6A4D">
        <w:t>Article 13 of the 1991 Act of the UPOV Convention provides that member</w:t>
      </w:r>
      <w:r>
        <w:t>s</w:t>
      </w:r>
      <w:r w:rsidRPr="00CE0DC1">
        <w:t xml:space="preserve"> of the Union bound by the 1991 Act shall provide measures designed to safeguard the interests of the breeder</w:t>
      </w:r>
      <w:r w:rsidRPr="00CE0DC1">
        <w:rPr>
          <w:lang w:val="en-GB"/>
        </w:rPr>
        <w:t xml:space="preserve"> during </w:t>
      </w:r>
      <w:r w:rsidRPr="00BB6A4D">
        <w:rPr>
          <w:lang w:val="en-GB"/>
        </w:rPr>
        <w:t xml:space="preserve">the period </w:t>
      </w:r>
      <w:r w:rsidRPr="00BB6A4D">
        <w:t>between</w:t>
      </w:r>
      <w:r>
        <w:t xml:space="preserve"> the filing or the publication of the application and the grant of the breeder’s right.  Those measures require that the holder of the breeder’s right is “at least” entitled to equitable remuneration from any person who, during that period, carries out acts which, once the right has been granted, would require the breeder’s authorization as provided in Article 14 of the 1991 Act of the UPOV Convention.</w:t>
      </w:r>
    </w:p>
    <w:p w:rsidR="008C30ED" w:rsidRDefault="008C30ED" w:rsidP="008C30ED"/>
    <w:p w:rsidR="008C30ED" w:rsidRDefault="008C30ED" w:rsidP="008C30ED">
      <w:pPr>
        <w:tabs>
          <w:tab w:val="left" w:pos="0"/>
        </w:tabs>
      </w:pPr>
      <w:r>
        <w:fldChar w:fldCharType="begin"/>
      </w:r>
      <w:r>
        <w:instrText xml:space="preserve"> AUTONUM  </w:instrText>
      </w:r>
      <w:r>
        <w:fldChar w:fldCharType="end"/>
      </w:r>
      <w:r>
        <w:tab/>
        <w:t>The use of the text “at least” clarifies that it is possible, for example, that the provisions on provisional protection in the law governing breeders’ rights provide the holder of the breeder’s right with the full scope of the breeder’s right.</w:t>
      </w:r>
    </w:p>
    <w:p w:rsidR="006F1060" w:rsidRDefault="006F1060" w:rsidP="006F1060"/>
    <w:tbl>
      <w:tblPr>
        <w:tblStyle w:val="TableGrid"/>
        <w:tblW w:w="0" w:type="auto"/>
        <w:tblLook w:val="04A0" w:firstRow="1" w:lastRow="0" w:firstColumn="1" w:lastColumn="0" w:noHBand="0" w:noVBand="1"/>
      </w:tblPr>
      <w:tblGrid>
        <w:gridCol w:w="9629"/>
      </w:tblGrid>
      <w:tr w:rsidR="006F1060" w:rsidRPr="00FD7B58" w:rsidTr="00004679">
        <w:tc>
          <w:tcPr>
            <w:tcW w:w="9629" w:type="dxa"/>
            <w:shd w:val="clear" w:color="auto" w:fill="F2F2F2" w:themeFill="background1" w:themeFillShade="F2"/>
          </w:tcPr>
          <w:p w:rsidR="006F1060" w:rsidRPr="003B1AC3" w:rsidRDefault="006F1060" w:rsidP="00004679">
            <w:pPr>
              <w:rPr>
                <w:sz w:val="10"/>
                <w:szCs w:val="10"/>
              </w:rPr>
            </w:pPr>
          </w:p>
          <w:p w:rsidR="006F1060" w:rsidRPr="00C3009A" w:rsidRDefault="005C6F4C" w:rsidP="00004679">
            <w:pPr>
              <w:rPr>
                <w:sz w:val="18"/>
                <w:szCs w:val="18"/>
              </w:rPr>
            </w:pPr>
            <w:r w:rsidRPr="00F81216">
              <w:rPr>
                <w:sz w:val="18"/>
                <w:szCs w:val="18"/>
                <w:u w:val="single"/>
              </w:rPr>
              <w:t xml:space="preserve">Proposals </w:t>
            </w:r>
            <w:r w:rsidR="006F1060">
              <w:rPr>
                <w:sz w:val="18"/>
                <w:szCs w:val="18"/>
                <w:u w:val="single"/>
              </w:rPr>
              <w:t>from</w:t>
            </w:r>
            <w:r w:rsidR="006F1060" w:rsidRPr="00C3009A">
              <w:rPr>
                <w:sz w:val="18"/>
                <w:szCs w:val="18"/>
                <w:u w:val="single"/>
              </w:rPr>
              <w:t xml:space="preserve"> </w:t>
            </w:r>
            <w:r w:rsidR="006F1060" w:rsidRPr="005B488F">
              <w:rPr>
                <w:sz w:val="18"/>
                <w:szCs w:val="18"/>
                <w:u w:val="single"/>
              </w:rPr>
              <w:t xml:space="preserve">ISF, CIOPORA, </w:t>
            </w:r>
            <w:proofErr w:type="spellStart"/>
            <w:r w:rsidR="006F1060" w:rsidRPr="005B488F">
              <w:rPr>
                <w:sz w:val="18"/>
                <w:szCs w:val="18"/>
                <w:u w:val="single"/>
              </w:rPr>
              <w:t>CropLife</w:t>
            </w:r>
            <w:proofErr w:type="spellEnd"/>
            <w:r w:rsidR="006F1060" w:rsidRPr="005B488F">
              <w:rPr>
                <w:sz w:val="18"/>
                <w:szCs w:val="18"/>
                <w:u w:val="single"/>
              </w:rPr>
              <w:t xml:space="preserve"> International, </w:t>
            </w:r>
            <w:proofErr w:type="spellStart"/>
            <w:r w:rsidR="006F1060" w:rsidRPr="005B488F">
              <w:rPr>
                <w:sz w:val="18"/>
                <w:szCs w:val="18"/>
                <w:u w:val="single"/>
              </w:rPr>
              <w:t>Euroseeds</w:t>
            </w:r>
            <w:proofErr w:type="spellEnd"/>
            <w:r w:rsidR="006F1060" w:rsidRPr="005B488F">
              <w:rPr>
                <w:sz w:val="18"/>
                <w:szCs w:val="18"/>
                <w:u w:val="single"/>
              </w:rPr>
              <w:t>, APSA, AFSTA, and SAA</w:t>
            </w:r>
            <w:r w:rsidR="006F1060" w:rsidRPr="00F0265F">
              <w:rPr>
                <w:rStyle w:val="EndnoteReference"/>
                <w:b/>
              </w:rPr>
              <w:endnoteReference w:id="5"/>
            </w:r>
          </w:p>
          <w:p w:rsidR="006F1060" w:rsidRPr="00385EFC" w:rsidRDefault="006F1060" w:rsidP="00004679">
            <w:pPr>
              <w:rPr>
                <w:sz w:val="16"/>
                <w:szCs w:val="16"/>
              </w:rPr>
            </w:pPr>
          </w:p>
          <w:p w:rsidR="00990A80" w:rsidRPr="00990A80" w:rsidRDefault="00CA7F5E" w:rsidP="00990A80">
            <w:pPr>
              <w:rPr>
                <w:sz w:val="18"/>
                <w:u w:val="single"/>
              </w:rPr>
            </w:pPr>
            <w:r>
              <w:rPr>
                <w:sz w:val="18"/>
                <w:szCs w:val="18"/>
              </w:rPr>
              <w:t>Paragraph 8</w:t>
            </w:r>
            <w:r w:rsidR="006F1060">
              <w:rPr>
                <w:sz w:val="18"/>
                <w:szCs w:val="18"/>
              </w:rPr>
              <w:t xml:space="preserve"> to be changed as follows:  “</w:t>
            </w:r>
            <w:r w:rsidR="006F1060" w:rsidRPr="006F1060">
              <w:rPr>
                <w:sz w:val="18"/>
                <w:szCs w:val="18"/>
              </w:rPr>
              <w:t xml:space="preserve">The use of the </w:t>
            </w:r>
            <w:r w:rsidR="006F1060" w:rsidRPr="00990A80">
              <w:rPr>
                <w:strike/>
                <w:sz w:val="18"/>
                <w:szCs w:val="18"/>
                <w:highlight w:val="lightGray"/>
              </w:rPr>
              <w:t>text “at least” clarifies that it is possible, for example, that the provisions</w:t>
            </w:r>
            <w:r w:rsidR="006F1060" w:rsidRPr="006F1060">
              <w:rPr>
                <w:sz w:val="18"/>
                <w:szCs w:val="18"/>
              </w:rPr>
              <w:t xml:space="preserve"> </w:t>
            </w:r>
            <w:r w:rsidR="00990A80" w:rsidRPr="00990A80">
              <w:rPr>
                <w:sz w:val="18"/>
                <w:szCs w:val="18"/>
                <w:highlight w:val="lightGray"/>
                <w:u w:val="single"/>
              </w:rPr>
              <w:t xml:space="preserve">term </w:t>
            </w:r>
            <w:r w:rsidR="00990A80">
              <w:rPr>
                <w:sz w:val="18"/>
                <w:szCs w:val="18"/>
                <w:highlight w:val="lightGray"/>
                <w:u w:val="single"/>
              </w:rPr>
              <w:t>‘</w:t>
            </w:r>
            <w:r w:rsidR="006F1060" w:rsidRPr="006F1060">
              <w:rPr>
                <w:sz w:val="18"/>
                <w:szCs w:val="18"/>
              </w:rPr>
              <w:t>on provisional protection</w:t>
            </w:r>
            <w:r w:rsidR="00990A80">
              <w:rPr>
                <w:sz w:val="18"/>
                <w:szCs w:val="18"/>
                <w:highlight w:val="lightGray"/>
                <w:u w:val="single"/>
              </w:rPr>
              <w:t>’</w:t>
            </w:r>
            <w:r w:rsidR="00990A80" w:rsidRPr="00990A80">
              <w:rPr>
                <w:sz w:val="18"/>
                <w:szCs w:val="18"/>
                <w:highlight w:val="lightGray"/>
                <w:u w:val="single"/>
              </w:rPr>
              <w:t xml:space="preserve"> is intended to attribute to the breeder protection during</w:t>
            </w:r>
            <w:r w:rsidR="006F1060" w:rsidRPr="006F1060">
              <w:rPr>
                <w:sz w:val="18"/>
                <w:szCs w:val="18"/>
              </w:rPr>
              <w:t xml:space="preserve"> </w:t>
            </w:r>
            <w:r w:rsidR="006F1060" w:rsidRPr="00990A80">
              <w:rPr>
                <w:strike/>
                <w:sz w:val="18"/>
                <w:szCs w:val="18"/>
                <w:highlight w:val="lightGray"/>
              </w:rPr>
              <w:t>in</w:t>
            </w:r>
            <w:r w:rsidR="006F1060" w:rsidRPr="006F1060">
              <w:rPr>
                <w:sz w:val="18"/>
                <w:szCs w:val="18"/>
              </w:rPr>
              <w:t xml:space="preserve"> the </w:t>
            </w:r>
            <w:r w:rsidR="006F1060" w:rsidRPr="00990A80">
              <w:rPr>
                <w:strike/>
                <w:sz w:val="18"/>
                <w:szCs w:val="18"/>
                <w:highlight w:val="lightGray"/>
              </w:rPr>
              <w:t>law governing breeders’ rights provide</w:t>
            </w:r>
            <w:r w:rsidR="006F1060" w:rsidRPr="006F1060">
              <w:rPr>
                <w:sz w:val="18"/>
                <w:szCs w:val="18"/>
              </w:rPr>
              <w:t xml:space="preserve"> </w:t>
            </w:r>
            <w:r w:rsidR="00990A80" w:rsidRPr="00990A80">
              <w:rPr>
                <w:sz w:val="18"/>
                <w:szCs w:val="18"/>
                <w:highlight w:val="lightGray"/>
                <w:u w:val="single"/>
              </w:rPr>
              <w:t>period between</w:t>
            </w:r>
            <w:r w:rsidR="00990A80" w:rsidRPr="00990A80">
              <w:rPr>
                <w:sz w:val="18"/>
                <w:szCs w:val="18"/>
              </w:rPr>
              <w:t xml:space="preserve"> </w:t>
            </w:r>
            <w:r w:rsidR="006F1060" w:rsidRPr="006F1060">
              <w:rPr>
                <w:sz w:val="18"/>
                <w:szCs w:val="18"/>
              </w:rPr>
              <w:t xml:space="preserve">the </w:t>
            </w:r>
            <w:r w:rsidR="006F1060" w:rsidRPr="00990A80">
              <w:rPr>
                <w:strike/>
                <w:sz w:val="18"/>
                <w:szCs w:val="18"/>
                <w:highlight w:val="lightGray"/>
              </w:rPr>
              <w:t>holder</w:t>
            </w:r>
            <w:r w:rsidR="006F1060" w:rsidRPr="006F1060">
              <w:rPr>
                <w:sz w:val="18"/>
                <w:szCs w:val="18"/>
              </w:rPr>
              <w:t xml:space="preserve"> </w:t>
            </w:r>
            <w:r w:rsidR="00990A80" w:rsidRPr="00990A80">
              <w:rPr>
                <w:sz w:val="18"/>
                <w:szCs w:val="18"/>
                <w:highlight w:val="lightGray"/>
                <w:u w:val="single"/>
              </w:rPr>
              <w:t>filing or the publication</w:t>
            </w:r>
            <w:r w:rsidR="00990A80">
              <w:rPr>
                <w:sz w:val="18"/>
                <w:szCs w:val="18"/>
              </w:rPr>
              <w:t xml:space="preserve"> </w:t>
            </w:r>
            <w:r w:rsidR="006F1060" w:rsidRPr="006F1060">
              <w:rPr>
                <w:sz w:val="18"/>
                <w:szCs w:val="18"/>
              </w:rPr>
              <w:t xml:space="preserve">of the </w:t>
            </w:r>
            <w:r w:rsidR="006F1060" w:rsidRPr="00990A80">
              <w:rPr>
                <w:strike/>
                <w:sz w:val="18"/>
                <w:szCs w:val="18"/>
                <w:highlight w:val="lightGray"/>
              </w:rPr>
              <w:t>breeder’s right with</w:t>
            </w:r>
            <w:r w:rsidR="006F1060" w:rsidRPr="006F1060">
              <w:rPr>
                <w:sz w:val="18"/>
                <w:szCs w:val="18"/>
              </w:rPr>
              <w:t xml:space="preserve"> </w:t>
            </w:r>
            <w:r w:rsidR="00990A80" w:rsidRPr="00990A80">
              <w:rPr>
                <w:sz w:val="18"/>
                <w:szCs w:val="18"/>
                <w:highlight w:val="lightGray"/>
                <w:u w:val="single"/>
              </w:rPr>
              <w:t>application and</w:t>
            </w:r>
            <w:r w:rsidR="00990A80">
              <w:rPr>
                <w:sz w:val="18"/>
                <w:szCs w:val="18"/>
              </w:rPr>
              <w:t xml:space="preserve"> </w:t>
            </w:r>
            <w:r w:rsidR="006F1060" w:rsidRPr="006F1060">
              <w:rPr>
                <w:sz w:val="18"/>
                <w:szCs w:val="18"/>
              </w:rPr>
              <w:t xml:space="preserve">the </w:t>
            </w:r>
            <w:r w:rsidR="006F1060" w:rsidRPr="00990A80">
              <w:rPr>
                <w:strike/>
                <w:sz w:val="18"/>
                <w:szCs w:val="18"/>
                <w:highlight w:val="lightGray"/>
              </w:rPr>
              <w:t>full scope</w:t>
            </w:r>
            <w:r w:rsidR="006F1060" w:rsidRPr="006F1060">
              <w:rPr>
                <w:sz w:val="18"/>
                <w:szCs w:val="18"/>
              </w:rPr>
              <w:t xml:space="preserve"> </w:t>
            </w:r>
            <w:r w:rsidR="00990A80" w:rsidRPr="005B3BE9">
              <w:rPr>
                <w:sz w:val="18"/>
                <w:szCs w:val="18"/>
                <w:highlight w:val="lightGray"/>
                <w:u w:val="single"/>
              </w:rPr>
              <w:t>grant</w:t>
            </w:r>
            <w:r w:rsidR="00990A80">
              <w:rPr>
                <w:sz w:val="18"/>
                <w:szCs w:val="18"/>
              </w:rPr>
              <w:t xml:space="preserve"> </w:t>
            </w:r>
            <w:r w:rsidR="006F1060" w:rsidRPr="006F1060">
              <w:rPr>
                <w:sz w:val="18"/>
                <w:szCs w:val="18"/>
              </w:rPr>
              <w:t>of the breeder’s right</w:t>
            </w:r>
            <w:r w:rsidR="006F1060">
              <w:rPr>
                <w:sz w:val="18"/>
                <w:szCs w:val="18"/>
              </w:rPr>
              <w:t>.</w:t>
            </w:r>
            <w:r w:rsidR="00990A80">
              <w:rPr>
                <w:sz w:val="18"/>
                <w:szCs w:val="18"/>
              </w:rPr>
              <w:t xml:space="preserve">  </w:t>
            </w:r>
            <w:r w:rsidR="00990A80" w:rsidRPr="00990A80">
              <w:rPr>
                <w:sz w:val="18"/>
                <w:szCs w:val="18"/>
                <w:highlight w:val="lightGray"/>
                <w:u w:val="single"/>
              </w:rPr>
              <w:t>T</w:t>
            </w:r>
            <w:r w:rsidR="00990A80">
              <w:rPr>
                <w:sz w:val="18"/>
                <w:highlight w:val="lightGray"/>
                <w:u w:val="single"/>
              </w:rPr>
              <w:t>he use of the text ‘at least’</w:t>
            </w:r>
            <w:r w:rsidR="00990A80" w:rsidRPr="00990A80">
              <w:rPr>
                <w:sz w:val="18"/>
                <w:highlight w:val="lightGray"/>
                <w:u w:val="single"/>
              </w:rPr>
              <w:t xml:space="preserve"> clarifies that the members of the Union may already provide full protection in this period.</w:t>
            </w:r>
            <w:r w:rsidR="00990A80" w:rsidRPr="00990A80">
              <w:rPr>
                <w:sz w:val="18"/>
                <w:u w:val="single"/>
              </w:rPr>
              <w:t xml:space="preserve"> </w:t>
            </w:r>
          </w:p>
          <w:p w:rsidR="00990A80" w:rsidRPr="00990A80" w:rsidRDefault="00990A80" w:rsidP="00990A80">
            <w:pPr>
              <w:rPr>
                <w:sz w:val="18"/>
                <w:u w:val="single"/>
              </w:rPr>
            </w:pPr>
          </w:p>
          <w:p w:rsidR="00990A80" w:rsidRPr="00990A80" w:rsidRDefault="00990A80" w:rsidP="00990A80">
            <w:pPr>
              <w:rPr>
                <w:sz w:val="18"/>
                <w:highlight w:val="lightGray"/>
                <w:u w:val="single"/>
              </w:rPr>
            </w:pPr>
            <w:r>
              <w:rPr>
                <w:sz w:val="18"/>
                <w:highlight w:val="lightGray"/>
                <w:u w:val="single"/>
              </w:rPr>
              <w:t>“</w:t>
            </w:r>
            <w:r w:rsidRPr="00990A80">
              <w:rPr>
                <w:sz w:val="18"/>
                <w:highlight w:val="lightGray"/>
                <w:u w:val="single"/>
              </w:rPr>
              <w:t xml:space="preserve">Full scope of protection during the period of </w:t>
            </w:r>
            <w:r>
              <w:rPr>
                <w:sz w:val="18"/>
                <w:highlight w:val="lightGray"/>
                <w:u w:val="single"/>
              </w:rPr>
              <w:t>‘</w:t>
            </w:r>
            <w:r w:rsidRPr="00990A80">
              <w:rPr>
                <w:sz w:val="18"/>
                <w:highlight w:val="lightGray"/>
                <w:u w:val="single"/>
              </w:rPr>
              <w:t>provisional protection</w:t>
            </w:r>
            <w:r>
              <w:rPr>
                <w:sz w:val="18"/>
                <w:highlight w:val="lightGray"/>
                <w:u w:val="single"/>
              </w:rPr>
              <w:t>’</w:t>
            </w:r>
            <w:r w:rsidRPr="00990A80">
              <w:rPr>
                <w:sz w:val="18"/>
                <w:highlight w:val="lightGray"/>
                <w:u w:val="single"/>
              </w:rPr>
              <w:t xml:space="preserve"> is a key incentive for breeders for making quickly available their state-of-the-art varieties to the market. </w:t>
            </w:r>
            <w:r>
              <w:rPr>
                <w:sz w:val="18"/>
                <w:highlight w:val="lightGray"/>
                <w:u w:val="single"/>
              </w:rPr>
              <w:t xml:space="preserve"> </w:t>
            </w:r>
            <w:r w:rsidRPr="00990A80">
              <w:rPr>
                <w:sz w:val="18"/>
                <w:highlight w:val="lightGray"/>
                <w:u w:val="single"/>
              </w:rPr>
              <w:t>Early release of new varieties adapted to address a wide range of challenges, including sustainability, is also to the benefit of growers, consumers and society at large.</w:t>
            </w:r>
          </w:p>
          <w:p w:rsidR="00990A80" w:rsidRDefault="00990A80" w:rsidP="00990A80">
            <w:pPr>
              <w:rPr>
                <w:sz w:val="18"/>
                <w:highlight w:val="lightGray"/>
                <w:u w:val="single"/>
              </w:rPr>
            </w:pPr>
          </w:p>
          <w:p w:rsidR="006F1060" w:rsidRPr="005B488F" w:rsidRDefault="00990A80" w:rsidP="00990A80">
            <w:pPr>
              <w:rPr>
                <w:sz w:val="18"/>
                <w:szCs w:val="18"/>
              </w:rPr>
            </w:pPr>
            <w:r>
              <w:rPr>
                <w:sz w:val="18"/>
                <w:highlight w:val="lightGray"/>
                <w:u w:val="single"/>
              </w:rPr>
              <w:t>“</w:t>
            </w:r>
            <w:r w:rsidRPr="00990A80">
              <w:rPr>
                <w:sz w:val="18"/>
                <w:highlight w:val="lightGray"/>
                <w:u w:val="single"/>
              </w:rPr>
              <w:t xml:space="preserve">This is particularly important for multi-annual plants (like fruit trees) where propagating material obtained during the period of provisional protection continues being cultivated and producing harvested material (fruits) for many years during the period of protection. </w:t>
            </w:r>
            <w:r>
              <w:rPr>
                <w:sz w:val="18"/>
                <w:highlight w:val="lightGray"/>
                <w:u w:val="single"/>
              </w:rPr>
              <w:t xml:space="preserve"> </w:t>
            </w:r>
            <w:r w:rsidRPr="00990A80">
              <w:rPr>
                <w:sz w:val="18"/>
                <w:highlight w:val="lightGray"/>
                <w:u w:val="single"/>
              </w:rPr>
              <w:t xml:space="preserve">In the case of annual plants, the breeder can exercise his right every time a third party obtains or reproduces propagating materials once the protection is provided. </w:t>
            </w:r>
            <w:r>
              <w:rPr>
                <w:sz w:val="18"/>
                <w:highlight w:val="lightGray"/>
                <w:u w:val="single"/>
              </w:rPr>
              <w:t xml:space="preserve"> </w:t>
            </w:r>
            <w:r w:rsidRPr="00990A80">
              <w:rPr>
                <w:sz w:val="18"/>
                <w:highlight w:val="lightGray"/>
                <w:u w:val="single"/>
              </w:rPr>
              <w:t>On the other hand, in case of perennial plants, such as fruit trees, the breeder would not have any opportunity to exercise his right over propagating material (nor the harvested material), if the grower planted and grew the propagating material which was obtained before the protection was granted (during the provisional protection period).</w:t>
            </w:r>
            <w:r w:rsidR="006F1060" w:rsidRPr="00990A80">
              <w:rPr>
                <w:sz w:val="18"/>
                <w:highlight w:val="lightGray"/>
              </w:rPr>
              <w:t>”</w:t>
            </w:r>
          </w:p>
          <w:p w:rsidR="006F1060" w:rsidRPr="00385EFC" w:rsidRDefault="006F1060" w:rsidP="00004679">
            <w:pPr>
              <w:ind w:left="1148" w:hanging="630"/>
              <w:rPr>
                <w:sz w:val="8"/>
              </w:rPr>
            </w:pPr>
          </w:p>
        </w:tc>
      </w:tr>
    </w:tbl>
    <w:p w:rsidR="006F1060" w:rsidRPr="004E7EAB" w:rsidRDefault="006F1060" w:rsidP="006F1060"/>
    <w:p w:rsidR="008C30ED" w:rsidRPr="00546BFE" w:rsidRDefault="008C30ED" w:rsidP="008C30ED">
      <w:pPr>
        <w:rPr>
          <w:lang w:val="en-GB"/>
        </w:rPr>
      </w:pPr>
    </w:p>
    <w:p w:rsidR="008C30ED" w:rsidRPr="00CE0DC1" w:rsidRDefault="008C30ED" w:rsidP="008C30ED">
      <w:r w:rsidRPr="00CE0DC1">
        <w:rPr>
          <w:spacing w:val="-3"/>
        </w:rPr>
        <w:fldChar w:fldCharType="begin"/>
      </w:r>
      <w:r w:rsidRPr="00CE0DC1">
        <w:rPr>
          <w:spacing w:val="-3"/>
        </w:rPr>
        <w:instrText xml:space="preserve"> AUTONUM  </w:instrText>
      </w:r>
      <w:r w:rsidRPr="00CE0DC1">
        <w:rPr>
          <w:spacing w:val="-3"/>
        </w:rPr>
        <w:fldChar w:fldCharType="end"/>
      </w:r>
      <w:r w:rsidRPr="00CE0DC1">
        <w:rPr>
          <w:spacing w:val="-3"/>
        </w:rPr>
        <w:tab/>
        <w:t>Provisional protection is valid only in relation to acts that would require the breeder’s authorization “once the right is granted”.</w:t>
      </w:r>
      <w:r w:rsidR="00CE0DC1" w:rsidRPr="00CE0DC1">
        <w:rPr>
          <w:spacing w:val="-3"/>
        </w:rPr>
        <w:t xml:space="preserve"> </w:t>
      </w:r>
      <w:r w:rsidRPr="00CE0DC1">
        <w:rPr>
          <w:spacing w:val="-3"/>
        </w:rPr>
        <w:t xml:space="preserve"> </w:t>
      </w:r>
      <w:r w:rsidRPr="00CE0DC1">
        <w:t>The UPOV Convention requires (see Article 30(1)(iii) of the 1991 Act and Article 30(1)(c) of the 1978 Act) that the public is informed through the regular publication of information concerning applications for and grants of breeders’ rights, which includes withdrawals and rejections of applications.</w:t>
      </w:r>
    </w:p>
    <w:p w:rsidR="008C30ED" w:rsidRPr="00CE0DC1" w:rsidRDefault="008C30ED" w:rsidP="008C30ED">
      <w:pPr>
        <w:rPr>
          <w:spacing w:val="-3"/>
        </w:rPr>
      </w:pPr>
    </w:p>
    <w:p w:rsidR="008C30ED" w:rsidRPr="00CE0DC1" w:rsidRDefault="005D7952" w:rsidP="008C30ED">
      <w:pPr>
        <w:spacing w:after="240"/>
        <w:rPr>
          <w:spacing w:val="-3"/>
        </w:rPr>
      </w:pPr>
      <w:r>
        <w:fldChar w:fldCharType="begin"/>
      </w:r>
      <w:r>
        <w:instrText xml:space="preserve"> AUTONUM  </w:instrText>
      </w:r>
      <w:r>
        <w:fldChar w:fldCharType="end"/>
      </w:r>
      <w:r>
        <w:tab/>
      </w:r>
      <w:r w:rsidR="008C30ED" w:rsidRPr="00CE0DC1">
        <w:rPr>
          <w:rFonts w:cs="Arial"/>
        </w:rPr>
        <w:t xml:space="preserve">The possibility to enter into license agreements on the basis of applications for breeders’ rights and/or to initiate legal proceedings before the grants of breeders’ rights </w:t>
      </w:r>
      <w:r w:rsidR="008C30ED" w:rsidRPr="00CE0DC1">
        <w:t xml:space="preserve">will be determined by the relevant legislation of the member of the Union concerned.  The relevant legislation might, in addition to the legislation governing breeders’ rights, include other legislation on substantive and procedural matters (e.g. civil legislation, criminal legislation). </w:t>
      </w:r>
    </w:p>
    <w:p w:rsidR="008C30ED" w:rsidRPr="00CE0DC1" w:rsidRDefault="005D7952" w:rsidP="008C30ED">
      <w:pPr>
        <w:rPr>
          <w:b/>
          <w:spacing w:val="-3"/>
        </w:rPr>
      </w:pPr>
      <w:r>
        <w:fldChar w:fldCharType="begin"/>
      </w:r>
      <w:r>
        <w:instrText xml:space="preserve"> AUTONUM  </w:instrText>
      </w:r>
      <w:r>
        <w:fldChar w:fldCharType="end"/>
      </w:r>
      <w:r>
        <w:tab/>
      </w:r>
      <w:r w:rsidR="008C30ED" w:rsidRPr="00CE0DC1">
        <w:rPr>
          <w:rFonts w:cs="Arial"/>
        </w:rPr>
        <w:t xml:space="preserve">In cases where it is possible to enter into a license agreement before the grant of a breeder’s right, the effects on </w:t>
      </w:r>
      <w:r w:rsidR="008C30ED" w:rsidRPr="00CE0DC1">
        <w:rPr>
          <w:szCs w:val="22"/>
        </w:rPr>
        <w:t>royalties paid</w:t>
      </w:r>
      <w:r w:rsidR="008C30ED" w:rsidRPr="00CE0DC1">
        <w:rPr>
          <w:rFonts w:cs="Arial"/>
        </w:rPr>
        <w:t xml:space="preserve"> </w:t>
      </w:r>
      <w:r w:rsidR="008C30ED" w:rsidRPr="00CE0DC1">
        <w:t>if the right is not granted (</w:t>
      </w:r>
      <w:r w:rsidR="008C30ED" w:rsidRPr="00CE0DC1">
        <w:rPr>
          <w:rFonts w:cs="Arial"/>
        </w:rPr>
        <w:t xml:space="preserve">e.g. </w:t>
      </w:r>
      <w:r w:rsidR="008C30ED" w:rsidRPr="00CE0DC1">
        <w:rPr>
          <w:szCs w:val="22"/>
        </w:rPr>
        <w:t xml:space="preserve">whether or not the licensor has to reimburse past royalties) </w:t>
      </w:r>
      <w:r w:rsidR="008C30ED" w:rsidRPr="00CE0DC1">
        <w:rPr>
          <w:rFonts w:cs="Arial"/>
        </w:rPr>
        <w:t>may be provided in the relevant</w:t>
      </w:r>
      <w:r w:rsidR="008C30ED" w:rsidRPr="00CE0DC1">
        <w:t xml:space="preserve"> legislation</w:t>
      </w:r>
      <w:r w:rsidR="008C30ED" w:rsidRPr="00CE0DC1">
        <w:rPr>
          <w:rFonts w:cs="Arial"/>
        </w:rPr>
        <w:t xml:space="preserve"> and/or may be agreed by the parties in accordance with the legislative system</w:t>
      </w:r>
      <w:r w:rsidR="008C30ED" w:rsidRPr="00CE0DC1">
        <w:rPr>
          <w:szCs w:val="22"/>
        </w:rPr>
        <w:t>.</w:t>
      </w:r>
    </w:p>
    <w:p w:rsidR="008C30ED" w:rsidRPr="00CE0DC1" w:rsidRDefault="008C30ED" w:rsidP="008C30ED">
      <w:pPr>
        <w:rPr>
          <w:spacing w:val="-3"/>
        </w:rPr>
      </w:pPr>
    </w:p>
    <w:p w:rsidR="008C30ED" w:rsidRPr="00CE0DC1" w:rsidRDefault="005D7952" w:rsidP="008C30ED">
      <w:pPr>
        <w:rPr>
          <w:rFonts w:cs="Arial"/>
        </w:rPr>
      </w:pPr>
      <w:r>
        <w:fldChar w:fldCharType="begin"/>
      </w:r>
      <w:r>
        <w:instrText xml:space="preserve"> AUTONUM  </w:instrText>
      </w:r>
      <w:r>
        <w:fldChar w:fldCharType="end"/>
      </w:r>
      <w:r>
        <w:tab/>
      </w:r>
      <w:r w:rsidR="000E33CF" w:rsidRPr="00CE0DC1">
        <w:t>In some members of the Union, legal action in respect of provisional protection can only be initiated after the right is granted. In some other members of the Union, it is possible to initiate legal proceedings before the grant of a breeder’s right. In those cases, the competent judicial authority may decide that any damages during the period of provisional protection would only be enforceable once the right has been granted.  In such cases, the judicial authority could, for example, request the third party to transfer the amount of the damages to a depository account for payment to the breeder if and when the right is granted.</w:t>
      </w:r>
    </w:p>
    <w:p w:rsidR="008C30ED" w:rsidRPr="00CE0DC1" w:rsidRDefault="008C30ED" w:rsidP="000E33CF">
      <w:pPr>
        <w:spacing w:line="360" w:lineRule="auto"/>
        <w:rPr>
          <w:rFonts w:cs="Arial"/>
        </w:rPr>
      </w:pPr>
    </w:p>
    <w:p w:rsidR="008C30ED" w:rsidRPr="00CE0DC1" w:rsidRDefault="008C30ED" w:rsidP="005B3BE9">
      <w:pPr>
        <w:keepNext/>
        <w:rPr>
          <w:rFonts w:cs="Arial"/>
          <w:i/>
        </w:rPr>
      </w:pPr>
      <w:r w:rsidRPr="00CE0DC1">
        <w:rPr>
          <w:rFonts w:cs="Arial"/>
          <w:i/>
        </w:rPr>
        <w:lastRenderedPageBreak/>
        <w:t>Example provision</w:t>
      </w:r>
    </w:p>
    <w:p w:rsidR="008C30ED" w:rsidRPr="00CE0DC1" w:rsidRDefault="008C30ED" w:rsidP="005B3BE9">
      <w:pPr>
        <w:keepNext/>
        <w:rPr>
          <w:rFonts w:cs="Arial"/>
        </w:rPr>
      </w:pPr>
    </w:p>
    <w:p w:rsidR="008C30ED" w:rsidRDefault="005D7952" w:rsidP="008C30ED">
      <w:pPr>
        <w:pStyle w:val="Style1"/>
        <w:tabs>
          <w:tab w:val="clear" w:pos="907"/>
          <w:tab w:val="clear" w:pos="1077"/>
          <w:tab w:val="left" w:pos="0"/>
        </w:tabs>
      </w:pPr>
      <w:r>
        <w:fldChar w:fldCharType="begin"/>
      </w:r>
      <w:r>
        <w:instrText xml:space="preserve"> AUTONUM  </w:instrText>
      </w:r>
      <w:r>
        <w:fldChar w:fldCharType="end"/>
      </w:r>
      <w:r>
        <w:tab/>
      </w:r>
      <w:r w:rsidR="008C30ED" w:rsidRPr="00CE0DC1">
        <w:rPr>
          <w:snapToGrid w:val="0"/>
        </w:rPr>
        <w:t>The following example provision</w:t>
      </w:r>
      <w:r w:rsidR="008C30ED" w:rsidRPr="00CE0DC1">
        <w:t xml:space="preserve"> is in</w:t>
      </w:r>
      <w:r w:rsidR="008C30ED" w:rsidRPr="00DC014D">
        <w:t xml:space="preserve">tended to provide assistance to States/ intergovernmental organizations wishing to draft a provision on provisional protection in their laws in accordance with the </w:t>
      </w:r>
      <w:r w:rsidR="008C30ED">
        <w:t>1991 Act of the UPOV Convention:</w:t>
      </w:r>
    </w:p>
    <w:p w:rsidR="008C30ED" w:rsidRDefault="008C30ED" w:rsidP="008C30ED">
      <w:pPr>
        <w:pStyle w:val="Style1"/>
        <w:tabs>
          <w:tab w:val="clear" w:pos="907"/>
          <w:tab w:val="clear" w:pos="1077"/>
          <w:tab w:val="left" w:pos="0"/>
        </w:tabs>
      </w:pPr>
    </w:p>
    <w:p w:rsidR="008C30ED" w:rsidRDefault="008C30ED" w:rsidP="008C30ED">
      <w:pPr>
        <w:pStyle w:val="Style1"/>
        <w:tabs>
          <w:tab w:val="clear" w:pos="907"/>
          <w:tab w:val="clear" w:pos="1077"/>
          <w:tab w:val="left" w:pos="0"/>
        </w:tabs>
      </w:pPr>
    </w:p>
    <w:p w:rsidR="008C30ED" w:rsidRPr="006518E5" w:rsidRDefault="008C30ED" w:rsidP="008C30ED">
      <w:pPr>
        <w:pStyle w:val="Inf61normalBold"/>
        <w:keepNext/>
        <w:jc w:val="center"/>
        <w:rPr>
          <w:rFonts w:ascii="Arial" w:hAnsi="Arial" w:cs="Arial"/>
          <w:sz w:val="18"/>
          <w:szCs w:val="18"/>
        </w:rPr>
      </w:pPr>
      <w:bookmarkStart w:id="6" w:name="_Toc225138767"/>
      <w:r w:rsidRPr="006518E5">
        <w:rPr>
          <w:rFonts w:ascii="Arial" w:hAnsi="Arial" w:cs="Arial"/>
          <w:sz w:val="18"/>
          <w:szCs w:val="18"/>
        </w:rPr>
        <w:t xml:space="preserve">Article </w:t>
      </w:r>
      <w:r w:rsidRPr="006518E5">
        <w:rPr>
          <w:rFonts w:ascii="Arial" w:hAnsi="Arial" w:cs="Arial"/>
          <w:sz w:val="18"/>
          <w:szCs w:val="18"/>
          <w:highlight w:val="yellow"/>
        </w:rPr>
        <w:t>[13]</w:t>
      </w:r>
      <w:r w:rsidRPr="006518E5">
        <w:rPr>
          <w:rStyle w:val="FootnoteReference"/>
          <w:rFonts w:ascii="Arial" w:hAnsi="Arial" w:cs="Arial"/>
          <w:b w:val="0"/>
          <w:sz w:val="18"/>
          <w:szCs w:val="18"/>
          <w:highlight w:val="yellow"/>
        </w:rPr>
        <w:footnoteReference w:id="3"/>
      </w:r>
    </w:p>
    <w:p w:rsidR="008C30ED" w:rsidRPr="006518E5" w:rsidRDefault="008C30ED" w:rsidP="008C30ED">
      <w:pPr>
        <w:pStyle w:val="Inf61normalBold"/>
        <w:keepNext/>
        <w:jc w:val="center"/>
        <w:rPr>
          <w:rFonts w:ascii="Arial" w:hAnsi="Arial" w:cs="Arial"/>
          <w:sz w:val="18"/>
          <w:szCs w:val="18"/>
        </w:rPr>
      </w:pPr>
      <w:r w:rsidRPr="006518E5">
        <w:rPr>
          <w:rFonts w:ascii="Arial" w:hAnsi="Arial" w:cs="Arial"/>
          <w:sz w:val="18"/>
          <w:szCs w:val="18"/>
        </w:rPr>
        <w:t>Provisional Protection</w:t>
      </w:r>
      <w:bookmarkEnd w:id="6"/>
    </w:p>
    <w:p w:rsidR="008C30ED" w:rsidRPr="006518E5" w:rsidRDefault="008C30ED" w:rsidP="008C30ED">
      <w:pPr>
        <w:pStyle w:val="Inf61normalBold"/>
        <w:keepNext/>
        <w:jc w:val="center"/>
        <w:rPr>
          <w:rFonts w:ascii="Arial" w:hAnsi="Arial" w:cs="Arial"/>
          <w:sz w:val="18"/>
          <w:szCs w:val="18"/>
        </w:rPr>
      </w:pPr>
    </w:p>
    <w:p w:rsidR="008C30ED" w:rsidRPr="006518E5" w:rsidRDefault="008C30ED" w:rsidP="008C30ED">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[(1)]</w:t>
      </w:r>
      <w:r w:rsidRPr="006518E5">
        <w:rPr>
          <w:rFonts w:ascii="Arial" w:hAnsi="Arial" w:cs="Arial"/>
          <w:sz w:val="18"/>
          <w:szCs w:val="18"/>
        </w:rPr>
        <w:tab/>
        <w:t xml:space="preserve">Provisional protection is provided to safeguard the interests of the breeder during the period between </w:t>
      </w:r>
      <w:r w:rsidRPr="006518E5">
        <w:rPr>
          <w:rFonts w:ascii="Arial" w:hAnsi="Arial" w:cs="Arial"/>
          <w:sz w:val="18"/>
          <w:szCs w:val="18"/>
          <w:highlight w:val="yellow"/>
        </w:rPr>
        <w:t>[the filing]</w:t>
      </w:r>
      <w:r w:rsidRPr="006518E5">
        <w:rPr>
          <w:rFonts w:ascii="Arial" w:hAnsi="Arial" w:cs="Arial"/>
          <w:sz w:val="18"/>
          <w:szCs w:val="18"/>
        </w:rPr>
        <w:t xml:space="preserve"> / </w:t>
      </w:r>
      <w:r w:rsidRPr="006518E5">
        <w:rPr>
          <w:rFonts w:ascii="Arial" w:hAnsi="Arial" w:cs="Arial"/>
          <w:sz w:val="18"/>
          <w:szCs w:val="18"/>
          <w:highlight w:val="yellow"/>
        </w:rPr>
        <w:t>[the publication]</w:t>
      </w:r>
      <w:r w:rsidRPr="006518E5">
        <w:rPr>
          <w:rFonts w:ascii="Arial" w:hAnsi="Arial" w:cs="Arial"/>
          <w:sz w:val="18"/>
          <w:szCs w:val="18"/>
        </w:rPr>
        <w:t xml:space="preserve"> of the application for the grant of a breeder’s right and the grant of that right.</w:t>
      </w:r>
    </w:p>
    <w:p w:rsidR="008C30ED" w:rsidRPr="006518E5" w:rsidRDefault="008C30ED" w:rsidP="008C30ED">
      <w:pPr>
        <w:pStyle w:val="inf61normal"/>
        <w:tabs>
          <w:tab w:val="clear" w:pos="426"/>
          <w:tab w:val="clear" w:pos="992"/>
        </w:tabs>
        <w:ind w:left="567" w:right="566"/>
        <w:rPr>
          <w:rFonts w:ascii="Arial" w:hAnsi="Arial" w:cs="Arial"/>
          <w:i/>
          <w:sz w:val="18"/>
          <w:szCs w:val="18"/>
        </w:rPr>
      </w:pPr>
    </w:p>
    <w:p w:rsidR="008C30ED" w:rsidRPr="006518E5"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i/>
          <w:sz w:val="18"/>
          <w:szCs w:val="18"/>
        </w:rPr>
        <w:tab/>
      </w:r>
    </w:p>
    <w:p w:rsidR="008C30ED" w:rsidRPr="006518E5" w:rsidRDefault="008C30ED" w:rsidP="008C30ED">
      <w:pPr>
        <w:pStyle w:val="inf61normal"/>
        <w:tabs>
          <w:tab w:val="clear" w:pos="426"/>
          <w:tab w:val="clear" w:pos="992"/>
        </w:tabs>
        <w:ind w:left="567" w:right="566"/>
        <w:rPr>
          <w:rFonts w:ascii="Arial" w:hAnsi="Arial" w:cs="Arial"/>
          <w:i/>
          <w:sz w:val="18"/>
          <w:szCs w:val="18"/>
        </w:rPr>
      </w:pPr>
      <w:r w:rsidRPr="006518E5">
        <w:rPr>
          <w:rFonts w:ascii="Arial" w:hAnsi="Arial" w:cs="Arial"/>
          <w:i/>
          <w:sz w:val="18"/>
          <w:szCs w:val="18"/>
        </w:rPr>
        <w:t>Example A</w:t>
      </w:r>
    </w:p>
    <w:p w:rsidR="008C30ED" w:rsidRPr="006518E5" w:rsidRDefault="008C30ED" w:rsidP="008C30ED">
      <w:pPr>
        <w:pStyle w:val="inf61normal"/>
        <w:tabs>
          <w:tab w:val="clear" w:pos="426"/>
          <w:tab w:val="clear" w:pos="992"/>
        </w:tabs>
        <w:ind w:left="567" w:right="566"/>
        <w:rPr>
          <w:rFonts w:ascii="Arial" w:hAnsi="Arial" w:cs="Arial"/>
          <w:i/>
          <w:sz w:val="18"/>
          <w:szCs w:val="18"/>
          <w:highlight w:val="yellow"/>
        </w:rPr>
      </w:pPr>
    </w:p>
    <w:p w:rsidR="008C30ED" w:rsidRPr="006518E5" w:rsidRDefault="008C30ED" w:rsidP="008C30ED">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[(2)]</w:t>
      </w:r>
      <w:r w:rsidRPr="006518E5">
        <w:rPr>
          <w:rFonts w:ascii="Arial" w:hAnsi="Arial" w:cs="Arial"/>
          <w:sz w:val="18"/>
          <w:szCs w:val="18"/>
        </w:rPr>
        <w:tab/>
        <w:t xml:space="preserve">The holder of a breeder’s right </w:t>
      </w:r>
      <w:r w:rsidRPr="006518E5">
        <w:rPr>
          <w:rFonts w:ascii="Arial" w:hAnsi="Arial" w:cs="Arial"/>
          <w:sz w:val="18"/>
          <w:szCs w:val="18"/>
          <w:highlight w:val="yellow"/>
        </w:rPr>
        <w:t>[shall at least be entitled to equitable remuneration]</w:t>
      </w:r>
      <w:r w:rsidRPr="006518E5">
        <w:rPr>
          <w:rFonts w:ascii="Arial" w:hAnsi="Arial" w:cs="Arial"/>
          <w:sz w:val="18"/>
          <w:szCs w:val="18"/>
        </w:rPr>
        <w:t xml:space="preserve"> from any person who, during the period provided in paragraph </w:t>
      </w:r>
      <w:r w:rsidRPr="006518E5">
        <w:rPr>
          <w:rFonts w:ascii="Arial" w:hAnsi="Arial" w:cs="Arial"/>
          <w:sz w:val="18"/>
          <w:szCs w:val="18"/>
          <w:highlight w:val="yellow"/>
        </w:rPr>
        <w:t>[(1)]</w:t>
      </w:r>
      <w:r w:rsidRPr="006518E5">
        <w:rPr>
          <w:rFonts w:ascii="Arial" w:hAnsi="Arial" w:cs="Arial"/>
          <w:sz w:val="18"/>
          <w:szCs w:val="18"/>
        </w:rPr>
        <w:t xml:space="preserve">, has carried out acts which, once the right is granted, require the breeder’s authorization as provided in Article </w:t>
      </w:r>
      <w:r w:rsidRPr="006518E5">
        <w:rPr>
          <w:rFonts w:ascii="Arial" w:hAnsi="Arial" w:cs="Arial"/>
          <w:sz w:val="18"/>
          <w:szCs w:val="18"/>
          <w:highlight w:val="yellow"/>
        </w:rPr>
        <w:t>[14]</w:t>
      </w:r>
      <w:r w:rsidRPr="006518E5">
        <w:rPr>
          <w:rFonts w:ascii="Arial" w:hAnsi="Arial" w:cs="Arial"/>
          <w:sz w:val="18"/>
          <w:szCs w:val="18"/>
        </w:rPr>
        <w:t xml:space="preserve">.  </w:t>
      </w:r>
    </w:p>
    <w:p w:rsidR="008C30ED" w:rsidRPr="006518E5" w:rsidRDefault="008C30ED" w:rsidP="008C30ED">
      <w:pPr>
        <w:autoSpaceDE w:val="0"/>
        <w:autoSpaceDN w:val="0"/>
        <w:adjustRightInd w:val="0"/>
        <w:ind w:left="567" w:right="566"/>
        <w:jc w:val="left"/>
        <w:rPr>
          <w:rFonts w:cs="Arial"/>
          <w:sz w:val="18"/>
          <w:szCs w:val="18"/>
        </w:rPr>
      </w:pPr>
    </w:p>
    <w:p w:rsidR="008C30ED" w:rsidRPr="006518E5" w:rsidRDefault="008C30ED" w:rsidP="008C30ED">
      <w:pPr>
        <w:autoSpaceDE w:val="0"/>
        <w:autoSpaceDN w:val="0"/>
        <w:adjustRightInd w:val="0"/>
        <w:ind w:left="567" w:right="566"/>
        <w:jc w:val="left"/>
        <w:rPr>
          <w:rFonts w:cs="Arial"/>
          <w:i/>
          <w:sz w:val="18"/>
          <w:szCs w:val="18"/>
        </w:rPr>
      </w:pPr>
      <w:r w:rsidRPr="006518E5">
        <w:rPr>
          <w:rFonts w:cs="Arial"/>
          <w:i/>
          <w:sz w:val="18"/>
          <w:szCs w:val="18"/>
        </w:rPr>
        <w:t>Example B</w:t>
      </w:r>
    </w:p>
    <w:p w:rsidR="008C30ED" w:rsidRPr="006518E5" w:rsidRDefault="008C30ED" w:rsidP="008C30ED">
      <w:pPr>
        <w:autoSpaceDE w:val="0"/>
        <w:autoSpaceDN w:val="0"/>
        <w:adjustRightInd w:val="0"/>
        <w:ind w:left="567" w:right="566"/>
        <w:jc w:val="left"/>
        <w:rPr>
          <w:rFonts w:cs="Arial"/>
          <w:sz w:val="18"/>
          <w:szCs w:val="18"/>
        </w:rPr>
      </w:pPr>
    </w:p>
    <w:p w:rsidR="008C30ED" w:rsidRPr="00CE0DC1" w:rsidRDefault="008C30ED" w:rsidP="008C30ED">
      <w:pPr>
        <w:autoSpaceDE w:val="0"/>
        <w:autoSpaceDN w:val="0"/>
        <w:adjustRightInd w:val="0"/>
        <w:ind w:left="567" w:right="566"/>
        <w:rPr>
          <w:rFonts w:cs="Arial"/>
          <w:sz w:val="18"/>
          <w:szCs w:val="18"/>
          <w:highlight w:val="lightGray"/>
        </w:rPr>
      </w:pPr>
      <w:r w:rsidRPr="006518E5">
        <w:rPr>
          <w:rFonts w:cs="Arial"/>
          <w:sz w:val="18"/>
          <w:szCs w:val="18"/>
        </w:rPr>
        <w:tab/>
      </w:r>
      <w:r w:rsidRPr="006518E5">
        <w:rPr>
          <w:rFonts w:cs="Arial"/>
          <w:sz w:val="18"/>
          <w:szCs w:val="18"/>
          <w:highlight w:val="yellow"/>
        </w:rPr>
        <w:t>[(2)]</w:t>
      </w:r>
      <w:r w:rsidRPr="006518E5">
        <w:rPr>
          <w:rFonts w:cs="Arial"/>
          <w:sz w:val="18"/>
          <w:szCs w:val="18"/>
        </w:rPr>
        <w:tab/>
        <w:t xml:space="preserve">The applicant is considered to be the holder of a breeder’s right in relation to any person who, during the period provided in paragraph </w:t>
      </w:r>
      <w:r w:rsidRPr="006518E5">
        <w:rPr>
          <w:rFonts w:cs="Arial"/>
          <w:sz w:val="18"/>
          <w:szCs w:val="18"/>
          <w:highlight w:val="yellow"/>
        </w:rPr>
        <w:t>[(1)]</w:t>
      </w:r>
      <w:r w:rsidRPr="006518E5">
        <w:rPr>
          <w:rFonts w:cs="Arial"/>
          <w:sz w:val="18"/>
          <w:szCs w:val="18"/>
        </w:rPr>
        <w:t xml:space="preserve">, has carried out acts which, once the right is granted, require the breeder’s authorization as provided in Article </w:t>
      </w:r>
      <w:r w:rsidRPr="006518E5">
        <w:rPr>
          <w:rFonts w:cs="Arial"/>
          <w:sz w:val="18"/>
          <w:szCs w:val="18"/>
          <w:highlight w:val="yellow"/>
        </w:rPr>
        <w:t>[14</w:t>
      </w:r>
      <w:r w:rsidRPr="002762CE">
        <w:rPr>
          <w:rFonts w:cs="Arial"/>
          <w:sz w:val="18"/>
          <w:szCs w:val="18"/>
          <w:highlight w:val="lightGray"/>
        </w:rPr>
        <w:t>]</w:t>
      </w:r>
      <w:r w:rsidRPr="002762CE">
        <w:rPr>
          <w:rFonts w:cs="Arial"/>
          <w:sz w:val="18"/>
          <w:szCs w:val="18"/>
        </w:rPr>
        <w:t xml:space="preserve">. </w:t>
      </w:r>
      <w:r w:rsidRPr="00CE0DC1">
        <w:rPr>
          <w:rFonts w:cs="Arial"/>
          <w:sz w:val="18"/>
          <w:szCs w:val="18"/>
        </w:rPr>
        <w:t xml:space="preserve"> The applicant shall have the same rights to enter into license agreements and to initiate legal proceedings as if on the </w:t>
      </w:r>
      <w:r w:rsidRPr="00CE0DC1">
        <w:rPr>
          <w:rFonts w:cs="Arial"/>
          <w:sz w:val="18"/>
          <w:szCs w:val="18"/>
          <w:highlight w:val="yellow"/>
        </w:rPr>
        <w:t>[filing]</w:t>
      </w:r>
      <w:r w:rsidRPr="00CE0DC1">
        <w:rPr>
          <w:rFonts w:cs="Arial"/>
          <w:sz w:val="18"/>
          <w:szCs w:val="18"/>
        </w:rPr>
        <w:t xml:space="preserve"> / </w:t>
      </w:r>
      <w:r w:rsidRPr="00CE0DC1">
        <w:rPr>
          <w:rFonts w:cs="Arial"/>
          <w:sz w:val="18"/>
          <w:szCs w:val="18"/>
          <w:highlight w:val="yellow"/>
        </w:rPr>
        <w:t>[publication]</w:t>
      </w:r>
      <w:r w:rsidRPr="00CE0DC1">
        <w:rPr>
          <w:rFonts w:cs="Arial"/>
          <w:sz w:val="18"/>
          <w:szCs w:val="18"/>
        </w:rPr>
        <w:t xml:space="preserve"> date the breeder’s right had been granted to the applicant in respect of the variety concerned.  The rights conferred under this paragraph shall be deemed never to have been conferred if the right is not granted. </w:t>
      </w:r>
    </w:p>
    <w:p w:rsidR="008C30ED" w:rsidRPr="00CE0DC1" w:rsidRDefault="008C30ED" w:rsidP="008C30ED">
      <w:pPr>
        <w:autoSpaceDE w:val="0"/>
        <w:autoSpaceDN w:val="0"/>
        <w:adjustRightInd w:val="0"/>
        <w:ind w:left="567" w:right="566"/>
        <w:rPr>
          <w:rFonts w:cs="Arial"/>
          <w:sz w:val="18"/>
          <w:szCs w:val="18"/>
        </w:rPr>
      </w:pPr>
    </w:p>
    <w:p w:rsidR="008C30ED" w:rsidRPr="006518E5"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sz w:val="18"/>
          <w:szCs w:val="18"/>
        </w:rPr>
        <w:tab/>
      </w:r>
    </w:p>
    <w:p w:rsidR="008C30ED" w:rsidRPr="006518E5" w:rsidRDefault="008C30ED" w:rsidP="008C30ED">
      <w:pPr>
        <w:autoSpaceDE w:val="0"/>
        <w:autoSpaceDN w:val="0"/>
        <w:adjustRightInd w:val="0"/>
        <w:ind w:left="567" w:right="566"/>
        <w:rPr>
          <w:rFonts w:cs="Arial"/>
          <w:sz w:val="18"/>
          <w:szCs w:val="18"/>
          <w:highlight w:val="yellow"/>
        </w:rPr>
      </w:pPr>
    </w:p>
    <w:p w:rsidR="008C30ED" w:rsidRPr="006518E5" w:rsidRDefault="008C30ED" w:rsidP="008C30ED">
      <w:pPr>
        <w:autoSpaceDE w:val="0"/>
        <w:autoSpaceDN w:val="0"/>
        <w:adjustRightInd w:val="0"/>
        <w:ind w:left="567" w:right="566"/>
        <w:rPr>
          <w:rFonts w:cs="Arial"/>
          <w:sz w:val="18"/>
          <w:szCs w:val="18"/>
        </w:rPr>
      </w:pPr>
      <w:r w:rsidRPr="006518E5">
        <w:rPr>
          <w:rFonts w:cs="Arial"/>
          <w:sz w:val="18"/>
          <w:szCs w:val="18"/>
        </w:rPr>
        <w:tab/>
      </w:r>
      <w:r w:rsidRPr="006518E5">
        <w:rPr>
          <w:rFonts w:cs="Arial"/>
          <w:sz w:val="18"/>
          <w:szCs w:val="18"/>
          <w:highlight w:val="yellow"/>
        </w:rPr>
        <w:t>[(3)]</w:t>
      </w:r>
      <w:r w:rsidRPr="006518E5">
        <w:rPr>
          <w:rFonts w:cs="Arial"/>
          <w:sz w:val="18"/>
          <w:szCs w:val="18"/>
          <w:highlight w:val="yellow"/>
        </w:rPr>
        <w:tab/>
        <w:t>[Provisional protection shall only take effect in relation to persons whom the breeder has notified of the filing of the application.]</w:t>
      </w:r>
      <w:r w:rsidRPr="006518E5">
        <w:rPr>
          <w:rFonts w:cs="Arial"/>
          <w:sz w:val="18"/>
          <w:szCs w:val="18"/>
        </w:rPr>
        <w:t xml:space="preserve"> </w:t>
      </w:r>
    </w:p>
    <w:p w:rsidR="008C30ED" w:rsidRPr="00A368E0" w:rsidRDefault="008C30ED" w:rsidP="008C30ED">
      <w:pPr>
        <w:autoSpaceDE w:val="0"/>
        <w:autoSpaceDN w:val="0"/>
        <w:adjustRightInd w:val="0"/>
      </w:pPr>
    </w:p>
    <w:p w:rsidR="008C30ED" w:rsidRPr="00A368E0" w:rsidRDefault="008C30ED" w:rsidP="008C30ED">
      <w:pPr>
        <w:autoSpaceDE w:val="0"/>
        <w:autoSpaceDN w:val="0"/>
        <w:adjustRightInd w:val="0"/>
        <w:jc w:val="left"/>
      </w:pPr>
    </w:p>
    <w:p w:rsidR="008C30ED" w:rsidRPr="00F80864" w:rsidRDefault="008C30ED" w:rsidP="008C30ED">
      <w:pPr>
        <w:rPr>
          <w:strike/>
          <w:spacing w:val="-3"/>
        </w:rPr>
      </w:pPr>
      <w:r w:rsidRPr="00A368E0">
        <w:t>Paragraph (3) of the above example provision is not necessary if, in paragraph (1), the law has retained the date of the publication as the initial date for provisional protection (see above paragraph 6 of this document).</w:t>
      </w:r>
      <w:r w:rsidRPr="00A21CC2">
        <w:rPr>
          <w:b/>
        </w:rPr>
        <w:t xml:space="preserve"> </w:t>
      </w:r>
    </w:p>
    <w:p w:rsidR="008C30ED" w:rsidRDefault="008C30ED" w:rsidP="008C30ED">
      <w:pPr>
        <w:rPr>
          <w:rFonts w:cs="Arial"/>
        </w:rPr>
      </w:pPr>
    </w:p>
    <w:p w:rsidR="00BE4EC4" w:rsidRPr="0019030C" w:rsidRDefault="00BE4EC4" w:rsidP="008C30ED">
      <w:pPr>
        <w:rPr>
          <w:rFonts w:cs="Arial"/>
        </w:rPr>
      </w:pPr>
    </w:p>
    <w:p w:rsidR="006A4623" w:rsidRDefault="006A4623">
      <w:pPr>
        <w:jc w:val="left"/>
        <w:rPr>
          <w:rFonts w:cs="Arial"/>
        </w:rPr>
      </w:pPr>
    </w:p>
    <w:p w:rsidR="005B3BE9" w:rsidRDefault="00550DA0" w:rsidP="00550DA0">
      <w:pPr>
        <w:jc w:val="right"/>
        <w:rPr>
          <w:rFonts w:cs="Arial"/>
        </w:rPr>
      </w:pPr>
      <w:r>
        <w:rPr>
          <w:rFonts w:cs="Arial"/>
        </w:rPr>
        <w:t>[</w:t>
      </w:r>
      <w:r w:rsidR="006506CB">
        <w:rPr>
          <w:rFonts w:cs="Arial"/>
        </w:rPr>
        <w:t>Endnotes follow</w:t>
      </w:r>
      <w:r>
        <w:rPr>
          <w:rFonts w:cs="Arial"/>
        </w:rPr>
        <w:t>]</w:t>
      </w:r>
    </w:p>
    <w:p w:rsidR="006A22A2" w:rsidRDefault="006A22A2">
      <w:pPr>
        <w:jc w:val="left"/>
        <w:rPr>
          <w:rFonts w:cs="Arial"/>
        </w:rPr>
      </w:pPr>
    </w:p>
    <w:p w:rsidR="006A22A2" w:rsidRDefault="006A22A2">
      <w:pPr>
        <w:jc w:val="left"/>
        <w:rPr>
          <w:rFonts w:cs="Arial"/>
        </w:rPr>
        <w:sectPr w:rsidR="006A22A2" w:rsidSect="009D6E89">
          <w:endnotePr>
            <w:numFmt w:val="lowerLetter"/>
          </w:endnotePr>
          <w:pgSz w:w="11907" w:h="16840" w:code="9"/>
          <w:pgMar w:top="510" w:right="1134" w:bottom="1134" w:left="1134" w:header="510" w:footer="624" w:gutter="0"/>
          <w:pgNumType w:start="1"/>
          <w:cols w:space="720"/>
          <w:titlePg/>
        </w:sectPr>
      </w:pPr>
    </w:p>
    <w:p w:rsidR="00BE4EC4" w:rsidRPr="0019030C" w:rsidRDefault="00BE4EC4" w:rsidP="00550DA0">
      <w:pPr>
        <w:jc w:val="right"/>
        <w:rPr>
          <w:rFonts w:cs="Arial"/>
        </w:rPr>
      </w:pPr>
    </w:p>
    <w:sectPr w:rsidR="00BE4EC4" w:rsidRPr="0019030C" w:rsidSect="00BE4EC4">
      <w:headerReference w:type="first" r:id="rId11"/>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2C2" w:rsidRDefault="00CE62C2">
      <w:r>
        <w:separator/>
      </w:r>
    </w:p>
    <w:p w:rsidR="005B3BE9" w:rsidRDefault="005B3BE9"/>
  </w:endnote>
  <w:endnote w:type="continuationSeparator" w:id="0">
    <w:p w:rsidR="00CE62C2" w:rsidRDefault="00CE62C2">
      <w:r>
        <w:continuationSeparator/>
      </w:r>
    </w:p>
  </w:endnote>
  <w:endnote w:type="continuationNotice" w:id="1">
    <w:p w:rsidR="005B3BE9" w:rsidRDefault="005B3BE9"/>
  </w:endnote>
  <w:endnote w:id="2">
    <w:p w:rsidR="00054A3B" w:rsidRPr="00755342" w:rsidRDefault="00054A3B" w:rsidP="005B3BE9">
      <w:pPr>
        <w:pStyle w:val="EndnoteText"/>
        <w:ind w:left="0" w:firstLine="0"/>
        <w:jc w:val="left"/>
        <w:rPr>
          <w:szCs w:val="16"/>
        </w:rPr>
      </w:pPr>
      <w:r>
        <w:rPr>
          <w:rStyle w:val="EndnoteReference"/>
        </w:rPr>
        <w:endnoteRef/>
      </w:r>
      <w:r>
        <w:t xml:space="preserve">  </w:t>
      </w:r>
      <w:r w:rsidRPr="00755342">
        <w:rPr>
          <w:szCs w:val="16"/>
        </w:rPr>
        <w:t xml:space="preserve">The </w:t>
      </w:r>
      <w:r w:rsidR="005C6F4C" w:rsidRPr="005C6F4C">
        <w:rPr>
          <w:szCs w:val="16"/>
        </w:rPr>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1" w:history="1">
        <w:r w:rsidR="006506CB" w:rsidRPr="005C51F8">
          <w:rPr>
            <w:rStyle w:val="Hyperlink"/>
            <w:noProof w:val="0"/>
            <w:szCs w:val="16"/>
          </w:rPr>
          <w:t>https://www.upov.int/meetings/en/doc_details.jsp?meeting_id=677</w:t>
        </w:r>
        <w:bookmarkStart w:id="2" w:name="_GoBack"/>
        <w:bookmarkEnd w:id="2"/>
        <w:r w:rsidR="006506CB" w:rsidRPr="005C51F8">
          <w:rPr>
            <w:rStyle w:val="Hyperlink"/>
            <w:noProof w:val="0"/>
            <w:szCs w:val="16"/>
          </w:rPr>
          <w:t>73&amp;doc_id=563728</w:t>
        </w:r>
      </w:hyperlink>
      <w:r w:rsidR="006506CB">
        <w:rPr>
          <w:szCs w:val="16"/>
        </w:rPr>
        <w:t xml:space="preserve"> </w:t>
      </w:r>
    </w:p>
  </w:endnote>
  <w:endnote w:id="3">
    <w:p w:rsidR="006F1060" w:rsidRPr="00755342" w:rsidRDefault="006F1060" w:rsidP="005B3BE9">
      <w:pPr>
        <w:pStyle w:val="EndnoteText"/>
        <w:ind w:left="0" w:firstLine="0"/>
        <w:jc w:val="left"/>
        <w:rPr>
          <w:szCs w:val="16"/>
        </w:rPr>
      </w:pPr>
      <w:r>
        <w:rPr>
          <w:rStyle w:val="EndnoteReference"/>
        </w:rPr>
        <w:endnoteRef/>
      </w:r>
      <w:r>
        <w:t xml:space="preserve">  </w:t>
      </w:r>
      <w:r w:rsidRPr="00755342">
        <w:rPr>
          <w:szCs w:val="16"/>
        </w:rPr>
        <w:t xml:space="preserve">The </w:t>
      </w:r>
      <w:r w:rsidR="005C6F4C">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w:t>
      </w:r>
      <w:r w:rsidR="006506CB">
        <w:rPr>
          <w:szCs w:val="16"/>
        </w:rPr>
        <w:t>AFSTA, and SAA are available at</w:t>
      </w:r>
      <w:r w:rsidRPr="00755342">
        <w:rPr>
          <w:szCs w:val="16"/>
        </w:rPr>
        <w:t>.</w:t>
      </w:r>
      <w:r w:rsidR="006506CB" w:rsidRPr="006506CB">
        <w:t xml:space="preserve"> </w:t>
      </w:r>
      <w:hyperlink r:id="rId2" w:history="1">
        <w:r w:rsidR="006506CB" w:rsidRPr="005C51F8">
          <w:rPr>
            <w:rStyle w:val="Hyperlink"/>
            <w:noProof w:val="0"/>
            <w:szCs w:val="16"/>
          </w:rPr>
          <w:t>https://www.upov.int/meetings/en/doc_details.jsp?meeting_id=67773&amp;doc_id=563728</w:t>
        </w:r>
      </w:hyperlink>
      <w:r w:rsidR="006506CB">
        <w:rPr>
          <w:szCs w:val="16"/>
        </w:rPr>
        <w:t xml:space="preserve"> </w:t>
      </w:r>
    </w:p>
  </w:endnote>
  <w:endnote w:id="4">
    <w:p w:rsidR="006F1060" w:rsidRPr="00755342" w:rsidRDefault="006F1060" w:rsidP="005B3BE9">
      <w:pPr>
        <w:pStyle w:val="EndnoteText"/>
        <w:ind w:left="0" w:firstLine="0"/>
        <w:jc w:val="left"/>
        <w:rPr>
          <w:szCs w:val="16"/>
        </w:rPr>
      </w:pPr>
      <w:r>
        <w:rPr>
          <w:rStyle w:val="EndnoteReference"/>
        </w:rPr>
        <w:endnoteRef/>
      </w:r>
      <w:r>
        <w:t xml:space="preserve">  </w:t>
      </w:r>
      <w:r w:rsidRPr="00755342">
        <w:rPr>
          <w:szCs w:val="16"/>
        </w:rPr>
        <w:t xml:space="preserve">The </w:t>
      </w:r>
      <w:r w:rsidR="005C6F4C">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APSA, AFSTA, and SAA are available at:</w:t>
      </w:r>
      <w:r w:rsidR="006506CB" w:rsidRPr="006506CB">
        <w:t xml:space="preserve"> </w:t>
      </w:r>
      <w:hyperlink r:id="rId3" w:history="1">
        <w:r w:rsidR="006506CB" w:rsidRPr="005C51F8">
          <w:rPr>
            <w:rStyle w:val="Hyperlink"/>
            <w:noProof w:val="0"/>
            <w:szCs w:val="16"/>
          </w:rPr>
          <w:t>https://www.upov.int/meetings/en/doc_details.jsp?meeting_id=67773&amp;doc_id=563728</w:t>
        </w:r>
      </w:hyperlink>
      <w:r w:rsidR="006506CB">
        <w:rPr>
          <w:szCs w:val="16"/>
        </w:rPr>
        <w:t xml:space="preserve"> </w:t>
      </w:r>
    </w:p>
  </w:endnote>
  <w:endnote w:id="5">
    <w:p w:rsidR="006F1060" w:rsidRDefault="006F1060" w:rsidP="005B3BE9">
      <w:pPr>
        <w:pStyle w:val="EndnoteText"/>
        <w:ind w:left="0" w:firstLine="0"/>
        <w:jc w:val="left"/>
        <w:rPr>
          <w:szCs w:val="16"/>
        </w:rPr>
      </w:pPr>
      <w:r>
        <w:rPr>
          <w:rStyle w:val="EndnoteReference"/>
        </w:rPr>
        <w:endnoteRef/>
      </w:r>
      <w:r>
        <w:t xml:space="preserve">  </w:t>
      </w:r>
      <w:r w:rsidRPr="00755342">
        <w:rPr>
          <w:szCs w:val="16"/>
        </w:rPr>
        <w:t xml:space="preserve">The </w:t>
      </w:r>
      <w:r w:rsidR="005C6F4C">
        <w:t xml:space="preserve">proposals </w:t>
      </w:r>
      <w:r w:rsidRPr="00755342">
        <w:rPr>
          <w:szCs w:val="16"/>
        </w:rPr>
        <w:t xml:space="preserve">from ISF, CIOPORA, </w:t>
      </w:r>
      <w:proofErr w:type="spellStart"/>
      <w:r w:rsidRPr="00755342">
        <w:rPr>
          <w:szCs w:val="16"/>
        </w:rPr>
        <w:t>CropLife</w:t>
      </w:r>
      <w:proofErr w:type="spellEnd"/>
      <w:r w:rsidRPr="00755342">
        <w:rPr>
          <w:szCs w:val="16"/>
        </w:rPr>
        <w:t xml:space="preserve"> International, </w:t>
      </w:r>
      <w:proofErr w:type="spellStart"/>
      <w:r w:rsidRPr="00755342">
        <w:rPr>
          <w:szCs w:val="16"/>
        </w:rPr>
        <w:t>Euroseeds</w:t>
      </w:r>
      <w:proofErr w:type="spellEnd"/>
      <w:r w:rsidRPr="00755342">
        <w:rPr>
          <w:szCs w:val="16"/>
        </w:rPr>
        <w:t xml:space="preserve">, APSA, AFSTA, and SAA are available at: </w:t>
      </w:r>
      <w:hyperlink r:id="rId4" w:history="1">
        <w:r w:rsidR="006506CB" w:rsidRPr="005C51F8">
          <w:rPr>
            <w:rStyle w:val="Hyperlink"/>
            <w:noProof w:val="0"/>
            <w:szCs w:val="16"/>
          </w:rPr>
          <w:t>https://www.upov.int/meetings/en/doc_details.jsp?meeting_id=67773&amp;doc_id=563728</w:t>
        </w:r>
      </w:hyperlink>
      <w:r w:rsidR="006506CB">
        <w:rPr>
          <w:szCs w:val="16"/>
        </w:rPr>
        <w:t xml:space="preserve"> </w:t>
      </w:r>
    </w:p>
    <w:p w:rsidR="006506CB" w:rsidRDefault="006506CB" w:rsidP="005B3BE9">
      <w:pPr>
        <w:pStyle w:val="EndnoteText"/>
        <w:ind w:left="0" w:firstLine="0"/>
        <w:jc w:val="left"/>
        <w:rPr>
          <w:szCs w:val="16"/>
        </w:rPr>
      </w:pPr>
    </w:p>
    <w:p w:rsidR="006506CB" w:rsidRDefault="006506CB" w:rsidP="005B3BE9">
      <w:pPr>
        <w:pStyle w:val="EndnoteText"/>
        <w:ind w:left="0" w:firstLine="0"/>
        <w:jc w:val="left"/>
        <w:rPr>
          <w:szCs w:val="16"/>
        </w:rPr>
      </w:pPr>
    </w:p>
    <w:p w:rsidR="006506CB" w:rsidRDefault="006506CB" w:rsidP="005B3BE9">
      <w:pPr>
        <w:pStyle w:val="EndnoteText"/>
        <w:ind w:left="0" w:firstLine="0"/>
        <w:jc w:val="left"/>
        <w:rPr>
          <w:szCs w:val="16"/>
        </w:rPr>
      </w:pPr>
    </w:p>
    <w:p w:rsidR="006506CB" w:rsidRPr="006506CB" w:rsidRDefault="006506CB" w:rsidP="006506CB">
      <w:pPr>
        <w:pStyle w:val="EndnoteText"/>
        <w:ind w:left="0" w:firstLine="0"/>
        <w:jc w:val="right"/>
        <w:rPr>
          <w:sz w:val="20"/>
          <w:szCs w:val="16"/>
        </w:rPr>
      </w:pPr>
      <w:r w:rsidRPr="006506CB">
        <w:rPr>
          <w:rFonts w:cs="Arial"/>
          <w:sz w:val="20"/>
        </w:rPr>
        <w:t>[End of Annex and of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2C2" w:rsidRDefault="00CE62C2">
      <w:r>
        <w:separator/>
      </w:r>
    </w:p>
  </w:footnote>
  <w:footnote w:type="continuationSeparator" w:id="0">
    <w:p w:rsidR="00CE62C2" w:rsidRDefault="00CE62C2">
      <w:r>
        <w:continuationSeparator/>
      </w:r>
    </w:p>
  </w:footnote>
  <w:footnote w:id="1">
    <w:p w:rsidR="008C30ED" w:rsidRPr="00101360" w:rsidRDefault="008C30ED" w:rsidP="008C30ED">
      <w:pPr>
        <w:pStyle w:val="FootnoteText"/>
      </w:pPr>
      <w:r>
        <w:rPr>
          <w:rStyle w:val="FootnoteReference"/>
        </w:rPr>
        <w:footnoteRef/>
      </w:r>
      <w:r>
        <w:tab/>
      </w:r>
      <w:r w:rsidRPr="007C76DA">
        <w:t>Article</w:t>
      </w:r>
      <w:r w:rsidRPr="00101360">
        <w:t xml:space="preserve"> 7(3) of the 1978 Act only refers to “the period between the filing of the application for protection and the decision thereon.”</w:t>
      </w:r>
    </w:p>
  </w:footnote>
  <w:footnote w:id="2">
    <w:p w:rsidR="008C30ED" w:rsidRPr="00101360" w:rsidRDefault="008C30ED" w:rsidP="008C30ED">
      <w:pPr>
        <w:pStyle w:val="FootnoteText"/>
      </w:pPr>
      <w:r w:rsidRPr="00101360">
        <w:rPr>
          <w:rStyle w:val="FootnoteReference"/>
        </w:rPr>
        <w:footnoteRef/>
      </w:r>
      <w:r>
        <w:tab/>
      </w:r>
      <w:r w:rsidRPr="00101360">
        <w:t>Under Article 7(3) of the 1978 Act, provisional protection is an optional provision.</w:t>
      </w:r>
    </w:p>
  </w:footnote>
  <w:footnote w:id="3">
    <w:p w:rsidR="008C30ED" w:rsidRPr="00101360" w:rsidRDefault="008C30ED" w:rsidP="008C30ED">
      <w:pPr>
        <w:pStyle w:val="FootnoteText"/>
        <w:ind w:left="284" w:hanging="284"/>
      </w:pPr>
      <w:r>
        <w:rPr>
          <w:rStyle w:val="FootnoteReference"/>
        </w:rPr>
        <w:footnoteRef/>
      </w:r>
      <w:r>
        <w:t xml:space="preserve"> </w:t>
      </w:r>
      <w:r>
        <w:tab/>
      </w:r>
      <w:r w:rsidRPr="00101360">
        <w:t>The highlighted text in square brackets is intended for drafters involved in the preparation of laws and identifies, as appropriate, text to be completed, numbering of provisions that might need to be modified, or provisions of the 1991 Act of the UPOV Convention providing for a choice.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E9" w:rsidRPr="00F106BE" w:rsidRDefault="00F61DE9" w:rsidP="00BE4EC4">
    <w:pPr>
      <w:pStyle w:val="Enttepair"/>
    </w:pPr>
    <w:r>
      <w:t>NOTES — ARTICLE 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4C" w:rsidRPr="00CD0CBC" w:rsidRDefault="005C6F4C" w:rsidP="005C6F4C">
    <w:pPr>
      <w:pStyle w:val="Header"/>
      <w:rPr>
        <w:rFonts w:cs="Arial"/>
        <w:lang w:val="en-US"/>
      </w:rPr>
    </w:pPr>
    <w:r w:rsidRPr="0043063A">
      <w:rPr>
        <w:rFonts w:cs="Arial"/>
        <w:lang w:val="en-US"/>
      </w:rPr>
      <w:t>W</w:t>
    </w:r>
    <w:r>
      <w:rPr>
        <w:rFonts w:cs="Arial"/>
        <w:lang w:val="en-US"/>
      </w:rPr>
      <w:t>G-HRV/1/5</w:t>
    </w:r>
  </w:p>
  <w:p w:rsidR="005C6F4C" w:rsidRPr="00922072" w:rsidRDefault="005C6F4C" w:rsidP="005C6F4C">
    <w:pPr>
      <w:pStyle w:val="Header"/>
      <w:rPr>
        <w:lang w:val="en-US"/>
      </w:rPr>
    </w:pPr>
    <w:r>
      <w:rPr>
        <w:rStyle w:val="PageNumber"/>
        <w:lang w:val="en-US"/>
      </w:rPr>
      <w:t>Annex,</w:t>
    </w:r>
    <w:r w:rsidRPr="0006723F">
      <w:rPr>
        <w:lang w:val="en-US"/>
      </w:rPr>
      <w:t xml:space="preserve"> 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9D6E89">
      <w:rPr>
        <w:rStyle w:val="PageNumber"/>
        <w:noProof/>
        <w:lang w:val="en-US"/>
      </w:rPr>
      <w:t>6</w:t>
    </w:r>
    <w:r w:rsidRPr="0006723F">
      <w:rPr>
        <w:rStyle w:val="PageNumber"/>
        <w:lang w:val="en-US"/>
      </w:rPr>
      <w:fldChar w:fldCharType="end"/>
    </w:r>
  </w:p>
  <w:p w:rsidR="005C6F4C" w:rsidRPr="0043063A" w:rsidRDefault="005C6F4C" w:rsidP="005C6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4C" w:rsidRDefault="005C6F4C" w:rsidP="005C6F4C">
    <w:pPr>
      <w:pStyle w:val="Header"/>
      <w:rPr>
        <w:rFonts w:cs="Arial"/>
        <w:lang w:val="en-US"/>
      </w:rPr>
    </w:pPr>
    <w:r w:rsidRPr="0043063A">
      <w:rPr>
        <w:rFonts w:cs="Arial"/>
        <w:lang w:val="en-US"/>
      </w:rPr>
      <w:t>W</w:t>
    </w:r>
    <w:r>
      <w:rPr>
        <w:rFonts w:cs="Arial"/>
        <w:lang w:val="en-US"/>
      </w:rPr>
      <w:t>G-HRV/1/5</w:t>
    </w:r>
  </w:p>
  <w:p w:rsidR="005C6F4C" w:rsidRPr="00CD0CBC" w:rsidRDefault="005C6F4C" w:rsidP="005C6F4C">
    <w:pPr>
      <w:pStyle w:val="Header"/>
      <w:rPr>
        <w:rFonts w:cs="Arial"/>
        <w:lang w:val="en-US"/>
      </w:rPr>
    </w:pPr>
  </w:p>
  <w:p w:rsidR="006A22A2" w:rsidRDefault="006A22A2">
    <w:pPr>
      <w:pStyle w:val="Header"/>
      <w:rPr>
        <w:rFonts w:cs="Arial"/>
        <w:lang w:val="en-US"/>
      </w:rPr>
    </w:pPr>
    <w:r>
      <w:rPr>
        <w:rFonts w:cs="Arial"/>
        <w:lang w:val="en-US"/>
      </w:rPr>
      <w:t>ENDNOTES</w:t>
    </w:r>
  </w:p>
  <w:p w:rsidR="006A22A2" w:rsidRDefault="006A22A2">
    <w:pPr>
      <w:pStyle w:val="Header"/>
      <w:rPr>
        <w:rFonts w:cs="Arial"/>
        <w:lang w:val="en-US"/>
      </w:rPr>
    </w:pPr>
  </w:p>
  <w:p w:rsidR="006A22A2" w:rsidRDefault="006A2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C2"/>
    <w:rsid w:val="00000531"/>
    <w:rsid w:val="00004E4E"/>
    <w:rsid w:val="00005853"/>
    <w:rsid w:val="00005D41"/>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4A1C"/>
    <w:rsid w:val="00054A3B"/>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3CF"/>
    <w:rsid w:val="000E35E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031"/>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7785D"/>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17945"/>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475B2"/>
    <w:rsid w:val="002509D7"/>
    <w:rsid w:val="00253E39"/>
    <w:rsid w:val="00255928"/>
    <w:rsid w:val="00256210"/>
    <w:rsid w:val="002600E7"/>
    <w:rsid w:val="00260B84"/>
    <w:rsid w:val="00260F87"/>
    <w:rsid w:val="00261F07"/>
    <w:rsid w:val="002629CA"/>
    <w:rsid w:val="002629D9"/>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242"/>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6C85"/>
    <w:rsid w:val="0036717D"/>
    <w:rsid w:val="003709D6"/>
    <w:rsid w:val="00371545"/>
    <w:rsid w:val="00371FFE"/>
    <w:rsid w:val="00372C60"/>
    <w:rsid w:val="00372EAA"/>
    <w:rsid w:val="00372F0B"/>
    <w:rsid w:val="003730E9"/>
    <w:rsid w:val="00373663"/>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67278"/>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0F82"/>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5E43"/>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0DA0"/>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BE9"/>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C6F4C"/>
    <w:rsid w:val="005D2170"/>
    <w:rsid w:val="005D2384"/>
    <w:rsid w:val="005D249C"/>
    <w:rsid w:val="005D7065"/>
    <w:rsid w:val="005D7952"/>
    <w:rsid w:val="005D7FD2"/>
    <w:rsid w:val="005E0696"/>
    <w:rsid w:val="005E0A80"/>
    <w:rsid w:val="005E20A2"/>
    <w:rsid w:val="005E233F"/>
    <w:rsid w:val="005E3ECF"/>
    <w:rsid w:val="005E40F4"/>
    <w:rsid w:val="005E532E"/>
    <w:rsid w:val="005E6790"/>
    <w:rsid w:val="005F0328"/>
    <w:rsid w:val="005F03EB"/>
    <w:rsid w:val="005F0417"/>
    <w:rsid w:val="005F16FB"/>
    <w:rsid w:val="005F4D73"/>
    <w:rsid w:val="005F6641"/>
    <w:rsid w:val="005F69DD"/>
    <w:rsid w:val="005F6A20"/>
    <w:rsid w:val="005F6B6F"/>
    <w:rsid w:val="005F703B"/>
    <w:rsid w:val="005F75EC"/>
    <w:rsid w:val="00600FF7"/>
    <w:rsid w:val="0060205C"/>
    <w:rsid w:val="0060461A"/>
    <w:rsid w:val="006052F7"/>
    <w:rsid w:val="006065E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06CB"/>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2A2"/>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060"/>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0C6"/>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2EA"/>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5B9"/>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1FFB"/>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0ED"/>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1ED7"/>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0A80"/>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55B"/>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6E89"/>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65"/>
    <w:rsid w:val="00A021A8"/>
    <w:rsid w:val="00A02B7A"/>
    <w:rsid w:val="00A037D3"/>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B7BD3"/>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D761B"/>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5740"/>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4E37"/>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1825"/>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A7F5E"/>
    <w:rsid w:val="00CB03B3"/>
    <w:rsid w:val="00CB0ED3"/>
    <w:rsid w:val="00CB24CE"/>
    <w:rsid w:val="00CB38C8"/>
    <w:rsid w:val="00CB44BE"/>
    <w:rsid w:val="00CB5C6B"/>
    <w:rsid w:val="00CB5DC7"/>
    <w:rsid w:val="00CB708E"/>
    <w:rsid w:val="00CC13C4"/>
    <w:rsid w:val="00CC1D2F"/>
    <w:rsid w:val="00CC30A7"/>
    <w:rsid w:val="00CC3C0E"/>
    <w:rsid w:val="00CC3E64"/>
    <w:rsid w:val="00CC6D28"/>
    <w:rsid w:val="00CD4C21"/>
    <w:rsid w:val="00CD5C79"/>
    <w:rsid w:val="00CD6470"/>
    <w:rsid w:val="00CD7696"/>
    <w:rsid w:val="00CE0DC1"/>
    <w:rsid w:val="00CE0E08"/>
    <w:rsid w:val="00CE48FA"/>
    <w:rsid w:val="00CE5818"/>
    <w:rsid w:val="00CE62C2"/>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3857"/>
    <w:rsid w:val="00E15AE3"/>
    <w:rsid w:val="00E160EB"/>
    <w:rsid w:val="00E162C5"/>
    <w:rsid w:val="00E16B14"/>
    <w:rsid w:val="00E1764D"/>
    <w:rsid w:val="00E17919"/>
    <w:rsid w:val="00E208C7"/>
    <w:rsid w:val="00E21B5C"/>
    <w:rsid w:val="00E24B06"/>
    <w:rsid w:val="00E24BCC"/>
    <w:rsid w:val="00E25E0E"/>
    <w:rsid w:val="00E306E0"/>
    <w:rsid w:val="00E31E68"/>
    <w:rsid w:val="00E323AF"/>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1DC2"/>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452"/>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4BEC"/>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5297"/>
    <o:shapelayout v:ext="edit">
      <o:idmap v:ext="edit" data="1"/>
    </o:shapelayout>
  </w:shapeDefaults>
  <w:decimalSymbol w:val="."/>
  <w:listSeparator w:val=","/>
  <w14:docId w14:val="5BE9CDE2"/>
  <w15:docId w15:val="{335CB1EA-2C8D-4567-8058-150E3CDF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CB"/>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366C85"/>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6506CB"/>
    <w:rPr>
      <w:rFonts w:ascii="Arial" w:hAnsi="Arial"/>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8C30ED"/>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366C85"/>
    <w:rPr>
      <w:rFonts w:ascii="Arial" w:hAnsi="Arial"/>
    </w:rPr>
  </w:style>
  <w:style w:type="character" w:customStyle="1" w:styleId="BodyTextIndentChar">
    <w:name w:val="Body Text Indent Char"/>
    <w:basedOn w:val="DefaultParagraphFont"/>
    <w:link w:val="BodyTextIndent"/>
    <w:rsid w:val="00366C85"/>
    <w:rPr>
      <w:rFonts w:ascii="Arial" w:hAnsi="Arial"/>
      <w:lang w:val="es-ES_tradnl"/>
    </w:rPr>
  </w:style>
  <w:style w:type="character" w:customStyle="1" w:styleId="CommentTextChar">
    <w:name w:val="Comment Text Char"/>
    <w:basedOn w:val="DefaultParagraphFont"/>
    <w:link w:val="CommentText"/>
    <w:semiHidden/>
    <w:rsid w:val="00366C85"/>
    <w:rPr>
      <w:rFonts w:ascii="Arial" w:hAnsi="Arial"/>
      <w:sz w:val="22"/>
      <w:lang w:val="es-ES_tradnl"/>
    </w:rPr>
  </w:style>
  <w:style w:type="paragraph" w:customStyle="1" w:styleId="Titleofdoc0">
    <w:name w:val="Title_of_doc"/>
    <w:basedOn w:val="TitleofDoc"/>
    <w:rsid w:val="00054A3B"/>
    <w:pPr>
      <w:spacing w:before="600" w:after="240"/>
      <w:jc w:val="left"/>
    </w:pPr>
    <w:rPr>
      <w:b/>
    </w:rPr>
  </w:style>
  <w:style w:type="paragraph" w:customStyle="1" w:styleId="preparedby1">
    <w:name w:val="prepared_by"/>
    <w:basedOn w:val="preparedby0"/>
    <w:rsid w:val="00054A3B"/>
    <w:pPr>
      <w:spacing w:before="0" w:after="240"/>
    </w:pPr>
    <w:rPr>
      <w:iCs/>
    </w:rPr>
  </w:style>
  <w:style w:type="paragraph" w:customStyle="1" w:styleId="Doccode">
    <w:name w:val="Doc_code"/>
    <w:qFormat/>
    <w:rsid w:val="00054A3B"/>
    <w:rPr>
      <w:rFonts w:ascii="Arial" w:hAnsi="Arial"/>
      <w:b/>
      <w:bCs/>
      <w:spacing w:val="10"/>
      <w:sz w:val="18"/>
    </w:rPr>
  </w:style>
  <w:style w:type="character" w:customStyle="1" w:styleId="EndnoteTextChar">
    <w:name w:val="Endnote Text Char"/>
    <w:basedOn w:val="DefaultParagraphFont"/>
    <w:link w:val="EndnoteText"/>
    <w:rsid w:val="00054A3B"/>
    <w:rPr>
      <w:rFonts w:ascii="Arial" w:hAnsi="Arial"/>
      <w:sz w:val="16"/>
    </w:rPr>
  </w:style>
  <w:style w:type="paragraph" w:styleId="ListParagraph">
    <w:name w:val="List Paragraph"/>
    <w:basedOn w:val="Normal"/>
    <w:uiPriority w:val="34"/>
    <w:qFormat/>
    <w:rsid w:val="005C6F4C"/>
    <w:pPr>
      <w:ind w:left="720"/>
      <w:contextualSpacing/>
    </w:pPr>
  </w:style>
  <w:style w:type="paragraph" w:customStyle="1" w:styleId="Sessiontc">
    <w:name w:val="Session_tc"/>
    <w:basedOn w:val="Normal"/>
    <w:rsid w:val="005C6F4C"/>
    <w:pPr>
      <w:spacing w:line="280" w:lineRule="exact"/>
      <w:jc w:val="left"/>
    </w:pPr>
    <w:rPr>
      <w:b/>
      <w:bCs/>
      <w:kern w:val="28"/>
    </w:rPr>
  </w:style>
  <w:style w:type="character" w:customStyle="1" w:styleId="HeaderChar">
    <w:name w:val="Header Char"/>
    <w:basedOn w:val="DefaultParagraphFont"/>
    <w:link w:val="Header"/>
    <w:rsid w:val="005C6F4C"/>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upov.int/meetings/en/doc_details.jsp?meeting_id=67773&amp;doc_id=563728" TargetMode="External"/><Relationship Id="rId2" Type="http://schemas.openxmlformats.org/officeDocument/2006/relationships/hyperlink" Target="https://www.upov.int/meetings/en/doc_details.jsp?meeting_id=67773&amp;doc_id=563728" TargetMode="External"/><Relationship Id="rId1" Type="http://schemas.openxmlformats.org/officeDocument/2006/relationships/hyperlink" Target="https://www.upov.int/meetings/en/doc_details.jsp?meeting_id=67773&amp;doc_id=563728" TargetMode="External"/><Relationship Id="rId4" Type="http://schemas.openxmlformats.org/officeDocument/2006/relationships/hyperlink" Target="https://www.upov.int/meetings/en/doc_details.jsp?meeting_id=67773&amp;doc_id=563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8908-3142-45F3-AE96-81D887FC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2226</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upov/exn/prp/2 with comments</vt:lpstr>
    </vt:vector>
  </TitlesOfParts>
  <Company>WIPO</Company>
  <LinksUpToDate>false</LinksUpToDate>
  <CharactersWithSpaces>14391</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upov/exn/prp/2 with comments</dc:title>
  <dc:creator>BESSE Ariane</dc:creator>
  <cp:lastModifiedBy>SANCHEZ VIZCAINO GOMEZ Rosa Maria</cp:lastModifiedBy>
  <cp:revision>4</cp:revision>
  <cp:lastPrinted>2015-11-09T10:11:00Z</cp:lastPrinted>
  <dcterms:created xsi:type="dcterms:W3CDTF">2022-02-14T16:43:00Z</dcterms:created>
  <dcterms:modified xsi:type="dcterms:W3CDTF">2022-02-14T17:08:00Z</dcterms:modified>
</cp:coreProperties>
</file>