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E65497" w:rsidTr="0018780B">
        <w:trPr>
          <w:trHeight w:val="1760"/>
        </w:trPr>
        <w:tc>
          <w:tcPr>
            <w:tcW w:w="4243" w:type="dxa"/>
          </w:tcPr>
          <w:p w:rsidR="000D7780" w:rsidRPr="00BD5B6E" w:rsidRDefault="00DE04C1" w:rsidP="00E52BE8">
            <w:bookmarkStart w:id="0" w:name="_GoBack"/>
            <w:bookmarkEnd w:id="0"/>
            <w:r>
              <w:t xml:space="preserve"> </w:t>
            </w:r>
          </w:p>
        </w:tc>
        <w:tc>
          <w:tcPr>
            <w:tcW w:w="1646" w:type="dxa"/>
            <w:vAlign w:val="center"/>
          </w:tcPr>
          <w:p w:rsidR="000D7780" w:rsidRPr="00E65497" w:rsidRDefault="00A339DC" w:rsidP="00E52BE8">
            <w:pPr>
              <w:pStyle w:val="LogoUPOV"/>
            </w:pPr>
            <w:r w:rsidRPr="00E65497">
              <w:rPr>
                <w:noProof/>
              </w:rPr>
              <w:drawing>
                <wp:inline distT="0" distB="0" distL="0" distR="0" wp14:anchorId="583AF7EA" wp14:editId="6945A00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E65497" w:rsidRDefault="0024416D" w:rsidP="00E52BE8">
            <w:pPr>
              <w:pStyle w:val="Lettrine"/>
            </w:pPr>
            <w:r w:rsidRPr="00E65497">
              <w:t>E</w:t>
            </w:r>
          </w:p>
          <w:p w:rsidR="000D7780" w:rsidRPr="00E65497" w:rsidRDefault="00DD28A3" w:rsidP="00E52BE8">
            <w:pPr>
              <w:pStyle w:val="Docoriginal"/>
            </w:pPr>
            <w:r w:rsidRPr="00E65497">
              <w:rPr>
                <w:rFonts w:hint="eastAsia"/>
                <w:lang w:eastAsia="ja-JP"/>
              </w:rPr>
              <w:t>UPOV/WG-DST/2</w:t>
            </w:r>
            <w:r w:rsidR="00726996" w:rsidRPr="00E65497">
              <w:rPr>
                <w:rFonts w:hint="eastAsia"/>
                <w:lang w:eastAsia="ja-JP"/>
              </w:rPr>
              <w:t>/</w:t>
            </w:r>
            <w:bookmarkStart w:id="1" w:name="Code"/>
            <w:bookmarkEnd w:id="1"/>
            <w:r w:rsidR="00A61311" w:rsidRPr="00E65497">
              <w:rPr>
                <w:lang w:eastAsia="ja-JP"/>
              </w:rPr>
              <w:t>5</w:t>
            </w:r>
          </w:p>
          <w:p w:rsidR="000D7780" w:rsidRPr="00E65497" w:rsidRDefault="0061555F" w:rsidP="00E52BE8">
            <w:pPr>
              <w:pStyle w:val="Docoriginal"/>
              <w:rPr>
                <w:b w:val="0"/>
                <w:spacing w:val="0"/>
              </w:rPr>
            </w:pPr>
            <w:r w:rsidRPr="00E65497">
              <w:rPr>
                <w:rStyle w:val="StyleDoclangBold"/>
                <w:b/>
                <w:bCs/>
                <w:spacing w:val="0"/>
              </w:rPr>
              <w:t>ORIGINAL</w:t>
            </w:r>
            <w:r w:rsidR="000D7780" w:rsidRPr="00E65497">
              <w:rPr>
                <w:rStyle w:val="StyleDoclangBold"/>
                <w:b/>
                <w:bCs/>
                <w:spacing w:val="0"/>
              </w:rPr>
              <w:t>:</w:t>
            </w:r>
            <w:r w:rsidRPr="00E65497">
              <w:rPr>
                <w:rStyle w:val="StyleDocoriginalNotBold1"/>
                <w:spacing w:val="0"/>
              </w:rPr>
              <w:t xml:space="preserve"> </w:t>
            </w:r>
            <w:bookmarkStart w:id="2" w:name="Original"/>
            <w:bookmarkEnd w:id="2"/>
            <w:r w:rsidR="00876C58" w:rsidRPr="00E65497">
              <w:rPr>
                <w:rStyle w:val="StyleDocoriginalNotBold1"/>
                <w:spacing w:val="0"/>
              </w:rPr>
              <w:t xml:space="preserve"> </w:t>
            </w:r>
            <w:r w:rsidR="0024416D" w:rsidRPr="00E65497">
              <w:rPr>
                <w:b w:val="0"/>
                <w:spacing w:val="0"/>
              </w:rPr>
              <w:t>English</w:t>
            </w:r>
          </w:p>
          <w:p w:rsidR="000D7780" w:rsidRPr="00E65497" w:rsidRDefault="000D7780" w:rsidP="00E65497">
            <w:pPr>
              <w:pStyle w:val="Docoriginal"/>
              <w:rPr>
                <w:lang w:eastAsia="ja-JP"/>
              </w:rPr>
            </w:pPr>
            <w:r w:rsidRPr="00E65497">
              <w:rPr>
                <w:spacing w:val="0"/>
              </w:rPr>
              <w:t>DATE:</w:t>
            </w:r>
            <w:r w:rsidRPr="00E65497">
              <w:rPr>
                <w:rStyle w:val="StyleDocoriginalNotBold1"/>
                <w:spacing w:val="0"/>
              </w:rPr>
              <w:t xml:space="preserve"> </w:t>
            </w:r>
            <w:bookmarkStart w:id="3" w:name="Date"/>
            <w:bookmarkEnd w:id="3"/>
            <w:r w:rsidR="00876C58" w:rsidRPr="00E65497">
              <w:rPr>
                <w:rStyle w:val="StyleDocoriginalNotBold1"/>
                <w:spacing w:val="0"/>
              </w:rPr>
              <w:t xml:space="preserve"> </w:t>
            </w:r>
            <w:r w:rsidR="00A61311" w:rsidRPr="00E65497">
              <w:rPr>
                <w:rStyle w:val="StyleDocoriginalNotBold1"/>
                <w:rFonts w:hint="eastAsia"/>
                <w:spacing w:val="0"/>
                <w:lang w:eastAsia="ja-JP"/>
              </w:rPr>
              <w:t xml:space="preserve">May </w:t>
            </w:r>
            <w:r w:rsidR="00E65497" w:rsidRPr="00E65497">
              <w:rPr>
                <w:rStyle w:val="StyleDocoriginalNotBold1"/>
                <w:rFonts w:hint="eastAsia"/>
                <w:spacing w:val="0"/>
                <w:lang w:eastAsia="ja-JP"/>
              </w:rPr>
              <w:t>22</w:t>
            </w:r>
            <w:r w:rsidR="00771714" w:rsidRPr="00E65497">
              <w:rPr>
                <w:rStyle w:val="StyleDocoriginalNotBold1"/>
                <w:spacing w:val="0"/>
              </w:rPr>
              <w:t>, 201</w:t>
            </w:r>
            <w:r w:rsidR="00DD28A3" w:rsidRPr="00E65497">
              <w:rPr>
                <w:rStyle w:val="StyleDocoriginalNotBold1"/>
                <w:rFonts w:hint="eastAsia"/>
                <w:spacing w:val="0"/>
                <w:lang w:eastAsia="ja-JP"/>
              </w:rPr>
              <w:t>5</w:t>
            </w:r>
          </w:p>
        </w:tc>
      </w:tr>
      <w:tr w:rsidR="00BD5B6E" w:rsidRPr="00E65497" w:rsidTr="0018780B">
        <w:tc>
          <w:tcPr>
            <w:tcW w:w="10131" w:type="dxa"/>
            <w:gridSpan w:val="3"/>
          </w:tcPr>
          <w:p w:rsidR="000D7780" w:rsidRPr="00E65497" w:rsidRDefault="0024416D" w:rsidP="00E52BE8">
            <w:pPr>
              <w:pStyle w:val="upove"/>
              <w:rPr>
                <w:sz w:val="28"/>
              </w:rPr>
            </w:pPr>
            <w:r w:rsidRPr="00E65497">
              <w:rPr>
                <w:snapToGrid w:val="0"/>
              </w:rPr>
              <w:t xml:space="preserve">INTERNATIONAL UNION FOR THE PROTECTION OF NEW VARIETIES OF PLANTS </w:t>
            </w:r>
          </w:p>
        </w:tc>
      </w:tr>
      <w:tr w:rsidR="00BD5B6E" w:rsidRPr="00E65497" w:rsidTr="0018780B">
        <w:tc>
          <w:tcPr>
            <w:tcW w:w="10131" w:type="dxa"/>
            <w:gridSpan w:val="3"/>
          </w:tcPr>
          <w:p w:rsidR="000D7780" w:rsidRPr="00E65497" w:rsidRDefault="00867AC1" w:rsidP="00E52BE8">
            <w:pPr>
              <w:pStyle w:val="Country"/>
            </w:pPr>
            <w:r w:rsidRPr="00E65497">
              <w:t>Gen</w:t>
            </w:r>
            <w:r w:rsidR="0061555F" w:rsidRPr="00E65497">
              <w:t>e</w:t>
            </w:r>
            <w:r w:rsidRPr="00E65497">
              <w:t>v</w:t>
            </w:r>
            <w:r w:rsidR="0061555F" w:rsidRPr="00E65497">
              <w:t>a</w:t>
            </w:r>
          </w:p>
        </w:tc>
      </w:tr>
    </w:tbl>
    <w:p w:rsidR="0018780B" w:rsidRPr="00E65497" w:rsidRDefault="00726996" w:rsidP="00E52BE8">
      <w:pPr>
        <w:pStyle w:val="Sessiontc"/>
      </w:pPr>
      <w:r w:rsidRPr="00E65497">
        <w:rPr>
          <w:rFonts w:hint="eastAsia"/>
          <w:lang w:eastAsia="ja-JP"/>
        </w:rPr>
        <w:t xml:space="preserve">Working group </w:t>
      </w:r>
      <w:r w:rsidR="00017252" w:rsidRPr="00E65497">
        <w:rPr>
          <w:lang w:eastAsia="ja-JP"/>
        </w:rPr>
        <w:t>FOR</w:t>
      </w:r>
      <w:r w:rsidRPr="00E65497">
        <w:rPr>
          <w:rFonts w:hint="eastAsia"/>
          <w:lang w:eastAsia="ja-JP"/>
        </w:rPr>
        <w:t xml:space="preserve"> </w:t>
      </w:r>
      <w:r w:rsidR="00017252" w:rsidRPr="00E65497">
        <w:rPr>
          <w:lang w:eastAsia="ja-JP"/>
        </w:rPr>
        <w:t xml:space="preserve">THE DEVELOPMENT OF A UPOV </w:t>
      </w:r>
      <w:r w:rsidRPr="00E65497">
        <w:rPr>
          <w:rFonts w:hint="eastAsia"/>
          <w:lang w:eastAsia="ja-JP"/>
        </w:rPr>
        <w:t xml:space="preserve">denomination </w:t>
      </w:r>
      <w:r w:rsidR="00017252" w:rsidRPr="00E65497">
        <w:rPr>
          <w:lang w:eastAsia="ja-JP"/>
        </w:rPr>
        <w:t xml:space="preserve">SIMILARITY </w:t>
      </w:r>
      <w:r w:rsidRPr="00E65497">
        <w:rPr>
          <w:rFonts w:hint="eastAsia"/>
          <w:lang w:eastAsia="ja-JP"/>
        </w:rPr>
        <w:t>search tool</w:t>
      </w:r>
    </w:p>
    <w:p w:rsidR="0018780B" w:rsidRPr="00E65497" w:rsidRDefault="00DD28A3" w:rsidP="00E52BE8">
      <w:pPr>
        <w:pStyle w:val="Sessiontcplacedate"/>
        <w:rPr>
          <w:lang w:eastAsia="ja-JP"/>
        </w:rPr>
      </w:pPr>
      <w:r w:rsidRPr="00E65497">
        <w:rPr>
          <w:rFonts w:hint="eastAsia"/>
          <w:lang w:eastAsia="ja-JP"/>
        </w:rPr>
        <w:t>Second</w:t>
      </w:r>
      <w:r w:rsidR="0061555F" w:rsidRPr="00E65497">
        <w:t xml:space="preserve"> S</w:t>
      </w:r>
      <w:r w:rsidR="00867AC1" w:rsidRPr="00E65497">
        <w:t>ession</w:t>
      </w:r>
      <w:r w:rsidR="00361821" w:rsidRPr="00E65497">
        <w:br/>
      </w:r>
      <w:r w:rsidR="00726996" w:rsidRPr="00E65497">
        <w:rPr>
          <w:rFonts w:cs="Arial" w:hint="eastAsia"/>
          <w:lang w:eastAsia="ja-JP"/>
        </w:rPr>
        <w:t>Geneva</w:t>
      </w:r>
      <w:r w:rsidR="0018780B" w:rsidRPr="00E65497">
        <w:rPr>
          <w:rFonts w:cs="Arial"/>
        </w:rPr>
        <w:t xml:space="preserve">, </w:t>
      </w:r>
      <w:r w:rsidRPr="00E65497">
        <w:rPr>
          <w:rFonts w:cs="Arial" w:hint="eastAsia"/>
          <w:lang w:eastAsia="ja-JP"/>
        </w:rPr>
        <w:t>June</w:t>
      </w:r>
      <w:r w:rsidRPr="00E65497">
        <w:t xml:space="preserve"> </w:t>
      </w:r>
      <w:r w:rsidRPr="00E65497">
        <w:rPr>
          <w:rFonts w:hint="eastAsia"/>
          <w:lang w:eastAsia="ja-JP"/>
        </w:rPr>
        <w:t>9</w:t>
      </w:r>
      <w:r w:rsidR="0018780B" w:rsidRPr="00E65497">
        <w:t>, 201</w:t>
      </w:r>
      <w:r w:rsidRPr="00E65497">
        <w:rPr>
          <w:rFonts w:hint="eastAsia"/>
          <w:lang w:eastAsia="ja-JP"/>
        </w:rPr>
        <w:t>5</w:t>
      </w:r>
    </w:p>
    <w:p w:rsidR="005E4528" w:rsidRPr="00E65497" w:rsidRDefault="00A61311" w:rsidP="005E4528">
      <w:pPr>
        <w:pStyle w:val="Titleofdoc0"/>
        <w:rPr>
          <w:snapToGrid w:val="0"/>
        </w:rPr>
      </w:pPr>
      <w:bookmarkStart w:id="4" w:name="TitleOfDoc"/>
      <w:bookmarkEnd w:id="4"/>
      <w:r w:rsidRPr="00E65497">
        <w:rPr>
          <w:rFonts w:hint="eastAsia"/>
          <w:snapToGrid w:val="0"/>
          <w:lang w:eastAsia="ja-JP"/>
        </w:rPr>
        <w:t xml:space="preserve">Linguistic </w:t>
      </w:r>
      <w:r w:rsidR="000726A5" w:rsidRPr="00E65497">
        <w:rPr>
          <w:rFonts w:hint="eastAsia"/>
          <w:snapToGrid w:val="0"/>
          <w:lang w:eastAsia="ja-JP"/>
        </w:rPr>
        <w:t>issues</w:t>
      </w:r>
    </w:p>
    <w:p w:rsidR="00BB268B" w:rsidRPr="00E65497" w:rsidRDefault="00BB268B" w:rsidP="00BB268B">
      <w:pPr>
        <w:pStyle w:val="Titleofdoc0"/>
        <w:spacing w:before="120"/>
      </w:pPr>
    </w:p>
    <w:p w:rsidR="00BB268B" w:rsidRPr="00E65497" w:rsidRDefault="00BB268B" w:rsidP="00BB268B">
      <w:pPr>
        <w:jc w:val="center"/>
        <w:rPr>
          <w:i/>
          <w:color w:val="A6A6A6" w:themeColor="background1" w:themeShade="A6"/>
        </w:rPr>
      </w:pPr>
      <w:bookmarkStart w:id="5" w:name="Prepared"/>
      <w:bookmarkEnd w:id="5"/>
      <w:proofErr w:type="gramStart"/>
      <w:r w:rsidRPr="00E65497">
        <w:rPr>
          <w:i/>
        </w:rPr>
        <w:t>prepared</w:t>
      </w:r>
      <w:proofErr w:type="gramEnd"/>
      <w:r w:rsidRPr="00E65497">
        <w:rPr>
          <w:i/>
        </w:rPr>
        <w:t xml:space="preserve"> by </w:t>
      </w:r>
      <w:r w:rsidR="006F0505" w:rsidRPr="00E65497">
        <w:rPr>
          <w:i/>
        </w:rPr>
        <w:t xml:space="preserve">the </w:t>
      </w:r>
      <w:r w:rsidR="00DD28A3" w:rsidRPr="00E65497">
        <w:rPr>
          <w:rFonts w:hint="eastAsia"/>
          <w:i/>
          <w:lang w:eastAsia="ja-JP"/>
        </w:rPr>
        <w:t>Office of the Union</w:t>
      </w:r>
      <w:r w:rsidRPr="00E65497">
        <w:rPr>
          <w:i/>
        </w:rPr>
        <w:br/>
      </w:r>
    </w:p>
    <w:p w:rsidR="00BB268B" w:rsidRPr="00E65497" w:rsidRDefault="00BB268B" w:rsidP="00BB268B">
      <w:pPr>
        <w:jc w:val="center"/>
        <w:rPr>
          <w:i/>
        </w:rPr>
      </w:pPr>
      <w:r w:rsidRPr="00E65497">
        <w:rPr>
          <w:i/>
          <w:color w:val="A6A6A6" w:themeColor="background1" w:themeShade="A6"/>
        </w:rPr>
        <w:t>Disclaimer:  this document does not represent UPOV policies or guidance</w:t>
      </w:r>
    </w:p>
    <w:p w:rsidR="00BB268B" w:rsidRPr="00E65497" w:rsidRDefault="00BB268B" w:rsidP="00BB268B">
      <w:pPr>
        <w:pStyle w:val="ListParagraph"/>
        <w:ind w:left="0"/>
        <w:rPr>
          <w:lang w:eastAsia="en-GB"/>
        </w:rPr>
      </w:pPr>
    </w:p>
    <w:p w:rsidR="00DD28A3" w:rsidRPr="00E65497" w:rsidRDefault="00DD28A3" w:rsidP="00BB268B">
      <w:pPr>
        <w:pStyle w:val="ListParagraph"/>
        <w:ind w:left="0"/>
        <w:rPr>
          <w:lang w:eastAsia="ja-JP"/>
        </w:rPr>
      </w:pPr>
    </w:p>
    <w:p w:rsidR="000F1609" w:rsidRPr="00E65497" w:rsidRDefault="000F1609" w:rsidP="000F1609">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20075306"/>
      <w:r w:rsidRPr="00E65497">
        <w:t>Executive summary</w:t>
      </w:r>
      <w:bookmarkEnd w:id="6"/>
      <w:bookmarkEnd w:id="7"/>
      <w:bookmarkEnd w:id="8"/>
      <w:bookmarkEnd w:id="9"/>
      <w:bookmarkEnd w:id="10"/>
      <w:bookmarkEnd w:id="11"/>
      <w:bookmarkEnd w:id="12"/>
      <w:bookmarkEnd w:id="13"/>
      <w:r w:rsidRPr="00E65497">
        <w:rPr>
          <w:color w:val="FF0000"/>
        </w:rPr>
        <w:t xml:space="preserve"> </w:t>
      </w:r>
    </w:p>
    <w:p w:rsidR="000F1609" w:rsidRPr="00E65497" w:rsidRDefault="000F1609" w:rsidP="000F1609"/>
    <w:p w:rsidR="000F1609" w:rsidRPr="00E65497" w:rsidRDefault="000F1609" w:rsidP="000F1609">
      <w:pPr>
        <w:rPr>
          <w:rFonts w:cs="Arial"/>
          <w:snapToGrid w:val="0"/>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rPr>
          <w:rFonts w:cs="Arial"/>
          <w:snapToGrid w:val="0"/>
        </w:rPr>
        <w:t xml:space="preserve">The purpose of this document </w:t>
      </w:r>
      <w:r w:rsidR="00E65497" w:rsidRPr="00E65497">
        <w:rPr>
          <w:rFonts w:cs="Arial" w:hint="eastAsia"/>
          <w:snapToGrid w:val="0"/>
          <w:lang w:eastAsia="ja-JP"/>
        </w:rPr>
        <w:t xml:space="preserve">is </w:t>
      </w:r>
      <w:r w:rsidRPr="00E65497">
        <w:t xml:space="preserve">to </w:t>
      </w:r>
      <w:r w:rsidRPr="00E65497">
        <w:rPr>
          <w:rFonts w:cs="Arial"/>
          <w:snapToGrid w:val="0"/>
          <w:lang w:eastAsia="ja-JP"/>
        </w:rPr>
        <w:t xml:space="preserve">consider the </w:t>
      </w:r>
      <w:r w:rsidRPr="00E65497">
        <w:rPr>
          <w:rFonts w:cs="Arial" w:hint="eastAsia"/>
          <w:snapToGrid w:val="0"/>
          <w:lang w:eastAsia="ja-JP"/>
        </w:rPr>
        <w:t xml:space="preserve">linguistic issues </w:t>
      </w:r>
      <w:r w:rsidR="005F6C9A" w:rsidRPr="00E65497">
        <w:rPr>
          <w:rFonts w:cs="Arial" w:hint="eastAsia"/>
          <w:snapToGrid w:val="0"/>
          <w:lang w:eastAsia="ja-JP"/>
        </w:rPr>
        <w:t xml:space="preserve">in relation to </w:t>
      </w:r>
      <w:r w:rsidR="00E65497" w:rsidRPr="00E65497">
        <w:rPr>
          <w:rFonts w:cs="Arial" w:hint="eastAsia"/>
          <w:snapToGrid w:val="0"/>
          <w:lang w:eastAsia="ja-JP"/>
        </w:rPr>
        <w:t xml:space="preserve">the </w:t>
      </w:r>
      <w:r w:rsidR="006A000A" w:rsidRPr="00E65497">
        <w:rPr>
          <w:rFonts w:cs="Arial" w:hint="eastAsia"/>
          <w:snapToGrid w:val="0"/>
          <w:lang w:eastAsia="ja-JP"/>
        </w:rPr>
        <w:t xml:space="preserve">development of a UPOV </w:t>
      </w:r>
      <w:r w:rsidR="005F6C9A" w:rsidRPr="00E65497">
        <w:rPr>
          <w:rFonts w:cs="Arial" w:hint="eastAsia"/>
          <w:snapToGrid w:val="0"/>
          <w:lang w:eastAsia="ja-JP"/>
        </w:rPr>
        <w:t xml:space="preserve">denomination </w:t>
      </w:r>
      <w:r w:rsidR="00827731" w:rsidRPr="00E65497">
        <w:rPr>
          <w:rFonts w:cs="Arial" w:hint="eastAsia"/>
          <w:snapToGrid w:val="0"/>
          <w:lang w:eastAsia="ja-JP"/>
        </w:rPr>
        <w:t xml:space="preserve">similarity </w:t>
      </w:r>
      <w:r w:rsidR="005F6C9A" w:rsidRPr="00E65497">
        <w:rPr>
          <w:rFonts w:cs="Arial" w:hint="eastAsia"/>
          <w:snapToGrid w:val="0"/>
          <w:lang w:eastAsia="ja-JP"/>
        </w:rPr>
        <w:t>search tool</w:t>
      </w:r>
      <w:r w:rsidRPr="00E65497">
        <w:rPr>
          <w:rFonts w:cs="Arial"/>
          <w:snapToGrid w:val="0"/>
        </w:rPr>
        <w:t>.</w:t>
      </w:r>
    </w:p>
    <w:p w:rsidR="000F1609" w:rsidRPr="00E65497" w:rsidRDefault="000F1609" w:rsidP="000F1609">
      <w:pPr>
        <w:rPr>
          <w:lang w:eastAsia="ja-JP"/>
        </w:rPr>
      </w:pPr>
    </w:p>
    <w:p w:rsidR="00DD766D" w:rsidRPr="00E65497" w:rsidRDefault="000F1609" w:rsidP="0079474F">
      <w:pPr>
        <w:pStyle w:val="DecisionParagraphs"/>
        <w:tabs>
          <w:tab w:val="clear" w:pos="5387"/>
          <w:tab w:val="left" w:pos="540"/>
        </w:tabs>
        <w:ind w:left="0"/>
        <w:rPr>
          <w:i w:val="0"/>
        </w:rPr>
      </w:pPr>
      <w:r w:rsidRPr="00E65497">
        <w:rPr>
          <w:i w:val="0"/>
        </w:rPr>
        <w:fldChar w:fldCharType="begin"/>
      </w:r>
      <w:r w:rsidRPr="00E65497">
        <w:rPr>
          <w:i w:val="0"/>
        </w:rPr>
        <w:instrText xml:space="preserve"> AUTONUM  </w:instrText>
      </w:r>
      <w:r w:rsidRPr="00E65497">
        <w:rPr>
          <w:i w:val="0"/>
        </w:rPr>
        <w:fldChar w:fldCharType="end"/>
      </w:r>
      <w:r w:rsidRPr="00E65497">
        <w:rPr>
          <w:i w:val="0"/>
        </w:rPr>
        <w:tab/>
      </w:r>
      <w:r w:rsidR="00E65497" w:rsidRPr="00E65497">
        <w:rPr>
          <w:i w:val="0"/>
        </w:rPr>
        <w:t>The WG-DST is invited to consider whet</w:t>
      </w:r>
      <w:r w:rsidR="00E40F21">
        <w:rPr>
          <w:i w:val="0"/>
        </w:rPr>
        <w:t>her linguistic issues beyond th</w:t>
      </w:r>
      <w:r w:rsidR="00E40F21">
        <w:rPr>
          <w:rFonts w:hint="eastAsia"/>
          <w:i w:val="0"/>
          <w:lang w:eastAsia="ja-JP"/>
        </w:rPr>
        <w:t>o</w:t>
      </w:r>
      <w:r w:rsidR="00E65497" w:rsidRPr="00E65497">
        <w:rPr>
          <w:i w:val="0"/>
        </w:rPr>
        <w:t>se addressed in the PLUTO database should be considered in relation to the development of a UPOV denomination similarity search tool.</w:t>
      </w:r>
    </w:p>
    <w:p w:rsidR="0079474F" w:rsidRPr="00E65497" w:rsidRDefault="0079474F" w:rsidP="0079474F">
      <w:pPr>
        <w:pStyle w:val="DecisionParagraphs"/>
        <w:tabs>
          <w:tab w:val="clear" w:pos="5387"/>
          <w:tab w:val="left" w:pos="540"/>
        </w:tabs>
        <w:ind w:left="0"/>
        <w:rPr>
          <w:i w:val="0"/>
          <w:lang w:eastAsia="ja-JP"/>
        </w:rPr>
      </w:pPr>
    </w:p>
    <w:p w:rsidR="000F1609" w:rsidRPr="00E65497" w:rsidRDefault="000F1609" w:rsidP="000F1609">
      <w:pPr>
        <w:keepNext/>
        <w:rPr>
          <w:rFonts w:cs="Arial"/>
          <w:snapToGrid w:val="0"/>
          <w:lang w:eastAsia="ja-JP"/>
        </w:rPr>
      </w:pPr>
      <w:r w:rsidRPr="00E65497">
        <w:rPr>
          <w:rFonts w:cs="Arial"/>
          <w:snapToGrid w:val="0"/>
        </w:rPr>
        <w:fldChar w:fldCharType="begin"/>
      </w:r>
      <w:r w:rsidRPr="00E65497">
        <w:rPr>
          <w:rFonts w:cs="Arial"/>
          <w:snapToGrid w:val="0"/>
        </w:rPr>
        <w:instrText xml:space="preserve"> AUTONUM  </w:instrText>
      </w:r>
      <w:r w:rsidRPr="00E65497">
        <w:rPr>
          <w:rFonts w:cs="Arial"/>
          <w:snapToGrid w:val="0"/>
        </w:rPr>
        <w:fldChar w:fldCharType="end"/>
      </w:r>
      <w:r w:rsidRPr="00E65497">
        <w:rPr>
          <w:rFonts w:cs="Arial"/>
          <w:snapToGrid w:val="0"/>
        </w:rPr>
        <w:tab/>
      </w:r>
      <w:r w:rsidRPr="00E65497">
        <w:rPr>
          <w:rFonts w:cs="Arial" w:hint="eastAsia"/>
          <w:snapToGrid w:val="0"/>
          <w:lang w:eastAsia="ja-JP"/>
        </w:rPr>
        <w:t>The structure of this document is as follows:</w:t>
      </w:r>
    </w:p>
    <w:p w:rsidR="000F1609" w:rsidRPr="00E65497" w:rsidRDefault="000F1609" w:rsidP="000F1609">
      <w:pPr>
        <w:keepNext/>
        <w:rPr>
          <w:rFonts w:cs="Arial"/>
          <w:snapToGrid w:val="0"/>
          <w:lang w:eastAsia="ja-JP"/>
        </w:rPr>
      </w:pPr>
    </w:p>
    <w:p w:rsidR="00E65497" w:rsidRPr="00E65497" w:rsidRDefault="000F1609">
      <w:pPr>
        <w:pStyle w:val="TOC1"/>
        <w:rPr>
          <w:rFonts w:asciiTheme="minorHAnsi" w:hAnsiTheme="minorHAnsi" w:cstheme="minorBidi"/>
          <w:caps w:val="0"/>
          <w:sz w:val="22"/>
          <w:szCs w:val="22"/>
          <w:lang w:eastAsia="ja-JP"/>
        </w:rPr>
      </w:pPr>
      <w:r w:rsidRPr="00E65497">
        <w:rPr>
          <w:rFonts w:cs="Arial"/>
          <w:bCs/>
          <w:snapToGrid w:val="0"/>
          <w:sz w:val="18"/>
        </w:rPr>
        <w:fldChar w:fldCharType="begin"/>
      </w:r>
      <w:r w:rsidRPr="00E65497">
        <w:rPr>
          <w:rFonts w:cs="Arial"/>
          <w:bCs/>
          <w:snapToGrid w:val="0"/>
          <w:sz w:val="18"/>
        </w:rPr>
        <w:instrText xml:space="preserve"> TOC \o "1-3" \h \z \u </w:instrText>
      </w:r>
      <w:r w:rsidRPr="00E65497">
        <w:rPr>
          <w:rFonts w:cs="Arial"/>
          <w:bCs/>
          <w:snapToGrid w:val="0"/>
          <w:sz w:val="18"/>
        </w:rPr>
        <w:fldChar w:fldCharType="separate"/>
      </w:r>
      <w:hyperlink w:anchor="_Toc420075306" w:history="1">
        <w:r w:rsidR="00E65497" w:rsidRPr="00E65497">
          <w:rPr>
            <w:rStyle w:val="Hyperlink"/>
          </w:rPr>
          <w:t>Executive summary</w:t>
        </w:r>
        <w:r w:rsidR="00E65497" w:rsidRPr="00E65497">
          <w:rPr>
            <w:webHidden/>
          </w:rPr>
          <w:tab/>
        </w:r>
        <w:r w:rsidR="00E65497" w:rsidRPr="00E65497">
          <w:rPr>
            <w:webHidden/>
          </w:rPr>
          <w:fldChar w:fldCharType="begin"/>
        </w:r>
        <w:r w:rsidR="00E65497" w:rsidRPr="00E65497">
          <w:rPr>
            <w:webHidden/>
          </w:rPr>
          <w:instrText xml:space="preserve"> PAGEREF _Toc420075306 \h </w:instrText>
        </w:r>
        <w:r w:rsidR="00E65497" w:rsidRPr="00E65497">
          <w:rPr>
            <w:webHidden/>
          </w:rPr>
        </w:r>
        <w:r w:rsidR="00E65497" w:rsidRPr="00E65497">
          <w:rPr>
            <w:webHidden/>
          </w:rPr>
          <w:fldChar w:fldCharType="separate"/>
        </w:r>
        <w:r w:rsidR="004B6825">
          <w:rPr>
            <w:webHidden/>
          </w:rPr>
          <w:t>1</w:t>
        </w:r>
        <w:r w:rsidR="00E65497" w:rsidRPr="00E65497">
          <w:rPr>
            <w:webHidden/>
          </w:rPr>
          <w:fldChar w:fldCharType="end"/>
        </w:r>
      </w:hyperlink>
    </w:p>
    <w:p w:rsidR="00E65497" w:rsidRPr="00E65497" w:rsidRDefault="004B6825">
      <w:pPr>
        <w:pStyle w:val="TOC1"/>
        <w:rPr>
          <w:rFonts w:asciiTheme="minorHAnsi" w:hAnsiTheme="minorHAnsi" w:cstheme="minorBidi"/>
          <w:caps w:val="0"/>
          <w:sz w:val="22"/>
          <w:szCs w:val="22"/>
          <w:lang w:eastAsia="ja-JP"/>
        </w:rPr>
      </w:pPr>
      <w:hyperlink w:anchor="_Toc420075307" w:history="1">
        <w:r w:rsidR="00E65497" w:rsidRPr="00E65497">
          <w:rPr>
            <w:rStyle w:val="Hyperlink"/>
            <w:lang w:eastAsia="ja-JP"/>
          </w:rPr>
          <w:t>purpose</w:t>
        </w:r>
        <w:r w:rsidR="00E65497" w:rsidRPr="00E65497">
          <w:rPr>
            <w:webHidden/>
          </w:rPr>
          <w:tab/>
        </w:r>
        <w:r w:rsidR="00E65497" w:rsidRPr="00E65497">
          <w:rPr>
            <w:webHidden/>
          </w:rPr>
          <w:fldChar w:fldCharType="begin"/>
        </w:r>
        <w:r w:rsidR="00E65497" w:rsidRPr="00E65497">
          <w:rPr>
            <w:webHidden/>
          </w:rPr>
          <w:instrText xml:space="preserve"> PAGEREF _Toc420075307 \h </w:instrText>
        </w:r>
        <w:r w:rsidR="00E65497" w:rsidRPr="00E65497">
          <w:rPr>
            <w:webHidden/>
          </w:rPr>
        </w:r>
        <w:r w:rsidR="00E65497" w:rsidRPr="00E65497">
          <w:rPr>
            <w:webHidden/>
          </w:rPr>
          <w:fldChar w:fldCharType="separate"/>
        </w:r>
        <w:r>
          <w:rPr>
            <w:webHidden/>
          </w:rPr>
          <w:t>2</w:t>
        </w:r>
        <w:r w:rsidR="00E65497" w:rsidRPr="00E65497">
          <w:rPr>
            <w:webHidden/>
          </w:rPr>
          <w:fldChar w:fldCharType="end"/>
        </w:r>
      </w:hyperlink>
    </w:p>
    <w:p w:rsidR="00E65497" w:rsidRPr="00E65497" w:rsidRDefault="004B6825">
      <w:pPr>
        <w:pStyle w:val="TOC1"/>
        <w:rPr>
          <w:rFonts w:asciiTheme="minorHAnsi" w:hAnsiTheme="minorHAnsi" w:cstheme="minorBidi"/>
          <w:caps w:val="0"/>
          <w:sz w:val="22"/>
          <w:szCs w:val="22"/>
          <w:lang w:eastAsia="ja-JP"/>
        </w:rPr>
      </w:pPr>
      <w:hyperlink w:anchor="_Toc420075308" w:history="1">
        <w:r w:rsidR="00E65497" w:rsidRPr="00E65497">
          <w:rPr>
            <w:rStyle w:val="Hyperlink"/>
          </w:rPr>
          <w:t>BACKGROUND</w:t>
        </w:r>
        <w:r w:rsidR="00E65497" w:rsidRPr="00E65497">
          <w:rPr>
            <w:webHidden/>
          </w:rPr>
          <w:tab/>
        </w:r>
        <w:r w:rsidR="00E65497" w:rsidRPr="00E65497">
          <w:rPr>
            <w:webHidden/>
          </w:rPr>
          <w:fldChar w:fldCharType="begin"/>
        </w:r>
        <w:r w:rsidR="00E65497" w:rsidRPr="00E65497">
          <w:rPr>
            <w:webHidden/>
          </w:rPr>
          <w:instrText xml:space="preserve"> PAGEREF _Toc420075308 \h </w:instrText>
        </w:r>
        <w:r w:rsidR="00E65497" w:rsidRPr="00E65497">
          <w:rPr>
            <w:webHidden/>
          </w:rPr>
        </w:r>
        <w:r w:rsidR="00E65497" w:rsidRPr="00E65497">
          <w:rPr>
            <w:webHidden/>
          </w:rPr>
          <w:fldChar w:fldCharType="separate"/>
        </w:r>
        <w:r>
          <w:rPr>
            <w:webHidden/>
          </w:rPr>
          <w:t>2</w:t>
        </w:r>
        <w:r w:rsidR="00E65497" w:rsidRPr="00E65497">
          <w:rPr>
            <w:webHidden/>
          </w:rPr>
          <w:fldChar w:fldCharType="end"/>
        </w:r>
      </w:hyperlink>
    </w:p>
    <w:p w:rsidR="00E65497" w:rsidRPr="00E65497" w:rsidRDefault="004B6825">
      <w:pPr>
        <w:pStyle w:val="TOC1"/>
        <w:rPr>
          <w:rFonts w:asciiTheme="minorHAnsi" w:hAnsiTheme="minorHAnsi" w:cstheme="minorBidi"/>
          <w:caps w:val="0"/>
          <w:sz w:val="22"/>
          <w:szCs w:val="22"/>
          <w:lang w:eastAsia="ja-JP"/>
        </w:rPr>
      </w:pPr>
      <w:hyperlink w:anchor="_Toc420075309" w:history="1">
        <w:r w:rsidR="00E65497" w:rsidRPr="00E65497">
          <w:rPr>
            <w:rStyle w:val="Hyperlink"/>
            <w:lang w:eastAsia="ja-JP"/>
          </w:rPr>
          <w:t>LINGUISTIC MATTERS to consider</w:t>
        </w:r>
        <w:r w:rsidR="00E65497" w:rsidRPr="00E65497">
          <w:rPr>
            <w:webHidden/>
          </w:rPr>
          <w:tab/>
        </w:r>
        <w:r w:rsidR="00E65497" w:rsidRPr="00E65497">
          <w:rPr>
            <w:webHidden/>
          </w:rPr>
          <w:fldChar w:fldCharType="begin"/>
        </w:r>
        <w:r w:rsidR="00E65497" w:rsidRPr="00E65497">
          <w:rPr>
            <w:webHidden/>
          </w:rPr>
          <w:instrText xml:space="preserve"> PAGEREF _Toc420075309 \h </w:instrText>
        </w:r>
        <w:r w:rsidR="00E65497" w:rsidRPr="00E65497">
          <w:rPr>
            <w:webHidden/>
          </w:rPr>
        </w:r>
        <w:r w:rsidR="00E65497" w:rsidRPr="00E65497">
          <w:rPr>
            <w:webHidden/>
          </w:rPr>
          <w:fldChar w:fldCharType="separate"/>
        </w:r>
        <w:r>
          <w:rPr>
            <w:webHidden/>
          </w:rPr>
          <w:t>3</w:t>
        </w:r>
        <w:r w:rsidR="00E65497" w:rsidRPr="00E65497">
          <w:rPr>
            <w:webHidden/>
          </w:rPr>
          <w:fldChar w:fldCharType="end"/>
        </w:r>
      </w:hyperlink>
    </w:p>
    <w:p w:rsidR="000F1609" w:rsidRPr="00E65497" w:rsidRDefault="000F1609" w:rsidP="000F1609">
      <w:pPr>
        <w:pStyle w:val="Heading1"/>
        <w:rPr>
          <w:noProof/>
          <w:snapToGrid w:val="0"/>
        </w:rPr>
      </w:pPr>
      <w:r w:rsidRPr="00E65497">
        <w:rPr>
          <w:noProof/>
          <w:snapToGrid w:val="0"/>
        </w:rPr>
        <w:fldChar w:fldCharType="end"/>
      </w:r>
    </w:p>
    <w:p w:rsidR="000F1609" w:rsidRPr="00E65497" w:rsidRDefault="000F1609" w:rsidP="000F1609">
      <w:pPr>
        <w:keepNext/>
        <w:rPr>
          <w:rFonts w:cs="Arial"/>
          <w:snapToGrid w:val="0"/>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rPr>
          <w:rFonts w:cs="Arial"/>
          <w:snapToGrid w:val="0"/>
        </w:rPr>
        <w:t>The following abbreviations are used in this document:</w:t>
      </w:r>
    </w:p>
    <w:p w:rsidR="000F1609" w:rsidRPr="00E65497" w:rsidRDefault="000F1609" w:rsidP="000F1609">
      <w:pPr>
        <w:keepNext/>
        <w:rPr>
          <w:rFonts w:cs="Arial"/>
          <w:snapToGrid w:val="0"/>
        </w:rPr>
      </w:pPr>
    </w:p>
    <w:p w:rsidR="000F1609" w:rsidRPr="00E65497" w:rsidRDefault="000F1609" w:rsidP="000F1609">
      <w:pPr>
        <w:keepNext/>
        <w:ind w:left="567"/>
        <w:rPr>
          <w:rFonts w:cs="Arial"/>
          <w:snapToGrid w:val="0"/>
        </w:rPr>
      </w:pPr>
      <w:r w:rsidRPr="00E65497">
        <w:rPr>
          <w:rFonts w:cs="Arial"/>
          <w:snapToGrid w:val="0"/>
          <w:color w:val="000000"/>
        </w:rPr>
        <w:t xml:space="preserve">CAJ:  </w:t>
      </w:r>
      <w:r w:rsidRPr="00E65497">
        <w:rPr>
          <w:rFonts w:cs="Arial" w:hint="eastAsia"/>
          <w:snapToGrid w:val="0"/>
          <w:color w:val="000000"/>
          <w:lang w:eastAsia="ja-JP"/>
        </w:rPr>
        <w:tab/>
      </w:r>
      <w:r w:rsidRPr="00E65497">
        <w:rPr>
          <w:rFonts w:cs="Arial" w:hint="eastAsia"/>
          <w:snapToGrid w:val="0"/>
          <w:color w:val="000000"/>
          <w:lang w:eastAsia="ja-JP"/>
        </w:rPr>
        <w:tab/>
      </w:r>
      <w:r w:rsidRPr="00E65497">
        <w:rPr>
          <w:rFonts w:cs="Arial"/>
          <w:snapToGrid w:val="0"/>
          <w:color w:val="000000"/>
        </w:rPr>
        <w:t xml:space="preserve">Administrative and Legal Committee </w:t>
      </w:r>
    </w:p>
    <w:p w:rsidR="000F1609" w:rsidRPr="00E65497" w:rsidRDefault="000F1609" w:rsidP="000F1609">
      <w:pPr>
        <w:keepNext/>
        <w:ind w:left="567"/>
        <w:rPr>
          <w:rFonts w:cs="Arial"/>
          <w:snapToGrid w:val="0"/>
        </w:rPr>
      </w:pPr>
      <w:r w:rsidRPr="00E65497">
        <w:rPr>
          <w:rFonts w:cs="Arial"/>
          <w:snapToGrid w:val="0"/>
        </w:rPr>
        <w:t xml:space="preserve">CAJ-AG:  </w:t>
      </w:r>
      <w:r w:rsidRPr="00E65497">
        <w:rPr>
          <w:rFonts w:cs="Arial" w:hint="eastAsia"/>
          <w:snapToGrid w:val="0"/>
          <w:lang w:eastAsia="ja-JP"/>
        </w:rPr>
        <w:tab/>
      </w:r>
      <w:r w:rsidRPr="00E65497">
        <w:rPr>
          <w:rFonts w:cs="Arial"/>
          <w:snapToGrid w:val="0"/>
        </w:rPr>
        <w:t xml:space="preserve">Administrative and Legal Committee Advisory Group </w:t>
      </w:r>
    </w:p>
    <w:p w:rsidR="000F1609" w:rsidRPr="00E65497" w:rsidRDefault="000F1609" w:rsidP="000F1609">
      <w:pPr>
        <w:keepNext/>
        <w:ind w:left="567"/>
        <w:rPr>
          <w:rFonts w:cs="Arial"/>
          <w:snapToGrid w:val="0"/>
          <w:lang w:eastAsia="ja-JP"/>
        </w:rPr>
      </w:pPr>
      <w:r w:rsidRPr="00E65497">
        <w:rPr>
          <w:rFonts w:cs="Arial"/>
          <w:snapToGrid w:val="0"/>
        </w:rPr>
        <w:t xml:space="preserve">TC:  </w:t>
      </w:r>
      <w:r w:rsidRPr="00E65497">
        <w:rPr>
          <w:rFonts w:cs="Arial" w:hint="eastAsia"/>
          <w:snapToGrid w:val="0"/>
          <w:lang w:eastAsia="ja-JP"/>
        </w:rPr>
        <w:tab/>
      </w:r>
      <w:r w:rsidRPr="00E65497">
        <w:rPr>
          <w:rFonts w:cs="Arial" w:hint="eastAsia"/>
          <w:snapToGrid w:val="0"/>
          <w:lang w:eastAsia="ja-JP"/>
        </w:rPr>
        <w:tab/>
      </w:r>
      <w:r w:rsidRPr="00E65497">
        <w:rPr>
          <w:rFonts w:cs="Arial"/>
          <w:snapToGrid w:val="0"/>
        </w:rPr>
        <w:t>Technical Committee</w:t>
      </w:r>
    </w:p>
    <w:p w:rsidR="000F1609" w:rsidRPr="00E65497" w:rsidRDefault="000F1609" w:rsidP="000F1609">
      <w:pPr>
        <w:keepNext/>
        <w:ind w:left="567"/>
        <w:rPr>
          <w:snapToGrid w:val="0"/>
          <w:lang w:eastAsia="ja-JP"/>
        </w:rPr>
      </w:pPr>
      <w:r w:rsidRPr="00E65497">
        <w:rPr>
          <w:snapToGrid w:val="0"/>
          <w:lang w:eastAsia="ja-JP"/>
        </w:rPr>
        <w:t>WG</w:t>
      </w:r>
      <w:r w:rsidRPr="00E65497">
        <w:rPr>
          <w:rFonts w:hint="eastAsia"/>
          <w:snapToGrid w:val="0"/>
          <w:lang w:eastAsia="ja-JP"/>
        </w:rPr>
        <w:t>-</w:t>
      </w:r>
      <w:r w:rsidRPr="00E65497">
        <w:rPr>
          <w:snapToGrid w:val="0"/>
          <w:lang w:eastAsia="ja-JP"/>
        </w:rPr>
        <w:t>DST</w:t>
      </w:r>
      <w:r w:rsidRPr="00E65497">
        <w:rPr>
          <w:rFonts w:hint="eastAsia"/>
          <w:snapToGrid w:val="0"/>
          <w:lang w:eastAsia="ja-JP"/>
        </w:rPr>
        <w:t>:</w:t>
      </w:r>
      <w:r w:rsidRPr="00E65497">
        <w:rPr>
          <w:rFonts w:hint="eastAsia"/>
          <w:snapToGrid w:val="0"/>
          <w:lang w:eastAsia="ja-JP"/>
        </w:rPr>
        <w:tab/>
      </w:r>
      <w:r w:rsidRPr="00E65497">
        <w:rPr>
          <w:snapToGrid w:val="0"/>
          <w:lang w:eastAsia="ja-JP"/>
        </w:rPr>
        <w:t>Working Group for Variety Denomination Search Tool</w:t>
      </w:r>
    </w:p>
    <w:p w:rsidR="000F1609" w:rsidRPr="00E65497" w:rsidRDefault="000F1609" w:rsidP="000F1609">
      <w:pPr>
        <w:rPr>
          <w:snapToGrid w:val="0"/>
          <w:lang w:eastAsia="ja-JP"/>
        </w:rPr>
      </w:pPr>
    </w:p>
    <w:p w:rsidR="000F1609" w:rsidRPr="00E65497" w:rsidRDefault="000F1609" w:rsidP="000F1609">
      <w:pPr>
        <w:rPr>
          <w:snapToGrid w:val="0"/>
          <w:lang w:eastAsia="ja-JP"/>
        </w:rPr>
      </w:pPr>
    </w:p>
    <w:p w:rsidR="0079474F" w:rsidRPr="00E65497" w:rsidRDefault="0079474F">
      <w:pPr>
        <w:jc w:val="left"/>
        <w:rPr>
          <w:caps/>
          <w:lang w:eastAsia="ja-JP"/>
        </w:rPr>
      </w:pPr>
      <w:r w:rsidRPr="00E65497">
        <w:rPr>
          <w:lang w:eastAsia="ja-JP"/>
        </w:rPr>
        <w:br w:type="page"/>
      </w:r>
    </w:p>
    <w:p w:rsidR="00DD28A3" w:rsidRPr="00E65497" w:rsidRDefault="000F1609" w:rsidP="000F1609">
      <w:pPr>
        <w:pStyle w:val="Heading1"/>
        <w:rPr>
          <w:lang w:eastAsia="ja-JP"/>
        </w:rPr>
      </w:pPr>
      <w:bookmarkStart w:id="14" w:name="_Toc420075307"/>
      <w:r w:rsidRPr="00E65497">
        <w:rPr>
          <w:rFonts w:hint="eastAsia"/>
          <w:lang w:eastAsia="ja-JP"/>
        </w:rPr>
        <w:lastRenderedPageBreak/>
        <w:t>purpose</w:t>
      </w:r>
      <w:bookmarkEnd w:id="14"/>
    </w:p>
    <w:p w:rsidR="000F1609" w:rsidRPr="00E65497" w:rsidRDefault="000F1609" w:rsidP="00BB268B">
      <w:pPr>
        <w:pStyle w:val="ListParagraph"/>
        <w:ind w:left="0"/>
        <w:rPr>
          <w:lang w:eastAsia="ja-JP"/>
        </w:rPr>
      </w:pPr>
    </w:p>
    <w:p w:rsidR="00A12D96" w:rsidRPr="00E65497" w:rsidRDefault="000F1609" w:rsidP="007F0433">
      <w:pPr>
        <w:rPr>
          <w:rFonts w:cs="Arial"/>
          <w:snapToGrid w:val="0"/>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00E65497" w:rsidRPr="00E65497">
        <w:rPr>
          <w:rFonts w:cs="Arial"/>
          <w:snapToGrid w:val="0"/>
        </w:rPr>
        <w:t xml:space="preserve">The purpose of this document </w:t>
      </w:r>
      <w:r w:rsidR="00E65497" w:rsidRPr="00E65497">
        <w:rPr>
          <w:rFonts w:cs="Arial" w:hint="eastAsia"/>
          <w:snapToGrid w:val="0"/>
          <w:lang w:eastAsia="ja-JP"/>
        </w:rPr>
        <w:t xml:space="preserve">is </w:t>
      </w:r>
      <w:r w:rsidR="00E65497" w:rsidRPr="00E65497">
        <w:t xml:space="preserve">to </w:t>
      </w:r>
      <w:r w:rsidR="00E65497" w:rsidRPr="00E65497">
        <w:rPr>
          <w:rFonts w:cs="Arial"/>
          <w:snapToGrid w:val="0"/>
          <w:lang w:eastAsia="ja-JP"/>
        </w:rPr>
        <w:t xml:space="preserve">consider the </w:t>
      </w:r>
      <w:r w:rsidR="00E65497" w:rsidRPr="00E65497">
        <w:rPr>
          <w:rFonts w:cs="Arial" w:hint="eastAsia"/>
          <w:snapToGrid w:val="0"/>
          <w:lang w:eastAsia="ja-JP"/>
        </w:rPr>
        <w:t>linguistic issues in relation to the development of a UPOV denomination similarity search tool</w:t>
      </w:r>
      <w:r w:rsidR="00E65497" w:rsidRPr="00E65497">
        <w:rPr>
          <w:rFonts w:cs="Arial"/>
          <w:snapToGrid w:val="0"/>
        </w:rPr>
        <w:t>.</w:t>
      </w:r>
    </w:p>
    <w:p w:rsidR="007F0433" w:rsidRPr="00E65497" w:rsidRDefault="007F0433" w:rsidP="007F0433">
      <w:pPr>
        <w:rPr>
          <w:rFonts w:cs="Arial"/>
          <w:snapToGrid w:val="0"/>
        </w:rPr>
      </w:pPr>
    </w:p>
    <w:p w:rsidR="007F0433" w:rsidRPr="00E65497" w:rsidRDefault="007F0433" w:rsidP="007F0433">
      <w:pPr>
        <w:rPr>
          <w:caps/>
        </w:rPr>
      </w:pPr>
    </w:p>
    <w:p w:rsidR="00A93F79" w:rsidRPr="00E65497" w:rsidRDefault="00A93F79" w:rsidP="004B5AD0">
      <w:pPr>
        <w:pStyle w:val="Heading1"/>
      </w:pPr>
      <w:bookmarkStart w:id="15" w:name="_Toc420075308"/>
      <w:r w:rsidRPr="00E65497">
        <w:t>BACKGROUND</w:t>
      </w:r>
      <w:bookmarkEnd w:id="15"/>
      <w:r w:rsidRPr="00E65497">
        <w:t xml:space="preserve"> </w:t>
      </w:r>
    </w:p>
    <w:p w:rsidR="00A93F79" w:rsidRPr="00E65497" w:rsidRDefault="00A93F79" w:rsidP="00A93F79">
      <w:pPr>
        <w:keepNext/>
        <w:rPr>
          <w:lang w:eastAsia="ja-JP"/>
        </w:rPr>
      </w:pPr>
    </w:p>
    <w:p w:rsidR="007607A8" w:rsidRPr="00E65497" w:rsidRDefault="007607A8" w:rsidP="007607A8">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t xml:space="preserve">At its first meeting, held in Geneva, Switzerland, on September 3, 2014, the </w:t>
      </w:r>
      <w:r w:rsidRPr="00E65497">
        <w:rPr>
          <w:snapToGrid w:val="0"/>
        </w:rPr>
        <w:t>WG-DST</w:t>
      </w:r>
      <w:r w:rsidRPr="00E65497">
        <w:t xml:space="preserve"> recalled that the CAJ had anticipated that the first step of the WG-DST would be to review the search types currently available in the denomination search tab of the PLUTO database and to review search types in use in other situations that might provide an alternative basis for a UPOV similarity search tool</w:t>
      </w:r>
      <w:r w:rsidR="00716CCB" w:rsidRPr="00E65497">
        <w:rPr>
          <w:rFonts w:hint="eastAsia"/>
          <w:lang w:eastAsia="ja-JP"/>
        </w:rPr>
        <w:t xml:space="preserve"> (s</w:t>
      </w:r>
      <w:r w:rsidR="00716CCB" w:rsidRPr="00E65497">
        <w:rPr>
          <w:rFonts w:hint="eastAsia"/>
        </w:rPr>
        <w:t>ee document WG-DST/1/4</w:t>
      </w:r>
      <w:r w:rsidR="00716CCB" w:rsidRPr="00E65497">
        <w:rPr>
          <w:rFonts w:hint="eastAsia"/>
          <w:lang w:eastAsia="ja-JP"/>
        </w:rPr>
        <w:t xml:space="preserve"> </w:t>
      </w:r>
      <w:r w:rsidR="00716CCB" w:rsidRPr="00E65497">
        <w:rPr>
          <w:lang w:eastAsia="ja-JP"/>
        </w:rPr>
        <w:t>“</w:t>
      </w:r>
      <w:r w:rsidR="00716CCB" w:rsidRPr="00E65497">
        <w:rPr>
          <w:rFonts w:hint="eastAsia"/>
          <w:lang w:eastAsia="ja-JP"/>
        </w:rPr>
        <w:t>Report</w:t>
      </w:r>
      <w:r w:rsidR="00716CCB" w:rsidRPr="00E65497">
        <w:rPr>
          <w:lang w:eastAsia="ja-JP"/>
        </w:rPr>
        <w:t>”</w:t>
      </w:r>
      <w:r w:rsidR="00716CCB" w:rsidRPr="00E65497">
        <w:rPr>
          <w:rFonts w:hint="eastAsia"/>
        </w:rPr>
        <w:t xml:space="preserve">, paragraph </w:t>
      </w:r>
      <w:r w:rsidR="00716CCB" w:rsidRPr="00E65497">
        <w:rPr>
          <w:rFonts w:hint="eastAsia"/>
          <w:lang w:eastAsia="ja-JP"/>
        </w:rPr>
        <w:t>5)</w:t>
      </w:r>
      <w:r w:rsidRPr="00E65497">
        <w:t>.</w:t>
      </w:r>
    </w:p>
    <w:p w:rsidR="007607A8" w:rsidRPr="00E65497" w:rsidRDefault="007607A8" w:rsidP="00A93F79">
      <w:pPr>
        <w:keepNext/>
        <w:rPr>
          <w:lang w:eastAsia="ja-JP"/>
        </w:rPr>
      </w:pPr>
    </w:p>
    <w:p w:rsidR="00D654F3" w:rsidRPr="00E65497" w:rsidRDefault="00D654F3" w:rsidP="00D654F3">
      <w:pPr>
        <w:rPr>
          <w:lang w:eastAsia="ja-JP"/>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t>The WG-DST</w:t>
      </w:r>
      <w:r w:rsidRPr="00E65497">
        <w:rPr>
          <w:rFonts w:cs="Arial" w:hint="eastAsia"/>
          <w:lang w:eastAsia="ja-JP"/>
        </w:rPr>
        <w:t>, at its first meeting</w:t>
      </w:r>
      <w:r w:rsidR="000F1609" w:rsidRPr="00E65497">
        <w:rPr>
          <w:rFonts w:cs="Arial" w:hint="eastAsia"/>
          <w:lang w:eastAsia="ja-JP"/>
        </w:rPr>
        <w:t xml:space="preserve">, </w:t>
      </w:r>
      <w:r w:rsidRPr="00E65497">
        <w:t>agreed that the function of a similarity search tool should be to identify those denominations that were similar to existing denominations to the extent that they would require further, individual consideration before deciding if the denomination was (sufficiently) different from existing denominations (see Article 20(2) of the 1991 Act and Article 13(2) of the 1978 Act)</w:t>
      </w:r>
      <w:r w:rsidR="00716CCB" w:rsidRPr="00E65497">
        <w:rPr>
          <w:rFonts w:hint="eastAsia"/>
          <w:lang w:eastAsia="ja-JP"/>
        </w:rPr>
        <w:t xml:space="preserve"> (s</w:t>
      </w:r>
      <w:r w:rsidR="00716CCB" w:rsidRPr="00E65497">
        <w:rPr>
          <w:rFonts w:hint="eastAsia"/>
        </w:rPr>
        <w:t>ee document WG</w:t>
      </w:r>
      <w:r w:rsidR="00716CCB" w:rsidRPr="00E65497">
        <w:rPr>
          <w:lang w:eastAsia="ja-JP"/>
        </w:rPr>
        <w:noBreakHyphen/>
      </w:r>
      <w:r w:rsidR="00716CCB" w:rsidRPr="00E65497">
        <w:rPr>
          <w:rFonts w:hint="eastAsia"/>
        </w:rPr>
        <w:t>DST/1/4</w:t>
      </w:r>
      <w:r w:rsidR="00716CCB" w:rsidRPr="00E65497">
        <w:rPr>
          <w:rFonts w:hint="eastAsia"/>
          <w:lang w:eastAsia="ja-JP"/>
        </w:rPr>
        <w:t xml:space="preserve"> </w:t>
      </w:r>
      <w:r w:rsidR="00716CCB" w:rsidRPr="00E65497">
        <w:rPr>
          <w:lang w:eastAsia="ja-JP"/>
        </w:rPr>
        <w:t>“</w:t>
      </w:r>
      <w:r w:rsidR="00716CCB" w:rsidRPr="00E65497">
        <w:rPr>
          <w:rFonts w:hint="eastAsia"/>
          <w:lang w:eastAsia="ja-JP"/>
        </w:rPr>
        <w:t>Report</w:t>
      </w:r>
      <w:r w:rsidR="00716CCB" w:rsidRPr="00E65497">
        <w:rPr>
          <w:lang w:eastAsia="ja-JP"/>
        </w:rPr>
        <w:t>”</w:t>
      </w:r>
      <w:r w:rsidR="00716CCB" w:rsidRPr="00E65497">
        <w:rPr>
          <w:rFonts w:hint="eastAsia"/>
        </w:rPr>
        <w:t xml:space="preserve">, paragraph </w:t>
      </w:r>
      <w:r w:rsidR="00716CCB" w:rsidRPr="00E65497">
        <w:rPr>
          <w:rFonts w:hint="eastAsia"/>
          <w:lang w:eastAsia="ja-JP"/>
        </w:rPr>
        <w:t>10)</w:t>
      </w:r>
      <w:r w:rsidRPr="00E65497">
        <w:t xml:space="preserve">.  </w:t>
      </w:r>
    </w:p>
    <w:p w:rsidR="00F3015D" w:rsidRPr="00E65497" w:rsidRDefault="00F3015D" w:rsidP="007607A8">
      <w:pPr>
        <w:rPr>
          <w:rFonts w:cs="Arial"/>
        </w:rPr>
      </w:pPr>
    </w:p>
    <w:p w:rsidR="00F3015D" w:rsidRPr="00E65497" w:rsidRDefault="00F3015D" w:rsidP="00F3015D">
      <w:pPr>
        <w:rPr>
          <w:rFonts w:cs="Arial"/>
          <w:lang w:eastAsia="ja-JP"/>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rPr>
          <w:rFonts w:cs="Arial" w:hint="eastAsia"/>
          <w:lang w:eastAsia="ja-JP"/>
        </w:rPr>
        <w:t>With regard to alphabets, the WG-DST recalled that the situation in PLUTO was as follows</w:t>
      </w:r>
      <w:r w:rsidR="00744999" w:rsidRPr="00E65497">
        <w:rPr>
          <w:rFonts w:cs="Arial"/>
          <w:lang w:eastAsia="ja-JP"/>
        </w:rPr>
        <w:t xml:space="preserve"> </w:t>
      </w:r>
      <w:r w:rsidR="00744999" w:rsidRPr="00E65497">
        <w:rPr>
          <w:rFonts w:cs="Arial" w:hint="eastAsia"/>
          <w:lang w:eastAsia="ja-JP"/>
        </w:rPr>
        <w:t xml:space="preserve">(see document CAJ/69/6 Annex I, paragraph 3.1.3, the last </w:t>
      </w:r>
      <w:r w:rsidR="00744999" w:rsidRPr="00E65497">
        <w:rPr>
          <w:rFonts w:cs="Arial"/>
          <w:lang w:eastAsia="ja-JP"/>
        </w:rPr>
        <w:t>sentence</w:t>
      </w:r>
      <w:r w:rsidR="00744999" w:rsidRPr="00E65497">
        <w:rPr>
          <w:rFonts w:cs="Arial" w:hint="eastAsia"/>
          <w:lang w:eastAsia="ja-JP"/>
        </w:rPr>
        <w:t xml:space="preserve">, and  CAJ/65/13 </w:t>
      </w:r>
      <w:r w:rsidR="00744999" w:rsidRPr="00E65497">
        <w:rPr>
          <w:rFonts w:cs="Arial"/>
          <w:lang w:eastAsia="ja-JP"/>
        </w:rPr>
        <w:t>“</w:t>
      </w:r>
      <w:r w:rsidR="00744999" w:rsidRPr="00E65497">
        <w:rPr>
          <w:rFonts w:cs="Arial" w:hint="eastAsia"/>
          <w:lang w:eastAsia="ja-JP"/>
        </w:rPr>
        <w:t>Report</w:t>
      </w:r>
      <w:r w:rsidR="00744999" w:rsidRPr="00E65497">
        <w:rPr>
          <w:rFonts w:cs="Arial"/>
          <w:lang w:eastAsia="ja-JP"/>
        </w:rPr>
        <w:t>”</w:t>
      </w:r>
      <w:r w:rsidR="00744999" w:rsidRPr="00E65497">
        <w:rPr>
          <w:rFonts w:cs="Arial" w:hint="eastAsia"/>
          <w:lang w:eastAsia="ja-JP"/>
        </w:rPr>
        <w:t>, paragraph 47)</w:t>
      </w:r>
      <w:r w:rsidRPr="00E65497">
        <w:rPr>
          <w:rFonts w:cs="Arial"/>
          <w:lang w:eastAsia="ja-JP"/>
        </w:rPr>
        <w:t>;</w:t>
      </w:r>
    </w:p>
    <w:p w:rsidR="00F3015D" w:rsidRPr="00E65497" w:rsidRDefault="00F3015D" w:rsidP="00F3015D">
      <w:pPr>
        <w:rPr>
          <w:rFonts w:cs="Arial"/>
          <w:lang w:eastAsia="ja-JP"/>
        </w:rPr>
      </w:pPr>
    </w:p>
    <w:p w:rsidR="00F3015D" w:rsidRPr="00E65497" w:rsidRDefault="00F3015D" w:rsidP="00F3015D">
      <w:pPr>
        <w:ind w:left="630" w:right="549"/>
        <w:rPr>
          <w:rFonts w:cs="Arial"/>
          <w:i/>
          <w:lang w:eastAsia="ja-JP"/>
        </w:rPr>
      </w:pPr>
      <w:r w:rsidRPr="00E65497">
        <w:rPr>
          <w:rFonts w:cs="Arial"/>
          <w:i/>
          <w:lang w:eastAsia="ja-JP"/>
        </w:rPr>
        <w:t>“3.1.3</w:t>
      </w:r>
      <w:r w:rsidRPr="00E65497">
        <w:rPr>
          <w:rFonts w:cs="Arial" w:hint="eastAsia"/>
          <w:i/>
          <w:lang w:eastAsia="ja-JP"/>
        </w:rPr>
        <w:t xml:space="preserve"> (the last </w:t>
      </w:r>
      <w:r w:rsidRPr="00E65497">
        <w:rPr>
          <w:rFonts w:cs="Arial"/>
          <w:i/>
          <w:lang w:eastAsia="ja-JP"/>
        </w:rPr>
        <w:t>sentence</w:t>
      </w:r>
      <w:r w:rsidRPr="00E65497">
        <w:rPr>
          <w:rFonts w:cs="Arial" w:hint="eastAsia"/>
          <w:i/>
          <w:lang w:eastAsia="ja-JP"/>
        </w:rPr>
        <w:t xml:space="preserve">) </w:t>
      </w:r>
      <w:proofErr w:type="gramStart"/>
      <w:r w:rsidRPr="00E65497">
        <w:rPr>
          <w:rFonts w:cs="Arial"/>
          <w:i/>
          <w:lang w:eastAsia="ja-JP"/>
        </w:rPr>
        <w:t>Only</w:t>
      </w:r>
      <w:proofErr w:type="gramEnd"/>
      <w:r w:rsidRPr="00E65497">
        <w:rPr>
          <w:rFonts w:cs="Arial"/>
          <w:i/>
          <w:lang w:eastAsia="ja-JP"/>
        </w:rPr>
        <w:t xml:space="preserve"> characters of the English alphabet may be used.”</w:t>
      </w:r>
    </w:p>
    <w:p w:rsidR="00F3015D" w:rsidRPr="00E65497" w:rsidRDefault="00F3015D" w:rsidP="00F3015D">
      <w:pPr>
        <w:rPr>
          <w:rFonts w:cs="Arial"/>
          <w:lang w:eastAsia="ja-JP"/>
        </w:rPr>
      </w:pPr>
    </w:p>
    <w:p w:rsidR="00F3015D" w:rsidRPr="00E65497" w:rsidRDefault="00F3015D" w:rsidP="00F3015D">
      <w:pPr>
        <w:ind w:left="630" w:right="549"/>
        <w:rPr>
          <w:rFonts w:cs="Arial"/>
          <w:i/>
          <w:lang w:eastAsia="ja-JP"/>
        </w:rPr>
      </w:pPr>
      <w:r w:rsidRPr="00E65497">
        <w:rPr>
          <w:rFonts w:cs="Arial"/>
          <w:i/>
          <w:lang w:eastAsia="ja-JP"/>
        </w:rPr>
        <w:t>“47.</w:t>
      </w:r>
      <w:r w:rsidRPr="00E65497">
        <w:rPr>
          <w:rFonts w:cs="Arial"/>
          <w:i/>
          <w:lang w:eastAsia="ja-JP"/>
        </w:rPr>
        <w:tab/>
        <w:t>The CAJ agreed to amend the “Program for Improvements to the Plant Variety Database”, as set out in Annex II to document CAJ/65/6, with regard to Section 3.2 “Data quality and completeness” and Section 3.3 “Mandatory items”, in order to introduce the possibility for contributors to the Plant Variety Database to provide data in the original alphabet, in addition to the data being provided in Latin alphabet.  That amendment was on the basis that:</w:t>
      </w:r>
    </w:p>
    <w:p w:rsidR="00F3015D" w:rsidRPr="00E65497" w:rsidRDefault="00F3015D" w:rsidP="00F3015D">
      <w:pPr>
        <w:ind w:left="630" w:right="549"/>
        <w:rPr>
          <w:rFonts w:cs="Arial"/>
          <w:i/>
          <w:lang w:eastAsia="ja-JP"/>
        </w:rPr>
      </w:pPr>
    </w:p>
    <w:p w:rsidR="00F3015D" w:rsidRPr="00E65497" w:rsidRDefault="00F3015D" w:rsidP="00F3015D">
      <w:pPr>
        <w:ind w:left="630" w:right="549"/>
        <w:rPr>
          <w:rFonts w:cs="Arial"/>
          <w:i/>
          <w:lang w:eastAsia="ja-JP"/>
        </w:rPr>
      </w:pPr>
      <w:r w:rsidRPr="00E65497">
        <w:rPr>
          <w:rFonts w:cs="Arial"/>
          <w:i/>
          <w:lang w:eastAsia="ja-JP"/>
        </w:rPr>
        <w:t>(a)</w:t>
      </w:r>
      <w:r w:rsidRPr="00E65497">
        <w:rPr>
          <w:rFonts w:cs="Arial"/>
          <w:i/>
          <w:lang w:eastAsia="ja-JP"/>
        </w:rPr>
        <w:tab/>
      </w:r>
      <w:proofErr w:type="gramStart"/>
      <w:r w:rsidRPr="00E65497">
        <w:rPr>
          <w:rFonts w:cs="Arial"/>
          <w:i/>
          <w:lang w:eastAsia="ja-JP"/>
        </w:rPr>
        <w:t>data</w:t>
      </w:r>
      <w:proofErr w:type="gramEnd"/>
      <w:r w:rsidRPr="00E65497">
        <w:rPr>
          <w:rFonts w:cs="Arial"/>
          <w:i/>
          <w:lang w:eastAsia="ja-JP"/>
        </w:rPr>
        <w:t xml:space="preserve"> in the original alphabet could be provided for the following fields (see Section 3.2 “Data quality and completeness”, Table):</w:t>
      </w:r>
    </w:p>
    <w:p w:rsidR="00F3015D" w:rsidRPr="00E65497" w:rsidRDefault="00F3015D" w:rsidP="00F3015D">
      <w:pPr>
        <w:ind w:left="630" w:right="549"/>
        <w:rPr>
          <w:rFonts w:cs="Arial"/>
          <w:i/>
          <w:lang w:eastAsia="ja-JP"/>
        </w:rPr>
      </w:pPr>
    </w:p>
    <w:p w:rsidR="00F3015D" w:rsidRPr="00E65497" w:rsidRDefault="00F3015D" w:rsidP="00F3015D">
      <w:pPr>
        <w:ind w:left="630" w:right="549"/>
        <w:rPr>
          <w:rFonts w:cs="Arial"/>
          <w:i/>
          <w:lang w:eastAsia="ja-JP"/>
        </w:rPr>
      </w:pPr>
      <w:r w:rsidRPr="00E65497">
        <w:rPr>
          <w:rFonts w:cs="Arial"/>
          <w:i/>
          <w:lang w:eastAsia="ja-JP"/>
        </w:rPr>
        <w:tab/>
        <w:t>(</w:t>
      </w:r>
      <w:proofErr w:type="spellStart"/>
      <w:r w:rsidRPr="00E65497">
        <w:rPr>
          <w:rFonts w:cs="Arial"/>
          <w:i/>
          <w:lang w:eastAsia="ja-JP"/>
        </w:rPr>
        <w:t>i</w:t>
      </w:r>
      <w:proofErr w:type="spellEnd"/>
      <w:r w:rsidRPr="00E65497">
        <w:rPr>
          <w:rFonts w:cs="Arial"/>
          <w:i/>
          <w:lang w:eastAsia="ja-JP"/>
        </w:rPr>
        <w:t>)</w:t>
      </w:r>
      <w:r w:rsidRPr="00E65497">
        <w:rPr>
          <w:rFonts w:cs="Arial"/>
          <w:i/>
          <w:lang w:eastAsia="ja-JP"/>
        </w:rPr>
        <w:tab/>
        <w:t>Species:  common name (see new TAG &lt;520&gt;);</w:t>
      </w:r>
    </w:p>
    <w:p w:rsidR="00F3015D" w:rsidRPr="00E65497" w:rsidRDefault="00F3015D" w:rsidP="00F3015D">
      <w:pPr>
        <w:ind w:left="630" w:right="549"/>
        <w:rPr>
          <w:rFonts w:cs="Arial"/>
          <w:i/>
          <w:lang w:eastAsia="ja-JP"/>
        </w:rPr>
      </w:pPr>
      <w:r w:rsidRPr="00E65497">
        <w:rPr>
          <w:rFonts w:cs="Arial"/>
          <w:i/>
          <w:lang w:eastAsia="ja-JP"/>
        </w:rPr>
        <w:tab/>
        <w:t>(ii)</w:t>
      </w:r>
      <w:r w:rsidRPr="00E65497">
        <w:rPr>
          <w:rFonts w:cs="Arial"/>
          <w:i/>
          <w:lang w:eastAsia="ja-JP"/>
        </w:rPr>
        <w:tab/>
        <w:t>Denomination (see &lt;550&gt;, &lt;551&gt;, &lt;552&gt;, &lt;553&gt;);</w:t>
      </w:r>
    </w:p>
    <w:p w:rsidR="00F3015D" w:rsidRPr="00E65497" w:rsidRDefault="00F3015D" w:rsidP="00F3015D">
      <w:pPr>
        <w:ind w:left="630" w:right="549"/>
        <w:rPr>
          <w:rFonts w:cs="Arial"/>
          <w:i/>
          <w:lang w:eastAsia="ja-JP"/>
        </w:rPr>
      </w:pPr>
      <w:r w:rsidRPr="00E65497">
        <w:rPr>
          <w:rFonts w:cs="Arial"/>
          <w:i/>
          <w:lang w:eastAsia="ja-JP"/>
        </w:rPr>
        <w:tab/>
        <w:t>(iii)</w:t>
      </w:r>
      <w:r w:rsidRPr="00E65497">
        <w:rPr>
          <w:rFonts w:cs="Arial"/>
          <w:i/>
          <w:lang w:eastAsia="ja-JP"/>
        </w:rPr>
        <w:tab/>
        <w:t>Breeder’s reference (see &lt;650&gt;);</w:t>
      </w:r>
    </w:p>
    <w:p w:rsidR="00F3015D" w:rsidRPr="00E65497" w:rsidRDefault="00F3015D" w:rsidP="00F3015D">
      <w:pPr>
        <w:ind w:left="630" w:right="549"/>
        <w:rPr>
          <w:rFonts w:cs="Arial"/>
          <w:i/>
          <w:lang w:eastAsia="ja-JP"/>
        </w:rPr>
      </w:pPr>
      <w:r w:rsidRPr="00E65497">
        <w:rPr>
          <w:rFonts w:cs="Arial"/>
          <w:i/>
          <w:lang w:eastAsia="ja-JP"/>
        </w:rPr>
        <w:tab/>
      </w:r>
      <w:proofErr w:type="gramStart"/>
      <w:r w:rsidRPr="00E65497">
        <w:rPr>
          <w:rFonts w:cs="Arial"/>
          <w:i/>
          <w:lang w:eastAsia="ja-JP"/>
        </w:rPr>
        <w:t>(iv)</w:t>
      </w:r>
      <w:r w:rsidRPr="00E65497">
        <w:rPr>
          <w:rFonts w:cs="Arial"/>
          <w:i/>
          <w:lang w:eastAsia="ja-JP"/>
        </w:rPr>
        <w:tab/>
        <w:t>Synonym</w:t>
      </w:r>
      <w:proofErr w:type="gramEnd"/>
      <w:r w:rsidRPr="00E65497">
        <w:rPr>
          <w:rFonts w:cs="Arial"/>
          <w:i/>
          <w:lang w:eastAsia="ja-JP"/>
        </w:rPr>
        <w:t xml:space="preserve"> of variety denomination (see &lt;651&gt;);</w:t>
      </w:r>
    </w:p>
    <w:p w:rsidR="00F3015D" w:rsidRPr="00E65497" w:rsidRDefault="00F3015D" w:rsidP="00F3015D">
      <w:pPr>
        <w:ind w:left="630" w:right="549"/>
        <w:rPr>
          <w:rFonts w:cs="Arial"/>
          <w:i/>
          <w:lang w:eastAsia="ja-JP"/>
        </w:rPr>
      </w:pPr>
      <w:r w:rsidRPr="00E65497">
        <w:rPr>
          <w:rFonts w:cs="Arial"/>
          <w:i/>
          <w:lang w:eastAsia="ja-JP"/>
        </w:rPr>
        <w:tab/>
        <w:t>(v)</w:t>
      </w:r>
      <w:r w:rsidRPr="00E65497">
        <w:rPr>
          <w:rFonts w:cs="Arial"/>
          <w:i/>
          <w:lang w:eastAsia="ja-JP"/>
        </w:rPr>
        <w:tab/>
        <w:t>Trade name (see &lt;652&gt;);</w:t>
      </w:r>
    </w:p>
    <w:p w:rsidR="00F3015D" w:rsidRPr="00E65497" w:rsidRDefault="00F3015D" w:rsidP="00F3015D">
      <w:pPr>
        <w:ind w:left="630" w:right="549"/>
        <w:rPr>
          <w:rFonts w:cs="Arial"/>
          <w:i/>
          <w:lang w:eastAsia="ja-JP"/>
        </w:rPr>
      </w:pPr>
      <w:r w:rsidRPr="00E65497">
        <w:rPr>
          <w:rFonts w:cs="Arial"/>
          <w:i/>
          <w:lang w:eastAsia="ja-JP"/>
        </w:rPr>
        <w:tab/>
      </w:r>
      <w:proofErr w:type="gramStart"/>
      <w:r w:rsidRPr="00E65497">
        <w:rPr>
          <w:rFonts w:cs="Arial"/>
          <w:i/>
          <w:lang w:eastAsia="ja-JP"/>
        </w:rPr>
        <w:t>(vi)</w:t>
      </w:r>
      <w:r w:rsidRPr="00E65497">
        <w:rPr>
          <w:rFonts w:cs="Arial"/>
          <w:i/>
          <w:lang w:eastAsia="ja-JP"/>
        </w:rPr>
        <w:tab/>
        <w:t>Applicant</w:t>
      </w:r>
      <w:proofErr w:type="gramEnd"/>
      <w:r w:rsidRPr="00E65497">
        <w:rPr>
          <w:rFonts w:cs="Arial"/>
          <w:i/>
          <w:lang w:eastAsia="ja-JP"/>
        </w:rPr>
        <w:t>’s name (see &lt;750&gt;);</w:t>
      </w:r>
    </w:p>
    <w:p w:rsidR="00F3015D" w:rsidRPr="00E65497" w:rsidRDefault="00F3015D" w:rsidP="00F3015D">
      <w:pPr>
        <w:ind w:left="630" w:right="549"/>
        <w:rPr>
          <w:rFonts w:cs="Arial"/>
          <w:i/>
          <w:lang w:eastAsia="ja-JP"/>
        </w:rPr>
      </w:pPr>
      <w:r w:rsidRPr="00E65497">
        <w:rPr>
          <w:rFonts w:cs="Arial"/>
          <w:i/>
          <w:lang w:eastAsia="ja-JP"/>
        </w:rPr>
        <w:tab/>
        <w:t>(vii)</w:t>
      </w:r>
      <w:r w:rsidRPr="00E65497">
        <w:rPr>
          <w:rFonts w:cs="Arial"/>
          <w:i/>
          <w:lang w:eastAsia="ja-JP"/>
        </w:rPr>
        <w:tab/>
        <w:t>Breeder’s name (see &lt;751&gt;);</w:t>
      </w:r>
    </w:p>
    <w:p w:rsidR="00F3015D" w:rsidRPr="00E65497" w:rsidRDefault="00F3015D" w:rsidP="00F3015D">
      <w:pPr>
        <w:ind w:left="630" w:right="549"/>
        <w:rPr>
          <w:rFonts w:cs="Arial"/>
          <w:i/>
          <w:lang w:eastAsia="ja-JP"/>
        </w:rPr>
      </w:pPr>
      <w:r w:rsidRPr="00E65497">
        <w:rPr>
          <w:rFonts w:cs="Arial"/>
          <w:i/>
          <w:lang w:eastAsia="ja-JP"/>
        </w:rPr>
        <w:tab/>
        <w:t>(viii)</w:t>
      </w:r>
      <w:r w:rsidRPr="00E65497">
        <w:rPr>
          <w:rFonts w:cs="Arial"/>
          <w:i/>
          <w:lang w:eastAsia="ja-JP"/>
        </w:rPr>
        <w:tab/>
        <w:t>Maintainer’s name (see &lt;752&gt;);</w:t>
      </w:r>
    </w:p>
    <w:p w:rsidR="00F3015D" w:rsidRPr="00E65497" w:rsidRDefault="00F3015D" w:rsidP="00F3015D">
      <w:pPr>
        <w:ind w:left="630" w:right="549"/>
        <w:rPr>
          <w:rFonts w:cs="Arial"/>
          <w:i/>
          <w:lang w:eastAsia="ja-JP"/>
        </w:rPr>
      </w:pPr>
      <w:r w:rsidRPr="00E65497">
        <w:rPr>
          <w:rFonts w:cs="Arial"/>
          <w:i/>
          <w:lang w:eastAsia="ja-JP"/>
        </w:rPr>
        <w:tab/>
        <w:t>(ix)</w:t>
      </w:r>
      <w:r w:rsidRPr="00E65497">
        <w:rPr>
          <w:rFonts w:cs="Arial"/>
          <w:i/>
          <w:lang w:eastAsia="ja-JP"/>
        </w:rPr>
        <w:tab/>
        <w:t>Title holder’s name (see &lt;753&gt;);</w:t>
      </w:r>
    </w:p>
    <w:p w:rsidR="00F3015D" w:rsidRPr="00E65497" w:rsidRDefault="00F3015D" w:rsidP="00F3015D">
      <w:pPr>
        <w:ind w:left="630" w:right="549"/>
        <w:rPr>
          <w:rFonts w:cs="Arial"/>
          <w:i/>
          <w:lang w:eastAsia="ja-JP"/>
        </w:rPr>
      </w:pPr>
      <w:r w:rsidRPr="00E65497">
        <w:rPr>
          <w:rFonts w:cs="Arial"/>
          <w:i/>
          <w:lang w:eastAsia="ja-JP"/>
        </w:rPr>
        <w:tab/>
        <w:t>(x)</w:t>
      </w:r>
      <w:r w:rsidRPr="00E65497">
        <w:rPr>
          <w:rFonts w:cs="Arial"/>
          <w:i/>
          <w:lang w:eastAsia="ja-JP"/>
        </w:rPr>
        <w:tab/>
        <w:t>Type of other party (see &lt;760&gt;);</w:t>
      </w:r>
    </w:p>
    <w:p w:rsidR="00F3015D" w:rsidRPr="00E65497" w:rsidRDefault="00F3015D" w:rsidP="00F3015D">
      <w:pPr>
        <w:ind w:left="630" w:right="549"/>
        <w:rPr>
          <w:rFonts w:cs="Arial"/>
          <w:i/>
          <w:lang w:eastAsia="ja-JP"/>
        </w:rPr>
      </w:pPr>
      <w:r w:rsidRPr="00E65497">
        <w:rPr>
          <w:rFonts w:cs="Arial"/>
          <w:i/>
          <w:lang w:eastAsia="ja-JP"/>
        </w:rPr>
        <w:tab/>
        <w:t>(xi)</w:t>
      </w:r>
      <w:r w:rsidRPr="00E65497">
        <w:rPr>
          <w:rFonts w:cs="Arial"/>
          <w:i/>
          <w:lang w:eastAsia="ja-JP"/>
        </w:rPr>
        <w:tab/>
        <w:t>Other relevant information (see &lt;950&gt;)</w:t>
      </w:r>
      <w:proofErr w:type="gramStart"/>
      <w:r w:rsidRPr="00E65497">
        <w:rPr>
          <w:rFonts w:cs="Arial"/>
          <w:i/>
          <w:lang w:eastAsia="ja-JP"/>
        </w:rPr>
        <w:t>;  and</w:t>
      </w:r>
      <w:proofErr w:type="gramEnd"/>
    </w:p>
    <w:p w:rsidR="00F3015D" w:rsidRPr="00E65497" w:rsidRDefault="00F3015D" w:rsidP="00F3015D">
      <w:pPr>
        <w:ind w:left="630" w:right="549"/>
        <w:rPr>
          <w:rFonts w:cs="Arial"/>
          <w:i/>
          <w:lang w:eastAsia="ja-JP"/>
        </w:rPr>
      </w:pPr>
      <w:r w:rsidRPr="00E65497">
        <w:rPr>
          <w:rFonts w:cs="Arial"/>
          <w:i/>
          <w:lang w:eastAsia="ja-JP"/>
        </w:rPr>
        <w:tab/>
        <w:t>(xii)</w:t>
      </w:r>
      <w:r w:rsidRPr="00E65497">
        <w:rPr>
          <w:rFonts w:cs="Arial"/>
          <w:i/>
          <w:lang w:eastAsia="ja-JP"/>
        </w:rPr>
        <w:tab/>
        <w:t>Remarks (see &lt;960&gt;)</w:t>
      </w:r>
      <w:proofErr w:type="gramStart"/>
      <w:r w:rsidRPr="00E65497">
        <w:rPr>
          <w:rFonts w:cs="Arial"/>
          <w:i/>
          <w:lang w:eastAsia="ja-JP"/>
        </w:rPr>
        <w:t>;  and</w:t>
      </w:r>
      <w:proofErr w:type="gramEnd"/>
    </w:p>
    <w:p w:rsidR="00F3015D" w:rsidRPr="00E65497" w:rsidRDefault="00F3015D" w:rsidP="00F3015D">
      <w:pPr>
        <w:ind w:left="630" w:right="549"/>
        <w:rPr>
          <w:rFonts w:cs="Arial"/>
          <w:i/>
          <w:lang w:eastAsia="ja-JP"/>
        </w:rPr>
      </w:pPr>
    </w:p>
    <w:p w:rsidR="007F0433" w:rsidRPr="00E65497" w:rsidRDefault="00F3015D" w:rsidP="00E65497">
      <w:pPr>
        <w:ind w:left="630" w:right="549"/>
        <w:rPr>
          <w:rFonts w:cs="Arial"/>
        </w:rPr>
      </w:pPr>
      <w:r w:rsidRPr="00E65497">
        <w:rPr>
          <w:rFonts w:cs="Arial"/>
          <w:i/>
          <w:lang w:eastAsia="ja-JP"/>
        </w:rPr>
        <w:t>(b)</w:t>
      </w:r>
      <w:r w:rsidRPr="00E65497">
        <w:rPr>
          <w:rFonts w:cs="Arial"/>
          <w:i/>
          <w:lang w:eastAsia="ja-JP"/>
        </w:rPr>
        <w:tab/>
      </w:r>
      <w:proofErr w:type="gramStart"/>
      <w:r w:rsidRPr="00E65497">
        <w:rPr>
          <w:rFonts w:cs="Arial"/>
          <w:i/>
          <w:lang w:eastAsia="ja-JP"/>
        </w:rPr>
        <w:t>data</w:t>
      </w:r>
      <w:proofErr w:type="gramEnd"/>
      <w:r w:rsidRPr="00E65497">
        <w:rPr>
          <w:rFonts w:cs="Arial"/>
          <w:i/>
          <w:lang w:eastAsia="ja-JP"/>
        </w:rPr>
        <w:t xml:space="preserve"> would not be included in the Plant Variety Database unless all data provided in the original alphabet was also provided in Latin alphabet (see Sections 3.2 and 3.3 “Required data”).”</w:t>
      </w:r>
    </w:p>
    <w:p w:rsidR="00F3015D" w:rsidRPr="00E65497" w:rsidRDefault="00F3015D" w:rsidP="007607A8">
      <w:pPr>
        <w:rPr>
          <w:rFonts w:cs="Arial"/>
        </w:rPr>
      </w:pPr>
    </w:p>
    <w:p w:rsidR="007607A8" w:rsidRPr="00E65497" w:rsidRDefault="007607A8" w:rsidP="007607A8">
      <w:pPr>
        <w:rPr>
          <w:rFonts w:cs="Arial"/>
          <w:lang w:eastAsia="ja-JP"/>
        </w:rPr>
      </w:pPr>
      <w:r w:rsidRPr="00E65497">
        <w:rPr>
          <w:rFonts w:cs="Arial"/>
        </w:rPr>
        <w:fldChar w:fldCharType="begin"/>
      </w:r>
      <w:r w:rsidRPr="00E65497">
        <w:rPr>
          <w:rFonts w:cs="Arial"/>
        </w:rPr>
        <w:instrText xml:space="preserve"> AUTONUM  </w:instrText>
      </w:r>
      <w:r w:rsidRPr="00E65497">
        <w:rPr>
          <w:rFonts w:cs="Arial"/>
        </w:rPr>
        <w:fldChar w:fldCharType="end"/>
      </w:r>
      <w:r w:rsidRPr="00E65497">
        <w:rPr>
          <w:rFonts w:cs="Arial"/>
        </w:rPr>
        <w:tab/>
      </w:r>
      <w:r w:rsidRPr="00E65497">
        <w:rPr>
          <w:rFonts w:cs="Arial" w:hint="eastAsia"/>
          <w:lang w:eastAsia="ja-JP"/>
        </w:rPr>
        <w:t xml:space="preserve">In relation to </w:t>
      </w:r>
      <w:r w:rsidRPr="00E65497">
        <w:rPr>
          <w:rFonts w:cs="Arial"/>
          <w:lang w:eastAsia="ja-JP"/>
        </w:rPr>
        <w:t>linguistic matters</w:t>
      </w:r>
      <w:r w:rsidRPr="00E65497">
        <w:rPr>
          <w:rFonts w:cs="Arial" w:hint="eastAsia"/>
          <w:lang w:eastAsia="ja-JP"/>
        </w:rPr>
        <w:t xml:space="preserve">, </w:t>
      </w:r>
      <w:r w:rsidRPr="00E65497">
        <w:rPr>
          <w:rFonts w:cs="Arial"/>
          <w:lang w:eastAsia="ja-JP"/>
        </w:rPr>
        <w:t xml:space="preserve">the WG-DST recalled the situation on </w:t>
      </w:r>
      <w:proofErr w:type="gramStart"/>
      <w:r w:rsidRPr="00E65497">
        <w:rPr>
          <w:rFonts w:cs="Arial"/>
          <w:lang w:eastAsia="ja-JP"/>
        </w:rPr>
        <w:t>transcription,</w:t>
      </w:r>
      <w:proofErr w:type="gramEnd"/>
      <w:r w:rsidRPr="00E65497">
        <w:rPr>
          <w:rFonts w:cs="Arial"/>
          <w:lang w:eastAsia="ja-JP"/>
        </w:rPr>
        <w:t xml:space="preserve"> transliteration and translation as set out in document UPOV/</w:t>
      </w:r>
      <w:r w:rsidRPr="00E65497">
        <w:rPr>
          <w:rFonts w:cs="Arial" w:hint="eastAsia"/>
          <w:lang w:eastAsia="ja-JP"/>
        </w:rPr>
        <w:t>INF/12/4, paragraph 5.</w:t>
      </w:r>
      <w:r w:rsidRPr="00E65497">
        <w:rPr>
          <w:rFonts w:cs="Arial"/>
          <w:lang w:eastAsia="ja-JP"/>
        </w:rPr>
        <w:t>2</w:t>
      </w:r>
      <w:r w:rsidRPr="00E65497">
        <w:rPr>
          <w:rFonts w:cs="Arial" w:hint="eastAsia"/>
          <w:lang w:eastAsia="ja-JP"/>
        </w:rPr>
        <w:t>(c)</w:t>
      </w:r>
      <w:r w:rsidRPr="00E65497">
        <w:rPr>
          <w:rFonts w:cs="Arial"/>
          <w:lang w:eastAsia="ja-JP"/>
        </w:rPr>
        <w:t>, as follows:</w:t>
      </w:r>
    </w:p>
    <w:p w:rsidR="007607A8" w:rsidRPr="00E65497" w:rsidRDefault="007607A8" w:rsidP="007607A8">
      <w:pPr>
        <w:ind w:firstLine="567"/>
        <w:rPr>
          <w:rFonts w:cs="Arial"/>
          <w:lang w:eastAsia="ja-JP"/>
        </w:rPr>
      </w:pPr>
    </w:p>
    <w:p w:rsidR="007607A8" w:rsidRPr="00E65497" w:rsidRDefault="007607A8" w:rsidP="007607A8">
      <w:pPr>
        <w:autoSpaceDE w:val="0"/>
        <w:autoSpaceDN w:val="0"/>
        <w:adjustRightInd w:val="0"/>
        <w:ind w:left="630" w:right="549" w:hanging="90"/>
        <w:rPr>
          <w:rFonts w:cs="Arial"/>
          <w:i/>
          <w:lang w:eastAsia="ja-JP"/>
        </w:rPr>
      </w:pPr>
      <w:r w:rsidRPr="00E65497">
        <w:rPr>
          <w:rFonts w:cs="Arial"/>
          <w:i/>
          <w:lang w:eastAsia="ja-JP"/>
        </w:rPr>
        <w:t>“</w:t>
      </w:r>
      <w:r w:rsidRPr="00E65497">
        <w:rPr>
          <w:rFonts w:cs="Arial"/>
          <w:i/>
        </w:rPr>
        <w:t>(c) Due to different alphabetic scripts or systems of writing, it may be necessary to transliterate or</w:t>
      </w:r>
      <w:r w:rsidRPr="00E65497">
        <w:rPr>
          <w:rFonts w:cs="Arial" w:hint="eastAsia"/>
          <w:i/>
          <w:lang w:eastAsia="ja-JP"/>
        </w:rPr>
        <w:t xml:space="preserve"> </w:t>
      </w:r>
      <w:r w:rsidRPr="00E65497">
        <w:rPr>
          <w:rFonts w:cs="Arial"/>
          <w:i/>
        </w:rPr>
        <w:t>transcribe the submitted denomination to enable its registration in another territory. In such cases, both the</w:t>
      </w:r>
      <w:r w:rsidRPr="00E65497">
        <w:rPr>
          <w:rFonts w:cs="Arial" w:hint="eastAsia"/>
          <w:i/>
          <w:lang w:eastAsia="ja-JP"/>
        </w:rPr>
        <w:t xml:space="preserve"> </w:t>
      </w:r>
      <w:r w:rsidRPr="00E65497">
        <w:rPr>
          <w:rFonts w:cs="Arial"/>
          <w:i/>
        </w:rPr>
        <w:t xml:space="preserve">variety denomination submitted in the application and its transliteration or </w:t>
      </w:r>
      <w:proofErr w:type="gramStart"/>
      <w:r w:rsidRPr="00E65497">
        <w:rPr>
          <w:rFonts w:cs="Arial"/>
          <w:i/>
        </w:rPr>
        <w:t>transcription are</w:t>
      </w:r>
      <w:proofErr w:type="gramEnd"/>
      <w:r w:rsidRPr="00E65497">
        <w:rPr>
          <w:rFonts w:cs="Arial"/>
          <w:i/>
        </w:rPr>
        <w:t xml:space="preserve"> regarded as the</w:t>
      </w:r>
      <w:r w:rsidRPr="00E65497">
        <w:rPr>
          <w:rFonts w:cs="Arial" w:hint="eastAsia"/>
          <w:i/>
          <w:lang w:eastAsia="ja-JP"/>
        </w:rPr>
        <w:t xml:space="preserve"> </w:t>
      </w:r>
      <w:r w:rsidRPr="00E65497">
        <w:rPr>
          <w:rFonts w:cs="Arial"/>
          <w:i/>
        </w:rPr>
        <w:t>same denomination. However, a translation would not be considered as the same denomination.</w:t>
      </w:r>
      <w:r w:rsidRPr="00E65497">
        <w:rPr>
          <w:rFonts w:cs="Arial"/>
          <w:i/>
          <w:lang w:eastAsia="ja-JP"/>
        </w:rPr>
        <w:t>”</w:t>
      </w:r>
    </w:p>
    <w:p w:rsidR="007607A8" w:rsidRPr="00E65497" w:rsidRDefault="007607A8" w:rsidP="007607A8">
      <w:pPr>
        <w:ind w:firstLine="567"/>
        <w:rPr>
          <w:rFonts w:cs="Arial"/>
          <w:lang w:eastAsia="ja-JP"/>
        </w:rPr>
      </w:pPr>
    </w:p>
    <w:p w:rsidR="00E65497" w:rsidRPr="00E65497" w:rsidRDefault="00E65497" w:rsidP="007607A8">
      <w:pPr>
        <w:ind w:firstLine="567"/>
        <w:rPr>
          <w:rFonts w:cs="Arial"/>
          <w:lang w:eastAsia="ja-JP"/>
        </w:rPr>
      </w:pPr>
    </w:p>
    <w:p w:rsidR="00E65497" w:rsidRPr="00E65497" w:rsidRDefault="00E65497" w:rsidP="007607A8">
      <w:pPr>
        <w:ind w:firstLine="567"/>
        <w:rPr>
          <w:rFonts w:cs="Arial"/>
          <w:lang w:eastAsia="ja-JP"/>
        </w:rPr>
      </w:pPr>
    </w:p>
    <w:p w:rsidR="00716CCB" w:rsidRPr="00E65497" w:rsidRDefault="00716CCB" w:rsidP="00716CCB">
      <w:pPr>
        <w:rPr>
          <w:rFonts w:cs="Arial"/>
          <w:lang w:eastAsia="ja-JP"/>
        </w:rPr>
      </w:pPr>
      <w:r w:rsidRPr="00E65497">
        <w:rPr>
          <w:rFonts w:cs="Arial"/>
        </w:rPr>
        <w:lastRenderedPageBreak/>
        <w:fldChar w:fldCharType="begin"/>
      </w:r>
      <w:r w:rsidRPr="00E65497">
        <w:rPr>
          <w:rFonts w:cs="Arial"/>
        </w:rPr>
        <w:instrText xml:space="preserve"> AUTONUM  </w:instrText>
      </w:r>
      <w:r w:rsidRPr="00E65497">
        <w:rPr>
          <w:rFonts w:cs="Arial"/>
        </w:rPr>
        <w:fldChar w:fldCharType="end"/>
      </w:r>
      <w:r w:rsidRPr="00E65497">
        <w:rPr>
          <w:rFonts w:cs="Arial"/>
        </w:rPr>
        <w:tab/>
        <w:t xml:space="preserve">The WG-DST recalled that the situation with regard to </w:t>
      </w:r>
      <w:r w:rsidRPr="00E65497">
        <w:rPr>
          <w:rFonts w:cs="Arial"/>
          <w:lang w:eastAsia="ja-JP"/>
        </w:rPr>
        <w:t>accents and characters was as follows (see document CAJ/69/6</w:t>
      </w:r>
      <w:r w:rsidR="00744999" w:rsidRPr="00E65497">
        <w:rPr>
          <w:rFonts w:cs="Arial"/>
          <w:lang w:eastAsia="ja-JP"/>
        </w:rPr>
        <w:t xml:space="preserve"> “UPOV information databases”</w:t>
      </w:r>
      <w:r w:rsidRPr="00E65497">
        <w:rPr>
          <w:rFonts w:cs="Arial"/>
          <w:lang w:eastAsia="ja-JP"/>
        </w:rPr>
        <w:t xml:space="preserve"> Annex I, paragraph 3.1.3):</w:t>
      </w:r>
    </w:p>
    <w:p w:rsidR="00716CCB" w:rsidRPr="00E65497" w:rsidRDefault="00716CCB" w:rsidP="00716CCB">
      <w:pPr>
        <w:rPr>
          <w:rFonts w:cs="Arial"/>
          <w:lang w:eastAsia="ja-JP"/>
        </w:rPr>
      </w:pPr>
    </w:p>
    <w:p w:rsidR="00716CCB" w:rsidRPr="00E65497" w:rsidRDefault="00716CCB" w:rsidP="00716CCB">
      <w:pPr>
        <w:ind w:left="630" w:right="549"/>
        <w:rPr>
          <w:rFonts w:cs="Arial"/>
          <w:i/>
          <w:lang w:eastAsia="ja-JP"/>
        </w:rPr>
      </w:pPr>
      <w:r w:rsidRPr="00E65497">
        <w:rPr>
          <w:rFonts w:cs="Arial"/>
          <w:i/>
          <w:lang w:eastAsia="ja-JP"/>
        </w:rPr>
        <w:t>“3.1.3</w:t>
      </w:r>
      <w:r w:rsidRPr="00E65497">
        <w:rPr>
          <w:rFonts w:cs="Arial" w:hint="eastAsia"/>
          <w:i/>
          <w:lang w:eastAsia="ja-JP"/>
        </w:rPr>
        <w:t xml:space="preserve"> </w:t>
      </w:r>
      <w:r w:rsidRPr="00E65497">
        <w:rPr>
          <w:rFonts w:cs="Arial"/>
          <w:i/>
          <w:lang w:eastAsia="ja-JP"/>
        </w:rPr>
        <w:t>Subject to Section 3.1.4, the character set for data shall be the ASCII [American Standard Code for Information Interchange] representation, as defined in ISO [International Standards Organization] Standard 646.  Special characters, symbols or accents (˜, ˆ, ¨, º, etc.) are not accepted. Only characters of the English alphabet may be used.”</w:t>
      </w:r>
    </w:p>
    <w:p w:rsidR="00716CCB" w:rsidRPr="00E65497" w:rsidRDefault="00716CCB" w:rsidP="00716CCB">
      <w:pPr>
        <w:rPr>
          <w:rFonts w:cs="Arial"/>
          <w:lang w:eastAsia="ja-JP"/>
        </w:rPr>
      </w:pPr>
    </w:p>
    <w:p w:rsidR="00C536A1" w:rsidRPr="00E65497" w:rsidRDefault="00C536A1" w:rsidP="00C536A1">
      <w:pPr>
        <w:rPr>
          <w:lang w:eastAsia="ja-JP"/>
        </w:rPr>
      </w:pPr>
      <w:r w:rsidRPr="00E65497">
        <w:fldChar w:fldCharType="begin"/>
      </w:r>
      <w:r w:rsidRPr="00E65497">
        <w:instrText xml:space="preserve"> AUTONUM  </w:instrText>
      </w:r>
      <w:r w:rsidRPr="00E65497">
        <w:fldChar w:fldCharType="end"/>
      </w:r>
      <w:r w:rsidRPr="00E65497">
        <w:tab/>
      </w:r>
      <w:r w:rsidR="00862D5F" w:rsidRPr="00E65497">
        <w:t>T</w:t>
      </w:r>
      <w:r w:rsidRPr="00E65497">
        <w:rPr>
          <w:rFonts w:hint="eastAsia"/>
        </w:rPr>
        <w:t xml:space="preserve">he </w:t>
      </w:r>
      <w:r w:rsidRPr="00E65497">
        <w:t>WG-DST</w:t>
      </w:r>
      <w:r w:rsidR="00862D5F" w:rsidRPr="00E65497">
        <w:rPr>
          <w:rFonts w:hint="eastAsia"/>
          <w:lang w:eastAsia="ja-JP"/>
        </w:rPr>
        <w:t>,</w:t>
      </w:r>
      <w:r w:rsidR="00862D5F" w:rsidRPr="00E65497">
        <w:rPr>
          <w:rFonts w:cs="Arial" w:hint="eastAsia"/>
          <w:lang w:eastAsia="ja-JP"/>
        </w:rPr>
        <w:t xml:space="preserve"> at its first meeting,</w:t>
      </w:r>
      <w:r w:rsidRPr="00E65497">
        <w:t xml:space="preserve"> agreed that linguistic issues should be considered further at the next</w:t>
      </w:r>
      <w:r w:rsidRPr="00E65497">
        <w:rPr>
          <w:rFonts w:hint="eastAsia"/>
        </w:rPr>
        <w:t xml:space="preserve"> </w:t>
      </w:r>
      <w:r w:rsidRPr="00E65497">
        <w:t>meeting</w:t>
      </w:r>
      <w:r w:rsidR="007607A8" w:rsidRPr="00E65497">
        <w:rPr>
          <w:rFonts w:hint="eastAsia"/>
          <w:lang w:eastAsia="ja-JP"/>
        </w:rPr>
        <w:t xml:space="preserve"> (s</w:t>
      </w:r>
      <w:r w:rsidR="007607A8" w:rsidRPr="00E65497">
        <w:rPr>
          <w:rFonts w:hint="eastAsia"/>
        </w:rPr>
        <w:t>ee document WG-DST/1/4</w:t>
      </w:r>
      <w:r w:rsidR="00716CCB" w:rsidRPr="00E65497">
        <w:rPr>
          <w:rFonts w:hint="eastAsia"/>
          <w:lang w:eastAsia="ja-JP"/>
        </w:rPr>
        <w:t xml:space="preserve"> </w:t>
      </w:r>
      <w:r w:rsidR="00716CCB" w:rsidRPr="00E65497">
        <w:rPr>
          <w:lang w:eastAsia="ja-JP"/>
        </w:rPr>
        <w:t>“</w:t>
      </w:r>
      <w:r w:rsidR="00716CCB" w:rsidRPr="00E65497">
        <w:rPr>
          <w:rFonts w:hint="eastAsia"/>
          <w:lang w:eastAsia="ja-JP"/>
        </w:rPr>
        <w:t>Report</w:t>
      </w:r>
      <w:r w:rsidR="00716CCB" w:rsidRPr="00E65497">
        <w:rPr>
          <w:lang w:eastAsia="ja-JP"/>
        </w:rPr>
        <w:t>”</w:t>
      </w:r>
      <w:r w:rsidR="007607A8" w:rsidRPr="00E65497">
        <w:rPr>
          <w:rFonts w:hint="eastAsia"/>
        </w:rPr>
        <w:t xml:space="preserve">, paragraph </w:t>
      </w:r>
      <w:r w:rsidR="00716CCB" w:rsidRPr="00E65497">
        <w:rPr>
          <w:rFonts w:hint="eastAsia"/>
          <w:lang w:eastAsia="ja-JP"/>
        </w:rPr>
        <w:t xml:space="preserve">15 to </w:t>
      </w:r>
      <w:r w:rsidR="007607A8" w:rsidRPr="00E65497">
        <w:rPr>
          <w:rFonts w:hint="eastAsia"/>
        </w:rPr>
        <w:t>18</w:t>
      </w:r>
      <w:r w:rsidR="007607A8" w:rsidRPr="00E65497">
        <w:rPr>
          <w:rFonts w:hint="eastAsia"/>
          <w:lang w:eastAsia="ja-JP"/>
        </w:rPr>
        <w:t>)</w:t>
      </w:r>
      <w:r w:rsidRPr="00E65497">
        <w:rPr>
          <w:rFonts w:hint="eastAsia"/>
        </w:rPr>
        <w:t>.</w:t>
      </w:r>
    </w:p>
    <w:p w:rsidR="00E747E8" w:rsidRPr="00E65497" w:rsidRDefault="00E747E8" w:rsidP="00C536A1">
      <w:pPr>
        <w:rPr>
          <w:lang w:eastAsia="ja-JP"/>
        </w:rPr>
      </w:pPr>
    </w:p>
    <w:p w:rsidR="00755CEB" w:rsidRPr="00E65497" w:rsidRDefault="00755CEB" w:rsidP="00C536A1">
      <w:pPr>
        <w:rPr>
          <w:lang w:eastAsia="ja-JP"/>
        </w:rPr>
      </w:pPr>
    </w:p>
    <w:p w:rsidR="005A5BF3" w:rsidRPr="00E65497" w:rsidRDefault="005A5BF3" w:rsidP="0079474F">
      <w:pPr>
        <w:pStyle w:val="Heading1"/>
        <w:rPr>
          <w:lang w:eastAsia="ja-JP"/>
        </w:rPr>
      </w:pPr>
      <w:bookmarkStart w:id="16" w:name="_Toc420075309"/>
      <w:r w:rsidRPr="00E65497">
        <w:rPr>
          <w:lang w:eastAsia="ja-JP"/>
        </w:rPr>
        <w:t>LINGUISTIC MATTERS</w:t>
      </w:r>
      <w:r w:rsidR="00755CEB" w:rsidRPr="00E65497">
        <w:rPr>
          <w:lang w:eastAsia="ja-JP"/>
        </w:rPr>
        <w:t xml:space="preserve"> </w:t>
      </w:r>
      <w:r w:rsidR="0079474F" w:rsidRPr="00E65497">
        <w:rPr>
          <w:lang w:eastAsia="ja-JP"/>
        </w:rPr>
        <w:t>to consider</w:t>
      </w:r>
      <w:bookmarkEnd w:id="16"/>
    </w:p>
    <w:p w:rsidR="005A5BF3" w:rsidRPr="00E65497" w:rsidRDefault="005A5BF3" w:rsidP="00C536A1">
      <w:pPr>
        <w:rPr>
          <w:lang w:eastAsia="ja-JP"/>
        </w:rPr>
      </w:pPr>
    </w:p>
    <w:p w:rsidR="00E65497" w:rsidRPr="00E65497" w:rsidRDefault="0063456F" w:rsidP="0063456F">
      <w:pPr>
        <w:rPr>
          <w:lang w:eastAsia="ja-JP"/>
        </w:rPr>
      </w:pPr>
      <w:r w:rsidRPr="00E65497">
        <w:fldChar w:fldCharType="begin"/>
      </w:r>
      <w:r w:rsidRPr="00E65497">
        <w:instrText xml:space="preserve"> AUTONUM  </w:instrText>
      </w:r>
      <w:r w:rsidRPr="00E65497">
        <w:fldChar w:fldCharType="end"/>
      </w:r>
      <w:r w:rsidRPr="00E65497">
        <w:tab/>
      </w:r>
      <w:r w:rsidR="00E65497" w:rsidRPr="00E65497">
        <w:rPr>
          <w:rFonts w:hint="eastAsia"/>
          <w:lang w:eastAsia="ja-JP"/>
        </w:rPr>
        <w:t>T</w:t>
      </w:r>
      <w:r w:rsidRPr="00E65497">
        <w:t xml:space="preserve">he WG-DST may wish to </w:t>
      </w:r>
      <w:r w:rsidRPr="00E65497">
        <w:rPr>
          <w:lang w:eastAsia="ja-JP"/>
        </w:rPr>
        <w:t>consider</w:t>
      </w:r>
      <w:r w:rsidRPr="00E65497">
        <w:rPr>
          <w:rFonts w:hint="eastAsia"/>
          <w:lang w:eastAsia="ja-JP"/>
        </w:rPr>
        <w:t xml:space="preserve"> whether </w:t>
      </w:r>
      <w:r w:rsidR="00E40F21">
        <w:rPr>
          <w:rFonts w:hint="eastAsia"/>
          <w:lang w:eastAsia="ja-JP"/>
        </w:rPr>
        <w:t>linguistic issues beyond tho</w:t>
      </w:r>
      <w:r w:rsidR="00E65497" w:rsidRPr="00E65497">
        <w:rPr>
          <w:rFonts w:hint="eastAsia"/>
          <w:lang w:eastAsia="ja-JP"/>
        </w:rPr>
        <w:t>se addressed in the PLUTO database should be considered in relation to the development of a UPOV denomination similarity search tool.</w:t>
      </w:r>
    </w:p>
    <w:p w:rsidR="006671B1" w:rsidRPr="00E65497" w:rsidRDefault="006671B1" w:rsidP="007607A8">
      <w:pPr>
        <w:rPr>
          <w:lang w:eastAsia="ja-JP"/>
        </w:rPr>
      </w:pPr>
    </w:p>
    <w:p w:rsidR="00E65497" w:rsidRPr="00E65497" w:rsidRDefault="00E65497" w:rsidP="007607A8">
      <w:pPr>
        <w:rPr>
          <w:lang w:eastAsia="ja-JP"/>
        </w:rPr>
      </w:pPr>
    </w:p>
    <w:p w:rsidR="00D53E74" w:rsidRPr="00E65497" w:rsidRDefault="008874D6" w:rsidP="008874D6">
      <w:pPr>
        <w:pStyle w:val="dec"/>
        <w:tabs>
          <w:tab w:val="left" w:pos="5387"/>
          <w:tab w:val="left" w:pos="5954"/>
        </w:tabs>
        <w:ind w:left="4820"/>
        <w:rPr>
          <w:rFonts w:cs="Arial"/>
          <w:lang w:eastAsia="ja-JP"/>
        </w:rPr>
      </w:pPr>
      <w:r w:rsidRPr="00E65497">
        <w:fldChar w:fldCharType="begin"/>
      </w:r>
      <w:r w:rsidRPr="00E65497">
        <w:instrText xml:space="preserve"> AUTONUM  </w:instrText>
      </w:r>
      <w:r w:rsidRPr="00E65497">
        <w:fldChar w:fldCharType="end"/>
      </w:r>
      <w:r w:rsidRPr="00E65497">
        <w:tab/>
      </w:r>
      <w:r w:rsidRPr="00E65497">
        <w:rPr>
          <w:color w:val="000000" w:themeColor="text1"/>
          <w:spacing w:val="0"/>
        </w:rPr>
        <w:t xml:space="preserve">The </w:t>
      </w:r>
      <w:r w:rsidRPr="00E65497">
        <w:rPr>
          <w:rFonts w:hint="eastAsia"/>
          <w:color w:val="000000" w:themeColor="text1"/>
          <w:spacing w:val="0"/>
          <w:lang w:eastAsia="ja-JP"/>
        </w:rPr>
        <w:t>WG-DST</w:t>
      </w:r>
      <w:r w:rsidRPr="00E65497">
        <w:rPr>
          <w:color w:val="000000" w:themeColor="text1"/>
          <w:spacing w:val="0"/>
        </w:rPr>
        <w:t xml:space="preserve"> is invited to</w:t>
      </w:r>
      <w:r w:rsidR="0063456F" w:rsidRPr="00E65497">
        <w:rPr>
          <w:color w:val="000000" w:themeColor="text1"/>
          <w:spacing w:val="0"/>
        </w:rPr>
        <w:t xml:space="preserve"> consider </w:t>
      </w:r>
      <w:r w:rsidR="00E65497" w:rsidRPr="00E65497">
        <w:rPr>
          <w:color w:val="000000" w:themeColor="text1"/>
          <w:spacing w:val="0"/>
        </w:rPr>
        <w:t>whet</w:t>
      </w:r>
      <w:r w:rsidR="00E40F21">
        <w:rPr>
          <w:color w:val="000000" w:themeColor="text1"/>
          <w:spacing w:val="0"/>
        </w:rPr>
        <w:t>her linguistic issues beyond th</w:t>
      </w:r>
      <w:r w:rsidR="00E40F21">
        <w:rPr>
          <w:rFonts w:hint="eastAsia"/>
          <w:color w:val="000000" w:themeColor="text1"/>
          <w:spacing w:val="0"/>
          <w:lang w:eastAsia="ja-JP"/>
        </w:rPr>
        <w:t>o</w:t>
      </w:r>
      <w:r w:rsidR="00E65497" w:rsidRPr="00E65497">
        <w:rPr>
          <w:color w:val="000000" w:themeColor="text1"/>
          <w:spacing w:val="0"/>
        </w:rPr>
        <w:t>se addressed in the PLUTO database should be considered in relation to the development of a UPOV denomination similarity search tool.</w:t>
      </w:r>
    </w:p>
    <w:p w:rsidR="00D53E74" w:rsidRPr="00E65497" w:rsidRDefault="00D53E74" w:rsidP="008874D6">
      <w:pPr>
        <w:pStyle w:val="dec"/>
        <w:tabs>
          <w:tab w:val="left" w:pos="5387"/>
          <w:tab w:val="left" w:pos="5954"/>
        </w:tabs>
        <w:ind w:left="4820"/>
        <w:rPr>
          <w:rFonts w:cs="Arial"/>
          <w:lang w:eastAsia="ja-JP"/>
        </w:rPr>
      </w:pPr>
    </w:p>
    <w:p w:rsidR="006671B1" w:rsidRPr="00E65497" w:rsidRDefault="006671B1" w:rsidP="008874D6">
      <w:pPr>
        <w:pStyle w:val="dec"/>
        <w:tabs>
          <w:tab w:val="left" w:pos="5387"/>
          <w:tab w:val="left" w:pos="5954"/>
        </w:tabs>
        <w:ind w:left="4820"/>
        <w:rPr>
          <w:rFonts w:cs="Arial"/>
          <w:lang w:eastAsia="ja-JP"/>
        </w:rPr>
      </w:pPr>
    </w:p>
    <w:p w:rsidR="008874D6" w:rsidRPr="00E65497" w:rsidRDefault="008874D6" w:rsidP="00DD28A3">
      <w:pPr>
        <w:keepNext/>
        <w:rPr>
          <w:lang w:eastAsia="ja-JP"/>
        </w:rPr>
      </w:pPr>
    </w:p>
    <w:p w:rsidR="008874D6" w:rsidRPr="008874D6" w:rsidRDefault="008874D6" w:rsidP="008874D6">
      <w:pPr>
        <w:keepNext/>
        <w:jc w:val="right"/>
        <w:rPr>
          <w:lang w:eastAsia="ja-JP"/>
        </w:rPr>
      </w:pPr>
      <w:r w:rsidRPr="00E65497">
        <w:rPr>
          <w:rFonts w:hint="eastAsia"/>
          <w:lang w:eastAsia="ja-JP"/>
        </w:rPr>
        <w:t>[End of document]</w:t>
      </w:r>
    </w:p>
    <w:sectPr w:rsidR="008874D6" w:rsidRPr="008874D6" w:rsidSect="008874D6">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96" w:rsidRDefault="00726996" w:rsidP="006655D3">
      <w:r>
        <w:separator/>
      </w:r>
    </w:p>
    <w:p w:rsidR="00726996" w:rsidRDefault="00726996" w:rsidP="006655D3"/>
    <w:p w:rsidR="00726996" w:rsidRDefault="00726996" w:rsidP="006655D3"/>
  </w:endnote>
  <w:endnote w:type="continuationSeparator" w:id="0">
    <w:p w:rsidR="00726996" w:rsidRDefault="00726996" w:rsidP="006655D3">
      <w:r>
        <w:separator/>
      </w:r>
    </w:p>
    <w:p w:rsidR="00726996" w:rsidRPr="00267D09" w:rsidRDefault="00726996">
      <w:pPr>
        <w:pStyle w:val="Footer"/>
        <w:spacing w:after="60"/>
        <w:rPr>
          <w:sz w:val="18"/>
          <w:lang w:val="fr-FR"/>
        </w:rPr>
      </w:pPr>
      <w:r w:rsidRPr="00267D09">
        <w:rPr>
          <w:sz w:val="18"/>
          <w:lang w:val="fr-FR"/>
        </w:rPr>
        <w:t>[Suite de la note de la page précédente]</w:t>
      </w:r>
    </w:p>
    <w:p w:rsidR="00726996" w:rsidRPr="00267D09" w:rsidRDefault="00726996" w:rsidP="006655D3">
      <w:pPr>
        <w:rPr>
          <w:lang w:val="fr-FR"/>
        </w:rPr>
      </w:pPr>
    </w:p>
    <w:p w:rsidR="00726996" w:rsidRPr="00267D09" w:rsidRDefault="00726996" w:rsidP="006655D3">
      <w:pPr>
        <w:rPr>
          <w:lang w:val="fr-FR"/>
        </w:rPr>
      </w:pPr>
    </w:p>
  </w:endnote>
  <w:endnote w:type="continuationNotice" w:id="1">
    <w:p w:rsidR="00726996" w:rsidRPr="00267D09" w:rsidRDefault="00726996" w:rsidP="006655D3">
      <w:pPr>
        <w:rPr>
          <w:lang w:val="fr-FR"/>
        </w:rPr>
      </w:pPr>
      <w:r w:rsidRPr="00267D09">
        <w:rPr>
          <w:lang w:val="fr-FR"/>
        </w:rPr>
        <w:t>[Suite de la note page suivante]</w:t>
      </w:r>
    </w:p>
    <w:p w:rsidR="00726996" w:rsidRPr="00267D09" w:rsidRDefault="00726996" w:rsidP="006655D3">
      <w:pPr>
        <w:rPr>
          <w:lang w:val="fr-FR"/>
        </w:rPr>
      </w:pPr>
    </w:p>
    <w:p w:rsidR="00726996" w:rsidRPr="00267D09" w:rsidRDefault="007269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96" w:rsidRDefault="00726996" w:rsidP="006655D3">
      <w:r>
        <w:separator/>
      </w:r>
    </w:p>
  </w:footnote>
  <w:footnote w:type="continuationSeparator" w:id="0">
    <w:p w:rsidR="00726996" w:rsidRDefault="00726996" w:rsidP="006655D3">
      <w:r>
        <w:separator/>
      </w:r>
    </w:p>
  </w:footnote>
  <w:footnote w:type="continuationNotice" w:id="1">
    <w:p w:rsidR="00726996" w:rsidRPr="00AB530F" w:rsidRDefault="0072699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8B" w:rsidRDefault="008545E1" w:rsidP="00BB268B">
    <w:pPr>
      <w:pStyle w:val="Header"/>
    </w:pPr>
    <w:r>
      <w:t>UPOV/WG-DST/</w:t>
    </w:r>
    <w:r>
      <w:rPr>
        <w:rFonts w:hint="eastAsia"/>
        <w:lang w:eastAsia="ja-JP"/>
      </w:rPr>
      <w:t>2</w:t>
    </w:r>
    <w:r w:rsidR="00A12D96">
      <w:t>/5</w:t>
    </w:r>
  </w:p>
  <w:p w:rsidR="00BB268B" w:rsidRPr="00C5280D" w:rsidRDefault="00BB268B" w:rsidP="000035A9">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B6825">
      <w:rPr>
        <w:rStyle w:val="PageNumber"/>
        <w:noProof/>
      </w:rPr>
      <w:t>3</w:t>
    </w:r>
    <w:r w:rsidRPr="00C5280D">
      <w:rPr>
        <w:rStyle w:val="PageNumber"/>
      </w:rPr>
      <w:fldChar w:fldCharType="end"/>
    </w:r>
  </w:p>
  <w:p w:rsidR="00BB268B" w:rsidRDefault="00BB2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CA" w:rsidRDefault="00500FCA" w:rsidP="008545E1">
    <w:pPr>
      <w:pStyle w:val="Header"/>
      <w:jc w:val="both"/>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A3544E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2">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3">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6">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8">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9">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16"/>
  </w:num>
  <w:num w:numId="14">
    <w:abstractNumId w:val="24"/>
  </w:num>
  <w:num w:numId="15">
    <w:abstractNumId w:val="29"/>
  </w:num>
  <w:num w:numId="16">
    <w:abstractNumId w:val="21"/>
  </w:num>
  <w:num w:numId="17">
    <w:abstractNumId w:val="22"/>
  </w:num>
  <w:num w:numId="18">
    <w:abstractNumId w:val="25"/>
  </w:num>
  <w:num w:numId="19">
    <w:abstractNumId w:val="27"/>
  </w:num>
  <w:num w:numId="20">
    <w:abstractNumId w:val="11"/>
  </w:num>
  <w:num w:numId="21">
    <w:abstractNumId w:val="15"/>
  </w:num>
  <w:num w:numId="22">
    <w:abstractNumId w:val="28"/>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35A9"/>
    <w:rsid w:val="000051E3"/>
    <w:rsid w:val="00010CF3"/>
    <w:rsid w:val="00011E27"/>
    <w:rsid w:val="000148BC"/>
    <w:rsid w:val="0001597B"/>
    <w:rsid w:val="00017252"/>
    <w:rsid w:val="00024AB8"/>
    <w:rsid w:val="000265E0"/>
    <w:rsid w:val="00030854"/>
    <w:rsid w:val="00031949"/>
    <w:rsid w:val="00036028"/>
    <w:rsid w:val="00044642"/>
    <w:rsid w:val="000446B9"/>
    <w:rsid w:val="00047E21"/>
    <w:rsid w:val="00051EB1"/>
    <w:rsid w:val="00055A01"/>
    <w:rsid w:val="00060D8F"/>
    <w:rsid w:val="0006349A"/>
    <w:rsid w:val="00064630"/>
    <w:rsid w:val="00066D05"/>
    <w:rsid w:val="000726A5"/>
    <w:rsid w:val="00076239"/>
    <w:rsid w:val="00083495"/>
    <w:rsid w:val="00083D93"/>
    <w:rsid w:val="00085505"/>
    <w:rsid w:val="00091AF9"/>
    <w:rsid w:val="000A6B01"/>
    <w:rsid w:val="000A7A59"/>
    <w:rsid w:val="000B1E5B"/>
    <w:rsid w:val="000C165D"/>
    <w:rsid w:val="000C1E1C"/>
    <w:rsid w:val="000C7021"/>
    <w:rsid w:val="000D29F9"/>
    <w:rsid w:val="000D42F1"/>
    <w:rsid w:val="000D6BBC"/>
    <w:rsid w:val="000D7780"/>
    <w:rsid w:val="000E6D75"/>
    <w:rsid w:val="000E71FF"/>
    <w:rsid w:val="000E7C67"/>
    <w:rsid w:val="000F1609"/>
    <w:rsid w:val="000F3FE4"/>
    <w:rsid w:val="000F627B"/>
    <w:rsid w:val="00105929"/>
    <w:rsid w:val="00112B8B"/>
    <w:rsid w:val="001131D5"/>
    <w:rsid w:val="00123D10"/>
    <w:rsid w:val="00130117"/>
    <w:rsid w:val="001322D2"/>
    <w:rsid w:val="00141DB8"/>
    <w:rsid w:val="00144381"/>
    <w:rsid w:val="0015640D"/>
    <w:rsid w:val="00157504"/>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6799"/>
    <w:rsid w:val="001968C0"/>
    <w:rsid w:val="001A3003"/>
    <w:rsid w:val="001A4884"/>
    <w:rsid w:val="001A7E49"/>
    <w:rsid w:val="001B1472"/>
    <w:rsid w:val="001B5AC3"/>
    <w:rsid w:val="001C1591"/>
    <w:rsid w:val="001C18AB"/>
    <w:rsid w:val="001C1F2E"/>
    <w:rsid w:val="001C2ED7"/>
    <w:rsid w:val="001C694F"/>
    <w:rsid w:val="001D1EFB"/>
    <w:rsid w:val="001D2858"/>
    <w:rsid w:val="001D3B20"/>
    <w:rsid w:val="001D4B40"/>
    <w:rsid w:val="001D5B33"/>
    <w:rsid w:val="001D6E30"/>
    <w:rsid w:val="001E1A4C"/>
    <w:rsid w:val="001F0FE8"/>
    <w:rsid w:val="001F14CA"/>
    <w:rsid w:val="001F45A7"/>
    <w:rsid w:val="00212710"/>
    <w:rsid w:val="0021332C"/>
    <w:rsid w:val="00213982"/>
    <w:rsid w:val="00215C5B"/>
    <w:rsid w:val="002160E3"/>
    <w:rsid w:val="00225CEB"/>
    <w:rsid w:val="0024416D"/>
    <w:rsid w:val="00244A71"/>
    <w:rsid w:val="00245474"/>
    <w:rsid w:val="002509BE"/>
    <w:rsid w:val="00255944"/>
    <w:rsid w:val="0026126C"/>
    <w:rsid w:val="00261442"/>
    <w:rsid w:val="002676D9"/>
    <w:rsid w:val="00267D09"/>
    <w:rsid w:val="00267EB7"/>
    <w:rsid w:val="00272B54"/>
    <w:rsid w:val="00273AC0"/>
    <w:rsid w:val="002751CA"/>
    <w:rsid w:val="002800A0"/>
    <w:rsid w:val="002801B3"/>
    <w:rsid w:val="00281060"/>
    <w:rsid w:val="00283EDD"/>
    <w:rsid w:val="002906CF"/>
    <w:rsid w:val="002926D2"/>
    <w:rsid w:val="002940E8"/>
    <w:rsid w:val="0029534B"/>
    <w:rsid w:val="00296927"/>
    <w:rsid w:val="002A14CD"/>
    <w:rsid w:val="002A2EED"/>
    <w:rsid w:val="002A42E8"/>
    <w:rsid w:val="002A6E50"/>
    <w:rsid w:val="002B1E80"/>
    <w:rsid w:val="002B2118"/>
    <w:rsid w:val="002B5E70"/>
    <w:rsid w:val="002C1606"/>
    <w:rsid w:val="002C2194"/>
    <w:rsid w:val="002C256A"/>
    <w:rsid w:val="002D030C"/>
    <w:rsid w:val="002D05BB"/>
    <w:rsid w:val="002D327A"/>
    <w:rsid w:val="002E0DE8"/>
    <w:rsid w:val="002E1DA0"/>
    <w:rsid w:val="002F002D"/>
    <w:rsid w:val="002F1A47"/>
    <w:rsid w:val="002F2662"/>
    <w:rsid w:val="002F52AF"/>
    <w:rsid w:val="00305A7F"/>
    <w:rsid w:val="003140D5"/>
    <w:rsid w:val="003152FE"/>
    <w:rsid w:val="003219BF"/>
    <w:rsid w:val="00322CD1"/>
    <w:rsid w:val="003241EA"/>
    <w:rsid w:val="00327436"/>
    <w:rsid w:val="00332636"/>
    <w:rsid w:val="003337F5"/>
    <w:rsid w:val="00335D5F"/>
    <w:rsid w:val="0033754D"/>
    <w:rsid w:val="00342D59"/>
    <w:rsid w:val="00344BD6"/>
    <w:rsid w:val="00347C96"/>
    <w:rsid w:val="0035528D"/>
    <w:rsid w:val="00355C4B"/>
    <w:rsid w:val="00356C3A"/>
    <w:rsid w:val="00361821"/>
    <w:rsid w:val="00361E93"/>
    <w:rsid w:val="0036441F"/>
    <w:rsid w:val="0036564F"/>
    <w:rsid w:val="0038013D"/>
    <w:rsid w:val="003817AF"/>
    <w:rsid w:val="0038345A"/>
    <w:rsid w:val="003859FF"/>
    <w:rsid w:val="00396DD8"/>
    <w:rsid w:val="003A44D6"/>
    <w:rsid w:val="003A509D"/>
    <w:rsid w:val="003A6051"/>
    <w:rsid w:val="003A7932"/>
    <w:rsid w:val="003B3383"/>
    <w:rsid w:val="003B3894"/>
    <w:rsid w:val="003B4FB7"/>
    <w:rsid w:val="003B6447"/>
    <w:rsid w:val="003C35BE"/>
    <w:rsid w:val="003D1991"/>
    <w:rsid w:val="003D227C"/>
    <w:rsid w:val="003D2B4D"/>
    <w:rsid w:val="003E5BBF"/>
    <w:rsid w:val="003F27F2"/>
    <w:rsid w:val="003F3796"/>
    <w:rsid w:val="003F4467"/>
    <w:rsid w:val="00400350"/>
    <w:rsid w:val="00412025"/>
    <w:rsid w:val="004166BE"/>
    <w:rsid w:val="00430865"/>
    <w:rsid w:val="0043575C"/>
    <w:rsid w:val="004377CF"/>
    <w:rsid w:val="00440D76"/>
    <w:rsid w:val="00443858"/>
    <w:rsid w:val="00444A88"/>
    <w:rsid w:val="004474DA"/>
    <w:rsid w:val="00454F1C"/>
    <w:rsid w:val="00456987"/>
    <w:rsid w:val="004645EC"/>
    <w:rsid w:val="00474DA4"/>
    <w:rsid w:val="00476B4D"/>
    <w:rsid w:val="004805FA"/>
    <w:rsid w:val="00481660"/>
    <w:rsid w:val="004865B7"/>
    <w:rsid w:val="00491ABD"/>
    <w:rsid w:val="0049483F"/>
    <w:rsid w:val="004A0466"/>
    <w:rsid w:val="004A0894"/>
    <w:rsid w:val="004A1DE7"/>
    <w:rsid w:val="004B44E8"/>
    <w:rsid w:val="004B5AD0"/>
    <w:rsid w:val="004B6363"/>
    <w:rsid w:val="004B6825"/>
    <w:rsid w:val="004D047D"/>
    <w:rsid w:val="004D1EE0"/>
    <w:rsid w:val="004D3775"/>
    <w:rsid w:val="004E1D28"/>
    <w:rsid w:val="004F1633"/>
    <w:rsid w:val="004F305A"/>
    <w:rsid w:val="004F52E5"/>
    <w:rsid w:val="004F6C95"/>
    <w:rsid w:val="005004E2"/>
    <w:rsid w:val="00500FCA"/>
    <w:rsid w:val="00501ADC"/>
    <w:rsid w:val="00510E72"/>
    <w:rsid w:val="00512164"/>
    <w:rsid w:val="00520297"/>
    <w:rsid w:val="00522BEA"/>
    <w:rsid w:val="00523D8E"/>
    <w:rsid w:val="00526312"/>
    <w:rsid w:val="005338F9"/>
    <w:rsid w:val="00541ACE"/>
    <w:rsid w:val="0054212D"/>
    <w:rsid w:val="00542620"/>
    <w:rsid w:val="0054281C"/>
    <w:rsid w:val="005434CB"/>
    <w:rsid w:val="00551F97"/>
    <w:rsid w:val="0055268D"/>
    <w:rsid w:val="005547CC"/>
    <w:rsid w:val="00556A5E"/>
    <w:rsid w:val="00561330"/>
    <w:rsid w:val="00567DC1"/>
    <w:rsid w:val="00576BE4"/>
    <w:rsid w:val="0057736E"/>
    <w:rsid w:val="0058091A"/>
    <w:rsid w:val="00586E99"/>
    <w:rsid w:val="005944A2"/>
    <w:rsid w:val="00596086"/>
    <w:rsid w:val="005965F8"/>
    <w:rsid w:val="005A2C35"/>
    <w:rsid w:val="005A345A"/>
    <w:rsid w:val="005A400A"/>
    <w:rsid w:val="005A42B4"/>
    <w:rsid w:val="005A5BF3"/>
    <w:rsid w:val="005B1034"/>
    <w:rsid w:val="005B340D"/>
    <w:rsid w:val="005B5452"/>
    <w:rsid w:val="005B5512"/>
    <w:rsid w:val="005B7AC0"/>
    <w:rsid w:val="005C48ED"/>
    <w:rsid w:val="005E4528"/>
    <w:rsid w:val="005F3436"/>
    <w:rsid w:val="005F5422"/>
    <w:rsid w:val="005F6C9A"/>
    <w:rsid w:val="005F7E99"/>
    <w:rsid w:val="00606FFA"/>
    <w:rsid w:val="0060716B"/>
    <w:rsid w:val="00612379"/>
    <w:rsid w:val="006134C5"/>
    <w:rsid w:val="0061555F"/>
    <w:rsid w:val="00623169"/>
    <w:rsid w:val="00625C35"/>
    <w:rsid w:val="00631FA8"/>
    <w:rsid w:val="00632B12"/>
    <w:rsid w:val="0063456F"/>
    <w:rsid w:val="006369DC"/>
    <w:rsid w:val="00637869"/>
    <w:rsid w:val="00641200"/>
    <w:rsid w:val="00641384"/>
    <w:rsid w:val="00641EA9"/>
    <w:rsid w:val="00643605"/>
    <w:rsid w:val="00645FB5"/>
    <w:rsid w:val="00645FE8"/>
    <w:rsid w:val="00657E5E"/>
    <w:rsid w:val="006655D3"/>
    <w:rsid w:val="006671B1"/>
    <w:rsid w:val="00667404"/>
    <w:rsid w:val="00667EE8"/>
    <w:rsid w:val="00671961"/>
    <w:rsid w:val="00677A74"/>
    <w:rsid w:val="00680FDD"/>
    <w:rsid w:val="0068146B"/>
    <w:rsid w:val="00684EA9"/>
    <w:rsid w:val="00685222"/>
    <w:rsid w:val="00686486"/>
    <w:rsid w:val="00687EB4"/>
    <w:rsid w:val="006947AD"/>
    <w:rsid w:val="00696D91"/>
    <w:rsid w:val="006A000A"/>
    <w:rsid w:val="006A262E"/>
    <w:rsid w:val="006A55AF"/>
    <w:rsid w:val="006A5CBC"/>
    <w:rsid w:val="006A7B8B"/>
    <w:rsid w:val="006B17D2"/>
    <w:rsid w:val="006B3AE8"/>
    <w:rsid w:val="006B580C"/>
    <w:rsid w:val="006B770A"/>
    <w:rsid w:val="006B7755"/>
    <w:rsid w:val="006C224E"/>
    <w:rsid w:val="006D0412"/>
    <w:rsid w:val="006D53B7"/>
    <w:rsid w:val="006D780A"/>
    <w:rsid w:val="006E1436"/>
    <w:rsid w:val="006E33C4"/>
    <w:rsid w:val="006F0505"/>
    <w:rsid w:val="006F619A"/>
    <w:rsid w:val="00706B33"/>
    <w:rsid w:val="00712392"/>
    <w:rsid w:val="00715DA8"/>
    <w:rsid w:val="00716CCB"/>
    <w:rsid w:val="00726996"/>
    <w:rsid w:val="00732DEC"/>
    <w:rsid w:val="007347A5"/>
    <w:rsid w:val="00735BD5"/>
    <w:rsid w:val="00743532"/>
    <w:rsid w:val="00743932"/>
    <w:rsid w:val="00744999"/>
    <w:rsid w:val="00747526"/>
    <w:rsid w:val="007556DC"/>
    <w:rsid w:val="007556F6"/>
    <w:rsid w:val="00755CEB"/>
    <w:rsid w:val="00755D96"/>
    <w:rsid w:val="00755E82"/>
    <w:rsid w:val="007607A8"/>
    <w:rsid w:val="00760EEF"/>
    <w:rsid w:val="00761B45"/>
    <w:rsid w:val="0076216A"/>
    <w:rsid w:val="00762FF3"/>
    <w:rsid w:val="00765F2D"/>
    <w:rsid w:val="00770A8D"/>
    <w:rsid w:val="00771714"/>
    <w:rsid w:val="00771C61"/>
    <w:rsid w:val="00773DD5"/>
    <w:rsid w:val="00777920"/>
    <w:rsid w:val="00777EE5"/>
    <w:rsid w:val="00782D4F"/>
    <w:rsid w:val="00783213"/>
    <w:rsid w:val="00783A95"/>
    <w:rsid w:val="00784836"/>
    <w:rsid w:val="007852BC"/>
    <w:rsid w:val="00786FA6"/>
    <w:rsid w:val="0079023E"/>
    <w:rsid w:val="00790EC4"/>
    <w:rsid w:val="00790EF2"/>
    <w:rsid w:val="00792DA0"/>
    <w:rsid w:val="0079474F"/>
    <w:rsid w:val="0079629C"/>
    <w:rsid w:val="00796EC7"/>
    <w:rsid w:val="007A0424"/>
    <w:rsid w:val="007A2854"/>
    <w:rsid w:val="007A5C6A"/>
    <w:rsid w:val="007A693C"/>
    <w:rsid w:val="007A7AD4"/>
    <w:rsid w:val="007B5B40"/>
    <w:rsid w:val="007C3DD3"/>
    <w:rsid w:val="007D0792"/>
    <w:rsid w:val="007D0B9D"/>
    <w:rsid w:val="007D19B0"/>
    <w:rsid w:val="007D4908"/>
    <w:rsid w:val="007F0433"/>
    <w:rsid w:val="007F0F0E"/>
    <w:rsid w:val="007F435C"/>
    <w:rsid w:val="007F498F"/>
    <w:rsid w:val="008004F0"/>
    <w:rsid w:val="008037E3"/>
    <w:rsid w:val="0080628E"/>
    <w:rsid w:val="0080679D"/>
    <w:rsid w:val="008108B0"/>
    <w:rsid w:val="00811B20"/>
    <w:rsid w:val="0081581E"/>
    <w:rsid w:val="008200AC"/>
    <w:rsid w:val="00820A7B"/>
    <w:rsid w:val="0082296E"/>
    <w:rsid w:val="008232BD"/>
    <w:rsid w:val="00824099"/>
    <w:rsid w:val="00826E8F"/>
    <w:rsid w:val="00827731"/>
    <w:rsid w:val="00832298"/>
    <w:rsid w:val="008436F7"/>
    <w:rsid w:val="00843F90"/>
    <w:rsid w:val="008545E1"/>
    <w:rsid w:val="00855131"/>
    <w:rsid w:val="00861E68"/>
    <w:rsid w:val="00862231"/>
    <w:rsid w:val="00862D5F"/>
    <w:rsid w:val="00867AC1"/>
    <w:rsid w:val="0087077A"/>
    <w:rsid w:val="00875BCF"/>
    <w:rsid w:val="00876C58"/>
    <w:rsid w:val="00880C9A"/>
    <w:rsid w:val="00880E62"/>
    <w:rsid w:val="008818DE"/>
    <w:rsid w:val="00882DFB"/>
    <w:rsid w:val="00883FDB"/>
    <w:rsid w:val="0088558C"/>
    <w:rsid w:val="008874D6"/>
    <w:rsid w:val="00896855"/>
    <w:rsid w:val="008A14F1"/>
    <w:rsid w:val="008A1D0C"/>
    <w:rsid w:val="008A1E0C"/>
    <w:rsid w:val="008A5AA9"/>
    <w:rsid w:val="008A5FBC"/>
    <w:rsid w:val="008A6FDC"/>
    <w:rsid w:val="008A743F"/>
    <w:rsid w:val="008C0970"/>
    <w:rsid w:val="008D2CF7"/>
    <w:rsid w:val="008D375D"/>
    <w:rsid w:val="008D66DF"/>
    <w:rsid w:val="008E2290"/>
    <w:rsid w:val="008E2BF9"/>
    <w:rsid w:val="008F3487"/>
    <w:rsid w:val="008F67BA"/>
    <w:rsid w:val="008F6BA0"/>
    <w:rsid w:val="00900C26"/>
    <w:rsid w:val="0090197F"/>
    <w:rsid w:val="00903656"/>
    <w:rsid w:val="00906DDC"/>
    <w:rsid w:val="00911CBB"/>
    <w:rsid w:val="0091238A"/>
    <w:rsid w:val="00917C3E"/>
    <w:rsid w:val="00924565"/>
    <w:rsid w:val="00934E09"/>
    <w:rsid w:val="0093601F"/>
    <w:rsid w:val="009360C0"/>
    <w:rsid w:val="00936253"/>
    <w:rsid w:val="00941271"/>
    <w:rsid w:val="0094373B"/>
    <w:rsid w:val="00950827"/>
    <w:rsid w:val="00952DD4"/>
    <w:rsid w:val="00953FA6"/>
    <w:rsid w:val="00961AFF"/>
    <w:rsid w:val="00966A08"/>
    <w:rsid w:val="00970FED"/>
    <w:rsid w:val="00973F8C"/>
    <w:rsid w:val="00976FB0"/>
    <w:rsid w:val="0098618C"/>
    <w:rsid w:val="00997029"/>
    <w:rsid w:val="009A250E"/>
    <w:rsid w:val="009A307E"/>
    <w:rsid w:val="009A55A4"/>
    <w:rsid w:val="009B231B"/>
    <w:rsid w:val="009B2395"/>
    <w:rsid w:val="009B70AB"/>
    <w:rsid w:val="009C1C18"/>
    <w:rsid w:val="009C33B7"/>
    <w:rsid w:val="009C499F"/>
    <w:rsid w:val="009C63E3"/>
    <w:rsid w:val="009D690D"/>
    <w:rsid w:val="009E4FEF"/>
    <w:rsid w:val="009E65B6"/>
    <w:rsid w:val="009E6CE3"/>
    <w:rsid w:val="009F0BD9"/>
    <w:rsid w:val="00A04520"/>
    <w:rsid w:val="00A07901"/>
    <w:rsid w:val="00A1061F"/>
    <w:rsid w:val="00A12CA3"/>
    <w:rsid w:val="00A12D96"/>
    <w:rsid w:val="00A13503"/>
    <w:rsid w:val="00A17211"/>
    <w:rsid w:val="00A24A1B"/>
    <w:rsid w:val="00A24C10"/>
    <w:rsid w:val="00A2513A"/>
    <w:rsid w:val="00A30116"/>
    <w:rsid w:val="00A339DC"/>
    <w:rsid w:val="00A42AC3"/>
    <w:rsid w:val="00A430CF"/>
    <w:rsid w:val="00A47859"/>
    <w:rsid w:val="00A54309"/>
    <w:rsid w:val="00A57C8D"/>
    <w:rsid w:val="00A61311"/>
    <w:rsid w:val="00A619F7"/>
    <w:rsid w:val="00A6488A"/>
    <w:rsid w:val="00A65FD9"/>
    <w:rsid w:val="00A66154"/>
    <w:rsid w:val="00A81A8D"/>
    <w:rsid w:val="00A846A5"/>
    <w:rsid w:val="00A85853"/>
    <w:rsid w:val="00A86265"/>
    <w:rsid w:val="00A920A6"/>
    <w:rsid w:val="00A93BFF"/>
    <w:rsid w:val="00A93F79"/>
    <w:rsid w:val="00A957A1"/>
    <w:rsid w:val="00A95AAC"/>
    <w:rsid w:val="00AA4B6D"/>
    <w:rsid w:val="00AA76A4"/>
    <w:rsid w:val="00AB0FAB"/>
    <w:rsid w:val="00AB2B93"/>
    <w:rsid w:val="00AB530F"/>
    <w:rsid w:val="00AB6124"/>
    <w:rsid w:val="00AB7E5B"/>
    <w:rsid w:val="00AC77C4"/>
    <w:rsid w:val="00AE0EF1"/>
    <w:rsid w:val="00AE2937"/>
    <w:rsid w:val="00AE66C7"/>
    <w:rsid w:val="00AE67B1"/>
    <w:rsid w:val="00AE74CC"/>
    <w:rsid w:val="00AF387E"/>
    <w:rsid w:val="00AF5D1C"/>
    <w:rsid w:val="00AF787F"/>
    <w:rsid w:val="00B07301"/>
    <w:rsid w:val="00B11393"/>
    <w:rsid w:val="00B1141C"/>
    <w:rsid w:val="00B1176F"/>
    <w:rsid w:val="00B1647D"/>
    <w:rsid w:val="00B20858"/>
    <w:rsid w:val="00B20CCD"/>
    <w:rsid w:val="00B224DE"/>
    <w:rsid w:val="00B26B52"/>
    <w:rsid w:val="00B30A5A"/>
    <w:rsid w:val="00B4236A"/>
    <w:rsid w:val="00B46575"/>
    <w:rsid w:val="00B46B8E"/>
    <w:rsid w:val="00B61DEC"/>
    <w:rsid w:val="00B71144"/>
    <w:rsid w:val="00B722FC"/>
    <w:rsid w:val="00B7244F"/>
    <w:rsid w:val="00B84BBD"/>
    <w:rsid w:val="00B85092"/>
    <w:rsid w:val="00B91030"/>
    <w:rsid w:val="00B9240D"/>
    <w:rsid w:val="00B97D63"/>
    <w:rsid w:val="00BA17AA"/>
    <w:rsid w:val="00BA43FB"/>
    <w:rsid w:val="00BB0967"/>
    <w:rsid w:val="00BB10B1"/>
    <w:rsid w:val="00BB268B"/>
    <w:rsid w:val="00BB4586"/>
    <w:rsid w:val="00BB7CA3"/>
    <w:rsid w:val="00BC0CBB"/>
    <w:rsid w:val="00BC127D"/>
    <w:rsid w:val="00BC1468"/>
    <w:rsid w:val="00BC1FE6"/>
    <w:rsid w:val="00BC4ADD"/>
    <w:rsid w:val="00BD5B6E"/>
    <w:rsid w:val="00BD5F79"/>
    <w:rsid w:val="00BE7708"/>
    <w:rsid w:val="00C027D2"/>
    <w:rsid w:val="00C05746"/>
    <w:rsid w:val="00C061B6"/>
    <w:rsid w:val="00C117FD"/>
    <w:rsid w:val="00C23F13"/>
    <w:rsid w:val="00C2446C"/>
    <w:rsid w:val="00C251B5"/>
    <w:rsid w:val="00C31EA1"/>
    <w:rsid w:val="00C36AE5"/>
    <w:rsid w:val="00C41F17"/>
    <w:rsid w:val="00C421F1"/>
    <w:rsid w:val="00C47EB0"/>
    <w:rsid w:val="00C52124"/>
    <w:rsid w:val="00C5280D"/>
    <w:rsid w:val="00C536A1"/>
    <w:rsid w:val="00C55A66"/>
    <w:rsid w:val="00C5791C"/>
    <w:rsid w:val="00C6006F"/>
    <w:rsid w:val="00C62BDE"/>
    <w:rsid w:val="00C66290"/>
    <w:rsid w:val="00C66F58"/>
    <w:rsid w:val="00C67877"/>
    <w:rsid w:val="00C72B7A"/>
    <w:rsid w:val="00C7353A"/>
    <w:rsid w:val="00C82DC2"/>
    <w:rsid w:val="00C857C8"/>
    <w:rsid w:val="00C9010C"/>
    <w:rsid w:val="00C96CE1"/>
    <w:rsid w:val="00C973F2"/>
    <w:rsid w:val="00CA304C"/>
    <w:rsid w:val="00CA613C"/>
    <w:rsid w:val="00CA774A"/>
    <w:rsid w:val="00CB08DC"/>
    <w:rsid w:val="00CB1C72"/>
    <w:rsid w:val="00CC0B37"/>
    <w:rsid w:val="00CC11B0"/>
    <w:rsid w:val="00CC1D3B"/>
    <w:rsid w:val="00CC4FA8"/>
    <w:rsid w:val="00CD0924"/>
    <w:rsid w:val="00CE054E"/>
    <w:rsid w:val="00CE5C55"/>
    <w:rsid w:val="00CF363C"/>
    <w:rsid w:val="00CF4746"/>
    <w:rsid w:val="00CF4DC2"/>
    <w:rsid w:val="00CF605C"/>
    <w:rsid w:val="00CF7E36"/>
    <w:rsid w:val="00D07810"/>
    <w:rsid w:val="00D140A2"/>
    <w:rsid w:val="00D26ED4"/>
    <w:rsid w:val="00D355B6"/>
    <w:rsid w:val="00D3708D"/>
    <w:rsid w:val="00D40426"/>
    <w:rsid w:val="00D430F2"/>
    <w:rsid w:val="00D45921"/>
    <w:rsid w:val="00D5363A"/>
    <w:rsid w:val="00D53E74"/>
    <w:rsid w:val="00D57C96"/>
    <w:rsid w:val="00D61AD9"/>
    <w:rsid w:val="00D627F0"/>
    <w:rsid w:val="00D62AB1"/>
    <w:rsid w:val="00D654F3"/>
    <w:rsid w:val="00D674A1"/>
    <w:rsid w:val="00D753A2"/>
    <w:rsid w:val="00D91203"/>
    <w:rsid w:val="00D9222D"/>
    <w:rsid w:val="00D93E21"/>
    <w:rsid w:val="00D95174"/>
    <w:rsid w:val="00DA3B03"/>
    <w:rsid w:val="00DA4670"/>
    <w:rsid w:val="00DA5FA7"/>
    <w:rsid w:val="00DA6F36"/>
    <w:rsid w:val="00DA71B9"/>
    <w:rsid w:val="00DB596E"/>
    <w:rsid w:val="00DB7773"/>
    <w:rsid w:val="00DC00EA"/>
    <w:rsid w:val="00DC70B5"/>
    <w:rsid w:val="00DD0233"/>
    <w:rsid w:val="00DD28A3"/>
    <w:rsid w:val="00DD552E"/>
    <w:rsid w:val="00DD7308"/>
    <w:rsid w:val="00DD766D"/>
    <w:rsid w:val="00DD7BE2"/>
    <w:rsid w:val="00DE04C1"/>
    <w:rsid w:val="00DE0CAC"/>
    <w:rsid w:val="00DE427F"/>
    <w:rsid w:val="00DE5FA4"/>
    <w:rsid w:val="00DF352F"/>
    <w:rsid w:val="00DF474C"/>
    <w:rsid w:val="00DF48BF"/>
    <w:rsid w:val="00DF5749"/>
    <w:rsid w:val="00DF605A"/>
    <w:rsid w:val="00E0334F"/>
    <w:rsid w:val="00E06CEC"/>
    <w:rsid w:val="00E07256"/>
    <w:rsid w:val="00E222E0"/>
    <w:rsid w:val="00E24BFA"/>
    <w:rsid w:val="00E26930"/>
    <w:rsid w:val="00E31BE5"/>
    <w:rsid w:val="00E32D39"/>
    <w:rsid w:val="00E32F7E"/>
    <w:rsid w:val="00E3426D"/>
    <w:rsid w:val="00E34E59"/>
    <w:rsid w:val="00E40F03"/>
    <w:rsid w:val="00E40F21"/>
    <w:rsid w:val="00E44415"/>
    <w:rsid w:val="00E4452E"/>
    <w:rsid w:val="00E46399"/>
    <w:rsid w:val="00E52BE8"/>
    <w:rsid w:val="00E538E4"/>
    <w:rsid w:val="00E54D50"/>
    <w:rsid w:val="00E61EE1"/>
    <w:rsid w:val="00E63610"/>
    <w:rsid w:val="00E65497"/>
    <w:rsid w:val="00E65597"/>
    <w:rsid w:val="00E72526"/>
    <w:rsid w:val="00E72D49"/>
    <w:rsid w:val="00E747E8"/>
    <w:rsid w:val="00E75221"/>
    <w:rsid w:val="00E756E6"/>
    <w:rsid w:val="00E7593C"/>
    <w:rsid w:val="00E7678A"/>
    <w:rsid w:val="00E768E9"/>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34DF"/>
    <w:rsid w:val="00EF2F89"/>
    <w:rsid w:val="00EF4CBC"/>
    <w:rsid w:val="00EF5A3E"/>
    <w:rsid w:val="00EF61CB"/>
    <w:rsid w:val="00EF7D3A"/>
    <w:rsid w:val="00F02366"/>
    <w:rsid w:val="00F032AC"/>
    <w:rsid w:val="00F104BF"/>
    <w:rsid w:val="00F1237A"/>
    <w:rsid w:val="00F15300"/>
    <w:rsid w:val="00F20461"/>
    <w:rsid w:val="00F22CBD"/>
    <w:rsid w:val="00F245F0"/>
    <w:rsid w:val="00F25AA0"/>
    <w:rsid w:val="00F27B5E"/>
    <w:rsid w:val="00F3015D"/>
    <w:rsid w:val="00F337CB"/>
    <w:rsid w:val="00F37D62"/>
    <w:rsid w:val="00F42E95"/>
    <w:rsid w:val="00F45372"/>
    <w:rsid w:val="00F4585D"/>
    <w:rsid w:val="00F47E1C"/>
    <w:rsid w:val="00F50E50"/>
    <w:rsid w:val="00F560F7"/>
    <w:rsid w:val="00F6334D"/>
    <w:rsid w:val="00F63E30"/>
    <w:rsid w:val="00F641C3"/>
    <w:rsid w:val="00F65465"/>
    <w:rsid w:val="00F72E5B"/>
    <w:rsid w:val="00F734D0"/>
    <w:rsid w:val="00F914F5"/>
    <w:rsid w:val="00F92173"/>
    <w:rsid w:val="00F96A05"/>
    <w:rsid w:val="00FA0812"/>
    <w:rsid w:val="00FA093C"/>
    <w:rsid w:val="00FA49AB"/>
    <w:rsid w:val="00FA538E"/>
    <w:rsid w:val="00FB7B38"/>
    <w:rsid w:val="00FC3596"/>
    <w:rsid w:val="00FC3C1E"/>
    <w:rsid w:val="00FC5A68"/>
    <w:rsid w:val="00FC5DE6"/>
    <w:rsid w:val="00FC6075"/>
    <w:rsid w:val="00FD0ADD"/>
    <w:rsid w:val="00FD33FA"/>
    <w:rsid w:val="00FD3EFD"/>
    <w:rsid w:val="00FD54E2"/>
    <w:rsid w:val="00FE39C7"/>
    <w:rsid w:val="00FE6347"/>
    <w:rsid w:val="00FE76B4"/>
    <w:rsid w:val="00FF07D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B5AD0"/>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locked/>
    <w:rsid w:val="00596086"/>
    <w:rPr>
      <w:rFonts w:ascii="Arial" w:hAnsi="Arial"/>
    </w:rPr>
  </w:style>
  <w:style w:type="paragraph" w:styleId="NormalWeb">
    <w:name w:val="Normal (Web)"/>
    <w:basedOn w:val="Normal"/>
    <w:uiPriority w:val="99"/>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B91030"/>
    <w:rPr>
      <w:rFonts w:ascii="Arial" w:hAnsi="Arial"/>
      <w:i/>
    </w:rPr>
  </w:style>
  <w:style w:type="character" w:customStyle="1" w:styleId="pldetailsChar">
    <w:name w:val="pldetails Char"/>
    <w:link w:val="pldetails"/>
    <w:rsid w:val="00157504"/>
    <w:rPr>
      <w:rFonts w:ascii="Arial" w:hAnsi="Arial"/>
      <w:noProof/>
      <w:snapToGrid w:val="0"/>
    </w:rPr>
  </w:style>
  <w:style w:type="character" w:customStyle="1" w:styleId="FootnoteTextChar">
    <w:name w:val="Footnote Text Char"/>
    <w:link w:val="FootnoteText"/>
    <w:rsid w:val="00DD28A3"/>
    <w:rPr>
      <w:rFonts w:ascii="Arial" w:hAnsi="Arial"/>
      <w:sz w:val="16"/>
    </w:r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ListBullet">
    <w:name w:val="List Bullet"/>
    <w:basedOn w:val="Normal"/>
    <w:unhideWhenUsed/>
    <w:rsid w:val="00783A9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B5AD0"/>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locked/>
    <w:rsid w:val="00596086"/>
    <w:rPr>
      <w:rFonts w:ascii="Arial" w:hAnsi="Arial"/>
    </w:rPr>
  </w:style>
  <w:style w:type="paragraph" w:styleId="NormalWeb">
    <w:name w:val="Normal (Web)"/>
    <w:basedOn w:val="Normal"/>
    <w:uiPriority w:val="99"/>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B91030"/>
    <w:rPr>
      <w:rFonts w:ascii="Arial" w:hAnsi="Arial"/>
      <w:i/>
    </w:rPr>
  </w:style>
  <w:style w:type="character" w:customStyle="1" w:styleId="pldetailsChar">
    <w:name w:val="pldetails Char"/>
    <w:link w:val="pldetails"/>
    <w:rsid w:val="00157504"/>
    <w:rPr>
      <w:rFonts w:ascii="Arial" w:hAnsi="Arial"/>
      <w:noProof/>
      <w:snapToGrid w:val="0"/>
    </w:rPr>
  </w:style>
  <w:style w:type="character" w:customStyle="1" w:styleId="FootnoteTextChar">
    <w:name w:val="Footnote Text Char"/>
    <w:link w:val="FootnoteText"/>
    <w:rsid w:val="00DD28A3"/>
    <w:rPr>
      <w:rFonts w:ascii="Arial" w:hAnsi="Arial"/>
      <w:sz w:val="16"/>
    </w:r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ListBullet">
    <w:name w:val="List Bullet"/>
    <w:basedOn w:val="Normal"/>
    <w:unhideWhenUsed/>
    <w:rsid w:val="00783A9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85479815">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E600-66C8-42C6-A6D6-34AFCAA8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1</TotalTime>
  <Pages>3</Pages>
  <Words>843</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LONG Victoria</cp:lastModifiedBy>
  <cp:revision>4</cp:revision>
  <cp:lastPrinted>2015-05-26T13:32:00Z</cp:lastPrinted>
  <dcterms:created xsi:type="dcterms:W3CDTF">2015-05-22T14:27:00Z</dcterms:created>
  <dcterms:modified xsi:type="dcterms:W3CDTF">2015-05-26T13:32:00Z</dcterms:modified>
</cp:coreProperties>
</file>