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150" w:rsidP="00AC2883">
            <w:pPr>
              <w:pStyle w:val="Sessiontc"/>
              <w:spacing w:line="240" w:lineRule="auto"/>
            </w:pPr>
            <w:r>
              <w:t>Working Group on a Possible International System</w:t>
            </w:r>
            <w:r>
              <w:br/>
              <w:t>of Cooperation</w:t>
            </w:r>
          </w:p>
          <w:p w:rsidR="00EB4E9C" w:rsidRPr="00DC3802" w:rsidRDefault="00EE3A43" w:rsidP="00EE3A43">
            <w:pPr>
              <w:pStyle w:val="Sessiontcplacedate"/>
              <w:rPr>
                <w:sz w:val="22"/>
              </w:rPr>
            </w:pPr>
            <w:r>
              <w:t>Fourth</w:t>
            </w:r>
            <w:r w:rsidR="00A33150">
              <w:t xml:space="preserve"> Meeting</w:t>
            </w:r>
            <w:r w:rsidR="00EB4E9C" w:rsidRPr="00DA4973">
              <w:br/>
              <w:t xml:space="preserve">Geneva, </w:t>
            </w:r>
            <w:r w:rsidR="00B71AF0">
              <w:t xml:space="preserve">October </w:t>
            </w:r>
            <w:r>
              <w:t>31, 2018</w:t>
            </w:r>
          </w:p>
        </w:tc>
        <w:tc>
          <w:tcPr>
            <w:tcW w:w="3127" w:type="dxa"/>
          </w:tcPr>
          <w:p w:rsidR="00EB4E9C" w:rsidRDefault="00267BF1" w:rsidP="003C7FBE">
            <w:pPr>
              <w:pStyle w:val="Doccode"/>
            </w:pPr>
            <w:r>
              <w:t>UPOV/WG-ISC/4/3</w:t>
            </w:r>
          </w:p>
          <w:p w:rsidR="008C3987" w:rsidRPr="003C7FBE" w:rsidRDefault="008C3987"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155B6B">
            <w:pPr>
              <w:pStyle w:val="Docoriginal"/>
            </w:pPr>
            <w:r w:rsidRPr="00AC2883">
              <w:t>Date:</w:t>
            </w:r>
            <w:r w:rsidR="00EE3A43">
              <w:rPr>
                <w:b w:val="0"/>
                <w:spacing w:val="0"/>
              </w:rPr>
              <w:t xml:space="preserve">  </w:t>
            </w:r>
            <w:r w:rsidR="00155B6B">
              <w:rPr>
                <w:b w:val="0"/>
                <w:spacing w:val="0"/>
              </w:rPr>
              <w:t>March 21, 2019</w:t>
            </w:r>
          </w:p>
        </w:tc>
      </w:tr>
    </w:tbl>
    <w:p w:rsidR="000D7780" w:rsidRPr="006A644A" w:rsidRDefault="003C4A4F" w:rsidP="006A644A">
      <w:pPr>
        <w:pStyle w:val="Titleofdoc0"/>
      </w:pPr>
      <w:bookmarkStart w:id="0" w:name="TitleOfDoc"/>
      <w:bookmarkEnd w:id="0"/>
      <w:r>
        <w:t>Report</w:t>
      </w:r>
    </w:p>
    <w:p w:rsidR="006A644A" w:rsidRPr="006A644A" w:rsidRDefault="00267BF1" w:rsidP="006A644A">
      <w:pPr>
        <w:pStyle w:val="preparedby1"/>
        <w:jc w:val="left"/>
      </w:pPr>
      <w:bookmarkStart w:id="1" w:name="Prepared"/>
      <w:bookmarkEnd w:id="1"/>
      <w:r>
        <w:t xml:space="preserve">adopted by the </w:t>
      </w:r>
      <w:r w:rsidRPr="00E01EEB">
        <w:rPr>
          <w:lang w:eastAsia="ja-JP"/>
        </w:rPr>
        <w:t xml:space="preserve">Working Group </w:t>
      </w:r>
      <w:r w:rsidRPr="00E01EEB">
        <w:rPr>
          <w:rFonts w:hint="eastAsia"/>
          <w:lang w:eastAsia="ja-JP"/>
        </w:rPr>
        <w:t xml:space="preserve">on </w:t>
      </w:r>
      <w:r w:rsidRPr="00E01EEB">
        <w:rPr>
          <w:lang w:eastAsia="ja-JP"/>
        </w:rPr>
        <w:t>a Possible Inte</w:t>
      </w:r>
      <w:r>
        <w:rPr>
          <w:lang w:eastAsia="ja-JP"/>
        </w:rPr>
        <w:t>rn</w:t>
      </w:r>
      <w:bookmarkStart w:id="2" w:name="_GoBack"/>
      <w:bookmarkEnd w:id="2"/>
      <w:r>
        <w:rPr>
          <w:lang w:eastAsia="ja-JP"/>
        </w:rPr>
        <w:t>ational System of Cooperation</w:t>
      </w:r>
    </w:p>
    <w:p w:rsidR="00050E16" w:rsidRPr="006A644A" w:rsidRDefault="00050E16" w:rsidP="006A644A">
      <w:pPr>
        <w:pStyle w:val="Disclaimer"/>
      </w:pPr>
      <w:r w:rsidRPr="006A644A">
        <w:t>Disclaimer:  this document does not represent UPOV policies or guidance</w:t>
      </w:r>
    </w:p>
    <w:p w:rsidR="00F97188" w:rsidRPr="007C7E53" w:rsidRDefault="00F97188" w:rsidP="00F97188">
      <w:pPr>
        <w:pStyle w:val="Heading1"/>
      </w:pPr>
      <w:r w:rsidRPr="007C7E53">
        <w:t>Opening of the MEETING</w:t>
      </w:r>
    </w:p>
    <w:p w:rsidR="00F97188" w:rsidRDefault="00F97188" w:rsidP="00F97188"/>
    <w:p w:rsidR="00F97188" w:rsidRPr="007C7E53" w:rsidRDefault="00F97188" w:rsidP="00F97188">
      <w:r w:rsidRPr="007C7E53">
        <w:fldChar w:fldCharType="begin"/>
      </w:r>
      <w:r w:rsidRPr="007C7E53">
        <w:instrText xml:space="preserve"> AUTONUM  </w:instrText>
      </w:r>
      <w:r w:rsidRPr="007C7E53">
        <w:fldChar w:fldCharType="end"/>
      </w:r>
      <w:r w:rsidRPr="007C7E53">
        <w:tab/>
        <w:t>The Working Group on a Possible International System o</w:t>
      </w:r>
      <w:r>
        <w:t xml:space="preserve">f Cooperation (WG-ISC) held its fourth </w:t>
      </w:r>
      <w:r w:rsidRPr="007C7E53">
        <w:t xml:space="preserve">meeting in Geneva on </w:t>
      </w:r>
      <w:r>
        <w:t>October 31</w:t>
      </w:r>
      <w:r w:rsidRPr="007C7E53">
        <w:t>, 201</w:t>
      </w:r>
      <w:r>
        <w:t>8</w:t>
      </w:r>
      <w:r w:rsidRPr="007C7E53">
        <w:t xml:space="preserve">, under the chairmanship of the Vice Secretary-General of UPOV.  The list of participants is reproduced in </w:t>
      </w:r>
      <w:r w:rsidRPr="001E12E0">
        <w:t>Annex</w:t>
      </w:r>
      <w:r w:rsidR="005B6A75" w:rsidRPr="001E12E0">
        <w:t xml:space="preserve"> I</w:t>
      </w:r>
      <w:r w:rsidRPr="007C7E53">
        <w:t xml:space="preserve"> to this report.</w:t>
      </w:r>
    </w:p>
    <w:p w:rsidR="00F97188" w:rsidRPr="007C7E53" w:rsidRDefault="00F97188" w:rsidP="00F97188"/>
    <w:p w:rsidR="00F97188" w:rsidRPr="007C7E53" w:rsidRDefault="00F97188" w:rsidP="00F97188">
      <w:r w:rsidRPr="007C7E53">
        <w:fldChar w:fldCharType="begin"/>
      </w:r>
      <w:r w:rsidRPr="007C7E53">
        <w:instrText xml:space="preserve"> AUTONUM  </w:instrText>
      </w:r>
      <w:r w:rsidRPr="007C7E53">
        <w:fldChar w:fldCharType="end"/>
      </w:r>
      <w:r w:rsidRPr="007C7E53">
        <w:tab/>
        <w:t>The meeting was opened by the Chair, who welcomed the participants.</w:t>
      </w:r>
    </w:p>
    <w:p w:rsidR="00F97188" w:rsidRDefault="00F97188" w:rsidP="00F97188"/>
    <w:p w:rsidR="007A2890" w:rsidRPr="007C7E53" w:rsidRDefault="007A2890" w:rsidP="00F97188"/>
    <w:p w:rsidR="00392007" w:rsidRDefault="00392007" w:rsidP="007A2890"/>
    <w:p w:rsidR="00F97188" w:rsidRPr="007C7E53" w:rsidRDefault="00F97188" w:rsidP="00F97188">
      <w:pPr>
        <w:pStyle w:val="Heading1"/>
      </w:pPr>
      <w:r w:rsidRPr="007C7E53">
        <w:t>Adoption of the agenda</w:t>
      </w:r>
    </w:p>
    <w:p w:rsidR="00F97188" w:rsidRPr="007C7E53" w:rsidRDefault="00F97188" w:rsidP="00F97188">
      <w:pPr>
        <w:pStyle w:val="ListParagraph"/>
        <w:autoSpaceDE w:val="0"/>
        <w:autoSpaceDN w:val="0"/>
        <w:adjustRightInd w:val="0"/>
        <w:ind w:left="0"/>
        <w:rPr>
          <w:szCs w:val="24"/>
        </w:rPr>
      </w:pPr>
    </w:p>
    <w:p w:rsidR="00F97188" w:rsidRDefault="00FD37E7" w:rsidP="00F97188">
      <w:pPr>
        <w:autoSpaceDE w:val="0"/>
        <w:autoSpaceDN w:val="0"/>
        <w:adjustRightInd w:val="0"/>
        <w:rPr>
          <w:szCs w:val="24"/>
          <w:lang w:eastAsia="ja-JP"/>
        </w:rPr>
      </w:pPr>
      <w:r w:rsidRPr="007C7E53">
        <w:fldChar w:fldCharType="begin"/>
      </w:r>
      <w:r w:rsidRPr="007C7E53">
        <w:instrText xml:space="preserve"> AUTONUM  </w:instrText>
      </w:r>
      <w:r w:rsidRPr="007C7E53">
        <w:fldChar w:fldCharType="end"/>
      </w:r>
      <w:r w:rsidRPr="007C7E53">
        <w:tab/>
      </w:r>
      <w:r w:rsidR="00F97188" w:rsidRPr="007C7E53">
        <w:rPr>
          <w:szCs w:val="24"/>
          <w:lang w:eastAsia="ja-JP"/>
        </w:rPr>
        <w:t>The WG-ISC adopted the agenda</w:t>
      </w:r>
      <w:r w:rsidR="00F97188" w:rsidRPr="007C7E53">
        <w:t xml:space="preserve"> </w:t>
      </w:r>
      <w:r w:rsidR="00F97188" w:rsidRPr="007C7E53">
        <w:rPr>
          <w:szCs w:val="24"/>
          <w:lang w:eastAsia="ja-JP"/>
        </w:rPr>
        <w:t>as pre</w:t>
      </w:r>
      <w:r w:rsidR="00F97188">
        <w:rPr>
          <w:szCs w:val="24"/>
          <w:lang w:eastAsia="ja-JP"/>
        </w:rPr>
        <w:t>sented in document UPOV/WG-ISC/4</w:t>
      </w:r>
      <w:r w:rsidR="00F97188" w:rsidRPr="007C7E53">
        <w:rPr>
          <w:szCs w:val="24"/>
          <w:lang w:eastAsia="ja-JP"/>
        </w:rPr>
        <w:t>/1.</w:t>
      </w:r>
    </w:p>
    <w:p w:rsidR="00F97188" w:rsidRDefault="00F97188" w:rsidP="00F97188">
      <w:pPr>
        <w:autoSpaceDE w:val="0"/>
        <w:autoSpaceDN w:val="0"/>
        <w:adjustRightInd w:val="0"/>
        <w:rPr>
          <w:szCs w:val="24"/>
          <w:lang w:eastAsia="ja-JP"/>
        </w:rPr>
      </w:pPr>
    </w:p>
    <w:p w:rsidR="00F97188" w:rsidRDefault="00F97188" w:rsidP="00F97188">
      <w:pPr>
        <w:autoSpaceDE w:val="0"/>
        <w:autoSpaceDN w:val="0"/>
        <w:adjustRightInd w:val="0"/>
        <w:rPr>
          <w:szCs w:val="24"/>
          <w:lang w:eastAsia="ja-JP"/>
        </w:rPr>
      </w:pPr>
    </w:p>
    <w:p w:rsidR="007A2890" w:rsidRDefault="007A2890" w:rsidP="00F97188">
      <w:pPr>
        <w:autoSpaceDE w:val="0"/>
        <w:autoSpaceDN w:val="0"/>
        <w:adjustRightInd w:val="0"/>
        <w:rPr>
          <w:szCs w:val="24"/>
          <w:lang w:eastAsia="ja-JP"/>
        </w:rPr>
      </w:pPr>
    </w:p>
    <w:p w:rsidR="00F97188" w:rsidRDefault="00FD37E7" w:rsidP="00FD37E7">
      <w:pPr>
        <w:pStyle w:val="Heading1"/>
        <w:rPr>
          <w:lang w:eastAsia="ja-JP"/>
        </w:rPr>
      </w:pPr>
      <w:r w:rsidRPr="00FD37E7">
        <w:rPr>
          <w:lang w:eastAsia="ja-JP"/>
        </w:rPr>
        <w:t>POSSIBLE ISSUES RELEVANT FOR THE NEEDS OF THE PVP OFFICES AS IDENTIFIED AT THE FIRST MEETING OF THE WG ISC AND AMENDED BY THE WG-ISC A</w:t>
      </w:r>
      <w:r>
        <w:rPr>
          <w:lang w:eastAsia="ja-JP"/>
        </w:rPr>
        <w:t>T ITS SECOND AND THIRD MEETINGS</w:t>
      </w:r>
    </w:p>
    <w:p w:rsidR="00FD37E7" w:rsidRDefault="00FD37E7" w:rsidP="00F97188">
      <w:pPr>
        <w:autoSpaceDE w:val="0"/>
        <w:autoSpaceDN w:val="0"/>
        <w:adjustRightInd w:val="0"/>
        <w:rPr>
          <w:szCs w:val="24"/>
          <w:lang w:eastAsia="ja-JP"/>
        </w:rPr>
      </w:pPr>
    </w:p>
    <w:p w:rsidR="001704EA" w:rsidRDefault="005B6A75" w:rsidP="00F97188">
      <w:pPr>
        <w:autoSpaceDE w:val="0"/>
        <w:autoSpaceDN w:val="0"/>
        <w:adjustRightInd w:val="0"/>
      </w:pPr>
      <w:r w:rsidRPr="007C7E53">
        <w:fldChar w:fldCharType="begin"/>
      </w:r>
      <w:r w:rsidRPr="007C7E53">
        <w:instrText xml:space="preserve"> AUTONUM  </w:instrText>
      </w:r>
      <w:r w:rsidRPr="007C7E53">
        <w:fldChar w:fldCharType="end"/>
      </w:r>
      <w:r w:rsidRPr="007C7E53">
        <w:tab/>
      </w:r>
      <w:r w:rsidR="001704EA">
        <w:t>The Chair provided a summary of the mandate and terms of reference of the WG-ISC and the developments during the first three WG-ISC meetings, on the basis of the presentation attached a</w:t>
      </w:r>
      <w:r w:rsidR="001704EA" w:rsidRPr="001E12E0">
        <w:t>s Annex II to this report.</w:t>
      </w:r>
      <w:r w:rsidR="001704EA">
        <w:t xml:space="preserve">  </w:t>
      </w:r>
    </w:p>
    <w:p w:rsidR="001704EA" w:rsidRDefault="001704EA" w:rsidP="00F97188">
      <w:pPr>
        <w:autoSpaceDE w:val="0"/>
        <w:autoSpaceDN w:val="0"/>
        <w:adjustRightInd w:val="0"/>
      </w:pPr>
    </w:p>
    <w:p w:rsidR="00A06689" w:rsidRDefault="001704EA" w:rsidP="00ED3D6A">
      <w:pPr>
        <w:autoSpaceDE w:val="0"/>
        <w:autoSpaceDN w:val="0"/>
        <w:adjustRightInd w:val="0"/>
      </w:pPr>
      <w:r w:rsidRPr="007C7E53">
        <w:fldChar w:fldCharType="begin"/>
      </w:r>
      <w:r w:rsidRPr="007C7E53">
        <w:instrText xml:space="preserve"> AUTONUM  </w:instrText>
      </w:r>
      <w:r w:rsidRPr="007C7E53">
        <w:fldChar w:fldCharType="end"/>
      </w:r>
      <w:r w:rsidRPr="007C7E53">
        <w:tab/>
      </w:r>
      <w:r>
        <w:t>The Chair reported that he had held discussions with the Chair of the Consultative Committee on the developments in the WG-ISC and its current work, bearing in mind the man</w:t>
      </w:r>
      <w:r w:rsidR="00ED3D6A">
        <w:t xml:space="preserve">date of the WG-ISC to prepare a document containing proposals, analysis and information for consideration by the Consultative Committee.  </w:t>
      </w:r>
      <w:r>
        <w:t xml:space="preserve"> Those discussions had highlighted that</w:t>
      </w:r>
      <w:r w:rsidR="00ED3D6A">
        <w:t>, since</w:t>
      </w:r>
      <w:r>
        <w:t xml:space="preserve"> the WG-ISC had been established in</w:t>
      </w:r>
      <w:r w:rsidR="00ED3D6A">
        <w:t xml:space="preserve"> 2016, the three meetings that had been held had provided a clarification of the need for an ISC</w:t>
      </w:r>
      <w:r w:rsidR="00A06689">
        <w:t>,</w:t>
      </w:r>
      <w:r w:rsidR="00ED3D6A">
        <w:t xml:space="preserve"> according to the needs of PVP offices</w:t>
      </w:r>
      <w:r w:rsidR="00A06689">
        <w:t>,</w:t>
      </w:r>
      <w:r w:rsidR="00ED3D6A">
        <w:t xml:space="preserve"> </w:t>
      </w:r>
      <w:r>
        <w:t xml:space="preserve">  </w:t>
      </w:r>
      <w:r w:rsidR="00ED3D6A">
        <w:t xml:space="preserve">and had provided an opportunity for </w:t>
      </w:r>
      <w:r w:rsidR="00A06689">
        <w:t>a review</w:t>
      </w:r>
      <w:r w:rsidR="00ED3D6A">
        <w:t xml:space="preserve"> of current cooperation between members of the Union.</w:t>
      </w:r>
      <w:r w:rsidR="00A06689">
        <w:t xml:space="preserve">  There now seemed to be a good basis for the WG-ISC to start </w:t>
      </w:r>
      <w:r w:rsidR="00595E54">
        <w:t xml:space="preserve">to </w:t>
      </w:r>
      <w:r w:rsidR="00A06689">
        <w:t xml:space="preserve">prepare a document containing proposals, analysis and information for consideration by the Consultative Committee.  </w:t>
      </w:r>
    </w:p>
    <w:p w:rsidR="00A06689" w:rsidRDefault="00A06689" w:rsidP="00ED3D6A">
      <w:pPr>
        <w:autoSpaceDE w:val="0"/>
        <w:autoSpaceDN w:val="0"/>
        <w:adjustRightInd w:val="0"/>
      </w:pPr>
    </w:p>
    <w:p w:rsidR="001704EA" w:rsidRDefault="00A06689" w:rsidP="00ED3D6A">
      <w:pPr>
        <w:autoSpaceDE w:val="0"/>
        <w:autoSpaceDN w:val="0"/>
        <w:adjustRightInd w:val="0"/>
        <w:rPr>
          <w:snapToGrid w:val="0"/>
          <w:spacing w:val="-2"/>
        </w:rPr>
      </w:pPr>
      <w:r w:rsidRPr="007C7E53">
        <w:fldChar w:fldCharType="begin"/>
      </w:r>
      <w:r w:rsidRPr="007C7E53">
        <w:instrText xml:space="preserve"> AUTONUM  </w:instrText>
      </w:r>
      <w:r w:rsidRPr="007C7E53">
        <w:fldChar w:fldCharType="end"/>
      </w:r>
      <w:r w:rsidRPr="007C7E53">
        <w:tab/>
      </w:r>
      <w:r>
        <w:t xml:space="preserve">With the above summary in mind, the Chair proposed that the aim of the WG-ISC at its fourth meeting should be to consider </w:t>
      </w:r>
      <w:r w:rsidRPr="001E1A3E">
        <w:rPr>
          <w:snapToGrid w:val="0"/>
          <w:spacing w:val="-2"/>
        </w:rPr>
        <w:t>document UPOV/WG-ISC/4/2</w:t>
      </w:r>
      <w:r>
        <w:rPr>
          <w:snapToGrid w:val="0"/>
          <w:spacing w:val="-2"/>
        </w:rPr>
        <w:t xml:space="preserve"> “</w:t>
      </w:r>
      <w:r w:rsidRPr="001E1A3E">
        <w:rPr>
          <w:snapToGrid w:val="0"/>
        </w:rPr>
        <w:t>Possible issues relevant for the needs of the PVP Offices as identified</w:t>
      </w:r>
      <w:r>
        <w:rPr>
          <w:snapToGrid w:val="0"/>
        </w:rPr>
        <w:t xml:space="preserve"> at the first meeting of the </w:t>
      </w:r>
      <w:r w:rsidRPr="001E1A3E">
        <w:rPr>
          <w:snapToGrid w:val="0"/>
          <w:spacing w:val="-2"/>
        </w:rPr>
        <w:t>WG</w:t>
      </w:r>
      <w:r w:rsidRPr="001E1A3E">
        <w:rPr>
          <w:snapToGrid w:val="0"/>
          <w:spacing w:val="-2"/>
        </w:rPr>
        <w:noBreakHyphen/>
        <w:t>ISC and amended by the WG-ISC at</w:t>
      </w:r>
      <w:r>
        <w:rPr>
          <w:snapToGrid w:val="0"/>
          <w:spacing w:val="-2"/>
        </w:rPr>
        <w:t xml:space="preserve"> its second and third meetings”</w:t>
      </w:r>
      <w:r w:rsidR="00185419">
        <w:rPr>
          <w:snapToGrid w:val="0"/>
          <w:spacing w:val="-2"/>
        </w:rPr>
        <w:t>, Annex III as a basis to</w:t>
      </w:r>
      <w:r>
        <w:rPr>
          <w:snapToGrid w:val="0"/>
          <w:spacing w:val="-2"/>
        </w:rPr>
        <w:t xml:space="preserve"> </w:t>
      </w:r>
      <w:r>
        <w:t>prepare a document containing proposals, analysis and information for consideration by the Consultative Committee</w:t>
      </w:r>
      <w:r>
        <w:rPr>
          <w:snapToGrid w:val="0"/>
          <w:spacing w:val="-2"/>
        </w:rPr>
        <w:t>.</w:t>
      </w:r>
    </w:p>
    <w:p w:rsidR="00A06689" w:rsidRDefault="00A06689" w:rsidP="00ED3D6A">
      <w:pPr>
        <w:autoSpaceDE w:val="0"/>
        <w:autoSpaceDN w:val="0"/>
        <w:adjustRightInd w:val="0"/>
        <w:rPr>
          <w:snapToGrid w:val="0"/>
          <w:spacing w:val="-2"/>
        </w:rPr>
      </w:pPr>
    </w:p>
    <w:p w:rsidR="00025AC4" w:rsidRDefault="00A06689" w:rsidP="00025AC4">
      <w:pPr>
        <w:autoSpaceDE w:val="0"/>
        <w:autoSpaceDN w:val="0"/>
        <w:adjustRightInd w:val="0"/>
      </w:pPr>
      <w:r w:rsidRPr="007C7E53">
        <w:fldChar w:fldCharType="begin"/>
      </w:r>
      <w:r w:rsidRPr="007C7E53">
        <w:instrText xml:space="preserve"> AUTONUM  </w:instrText>
      </w:r>
      <w:r w:rsidRPr="007C7E53">
        <w:fldChar w:fldCharType="end"/>
      </w:r>
      <w:r w:rsidRPr="007C7E53">
        <w:tab/>
      </w:r>
      <w:r w:rsidR="00025AC4">
        <w:t xml:space="preserve">The Delegation of </w:t>
      </w:r>
      <w:r w:rsidR="00025AC4" w:rsidRPr="00626139">
        <w:t>Norway</w:t>
      </w:r>
      <w:r w:rsidR="00025AC4">
        <w:t xml:space="preserve"> noted that not all of the needs identified in </w:t>
      </w:r>
      <w:r w:rsidR="00025AC4" w:rsidRPr="001E1A3E">
        <w:rPr>
          <w:snapToGrid w:val="0"/>
          <w:spacing w:val="-2"/>
        </w:rPr>
        <w:t>document UPOV/WG-ISC/4/2</w:t>
      </w:r>
      <w:r w:rsidR="00185419">
        <w:rPr>
          <w:snapToGrid w:val="0"/>
          <w:spacing w:val="-2"/>
        </w:rPr>
        <w:t>, Annex III,</w:t>
      </w:r>
      <w:r w:rsidR="00025AC4">
        <w:t xml:space="preserve"> were needs for all UPOV members.  It noted that the terms of reference of the WG-ISC </w:t>
      </w:r>
      <w:r w:rsidR="00185419">
        <w:t>(Purpose </w:t>
      </w:r>
      <w:r w:rsidR="00025AC4">
        <w:t>1</w:t>
      </w:r>
      <w:r w:rsidR="00185419">
        <w:t> </w:t>
      </w:r>
      <w:r w:rsidR="00025AC4">
        <w:t>(b)) required that proposal</w:t>
      </w:r>
      <w:r w:rsidR="00185419">
        <w:t>s</w:t>
      </w:r>
      <w:r w:rsidR="00025AC4">
        <w:t xml:space="preserve"> be relevant for all members of the Union, irrespective of the Act of the UPOV Convention by which they are bound.  </w:t>
      </w:r>
    </w:p>
    <w:p w:rsidR="00025AC4" w:rsidRDefault="00025AC4" w:rsidP="00025AC4">
      <w:pPr>
        <w:autoSpaceDE w:val="0"/>
        <w:autoSpaceDN w:val="0"/>
        <w:adjustRightInd w:val="0"/>
      </w:pPr>
    </w:p>
    <w:p w:rsidR="001704EA" w:rsidRDefault="00025AC4" w:rsidP="000B028D">
      <w:pPr>
        <w:autoSpaceDE w:val="0"/>
        <w:autoSpaceDN w:val="0"/>
        <w:adjustRightInd w:val="0"/>
      </w:pPr>
      <w:r w:rsidRPr="007C7E53">
        <w:lastRenderedPageBreak/>
        <w:fldChar w:fldCharType="begin"/>
      </w:r>
      <w:r w:rsidRPr="007C7E53">
        <w:instrText xml:space="preserve"> AUTONUM  </w:instrText>
      </w:r>
      <w:r w:rsidRPr="007C7E53">
        <w:fldChar w:fldCharType="end"/>
      </w:r>
      <w:r w:rsidRPr="007C7E53">
        <w:tab/>
      </w:r>
      <w:r w:rsidR="00185419">
        <w:t xml:space="preserve">The Chair confirmed that any proposals would need to be relevant for all members of the Union, irrespective of the Act of the UPOV Convention by which they were bound.  </w:t>
      </w:r>
      <w:r w:rsidR="000B028D">
        <w:t xml:space="preserve">However, </w:t>
      </w:r>
      <w:r w:rsidR="00185419">
        <w:rPr>
          <w:snapToGrid w:val="0"/>
          <w:spacing w:val="-2"/>
        </w:rPr>
        <w:t xml:space="preserve">he recalled the discussions at the first meeting of the WG-ISC where it had been </w:t>
      </w:r>
      <w:r w:rsidR="000B028D">
        <w:rPr>
          <w:snapToGrid w:val="0"/>
          <w:spacing w:val="-2"/>
        </w:rPr>
        <w:t>clarified</w:t>
      </w:r>
      <w:r w:rsidR="00185419">
        <w:t xml:space="preserve"> </w:t>
      </w:r>
      <w:r w:rsidR="000B028D">
        <w:t xml:space="preserve">that, according to the terms of reference of the WG-ISC, a need of one member of the Union must not translate into an obligation for any other member of the Union. On that basis, it had been agreed that members of the Union could identify their needs without raising concerns that those could create obligations for other members of the Union.   </w:t>
      </w:r>
      <w:r w:rsidR="00185419">
        <w:t xml:space="preserve">  </w:t>
      </w:r>
      <w:r>
        <w:t xml:space="preserve">  </w:t>
      </w:r>
    </w:p>
    <w:p w:rsidR="005B6A75" w:rsidRDefault="005B6A75" w:rsidP="00F97188">
      <w:pPr>
        <w:autoSpaceDE w:val="0"/>
        <w:autoSpaceDN w:val="0"/>
        <w:adjustRightInd w:val="0"/>
      </w:pPr>
    </w:p>
    <w:p w:rsidR="000B028D" w:rsidRDefault="000B028D" w:rsidP="00F97188">
      <w:pPr>
        <w:autoSpaceDE w:val="0"/>
        <w:autoSpaceDN w:val="0"/>
        <w:adjustRightInd w:val="0"/>
      </w:pPr>
      <w:r w:rsidRPr="007C7E53">
        <w:fldChar w:fldCharType="begin"/>
      </w:r>
      <w:r w:rsidRPr="007C7E53">
        <w:instrText xml:space="preserve"> AUTONUM  </w:instrText>
      </w:r>
      <w:r w:rsidRPr="007C7E53">
        <w:fldChar w:fldCharType="end"/>
      </w:r>
      <w:r w:rsidRPr="007C7E53">
        <w:tab/>
      </w:r>
      <w:r>
        <w:t xml:space="preserve">The Delegation of Norway clarified that its intention was to explain that it would be important for the proposals to take into account the number of UPOV members whose needs would be addressed by proposals, to ensure that the proposals would be effective.  </w:t>
      </w:r>
    </w:p>
    <w:p w:rsidR="000B028D" w:rsidRDefault="000B028D" w:rsidP="00F97188">
      <w:pPr>
        <w:autoSpaceDE w:val="0"/>
        <w:autoSpaceDN w:val="0"/>
        <w:adjustRightInd w:val="0"/>
      </w:pPr>
    </w:p>
    <w:p w:rsidR="000B028D" w:rsidRDefault="000B028D" w:rsidP="00F97188">
      <w:pPr>
        <w:autoSpaceDE w:val="0"/>
        <w:autoSpaceDN w:val="0"/>
        <w:adjustRightInd w:val="0"/>
      </w:pPr>
      <w:r w:rsidRPr="007C7E53">
        <w:fldChar w:fldCharType="begin"/>
      </w:r>
      <w:r w:rsidRPr="007C7E53">
        <w:instrText xml:space="preserve"> AUTONUM  </w:instrText>
      </w:r>
      <w:r w:rsidRPr="007C7E53">
        <w:fldChar w:fldCharType="end"/>
      </w:r>
      <w:r w:rsidRPr="007C7E53">
        <w:tab/>
      </w:r>
      <w:r>
        <w:t xml:space="preserve">The Chair thanked the </w:t>
      </w:r>
      <w:r w:rsidR="00DD2527">
        <w:t xml:space="preserve">Delegation </w:t>
      </w:r>
      <w:r>
        <w:t xml:space="preserve">for the clarification and </w:t>
      </w:r>
      <w:r w:rsidR="00C32AE9">
        <w:t>proposed</w:t>
      </w:r>
      <w:r>
        <w:t xml:space="preserve"> that the effectiveness</w:t>
      </w:r>
      <w:r w:rsidR="0006404B">
        <w:t xml:space="preserve"> of proposals</w:t>
      </w:r>
      <w:r>
        <w:t xml:space="preserve"> be considered in the analysis of the proposals to be presented to the Consultative Committee. </w:t>
      </w:r>
    </w:p>
    <w:p w:rsidR="000B028D" w:rsidRDefault="000B028D" w:rsidP="00F97188">
      <w:pPr>
        <w:autoSpaceDE w:val="0"/>
        <w:autoSpaceDN w:val="0"/>
        <w:adjustRightInd w:val="0"/>
      </w:pPr>
    </w:p>
    <w:p w:rsidR="00FD37E7" w:rsidRDefault="00FD37E7" w:rsidP="0006404B">
      <w:pPr>
        <w:autoSpaceDE w:val="0"/>
        <w:autoSpaceDN w:val="0"/>
        <w:adjustRightInd w:val="0"/>
        <w:rPr>
          <w:snapToGrid w:val="0"/>
          <w:spacing w:val="-2"/>
        </w:rPr>
      </w:pPr>
      <w:r w:rsidRPr="007C7E53">
        <w:fldChar w:fldCharType="begin"/>
      </w:r>
      <w:r w:rsidRPr="007C7E53">
        <w:instrText xml:space="preserve"> AUTONUM  </w:instrText>
      </w:r>
      <w:r w:rsidRPr="007C7E53">
        <w:fldChar w:fldCharType="end"/>
      </w:r>
      <w:r w:rsidRPr="007C7E53">
        <w:tab/>
      </w:r>
      <w:r w:rsidR="000B028D">
        <w:t>On the above basis, t</w:t>
      </w:r>
      <w:r w:rsidRPr="007C7E53">
        <w:rPr>
          <w:szCs w:val="24"/>
          <w:lang w:eastAsia="ja-JP"/>
        </w:rPr>
        <w:t xml:space="preserve">he WG-ISC </w:t>
      </w:r>
      <w:r>
        <w:rPr>
          <w:szCs w:val="24"/>
          <w:lang w:eastAsia="ja-JP"/>
        </w:rPr>
        <w:t xml:space="preserve">considered </w:t>
      </w:r>
      <w:r w:rsidRPr="001E1A3E">
        <w:rPr>
          <w:snapToGrid w:val="0"/>
          <w:spacing w:val="-2"/>
        </w:rPr>
        <w:t>document UPOV/WG-ISC/4/2</w:t>
      </w:r>
      <w:r w:rsidR="000B028D">
        <w:rPr>
          <w:snapToGrid w:val="0"/>
          <w:spacing w:val="-2"/>
        </w:rPr>
        <w:t xml:space="preserve">, Annex III, as the basis to develop to </w:t>
      </w:r>
      <w:r w:rsidR="000B028D">
        <w:t>prepare a document containing proposals</w:t>
      </w:r>
      <w:r w:rsidR="0006404B">
        <w:t xml:space="preserve"> </w:t>
      </w:r>
      <w:r w:rsidR="000B028D">
        <w:t>for consideration by the Consultative Committee</w:t>
      </w:r>
      <w:r w:rsidR="0006404B">
        <w:rPr>
          <w:snapToGrid w:val="0"/>
          <w:spacing w:val="-2"/>
        </w:rPr>
        <w:t>.</w:t>
      </w:r>
    </w:p>
    <w:p w:rsidR="00392007" w:rsidRDefault="00392007" w:rsidP="0006404B">
      <w:pPr>
        <w:autoSpaceDE w:val="0"/>
        <w:autoSpaceDN w:val="0"/>
        <w:adjustRightInd w:val="0"/>
        <w:rPr>
          <w:snapToGrid w:val="0"/>
          <w:spacing w:val="-2"/>
        </w:rPr>
      </w:pPr>
    </w:p>
    <w:p w:rsidR="00050E16" w:rsidRDefault="00C32AE9" w:rsidP="00050E16">
      <w:r w:rsidRPr="007C7E53">
        <w:fldChar w:fldCharType="begin"/>
      </w:r>
      <w:r w:rsidRPr="007C7E53">
        <w:instrText xml:space="preserve"> AUTONUM  </w:instrText>
      </w:r>
      <w:r w:rsidRPr="007C7E53">
        <w:fldChar w:fldCharType="end"/>
      </w:r>
      <w:r w:rsidRPr="007C7E53">
        <w:tab/>
      </w:r>
      <w:r>
        <w:t xml:space="preserve">The WG-ISC agreed </w:t>
      </w:r>
      <w:r w:rsidR="00C6551A">
        <w:t>as follows</w:t>
      </w:r>
      <w:r w:rsidR="000E4893">
        <w:t>:</w:t>
      </w:r>
      <w:r w:rsidR="00595E54">
        <w:rPr>
          <w:rStyle w:val="FootnoteReference"/>
        </w:rPr>
        <w:footnoteReference w:id="2"/>
      </w:r>
      <w:r>
        <w:t xml:space="preserve"> </w:t>
      </w:r>
    </w:p>
    <w:p w:rsidR="00B71AF0" w:rsidRDefault="00B71AF0">
      <w:pPr>
        <w:jc w:val="left"/>
      </w:pPr>
    </w:p>
    <w:p w:rsidR="00544581" w:rsidRDefault="00C6551A" w:rsidP="00C6551A">
      <w:pPr>
        <w:ind w:left="567"/>
        <w:jc w:val="left"/>
      </w:pPr>
      <w:r w:rsidRPr="00C6551A">
        <w:t>DUS EXAMINATION</w:t>
      </w:r>
    </w:p>
    <w:p w:rsidR="00C6551A" w:rsidRDefault="00C6551A" w:rsidP="00C6551A">
      <w:pPr>
        <w:ind w:left="567"/>
        <w:jc w:val="left"/>
      </w:pPr>
    </w:p>
    <w:p w:rsidR="00C6551A" w:rsidRDefault="00C6551A" w:rsidP="008931F1">
      <w:pPr>
        <w:ind w:left="567"/>
      </w:pPr>
      <w:r>
        <w:t>The WG-ISC noted the needs of PVP Offices as set out in (i) to (vi).  It considered the following measures that might meet th</w:t>
      </w:r>
      <w:r w:rsidR="00B15A4B">
        <w:t>os</w:t>
      </w:r>
      <w:r>
        <w:t xml:space="preserve">e needs of PVP Offices: </w:t>
      </w:r>
    </w:p>
    <w:p w:rsidR="00C6551A" w:rsidRDefault="00C6551A" w:rsidP="008931F1">
      <w:pPr>
        <w:ind w:left="567"/>
      </w:pPr>
    </w:p>
    <w:p w:rsidR="00C6551A" w:rsidRPr="00C6551A" w:rsidRDefault="00C6551A" w:rsidP="008931F1">
      <w:pPr>
        <w:ind w:left="567"/>
        <w:rPr>
          <w:i/>
        </w:rPr>
      </w:pPr>
      <w:r w:rsidRPr="00C6551A">
        <w:rPr>
          <w:i/>
        </w:rPr>
        <w:t>Issue 8</w:t>
      </w:r>
    </w:p>
    <w:p w:rsidR="00C6551A" w:rsidRPr="00267BF1" w:rsidRDefault="00C6551A" w:rsidP="008931F1">
      <w:pPr>
        <w:ind w:left="567"/>
        <w:rPr>
          <w:sz w:val="16"/>
        </w:rPr>
      </w:pPr>
    </w:p>
    <w:p w:rsidR="00C6551A" w:rsidRDefault="00C6551A" w:rsidP="008931F1">
      <w:pPr>
        <w:ind w:left="567"/>
      </w:pPr>
      <w:r>
        <w:t xml:space="preserve">The WG-ISC noted that, at its </w:t>
      </w:r>
      <w:r w:rsidRPr="00C6551A">
        <w:t xml:space="preserve">second meeting of the WG-ISC, it </w:t>
      </w:r>
      <w:r>
        <w:t>had</w:t>
      </w:r>
      <w:r w:rsidRPr="00C6551A">
        <w:t xml:space="preserve"> considered that this item was not of a high priority</w:t>
      </w:r>
      <w:r>
        <w:t xml:space="preserve"> and agreed not to consider the issue at that time.</w:t>
      </w:r>
    </w:p>
    <w:p w:rsidR="00C6551A" w:rsidRDefault="00C6551A" w:rsidP="008931F1">
      <w:pPr>
        <w:ind w:left="567"/>
      </w:pPr>
    </w:p>
    <w:p w:rsidR="00C6551A" w:rsidRPr="00C6551A" w:rsidRDefault="00C6551A" w:rsidP="008931F1">
      <w:pPr>
        <w:ind w:left="567"/>
        <w:rPr>
          <w:i/>
        </w:rPr>
      </w:pPr>
      <w:r w:rsidRPr="00C6551A">
        <w:rPr>
          <w:i/>
        </w:rPr>
        <w:t>Issue 9</w:t>
      </w:r>
    </w:p>
    <w:p w:rsidR="00C6551A" w:rsidRPr="00267BF1" w:rsidRDefault="00C6551A" w:rsidP="008931F1">
      <w:pPr>
        <w:ind w:left="567"/>
        <w:rPr>
          <w:sz w:val="16"/>
        </w:rPr>
      </w:pPr>
    </w:p>
    <w:p w:rsidR="00C6551A" w:rsidRDefault="00C6551A" w:rsidP="008931F1">
      <w:pPr>
        <w:ind w:left="567"/>
      </w:pPr>
      <w:r>
        <w:t>The WG-ISC agreed that c</w:t>
      </w:r>
      <w:r w:rsidR="004A1D95">
        <w:t xml:space="preserve">onsideration should be given </w:t>
      </w:r>
      <w:r w:rsidR="0040324E">
        <w:t xml:space="preserve">to </w:t>
      </w:r>
      <w:r w:rsidR="0040324E" w:rsidRPr="0040324E">
        <w:t>assist</w:t>
      </w:r>
      <w:r w:rsidR="0040324E">
        <w:t>ing</w:t>
      </w:r>
      <w:r w:rsidR="0040324E" w:rsidRPr="0040324E">
        <w:t xml:space="preserve"> UPOV members to make their documented DUS procedures and information on their quality management systems available to other members</w:t>
      </w:r>
      <w:r w:rsidR="00DD2527">
        <w:t xml:space="preserve"> of the Union</w:t>
      </w:r>
      <w:r w:rsidR="004A1D95">
        <w:t>.</w:t>
      </w:r>
    </w:p>
    <w:p w:rsidR="004A1D95" w:rsidRPr="00267BF1" w:rsidRDefault="004A1D95" w:rsidP="008931F1">
      <w:pPr>
        <w:ind w:left="567"/>
        <w:rPr>
          <w:sz w:val="16"/>
        </w:rPr>
      </w:pPr>
    </w:p>
    <w:p w:rsidR="00075E90" w:rsidRPr="00075E90" w:rsidRDefault="00075E90" w:rsidP="008931F1">
      <w:pPr>
        <w:ind w:left="567"/>
      </w:pPr>
      <w:r w:rsidRPr="00075E90">
        <w:t>The WG-ISC agreed that consideration should be given to</w:t>
      </w:r>
      <w:r>
        <w:t xml:space="preserve"> adding to the GENIE database the contact details for</w:t>
      </w:r>
      <w:r w:rsidR="0040324E">
        <w:t xml:space="preserve"> DUS</w:t>
      </w:r>
      <w:r>
        <w:t xml:space="preserve"> experts with practical knowledge of DUS testing for particular crops / species.</w:t>
      </w:r>
    </w:p>
    <w:p w:rsidR="00075E90" w:rsidRPr="00267BF1" w:rsidRDefault="00075E90" w:rsidP="008931F1">
      <w:pPr>
        <w:ind w:left="567"/>
        <w:rPr>
          <w:sz w:val="16"/>
        </w:rPr>
      </w:pPr>
    </w:p>
    <w:p w:rsidR="004A1D95" w:rsidRDefault="004A1D95" w:rsidP="008931F1">
      <w:pPr>
        <w:ind w:left="567"/>
      </w:pPr>
      <w:r>
        <w:t xml:space="preserve">The WG-ISC agreed that it would not be </w:t>
      </w:r>
      <w:r w:rsidR="00075E90">
        <w:t>feasible to facilitate cooperation for obtaining</w:t>
      </w:r>
      <w:r w:rsidR="00075E90" w:rsidRPr="00075E90">
        <w:t xml:space="preserve"> plant material where the DUS examination was conducted by another member of the Union</w:t>
      </w:r>
      <w:r w:rsidR="00075E90">
        <w:t>.</w:t>
      </w:r>
    </w:p>
    <w:p w:rsidR="00075E90" w:rsidRDefault="00075E90" w:rsidP="008931F1">
      <w:pPr>
        <w:ind w:left="567"/>
      </w:pPr>
    </w:p>
    <w:p w:rsidR="004A1D95" w:rsidRPr="00C6551A" w:rsidRDefault="004A1D95" w:rsidP="008931F1">
      <w:pPr>
        <w:ind w:left="567"/>
        <w:rPr>
          <w:i/>
        </w:rPr>
      </w:pPr>
      <w:r w:rsidRPr="00C6551A">
        <w:rPr>
          <w:i/>
        </w:rPr>
        <w:t xml:space="preserve">Issue </w:t>
      </w:r>
      <w:r>
        <w:rPr>
          <w:i/>
        </w:rPr>
        <w:t>10</w:t>
      </w:r>
    </w:p>
    <w:p w:rsidR="004A1D95" w:rsidRPr="00267BF1" w:rsidRDefault="004A1D95" w:rsidP="008931F1">
      <w:pPr>
        <w:ind w:left="567"/>
        <w:rPr>
          <w:sz w:val="16"/>
        </w:rPr>
      </w:pPr>
    </w:p>
    <w:p w:rsidR="004A1D95" w:rsidRDefault="004A1D95" w:rsidP="008931F1">
      <w:pPr>
        <w:ind w:left="567"/>
      </w:pPr>
      <w:r>
        <w:t>The WG-ISC agreed that c</w:t>
      </w:r>
      <w:r w:rsidR="008931F1">
        <w:t xml:space="preserve">onsideration should be given to encouraging the </w:t>
      </w:r>
      <w:r w:rsidR="008931F1" w:rsidRPr="007930E0">
        <w:t>Technical Committee</w:t>
      </w:r>
      <w:r w:rsidR="008931F1">
        <w:t xml:space="preserve"> and Technical Working Parties to explore opportunities for facilitating cooperation in selected crops/species where cooperation </w:t>
      </w:r>
      <w:r w:rsidR="00B15A4B">
        <w:t>was already developing between some members of the Union</w:t>
      </w:r>
      <w:r w:rsidR="008931F1">
        <w:t>.</w:t>
      </w:r>
    </w:p>
    <w:p w:rsidR="00B15A4B" w:rsidRDefault="00B15A4B" w:rsidP="008931F1">
      <w:pPr>
        <w:ind w:left="567"/>
      </w:pPr>
    </w:p>
    <w:p w:rsidR="00B15A4B" w:rsidRPr="00C6551A" w:rsidRDefault="00B15A4B" w:rsidP="00B15A4B">
      <w:pPr>
        <w:ind w:left="567"/>
        <w:rPr>
          <w:i/>
        </w:rPr>
      </w:pPr>
      <w:r w:rsidRPr="00C6551A">
        <w:rPr>
          <w:i/>
        </w:rPr>
        <w:t xml:space="preserve">Issue </w:t>
      </w:r>
      <w:r>
        <w:rPr>
          <w:i/>
        </w:rPr>
        <w:t>22</w:t>
      </w:r>
    </w:p>
    <w:p w:rsidR="00B15A4B" w:rsidRPr="00267BF1" w:rsidRDefault="00B15A4B" w:rsidP="008931F1">
      <w:pPr>
        <w:ind w:left="567"/>
        <w:rPr>
          <w:sz w:val="16"/>
        </w:rPr>
      </w:pPr>
    </w:p>
    <w:p w:rsidR="00B15A4B" w:rsidRDefault="00B15A4B" w:rsidP="00B15A4B">
      <w:pPr>
        <w:ind w:left="567"/>
      </w:pPr>
      <w:r w:rsidRPr="001E6E12">
        <w:t>The WG-ISC agreed that the development of databases containing variety descriptions would need to be based on existing initiatives between members of the Union.  The</w:t>
      </w:r>
      <w:r w:rsidR="001E6E12" w:rsidRPr="001E6E12">
        <w:t xml:space="preserve"> WG-ISC agreed that consideration should be given to the</w:t>
      </w:r>
      <w:r w:rsidRPr="001E6E12">
        <w:t xml:space="preserve"> role of UPOV </w:t>
      </w:r>
      <w:r w:rsidR="001E6E12" w:rsidRPr="001E6E12">
        <w:t xml:space="preserve">for </w:t>
      </w:r>
      <w:r w:rsidRPr="001E6E12">
        <w:t>support</w:t>
      </w:r>
      <w:r w:rsidR="001E6E12" w:rsidRPr="001E6E12">
        <w:t>ing</w:t>
      </w:r>
      <w:r w:rsidRPr="001E6E12">
        <w:t xml:space="preserve"> members of the Union in the development, maintenance and expansion of shared databases</w:t>
      </w:r>
      <w:r w:rsidR="001E6E12" w:rsidRPr="001E6E12">
        <w:t xml:space="preserve"> (</w:t>
      </w:r>
      <w:r w:rsidRPr="001E6E12">
        <w:t>e.g. by</w:t>
      </w:r>
      <w:r w:rsidR="00B76A4C" w:rsidRPr="001E6E12">
        <w:t xml:space="preserve"> providing </w:t>
      </w:r>
      <w:r w:rsidR="001E6E12" w:rsidRPr="001E6E12">
        <w:t xml:space="preserve">guidance on </w:t>
      </w:r>
      <w:r w:rsidR="00B76A4C" w:rsidRPr="001E6E12">
        <w:t>data model</w:t>
      </w:r>
      <w:r w:rsidR="001E6E12" w:rsidRPr="001E6E12">
        <w:t xml:space="preserve">s), </w:t>
      </w:r>
      <w:r w:rsidRPr="001E6E12">
        <w:t>rather than seeking to incorporate data in the PLUTO database.</w:t>
      </w:r>
    </w:p>
    <w:p w:rsidR="004A1D95" w:rsidRDefault="004A1D95" w:rsidP="008931F1"/>
    <w:p w:rsidR="00267BF1" w:rsidRDefault="00267BF1" w:rsidP="008931F1"/>
    <w:p w:rsidR="00267BF1" w:rsidRDefault="00267BF1">
      <w:pPr>
        <w:jc w:val="left"/>
      </w:pPr>
      <w:r>
        <w:br w:type="page"/>
      </w:r>
    </w:p>
    <w:p w:rsidR="009C7AF6" w:rsidRDefault="009C7AF6" w:rsidP="007A2890">
      <w:pPr>
        <w:keepNext/>
        <w:ind w:left="567"/>
        <w:jc w:val="left"/>
      </w:pPr>
      <w:r>
        <w:lastRenderedPageBreak/>
        <w:t>NOVELTY</w:t>
      </w:r>
    </w:p>
    <w:p w:rsidR="009C7AF6" w:rsidRPr="007A2890" w:rsidRDefault="009C7AF6" w:rsidP="007A2890">
      <w:pPr>
        <w:keepNext/>
        <w:ind w:left="567"/>
        <w:jc w:val="left"/>
        <w:rPr>
          <w:sz w:val="18"/>
        </w:rPr>
      </w:pPr>
    </w:p>
    <w:p w:rsidR="009C7AF6" w:rsidRDefault="009C7AF6" w:rsidP="00267BF1">
      <w:pPr>
        <w:ind w:left="567"/>
      </w:pPr>
      <w:r>
        <w:t xml:space="preserve">The WG-ISC noted the needs of PVP Offices as set out in (i) to (iii).  It considered the following measures that might meet those needs of PVP Offices: </w:t>
      </w:r>
    </w:p>
    <w:p w:rsidR="009C7AF6" w:rsidRPr="007A2890" w:rsidRDefault="009C7AF6" w:rsidP="001E12E0">
      <w:pPr>
        <w:keepNext/>
        <w:ind w:left="567"/>
        <w:rPr>
          <w:i/>
        </w:rPr>
      </w:pPr>
      <w:r w:rsidRPr="007A2890">
        <w:rPr>
          <w:i/>
        </w:rPr>
        <w:t>Issue 11</w:t>
      </w:r>
    </w:p>
    <w:p w:rsidR="009C7AF6" w:rsidRPr="00267BF1" w:rsidRDefault="009C7AF6" w:rsidP="001E12E0">
      <w:pPr>
        <w:keepNext/>
        <w:ind w:left="567"/>
        <w:jc w:val="left"/>
        <w:rPr>
          <w:sz w:val="16"/>
        </w:rPr>
      </w:pPr>
    </w:p>
    <w:p w:rsidR="009C7AF6" w:rsidRDefault="009C7AF6" w:rsidP="009C7AF6">
      <w:pPr>
        <w:ind w:left="567"/>
      </w:pPr>
      <w:r>
        <w:t xml:space="preserve">The WG-ISC noted that, at its </w:t>
      </w:r>
      <w:r w:rsidRPr="00C6551A">
        <w:t xml:space="preserve">second meeting of the WG-ISC, it </w:t>
      </w:r>
      <w:r>
        <w:t>had</w:t>
      </w:r>
      <w:r w:rsidRPr="00C6551A">
        <w:t xml:space="preserve"> considered that this item was not of a high priority</w:t>
      </w:r>
      <w:r>
        <w:t xml:space="preserve"> and agreed not to consider the issue at that time.</w:t>
      </w:r>
    </w:p>
    <w:p w:rsidR="009C7AF6" w:rsidRDefault="009C7AF6" w:rsidP="009C7AF6">
      <w:pPr>
        <w:ind w:left="567"/>
        <w:jc w:val="left"/>
      </w:pPr>
    </w:p>
    <w:p w:rsidR="009C7AF6" w:rsidRPr="00C6551A" w:rsidRDefault="009C7AF6" w:rsidP="009C7AF6">
      <w:pPr>
        <w:ind w:left="567"/>
        <w:rPr>
          <w:i/>
        </w:rPr>
      </w:pPr>
      <w:r w:rsidRPr="00C6551A">
        <w:rPr>
          <w:i/>
        </w:rPr>
        <w:t xml:space="preserve">Issue </w:t>
      </w:r>
      <w:r>
        <w:rPr>
          <w:i/>
        </w:rPr>
        <w:t>12</w:t>
      </w:r>
    </w:p>
    <w:p w:rsidR="009C7AF6" w:rsidRPr="00267BF1" w:rsidRDefault="009C7AF6" w:rsidP="009C7AF6">
      <w:pPr>
        <w:ind w:left="567"/>
        <w:jc w:val="left"/>
        <w:rPr>
          <w:sz w:val="16"/>
        </w:rPr>
      </w:pPr>
    </w:p>
    <w:p w:rsidR="009C7AF6" w:rsidRDefault="009C7AF6" w:rsidP="009C7AF6">
      <w:pPr>
        <w:ind w:left="567"/>
      </w:pPr>
      <w:r>
        <w:t xml:space="preserve">The WG-ISC noted that, at its </w:t>
      </w:r>
      <w:r w:rsidRPr="00C6551A">
        <w:t xml:space="preserve">second meeting of the WG-ISC, it </w:t>
      </w:r>
      <w:r>
        <w:t>had</w:t>
      </w:r>
      <w:r w:rsidRPr="00C6551A">
        <w:t xml:space="preserve"> considered that this item was not of a high priority</w:t>
      </w:r>
      <w:r>
        <w:t xml:space="preserve"> and agreed not to consider the issue at that time.</w:t>
      </w:r>
    </w:p>
    <w:p w:rsidR="009C7AF6" w:rsidRDefault="009C7AF6" w:rsidP="008931F1"/>
    <w:p w:rsidR="009C7AF6" w:rsidRPr="00C6551A" w:rsidRDefault="009C7AF6" w:rsidP="009C7AF6">
      <w:pPr>
        <w:ind w:left="567"/>
        <w:rPr>
          <w:i/>
        </w:rPr>
      </w:pPr>
      <w:r w:rsidRPr="00C6551A">
        <w:rPr>
          <w:i/>
        </w:rPr>
        <w:t>Issue</w:t>
      </w:r>
      <w:r>
        <w:rPr>
          <w:i/>
        </w:rPr>
        <w:t>s</w:t>
      </w:r>
      <w:r w:rsidRPr="00C6551A">
        <w:rPr>
          <w:i/>
        </w:rPr>
        <w:t xml:space="preserve"> </w:t>
      </w:r>
      <w:r>
        <w:rPr>
          <w:i/>
        </w:rPr>
        <w:t>16 and 17</w:t>
      </w:r>
    </w:p>
    <w:p w:rsidR="009C7AF6" w:rsidRPr="00267BF1" w:rsidRDefault="009C7AF6" w:rsidP="009C7AF6">
      <w:pPr>
        <w:ind w:left="567"/>
        <w:rPr>
          <w:sz w:val="16"/>
        </w:rPr>
      </w:pPr>
    </w:p>
    <w:p w:rsidR="009C7AF6" w:rsidRDefault="009C7AF6" w:rsidP="009C7AF6">
      <w:pPr>
        <w:ind w:left="567"/>
      </w:pPr>
      <w:r>
        <w:t xml:space="preserve">The WG-ISC agreed that </w:t>
      </w:r>
      <w:r w:rsidR="001E6E12">
        <w:t xml:space="preserve">consideration should be given </w:t>
      </w:r>
      <w:r w:rsidR="001E6E12" w:rsidRPr="001E6E12">
        <w:t xml:space="preserve">to </w:t>
      </w:r>
      <w:r w:rsidR="001E6E12">
        <w:t xml:space="preserve">a </w:t>
      </w:r>
      <w:r w:rsidR="001E6E12" w:rsidRPr="001E6E12">
        <w:t xml:space="preserve">review </w:t>
      </w:r>
      <w:r w:rsidR="001E6E12">
        <w:t xml:space="preserve">of </w:t>
      </w:r>
      <w:r w:rsidR="001E6E12" w:rsidRPr="001E6E12">
        <w:t>application forms in UPOV PRISMA for options on seeking information from applicants, concerning novelty</w:t>
      </w:r>
      <w:r>
        <w:t>.</w:t>
      </w:r>
    </w:p>
    <w:p w:rsidR="009C7AF6" w:rsidRDefault="009C7AF6" w:rsidP="009C7AF6">
      <w:pPr>
        <w:ind w:left="567"/>
      </w:pPr>
    </w:p>
    <w:p w:rsidR="009C7AF6" w:rsidRDefault="009C7AF6" w:rsidP="009C7AF6">
      <w:pPr>
        <w:ind w:left="567"/>
      </w:pPr>
    </w:p>
    <w:p w:rsidR="009C7AF6" w:rsidRDefault="009C7AF6" w:rsidP="009C7AF6">
      <w:pPr>
        <w:ind w:left="567"/>
      </w:pPr>
      <w:r w:rsidRPr="009C7AF6">
        <w:t>RIGHT OF PRIORITY</w:t>
      </w:r>
    </w:p>
    <w:p w:rsidR="009C7AF6" w:rsidRDefault="009C7AF6" w:rsidP="009C7AF6">
      <w:pPr>
        <w:ind w:left="567"/>
      </w:pPr>
    </w:p>
    <w:p w:rsidR="009C7AF6" w:rsidRDefault="00536F65" w:rsidP="009C7AF6">
      <w:pPr>
        <w:ind w:left="567"/>
      </w:pPr>
      <w:r>
        <w:t xml:space="preserve">The WG-ISC noted the needs of PVP Offices as set out in (i) but concluded </w:t>
      </w:r>
      <w:r w:rsidR="009C7AF6">
        <w:t>that there were no feasible measures</w:t>
      </w:r>
      <w:r>
        <w:t xml:space="preserve"> to address those needs</w:t>
      </w:r>
      <w:r w:rsidR="009C7AF6">
        <w:t>.</w:t>
      </w:r>
    </w:p>
    <w:p w:rsidR="009C7AF6" w:rsidRDefault="009C7AF6" w:rsidP="009C7AF6">
      <w:pPr>
        <w:ind w:left="567"/>
      </w:pPr>
    </w:p>
    <w:p w:rsidR="004A1D95" w:rsidRDefault="004A1D95" w:rsidP="008931F1"/>
    <w:p w:rsidR="00536F65" w:rsidRDefault="00536F65" w:rsidP="00536F65">
      <w:pPr>
        <w:ind w:left="567"/>
      </w:pPr>
      <w:r>
        <w:t>DENOMINATION</w:t>
      </w:r>
    </w:p>
    <w:p w:rsidR="00536F65" w:rsidRDefault="00536F65" w:rsidP="00536F65">
      <w:pPr>
        <w:ind w:left="567"/>
      </w:pPr>
    </w:p>
    <w:p w:rsidR="00536F65" w:rsidRDefault="00536F65" w:rsidP="00536F65">
      <w:pPr>
        <w:ind w:left="567"/>
      </w:pPr>
      <w:r>
        <w:t xml:space="preserve">The WG-ISC noted the needs of PVP Offices as set out in (i) to (v).  </w:t>
      </w:r>
    </w:p>
    <w:p w:rsidR="00536F65" w:rsidRPr="00267BF1" w:rsidRDefault="00536F65" w:rsidP="00536F65">
      <w:pPr>
        <w:ind w:left="567"/>
        <w:rPr>
          <w:sz w:val="16"/>
        </w:rPr>
      </w:pPr>
    </w:p>
    <w:p w:rsidR="001E6E12" w:rsidRDefault="00536F65" w:rsidP="00536F65">
      <w:pPr>
        <w:ind w:left="567"/>
        <w:rPr>
          <w:lang w:eastAsia="ja-JP"/>
        </w:rPr>
      </w:pPr>
      <w:r>
        <w:t xml:space="preserve">The WG-ISC agreed that consideration should be given to the establishment of a </w:t>
      </w:r>
      <w:r>
        <w:rPr>
          <w:lang w:eastAsia="ja-JP"/>
        </w:rPr>
        <w:t xml:space="preserve">network of denomination contact persons.  </w:t>
      </w:r>
    </w:p>
    <w:p w:rsidR="001E6E12" w:rsidRPr="00267BF1" w:rsidRDefault="001E6E12" w:rsidP="00536F65">
      <w:pPr>
        <w:ind w:left="567"/>
        <w:rPr>
          <w:sz w:val="16"/>
          <w:lang w:eastAsia="ja-JP"/>
        </w:rPr>
      </w:pPr>
    </w:p>
    <w:p w:rsidR="00536F65" w:rsidRPr="007A2890" w:rsidRDefault="001E6E12" w:rsidP="00536F65">
      <w:pPr>
        <w:ind w:left="567"/>
        <w:rPr>
          <w:spacing w:val="-2"/>
        </w:rPr>
      </w:pPr>
      <w:r w:rsidRPr="007A2890">
        <w:rPr>
          <w:spacing w:val="-2"/>
          <w:lang w:eastAsia="ja-JP"/>
        </w:rPr>
        <w:t xml:space="preserve">The WG-ISC </w:t>
      </w:r>
      <w:r w:rsidRPr="007A2890">
        <w:rPr>
          <w:spacing w:val="-2"/>
        </w:rPr>
        <w:t xml:space="preserve">also </w:t>
      </w:r>
      <w:r w:rsidR="00536F65" w:rsidRPr="007A2890">
        <w:rPr>
          <w:spacing w:val="-2"/>
        </w:rPr>
        <w:t xml:space="preserve">considered the following </w:t>
      </w:r>
      <w:r w:rsidRPr="007A2890">
        <w:rPr>
          <w:spacing w:val="-2"/>
        </w:rPr>
        <w:t xml:space="preserve">additional </w:t>
      </w:r>
      <w:r w:rsidR="00536F65" w:rsidRPr="007A2890">
        <w:rPr>
          <w:spacing w:val="-2"/>
        </w:rPr>
        <w:t xml:space="preserve">measures that might meet the needs of PVP Offices: </w:t>
      </w:r>
    </w:p>
    <w:p w:rsidR="00536F65" w:rsidRDefault="00536F65" w:rsidP="00536F65">
      <w:pPr>
        <w:ind w:left="567"/>
      </w:pPr>
    </w:p>
    <w:p w:rsidR="00536F65" w:rsidRPr="00C6551A" w:rsidRDefault="00536F65" w:rsidP="00536F65">
      <w:pPr>
        <w:ind w:left="567"/>
        <w:rPr>
          <w:i/>
        </w:rPr>
      </w:pPr>
      <w:r w:rsidRPr="00C6551A">
        <w:rPr>
          <w:i/>
        </w:rPr>
        <w:t xml:space="preserve">Issue </w:t>
      </w:r>
      <w:r>
        <w:rPr>
          <w:i/>
        </w:rPr>
        <w:t>11</w:t>
      </w:r>
    </w:p>
    <w:p w:rsidR="00536F65" w:rsidRPr="00267BF1" w:rsidRDefault="00536F65" w:rsidP="00536F65">
      <w:pPr>
        <w:ind w:left="567"/>
        <w:jc w:val="left"/>
        <w:rPr>
          <w:sz w:val="16"/>
        </w:rPr>
      </w:pPr>
    </w:p>
    <w:p w:rsidR="00536F65" w:rsidRDefault="00536F65" w:rsidP="00536F65">
      <w:pPr>
        <w:ind w:left="567"/>
      </w:pPr>
      <w:r>
        <w:t xml:space="preserve">The WG-ISC noted that, at its </w:t>
      </w:r>
      <w:r w:rsidRPr="00C6551A">
        <w:t xml:space="preserve">second meeting of the WG-ISC, it </w:t>
      </w:r>
      <w:r>
        <w:t>had</w:t>
      </w:r>
      <w:r w:rsidRPr="00C6551A">
        <w:t xml:space="preserve"> considered that this item was not of a high priority</w:t>
      </w:r>
      <w:r>
        <w:t xml:space="preserve"> and agreed not to consider the issue at that time.</w:t>
      </w:r>
    </w:p>
    <w:p w:rsidR="00536F65" w:rsidRDefault="00536F65" w:rsidP="00536F65">
      <w:pPr>
        <w:ind w:left="567"/>
        <w:jc w:val="left"/>
      </w:pPr>
    </w:p>
    <w:p w:rsidR="00536F65" w:rsidRPr="00C6551A" w:rsidRDefault="00536F65" w:rsidP="00536F65">
      <w:pPr>
        <w:ind w:left="567"/>
        <w:rPr>
          <w:i/>
        </w:rPr>
      </w:pPr>
      <w:r w:rsidRPr="00C6551A">
        <w:rPr>
          <w:i/>
        </w:rPr>
        <w:t xml:space="preserve">Issue </w:t>
      </w:r>
      <w:r>
        <w:rPr>
          <w:i/>
        </w:rPr>
        <w:t>12</w:t>
      </w:r>
    </w:p>
    <w:p w:rsidR="00536F65" w:rsidRPr="00267BF1" w:rsidRDefault="00536F65" w:rsidP="00536F65">
      <w:pPr>
        <w:ind w:left="567"/>
        <w:jc w:val="left"/>
        <w:rPr>
          <w:sz w:val="16"/>
        </w:rPr>
      </w:pPr>
    </w:p>
    <w:p w:rsidR="00536F65" w:rsidRDefault="00536F65" w:rsidP="00536F65">
      <w:pPr>
        <w:ind w:left="567"/>
      </w:pPr>
      <w:r>
        <w:t xml:space="preserve">The WG-ISC noted that, at its </w:t>
      </w:r>
      <w:r w:rsidRPr="00C6551A">
        <w:t xml:space="preserve">second meeting of the WG-ISC, it </w:t>
      </w:r>
      <w:r>
        <w:t>had</w:t>
      </w:r>
      <w:r w:rsidRPr="00C6551A">
        <w:t xml:space="preserve"> considered that this item was not of a high priority</w:t>
      </w:r>
      <w:r>
        <w:t xml:space="preserve"> and agreed not to consider the issue at that time.</w:t>
      </w:r>
    </w:p>
    <w:p w:rsidR="00536F65" w:rsidRDefault="00536F65" w:rsidP="00536F65">
      <w:pPr>
        <w:ind w:left="567"/>
      </w:pPr>
    </w:p>
    <w:p w:rsidR="00536F65" w:rsidRPr="00C6551A" w:rsidRDefault="00536F65" w:rsidP="00536F65">
      <w:pPr>
        <w:ind w:left="567"/>
        <w:rPr>
          <w:i/>
        </w:rPr>
      </w:pPr>
      <w:r w:rsidRPr="00C6551A">
        <w:rPr>
          <w:i/>
        </w:rPr>
        <w:t xml:space="preserve">Issue </w:t>
      </w:r>
      <w:r>
        <w:rPr>
          <w:i/>
        </w:rPr>
        <w:t>13</w:t>
      </w:r>
    </w:p>
    <w:p w:rsidR="00536F65" w:rsidRPr="00267BF1" w:rsidRDefault="00536F65" w:rsidP="00536F65">
      <w:pPr>
        <w:ind w:left="567"/>
        <w:jc w:val="left"/>
        <w:rPr>
          <w:sz w:val="16"/>
        </w:rPr>
      </w:pPr>
    </w:p>
    <w:p w:rsidR="00536F65" w:rsidRDefault="00536F65" w:rsidP="00536F65">
      <w:pPr>
        <w:ind w:left="567"/>
      </w:pPr>
      <w:r>
        <w:t>The WG-ISC noted that this issue was linked to Issues 11 and 12, and agreed not to consider the issue at that time.</w:t>
      </w:r>
    </w:p>
    <w:p w:rsidR="00536F65" w:rsidRDefault="00536F65" w:rsidP="00536F65">
      <w:pPr>
        <w:ind w:left="567"/>
      </w:pPr>
    </w:p>
    <w:p w:rsidR="00536F65" w:rsidRPr="00267BF1" w:rsidRDefault="00536F65" w:rsidP="00536F65">
      <w:pPr>
        <w:ind w:left="567"/>
        <w:rPr>
          <w:i/>
          <w:sz w:val="18"/>
        </w:rPr>
      </w:pPr>
      <w:r w:rsidRPr="00C6551A">
        <w:rPr>
          <w:i/>
        </w:rPr>
        <w:t xml:space="preserve">Issue </w:t>
      </w:r>
      <w:r>
        <w:rPr>
          <w:i/>
        </w:rPr>
        <w:t>14</w:t>
      </w:r>
    </w:p>
    <w:p w:rsidR="00536F65" w:rsidRPr="00267BF1" w:rsidRDefault="00536F65" w:rsidP="00536F65">
      <w:pPr>
        <w:ind w:left="567"/>
        <w:rPr>
          <w:sz w:val="16"/>
        </w:rPr>
      </w:pPr>
    </w:p>
    <w:p w:rsidR="00536F65" w:rsidRDefault="00536F65" w:rsidP="00536F65">
      <w:pPr>
        <w:ind w:left="567"/>
      </w:pPr>
      <w:r>
        <w:t>The WG-ISC noted that the</w:t>
      </w:r>
      <w:r w:rsidR="0050077A">
        <w:t xml:space="preserve"> Administrative and Legal Committee (CAJ), through the </w:t>
      </w:r>
      <w:r w:rsidRPr="00536F65">
        <w:t>Working Group on Variety Denominations</w:t>
      </w:r>
      <w:r w:rsidR="0050077A">
        <w:t xml:space="preserve"> (WG-DEN), was considering the development of </w:t>
      </w:r>
      <w:r w:rsidR="0050077A" w:rsidRPr="0050077A">
        <w:t>a UPOV similarity search tool for variety denomination purposes</w:t>
      </w:r>
      <w:r w:rsidR="0050077A">
        <w:t xml:space="preserve"> and agreed to endorse that work as a measure to address the needs of PVP offices</w:t>
      </w:r>
      <w:r>
        <w:t>.</w:t>
      </w:r>
      <w:r w:rsidR="0050077A">
        <w:t xml:space="preserve">  It noted that the WG-DEN had agreed to recommend not to consider extending the tool to include words or elements that were considered to be unsuitable by members of the Union. </w:t>
      </w:r>
    </w:p>
    <w:p w:rsidR="004A1D95" w:rsidRDefault="004A1D95" w:rsidP="007A2890"/>
    <w:p w:rsidR="0050077A" w:rsidRDefault="0050077A" w:rsidP="007A2890">
      <w:pPr>
        <w:keepNext/>
        <w:ind w:left="567"/>
        <w:rPr>
          <w:i/>
        </w:rPr>
      </w:pPr>
      <w:r w:rsidRPr="00C6551A">
        <w:rPr>
          <w:i/>
        </w:rPr>
        <w:t xml:space="preserve">Issue </w:t>
      </w:r>
      <w:r>
        <w:rPr>
          <w:i/>
        </w:rPr>
        <w:t>15</w:t>
      </w:r>
    </w:p>
    <w:p w:rsidR="0050077A" w:rsidRPr="00267BF1" w:rsidRDefault="0050077A" w:rsidP="007A2890">
      <w:pPr>
        <w:keepNext/>
        <w:ind w:left="567"/>
        <w:rPr>
          <w:i/>
          <w:sz w:val="18"/>
        </w:rPr>
      </w:pPr>
    </w:p>
    <w:p w:rsidR="0050077A" w:rsidRPr="007A2890" w:rsidRDefault="0050077A" w:rsidP="0050077A">
      <w:pPr>
        <w:ind w:left="567"/>
        <w:rPr>
          <w:spacing w:val="-2"/>
        </w:rPr>
      </w:pPr>
      <w:r w:rsidRPr="007A2890">
        <w:rPr>
          <w:spacing w:val="-2"/>
        </w:rPr>
        <w:t xml:space="preserve">The WG-ISC noted that the WG-DEN was considering the need to extend consideration beyond the denominations currently included in the PLUTO database, to other denominations considered by members of the Union.  The WG-ISC agreed to endorse the work of the CAJ and WG-DEN on that measure.  </w:t>
      </w:r>
    </w:p>
    <w:p w:rsidR="0050077A" w:rsidRDefault="0050077A" w:rsidP="0050077A">
      <w:pPr>
        <w:ind w:left="567"/>
      </w:pPr>
    </w:p>
    <w:p w:rsidR="0050077A" w:rsidRDefault="0050077A" w:rsidP="00D1713D">
      <w:pPr>
        <w:keepNext/>
        <w:ind w:left="567"/>
      </w:pPr>
      <w:r w:rsidRPr="0050077A">
        <w:lastRenderedPageBreak/>
        <w:t>COOPERATION IN ADMINISTRATIVE MATTERS</w:t>
      </w:r>
    </w:p>
    <w:p w:rsidR="0050077A" w:rsidRPr="007A2890" w:rsidRDefault="0050077A" w:rsidP="00D1713D">
      <w:pPr>
        <w:keepNext/>
        <w:ind w:left="567"/>
        <w:rPr>
          <w:sz w:val="18"/>
        </w:rPr>
      </w:pPr>
    </w:p>
    <w:p w:rsidR="0050077A" w:rsidRDefault="0050077A" w:rsidP="0050077A">
      <w:pPr>
        <w:ind w:left="567"/>
      </w:pPr>
      <w:r>
        <w:t xml:space="preserve">The WG-ISC noted the needs of PVP Offices as set out in (i) and (ii).  </w:t>
      </w:r>
    </w:p>
    <w:p w:rsidR="00392007" w:rsidRPr="007A2890" w:rsidRDefault="00392007" w:rsidP="0050077A">
      <w:pPr>
        <w:ind w:left="567"/>
        <w:rPr>
          <w:sz w:val="18"/>
        </w:rPr>
      </w:pPr>
    </w:p>
    <w:p w:rsidR="00392007" w:rsidRDefault="00392007" w:rsidP="0050077A">
      <w:pPr>
        <w:ind w:left="567"/>
      </w:pPr>
      <w:r>
        <w:t xml:space="preserve">The WG-ISC agreed that consideration should be given to including information in UPOV PRISMA on how to </w:t>
      </w:r>
      <w:r w:rsidR="0058114B">
        <w:t>make</w:t>
      </w:r>
      <w:r>
        <w:t xml:space="preserve"> payments </w:t>
      </w:r>
      <w:r>
        <w:rPr>
          <w:lang w:eastAsia="ja-JP"/>
        </w:rPr>
        <w:t xml:space="preserve">for the </w:t>
      </w:r>
      <w:r w:rsidR="001E6E12">
        <w:rPr>
          <w:lang w:eastAsia="ja-JP"/>
        </w:rPr>
        <w:t>use</w:t>
      </w:r>
      <w:r>
        <w:rPr>
          <w:lang w:eastAsia="ja-JP"/>
        </w:rPr>
        <w:t xml:space="preserve"> of </w:t>
      </w:r>
      <w:r w:rsidR="001E6E12">
        <w:rPr>
          <w:lang w:eastAsia="ja-JP"/>
        </w:rPr>
        <w:t>existing DUS reports, provided by another member of the Union</w:t>
      </w:r>
      <w:r>
        <w:rPr>
          <w:lang w:eastAsia="ja-JP"/>
        </w:rPr>
        <w:t>.</w:t>
      </w:r>
    </w:p>
    <w:p w:rsidR="0050077A" w:rsidRDefault="0050077A" w:rsidP="0050077A">
      <w:pPr>
        <w:ind w:left="567"/>
      </w:pPr>
    </w:p>
    <w:p w:rsidR="0050077A" w:rsidRPr="0050077A" w:rsidRDefault="0050077A" w:rsidP="0050077A">
      <w:pPr>
        <w:ind w:left="567"/>
        <w:rPr>
          <w:i/>
        </w:rPr>
      </w:pPr>
      <w:r w:rsidRPr="0050077A">
        <w:rPr>
          <w:i/>
        </w:rPr>
        <w:t xml:space="preserve">Issue </w:t>
      </w:r>
      <w:r>
        <w:rPr>
          <w:i/>
        </w:rPr>
        <w:t>24</w:t>
      </w:r>
    </w:p>
    <w:p w:rsidR="0050077A" w:rsidRPr="00267BF1" w:rsidRDefault="0050077A" w:rsidP="0050077A">
      <w:pPr>
        <w:ind w:left="567"/>
        <w:rPr>
          <w:sz w:val="16"/>
        </w:rPr>
      </w:pPr>
    </w:p>
    <w:p w:rsidR="0050077A" w:rsidRDefault="0050077A" w:rsidP="0050077A">
      <w:pPr>
        <w:ind w:left="567"/>
      </w:pPr>
      <w:r>
        <w:t>The WG-ISC noted that, at its second meeting of the WG-ISC, it had considered that this item was not of a high priority and agreed not to consider the issue at that time.</w:t>
      </w:r>
    </w:p>
    <w:p w:rsidR="0050077A" w:rsidRDefault="0050077A" w:rsidP="0050077A">
      <w:pPr>
        <w:ind w:left="567"/>
      </w:pPr>
    </w:p>
    <w:p w:rsidR="0050077A" w:rsidRDefault="0050077A" w:rsidP="0050077A">
      <w:pPr>
        <w:ind w:left="567"/>
      </w:pPr>
    </w:p>
    <w:p w:rsidR="0050077A" w:rsidRDefault="0050077A" w:rsidP="0050077A">
      <w:pPr>
        <w:ind w:left="567"/>
      </w:pPr>
      <w:r w:rsidRPr="0050077A">
        <w:t>FACILITATING APPLICATIONS</w:t>
      </w:r>
    </w:p>
    <w:p w:rsidR="0050077A" w:rsidRPr="007A2890" w:rsidRDefault="0050077A" w:rsidP="0050077A">
      <w:pPr>
        <w:ind w:left="567"/>
        <w:rPr>
          <w:sz w:val="18"/>
        </w:rPr>
      </w:pPr>
    </w:p>
    <w:p w:rsidR="0050077A" w:rsidRDefault="0050077A" w:rsidP="0050077A">
      <w:pPr>
        <w:ind w:left="567"/>
      </w:pPr>
      <w:r>
        <w:t>The WG-ISC noted the needs of PVP Offices as set out in (i) and (ii).</w:t>
      </w:r>
    </w:p>
    <w:p w:rsidR="001E6E12" w:rsidRPr="00267BF1" w:rsidRDefault="001E6E12" w:rsidP="0050077A">
      <w:pPr>
        <w:ind w:left="567"/>
        <w:rPr>
          <w:sz w:val="18"/>
        </w:rPr>
      </w:pPr>
    </w:p>
    <w:p w:rsidR="001E6E12" w:rsidRDefault="001E6E12" w:rsidP="0050077A">
      <w:pPr>
        <w:ind w:left="567"/>
      </w:pPr>
      <w:r>
        <w:t>The WG-ISC agreed that the needs identified in (i) and (ii) were being addressed by UPOV PRISMA.</w:t>
      </w:r>
    </w:p>
    <w:p w:rsidR="004A1D95" w:rsidRPr="007A2890" w:rsidRDefault="004A1D95" w:rsidP="008931F1">
      <w:pPr>
        <w:rPr>
          <w:sz w:val="18"/>
        </w:rPr>
      </w:pPr>
    </w:p>
    <w:p w:rsidR="0050077A" w:rsidRPr="0050077A" w:rsidRDefault="0050077A" w:rsidP="0050077A">
      <w:pPr>
        <w:ind w:left="567"/>
        <w:rPr>
          <w:i/>
        </w:rPr>
      </w:pPr>
      <w:r w:rsidRPr="0050077A">
        <w:rPr>
          <w:i/>
        </w:rPr>
        <w:t xml:space="preserve">Issue </w:t>
      </w:r>
      <w:r>
        <w:rPr>
          <w:i/>
        </w:rPr>
        <w:t>2</w:t>
      </w:r>
    </w:p>
    <w:p w:rsidR="0050077A" w:rsidRPr="00267BF1" w:rsidRDefault="0050077A" w:rsidP="0050077A">
      <w:pPr>
        <w:ind w:left="567"/>
        <w:rPr>
          <w:sz w:val="16"/>
        </w:rPr>
      </w:pPr>
    </w:p>
    <w:p w:rsidR="0050077A" w:rsidRDefault="0050077A" w:rsidP="0050077A">
      <w:pPr>
        <w:ind w:left="567"/>
      </w:pPr>
      <w:r>
        <w:t>The WG-ISC noted that, at its second meeting of the WG-ISC, it had considered that this item was not of a high priority and agreed not to consider the issue at that time.</w:t>
      </w:r>
    </w:p>
    <w:p w:rsidR="0050077A" w:rsidRDefault="0050077A" w:rsidP="008931F1"/>
    <w:p w:rsidR="001E6E12" w:rsidRDefault="001E6E12" w:rsidP="001E6E12">
      <w:pPr>
        <w:jc w:val="left"/>
      </w:pPr>
    </w:p>
    <w:p w:rsidR="007A2890" w:rsidRDefault="007A2890" w:rsidP="001E6E12">
      <w:pPr>
        <w:jc w:val="left"/>
      </w:pPr>
    </w:p>
    <w:p w:rsidR="001E6E12" w:rsidRDefault="001E6E12" w:rsidP="001E6E12">
      <w:pPr>
        <w:jc w:val="left"/>
      </w:pPr>
      <w:r>
        <w:t>NEXT STEPS</w:t>
      </w:r>
    </w:p>
    <w:p w:rsidR="001E6E12" w:rsidRDefault="001E6E12" w:rsidP="001E6E12">
      <w:pPr>
        <w:jc w:val="left"/>
      </w:pPr>
    </w:p>
    <w:p w:rsidR="001E6E12" w:rsidRDefault="001E6E12" w:rsidP="001E6E12">
      <w:r w:rsidRPr="007C7E53">
        <w:fldChar w:fldCharType="begin"/>
      </w:r>
      <w:r w:rsidRPr="007C7E53">
        <w:instrText xml:space="preserve"> AUTONUM  </w:instrText>
      </w:r>
      <w:r w:rsidRPr="007C7E53">
        <w:fldChar w:fldCharType="end"/>
      </w:r>
      <w:r w:rsidRPr="007C7E53">
        <w:tab/>
      </w:r>
      <w:r>
        <w:t>The WG-ISC agreed to request</w:t>
      </w:r>
      <w:r w:rsidRPr="001E6E12">
        <w:t xml:space="preserve"> the Office to prepare a </w:t>
      </w:r>
      <w:r w:rsidR="007577F5">
        <w:t xml:space="preserve">first </w:t>
      </w:r>
      <w:r w:rsidRPr="001E6E12">
        <w:t>draft document containing proposals, analysis and information for consideration by correspondence</w:t>
      </w:r>
      <w:r>
        <w:t xml:space="preserve">, based on the </w:t>
      </w:r>
      <w:r w:rsidRPr="001E6E12">
        <w:t xml:space="preserve">conclusions </w:t>
      </w:r>
      <w:r>
        <w:t xml:space="preserve">above and respecting </w:t>
      </w:r>
      <w:r w:rsidRPr="001E6E12">
        <w:t>Purpose 1</w:t>
      </w:r>
      <w:r w:rsidR="007577F5">
        <w:t>,</w:t>
      </w:r>
      <w:r>
        <w:t xml:space="preserve"> and p</w:t>
      </w:r>
      <w:r w:rsidRPr="001E6E12">
        <w:t>roviding an analysis according to Purpose 2</w:t>
      </w:r>
      <w:r w:rsidR="007577F5">
        <w:t>,</w:t>
      </w:r>
      <w:r>
        <w:t xml:space="preserve"> of the </w:t>
      </w:r>
      <w:r w:rsidRPr="001E6E12">
        <w:t>Mandate and Terms of Reference</w:t>
      </w:r>
      <w:r>
        <w:t>.</w:t>
      </w:r>
      <w:r w:rsidR="007577F5">
        <w:t xml:space="preserve">  It agreed that the document should include relevant background information on the </w:t>
      </w:r>
      <w:r w:rsidR="007577F5" w:rsidRPr="007577F5">
        <w:t>existing UPOV initiatives and materials</w:t>
      </w:r>
      <w:r w:rsidR="00653E40">
        <w:t xml:space="preserve"> on which </w:t>
      </w:r>
      <w:r w:rsidR="007577F5">
        <w:t xml:space="preserve">proposals </w:t>
      </w:r>
      <w:r w:rsidR="00653E40">
        <w:t>were</w:t>
      </w:r>
      <w:r w:rsidR="007577F5">
        <w:t xml:space="preserve"> based.  </w:t>
      </w:r>
    </w:p>
    <w:p w:rsidR="001E6E12" w:rsidRDefault="001E6E12" w:rsidP="001E6E12"/>
    <w:p w:rsidR="007577F5" w:rsidRDefault="001E6E12" w:rsidP="001E6E12">
      <w:r w:rsidRPr="007C7E53">
        <w:fldChar w:fldCharType="begin"/>
      </w:r>
      <w:r w:rsidRPr="007C7E53">
        <w:instrText xml:space="preserve"> AUTONUM  </w:instrText>
      </w:r>
      <w:r w:rsidRPr="007C7E53">
        <w:fldChar w:fldCharType="end"/>
      </w:r>
      <w:r w:rsidRPr="007C7E53">
        <w:tab/>
      </w:r>
      <w:r w:rsidR="007577F5">
        <w:t xml:space="preserve">The WG-ISC further agreed that a second draft should be </w:t>
      </w:r>
      <w:r w:rsidR="00AC1683">
        <w:t xml:space="preserve">prepared </w:t>
      </w:r>
      <w:r w:rsidR="007577F5">
        <w:t>for consideration by the WG-ISC at its fifth meeting</w:t>
      </w:r>
      <w:r w:rsidR="001701A1" w:rsidRPr="001701A1">
        <w:t>. Subject to agreement by the WG-ISC</w:t>
      </w:r>
      <w:r w:rsidR="001701A1">
        <w:t xml:space="preserve"> at its fifth meeting</w:t>
      </w:r>
      <w:r w:rsidR="001701A1" w:rsidRPr="001701A1">
        <w:t xml:space="preserve">, the document would be presented to the Consultative Committee </w:t>
      </w:r>
      <w:r w:rsidR="00653E40">
        <w:t>at its ninety-sixth session</w:t>
      </w:r>
      <w:r w:rsidR="001701A1" w:rsidRPr="001701A1">
        <w:t>.</w:t>
      </w:r>
    </w:p>
    <w:p w:rsidR="007577F5" w:rsidRDefault="007577F5" w:rsidP="001E6E12"/>
    <w:p w:rsidR="007A2890" w:rsidRDefault="007A2890" w:rsidP="001E6E12"/>
    <w:p w:rsidR="007577F5" w:rsidRDefault="007577F5" w:rsidP="001E6E12"/>
    <w:p w:rsidR="001701A1" w:rsidRDefault="001701A1" w:rsidP="001E6E12">
      <w:r>
        <w:t>DATE AND PROGRAM OF THE NEXT MEETING</w:t>
      </w:r>
    </w:p>
    <w:p w:rsidR="001701A1" w:rsidRDefault="001701A1" w:rsidP="001E6E12"/>
    <w:p w:rsidR="00653E40" w:rsidRDefault="001701A1" w:rsidP="00653E40">
      <w:r w:rsidRPr="007C7E53">
        <w:fldChar w:fldCharType="begin"/>
      </w:r>
      <w:r w:rsidRPr="007C7E53">
        <w:instrText xml:space="preserve"> AUTONUM  </w:instrText>
      </w:r>
      <w:r w:rsidRPr="007C7E53">
        <w:fldChar w:fldCharType="end"/>
      </w:r>
      <w:r w:rsidRPr="007C7E53">
        <w:tab/>
      </w:r>
      <w:r w:rsidR="00653E40" w:rsidRPr="00F70D77">
        <w:rPr>
          <w:snapToGrid w:val="0"/>
        </w:rPr>
        <w:t>The</w:t>
      </w:r>
      <w:r w:rsidR="00653E40">
        <w:rPr>
          <w:snapToGrid w:val="0"/>
        </w:rPr>
        <w:t xml:space="preserve"> WG-ISC </w:t>
      </w:r>
      <w:r w:rsidR="00653E40" w:rsidRPr="00F70D77">
        <w:t xml:space="preserve">agreed to propose that the </w:t>
      </w:r>
      <w:r w:rsidR="00653E40">
        <w:t>fifth</w:t>
      </w:r>
      <w:r w:rsidR="00653E40" w:rsidRPr="00F70D77">
        <w:t xml:space="preserve"> meeting of the </w:t>
      </w:r>
      <w:r w:rsidR="00653E40">
        <w:rPr>
          <w:lang w:eastAsia="ja-JP"/>
        </w:rPr>
        <w:t>WG-ISC (WG-ISC/5</w:t>
      </w:r>
      <w:r w:rsidR="00653E40" w:rsidRPr="00F70D77">
        <w:rPr>
          <w:lang w:eastAsia="ja-JP"/>
        </w:rPr>
        <w:t xml:space="preserve">) </w:t>
      </w:r>
      <w:r w:rsidR="00653E40" w:rsidRPr="00F70D77">
        <w:t xml:space="preserve">be held in Geneva on </w:t>
      </w:r>
      <w:r w:rsidR="00653E40">
        <w:t>the evening of October 30, 2019</w:t>
      </w:r>
      <w:r w:rsidR="00653E40" w:rsidRPr="00F70D77">
        <w:t>.</w:t>
      </w:r>
    </w:p>
    <w:p w:rsidR="00653E40" w:rsidRDefault="00653E40" w:rsidP="00653E40"/>
    <w:p w:rsidR="00653E40" w:rsidRDefault="00653E40" w:rsidP="00653E40">
      <w:r>
        <w:fldChar w:fldCharType="begin"/>
      </w:r>
      <w:r>
        <w:instrText xml:space="preserve"> AUTONUM  </w:instrText>
      </w:r>
      <w:r>
        <w:fldChar w:fldCharType="end"/>
      </w:r>
      <w:r>
        <w:tab/>
        <w:t>The WG-ISC agreed that the program for its fifth meeting would be as follows:</w:t>
      </w:r>
    </w:p>
    <w:p w:rsidR="00653E40" w:rsidRPr="0061401C" w:rsidRDefault="00653E40" w:rsidP="00653E40">
      <w:pPr>
        <w:rPr>
          <w:sz w:val="18"/>
        </w:rPr>
      </w:pPr>
    </w:p>
    <w:p w:rsidR="00653E40" w:rsidRPr="0061401C" w:rsidRDefault="00653E40" w:rsidP="00653E40">
      <w:pPr>
        <w:ind w:left="567"/>
      </w:pPr>
      <w:r w:rsidRPr="0061401C">
        <w:t>1.</w:t>
      </w:r>
      <w:r w:rsidRPr="0061401C">
        <w:tab/>
        <w:t>Opening of the meeting</w:t>
      </w:r>
    </w:p>
    <w:p w:rsidR="00653E40" w:rsidRPr="0061401C" w:rsidRDefault="00653E40" w:rsidP="00653E40">
      <w:pPr>
        <w:ind w:left="567"/>
        <w:rPr>
          <w:sz w:val="16"/>
        </w:rPr>
      </w:pPr>
    </w:p>
    <w:p w:rsidR="00653E40" w:rsidRPr="0061401C" w:rsidRDefault="00653E40" w:rsidP="00653E40">
      <w:pPr>
        <w:ind w:left="567"/>
      </w:pPr>
      <w:r w:rsidRPr="0061401C">
        <w:t>2.</w:t>
      </w:r>
      <w:r w:rsidRPr="0061401C">
        <w:tab/>
        <w:t>Adoption of the agenda</w:t>
      </w:r>
    </w:p>
    <w:p w:rsidR="00653E40" w:rsidRPr="0061401C" w:rsidRDefault="00653E40" w:rsidP="00653E40">
      <w:pPr>
        <w:ind w:left="567"/>
        <w:rPr>
          <w:sz w:val="16"/>
        </w:rPr>
      </w:pPr>
    </w:p>
    <w:p w:rsidR="00653E40" w:rsidRPr="0061401C" w:rsidRDefault="00653E40" w:rsidP="00653E40">
      <w:pPr>
        <w:ind w:left="1134" w:hanging="567"/>
      </w:pPr>
      <w:r w:rsidRPr="0061401C">
        <w:t>3.</w:t>
      </w:r>
      <w:r w:rsidRPr="0061401C">
        <w:tab/>
      </w:r>
      <w:r>
        <w:t>P</w:t>
      </w:r>
      <w:r w:rsidRPr="00432DE2">
        <w:t xml:space="preserve">roposals for consideration by the Consultative Committee </w:t>
      </w:r>
      <w:r w:rsidRPr="0061401C">
        <w:t xml:space="preserve">(document </w:t>
      </w:r>
      <w:r w:rsidRPr="0061401C">
        <w:rPr>
          <w:snapToGrid w:val="0"/>
        </w:rPr>
        <w:t>to be prepared by the Office of the Union</w:t>
      </w:r>
      <w:r w:rsidRPr="0061401C">
        <w:t>)</w:t>
      </w:r>
    </w:p>
    <w:p w:rsidR="00653E40" w:rsidRPr="0061401C" w:rsidRDefault="00653E40" w:rsidP="00653E40">
      <w:pPr>
        <w:ind w:left="567"/>
        <w:rPr>
          <w:sz w:val="16"/>
        </w:rPr>
      </w:pPr>
    </w:p>
    <w:p w:rsidR="00653E40" w:rsidRPr="0061401C" w:rsidRDefault="00653E40" w:rsidP="00653E40">
      <w:pPr>
        <w:ind w:left="567"/>
      </w:pPr>
      <w:r w:rsidRPr="0061401C">
        <w:t>4.</w:t>
      </w:r>
      <w:r w:rsidRPr="0061401C">
        <w:tab/>
        <w:t>Next steps</w:t>
      </w:r>
    </w:p>
    <w:p w:rsidR="00653E40" w:rsidRPr="0061401C" w:rsidRDefault="00653E40" w:rsidP="00653E40">
      <w:pPr>
        <w:ind w:left="567"/>
        <w:rPr>
          <w:sz w:val="16"/>
        </w:rPr>
      </w:pPr>
    </w:p>
    <w:p w:rsidR="001E6E12" w:rsidRDefault="00653E40" w:rsidP="007A2890">
      <w:pPr>
        <w:ind w:left="567"/>
      </w:pPr>
      <w:r w:rsidRPr="0061401C">
        <w:t>5.</w:t>
      </w:r>
      <w:r w:rsidRPr="0061401C">
        <w:tab/>
        <w:t xml:space="preserve">Date and program of the next </w:t>
      </w:r>
      <w:r w:rsidR="007A2890">
        <w:t>meetin</w:t>
      </w:r>
      <w:r w:rsidR="00DD2527">
        <w:t>g</w:t>
      </w:r>
    </w:p>
    <w:p w:rsidR="00CF04C9" w:rsidRDefault="00CF04C9">
      <w:pPr>
        <w:jc w:val="left"/>
      </w:pPr>
    </w:p>
    <w:p w:rsidR="00267BF1" w:rsidRPr="00C80FC1" w:rsidRDefault="00267BF1" w:rsidP="00155B6B">
      <w:pPr>
        <w:tabs>
          <w:tab w:val="left" w:pos="5387"/>
        </w:tabs>
        <w:ind w:left="4820"/>
        <w:jc w:val="left"/>
        <w:rPr>
          <w:i/>
        </w:rPr>
      </w:pPr>
      <w:r w:rsidRPr="00C80FC1">
        <w:rPr>
          <w:i/>
        </w:rPr>
        <w:fldChar w:fldCharType="begin"/>
      </w:r>
      <w:r w:rsidRPr="00C80FC1">
        <w:rPr>
          <w:i/>
        </w:rPr>
        <w:instrText xml:space="preserve"> AUTONUM  </w:instrText>
      </w:r>
      <w:r w:rsidRPr="00C80FC1">
        <w:rPr>
          <w:i/>
        </w:rPr>
        <w:fldChar w:fldCharType="end"/>
      </w:r>
      <w:r w:rsidRPr="00C80FC1">
        <w:rPr>
          <w:i/>
        </w:rPr>
        <w:tab/>
        <w:t>This report was adopted by correspondence.</w:t>
      </w:r>
    </w:p>
    <w:p w:rsidR="00267BF1" w:rsidRDefault="00267BF1" w:rsidP="00267BF1">
      <w:pPr>
        <w:ind w:left="2835"/>
        <w:jc w:val="left"/>
      </w:pPr>
    </w:p>
    <w:p w:rsidR="00267BF1" w:rsidRDefault="00267BF1" w:rsidP="00267BF1">
      <w:pPr>
        <w:ind w:left="2835"/>
        <w:jc w:val="left"/>
      </w:pPr>
    </w:p>
    <w:p w:rsidR="00267BF1" w:rsidRDefault="00267BF1" w:rsidP="00267BF1">
      <w:pPr>
        <w:ind w:left="2835"/>
        <w:jc w:val="left"/>
      </w:pPr>
      <w:r>
        <w:rPr>
          <w:rFonts w:cs="Arial"/>
          <w:noProof/>
        </w:rPr>
        <mc:AlternateContent>
          <mc:Choice Requires="wps">
            <w:drawing>
              <wp:anchor distT="0" distB="0" distL="114300" distR="114300" simplePos="0" relativeHeight="251660288" behindDoc="0" locked="0" layoutInCell="0" allowOverlap="1">
                <wp:simplePos x="0" y="0"/>
                <wp:positionH relativeFrom="column">
                  <wp:posOffset>4090670</wp:posOffset>
                </wp:positionH>
                <wp:positionV relativeFrom="paragraph">
                  <wp:posOffset>67945</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90" w:rsidRPr="009929A5" w:rsidRDefault="007A2890">
                            <w:pPr>
                              <w:ind w:right="53"/>
                              <w:jc w:val="right"/>
                              <w:rPr>
                                <w:rFonts w:cs="Arial"/>
                              </w:rPr>
                            </w:pPr>
                            <w:r>
                              <w:t>[Annexes follow]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2.1pt;margin-top:5.35pt;width:151.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" o:allowincell="f" filled="f" stroked="f">
                <v:textbox inset="0,0,0,0">
                  <w:txbxContent>
                    <w:p w:rsidR="007A2890" w:rsidRPr="009929A5" w:rsidRDefault="007A2890">
                      <w:pPr>
                        <w:ind w:right="53"/>
                        <w:jc w:val="right"/>
                        <w:rPr>
                          <w:rFonts w:cs="Arial"/>
                        </w:rPr>
                      </w:pPr>
                      <w:r>
                        <w:t>[Annexes follow]</w:t>
                      </w:r>
                    </w:p>
                  </w:txbxContent>
                </v:textbox>
              </v:shape>
            </w:pict>
          </mc:Fallback>
        </mc:AlternateContent>
      </w:r>
    </w:p>
    <w:p w:rsidR="00267BF1" w:rsidRDefault="00267BF1" w:rsidP="00267BF1">
      <w:pPr>
        <w:ind w:left="2835"/>
        <w:jc w:val="left"/>
      </w:pPr>
    </w:p>
    <w:p w:rsidR="00267BF1" w:rsidRDefault="00267BF1" w:rsidP="00267BF1">
      <w:pPr>
        <w:ind w:left="2835"/>
        <w:jc w:val="left"/>
        <w:sectPr w:rsidR="00267BF1" w:rsidSect="00906DDC">
          <w:headerReference w:type="default" r:id="rId9"/>
          <w:footnotePr>
            <w:numFmt w:val="chicago"/>
          </w:footnotePr>
          <w:pgSz w:w="11907" w:h="16840" w:code="9"/>
          <w:pgMar w:top="510" w:right="1134" w:bottom="1134" w:left="1134" w:header="510" w:footer="680" w:gutter="0"/>
          <w:cols w:space="720"/>
          <w:titlePg/>
        </w:sectPr>
      </w:pPr>
    </w:p>
    <w:p w:rsidR="00CF04C9" w:rsidRPr="001E12E0" w:rsidRDefault="00267BF1" w:rsidP="00595E54">
      <w:pPr>
        <w:tabs>
          <w:tab w:val="center" w:pos="4819"/>
          <w:tab w:val="left" w:pos="6201"/>
        </w:tabs>
        <w:jc w:val="center"/>
        <w:rPr>
          <w:snapToGrid w:val="0"/>
        </w:rPr>
      </w:pPr>
      <w:r>
        <w:rPr>
          <w:snapToGrid w:val="0"/>
        </w:rPr>
        <w:lastRenderedPageBreak/>
        <w:t>UPOV/WG-ISC/4/3</w:t>
      </w:r>
    </w:p>
    <w:p w:rsidR="00CF04C9" w:rsidRPr="001E12E0" w:rsidRDefault="00CF04C9" w:rsidP="00CF04C9">
      <w:pPr>
        <w:jc w:val="center"/>
        <w:rPr>
          <w:snapToGrid w:val="0"/>
        </w:rPr>
      </w:pPr>
    </w:p>
    <w:p w:rsidR="00155B6B" w:rsidRPr="00CC3784" w:rsidRDefault="00155B6B" w:rsidP="00155B6B">
      <w:pPr>
        <w:jc w:val="center"/>
      </w:pPr>
      <w:r w:rsidRPr="00CC3784">
        <w:t>ANNEXE I / ANNEX I / ANLAGE I / ANEXO I</w:t>
      </w:r>
    </w:p>
    <w:p w:rsidR="00155B6B" w:rsidRDefault="00155B6B" w:rsidP="00155B6B">
      <w:pPr>
        <w:jc w:val="center"/>
      </w:pPr>
    </w:p>
    <w:p w:rsidR="00155B6B" w:rsidRPr="00CC3784" w:rsidRDefault="00155B6B" w:rsidP="00155B6B">
      <w:pPr>
        <w:jc w:val="center"/>
      </w:pPr>
    </w:p>
    <w:p w:rsidR="00155B6B" w:rsidRPr="001A3400" w:rsidRDefault="00155B6B" w:rsidP="00155B6B">
      <w:pPr>
        <w:jc w:val="center"/>
        <w:rPr>
          <w:lang w:val="fr-FR"/>
        </w:rPr>
      </w:pPr>
      <w:r w:rsidRPr="001A3400">
        <w:rPr>
          <w:lang w:val="fr-FR"/>
        </w:rPr>
        <w:t xml:space="preserve">LISTE DES PARTICIPANTS / LIST OF PARTICIPANTS / </w:t>
      </w:r>
      <w:r w:rsidRPr="001A3400">
        <w:rPr>
          <w:lang w:val="fr-FR"/>
        </w:rPr>
        <w:br/>
        <w:t>TEILNEHMERLISTE / LISTA DE PARTICIPANTES</w:t>
      </w:r>
    </w:p>
    <w:p w:rsidR="00155B6B" w:rsidRPr="001A3400" w:rsidRDefault="00155B6B" w:rsidP="00155B6B">
      <w:pPr>
        <w:jc w:val="center"/>
        <w:rPr>
          <w:lang w:val="fr-FR"/>
        </w:rPr>
      </w:pPr>
    </w:p>
    <w:p w:rsidR="00155B6B" w:rsidRPr="00155B6B" w:rsidRDefault="00155B6B" w:rsidP="00155B6B">
      <w:pPr>
        <w:jc w:val="center"/>
        <w:rPr>
          <w:sz w:val="18"/>
          <w:szCs w:val="18"/>
          <w:lang w:val="fr-FR"/>
        </w:rPr>
      </w:pPr>
      <w:r w:rsidRPr="00155B6B">
        <w:rPr>
          <w:sz w:val="18"/>
          <w:szCs w:val="18"/>
          <w:lang w:val="fr-FR"/>
        </w:rPr>
        <w:t xml:space="preserve">(dans l’ordre alphabétique des noms français des membres / in the alphabetical order of the French names of the members / in alphabetischer Reihenfolge der französischen Namen der Mitglieder / </w:t>
      </w:r>
      <w:r>
        <w:rPr>
          <w:sz w:val="18"/>
          <w:szCs w:val="18"/>
          <w:lang w:val="fr-FR"/>
        </w:rPr>
        <w:br/>
      </w:r>
      <w:r w:rsidRPr="00155B6B">
        <w:rPr>
          <w:sz w:val="18"/>
          <w:szCs w:val="18"/>
          <w:lang w:val="fr-FR"/>
        </w:rPr>
        <w:t>por orden alfabético de los nombres en francés de los miembros)</w:t>
      </w:r>
    </w:p>
    <w:p w:rsidR="00155B6B" w:rsidRPr="00155B6B" w:rsidRDefault="00155B6B" w:rsidP="00155B6B">
      <w:pPr>
        <w:tabs>
          <w:tab w:val="left" w:pos="3632"/>
        </w:tabs>
        <w:rPr>
          <w:snapToGrid w:val="0"/>
          <w:lang w:val="fr-FR"/>
        </w:rPr>
      </w:pPr>
      <w:r>
        <w:rPr>
          <w:snapToGrid w:val="0"/>
          <w:lang w:val="fr-FR"/>
        </w:rPr>
        <w:tab/>
      </w:r>
    </w:p>
    <w:p w:rsidR="00CF04C9" w:rsidRDefault="00CF04C9" w:rsidP="00155B6B">
      <w:pPr>
        <w:pStyle w:val="plheading"/>
        <w:spacing w:before="360"/>
        <w:rPr>
          <w:lang w:val="de-DE"/>
        </w:rPr>
      </w:pPr>
      <w:r w:rsidRPr="00001698">
        <w:rPr>
          <w:lang w:val="de-DE"/>
        </w:rPr>
        <w:t>I. MEMBRES / MEMBERS / VERBANDSMITGLIEDER / MIEMBROS</w:t>
      </w:r>
    </w:p>
    <w:p w:rsidR="00CF04C9" w:rsidRPr="00001698" w:rsidRDefault="00CF04C9" w:rsidP="004E4D41">
      <w:pPr>
        <w:pStyle w:val="plcountry"/>
        <w:rPr>
          <w:lang w:val="de-DE"/>
        </w:rPr>
      </w:pPr>
      <w:r w:rsidRPr="00001698">
        <w:rPr>
          <w:lang w:val="de-DE"/>
        </w:rPr>
        <w:t>ALLEMAGNE / GERMANY / DEUTSCHLAND / ALEMANIA</w:t>
      </w:r>
    </w:p>
    <w:p w:rsidR="00CF04C9" w:rsidRPr="007E3D5D" w:rsidRDefault="00CF04C9" w:rsidP="007E3D5D">
      <w:pPr>
        <w:pStyle w:val="pldetails"/>
      </w:pPr>
      <w:r w:rsidRPr="007E3D5D">
        <w:t>Sven Thorsten ICKENROTH</w:t>
      </w:r>
      <w:r>
        <w:t xml:space="preserve"> (Mr.)</w:t>
      </w:r>
      <w:r w:rsidRPr="007E3D5D">
        <w:t xml:space="preserve">, Head, Legal Affairs, Organisation, Variety Administration, Bundessortenamt, Hanover </w:t>
      </w:r>
      <w:r w:rsidRPr="007E3D5D">
        <w:br/>
        <w:t>(e-mail: thorsten.ickenroth@bundessortenamt.de)</w:t>
      </w:r>
    </w:p>
    <w:p w:rsidR="00CF04C9" w:rsidRPr="00B11C38" w:rsidRDefault="00CF04C9" w:rsidP="004E4D41">
      <w:pPr>
        <w:pStyle w:val="plcountry"/>
        <w:rPr>
          <w:lang w:val="es-ES_tradnl"/>
        </w:rPr>
      </w:pPr>
      <w:r w:rsidRPr="00B11C38">
        <w:rPr>
          <w:lang w:val="es-ES_tradnl"/>
        </w:rPr>
        <w:t>ARGENTINE / ARGENTINA / ARGENTINIEN / ARGENTINA</w:t>
      </w:r>
    </w:p>
    <w:p w:rsidR="00CF04C9" w:rsidRDefault="00CF04C9" w:rsidP="00D73F86">
      <w:pPr>
        <w:pStyle w:val="pldetails"/>
        <w:rPr>
          <w:lang w:val="es-ES_tradnl"/>
        </w:rPr>
      </w:pPr>
      <w:r w:rsidRPr="004D23DE">
        <w:rPr>
          <w:lang w:val="es-ES_tradnl"/>
        </w:rPr>
        <w:t>Raimundo LAVIGNOLLE</w:t>
      </w:r>
      <w:r>
        <w:rPr>
          <w:lang w:val="es-ES_tradnl"/>
        </w:rPr>
        <w:t xml:space="preserve"> (Sr.)</w:t>
      </w:r>
      <w:r w:rsidRPr="004D23DE">
        <w:rPr>
          <w:lang w:val="es-ES_tradnl"/>
        </w:rPr>
        <w:t xml:space="preserve">, Presidente del Directorio, Instituto Nacional de Semillas (INASE), </w:t>
      </w:r>
      <w:r>
        <w:rPr>
          <w:lang w:val="es-ES_tradnl"/>
        </w:rPr>
        <w:br/>
      </w:r>
      <w:r w:rsidRPr="00D73F86">
        <w:rPr>
          <w:lang w:val="es-ES_tradnl"/>
        </w:rPr>
        <w:t>Instituto Nacional de Semillas (INASE)</w:t>
      </w:r>
      <w:r>
        <w:rPr>
          <w:lang w:val="es-ES_tradnl"/>
        </w:rPr>
        <w:t xml:space="preserve">, </w:t>
      </w:r>
      <w:r w:rsidRPr="00D73F86">
        <w:rPr>
          <w:lang w:val="es-ES_tradnl"/>
        </w:rPr>
        <w:t>Ministerio de Producción y Trabajo - Secretaría de Agroindustria</w:t>
      </w:r>
      <w:r w:rsidRPr="004D23DE">
        <w:rPr>
          <w:lang w:val="es-ES_tradnl"/>
        </w:rPr>
        <w:t xml:space="preserve">  </w:t>
      </w:r>
      <w:r>
        <w:rPr>
          <w:lang w:val="es-ES_tradnl"/>
        </w:rPr>
        <w:br/>
      </w:r>
      <w:r w:rsidRPr="004D23DE">
        <w:rPr>
          <w:lang w:val="es-ES_tradnl"/>
        </w:rPr>
        <w:t xml:space="preserve">(e-mail: rlavignolle@inase.gov.ar) </w:t>
      </w:r>
    </w:p>
    <w:p w:rsidR="00CF04C9" w:rsidRDefault="00CF04C9" w:rsidP="00CF2CE7">
      <w:pPr>
        <w:pStyle w:val="pldetails"/>
        <w:rPr>
          <w:lang w:val="es-ES_tradnl"/>
        </w:rPr>
      </w:pPr>
      <w:r w:rsidRPr="00DA13B9">
        <w:rPr>
          <w:lang w:val="es-ES_tradnl"/>
        </w:rPr>
        <w:t>María Laura VILLAMAYOR</w:t>
      </w:r>
      <w:r>
        <w:rPr>
          <w:lang w:val="es-ES_tradnl"/>
        </w:rPr>
        <w:t xml:space="preserve"> (Sra.), </w:t>
      </w:r>
      <w:r w:rsidRPr="00DA13B9">
        <w:rPr>
          <w:lang w:val="es-ES_tradnl"/>
        </w:rPr>
        <w:t>Abogada</w:t>
      </w:r>
      <w:r>
        <w:rPr>
          <w:lang w:val="es-ES_tradnl"/>
        </w:rPr>
        <w:t xml:space="preserve">, </w:t>
      </w:r>
      <w:r w:rsidRPr="00DA13B9">
        <w:rPr>
          <w:lang w:val="es-ES_tradnl"/>
        </w:rPr>
        <w:t>Unidad Presidencia</w:t>
      </w:r>
      <w:r>
        <w:rPr>
          <w:lang w:val="es-ES_tradnl"/>
        </w:rPr>
        <w:t xml:space="preserve">, </w:t>
      </w:r>
      <w:r w:rsidRPr="00DA13B9">
        <w:rPr>
          <w:lang w:val="es-ES_tradnl"/>
        </w:rPr>
        <w:t>Instituto Nacional de Semillas (INASE)</w:t>
      </w:r>
      <w:r>
        <w:rPr>
          <w:lang w:val="es-ES_tradnl"/>
        </w:rPr>
        <w:t xml:space="preserve">, </w:t>
      </w:r>
      <w:r w:rsidRPr="00D73F86">
        <w:rPr>
          <w:lang w:val="es-ES_tradnl"/>
        </w:rPr>
        <w:t>Ministerio de Producción y Trabajo - Secretaría de Agroindustria</w:t>
      </w:r>
      <w:r w:rsidRPr="004D23DE">
        <w:rPr>
          <w:lang w:val="es-ES_tradnl"/>
        </w:rPr>
        <w:t xml:space="preserve">  </w:t>
      </w:r>
      <w:r>
        <w:rPr>
          <w:lang w:val="es-ES_tradnl"/>
        </w:rPr>
        <w:br/>
        <w:t>(e-</w:t>
      </w:r>
      <w:r w:rsidRPr="00DA13B9">
        <w:rPr>
          <w:lang w:val="es-ES_tradnl"/>
        </w:rPr>
        <w:t xml:space="preserve">mail: </w:t>
      </w:r>
      <w:r w:rsidRPr="00C131F3">
        <w:rPr>
          <w:lang w:val="es-ES_tradnl"/>
        </w:rPr>
        <w:t>mlvillamayor@inase.gov.ar</w:t>
      </w:r>
      <w:r>
        <w:rPr>
          <w:lang w:val="es-ES_tradnl"/>
        </w:rPr>
        <w:t>)</w:t>
      </w:r>
    </w:p>
    <w:p w:rsidR="00CF04C9" w:rsidRPr="003F5638" w:rsidRDefault="00CF04C9" w:rsidP="00C131F3">
      <w:pPr>
        <w:pStyle w:val="pldetails"/>
        <w:rPr>
          <w:lang w:val="es-ES"/>
        </w:rPr>
      </w:pPr>
      <w:r w:rsidRPr="00911380">
        <w:rPr>
          <w:lang w:val="es-ES"/>
        </w:rPr>
        <w:t xml:space="preserve">María Inés RODRIGUEZ (Sra.), Consejera, Misión Permanente de la República Argentina, Ginebra </w:t>
      </w:r>
      <w:r w:rsidRPr="00911380">
        <w:rPr>
          <w:lang w:val="es-ES"/>
        </w:rPr>
        <w:br/>
        <w:t>(e-mail: mariaines.rodriguez@missionarg.ch)</w:t>
      </w:r>
    </w:p>
    <w:p w:rsidR="00CF04C9" w:rsidRPr="00D44BD3" w:rsidRDefault="00CF04C9" w:rsidP="004E4D41">
      <w:pPr>
        <w:pStyle w:val="plcountry"/>
      </w:pPr>
      <w:r w:rsidRPr="00D44BD3">
        <w:t>AUSTRALIE / AUSTRALIA / AUSTRALIEN / AUSTRALIA</w:t>
      </w:r>
    </w:p>
    <w:p w:rsidR="00CF04C9" w:rsidRPr="003E4037" w:rsidRDefault="00CF04C9" w:rsidP="00AC56EA">
      <w:pPr>
        <w:pStyle w:val="pldetails"/>
      </w:pPr>
      <w:r w:rsidRPr="003E4037">
        <w:t xml:space="preserve">Nik HULSE (Mr.), Chief of Plant Breeders' Rights, Plant Breeder's Rights Office, IP Australia, Woden </w:t>
      </w:r>
      <w:r w:rsidRPr="003E4037">
        <w:br/>
        <w:t xml:space="preserve">(e-mail: nik.hulse@ipaustralia.gov.au) </w:t>
      </w:r>
    </w:p>
    <w:p w:rsidR="00CF04C9" w:rsidRPr="00601689" w:rsidRDefault="00CF04C9" w:rsidP="005E694C">
      <w:pPr>
        <w:pStyle w:val="plcountry"/>
        <w:rPr>
          <w:lang w:val="es-ES_tradnl"/>
        </w:rPr>
      </w:pPr>
      <w:r w:rsidRPr="00601689">
        <w:rPr>
          <w:lang w:val="es-ES_tradnl"/>
        </w:rPr>
        <w:t xml:space="preserve">BOLIVIE (ÉTAT PLURINATIONAL DE) / BOLIVIA (PLURINATIONAL STATE OF) / </w:t>
      </w:r>
      <w:r>
        <w:rPr>
          <w:lang w:val="es-ES_tradnl"/>
        </w:rPr>
        <w:br/>
      </w:r>
      <w:r w:rsidRPr="00601689">
        <w:rPr>
          <w:lang w:val="es-ES_tradnl"/>
        </w:rPr>
        <w:t>BOLIVIEN (PLURINATIONALER STAAT) / BOLIVIA (ESTADO PLURINACIONAL DE)</w:t>
      </w:r>
    </w:p>
    <w:p w:rsidR="00CF04C9" w:rsidRDefault="00CF04C9" w:rsidP="005E694C">
      <w:pPr>
        <w:pStyle w:val="pldetails"/>
        <w:rPr>
          <w:lang w:val="es-ES_tradnl"/>
        </w:rPr>
      </w:pPr>
      <w:r w:rsidRPr="00316107">
        <w:rPr>
          <w:lang w:val="es-ES_tradnl"/>
        </w:rPr>
        <w:t>Fernando Bruno ESCOBAR PACHECO</w:t>
      </w:r>
      <w:r>
        <w:rPr>
          <w:lang w:val="es-ES_tradnl"/>
        </w:rPr>
        <w:t xml:space="preserve"> (</w:t>
      </w:r>
      <w:r w:rsidRPr="00316107">
        <w:rPr>
          <w:lang w:val="es-ES_tradnl"/>
        </w:rPr>
        <w:t>Sr.</w:t>
      </w:r>
      <w:r>
        <w:rPr>
          <w:lang w:val="es-ES_tradnl"/>
        </w:rPr>
        <w:t xml:space="preserve">), </w:t>
      </w:r>
      <w:r w:rsidRPr="00316107">
        <w:rPr>
          <w:lang w:val="es-ES_tradnl"/>
        </w:rPr>
        <w:t>Primer Secretario</w:t>
      </w:r>
      <w:r>
        <w:rPr>
          <w:lang w:val="es-ES_tradnl"/>
        </w:rPr>
        <w:t xml:space="preserve">, </w:t>
      </w:r>
      <w:r w:rsidRPr="00316107">
        <w:rPr>
          <w:lang w:val="es-ES_tradnl"/>
        </w:rPr>
        <w:t>Misión Permanente de Bolivia ante la Oficina de las Naciones Unidas en Ginebra</w:t>
      </w:r>
      <w:r>
        <w:rPr>
          <w:lang w:val="es-ES_tradnl"/>
        </w:rPr>
        <w:t>, Ginebra</w:t>
      </w:r>
      <w:r>
        <w:rPr>
          <w:lang w:val="es-ES_tradnl"/>
        </w:rPr>
        <w:br/>
        <w:t>(e-</w:t>
      </w:r>
      <w:r w:rsidRPr="00316107">
        <w:rPr>
          <w:lang w:val="es-ES_tradnl"/>
        </w:rPr>
        <w:t>mail: fernando.escobar@mission-bolivia.ch</w:t>
      </w:r>
      <w:r>
        <w:rPr>
          <w:lang w:val="es-ES_tradnl"/>
        </w:rPr>
        <w:t>)</w:t>
      </w:r>
    </w:p>
    <w:p w:rsidR="00CF04C9" w:rsidRPr="00A225C4" w:rsidRDefault="00CF04C9" w:rsidP="004E4D41">
      <w:pPr>
        <w:pStyle w:val="plcountry"/>
        <w:rPr>
          <w:lang w:val="pt-BR"/>
        </w:rPr>
      </w:pPr>
      <w:r w:rsidRPr="00A225C4">
        <w:rPr>
          <w:lang w:val="pt-BR"/>
        </w:rPr>
        <w:t>BRÉSIL / BRAZIL / BRASILIEN / BRASIL</w:t>
      </w:r>
    </w:p>
    <w:p w:rsidR="00CF04C9" w:rsidRDefault="00CF04C9" w:rsidP="00ED36FE">
      <w:pPr>
        <w:pStyle w:val="pldetails"/>
        <w:rPr>
          <w:lang w:val="pt-BR"/>
        </w:rPr>
      </w:pPr>
      <w:r w:rsidRPr="00A225C4">
        <w:rPr>
          <w:lang w:val="pt-BR"/>
        </w:rPr>
        <w:t>Ricardo ZANATTA MACHADO</w:t>
      </w:r>
      <w:r>
        <w:rPr>
          <w:lang w:val="pt-BR"/>
        </w:rPr>
        <w:t xml:space="preserve"> (Sr.)</w:t>
      </w:r>
      <w:r w:rsidRPr="00A225C4">
        <w:rPr>
          <w:lang w:val="pt-BR"/>
        </w:rPr>
        <w:t xml:space="preserve">, Fiscal Federal Agropecuário, Coordinador do SNPC, Serviço Nacional de Proteção de Cultivares (SNPC), Ministério da Agricultura, Pecuária e Abastecimento, Brasilia , D.F. </w:t>
      </w:r>
      <w:r w:rsidRPr="00A225C4">
        <w:rPr>
          <w:lang w:val="pt-BR"/>
        </w:rPr>
        <w:br/>
      </w:r>
      <w:r w:rsidRPr="00462682">
        <w:rPr>
          <w:lang w:val="pt-BR"/>
        </w:rPr>
        <w:t xml:space="preserve">(e-mail: </w:t>
      </w:r>
      <w:r w:rsidRPr="000451C4">
        <w:rPr>
          <w:lang w:val="pt-BR"/>
        </w:rPr>
        <w:t>ricardo.machado@agricultura.gov.br</w:t>
      </w:r>
      <w:r w:rsidRPr="00462682">
        <w:rPr>
          <w:lang w:val="pt-BR"/>
        </w:rPr>
        <w:t xml:space="preserve">) </w:t>
      </w:r>
    </w:p>
    <w:p w:rsidR="00CF04C9" w:rsidRDefault="00CF04C9" w:rsidP="00074E25">
      <w:pPr>
        <w:pStyle w:val="pldetails"/>
        <w:rPr>
          <w:lang w:val="pt-BR"/>
        </w:rPr>
      </w:pPr>
      <w:r w:rsidRPr="00074E25">
        <w:t>Cauê OLIVEIRA FANHA</w:t>
      </w:r>
      <w:r>
        <w:t xml:space="preserve"> (Mr.)</w:t>
      </w:r>
      <w:r w:rsidRPr="00074E25">
        <w:t xml:space="preserve">, Secretary, Permanent Mission to the World Trade Organization (WTO), </w:t>
      </w:r>
      <w:r w:rsidR="00155B6B">
        <w:t xml:space="preserve">Geneva </w:t>
      </w:r>
      <w:r w:rsidRPr="00074E25">
        <w:t>(e-mail: caue.fanha@itamaraty.gov.br)</w:t>
      </w:r>
    </w:p>
    <w:p w:rsidR="00CF04C9" w:rsidRPr="00462682" w:rsidRDefault="00CF04C9" w:rsidP="000451C4">
      <w:pPr>
        <w:pStyle w:val="pldetails"/>
        <w:rPr>
          <w:lang w:val="pt-BR"/>
        </w:rPr>
      </w:pPr>
      <w:r w:rsidRPr="000451C4">
        <w:t xml:space="preserve">Rafaela DISABATO GUERRANTE (Ms.), Coordinator, Articulation and Promotion of IP and Innovation, National Institute of Industrial Property (INPI), Rio de Janeiro </w:t>
      </w:r>
      <w:r>
        <w:br/>
      </w:r>
      <w:r w:rsidRPr="000451C4">
        <w:t>(e-mail: rafaela@inpi.gov.br)</w:t>
      </w:r>
    </w:p>
    <w:p w:rsidR="00CF04C9" w:rsidRPr="00AE14E8" w:rsidRDefault="00CF04C9" w:rsidP="004E4D41">
      <w:pPr>
        <w:pStyle w:val="plcountry"/>
        <w:rPr>
          <w:lang w:val="pt-BR"/>
        </w:rPr>
      </w:pPr>
      <w:r w:rsidRPr="00AE14E8">
        <w:rPr>
          <w:lang w:val="pt-BR"/>
        </w:rPr>
        <w:t>CANADA / CANADA / KANADA / CANADÁ</w:t>
      </w:r>
    </w:p>
    <w:p w:rsidR="00CF04C9" w:rsidRDefault="00CF04C9" w:rsidP="00C11E8A">
      <w:pPr>
        <w:pStyle w:val="pldetails"/>
        <w:rPr>
          <w:lang w:val="pt-BR"/>
        </w:rPr>
      </w:pPr>
      <w:r w:rsidRPr="00AE14E8">
        <w:rPr>
          <w:lang w:val="pt-BR"/>
        </w:rPr>
        <w:t>Anthony PARKER (Mr.</w:t>
      </w:r>
      <w:r>
        <w:rPr>
          <w:lang w:val="pt-BR"/>
        </w:rPr>
        <w:t>)</w:t>
      </w:r>
      <w:r w:rsidRPr="00AE14E8">
        <w:rPr>
          <w:lang w:val="pt-BR"/>
        </w:rPr>
        <w:t xml:space="preserve">, Commissioner, Plant Breeders' Rights Office, Canadian Food Inspection Agency (CFIA), Ottawa </w:t>
      </w:r>
      <w:r w:rsidRPr="00AE14E8">
        <w:rPr>
          <w:lang w:val="pt-BR"/>
        </w:rPr>
        <w:br/>
        <w:t xml:space="preserve">(e-mail: anthony.parker@inspection.gc.ca) </w:t>
      </w:r>
    </w:p>
    <w:p w:rsidR="00CF04C9" w:rsidRPr="00AE14E8" w:rsidRDefault="00CF04C9" w:rsidP="002B0F24">
      <w:pPr>
        <w:pStyle w:val="pldetails"/>
        <w:rPr>
          <w:lang w:val="pt-BR"/>
        </w:rPr>
      </w:pPr>
      <w:r w:rsidRPr="002B0F24">
        <w:rPr>
          <w:lang w:val="pt-BR"/>
        </w:rPr>
        <w:t xml:space="preserve">Lisa LEDUC (Ms.), Examiner, Plant Breeders' Rights Office, Canadian Food Inspection Agency (CFIA), Ottawa </w:t>
      </w:r>
      <w:r w:rsidRPr="002B0F24">
        <w:rPr>
          <w:lang w:val="pt-BR"/>
        </w:rPr>
        <w:br/>
        <w:t>(e-mail: lisa.leduc@inspection.gc.ca)</w:t>
      </w:r>
    </w:p>
    <w:p w:rsidR="00CF04C9" w:rsidRPr="00AE14E8" w:rsidRDefault="00CF04C9" w:rsidP="004E4D41">
      <w:pPr>
        <w:pStyle w:val="plcountry"/>
        <w:rPr>
          <w:lang w:val="pt-BR"/>
        </w:rPr>
      </w:pPr>
      <w:r w:rsidRPr="00AE14E8">
        <w:rPr>
          <w:lang w:val="pt-BR"/>
        </w:rPr>
        <w:t>CHILI / CHILE / CHILE / CHILE</w:t>
      </w:r>
    </w:p>
    <w:p w:rsidR="00CF04C9" w:rsidRDefault="00CF04C9" w:rsidP="003A7159">
      <w:pPr>
        <w:pStyle w:val="pldetails"/>
        <w:rPr>
          <w:lang w:val="es-ES"/>
        </w:rPr>
      </w:pPr>
      <w:r w:rsidRPr="00AE14E8">
        <w:rPr>
          <w:lang w:val="pt-BR"/>
        </w:rPr>
        <w:t xml:space="preserve">Manuel Antonio TORO UGALDE (Sr.), Jefe Departamento, Registro de Variedades Protegidas, </w:t>
      </w:r>
      <w:r w:rsidRPr="00AE14E8">
        <w:rPr>
          <w:lang w:val="pt-BR"/>
        </w:rPr>
        <w:br/>
      </w:r>
      <w:r w:rsidRPr="003A7159">
        <w:rPr>
          <w:lang w:val="es-ES"/>
        </w:rPr>
        <w:t xml:space="preserve">División Semillas, Servicio Agrícola y Ganadero (SAG), Santiago de Chile </w:t>
      </w:r>
      <w:r>
        <w:rPr>
          <w:lang w:val="es-ES"/>
        </w:rPr>
        <w:br/>
      </w:r>
      <w:r w:rsidRPr="003A7159">
        <w:rPr>
          <w:lang w:val="es-ES"/>
        </w:rPr>
        <w:t>(e-mail: manuel.toro@sag.gob.cl)</w:t>
      </w:r>
      <w:r w:rsidRPr="00462682">
        <w:rPr>
          <w:lang w:val="es-ES"/>
        </w:rPr>
        <w:t xml:space="preserve"> </w:t>
      </w:r>
    </w:p>
    <w:p w:rsidR="00CF04C9" w:rsidRPr="00B206F2" w:rsidRDefault="00CF04C9" w:rsidP="00062FB5">
      <w:pPr>
        <w:pStyle w:val="pldetails"/>
        <w:rPr>
          <w:lang w:val="es-ES"/>
        </w:rPr>
      </w:pPr>
      <w:r w:rsidRPr="006907AC">
        <w:rPr>
          <w:lang w:val="es-ES"/>
        </w:rPr>
        <w:lastRenderedPageBreak/>
        <w:t>Martín CORREA F.</w:t>
      </w:r>
      <w:r>
        <w:rPr>
          <w:caps/>
          <w:lang w:val="es-ES"/>
        </w:rPr>
        <w:t xml:space="preserve"> (Sr.), </w:t>
      </w:r>
      <w:r w:rsidRPr="006907AC">
        <w:rPr>
          <w:lang w:val="es-ES"/>
        </w:rPr>
        <w:t>Consejero</w:t>
      </w:r>
      <w:r>
        <w:rPr>
          <w:caps/>
          <w:lang w:val="es-ES"/>
        </w:rPr>
        <w:t xml:space="preserve">, </w:t>
      </w:r>
      <w:r w:rsidRPr="006907AC">
        <w:rPr>
          <w:lang w:val="es-ES"/>
        </w:rPr>
        <w:t>Misión Permanente de Chile ante la Organización Mundial del Comercio</w:t>
      </w:r>
      <w:r>
        <w:rPr>
          <w:caps/>
          <w:lang w:val="es-ES"/>
        </w:rPr>
        <w:t xml:space="preserve">, </w:t>
      </w:r>
      <w:r>
        <w:rPr>
          <w:lang w:val="es-ES"/>
        </w:rPr>
        <w:t>Ginebra</w:t>
      </w:r>
      <w:r>
        <w:rPr>
          <w:caps/>
          <w:lang w:val="es-ES"/>
        </w:rPr>
        <w:br/>
      </w:r>
      <w:r w:rsidRPr="00B206F2">
        <w:rPr>
          <w:lang w:val="es-ES"/>
        </w:rPr>
        <w:t>(e-mail: Macorrea@direcon.gob.cl)</w:t>
      </w:r>
    </w:p>
    <w:p w:rsidR="00CF04C9" w:rsidRPr="002416E8" w:rsidRDefault="00CF04C9" w:rsidP="00205F97">
      <w:pPr>
        <w:pStyle w:val="plcountry"/>
        <w:rPr>
          <w:lang w:val="es-ES_tradnl"/>
        </w:rPr>
      </w:pPr>
      <w:r w:rsidRPr="00123A0A">
        <w:rPr>
          <w:lang w:val="es-ES_tradnl"/>
        </w:rPr>
        <w:t>ÉQUATEUR / ECUADOR / ECUADOR / ECUADOR</w:t>
      </w:r>
    </w:p>
    <w:p w:rsidR="00CF04C9" w:rsidRDefault="00CF04C9" w:rsidP="00205F97">
      <w:pPr>
        <w:pStyle w:val="pldetails"/>
        <w:rPr>
          <w:lang w:val="es-ES_tradnl"/>
        </w:rPr>
      </w:pPr>
      <w:r w:rsidRPr="005F5AF9">
        <w:rPr>
          <w:lang w:val="es-ES_tradnl"/>
        </w:rPr>
        <w:t>Heidi VÁSCONES</w:t>
      </w:r>
      <w:r>
        <w:rPr>
          <w:lang w:val="es-ES_tradnl"/>
        </w:rPr>
        <w:t xml:space="preserve"> (Sra.), </w:t>
      </w:r>
      <w:r w:rsidRPr="005F5AF9">
        <w:rPr>
          <w:lang w:val="es-ES_tradnl"/>
        </w:rPr>
        <w:t>Tercer Secretario</w:t>
      </w:r>
      <w:r>
        <w:rPr>
          <w:lang w:val="es-ES_tradnl"/>
        </w:rPr>
        <w:t xml:space="preserve">, </w:t>
      </w:r>
      <w:r w:rsidRPr="005F5AF9">
        <w:rPr>
          <w:lang w:val="es-ES_tradnl"/>
        </w:rPr>
        <w:t>Misión Permanente de la República del Ecuador ante la OMC</w:t>
      </w:r>
      <w:r>
        <w:rPr>
          <w:lang w:val="es-ES_tradnl"/>
        </w:rPr>
        <w:t>, Ginebra</w:t>
      </w:r>
      <w:r>
        <w:rPr>
          <w:lang w:val="es-ES_tradnl"/>
        </w:rPr>
        <w:br/>
        <w:t>(e-</w:t>
      </w:r>
      <w:r w:rsidRPr="005F5AF9">
        <w:rPr>
          <w:lang w:val="es-ES_tradnl"/>
        </w:rPr>
        <w:t>mail: t.hvascones@cancilleria.gob.ec</w:t>
      </w:r>
      <w:r>
        <w:rPr>
          <w:lang w:val="es-ES_tradnl"/>
        </w:rPr>
        <w:t>)</w:t>
      </w:r>
    </w:p>
    <w:p w:rsidR="00CF04C9" w:rsidRPr="00F45E2A" w:rsidRDefault="00CF04C9" w:rsidP="004E4D41">
      <w:pPr>
        <w:pStyle w:val="plcountry"/>
      </w:pPr>
      <w:r w:rsidRPr="00F45E2A">
        <w:t xml:space="preserve">ÉTATS-UNIS D'AMÉRIQUE / UNITED STATES OF AMERICA / VEREINIGTE STAATEN VON AMERIKA / </w:t>
      </w:r>
      <w:r w:rsidRPr="00F45E2A">
        <w:br/>
        <w:t>ESTADOS UNIDOS DE AMÉRICA</w:t>
      </w:r>
    </w:p>
    <w:p w:rsidR="00CF04C9" w:rsidRPr="00ED7034" w:rsidRDefault="00CF04C9" w:rsidP="00875662">
      <w:pPr>
        <w:pStyle w:val="pldetails"/>
      </w:pPr>
      <w:r w:rsidRPr="00875662">
        <w:t xml:space="preserve">Elaine WU (Ms.), Attorney - Advisor, Office of Policy and International Affairs, United States Patent and Trademark Office (USPTO), Department of Commerce, Alexandria </w:t>
      </w:r>
      <w:r w:rsidRPr="00875662">
        <w:br/>
        <w:t>(e-mail: elaine.wu@uspto.gov)</w:t>
      </w:r>
      <w:r w:rsidRPr="00ED7034">
        <w:t xml:space="preserve"> </w:t>
      </w:r>
    </w:p>
    <w:p w:rsidR="00CF04C9" w:rsidRPr="00DB15B0" w:rsidRDefault="00CF04C9" w:rsidP="00DB15B0">
      <w:pPr>
        <w:pStyle w:val="pldetails"/>
      </w:pPr>
      <w:r w:rsidRPr="00DB15B0">
        <w:t>Christian HANNON</w:t>
      </w:r>
      <w:r>
        <w:t xml:space="preserve"> (Mr.)</w:t>
      </w:r>
      <w:r w:rsidRPr="00DB15B0">
        <w:t xml:space="preserve">, Patent Attorney, Office of Policy and International Affairs (OPIA), United States Patent and Trademark Office (USPTO), Department of Commerce, Alexandria </w:t>
      </w:r>
      <w:r w:rsidRPr="00DB15B0">
        <w:br/>
        <w:t>(e-mail: christian.hannon@uspto.gov)</w:t>
      </w:r>
    </w:p>
    <w:p w:rsidR="00CF04C9" w:rsidRDefault="00CF04C9" w:rsidP="00510976">
      <w:pPr>
        <w:pStyle w:val="pldetails"/>
      </w:pPr>
      <w:r>
        <w:t xml:space="preserve">Ruihong GUO (Ms.), Deputy Administrator, AMS, Science &amp; Technology Program, United States Department of Agriculture (USDA), Washington D.C. </w:t>
      </w:r>
      <w:r>
        <w:br/>
        <w:t>(e-mail: ruihong.guo@ams.usda.gov)</w:t>
      </w:r>
    </w:p>
    <w:p w:rsidR="00CF04C9" w:rsidRPr="00D44BD3" w:rsidRDefault="00CF04C9" w:rsidP="00E6680A">
      <w:pPr>
        <w:pStyle w:val="pldetails"/>
      </w:pPr>
      <w:r w:rsidRPr="00E6680A">
        <w:t>Jeffery HAYNES</w:t>
      </w:r>
      <w:r>
        <w:t xml:space="preserve"> (Mr.)</w:t>
      </w:r>
      <w:r w:rsidRPr="00E6680A">
        <w:t xml:space="preserve">, Acting Commissioner, Plant Variety Protection Office, USDA, AMS, S&amp;T, </w:t>
      </w:r>
      <w:r>
        <w:br/>
      </w:r>
      <w:r w:rsidRPr="00E6680A">
        <w:t xml:space="preserve">Washington D.C. </w:t>
      </w:r>
      <w:r>
        <w:br/>
      </w:r>
      <w:r w:rsidRPr="00D44BD3">
        <w:t>(e-mail: Jeffery.Haynes@ams.usda.gov)</w:t>
      </w:r>
    </w:p>
    <w:p w:rsidR="00CF04C9" w:rsidRDefault="00CF04C9" w:rsidP="004E4D41">
      <w:pPr>
        <w:pStyle w:val="plcountry"/>
      </w:pPr>
      <w:r w:rsidRPr="00FC3D04">
        <w:t>FINLANDE / FINLAND / FINNLAND / FINLANDIA</w:t>
      </w:r>
    </w:p>
    <w:p w:rsidR="00CF04C9" w:rsidRPr="00FC3D04" w:rsidRDefault="00CF04C9" w:rsidP="00FC3D04">
      <w:pPr>
        <w:pStyle w:val="pldetails"/>
      </w:pPr>
      <w:r w:rsidRPr="00FC3D04">
        <w:t xml:space="preserve">Tarja Päivikki HIETARANTA (Ms.), Senior Officer, Seed Certification, Finnish Food and Safety Authority (EVIRA), Loimaa </w:t>
      </w:r>
      <w:r>
        <w:br/>
      </w:r>
      <w:r w:rsidRPr="00FC3D04">
        <w:t>(e-mail: tarja.hietaranta@evira.fi)</w:t>
      </w:r>
    </w:p>
    <w:p w:rsidR="00CF04C9" w:rsidRPr="004013AB" w:rsidRDefault="00CF04C9" w:rsidP="004E4D41">
      <w:pPr>
        <w:pStyle w:val="plcountry"/>
        <w:rPr>
          <w:lang w:val="fr-CH"/>
        </w:rPr>
      </w:pPr>
      <w:r w:rsidRPr="004013AB">
        <w:rPr>
          <w:lang w:val="fr-CH"/>
        </w:rPr>
        <w:t xml:space="preserve">FRANCE / </w:t>
      </w:r>
      <w:r>
        <w:rPr>
          <w:lang w:val="fr-CH"/>
        </w:rPr>
        <w:t xml:space="preserve">France / </w:t>
      </w:r>
      <w:r w:rsidRPr="004013AB">
        <w:rPr>
          <w:lang w:val="fr-CH"/>
        </w:rPr>
        <w:t>FRANKREICH / FRANCIA</w:t>
      </w:r>
    </w:p>
    <w:p w:rsidR="00CF04C9" w:rsidRDefault="00CF04C9" w:rsidP="009A2B7E">
      <w:pPr>
        <w:pStyle w:val="pldetails"/>
        <w:rPr>
          <w:lang w:val="fr-CH"/>
        </w:rPr>
      </w:pPr>
      <w:r w:rsidRPr="009A2B7E">
        <w:rPr>
          <w:lang w:val="fr-CH"/>
        </w:rPr>
        <w:t>Yvane MERESSE</w:t>
      </w:r>
      <w:r>
        <w:rPr>
          <w:lang w:val="fr-CH"/>
        </w:rPr>
        <w:t xml:space="preserve"> (Mme)</w:t>
      </w:r>
      <w:r w:rsidRPr="009A2B7E">
        <w:rPr>
          <w:lang w:val="fr-CH"/>
        </w:rPr>
        <w:t xml:space="preserve">, Responsable INOV, Groupe d'Étude et de Contrôle des Variétés et des Semences (GEVES), Beaucouzé </w:t>
      </w:r>
      <w:r>
        <w:rPr>
          <w:lang w:val="fr-CH"/>
        </w:rPr>
        <w:br/>
      </w:r>
      <w:r w:rsidRPr="009A2B7E">
        <w:rPr>
          <w:lang w:val="fr-CH"/>
        </w:rPr>
        <w:t xml:space="preserve">(e-mail: </w:t>
      </w:r>
      <w:r w:rsidRPr="00E83D40">
        <w:rPr>
          <w:lang w:val="fr-CH"/>
        </w:rPr>
        <w:t>yvane.meresse@geves.fr</w:t>
      </w:r>
      <w:r w:rsidRPr="009A2B7E">
        <w:rPr>
          <w:lang w:val="fr-CH"/>
        </w:rPr>
        <w:t>)</w:t>
      </w:r>
    </w:p>
    <w:p w:rsidR="00CF04C9" w:rsidRPr="00D44BD3" w:rsidRDefault="00CF04C9" w:rsidP="00F52784">
      <w:pPr>
        <w:pStyle w:val="plcountry"/>
      </w:pPr>
      <w:r w:rsidRPr="00D44BD3">
        <w:t>HONGRIE / HUNGARY / UNGARN / HUNGRÍA</w:t>
      </w:r>
    </w:p>
    <w:p w:rsidR="00CF04C9" w:rsidRDefault="00CF04C9" w:rsidP="00B365F9">
      <w:pPr>
        <w:pStyle w:val="pldetails"/>
      </w:pPr>
      <w:r w:rsidRPr="00B365F9">
        <w:t>Dóra GYETVAINÉ VIRÁG (Ms.), Head, Patent Department, Hungarian Intellectual Property Office, Budapest</w:t>
      </w:r>
      <w:r w:rsidRPr="00B365F9">
        <w:br/>
        <w:t>(e-mail: dora.virag@hipo.gov.hu)</w:t>
      </w:r>
    </w:p>
    <w:p w:rsidR="00CF04C9" w:rsidRPr="00B365F9" w:rsidRDefault="00CF04C9" w:rsidP="00B365F9">
      <w:pPr>
        <w:pStyle w:val="pldetails"/>
      </w:pPr>
      <w:r w:rsidRPr="00B365F9">
        <w:t xml:space="preserve">Katalin MIKLÓ (Ms.), Deputy Head, Patent Department, Hungarian Intellectual Property Office, Budapest </w:t>
      </w:r>
      <w:r w:rsidRPr="00B365F9">
        <w:br/>
        <w:t>(e-mail: katalin.miklo@hipo.gov.hu)</w:t>
      </w:r>
    </w:p>
    <w:p w:rsidR="00CF04C9" w:rsidRPr="00D44BD3" w:rsidRDefault="00CF04C9" w:rsidP="001242A9">
      <w:pPr>
        <w:pStyle w:val="plcountry"/>
      </w:pPr>
      <w:r w:rsidRPr="00D44BD3">
        <w:t>JAPON / JAPAN / JAPAN / JAPÓN</w:t>
      </w:r>
    </w:p>
    <w:p w:rsidR="00CF04C9" w:rsidRDefault="00CF04C9" w:rsidP="007F20AA">
      <w:pPr>
        <w:pStyle w:val="pldetails"/>
      </w:pPr>
      <w:r>
        <w:t xml:space="preserve">Manabu SUZUKI (Mr.), Deputy Director for International Affairs, Intellectual Property Division, Food Industry Affairs Bureau, Ministry of Agriculture, Forestry and Fisheries (MAFF), Tokyo </w:t>
      </w:r>
      <w:r>
        <w:br/>
        <w:t>(e-mail: manabu_suzuki410@maff.go.jp)</w:t>
      </w:r>
    </w:p>
    <w:p w:rsidR="00CF04C9" w:rsidRDefault="00CF04C9" w:rsidP="003B5C55">
      <w:pPr>
        <w:pStyle w:val="pldetails"/>
      </w:pPr>
      <w:r>
        <w:t xml:space="preserve">Atsuhiro MENO (Mr.), Senior Policy Advisor, Intellectual Property Division, Food Industry Affairs Bureau, Ministry of Agriculture, Forestry and Fisheries (MAFF), Tokyo </w:t>
      </w:r>
      <w:r>
        <w:br/>
        <w:t xml:space="preserve">(e-mail: </w:t>
      </w:r>
      <w:r w:rsidRPr="001E77EC">
        <w:t>atsuhiro_meno150@maff.go.jp</w:t>
      </w:r>
      <w:r>
        <w:t>)</w:t>
      </w:r>
    </w:p>
    <w:p w:rsidR="00CF04C9" w:rsidRDefault="00CF04C9" w:rsidP="003B5C55">
      <w:pPr>
        <w:pStyle w:val="pldetails"/>
      </w:pPr>
      <w:r w:rsidRPr="00D150DB">
        <w:t xml:space="preserve">Manabu OSAKI (Mr.), </w:t>
      </w:r>
      <w:r>
        <w:t xml:space="preserve">Senior Examiner, Plant Variety Protection Office, Intellectual Property Division, Food Industry Affairs Bureau, Ministry of Agriculture, Forestry and Fisheries (MAFF), Tokyo </w:t>
      </w:r>
      <w:r>
        <w:br/>
        <w:t xml:space="preserve">(e-mail: </w:t>
      </w:r>
      <w:r w:rsidRPr="007F20AA">
        <w:t>manabu_osaki190@maff.go.jp</w:t>
      </w:r>
      <w:r>
        <w:t>)</w:t>
      </w:r>
    </w:p>
    <w:p w:rsidR="00CF04C9" w:rsidRPr="002B0F24" w:rsidRDefault="00CF04C9" w:rsidP="004E4D41">
      <w:pPr>
        <w:pStyle w:val="plcountry"/>
      </w:pPr>
      <w:r w:rsidRPr="002B0F24">
        <w:t>NORVÈGE / NORWAY / NORWEGEN / NORUEGA</w:t>
      </w:r>
    </w:p>
    <w:p w:rsidR="00CF04C9" w:rsidRPr="00253A7A" w:rsidRDefault="00CF04C9" w:rsidP="00872A6D">
      <w:pPr>
        <w:pStyle w:val="pldetails"/>
      </w:pPr>
      <w:r w:rsidRPr="00253A7A">
        <w:t xml:space="preserve">Marianne SMITH (Ms.), Senior Advisor, Norwegian Ministry of Agriculture and Food, Oslo </w:t>
      </w:r>
      <w:r w:rsidRPr="00253A7A">
        <w:br/>
        <w:t>(e-mail: marianne.smith@lmd.dep.no)</w:t>
      </w:r>
    </w:p>
    <w:p w:rsidR="00CF04C9" w:rsidRDefault="00CF04C9" w:rsidP="00C2293B">
      <w:pPr>
        <w:pStyle w:val="pldetails"/>
      </w:pPr>
      <w:r w:rsidRPr="00253A7A">
        <w:t>Mär</w:t>
      </w:r>
      <w:r w:rsidRPr="00C2293B">
        <w:t>tha Kristin ØIEN FELTON</w:t>
      </w:r>
      <w:r>
        <w:t xml:space="preserve"> (Ms.)</w:t>
      </w:r>
      <w:r w:rsidRPr="00C2293B">
        <w:t xml:space="preserve">, Legal Advisor, Norwegian Food and Safety Authority, As </w:t>
      </w:r>
      <w:r>
        <w:br/>
      </w:r>
      <w:r w:rsidRPr="00C2293B">
        <w:t xml:space="preserve">(e-mail: </w:t>
      </w:r>
      <w:r w:rsidRPr="00253A7A">
        <w:t>martha.kristin.oien.felton@mattilsynet.no</w:t>
      </w:r>
      <w:r w:rsidRPr="00C2293B">
        <w:t>)</w:t>
      </w:r>
    </w:p>
    <w:p w:rsidR="00CF04C9" w:rsidRPr="00253A7A" w:rsidRDefault="00CF04C9" w:rsidP="00253A7A">
      <w:pPr>
        <w:pStyle w:val="pldetails"/>
      </w:pPr>
      <w:r w:rsidRPr="00253A7A">
        <w:t>Elin Cecilie RANUM</w:t>
      </w:r>
      <w:r>
        <w:t xml:space="preserve"> (Ms.)</w:t>
      </w:r>
      <w:r w:rsidRPr="00253A7A">
        <w:t xml:space="preserve">, Advisor, Oslo </w:t>
      </w:r>
      <w:r>
        <w:br/>
      </w:r>
      <w:r w:rsidRPr="00253A7A">
        <w:t>(e-mail: elin@utviklingsfondet.no)</w:t>
      </w:r>
    </w:p>
    <w:p w:rsidR="00CF04C9" w:rsidRPr="00462682" w:rsidRDefault="00CF04C9" w:rsidP="004E4D41">
      <w:pPr>
        <w:pStyle w:val="plcountry"/>
      </w:pPr>
      <w:r w:rsidRPr="00462682">
        <w:lastRenderedPageBreak/>
        <w:t>NOUVELLE-ZÉLANDE / NEW ZEALAND / NEUSEELAND / NUEVA ZELANDIA</w:t>
      </w:r>
    </w:p>
    <w:p w:rsidR="00CF04C9" w:rsidRDefault="00CF04C9" w:rsidP="00504D37">
      <w:pPr>
        <w:pStyle w:val="pldetails"/>
      </w:pPr>
      <w:r w:rsidRPr="004D23DE">
        <w:t>Christopher J. BARNABY</w:t>
      </w:r>
      <w:r>
        <w:t xml:space="preserve"> (Mr.)</w:t>
      </w:r>
      <w:r w:rsidRPr="004D23DE">
        <w:t>, Assistant Commissioner / Principal Examiner for Plant Variety Rights, Plant Variety Rights Office, Intellectual Property Office of New Zealand, Intellectual Property Office of New</w:t>
      </w:r>
      <w:r>
        <w:t> </w:t>
      </w:r>
      <w:r w:rsidRPr="004D23DE">
        <w:t xml:space="preserve">Zealand, Plant Variety Rights, Ministry of Economic Development, Christchurch </w:t>
      </w:r>
      <w:r>
        <w:br/>
      </w:r>
      <w:r w:rsidRPr="004D23DE">
        <w:t xml:space="preserve">(e-mail: </w:t>
      </w:r>
      <w:r w:rsidRPr="00F82057">
        <w:t>Chris.Barnaby@pvr.govt.nz</w:t>
      </w:r>
      <w:r w:rsidRPr="004D23DE">
        <w:t xml:space="preserve">) </w:t>
      </w:r>
    </w:p>
    <w:p w:rsidR="00CF04C9" w:rsidRPr="00462682" w:rsidRDefault="00CF04C9" w:rsidP="004E4D41">
      <w:pPr>
        <w:pStyle w:val="plcountry"/>
      </w:pPr>
      <w:r w:rsidRPr="00462682">
        <w:t>PAYS-BAS / NETHERLANDS / NIEDERLANDE / PAÍSES BAJOS</w:t>
      </w:r>
    </w:p>
    <w:p w:rsidR="00CF04C9" w:rsidRPr="00322AF9" w:rsidRDefault="00CF04C9" w:rsidP="00322AF9">
      <w:pPr>
        <w:pStyle w:val="pldetails"/>
      </w:pPr>
      <w:r w:rsidRPr="00322AF9">
        <w:t>Kees Jan GROENEWOUD</w:t>
      </w:r>
      <w:r>
        <w:t xml:space="preserve"> (Mr.)</w:t>
      </w:r>
      <w:r w:rsidRPr="00322AF9">
        <w:t xml:space="preserve">, Secretary, Dutch Board for Plant Variety (Raad voor Plantenrassen), Naktuinbouw, Roelofarendsveen </w:t>
      </w:r>
      <w:r>
        <w:br/>
      </w:r>
      <w:r w:rsidRPr="00322AF9">
        <w:t>(e-mail: c.j.a.groenewoud@naktuinbouw.nl)</w:t>
      </w:r>
    </w:p>
    <w:p w:rsidR="00CF04C9" w:rsidRDefault="00CF04C9" w:rsidP="00C855A0">
      <w:pPr>
        <w:pStyle w:val="pldetails"/>
      </w:pPr>
      <w:r w:rsidRPr="00C969BB">
        <w:t>Kees VAN ETTEKOVEN</w:t>
      </w:r>
      <w:r>
        <w:t xml:space="preserve"> (Mr.)</w:t>
      </w:r>
      <w:r w:rsidRPr="00C969BB">
        <w:t xml:space="preserve">, Senior PVP Policy Advisor, Naktuinbouw NL, Roelofarendsveen </w:t>
      </w:r>
      <w:r w:rsidRPr="00C969BB">
        <w:br/>
        <w:t>(e-mail: c.v.ettekoven@naktuinbouw.nl)</w:t>
      </w:r>
      <w:r w:rsidRPr="00C855A0">
        <w:t xml:space="preserve"> </w:t>
      </w:r>
    </w:p>
    <w:p w:rsidR="00CF04C9" w:rsidRPr="0074002B" w:rsidRDefault="00CF04C9" w:rsidP="004E4D41">
      <w:pPr>
        <w:pStyle w:val="plcountry"/>
      </w:pPr>
      <w:r w:rsidRPr="0074002B">
        <w:t>ROYAUME-UNI / UNITED KINGDOM / VEREINIGTES KÖNIGREICH / REINO UNIDO</w:t>
      </w:r>
    </w:p>
    <w:p w:rsidR="00CF04C9" w:rsidRPr="00F23D9E" w:rsidRDefault="00CF04C9" w:rsidP="00F23D9E">
      <w:pPr>
        <w:pStyle w:val="pldetails"/>
      </w:pPr>
      <w:r w:rsidRPr="00F23D9E">
        <w:t>Andrew MITCHELL</w:t>
      </w:r>
      <w:r>
        <w:t xml:space="preserve"> (Mr.)</w:t>
      </w:r>
      <w:r w:rsidRPr="00F23D9E">
        <w:t xml:space="preserve">, Policy Team Leader, Department for Environment, Food and Rural Affairs (DEFRA), Cambridge </w:t>
      </w:r>
      <w:r w:rsidRPr="00F23D9E">
        <w:br/>
        <w:t>(e-mail: andrew.mitchell@defra.gov.uk)</w:t>
      </w:r>
    </w:p>
    <w:p w:rsidR="00CF04C9" w:rsidRPr="006D5712" w:rsidRDefault="00CF04C9" w:rsidP="004E4D41">
      <w:pPr>
        <w:pStyle w:val="plcountry"/>
      </w:pPr>
      <w:r w:rsidRPr="006D5712">
        <w:t>SUISSE / SWITZERLAND / SCHWEIZ / SUIZA</w:t>
      </w:r>
    </w:p>
    <w:p w:rsidR="00CF04C9" w:rsidRDefault="00CF04C9" w:rsidP="00D50BDF">
      <w:pPr>
        <w:pStyle w:val="pldetails"/>
      </w:pPr>
      <w:r w:rsidRPr="006D5712">
        <w:t xml:space="preserve">Manuela BRAND (Ms.), Plant Variety Rights Office, Plant Health and Varieties, Office fédéral de l'agriculture (OFAG), Bern  </w:t>
      </w:r>
      <w:r w:rsidRPr="006D5712">
        <w:br/>
        <w:t xml:space="preserve">(e-mail: </w:t>
      </w:r>
      <w:r w:rsidRPr="00EF4A7D">
        <w:t>manuela.brand@blw.admin.ch</w:t>
      </w:r>
      <w:r w:rsidRPr="006D5712">
        <w:t>)</w:t>
      </w:r>
      <w:r w:rsidRPr="004D23DE">
        <w:t xml:space="preserve"> </w:t>
      </w:r>
    </w:p>
    <w:p w:rsidR="00CF04C9" w:rsidRPr="007B5A58" w:rsidRDefault="00CF04C9" w:rsidP="00B566D1">
      <w:pPr>
        <w:pStyle w:val="plcountry"/>
      </w:pPr>
      <w:r w:rsidRPr="007B5A58">
        <w:t>UNION EUROPÉENNE / EUROPEAN UNION / EUROPÄISCHE UNION / UNIÓN EUROPEA</w:t>
      </w:r>
    </w:p>
    <w:p w:rsidR="00CF04C9" w:rsidRPr="004D23DE" w:rsidRDefault="00CF04C9" w:rsidP="00B566D1">
      <w:pPr>
        <w:pStyle w:val="pldetails"/>
      </w:pPr>
      <w:r w:rsidRPr="004D23DE">
        <w:t xml:space="preserve">Päivi MANNERKORPI (Ms.), Team Leader - Unit G1, Plant Reproductive Material, Directorate General for Health and Food Safety (DG SANCO), European Commission, Bruxelles  </w:t>
      </w:r>
      <w:r>
        <w:br/>
      </w:r>
      <w:r w:rsidRPr="004D23DE">
        <w:t xml:space="preserve">(e-mail: paivi.mannerkorpi@ec.europa.eu) </w:t>
      </w:r>
    </w:p>
    <w:p w:rsidR="00CF04C9" w:rsidRPr="008F0090" w:rsidRDefault="00CF04C9" w:rsidP="008F0090">
      <w:pPr>
        <w:pStyle w:val="pldetails"/>
      </w:pPr>
      <w:r w:rsidRPr="008F0090">
        <w:t>Martin EKVAD</w:t>
      </w:r>
      <w:r>
        <w:t xml:space="preserve"> (Mr.)</w:t>
      </w:r>
      <w:r w:rsidRPr="008F0090">
        <w:t xml:space="preserve">, President, Community Plant Variety Office (CPVO), Angers </w:t>
      </w:r>
      <w:r>
        <w:br/>
      </w:r>
      <w:r w:rsidRPr="008F0090">
        <w:t>(e-mail: ekvad@cpvo.europa.eu)</w:t>
      </w:r>
    </w:p>
    <w:p w:rsidR="00CF04C9" w:rsidRPr="007B5A58" w:rsidRDefault="00CF04C9" w:rsidP="007B5A58">
      <w:pPr>
        <w:pStyle w:val="pldetails"/>
      </w:pPr>
      <w:r w:rsidRPr="007B5A58">
        <w:t>Francesco MATTINA</w:t>
      </w:r>
      <w:r>
        <w:t xml:space="preserve"> (Mr.)</w:t>
      </w:r>
      <w:r w:rsidRPr="007B5A58">
        <w:t xml:space="preserve">, Vice-President, Community Plant Variety Office (CPVO), Angers </w:t>
      </w:r>
      <w:r>
        <w:br/>
      </w:r>
      <w:r w:rsidRPr="007B5A58">
        <w:t>(e-mail: mattina@cpvo.europa.eu)</w:t>
      </w:r>
    </w:p>
    <w:p w:rsidR="00CF04C9" w:rsidRDefault="00CF04C9" w:rsidP="00B566D1">
      <w:pPr>
        <w:pStyle w:val="pldetails"/>
      </w:pPr>
      <w:r w:rsidRPr="004D23DE">
        <w:t>Dirk THEOBALD</w:t>
      </w:r>
      <w:r>
        <w:t xml:space="preserve"> (Mr.)</w:t>
      </w:r>
      <w:r w:rsidRPr="004D23DE">
        <w:t xml:space="preserve">, Head of the Technical Unit, Community Plant Variety Office (CPVO), </w:t>
      </w:r>
      <w:r w:rsidRPr="00F140FC">
        <w:t xml:space="preserve">Angers </w:t>
      </w:r>
      <w:r>
        <w:br/>
      </w:r>
      <w:r w:rsidRPr="00F140FC">
        <w:t xml:space="preserve">(e-mail: theobald@cpvo.europa.eu) </w:t>
      </w:r>
    </w:p>
    <w:p w:rsidR="00CF04C9" w:rsidRPr="004071DD" w:rsidRDefault="00CF04C9" w:rsidP="00A479A8">
      <w:pPr>
        <w:pStyle w:val="plheading"/>
        <w:rPr>
          <w:rFonts w:cs="Arial"/>
        </w:rPr>
      </w:pPr>
      <w:r>
        <w:rPr>
          <w:rFonts w:cs="Arial"/>
        </w:rPr>
        <w:t>II</w:t>
      </w:r>
      <w:r w:rsidRPr="004071DD">
        <w:rPr>
          <w:rFonts w:cs="Arial"/>
        </w:rPr>
        <w:t>. BUREAU / OFFICER / VORSITZ / OFICINA</w:t>
      </w:r>
    </w:p>
    <w:p w:rsidR="00CF04C9" w:rsidRPr="00712FF1" w:rsidRDefault="00CF04C9" w:rsidP="00712FF1">
      <w:pPr>
        <w:pStyle w:val="pldetails"/>
      </w:pPr>
      <w:r w:rsidRPr="00712FF1">
        <w:t>Peter BUTTON (Mr.), Chair</w:t>
      </w:r>
    </w:p>
    <w:p w:rsidR="00CF04C9" w:rsidRPr="004071DD" w:rsidRDefault="00CF04C9" w:rsidP="00A479A8">
      <w:pPr>
        <w:pStyle w:val="plheading"/>
        <w:keepLines/>
        <w:rPr>
          <w:rFonts w:cs="Arial"/>
        </w:rPr>
      </w:pPr>
      <w:r>
        <w:rPr>
          <w:rFonts w:cs="Arial"/>
        </w:rPr>
        <w:t>III</w:t>
      </w:r>
      <w:r w:rsidRPr="004071DD">
        <w:rPr>
          <w:rFonts w:cs="Arial"/>
        </w:rPr>
        <w:t>. BUREAU DE L’UPOV / OFFICE OF UPOV / BÜRO DER UPOV / OFICINA DE LA UPOV</w:t>
      </w:r>
    </w:p>
    <w:p w:rsidR="00CF04C9" w:rsidRPr="00841411" w:rsidRDefault="00CF04C9" w:rsidP="00A479A8">
      <w:pPr>
        <w:pStyle w:val="pldetails"/>
      </w:pPr>
      <w:r w:rsidRPr="00841411">
        <w:t>Peter BUTTON</w:t>
      </w:r>
      <w:r>
        <w:t xml:space="preserve"> (Mr.)</w:t>
      </w:r>
      <w:r w:rsidRPr="00841411">
        <w:t>, Vice Secretary-General</w:t>
      </w:r>
    </w:p>
    <w:p w:rsidR="00CF04C9" w:rsidRPr="00841411" w:rsidRDefault="00CF04C9" w:rsidP="00A479A8">
      <w:pPr>
        <w:pStyle w:val="pldetails"/>
      </w:pPr>
      <w:r w:rsidRPr="00841411">
        <w:t xml:space="preserve">Yolanda HUERTA (Ms.), </w:t>
      </w:r>
      <w:r w:rsidRPr="00115E79">
        <w:t>Legal Counsel and Director of Training and Assistance</w:t>
      </w:r>
    </w:p>
    <w:p w:rsidR="00CF04C9" w:rsidRPr="00841411" w:rsidRDefault="00CF04C9" w:rsidP="00A479A8">
      <w:pPr>
        <w:pStyle w:val="pldetails"/>
      </w:pPr>
      <w:r w:rsidRPr="00A479A8">
        <w:t>Tomochika MOTOMURA</w:t>
      </w:r>
      <w:r>
        <w:t xml:space="preserve"> (Mr.)</w:t>
      </w:r>
      <w:r w:rsidRPr="00841411">
        <w:t>, Technical/Regional Officer (Asia)</w:t>
      </w:r>
    </w:p>
    <w:p w:rsidR="00CF04C9" w:rsidRPr="00841411" w:rsidRDefault="00CF04C9" w:rsidP="00A479A8">
      <w:pPr>
        <w:pStyle w:val="pldetails"/>
      </w:pPr>
      <w:r w:rsidRPr="00841411">
        <w:t>Ben RIVOIRE</w:t>
      </w:r>
      <w:r>
        <w:t xml:space="preserve"> (Mr.)</w:t>
      </w:r>
      <w:r w:rsidRPr="00841411">
        <w:t>, Technical/Regional Officer (Africa, Arab countries)</w:t>
      </w:r>
    </w:p>
    <w:p w:rsidR="00CF04C9" w:rsidRPr="00841411" w:rsidRDefault="00CF04C9" w:rsidP="00A479A8">
      <w:pPr>
        <w:pStyle w:val="pldetails"/>
      </w:pPr>
      <w:r w:rsidRPr="00841411">
        <w:t>Leontino TAVEIRA</w:t>
      </w:r>
      <w:r>
        <w:t xml:space="preserve"> (Mr.)</w:t>
      </w:r>
      <w:r w:rsidRPr="00841411">
        <w:t>, Technical/Regional Officer (Latin America, Caribbean countries)</w:t>
      </w:r>
    </w:p>
    <w:p w:rsidR="00CF04C9" w:rsidRPr="00001698" w:rsidRDefault="00CF04C9" w:rsidP="00A479A8">
      <w:pPr>
        <w:pStyle w:val="pldetails"/>
      </w:pPr>
      <w:r w:rsidRPr="00001698">
        <w:t>Hend MADHOUR (Ms.), IT Officer</w:t>
      </w:r>
    </w:p>
    <w:p w:rsidR="00CF04C9" w:rsidRPr="00001698" w:rsidRDefault="00CF04C9" w:rsidP="00FB576C">
      <w:r w:rsidRPr="00001698">
        <w:t>Ruixi HAN (Mr.), Fellow</w:t>
      </w:r>
    </w:p>
    <w:p w:rsidR="00CF04C9" w:rsidRPr="00001698" w:rsidRDefault="00CF04C9" w:rsidP="00FB576C"/>
    <w:p w:rsidR="00CF04C9" w:rsidRPr="00001698" w:rsidRDefault="00CF04C9" w:rsidP="00FB576C"/>
    <w:p w:rsidR="00CF04C9" w:rsidRPr="00001698" w:rsidRDefault="00CF04C9" w:rsidP="00FB576C"/>
    <w:p w:rsidR="00CF04C9" w:rsidRPr="001E12E0" w:rsidRDefault="00CF04C9" w:rsidP="00A479A8">
      <w:pPr>
        <w:keepNext/>
        <w:jc w:val="right"/>
        <w:rPr>
          <w:rFonts w:cs="Arial"/>
          <w:lang w:eastAsia="zh-CN"/>
        </w:rPr>
      </w:pPr>
      <w:r w:rsidRPr="001E12E0">
        <w:rPr>
          <w:rFonts w:cs="Arial"/>
        </w:rPr>
        <w:t>[</w:t>
      </w:r>
      <w:r w:rsidR="00C1037A" w:rsidRPr="001E12E0">
        <w:rPr>
          <w:rFonts w:cs="Arial"/>
        </w:rPr>
        <w:t xml:space="preserve">L’annexe II suit </w:t>
      </w:r>
      <w:r w:rsidRPr="001E12E0">
        <w:rPr>
          <w:rFonts w:cs="Arial"/>
        </w:rPr>
        <w:t>/</w:t>
      </w:r>
      <w:r w:rsidRPr="001E12E0">
        <w:rPr>
          <w:rFonts w:cs="Arial"/>
        </w:rPr>
        <w:br/>
      </w:r>
      <w:r w:rsidR="00C1037A" w:rsidRPr="001E12E0">
        <w:rPr>
          <w:rFonts w:cs="Arial"/>
        </w:rPr>
        <w:t xml:space="preserve">Annex II follows </w:t>
      </w:r>
      <w:r w:rsidRPr="001E12E0">
        <w:rPr>
          <w:rFonts w:cs="Arial"/>
        </w:rPr>
        <w:t>/</w:t>
      </w:r>
      <w:r w:rsidRPr="001E12E0">
        <w:rPr>
          <w:rFonts w:cs="Arial"/>
        </w:rPr>
        <w:br/>
      </w:r>
      <w:r w:rsidR="00C1037A" w:rsidRPr="001E12E0">
        <w:rPr>
          <w:rFonts w:cs="Arial"/>
        </w:rPr>
        <w:t xml:space="preserve">Anlage II folgt </w:t>
      </w:r>
      <w:r w:rsidRPr="001E12E0">
        <w:rPr>
          <w:rFonts w:cs="Arial"/>
        </w:rPr>
        <w:t>/</w:t>
      </w:r>
      <w:r w:rsidRPr="001E12E0">
        <w:rPr>
          <w:rFonts w:cs="Arial"/>
        </w:rPr>
        <w:br/>
      </w:r>
      <w:r w:rsidR="00C1037A" w:rsidRPr="001E12E0">
        <w:rPr>
          <w:rFonts w:cs="Arial"/>
        </w:rPr>
        <w:t>Sigue el Anexo II]</w:t>
      </w:r>
    </w:p>
    <w:p w:rsidR="00CF04C9" w:rsidRPr="001E12E0" w:rsidRDefault="00CF04C9" w:rsidP="00FB576C"/>
    <w:p w:rsidR="00595E54" w:rsidRPr="001E12E0" w:rsidRDefault="00595E54">
      <w:pPr>
        <w:jc w:val="left"/>
        <w:sectPr w:rsidR="00595E54" w:rsidRPr="001E12E0" w:rsidSect="00155B6B">
          <w:headerReference w:type="default" r:id="rId10"/>
          <w:pgSz w:w="11907" w:h="16840" w:code="9"/>
          <w:pgMar w:top="510" w:right="1134" w:bottom="851" w:left="1134" w:header="510" w:footer="680" w:gutter="0"/>
          <w:pgNumType w:start="1"/>
          <w:cols w:space="720"/>
          <w:titlePg/>
        </w:sectPr>
      </w:pPr>
    </w:p>
    <w:p w:rsidR="00595E54" w:rsidRDefault="00267BF1" w:rsidP="00291937">
      <w:pPr>
        <w:pStyle w:val="Header"/>
        <w:rPr>
          <w:rStyle w:val="PageNumber"/>
          <w:lang w:val="en-US"/>
        </w:rPr>
      </w:pPr>
      <w:r>
        <w:rPr>
          <w:lang w:val="en-US"/>
        </w:rPr>
        <w:lastRenderedPageBreak/>
        <w:t>UPOV/WG-ISC/4/3</w:t>
      </w:r>
      <w:r w:rsidR="00595E54" w:rsidRPr="00595E54">
        <w:rPr>
          <w:lang w:val="en-US"/>
        </w:rPr>
        <w:t xml:space="preserve"> </w:t>
      </w:r>
    </w:p>
    <w:p w:rsidR="00595E54" w:rsidRDefault="00595E54" w:rsidP="00291937">
      <w:pPr>
        <w:jc w:val="center"/>
      </w:pPr>
    </w:p>
    <w:p w:rsidR="00595E54" w:rsidRDefault="00595E54" w:rsidP="00291937">
      <w:pPr>
        <w:jc w:val="center"/>
      </w:pPr>
      <w:r>
        <w:t>ANNEX II</w:t>
      </w:r>
    </w:p>
    <w:p w:rsidR="00595E54" w:rsidRDefault="00595E54" w:rsidP="00291937">
      <w:pPr>
        <w:jc w:val="center"/>
      </w:pPr>
    </w:p>
    <w:p w:rsidR="00595E54" w:rsidRDefault="00595E54" w:rsidP="00291937">
      <w:pPr>
        <w:jc w:val="center"/>
      </w:pPr>
    </w:p>
    <w:p w:rsidR="00595E54" w:rsidRDefault="000E4893" w:rsidP="00291937">
      <w:pPr>
        <w:jc w:val="center"/>
      </w:pPr>
      <w:r>
        <w:object w:dxaOrig="7110" w:dyaOrig="5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4pt;height:266.7pt" o:ole="" o:bordertopcolor="this" o:borderleftcolor="this" o:borderbottomcolor="this" o:borderrightcolor="this">
            <v:imagedata r:id="rId11" o:title=""/>
            <w10:bordertop type="single" width="4" shadow="t"/>
            <w10:borderleft type="single" width="4" shadow="t"/>
            <w10:borderbottom type="single" width="4" shadow="t"/>
            <w10:borderright type="single" width="4" shadow="t"/>
          </v:shape>
          <o:OLEObject Type="Embed" ProgID="PowerPoint.Slide.12" ShapeID="_x0000_i1025" DrawAspect="Content" ObjectID="_1615044113" r:id="rId12"/>
        </w:object>
      </w: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0E4893" w:rsidP="00291937">
      <w:pPr>
        <w:jc w:val="center"/>
      </w:pPr>
      <w:r>
        <w:object w:dxaOrig="7180" w:dyaOrig="5390">
          <v:shape id="_x0000_i1026" type="#_x0000_t75" style="width:354.25pt;height:266.7pt" o:ole="" o:bordertopcolor="this" o:borderleftcolor="this" o:borderbottomcolor="this" o:borderrightcolor="this">
            <v:imagedata r:id="rId13" o:title=""/>
            <w10:bordertop type="single" width="4" shadow="t"/>
            <w10:borderleft type="single" width="4" shadow="t"/>
            <w10:borderbottom type="single" width="4" shadow="t"/>
            <w10:borderright type="single" width="4" shadow="t"/>
          </v:shape>
          <o:OLEObject Type="Embed" ProgID="PowerPoint.Slide.12" ShapeID="_x0000_i1026" DrawAspect="Content" ObjectID="_1615044114" r:id="rId14"/>
        </w:object>
      </w: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C80FC1" w:rsidP="00291937">
      <w:pPr>
        <w:jc w:val="left"/>
      </w:pPr>
      <w:r>
        <w:rPr>
          <w:noProof/>
        </w:rPr>
        <w:lastRenderedPageBreak/>
        <w:object w:dxaOrig="1440" w:dyaOrig="1440">
          <v:shape id="_x0000_s1026" type="#_x0000_t75" style="position:absolute;margin-left:80.05pt;margin-top:1pt;width:354.6pt;height:266.4pt;z-index:251658240;mso-position-horizontal:absolute;mso-position-horizontal-relative:text;mso-position-vertical-relative:text" stroked="t" strokeweight=".5pt">
            <v:imagedata r:id="rId15" o:title=""/>
            <v:shadow on="t"/>
            <w10:wrap type="square" side="right"/>
          </v:shape>
          <o:OLEObject Type="Embed" ProgID="PowerPoint.Slide.12" ShapeID="_x0000_s1026" DrawAspect="Content" ObjectID="_1615044121" r:id="rId16"/>
        </w:object>
      </w:r>
      <w:r w:rsidR="00595E54">
        <w:br w:type="textWrapping" w:clear="all"/>
      </w: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0E4893" w:rsidP="00291937">
      <w:pPr>
        <w:jc w:val="center"/>
      </w:pPr>
      <w:r>
        <w:object w:dxaOrig="7180" w:dyaOrig="5390">
          <v:shape id="_x0000_i1028" type="#_x0000_t75" style="width:354.25pt;height:266.7pt" o:ole="" o:bordertopcolor="this" o:borderleftcolor="this" o:borderbottomcolor="this" o:borderrightcolor="this">
            <v:imagedata r:id="rId17" o:title=""/>
            <w10:bordertop type="single" width="4" shadow="t"/>
            <w10:borderleft type="single" width="4" shadow="t"/>
            <w10:borderbottom type="single" width="4" shadow="t"/>
            <w10:borderright type="single" width="4" shadow="t"/>
          </v:shape>
          <o:OLEObject Type="Embed" ProgID="PowerPoint.Slide.12" ShapeID="_x0000_i1028" DrawAspect="Content" ObjectID="_1615044115" r:id="rId18"/>
        </w:object>
      </w: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0E4893" w:rsidP="00291937">
      <w:pPr>
        <w:jc w:val="center"/>
      </w:pPr>
      <w:r>
        <w:object w:dxaOrig="7180" w:dyaOrig="5390">
          <v:shape id="_x0000_i1029" type="#_x0000_t75" style="width:354.25pt;height:266.7pt" o:ole="" o:bordertopcolor="this" o:borderleftcolor="this" o:borderbottomcolor="this" o:borderrightcolor="this">
            <v:imagedata r:id="rId19" o:title=""/>
            <w10:bordertop type="single" width="4" shadow="t"/>
            <w10:borderleft type="single" width="4" shadow="t"/>
            <w10:borderbottom type="single" width="4" shadow="t"/>
            <w10:borderright type="single" width="4" shadow="t"/>
          </v:shape>
          <o:OLEObject Type="Embed" ProgID="PowerPoint.Slide.12" ShapeID="_x0000_i1029" DrawAspect="Content" ObjectID="_1615044116" r:id="rId20"/>
        </w:object>
      </w: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0E4893" w:rsidP="00291937">
      <w:pPr>
        <w:jc w:val="center"/>
      </w:pPr>
      <w:r>
        <w:object w:dxaOrig="7180" w:dyaOrig="5390">
          <v:shape id="_x0000_i1030" type="#_x0000_t75" style="width:354.25pt;height:266.7pt" o:ole="" o:bordertopcolor="this" o:borderleftcolor="this" o:borderbottomcolor="this" o:borderrightcolor="this">
            <v:imagedata r:id="rId21" o:title=""/>
            <w10:bordertop type="single" width="4" shadow="t"/>
            <w10:borderleft type="single" width="4" shadow="t"/>
            <w10:borderbottom type="single" width="4" shadow="t"/>
            <w10:borderright type="single" width="4" shadow="t"/>
          </v:shape>
          <o:OLEObject Type="Embed" ProgID="PowerPoint.Slide.12" ShapeID="_x0000_i1030" DrawAspect="Content" ObjectID="_1615044117" r:id="rId22"/>
        </w:object>
      </w: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0E4893" w:rsidP="00291937">
      <w:pPr>
        <w:jc w:val="center"/>
      </w:pPr>
      <w:r>
        <w:object w:dxaOrig="7180" w:dyaOrig="5390">
          <v:shape id="_x0000_i1031" type="#_x0000_t75" style="width:354.25pt;height:266.7pt" o:ole="" o:bordertopcolor="this" o:borderleftcolor="this" o:borderbottomcolor="this" o:borderrightcolor="this">
            <v:imagedata r:id="rId23" o:title=""/>
            <w10:bordertop type="single" width="4" shadow="t"/>
            <w10:borderleft type="single" width="4" shadow="t"/>
            <w10:borderbottom type="single" width="4" shadow="t"/>
            <w10:borderright type="single" width="4" shadow="t"/>
          </v:shape>
          <o:OLEObject Type="Embed" ProgID="PowerPoint.Slide.12" ShapeID="_x0000_i1031" DrawAspect="Content" ObjectID="_1615044118" r:id="rId24"/>
        </w:object>
      </w: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0E4893" w:rsidP="00291937">
      <w:pPr>
        <w:jc w:val="center"/>
      </w:pPr>
      <w:r>
        <w:object w:dxaOrig="7180" w:dyaOrig="5390">
          <v:shape id="_x0000_i1032" type="#_x0000_t75" style="width:354.25pt;height:266.7pt" o:ole="" o:bordertopcolor="this" o:borderleftcolor="this" o:borderbottomcolor="this" o:borderrightcolor="this">
            <v:imagedata r:id="rId25" o:title=""/>
            <w10:bordertop type="single" width="4" shadow="t"/>
            <w10:borderleft type="single" width="4" shadow="t"/>
            <w10:borderbottom type="single" width="4" shadow="t"/>
            <w10:borderright type="single" width="4" shadow="t"/>
          </v:shape>
          <o:OLEObject Type="Embed" ProgID="PowerPoint.Slide.12" ShapeID="_x0000_i1032" DrawAspect="Content" ObjectID="_1615044119" r:id="rId26"/>
        </w:object>
      </w: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0E4893" w:rsidP="00291937">
      <w:pPr>
        <w:jc w:val="center"/>
      </w:pPr>
      <w:r>
        <w:object w:dxaOrig="7180" w:dyaOrig="5390">
          <v:shape id="_x0000_i1033" type="#_x0000_t75" style="width:354.25pt;height:266.7pt" o:ole="" o:bordertopcolor="this" o:borderleftcolor="this" o:borderbottomcolor="this" o:borderrightcolor="this">
            <v:imagedata r:id="rId27" o:title=""/>
            <w10:bordertop type="single" width="4" shadow="t"/>
            <w10:borderleft type="single" width="4" shadow="t"/>
            <w10:borderbottom type="single" width="4" shadow="t"/>
            <w10:borderright type="single" width="4" shadow="t"/>
          </v:shape>
          <o:OLEObject Type="Embed" ProgID="PowerPoint.Slide.12" ShapeID="_x0000_i1033" DrawAspect="Content" ObjectID="_1615044120" r:id="rId28"/>
        </w:object>
      </w:r>
    </w:p>
    <w:p w:rsidR="00595E54" w:rsidRDefault="00595E54" w:rsidP="00291937">
      <w:pPr>
        <w:jc w:val="center"/>
      </w:pPr>
    </w:p>
    <w:p w:rsidR="00595E54" w:rsidRDefault="00595E54" w:rsidP="00291937">
      <w:pPr>
        <w:jc w:val="center"/>
      </w:pPr>
    </w:p>
    <w:p w:rsidR="00595E54" w:rsidRDefault="00595E54" w:rsidP="00291937">
      <w:pPr>
        <w:jc w:val="center"/>
      </w:pPr>
    </w:p>
    <w:p w:rsidR="00595E54" w:rsidRDefault="00595E54" w:rsidP="00291937">
      <w:pPr>
        <w:jc w:val="center"/>
      </w:pPr>
    </w:p>
    <w:p w:rsidR="00595E54" w:rsidRPr="00B570F7" w:rsidRDefault="00595E54" w:rsidP="00291937">
      <w:pPr>
        <w:jc w:val="right"/>
      </w:pPr>
      <w:r>
        <w:t>[End of Annex II and of document]</w:t>
      </w:r>
    </w:p>
    <w:p w:rsidR="001E6E12" w:rsidRPr="00595E54" w:rsidRDefault="001E6E12">
      <w:pPr>
        <w:jc w:val="left"/>
      </w:pPr>
    </w:p>
    <w:sectPr w:rsidR="001E6E12" w:rsidRPr="00595E54" w:rsidSect="00D060D3">
      <w:headerReference w:type="defaul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A4F" w:rsidRDefault="003C4A4F" w:rsidP="006655D3">
      <w:r>
        <w:separator/>
      </w:r>
    </w:p>
    <w:p w:rsidR="003C4A4F" w:rsidRDefault="003C4A4F" w:rsidP="006655D3"/>
    <w:p w:rsidR="003C4A4F" w:rsidRDefault="003C4A4F" w:rsidP="006655D3"/>
  </w:endnote>
  <w:endnote w:type="continuationSeparator" w:id="0">
    <w:p w:rsidR="003C4A4F" w:rsidRDefault="003C4A4F" w:rsidP="006655D3">
      <w:r>
        <w:separator/>
      </w:r>
    </w:p>
    <w:p w:rsidR="003C4A4F" w:rsidRPr="00294751" w:rsidRDefault="003C4A4F">
      <w:pPr>
        <w:pStyle w:val="Footer"/>
        <w:spacing w:after="60"/>
        <w:rPr>
          <w:sz w:val="18"/>
          <w:lang w:val="fr-FR"/>
        </w:rPr>
      </w:pPr>
      <w:r w:rsidRPr="00294751">
        <w:rPr>
          <w:sz w:val="18"/>
          <w:lang w:val="fr-FR"/>
        </w:rPr>
        <w:t>[Suite de la note de la page précédente]</w:t>
      </w:r>
    </w:p>
    <w:p w:rsidR="003C4A4F" w:rsidRPr="00294751" w:rsidRDefault="003C4A4F" w:rsidP="006655D3">
      <w:pPr>
        <w:rPr>
          <w:lang w:val="fr-FR"/>
        </w:rPr>
      </w:pPr>
    </w:p>
    <w:p w:rsidR="003C4A4F" w:rsidRPr="00294751" w:rsidRDefault="003C4A4F" w:rsidP="006655D3">
      <w:pPr>
        <w:rPr>
          <w:lang w:val="fr-FR"/>
        </w:rPr>
      </w:pPr>
    </w:p>
  </w:endnote>
  <w:endnote w:type="continuationNotice" w:id="1">
    <w:p w:rsidR="003C4A4F" w:rsidRPr="00294751" w:rsidRDefault="003C4A4F" w:rsidP="006655D3">
      <w:pPr>
        <w:rPr>
          <w:lang w:val="fr-FR"/>
        </w:rPr>
      </w:pPr>
      <w:r w:rsidRPr="00294751">
        <w:rPr>
          <w:lang w:val="fr-FR"/>
        </w:rPr>
        <w:t>[Suite de la note page suivante]</w:t>
      </w:r>
    </w:p>
    <w:p w:rsidR="003C4A4F" w:rsidRPr="00294751" w:rsidRDefault="003C4A4F" w:rsidP="006655D3">
      <w:pPr>
        <w:rPr>
          <w:lang w:val="fr-FR"/>
        </w:rPr>
      </w:pPr>
    </w:p>
    <w:p w:rsidR="003C4A4F" w:rsidRPr="00294751" w:rsidRDefault="003C4A4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A4F" w:rsidRDefault="003C4A4F" w:rsidP="001E12E0">
      <w:pPr>
        <w:spacing w:before="120"/>
      </w:pPr>
      <w:r>
        <w:separator/>
      </w:r>
    </w:p>
  </w:footnote>
  <w:footnote w:type="continuationSeparator" w:id="0">
    <w:p w:rsidR="003C4A4F" w:rsidRDefault="003C4A4F" w:rsidP="006655D3">
      <w:r>
        <w:separator/>
      </w:r>
    </w:p>
  </w:footnote>
  <w:footnote w:type="continuationNotice" w:id="1">
    <w:p w:rsidR="003C4A4F" w:rsidRPr="00AB530F" w:rsidRDefault="003C4A4F" w:rsidP="00AB530F">
      <w:pPr>
        <w:pStyle w:val="Footer"/>
      </w:pPr>
    </w:p>
  </w:footnote>
  <w:footnote w:id="2">
    <w:p w:rsidR="00595E54" w:rsidRDefault="00595E54">
      <w:pPr>
        <w:pStyle w:val="FootnoteText"/>
      </w:pPr>
      <w:r>
        <w:rPr>
          <w:rStyle w:val="FootnoteReference"/>
        </w:rPr>
        <w:footnoteRef/>
      </w:r>
      <w:r>
        <w:t xml:space="preserve"> </w:t>
      </w:r>
      <w:r>
        <w:tab/>
        <w:t>The</w:t>
      </w:r>
      <w:r w:rsidR="00DD2527">
        <w:t xml:space="preserve"> reference to the sub-paragraph</w:t>
      </w:r>
      <w:r>
        <w:t xml:space="preserve"> number</w:t>
      </w:r>
      <w:r w:rsidR="00DD2527">
        <w:t>s</w:t>
      </w:r>
      <w:r>
        <w:t xml:space="preserve"> follows the nu</w:t>
      </w:r>
      <w:r w:rsidR="009D473E">
        <w:t>m</w:t>
      </w:r>
      <w:r>
        <w:t>bering in Annex II because of some errors in the numbers of Annex 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B71AF0" w:rsidP="00EB048E">
    <w:pPr>
      <w:pStyle w:val="Header"/>
      <w:rPr>
        <w:rStyle w:val="PageNumber"/>
        <w:lang w:val="en-US"/>
      </w:rPr>
    </w:pPr>
    <w:r w:rsidRPr="001E12E0">
      <w:rPr>
        <w:lang w:val="en-US"/>
      </w:rPr>
      <w:t>UPOV/WG-</w:t>
    </w:r>
    <w:r w:rsidR="00EE3A43" w:rsidRPr="001E12E0">
      <w:rPr>
        <w:lang w:val="en-US"/>
      </w:rPr>
      <w:t>ISC/4/</w:t>
    </w:r>
    <w:r w:rsidR="004762A2" w:rsidRPr="001E12E0">
      <w:rPr>
        <w:lang w:val="en-US"/>
      </w:rPr>
      <w:t xml:space="preserve">3 </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80FC1">
      <w:rPr>
        <w:rStyle w:val="PageNumber"/>
        <w:noProof/>
        <w:lang w:val="en-US"/>
      </w:rPr>
      <w:t>4</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C9" w:rsidRDefault="00267BF1" w:rsidP="00E07586">
    <w:pPr>
      <w:jc w:val="center"/>
      <w:rPr>
        <w:rFonts w:cs="Arial"/>
      </w:rPr>
    </w:pPr>
    <w:r>
      <w:rPr>
        <w:rFonts w:cs="Arial"/>
      </w:rPr>
      <w:t>UPOV/</w:t>
    </w:r>
    <w:r w:rsidR="007F03B4">
      <w:rPr>
        <w:rFonts w:cs="Arial"/>
      </w:rPr>
      <w:t>WG-ISC/4/</w:t>
    </w:r>
    <w:r w:rsidR="00CF04C9">
      <w:rPr>
        <w:rFonts w:cs="Arial"/>
      </w:rPr>
      <w:t>3</w:t>
    </w:r>
  </w:p>
  <w:p w:rsidR="00CF04C9" w:rsidRDefault="00CF04C9" w:rsidP="00E07586">
    <w:pPr>
      <w:jc w:val="center"/>
      <w:rPr>
        <w:rFonts w:cs="Arial"/>
      </w:rPr>
    </w:pPr>
    <w:r>
      <w:rPr>
        <w:rFonts w:cs="Arial"/>
      </w:rPr>
      <w:t>Annexe I / Annex I / Anlage I / Anexo I</w:t>
    </w:r>
  </w:p>
  <w:p w:rsidR="00E07586" w:rsidRPr="00FE1D1B" w:rsidRDefault="00CF04C9" w:rsidP="00E07586">
    <w:pPr>
      <w:jc w:val="center"/>
      <w:rPr>
        <w:rFonts w:cs="Arial"/>
      </w:rPr>
    </w:pPr>
    <w:r>
      <w:rPr>
        <w:rStyle w:val="PageNumber"/>
        <w:rFonts w:cs="Arial"/>
      </w:rPr>
      <w:t xml:space="preserve">page </w:t>
    </w:r>
    <w:r w:rsidR="007F03B4" w:rsidRPr="00FE1D1B">
      <w:rPr>
        <w:rStyle w:val="PageNumber"/>
        <w:rFonts w:cs="Arial"/>
      </w:rPr>
      <w:fldChar w:fldCharType="begin"/>
    </w:r>
    <w:r w:rsidR="007F03B4" w:rsidRPr="00FE1D1B">
      <w:rPr>
        <w:rStyle w:val="PageNumber"/>
        <w:rFonts w:cs="Arial"/>
      </w:rPr>
      <w:instrText xml:space="preserve"> PAGE </w:instrText>
    </w:r>
    <w:r w:rsidR="007F03B4" w:rsidRPr="00FE1D1B">
      <w:rPr>
        <w:rStyle w:val="PageNumber"/>
        <w:rFonts w:cs="Arial"/>
      </w:rPr>
      <w:fldChar w:fldCharType="separate"/>
    </w:r>
    <w:r w:rsidR="00C80FC1">
      <w:rPr>
        <w:rStyle w:val="PageNumber"/>
        <w:rFonts w:cs="Arial"/>
        <w:noProof/>
      </w:rPr>
      <w:t>3</w:t>
    </w:r>
    <w:r w:rsidR="007F03B4" w:rsidRPr="00FE1D1B">
      <w:rPr>
        <w:rStyle w:val="PageNumber"/>
        <w:rFonts w:cs="Arial"/>
      </w:rPr>
      <w:fldChar w:fldCharType="end"/>
    </w:r>
    <w:r w:rsidR="007F03B4" w:rsidRPr="00FE1D1B">
      <w:rPr>
        <w:rStyle w:val="PageNumber"/>
        <w:rFonts w:cs="Arial"/>
      </w:rPr>
      <w:t xml:space="preserve"> </w:t>
    </w:r>
    <w:r w:rsidR="007F03B4" w:rsidRPr="00FE1D1B">
      <w:rPr>
        <w:rFonts w:cs="Arial"/>
      </w:rPr>
      <w:t xml:space="preserve">/ Seite </w:t>
    </w:r>
    <w:r w:rsidR="007F03B4" w:rsidRPr="00FE1D1B">
      <w:rPr>
        <w:rStyle w:val="PageNumber"/>
        <w:rFonts w:cs="Arial"/>
      </w:rPr>
      <w:fldChar w:fldCharType="begin"/>
    </w:r>
    <w:r w:rsidR="007F03B4" w:rsidRPr="00FE1D1B">
      <w:rPr>
        <w:rStyle w:val="PageNumber"/>
        <w:rFonts w:cs="Arial"/>
      </w:rPr>
      <w:instrText xml:space="preserve"> PAGE </w:instrText>
    </w:r>
    <w:r w:rsidR="007F03B4" w:rsidRPr="00FE1D1B">
      <w:rPr>
        <w:rStyle w:val="PageNumber"/>
        <w:rFonts w:cs="Arial"/>
      </w:rPr>
      <w:fldChar w:fldCharType="separate"/>
    </w:r>
    <w:r w:rsidR="00C80FC1">
      <w:rPr>
        <w:rStyle w:val="PageNumber"/>
        <w:rFonts w:cs="Arial"/>
        <w:noProof/>
      </w:rPr>
      <w:t>3</w:t>
    </w:r>
    <w:r w:rsidR="007F03B4" w:rsidRPr="00FE1D1B">
      <w:rPr>
        <w:rStyle w:val="PageNumber"/>
        <w:rFonts w:cs="Arial"/>
      </w:rPr>
      <w:fldChar w:fldCharType="end"/>
    </w:r>
    <w:r w:rsidR="007F03B4" w:rsidRPr="00FE1D1B">
      <w:rPr>
        <w:rStyle w:val="PageNumber"/>
        <w:rFonts w:cs="Arial"/>
      </w:rPr>
      <w:t xml:space="preserve"> </w:t>
    </w:r>
    <w:r w:rsidR="007F03B4" w:rsidRPr="00FE1D1B">
      <w:rPr>
        <w:rFonts w:cs="Arial"/>
      </w:rPr>
      <w:t xml:space="preserve">/ página </w:t>
    </w:r>
    <w:r w:rsidR="007F03B4" w:rsidRPr="00FE1D1B">
      <w:rPr>
        <w:rFonts w:cs="Arial"/>
      </w:rPr>
      <w:fldChar w:fldCharType="begin"/>
    </w:r>
    <w:r w:rsidR="007F03B4" w:rsidRPr="00FE1D1B">
      <w:rPr>
        <w:rFonts w:cs="Arial"/>
      </w:rPr>
      <w:instrText xml:space="preserve"> PAGE  \* MERGEFORMAT </w:instrText>
    </w:r>
    <w:r w:rsidR="007F03B4" w:rsidRPr="00FE1D1B">
      <w:rPr>
        <w:rFonts w:cs="Arial"/>
      </w:rPr>
      <w:fldChar w:fldCharType="separate"/>
    </w:r>
    <w:r w:rsidR="00C80FC1">
      <w:rPr>
        <w:rFonts w:cs="Arial"/>
        <w:noProof/>
      </w:rPr>
      <w:t>3</w:t>
    </w:r>
    <w:r w:rsidR="007F03B4" w:rsidRPr="00FE1D1B">
      <w:rPr>
        <w:rFonts w:cs="Arial"/>
      </w:rPr>
      <w:fldChar w:fldCharType="end"/>
    </w:r>
  </w:p>
  <w:p w:rsidR="00E07586" w:rsidRPr="00CF04C9" w:rsidRDefault="00C80FC1">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937" w:rsidRDefault="007F03B4" w:rsidP="00291937">
    <w:pPr>
      <w:pStyle w:val="Header"/>
      <w:rPr>
        <w:rStyle w:val="PageNumber"/>
        <w:lang w:val="en-US"/>
      </w:rPr>
    </w:pPr>
    <w:r>
      <w:t xml:space="preserve">UPOV/WG-ISC/4/3 </w:t>
    </w:r>
  </w:p>
  <w:p w:rsidR="00291937" w:rsidRDefault="007F03B4" w:rsidP="00291937">
    <w:pPr>
      <w:pStyle w:val="Header"/>
      <w:rPr>
        <w:rStyle w:val="PageNumber"/>
      </w:rPr>
    </w:pPr>
    <w:r>
      <w:t xml:space="preserve">Annex II, page </w:t>
    </w:r>
    <w:r>
      <w:rPr>
        <w:rStyle w:val="PageNumber"/>
      </w:rPr>
      <w:fldChar w:fldCharType="begin"/>
    </w:r>
    <w:r>
      <w:rPr>
        <w:rStyle w:val="PageNumber"/>
      </w:rPr>
      <w:instrText xml:space="preserve"> PAGE </w:instrText>
    </w:r>
    <w:r>
      <w:rPr>
        <w:rStyle w:val="PageNumber"/>
      </w:rPr>
      <w:fldChar w:fldCharType="separate"/>
    </w:r>
    <w:r w:rsidR="00C80FC1">
      <w:rPr>
        <w:rStyle w:val="PageNumber"/>
        <w:noProof/>
      </w:rPr>
      <w:t>5</w:t>
    </w:r>
    <w:r>
      <w:rPr>
        <w:rStyle w:val="PageNumber"/>
      </w:rPr>
      <w:fldChar w:fldCharType="end"/>
    </w:r>
  </w:p>
  <w:p w:rsidR="00291937" w:rsidRDefault="00C80FC1" w:rsidP="00291937">
    <w:pPr>
      <w:pStyle w:val="Header"/>
    </w:pPr>
  </w:p>
  <w:p w:rsidR="00291937" w:rsidRPr="00291937" w:rsidRDefault="00C80FC1" w:rsidP="00291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44C37"/>
    <w:multiLevelType w:val="hybridMultilevel"/>
    <w:tmpl w:val="3A24C9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4F"/>
    <w:rsid w:val="00010CF3"/>
    <w:rsid w:val="00011E27"/>
    <w:rsid w:val="000148BC"/>
    <w:rsid w:val="00024AB8"/>
    <w:rsid w:val="00025AC4"/>
    <w:rsid w:val="00030854"/>
    <w:rsid w:val="00036028"/>
    <w:rsid w:val="00044642"/>
    <w:rsid w:val="000446B9"/>
    <w:rsid w:val="00047E21"/>
    <w:rsid w:val="00050E16"/>
    <w:rsid w:val="0006404B"/>
    <w:rsid w:val="00075E90"/>
    <w:rsid w:val="00085505"/>
    <w:rsid w:val="000B028D"/>
    <w:rsid w:val="000C4E25"/>
    <w:rsid w:val="000C7021"/>
    <w:rsid w:val="000D6BBC"/>
    <w:rsid w:val="000D7780"/>
    <w:rsid w:val="000E4893"/>
    <w:rsid w:val="000E636A"/>
    <w:rsid w:val="000F2F11"/>
    <w:rsid w:val="00105929"/>
    <w:rsid w:val="00110C36"/>
    <w:rsid w:val="001131D5"/>
    <w:rsid w:val="00141DB8"/>
    <w:rsid w:val="00155B6B"/>
    <w:rsid w:val="001701A1"/>
    <w:rsid w:val="001704EA"/>
    <w:rsid w:val="00172084"/>
    <w:rsid w:val="0017474A"/>
    <w:rsid w:val="001758C6"/>
    <w:rsid w:val="00182B99"/>
    <w:rsid w:val="00185419"/>
    <w:rsid w:val="001C1525"/>
    <w:rsid w:val="001E12E0"/>
    <w:rsid w:val="001E6E12"/>
    <w:rsid w:val="0021332C"/>
    <w:rsid w:val="00213982"/>
    <w:rsid w:val="0024416D"/>
    <w:rsid w:val="00267BF1"/>
    <w:rsid w:val="00271911"/>
    <w:rsid w:val="002800A0"/>
    <w:rsid w:val="002801B3"/>
    <w:rsid w:val="00281060"/>
    <w:rsid w:val="002940E8"/>
    <w:rsid w:val="00294751"/>
    <w:rsid w:val="002A6E50"/>
    <w:rsid w:val="002B4298"/>
    <w:rsid w:val="002C256A"/>
    <w:rsid w:val="00305A7F"/>
    <w:rsid w:val="003152FE"/>
    <w:rsid w:val="00327436"/>
    <w:rsid w:val="00344BD6"/>
    <w:rsid w:val="0035528D"/>
    <w:rsid w:val="00361821"/>
    <w:rsid w:val="00361E9E"/>
    <w:rsid w:val="00392007"/>
    <w:rsid w:val="003C4A4F"/>
    <w:rsid w:val="003C7FBE"/>
    <w:rsid w:val="003D227C"/>
    <w:rsid w:val="003D2B4D"/>
    <w:rsid w:val="0040324E"/>
    <w:rsid w:val="00422032"/>
    <w:rsid w:val="00444A88"/>
    <w:rsid w:val="00474DA4"/>
    <w:rsid w:val="004762A2"/>
    <w:rsid w:val="00476B4D"/>
    <w:rsid w:val="004805FA"/>
    <w:rsid w:val="004935D2"/>
    <w:rsid w:val="004A1D95"/>
    <w:rsid w:val="004B1215"/>
    <w:rsid w:val="004B2FF7"/>
    <w:rsid w:val="004D047D"/>
    <w:rsid w:val="004F1E9E"/>
    <w:rsid w:val="004F305A"/>
    <w:rsid w:val="0050077A"/>
    <w:rsid w:val="00512164"/>
    <w:rsid w:val="00520297"/>
    <w:rsid w:val="005338F9"/>
    <w:rsid w:val="00536F65"/>
    <w:rsid w:val="0054281C"/>
    <w:rsid w:val="00544581"/>
    <w:rsid w:val="0055268D"/>
    <w:rsid w:val="00576BE4"/>
    <w:rsid w:val="00580D6B"/>
    <w:rsid w:val="0058114B"/>
    <w:rsid w:val="00595E54"/>
    <w:rsid w:val="005A400A"/>
    <w:rsid w:val="005B6A75"/>
    <w:rsid w:val="005F7B92"/>
    <w:rsid w:val="00612379"/>
    <w:rsid w:val="006153B6"/>
    <w:rsid w:val="0061555F"/>
    <w:rsid w:val="00636CA6"/>
    <w:rsid w:val="00641200"/>
    <w:rsid w:val="00645CA8"/>
    <w:rsid w:val="00653E40"/>
    <w:rsid w:val="006655D3"/>
    <w:rsid w:val="00667404"/>
    <w:rsid w:val="00687EB4"/>
    <w:rsid w:val="00695C56"/>
    <w:rsid w:val="006A5CDE"/>
    <w:rsid w:val="006A644A"/>
    <w:rsid w:val="006B17D2"/>
    <w:rsid w:val="006C224E"/>
    <w:rsid w:val="006C4F9F"/>
    <w:rsid w:val="006D780A"/>
    <w:rsid w:val="0071271E"/>
    <w:rsid w:val="00732DEC"/>
    <w:rsid w:val="00735BD5"/>
    <w:rsid w:val="00751613"/>
    <w:rsid w:val="007556F6"/>
    <w:rsid w:val="007577F5"/>
    <w:rsid w:val="00760EEF"/>
    <w:rsid w:val="00777EE5"/>
    <w:rsid w:val="00784836"/>
    <w:rsid w:val="0079023E"/>
    <w:rsid w:val="007A2854"/>
    <w:rsid w:val="007A2890"/>
    <w:rsid w:val="007C1D92"/>
    <w:rsid w:val="007C4CB9"/>
    <w:rsid w:val="007D0B9D"/>
    <w:rsid w:val="007D19B0"/>
    <w:rsid w:val="007F03B4"/>
    <w:rsid w:val="007F498F"/>
    <w:rsid w:val="0080679D"/>
    <w:rsid w:val="008108B0"/>
    <w:rsid w:val="00811B20"/>
    <w:rsid w:val="008211B5"/>
    <w:rsid w:val="0082296E"/>
    <w:rsid w:val="00824099"/>
    <w:rsid w:val="00846D7C"/>
    <w:rsid w:val="00867AC1"/>
    <w:rsid w:val="00890DF8"/>
    <w:rsid w:val="008931F1"/>
    <w:rsid w:val="008A743F"/>
    <w:rsid w:val="008C0970"/>
    <w:rsid w:val="008C3987"/>
    <w:rsid w:val="008D0BC5"/>
    <w:rsid w:val="008D2CF7"/>
    <w:rsid w:val="00900C26"/>
    <w:rsid w:val="0090197F"/>
    <w:rsid w:val="00903264"/>
    <w:rsid w:val="00906DDC"/>
    <w:rsid w:val="00934E09"/>
    <w:rsid w:val="00936253"/>
    <w:rsid w:val="00940D46"/>
    <w:rsid w:val="00952DD4"/>
    <w:rsid w:val="00965AE7"/>
    <w:rsid w:val="00970FED"/>
    <w:rsid w:val="00987B99"/>
    <w:rsid w:val="00992D82"/>
    <w:rsid w:val="00997029"/>
    <w:rsid w:val="009A7339"/>
    <w:rsid w:val="009B440E"/>
    <w:rsid w:val="009C1518"/>
    <w:rsid w:val="009C7AF6"/>
    <w:rsid w:val="009D473E"/>
    <w:rsid w:val="009D690D"/>
    <w:rsid w:val="009E65B6"/>
    <w:rsid w:val="009F77CF"/>
    <w:rsid w:val="00A06689"/>
    <w:rsid w:val="00A24C10"/>
    <w:rsid w:val="00A33150"/>
    <w:rsid w:val="00A42AC3"/>
    <w:rsid w:val="00A430CF"/>
    <w:rsid w:val="00A54309"/>
    <w:rsid w:val="00AB1943"/>
    <w:rsid w:val="00AB2B93"/>
    <w:rsid w:val="00AB530F"/>
    <w:rsid w:val="00AB7E5B"/>
    <w:rsid w:val="00AC1683"/>
    <w:rsid w:val="00AC2883"/>
    <w:rsid w:val="00AD4679"/>
    <w:rsid w:val="00AE0EF1"/>
    <w:rsid w:val="00AE2937"/>
    <w:rsid w:val="00B07301"/>
    <w:rsid w:val="00B11F3E"/>
    <w:rsid w:val="00B15A4B"/>
    <w:rsid w:val="00B224DE"/>
    <w:rsid w:val="00B324D4"/>
    <w:rsid w:val="00B46575"/>
    <w:rsid w:val="00B61777"/>
    <w:rsid w:val="00B67675"/>
    <w:rsid w:val="00B71AF0"/>
    <w:rsid w:val="00B76A4C"/>
    <w:rsid w:val="00B84BBD"/>
    <w:rsid w:val="00BA43FB"/>
    <w:rsid w:val="00BC127D"/>
    <w:rsid w:val="00BC1FE6"/>
    <w:rsid w:val="00C061B6"/>
    <w:rsid w:val="00C1037A"/>
    <w:rsid w:val="00C2446C"/>
    <w:rsid w:val="00C32AE9"/>
    <w:rsid w:val="00C36AE5"/>
    <w:rsid w:val="00C41F17"/>
    <w:rsid w:val="00C47AA1"/>
    <w:rsid w:val="00C527FA"/>
    <w:rsid w:val="00C5280D"/>
    <w:rsid w:val="00C53EB3"/>
    <w:rsid w:val="00C540A0"/>
    <w:rsid w:val="00C5791C"/>
    <w:rsid w:val="00C6551A"/>
    <w:rsid w:val="00C66290"/>
    <w:rsid w:val="00C72B7A"/>
    <w:rsid w:val="00C80FC1"/>
    <w:rsid w:val="00C973F2"/>
    <w:rsid w:val="00CA304C"/>
    <w:rsid w:val="00CA774A"/>
    <w:rsid w:val="00CC11B0"/>
    <w:rsid w:val="00CC2841"/>
    <w:rsid w:val="00CF04C9"/>
    <w:rsid w:val="00CF1330"/>
    <w:rsid w:val="00CF7E36"/>
    <w:rsid w:val="00D1713D"/>
    <w:rsid w:val="00D3708D"/>
    <w:rsid w:val="00D40426"/>
    <w:rsid w:val="00D57C96"/>
    <w:rsid w:val="00D57D18"/>
    <w:rsid w:val="00D91203"/>
    <w:rsid w:val="00D95174"/>
    <w:rsid w:val="00DA4973"/>
    <w:rsid w:val="00DA6F36"/>
    <w:rsid w:val="00DB596E"/>
    <w:rsid w:val="00DB7773"/>
    <w:rsid w:val="00DC00EA"/>
    <w:rsid w:val="00DC3802"/>
    <w:rsid w:val="00DD2527"/>
    <w:rsid w:val="00E07D87"/>
    <w:rsid w:val="00E32F7E"/>
    <w:rsid w:val="00E5267B"/>
    <w:rsid w:val="00E63C0E"/>
    <w:rsid w:val="00E72D49"/>
    <w:rsid w:val="00E7593C"/>
    <w:rsid w:val="00E7678A"/>
    <w:rsid w:val="00E935F1"/>
    <w:rsid w:val="00E94A81"/>
    <w:rsid w:val="00EA1FFB"/>
    <w:rsid w:val="00EB048E"/>
    <w:rsid w:val="00EB4E9C"/>
    <w:rsid w:val="00ED3D6A"/>
    <w:rsid w:val="00EE34DF"/>
    <w:rsid w:val="00EE3A43"/>
    <w:rsid w:val="00EF2F89"/>
    <w:rsid w:val="00F03E98"/>
    <w:rsid w:val="00F1237A"/>
    <w:rsid w:val="00F22CBD"/>
    <w:rsid w:val="00F272F1"/>
    <w:rsid w:val="00F45372"/>
    <w:rsid w:val="00F469F3"/>
    <w:rsid w:val="00F560F7"/>
    <w:rsid w:val="00F6334D"/>
    <w:rsid w:val="00F63599"/>
    <w:rsid w:val="00F97188"/>
    <w:rsid w:val="00FA49AB"/>
    <w:rsid w:val="00FC282D"/>
    <w:rsid w:val="00FD37E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5D9B469-2763-485E-AE0C-CCA84001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F97188"/>
    <w:pPr>
      <w:ind w:left="720"/>
      <w:contextualSpacing/>
    </w:pPr>
    <w:rPr>
      <w:rFonts w:eastAsiaTheme="minorEastAsia"/>
    </w:rPr>
  </w:style>
  <w:style w:type="character" w:customStyle="1" w:styleId="HeaderChar">
    <w:name w:val="Header Char"/>
    <w:basedOn w:val="DefaultParagraphFont"/>
    <w:link w:val="Header"/>
    <w:rsid w:val="00CF04C9"/>
    <w:rPr>
      <w:rFonts w:ascii="Arial" w:hAnsi="Arial"/>
      <w:lang w:val="fr-FR"/>
    </w:rPr>
  </w:style>
  <w:style w:type="character" w:customStyle="1" w:styleId="pldetailsChar">
    <w:name w:val="pldetails Char"/>
    <w:link w:val="pldetails"/>
    <w:locked/>
    <w:rsid w:val="00CF04C9"/>
    <w:rPr>
      <w:rFonts w:ascii="Arial" w:hAnsi="Arial"/>
      <w:noProof/>
      <w:snapToGrid w:val="0"/>
    </w:rPr>
  </w:style>
  <w:style w:type="character" w:customStyle="1" w:styleId="plcountryChar">
    <w:name w:val="plcountry Char"/>
    <w:basedOn w:val="DefaultParagraphFont"/>
    <w:link w:val="plcountry"/>
    <w:rsid w:val="00CF04C9"/>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PowerPoint_Slide3.sldx"/><Relationship Id="rId26" Type="http://schemas.openxmlformats.org/officeDocument/2006/relationships/package" Target="embeddings/Microsoft_PowerPoint_Slide7.sld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PowerPoint_Slide.sld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PowerPoint_Slide2.sldx"/><Relationship Id="rId20" Type="http://schemas.openxmlformats.org/officeDocument/2006/relationships/package" Target="embeddings/Microsoft_PowerPoint_Slide4.sld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PowerPoint_Slide6.sldx"/><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PowerPoint_Slide8.sldx"/><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PowerPoint_Slide1.sldx"/><Relationship Id="rId22" Type="http://schemas.openxmlformats.org/officeDocument/2006/relationships/package" Target="embeddings/Microsoft_PowerPoint_Slide5.sldx"/><Relationship Id="rId27" Type="http://schemas.openxmlformats.org/officeDocument/2006/relationships/image" Target="media/image10.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_WG_ISC\WG_ISC_4\template\wg_isc_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94F85-5CE3-4822-9EBB-FE60FA1B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wg_isc_4_EN.dotx</Template>
  <TotalTime>0</TotalTime>
  <Pages>12</Pages>
  <Words>2796</Words>
  <Characters>16631</Characters>
  <Application>Microsoft Office Word</Application>
  <DocSecurity>0</DocSecurity>
  <Lines>1279</Lines>
  <Paragraphs>571</Paragraphs>
  <ScaleCrop>false</ScaleCrop>
  <HeadingPairs>
    <vt:vector size="2" baseType="variant">
      <vt:variant>
        <vt:lpstr>Title</vt:lpstr>
      </vt:variant>
      <vt:variant>
        <vt:i4>1</vt:i4>
      </vt:variant>
    </vt:vector>
  </HeadingPairs>
  <TitlesOfParts>
    <vt:vector size="1" baseType="lpstr">
      <vt:lpstr>WG/ISC/4</vt:lpstr>
    </vt:vector>
  </TitlesOfParts>
  <Company>UPOV</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WG/ISC/4</dc:title>
  <dc:creator>BUTTON Peter</dc:creator>
  <cp:lastModifiedBy>BESSE Ariane</cp:lastModifiedBy>
  <cp:revision>6</cp:revision>
  <cp:lastPrinted>2019-01-02T15:14:00Z</cp:lastPrinted>
  <dcterms:created xsi:type="dcterms:W3CDTF">2019-01-03T17:02:00Z</dcterms:created>
  <dcterms:modified xsi:type="dcterms:W3CDTF">2019-03-25T17:32:00Z</dcterms:modified>
</cp:coreProperties>
</file>