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F064D" w:rsidRPr="00815738" w:rsidTr="00EB4E9C">
        <w:tc>
          <w:tcPr>
            <w:tcW w:w="6522" w:type="dxa"/>
          </w:tcPr>
          <w:p w:rsidR="00DF064D" w:rsidRPr="00AC2883" w:rsidRDefault="00DF064D"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F064D" w:rsidRPr="007C1D92" w:rsidRDefault="00DF064D" w:rsidP="00AC2883">
            <w:pPr>
              <w:pStyle w:val="Lettrine"/>
            </w:pPr>
            <w:r w:rsidRPr="00172084">
              <w:t>E</w:t>
            </w:r>
          </w:p>
        </w:tc>
      </w:tr>
      <w:tr w:rsidR="00DF064D" w:rsidRPr="00DA4973" w:rsidTr="00645CA8">
        <w:trPr>
          <w:trHeight w:val="219"/>
        </w:trPr>
        <w:tc>
          <w:tcPr>
            <w:tcW w:w="6522" w:type="dxa"/>
          </w:tcPr>
          <w:p w:rsidR="00DF064D" w:rsidRPr="00DF064D" w:rsidRDefault="00DF064D" w:rsidP="00AC2883">
            <w:pPr>
              <w:pStyle w:val="upove"/>
              <w:rPr>
                <w:lang w:val="en-US"/>
              </w:rPr>
            </w:pPr>
            <w:r w:rsidRPr="00DF064D">
              <w:rPr>
                <w:lang w:val="en-US"/>
              </w:rPr>
              <w:t>International Union for the Protection of New Varieties of Plants</w:t>
            </w:r>
          </w:p>
        </w:tc>
        <w:tc>
          <w:tcPr>
            <w:tcW w:w="3117" w:type="dxa"/>
          </w:tcPr>
          <w:p w:rsidR="00DF064D" w:rsidRPr="00DA4973" w:rsidRDefault="00DF064D" w:rsidP="00DA4973"/>
        </w:tc>
      </w:tr>
    </w:tbl>
    <w:p w:rsidR="00DF064D" w:rsidRDefault="00DF064D" w:rsidP="00DC3802"/>
    <w:p w:rsidR="00DF064D" w:rsidRPr="00365DC1" w:rsidRDefault="00DF064D"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F064D" w:rsidRPr="00C5280D" w:rsidTr="00EB4E9C">
        <w:tc>
          <w:tcPr>
            <w:tcW w:w="6512" w:type="dxa"/>
          </w:tcPr>
          <w:p w:rsidR="00DF064D" w:rsidRPr="00DF064D" w:rsidRDefault="00DF064D" w:rsidP="00AC2883">
            <w:pPr>
              <w:pStyle w:val="Sessiontc"/>
              <w:spacing w:line="240" w:lineRule="auto"/>
              <w:rPr>
                <w:lang w:val="en-US"/>
              </w:rPr>
            </w:pPr>
            <w:r w:rsidRPr="00DF064D">
              <w:rPr>
                <w:lang w:val="en-US"/>
              </w:rPr>
              <w:t>Working Group on Variety Denominations</w:t>
            </w:r>
          </w:p>
          <w:p w:rsidR="00DF064D" w:rsidRPr="00DF064D" w:rsidRDefault="00DF064D" w:rsidP="003A5B25">
            <w:pPr>
              <w:pStyle w:val="Sessiontcplacedate"/>
              <w:rPr>
                <w:sz w:val="22"/>
                <w:lang w:val="en-US"/>
              </w:rPr>
            </w:pPr>
            <w:r w:rsidRPr="00DF064D">
              <w:rPr>
                <w:lang w:val="en-US"/>
              </w:rPr>
              <w:t>Fifth Meeting</w:t>
            </w:r>
            <w:r w:rsidRPr="00DF064D">
              <w:rPr>
                <w:lang w:val="en-US"/>
              </w:rPr>
              <w:br/>
              <w:t>Geneva, October 30, 2018</w:t>
            </w:r>
          </w:p>
        </w:tc>
        <w:tc>
          <w:tcPr>
            <w:tcW w:w="3127" w:type="dxa"/>
          </w:tcPr>
          <w:p w:rsidR="00DF064D" w:rsidRPr="00811AF2" w:rsidRDefault="00526F3C" w:rsidP="00BC42BE">
            <w:pPr>
              <w:pStyle w:val="Doccode"/>
              <w:spacing w:before="40"/>
            </w:pPr>
            <w:r>
              <w:t>UPOV/WG-DEN/5/3</w:t>
            </w:r>
            <w:r w:rsidR="00DF064D">
              <w:t xml:space="preserve"> </w:t>
            </w:r>
          </w:p>
          <w:p w:rsidR="00DF064D" w:rsidRPr="00DF064D" w:rsidRDefault="00DF064D" w:rsidP="003C7FBE">
            <w:pPr>
              <w:pStyle w:val="Docoriginal"/>
              <w:rPr>
                <w:lang w:val="en-US"/>
              </w:rPr>
            </w:pPr>
            <w:r w:rsidRPr="00DF064D">
              <w:rPr>
                <w:lang w:val="en-US"/>
              </w:rPr>
              <w:t>Original:</w:t>
            </w:r>
            <w:r w:rsidRPr="00DF064D">
              <w:rPr>
                <w:b w:val="0"/>
                <w:spacing w:val="0"/>
                <w:lang w:val="en-US"/>
              </w:rPr>
              <w:t xml:space="preserve">  English</w:t>
            </w:r>
          </w:p>
          <w:p w:rsidR="00DF064D" w:rsidRPr="00DF064D" w:rsidRDefault="00DF064D" w:rsidP="00526F3C">
            <w:pPr>
              <w:pStyle w:val="Docoriginal"/>
              <w:rPr>
                <w:lang w:val="en-US"/>
              </w:rPr>
            </w:pPr>
            <w:r w:rsidRPr="00DF064D">
              <w:rPr>
                <w:lang w:val="en-US"/>
              </w:rPr>
              <w:t>Date:</w:t>
            </w:r>
            <w:r w:rsidRPr="00DF064D">
              <w:rPr>
                <w:b w:val="0"/>
                <w:spacing w:val="0"/>
                <w:lang w:val="en-US"/>
              </w:rPr>
              <w:t xml:space="preserve">  </w:t>
            </w:r>
            <w:r w:rsidR="005C3BC6">
              <w:rPr>
                <w:b w:val="0"/>
                <w:spacing w:val="0"/>
                <w:lang w:val="en-US"/>
              </w:rPr>
              <w:t xml:space="preserve"> </w:t>
            </w:r>
            <w:r w:rsidR="00526F3C">
              <w:rPr>
                <w:b w:val="0"/>
                <w:spacing w:val="0"/>
                <w:lang w:val="en-US"/>
              </w:rPr>
              <w:t>March 21, 2019</w:t>
            </w:r>
          </w:p>
        </w:tc>
      </w:tr>
    </w:tbl>
    <w:p w:rsidR="00DF064D" w:rsidRPr="00DF064D" w:rsidRDefault="00DF064D" w:rsidP="006A644A">
      <w:pPr>
        <w:pStyle w:val="Titleofdoc0"/>
        <w:rPr>
          <w:lang w:val="en-US"/>
        </w:rPr>
      </w:pPr>
      <w:bookmarkStart w:id="1" w:name="TitleOfDoc"/>
      <w:bookmarkEnd w:id="1"/>
      <w:r w:rsidRPr="00DF064D">
        <w:rPr>
          <w:lang w:val="en-US"/>
        </w:rPr>
        <w:t>report</w:t>
      </w:r>
    </w:p>
    <w:p w:rsidR="00DF064D" w:rsidRPr="006A644A" w:rsidRDefault="00526F3C" w:rsidP="006A644A">
      <w:pPr>
        <w:pStyle w:val="preparedby0"/>
        <w:jc w:val="left"/>
      </w:pPr>
      <w:bookmarkStart w:id="2" w:name="Prepared"/>
      <w:bookmarkEnd w:id="2"/>
      <w:r>
        <w:t xml:space="preserve">adopted by the </w:t>
      </w:r>
      <w:r w:rsidRPr="00DE0FB9">
        <w:rPr>
          <w:rFonts w:cs="Arial"/>
          <w:snapToGrid w:val="0"/>
          <w:lang w:eastAsia="ja-JP"/>
        </w:rPr>
        <w:t xml:space="preserve">Working Group on Variety Denominations </w:t>
      </w:r>
    </w:p>
    <w:p w:rsidR="00DF064D" w:rsidRPr="006A644A" w:rsidRDefault="00DF064D" w:rsidP="006A644A">
      <w:pPr>
        <w:pStyle w:val="Disclaimer"/>
      </w:pPr>
      <w:r w:rsidRPr="006A644A">
        <w:t>Disclaimer:  this document does not represent UPOV policies or guidance</w:t>
      </w:r>
    </w:p>
    <w:p w:rsidR="00DF064D" w:rsidRPr="007B07B2" w:rsidRDefault="00DF064D" w:rsidP="00C6294C">
      <w:pPr>
        <w:pStyle w:val="Heading1"/>
      </w:pPr>
      <w:r w:rsidRPr="007B07B2">
        <w:t>Opening of the meeting</w:t>
      </w:r>
    </w:p>
    <w:p w:rsidR="00DF064D" w:rsidRPr="005E5D45" w:rsidRDefault="00DF064D" w:rsidP="00C6294C">
      <w:pPr>
        <w:rPr>
          <w:u w:val="single"/>
        </w:rPr>
      </w:pPr>
    </w:p>
    <w:p w:rsidR="00DF064D" w:rsidRPr="005E5D45" w:rsidRDefault="00DF064D" w:rsidP="00C6294C">
      <w:pPr>
        <w:rPr>
          <w:rFonts w:cs="Arial"/>
        </w:rPr>
      </w:pPr>
      <w:r w:rsidRPr="005E5D45">
        <w:rPr>
          <w:rFonts w:cs="Arial"/>
        </w:rPr>
        <w:fldChar w:fldCharType="begin"/>
      </w:r>
      <w:r w:rsidRPr="005E5D45">
        <w:rPr>
          <w:rFonts w:cs="Arial"/>
        </w:rPr>
        <w:instrText xml:space="preserve"> AUTONUM  </w:instrText>
      </w:r>
      <w:r w:rsidRPr="005E5D45">
        <w:rPr>
          <w:rFonts w:cs="Arial"/>
        </w:rPr>
        <w:fldChar w:fldCharType="end"/>
      </w:r>
      <w:r w:rsidRPr="005E5D45">
        <w:rPr>
          <w:rFonts w:cs="Arial"/>
        </w:rPr>
        <w:tab/>
        <w:t>The Working Group on Variety Denominations (</w:t>
      </w:r>
      <w:r w:rsidRPr="005E5D45">
        <w:rPr>
          <w:rFonts w:cs="Arial"/>
          <w:lang w:eastAsia="ja-JP"/>
        </w:rPr>
        <w:t>WG-DEN</w:t>
      </w:r>
      <w:r w:rsidRPr="005E5D45">
        <w:rPr>
          <w:rFonts w:cs="Arial"/>
        </w:rPr>
        <w:t xml:space="preserve">) held its </w:t>
      </w:r>
      <w:r>
        <w:rPr>
          <w:rFonts w:cs="Arial"/>
        </w:rPr>
        <w:t>fifth</w:t>
      </w:r>
      <w:r>
        <w:rPr>
          <w:rFonts w:cs="Arial"/>
          <w:lang w:eastAsia="ja-JP"/>
        </w:rPr>
        <w:t xml:space="preserve"> </w:t>
      </w:r>
      <w:r w:rsidRPr="005E5D45">
        <w:rPr>
          <w:rFonts w:cs="Arial"/>
        </w:rPr>
        <w:t xml:space="preserve">meeting in </w:t>
      </w:r>
      <w:r w:rsidRPr="005E5D45">
        <w:rPr>
          <w:rFonts w:cs="Arial"/>
          <w:lang w:eastAsia="ja-JP"/>
        </w:rPr>
        <w:t xml:space="preserve">Geneva </w:t>
      </w:r>
      <w:r w:rsidRPr="005E5D45">
        <w:rPr>
          <w:rFonts w:cs="Arial"/>
        </w:rPr>
        <w:t xml:space="preserve">on </w:t>
      </w:r>
      <w:r>
        <w:rPr>
          <w:rFonts w:cs="Arial"/>
        </w:rPr>
        <w:t>October</w:t>
      </w:r>
      <w:r>
        <w:rPr>
          <w:rFonts w:cs="Arial"/>
          <w:lang w:eastAsia="ja-JP"/>
        </w:rPr>
        <w:t> 30</w:t>
      </w:r>
      <w:r w:rsidRPr="005E5D45">
        <w:rPr>
          <w:rFonts w:cs="Arial"/>
          <w:lang w:eastAsia="ja-JP"/>
        </w:rPr>
        <w:t>, 2</w:t>
      </w:r>
      <w:r w:rsidRPr="005E5D45">
        <w:rPr>
          <w:rFonts w:cs="Arial"/>
        </w:rPr>
        <w:t>01</w:t>
      </w:r>
      <w:r>
        <w:rPr>
          <w:rFonts w:cs="Arial"/>
          <w:lang w:eastAsia="ja-JP"/>
        </w:rPr>
        <w:t>8</w:t>
      </w:r>
      <w:r w:rsidRPr="005E5D45">
        <w:rPr>
          <w:rFonts w:cs="Arial"/>
        </w:rPr>
        <w:t>, under the chairmanship of the Vice Secretary</w:t>
      </w:r>
      <w:r w:rsidRPr="005E5D45">
        <w:rPr>
          <w:rFonts w:cs="Arial"/>
        </w:rPr>
        <w:noBreakHyphen/>
        <w:t>General</w:t>
      </w:r>
      <w:r>
        <w:rPr>
          <w:rFonts w:cs="Arial"/>
        </w:rPr>
        <w:t xml:space="preserve"> </w:t>
      </w:r>
      <w:r w:rsidRPr="005E5D45">
        <w:rPr>
          <w:rFonts w:cs="Arial"/>
        </w:rPr>
        <w:t xml:space="preserve">of UPOV. </w:t>
      </w:r>
    </w:p>
    <w:p w:rsidR="00DF064D" w:rsidRPr="005E5D45" w:rsidRDefault="00DF064D" w:rsidP="00C6294C">
      <w:pPr>
        <w:rPr>
          <w:rFonts w:cs="Arial"/>
        </w:rPr>
      </w:pPr>
    </w:p>
    <w:p w:rsidR="00DF064D" w:rsidRPr="005E5D45" w:rsidRDefault="00DF064D" w:rsidP="00C6294C">
      <w:pPr>
        <w:rPr>
          <w:rFonts w:cs="Arial"/>
        </w:rPr>
      </w:pPr>
      <w:r w:rsidRPr="005E5D45">
        <w:rPr>
          <w:rFonts w:cs="Arial"/>
        </w:rPr>
        <w:fldChar w:fldCharType="begin"/>
      </w:r>
      <w:r w:rsidRPr="005E5D45">
        <w:rPr>
          <w:rFonts w:cs="Arial"/>
        </w:rPr>
        <w:instrText xml:space="preserve"> AUTONUM  </w:instrText>
      </w:r>
      <w:r w:rsidRPr="005E5D45">
        <w:rPr>
          <w:rFonts w:cs="Arial"/>
        </w:rPr>
        <w:fldChar w:fldCharType="end"/>
      </w:r>
      <w:r w:rsidRPr="005E5D45">
        <w:rPr>
          <w:rFonts w:cs="Arial"/>
        </w:rPr>
        <w:tab/>
        <w:t xml:space="preserve">The meeting was opened by </w:t>
      </w:r>
      <w:r w:rsidRPr="005E5D45">
        <w:rPr>
          <w:rFonts w:cs="Arial"/>
          <w:lang w:eastAsia="ja-JP"/>
        </w:rPr>
        <w:t xml:space="preserve">the Chair, </w:t>
      </w:r>
      <w:r w:rsidRPr="005E5D45">
        <w:rPr>
          <w:rFonts w:cs="Arial"/>
        </w:rPr>
        <w:t>who welcomed the participants</w:t>
      </w:r>
      <w:r w:rsidRPr="005E5D45">
        <w:rPr>
          <w:rFonts w:cs="Arial"/>
          <w:color w:val="000000"/>
        </w:rPr>
        <w:t>.</w:t>
      </w:r>
      <w:r>
        <w:rPr>
          <w:rFonts w:cs="Arial"/>
          <w:color w:val="000000"/>
        </w:rPr>
        <w:t xml:space="preserve"> </w:t>
      </w:r>
      <w:r w:rsidRPr="005E5D45">
        <w:rPr>
          <w:rFonts w:cs="Arial"/>
          <w:color w:val="000000"/>
        </w:rPr>
        <w:t xml:space="preserve"> </w:t>
      </w:r>
      <w:r w:rsidRPr="005E5D45">
        <w:rPr>
          <w:rFonts w:cs="Arial"/>
        </w:rPr>
        <w:t xml:space="preserve">The list of participants is reproduced in </w:t>
      </w:r>
      <w:r w:rsidR="00C10F1B">
        <w:rPr>
          <w:rFonts w:cs="Arial"/>
        </w:rPr>
        <w:t xml:space="preserve">the </w:t>
      </w:r>
      <w:r w:rsidRPr="006E1A6E">
        <w:rPr>
          <w:rFonts w:cs="Arial"/>
        </w:rPr>
        <w:t>Annex</w:t>
      </w:r>
      <w:r w:rsidRPr="005E5D45">
        <w:rPr>
          <w:rFonts w:cs="Arial"/>
        </w:rPr>
        <w:t> to this report.</w:t>
      </w:r>
    </w:p>
    <w:p w:rsidR="00DF064D" w:rsidRPr="007B07B2" w:rsidRDefault="00DF064D" w:rsidP="00C6294C">
      <w:pPr>
        <w:rPr>
          <w:u w:val="single"/>
          <w:lang w:eastAsia="ja-JP"/>
        </w:rPr>
      </w:pPr>
    </w:p>
    <w:p w:rsidR="00DF064D" w:rsidRPr="007B07B2" w:rsidRDefault="00DF064D" w:rsidP="00C6294C">
      <w:pPr>
        <w:rPr>
          <w:u w:val="single"/>
          <w:lang w:eastAsia="ja-JP"/>
        </w:rPr>
      </w:pPr>
    </w:p>
    <w:p w:rsidR="00DF064D" w:rsidRPr="007B07B2" w:rsidRDefault="00DF064D" w:rsidP="00C6294C">
      <w:pPr>
        <w:pStyle w:val="Heading1"/>
      </w:pPr>
      <w:r w:rsidRPr="007B07B2">
        <w:t>Adoption of the agenda</w:t>
      </w:r>
    </w:p>
    <w:p w:rsidR="00DF064D" w:rsidRPr="007B07B2" w:rsidRDefault="00DF064D" w:rsidP="00C6294C"/>
    <w:p w:rsidR="00DF064D" w:rsidRPr="005E5D45" w:rsidRDefault="00DF064D" w:rsidP="00C6294C">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adopted the draft agenda as reproduced in document </w:t>
      </w:r>
      <w:r w:rsidRPr="005E5D45">
        <w:rPr>
          <w:lang w:eastAsia="ja-JP"/>
        </w:rPr>
        <w:t>UPOV/WG-DEN/</w:t>
      </w:r>
      <w:r>
        <w:rPr>
          <w:lang w:eastAsia="ja-JP"/>
        </w:rPr>
        <w:t>5</w:t>
      </w:r>
      <w:r w:rsidRPr="005E5D45">
        <w:rPr>
          <w:lang w:eastAsia="ja-JP"/>
        </w:rPr>
        <w:t>/1.</w:t>
      </w:r>
    </w:p>
    <w:p w:rsidR="00DF064D" w:rsidRPr="0065302E" w:rsidRDefault="00DF064D" w:rsidP="00D971BC">
      <w:pPr>
        <w:rPr>
          <w:snapToGrid w:val="0"/>
        </w:rPr>
      </w:pPr>
    </w:p>
    <w:p w:rsidR="00DF064D" w:rsidRPr="007B07B2" w:rsidRDefault="00DF064D" w:rsidP="000B52E7">
      <w:pPr>
        <w:rPr>
          <w:lang w:eastAsia="ja-JP"/>
        </w:rPr>
      </w:pPr>
    </w:p>
    <w:p w:rsidR="00DF064D" w:rsidRPr="007B07B2" w:rsidRDefault="00DF064D" w:rsidP="000B52E7">
      <w:pPr>
        <w:pStyle w:val="Heading1"/>
        <w:rPr>
          <w:szCs w:val="24"/>
          <w:lang w:eastAsia="ja-JP"/>
        </w:rPr>
      </w:pPr>
      <w:r w:rsidRPr="007B07B2">
        <w:rPr>
          <w:szCs w:val="24"/>
          <w:lang w:eastAsia="ja-JP"/>
        </w:rPr>
        <w:t xml:space="preserve">Revision of document UPOV/INF/12/5 </w:t>
      </w:r>
      <w:r>
        <w:t>“Explanatory Notes on Variety Denominations”</w:t>
      </w:r>
    </w:p>
    <w:p w:rsidR="00DF064D" w:rsidRPr="007B07B2" w:rsidRDefault="00DF064D" w:rsidP="00475119">
      <w:pPr>
        <w:pStyle w:val="ListParagraph"/>
        <w:autoSpaceDE w:val="0"/>
        <w:autoSpaceDN w:val="0"/>
        <w:adjustRightInd w:val="0"/>
        <w:ind w:left="0"/>
        <w:contextualSpacing w:val="0"/>
        <w:jc w:val="left"/>
        <w:rPr>
          <w:szCs w:val="24"/>
          <w:lang w:eastAsia="ja-JP"/>
        </w:rPr>
      </w:pPr>
    </w:p>
    <w:p w:rsidR="00DF064D" w:rsidRPr="005E5D45" w:rsidRDefault="00DF064D" w:rsidP="00475119">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5E5D45">
        <w:rPr>
          <w:lang w:eastAsia="ja-JP"/>
        </w:rPr>
        <w:t xml:space="preserve">considered </w:t>
      </w:r>
      <w:r w:rsidRPr="005E5D45">
        <w:t>documents</w:t>
      </w:r>
      <w:r w:rsidRPr="005E5D45">
        <w:rPr>
          <w:lang w:eastAsia="ja-JP"/>
        </w:rPr>
        <w:t xml:space="preserve"> UPOV/WG-DEN/</w:t>
      </w:r>
      <w:r>
        <w:rPr>
          <w:lang w:eastAsia="ja-JP"/>
        </w:rPr>
        <w:t>5</w:t>
      </w:r>
      <w:r w:rsidRPr="005E5D45">
        <w:rPr>
          <w:lang w:eastAsia="ja-JP"/>
        </w:rPr>
        <w:t>/2 and UPOV/</w:t>
      </w:r>
      <w:r>
        <w:rPr>
          <w:lang w:eastAsia="ja-JP"/>
        </w:rPr>
        <w:t>EXN/DEN</w:t>
      </w:r>
      <w:r w:rsidRPr="005E5D45">
        <w:rPr>
          <w:lang w:eastAsia="ja-JP"/>
        </w:rPr>
        <w:t xml:space="preserve">/1 Draft </w:t>
      </w:r>
      <w:r>
        <w:rPr>
          <w:lang w:eastAsia="ja-JP"/>
        </w:rPr>
        <w:t>1 and agreed the following amendments to document UPOV</w:t>
      </w:r>
      <w:r w:rsidRPr="005E5D45">
        <w:rPr>
          <w:lang w:eastAsia="ja-JP"/>
        </w:rPr>
        <w:t>/</w:t>
      </w:r>
      <w:r>
        <w:rPr>
          <w:lang w:eastAsia="ja-JP"/>
        </w:rPr>
        <w:t>EXN/DEN</w:t>
      </w:r>
      <w:r w:rsidRPr="005E5D45">
        <w:rPr>
          <w:lang w:eastAsia="ja-JP"/>
        </w:rPr>
        <w:t xml:space="preserve">/1 Draft </w:t>
      </w:r>
      <w:r>
        <w:rPr>
          <w:lang w:eastAsia="ja-JP"/>
        </w:rPr>
        <w:t>1:</w:t>
      </w:r>
    </w:p>
    <w:p w:rsidR="00DF064D" w:rsidRDefault="00DF064D" w:rsidP="00041937">
      <w:pPr>
        <w:rPr>
          <w:lang w:eastAsia="ja-JP"/>
        </w:rPr>
      </w:pPr>
    </w:p>
    <w:p w:rsidR="00DF064D" w:rsidRPr="00DD4971" w:rsidRDefault="00DF064D" w:rsidP="00041937">
      <w:pPr>
        <w:rPr>
          <w:lang w:eastAsia="ja-JP"/>
        </w:rPr>
      </w:pPr>
    </w:p>
    <w:p w:rsidR="00DF064D" w:rsidRPr="00E427FC" w:rsidRDefault="00DF064D" w:rsidP="00041937">
      <w:pPr>
        <w:pStyle w:val="Heading2"/>
        <w:rPr>
          <w:highlight w:val="yellow"/>
        </w:rPr>
      </w:pPr>
      <w:r w:rsidRPr="00E427FC">
        <w:t>P</w:t>
      </w:r>
      <w:r>
        <w:t>reamble</w:t>
      </w:r>
    </w:p>
    <w:p w:rsidR="00DF064D" w:rsidRPr="000C3905" w:rsidRDefault="00DF064D" w:rsidP="000B52E7">
      <w:pPr>
        <w:rPr>
          <w:lang w:eastAsia="ja-JP"/>
        </w:rPr>
      </w:pPr>
    </w:p>
    <w:p w:rsidR="00DF064D" w:rsidRPr="00506162" w:rsidRDefault="00DF064D" w:rsidP="00041937">
      <w:pPr>
        <w:rPr>
          <w:szCs w:val="24"/>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WG-DEN agreed</w:t>
      </w:r>
      <w:r>
        <w:rPr>
          <w:rFonts w:cs="Arial"/>
          <w:snapToGrid w:val="0"/>
          <w:lang w:eastAsia="ja-JP"/>
        </w:rPr>
        <w:t xml:space="preserve"> </w:t>
      </w:r>
      <w:r w:rsidRPr="00594ACD">
        <w:rPr>
          <w:rFonts w:cs="Arial"/>
          <w:snapToGrid w:val="0"/>
          <w:lang w:eastAsia="ja-JP"/>
        </w:rPr>
        <w:t>to add a</w:t>
      </w:r>
      <w:r>
        <w:rPr>
          <w:rFonts w:cs="Arial"/>
          <w:snapToGrid w:val="0"/>
          <w:lang w:eastAsia="ja-JP"/>
        </w:rPr>
        <w:t xml:space="preserve"> new </w:t>
      </w:r>
      <w:r w:rsidR="005D2B42">
        <w:rPr>
          <w:rFonts w:cs="Arial"/>
          <w:snapToGrid w:val="0"/>
          <w:lang w:eastAsia="ja-JP"/>
        </w:rPr>
        <w:t>paragraph</w:t>
      </w:r>
      <w:r w:rsidRPr="00594ACD">
        <w:rPr>
          <w:rFonts w:cs="Arial"/>
          <w:snapToGrid w:val="0"/>
          <w:lang w:eastAsia="ja-JP"/>
        </w:rPr>
        <w:t xml:space="preserve"> </w:t>
      </w:r>
      <w:r>
        <w:rPr>
          <w:rFonts w:cs="Arial"/>
          <w:snapToGrid w:val="0"/>
          <w:lang w:eastAsia="ja-JP"/>
        </w:rPr>
        <w:t>as follows:</w:t>
      </w:r>
    </w:p>
    <w:p w:rsidR="00DF064D" w:rsidRPr="00041937" w:rsidRDefault="00DF064D" w:rsidP="00041937">
      <w:pPr>
        <w:pStyle w:val="ListParagraph"/>
        <w:rPr>
          <w:sz w:val="18"/>
          <w:szCs w:val="18"/>
        </w:rPr>
      </w:pPr>
    </w:p>
    <w:p w:rsidR="00DF064D" w:rsidRPr="00041937" w:rsidRDefault="00DF064D" w:rsidP="00041937">
      <w:pPr>
        <w:pStyle w:val="ListParagraph"/>
        <w:rPr>
          <w:sz w:val="18"/>
          <w:szCs w:val="18"/>
          <w:u w:val="single"/>
          <w:shd w:val="pct15" w:color="auto" w:fill="FFFFFF"/>
        </w:rPr>
      </w:pPr>
      <w:r w:rsidRPr="00041937">
        <w:rPr>
          <w:sz w:val="18"/>
          <w:szCs w:val="18"/>
        </w:rPr>
        <w:t>“</w:t>
      </w:r>
      <w:r w:rsidRPr="00041937">
        <w:rPr>
          <w:sz w:val="18"/>
          <w:szCs w:val="18"/>
          <w:u w:val="single"/>
          <w:shd w:val="pct15" w:color="auto" w:fill="FFFFFF"/>
        </w:rPr>
        <w:t>4.</w:t>
      </w:r>
      <w:r w:rsidRPr="00041937">
        <w:rPr>
          <w:sz w:val="18"/>
          <w:szCs w:val="18"/>
          <w:u w:val="single"/>
          <w:shd w:val="pct15" w:color="auto" w:fill="FFFFFF"/>
        </w:rPr>
        <w:tab/>
        <w:t>The Council recalls the definition of “variety” in Article 1 (iv) of the 1991 Act of the UPOV Convention:</w:t>
      </w:r>
      <w:r w:rsidRPr="00041937">
        <w:rPr>
          <w:sz w:val="18"/>
          <w:szCs w:val="18"/>
          <w:shd w:val="pct15" w:color="auto" w:fill="FFFFFF"/>
        </w:rPr>
        <w:t xml:space="preserve"> </w:t>
      </w:r>
    </w:p>
    <w:p w:rsidR="00DF064D" w:rsidRPr="00041937" w:rsidRDefault="00DF064D" w:rsidP="00041937">
      <w:pPr>
        <w:pStyle w:val="ListParagraph"/>
        <w:rPr>
          <w:sz w:val="18"/>
          <w:szCs w:val="18"/>
          <w:u w:val="single"/>
          <w:shd w:val="pct15" w:color="auto" w:fill="FFFFFF"/>
        </w:rPr>
      </w:pPr>
    </w:p>
    <w:p w:rsidR="00DF064D" w:rsidRPr="00041937" w:rsidRDefault="00DF064D" w:rsidP="00041937">
      <w:pPr>
        <w:pStyle w:val="ListParagraph"/>
        <w:rPr>
          <w:sz w:val="18"/>
          <w:szCs w:val="18"/>
          <w:u w:val="single"/>
          <w:shd w:val="pct15" w:color="auto" w:fill="FFFFFF"/>
        </w:rPr>
      </w:pPr>
      <w:r w:rsidRPr="00041937">
        <w:rPr>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DF064D" w:rsidRPr="00041937" w:rsidRDefault="00DF064D" w:rsidP="00041937">
      <w:pPr>
        <w:pStyle w:val="ListParagraph"/>
        <w:rPr>
          <w:sz w:val="18"/>
          <w:szCs w:val="18"/>
          <w:u w:val="single"/>
          <w:shd w:val="pct15" w:color="auto" w:fill="FFFFFF"/>
        </w:rPr>
      </w:pPr>
      <w:r w:rsidRPr="00041937">
        <w:rPr>
          <w:sz w:val="18"/>
          <w:szCs w:val="18"/>
          <w:u w:val="single"/>
          <w:shd w:val="pct15" w:color="auto" w:fill="FFFFFF"/>
        </w:rPr>
        <w:t xml:space="preserve">- defined by the expression of the characteristics resulting from a given genotype or combination of genotypes, </w:t>
      </w:r>
    </w:p>
    <w:p w:rsidR="00DF064D" w:rsidRPr="00041937" w:rsidRDefault="00DF064D" w:rsidP="00041937">
      <w:pPr>
        <w:pStyle w:val="ListParagraph"/>
        <w:rPr>
          <w:sz w:val="18"/>
          <w:szCs w:val="18"/>
          <w:u w:val="single"/>
          <w:shd w:val="pct15" w:color="auto" w:fill="FFFFFF"/>
        </w:rPr>
      </w:pPr>
      <w:r w:rsidRPr="00041937">
        <w:rPr>
          <w:sz w:val="18"/>
          <w:szCs w:val="18"/>
          <w:u w:val="single"/>
          <w:shd w:val="pct15" w:color="auto" w:fill="FFFFFF"/>
        </w:rPr>
        <w:t xml:space="preserve">- distinguished from any other plant grouping by the expression of at least one of the said characteristics and </w:t>
      </w:r>
    </w:p>
    <w:p w:rsidR="00DF064D" w:rsidRPr="00041937" w:rsidRDefault="00DF064D" w:rsidP="00041937">
      <w:pPr>
        <w:pStyle w:val="ListParagraph"/>
        <w:rPr>
          <w:sz w:val="18"/>
          <w:szCs w:val="18"/>
          <w:lang w:eastAsia="ja-JP"/>
        </w:rPr>
      </w:pPr>
      <w:r w:rsidRPr="00041937">
        <w:rPr>
          <w:sz w:val="18"/>
          <w:szCs w:val="18"/>
          <w:u w:val="single"/>
          <w:shd w:val="pct15" w:color="auto" w:fill="FFFFFF"/>
        </w:rPr>
        <w:t>- considered as a unit with regard to its suitability for being propagated unchanged [;]</w:t>
      </w:r>
      <w:r w:rsidRPr="00041937">
        <w:rPr>
          <w:sz w:val="18"/>
          <w:szCs w:val="18"/>
        </w:rPr>
        <w:t>”</w:t>
      </w:r>
      <w:r>
        <w:rPr>
          <w:sz w:val="18"/>
          <w:szCs w:val="18"/>
        </w:rPr>
        <w:t>.</w:t>
      </w:r>
    </w:p>
    <w:p w:rsidR="00DF064D" w:rsidRDefault="00DF064D" w:rsidP="00A724D9">
      <w:pPr>
        <w:pStyle w:val="ListParagraph"/>
        <w:autoSpaceDE w:val="0"/>
        <w:autoSpaceDN w:val="0"/>
        <w:adjustRightInd w:val="0"/>
        <w:ind w:left="1134" w:right="567"/>
        <w:rPr>
          <w:lang w:eastAsia="ja-JP"/>
        </w:rPr>
      </w:pPr>
    </w:p>
    <w:p w:rsidR="00DF064D" w:rsidRPr="00A02CB3" w:rsidRDefault="00DF064D" w:rsidP="00041937">
      <w:pPr>
        <w:pStyle w:val="ListParagraph"/>
        <w:autoSpaceDE w:val="0"/>
        <w:autoSpaceDN w:val="0"/>
        <w:adjustRightInd w:val="0"/>
        <w:ind w:left="0"/>
        <w:contextualSpacing w:val="0"/>
        <w:rPr>
          <w:szCs w:val="24"/>
          <w:lang w:eastAsia="ja-JP"/>
        </w:rPr>
      </w:pPr>
    </w:p>
    <w:p w:rsidR="00DF064D" w:rsidRPr="00A02CB3" w:rsidRDefault="00DF064D" w:rsidP="00041937">
      <w:pPr>
        <w:pStyle w:val="Heading2"/>
      </w:pPr>
      <w:r w:rsidRPr="00A02CB3">
        <w:t xml:space="preserve">Paragraph </w:t>
      </w:r>
      <w:r>
        <w:t>1</w:t>
      </w:r>
      <w:r w:rsidRPr="00A02CB3">
        <w:t xml:space="preserve"> [</w:t>
      </w:r>
      <w:r w:rsidRPr="000710A0">
        <w:t>Designation of varieties by denominations;  use of the denomination</w:t>
      </w:r>
      <w:r w:rsidRPr="00A02CB3">
        <w:t>]</w:t>
      </w:r>
    </w:p>
    <w:p w:rsidR="00DF064D" w:rsidRPr="00A02CB3" w:rsidRDefault="00DF064D" w:rsidP="00041937">
      <w:pPr>
        <w:pStyle w:val="ListParagraph"/>
        <w:autoSpaceDE w:val="0"/>
        <w:autoSpaceDN w:val="0"/>
        <w:adjustRightInd w:val="0"/>
        <w:ind w:left="0"/>
        <w:contextualSpacing w:val="0"/>
        <w:rPr>
          <w:szCs w:val="24"/>
          <w:lang w:eastAsia="ja-JP"/>
        </w:rPr>
      </w:pPr>
    </w:p>
    <w:p w:rsidR="00DF064D" w:rsidRDefault="00DF064D" w:rsidP="00041937">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add </w:t>
      </w:r>
      <w:r>
        <w:rPr>
          <w:lang w:eastAsia="ja-JP"/>
        </w:rPr>
        <w:t>a new Section 1.3 to read</w:t>
      </w:r>
      <w:r>
        <w:rPr>
          <w:rFonts w:hint="eastAsia"/>
          <w:lang w:eastAsia="ja-JP"/>
        </w:rPr>
        <w:t xml:space="preserve"> as </w:t>
      </w:r>
      <w:r>
        <w:rPr>
          <w:lang w:eastAsia="ja-JP"/>
        </w:rPr>
        <w:t>follows</w:t>
      </w:r>
      <w:r>
        <w:rPr>
          <w:rFonts w:hint="eastAsia"/>
          <w:lang w:eastAsia="ja-JP"/>
        </w:rPr>
        <w:t>:</w:t>
      </w:r>
    </w:p>
    <w:p w:rsidR="00DF064D" w:rsidRPr="00A724D9" w:rsidRDefault="00DF064D" w:rsidP="00A724D9">
      <w:pPr>
        <w:jc w:val="left"/>
        <w:rPr>
          <w:rFonts w:eastAsia="MS Mincho"/>
          <w:lang w:eastAsia="ja-JP"/>
        </w:rPr>
      </w:pPr>
    </w:p>
    <w:p w:rsidR="00DF064D" w:rsidRPr="00041937" w:rsidRDefault="00DF064D" w:rsidP="00041937">
      <w:pPr>
        <w:pStyle w:val="ListParagraph"/>
        <w:rPr>
          <w:rFonts w:cs="Arial"/>
          <w:snapToGrid w:val="0"/>
          <w:sz w:val="18"/>
          <w:szCs w:val="18"/>
          <w:lang w:eastAsia="ja-JP"/>
        </w:rPr>
      </w:pPr>
      <w:r w:rsidRPr="00041937">
        <w:rPr>
          <w:sz w:val="18"/>
          <w:szCs w:val="18"/>
          <w:highlight w:val="lightGray"/>
          <w:shd w:val="pct15" w:color="auto" w:fill="FFFFFF"/>
        </w:rPr>
        <w:t>“</w:t>
      </w:r>
      <w:r w:rsidRPr="00C10F1B">
        <w:rPr>
          <w:sz w:val="18"/>
          <w:szCs w:val="18"/>
          <w:highlight w:val="lightGray"/>
          <w:u w:val="single"/>
        </w:rPr>
        <w:t>1.3</w:t>
      </w:r>
      <w:r w:rsidRPr="00C10F1B">
        <w:rPr>
          <w:sz w:val="18"/>
          <w:szCs w:val="18"/>
          <w:highlight w:val="lightGray"/>
          <w:u w:val="single"/>
        </w:rPr>
        <w:tab/>
      </w:r>
      <w:r w:rsidRPr="00C10F1B">
        <w:rPr>
          <w:sz w:val="18"/>
          <w:szCs w:val="18"/>
          <w:highlight w:val="lightGray"/>
          <w:u w:val="single"/>
          <w:lang w:eastAsia="ja-JP"/>
        </w:rPr>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Pr>
          <w:sz w:val="18"/>
          <w:szCs w:val="18"/>
          <w:lang w:eastAsia="ja-JP"/>
        </w:rPr>
        <w:t>”</w:t>
      </w:r>
    </w:p>
    <w:p w:rsidR="00DF064D" w:rsidRPr="00A02CB3" w:rsidRDefault="00DF064D" w:rsidP="00CC5BDF">
      <w:pPr>
        <w:pStyle w:val="ListParagraph"/>
        <w:autoSpaceDE w:val="0"/>
        <w:autoSpaceDN w:val="0"/>
        <w:adjustRightInd w:val="0"/>
        <w:ind w:left="0"/>
        <w:contextualSpacing w:val="0"/>
        <w:rPr>
          <w:szCs w:val="24"/>
          <w:lang w:eastAsia="ja-JP"/>
        </w:rPr>
      </w:pPr>
    </w:p>
    <w:p w:rsidR="00DF064D" w:rsidRPr="00A02CB3" w:rsidRDefault="00DF064D" w:rsidP="00CC5BDF">
      <w:pPr>
        <w:pStyle w:val="ListParagraph"/>
        <w:autoSpaceDE w:val="0"/>
        <w:autoSpaceDN w:val="0"/>
        <w:adjustRightInd w:val="0"/>
        <w:ind w:left="0"/>
        <w:contextualSpacing w:val="0"/>
        <w:rPr>
          <w:szCs w:val="24"/>
          <w:lang w:eastAsia="ja-JP"/>
        </w:rPr>
      </w:pPr>
    </w:p>
    <w:p w:rsidR="00DF064D" w:rsidRPr="00A02CB3" w:rsidRDefault="00DF064D" w:rsidP="00CC5BDF">
      <w:pPr>
        <w:pStyle w:val="Heading2"/>
      </w:pPr>
      <w:r w:rsidRPr="00A02CB3">
        <w:lastRenderedPageBreak/>
        <w:t xml:space="preserve">Paragraph </w:t>
      </w:r>
      <w:r>
        <w:t>2</w:t>
      </w:r>
      <w:r w:rsidRPr="00A02CB3">
        <w:t xml:space="preserve"> [</w:t>
      </w:r>
      <w:r w:rsidRPr="00384E95">
        <w:t>Characteristics of the denomination</w:t>
      </w:r>
      <w:r w:rsidRPr="00A02CB3">
        <w:t>]</w:t>
      </w:r>
    </w:p>
    <w:p w:rsidR="00DF064D" w:rsidRPr="00A02CB3" w:rsidRDefault="00DF064D" w:rsidP="00CC5BDF">
      <w:pPr>
        <w:pStyle w:val="ListParagraph"/>
        <w:keepNext/>
        <w:autoSpaceDE w:val="0"/>
        <w:autoSpaceDN w:val="0"/>
        <w:adjustRightInd w:val="0"/>
        <w:ind w:left="0"/>
        <w:contextualSpacing w:val="0"/>
        <w:rPr>
          <w:szCs w:val="24"/>
          <w:lang w:eastAsia="ja-JP"/>
        </w:rPr>
      </w:pPr>
    </w:p>
    <w:p w:rsidR="00DF064D" w:rsidRDefault="00DF064D" w:rsidP="00CC5BDF">
      <w:pPr>
        <w:pStyle w:val="ListParagraph"/>
        <w:keepNext/>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Pr>
          <w:lang w:eastAsia="ja-JP"/>
        </w:rPr>
        <w:t xml:space="preserve">amend </w:t>
      </w:r>
      <w:r w:rsidRPr="00594ACD">
        <w:rPr>
          <w:rFonts w:cs="Arial"/>
          <w:snapToGrid w:val="0"/>
          <w:lang w:eastAsia="ja-JP"/>
        </w:rPr>
        <w:t>Section 2.</w:t>
      </w:r>
      <w:r>
        <w:rPr>
          <w:rFonts w:cs="Arial"/>
          <w:snapToGrid w:val="0"/>
          <w:lang w:eastAsia="ja-JP"/>
        </w:rPr>
        <w:t>2</w:t>
      </w:r>
      <w:r w:rsidRPr="00594ACD">
        <w:rPr>
          <w:rFonts w:cs="Arial"/>
          <w:snapToGrid w:val="0"/>
          <w:lang w:eastAsia="ja-JP"/>
        </w:rPr>
        <w:t>.</w:t>
      </w:r>
      <w:r>
        <w:rPr>
          <w:rFonts w:cs="Arial"/>
          <w:snapToGrid w:val="0"/>
          <w:lang w:eastAsia="ja-JP"/>
        </w:rPr>
        <w:t>2 (b)</w:t>
      </w:r>
      <w:r>
        <w:rPr>
          <w:lang w:eastAsia="ja-JP"/>
        </w:rPr>
        <w:t xml:space="preserve"> to read</w:t>
      </w:r>
      <w:r>
        <w:rPr>
          <w:rFonts w:hint="eastAsia"/>
          <w:lang w:eastAsia="ja-JP"/>
        </w:rPr>
        <w:t xml:space="preserve"> as </w:t>
      </w:r>
      <w:r>
        <w:rPr>
          <w:lang w:eastAsia="ja-JP"/>
        </w:rPr>
        <w:t>follows</w:t>
      </w:r>
      <w:r>
        <w:rPr>
          <w:rFonts w:hint="eastAsia"/>
          <w:lang w:eastAsia="ja-JP"/>
        </w:rPr>
        <w:t>:</w:t>
      </w:r>
    </w:p>
    <w:p w:rsidR="00DF064D" w:rsidRPr="00CC5BDF" w:rsidRDefault="00DF064D" w:rsidP="00CC5BDF">
      <w:pPr>
        <w:keepNext/>
        <w:ind w:firstLine="567"/>
        <w:rPr>
          <w:rFonts w:eastAsia="MS Mincho"/>
        </w:rPr>
      </w:pPr>
    </w:p>
    <w:p w:rsidR="00DF064D" w:rsidRDefault="00DF064D" w:rsidP="00CC5BDF">
      <w:pPr>
        <w:pStyle w:val="ListParagraph"/>
        <w:rPr>
          <w:lang w:eastAsia="ja-JP"/>
        </w:rPr>
      </w:pPr>
      <w:r>
        <w:rPr>
          <w:sz w:val="18"/>
          <w:szCs w:val="18"/>
        </w:rPr>
        <w:t>“</w:t>
      </w:r>
      <w:r w:rsidRPr="00C90844">
        <w:rPr>
          <w:sz w:val="18"/>
          <w:szCs w:val="18"/>
        </w:rPr>
        <w:t xml:space="preserve">(b)  </w:t>
      </w:r>
      <w:r w:rsidRPr="00C90844">
        <w:rPr>
          <w:sz w:val="18"/>
          <w:szCs w:val="18"/>
        </w:rPr>
        <w:tab/>
        <w:t xml:space="preserve">accepted market practices for particular variety types (e.g. hybrids) and particular </w:t>
      </w:r>
      <w:r w:rsidRPr="00C90844">
        <w:rPr>
          <w:rFonts w:hint="eastAsia"/>
          <w:sz w:val="18"/>
          <w:szCs w:val="18"/>
          <w:highlight w:val="lightGray"/>
          <w:u w:val="single"/>
          <w:lang w:eastAsia="ja-JP"/>
        </w:rPr>
        <w:t>genera</w:t>
      </w:r>
      <w:r w:rsidRPr="00C90844">
        <w:rPr>
          <w:rFonts w:hint="eastAsia"/>
          <w:sz w:val="18"/>
          <w:szCs w:val="18"/>
          <w:lang w:eastAsia="ja-JP"/>
        </w:rPr>
        <w:t>/</w:t>
      </w:r>
      <w:r w:rsidRPr="00C90844">
        <w:rPr>
          <w:sz w:val="18"/>
          <w:szCs w:val="18"/>
        </w:rPr>
        <w:t>species (e.g. Medicago, Helianthus)</w:t>
      </w:r>
      <w:r w:rsidRPr="00C90844">
        <w:rPr>
          <w:rFonts w:hint="eastAsia"/>
          <w:sz w:val="18"/>
          <w:szCs w:val="18"/>
          <w:lang w:eastAsia="ja-JP"/>
        </w:rPr>
        <w:t>;</w:t>
      </w:r>
      <w:r>
        <w:rPr>
          <w:lang w:eastAsia="ja-JP"/>
        </w:rPr>
        <w:t>”.</w:t>
      </w:r>
    </w:p>
    <w:p w:rsidR="00DF064D" w:rsidRPr="00A02CB3" w:rsidRDefault="00DF064D" w:rsidP="005B4B3E">
      <w:pPr>
        <w:pStyle w:val="ListParagraph"/>
        <w:autoSpaceDE w:val="0"/>
        <w:autoSpaceDN w:val="0"/>
        <w:adjustRightInd w:val="0"/>
        <w:ind w:left="0"/>
        <w:contextualSpacing w:val="0"/>
        <w:rPr>
          <w:szCs w:val="24"/>
          <w:lang w:eastAsia="ja-JP"/>
        </w:rPr>
      </w:pPr>
    </w:p>
    <w:p w:rsidR="00DF064D" w:rsidRDefault="00DF064D" w:rsidP="005B4B3E">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 agreed to a</w:t>
      </w:r>
      <w:r w:rsidR="00C10F1B">
        <w:rPr>
          <w:lang w:eastAsia="ja-JP"/>
        </w:rPr>
        <w:t>mend</w:t>
      </w:r>
      <w:r>
        <w:rPr>
          <w:rFonts w:hint="eastAsia"/>
          <w:lang w:eastAsia="ja-JP"/>
        </w:rPr>
        <w:t xml:space="preserve"> </w:t>
      </w:r>
      <w:r>
        <w:rPr>
          <w:lang w:eastAsia="ja-JP"/>
        </w:rPr>
        <w:t xml:space="preserve">Section </w:t>
      </w:r>
      <w:r w:rsidRPr="00594ACD">
        <w:rPr>
          <w:rFonts w:cs="Arial"/>
          <w:snapToGrid w:val="0"/>
          <w:lang w:eastAsia="ja-JP"/>
        </w:rPr>
        <w:t>2.</w:t>
      </w:r>
      <w:r>
        <w:rPr>
          <w:rFonts w:cs="Arial"/>
          <w:snapToGrid w:val="0"/>
          <w:lang w:eastAsia="ja-JP"/>
        </w:rPr>
        <w:t>3</w:t>
      </w:r>
      <w:r w:rsidRPr="00594ACD">
        <w:rPr>
          <w:rFonts w:cs="Arial"/>
          <w:snapToGrid w:val="0"/>
          <w:lang w:eastAsia="ja-JP"/>
        </w:rPr>
        <w:t>.</w:t>
      </w:r>
      <w:r>
        <w:rPr>
          <w:rFonts w:cs="Arial"/>
          <w:snapToGrid w:val="0"/>
          <w:lang w:eastAsia="ja-JP"/>
        </w:rPr>
        <w:t xml:space="preserve">1 (c) </w:t>
      </w:r>
      <w:r>
        <w:rPr>
          <w:lang w:eastAsia="ja-JP"/>
        </w:rPr>
        <w:t>to read</w:t>
      </w:r>
      <w:r>
        <w:rPr>
          <w:rFonts w:hint="eastAsia"/>
          <w:lang w:eastAsia="ja-JP"/>
        </w:rPr>
        <w:t xml:space="preserve"> as </w:t>
      </w:r>
      <w:r>
        <w:rPr>
          <w:lang w:eastAsia="ja-JP"/>
        </w:rPr>
        <w:t>follows</w:t>
      </w:r>
      <w:r>
        <w:rPr>
          <w:rFonts w:hint="eastAsia"/>
          <w:lang w:eastAsia="ja-JP"/>
        </w:rPr>
        <w:t>:</w:t>
      </w:r>
    </w:p>
    <w:p w:rsidR="00DF064D" w:rsidRDefault="00DF064D" w:rsidP="000B52E7">
      <w:pPr>
        <w:ind w:firstLine="540"/>
        <w:rPr>
          <w:rFonts w:cs="Arial"/>
          <w:snapToGrid w:val="0"/>
          <w:lang w:eastAsia="ja-JP"/>
        </w:rPr>
      </w:pPr>
    </w:p>
    <w:p w:rsidR="00DF064D" w:rsidRPr="009C37B4" w:rsidRDefault="00DF064D" w:rsidP="005B4B3E">
      <w:pPr>
        <w:pStyle w:val="ListParagraph"/>
        <w:rPr>
          <w:strike/>
          <w:highlight w:val="lightGray"/>
        </w:rPr>
      </w:pPr>
      <w:r w:rsidRPr="00C10F1B">
        <w:rPr>
          <w:sz w:val="18"/>
          <w:szCs w:val="18"/>
        </w:rPr>
        <w:t>“(c)</w:t>
      </w:r>
      <w:r w:rsidRPr="00C10F1B">
        <w:rPr>
          <w:sz w:val="18"/>
          <w:szCs w:val="18"/>
        </w:rPr>
        <w:tab/>
        <w:t xml:space="preserve">convey the impression that the variety has particular characteristics, which in reality it does not have, </w:t>
      </w:r>
      <w:r w:rsidRPr="005B4B3E">
        <w:rPr>
          <w:sz w:val="18"/>
          <w:szCs w:val="18"/>
          <w:highlight w:val="lightGray"/>
          <w:u w:val="single"/>
        </w:rPr>
        <w:t>by similarity or association with another variety denomination</w:t>
      </w:r>
      <w:r w:rsidRPr="005B4B3E">
        <w:rPr>
          <w:sz w:val="18"/>
          <w:szCs w:val="18"/>
          <w:highlight w:val="lightGray"/>
        </w:rPr>
        <w:t xml:space="preserve"> </w:t>
      </w:r>
      <w:r w:rsidRPr="005B4B3E">
        <w:rPr>
          <w:strike/>
          <w:sz w:val="18"/>
          <w:szCs w:val="18"/>
          <w:highlight w:val="lightGray"/>
        </w:rPr>
        <w:t>derived from, or related to</w:t>
      </w:r>
      <w:r w:rsidRPr="005B4B3E">
        <w:rPr>
          <w:sz w:val="18"/>
          <w:szCs w:val="18"/>
          <w:highlight w:val="lightGray"/>
        </w:rPr>
        <w:t xml:space="preserve"> </w:t>
      </w:r>
      <w:r w:rsidRPr="005B4B3E">
        <w:rPr>
          <w:strike/>
          <w:sz w:val="18"/>
          <w:szCs w:val="18"/>
          <w:highlight w:val="lightGray"/>
        </w:rPr>
        <w:t>that is not, in fact, the case</w:t>
      </w:r>
      <w:r w:rsidRPr="005B4B3E">
        <w:rPr>
          <w:sz w:val="18"/>
          <w:szCs w:val="18"/>
          <w:highlight w:val="lightGray"/>
          <w:u w:val="single"/>
        </w:rPr>
        <w:t>.</w:t>
      </w:r>
      <w:r w:rsidRPr="005B4B3E">
        <w:rPr>
          <w:strike/>
          <w:sz w:val="18"/>
          <w:szCs w:val="18"/>
          <w:highlight w:val="lightGray"/>
        </w:rPr>
        <w:t>;</w:t>
      </w:r>
    </w:p>
    <w:p w:rsidR="00DF064D" w:rsidRPr="009C37B4" w:rsidRDefault="00DF064D" w:rsidP="009C37B4">
      <w:pPr>
        <w:keepNext/>
        <w:ind w:firstLine="567"/>
        <w:rPr>
          <w:strike/>
          <w:highlight w:val="lightGray"/>
        </w:rPr>
      </w:pPr>
    </w:p>
    <w:p w:rsidR="00DF064D" w:rsidRPr="00C10F1B" w:rsidRDefault="00DF064D" w:rsidP="005B4B3E">
      <w:pPr>
        <w:pStyle w:val="ListParagraph"/>
        <w:rPr>
          <w:sz w:val="18"/>
          <w:szCs w:val="18"/>
          <w:highlight w:val="lightGray"/>
          <w:u w:val="single"/>
        </w:rPr>
      </w:pPr>
      <w:r w:rsidRPr="00C10F1B">
        <w:rPr>
          <w:sz w:val="18"/>
          <w:szCs w:val="18"/>
          <w:highlight w:val="lightGray"/>
          <w:u w:val="single"/>
        </w:rPr>
        <w:t>Example of unsuitable denomination:  “Son of Russet Burbank”, where “Russet Burbank” potato variety was not used in the breeding of “Son of Russet Burbank”.</w:t>
      </w:r>
    </w:p>
    <w:p w:rsidR="00DF064D" w:rsidRPr="00C10F1B" w:rsidRDefault="00DF064D" w:rsidP="005B4B3E">
      <w:pPr>
        <w:pStyle w:val="ListParagraph"/>
        <w:rPr>
          <w:sz w:val="18"/>
          <w:szCs w:val="18"/>
          <w:highlight w:val="lightGray"/>
          <w:u w:val="single"/>
        </w:rPr>
      </w:pPr>
    </w:p>
    <w:p w:rsidR="00DF064D" w:rsidRPr="005B4B3E" w:rsidRDefault="00DF064D" w:rsidP="005B4B3E">
      <w:pPr>
        <w:pStyle w:val="ListParagraph"/>
        <w:rPr>
          <w:sz w:val="18"/>
          <w:szCs w:val="18"/>
          <w:highlight w:val="lightGray"/>
          <w:lang w:eastAsia="ja-JP"/>
        </w:rPr>
      </w:pPr>
      <w:r w:rsidRPr="00C10F1B">
        <w:rPr>
          <w:sz w:val="18"/>
          <w:szCs w:val="18"/>
          <w:highlight w:val="lightGray"/>
          <w:u w:val="single"/>
        </w:rPr>
        <w:t xml:space="preserve">Examples of suitable denominations:  “Koshihikari Niigata BL 1 go” and “Koshihikari Niigata BL 2 go”, both of which introduced </w:t>
      </w:r>
      <w:r w:rsidRPr="00C10F1B">
        <w:rPr>
          <w:rFonts w:hint="eastAsia"/>
          <w:sz w:val="18"/>
          <w:szCs w:val="18"/>
          <w:highlight w:val="lightGray"/>
          <w:u w:val="single"/>
          <w:lang w:eastAsia="ja-JP"/>
        </w:rPr>
        <w:t>resistance against rice blight</w:t>
      </w:r>
      <w:r w:rsidRPr="00C10F1B">
        <w:rPr>
          <w:sz w:val="18"/>
          <w:szCs w:val="18"/>
          <w:highlight w:val="lightGray"/>
          <w:u w:val="single"/>
          <w:lang w:eastAsia="ja-JP"/>
        </w:rPr>
        <w:t xml:space="preserve"> into </w:t>
      </w:r>
      <w:r w:rsidRPr="00C10F1B">
        <w:rPr>
          <w:sz w:val="18"/>
          <w:szCs w:val="18"/>
          <w:highlight w:val="lightGray"/>
          <w:u w:val="single"/>
        </w:rPr>
        <w:t>“Koshihikari”</w:t>
      </w:r>
      <w:r w:rsidRPr="00C10F1B">
        <w:rPr>
          <w:rFonts w:hint="eastAsia"/>
          <w:sz w:val="18"/>
          <w:szCs w:val="18"/>
          <w:highlight w:val="lightGray"/>
          <w:u w:val="single"/>
          <w:lang w:eastAsia="ja-JP"/>
        </w:rPr>
        <w:t>.</w:t>
      </w:r>
    </w:p>
    <w:p w:rsidR="00DF064D" w:rsidRPr="005B4B3E" w:rsidRDefault="00DF064D" w:rsidP="005B4B3E">
      <w:pPr>
        <w:pStyle w:val="ListParagraph"/>
        <w:rPr>
          <w:strike/>
          <w:sz w:val="18"/>
          <w:szCs w:val="18"/>
          <w:highlight w:val="lightGray"/>
        </w:rPr>
      </w:pPr>
    </w:p>
    <w:p w:rsidR="00DF064D" w:rsidRPr="005B4B3E" w:rsidRDefault="00DF064D" w:rsidP="005B4B3E">
      <w:pPr>
        <w:pStyle w:val="ListParagraph"/>
        <w:rPr>
          <w:strike/>
          <w:sz w:val="18"/>
          <w:szCs w:val="18"/>
          <w:highlight w:val="lightGray"/>
          <w:lang w:eastAsia="ja-JP"/>
        </w:rPr>
      </w:pPr>
      <w:r w:rsidRPr="005B4B3E">
        <w:rPr>
          <w:i/>
          <w:strike/>
          <w:sz w:val="18"/>
          <w:szCs w:val="18"/>
          <w:highlight w:val="lightGray"/>
        </w:rPr>
        <w:t>Example:</w:t>
      </w:r>
      <w:r w:rsidRPr="005B4B3E">
        <w:rPr>
          <w:strike/>
          <w:sz w:val="18"/>
          <w:szCs w:val="18"/>
          <w:highlight w:val="lightGray"/>
        </w:rPr>
        <w:t xml:space="preserve">  a denomination which is similar to that of another variety of the same species or closely related species, e.g. “Southern cross 1”; “Southern cross 2”; etc., giving the impression that these </w:t>
      </w:r>
    </w:p>
    <w:p w:rsidR="00DF064D" w:rsidRPr="005B4B3E" w:rsidRDefault="00DF064D" w:rsidP="005B4B3E">
      <w:pPr>
        <w:pStyle w:val="ListParagraph"/>
        <w:rPr>
          <w:rFonts w:cs="Arial"/>
          <w:snapToGrid w:val="0"/>
          <w:sz w:val="18"/>
          <w:szCs w:val="18"/>
          <w:lang w:eastAsia="ja-JP"/>
        </w:rPr>
      </w:pPr>
      <w:r w:rsidRPr="005B4B3E">
        <w:rPr>
          <w:strike/>
          <w:sz w:val="18"/>
          <w:szCs w:val="18"/>
          <w:highlight w:val="lightGray"/>
        </w:rPr>
        <w:t>varieties are a series of related varieties with similar characteristics, when, in fact, this is not the case.</w:t>
      </w:r>
      <w:r>
        <w:rPr>
          <w:lang w:eastAsia="ja-JP"/>
        </w:rPr>
        <w:t>”</w:t>
      </w:r>
    </w:p>
    <w:p w:rsidR="00DF064D" w:rsidRPr="00A02CB3" w:rsidRDefault="00DF064D" w:rsidP="00C90844">
      <w:pPr>
        <w:pStyle w:val="ListParagraph"/>
        <w:autoSpaceDE w:val="0"/>
        <w:autoSpaceDN w:val="0"/>
        <w:adjustRightInd w:val="0"/>
        <w:ind w:left="0"/>
        <w:contextualSpacing w:val="0"/>
        <w:rPr>
          <w:szCs w:val="24"/>
          <w:lang w:eastAsia="ja-JP"/>
        </w:rPr>
      </w:pPr>
    </w:p>
    <w:p w:rsidR="00DF064D" w:rsidRDefault="00DF064D" w:rsidP="00C90844">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add </w:t>
      </w:r>
      <w:r>
        <w:rPr>
          <w:lang w:eastAsia="ja-JP"/>
        </w:rPr>
        <w:t xml:space="preserve">a new Section </w:t>
      </w:r>
      <w:r w:rsidRPr="00594ACD">
        <w:rPr>
          <w:rFonts w:cs="Arial"/>
          <w:snapToGrid w:val="0"/>
          <w:lang w:eastAsia="ja-JP"/>
        </w:rPr>
        <w:t>2.</w:t>
      </w:r>
      <w:r>
        <w:rPr>
          <w:rFonts w:cs="Arial"/>
          <w:snapToGrid w:val="0"/>
          <w:lang w:eastAsia="ja-JP"/>
        </w:rPr>
        <w:t>3</w:t>
      </w:r>
      <w:r w:rsidRPr="00594ACD">
        <w:rPr>
          <w:rFonts w:cs="Arial"/>
          <w:snapToGrid w:val="0"/>
          <w:lang w:eastAsia="ja-JP"/>
        </w:rPr>
        <w:t>.</w:t>
      </w:r>
      <w:r>
        <w:rPr>
          <w:rFonts w:cs="Arial"/>
          <w:snapToGrid w:val="0"/>
          <w:lang w:eastAsia="ja-JP"/>
        </w:rPr>
        <w:t xml:space="preserve">1 (d) </w:t>
      </w:r>
      <w:r>
        <w:rPr>
          <w:lang w:eastAsia="ja-JP"/>
        </w:rPr>
        <w:t>to read</w:t>
      </w:r>
      <w:r>
        <w:rPr>
          <w:rFonts w:hint="eastAsia"/>
          <w:lang w:eastAsia="ja-JP"/>
        </w:rPr>
        <w:t xml:space="preserve"> as </w:t>
      </w:r>
      <w:r>
        <w:rPr>
          <w:lang w:eastAsia="ja-JP"/>
        </w:rPr>
        <w:t>follows</w:t>
      </w:r>
      <w:r>
        <w:rPr>
          <w:rFonts w:hint="eastAsia"/>
          <w:lang w:eastAsia="ja-JP"/>
        </w:rPr>
        <w:t>:</w:t>
      </w:r>
    </w:p>
    <w:p w:rsidR="00DF064D" w:rsidRDefault="00DF064D" w:rsidP="00204B8D">
      <w:pPr>
        <w:rPr>
          <w:rFonts w:cs="Arial"/>
          <w:snapToGrid w:val="0"/>
          <w:lang w:eastAsia="ja-JP"/>
        </w:rPr>
      </w:pPr>
    </w:p>
    <w:p w:rsidR="00DF064D" w:rsidRPr="00C90844" w:rsidRDefault="00DF064D" w:rsidP="00C90844">
      <w:pPr>
        <w:pStyle w:val="ListParagraph"/>
        <w:rPr>
          <w:sz w:val="18"/>
          <w:szCs w:val="18"/>
          <w:highlight w:val="lightGray"/>
          <w:lang w:eastAsia="ja-JP"/>
        </w:rPr>
      </w:pPr>
      <w:r>
        <w:rPr>
          <w:sz w:val="18"/>
          <w:szCs w:val="18"/>
        </w:rPr>
        <w:t>“</w:t>
      </w:r>
      <w:r w:rsidRPr="00C10F1B">
        <w:rPr>
          <w:rFonts w:hint="eastAsia"/>
          <w:sz w:val="18"/>
          <w:szCs w:val="18"/>
          <w:highlight w:val="lightGray"/>
          <w:u w:val="single"/>
          <w:lang w:eastAsia="ja-JP"/>
        </w:rPr>
        <w:t>(d)</w:t>
      </w:r>
      <w:r w:rsidRPr="00C10F1B">
        <w:rPr>
          <w:rFonts w:hint="eastAsia"/>
          <w:sz w:val="18"/>
          <w:szCs w:val="18"/>
          <w:highlight w:val="lightGray"/>
          <w:u w:val="single"/>
          <w:lang w:eastAsia="ja-JP"/>
        </w:rPr>
        <w:tab/>
      </w:r>
      <w:r w:rsidRPr="00C10F1B">
        <w:rPr>
          <w:sz w:val="18"/>
          <w:szCs w:val="18"/>
          <w:highlight w:val="lightGray"/>
          <w:u w:val="single"/>
          <w:lang w:eastAsia="ja-JP"/>
        </w:rPr>
        <w:t>contain the botanical or common name of the genus to which that variety belongs.</w:t>
      </w:r>
      <w:r w:rsidRPr="00C90844">
        <w:rPr>
          <w:sz w:val="18"/>
          <w:szCs w:val="18"/>
          <w:highlight w:val="lightGray"/>
          <w:lang w:eastAsia="ja-JP"/>
        </w:rPr>
        <w:t xml:space="preserve"> </w:t>
      </w:r>
    </w:p>
    <w:p w:rsidR="00DF064D" w:rsidRPr="00C90844" w:rsidRDefault="00DF064D" w:rsidP="00C90844">
      <w:pPr>
        <w:pStyle w:val="ListParagraph"/>
        <w:rPr>
          <w:sz w:val="18"/>
          <w:szCs w:val="18"/>
          <w:highlight w:val="lightGray"/>
          <w:lang w:eastAsia="ja-JP"/>
        </w:rPr>
      </w:pPr>
    </w:p>
    <w:p w:rsidR="00DF064D" w:rsidRPr="00C10F1B" w:rsidRDefault="00DF064D" w:rsidP="00C90844">
      <w:pPr>
        <w:pStyle w:val="ListParagraph"/>
        <w:rPr>
          <w:sz w:val="18"/>
          <w:szCs w:val="18"/>
          <w:highlight w:val="lightGray"/>
          <w:u w:val="single"/>
          <w:lang w:eastAsia="ja-JP"/>
        </w:rPr>
      </w:pPr>
      <w:r w:rsidRPr="00C10F1B">
        <w:rPr>
          <w:sz w:val="18"/>
          <w:szCs w:val="18"/>
          <w:highlight w:val="lightGray"/>
          <w:u w:val="single"/>
          <w:lang w:eastAsia="ja-JP"/>
        </w:rPr>
        <w:t xml:space="preserve">Examples of unsuitable denominations:  </w:t>
      </w:r>
    </w:p>
    <w:p w:rsidR="00DF064D" w:rsidRPr="00C10F1B" w:rsidRDefault="00DF064D" w:rsidP="00C90844">
      <w:pPr>
        <w:pStyle w:val="ListParagraph"/>
        <w:rPr>
          <w:i/>
          <w:color w:val="000000"/>
          <w:sz w:val="18"/>
          <w:szCs w:val="18"/>
          <w:u w:val="single"/>
          <w:shd w:val="pct15" w:color="auto" w:fill="FFFFFF"/>
          <w:lang w:eastAsia="ja-JP"/>
        </w:rPr>
      </w:pPr>
      <w:r w:rsidRPr="00C10F1B">
        <w:rPr>
          <w:i/>
          <w:sz w:val="18"/>
          <w:szCs w:val="18"/>
          <w:highlight w:val="lightGray"/>
          <w:u w:val="single"/>
          <w:lang w:eastAsia="ja-JP"/>
        </w:rPr>
        <w:t>Carex</w:t>
      </w:r>
      <w:r w:rsidRPr="00C10F1B">
        <w:rPr>
          <w:sz w:val="18"/>
          <w:szCs w:val="18"/>
          <w:highlight w:val="lightGray"/>
          <w:u w:val="single"/>
          <w:lang w:eastAsia="ja-JP"/>
        </w:rPr>
        <w:t xml:space="preserve"> variety “Sedge”.  (</w:t>
      </w:r>
      <w:r w:rsidRPr="00C10F1B">
        <w:rPr>
          <w:i/>
          <w:sz w:val="18"/>
          <w:szCs w:val="18"/>
          <w:highlight w:val="lightGray"/>
          <w:u w:val="single"/>
          <w:lang w:eastAsia="ja-JP"/>
        </w:rPr>
        <w:t>Carex</w:t>
      </w:r>
      <w:r w:rsidRPr="00C10F1B">
        <w:rPr>
          <w:sz w:val="18"/>
          <w:szCs w:val="18"/>
          <w:highlight w:val="lightGray"/>
          <w:u w:val="single"/>
          <w:lang w:eastAsia="ja-JP"/>
        </w:rPr>
        <w:t xml:space="preserve"> is the botanical name of the genus, for which the common name is sedge.)</w:t>
      </w:r>
      <w:r w:rsidRPr="00C10F1B">
        <w:rPr>
          <w:i/>
          <w:color w:val="000000"/>
          <w:sz w:val="18"/>
          <w:szCs w:val="18"/>
          <w:u w:val="single"/>
          <w:shd w:val="pct15" w:color="auto" w:fill="FFFFFF"/>
          <w:lang w:eastAsia="ja-JP"/>
        </w:rPr>
        <w:t xml:space="preserve"> </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Castanea</w:t>
      </w:r>
      <w:r w:rsidRPr="00C10F1B">
        <w:rPr>
          <w:sz w:val="18"/>
          <w:szCs w:val="18"/>
          <w:highlight w:val="lightGray"/>
          <w:u w:val="single"/>
          <w:lang w:eastAsia="ja-JP"/>
        </w:rPr>
        <w:t xml:space="preserve"> “Pale Chestnut”. (</w:t>
      </w:r>
      <w:r w:rsidRPr="00C10F1B">
        <w:rPr>
          <w:i/>
          <w:sz w:val="18"/>
          <w:szCs w:val="18"/>
          <w:highlight w:val="lightGray"/>
          <w:u w:val="single"/>
          <w:lang w:eastAsia="ja-JP"/>
        </w:rPr>
        <w:t>Castanea</w:t>
      </w:r>
      <w:r w:rsidRPr="00C10F1B">
        <w:rPr>
          <w:sz w:val="18"/>
          <w:szCs w:val="18"/>
          <w:highlight w:val="lightGray"/>
          <w:u w:val="single"/>
          <w:lang w:eastAsia="ja-JP"/>
        </w:rPr>
        <w:t xml:space="preserve"> is the botanical name of the genus, for which the common name is Chestnut.)</w:t>
      </w:r>
      <w:r w:rsidRPr="00C10F1B">
        <w:rPr>
          <w:sz w:val="18"/>
          <w:szCs w:val="18"/>
          <w:u w:val="single"/>
          <w:vertAlign w:val="superscript"/>
          <w:lang w:eastAsia="ja-JP"/>
        </w:rPr>
        <w:t xml:space="preserve"> </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Gladiolus</w:t>
      </w:r>
      <w:r w:rsidRPr="00C10F1B">
        <w:rPr>
          <w:sz w:val="18"/>
          <w:szCs w:val="18"/>
          <w:highlight w:val="lightGray"/>
          <w:u w:val="single"/>
          <w:lang w:eastAsia="ja-JP"/>
        </w:rPr>
        <w:t xml:space="preserve"> “Pink Gladiolus”.</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Narcissus</w:t>
      </w:r>
      <w:r w:rsidRPr="00C10F1B">
        <w:rPr>
          <w:sz w:val="18"/>
          <w:szCs w:val="18"/>
          <w:highlight w:val="lightGray"/>
          <w:u w:val="single"/>
          <w:lang w:eastAsia="ja-JP"/>
        </w:rPr>
        <w:t xml:space="preserve"> “ Davis Daff ”. (</w:t>
      </w:r>
      <w:r w:rsidRPr="00C10F1B">
        <w:rPr>
          <w:i/>
          <w:sz w:val="18"/>
          <w:szCs w:val="18"/>
          <w:highlight w:val="lightGray"/>
          <w:u w:val="single"/>
          <w:lang w:eastAsia="ja-JP"/>
        </w:rPr>
        <w:t>Narcissus</w:t>
      </w:r>
      <w:r w:rsidRPr="00C10F1B">
        <w:rPr>
          <w:sz w:val="18"/>
          <w:szCs w:val="18"/>
          <w:highlight w:val="lightGray"/>
          <w:u w:val="single"/>
          <w:lang w:eastAsia="ja-JP"/>
        </w:rPr>
        <w:t xml:space="preserve"> is the botanical name of the genus, for which the common name is Daffodil.)</w:t>
      </w:r>
    </w:p>
    <w:p w:rsidR="00DF064D" w:rsidRPr="00C10F1B" w:rsidRDefault="00DF064D" w:rsidP="00C90844">
      <w:pPr>
        <w:pStyle w:val="ListParagraph"/>
        <w:rPr>
          <w:sz w:val="18"/>
          <w:szCs w:val="18"/>
          <w:highlight w:val="lightGray"/>
          <w:u w:val="single"/>
          <w:lang w:eastAsia="ja-JP"/>
        </w:rPr>
      </w:pPr>
      <w:r w:rsidRPr="00C10F1B">
        <w:rPr>
          <w:sz w:val="18"/>
          <w:szCs w:val="18"/>
          <w:highlight w:val="lightGray"/>
          <w:u w:val="single"/>
          <w:lang w:eastAsia="ja-JP"/>
        </w:rPr>
        <w:t>Narcissus “Granny’s Daffodil”.</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Paeonia</w:t>
      </w:r>
      <w:r w:rsidRPr="00C10F1B">
        <w:rPr>
          <w:sz w:val="18"/>
          <w:szCs w:val="18"/>
          <w:highlight w:val="lightGray"/>
          <w:u w:val="single"/>
          <w:lang w:eastAsia="ja-JP"/>
        </w:rPr>
        <w:t xml:space="preserve"> “Sussex Peony”. (</w:t>
      </w:r>
      <w:r w:rsidRPr="00C10F1B">
        <w:rPr>
          <w:i/>
          <w:sz w:val="18"/>
          <w:szCs w:val="18"/>
          <w:highlight w:val="lightGray"/>
          <w:u w:val="single"/>
          <w:lang w:eastAsia="ja-JP"/>
        </w:rPr>
        <w:t>Paeonia</w:t>
      </w:r>
      <w:r w:rsidRPr="00C10F1B">
        <w:rPr>
          <w:sz w:val="18"/>
          <w:szCs w:val="18"/>
          <w:highlight w:val="lightGray"/>
          <w:u w:val="single"/>
          <w:lang w:eastAsia="ja-JP"/>
        </w:rPr>
        <w:t xml:space="preserve"> is the botanical name of the genus, for which the common name is Peony.)</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Phlox</w:t>
      </w:r>
      <w:r w:rsidRPr="00C10F1B">
        <w:rPr>
          <w:sz w:val="18"/>
          <w:szCs w:val="18"/>
          <w:highlight w:val="lightGray"/>
          <w:u w:val="single"/>
          <w:lang w:eastAsia="ja-JP"/>
        </w:rPr>
        <w:t xml:space="preserve"> “Phlox of Sheep”.</w:t>
      </w:r>
    </w:p>
    <w:p w:rsidR="00DF064D" w:rsidRPr="00C10F1B" w:rsidRDefault="00DF064D" w:rsidP="00C90844">
      <w:pPr>
        <w:pStyle w:val="ListParagraph"/>
        <w:rPr>
          <w:sz w:val="18"/>
          <w:szCs w:val="18"/>
          <w:highlight w:val="lightGray"/>
          <w:u w:val="single"/>
          <w:lang w:eastAsia="ja-JP"/>
        </w:rPr>
      </w:pPr>
      <w:r w:rsidRPr="00C10F1B">
        <w:rPr>
          <w:i/>
          <w:sz w:val="18"/>
          <w:szCs w:val="18"/>
          <w:highlight w:val="lightGray"/>
          <w:u w:val="single"/>
          <w:lang w:eastAsia="ja-JP"/>
        </w:rPr>
        <w:t>Rhododendron</w:t>
      </w:r>
      <w:r w:rsidRPr="00C10F1B">
        <w:rPr>
          <w:sz w:val="18"/>
          <w:szCs w:val="18"/>
          <w:highlight w:val="lightGray"/>
          <w:u w:val="single"/>
          <w:lang w:eastAsia="ja-JP"/>
        </w:rPr>
        <w:t xml:space="preserve"> “Rhododendron Mad”.</w:t>
      </w:r>
    </w:p>
    <w:p w:rsidR="00DF064D" w:rsidRPr="00C10F1B" w:rsidRDefault="00DF064D" w:rsidP="00C90844">
      <w:pPr>
        <w:pStyle w:val="ListParagraph"/>
        <w:rPr>
          <w:sz w:val="18"/>
          <w:szCs w:val="18"/>
          <w:highlight w:val="lightGray"/>
          <w:u w:val="single"/>
          <w:lang w:eastAsia="ja-JP"/>
        </w:rPr>
      </w:pPr>
    </w:p>
    <w:p w:rsidR="00DF064D" w:rsidRPr="00C10F1B" w:rsidRDefault="00DF064D" w:rsidP="00C90844">
      <w:pPr>
        <w:pStyle w:val="ListParagraph"/>
        <w:rPr>
          <w:sz w:val="18"/>
          <w:szCs w:val="18"/>
          <w:highlight w:val="lightGray"/>
          <w:u w:val="single"/>
          <w:lang w:eastAsia="ja-JP"/>
        </w:rPr>
      </w:pPr>
      <w:r w:rsidRPr="00C10F1B">
        <w:rPr>
          <w:sz w:val="18"/>
          <w:szCs w:val="18"/>
          <w:highlight w:val="lightGray"/>
          <w:u w:val="single"/>
          <w:lang w:eastAsia="ja-JP"/>
        </w:rPr>
        <w:t xml:space="preserve">Examples of suitable denominations:  </w:t>
      </w:r>
    </w:p>
    <w:p w:rsidR="00DF064D" w:rsidRPr="00C10F1B" w:rsidRDefault="00DF064D" w:rsidP="00C90844">
      <w:pPr>
        <w:pStyle w:val="ListParagraph"/>
        <w:rPr>
          <w:i/>
          <w:color w:val="000000"/>
          <w:sz w:val="18"/>
          <w:szCs w:val="18"/>
          <w:u w:val="single"/>
          <w:shd w:val="pct15" w:color="auto" w:fill="FFFFFF"/>
          <w:lang w:eastAsia="ja-JP"/>
        </w:rPr>
      </w:pPr>
      <w:r w:rsidRPr="00C10F1B">
        <w:rPr>
          <w:i/>
          <w:sz w:val="18"/>
          <w:szCs w:val="18"/>
          <w:highlight w:val="lightGray"/>
          <w:u w:val="single"/>
          <w:lang w:eastAsia="ja-JP"/>
        </w:rPr>
        <w:t>Dianthus</w:t>
      </w:r>
      <w:r w:rsidRPr="00C10F1B">
        <w:rPr>
          <w:sz w:val="18"/>
          <w:szCs w:val="18"/>
          <w:highlight w:val="lightGray"/>
          <w:u w:val="single"/>
          <w:lang w:eastAsia="ja-JP"/>
        </w:rPr>
        <w:t xml:space="preserve"> “Rupert’s Pink”. (“Pink” is not the common name for all plants in the genus </w:t>
      </w:r>
      <w:r w:rsidRPr="00C10F1B">
        <w:rPr>
          <w:i/>
          <w:sz w:val="18"/>
          <w:szCs w:val="18"/>
          <w:highlight w:val="lightGray"/>
          <w:u w:val="single"/>
          <w:lang w:eastAsia="ja-JP"/>
        </w:rPr>
        <w:t>Dianthus</w:t>
      </w:r>
      <w:r w:rsidRPr="00C10F1B">
        <w:rPr>
          <w:sz w:val="18"/>
          <w:szCs w:val="18"/>
          <w:highlight w:val="lightGray"/>
          <w:u w:val="single"/>
          <w:lang w:eastAsia="ja-JP"/>
        </w:rPr>
        <w:t>.</w:t>
      </w:r>
      <w:r w:rsidRPr="00C10F1B">
        <w:rPr>
          <w:sz w:val="18"/>
          <w:szCs w:val="18"/>
          <w:u w:val="single"/>
          <w:shd w:val="pct15" w:color="auto" w:fill="FFFFFF"/>
          <w:lang w:eastAsia="ja-JP"/>
        </w:rPr>
        <w:t>)</w:t>
      </w:r>
      <w:r w:rsidRPr="00C10F1B">
        <w:rPr>
          <w:i/>
          <w:color w:val="000000"/>
          <w:sz w:val="18"/>
          <w:szCs w:val="18"/>
          <w:u w:val="single"/>
          <w:shd w:val="pct15" w:color="auto" w:fill="FFFFFF"/>
          <w:lang w:eastAsia="ja-JP"/>
        </w:rPr>
        <w:t xml:space="preserve"> </w:t>
      </w:r>
    </w:p>
    <w:p w:rsidR="00DF064D" w:rsidRPr="00C90844" w:rsidRDefault="00DF064D" w:rsidP="00C90844">
      <w:pPr>
        <w:pStyle w:val="ListParagraph"/>
        <w:rPr>
          <w:i/>
          <w:sz w:val="18"/>
          <w:szCs w:val="18"/>
          <w:highlight w:val="lightGray"/>
          <w:lang w:eastAsia="ja-JP"/>
        </w:rPr>
      </w:pPr>
      <w:r w:rsidRPr="00C10F1B">
        <w:rPr>
          <w:i/>
          <w:sz w:val="18"/>
          <w:szCs w:val="18"/>
          <w:highlight w:val="lightGray"/>
          <w:u w:val="single"/>
          <w:lang w:eastAsia="ja-JP"/>
        </w:rPr>
        <w:t>Pyrus bretschneideri</w:t>
      </w:r>
      <w:r w:rsidRPr="00C10F1B">
        <w:rPr>
          <w:sz w:val="18"/>
          <w:szCs w:val="18"/>
          <w:highlight w:val="lightGray"/>
          <w:u w:val="single"/>
          <w:lang w:eastAsia="ja-JP"/>
        </w:rPr>
        <w:t xml:space="preserve"> “Ya Li”. (While the word “li” is the Chinese common name for the genus </w:t>
      </w:r>
      <w:r w:rsidRPr="00C10F1B">
        <w:rPr>
          <w:i/>
          <w:sz w:val="18"/>
          <w:szCs w:val="18"/>
          <w:highlight w:val="lightGray"/>
          <w:u w:val="single"/>
          <w:lang w:eastAsia="ja-JP"/>
        </w:rPr>
        <w:t>Pyrus</w:t>
      </w:r>
      <w:r w:rsidRPr="00C10F1B">
        <w:rPr>
          <w:sz w:val="18"/>
          <w:szCs w:val="18"/>
          <w:highlight w:val="lightGray"/>
          <w:u w:val="single"/>
          <w:lang w:eastAsia="ja-JP"/>
        </w:rPr>
        <w:t>, “li” is inseparable from “ya” according to Chinese linguistic custom, and its inclusion in the variety denomination is therefore acceptable.)</w:t>
      </w:r>
      <w:r>
        <w:rPr>
          <w:lang w:eastAsia="ja-JP"/>
        </w:rPr>
        <w:t>”</w:t>
      </w:r>
    </w:p>
    <w:p w:rsidR="00DF064D" w:rsidRPr="00A02CB3" w:rsidRDefault="00DF064D" w:rsidP="00173447">
      <w:pPr>
        <w:pStyle w:val="ListParagraph"/>
        <w:keepNext/>
        <w:autoSpaceDE w:val="0"/>
        <w:autoSpaceDN w:val="0"/>
        <w:adjustRightInd w:val="0"/>
        <w:ind w:left="0"/>
        <w:contextualSpacing w:val="0"/>
        <w:rPr>
          <w:szCs w:val="24"/>
          <w:lang w:eastAsia="ja-JP"/>
        </w:rPr>
      </w:pPr>
    </w:p>
    <w:p w:rsidR="00DF064D" w:rsidRDefault="00DF064D" w:rsidP="00173447">
      <w:pPr>
        <w:pStyle w:val="ListParagraph"/>
        <w:keepNext/>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Pr>
          <w:lang w:eastAsia="ja-JP"/>
        </w:rPr>
        <w:t xml:space="preserve">amend </w:t>
      </w:r>
      <w:r w:rsidRPr="00594ACD">
        <w:rPr>
          <w:rFonts w:cs="Arial"/>
          <w:snapToGrid w:val="0"/>
          <w:lang w:eastAsia="ja-JP"/>
        </w:rPr>
        <w:t>Section 2.</w:t>
      </w:r>
      <w:r>
        <w:rPr>
          <w:rFonts w:cs="Arial"/>
          <w:snapToGrid w:val="0"/>
          <w:lang w:eastAsia="ja-JP"/>
        </w:rPr>
        <w:t>3</w:t>
      </w:r>
      <w:r w:rsidRPr="00594ACD">
        <w:rPr>
          <w:rFonts w:cs="Arial"/>
          <w:snapToGrid w:val="0"/>
          <w:lang w:eastAsia="ja-JP"/>
        </w:rPr>
        <w:t>.</w:t>
      </w:r>
      <w:r>
        <w:rPr>
          <w:rFonts w:cs="Arial"/>
          <w:snapToGrid w:val="0"/>
          <w:lang w:eastAsia="ja-JP"/>
        </w:rPr>
        <w:t>2</w:t>
      </w:r>
      <w:r>
        <w:rPr>
          <w:lang w:eastAsia="ja-JP"/>
        </w:rPr>
        <w:t xml:space="preserve"> to read</w:t>
      </w:r>
      <w:r>
        <w:rPr>
          <w:rFonts w:hint="eastAsia"/>
          <w:lang w:eastAsia="ja-JP"/>
        </w:rPr>
        <w:t xml:space="preserve"> as </w:t>
      </w:r>
      <w:r>
        <w:rPr>
          <w:lang w:eastAsia="ja-JP"/>
        </w:rPr>
        <w:t>follows</w:t>
      </w:r>
      <w:r>
        <w:rPr>
          <w:rFonts w:hint="eastAsia"/>
          <w:lang w:eastAsia="ja-JP"/>
        </w:rPr>
        <w:t>:</w:t>
      </w:r>
    </w:p>
    <w:p w:rsidR="00DF064D" w:rsidRDefault="00DF064D" w:rsidP="001C5AF7">
      <w:pPr>
        <w:ind w:firstLine="540"/>
        <w:rPr>
          <w:rFonts w:cs="Arial"/>
          <w:snapToGrid w:val="0"/>
          <w:lang w:eastAsia="ja-JP"/>
        </w:rPr>
      </w:pPr>
    </w:p>
    <w:p w:rsidR="00DF064D" w:rsidRPr="00173447" w:rsidRDefault="00DF064D" w:rsidP="00173447">
      <w:pPr>
        <w:pStyle w:val="ListParagraph"/>
        <w:rPr>
          <w:sz w:val="18"/>
          <w:szCs w:val="18"/>
        </w:rPr>
      </w:pPr>
      <w:r>
        <w:rPr>
          <w:sz w:val="18"/>
          <w:szCs w:val="18"/>
        </w:rPr>
        <w:t>“</w:t>
      </w:r>
      <w:r w:rsidRPr="00173447">
        <w:rPr>
          <w:sz w:val="18"/>
          <w:szCs w:val="18"/>
        </w:rPr>
        <w:t xml:space="preserve">The denomination should not consist of, or contain, comparative or superlative designations </w:t>
      </w:r>
      <w:r w:rsidRPr="00C10F1B">
        <w:rPr>
          <w:sz w:val="18"/>
          <w:szCs w:val="18"/>
          <w:highlight w:val="lightGray"/>
          <w:u w:val="single"/>
        </w:rPr>
        <w:t>that are liable to mislead or to cause confusion concerning the characteristics or value of the variety</w:t>
      </w:r>
      <w:r w:rsidRPr="00173447">
        <w:rPr>
          <w:sz w:val="18"/>
          <w:szCs w:val="18"/>
        </w:rPr>
        <w:t xml:space="preserve">. </w:t>
      </w:r>
    </w:p>
    <w:p w:rsidR="00DF064D" w:rsidRPr="00173447" w:rsidRDefault="00DF064D" w:rsidP="00173447">
      <w:pPr>
        <w:pStyle w:val="ListParagraph"/>
        <w:rPr>
          <w:sz w:val="18"/>
          <w:szCs w:val="18"/>
        </w:rPr>
      </w:pPr>
    </w:p>
    <w:p w:rsidR="00DF064D" w:rsidRPr="00173447" w:rsidRDefault="00DF064D" w:rsidP="00173447">
      <w:pPr>
        <w:pStyle w:val="ListParagraph"/>
        <w:rPr>
          <w:sz w:val="18"/>
          <w:szCs w:val="18"/>
        </w:rPr>
      </w:pPr>
      <w:r w:rsidRPr="00173447">
        <w:rPr>
          <w:i/>
          <w:sz w:val="18"/>
          <w:szCs w:val="18"/>
        </w:rPr>
        <w:t xml:space="preserve">Example </w:t>
      </w:r>
      <w:r w:rsidRPr="00C10F1B">
        <w:rPr>
          <w:i/>
          <w:sz w:val="18"/>
          <w:szCs w:val="18"/>
          <w:highlight w:val="lightGray"/>
          <w:u w:val="single"/>
        </w:rPr>
        <w:t>of unsuitable denominations</w:t>
      </w:r>
      <w:r w:rsidRPr="00173447">
        <w:rPr>
          <w:i/>
          <w:sz w:val="18"/>
          <w:szCs w:val="18"/>
        </w:rPr>
        <w:t>:</w:t>
      </w:r>
      <w:r w:rsidRPr="00173447">
        <w:rPr>
          <w:sz w:val="18"/>
          <w:szCs w:val="18"/>
        </w:rPr>
        <w:t xml:space="preserve">  </w:t>
      </w:r>
      <w:r w:rsidRPr="00173447">
        <w:rPr>
          <w:strike/>
          <w:sz w:val="18"/>
          <w:szCs w:val="18"/>
          <w:highlight w:val="lightGray"/>
        </w:rPr>
        <w:t>a denomination which includes terms such as</w:t>
      </w:r>
      <w:r w:rsidRPr="00173447">
        <w:rPr>
          <w:strike/>
          <w:sz w:val="18"/>
          <w:szCs w:val="18"/>
        </w:rPr>
        <w:t xml:space="preserve"> </w:t>
      </w:r>
      <w:r w:rsidRPr="00173447">
        <w:rPr>
          <w:sz w:val="18"/>
          <w:szCs w:val="18"/>
        </w:rPr>
        <w:t xml:space="preserve">“Best </w:t>
      </w:r>
      <w:r w:rsidRPr="00C10F1B">
        <w:rPr>
          <w:sz w:val="18"/>
          <w:szCs w:val="18"/>
          <w:highlight w:val="lightGray"/>
          <w:u w:val="single"/>
        </w:rPr>
        <w:t>performer</w:t>
      </w:r>
      <w:r w:rsidRPr="00173447">
        <w:rPr>
          <w:sz w:val="18"/>
          <w:szCs w:val="18"/>
        </w:rPr>
        <w:t xml:space="preserve">”, “Superior </w:t>
      </w:r>
      <w:r w:rsidRPr="00C10F1B">
        <w:rPr>
          <w:sz w:val="18"/>
          <w:szCs w:val="18"/>
          <w:highlight w:val="lightGray"/>
          <w:u w:val="single"/>
        </w:rPr>
        <w:t>taste</w:t>
      </w:r>
      <w:r w:rsidRPr="00173447">
        <w:rPr>
          <w:sz w:val="18"/>
          <w:szCs w:val="18"/>
        </w:rPr>
        <w:t xml:space="preserve">”, “Sweeter </w:t>
      </w:r>
      <w:r w:rsidRPr="00C10F1B">
        <w:rPr>
          <w:sz w:val="18"/>
          <w:szCs w:val="18"/>
          <w:highlight w:val="lightGray"/>
          <w:u w:val="single"/>
        </w:rPr>
        <w:t>than the rest</w:t>
      </w:r>
      <w:r w:rsidRPr="00173447">
        <w:rPr>
          <w:sz w:val="18"/>
          <w:szCs w:val="18"/>
        </w:rPr>
        <w:t xml:space="preserve">”. </w:t>
      </w:r>
    </w:p>
    <w:p w:rsidR="00DF064D" w:rsidRPr="00173447" w:rsidRDefault="00DF064D" w:rsidP="00173447">
      <w:pPr>
        <w:pStyle w:val="ListParagraph"/>
        <w:rPr>
          <w:sz w:val="18"/>
          <w:szCs w:val="18"/>
        </w:rPr>
      </w:pPr>
    </w:p>
    <w:p w:rsidR="00DF064D" w:rsidRPr="00173447" w:rsidRDefault="00DF064D" w:rsidP="00173447">
      <w:pPr>
        <w:pStyle w:val="ListParagraph"/>
        <w:rPr>
          <w:sz w:val="18"/>
          <w:szCs w:val="18"/>
        </w:rPr>
      </w:pPr>
      <w:r w:rsidRPr="00C10F1B">
        <w:rPr>
          <w:i/>
          <w:sz w:val="18"/>
          <w:szCs w:val="18"/>
          <w:highlight w:val="lightGray"/>
          <w:u w:val="single"/>
        </w:rPr>
        <w:t>Examples of suitable denominations:</w:t>
      </w:r>
      <w:r w:rsidRPr="00C10F1B">
        <w:rPr>
          <w:sz w:val="18"/>
          <w:szCs w:val="18"/>
          <w:highlight w:val="lightGray"/>
          <w:u w:val="single"/>
        </w:rPr>
        <w:t xml:space="preserve">  “Lake Superior”, “Best wishes</w:t>
      </w:r>
      <w:r w:rsidRPr="00173447">
        <w:rPr>
          <w:sz w:val="18"/>
          <w:szCs w:val="18"/>
          <w:highlight w:val="lightGray"/>
        </w:rPr>
        <w:t>”.</w:t>
      </w:r>
      <w:r w:rsidRPr="00173447">
        <w:rPr>
          <w:sz w:val="18"/>
          <w:szCs w:val="18"/>
        </w:rPr>
        <w:t xml:space="preserve"> </w:t>
      </w:r>
    </w:p>
    <w:p w:rsidR="00DF064D" w:rsidRPr="00A02CB3" w:rsidRDefault="00DF064D" w:rsidP="00F114D0">
      <w:pPr>
        <w:pStyle w:val="ListParagraph"/>
        <w:autoSpaceDE w:val="0"/>
        <w:autoSpaceDN w:val="0"/>
        <w:adjustRightInd w:val="0"/>
        <w:ind w:left="0"/>
        <w:contextualSpacing w:val="0"/>
        <w:rPr>
          <w:szCs w:val="24"/>
          <w:lang w:eastAsia="ja-JP"/>
        </w:rPr>
      </w:pPr>
    </w:p>
    <w:p w:rsidR="00DF064D" w:rsidRDefault="00DF064D" w:rsidP="00F114D0">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Pr>
          <w:lang w:eastAsia="ja-JP"/>
        </w:rPr>
        <w:t xml:space="preserve">amend </w:t>
      </w:r>
      <w:r w:rsidRPr="00594ACD">
        <w:rPr>
          <w:rFonts w:cs="Arial"/>
          <w:snapToGrid w:val="0"/>
          <w:lang w:eastAsia="ja-JP"/>
        </w:rPr>
        <w:t>Section 2.</w:t>
      </w:r>
      <w:r>
        <w:rPr>
          <w:rFonts w:cs="Arial"/>
          <w:snapToGrid w:val="0"/>
          <w:lang w:eastAsia="ja-JP"/>
        </w:rPr>
        <w:t>3</w:t>
      </w:r>
      <w:r w:rsidRPr="00594ACD">
        <w:rPr>
          <w:rFonts w:cs="Arial"/>
          <w:snapToGrid w:val="0"/>
          <w:lang w:eastAsia="ja-JP"/>
        </w:rPr>
        <w:t>.</w:t>
      </w:r>
      <w:r>
        <w:rPr>
          <w:rFonts w:cs="Arial"/>
          <w:snapToGrid w:val="0"/>
          <w:lang w:eastAsia="ja-JP"/>
        </w:rPr>
        <w:t>3 (a)</w:t>
      </w:r>
      <w:r>
        <w:rPr>
          <w:lang w:eastAsia="ja-JP"/>
        </w:rPr>
        <w:t xml:space="preserve"> to read</w:t>
      </w:r>
      <w:r>
        <w:rPr>
          <w:rFonts w:hint="eastAsia"/>
          <w:lang w:eastAsia="ja-JP"/>
        </w:rPr>
        <w:t xml:space="preserve"> as </w:t>
      </w:r>
      <w:r>
        <w:rPr>
          <w:lang w:eastAsia="ja-JP"/>
        </w:rPr>
        <w:t>follows</w:t>
      </w:r>
      <w:r>
        <w:rPr>
          <w:rFonts w:hint="eastAsia"/>
          <w:lang w:eastAsia="ja-JP"/>
        </w:rPr>
        <w:t>:</w:t>
      </w:r>
    </w:p>
    <w:p w:rsidR="00DF064D" w:rsidRDefault="00DF064D" w:rsidP="001C5AF7">
      <w:pPr>
        <w:rPr>
          <w:rFonts w:cs="Arial"/>
          <w:snapToGrid w:val="0"/>
          <w:lang w:eastAsia="ja-JP"/>
        </w:rPr>
      </w:pPr>
    </w:p>
    <w:p w:rsidR="00DF064D" w:rsidRPr="00F114D0" w:rsidRDefault="00DF064D" w:rsidP="00F114D0">
      <w:pPr>
        <w:pStyle w:val="ListParagraph"/>
        <w:rPr>
          <w:sz w:val="18"/>
          <w:szCs w:val="18"/>
        </w:rPr>
      </w:pPr>
      <w:r>
        <w:rPr>
          <w:sz w:val="18"/>
          <w:szCs w:val="18"/>
        </w:rPr>
        <w:t>“</w:t>
      </w:r>
      <w:r w:rsidRPr="00F114D0">
        <w:rPr>
          <w:sz w:val="18"/>
          <w:szCs w:val="18"/>
        </w:rPr>
        <w:t>(a)</w:t>
      </w:r>
      <w:r w:rsidRPr="00F114D0">
        <w:rPr>
          <w:sz w:val="18"/>
          <w:szCs w:val="18"/>
        </w:rPr>
        <w:tab/>
      </w:r>
      <w:r w:rsidRPr="00F114D0">
        <w:rPr>
          <w:sz w:val="18"/>
          <w:szCs w:val="18"/>
          <w:highlight w:val="lightGray"/>
          <w:u w:val="single"/>
        </w:rPr>
        <w:t>For denominations consisting solely of letters</w:t>
      </w:r>
      <w:r w:rsidRPr="00F114D0">
        <w:rPr>
          <w:sz w:val="18"/>
          <w:szCs w:val="18"/>
        </w:rPr>
        <w:t xml:space="preserve">, as a general recommendation, a difference of only one letter </w:t>
      </w:r>
      <w:r w:rsidRPr="00F114D0">
        <w:rPr>
          <w:strike/>
          <w:sz w:val="18"/>
          <w:szCs w:val="18"/>
          <w:highlight w:val="lightGray"/>
        </w:rPr>
        <w:t>or one number</w:t>
      </w:r>
      <w:r w:rsidRPr="00F114D0">
        <w:rPr>
          <w:sz w:val="18"/>
          <w:szCs w:val="18"/>
        </w:rPr>
        <w:t xml:space="preserve"> may be considered to be liable to mislead or cause confusion concerning the identity of the variety, except where the</w:t>
      </w:r>
      <w:r w:rsidRPr="00F114D0">
        <w:rPr>
          <w:strike/>
          <w:sz w:val="18"/>
          <w:szCs w:val="18"/>
          <w:highlight w:val="lightGray"/>
        </w:rPr>
        <w:t>:</w:t>
      </w:r>
      <w:r w:rsidRPr="00F114D0">
        <w:rPr>
          <w:strike/>
          <w:sz w:val="18"/>
          <w:szCs w:val="18"/>
          <w:shd w:val="pct15" w:color="auto" w:fill="FFFFFF"/>
        </w:rPr>
        <w:tab/>
        <w:t>(i)</w:t>
      </w:r>
      <w:r w:rsidRPr="00F114D0">
        <w:rPr>
          <w:strike/>
          <w:sz w:val="18"/>
          <w:szCs w:val="18"/>
          <w:shd w:val="pct15" w:color="auto" w:fill="FFFFFF"/>
        </w:rPr>
        <w:tab/>
      </w:r>
      <w:r w:rsidRPr="00F114D0">
        <w:rPr>
          <w:sz w:val="18"/>
          <w:szCs w:val="18"/>
        </w:rPr>
        <w:t xml:space="preserve"> difference of one letter provides for a clear visual </w:t>
      </w:r>
      <w:r w:rsidRPr="00060EA5">
        <w:rPr>
          <w:strike/>
          <w:sz w:val="18"/>
          <w:szCs w:val="18"/>
          <w:shd w:val="pct15" w:color="auto" w:fill="FFFFFF"/>
        </w:rPr>
        <w:t>or</w:t>
      </w:r>
      <w:r w:rsidRPr="005D2B42">
        <w:rPr>
          <w:sz w:val="18"/>
          <w:szCs w:val="18"/>
          <w:u w:val="single"/>
          <w:shd w:val="pct15" w:color="auto" w:fill="FFFFFF"/>
        </w:rPr>
        <w:t>and</w:t>
      </w:r>
      <w:r w:rsidRPr="00F114D0">
        <w:rPr>
          <w:sz w:val="18"/>
          <w:szCs w:val="18"/>
        </w:rPr>
        <w:t xml:space="preserve"> phonetic difference, e.g. if it concerns a letter at the beginning of a word:</w:t>
      </w:r>
    </w:p>
    <w:p w:rsidR="00DF064D" w:rsidRPr="00F114D0" w:rsidRDefault="00DF064D" w:rsidP="00F114D0">
      <w:pPr>
        <w:pStyle w:val="ListParagraph"/>
        <w:rPr>
          <w:sz w:val="18"/>
          <w:szCs w:val="18"/>
        </w:rPr>
      </w:pPr>
    </w:p>
    <w:p w:rsidR="00DF064D" w:rsidRPr="00F114D0" w:rsidRDefault="00DF064D" w:rsidP="00F114D0">
      <w:pPr>
        <w:pStyle w:val="ListParagraph"/>
        <w:rPr>
          <w:color w:val="000000"/>
          <w:sz w:val="18"/>
          <w:szCs w:val="18"/>
          <w:highlight w:val="lightGray"/>
        </w:rPr>
      </w:pPr>
      <w:r w:rsidRPr="005D2B42">
        <w:rPr>
          <w:color w:val="000000"/>
          <w:sz w:val="18"/>
          <w:szCs w:val="18"/>
        </w:rPr>
        <w:t>Example</w:t>
      </w:r>
      <w:r w:rsidR="005D2B42" w:rsidRPr="005D2B42">
        <w:rPr>
          <w:color w:val="000000"/>
          <w:sz w:val="18"/>
          <w:szCs w:val="18"/>
        </w:rPr>
        <w:t>s of</w:t>
      </w:r>
      <w:r w:rsidRPr="005D2B42">
        <w:rPr>
          <w:color w:val="000000"/>
          <w:sz w:val="18"/>
          <w:szCs w:val="18"/>
        </w:rPr>
        <w:t xml:space="preserve"> </w:t>
      </w:r>
      <w:r w:rsidRPr="005C3BC6">
        <w:rPr>
          <w:color w:val="000000"/>
          <w:sz w:val="18"/>
          <w:szCs w:val="18"/>
          <w:u w:val="single"/>
          <w:shd w:val="pct15" w:color="auto" w:fill="FFFFFF"/>
        </w:rPr>
        <w:t>suitable denominations</w:t>
      </w:r>
      <w:r w:rsidR="005D2B42" w:rsidRPr="005D2B42">
        <w:rPr>
          <w:i/>
          <w:color w:val="000000"/>
          <w:sz w:val="18"/>
          <w:szCs w:val="18"/>
          <w:shd w:val="pct15" w:color="auto" w:fill="FFFFFF"/>
        </w:rPr>
        <w:t>:</w:t>
      </w:r>
      <w:r w:rsidRPr="00F114D0">
        <w:rPr>
          <w:color w:val="000000"/>
          <w:sz w:val="18"/>
          <w:szCs w:val="18"/>
        </w:rPr>
        <w:t xml:space="preserve">  </w:t>
      </w:r>
      <w:r w:rsidRPr="00F114D0">
        <w:rPr>
          <w:strike/>
          <w:color w:val="000000"/>
          <w:sz w:val="18"/>
          <w:szCs w:val="18"/>
          <w:highlight w:val="lightGray"/>
        </w:rPr>
        <w:t>in the English language,</w:t>
      </w:r>
      <w:r w:rsidRPr="00F114D0">
        <w:rPr>
          <w:color w:val="000000"/>
          <w:sz w:val="18"/>
          <w:szCs w:val="18"/>
        </w:rPr>
        <w:t xml:space="preserve"> ‘</w:t>
      </w:r>
      <w:r w:rsidRPr="00F114D0">
        <w:rPr>
          <w:color w:val="000000"/>
          <w:sz w:val="18"/>
          <w:szCs w:val="18"/>
          <w:u w:val="single"/>
        </w:rPr>
        <w:t>H</w:t>
      </w:r>
      <w:r w:rsidRPr="00F114D0">
        <w:rPr>
          <w:color w:val="000000"/>
          <w:sz w:val="18"/>
          <w:szCs w:val="18"/>
        </w:rPr>
        <w:t>arry’ and ‘</w:t>
      </w:r>
      <w:r w:rsidRPr="00F114D0">
        <w:rPr>
          <w:color w:val="000000"/>
          <w:sz w:val="18"/>
          <w:szCs w:val="18"/>
          <w:u w:val="single"/>
        </w:rPr>
        <w:t>L</w:t>
      </w:r>
      <w:r w:rsidRPr="00F114D0">
        <w:rPr>
          <w:color w:val="000000"/>
          <w:sz w:val="18"/>
          <w:szCs w:val="18"/>
        </w:rPr>
        <w:t>arry’</w:t>
      </w:r>
      <w:r w:rsidRPr="00F114D0">
        <w:rPr>
          <w:color w:val="000000"/>
          <w:sz w:val="18"/>
          <w:szCs w:val="18"/>
          <w:u w:val="single"/>
          <w:shd w:val="pct15" w:color="auto" w:fill="FFFFFF"/>
        </w:rPr>
        <w:t>, ‘Meagan’ and ‘Reagan’, ‘Kinky’ and ‘Binky’</w:t>
      </w:r>
      <w:r>
        <w:rPr>
          <w:color w:val="000000"/>
          <w:sz w:val="18"/>
          <w:szCs w:val="18"/>
          <w:u w:val="single"/>
          <w:shd w:val="pct15" w:color="auto" w:fill="FFFFFF"/>
        </w:rPr>
        <w:t>,</w:t>
      </w:r>
      <w:r w:rsidRPr="00F114D0">
        <w:rPr>
          <w:color w:val="000000"/>
          <w:sz w:val="18"/>
          <w:szCs w:val="18"/>
          <w:u w:val="single"/>
          <w:shd w:val="pct15" w:color="auto" w:fill="FFFFFF"/>
        </w:rPr>
        <w:t xml:space="preserve"> ‘Hagar’ and ‘Magar’</w:t>
      </w:r>
      <w:r>
        <w:rPr>
          <w:color w:val="000000"/>
          <w:sz w:val="18"/>
          <w:szCs w:val="18"/>
          <w:u w:val="single"/>
          <w:shd w:val="pct15" w:color="auto" w:fill="FFFFFF"/>
        </w:rPr>
        <w:t xml:space="preserve">, and </w:t>
      </w:r>
      <w:r w:rsidRPr="00F114D0">
        <w:rPr>
          <w:color w:val="000000"/>
          <w:sz w:val="18"/>
          <w:szCs w:val="18"/>
          <w:u w:val="single"/>
          <w:shd w:val="pct15" w:color="auto" w:fill="FFFFFF"/>
        </w:rPr>
        <w:t>‘</w:t>
      </w:r>
      <w:r w:rsidRPr="00341C09">
        <w:rPr>
          <w:rFonts w:eastAsia="MS Mincho" w:cs="Arial"/>
          <w:sz w:val="18"/>
          <w:szCs w:val="18"/>
          <w:u w:val="single"/>
          <w:shd w:val="pct15" w:color="auto" w:fill="FFFFFF"/>
        </w:rPr>
        <w:t>Manuela</w:t>
      </w:r>
      <w:r w:rsidRPr="00341C09">
        <w:rPr>
          <w:color w:val="000000"/>
          <w:sz w:val="18"/>
          <w:szCs w:val="18"/>
          <w:u w:val="single"/>
          <w:shd w:val="pct15" w:color="auto" w:fill="FFFFFF"/>
        </w:rPr>
        <w:t>’</w:t>
      </w:r>
      <w:r w:rsidRPr="00341C09">
        <w:rPr>
          <w:rFonts w:eastAsia="MS Mincho" w:cs="Arial"/>
          <w:sz w:val="18"/>
          <w:szCs w:val="18"/>
          <w:u w:val="single"/>
          <w:shd w:val="pct15" w:color="auto" w:fill="FFFFFF"/>
        </w:rPr>
        <w:t xml:space="preserve"> and </w:t>
      </w:r>
      <w:r w:rsidRPr="00341C09">
        <w:rPr>
          <w:color w:val="000000"/>
          <w:sz w:val="18"/>
          <w:szCs w:val="18"/>
          <w:u w:val="single"/>
          <w:shd w:val="pct15" w:color="auto" w:fill="FFFFFF"/>
        </w:rPr>
        <w:t>‘</w:t>
      </w:r>
      <w:r w:rsidRPr="00341C09">
        <w:rPr>
          <w:rFonts w:eastAsia="MS Mincho" w:cs="Arial"/>
          <w:sz w:val="18"/>
          <w:szCs w:val="18"/>
          <w:u w:val="single"/>
          <w:shd w:val="pct15" w:color="auto" w:fill="FFFFFF"/>
        </w:rPr>
        <w:t>Emanuele</w:t>
      </w:r>
      <w:r w:rsidRPr="00341C09">
        <w:rPr>
          <w:color w:val="000000"/>
          <w:sz w:val="18"/>
          <w:szCs w:val="18"/>
          <w:u w:val="single"/>
          <w:shd w:val="pct15" w:color="auto" w:fill="FFFFFF"/>
        </w:rPr>
        <w:t>’</w:t>
      </w:r>
      <w:r w:rsidRPr="00E5310E">
        <w:rPr>
          <w:rFonts w:eastAsia="MS Mincho" w:cs="Arial"/>
          <w:sz w:val="18"/>
          <w:szCs w:val="18"/>
          <w:shd w:val="pct15" w:color="auto" w:fill="FFFFFF"/>
        </w:rPr>
        <w:t xml:space="preserve"> </w:t>
      </w:r>
      <w:r w:rsidRPr="00F114D0">
        <w:rPr>
          <w:color w:val="000000"/>
          <w:sz w:val="18"/>
          <w:szCs w:val="18"/>
          <w:highlight w:val="lightGray"/>
          <w:vertAlign w:val="superscript"/>
        </w:rPr>
        <w:t xml:space="preserve"> </w:t>
      </w:r>
      <w:r w:rsidRPr="00F114D0">
        <w:rPr>
          <w:color w:val="000000"/>
          <w:sz w:val="18"/>
          <w:szCs w:val="18"/>
        </w:rPr>
        <w:t xml:space="preserve">would not cause confusion;  </w:t>
      </w:r>
      <w:r w:rsidRPr="00F114D0">
        <w:rPr>
          <w:strike/>
          <w:color w:val="000000"/>
          <w:sz w:val="18"/>
          <w:szCs w:val="18"/>
          <w:highlight w:val="lightGray"/>
        </w:rPr>
        <w:t>However, ‘Bo</w:t>
      </w:r>
      <w:r w:rsidRPr="00F114D0">
        <w:rPr>
          <w:strike/>
          <w:color w:val="000000"/>
          <w:sz w:val="18"/>
          <w:szCs w:val="18"/>
          <w:highlight w:val="lightGray"/>
          <w:u w:val="single"/>
        </w:rPr>
        <w:t>ugh’</w:t>
      </w:r>
      <w:r w:rsidRPr="00F114D0">
        <w:rPr>
          <w:strike/>
          <w:color w:val="000000"/>
          <w:sz w:val="18"/>
          <w:szCs w:val="18"/>
          <w:highlight w:val="lightGray"/>
        </w:rPr>
        <w:t xml:space="preserve"> and ‘Bo</w:t>
      </w:r>
      <w:r w:rsidRPr="00F114D0">
        <w:rPr>
          <w:strike/>
          <w:color w:val="000000"/>
          <w:sz w:val="18"/>
          <w:szCs w:val="18"/>
          <w:highlight w:val="lightGray"/>
          <w:u w:val="single"/>
        </w:rPr>
        <w:t>w</w:t>
      </w:r>
      <w:r w:rsidRPr="00F114D0">
        <w:rPr>
          <w:strike/>
          <w:color w:val="000000"/>
          <w:sz w:val="18"/>
          <w:szCs w:val="18"/>
          <w:highlight w:val="lightGray"/>
        </w:rPr>
        <w:t>’ might cause confusion (in phonetic terms);</w:t>
      </w:r>
      <w:r w:rsidRPr="00F114D0">
        <w:rPr>
          <w:color w:val="000000"/>
          <w:sz w:val="18"/>
          <w:szCs w:val="18"/>
          <w:highlight w:val="lightGray"/>
          <w:vertAlign w:val="superscript"/>
        </w:rPr>
        <w:t xml:space="preserve"> </w:t>
      </w:r>
    </w:p>
    <w:p w:rsidR="00DF064D" w:rsidRPr="00F114D0" w:rsidRDefault="00DF064D" w:rsidP="00F114D0">
      <w:pPr>
        <w:pStyle w:val="ListParagraph"/>
        <w:rPr>
          <w:sz w:val="18"/>
          <w:szCs w:val="18"/>
        </w:rPr>
      </w:pPr>
      <w:r w:rsidRPr="00F114D0">
        <w:rPr>
          <w:i/>
          <w:strike/>
          <w:sz w:val="18"/>
          <w:szCs w:val="18"/>
          <w:highlight w:val="lightGray"/>
        </w:rPr>
        <w:t xml:space="preserve">Example 2: </w:t>
      </w:r>
      <w:r w:rsidRPr="00F114D0">
        <w:rPr>
          <w:strike/>
          <w:sz w:val="18"/>
          <w:szCs w:val="18"/>
          <w:highlight w:val="lightGray"/>
        </w:rPr>
        <w:t xml:space="preserve"> in the Japanese and Korean languages there is no difference between “L” and “R” sounds, thus “</w:t>
      </w:r>
      <w:r w:rsidRPr="00F114D0">
        <w:rPr>
          <w:strike/>
          <w:sz w:val="18"/>
          <w:szCs w:val="18"/>
          <w:highlight w:val="lightGray"/>
          <w:u w:val="single"/>
        </w:rPr>
        <w:t>L</w:t>
      </w:r>
      <w:r w:rsidRPr="00F114D0">
        <w:rPr>
          <w:strike/>
          <w:sz w:val="18"/>
          <w:szCs w:val="18"/>
          <w:highlight w:val="lightGray"/>
        </w:rPr>
        <w:t>ion” and “</w:t>
      </w:r>
      <w:r w:rsidRPr="00F114D0">
        <w:rPr>
          <w:strike/>
          <w:sz w:val="18"/>
          <w:szCs w:val="18"/>
          <w:highlight w:val="lightGray"/>
          <w:u w:val="single"/>
        </w:rPr>
        <w:t>R</w:t>
      </w:r>
      <w:r w:rsidRPr="00F114D0">
        <w:rPr>
          <w:strike/>
          <w:sz w:val="18"/>
          <w:szCs w:val="18"/>
          <w:highlight w:val="lightGray"/>
        </w:rPr>
        <w:t>aion” are exactly the same although these are distinguishable for English mother tongue speakers</w:t>
      </w:r>
      <w:r w:rsidRPr="00F114D0">
        <w:rPr>
          <w:sz w:val="18"/>
          <w:szCs w:val="18"/>
          <w:highlight w:val="lightGray"/>
        </w:rPr>
        <w:t>;</w:t>
      </w:r>
    </w:p>
    <w:p w:rsidR="00DF064D" w:rsidRPr="00F114D0" w:rsidRDefault="00DF064D" w:rsidP="00F114D0">
      <w:pPr>
        <w:pStyle w:val="ListParagraph"/>
        <w:rPr>
          <w:rFonts w:cs="Arial"/>
          <w:snapToGrid w:val="0"/>
          <w:sz w:val="18"/>
          <w:szCs w:val="18"/>
          <w:lang w:eastAsia="ja-JP"/>
        </w:rPr>
      </w:pPr>
      <w:r w:rsidRPr="005D2B42">
        <w:rPr>
          <w:sz w:val="18"/>
          <w:szCs w:val="18"/>
        </w:rPr>
        <w:lastRenderedPageBreak/>
        <w:t>Example</w:t>
      </w:r>
      <w:r w:rsidR="005D2B42" w:rsidRPr="005D2B42">
        <w:rPr>
          <w:sz w:val="18"/>
          <w:szCs w:val="18"/>
        </w:rPr>
        <w:t>s</w:t>
      </w:r>
      <w:r w:rsidRPr="005D2B42">
        <w:rPr>
          <w:sz w:val="18"/>
          <w:szCs w:val="18"/>
        </w:rPr>
        <w:t xml:space="preserve"> </w:t>
      </w:r>
      <w:r w:rsidR="005D2B42" w:rsidRPr="005D2B42">
        <w:rPr>
          <w:sz w:val="18"/>
          <w:szCs w:val="18"/>
        </w:rPr>
        <w:t xml:space="preserve">of </w:t>
      </w:r>
      <w:r w:rsidRPr="005C3BC6">
        <w:rPr>
          <w:sz w:val="18"/>
          <w:szCs w:val="18"/>
          <w:highlight w:val="lightGray"/>
          <w:u w:val="single"/>
        </w:rPr>
        <w:t>unsuitable denominations</w:t>
      </w:r>
      <w:r w:rsidR="005D2B42" w:rsidRPr="005D2B42">
        <w:rPr>
          <w:i/>
          <w:sz w:val="18"/>
          <w:szCs w:val="18"/>
          <w:u w:val="single"/>
        </w:rPr>
        <w:t>:</w:t>
      </w:r>
      <w:r w:rsidR="005D2B42" w:rsidRPr="005D2B42">
        <w:rPr>
          <w:i/>
          <w:sz w:val="18"/>
          <w:szCs w:val="18"/>
        </w:rPr>
        <w:t xml:space="preserve"> </w:t>
      </w:r>
      <w:r w:rsidRPr="005D2B42">
        <w:rPr>
          <w:sz w:val="18"/>
          <w:szCs w:val="18"/>
        </w:rPr>
        <w:t xml:space="preserve"> </w:t>
      </w:r>
      <w:r w:rsidRPr="00F114D0">
        <w:rPr>
          <w:color w:val="000000"/>
          <w:sz w:val="18"/>
          <w:szCs w:val="18"/>
          <w:u w:val="single"/>
          <w:shd w:val="pct15" w:color="auto" w:fill="FFFFFF"/>
        </w:rPr>
        <w:t>‘</w:t>
      </w:r>
      <w:r w:rsidRPr="00F114D0">
        <w:rPr>
          <w:sz w:val="18"/>
          <w:szCs w:val="18"/>
          <w:highlight w:val="lightGray"/>
          <w:u w:val="single"/>
        </w:rPr>
        <w:t>Helena</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Elena</w:t>
      </w:r>
      <w:r w:rsidRPr="00341C09">
        <w:rPr>
          <w:color w:val="000000"/>
          <w:sz w:val="18"/>
          <w:szCs w:val="18"/>
          <w:u w:val="single"/>
          <w:shd w:val="pct15" w:color="auto" w:fill="FFFFFF"/>
        </w:rPr>
        <w:t>’</w:t>
      </w:r>
      <w:r w:rsidRPr="00F114D0">
        <w:rPr>
          <w:sz w:val="18"/>
          <w:szCs w:val="18"/>
          <w:highlight w:val="lightGray"/>
          <w:u w:val="single"/>
        </w:rPr>
        <w:t xml:space="preserve">, </w:t>
      </w:r>
      <w:r w:rsidRPr="00F114D0">
        <w:rPr>
          <w:color w:val="000000"/>
          <w:sz w:val="18"/>
          <w:szCs w:val="18"/>
          <w:u w:val="single"/>
          <w:shd w:val="pct15" w:color="auto" w:fill="FFFFFF"/>
        </w:rPr>
        <w:t>‘</w:t>
      </w:r>
      <w:r w:rsidRPr="00F114D0">
        <w:rPr>
          <w:sz w:val="18"/>
          <w:szCs w:val="18"/>
          <w:highlight w:val="lightGray"/>
          <w:u w:val="single"/>
        </w:rPr>
        <w:t>Jozephine</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Josefin</w:t>
      </w:r>
      <w:r w:rsidRPr="00341C09">
        <w:rPr>
          <w:color w:val="000000"/>
          <w:sz w:val="18"/>
          <w:szCs w:val="18"/>
          <w:u w:val="single"/>
          <w:shd w:val="pct15" w:color="auto" w:fill="FFFFFF"/>
        </w:rPr>
        <w:t>’</w:t>
      </w:r>
      <w:r w:rsidRPr="00F114D0">
        <w:rPr>
          <w:sz w:val="18"/>
          <w:szCs w:val="18"/>
          <w:highlight w:val="lightGray"/>
          <w:u w:val="single"/>
        </w:rPr>
        <w:t xml:space="preserve">, </w:t>
      </w:r>
      <w:r w:rsidRPr="00F114D0">
        <w:rPr>
          <w:color w:val="000000"/>
          <w:sz w:val="18"/>
          <w:szCs w:val="18"/>
          <w:u w:val="single"/>
          <w:shd w:val="pct15" w:color="auto" w:fill="FFFFFF"/>
        </w:rPr>
        <w:t>‘</w:t>
      </w:r>
      <w:r w:rsidRPr="00341C09">
        <w:rPr>
          <w:rFonts w:eastAsia="MS Mincho" w:cs="Arial"/>
          <w:sz w:val="18"/>
          <w:szCs w:val="18"/>
          <w:u w:val="single"/>
          <w:shd w:val="pct15" w:color="auto" w:fill="FFFFFF"/>
        </w:rPr>
        <w:t>Manuela</w:t>
      </w:r>
      <w:r w:rsidRPr="00341C09">
        <w:rPr>
          <w:color w:val="000000"/>
          <w:sz w:val="18"/>
          <w:szCs w:val="18"/>
          <w:u w:val="single"/>
          <w:shd w:val="pct15" w:color="auto" w:fill="FFFFFF"/>
        </w:rPr>
        <w:t>’</w:t>
      </w:r>
      <w:r w:rsidRPr="00341C09">
        <w:rPr>
          <w:rFonts w:eastAsia="MS Mincho" w:cs="Arial"/>
          <w:sz w:val="18"/>
          <w:szCs w:val="18"/>
          <w:u w:val="single"/>
          <w:shd w:val="pct15" w:color="auto" w:fill="FFFFFF"/>
        </w:rPr>
        <w:t xml:space="preserve"> and </w:t>
      </w:r>
      <w:r w:rsidRPr="00F114D0">
        <w:rPr>
          <w:color w:val="000000"/>
          <w:sz w:val="18"/>
          <w:szCs w:val="18"/>
          <w:u w:val="single"/>
          <w:shd w:val="pct15" w:color="auto" w:fill="FFFFFF"/>
        </w:rPr>
        <w:t>‘</w:t>
      </w:r>
      <w:r w:rsidRPr="00341C09">
        <w:rPr>
          <w:rFonts w:eastAsia="MS Mincho" w:cs="Arial"/>
          <w:sz w:val="18"/>
          <w:szCs w:val="18"/>
          <w:u w:val="single"/>
          <w:shd w:val="pct15" w:color="auto" w:fill="FFFFFF"/>
        </w:rPr>
        <w:t>Mannuelle</w:t>
      </w:r>
      <w:r w:rsidRPr="00341C09">
        <w:rPr>
          <w:color w:val="000000"/>
          <w:sz w:val="18"/>
          <w:szCs w:val="18"/>
          <w:u w:val="single"/>
          <w:shd w:val="pct15" w:color="auto" w:fill="FFFFFF"/>
        </w:rPr>
        <w:t>’</w:t>
      </w:r>
      <w:r w:rsidRPr="00341C09">
        <w:rPr>
          <w:rFonts w:eastAsia="MS Mincho" w:cs="Arial"/>
          <w:sz w:val="18"/>
          <w:szCs w:val="18"/>
          <w:u w:val="single"/>
          <w:shd w:val="pct15" w:color="auto" w:fill="FFFFFF"/>
        </w:rPr>
        <w:t xml:space="preserve">, </w:t>
      </w:r>
      <w:r w:rsidRPr="00F114D0">
        <w:rPr>
          <w:color w:val="000000"/>
          <w:sz w:val="18"/>
          <w:szCs w:val="18"/>
          <w:u w:val="single"/>
          <w:shd w:val="pct15" w:color="auto" w:fill="FFFFFF"/>
        </w:rPr>
        <w:t>‘</w:t>
      </w:r>
      <w:r w:rsidRPr="00F114D0">
        <w:rPr>
          <w:sz w:val="18"/>
          <w:szCs w:val="18"/>
          <w:highlight w:val="lightGray"/>
          <w:u w:val="single"/>
        </w:rPr>
        <w:t>Paqou</w:t>
      </w:r>
      <w:r w:rsidRPr="00341C09">
        <w:rPr>
          <w:color w:val="000000"/>
          <w:sz w:val="18"/>
          <w:szCs w:val="18"/>
          <w:u w:val="single"/>
          <w:shd w:val="pct15" w:color="auto" w:fill="FFFFFF"/>
        </w:rPr>
        <w:t>’</w:t>
      </w:r>
      <w:r w:rsidRPr="00F114D0">
        <w:rPr>
          <w:sz w:val="18"/>
          <w:szCs w:val="18"/>
          <w:highlight w:val="lightGray"/>
          <w:u w:val="single"/>
        </w:rPr>
        <w:t xml:space="preserve">, </w:t>
      </w:r>
      <w:r w:rsidRPr="00F114D0">
        <w:rPr>
          <w:color w:val="000000"/>
          <w:sz w:val="18"/>
          <w:szCs w:val="18"/>
          <w:u w:val="single"/>
          <w:shd w:val="pct15" w:color="auto" w:fill="FFFFFF"/>
        </w:rPr>
        <w:t>‘</w:t>
      </w:r>
      <w:r w:rsidRPr="00F114D0">
        <w:rPr>
          <w:sz w:val="18"/>
          <w:szCs w:val="18"/>
          <w:highlight w:val="lightGray"/>
          <w:u w:val="single"/>
        </w:rPr>
        <w:t>Pacou</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Pakou</w:t>
      </w:r>
      <w:r w:rsidRPr="00341C09">
        <w:rPr>
          <w:color w:val="000000"/>
          <w:sz w:val="18"/>
          <w:szCs w:val="18"/>
          <w:u w:val="single"/>
          <w:shd w:val="pct15" w:color="auto" w:fill="FFFFFF"/>
        </w:rPr>
        <w:t>’</w:t>
      </w:r>
      <w:r w:rsidRPr="00F114D0">
        <w:rPr>
          <w:sz w:val="18"/>
          <w:szCs w:val="18"/>
          <w:highlight w:val="lightGray"/>
          <w:u w:val="single"/>
        </w:rPr>
        <w:t xml:space="preserve">, </w:t>
      </w:r>
      <w:r w:rsidRPr="00F114D0">
        <w:rPr>
          <w:color w:val="000000"/>
          <w:sz w:val="18"/>
          <w:szCs w:val="18"/>
          <w:u w:val="single"/>
          <w:shd w:val="pct15" w:color="auto" w:fill="FFFFFF"/>
        </w:rPr>
        <w:t>‘</w:t>
      </w:r>
      <w:r w:rsidRPr="00F114D0">
        <w:rPr>
          <w:sz w:val="18"/>
          <w:szCs w:val="18"/>
          <w:highlight w:val="lightGray"/>
          <w:u w:val="single"/>
        </w:rPr>
        <w:t>Philip</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Filip</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Poge</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Poje</w:t>
      </w:r>
      <w:r w:rsidRPr="00341C09">
        <w:rPr>
          <w:color w:val="000000"/>
          <w:sz w:val="18"/>
          <w:szCs w:val="18"/>
          <w:u w:val="single"/>
          <w:shd w:val="pct15" w:color="auto" w:fill="FFFFFF"/>
        </w:rPr>
        <w:t>’</w:t>
      </w:r>
      <w:r>
        <w:rPr>
          <w:color w:val="000000"/>
          <w:sz w:val="18"/>
          <w:szCs w:val="18"/>
          <w:u w:val="single"/>
          <w:shd w:val="pct15" w:color="auto" w:fill="FFFFFF"/>
        </w:rPr>
        <w:t xml:space="preserve">, and </w:t>
      </w:r>
      <w:r w:rsidRPr="00F114D0">
        <w:rPr>
          <w:color w:val="000000"/>
          <w:sz w:val="18"/>
          <w:szCs w:val="18"/>
          <w:u w:val="single"/>
          <w:shd w:val="pct15" w:color="auto" w:fill="FFFFFF"/>
        </w:rPr>
        <w:t>‘</w:t>
      </w:r>
      <w:r w:rsidRPr="00F114D0">
        <w:rPr>
          <w:sz w:val="18"/>
          <w:szCs w:val="18"/>
          <w:highlight w:val="lightGray"/>
          <w:u w:val="single"/>
        </w:rPr>
        <w:t>Zophia</w:t>
      </w:r>
      <w:r w:rsidRPr="00341C09">
        <w:rPr>
          <w:color w:val="000000"/>
          <w:sz w:val="18"/>
          <w:szCs w:val="18"/>
          <w:u w:val="single"/>
          <w:shd w:val="pct15" w:color="auto" w:fill="FFFFFF"/>
        </w:rPr>
        <w:t>’</w:t>
      </w:r>
      <w:r w:rsidRPr="00F114D0">
        <w:rPr>
          <w:sz w:val="18"/>
          <w:szCs w:val="18"/>
          <w:highlight w:val="lightGray"/>
          <w:u w:val="single"/>
        </w:rPr>
        <w:t xml:space="preserve"> and </w:t>
      </w:r>
      <w:r w:rsidRPr="00F114D0">
        <w:rPr>
          <w:color w:val="000000"/>
          <w:sz w:val="18"/>
          <w:szCs w:val="18"/>
          <w:u w:val="single"/>
          <w:shd w:val="pct15" w:color="auto" w:fill="FFFFFF"/>
        </w:rPr>
        <w:t>‘</w:t>
      </w:r>
      <w:r w:rsidRPr="00F114D0">
        <w:rPr>
          <w:sz w:val="18"/>
          <w:szCs w:val="18"/>
          <w:highlight w:val="lightGray"/>
          <w:u w:val="single"/>
        </w:rPr>
        <w:t>Sophia</w:t>
      </w:r>
      <w:r w:rsidRPr="00341C09">
        <w:rPr>
          <w:color w:val="000000"/>
          <w:sz w:val="18"/>
          <w:szCs w:val="18"/>
          <w:u w:val="single"/>
          <w:shd w:val="pct15" w:color="auto" w:fill="FFFFFF"/>
        </w:rPr>
        <w:t>’</w:t>
      </w:r>
      <w:r w:rsidRPr="00F114D0">
        <w:rPr>
          <w:sz w:val="18"/>
          <w:szCs w:val="18"/>
          <w:highlight w:val="lightGray"/>
          <w:u w:val="single"/>
        </w:rPr>
        <w:t xml:space="preserve"> could cause confusion phonetically but not visually</w:t>
      </w:r>
      <w:r w:rsidRPr="00F114D0">
        <w:rPr>
          <w:sz w:val="18"/>
          <w:szCs w:val="18"/>
          <w:u w:val="single"/>
        </w:rPr>
        <w:t>;</w:t>
      </w:r>
    </w:p>
    <w:p w:rsidR="00DF064D" w:rsidRPr="00A82B50" w:rsidRDefault="00DF064D" w:rsidP="00A82B50">
      <w:pPr>
        <w:rPr>
          <w:rFonts w:eastAsia="MS Mincho"/>
          <w:lang w:eastAsia="ja-JP"/>
        </w:rPr>
      </w:pPr>
    </w:p>
    <w:p w:rsidR="00DF064D" w:rsidRPr="00A82B50" w:rsidRDefault="00DF064D" w:rsidP="00A82B50">
      <w:pPr>
        <w:pStyle w:val="ListParagraph"/>
        <w:rPr>
          <w:sz w:val="18"/>
          <w:szCs w:val="18"/>
        </w:rPr>
      </w:pPr>
      <w:r w:rsidRPr="00A82B50">
        <w:rPr>
          <w:strike/>
          <w:sz w:val="18"/>
          <w:szCs w:val="18"/>
          <w:highlight w:val="lightGray"/>
        </w:rPr>
        <w:t>(ii)</w:t>
      </w:r>
      <w:r w:rsidRPr="00A82B50">
        <w:rPr>
          <w:sz w:val="18"/>
          <w:szCs w:val="18"/>
          <w:highlight w:val="lightGray"/>
          <w:u w:val="single"/>
        </w:rPr>
        <w:t>(b)</w:t>
      </w:r>
      <w:r>
        <w:rPr>
          <w:sz w:val="18"/>
          <w:szCs w:val="18"/>
          <w:u w:val="single"/>
        </w:rPr>
        <w:t xml:space="preserve"> </w:t>
      </w:r>
      <w:r w:rsidRPr="00A82B50">
        <w:rPr>
          <w:sz w:val="18"/>
          <w:szCs w:val="18"/>
          <w:highlight w:val="lightGray"/>
          <w:u w:val="single"/>
        </w:rPr>
        <w:t>For</w:t>
      </w:r>
      <w:r w:rsidRPr="00A82B50">
        <w:rPr>
          <w:sz w:val="18"/>
          <w:szCs w:val="18"/>
          <w:u w:val="single"/>
        </w:rPr>
        <w:t xml:space="preserve"> </w:t>
      </w:r>
      <w:r w:rsidRPr="00A82B50">
        <w:rPr>
          <w:sz w:val="18"/>
          <w:szCs w:val="18"/>
        </w:rPr>
        <w:t>denominations consist</w:t>
      </w:r>
      <w:r w:rsidRPr="00A82B50">
        <w:rPr>
          <w:sz w:val="18"/>
          <w:szCs w:val="18"/>
          <w:highlight w:val="lightGray"/>
          <w:u w:val="single"/>
        </w:rPr>
        <w:t>ing</w:t>
      </w:r>
      <w:r w:rsidRPr="00A82B50">
        <w:rPr>
          <w:sz w:val="18"/>
          <w:szCs w:val="18"/>
        </w:rPr>
        <w:t xml:space="preserve"> of a combination of letters and figures</w:t>
      </w:r>
      <w:r w:rsidRPr="00A82B50">
        <w:rPr>
          <w:strike/>
          <w:sz w:val="18"/>
          <w:szCs w:val="18"/>
        </w:rPr>
        <w:t>;</w:t>
      </w:r>
      <w:r w:rsidRPr="00A82B50">
        <w:rPr>
          <w:sz w:val="18"/>
          <w:szCs w:val="18"/>
        </w:rPr>
        <w:t xml:space="preserve"> </w:t>
      </w:r>
      <w:r w:rsidRPr="00A82B50">
        <w:rPr>
          <w:sz w:val="18"/>
          <w:szCs w:val="18"/>
          <w:highlight w:val="lightGray"/>
          <w:u w:val="single"/>
        </w:rPr>
        <w:t>and</w:t>
      </w:r>
      <w:r w:rsidRPr="00A82B50">
        <w:rPr>
          <w:strike/>
          <w:sz w:val="18"/>
          <w:szCs w:val="18"/>
          <w:highlight w:val="lightGray"/>
        </w:rPr>
        <w:tab/>
        <w:t>(iii)</w:t>
      </w:r>
      <w:r w:rsidRPr="00A82B50">
        <w:rPr>
          <w:strike/>
          <w:sz w:val="18"/>
          <w:szCs w:val="18"/>
          <w:highlight w:val="lightGray"/>
        </w:rPr>
        <w:tab/>
      </w:r>
      <w:r w:rsidRPr="00A82B50">
        <w:rPr>
          <w:sz w:val="18"/>
          <w:szCs w:val="18"/>
        </w:rPr>
        <w:t xml:space="preserve">denominations consisting </w:t>
      </w:r>
      <w:r w:rsidRPr="001F5C74">
        <w:rPr>
          <w:strike/>
          <w:sz w:val="18"/>
          <w:szCs w:val="18"/>
          <w:shd w:val="pct15" w:color="auto" w:fill="FFFFFF"/>
        </w:rPr>
        <w:t>“</w:t>
      </w:r>
      <w:r w:rsidRPr="00A82B50">
        <w:rPr>
          <w:sz w:val="18"/>
          <w:szCs w:val="18"/>
        </w:rPr>
        <w:t>solely of figures</w:t>
      </w:r>
      <w:r w:rsidRPr="001F5C74">
        <w:rPr>
          <w:strike/>
          <w:sz w:val="18"/>
          <w:szCs w:val="18"/>
          <w:shd w:val="pct15" w:color="auto" w:fill="FFFFFF"/>
        </w:rPr>
        <w:t>”</w:t>
      </w:r>
      <w:r w:rsidRPr="00A82B50">
        <w:rPr>
          <w:strike/>
          <w:sz w:val="18"/>
          <w:szCs w:val="18"/>
          <w:highlight w:val="lightGray"/>
        </w:rPr>
        <w:t>.</w:t>
      </w:r>
      <w:r w:rsidRPr="00A82B50">
        <w:rPr>
          <w:sz w:val="18"/>
          <w:szCs w:val="18"/>
          <w:highlight w:val="lightGray"/>
          <w:u w:val="single"/>
        </w:rPr>
        <w:t>, as a general recommendation, a difference of only one letter or one number may be considered not to be liable to mislead or cause confusion concerning the identity of the variety.</w:t>
      </w:r>
      <w:r w:rsidRPr="00A82B50">
        <w:rPr>
          <w:sz w:val="18"/>
          <w:szCs w:val="18"/>
        </w:rPr>
        <w:t>”</w:t>
      </w:r>
    </w:p>
    <w:p w:rsidR="00DF064D" w:rsidRDefault="00DF064D" w:rsidP="004D1636">
      <w:pPr>
        <w:pStyle w:val="ListParagraph"/>
        <w:autoSpaceDE w:val="0"/>
        <w:autoSpaceDN w:val="0"/>
        <w:adjustRightInd w:val="0"/>
        <w:ind w:left="0"/>
        <w:contextualSpacing w:val="0"/>
      </w:pPr>
    </w:p>
    <w:p w:rsidR="00DF064D" w:rsidRDefault="00DF064D" w:rsidP="004D1636">
      <w:pPr>
        <w:pStyle w:val="ListParagraph"/>
        <w:autoSpaceDE w:val="0"/>
        <w:autoSpaceDN w:val="0"/>
        <w:adjustRightInd w:val="0"/>
        <w:ind w:left="0"/>
        <w:contextualSpacing w:val="0"/>
        <w:rPr>
          <w:rFonts w:cs="Arial"/>
          <w:snapToGrid w:val="0"/>
          <w:lang w:eastAsia="ja-JP"/>
        </w:rPr>
      </w:pPr>
      <w:r w:rsidRPr="004D1636">
        <w:fldChar w:fldCharType="begin"/>
      </w:r>
      <w:r w:rsidRPr="004D1636">
        <w:instrText xml:space="preserve"> AUTONUM  </w:instrText>
      </w:r>
      <w:r w:rsidRPr="004D1636">
        <w:fldChar w:fldCharType="end"/>
      </w:r>
      <w:r w:rsidRPr="004D1636">
        <w:tab/>
      </w:r>
      <w:r w:rsidRPr="004D1636">
        <w:rPr>
          <w:rFonts w:hint="eastAsia"/>
          <w:lang w:eastAsia="ja-JP"/>
        </w:rPr>
        <w:t xml:space="preserve">The WG-DEN </w:t>
      </w:r>
      <w:r w:rsidRPr="004D1636">
        <w:rPr>
          <w:rFonts w:cs="Arial"/>
          <w:snapToGrid w:val="0"/>
          <w:lang w:eastAsia="ja-JP"/>
        </w:rPr>
        <w:t xml:space="preserve">agreed that the Office of the Union </w:t>
      </w:r>
      <w:r>
        <w:rPr>
          <w:rFonts w:cs="Arial"/>
          <w:snapToGrid w:val="0"/>
          <w:lang w:eastAsia="ja-JP"/>
        </w:rPr>
        <w:t>should</w:t>
      </w:r>
      <w:r w:rsidRPr="004D1636">
        <w:rPr>
          <w:rFonts w:cs="Arial"/>
          <w:snapToGrid w:val="0"/>
          <w:lang w:eastAsia="ja-JP"/>
        </w:rPr>
        <w:t xml:space="preserve"> develop proposals on the basis of the guidance from Brazil on denominations in the form of letters without forming words.</w:t>
      </w:r>
    </w:p>
    <w:p w:rsidR="00DF064D" w:rsidRPr="00A02CB3" w:rsidRDefault="00DF064D" w:rsidP="001F5C74">
      <w:pPr>
        <w:pStyle w:val="ListParagraph"/>
        <w:autoSpaceDE w:val="0"/>
        <w:autoSpaceDN w:val="0"/>
        <w:adjustRightInd w:val="0"/>
        <w:ind w:left="0"/>
        <w:contextualSpacing w:val="0"/>
        <w:rPr>
          <w:szCs w:val="24"/>
          <w:lang w:eastAsia="ja-JP"/>
        </w:rPr>
      </w:pPr>
    </w:p>
    <w:p w:rsidR="00DF064D" w:rsidRPr="004D1636" w:rsidRDefault="00DF064D" w:rsidP="001F5C74">
      <w:pPr>
        <w:pStyle w:val="ListParagraph"/>
        <w:autoSpaceDE w:val="0"/>
        <w:autoSpaceDN w:val="0"/>
        <w:adjustRightInd w:val="0"/>
        <w:ind w:left="0"/>
        <w:contextualSpacing w:val="0"/>
        <w:rPr>
          <w:rFonts w:cs="Arial"/>
          <w:snapToGrid w:val="0"/>
          <w:lang w:eastAsia="ja-JP"/>
        </w:rPr>
      </w:pPr>
      <w:r w:rsidRPr="007B07B2">
        <w:fldChar w:fldCharType="begin"/>
      </w:r>
      <w:r w:rsidRPr="007B07B2">
        <w:instrText xml:space="preserve"> AUTONUM  </w:instrText>
      </w:r>
      <w:r w:rsidRPr="007B07B2">
        <w:fldChar w:fldCharType="end"/>
      </w:r>
      <w:r w:rsidRPr="007B07B2">
        <w:tab/>
      </w:r>
      <w:r>
        <w:t xml:space="preserve">After discussion of the draft text for Section 2.3.3 (b) (denomination consisting of a combination of letters and figures), the WG-DEN agreed that a new proposal should be developed that would be applicable to denominations consisting of letters and/or numbers. </w:t>
      </w:r>
      <w:r w:rsidRPr="004D1636">
        <w:rPr>
          <w:rFonts w:hint="eastAsia"/>
          <w:lang w:eastAsia="ja-JP"/>
        </w:rPr>
        <w:t xml:space="preserve">The WG-DEN agreed </w:t>
      </w:r>
      <w:r w:rsidRPr="004D1636">
        <w:rPr>
          <w:rFonts w:cs="Arial"/>
          <w:snapToGrid w:val="0"/>
          <w:lang w:eastAsia="ja-JP"/>
        </w:rPr>
        <w:t xml:space="preserve">that the Office of the Union </w:t>
      </w:r>
      <w:r>
        <w:rPr>
          <w:rFonts w:cs="Arial"/>
          <w:snapToGrid w:val="0"/>
          <w:lang w:eastAsia="ja-JP"/>
        </w:rPr>
        <w:t xml:space="preserve">should </w:t>
      </w:r>
      <w:r w:rsidRPr="004D1636">
        <w:rPr>
          <w:rFonts w:cs="Arial"/>
          <w:snapToGrid w:val="0"/>
          <w:lang w:eastAsia="ja-JP"/>
        </w:rPr>
        <w:t>develop a general recommendation that a difference of only one letter or one number may be considered to be liable to mislead or cause confusion concerning the identity of the variety, with examples of exceptions</w:t>
      </w:r>
      <w:r>
        <w:rPr>
          <w:rFonts w:cs="Arial"/>
          <w:snapToGrid w:val="0"/>
          <w:lang w:eastAsia="ja-JP"/>
        </w:rPr>
        <w:t>.</w:t>
      </w:r>
    </w:p>
    <w:p w:rsidR="00DF064D" w:rsidRDefault="00DF064D" w:rsidP="00A82B50">
      <w:pPr>
        <w:pStyle w:val="ListParagraph"/>
        <w:autoSpaceDE w:val="0"/>
        <w:autoSpaceDN w:val="0"/>
        <w:adjustRightInd w:val="0"/>
        <w:ind w:left="0"/>
        <w:contextualSpacing w:val="0"/>
        <w:rPr>
          <w:rFonts w:cs="Arial"/>
          <w:snapToGrid w:val="0"/>
          <w:lang w:eastAsia="ja-JP"/>
        </w:rPr>
      </w:pPr>
    </w:p>
    <w:p w:rsidR="00DF064D" w:rsidRDefault="00DF064D" w:rsidP="00BE2334">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t xml:space="preserve">With regard to the re-use of denominations in new </w:t>
      </w:r>
      <w:r w:rsidRPr="0046205D">
        <w:rPr>
          <w:lang w:eastAsia="ja-JP"/>
        </w:rPr>
        <w:t>Section 2.3.</w:t>
      </w:r>
      <w:r>
        <w:rPr>
          <w:lang w:eastAsia="ja-JP"/>
        </w:rPr>
        <w:t>3</w:t>
      </w:r>
      <w:r w:rsidRPr="0046205D">
        <w:rPr>
          <w:lang w:eastAsia="ja-JP"/>
        </w:rPr>
        <w:t xml:space="preserve"> (</w:t>
      </w:r>
      <w:r>
        <w:rPr>
          <w:lang w:eastAsia="ja-JP"/>
        </w:rPr>
        <w:t>d</w:t>
      </w:r>
      <w:r w:rsidRPr="0046205D">
        <w:rPr>
          <w:lang w:eastAsia="ja-JP"/>
        </w:rPr>
        <w:t>)</w:t>
      </w:r>
      <w:r>
        <w:rPr>
          <w:lang w:eastAsia="ja-JP"/>
        </w:rPr>
        <w:t xml:space="preserve"> (currently, Section 2.3.3 (c)), t</w:t>
      </w:r>
      <w:r>
        <w:rPr>
          <w:rFonts w:hint="eastAsia"/>
          <w:lang w:eastAsia="ja-JP"/>
        </w:rPr>
        <w:t xml:space="preserve">he WG-DEN agreed to </w:t>
      </w:r>
      <w:r>
        <w:rPr>
          <w:lang w:eastAsia="ja-JP"/>
        </w:rPr>
        <w:t>retain the original wording</w:t>
      </w:r>
      <w:r>
        <w:rPr>
          <w:rFonts w:cs="Arial"/>
          <w:snapToGrid w:val="0"/>
          <w:lang w:eastAsia="ja-JP"/>
        </w:rPr>
        <w:t xml:space="preserve"> in document UPOV/INF/12/5</w:t>
      </w:r>
      <w:r>
        <w:rPr>
          <w:lang w:eastAsia="ja-JP"/>
        </w:rPr>
        <w:t>.</w:t>
      </w:r>
    </w:p>
    <w:p w:rsidR="00DF064D" w:rsidRDefault="00DF064D" w:rsidP="00436E06">
      <w:pPr>
        <w:pStyle w:val="ListParagraph"/>
        <w:autoSpaceDE w:val="0"/>
        <w:autoSpaceDN w:val="0"/>
        <w:adjustRightInd w:val="0"/>
        <w:ind w:left="0"/>
        <w:contextualSpacing w:val="0"/>
        <w:rPr>
          <w:rFonts w:cs="Arial"/>
          <w:snapToGrid w:val="0"/>
          <w:lang w:eastAsia="ja-JP"/>
        </w:rPr>
      </w:pPr>
    </w:p>
    <w:p w:rsidR="00DF064D" w:rsidRDefault="00DF064D" w:rsidP="00436E06">
      <w:pPr>
        <w:pStyle w:val="ListParagraph"/>
        <w:autoSpaceDE w:val="0"/>
        <w:autoSpaceDN w:val="0"/>
        <w:adjustRightInd w:val="0"/>
        <w:ind w:left="0"/>
        <w:contextualSpacing w:val="0"/>
        <w:rPr>
          <w:rFonts w:cs="Arial"/>
          <w:snapToGrid w:val="0"/>
          <w:lang w:eastAsia="ja-JP"/>
        </w:rPr>
      </w:pPr>
      <w:r w:rsidRPr="007B07B2">
        <w:fldChar w:fldCharType="begin"/>
      </w:r>
      <w:r w:rsidRPr="007B07B2">
        <w:instrText xml:space="preserve"> AUTONUM  </w:instrText>
      </w:r>
      <w:r w:rsidRPr="007B07B2">
        <w:fldChar w:fldCharType="end"/>
      </w:r>
      <w:r w:rsidRPr="007B07B2">
        <w:tab/>
      </w:r>
      <w:r>
        <w:t xml:space="preserve">With regard to the </w:t>
      </w:r>
      <w:r w:rsidRPr="0046205D">
        <w:rPr>
          <w:lang w:eastAsia="ja-JP"/>
        </w:rPr>
        <w:t>Section 2.3.</w:t>
      </w:r>
      <w:r>
        <w:rPr>
          <w:lang w:eastAsia="ja-JP"/>
        </w:rPr>
        <w:t>4</w:t>
      </w:r>
      <w:r>
        <w:rPr>
          <w:rFonts w:cs="Arial"/>
          <w:snapToGrid w:val="0"/>
          <w:lang w:eastAsia="ja-JP"/>
        </w:rPr>
        <w:t xml:space="preserve"> </w:t>
      </w:r>
      <w:r w:rsidRPr="00DB79F6">
        <w:rPr>
          <w:rFonts w:cs="Arial"/>
          <w:snapToGrid w:val="0"/>
          <w:lang w:eastAsia="ja-JP"/>
        </w:rPr>
        <w:t>“</w:t>
      </w:r>
      <w:r w:rsidRPr="00057E9C">
        <w:rPr>
          <w:rFonts w:cs="Arial"/>
          <w:snapToGrid w:val="0"/>
          <w:lang w:eastAsia="ja-JP"/>
        </w:rPr>
        <w:t>Identity of the breeder</w:t>
      </w:r>
      <w:r w:rsidRPr="00DB79F6">
        <w:rPr>
          <w:rFonts w:cs="Arial"/>
          <w:snapToGrid w:val="0"/>
          <w:lang w:eastAsia="ja-JP"/>
        </w:rPr>
        <w:t>”</w:t>
      </w:r>
      <w:r>
        <w:rPr>
          <w:rFonts w:cs="Arial"/>
          <w:snapToGrid w:val="0"/>
          <w:lang w:eastAsia="ja-JP"/>
        </w:rPr>
        <w:t xml:space="preserve">, </w:t>
      </w:r>
      <w:r>
        <w:rPr>
          <w:lang w:eastAsia="ja-JP"/>
        </w:rPr>
        <w:t>t</w:t>
      </w:r>
      <w:r>
        <w:rPr>
          <w:rFonts w:hint="eastAsia"/>
          <w:lang w:eastAsia="ja-JP"/>
        </w:rPr>
        <w:t xml:space="preserve">he WG-DEN </w:t>
      </w:r>
      <w:r w:rsidRPr="00B825A5">
        <w:rPr>
          <w:rFonts w:cs="Arial"/>
          <w:snapToGrid w:val="0"/>
          <w:lang w:eastAsia="ja-JP"/>
        </w:rPr>
        <w:t xml:space="preserve">agreed to reformulate </w:t>
      </w:r>
      <w:r w:rsidRPr="00020DBD">
        <w:rPr>
          <w:rFonts w:cs="Arial"/>
          <w:snapToGrid w:val="0"/>
          <w:lang w:eastAsia="ja-JP"/>
        </w:rPr>
        <w:t>and elaborate</w:t>
      </w:r>
      <w:r>
        <w:rPr>
          <w:rFonts w:cs="Arial"/>
          <w:snapToGrid w:val="0"/>
          <w:lang w:eastAsia="ja-JP"/>
        </w:rPr>
        <w:t xml:space="preserve"> the following text to clarify that a theme would not be </w:t>
      </w:r>
      <w:r w:rsidR="005D2B42">
        <w:rPr>
          <w:rFonts w:cs="Arial"/>
          <w:snapToGrid w:val="0"/>
          <w:lang w:eastAsia="ja-JP"/>
        </w:rPr>
        <w:t xml:space="preserve">allocated </w:t>
      </w:r>
      <w:r>
        <w:rPr>
          <w:rFonts w:cs="Arial"/>
          <w:snapToGrid w:val="0"/>
          <w:lang w:eastAsia="ja-JP"/>
        </w:rPr>
        <w:t xml:space="preserve">to a breeder </w:t>
      </w:r>
      <w:r w:rsidRPr="00B75D34">
        <w:rPr>
          <w:rFonts w:cs="Arial"/>
          <w:i/>
          <w:snapToGrid w:val="0"/>
          <w:lang w:eastAsia="ja-JP"/>
        </w:rPr>
        <w:t>per se</w:t>
      </w:r>
      <w:r>
        <w:rPr>
          <w:rFonts w:cs="Arial"/>
          <w:snapToGrid w:val="0"/>
          <w:lang w:eastAsia="ja-JP"/>
        </w:rPr>
        <w:t xml:space="preserve"> but a theme could become associated with a breeder by custom and practice:</w:t>
      </w:r>
    </w:p>
    <w:p w:rsidR="00DF064D" w:rsidRDefault="00DF064D" w:rsidP="00022940">
      <w:pPr>
        <w:rPr>
          <w:rFonts w:cs="Arial"/>
          <w:snapToGrid w:val="0"/>
          <w:lang w:eastAsia="ja-JP"/>
        </w:rPr>
      </w:pPr>
    </w:p>
    <w:p w:rsidR="00DF064D" w:rsidRPr="006E1A6E" w:rsidRDefault="00DF064D" w:rsidP="001B587F">
      <w:pPr>
        <w:pStyle w:val="ListParagraph"/>
        <w:rPr>
          <w:sz w:val="18"/>
          <w:szCs w:val="18"/>
        </w:rPr>
      </w:pPr>
      <w:r>
        <w:rPr>
          <w:sz w:val="18"/>
          <w:szCs w:val="18"/>
          <w:lang w:eastAsia="ja-JP"/>
        </w:rPr>
        <w:t>“</w:t>
      </w:r>
      <w:r w:rsidRPr="006E1A6E">
        <w:rPr>
          <w:sz w:val="18"/>
          <w:szCs w:val="18"/>
          <w:lang w:eastAsia="ja-JP"/>
        </w:rPr>
        <w:t xml:space="preserve">Breeders may choose a theme to identify their varieties.  However, “themes” without a common word, prefix or suffix, could </w:t>
      </w:r>
      <w:r w:rsidRPr="006E1A6E">
        <w:rPr>
          <w:sz w:val="18"/>
          <w:szCs w:val="18"/>
        </w:rPr>
        <w:t>mislead or cause confusion concerning the identity of the breeder</w:t>
      </w:r>
      <w:r w:rsidRPr="006E1A6E">
        <w:rPr>
          <w:sz w:val="18"/>
          <w:szCs w:val="18"/>
          <w:lang w:eastAsia="ja-JP"/>
        </w:rPr>
        <w:t xml:space="preserve">.  In cases where a breeder uses a theme, the authority may consider that the use of that theme for variety denominations by other breeders may </w:t>
      </w:r>
      <w:r w:rsidRPr="006E1A6E">
        <w:rPr>
          <w:sz w:val="18"/>
          <w:szCs w:val="18"/>
        </w:rPr>
        <w:t>mislead or cause confusion concerning the identity of the breeder.</w:t>
      </w:r>
      <w:r w:rsidRPr="006E1A6E">
        <w:rPr>
          <w:sz w:val="18"/>
          <w:szCs w:val="18"/>
          <w:lang w:eastAsia="ja-JP"/>
        </w:rPr>
        <w:t xml:space="preserve"> </w:t>
      </w:r>
      <w:r>
        <w:rPr>
          <w:sz w:val="18"/>
          <w:szCs w:val="18"/>
          <w:lang w:eastAsia="ja-JP"/>
        </w:rPr>
        <w:t>”</w:t>
      </w:r>
    </w:p>
    <w:p w:rsidR="00DF064D" w:rsidRDefault="00DF064D" w:rsidP="00022940">
      <w:pPr>
        <w:rPr>
          <w:rFonts w:cs="Arial"/>
          <w:snapToGrid w:val="0"/>
          <w:lang w:eastAsia="ja-JP"/>
        </w:rPr>
      </w:pPr>
    </w:p>
    <w:p w:rsidR="00DF064D" w:rsidRPr="007E2B47" w:rsidRDefault="00DF064D" w:rsidP="007E2B47">
      <w:r w:rsidRPr="007E2B47">
        <w:fldChar w:fldCharType="begin"/>
      </w:r>
      <w:r w:rsidRPr="007E2B47">
        <w:instrText xml:space="preserve"> AUTONUM  </w:instrText>
      </w:r>
      <w:r w:rsidRPr="007E2B47">
        <w:fldChar w:fldCharType="end"/>
      </w:r>
      <w:r w:rsidRPr="007E2B47">
        <w:tab/>
        <w:t xml:space="preserve">In relation to the denomination classes in document UPOV/INF/12/5, the WG-DEN received the following proposals for changes to the denomination classes and </w:t>
      </w:r>
      <w:r>
        <w:t>agreed to propose to</w:t>
      </w:r>
      <w:r w:rsidRPr="007E2B47">
        <w:t xml:space="preserve"> the </w:t>
      </w:r>
      <w:r w:rsidRPr="00D60258">
        <w:rPr>
          <w:lang w:val="en" w:eastAsia="ja-JP"/>
        </w:rPr>
        <w:t xml:space="preserve">Administrative and Legal Committee </w:t>
      </w:r>
      <w:r>
        <w:rPr>
          <w:lang w:eastAsia="ja-JP"/>
        </w:rPr>
        <w:t>(CAJ)</w:t>
      </w:r>
      <w:r w:rsidRPr="007E2B47">
        <w:t xml:space="preserve"> to transmit those proposals to the </w:t>
      </w:r>
      <w:r>
        <w:t>Technical Committee (</w:t>
      </w:r>
      <w:r w:rsidRPr="007E2B47">
        <w:t>TC</w:t>
      </w:r>
      <w:r>
        <w:t>) for consideration by the </w:t>
      </w:r>
      <w:r w:rsidRPr="007E2B47">
        <w:t xml:space="preserve">TC, and if applicable, by the relevant </w:t>
      </w:r>
      <w:r>
        <w:t>Technical Working Parties (</w:t>
      </w:r>
      <w:r w:rsidRPr="007E2B47">
        <w:t>TWPs</w:t>
      </w:r>
      <w:r>
        <w:t>)</w:t>
      </w:r>
      <w:r w:rsidRPr="007E2B47">
        <w:t>:</w:t>
      </w:r>
    </w:p>
    <w:p w:rsidR="00DF064D" w:rsidRPr="007E2B47" w:rsidRDefault="00DF064D" w:rsidP="007E2B47"/>
    <w:p w:rsidR="00DF064D" w:rsidRPr="007E2B47" w:rsidRDefault="00DF064D" w:rsidP="00DF064D">
      <w:pPr>
        <w:numPr>
          <w:ilvl w:val="0"/>
          <w:numId w:val="49"/>
        </w:numPr>
        <w:ind w:left="851" w:hanging="420"/>
        <w:contextualSpacing/>
      </w:pPr>
      <w:r w:rsidRPr="007E2B47">
        <w:t>Proposal to split the current class 205 (Cichorium and Lactuca) into two new classes:</w:t>
      </w:r>
    </w:p>
    <w:p w:rsidR="00DF064D" w:rsidRPr="007E2B47" w:rsidRDefault="00DF064D" w:rsidP="007E2B47"/>
    <w:p w:rsidR="00DF064D" w:rsidRPr="007E2B47" w:rsidRDefault="00DF064D" w:rsidP="001B587F">
      <w:pPr>
        <w:ind w:left="993" w:hanging="284"/>
        <w:rPr>
          <w:lang w:val="fr-CH"/>
        </w:rPr>
      </w:pPr>
      <w:r w:rsidRPr="007E2B47">
        <w:rPr>
          <w:lang w:val="fr-CH"/>
        </w:rPr>
        <w:t>•</w:t>
      </w:r>
      <w:r w:rsidRPr="007E2B47">
        <w:rPr>
          <w:lang w:val="fr-CH"/>
        </w:rPr>
        <w:tab/>
        <w:t xml:space="preserve">Classe : Lactuca – </w:t>
      </w:r>
      <w:r w:rsidRPr="007E2B47">
        <w:rPr>
          <w:i/>
          <w:lang w:val="fr-CH"/>
        </w:rPr>
        <w:t>Cichorium endivia</w:t>
      </w:r>
      <w:r w:rsidRPr="007E2B47">
        <w:rPr>
          <w:lang w:val="fr-CH"/>
        </w:rPr>
        <w:t xml:space="preserve"> (frisée et scarole), </w:t>
      </w:r>
      <w:r w:rsidRPr="007E2B47">
        <w:rPr>
          <w:i/>
          <w:lang w:val="fr-CH"/>
        </w:rPr>
        <w:t>Cichorium intybus</w:t>
      </w:r>
      <w:r w:rsidRPr="007E2B47">
        <w:rPr>
          <w:lang w:val="fr-CH"/>
        </w:rPr>
        <w:t xml:space="preserve"> var. </w:t>
      </w:r>
      <w:r w:rsidRPr="007E2B47">
        <w:rPr>
          <w:i/>
          <w:lang w:val="fr-CH"/>
        </w:rPr>
        <w:t>foliosum</w:t>
      </w:r>
      <w:r w:rsidRPr="007E2B47">
        <w:rPr>
          <w:lang w:val="fr-CH"/>
        </w:rPr>
        <w:t xml:space="preserve"> (endive/witloof et les chicorées italiennes)</w:t>
      </w:r>
    </w:p>
    <w:p w:rsidR="00DF064D" w:rsidRPr="007E2B47" w:rsidRDefault="00DF064D" w:rsidP="001B587F">
      <w:pPr>
        <w:ind w:left="993" w:hanging="284"/>
        <w:rPr>
          <w:lang w:val="fr-CH"/>
        </w:rPr>
      </w:pPr>
      <w:r w:rsidRPr="007E2B47">
        <w:rPr>
          <w:lang w:val="fr-CH"/>
        </w:rPr>
        <w:t>•</w:t>
      </w:r>
      <w:r w:rsidRPr="007E2B47">
        <w:rPr>
          <w:lang w:val="fr-CH"/>
        </w:rPr>
        <w:tab/>
        <w:t xml:space="preserve">Classe : </w:t>
      </w:r>
      <w:r w:rsidRPr="007E2B47">
        <w:rPr>
          <w:i/>
          <w:lang w:val="fr-CH"/>
        </w:rPr>
        <w:t>C. intybus</w:t>
      </w:r>
      <w:r w:rsidRPr="007E2B47">
        <w:rPr>
          <w:lang w:val="fr-CH"/>
        </w:rPr>
        <w:t xml:space="preserve"> var. </w:t>
      </w:r>
      <w:r w:rsidRPr="007E2B47">
        <w:rPr>
          <w:i/>
          <w:lang w:val="fr-CH"/>
        </w:rPr>
        <w:t>sativum</w:t>
      </w:r>
      <w:r w:rsidRPr="007E2B47">
        <w:rPr>
          <w:lang w:val="fr-CH"/>
        </w:rPr>
        <w:t xml:space="preserve"> (chicorée industrielle)</w:t>
      </w:r>
      <w:r>
        <w:rPr>
          <w:lang w:val="fr-CH"/>
        </w:rPr>
        <w:t>.</w:t>
      </w:r>
    </w:p>
    <w:p w:rsidR="00DF064D" w:rsidRPr="007E2B47" w:rsidRDefault="00DF064D" w:rsidP="007E2B47">
      <w:pPr>
        <w:rPr>
          <w:lang w:val="fr-CH"/>
        </w:rPr>
      </w:pPr>
    </w:p>
    <w:p w:rsidR="00DF064D" w:rsidRPr="007E2B47" w:rsidRDefault="00DF064D" w:rsidP="00DF064D">
      <w:pPr>
        <w:numPr>
          <w:ilvl w:val="0"/>
          <w:numId w:val="49"/>
        </w:numPr>
        <w:spacing w:after="240"/>
        <w:ind w:left="851" w:hanging="420"/>
      </w:pPr>
      <w:r w:rsidRPr="007E2B47">
        <w:t xml:space="preserve">Proposal for genus </w:t>
      </w:r>
      <w:r w:rsidRPr="007E2B47">
        <w:rPr>
          <w:i/>
        </w:rPr>
        <w:t>Epichloe</w:t>
      </w:r>
      <w:r w:rsidRPr="007E2B47">
        <w:t xml:space="preserve"> (formerly </w:t>
      </w:r>
      <w:r w:rsidRPr="007E2B47">
        <w:rPr>
          <w:i/>
        </w:rPr>
        <w:t>Neotyphodium</w:t>
      </w:r>
      <w:r w:rsidRPr="007E2B47">
        <w:t>) be added to Class 203 (</w:t>
      </w:r>
      <w:r w:rsidRPr="007E2B47">
        <w:rPr>
          <w:i/>
        </w:rPr>
        <w:t>Agrostis, Dactylis, Festuca, Festulolium, Lolium, Phalaris, Phleum</w:t>
      </w:r>
      <w:r w:rsidRPr="007E2B47">
        <w:t xml:space="preserve"> and </w:t>
      </w:r>
      <w:r w:rsidRPr="007E2B47">
        <w:rPr>
          <w:i/>
        </w:rPr>
        <w:t>Poa</w:t>
      </w:r>
      <w:r w:rsidRPr="007E2B47">
        <w:t>.)</w:t>
      </w:r>
    </w:p>
    <w:p w:rsidR="00DF064D" w:rsidRDefault="00DF064D" w:rsidP="00347261">
      <w:pPr>
        <w:rPr>
          <w:rFonts w:cs="Arial"/>
          <w:snapToGrid w:val="0"/>
          <w:lang w:eastAsia="ja-JP"/>
        </w:rPr>
      </w:pPr>
    </w:p>
    <w:p w:rsidR="00DF064D" w:rsidRDefault="00DF064D" w:rsidP="007E2B47">
      <w:r>
        <w:fldChar w:fldCharType="begin"/>
      </w:r>
      <w:r>
        <w:instrText xml:space="preserve"> AUTONUM  </w:instrText>
      </w:r>
      <w:r>
        <w:fldChar w:fldCharType="end"/>
      </w:r>
      <w:r>
        <w:tab/>
        <w:t xml:space="preserve">The WG-DEN agreed to request the Office of the Union to redraft Section </w:t>
      </w:r>
      <w:r w:rsidRPr="00157F96">
        <w:t>2.6</w:t>
      </w:r>
      <w:r>
        <w:t xml:space="preserve"> “</w:t>
      </w:r>
      <w:r w:rsidRPr="00157F96">
        <w:t>UPOV denomination similarity search tool</w:t>
      </w:r>
      <w:r>
        <w:t xml:space="preserve">” to reflect the comments reported in document </w:t>
      </w:r>
      <w:r w:rsidRPr="005E5D45">
        <w:rPr>
          <w:lang w:eastAsia="ja-JP"/>
        </w:rPr>
        <w:t>UPOV/WG-DEN/</w:t>
      </w:r>
      <w:r>
        <w:rPr>
          <w:lang w:eastAsia="ja-JP"/>
        </w:rPr>
        <w:t>5</w:t>
      </w:r>
      <w:r w:rsidRPr="005E5D45">
        <w:rPr>
          <w:lang w:eastAsia="ja-JP"/>
        </w:rPr>
        <w:t>/2</w:t>
      </w:r>
      <w:r>
        <w:t>.</w:t>
      </w:r>
    </w:p>
    <w:p w:rsidR="00DF064D" w:rsidRDefault="00DF064D" w:rsidP="00FE576F">
      <w:pPr>
        <w:pStyle w:val="ListParagraph"/>
        <w:autoSpaceDE w:val="0"/>
        <w:autoSpaceDN w:val="0"/>
        <w:adjustRightInd w:val="0"/>
        <w:ind w:left="0"/>
        <w:contextualSpacing w:val="0"/>
        <w:rPr>
          <w:szCs w:val="24"/>
          <w:lang w:eastAsia="ja-JP"/>
        </w:rPr>
      </w:pPr>
    </w:p>
    <w:p w:rsidR="00DF064D" w:rsidRPr="00A02CB3" w:rsidRDefault="00DF064D" w:rsidP="00FE576F">
      <w:pPr>
        <w:pStyle w:val="ListParagraph"/>
        <w:autoSpaceDE w:val="0"/>
        <w:autoSpaceDN w:val="0"/>
        <w:adjustRightInd w:val="0"/>
        <w:ind w:left="0"/>
        <w:contextualSpacing w:val="0"/>
        <w:rPr>
          <w:szCs w:val="24"/>
          <w:lang w:eastAsia="ja-JP"/>
        </w:rPr>
      </w:pPr>
    </w:p>
    <w:p w:rsidR="00DF064D" w:rsidRPr="00A02CB3" w:rsidRDefault="00DF064D" w:rsidP="00FE576F">
      <w:pPr>
        <w:pStyle w:val="Heading2"/>
      </w:pPr>
      <w:r w:rsidRPr="00A02CB3">
        <w:t xml:space="preserve">Paragraph </w:t>
      </w:r>
      <w:r>
        <w:t>4</w:t>
      </w:r>
      <w:r w:rsidRPr="00A02CB3">
        <w:t xml:space="preserve"> [</w:t>
      </w:r>
      <w:r w:rsidRPr="00F260BD">
        <w:rPr>
          <w:bCs/>
          <w:iCs/>
        </w:rPr>
        <w:t>Prior rights of third persons</w:t>
      </w:r>
      <w:r w:rsidRPr="00A02CB3">
        <w:t>]</w:t>
      </w:r>
    </w:p>
    <w:p w:rsidR="00DF064D" w:rsidRDefault="00DF064D" w:rsidP="00FE576F">
      <w:pPr>
        <w:pStyle w:val="ListParagraph"/>
        <w:keepNext/>
        <w:autoSpaceDE w:val="0"/>
        <w:autoSpaceDN w:val="0"/>
        <w:adjustRightInd w:val="0"/>
        <w:ind w:left="0"/>
        <w:contextualSpacing w:val="0"/>
        <w:rPr>
          <w:lang w:eastAsia="ja-JP"/>
        </w:rPr>
      </w:pPr>
    </w:p>
    <w:p w:rsidR="00DF064D" w:rsidRDefault="00DF064D" w:rsidP="00FE576F">
      <w:pPr>
        <w:pStyle w:val="ListParagraph"/>
        <w:keepNext/>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Pr>
          <w:lang w:eastAsia="ja-JP"/>
        </w:rPr>
        <w:t xml:space="preserve">agreed </w:t>
      </w:r>
      <w:r w:rsidRPr="0046205D">
        <w:rPr>
          <w:rFonts w:hint="eastAsia"/>
          <w:lang w:eastAsia="ja-JP"/>
        </w:rPr>
        <w:t xml:space="preserve">to </w:t>
      </w:r>
      <w:r w:rsidRPr="002457FA">
        <w:rPr>
          <w:lang w:eastAsia="ja-JP"/>
        </w:rPr>
        <w:t xml:space="preserve">amend </w:t>
      </w:r>
      <w:r w:rsidRPr="00594ACD">
        <w:rPr>
          <w:rFonts w:cs="Arial"/>
          <w:snapToGrid w:val="0"/>
          <w:lang w:eastAsia="ja-JP"/>
        </w:rPr>
        <w:t xml:space="preserve">Section </w:t>
      </w:r>
      <w:r>
        <w:rPr>
          <w:rFonts w:cs="Arial"/>
          <w:snapToGrid w:val="0"/>
          <w:lang w:eastAsia="ja-JP"/>
        </w:rPr>
        <w:t xml:space="preserve">4 (a) </w:t>
      </w:r>
      <w:r>
        <w:rPr>
          <w:lang w:eastAsia="ja-JP"/>
        </w:rPr>
        <w:t>to read as follows:</w:t>
      </w:r>
    </w:p>
    <w:p w:rsidR="00DF064D" w:rsidRDefault="00DF064D" w:rsidP="00347261">
      <w:pPr>
        <w:ind w:firstLine="540"/>
        <w:rPr>
          <w:rFonts w:cs="Arial"/>
          <w:snapToGrid w:val="0"/>
          <w:lang w:eastAsia="ja-JP"/>
        </w:rPr>
      </w:pPr>
    </w:p>
    <w:p w:rsidR="00DF064D" w:rsidRPr="00FE576F" w:rsidRDefault="00DF064D" w:rsidP="00FE576F">
      <w:pPr>
        <w:pStyle w:val="ListParagraph"/>
        <w:rPr>
          <w:rFonts w:cs="Arial"/>
          <w:snapToGrid w:val="0"/>
          <w:sz w:val="18"/>
          <w:szCs w:val="18"/>
          <w:lang w:eastAsia="ja-JP"/>
        </w:rPr>
      </w:pPr>
      <w:r w:rsidRPr="00FE576F">
        <w:rPr>
          <w:sz w:val="18"/>
          <w:szCs w:val="18"/>
        </w:rPr>
        <w:t>“(a)</w:t>
      </w:r>
      <w:r w:rsidRPr="00FE576F">
        <w:rPr>
          <w:sz w:val="18"/>
          <w:szCs w:val="18"/>
        </w:rPr>
        <w:tab/>
        <w:t xml:space="preserve">An authority should not accept a variety denomination if </w:t>
      </w:r>
      <w:r w:rsidRPr="00FE576F">
        <w:rPr>
          <w:strike/>
          <w:sz w:val="18"/>
          <w:szCs w:val="18"/>
          <w:highlight w:val="lightGray"/>
        </w:rPr>
        <w:t>a</w:t>
      </w:r>
      <w:r w:rsidRPr="00FE576F">
        <w:rPr>
          <w:sz w:val="18"/>
          <w:szCs w:val="18"/>
          <w:highlight w:val="lightGray"/>
        </w:rPr>
        <w:t xml:space="preserve"> </w:t>
      </w:r>
      <w:r w:rsidRPr="00FE576F">
        <w:rPr>
          <w:sz w:val="18"/>
          <w:szCs w:val="18"/>
          <w:highlight w:val="lightGray"/>
          <w:u w:val="single"/>
        </w:rPr>
        <w:t>there is an existing</w:t>
      </w:r>
      <w:r w:rsidRPr="00FE576F">
        <w:rPr>
          <w:sz w:val="18"/>
          <w:szCs w:val="18"/>
        </w:rPr>
        <w:t xml:space="preserve"> prior right, the exercise of which may prevent the use of the proposed denomination</w:t>
      </w:r>
      <w:r w:rsidRPr="00FE576F">
        <w:rPr>
          <w:strike/>
          <w:sz w:val="18"/>
          <w:szCs w:val="18"/>
          <w:highlight w:val="lightGray"/>
        </w:rPr>
        <w:t>, has already been granted to a third party</w:t>
      </w:r>
      <w:r w:rsidRPr="00FE576F">
        <w:rPr>
          <w:sz w:val="18"/>
          <w:szCs w:val="18"/>
          <w:highlight w:val="lightGray"/>
        </w:rPr>
        <w:t xml:space="preserve"> </w:t>
      </w:r>
      <w:r w:rsidRPr="00FE576F">
        <w:rPr>
          <w:strike/>
          <w:sz w:val="18"/>
          <w:szCs w:val="18"/>
          <w:highlight w:val="lightGray"/>
        </w:rPr>
        <w:t>under plant breeder’s right law, trademark law or any other intellectual property legislation.</w:t>
      </w:r>
      <w:r w:rsidRPr="00FE576F">
        <w:rPr>
          <w:sz w:val="18"/>
          <w:szCs w:val="18"/>
        </w:rPr>
        <w:t xml:space="preserve"> […]”</w:t>
      </w:r>
      <w:r>
        <w:rPr>
          <w:sz w:val="18"/>
          <w:szCs w:val="18"/>
        </w:rPr>
        <w:t>.</w:t>
      </w:r>
    </w:p>
    <w:p w:rsidR="00DF064D" w:rsidRDefault="00DF064D" w:rsidP="00045B17">
      <w:pPr>
        <w:rPr>
          <w:rFonts w:cs="Arial"/>
          <w:snapToGrid w:val="0"/>
          <w:lang w:eastAsia="ja-JP"/>
        </w:rPr>
      </w:pPr>
    </w:p>
    <w:p w:rsidR="00DF064D" w:rsidRDefault="00DF064D" w:rsidP="00FE576F">
      <w:pPr>
        <w:pStyle w:val="ListParagraph"/>
        <w:keepNext/>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Pr>
          <w:lang w:eastAsia="ja-JP"/>
        </w:rPr>
        <w:t xml:space="preserve">agreed </w:t>
      </w:r>
      <w:r w:rsidRPr="0046205D">
        <w:rPr>
          <w:rFonts w:hint="eastAsia"/>
          <w:lang w:eastAsia="ja-JP"/>
        </w:rPr>
        <w:t xml:space="preserve">to </w:t>
      </w:r>
      <w:r w:rsidRPr="002457FA">
        <w:rPr>
          <w:lang w:eastAsia="ja-JP"/>
        </w:rPr>
        <w:t xml:space="preserve">amend </w:t>
      </w:r>
      <w:r w:rsidRPr="00594ACD">
        <w:rPr>
          <w:rFonts w:cs="Arial"/>
          <w:snapToGrid w:val="0"/>
          <w:lang w:eastAsia="ja-JP"/>
        </w:rPr>
        <w:t xml:space="preserve">Section </w:t>
      </w:r>
      <w:r>
        <w:rPr>
          <w:rFonts w:cs="Arial"/>
          <w:snapToGrid w:val="0"/>
          <w:lang w:eastAsia="ja-JP"/>
        </w:rPr>
        <w:t xml:space="preserve">4 (e) (i) </w:t>
      </w:r>
      <w:r>
        <w:rPr>
          <w:lang w:eastAsia="ja-JP"/>
        </w:rPr>
        <w:t>to read as follows:</w:t>
      </w:r>
    </w:p>
    <w:p w:rsidR="00DF064D" w:rsidRDefault="00DF064D" w:rsidP="00022940">
      <w:pPr>
        <w:rPr>
          <w:rFonts w:cs="Arial"/>
          <w:snapToGrid w:val="0"/>
          <w:lang w:eastAsia="ja-JP"/>
        </w:rPr>
      </w:pPr>
    </w:p>
    <w:p w:rsidR="00DF064D" w:rsidRPr="00FE576F" w:rsidRDefault="00DF064D" w:rsidP="00FE576F">
      <w:pPr>
        <w:pStyle w:val="ListParagraph"/>
        <w:rPr>
          <w:rFonts w:cs="Arial"/>
          <w:snapToGrid w:val="0"/>
          <w:sz w:val="18"/>
          <w:szCs w:val="18"/>
          <w:lang w:eastAsia="ja-JP"/>
        </w:rPr>
      </w:pPr>
      <w:r>
        <w:rPr>
          <w:sz w:val="18"/>
          <w:szCs w:val="18"/>
        </w:rPr>
        <w:t>“</w:t>
      </w:r>
      <w:r w:rsidRPr="00FE576F">
        <w:rPr>
          <w:sz w:val="18"/>
          <w:szCs w:val="18"/>
        </w:rPr>
        <w:t>(i)</w:t>
      </w:r>
      <w:r w:rsidRPr="00FE576F">
        <w:rPr>
          <w:sz w:val="18"/>
          <w:szCs w:val="18"/>
        </w:rPr>
        <w:tab/>
        <w:t xml:space="preserve">[…] In cases of mere similarity or small likelihood of </w:t>
      </w:r>
      <w:r w:rsidRPr="00FE576F">
        <w:rPr>
          <w:strike/>
          <w:sz w:val="18"/>
          <w:szCs w:val="18"/>
          <w:highlight w:val="lightGray"/>
        </w:rPr>
        <w:t>association</w:t>
      </w:r>
      <w:r w:rsidRPr="00FE576F">
        <w:rPr>
          <w:sz w:val="18"/>
          <w:szCs w:val="18"/>
          <w:highlight w:val="lightGray"/>
        </w:rPr>
        <w:t xml:space="preserve"> </w:t>
      </w:r>
      <w:r w:rsidRPr="00FE576F">
        <w:rPr>
          <w:rFonts w:hint="eastAsia"/>
          <w:sz w:val="18"/>
          <w:szCs w:val="18"/>
          <w:highlight w:val="lightGray"/>
          <w:u w:val="single"/>
          <w:lang w:eastAsia="ja-JP"/>
        </w:rPr>
        <w:t>confusion</w:t>
      </w:r>
      <w:r w:rsidRPr="00FE576F">
        <w:rPr>
          <w:rFonts w:hint="eastAsia"/>
          <w:sz w:val="18"/>
          <w:szCs w:val="18"/>
          <w:lang w:eastAsia="ja-JP"/>
        </w:rPr>
        <w:t xml:space="preserve"> </w:t>
      </w:r>
      <w:r w:rsidRPr="00FE576F">
        <w:rPr>
          <w:sz w:val="18"/>
          <w:szCs w:val="18"/>
        </w:rPr>
        <w:t>by users, waivers granted to breeders by prior trademark right holders could be a suitable solution</w:t>
      </w:r>
      <w:r>
        <w:rPr>
          <w:sz w:val="18"/>
          <w:szCs w:val="18"/>
        </w:rPr>
        <w:t>;”.</w:t>
      </w:r>
    </w:p>
    <w:p w:rsidR="00DF064D" w:rsidRDefault="00DF064D" w:rsidP="00B3503B">
      <w:pPr>
        <w:pStyle w:val="ListParagraph"/>
        <w:autoSpaceDE w:val="0"/>
        <w:autoSpaceDN w:val="0"/>
        <w:adjustRightInd w:val="0"/>
        <w:ind w:left="0"/>
        <w:contextualSpacing w:val="0"/>
        <w:rPr>
          <w:szCs w:val="24"/>
          <w:lang w:eastAsia="ja-JP"/>
        </w:rPr>
      </w:pPr>
    </w:p>
    <w:p w:rsidR="00DF064D" w:rsidRPr="00A02CB3" w:rsidRDefault="00DF064D" w:rsidP="00B3503B">
      <w:pPr>
        <w:pStyle w:val="ListParagraph"/>
        <w:autoSpaceDE w:val="0"/>
        <w:autoSpaceDN w:val="0"/>
        <w:adjustRightInd w:val="0"/>
        <w:ind w:left="0"/>
        <w:contextualSpacing w:val="0"/>
        <w:rPr>
          <w:szCs w:val="24"/>
          <w:lang w:eastAsia="ja-JP"/>
        </w:rPr>
      </w:pPr>
    </w:p>
    <w:p w:rsidR="00DF064D" w:rsidRPr="00A02CB3" w:rsidRDefault="00DF064D" w:rsidP="00B3503B">
      <w:pPr>
        <w:pStyle w:val="Heading2"/>
      </w:pPr>
      <w:r w:rsidRPr="00A02CB3">
        <w:lastRenderedPageBreak/>
        <w:t xml:space="preserve">Paragraph </w:t>
      </w:r>
      <w:r>
        <w:t>5</w:t>
      </w:r>
      <w:r w:rsidRPr="00A02CB3">
        <w:t xml:space="preserve"> [</w:t>
      </w:r>
      <w:r w:rsidRPr="00F260BD">
        <w:rPr>
          <w:bCs/>
          <w:iCs/>
        </w:rPr>
        <w:t>Same denomination in all members of the Union</w:t>
      </w:r>
      <w:r w:rsidRPr="00A02CB3">
        <w:t>]</w:t>
      </w:r>
    </w:p>
    <w:p w:rsidR="00DF064D" w:rsidRDefault="00DF064D" w:rsidP="00B3503B">
      <w:pPr>
        <w:pStyle w:val="ListParagraph"/>
        <w:keepNext/>
        <w:autoSpaceDE w:val="0"/>
        <w:autoSpaceDN w:val="0"/>
        <w:adjustRightInd w:val="0"/>
        <w:ind w:left="0"/>
        <w:contextualSpacing w:val="0"/>
        <w:rPr>
          <w:lang w:eastAsia="ja-JP"/>
        </w:rPr>
      </w:pPr>
    </w:p>
    <w:p w:rsidR="00DF064D" w:rsidRPr="00157F96" w:rsidRDefault="00DF064D" w:rsidP="001270A7">
      <w:r>
        <w:fldChar w:fldCharType="begin"/>
      </w:r>
      <w:r>
        <w:instrText xml:space="preserve"> AUTONUM  </w:instrText>
      </w:r>
      <w:r>
        <w:fldChar w:fldCharType="end"/>
      </w:r>
      <w:r>
        <w:tab/>
        <w:t xml:space="preserve">The WG-DEN agreed </w:t>
      </w:r>
      <w:r w:rsidR="005D2B42">
        <w:t xml:space="preserve">that the Office of the Union </w:t>
      </w:r>
      <w:r w:rsidR="0098545C">
        <w:t xml:space="preserve">should </w:t>
      </w:r>
      <w:r w:rsidR="005D2B42">
        <w:t xml:space="preserve">develop a proposal </w:t>
      </w:r>
      <w:r>
        <w:t>to provide guidance that, in the case of synonyms, authorities should accept the denomination that was submitted and registered with the first application, unless that denomination was unsuitable in their territory.</w:t>
      </w:r>
    </w:p>
    <w:p w:rsidR="00DF064D" w:rsidRDefault="00DF064D" w:rsidP="001B587F">
      <w:pPr>
        <w:rPr>
          <w:lang w:eastAsia="ja-JP"/>
        </w:rPr>
      </w:pPr>
    </w:p>
    <w:p w:rsidR="00DF064D" w:rsidRDefault="00DF064D" w:rsidP="00B3503B">
      <w:pPr>
        <w:pStyle w:val="ListParagraph"/>
        <w:keepNext/>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Pr>
          <w:lang w:eastAsia="ja-JP"/>
        </w:rPr>
        <w:t xml:space="preserve">agreed </w:t>
      </w:r>
      <w:r w:rsidRPr="0046205D">
        <w:rPr>
          <w:rFonts w:hint="eastAsia"/>
          <w:lang w:eastAsia="ja-JP"/>
        </w:rPr>
        <w:t xml:space="preserve">to </w:t>
      </w:r>
      <w:r w:rsidRPr="002457FA">
        <w:rPr>
          <w:lang w:eastAsia="ja-JP"/>
        </w:rPr>
        <w:t xml:space="preserve">amend </w:t>
      </w:r>
      <w:r w:rsidRPr="0046205D">
        <w:rPr>
          <w:lang w:eastAsia="ja-JP"/>
        </w:rPr>
        <w:t xml:space="preserve">Section </w:t>
      </w:r>
      <w:r>
        <w:rPr>
          <w:lang w:eastAsia="ja-JP"/>
        </w:rPr>
        <w:t>5.3 (a) to read as follows:</w:t>
      </w:r>
    </w:p>
    <w:p w:rsidR="00DF064D" w:rsidRPr="00022940" w:rsidRDefault="00DF064D" w:rsidP="00022940">
      <w:pPr>
        <w:rPr>
          <w:rFonts w:eastAsia="MS Mincho"/>
        </w:rPr>
      </w:pPr>
    </w:p>
    <w:p w:rsidR="00DF064D" w:rsidRPr="001270A7" w:rsidRDefault="0098545C" w:rsidP="001270A7">
      <w:pPr>
        <w:pStyle w:val="ListParagraph"/>
        <w:rPr>
          <w:sz w:val="18"/>
          <w:szCs w:val="18"/>
        </w:rPr>
      </w:pPr>
      <w:r>
        <w:rPr>
          <w:sz w:val="18"/>
          <w:szCs w:val="18"/>
        </w:rPr>
        <w:t>“(a)</w:t>
      </w:r>
      <w:r>
        <w:rPr>
          <w:sz w:val="18"/>
          <w:szCs w:val="18"/>
        </w:rPr>
        <w:tab/>
      </w:r>
      <w:r w:rsidR="00DF064D" w:rsidRPr="001270A7">
        <w:rPr>
          <w:sz w:val="18"/>
          <w:szCs w:val="18"/>
        </w:rPr>
        <w:t xml:space="preserve">it does not conform to the provisions in paragraphs (2) </w:t>
      </w:r>
      <w:r w:rsidR="00DF064D" w:rsidRPr="00CF6321">
        <w:rPr>
          <w:sz w:val="18"/>
          <w:szCs w:val="18"/>
          <w:u w:val="single"/>
          <w:shd w:val="pct15" w:color="auto" w:fill="FFFFFF"/>
        </w:rPr>
        <w:t>(for example, the proposed denomination is not different from an existing variety of the same plant species or of a closely related species in its territory)</w:t>
      </w:r>
      <w:r w:rsidR="00DF064D" w:rsidRPr="001270A7">
        <w:rPr>
          <w:sz w:val="18"/>
          <w:szCs w:val="18"/>
        </w:rPr>
        <w:t xml:space="preserve"> and (4)</w:t>
      </w:r>
      <w:r w:rsidR="00DF064D" w:rsidRPr="001270A7">
        <w:rPr>
          <w:sz w:val="18"/>
          <w:szCs w:val="18"/>
          <w:shd w:val="pct15" w:color="auto" w:fill="FFFFFF"/>
        </w:rPr>
        <w:t xml:space="preserve"> </w:t>
      </w:r>
      <w:r w:rsidR="00DF064D" w:rsidRPr="00CF6321">
        <w:rPr>
          <w:sz w:val="18"/>
          <w:szCs w:val="18"/>
          <w:u w:val="single"/>
          <w:shd w:val="pct15" w:color="auto" w:fill="FFFFFF"/>
        </w:rPr>
        <w:t>(for example, the proposed denomination is identical to a trademark registered for identical goods)</w:t>
      </w:r>
      <w:r w:rsidR="00DF064D" w:rsidRPr="001270A7">
        <w:rPr>
          <w:sz w:val="18"/>
          <w:szCs w:val="18"/>
        </w:rPr>
        <w:t>;”</w:t>
      </w:r>
      <w:r w:rsidR="00DF064D">
        <w:rPr>
          <w:sz w:val="18"/>
          <w:szCs w:val="18"/>
        </w:rPr>
        <w:t xml:space="preserve"> .</w:t>
      </w:r>
    </w:p>
    <w:p w:rsidR="00DF064D" w:rsidRDefault="00DF064D" w:rsidP="001270A7">
      <w:pPr>
        <w:pStyle w:val="ListParagraph"/>
        <w:rPr>
          <w:rFonts w:cs="Arial"/>
          <w:snapToGrid w:val="0"/>
          <w:lang w:eastAsia="ja-JP"/>
        </w:rPr>
      </w:pPr>
    </w:p>
    <w:p w:rsidR="00DF064D" w:rsidRDefault="00DF064D" w:rsidP="001270A7">
      <w:pPr>
        <w:pStyle w:val="ListParagraph"/>
        <w:keepNext/>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Pr>
          <w:lang w:eastAsia="ja-JP"/>
        </w:rPr>
        <w:t xml:space="preserve">agreed </w:t>
      </w:r>
      <w:r w:rsidRPr="0046205D">
        <w:rPr>
          <w:rFonts w:hint="eastAsia"/>
          <w:lang w:eastAsia="ja-JP"/>
        </w:rPr>
        <w:t xml:space="preserve">to </w:t>
      </w:r>
      <w:r w:rsidRPr="002457FA">
        <w:rPr>
          <w:lang w:eastAsia="ja-JP"/>
        </w:rPr>
        <w:t xml:space="preserve">amend </w:t>
      </w:r>
      <w:r w:rsidRPr="0046205D">
        <w:rPr>
          <w:lang w:eastAsia="ja-JP"/>
        </w:rPr>
        <w:t xml:space="preserve">Section </w:t>
      </w:r>
      <w:r>
        <w:rPr>
          <w:lang w:eastAsia="ja-JP"/>
        </w:rPr>
        <w:t>5.5 to read as follows:</w:t>
      </w:r>
    </w:p>
    <w:p w:rsidR="00DF064D" w:rsidRPr="00022940" w:rsidRDefault="00DF064D" w:rsidP="00022940">
      <w:pPr>
        <w:rPr>
          <w:rFonts w:eastAsia="MS Mincho"/>
        </w:rPr>
      </w:pPr>
    </w:p>
    <w:p w:rsidR="00DF064D" w:rsidRPr="0098545C" w:rsidRDefault="00DF064D" w:rsidP="001B587F">
      <w:pPr>
        <w:pStyle w:val="ListParagraph"/>
        <w:rPr>
          <w:sz w:val="18"/>
          <w:szCs w:val="18"/>
        </w:rPr>
      </w:pPr>
      <w:r w:rsidRPr="0098545C">
        <w:rPr>
          <w:sz w:val="18"/>
          <w:szCs w:val="18"/>
        </w:rPr>
        <w:t>“5.5</w:t>
      </w:r>
      <w:r w:rsidRPr="0098545C">
        <w:rPr>
          <w:sz w:val="18"/>
          <w:szCs w:val="18"/>
        </w:rPr>
        <w:tab/>
        <w:t xml:space="preserve">[…]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98545C">
        <w:rPr>
          <w:strike/>
          <w:sz w:val="18"/>
          <w:szCs w:val="18"/>
          <w:highlight w:val="lightGray"/>
        </w:rPr>
        <w:t>UPOV Plant Variety</w:t>
      </w:r>
      <w:r w:rsidRPr="0098545C">
        <w:rPr>
          <w:sz w:val="18"/>
          <w:szCs w:val="18"/>
          <w:highlight w:val="lightGray"/>
          <w:u w:val="single"/>
        </w:rPr>
        <w:t>PLUTO</w:t>
      </w:r>
      <w:r w:rsidRPr="0098545C">
        <w:rPr>
          <w:sz w:val="18"/>
          <w:szCs w:val="18"/>
        </w:rPr>
        <w:t xml:space="preserve"> </w:t>
      </w:r>
      <w:r w:rsidR="0098545C" w:rsidRPr="0098545C">
        <w:rPr>
          <w:sz w:val="18"/>
          <w:szCs w:val="18"/>
        </w:rPr>
        <w:t>database</w:t>
      </w:r>
      <w:r w:rsidRPr="0098545C">
        <w:rPr>
          <w:sz w:val="18"/>
          <w:szCs w:val="18"/>
        </w:rPr>
        <w:t>. […]”.</w:t>
      </w:r>
    </w:p>
    <w:p w:rsidR="00DF064D" w:rsidRDefault="00DF064D" w:rsidP="00E118E5">
      <w:pPr>
        <w:pStyle w:val="ListParagraph"/>
        <w:autoSpaceDE w:val="0"/>
        <w:autoSpaceDN w:val="0"/>
        <w:adjustRightInd w:val="0"/>
        <w:ind w:left="0"/>
        <w:contextualSpacing w:val="0"/>
        <w:rPr>
          <w:szCs w:val="24"/>
          <w:lang w:eastAsia="ja-JP"/>
        </w:rPr>
      </w:pPr>
    </w:p>
    <w:p w:rsidR="00DF064D" w:rsidRPr="00A02CB3" w:rsidRDefault="00DF064D" w:rsidP="00E118E5">
      <w:pPr>
        <w:pStyle w:val="ListParagraph"/>
        <w:autoSpaceDE w:val="0"/>
        <w:autoSpaceDN w:val="0"/>
        <w:adjustRightInd w:val="0"/>
        <w:ind w:left="0"/>
        <w:contextualSpacing w:val="0"/>
        <w:rPr>
          <w:szCs w:val="24"/>
          <w:lang w:eastAsia="ja-JP"/>
        </w:rPr>
      </w:pPr>
    </w:p>
    <w:p w:rsidR="00DF064D" w:rsidRPr="00A02CB3" w:rsidRDefault="00DF064D" w:rsidP="00E118E5">
      <w:pPr>
        <w:pStyle w:val="Heading2"/>
      </w:pPr>
      <w:r w:rsidRPr="00A02CB3">
        <w:t xml:space="preserve">Paragraph </w:t>
      </w:r>
      <w:r>
        <w:t>6</w:t>
      </w:r>
      <w:r w:rsidRPr="00A02CB3">
        <w:t xml:space="preserve"> [</w:t>
      </w:r>
      <w:r w:rsidRPr="0098461A">
        <w:t>Information among the authorities of members of the Union</w:t>
      </w:r>
      <w:r w:rsidRPr="00A02CB3">
        <w:t>]</w:t>
      </w:r>
    </w:p>
    <w:p w:rsidR="00DF064D" w:rsidRDefault="00DF064D" w:rsidP="00E118E5">
      <w:pPr>
        <w:pStyle w:val="ListParagraph"/>
        <w:keepNext/>
        <w:autoSpaceDE w:val="0"/>
        <w:autoSpaceDN w:val="0"/>
        <w:adjustRightInd w:val="0"/>
        <w:ind w:left="0"/>
        <w:contextualSpacing w:val="0"/>
        <w:rPr>
          <w:lang w:eastAsia="ja-JP"/>
        </w:rPr>
      </w:pPr>
    </w:p>
    <w:p w:rsidR="00DF064D" w:rsidRDefault="00DF064D" w:rsidP="00E118E5">
      <w:pPr>
        <w:pStyle w:val="ListParagraph"/>
        <w:keepNext/>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Pr>
          <w:lang w:eastAsia="ja-JP"/>
        </w:rPr>
        <w:t xml:space="preserve">agreed </w:t>
      </w:r>
      <w:r w:rsidRPr="0046205D">
        <w:rPr>
          <w:rFonts w:hint="eastAsia"/>
          <w:lang w:eastAsia="ja-JP"/>
        </w:rPr>
        <w:t xml:space="preserve">to </w:t>
      </w:r>
      <w:r w:rsidRPr="002457FA">
        <w:rPr>
          <w:lang w:eastAsia="ja-JP"/>
        </w:rPr>
        <w:t xml:space="preserve">amend </w:t>
      </w:r>
      <w:r w:rsidRPr="0046205D">
        <w:rPr>
          <w:lang w:eastAsia="ja-JP"/>
        </w:rPr>
        <w:t xml:space="preserve">Section </w:t>
      </w:r>
      <w:r>
        <w:rPr>
          <w:lang w:eastAsia="ja-JP"/>
        </w:rPr>
        <w:t>6.2 to read as follows:</w:t>
      </w:r>
    </w:p>
    <w:p w:rsidR="00DF064D" w:rsidRDefault="00DF064D" w:rsidP="00E118E5">
      <w:pPr>
        <w:keepNext/>
        <w:rPr>
          <w:rFonts w:cs="Arial"/>
          <w:snapToGrid w:val="0"/>
          <w:lang w:eastAsia="ja-JP"/>
        </w:rPr>
      </w:pPr>
    </w:p>
    <w:p w:rsidR="00DF064D" w:rsidRPr="00E118E5" w:rsidRDefault="00DF064D" w:rsidP="001B587F">
      <w:pPr>
        <w:pStyle w:val="ListParagraph"/>
        <w:rPr>
          <w:sz w:val="18"/>
          <w:szCs w:val="18"/>
        </w:rPr>
      </w:pPr>
      <w:r>
        <w:rPr>
          <w:sz w:val="18"/>
          <w:szCs w:val="18"/>
        </w:rPr>
        <w:t>“</w:t>
      </w:r>
      <w:r w:rsidRPr="00E118E5">
        <w:rPr>
          <w:sz w:val="18"/>
          <w:szCs w:val="18"/>
        </w:rPr>
        <w:t>6.2</w:t>
      </w:r>
      <w:r w:rsidRPr="00E118E5">
        <w:rPr>
          <w:sz w:val="18"/>
          <w:szCs w:val="18"/>
        </w:rPr>
        <w:tab/>
        <w:t xml:space="preserve">[…] However, the </w:t>
      </w:r>
      <w:r w:rsidRPr="00E118E5">
        <w:rPr>
          <w:strike/>
          <w:sz w:val="18"/>
          <w:szCs w:val="18"/>
          <w:highlight w:val="lightGray"/>
        </w:rPr>
        <w:t>UPOV Plant Variety</w:t>
      </w:r>
      <w:r w:rsidRPr="00E118E5">
        <w:rPr>
          <w:sz w:val="18"/>
          <w:szCs w:val="18"/>
          <w:highlight w:val="lightGray"/>
          <w:u w:val="single"/>
        </w:rPr>
        <w:t>PLUTO</w:t>
      </w:r>
      <w:r w:rsidRPr="00E118E5">
        <w:rPr>
          <w:sz w:val="18"/>
          <w:szCs w:val="18"/>
        </w:rPr>
        <w:t xml:space="preserve"> </w:t>
      </w:r>
      <w:r w:rsidR="0098545C" w:rsidRPr="00E118E5">
        <w:rPr>
          <w:sz w:val="18"/>
          <w:szCs w:val="18"/>
        </w:rPr>
        <w:t xml:space="preserve">database </w:t>
      </w:r>
      <w:r w:rsidRPr="00E118E5">
        <w:rPr>
          <w:sz w:val="18"/>
          <w:szCs w:val="18"/>
        </w:rPr>
        <w:t>is an important mechanism by which to maximize the availability of information for members of the Union concerning variety denominations in a practical form.</w:t>
      </w:r>
      <w:r>
        <w:rPr>
          <w:sz w:val="18"/>
          <w:szCs w:val="18"/>
        </w:rPr>
        <w:t>”</w:t>
      </w:r>
      <w:r w:rsidRPr="00E118E5">
        <w:rPr>
          <w:sz w:val="18"/>
          <w:szCs w:val="18"/>
        </w:rPr>
        <w:t xml:space="preserve"> </w:t>
      </w:r>
    </w:p>
    <w:p w:rsidR="00DF064D" w:rsidRDefault="00DF064D" w:rsidP="008875BE">
      <w:pPr>
        <w:rPr>
          <w:rFonts w:cs="Arial"/>
          <w:snapToGrid w:val="0"/>
          <w:lang w:eastAsia="ja-JP"/>
        </w:rPr>
      </w:pPr>
    </w:p>
    <w:p w:rsidR="00DF064D" w:rsidRDefault="00DF064D" w:rsidP="00E118E5">
      <w:pPr>
        <w:pStyle w:val="ListParagraph"/>
        <w:keepNext/>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add </w:t>
      </w:r>
      <w:r>
        <w:rPr>
          <w:lang w:eastAsia="ja-JP"/>
        </w:rPr>
        <w:t>a new Section 6.8 to read</w:t>
      </w:r>
      <w:r>
        <w:rPr>
          <w:rFonts w:hint="eastAsia"/>
          <w:lang w:eastAsia="ja-JP"/>
        </w:rPr>
        <w:t xml:space="preserve"> as </w:t>
      </w:r>
      <w:r>
        <w:rPr>
          <w:lang w:eastAsia="ja-JP"/>
        </w:rPr>
        <w:t>follows</w:t>
      </w:r>
      <w:r>
        <w:rPr>
          <w:rFonts w:hint="eastAsia"/>
          <w:lang w:eastAsia="ja-JP"/>
        </w:rPr>
        <w:t>:</w:t>
      </w:r>
    </w:p>
    <w:p w:rsidR="00DF064D" w:rsidRPr="00506162" w:rsidRDefault="00DF064D" w:rsidP="000B52E7">
      <w:pPr>
        <w:rPr>
          <w:snapToGrid w:val="0"/>
          <w:lang w:eastAsia="ja-JP"/>
        </w:rPr>
      </w:pPr>
    </w:p>
    <w:p w:rsidR="00DF064D" w:rsidRDefault="00DF064D" w:rsidP="001B587F">
      <w:pPr>
        <w:pStyle w:val="ListParagraph"/>
        <w:autoSpaceDE w:val="0"/>
        <w:autoSpaceDN w:val="0"/>
        <w:adjustRightInd w:val="0"/>
        <w:ind w:left="709"/>
        <w:contextualSpacing w:val="0"/>
        <w:rPr>
          <w:lang w:eastAsia="ja-JP"/>
        </w:rPr>
      </w:pPr>
      <w:r>
        <w:rPr>
          <w:lang w:eastAsia="ja-JP"/>
        </w:rPr>
        <w:t>“</w:t>
      </w:r>
      <w:r w:rsidRPr="0098461A">
        <w:rPr>
          <w:sz w:val="18"/>
          <w:lang w:eastAsia="ja-JP"/>
        </w:rPr>
        <w:t>6.8</w:t>
      </w:r>
      <w:r w:rsidRPr="0098461A">
        <w:rPr>
          <w:sz w:val="18"/>
          <w:lang w:eastAsia="ja-JP"/>
        </w:rPr>
        <w:tab/>
        <w:t xml:space="preserve">The contribution of data by members of the Union to the PLUTO database provides support for the examination of variety denominations.  Members of the Union are encouraged to provide data as soon as practical after it is published by the authority(ies) concerned. </w:t>
      </w:r>
      <w:r w:rsidR="0098545C">
        <w:rPr>
          <w:sz w:val="18"/>
          <w:lang w:eastAsia="ja-JP"/>
        </w:rPr>
        <w:t xml:space="preserve"> </w:t>
      </w:r>
      <w:r w:rsidRPr="0098461A">
        <w:rPr>
          <w:sz w:val="18"/>
          <w:lang w:eastAsia="ja-JP"/>
        </w:rPr>
        <w:t xml:space="preserve">The PLUTO database will be updated with new data as quickly as possible after receipt, in accordance with the uploading procedure. </w:t>
      </w:r>
      <w:r w:rsidR="0098545C">
        <w:rPr>
          <w:sz w:val="18"/>
          <w:lang w:eastAsia="ja-JP"/>
        </w:rPr>
        <w:t xml:space="preserve"> </w:t>
      </w:r>
      <w:r w:rsidRPr="0098461A">
        <w:rPr>
          <w:sz w:val="18"/>
          <w:lang w:eastAsia="ja-JP"/>
        </w:rPr>
        <w:t>The PLUTO database can, as necessary, be updated with corrected data, in accordance with the uploading procedure.</w:t>
      </w:r>
      <w:r w:rsidRPr="003036ED">
        <w:rPr>
          <w:lang w:eastAsia="ja-JP"/>
        </w:rPr>
        <w:t>”</w:t>
      </w:r>
    </w:p>
    <w:p w:rsidR="00DF064D" w:rsidRPr="000C3905" w:rsidRDefault="00DF064D" w:rsidP="00931709">
      <w:pPr>
        <w:rPr>
          <w:lang w:eastAsia="ja-JP"/>
        </w:rPr>
      </w:pPr>
    </w:p>
    <w:p w:rsidR="00DF064D" w:rsidRPr="000C3905" w:rsidRDefault="00DF064D" w:rsidP="00931709">
      <w:pPr>
        <w:rPr>
          <w:rFonts w:cs="Arial"/>
          <w:snapToGrid w:val="0"/>
          <w:lang w:eastAsia="ja-JP"/>
        </w:rPr>
      </w:pPr>
      <w:r w:rsidRPr="000C3905">
        <w:rPr>
          <w:rFonts w:cs="Arial"/>
          <w:snapToGrid w:val="0"/>
        </w:rPr>
        <w:fldChar w:fldCharType="begin"/>
      </w:r>
      <w:r w:rsidRPr="000C3905">
        <w:rPr>
          <w:rFonts w:cs="Arial"/>
          <w:snapToGrid w:val="0"/>
        </w:rPr>
        <w:instrText xml:space="preserve"> AUTONUM  </w:instrText>
      </w:r>
      <w:r w:rsidRPr="000C3905">
        <w:rPr>
          <w:rFonts w:cs="Arial"/>
          <w:snapToGrid w:val="0"/>
        </w:rPr>
        <w:fldChar w:fldCharType="end"/>
      </w:r>
      <w:r w:rsidRPr="000C3905">
        <w:rPr>
          <w:rFonts w:cs="Arial"/>
          <w:snapToGrid w:val="0"/>
        </w:rPr>
        <w:tab/>
      </w:r>
      <w:r w:rsidRPr="000C3905">
        <w:rPr>
          <w:rFonts w:cs="Arial"/>
          <w:snapToGrid w:val="0"/>
          <w:lang w:eastAsia="ja-JP"/>
        </w:rPr>
        <w:t>The WG-DEN agreed</w:t>
      </w:r>
      <w:r>
        <w:rPr>
          <w:rFonts w:cs="Arial"/>
          <w:snapToGrid w:val="0"/>
          <w:lang w:eastAsia="ja-JP"/>
        </w:rPr>
        <w:t xml:space="preserve"> that </w:t>
      </w:r>
      <w:r w:rsidRPr="004729FB">
        <w:rPr>
          <w:rFonts w:cs="Arial"/>
          <w:snapToGrid w:val="0"/>
          <w:lang w:eastAsia="ja-JP"/>
        </w:rPr>
        <w:t xml:space="preserve">a new draft of </w:t>
      </w:r>
      <w:r>
        <w:rPr>
          <w:rFonts w:cs="Arial"/>
          <w:snapToGrid w:val="0"/>
          <w:lang w:eastAsia="ja-JP"/>
        </w:rPr>
        <w:t>the</w:t>
      </w:r>
      <w:r w:rsidRPr="004729FB">
        <w:rPr>
          <w:rFonts w:cs="Arial"/>
          <w:snapToGrid w:val="0"/>
          <w:lang w:eastAsia="ja-JP"/>
        </w:rPr>
        <w:t xml:space="preserve"> relevant sections of document UPOV/EXN/DEN </w:t>
      </w:r>
      <w:r>
        <w:rPr>
          <w:rFonts w:cs="Arial"/>
          <w:snapToGrid w:val="0"/>
          <w:lang w:eastAsia="ja-JP"/>
        </w:rPr>
        <w:t>sh</w:t>
      </w:r>
      <w:r w:rsidRPr="004729FB">
        <w:rPr>
          <w:rFonts w:cs="Arial"/>
          <w:snapToGrid w:val="0"/>
          <w:lang w:eastAsia="ja-JP"/>
        </w:rPr>
        <w:t>ould be circulated for comments by correspondence to the WG-DEN</w:t>
      </w:r>
      <w:r>
        <w:rPr>
          <w:rFonts w:cs="Arial"/>
          <w:snapToGrid w:val="0"/>
          <w:lang w:eastAsia="ja-JP"/>
        </w:rPr>
        <w:t xml:space="preserve"> early </w:t>
      </w:r>
      <w:r w:rsidRPr="0037475F">
        <w:rPr>
          <w:rFonts w:cs="Arial"/>
          <w:snapToGrid w:val="0"/>
          <w:lang w:eastAsia="ja-JP"/>
        </w:rPr>
        <w:t>in 2019</w:t>
      </w:r>
      <w:r>
        <w:rPr>
          <w:rFonts w:cs="Arial"/>
          <w:snapToGrid w:val="0"/>
          <w:lang w:eastAsia="ja-JP"/>
        </w:rPr>
        <w:t>.</w:t>
      </w:r>
    </w:p>
    <w:p w:rsidR="00DF064D" w:rsidRPr="007B07B2" w:rsidRDefault="00DF064D" w:rsidP="005F33CF">
      <w:pPr>
        <w:pStyle w:val="ListParagraph"/>
        <w:autoSpaceDE w:val="0"/>
        <w:autoSpaceDN w:val="0"/>
        <w:adjustRightInd w:val="0"/>
        <w:ind w:left="0"/>
        <w:contextualSpacing w:val="0"/>
        <w:jc w:val="left"/>
        <w:rPr>
          <w:szCs w:val="24"/>
          <w:lang w:eastAsia="ja-JP"/>
        </w:rPr>
      </w:pPr>
    </w:p>
    <w:p w:rsidR="00DF064D" w:rsidRPr="005E5D45" w:rsidRDefault="00DF064D" w:rsidP="005F33CF">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0C3905">
        <w:rPr>
          <w:rFonts w:cs="Arial"/>
          <w:snapToGrid w:val="0"/>
          <w:lang w:eastAsia="ja-JP"/>
        </w:rPr>
        <w:t>agreed</w:t>
      </w:r>
      <w:r>
        <w:rPr>
          <w:rFonts w:cs="Arial"/>
          <w:snapToGrid w:val="0"/>
          <w:lang w:eastAsia="ja-JP"/>
        </w:rPr>
        <w:t xml:space="preserve"> </w:t>
      </w:r>
      <w:r w:rsidRPr="00F07A92">
        <w:rPr>
          <w:rFonts w:cs="Arial"/>
          <w:snapToGrid w:val="0"/>
          <w:lang w:eastAsia="ja-JP"/>
        </w:rPr>
        <w:t xml:space="preserve">that </w:t>
      </w:r>
      <w:r w:rsidRPr="00F07A92">
        <w:t>document</w:t>
      </w:r>
      <w:r w:rsidRPr="00F07A92">
        <w:rPr>
          <w:lang w:eastAsia="ja-JP"/>
        </w:rPr>
        <w:t xml:space="preserve"> UPOV/EXN/DEN/1 Draft 2 should be prepared on the basis of the comments received by correspondence</w:t>
      </w:r>
      <w:r w:rsidR="005D515A">
        <w:rPr>
          <w:lang w:eastAsia="ja-JP"/>
        </w:rPr>
        <w:t xml:space="preserve"> and</w:t>
      </w:r>
      <w:r>
        <w:rPr>
          <w:lang w:eastAsia="ja-JP"/>
        </w:rPr>
        <w:t xml:space="preserve"> that </w:t>
      </w:r>
      <w:r w:rsidRPr="005E5D45">
        <w:t>document</w:t>
      </w:r>
      <w:r w:rsidRPr="005E5D45">
        <w:rPr>
          <w:lang w:eastAsia="ja-JP"/>
        </w:rPr>
        <w:t xml:space="preserve"> UPOV/</w:t>
      </w:r>
      <w:r>
        <w:rPr>
          <w:lang w:eastAsia="ja-JP"/>
        </w:rPr>
        <w:t>EXN/DEN</w:t>
      </w:r>
      <w:r w:rsidRPr="005E5D45">
        <w:rPr>
          <w:lang w:eastAsia="ja-JP"/>
        </w:rPr>
        <w:t xml:space="preserve">/1 Draft </w:t>
      </w:r>
      <w:r>
        <w:rPr>
          <w:lang w:eastAsia="ja-JP"/>
        </w:rPr>
        <w:t>2 should be pr</w:t>
      </w:r>
      <w:r w:rsidRPr="005D515A">
        <w:rPr>
          <w:lang w:eastAsia="ja-JP"/>
        </w:rPr>
        <w:t xml:space="preserve">esented to the sixth meeting of the WG-DEN and </w:t>
      </w:r>
      <w:r w:rsidRPr="005D515A">
        <w:rPr>
          <w:rFonts w:cs="Arial"/>
          <w:snapToGrid w:val="0"/>
          <w:lang w:eastAsia="ja-JP"/>
        </w:rPr>
        <w:t>the seventy-sixth session of the CAJ, to be held on Octob</w:t>
      </w:r>
      <w:r w:rsidR="0098545C">
        <w:rPr>
          <w:rFonts w:cs="Arial"/>
          <w:snapToGrid w:val="0"/>
          <w:lang w:eastAsia="ja-JP"/>
        </w:rPr>
        <w:t>er 30, 2019</w:t>
      </w:r>
      <w:r w:rsidR="005D515A" w:rsidRPr="005D515A">
        <w:rPr>
          <w:rFonts w:cs="Arial"/>
          <w:snapToGrid w:val="0"/>
          <w:lang w:eastAsia="ja-JP"/>
        </w:rPr>
        <w:t>.</w:t>
      </w:r>
      <w:r w:rsidR="0098545C">
        <w:rPr>
          <w:rFonts w:cs="Arial"/>
          <w:snapToGrid w:val="0"/>
          <w:lang w:eastAsia="ja-JP"/>
        </w:rPr>
        <w:t xml:space="preserve"> </w:t>
      </w:r>
      <w:r w:rsidRPr="005D515A">
        <w:rPr>
          <w:rFonts w:cs="Arial"/>
          <w:snapToGrid w:val="0"/>
          <w:lang w:eastAsia="ja-JP"/>
        </w:rPr>
        <w:t xml:space="preserve"> </w:t>
      </w:r>
      <w:r w:rsidR="005D515A">
        <w:rPr>
          <w:rFonts w:cs="Arial"/>
          <w:snapToGrid w:val="0"/>
          <w:lang w:eastAsia="ja-JP"/>
        </w:rPr>
        <w:t>The</w:t>
      </w:r>
      <w:r w:rsidRPr="005D515A">
        <w:rPr>
          <w:rFonts w:cs="Arial"/>
          <w:snapToGrid w:val="0"/>
          <w:lang w:eastAsia="ja-JP"/>
        </w:rPr>
        <w:t xml:space="preserve"> comments of the WG-DEN</w:t>
      </w:r>
      <w:r w:rsidR="005D515A">
        <w:rPr>
          <w:rFonts w:cs="Arial"/>
          <w:snapToGrid w:val="0"/>
          <w:lang w:eastAsia="ja-JP"/>
        </w:rPr>
        <w:t xml:space="preserve"> at its </w:t>
      </w:r>
      <w:r w:rsidR="005D515A" w:rsidRPr="005D515A">
        <w:rPr>
          <w:lang w:eastAsia="ja-JP"/>
        </w:rPr>
        <w:t>sixth meeting</w:t>
      </w:r>
      <w:r w:rsidRPr="005D515A">
        <w:rPr>
          <w:rFonts w:cs="Arial"/>
          <w:snapToGrid w:val="0"/>
          <w:lang w:eastAsia="ja-JP"/>
        </w:rPr>
        <w:t xml:space="preserve"> </w:t>
      </w:r>
      <w:r w:rsidR="005D515A">
        <w:rPr>
          <w:rFonts w:cs="Arial"/>
          <w:snapToGrid w:val="0"/>
          <w:lang w:eastAsia="ja-JP"/>
        </w:rPr>
        <w:t>would</w:t>
      </w:r>
      <w:r w:rsidRPr="005D515A">
        <w:rPr>
          <w:lang w:eastAsia="ja-JP"/>
        </w:rPr>
        <w:t xml:space="preserve"> be reported</w:t>
      </w:r>
      <w:r w:rsidR="005D515A">
        <w:rPr>
          <w:lang w:eastAsia="ja-JP"/>
        </w:rPr>
        <w:t xml:space="preserve"> to the CAJ, at its </w:t>
      </w:r>
      <w:r w:rsidR="005D515A" w:rsidRPr="005D515A">
        <w:rPr>
          <w:rFonts w:cs="Arial"/>
          <w:snapToGrid w:val="0"/>
          <w:lang w:eastAsia="ja-JP"/>
        </w:rPr>
        <w:t>seventy-sixth session</w:t>
      </w:r>
      <w:r w:rsidRPr="005D515A">
        <w:rPr>
          <w:lang w:eastAsia="ja-JP"/>
        </w:rPr>
        <w:t>.</w:t>
      </w:r>
      <w:r>
        <w:rPr>
          <w:lang w:eastAsia="ja-JP"/>
        </w:rPr>
        <w:t xml:space="preserve"> </w:t>
      </w:r>
    </w:p>
    <w:p w:rsidR="00DF064D" w:rsidRDefault="00DF064D" w:rsidP="003A008C">
      <w:pPr>
        <w:pStyle w:val="ListParagraph"/>
        <w:autoSpaceDE w:val="0"/>
        <w:autoSpaceDN w:val="0"/>
        <w:adjustRightInd w:val="0"/>
        <w:ind w:left="0"/>
        <w:contextualSpacing w:val="0"/>
        <w:rPr>
          <w:szCs w:val="24"/>
          <w:lang w:eastAsia="ja-JP"/>
        </w:rPr>
      </w:pPr>
    </w:p>
    <w:p w:rsidR="00DF064D" w:rsidRDefault="00DF064D" w:rsidP="003A008C">
      <w:pPr>
        <w:pStyle w:val="ListParagraph"/>
        <w:autoSpaceDE w:val="0"/>
        <w:autoSpaceDN w:val="0"/>
        <w:adjustRightInd w:val="0"/>
        <w:ind w:left="0"/>
        <w:contextualSpacing w:val="0"/>
        <w:rPr>
          <w:szCs w:val="24"/>
          <w:lang w:eastAsia="ja-JP"/>
        </w:rPr>
      </w:pPr>
    </w:p>
    <w:p w:rsidR="00DF064D" w:rsidRPr="00D52109" w:rsidRDefault="00DF064D" w:rsidP="003A008C">
      <w:pPr>
        <w:pStyle w:val="Heading1"/>
        <w:rPr>
          <w:snapToGrid w:val="0"/>
        </w:rPr>
      </w:pPr>
      <w:r w:rsidRPr="00D52109">
        <w:rPr>
          <w:snapToGrid w:val="0"/>
        </w:rPr>
        <w:t>UPOV Denomination Similarity Search Tool</w:t>
      </w:r>
    </w:p>
    <w:p w:rsidR="00DF064D" w:rsidRPr="007B07B2" w:rsidRDefault="00DF064D" w:rsidP="008E4324">
      <w:pPr>
        <w:pStyle w:val="ListParagraph"/>
        <w:autoSpaceDE w:val="0"/>
        <w:autoSpaceDN w:val="0"/>
        <w:adjustRightInd w:val="0"/>
        <w:ind w:left="0"/>
        <w:contextualSpacing w:val="0"/>
        <w:jc w:val="left"/>
        <w:rPr>
          <w:szCs w:val="24"/>
          <w:lang w:eastAsia="ja-JP"/>
        </w:rPr>
      </w:pPr>
    </w:p>
    <w:p w:rsidR="00DF064D" w:rsidRPr="005E5D45" w:rsidRDefault="00DF064D" w:rsidP="008E4324">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5E5D45">
        <w:rPr>
          <w:lang w:eastAsia="ja-JP"/>
        </w:rPr>
        <w:t xml:space="preserve">considered </w:t>
      </w:r>
      <w:r w:rsidR="007C2FF7">
        <w:t>document</w:t>
      </w:r>
      <w:r w:rsidRPr="005E5D45">
        <w:rPr>
          <w:lang w:eastAsia="ja-JP"/>
        </w:rPr>
        <w:t xml:space="preserve"> UPOV/WG-DEN/</w:t>
      </w:r>
      <w:r>
        <w:rPr>
          <w:lang w:eastAsia="ja-JP"/>
        </w:rPr>
        <w:t>2</w:t>
      </w:r>
      <w:r w:rsidRPr="005E5D45">
        <w:rPr>
          <w:lang w:eastAsia="ja-JP"/>
        </w:rPr>
        <w:t>/</w:t>
      </w:r>
      <w:r>
        <w:rPr>
          <w:lang w:eastAsia="ja-JP"/>
        </w:rPr>
        <w:t>3</w:t>
      </w:r>
      <w:r w:rsidRPr="005E5D45">
        <w:rPr>
          <w:lang w:eastAsia="ja-JP"/>
        </w:rPr>
        <w:t>.</w:t>
      </w:r>
    </w:p>
    <w:p w:rsidR="00DF064D" w:rsidRDefault="00DF064D" w:rsidP="000D69DC">
      <w:pPr>
        <w:rPr>
          <w:lang w:eastAsia="ja-JP"/>
        </w:rPr>
      </w:pPr>
    </w:p>
    <w:p w:rsidR="00DF064D" w:rsidRDefault="00DF064D" w:rsidP="000D69DC">
      <w:r w:rsidRPr="00D52109">
        <w:rPr>
          <w:lang w:eastAsia="ja-JP"/>
        </w:rPr>
        <w:fldChar w:fldCharType="begin"/>
      </w:r>
      <w:r w:rsidRPr="00D52109">
        <w:rPr>
          <w:lang w:eastAsia="ja-JP"/>
        </w:rPr>
        <w:instrText xml:space="preserve"> AUTONUM  </w:instrText>
      </w:r>
      <w:r w:rsidRPr="00D52109">
        <w:rPr>
          <w:lang w:eastAsia="ja-JP"/>
        </w:rPr>
        <w:fldChar w:fldCharType="end"/>
      </w:r>
      <w:r w:rsidRPr="00D52109">
        <w:rPr>
          <w:lang w:eastAsia="ja-JP"/>
        </w:rPr>
        <w:tab/>
      </w:r>
      <w:r>
        <w:rPr>
          <w:rFonts w:cs="Arial"/>
          <w:lang w:eastAsia="ja-JP"/>
        </w:rPr>
        <w:t>T</w:t>
      </w:r>
      <w:r w:rsidRPr="000C3F97">
        <w:rPr>
          <w:rFonts w:cs="Arial"/>
          <w:lang w:eastAsia="ja-JP"/>
        </w:rPr>
        <w:t xml:space="preserve">he </w:t>
      </w:r>
      <w:r w:rsidRPr="008F3A33">
        <w:rPr>
          <w:rFonts w:cs="Arial"/>
          <w:lang w:eastAsia="ja-JP"/>
        </w:rPr>
        <w:t>WG-DEN</w:t>
      </w:r>
      <w:r w:rsidRPr="008F3A33">
        <w:rPr>
          <w:lang w:eastAsia="ja-JP"/>
        </w:rPr>
        <w:t xml:space="preserve"> agreed</w:t>
      </w:r>
      <w:r>
        <w:rPr>
          <w:lang w:eastAsia="ja-JP"/>
        </w:rPr>
        <w:t xml:space="preserve"> that </w:t>
      </w:r>
      <w:r>
        <w:t xml:space="preserve">the Office of the Union should restart its work to explore possibilities to improve the UPOV Denomination Similarity Search Tool in conjunction with the </w:t>
      </w:r>
      <w:r w:rsidR="0098545C">
        <w:t xml:space="preserve">Community Plant Variety Office </w:t>
      </w:r>
      <w:r w:rsidR="006034E8">
        <w:t xml:space="preserve">of the European Union </w:t>
      </w:r>
      <w:r w:rsidR="0098545C">
        <w:t>(CPVO)</w:t>
      </w:r>
      <w:r>
        <w:t>.</w:t>
      </w:r>
    </w:p>
    <w:p w:rsidR="00DF064D" w:rsidRDefault="00DF064D" w:rsidP="00D71BA5"/>
    <w:p w:rsidR="00DF064D" w:rsidRPr="0065302E" w:rsidRDefault="00DF064D" w:rsidP="00D971BC">
      <w:pPr>
        <w:rPr>
          <w:snapToGrid w:val="0"/>
        </w:rPr>
      </w:pPr>
    </w:p>
    <w:p w:rsidR="00DF064D" w:rsidRPr="0065302E" w:rsidRDefault="00DF064D" w:rsidP="00D971BC">
      <w:pPr>
        <w:pStyle w:val="Heading1"/>
        <w:rPr>
          <w:snapToGrid w:val="0"/>
        </w:rPr>
      </w:pPr>
      <w:r w:rsidRPr="0065302E">
        <w:rPr>
          <w:snapToGrid w:val="0"/>
        </w:rPr>
        <w:t>Expansion of the content of the PLUTO database</w:t>
      </w:r>
    </w:p>
    <w:p w:rsidR="00DF064D" w:rsidRPr="007B07B2" w:rsidRDefault="00DF064D" w:rsidP="00E703C8">
      <w:pPr>
        <w:pStyle w:val="ListParagraph"/>
        <w:autoSpaceDE w:val="0"/>
        <w:autoSpaceDN w:val="0"/>
        <w:adjustRightInd w:val="0"/>
        <w:ind w:left="0"/>
        <w:contextualSpacing w:val="0"/>
        <w:jc w:val="left"/>
        <w:rPr>
          <w:szCs w:val="24"/>
          <w:lang w:eastAsia="ja-JP"/>
        </w:rPr>
      </w:pPr>
    </w:p>
    <w:p w:rsidR="00DF064D" w:rsidRPr="005E5D45" w:rsidRDefault="00DF064D" w:rsidP="00E703C8">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5E5D45">
        <w:rPr>
          <w:lang w:eastAsia="ja-JP"/>
        </w:rPr>
        <w:t xml:space="preserve">considered </w:t>
      </w:r>
      <w:r w:rsidRPr="005E5D45">
        <w:t>document</w:t>
      </w:r>
      <w:r w:rsidRPr="005E5D45">
        <w:rPr>
          <w:lang w:eastAsia="ja-JP"/>
        </w:rPr>
        <w:t xml:space="preserve"> UPOV/WG-DEN/</w:t>
      </w:r>
      <w:r>
        <w:rPr>
          <w:lang w:eastAsia="ja-JP"/>
        </w:rPr>
        <w:t>1</w:t>
      </w:r>
      <w:r w:rsidRPr="005E5D45">
        <w:rPr>
          <w:lang w:eastAsia="ja-JP"/>
        </w:rPr>
        <w:t>/</w:t>
      </w:r>
      <w:r>
        <w:rPr>
          <w:lang w:eastAsia="ja-JP"/>
        </w:rPr>
        <w:t>4</w:t>
      </w:r>
      <w:r w:rsidRPr="005E5D45">
        <w:rPr>
          <w:lang w:eastAsia="ja-JP"/>
        </w:rPr>
        <w:t>.</w:t>
      </w:r>
    </w:p>
    <w:p w:rsidR="00DF064D" w:rsidRPr="0065302E" w:rsidRDefault="00DF064D" w:rsidP="00D971BC">
      <w:pPr>
        <w:pStyle w:val="Heading1"/>
        <w:rPr>
          <w:snapToGrid w:val="0"/>
        </w:rPr>
      </w:pPr>
    </w:p>
    <w:p w:rsidR="00DF064D" w:rsidRDefault="00DF064D" w:rsidP="00B70561">
      <w:pPr>
        <w:rPr>
          <w:snapToGrid w:val="0"/>
        </w:rPr>
      </w:pPr>
      <w:r w:rsidRPr="0065302E">
        <w:rPr>
          <w:lang w:eastAsia="ja-JP"/>
        </w:rPr>
        <w:fldChar w:fldCharType="begin"/>
      </w:r>
      <w:r w:rsidRPr="0065302E">
        <w:rPr>
          <w:lang w:eastAsia="ja-JP"/>
        </w:rPr>
        <w:instrText xml:space="preserve"> AUTONUM  </w:instrText>
      </w:r>
      <w:r w:rsidRPr="0065302E">
        <w:rPr>
          <w:lang w:eastAsia="ja-JP"/>
        </w:rPr>
        <w:fldChar w:fldCharType="end"/>
      </w:r>
      <w:r w:rsidRPr="0065302E">
        <w:rPr>
          <w:lang w:eastAsia="ja-JP"/>
        </w:rPr>
        <w:tab/>
      </w:r>
      <w:r w:rsidRPr="0065302E">
        <w:rPr>
          <w:rFonts w:cs="Arial"/>
          <w:lang w:eastAsia="ja-JP"/>
        </w:rPr>
        <w:t>The WG-DEN</w:t>
      </w:r>
      <w:r w:rsidRPr="0065302E">
        <w:rPr>
          <w:lang w:eastAsia="ja-JP"/>
        </w:rPr>
        <w:t xml:space="preserve"> agreed</w:t>
      </w:r>
      <w:r>
        <w:rPr>
          <w:lang w:eastAsia="ja-JP"/>
        </w:rPr>
        <w:t>:</w:t>
      </w:r>
    </w:p>
    <w:p w:rsidR="00DF064D" w:rsidRDefault="00DF064D" w:rsidP="00B70561"/>
    <w:p w:rsidR="00DF064D" w:rsidRPr="00B70561" w:rsidRDefault="00DF064D" w:rsidP="00B70561">
      <w:pPr>
        <w:ind w:firstLine="567"/>
      </w:pPr>
      <w:r w:rsidRPr="00B70561">
        <w:t>(a)</w:t>
      </w:r>
      <w:r w:rsidRPr="00B70561">
        <w:tab/>
        <w:t>to accept accents and special characters in denominations in the PLUTO database while noting that the denomination search tool on the PLUTO database would only use the character set ASCII representation, as defined in ISO Standard 646;</w:t>
      </w:r>
    </w:p>
    <w:p w:rsidR="00DF064D" w:rsidRPr="00B70561" w:rsidRDefault="00DF064D" w:rsidP="00B70561">
      <w:pPr>
        <w:ind w:firstLine="567"/>
      </w:pPr>
    </w:p>
    <w:p w:rsidR="00DF064D" w:rsidRPr="00B70561" w:rsidRDefault="00DF064D" w:rsidP="001B587F">
      <w:pPr>
        <w:spacing w:after="240"/>
        <w:ind w:firstLine="567"/>
      </w:pPr>
      <w:r w:rsidRPr="00B70561">
        <w:lastRenderedPageBreak/>
        <w:t>(b)</w:t>
      </w:r>
      <w:r w:rsidRPr="00B70561">
        <w:tab/>
        <w:t>to revise the “Program for Improvements to the Plant Variety Database”, Section 3.1.3 in order to change the acceptable character set to ISO/IEC Standard 8859 1: 1998;</w:t>
      </w:r>
    </w:p>
    <w:p w:rsidR="00DF064D" w:rsidRDefault="00DF064D" w:rsidP="00B70561">
      <w:pPr>
        <w:ind w:firstLine="567"/>
      </w:pPr>
      <w:r w:rsidRPr="00396CDC">
        <w:t>(c)</w:t>
      </w:r>
      <w:r>
        <w:tab/>
        <w:t>to invite members of the Union to check whether they have relevant variety data that is no longer included in the PLUTO database but was submitted to the PLUTO database previously;</w:t>
      </w:r>
    </w:p>
    <w:p w:rsidR="00DF064D" w:rsidRPr="00B70561" w:rsidRDefault="00DF064D" w:rsidP="00B70561">
      <w:pPr>
        <w:ind w:firstLine="567"/>
      </w:pPr>
    </w:p>
    <w:p w:rsidR="00DF064D" w:rsidRPr="00B70561" w:rsidRDefault="00DF064D" w:rsidP="00B70561">
      <w:pPr>
        <w:ind w:firstLine="567"/>
      </w:pPr>
      <w:r w:rsidRPr="00B70561">
        <w:t>(</w:t>
      </w:r>
      <w:r>
        <w:t>d</w:t>
      </w:r>
      <w:r w:rsidRPr="00B70561">
        <w:t>)</w:t>
      </w:r>
      <w:r w:rsidRPr="00B70561">
        <w:tab/>
      </w:r>
      <w:r>
        <w:t xml:space="preserve">that the Office of the Union should explore possibilities </w:t>
      </w:r>
      <w:r w:rsidRPr="00B70561">
        <w:t>to introduce a unique identifier for variety records in the PLUTO database in order that new data submissions would add to the existing data rather than replacing it;</w:t>
      </w:r>
    </w:p>
    <w:p w:rsidR="00DF064D" w:rsidRPr="00B70561" w:rsidRDefault="00DF064D" w:rsidP="00B70561">
      <w:pPr>
        <w:ind w:firstLine="567"/>
      </w:pPr>
    </w:p>
    <w:p w:rsidR="00DF064D" w:rsidRPr="00B70561" w:rsidRDefault="00DF064D" w:rsidP="00B70561">
      <w:pPr>
        <w:ind w:firstLine="567"/>
      </w:pPr>
      <w:r w:rsidRPr="00B70561">
        <w:t>(e)</w:t>
      </w:r>
      <w:r w:rsidRPr="00B70561">
        <w:tab/>
      </w:r>
      <w:r>
        <w:t xml:space="preserve">that </w:t>
      </w:r>
      <w:r w:rsidRPr="00B70561">
        <w:t xml:space="preserve">additional data should </w:t>
      </w:r>
      <w:r>
        <w:t xml:space="preserve">not </w:t>
      </w:r>
      <w:r w:rsidRPr="00B70561">
        <w:t xml:space="preserve">be included in PLUTO </w:t>
      </w:r>
      <w:r>
        <w:t>but</w:t>
      </w:r>
      <w:r w:rsidRPr="00B70561">
        <w:t xml:space="preserve"> accessible via a search platform for independent databases; </w:t>
      </w:r>
      <w:r w:rsidR="007C2FF7">
        <w:t xml:space="preserve"> </w:t>
      </w:r>
      <w:r w:rsidRPr="00B70561">
        <w:t>and</w:t>
      </w:r>
    </w:p>
    <w:p w:rsidR="00DF064D" w:rsidRPr="00B70561" w:rsidRDefault="00DF064D" w:rsidP="00B70561">
      <w:pPr>
        <w:ind w:firstLine="567"/>
      </w:pPr>
    </w:p>
    <w:p w:rsidR="00DF064D" w:rsidRDefault="00DF064D" w:rsidP="00B70561">
      <w:pPr>
        <w:ind w:firstLine="567"/>
        <w:rPr>
          <w:lang w:eastAsia="ja-JP"/>
        </w:rPr>
      </w:pPr>
      <w:r w:rsidRPr="00B70561">
        <w:t>(f)</w:t>
      </w:r>
      <w:r w:rsidRPr="00B70561">
        <w:tab/>
      </w:r>
      <w:r>
        <w:t xml:space="preserve">that the Office of the Union to issue a circular </w:t>
      </w:r>
      <w:r w:rsidRPr="00B70561">
        <w:t xml:space="preserve">to invite members of the Union to propose data that they would wish to include in the PLUTO database or </w:t>
      </w:r>
      <w:r w:rsidR="007C2FF7">
        <w:t xml:space="preserve">make </w:t>
      </w:r>
      <w:r w:rsidRPr="00B70561">
        <w:t>accessible via a search platform for independent databases</w:t>
      </w:r>
      <w:r w:rsidRPr="00B70561">
        <w:rPr>
          <w:rFonts w:hint="eastAsia"/>
          <w:lang w:eastAsia="ja-JP"/>
        </w:rPr>
        <w:t>.</w:t>
      </w:r>
    </w:p>
    <w:p w:rsidR="00DF064D" w:rsidRPr="0065302E" w:rsidRDefault="00DF064D" w:rsidP="00B70561">
      <w:pPr>
        <w:rPr>
          <w:snapToGrid w:val="0"/>
        </w:rPr>
      </w:pPr>
    </w:p>
    <w:p w:rsidR="00DF064D" w:rsidRPr="0065302E" w:rsidRDefault="00DF064D" w:rsidP="009F601E">
      <w:pPr>
        <w:rPr>
          <w:snapToGrid w:val="0"/>
        </w:rPr>
      </w:pPr>
    </w:p>
    <w:p w:rsidR="00DF064D" w:rsidRPr="0065302E" w:rsidRDefault="00DF064D" w:rsidP="009F601E">
      <w:pPr>
        <w:pStyle w:val="Heading1"/>
        <w:rPr>
          <w:snapToGrid w:val="0"/>
        </w:rPr>
      </w:pPr>
      <w:r w:rsidRPr="0065302E">
        <w:rPr>
          <w:snapToGrid w:val="0"/>
        </w:rPr>
        <w:t>Non-acceptable terms</w:t>
      </w:r>
    </w:p>
    <w:p w:rsidR="00DF064D" w:rsidRPr="007B07B2" w:rsidRDefault="00DF064D" w:rsidP="00E703C8">
      <w:pPr>
        <w:pStyle w:val="ListParagraph"/>
        <w:autoSpaceDE w:val="0"/>
        <w:autoSpaceDN w:val="0"/>
        <w:adjustRightInd w:val="0"/>
        <w:ind w:left="0"/>
        <w:contextualSpacing w:val="0"/>
        <w:jc w:val="left"/>
        <w:rPr>
          <w:szCs w:val="24"/>
          <w:lang w:eastAsia="ja-JP"/>
        </w:rPr>
      </w:pPr>
    </w:p>
    <w:p w:rsidR="00DF064D" w:rsidRPr="005E5D45" w:rsidRDefault="00DF064D" w:rsidP="00E703C8">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5E5D45">
        <w:rPr>
          <w:lang w:eastAsia="ja-JP"/>
        </w:rPr>
        <w:t xml:space="preserve">considered </w:t>
      </w:r>
      <w:r w:rsidRPr="005E5D45">
        <w:t>document</w:t>
      </w:r>
      <w:r w:rsidRPr="005E5D45">
        <w:rPr>
          <w:lang w:eastAsia="ja-JP"/>
        </w:rPr>
        <w:t xml:space="preserve"> UPOV/WG-DEN/</w:t>
      </w:r>
      <w:r>
        <w:rPr>
          <w:lang w:eastAsia="ja-JP"/>
        </w:rPr>
        <w:t>1</w:t>
      </w:r>
      <w:r w:rsidRPr="005E5D45">
        <w:rPr>
          <w:lang w:eastAsia="ja-JP"/>
        </w:rPr>
        <w:t>/</w:t>
      </w:r>
      <w:r>
        <w:rPr>
          <w:lang w:eastAsia="ja-JP"/>
        </w:rPr>
        <w:t>5</w:t>
      </w:r>
      <w:r w:rsidRPr="005E5D45">
        <w:rPr>
          <w:lang w:eastAsia="ja-JP"/>
        </w:rPr>
        <w:t>.</w:t>
      </w:r>
    </w:p>
    <w:p w:rsidR="00DF064D" w:rsidRPr="0065302E" w:rsidRDefault="00DF064D" w:rsidP="009F601E">
      <w:pPr>
        <w:pStyle w:val="Heading1"/>
        <w:rPr>
          <w:snapToGrid w:val="0"/>
        </w:rPr>
      </w:pPr>
    </w:p>
    <w:p w:rsidR="00DF064D" w:rsidRPr="00A90381" w:rsidRDefault="00DF064D" w:rsidP="009F601E">
      <w:pPr>
        <w:rPr>
          <w:spacing w:val="-2"/>
        </w:rPr>
      </w:pPr>
      <w:r w:rsidRPr="00A90381">
        <w:rPr>
          <w:spacing w:val="-2"/>
          <w:lang w:eastAsia="ja-JP"/>
        </w:rPr>
        <w:fldChar w:fldCharType="begin"/>
      </w:r>
      <w:r w:rsidRPr="00A90381">
        <w:rPr>
          <w:spacing w:val="-2"/>
          <w:lang w:eastAsia="ja-JP"/>
        </w:rPr>
        <w:instrText xml:space="preserve"> AUTONUM  </w:instrText>
      </w:r>
      <w:r w:rsidRPr="00A90381">
        <w:rPr>
          <w:spacing w:val="-2"/>
          <w:lang w:eastAsia="ja-JP"/>
        </w:rPr>
        <w:fldChar w:fldCharType="end"/>
      </w:r>
      <w:r w:rsidRPr="00A90381">
        <w:rPr>
          <w:spacing w:val="-2"/>
          <w:lang w:eastAsia="ja-JP"/>
        </w:rPr>
        <w:tab/>
      </w:r>
      <w:r w:rsidRPr="00A90381">
        <w:rPr>
          <w:rFonts w:cs="Arial"/>
          <w:spacing w:val="-2"/>
          <w:lang w:eastAsia="ja-JP"/>
        </w:rPr>
        <w:t>The WG-DEN</w:t>
      </w:r>
      <w:r w:rsidRPr="00273D7D">
        <w:rPr>
          <w:rFonts w:cs="Arial"/>
          <w:spacing w:val="-2"/>
          <w:lang w:eastAsia="ja-JP"/>
        </w:rPr>
        <w:t xml:space="preserve"> agreed not to pursue further the matter in relation to </w:t>
      </w:r>
      <w:r>
        <w:rPr>
          <w:rFonts w:cs="Arial"/>
          <w:spacing w:val="-2"/>
          <w:lang w:eastAsia="ja-JP"/>
        </w:rPr>
        <w:t xml:space="preserve">this </w:t>
      </w:r>
      <w:r w:rsidRPr="00273D7D">
        <w:rPr>
          <w:rFonts w:cs="Arial"/>
          <w:spacing w:val="-2"/>
          <w:lang w:eastAsia="ja-JP"/>
        </w:rPr>
        <w:t>item “Non-acceptable terms”</w:t>
      </w:r>
      <w:r w:rsidRPr="00A90381">
        <w:rPr>
          <w:spacing w:val="-2"/>
        </w:rPr>
        <w:t>.</w:t>
      </w:r>
      <w:r w:rsidRPr="00A90381">
        <w:rPr>
          <w:rFonts w:hint="eastAsia"/>
          <w:spacing w:val="-2"/>
        </w:rPr>
        <w:t xml:space="preserve">  </w:t>
      </w:r>
    </w:p>
    <w:p w:rsidR="00DF064D" w:rsidRDefault="00DF064D" w:rsidP="0044172A">
      <w:pPr>
        <w:ind w:left="567" w:hanging="567"/>
        <w:rPr>
          <w:snapToGrid w:val="0"/>
        </w:rPr>
      </w:pPr>
    </w:p>
    <w:p w:rsidR="00DF064D" w:rsidRPr="0044172A" w:rsidRDefault="00DF064D" w:rsidP="0044172A">
      <w:pPr>
        <w:ind w:left="567" w:hanging="567"/>
        <w:rPr>
          <w:snapToGrid w:val="0"/>
        </w:rPr>
      </w:pPr>
    </w:p>
    <w:p w:rsidR="00DF064D" w:rsidRPr="005E5D45" w:rsidRDefault="00DF064D" w:rsidP="00C6294C">
      <w:pPr>
        <w:pStyle w:val="Heading1"/>
        <w:rPr>
          <w:lang w:eastAsia="ja-JP"/>
        </w:rPr>
      </w:pPr>
      <w:r w:rsidRPr="005E5D45">
        <w:rPr>
          <w:lang w:eastAsia="ja-JP"/>
        </w:rPr>
        <w:t>Date</w:t>
      </w:r>
      <w:r>
        <w:rPr>
          <w:lang w:eastAsia="ja-JP"/>
        </w:rPr>
        <w:t>, place</w:t>
      </w:r>
      <w:r w:rsidRPr="005E5D45">
        <w:rPr>
          <w:lang w:eastAsia="ja-JP"/>
        </w:rPr>
        <w:t xml:space="preserve"> and program of the next meeting</w:t>
      </w:r>
    </w:p>
    <w:p w:rsidR="00DF064D" w:rsidRPr="005E5D45" w:rsidRDefault="00DF064D" w:rsidP="00C6294C">
      <w:pPr>
        <w:keepNext/>
        <w:rPr>
          <w:color w:val="000000" w:themeColor="text1"/>
          <w:lang w:eastAsia="ja-JP"/>
        </w:rPr>
      </w:pPr>
    </w:p>
    <w:p w:rsidR="00DF064D" w:rsidRPr="005E5D45" w:rsidRDefault="00DF064D" w:rsidP="00C6294C">
      <w:pPr>
        <w:rPr>
          <w:color w:val="000000" w:themeColor="text1"/>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5E5D45">
        <w:rPr>
          <w:snapToGrid w:val="0"/>
          <w:lang w:eastAsia="ja-JP"/>
        </w:rPr>
        <w:t>T</w:t>
      </w:r>
      <w:r w:rsidRPr="005E5D45">
        <w:rPr>
          <w:rFonts w:cs="Arial"/>
        </w:rPr>
        <w:t xml:space="preserve">he </w:t>
      </w:r>
      <w:r w:rsidRPr="005E5D45">
        <w:rPr>
          <w:rFonts w:cs="Arial"/>
          <w:lang w:eastAsia="ja-JP"/>
        </w:rPr>
        <w:t xml:space="preserve">WG-DEN agreed </w:t>
      </w:r>
      <w:r>
        <w:rPr>
          <w:color w:val="000000" w:themeColor="text1"/>
          <w:lang w:eastAsia="ja-JP"/>
        </w:rPr>
        <w:t xml:space="preserve">to hold its sixth </w:t>
      </w:r>
      <w:r w:rsidRPr="005E5D45">
        <w:rPr>
          <w:color w:val="000000" w:themeColor="text1"/>
          <w:lang w:eastAsia="ja-JP"/>
        </w:rPr>
        <w:t xml:space="preserve">meeting in </w:t>
      </w:r>
      <w:r>
        <w:rPr>
          <w:color w:val="000000" w:themeColor="text1"/>
          <w:lang w:eastAsia="ja-JP"/>
        </w:rPr>
        <w:t>Geneva, in the evening of October 29, 2019</w:t>
      </w:r>
      <w:r w:rsidRPr="005E5D45">
        <w:rPr>
          <w:color w:val="000000" w:themeColor="text1"/>
          <w:lang w:eastAsia="ja-JP"/>
        </w:rPr>
        <w:t>.</w:t>
      </w:r>
    </w:p>
    <w:p w:rsidR="00DF064D" w:rsidRPr="005E5D45" w:rsidRDefault="00DF064D" w:rsidP="00C6294C">
      <w:pPr>
        <w:rPr>
          <w:color w:val="000000" w:themeColor="text1"/>
          <w:lang w:eastAsia="ja-JP"/>
        </w:rPr>
      </w:pPr>
    </w:p>
    <w:p w:rsidR="00DF064D" w:rsidRPr="005E5D45" w:rsidRDefault="00DF064D" w:rsidP="00C6294C">
      <w:pPr>
        <w:rPr>
          <w:color w:val="000000" w:themeColor="text1"/>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5E5D45">
        <w:t xml:space="preserve">The following program was agreed for the </w:t>
      </w:r>
      <w:r>
        <w:t>sixth</w:t>
      </w:r>
      <w:r w:rsidRPr="005E5D45">
        <w:t xml:space="preserve"> meeting of the </w:t>
      </w:r>
      <w:r w:rsidRPr="005E5D45">
        <w:rPr>
          <w:rFonts w:cs="Arial"/>
          <w:lang w:eastAsia="ja-JP"/>
        </w:rPr>
        <w:t>WG-DEN:</w:t>
      </w:r>
    </w:p>
    <w:p w:rsidR="00DF064D" w:rsidRPr="005E5D45" w:rsidRDefault="00DF064D" w:rsidP="00C6294C">
      <w:pPr>
        <w:rPr>
          <w:lang w:eastAsia="ja-JP"/>
        </w:rPr>
      </w:pPr>
    </w:p>
    <w:p w:rsidR="00DF064D" w:rsidRPr="005E5D45" w:rsidRDefault="00DF064D" w:rsidP="00DF064D">
      <w:pPr>
        <w:pStyle w:val="ListParagraph"/>
        <w:numPr>
          <w:ilvl w:val="0"/>
          <w:numId w:val="48"/>
        </w:numPr>
        <w:autoSpaceDE w:val="0"/>
        <w:autoSpaceDN w:val="0"/>
        <w:adjustRightInd w:val="0"/>
        <w:ind w:left="1134" w:hanging="567"/>
        <w:contextualSpacing w:val="0"/>
        <w:jc w:val="left"/>
        <w:rPr>
          <w:szCs w:val="24"/>
        </w:rPr>
      </w:pPr>
      <w:r w:rsidRPr="005E5D45">
        <w:rPr>
          <w:szCs w:val="24"/>
        </w:rPr>
        <w:t xml:space="preserve">Opening of the </w:t>
      </w:r>
      <w:r>
        <w:rPr>
          <w:szCs w:val="24"/>
        </w:rPr>
        <w:t>meeting</w:t>
      </w:r>
    </w:p>
    <w:p w:rsidR="00DF064D" w:rsidRPr="005E5D45" w:rsidRDefault="00DF064D" w:rsidP="00C6294C">
      <w:pPr>
        <w:ind w:left="1134" w:hanging="567"/>
      </w:pPr>
    </w:p>
    <w:p w:rsidR="00DF064D" w:rsidRPr="005E5D45" w:rsidRDefault="00DF064D" w:rsidP="00DF064D">
      <w:pPr>
        <w:pStyle w:val="ListParagraph"/>
        <w:numPr>
          <w:ilvl w:val="0"/>
          <w:numId w:val="48"/>
        </w:numPr>
        <w:autoSpaceDE w:val="0"/>
        <w:autoSpaceDN w:val="0"/>
        <w:adjustRightInd w:val="0"/>
        <w:ind w:left="1134" w:hanging="567"/>
        <w:contextualSpacing w:val="0"/>
        <w:jc w:val="left"/>
        <w:rPr>
          <w:szCs w:val="24"/>
        </w:rPr>
      </w:pPr>
      <w:r w:rsidRPr="005E5D45">
        <w:rPr>
          <w:szCs w:val="24"/>
        </w:rPr>
        <w:t>Adoption of the agenda</w:t>
      </w:r>
    </w:p>
    <w:p w:rsidR="00DF064D" w:rsidRPr="005E5D45" w:rsidRDefault="00DF064D" w:rsidP="00C6294C">
      <w:pPr>
        <w:ind w:left="1134" w:hanging="567"/>
      </w:pPr>
    </w:p>
    <w:p w:rsidR="00DF064D" w:rsidRPr="005E5D45" w:rsidRDefault="00DF064D" w:rsidP="00DF064D">
      <w:pPr>
        <w:pStyle w:val="ListParagraph"/>
        <w:numPr>
          <w:ilvl w:val="0"/>
          <w:numId w:val="48"/>
        </w:numPr>
        <w:autoSpaceDE w:val="0"/>
        <w:autoSpaceDN w:val="0"/>
        <w:adjustRightInd w:val="0"/>
        <w:ind w:left="1134" w:hanging="567"/>
        <w:contextualSpacing w:val="0"/>
        <w:rPr>
          <w:szCs w:val="24"/>
          <w:lang w:eastAsia="ja-JP"/>
        </w:rPr>
      </w:pPr>
      <w:r w:rsidRPr="005E5D45">
        <w:rPr>
          <w:szCs w:val="24"/>
          <w:lang w:eastAsia="ja-JP"/>
        </w:rPr>
        <w:t>Revision of document UPOV/INF/12/5 “Explanatory Notes on Variety Denominations under the UPOV Convention”</w:t>
      </w:r>
    </w:p>
    <w:p w:rsidR="00DF064D" w:rsidRPr="005E5D45" w:rsidRDefault="00DF064D" w:rsidP="00C6294C">
      <w:pPr>
        <w:ind w:left="1134" w:hanging="567"/>
        <w:rPr>
          <w:lang w:eastAsia="ja-JP"/>
        </w:rPr>
      </w:pPr>
    </w:p>
    <w:p w:rsidR="00DF064D" w:rsidRPr="009E456B" w:rsidRDefault="00DF064D" w:rsidP="00DF064D">
      <w:pPr>
        <w:pStyle w:val="ListParagraph"/>
        <w:numPr>
          <w:ilvl w:val="0"/>
          <w:numId w:val="48"/>
        </w:numPr>
        <w:autoSpaceDE w:val="0"/>
        <w:autoSpaceDN w:val="0"/>
        <w:adjustRightInd w:val="0"/>
        <w:ind w:left="1134" w:hanging="567"/>
        <w:contextualSpacing w:val="0"/>
        <w:jc w:val="left"/>
        <w:rPr>
          <w:szCs w:val="24"/>
          <w:lang w:eastAsia="ja-JP"/>
        </w:rPr>
      </w:pPr>
      <w:r w:rsidRPr="005E5D45">
        <w:t>Date</w:t>
      </w:r>
      <w:r w:rsidRPr="005E5D45">
        <w:rPr>
          <w:lang w:eastAsia="ja-JP"/>
        </w:rPr>
        <w:t>,</w:t>
      </w:r>
      <w:r w:rsidRPr="005E5D45">
        <w:t xml:space="preserve"> place </w:t>
      </w:r>
      <w:r w:rsidRPr="005E5D45">
        <w:rPr>
          <w:lang w:eastAsia="ja-JP"/>
        </w:rPr>
        <w:t xml:space="preserve">and program </w:t>
      </w:r>
      <w:r w:rsidRPr="005E5D45">
        <w:t>of the next meeting</w:t>
      </w:r>
    </w:p>
    <w:p w:rsidR="00DF064D" w:rsidRDefault="00DF064D" w:rsidP="00050E16"/>
    <w:p w:rsidR="00DF064D" w:rsidRPr="00526F3C" w:rsidRDefault="00526F3C" w:rsidP="00526F3C">
      <w:pPr>
        <w:tabs>
          <w:tab w:val="left" w:pos="5387"/>
        </w:tabs>
        <w:ind w:left="4820"/>
        <w:rPr>
          <w:i/>
        </w:rPr>
      </w:pPr>
      <w:r w:rsidRPr="00526F3C">
        <w:rPr>
          <w:i/>
        </w:rPr>
        <w:fldChar w:fldCharType="begin"/>
      </w:r>
      <w:r w:rsidRPr="00526F3C">
        <w:rPr>
          <w:i/>
        </w:rPr>
        <w:instrText xml:space="preserve"> AUTONUM  </w:instrText>
      </w:r>
      <w:r w:rsidRPr="00526F3C">
        <w:rPr>
          <w:i/>
        </w:rPr>
        <w:fldChar w:fldCharType="end"/>
      </w:r>
      <w:r w:rsidRPr="00526F3C">
        <w:rPr>
          <w:i/>
        </w:rPr>
        <w:tab/>
        <w:t>This report was adopted by correspondence.</w:t>
      </w:r>
    </w:p>
    <w:p w:rsidR="00526F3C" w:rsidRDefault="00526F3C" w:rsidP="00526F3C">
      <w:pPr>
        <w:tabs>
          <w:tab w:val="left" w:pos="5387"/>
        </w:tabs>
        <w:ind w:left="4820"/>
      </w:pPr>
    </w:p>
    <w:p w:rsidR="00526F3C" w:rsidRDefault="00526F3C" w:rsidP="00526F3C">
      <w:pPr>
        <w:tabs>
          <w:tab w:val="left" w:pos="5387"/>
        </w:tabs>
        <w:ind w:left="4820"/>
      </w:pPr>
    </w:p>
    <w:p w:rsidR="00526F3C" w:rsidRDefault="00526F3C" w:rsidP="00526F3C">
      <w:pPr>
        <w:tabs>
          <w:tab w:val="left" w:pos="5387"/>
        </w:tabs>
        <w:ind w:left="4820"/>
      </w:pPr>
    </w:p>
    <w:p w:rsidR="00DF064D" w:rsidRPr="009929A5" w:rsidRDefault="00526F3C" w:rsidP="00DF064D">
      <w:pPr>
        <w:ind w:right="53"/>
        <w:jc w:val="right"/>
        <w:rPr>
          <w:rFonts w:cs="Arial"/>
        </w:rPr>
      </w:pPr>
      <w:r>
        <w:t xml:space="preserve"> </w:t>
      </w:r>
      <w:r w:rsidR="00DF064D">
        <w:t>[The Annex follows]</w:t>
      </w:r>
    </w:p>
    <w:p w:rsidR="00DF064D" w:rsidRPr="00C651CE" w:rsidRDefault="00DF064D" w:rsidP="00050E16"/>
    <w:p w:rsidR="00DF064D" w:rsidRDefault="00DF064D" w:rsidP="00050E16">
      <w:pPr>
        <w:jc w:val="right"/>
        <w:sectPr w:rsidR="00DF064D" w:rsidSect="00E4459F">
          <w:headerReference w:type="default" r:id="rId9"/>
          <w:pgSz w:w="11907" w:h="16840" w:code="9"/>
          <w:pgMar w:top="510" w:right="1134" w:bottom="1134" w:left="1134" w:header="510" w:footer="624" w:gutter="0"/>
          <w:cols w:space="720"/>
          <w:titlePg/>
        </w:sectPr>
      </w:pPr>
    </w:p>
    <w:p w:rsidR="00E964F7" w:rsidRPr="001B587F" w:rsidRDefault="00526F3C" w:rsidP="00E964F7">
      <w:pPr>
        <w:pStyle w:val="Header"/>
        <w:rPr>
          <w:rStyle w:val="PageNumber"/>
          <w:lang w:val="en-US"/>
        </w:rPr>
      </w:pPr>
      <w:r>
        <w:rPr>
          <w:rStyle w:val="PageNumber"/>
          <w:lang w:val="en-US"/>
        </w:rPr>
        <w:lastRenderedPageBreak/>
        <w:t>UPOV/WG-DEN/5/3</w:t>
      </w:r>
    </w:p>
    <w:p w:rsidR="00E964F7" w:rsidRPr="001B587F" w:rsidRDefault="00E964F7" w:rsidP="00E964F7">
      <w:pPr>
        <w:jc w:val="left"/>
      </w:pPr>
    </w:p>
    <w:p w:rsidR="00E964F7" w:rsidRPr="001B587F" w:rsidRDefault="00E964F7" w:rsidP="00E964F7">
      <w:pPr>
        <w:jc w:val="center"/>
      </w:pPr>
      <w:r w:rsidRPr="001B587F">
        <w:t>ANNEX</w:t>
      </w:r>
    </w:p>
    <w:p w:rsidR="00E964F7" w:rsidRDefault="00E964F7" w:rsidP="00E07586"/>
    <w:p w:rsidR="00E964F7" w:rsidRDefault="00E964F7" w:rsidP="00E07586"/>
    <w:p w:rsidR="00E964F7" w:rsidRDefault="00E964F7" w:rsidP="00E964F7">
      <w:pPr>
        <w:jc w:val="center"/>
      </w:pPr>
      <w:r>
        <w:t>LIST OF PARTICIPANTS</w:t>
      </w:r>
    </w:p>
    <w:p w:rsidR="00E964F7" w:rsidRPr="00365DC1" w:rsidRDefault="00E964F7" w:rsidP="00E07586"/>
    <w:p w:rsidR="00E964F7" w:rsidRPr="00402ADC" w:rsidRDefault="00E964F7" w:rsidP="007C2FB3">
      <w:pPr>
        <w:pStyle w:val="plheading"/>
      </w:pPr>
      <w:r w:rsidRPr="00402ADC">
        <w:t xml:space="preserve">I. </w:t>
      </w:r>
      <w:r w:rsidR="001B587F" w:rsidRPr="00402ADC">
        <w:t>MEMBERS</w:t>
      </w:r>
    </w:p>
    <w:p w:rsidR="00E964F7" w:rsidRPr="00E964F7" w:rsidRDefault="00E964F7" w:rsidP="007C2FB3">
      <w:pPr>
        <w:pStyle w:val="plcountry"/>
        <w:rPr>
          <w:lang w:val="es-ES_tradnl"/>
        </w:rPr>
      </w:pPr>
      <w:r w:rsidRPr="00E964F7">
        <w:rPr>
          <w:lang w:val="es-ES_tradnl"/>
        </w:rPr>
        <w:t>ARGENTINA</w:t>
      </w:r>
    </w:p>
    <w:p w:rsidR="00E964F7" w:rsidRPr="00E964F7" w:rsidRDefault="00E964F7" w:rsidP="00227E5F">
      <w:pPr>
        <w:pStyle w:val="pldetails"/>
        <w:rPr>
          <w:lang w:val="es-ES_tradnl"/>
        </w:rPr>
      </w:pPr>
      <w:r w:rsidRPr="00E964F7">
        <w:rPr>
          <w:lang w:val="es-ES_tradnl"/>
        </w:rPr>
        <w:t xml:space="preserve">Raimundo LAVIGNOLLE (Sr.), Presidente del Directorio, Instituto Nacional de Semillas (INASE), </w:t>
      </w:r>
      <w:r w:rsidRPr="00E964F7">
        <w:rPr>
          <w:lang w:val="es-ES_tradnl"/>
        </w:rPr>
        <w:br/>
        <w:t xml:space="preserve">Instituto Nacional de Semillas (INASE), Ministerio de Producción y Trabajo - Secretaría de Agroindustria  </w:t>
      </w:r>
      <w:r w:rsidRPr="00E964F7">
        <w:rPr>
          <w:lang w:val="es-ES_tradnl"/>
        </w:rPr>
        <w:br/>
        <w:t>(e-mail: rlavignolle@inase.gov.ar)</w:t>
      </w:r>
    </w:p>
    <w:p w:rsidR="00E964F7" w:rsidRDefault="00E964F7" w:rsidP="00632459">
      <w:pPr>
        <w:pStyle w:val="pldetails"/>
        <w:rPr>
          <w:lang w:val="es-ES_tradnl"/>
        </w:rPr>
      </w:pPr>
      <w:r w:rsidRPr="00DA13B9">
        <w:rPr>
          <w:lang w:val="es-ES_tradnl"/>
        </w:rPr>
        <w:t>María Laura VILLAMAYOR</w:t>
      </w:r>
      <w:r>
        <w:rPr>
          <w:lang w:val="es-ES_tradnl"/>
        </w:rPr>
        <w:t xml:space="preserve"> (Sra.), </w:t>
      </w:r>
      <w:r w:rsidRPr="00DA13B9">
        <w:rPr>
          <w:lang w:val="es-ES_tradnl"/>
        </w:rPr>
        <w:t>Abogada</w:t>
      </w:r>
      <w:r>
        <w:rPr>
          <w:lang w:val="es-ES_tradnl"/>
        </w:rPr>
        <w:t xml:space="preserve">, </w:t>
      </w:r>
      <w:r w:rsidRPr="00DA13B9">
        <w:rPr>
          <w:lang w:val="es-ES_tradnl"/>
        </w:rPr>
        <w:t>Unidad Presidencia</w:t>
      </w:r>
      <w:r>
        <w:rPr>
          <w:lang w:val="es-ES_tradnl"/>
        </w:rPr>
        <w:t xml:space="preserve">, </w:t>
      </w:r>
      <w:r w:rsidRPr="00DA13B9">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t>(e-</w:t>
      </w:r>
      <w:r w:rsidRPr="00DA13B9">
        <w:rPr>
          <w:lang w:val="es-ES_tradnl"/>
        </w:rPr>
        <w:t>mail: mlvillamayor@inase.gov.ar</w:t>
      </w:r>
      <w:r>
        <w:rPr>
          <w:lang w:val="es-ES_tradnl"/>
        </w:rPr>
        <w:t>)</w:t>
      </w:r>
    </w:p>
    <w:p w:rsidR="00E964F7" w:rsidRPr="004D23DE" w:rsidRDefault="00E964F7" w:rsidP="00705429">
      <w:pPr>
        <w:pStyle w:val="plcountry"/>
      </w:pPr>
      <w:r w:rsidRPr="004D23DE">
        <w:t>AUSTRALIA</w:t>
      </w:r>
    </w:p>
    <w:p w:rsidR="00E964F7" w:rsidRPr="004D23DE" w:rsidRDefault="00E964F7" w:rsidP="00705429">
      <w:pPr>
        <w:pStyle w:val="pldetails"/>
      </w:pPr>
      <w:r w:rsidRPr="004D23DE">
        <w:t>Nik HULSE</w:t>
      </w:r>
      <w:r>
        <w:t xml:space="preserve"> (Mr.)</w:t>
      </w:r>
      <w:r w:rsidRPr="004D23DE">
        <w:t xml:space="preserve">, Chief of Plant Breeders' Rights, Plant Breeder's Rights Office, IP Australia, Woden </w:t>
      </w:r>
      <w:r>
        <w:br/>
      </w:r>
      <w:r w:rsidRPr="004D23DE">
        <w:t xml:space="preserve">(e-mail: nik.hulse@ipaustralia.gov.au) </w:t>
      </w:r>
    </w:p>
    <w:p w:rsidR="00E964F7" w:rsidRPr="0096343E" w:rsidRDefault="00E964F7" w:rsidP="007C2FB3">
      <w:pPr>
        <w:pStyle w:val="plcountry"/>
        <w:rPr>
          <w:lang w:val="pt-PT"/>
        </w:rPr>
      </w:pPr>
      <w:r w:rsidRPr="0096343E">
        <w:rPr>
          <w:lang w:val="pt-PT"/>
        </w:rPr>
        <w:t>BRAZIL</w:t>
      </w:r>
    </w:p>
    <w:p w:rsidR="00E964F7" w:rsidRPr="00A2034E" w:rsidRDefault="00E964F7" w:rsidP="007C2FB3">
      <w:pPr>
        <w:pStyle w:val="pldetails"/>
      </w:pPr>
      <w:r w:rsidRPr="0096343E">
        <w:rPr>
          <w:lang w:val="pt-PT"/>
        </w:rPr>
        <w:t xml:space="preserve">Ricardo ZANATTA MACHADO (Sr.), Fiscal Federal Agropecuário, Coordinador do SNPC, Serviço Nacional de Proteção de Cultivares (SNPC), Ministério da Agricultura, Pecuária e Abastecimento, Brasilia , D.F. </w:t>
      </w:r>
      <w:r w:rsidRPr="0096343E">
        <w:rPr>
          <w:lang w:val="pt-PT"/>
        </w:rPr>
        <w:br/>
      </w:r>
      <w:r w:rsidRPr="00A2034E">
        <w:t xml:space="preserve">(e-mail: ricardo.machado@agricultura.gov.br) </w:t>
      </w:r>
    </w:p>
    <w:p w:rsidR="00E964F7" w:rsidRPr="00A2034E" w:rsidRDefault="00E964F7" w:rsidP="00DC6EB7">
      <w:pPr>
        <w:pStyle w:val="plcountry"/>
      </w:pPr>
      <w:r w:rsidRPr="00A2034E">
        <w:t>CANADA</w:t>
      </w:r>
    </w:p>
    <w:p w:rsidR="00E964F7" w:rsidRDefault="00E964F7" w:rsidP="00DC6EB7">
      <w:pPr>
        <w:pStyle w:val="pldetails"/>
      </w:pPr>
      <w:r w:rsidRPr="0055763C">
        <w:t xml:space="preserve">Anthony PARKER (Mr.), Commissioner, Plant Breeders' Rights Office, Canadian Food Inspection Agency (CFIA), Ottawa </w:t>
      </w:r>
      <w:r w:rsidRPr="0055763C">
        <w:br/>
        <w:t>(e-mail: anthony.parker@inspection.gc.ca)</w:t>
      </w:r>
      <w:r w:rsidRPr="004D23DE">
        <w:t xml:space="preserve"> </w:t>
      </w:r>
    </w:p>
    <w:p w:rsidR="00E964F7" w:rsidRPr="0096343E" w:rsidRDefault="00E964F7" w:rsidP="00A9427A">
      <w:pPr>
        <w:pStyle w:val="pldetails"/>
      </w:pPr>
      <w:r w:rsidRPr="0096343E">
        <w:t xml:space="preserve">Lisa LEDUC (Ms.), Examiner, Plant Breeders' Rights Office, Canadian Food Inspection Agency (CFIA), Ottawa </w:t>
      </w:r>
      <w:r w:rsidRPr="0096343E">
        <w:br/>
        <w:t>(e-mail: lisa.leduc@inspection.gc.ca)</w:t>
      </w:r>
    </w:p>
    <w:p w:rsidR="00E964F7" w:rsidRPr="00E964F7" w:rsidRDefault="00E964F7" w:rsidP="007C2FB3">
      <w:pPr>
        <w:pStyle w:val="plcountry"/>
        <w:rPr>
          <w:lang w:val="es-ES_tradnl"/>
        </w:rPr>
      </w:pPr>
      <w:r w:rsidRPr="00E964F7">
        <w:rPr>
          <w:lang w:val="es-ES_tradnl"/>
        </w:rPr>
        <w:t>CHILE</w:t>
      </w:r>
    </w:p>
    <w:p w:rsidR="00E964F7" w:rsidRPr="00E964F7" w:rsidRDefault="00E964F7" w:rsidP="00D43CEF">
      <w:pPr>
        <w:pStyle w:val="pldetails"/>
        <w:rPr>
          <w:lang w:val="es-ES_tradnl"/>
        </w:rPr>
      </w:pPr>
      <w:r w:rsidRPr="00E964F7">
        <w:rPr>
          <w:lang w:val="es-ES_tradnl"/>
        </w:rPr>
        <w:t xml:space="preserve">Manuel Antonio TORO UGALDE (Sr.), Jefe Departamento, Registro de Variedades Protegidas, División Semillas, Servicio Agrícola y Ganadero (SAG), Santiago de Chile </w:t>
      </w:r>
      <w:r w:rsidRPr="00E964F7">
        <w:rPr>
          <w:lang w:val="es-ES_tradnl"/>
        </w:rPr>
        <w:br/>
        <w:t>(e-mail: manuel.toro@sag.gob.cl)</w:t>
      </w:r>
    </w:p>
    <w:p w:rsidR="00E964F7" w:rsidRPr="0019003B" w:rsidRDefault="00E964F7" w:rsidP="007C2FB3">
      <w:pPr>
        <w:pStyle w:val="plcountry"/>
      </w:pPr>
      <w:r w:rsidRPr="00912853">
        <w:t>ESTONIA</w:t>
      </w:r>
    </w:p>
    <w:p w:rsidR="00E964F7" w:rsidRPr="00F45E2A" w:rsidRDefault="00E964F7" w:rsidP="007C2FB3">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E964F7" w:rsidRPr="00402ADC" w:rsidRDefault="00E964F7" w:rsidP="007C2FB3">
      <w:pPr>
        <w:pStyle w:val="plcountry"/>
      </w:pPr>
      <w:r w:rsidRPr="00402ADC">
        <w:t>UNITED STATES OF AMERICA</w:t>
      </w:r>
    </w:p>
    <w:p w:rsidR="00E964F7" w:rsidRPr="00007F7B" w:rsidRDefault="00E964F7" w:rsidP="00007F7B">
      <w:pPr>
        <w:pStyle w:val="pldetails"/>
      </w:pPr>
      <w:r w:rsidRPr="00007F7B">
        <w:t xml:space="preserve">Ruihong GUO (Ms.), Deputy Administrator, AMS, Science &amp; Technology Program, United States Department of Agriculture (USDA), Washington D.C. </w:t>
      </w:r>
      <w:r w:rsidRPr="00007F7B">
        <w:br/>
        <w:t>(e-mail: ruihong.guo@ams.usda.gov)</w:t>
      </w:r>
    </w:p>
    <w:p w:rsidR="00E964F7" w:rsidRPr="00E964F7" w:rsidRDefault="00E964F7" w:rsidP="00007F7B">
      <w:pPr>
        <w:pStyle w:val="pldetails"/>
        <w:rPr>
          <w:lang w:val="fr-FR"/>
        </w:rPr>
      </w:pPr>
      <w:r w:rsidRPr="00007F7B">
        <w:t xml:space="preserve">Jeffery HAYNES (Mr.), Acting Commissioner, Plant Variety Protection Office, USDA, AMS, S&amp;T, </w:t>
      </w:r>
      <w:r w:rsidRPr="00007F7B">
        <w:br/>
        <w:t xml:space="preserve">Washington D.C. </w:t>
      </w:r>
      <w:r w:rsidRPr="00007F7B">
        <w:br/>
      </w:r>
      <w:r w:rsidRPr="00E964F7">
        <w:rPr>
          <w:lang w:val="fr-FR"/>
        </w:rPr>
        <w:t>(e-mail: Jeffery.Haynes@ams.usda.gov)</w:t>
      </w:r>
    </w:p>
    <w:p w:rsidR="00E964F7" w:rsidRPr="00A959F2" w:rsidRDefault="00E964F7" w:rsidP="007C2FB3">
      <w:pPr>
        <w:pStyle w:val="plcountry"/>
        <w:rPr>
          <w:lang w:val="fr-CH"/>
        </w:rPr>
      </w:pPr>
      <w:r>
        <w:rPr>
          <w:lang w:val="fr-CH"/>
        </w:rPr>
        <w:t>France</w:t>
      </w:r>
    </w:p>
    <w:p w:rsidR="00E964F7" w:rsidRPr="00DF1E2D" w:rsidRDefault="00E964F7" w:rsidP="00757E08">
      <w:pPr>
        <w:pStyle w:val="pldetails"/>
        <w:rPr>
          <w:lang w:val="fr-CH"/>
        </w:rPr>
      </w:pPr>
      <w:r w:rsidRPr="00757E08">
        <w:rPr>
          <w:lang w:val="fr-CH"/>
        </w:rPr>
        <w:t>Yvane MERESSE</w:t>
      </w:r>
      <w:r>
        <w:rPr>
          <w:lang w:val="fr-CH"/>
        </w:rPr>
        <w:t xml:space="preserve"> (Mme)</w:t>
      </w:r>
      <w:r w:rsidRPr="00757E08">
        <w:rPr>
          <w:lang w:val="fr-CH"/>
        </w:rPr>
        <w:t xml:space="preserve">, Responsable INOV, Groupe d'Étude et de Contrôle des Variétés et des Semences </w:t>
      </w:r>
      <w:r>
        <w:rPr>
          <w:lang w:val="fr-CH"/>
        </w:rPr>
        <w:t xml:space="preserve">(GEVES), Beaucouzé </w:t>
      </w:r>
      <w:r>
        <w:rPr>
          <w:lang w:val="fr-CH"/>
        </w:rPr>
        <w:br/>
      </w:r>
      <w:r w:rsidRPr="00757E08">
        <w:rPr>
          <w:lang w:val="fr-CH"/>
        </w:rPr>
        <w:t>(e-mail: yvane.meresse@geves.fr)</w:t>
      </w:r>
    </w:p>
    <w:p w:rsidR="00E964F7" w:rsidRPr="00D44BD3" w:rsidRDefault="00E964F7" w:rsidP="00AB232D">
      <w:pPr>
        <w:pStyle w:val="plcountry"/>
      </w:pPr>
      <w:r w:rsidRPr="00D44BD3">
        <w:t>HUNGARY</w:t>
      </w:r>
    </w:p>
    <w:p w:rsidR="00E964F7" w:rsidRPr="00F52784" w:rsidRDefault="00E964F7" w:rsidP="00AB232D">
      <w:pPr>
        <w:pStyle w:val="pldetails"/>
      </w:pPr>
      <w:r w:rsidRPr="00F52784">
        <w:t>Tamás HARANGOZÓ (Mr.</w:t>
      </w:r>
      <w:r>
        <w:t>)</w:t>
      </w:r>
      <w:r w:rsidRPr="00F52784">
        <w:t xml:space="preserve">, </w:t>
      </w:r>
      <w:r w:rsidRPr="00FF054D">
        <w:t>Desk Officer, Ministry of Agriculture, Budapest</w:t>
      </w:r>
      <w:r w:rsidRPr="00F52784">
        <w:t xml:space="preserve"> </w:t>
      </w:r>
      <w:r>
        <w:br/>
      </w:r>
      <w:r w:rsidRPr="00F52784">
        <w:t>(e-mail: tamas.harangozo@am.gov.hu)</w:t>
      </w:r>
    </w:p>
    <w:p w:rsidR="00E964F7" w:rsidRPr="00091909" w:rsidRDefault="00E964F7" w:rsidP="007C2FB3">
      <w:pPr>
        <w:pStyle w:val="plcountry"/>
      </w:pPr>
      <w:r w:rsidRPr="00091909">
        <w:lastRenderedPageBreak/>
        <w:t>JAPAN</w:t>
      </w:r>
    </w:p>
    <w:p w:rsidR="00E964F7" w:rsidRPr="0001070A" w:rsidRDefault="00E964F7" w:rsidP="0035126D">
      <w:pPr>
        <w:pStyle w:val="pldetails"/>
      </w:pPr>
      <w:r w:rsidRPr="0035126D">
        <w:t xml:space="preserve">Manabu OSAKI (Mr.), Senior Examiner, Plant Variety Protection Office, Intellectual Property Division, Food Industry Affairs Bureau, Ministry of Agriculture, Forestry and Fisheries (MAFF), Tokyo </w:t>
      </w:r>
      <w:r w:rsidRPr="0035126D">
        <w:br/>
        <w:t>(e-mail: manabu_osaki190@maff.go.jp)</w:t>
      </w:r>
    </w:p>
    <w:p w:rsidR="00E964F7" w:rsidRPr="00F31FF3" w:rsidRDefault="00E964F7" w:rsidP="007C2FB3">
      <w:pPr>
        <w:pStyle w:val="plcountry"/>
      </w:pPr>
      <w:r w:rsidRPr="00F31FF3">
        <w:t>NEW ZEALAND</w:t>
      </w:r>
    </w:p>
    <w:p w:rsidR="00E964F7" w:rsidRDefault="00E964F7" w:rsidP="000019A1">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E964F7" w:rsidRPr="00B91773" w:rsidRDefault="00E964F7" w:rsidP="007C2FB3">
      <w:pPr>
        <w:pStyle w:val="plcountry"/>
      </w:pPr>
      <w:r w:rsidRPr="00B91773">
        <w:t>NETHERLANDS</w:t>
      </w:r>
    </w:p>
    <w:p w:rsidR="00E964F7" w:rsidRPr="00B91773" w:rsidRDefault="00E964F7" w:rsidP="00B91773">
      <w:pPr>
        <w:pStyle w:val="pldetails"/>
      </w:pPr>
      <w:r w:rsidRPr="00B91773">
        <w:t xml:space="preserve">Bert SCHOLTE (Mr.), Head Department Variety Testing, Naktuinbouw NL, Roelofarendsveen </w:t>
      </w:r>
      <w:r w:rsidRPr="00B91773">
        <w:br/>
        <w:t>(e-mail: b.scholte@naktuinbouw.nl)</w:t>
      </w:r>
    </w:p>
    <w:p w:rsidR="00E964F7" w:rsidRPr="005064E6" w:rsidRDefault="00E964F7" w:rsidP="005064E6">
      <w:pPr>
        <w:pStyle w:val="plcountry"/>
        <w:rPr>
          <w:lang w:val="es-ES"/>
        </w:rPr>
      </w:pPr>
      <w:r w:rsidRPr="005064E6">
        <w:rPr>
          <w:lang w:val="es-ES"/>
        </w:rPr>
        <w:t>peru</w:t>
      </w:r>
    </w:p>
    <w:p w:rsidR="00E964F7" w:rsidRPr="001A3A37" w:rsidRDefault="00E964F7" w:rsidP="005064E6">
      <w:pPr>
        <w:pStyle w:val="pldetails"/>
        <w:rPr>
          <w:lang w:val="es-ES"/>
        </w:rPr>
      </w:pPr>
      <w:r w:rsidRPr="001A3A37">
        <w:rPr>
          <w:lang w:val="es-ES"/>
        </w:rPr>
        <w:t>Cristobal MELGAR (Mr.), Minister Counsellor, Misión Permanente del Perú ante la Oficina de las Naciones Unidas en Ginebra</w:t>
      </w:r>
      <w:r>
        <w:rPr>
          <w:lang w:val="es-ES"/>
        </w:rPr>
        <w:t>, Ginebra</w:t>
      </w:r>
      <w:r>
        <w:rPr>
          <w:lang w:val="es-ES"/>
        </w:rPr>
        <w:br/>
      </w:r>
      <w:r w:rsidRPr="001A3A37">
        <w:rPr>
          <w:lang w:val="es-ES"/>
        </w:rPr>
        <w:t>(e-mail: cmelgar@onuperu.org)</w:t>
      </w:r>
    </w:p>
    <w:p w:rsidR="00E964F7" w:rsidRPr="00402ADC" w:rsidRDefault="00E964F7" w:rsidP="00B509C2">
      <w:pPr>
        <w:keepNext/>
        <w:keepLines/>
        <w:spacing w:before="180" w:after="120"/>
        <w:jc w:val="left"/>
        <w:rPr>
          <w:caps/>
          <w:noProof/>
          <w:snapToGrid w:val="0"/>
          <w:u w:val="single"/>
        </w:rPr>
      </w:pPr>
      <w:r w:rsidRPr="00402ADC">
        <w:rPr>
          <w:caps/>
          <w:noProof/>
          <w:snapToGrid w:val="0"/>
          <w:u w:val="single"/>
        </w:rPr>
        <w:t>REPUBLIC OF KOREA</w:t>
      </w:r>
    </w:p>
    <w:p w:rsidR="00E964F7" w:rsidRPr="00E964F7" w:rsidRDefault="00E964F7" w:rsidP="00B509C2">
      <w:pPr>
        <w:pStyle w:val="pldetails"/>
      </w:pPr>
      <w:r w:rsidRPr="00E964F7">
        <w:t xml:space="preserve">Eunsun CHUNG (Ms.), Deputy Director/Examiner, Plant Variety Protection Division, Korea Seed and Variety Service (KSVS), Gyeonsangbuk-do </w:t>
      </w:r>
      <w:r w:rsidRPr="00E964F7">
        <w:br/>
        <w:t xml:space="preserve">(e-mail: eschung@korea.kr) </w:t>
      </w:r>
    </w:p>
    <w:p w:rsidR="00E964F7" w:rsidRPr="00B509C2" w:rsidRDefault="00E964F7" w:rsidP="00B509C2">
      <w:pPr>
        <w:pStyle w:val="pldetails"/>
      </w:pPr>
      <w:r w:rsidRPr="00B509C2">
        <w:rPr>
          <w:noProof w:val="0"/>
          <w:snapToGrid/>
        </w:rPr>
        <w:t xml:space="preserve">Eun-Jung HEO (Ms.), Agricultural Researcher, Seobu Branch, Korea Seed and Variety Service (KSVS) </w:t>
      </w:r>
      <w:r w:rsidRPr="00B509C2">
        <w:rPr>
          <w:noProof w:val="0"/>
          <w:snapToGrid/>
        </w:rPr>
        <w:br/>
        <w:t>(e-mail: heoej@korea.kr)</w:t>
      </w:r>
    </w:p>
    <w:p w:rsidR="00E964F7" w:rsidRPr="000061A2" w:rsidRDefault="00E964F7" w:rsidP="00AB232D">
      <w:pPr>
        <w:pStyle w:val="plcountry"/>
        <w:rPr>
          <w:lang w:val="es-ES"/>
        </w:rPr>
      </w:pPr>
      <w:r w:rsidRPr="000061A2">
        <w:rPr>
          <w:lang w:val="es-ES"/>
        </w:rPr>
        <w:t>dominican REPUBLIC</w:t>
      </w:r>
    </w:p>
    <w:p w:rsidR="00E964F7" w:rsidRPr="000061A2" w:rsidRDefault="00E964F7" w:rsidP="00AB232D">
      <w:pPr>
        <w:pStyle w:val="pldetails"/>
        <w:rPr>
          <w:lang w:val="es-ES"/>
        </w:rPr>
      </w:pPr>
      <w:r w:rsidRPr="00E6081E">
        <w:rPr>
          <w:lang w:val="es-ES"/>
        </w:rPr>
        <w:t>Ayalivis GARCÍA</w:t>
      </w:r>
      <w:r>
        <w:rPr>
          <w:lang w:val="es-ES"/>
        </w:rPr>
        <w:t xml:space="preserve"> (Sra.), </w:t>
      </w:r>
      <w:r w:rsidRPr="00E6081E">
        <w:rPr>
          <w:lang w:val="es-ES"/>
        </w:rPr>
        <w:t>Consultora OTCA</w:t>
      </w:r>
      <w:r>
        <w:rPr>
          <w:lang w:val="es-ES"/>
        </w:rPr>
        <w:t xml:space="preserve">, </w:t>
      </w:r>
      <w:r w:rsidRPr="00E6081E">
        <w:rPr>
          <w:lang w:val="es-ES"/>
        </w:rPr>
        <w:t>Oficina de Tratados comerciales agricolas</w:t>
      </w:r>
      <w:r>
        <w:rPr>
          <w:lang w:val="es-ES"/>
        </w:rPr>
        <w:t>, Ministerio de Agricultura, Santo Domingo</w:t>
      </w:r>
      <w:r>
        <w:rPr>
          <w:lang w:val="es-ES"/>
        </w:rPr>
        <w:br/>
        <w:t xml:space="preserve">(e-mail: </w:t>
      </w:r>
      <w:r w:rsidRPr="00485A34">
        <w:rPr>
          <w:lang w:val="es-ES"/>
        </w:rPr>
        <w:t>ayalivisgarcia@gmail.com</w:t>
      </w:r>
      <w:r>
        <w:rPr>
          <w:lang w:val="es-ES"/>
        </w:rPr>
        <w:t>)</w:t>
      </w:r>
    </w:p>
    <w:p w:rsidR="00E964F7" w:rsidRPr="004D23DE" w:rsidRDefault="00E964F7" w:rsidP="000F02E9">
      <w:pPr>
        <w:pStyle w:val="plcountry"/>
      </w:pPr>
      <w:r w:rsidRPr="004D23DE">
        <w:t>SLOVAKIA</w:t>
      </w:r>
    </w:p>
    <w:p w:rsidR="00E964F7" w:rsidRDefault="00E964F7" w:rsidP="000F02E9">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(e-mail: bronislava.batorova@uksup.sk)</w:t>
      </w:r>
    </w:p>
    <w:p w:rsidR="00E964F7" w:rsidRPr="00402ADC" w:rsidRDefault="00E964F7" w:rsidP="007C2FB3">
      <w:pPr>
        <w:pStyle w:val="plcountry"/>
      </w:pPr>
      <w:r w:rsidRPr="00402ADC">
        <w:t>EUROPEAN UNION</w:t>
      </w:r>
    </w:p>
    <w:p w:rsidR="00E964F7" w:rsidRDefault="00E964F7" w:rsidP="00FD4D63">
      <w:pPr>
        <w:pStyle w:val="pldetails"/>
      </w:pPr>
      <w:r w:rsidRPr="00FD4D63">
        <w:t>Jean MAISON</w:t>
      </w:r>
      <w:r>
        <w:t xml:space="preserve"> (Mr.)</w:t>
      </w:r>
      <w:r w:rsidRPr="00FD4D63">
        <w:t xml:space="preserve">, Deputy Head, Technical Unit, Community Plant Variety Office (CPVO), Angers </w:t>
      </w:r>
      <w:r>
        <w:br/>
      </w:r>
      <w:r w:rsidRPr="00FD4D63">
        <w:t xml:space="preserve">(e-mail: </w:t>
      </w:r>
      <w:r w:rsidRPr="00407B42">
        <w:t>maison@cpvo.europa.eu</w:t>
      </w:r>
      <w:r w:rsidRPr="00FD4D63">
        <w:t>)</w:t>
      </w:r>
    </w:p>
    <w:p w:rsidR="00E964F7" w:rsidRPr="00E964F7" w:rsidRDefault="00E964F7" w:rsidP="007C2FB3">
      <w:pPr>
        <w:pStyle w:val="plheading"/>
      </w:pPr>
      <w:r w:rsidRPr="00E964F7">
        <w:t xml:space="preserve">II. </w:t>
      </w:r>
      <w:r w:rsidR="001B587F">
        <w:t xml:space="preserve"> </w:t>
      </w:r>
      <w:r w:rsidRPr="00E964F7">
        <w:t>ORGANIZATIONS</w:t>
      </w:r>
    </w:p>
    <w:p w:rsidR="00E964F7" w:rsidRPr="00402ADC" w:rsidRDefault="00E964F7" w:rsidP="00D97EDE">
      <w:pPr>
        <w:pStyle w:val="plcountry"/>
      </w:pPr>
      <w:r w:rsidRPr="00402ADC">
        <w:t>INTERNATIONAL COMMUNITY OF BREEDERS OF ASEXUALLY REPRODUCED ORNAMENTAL AND FRUIT PLANTS (CIOPORA)</w:t>
      </w:r>
    </w:p>
    <w:p w:rsidR="00E964F7" w:rsidRDefault="00E964F7" w:rsidP="00C4077E">
      <w:pPr>
        <w:pStyle w:val="pldetails"/>
        <w:rPr>
          <w:lang w:val="fr-CH"/>
        </w:rPr>
      </w:pPr>
      <w:r w:rsidRPr="00C4077E">
        <w:rPr>
          <w:lang w:val="fr-CH"/>
        </w:rPr>
        <w:t xml:space="preserve">Hélène JOURDAN (Mme), Secrétaire générale, AOHE, Responsible COV &amp; Marques, Meilland International S.A., Association des Obtenteurs Horticoles Européens (AOHE), Le Luc en Provence </w:t>
      </w:r>
      <w:r>
        <w:rPr>
          <w:lang w:val="fr-CH"/>
        </w:rPr>
        <w:br/>
      </w:r>
      <w:r w:rsidRPr="00C4077E">
        <w:rPr>
          <w:lang w:val="fr-CH"/>
        </w:rPr>
        <w:t xml:space="preserve">(e-mail: </w:t>
      </w:r>
      <w:r w:rsidRPr="00EC16F5">
        <w:rPr>
          <w:lang w:val="fr-CH"/>
        </w:rPr>
        <w:t>licprot@meilland.com</w:t>
      </w:r>
      <w:r w:rsidRPr="00C4077E">
        <w:rPr>
          <w:lang w:val="fr-CH"/>
        </w:rPr>
        <w:t>)</w:t>
      </w:r>
    </w:p>
    <w:p w:rsidR="00E964F7" w:rsidRPr="00EC16F5" w:rsidRDefault="00E964F7" w:rsidP="00367415">
      <w:pPr>
        <w:pStyle w:val="pldetails"/>
        <w:rPr>
          <w:rFonts w:cs="Arial"/>
        </w:rPr>
      </w:pPr>
      <w:r w:rsidRPr="00367415">
        <w:t>Dominique THÉVENON (Mme), Board member, Treasurer - CIOPORA, AIGN®, International Community of Breeders of Asexually Reproduc</w:t>
      </w:r>
      <w:r>
        <w:t xml:space="preserve">ed Ornamental and Fruit Plants </w:t>
      </w:r>
      <w:r w:rsidRPr="00367415">
        <w:t xml:space="preserve">(CIOPORA), </w:t>
      </w:r>
      <w:r>
        <w:t>Hamburg</w:t>
      </w:r>
      <w:r>
        <w:br/>
      </w:r>
      <w:r w:rsidRPr="00367415">
        <w:t>(e-mail: t.dominique4@orange.fr)</w:t>
      </w:r>
    </w:p>
    <w:p w:rsidR="00E964F7" w:rsidRPr="00DC6EB7" w:rsidRDefault="00E964F7" w:rsidP="00D97EDE">
      <w:pPr>
        <w:pStyle w:val="plcountry"/>
      </w:pPr>
      <w:r w:rsidRPr="00DC6EB7">
        <w:t>CROPLIFE INTERNATIONAL</w:t>
      </w:r>
    </w:p>
    <w:p w:rsidR="00E964F7" w:rsidRPr="00DC6EB7" w:rsidRDefault="00E964F7" w:rsidP="00D97EDE">
      <w:pPr>
        <w:pStyle w:val="pldetails"/>
      </w:pPr>
      <w:r w:rsidRPr="00DC6EB7">
        <w:t>Marcel BRUINS (Mr.), Consultant, CropLife International, Bru</w:t>
      </w:r>
      <w:r>
        <w:t>ssels</w:t>
      </w:r>
      <w:r w:rsidRPr="00DC6EB7">
        <w:t xml:space="preserve"> </w:t>
      </w:r>
      <w:r w:rsidRPr="00DC6EB7">
        <w:br/>
        <w:t xml:space="preserve">(e-mail: mbruins1964@gmail.com) </w:t>
      </w:r>
    </w:p>
    <w:p w:rsidR="00E964F7" w:rsidRPr="00AC3B8A" w:rsidRDefault="00E964F7" w:rsidP="007C2FB3">
      <w:pPr>
        <w:pStyle w:val="plcountry"/>
      </w:pPr>
      <w:r w:rsidRPr="00DC6EB7">
        <w:lastRenderedPageBreak/>
        <w:t>INT</w:t>
      </w:r>
      <w:r w:rsidRPr="00AC3B8A">
        <w:t>ERNATIONAL SEED FEDERATION (ISF)</w:t>
      </w:r>
    </w:p>
    <w:p w:rsidR="00E964F7" w:rsidRPr="00EE1A30" w:rsidRDefault="00E964F7" w:rsidP="0061212C">
      <w:pPr>
        <w:pStyle w:val="pldetails"/>
      </w:pPr>
      <w:r w:rsidRPr="00FE1B7F">
        <w:t xml:space="preserve">Judith DE ROOS - BLOKLAND (Ms.), Legal Advisor, Regulatory and Legal Affairs, Plantum NL, </w:t>
      </w:r>
      <w:r>
        <w:t>Gouda</w:t>
      </w:r>
      <w:r>
        <w:br/>
      </w:r>
      <w:r w:rsidRPr="00FE1B7F">
        <w:t>(e-mail: j.deroos@plantum.nl)</w:t>
      </w:r>
    </w:p>
    <w:p w:rsidR="00E964F7" w:rsidRPr="00051C83" w:rsidRDefault="00E964F7" w:rsidP="00051C83">
      <w:pPr>
        <w:pStyle w:val="pldetails"/>
      </w:pPr>
      <w:r w:rsidRPr="00051C83">
        <w:t xml:space="preserve">Astrid M. SCHENKEVELD (Ms.), Specialist, Variety Registration &amp; Protection, Rijk Zwaan Zaadteelt en Zaadhandel B.V., KX De Lier </w:t>
      </w:r>
      <w:r w:rsidRPr="00051C83">
        <w:br/>
        <w:t>(e-mail: a.schenkeveld@rijkzwaan.nl)</w:t>
      </w:r>
    </w:p>
    <w:p w:rsidR="00E964F7" w:rsidRPr="00AF1EBB" w:rsidRDefault="00E964F7" w:rsidP="00F43124">
      <w:pPr>
        <w:pStyle w:val="plheading"/>
        <w:rPr>
          <w:rFonts w:cs="Arial"/>
        </w:rPr>
      </w:pPr>
      <w:r>
        <w:rPr>
          <w:rFonts w:cs="Arial"/>
        </w:rPr>
        <w:t>III</w:t>
      </w:r>
      <w:r w:rsidRPr="00AF1EBB">
        <w:rPr>
          <w:rFonts w:cs="Arial"/>
        </w:rPr>
        <w:t xml:space="preserve">. </w:t>
      </w:r>
      <w:r w:rsidR="001B587F">
        <w:rPr>
          <w:rFonts w:cs="Arial"/>
        </w:rPr>
        <w:t xml:space="preserve"> </w:t>
      </w:r>
      <w:r w:rsidRPr="00AF1EBB">
        <w:rPr>
          <w:rFonts w:cs="Arial"/>
        </w:rPr>
        <w:t>OFFICER</w:t>
      </w:r>
    </w:p>
    <w:p w:rsidR="00E964F7" w:rsidRPr="00537D9A" w:rsidRDefault="00E964F7" w:rsidP="00F43124">
      <w:pPr>
        <w:pStyle w:val="pldetails"/>
        <w:keepNext/>
      </w:pPr>
      <w:r w:rsidRPr="00841411">
        <w:t>Peter BUTTON</w:t>
      </w:r>
      <w:r>
        <w:t xml:space="preserve"> (Mr.)</w:t>
      </w:r>
      <w:r w:rsidRPr="00841411">
        <w:t xml:space="preserve">, </w:t>
      </w:r>
      <w:r>
        <w:t>Chair</w:t>
      </w:r>
    </w:p>
    <w:p w:rsidR="00E964F7" w:rsidRPr="00E964F7" w:rsidRDefault="00E964F7" w:rsidP="007C2FB3">
      <w:pPr>
        <w:pStyle w:val="plheading"/>
        <w:keepLines/>
        <w:rPr>
          <w:rFonts w:cs="Arial"/>
        </w:rPr>
      </w:pPr>
      <w:r w:rsidRPr="00E964F7">
        <w:rPr>
          <w:rFonts w:cs="Arial"/>
        </w:rPr>
        <w:t xml:space="preserve">IV. </w:t>
      </w:r>
      <w:r w:rsidR="001B587F">
        <w:rPr>
          <w:rFonts w:cs="Arial"/>
        </w:rPr>
        <w:t xml:space="preserve"> </w:t>
      </w:r>
      <w:r w:rsidRPr="00E964F7">
        <w:rPr>
          <w:rFonts w:cs="Arial"/>
        </w:rPr>
        <w:t>OFFICE OF UPOV</w:t>
      </w:r>
    </w:p>
    <w:p w:rsidR="00E964F7" w:rsidRPr="00841411" w:rsidRDefault="00E964F7" w:rsidP="007C2FB3">
      <w:pPr>
        <w:pStyle w:val="pldetails"/>
      </w:pPr>
      <w:r w:rsidRPr="00841411">
        <w:t>Peter BUTTON</w:t>
      </w:r>
      <w:r>
        <w:t xml:space="preserve"> (Mr.)</w:t>
      </w:r>
      <w:r w:rsidRPr="00841411">
        <w:t>, Vice Secretary-General</w:t>
      </w:r>
    </w:p>
    <w:p w:rsidR="00E964F7" w:rsidRPr="00841411" w:rsidRDefault="00E964F7" w:rsidP="007C2FB3">
      <w:pPr>
        <w:pStyle w:val="pldetails"/>
      </w:pPr>
      <w:r w:rsidRPr="00841411">
        <w:t>Yolanda HUERTA (Ms.), Legal Counsel</w:t>
      </w:r>
      <w:r>
        <w:t xml:space="preserve"> </w:t>
      </w:r>
      <w:r w:rsidRPr="00115E79">
        <w:t>and Director of Training and Assistance</w:t>
      </w:r>
    </w:p>
    <w:p w:rsidR="00E964F7" w:rsidRPr="00841411" w:rsidRDefault="00E964F7" w:rsidP="007C2FB3">
      <w:pPr>
        <w:pStyle w:val="pldetails"/>
      </w:pPr>
      <w:r w:rsidRPr="00A479A8">
        <w:t>Tomochika MOTOMURA</w:t>
      </w:r>
      <w:r>
        <w:t xml:space="preserve"> (Mr.)</w:t>
      </w:r>
      <w:r w:rsidRPr="00841411">
        <w:t>, Technical/Regional Officer (Asia)</w:t>
      </w:r>
    </w:p>
    <w:p w:rsidR="00E964F7" w:rsidRPr="00841411" w:rsidRDefault="00E964F7" w:rsidP="007C2FB3">
      <w:pPr>
        <w:pStyle w:val="pldetails"/>
      </w:pPr>
      <w:r w:rsidRPr="00841411">
        <w:t>Ben RIVOIRE</w:t>
      </w:r>
      <w:r>
        <w:t xml:space="preserve"> (Mr.)</w:t>
      </w:r>
      <w:r w:rsidRPr="00841411">
        <w:t>, Technical/Regional Officer (Africa, Arab countries)</w:t>
      </w:r>
    </w:p>
    <w:p w:rsidR="00E964F7" w:rsidRPr="00841411" w:rsidRDefault="00E964F7" w:rsidP="007C2FB3">
      <w:pPr>
        <w:pStyle w:val="pldetails"/>
      </w:pPr>
      <w:r w:rsidRPr="00841411">
        <w:t>Leontino TAVEIRA</w:t>
      </w:r>
      <w:r>
        <w:t xml:space="preserve"> (Mr.)</w:t>
      </w:r>
      <w:r w:rsidRPr="00841411">
        <w:t>, Technical/Regional Officer (Latin America, Caribbean countries)</w:t>
      </w:r>
    </w:p>
    <w:p w:rsidR="00E964F7" w:rsidRPr="00040EC3" w:rsidRDefault="00E964F7" w:rsidP="00927212">
      <w:pPr>
        <w:pStyle w:val="pldetails"/>
      </w:pPr>
      <w:r w:rsidRPr="00040EC3">
        <w:t xml:space="preserve">Hend MADHOUR (Ms.), </w:t>
      </w:r>
      <w:r w:rsidRPr="00115E79">
        <w:t>IT Officer</w:t>
      </w:r>
    </w:p>
    <w:p w:rsidR="00E964F7" w:rsidRPr="00E964F7" w:rsidRDefault="00E964F7" w:rsidP="00927212">
      <w:pPr>
        <w:pStyle w:val="pldetails"/>
      </w:pPr>
      <w:r w:rsidRPr="00E964F7">
        <w:rPr>
          <w:rFonts w:cs="Arial"/>
          <w:color w:val="000000"/>
        </w:rPr>
        <w:t xml:space="preserve">Ruixi HAN </w:t>
      </w:r>
      <w:r w:rsidRPr="00E964F7">
        <w:rPr>
          <w:rFonts w:cs="Arial"/>
        </w:rPr>
        <w:t>(Mr.)</w:t>
      </w:r>
      <w:r w:rsidRPr="00E964F7">
        <w:rPr>
          <w:rFonts w:cs="Arial"/>
          <w:color w:val="000000"/>
        </w:rPr>
        <w:t>, Fellow</w:t>
      </w:r>
    </w:p>
    <w:p w:rsidR="00E964F7" w:rsidRPr="00E964F7" w:rsidRDefault="00E964F7" w:rsidP="007C2FB3">
      <w:pPr>
        <w:pStyle w:val="pldetails"/>
      </w:pPr>
    </w:p>
    <w:p w:rsidR="00E964F7" w:rsidRPr="00E964F7" w:rsidRDefault="00E964F7" w:rsidP="007C2FB3">
      <w:pPr>
        <w:pStyle w:val="pldetails"/>
      </w:pPr>
    </w:p>
    <w:p w:rsidR="00E964F7" w:rsidRPr="00E964F7" w:rsidRDefault="00E964F7" w:rsidP="007C2FB3">
      <w:pPr>
        <w:pStyle w:val="pldetails"/>
      </w:pPr>
    </w:p>
    <w:p w:rsidR="00E964F7" w:rsidRPr="000E3A09" w:rsidRDefault="00E964F7" w:rsidP="00A479A8">
      <w:pPr>
        <w:keepNext/>
        <w:jc w:val="right"/>
        <w:rPr>
          <w:rFonts w:cs="Arial"/>
          <w:lang w:eastAsia="zh-CN"/>
        </w:rPr>
      </w:pPr>
      <w:r w:rsidRPr="000E3A09">
        <w:rPr>
          <w:rFonts w:cs="Arial"/>
        </w:rPr>
        <w:t xml:space="preserve">[End </w:t>
      </w:r>
      <w:r w:rsidR="000E3A09" w:rsidRPr="000E3A09">
        <w:rPr>
          <w:rFonts w:cs="Arial"/>
        </w:rPr>
        <w:t xml:space="preserve">of Annex and </w:t>
      </w:r>
      <w:r w:rsidRPr="000E3A09">
        <w:rPr>
          <w:rFonts w:cs="Arial"/>
        </w:rPr>
        <w:t>of document]</w:t>
      </w:r>
    </w:p>
    <w:sectPr w:rsidR="00E964F7" w:rsidRPr="000E3A09" w:rsidSect="001B587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8E" w:rsidRDefault="0082278E" w:rsidP="00DF064D">
      <w:r>
        <w:separator/>
      </w:r>
    </w:p>
  </w:endnote>
  <w:endnote w:type="continuationSeparator" w:id="0">
    <w:p w:rsidR="0082278E" w:rsidRDefault="0082278E" w:rsidP="00DF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8E" w:rsidRDefault="0082278E" w:rsidP="00DF064D">
      <w:r>
        <w:separator/>
      </w:r>
    </w:p>
  </w:footnote>
  <w:footnote w:type="continuationSeparator" w:id="0">
    <w:p w:rsidR="0082278E" w:rsidRDefault="0082278E" w:rsidP="00DF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D90E66" w:rsidRDefault="00E964F7" w:rsidP="005F33CF">
    <w:pPr>
      <w:pStyle w:val="Header"/>
      <w:rPr>
        <w:rStyle w:val="PageNumber"/>
        <w:lang w:val="de-DE"/>
      </w:rPr>
    </w:pPr>
    <w:r w:rsidRPr="00D90E66">
      <w:rPr>
        <w:rStyle w:val="PageNumber"/>
        <w:lang w:val="de-DE"/>
      </w:rPr>
      <w:t>UPOV/WG-DEN/5/3</w:t>
    </w:r>
  </w:p>
  <w:p w:rsidR="00182B99" w:rsidRPr="00D90E66" w:rsidRDefault="00E964F7" w:rsidP="00EB048E">
    <w:pPr>
      <w:pStyle w:val="Header"/>
      <w:rPr>
        <w:lang w:val="de-DE"/>
      </w:rPr>
    </w:pPr>
    <w:r w:rsidRPr="00D90E66">
      <w:rPr>
        <w:lang w:val="de-DE"/>
      </w:rPr>
      <w:t xml:space="preserve">page </w:t>
    </w:r>
    <w:r w:rsidRPr="00C5280D">
      <w:rPr>
        <w:rStyle w:val="PageNumber"/>
        <w:lang w:val="en-US"/>
      </w:rPr>
      <w:fldChar w:fldCharType="begin"/>
    </w:r>
    <w:r w:rsidRPr="00D90E66">
      <w:rPr>
        <w:rStyle w:val="PageNumber"/>
        <w:lang w:val="de-DE"/>
      </w:rPr>
      <w:instrText xml:space="preserve"> PAGE </w:instrText>
    </w:r>
    <w:r w:rsidRPr="00C5280D">
      <w:rPr>
        <w:rStyle w:val="PageNumber"/>
        <w:lang w:val="en-US"/>
      </w:rPr>
      <w:fldChar w:fldCharType="separate"/>
    </w:r>
    <w:r w:rsidR="00DB04C9">
      <w:rPr>
        <w:rStyle w:val="PageNumber"/>
        <w:noProof/>
        <w:lang w:val="de-DE"/>
      </w:rPr>
      <w:t>5</w:t>
    </w:r>
    <w:r w:rsidRPr="00C5280D">
      <w:rPr>
        <w:rStyle w:val="PageNumber"/>
        <w:lang w:val="en-US"/>
      </w:rPr>
      <w:fldChar w:fldCharType="end"/>
    </w:r>
  </w:p>
  <w:p w:rsidR="00182B99" w:rsidRPr="00D90E66" w:rsidRDefault="00DB04C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7F" w:rsidRPr="00D90E66" w:rsidRDefault="001B587F" w:rsidP="005F33CF">
    <w:pPr>
      <w:pStyle w:val="Header"/>
      <w:rPr>
        <w:rStyle w:val="PageNumber"/>
        <w:lang w:val="de-DE"/>
      </w:rPr>
    </w:pPr>
    <w:r w:rsidRPr="00D90E66">
      <w:rPr>
        <w:rStyle w:val="PageNumber"/>
        <w:lang w:val="de-DE"/>
      </w:rPr>
      <w:t>U</w:t>
    </w:r>
    <w:r w:rsidR="00DB04C9">
      <w:rPr>
        <w:rStyle w:val="PageNumber"/>
        <w:lang w:val="de-DE"/>
      </w:rPr>
      <w:t>POV/WG-DEN/5/3</w:t>
    </w:r>
  </w:p>
  <w:p w:rsidR="001B587F" w:rsidRPr="00D90E66" w:rsidRDefault="001B587F" w:rsidP="00EB048E">
    <w:pPr>
      <w:pStyle w:val="Header"/>
      <w:rPr>
        <w:lang w:val="de-DE"/>
      </w:rPr>
    </w:pPr>
    <w:r>
      <w:rPr>
        <w:lang w:val="de-DE"/>
      </w:rPr>
      <w:t xml:space="preserve">Annex, </w:t>
    </w:r>
    <w:r w:rsidRPr="00D90E66">
      <w:rPr>
        <w:lang w:val="de-DE"/>
      </w:rPr>
      <w:t xml:space="preserve">page </w:t>
    </w:r>
    <w:r w:rsidRPr="00C5280D">
      <w:rPr>
        <w:rStyle w:val="PageNumber"/>
        <w:lang w:val="en-US"/>
      </w:rPr>
      <w:fldChar w:fldCharType="begin"/>
    </w:r>
    <w:r w:rsidRPr="00D90E66">
      <w:rPr>
        <w:rStyle w:val="PageNumber"/>
        <w:lang w:val="de-DE"/>
      </w:rPr>
      <w:instrText xml:space="preserve"> PAGE </w:instrText>
    </w:r>
    <w:r w:rsidRPr="00C5280D">
      <w:rPr>
        <w:rStyle w:val="PageNumber"/>
        <w:lang w:val="en-US"/>
      </w:rPr>
      <w:fldChar w:fldCharType="separate"/>
    </w:r>
    <w:r w:rsidR="00DB04C9">
      <w:rPr>
        <w:rStyle w:val="PageNumber"/>
        <w:noProof/>
        <w:lang w:val="de-DE"/>
      </w:rPr>
      <w:t>3</w:t>
    </w:r>
    <w:r w:rsidRPr="00C5280D">
      <w:rPr>
        <w:rStyle w:val="PageNumber"/>
        <w:lang w:val="en-US"/>
      </w:rPr>
      <w:fldChar w:fldCharType="end"/>
    </w:r>
  </w:p>
  <w:p w:rsidR="001B587F" w:rsidRPr="00D90E66" w:rsidRDefault="001B587F"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D"/>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BC4"/>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A09"/>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587F"/>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2ADC"/>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3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3BC6"/>
    <w:rsid w:val="005C4263"/>
    <w:rsid w:val="005C47AD"/>
    <w:rsid w:val="005C5894"/>
    <w:rsid w:val="005C590F"/>
    <w:rsid w:val="005C62FA"/>
    <w:rsid w:val="005C6593"/>
    <w:rsid w:val="005C65C4"/>
    <w:rsid w:val="005C7581"/>
    <w:rsid w:val="005D2170"/>
    <w:rsid w:val="005D2384"/>
    <w:rsid w:val="005D249C"/>
    <w:rsid w:val="005D2B42"/>
    <w:rsid w:val="005D515A"/>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34E8"/>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0B1C"/>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2FF7"/>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78E"/>
    <w:rsid w:val="00822898"/>
    <w:rsid w:val="0082356B"/>
    <w:rsid w:val="00823D91"/>
    <w:rsid w:val="008264A6"/>
    <w:rsid w:val="008277DD"/>
    <w:rsid w:val="00827C0F"/>
    <w:rsid w:val="00827CAC"/>
    <w:rsid w:val="00830752"/>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45C"/>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094"/>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4C14"/>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453E"/>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1B"/>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36F2"/>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CF6321"/>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4C9"/>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64D"/>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4F7"/>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C57FB9"/>
  <w15:chartTrackingRefBased/>
  <w15:docId w15:val="{B832FD2C-2D27-46D7-9657-7AD72CCF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D3822"/>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D3822"/>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D3822"/>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D3822"/>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DF064D"/>
    <w:pPr>
      <w:spacing w:after="600"/>
      <w:jc w:val="left"/>
    </w:pPr>
    <w:rPr>
      <w:i/>
      <w:iCs/>
      <w:color w:val="A6A6A6" w:themeColor="background1" w:themeShade="A6"/>
    </w:rPr>
  </w:style>
  <w:style w:type="paragraph" w:customStyle="1" w:styleId="preparedby0">
    <w:name w:val="prepared_by"/>
    <w:basedOn w:val="Normal"/>
    <w:rsid w:val="00DF064D"/>
    <w:pPr>
      <w:spacing w:after="240"/>
      <w:jc w:val="center"/>
    </w:pPr>
    <w:rPr>
      <w:i/>
      <w:iCs/>
    </w:rPr>
  </w:style>
  <w:style w:type="paragraph" w:styleId="ListParagraph">
    <w:name w:val="List Paragraph"/>
    <w:basedOn w:val="Normal"/>
    <w:uiPriority w:val="34"/>
    <w:qFormat/>
    <w:rsid w:val="00DF064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2267-5733-4B7C-AD1D-B43BD6DA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2957</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5</cp:revision>
  <cp:lastPrinted>2019-01-02T14:59:00Z</cp:lastPrinted>
  <dcterms:created xsi:type="dcterms:W3CDTF">2019-03-20T15:22:00Z</dcterms:created>
  <dcterms:modified xsi:type="dcterms:W3CDTF">2019-03-21T15:56:00Z</dcterms:modified>
</cp:coreProperties>
</file>