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506162" w:rsidRDefault="00A33150" w:rsidP="00AC2883">
            <w:pPr>
              <w:pStyle w:val="Sessiontc"/>
              <w:spacing w:line="240" w:lineRule="auto"/>
            </w:pPr>
            <w:r w:rsidRPr="00506162">
              <w:t xml:space="preserve">Working Group on </w:t>
            </w:r>
            <w:r w:rsidR="00666DA5" w:rsidRPr="00506162">
              <w:t>Variety Denominations</w:t>
            </w:r>
          </w:p>
          <w:p w:rsidR="00EB4E9C" w:rsidRPr="00506162" w:rsidRDefault="00BC42BE" w:rsidP="003A5B25">
            <w:pPr>
              <w:pStyle w:val="Sessiontcplacedate"/>
              <w:rPr>
                <w:sz w:val="22"/>
              </w:rPr>
            </w:pPr>
            <w:r w:rsidRPr="00506162">
              <w:t>F</w:t>
            </w:r>
            <w:r w:rsidR="003A5B25" w:rsidRPr="00506162">
              <w:t>if</w:t>
            </w:r>
            <w:r w:rsidRPr="00506162">
              <w:t xml:space="preserve">th </w:t>
            </w:r>
            <w:r w:rsidR="00A33150" w:rsidRPr="00506162">
              <w:t>Meeting</w:t>
            </w:r>
            <w:r w:rsidR="00EB4E9C" w:rsidRPr="00506162">
              <w:br/>
              <w:t xml:space="preserve">Geneva, </w:t>
            </w:r>
            <w:r w:rsidRPr="00506162">
              <w:t>October</w:t>
            </w:r>
            <w:r w:rsidR="00EB4E9C" w:rsidRPr="00506162">
              <w:t xml:space="preserve"> </w:t>
            </w:r>
            <w:r w:rsidR="003A5B25" w:rsidRPr="00506162">
              <w:t>30</w:t>
            </w:r>
            <w:r w:rsidR="00EB4E9C" w:rsidRPr="00506162">
              <w:t>, 201</w:t>
            </w:r>
            <w:r w:rsidR="003A5B25" w:rsidRPr="00506162">
              <w:t>8</w:t>
            </w:r>
          </w:p>
        </w:tc>
        <w:tc>
          <w:tcPr>
            <w:tcW w:w="3127" w:type="dxa"/>
          </w:tcPr>
          <w:p w:rsidR="008C3987" w:rsidRPr="00506162" w:rsidRDefault="00666DA5" w:rsidP="00BC42BE">
            <w:pPr>
              <w:pStyle w:val="Doccode"/>
              <w:spacing w:before="40"/>
            </w:pPr>
            <w:r w:rsidRPr="00506162">
              <w:t>UPOV/</w:t>
            </w:r>
            <w:r w:rsidR="00A33150" w:rsidRPr="00506162">
              <w:t>WG-</w:t>
            </w:r>
            <w:r w:rsidRPr="00506162">
              <w:t>DEN</w:t>
            </w:r>
            <w:r w:rsidR="00EB4E9C" w:rsidRPr="00506162">
              <w:t>/</w:t>
            </w:r>
            <w:r w:rsidR="003A5B25" w:rsidRPr="00506162">
              <w:t>5</w:t>
            </w:r>
            <w:r w:rsidR="00EB4E9C" w:rsidRPr="00506162">
              <w:t>/</w:t>
            </w:r>
            <w:r w:rsidR="00EA4900" w:rsidRPr="00506162">
              <w:t>2</w:t>
            </w:r>
          </w:p>
          <w:p w:rsidR="00EB4E9C" w:rsidRPr="00506162" w:rsidRDefault="00EB4E9C" w:rsidP="003C7FBE">
            <w:pPr>
              <w:pStyle w:val="Docoriginal"/>
            </w:pPr>
            <w:r w:rsidRPr="00506162">
              <w:t>Original:</w:t>
            </w:r>
            <w:r w:rsidRPr="00506162">
              <w:rPr>
                <w:b w:val="0"/>
                <w:spacing w:val="0"/>
              </w:rPr>
              <w:t xml:space="preserve">  English</w:t>
            </w:r>
          </w:p>
          <w:p w:rsidR="00EB4E9C" w:rsidRPr="007C1D92" w:rsidRDefault="00EB4E9C" w:rsidP="00506162">
            <w:pPr>
              <w:pStyle w:val="Docoriginal"/>
            </w:pPr>
            <w:r w:rsidRPr="00506162">
              <w:t>Date:</w:t>
            </w:r>
            <w:r w:rsidR="00EA4900" w:rsidRPr="00506162">
              <w:rPr>
                <w:b w:val="0"/>
                <w:spacing w:val="0"/>
              </w:rPr>
              <w:t xml:space="preserve">  </w:t>
            </w:r>
            <w:r w:rsidR="009C2197" w:rsidRPr="00506162">
              <w:rPr>
                <w:b w:val="0"/>
                <w:spacing w:val="0"/>
              </w:rPr>
              <w:t>September</w:t>
            </w:r>
            <w:r w:rsidR="00EA4900" w:rsidRPr="00506162">
              <w:rPr>
                <w:b w:val="0"/>
                <w:spacing w:val="0"/>
              </w:rPr>
              <w:t xml:space="preserve"> </w:t>
            </w:r>
            <w:r w:rsidR="002D2BB5" w:rsidRPr="00506162">
              <w:rPr>
                <w:b w:val="0"/>
                <w:spacing w:val="0"/>
              </w:rPr>
              <w:t>2</w:t>
            </w:r>
            <w:r w:rsidR="00506162" w:rsidRPr="00506162">
              <w:rPr>
                <w:b w:val="0"/>
                <w:spacing w:val="0"/>
              </w:rPr>
              <w:t>8</w:t>
            </w:r>
            <w:r w:rsidR="003A5B25" w:rsidRPr="00506162">
              <w:rPr>
                <w:b w:val="0"/>
                <w:spacing w:val="0"/>
              </w:rPr>
              <w:t>, 2018</w:t>
            </w:r>
          </w:p>
        </w:tc>
      </w:tr>
    </w:tbl>
    <w:p w:rsidR="00EA4900" w:rsidRPr="00B844B0" w:rsidRDefault="00EA4900" w:rsidP="00EA4900">
      <w:pPr>
        <w:pStyle w:val="Titleofdoc0"/>
      </w:pPr>
      <w:bookmarkStart w:id="0" w:name="TitleOfDoc"/>
      <w:bookmarkEnd w:id="0"/>
      <w:r w:rsidRPr="00B844B0">
        <w:t>Revision of document UPOV/INF/12/5 “Explanatory Notes on Variety Denominations under the UPOV Convention”</w:t>
      </w:r>
    </w:p>
    <w:p w:rsidR="00EA4900" w:rsidRPr="006A644A" w:rsidRDefault="00EA4900" w:rsidP="00EA4900">
      <w:pPr>
        <w:pStyle w:val="preparedby1"/>
        <w:jc w:val="left"/>
      </w:pPr>
      <w:bookmarkStart w:id="1" w:name="Prepared"/>
      <w:bookmarkEnd w:id="1"/>
      <w:r w:rsidRPr="000C4E25">
        <w:t>Document prepared by the Office of the Union</w:t>
      </w:r>
    </w:p>
    <w:p w:rsidR="00EA4900" w:rsidRPr="006A644A" w:rsidRDefault="00EA4900" w:rsidP="00EA4900">
      <w:pPr>
        <w:pStyle w:val="Disclaimer"/>
      </w:pPr>
      <w:r w:rsidRPr="006A644A">
        <w:t>Disclaimer:  this document does not represent UPOV policies or guidance</w:t>
      </w:r>
    </w:p>
    <w:p w:rsidR="00EA4900" w:rsidRPr="000C3905" w:rsidRDefault="00EA4900" w:rsidP="00EA4900">
      <w:pPr>
        <w:pStyle w:val="Heading1"/>
        <w:rPr>
          <w:lang w:eastAsia="ja-JP"/>
        </w:rPr>
      </w:pPr>
      <w:bookmarkStart w:id="2" w:name="_Toc526443836"/>
      <w:r w:rsidRPr="000C3905">
        <w:t>Executive summary</w:t>
      </w:r>
      <w:bookmarkEnd w:id="2"/>
    </w:p>
    <w:p w:rsidR="00EA4900" w:rsidRPr="00506162" w:rsidRDefault="00EA4900" w:rsidP="00EA4900">
      <w:pPr>
        <w:rPr>
          <w:snapToGrid w:val="0"/>
          <w:lang w:eastAsia="ja-JP"/>
        </w:rPr>
      </w:pPr>
    </w:p>
    <w:p w:rsidR="00EA4900" w:rsidRPr="000C3905" w:rsidRDefault="00EA4900" w:rsidP="00DA07F5">
      <w:pPr>
        <w:rPr>
          <w:rFonts w:cs="Arial"/>
          <w:lang w:eastAsia="ja-JP"/>
        </w:rPr>
      </w:pPr>
      <w:r w:rsidRPr="000C3905">
        <w:rPr>
          <w:rFonts w:cs="Arial"/>
        </w:rPr>
        <w:fldChar w:fldCharType="begin"/>
      </w:r>
      <w:r w:rsidRPr="000C3905">
        <w:rPr>
          <w:rFonts w:cs="Arial"/>
        </w:rPr>
        <w:instrText xml:space="preserve"> AUTONUM  </w:instrText>
      </w:r>
      <w:r w:rsidRPr="000C3905">
        <w:rPr>
          <w:rFonts w:cs="Arial"/>
        </w:rPr>
        <w:fldChar w:fldCharType="end"/>
      </w:r>
      <w:r w:rsidRPr="000C3905">
        <w:rPr>
          <w:rFonts w:cs="Arial"/>
          <w:lang w:eastAsia="ja-JP"/>
        </w:rPr>
        <w:tab/>
      </w:r>
      <w:r w:rsidRPr="000C3905">
        <w:rPr>
          <w:rFonts w:cs="Arial"/>
        </w:rPr>
        <w:t xml:space="preserve">The purpose of this document is </w:t>
      </w:r>
      <w:r w:rsidRPr="000C3905">
        <w:t xml:space="preserve">to provide background information to assist the </w:t>
      </w:r>
      <w:r w:rsidRPr="000C3905">
        <w:rPr>
          <w:snapToGrid w:val="0"/>
        </w:rPr>
        <w:t xml:space="preserve">Working Group on Variety Denominations (WG-DEN) </w:t>
      </w:r>
      <w:r w:rsidRPr="000C3905">
        <w:t>in its consideration of</w:t>
      </w:r>
      <w:r w:rsidRPr="000C3905">
        <w:rPr>
          <w:rFonts w:cs="Arial"/>
        </w:rPr>
        <w:t xml:space="preserve"> the proposals for </w:t>
      </w:r>
      <w:r w:rsidRPr="000C3905">
        <w:rPr>
          <w:rFonts w:cs="Arial"/>
          <w:lang w:eastAsia="ja-JP"/>
        </w:rPr>
        <w:t xml:space="preserve">a </w:t>
      </w:r>
      <w:r w:rsidRPr="000C3905">
        <w:rPr>
          <w:rFonts w:cs="Arial"/>
        </w:rPr>
        <w:t>revision of document UPOV/INF/12/5 “Explanatory Notes on Variety Denominations under the UPOV Convention”</w:t>
      </w:r>
      <w:r>
        <w:rPr>
          <w:rFonts w:cs="Arial"/>
        </w:rPr>
        <w:t xml:space="preserve">, as presented in document </w:t>
      </w:r>
      <w:r w:rsidRPr="000C3905">
        <w:rPr>
          <w:lang w:eastAsia="ja-JP"/>
        </w:rPr>
        <w:t>UPOV/</w:t>
      </w:r>
      <w:r w:rsidR="00A343C4">
        <w:rPr>
          <w:lang w:eastAsia="ja-JP"/>
        </w:rPr>
        <w:t>EXN/DEN</w:t>
      </w:r>
      <w:r w:rsidRPr="000C3905">
        <w:rPr>
          <w:lang w:eastAsia="ja-JP"/>
        </w:rPr>
        <w:t>/1</w:t>
      </w:r>
      <w:r>
        <w:rPr>
          <w:lang w:eastAsia="ja-JP"/>
        </w:rPr>
        <w:t> Draft </w:t>
      </w:r>
      <w:r w:rsidR="00A343C4">
        <w:rPr>
          <w:lang w:eastAsia="ja-JP"/>
        </w:rPr>
        <w:t>1</w:t>
      </w:r>
      <w:r w:rsidRPr="000C3905">
        <w:rPr>
          <w:rFonts w:cs="Arial"/>
        </w:rPr>
        <w:t>.</w:t>
      </w:r>
    </w:p>
    <w:p w:rsidR="00EA4900" w:rsidRPr="000C3905" w:rsidRDefault="00EA4900" w:rsidP="00DA07F5">
      <w:pPr>
        <w:rPr>
          <w:rFonts w:cs="Arial"/>
          <w:lang w:eastAsia="ja-JP"/>
        </w:rPr>
      </w:pPr>
    </w:p>
    <w:p w:rsidR="00EA4900" w:rsidRPr="000C3905" w:rsidRDefault="00EA4900" w:rsidP="00DA07F5">
      <w:pPr>
        <w:rPr>
          <w:iCs/>
          <w:spacing w:val="-4"/>
        </w:rPr>
      </w:pPr>
      <w:r w:rsidRPr="000C3905">
        <w:fldChar w:fldCharType="begin"/>
      </w:r>
      <w:r w:rsidRPr="000C3905">
        <w:instrText xml:space="preserve"> AUTONUM  </w:instrText>
      </w:r>
      <w:r w:rsidRPr="000C3905">
        <w:fldChar w:fldCharType="end"/>
      </w:r>
      <w:r w:rsidRPr="000C3905">
        <w:tab/>
      </w:r>
      <w:r w:rsidRPr="000C3905">
        <w:rPr>
          <w:iCs/>
          <w:spacing w:val="-4"/>
        </w:rPr>
        <w:t xml:space="preserve">The WG-DEN is invited to: </w:t>
      </w:r>
    </w:p>
    <w:p w:rsidR="00EA4900" w:rsidRPr="000C3905" w:rsidRDefault="00EA4900" w:rsidP="00DA07F5">
      <w:pPr>
        <w:rPr>
          <w:iCs/>
          <w:spacing w:val="-4"/>
        </w:rPr>
      </w:pPr>
    </w:p>
    <w:p w:rsidR="00EA4900" w:rsidRPr="00881C6A" w:rsidRDefault="00EA4900" w:rsidP="00DA07F5">
      <w:pPr>
        <w:ind w:firstLine="567"/>
        <w:rPr>
          <w:iCs/>
          <w:spacing w:val="-4"/>
        </w:rPr>
      </w:pPr>
      <w:r w:rsidRPr="00881C6A">
        <w:rPr>
          <w:iCs/>
          <w:spacing w:val="-4"/>
        </w:rPr>
        <w:t>(a)</w:t>
      </w:r>
      <w:r w:rsidRPr="00881C6A">
        <w:rPr>
          <w:iCs/>
          <w:spacing w:val="-4"/>
        </w:rPr>
        <w:tab/>
        <w:t xml:space="preserve">note the matters agreed by the WG-DEN at its </w:t>
      </w:r>
      <w:r w:rsidR="004E7B99">
        <w:rPr>
          <w:iCs/>
          <w:spacing w:val="-4"/>
        </w:rPr>
        <w:t>fourth</w:t>
      </w:r>
      <w:r w:rsidRPr="00881C6A">
        <w:rPr>
          <w:iCs/>
          <w:spacing w:val="-4"/>
        </w:rPr>
        <w:t xml:space="preserve"> meeting, as reported in paragraph </w:t>
      </w:r>
      <w:r w:rsidRPr="00506162">
        <w:rPr>
          <w:iCs/>
          <w:spacing w:val="-4"/>
        </w:rPr>
        <w:t>6</w:t>
      </w:r>
      <w:r w:rsidRPr="00881C6A">
        <w:rPr>
          <w:iCs/>
          <w:spacing w:val="-4"/>
        </w:rPr>
        <w:t xml:space="preserve"> of this document;</w:t>
      </w:r>
      <w:r>
        <w:rPr>
          <w:iCs/>
          <w:spacing w:val="-4"/>
        </w:rPr>
        <w:t xml:space="preserve"> </w:t>
      </w:r>
      <w:r w:rsidRPr="00881C6A">
        <w:rPr>
          <w:iCs/>
          <w:spacing w:val="-4"/>
        </w:rPr>
        <w:t xml:space="preserve"> </w:t>
      </w:r>
    </w:p>
    <w:p w:rsidR="00140026" w:rsidRPr="00881C6A" w:rsidRDefault="00140026" w:rsidP="00DA07F5">
      <w:pPr>
        <w:ind w:firstLine="567"/>
        <w:rPr>
          <w:iCs/>
          <w:spacing w:val="-4"/>
        </w:rPr>
      </w:pPr>
    </w:p>
    <w:p w:rsidR="00140026" w:rsidRDefault="00140026" w:rsidP="00DA07F5">
      <w:pPr>
        <w:ind w:firstLine="567"/>
        <w:rPr>
          <w:iCs/>
          <w:spacing w:val="-4"/>
        </w:rPr>
      </w:pPr>
      <w:r w:rsidRPr="00881C6A">
        <w:rPr>
          <w:iCs/>
          <w:spacing w:val="-4"/>
        </w:rPr>
        <w:t>(b)</w:t>
      </w:r>
      <w:r w:rsidRPr="00881C6A">
        <w:rPr>
          <w:iCs/>
          <w:spacing w:val="-4"/>
        </w:rPr>
        <w:tab/>
        <w:t>consider document UPOV/</w:t>
      </w:r>
      <w:r>
        <w:rPr>
          <w:lang w:eastAsia="ja-JP"/>
        </w:rPr>
        <w:t>EXN/DEN</w:t>
      </w:r>
      <w:r w:rsidRPr="000C3905">
        <w:rPr>
          <w:lang w:eastAsia="ja-JP"/>
        </w:rPr>
        <w:t>/1</w:t>
      </w:r>
      <w:r>
        <w:rPr>
          <w:lang w:eastAsia="ja-JP"/>
        </w:rPr>
        <w:t> Draft 1</w:t>
      </w:r>
      <w:r w:rsidRPr="00881C6A">
        <w:rPr>
          <w:iCs/>
          <w:spacing w:val="-4"/>
        </w:rPr>
        <w:t xml:space="preserve">, as set out in paragraph </w:t>
      </w:r>
      <w:r w:rsidRPr="00506162">
        <w:rPr>
          <w:iCs/>
          <w:spacing w:val="-4"/>
        </w:rPr>
        <w:t>9</w:t>
      </w:r>
      <w:r w:rsidRPr="00881C6A">
        <w:rPr>
          <w:iCs/>
          <w:spacing w:val="-4"/>
        </w:rPr>
        <w:t xml:space="preserve"> of this document</w:t>
      </w:r>
      <w:r>
        <w:rPr>
          <w:iCs/>
          <w:spacing w:val="-4"/>
        </w:rPr>
        <w:t>; and</w:t>
      </w:r>
    </w:p>
    <w:p w:rsidR="00EA4900" w:rsidRPr="00881C6A" w:rsidRDefault="00EA4900" w:rsidP="00DA07F5">
      <w:pPr>
        <w:ind w:firstLine="567"/>
        <w:rPr>
          <w:iCs/>
          <w:spacing w:val="-4"/>
        </w:rPr>
      </w:pPr>
    </w:p>
    <w:p w:rsidR="00EA4900" w:rsidRDefault="00EA4900" w:rsidP="00DA07F5">
      <w:pPr>
        <w:ind w:firstLine="567"/>
        <w:rPr>
          <w:iCs/>
          <w:spacing w:val="-4"/>
        </w:rPr>
      </w:pPr>
      <w:r w:rsidRPr="00881C6A">
        <w:rPr>
          <w:iCs/>
          <w:spacing w:val="-4"/>
        </w:rPr>
        <w:t>(</w:t>
      </w:r>
      <w:r w:rsidR="00140026">
        <w:rPr>
          <w:iCs/>
          <w:spacing w:val="-4"/>
        </w:rPr>
        <w:t>c</w:t>
      </w:r>
      <w:r w:rsidRPr="00881C6A">
        <w:rPr>
          <w:iCs/>
          <w:spacing w:val="-4"/>
        </w:rPr>
        <w:t>)</w:t>
      </w:r>
      <w:r w:rsidRPr="00881C6A">
        <w:rPr>
          <w:iCs/>
          <w:spacing w:val="-4"/>
        </w:rPr>
        <w:tab/>
      </w:r>
      <w:r w:rsidR="00140026" w:rsidRPr="00140026">
        <w:rPr>
          <w:iCs/>
          <w:spacing w:val="-4"/>
        </w:rPr>
        <w:t xml:space="preserve">note </w:t>
      </w:r>
      <w:r w:rsidR="00FD35D0" w:rsidRPr="00FD35D0">
        <w:rPr>
          <w:iCs/>
          <w:spacing w:val="-4"/>
        </w:rPr>
        <w:t xml:space="preserve">that developments concerning the International </w:t>
      </w:r>
      <w:r w:rsidR="002D2BB5">
        <w:rPr>
          <w:iCs/>
          <w:spacing w:val="-4"/>
        </w:rPr>
        <w:t>C</w:t>
      </w:r>
      <w:r w:rsidR="00FD35D0" w:rsidRPr="00FD35D0">
        <w:rPr>
          <w:iCs/>
          <w:spacing w:val="-4"/>
        </w:rPr>
        <w:t xml:space="preserve">ode of </w:t>
      </w:r>
      <w:r w:rsidR="002D2BB5">
        <w:rPr>
          <w:iCs/>
          <w:spacing w:val="-4"/>
        </w:rPr>
        <w:t>N</w:t>
      </w:r>
      <w:r w:rsidR="00FD35D0" w:rsidRPr="00FD35D0">
        <w:rPr>
          <w:iCs/>
          <w:spacing w:val="-4"/>
        </w:rPr>
        <w:t xml:space="preserve">omenclature for </w:t>
      </w:r>
      <w:r w:rsidR="002D2BB5">
        <w:rPr>
          <w:iCs/>
          <w:spacing w:val="-4"/>
        </w:rPr>
        <w:t>C</w:t>
      </w:r>
      <w:r w:rsidR="00FD35D0" w:rsidRPr="00FD35D0">
        <w:rPr>
          <w:iCs/>
          <w:spacing w:val="-4"/>
        </w:rPr>
        <w:t xml:space="preserve">ultivated </w:t>
      </w:r>
      <w:r w:rsidR="002D2BB5">
        <w:rPr>
          <w:iCs/>
          <w:spacing w:val="-4"/>
        </w:rPr>
        <w:t>P</w:t>
      </w:r>
      <w:r w:rsidR="00FD35D0" w:rsidRPr="00FD35D0">
        <w:rPr>
          <w:iCs/>
          <w:spacing w:val="-4"/>
        </w:rPr>
        <w:t>lants (ICNCP) ar</w:t>
      </w:r>
      <w:r w:rsidR="00DA07F5">
        <w:rPr>
          <w:iCs/>
          <w:spacing w:val="-4"/>
        </w:rPr>
        <w:t>e provided in document CAJ/75/7 </w:t>
      </w:r>
      <w:r w:rsidR="00FD35D0" w:rsidRPr="00FD35D0">
        <w:rPr>
          <w:iCs/>
          <w:spacing w:val="-4"/>
        </w:rPr>
        <w:t xml:space="preserve">Add. “Addendum to Variety Denominations”, </w:t>
      </w:r>
      <w:r w:rsidR="00140026" w:rsidRPr="00140026">
        <w:rPr>
          <w:iCs/>
          <w:spacing w:val="-4"/>
        </w:rPr>
        <w:t>as set out in paragraph</w:t>
      </w:r>
      <w:r w:rsidR="00FD35D0">
        <w:rPr>
          <w:iCs/>
          <w:spacing w:val="-4"/>
        </w:rPr>
        <w:t> </w:t>
      </w:r>
      <w:r w:rsidR="00140026" w:rsidRPr="00506162">
        <w:rPr>
          <w:iCs/>
          <w:spacing w:val="-4"/>
        </w:rPr>
        <w:t>14</w:t>
      </w:r>
      <w:r w:rsidR="00140026" w:rsidRPr="00140026">
        <w:rPr>
          <w:iCs/>
          <w:spacing w:val="-4"/>
        </w:rPr>
        <w:t xml:space="preserve"> of this document</w:t>
      </w:r>
      <w:r w:rsidRPr="00881C6A">
        <w:rPr>
          <w:iCs/>
          <w:spacing w:val="-4"/>
        </w:rPr>
        <w:t>.</w:t>
      </w:r>
    </w:p>
    <w:p w:rsidR="00EA4900" w:rsidRPr="000C3905" w:rsidRDefault="00EA4900" w:rsidP="00DA07F5">
      <w:pPr>
        <w:ind w:firstLine="567"/>
        <w:rPr>
          <w:rFonts w:cs="Arial"/>
          <w:snapToGrid w:val="0"/>
          <w:lang w:eastAsia="ja-JP"/>
        </w:rPr>
      </w:pPr>
    </w:p>
    <w:p w:rsidR="00EA4900" w:rsidRPr="000C3905" w:rsidRDefault="00EA4900" w:rsidP="00EA4900">
      <w:pPr>
        <w:keepNext/>
        <w:spacing w:after="120" w:line="360" w:lineRule="auto"/>
        <w:rPr>
          <w:rFonts w:cs="Arial"/>
          <w:snapToGrid w:val="0"/>
          <w:sz w:val="18"/>
          <w:lang w:eastAsia="ja-JP"/>
        </w:rPr>
      </w:pPr>
      <w:r w:rsidRPr="000C3905">
        <w:rPr>
          <w:rFonts w:cs="Arial"/>
          <w:snapToGrid w:val="0"/>
        </w:rPr>
        <w:fldChar w:fldCharType="begin"/>
      </w:r>
      <w:r w:rsidRPr="000C3905">
        <w:rPr>
          <w:rFonts w:cs="Arial"/>
          <w:snapToGrid w:val="0"/>
        </w:rPr>
        <w:instrText xml:space="preserve"> AUTONUM  </w:instrText>
      </w:r>
      <w:r w:rsidRPr="000C3905">
        <w:rPr>
          <w:rFonts w:cs="Arial"/>
          <w:snapToGrid w:val="0"/>
        </w:rPr>
        <w:fldChar w:fldCharType="end"/>
      </w:r>
      <w:r w:rsidRPr="000C3905">
        <w:rPr>
          <w:rFonts w:cs="Arial"/>
          <w:snapToGrid w:val="0"/>
        </w:rPr>
        <w:tab/>
      </w:r>
      <w:r w:rsidRPr="000C3905">
        <w:rPr>
          <w:rFonts w:cs="Arial"/>
          <w:snapToGrid w:val="0"/>
          <w:lang w:eastAsia="ja-JP"/>
        </w:rPr>
        <w:t>The structure of this document is as follows:</w:t>
      </w:r>
    </w:p>
    <w:p w:rsidR="00DA07F5" w:rsidRDefault="00EA4900">
      <w:pPr>
        <w:pStyle w:val="TOC1"/>
        <w:rPr>
          <w:rFonts w:asciiTheme="minorHAnsi" w:hAnsiTheme="minorHAnsi" w:cstheme="minorBidi"/>
          <w:bCs w:val="0"/>
          <w:caps w:val="0"/>
          <w:sz w:val="22"/>
          <w:szCs w:val="22"/>
          <w:lang w:eastAsia="en-US"/>
        </w:rPr>
      </w:pPr>
      <w:r w:rsidRPr="000C3905">
        <w:rPr>
          <w:noProof w:val="0"/>
          <w:snapToGrid w:val="0"/>
          <w:sz w:val="14"/>
        </w:rPr>
        <w:fldChar w:fldCharType="begin"/>
      </w:r>
      <w:r w:rsidRPr="000C3905">
        <w:rPr>
          <w:snapToGrid w:val="0"/>
          <w:sz w:val="14"/>
        </w:rPr>
        <w:instrText xml:space="preserve"> TOC \o "1-3" \h \z \u </w:instrText>
      </w:r>
      <w:r w:rsidRPr="000C3905">
        <w:rPr>
          <w:noProof w:val="0"/>
          <w:snapToGrid w:val="0"/>
          <w:sz w:val="14"/>
        </w:rPr>
        <w:fldChar w:fldCharType="separate"/>
      </w:r>
      <w:hyperlink w:anchor="_Toc526443836" w:history="1">
        <w:r w:rsidR="00DA07F5" w:rsidRPr="006F65DE">
          <w:rPr>
            <w:rStyle w:val="Hyperlink"/>
          </w:rPr>
          <w:t>Executive summary</w:t>
        </w:r>
        <w:r w:rsidR="00DA07F5">
          <w:rPr>
            <w:webHidden/>
          </w:rPr>
          <w:tab/>
        </w:r>
        <w:r w:rsidR="00DA07F5">
          <w:rPr>
            <w:webHidden/>
          </w:rPr>
          <w:fldChar w:fldCharType="begin"/>
        </w:r>
        <w:r w:rsidR="00DA07F5">
          <w:rPr>
            <w:webHidden/>
          </w:rPr>
          <w:instrText xml:space="preserve"> PAGEREF _Toc526443836 \h </w:instrText>
        </w:r>
        <w:r w:rsidR="00DA07F5">
          <w:rPr>
            <w:webHidden/>
          </w:rPr>
        </w:r>
        <w:r w:rsidR="00DA07F5">
          <w:rPr>
            <w:webHidden/>
          </w:rPr>
          <w:fldChar w:fldCharType="separate"/>
        </w:r>
        <w:r w:rsidR="008D27BA">
          <w:rPr>
            <w:webHidden/>
          </w:rPr>
          <w:t>1</w:t>
        </w:r>
        <w:r w:rsidR="00DA07F5">
          <w:rPr>
            <w:webHidden/>
          </w:rPr>
          <w:fldChar w:fldCharType="end"/>
        </w:r>
      </w:hyperlink>
    </w:p>
    <w:p w:rsidR="00DA07F5" w:rsidRDefault="00DA07F5">
      <w:pPr>
        <w:pStyle w:val="TOC1"/>
        <w:rPr>
          <w:rFonts w:asciiTheme="minorHAnsi" w:hAnsiTheme="minorHAnsi" w:cstheme="minorBidi"/>
          <w:bCs w:val="0"/>
          <w:caps w:val="0"/>
          <w:sz w:val="22"/>
          <w:szCs w:val="22"/>
          <w:lang w:eastAsia="en-US"/>
        </w:rPr>
      </w:pPr>
      <w:hyperlink w:anchor="_Toc526443837" w:history="1">
        <w:r w:rsidRPr="006F65DE">
          <w:rPr>
            <w:rStyle w:val="Hyperlink"/>
          </w:rPr>
          <w:t>Background</w:t>
        </w:r>
        <w:r>
          <w:rPr>
            <w:webHidden/>
          </w:rPr>
          <w:tab/>
        </w:r>
        <w:r>
          <w:rPr>
            <w:webHidden/>
          </w:rPr>
          <w:fldChar w:fldCharType="begin"/>
        </w:r>
        <w:r>
          <w:rPr>
            <w:webHidden/>
          </w:rPr>
          <w:instrText xml:space="preserve"> PAGEREF _Toc526443837 \h </w:instrText>
        </w:r>
        <w:r>
          <w:rPr>
            <w:webHidden/>
          </w:rPr>
        </w:r>
        <w:r>
          <w:rPr>
            <w:webHidden/>
          </w:rPr>
          <w:fldChar w:fldCharType="separate"/>
        </w:r>
        <w:r w:rsidR="008D27BA">
          <w:rPr>
            <w:webHidden/>
          </w:rPr>
          <w:t>2</w:t>
        </w:r>
        <w:r>
          <w:rPr>
            <w:webHidden/>
          </w:rPr>
          <w:fldChar w:fldCharType="end"/>
        </w:r>
      </w:hyperlink>
    </w:p>
    <w:p w:rsidR="00DA07F5" w:rsidRDefault="00DA07F5">
      <w:pPr>
        <w:pStyle w:val="TOC1"/>
        <w:rPr>
          <w:rFonts w:asciiTheme="minorHAnsi" w:hAnsiTheme="minorHAnsi" w:cstheme="minorBidi"/>
          <w:bCs w:val="0"/>
          <w:caps w:val="0"/>
          <w:sz w:val="22"/>
          <w:szCs w:val="22"/>
          <w:lang w:eastAsia="en-US"/>
        </w:rPr>
      </w:pPr>
      <w:hyperlink w:anchor="_Toc526443838" w:history="1">
        <w:r w:rsidRPr="006F65DE">
          <w:rPr>
            <w:rStyle w:val="Hyperlink"/>
            <w:snapToGrid w:val="0"/>
          </w:rPr>
          <w:t>Developments BY the WG-DEN, at its FOURth meeting</w:t>
        </w:r>
        <w:r>
          <w:rPr>
            <w:webHidden/>
          </w:rPr>
          <w:tab/>
        </w:r>
        <w:r>
          <w:rPr>
            <w:webHidden/>
          </w:rPr>
          <w:fldChar w:fldCharType="begin"/>
        </w:r>
        <w:r>
          <w:rPr>
            <w:webHidden/>
          </w:rPr>
          <w:instrText xml:space="preserve"> PAGEREF _Toc526443838 \h </w:instrText>
        </w:r>
        <w:r>
          <w:rPr>
            <w:webHidden/>
          </w:rPr>
        </w:r>
        <w:r>
          <w:rPr>
            <w:webHidden/>
          </w:rPr>
          <w:fldChar w:fldCharType="separate"/>
        </w:r>
        <w:r w:rsidR="008D27BA">
          <w:rPr>
            <w:webHidden/>
          </w:rPr>
          <w:t>2</w:t>
        </w:r>
        <w:r>
          <w:rPr>
            <w:webHidden/>
          </w:rPr>
          <w:fldChar w:fldCharType="end"/>
        </w:r>
      </w:hyperlink>
    </w:p>
    <w:p w:rsidR="00DA07F5" w:rsidRDefault="00DA07F5">
      <w:pPr>
        <w:pStyle w:val="TOC1"/>
        <w:rPr>
          <w:rFonts w:asciiTheme="minorHAnsi" w:hAnsiTheme="minorHAnsi" w:cstheme="minorBidi"/>
          <w:bCs w:val="0"/>
          <w:caps w:val="0"/>
          <w:sz w:val="22"/>
          <w:szCs w:val="22"/>
          <w:lang w:eastAsia="en-US"/>
        </w:rPr>
      </w:pPr>
      <w:hyperlink w:anchor="_Toc526443839" w:history="1">
        <w:r w:rsidRPr="006F65DE">
          <w:rPr>
            <w:rStyle w:val="Hyperlink"/>
          </w:rPr>
          <w:t>MATTERS FOR CONSIDERATION BY THE WG-DEN AT ITS fifth MEETING</w:t>
        </w:r>
        <w:r>
          <w:rPr>
            <w:webHidden/>
          </w:rPr>
          <w:tab/>
        </w:r>
        <w:r>
          <w:rPr>
            <w:webHidden/>
          </w:rPr>
          <w:fldChar w:fldCharType="begin"/>
        </w:r>
        <w:r>
          <w:rPr>
            <w:webHidden/>
          </w:rPr>
          <w:instrText xml:space="preserve"> PAGEREF _Toc526443839 \h </w:instrText>
        </w:r>
        <w:r>
          <w:rPr>
            <w:webHidden/>
          </w:rPr>
        </w:r>
        <w:r>
          <w:rPr>
            <w:webHidden/>
          </w:rPr>
          <w:fldChar w:fldCharType="separate"/>
        </w:r>
        <w:r w:rsidR="008D27BA">
          <w:rPr>
            <w:webHidden/>
          </w:rPr>
          <w:t>4</w:t>
        </w:r>
        <w:r>
          <w:rPr>
            <w:webHidden/>
          </w:rPr>
          <w:fldChar w:fldCharType="end"/>
        </w:r>
      </w:hyperlink>
    </w:p>
    <w:p w:rsidR="00DA07F5" w:rsidRDefault="00DA07F5">
      <w:pPr>
        <w:pStyle w:val="TOC1"/>
        <w:rPr>
          <w:rFonts w:asciiTheme="minorHAnsi" w:hAnsiTheme="minorHAnsi" w:cstheme="minorBidi"/>
          <w:bCs w:val="0"/>
          <w:caps w:val="0"/>
          <w:sz w:val="22"/>
          <w:szCs w:val="22"/>
          <w:lang w:eastAsia="en-US"/>
        </w:rPr>
      </w:pPr>
      <w:hyperlink w:anchor="_Toc526443840" w:history="1">
        <w:r w:rsidRPr="006F65DE">
          <w:rPr>
            <w:rStyle w:val="Hyperlink"/>
            <w:snapToGrid w:val="0"/>
          </w:rPr>
          <w:t>DEVELOPMENTS Concerning the International code of nomenclature for cultivated plants</w:t>
        </w:r>
        <w:r>
          <w:rPr>
            <w:webHidden/>
          </w:rPr>
          <w:tab/>
        </w:r>
        <w:r>
          <w:rPr>
            <w:webHidden/>
          </w:rPr>
          <w:fldChar w:fldCharType="begin"/>
        </w:r>
        <w:r>
          <w:rPr>
            <w:webHidden/>
          </w:rPr>
          <w:instrText xml:space="preserve"> PAGEREF _Toc526443840 \h </w:instrText>
        </w:r>
        <w:r>
          <w:rPr>
            <w:webHidden/>
          </w:rPr>
        </w:r>
        <w:r>
          <w:rPr>
            <w:webHidden/>
          </w:rPr>
          <w:fldChar w:fldCharType="separate"/>
        </w:r>
        <w:r w:rsidR="008D27BA">
          <w:rPr>
            <w:webHidden/>
          </w:rPr>
          <w:t>4</w:t>
        </w:r>
        <w:r>
          <w:rPr>
            <w:webHidden/>
          </w:rPr>
          <w:fldChar w:fldCharType="end"/>
        </w:r>
      </w:hyperlink>
    </w:p>
    <w:p w:rsidR="00EA4900" w:rsidRPr="00D67B1A" w:rsidRDefault="00EA4900" w:rsidP="00EA4900">
      <w:pPr>
        <w:spacing w:before="120" w:after="60"/>
        <w:ind w:left="1134" w:right="1134" w:hanging="1134"/>
        <w:rPr>
          <w:snapToGrid w:val="0"/>
          <w:sz w:val="18"/>
          <w:szCs w:val="18"/>
        </w:rPr>
      </w:pPr>
      <w:r w:rsidRPr="000C3905">
        <w:rPr>
          <w:noProof/>
          <w:snapToGrid w:val="0"/>
          <w:sz w:val="16"/>
        </w:rPr>
        <w:fldChar w:fldCharType="end"/>
      </w:r>
      <w:r w:rsidRPr="00D67B1A">
        <w:rPr>
          <w:spacing w:val="-2"/>
          <w:sz w:val="18"/>
          <w:szCs w:val="18"/>
        </w:rPr>
        <w:t>ANNEX</w:t>
      </w:r>
      <w:r w:rsidRPr="00D67B1A">
        <w:rPr>
          <w:color w:val="000000"/>
          <w:sz w:val="18"/>
          <w:szCs w:val="18"/>
        </w:rPr>
        <w:t xml:space="preserve"> I</w:t>
      </w:r>
      <w:r w:rsidRPr="00D67B1A">
        <w:rPr>
          <w:color w:val="000000"/>
          <w:sz w:val="18"/>
          <w:szCs w:val="18"/>
        </w:rPr>
        <w:tab/>
      </w:r>
      <w:r w:rsidRPr="00D67B1A">
        <w:rPr>
          <w:sz w:val="18"/>
          <w:lang w:eastAsia="ja-JP"/>
        </w:rPr>
        <w:t>COMPILATION OF ALL COMMENTS RECEIVED AND DISCUSSED AT WG-DEN MEETINGS AND OTHER RELEVANT MEETINGS, IN RELATION TO THE TEXT OF DOCUMENT UPOV/</w:t>
      </w:r>
      <w:r w:rsidR="00EB183B">
        <w:rPr>
          <w:sz w:val="18"/>
          <w:lang w:eastAsia="ja-JP"/>
        </w:rPr>
        <w:t>INF</w:t>
      </w:r>
      <w:r w:rsidRPr="00D67B1A">
        <w:rPr>
          <w:sz w:val="18"/>
          <w:lang w:eastAsia="ja-JP"/>
        </w:rPr>
        <w:t>/</w:t>
      </w:r>
      <w:r w:rsidR="00EB183B">
        <w:rPr>
          <w:sz w:val="18"/>
          <w:lang w:eastAsia="ja-JP"/>
        </w:rPr>
        <w:t>12</w:t>
      </w:r>
      <w:r w:rsidRPr="00D67B1A">
        <w:rPr>
          <w:sz w:val="18"/>
          <w:lang w:eastAsia="ja-JP"/>
        </w:rPr>
        <w:t>/</w:t>
      </w:r>
      <w:r w:rsidR="00EB183B">
        <w:rPr>
          <w:sz w:val="18"/>
          <w:lang w:eastAsia="ja-JP"/>
        </w:rPr>
        <w:t>5</w:t>
      </w:r>
    </w:p>
    <w:p w:rsidR="00EA4900" w:rsidRPr="00DD6B8C" w:rsidRDefault="00EA4900" w:rsidP="00EA4900">
      <w:pPr>
        <w:tabs>
          <w:tab w:val="left" w:pos="709"/>
          <w:tab w:val="left" w:pos="1418"/>
        </w:tabs>
        <w:autoSpaceDE w:val="0"/>
        <w:autoSpaceDN w:val="0"/>
        <w:adjustRightInd w:val="0"/>
        <w:spacing w:before="120"/>
        <w:ind w:left="1134" w:hanging="1134"/>
        <w:rPr>
          <w:sz w:val="18"/>
          <w:lang w:eastAsia="ja-JP"/>
        </w:rPr>
      </w:pPr>
      <w:r w:rsidRPr="00DD6B8C">
        <w:rPr>
          <w:sz w:val="18"/>
          <w:lang w:eastAsia="ja-JP"/>
        </w:rPr>
        <w:t>ANNEX II</w:t>
      </w:r>
      <w:r w:rsidRPr="00DD6B8C">
        <w:rPr>
          <w:sz w:val="18"/>
          <w:lang w:eastAsia="ja-JP"/>
        </w:rPr>
        <w:tab/>
        <w:t xml:space="preserve">RESPONSE FROM </w:t>
      </w:r>
      <w:r w:rsidR="00DD6B8C" w:rsidRPr="00DD6B8C">
        <w:rPr>
          <w:sz w:val="18"/>
          <w:lang w:eastAsia="ja-JP"/>
        </w:rPr>
        <w:t>THE EUROPEAN UNION (CPVO) TO UPOV CIRCULAR E</w:t>
      </w:r>
      <w:r w:rsidR="00DD6B8C" w:rsidRPr="00DD6B8C">
        <w:rPr>
          <w:sz w:val="18"/>
          <w:lang w:eastAsia="ja-JP"/>
        </w:rPr>
        <w:noBreakHyphen/>
        <w:t>18/064</w:t>
      </w:r>
    </w:p>
    <w:p w:rsidR="00EA4900" w:rsidRPr="00506162" w:rsidRDefault="00EA4900" w:rsidP="00EA4900">
      <w:pPr>
        <w:tabs>
          <w:tab w:val="left" w:pos="709"/>
        </w:tabs>
        <w:autoSpaceDE w:val="0"/>
        <w:autoSpaceDN w:val="0"/>
        <w:adjustRightInd w:val="0"/>
        <w:spacing w:before="120"/>
        <w:ind w:left="1134" w:hanging="1134"/>
        <w:rPr>
          <w:sz w:val="18"/>
          <w:lang w:eastAsia="ja-JP"/>
        </w:rPr>
      </w:pPr>
      <w:r w:rsidRPr="00DD6B8C">
        <w:rPr>
          <w:sz w:val="18"/>
          <w:lang w:eastAsia="ja-JP"/>
        </w:rPr>
        <w:t>ANNEX III</w:t>
      </w:r>
      <w:r w:rsidRPr="00DD6B8C">
        <w:rPr>
          <w:sz w:val="18"/>
          <w:lang w:eastAsia="ja-JP"/>
        </w:rPr>
        <w:tab/>
      </w:r>
      <w:r w:rsidR="00DD6B8C" w:rsidRPr="00DD6B8C">
        <w:rPr>
          <w:sz w:val="18"/>
          <w:lang w:eastAsia="ja-JP"/>
        </w:rPr>
        <w:t>RESPONSE FROM FRANCE TO UPOV CIRCULAR E</w:t>
      </w:r>
      <w:r w:rsidR="00DD6B8C" w:rsidRPr="00DD6B8C">
        <w:rPr>
          <w:sz w:val="18"/>
          <w:lang w:eastAsia="ja-JP"/>
        </w:rPr>
        <w:noBreakHyphen/>
        <w:t>18/064</w:t>
      </w:r>
    </w:p>
    <w:p w:rsidR="00EA4900" w:rsidRPr="00506162" w:rsidRDefault="00EA4900" w:rsidP="00EA4900">
      <w:pPr>
        <w:tabs>
          <w:tab w:val="left" w:pos="709"/>
        </w:tabs>
        <w:autoSpaceDE w:val="0"/>
        <w:autoSpaceDN w:val="0"/>
        <w:adjustRightInd w:val="0"/>
        <w:spacing w:before="120"/>
        <w:ind w:left="1134" w:hanging="1134"/>
        <w:rPr>
          <w:sz w:val="18"/>
          <w:lang w:eastAsia="ja-JP"/>
        </w:rPr>
      </w:pPr>
      <w:r w:rsidRPr="00DD6B8C">
        <w:rPr>
          <w:sz w:val="18"/>
          <w:lang w:eastAsia="ja-JP"/>
        </w:rPr>
        <w:t>ANNEX IV</w:t>
      </w:r>
      <w:r w:rsidRPr="00DD6B8C">
        <w:rPr>
          <w:sz w:val="18"/>
          <w:lang w:eastAsia="ja-JP"/>
        </w:rPr>
        <w:tab/>
        <w:t xml:space="preserve">RESPONSE FROM </w:t>
      </w:r>
      <w:r w:rsidR="00DD6B8C" w:rsidRPr="00DD6B8C">
        <w:rPr>
          <w:sz w:val="18"/>
          <w:lang w:eastAsia="ja-JP"/>
        </w:rPr>
        <w:t>JAPAN</w:t>
      </w:r>
      <w:r w:rsidRPr="00DD6B8C">
        <w:rPr>
          <w:sz w:val="18"/>
          <w:lang w:eastAsia="ja-JP"/>
        </w:rPr>
        <w:t xml:space="preserve"> TO UPOV CIRCULAR E</w:t>
      </w:r>
      <w:r w:rsidRPr="00DD6B8C">
        <w:rPr>
          <w:sz w:val="18"/>
          <w:lang w:eastAsia="ja-JP"/>
        </w:rPr>
        <w:noBreakHyphen/>
      </w:r>
      <w:r w:rsidR="00DD6B8C" w:rsidRPr="00DD6B8C">
        <w:rPr>
          <w:sz w:val="18"/>
          <w:lang w:eastAsia="ja-JP"/>
        </w:rPr>
        <w:t>18/064</w:t>
      </w:r>
    </w:p>
    <w:p w:rsidR="003004AA" w:rsidRPr="003004AA" w:rsidRDefault="003004AA" w:rsidP="003004AA">
      <w:pPr>
        <w:tabs>
          <w:tab w:val="left" w:pos="709"/>
        </w:tabs>
        <w:autoSpaceDE w:val="0"/>
        <w:autoSpaceDN w:val="0"/>
        <w:adjustRightInd w:val="0"/>
        <w:spacing w:before="120"/>
        <w:ind w:left="1134" w:hanging="1134"/>
        <w:rPr>
          <w:sz w:val="18"/>
          <w:lang w:eastAsia="ja-JP"/>
        </w:rPr>
      </w:pPr>
      <w:r w:rsidRPr="003004AA">
        <w:rPr>
          <w:sz w:val="18"/>
          <w:lang w:eastAsia="ja-JP"/>
        </w:rPr>
        <w:t>ANNEX V</w:t>
      </w:r>
      <w:r w:rsidRPr="003004AA">
        <w:rPr>
          <w:sz w:val="18"/>
          <w:lang w:eastAsia="ja-JP"/>
        </w:rPr>
        <w:tab/>
        <w:t xml:space="preserve">RESPONSE FROM NEW ZEALAND TO UPOV CIRCULAR </w:t>
      </w:r>
      <w:r w:rsidRPr="00DD6B8C">
        <w:rPr>
          <w:sz w:val="18"/>
          <w:lang w:eastAsia="ja-JP"/>
        </w:rPr>
        <w:t>E</w:t>
      </w:r>
      <w:r w:rsidRPr="00DD6B8C">
        <w:rPr>
          <w:sz w:val="18"/>
          <w:lang w:eastAsia="ja-JP"/>
        </w:rPr>
        <w:noBreakHyphen/>
        <w:t>18/064</w:t>
      </w:r>
      <w:bookmarkStart w:id="3" w:name="_GoBack"/>
      <w:bookmarkEnd w:id="3"/>
    </w:p>
    <w:p w:rsidR="00895BA4" w:rsidRPr="001E696E" w:rsidRDefault="00895BA4" w:rsidP="00895BA4">
      <w:pPr>
        <w:tabs>
          <w:tab w:val="left" w:pos="709"/>
          <w:tab w:val="left" w:pos="1560"/>
        </w:tabs>
        <w:autoSpaceDE w:val="0"/>
        <w:autoSpaceDN w:val="0"/>
        <w:adjustRightInd w:val="0"/>
        <w:spacing w:before="120"/>
        <w:ind w:left="1134" w:hanging="1134"/>
        <w:rPr>
          <w:sz w:val="18"/>
          <w:lang w:eastAsia="ja-JP"/>
        </w:rPr>
      </w:pPr>
      <w:r w:rsidRPr="00895BA4">
        <w:rPr>
          <w:sz w:val="18"/>
          <w:lang w:eastAsia="ja-JP"/>
        </w:rPr>
        <w:t>ANNEX VI</w:t>
      </w:r>
      <w:r w:rsidRPr="00895BA4">
        <w:rPr>
          <w:sz w:val="18"/>
          <w:lang w:eastAsia="ja-JP"/>
        </w:rPr>
        <w:tab/>
        <w:t>RESPONSE FROM ESA/ISF TO UPOV CIRCULAR E</w:t>
      </w:r>
      <w:r w:rsidRPr="00895BA4">
        <w:rPr>
          <w:sz w:val="18"/>
          <w:lang w:eastAsia="ja-JP"/>
        </w:rPr>
        <w:noBreakHyphen/>
        <w:t>18/</w:t>
      </w:r>
      <w:r>
        <w:rPr>
          <w:sz w:val="18"/>
          <w:lang w:eastAsia="ja-JP"/>
        </w:rPr>
        <w:t>065</w:t>
      </w:r>
    </w:p>
    <w:p w:rsidR="00EA4900" w:rsidRPr="00021152" w:rsidRDefault="00EA4900" w:rsidP="00EA4900">
      <w:pPr>
        <w:tabs>
          <w:tab w:val="left" w:pos="709"/>
        </w:tabs>
        <w:autoSpaceDE w:val="0"/>
        <w:autoSpaceDN w:val="0"/>
        <w:adjustRightInd w:val="0"/>
        <w:spacing w:before="120"/>
        <w:ind w:left="1134" w:hanging="1134"/>
        <w:rPr>
          <w:sz w:val="18"/>
          <w:lang w:eastAsia="ja-JP"/>
        </w:rPr>
      </w:pPr>
      <w:r w:rsidRPr="00021152">
        <w:rPr>
          <w:sz w:val="18"/>
          <w:lang w:eastAsia="ja-JP"/>
        </w:rPr>
        <w:t>ANNEX V</w:t>
      </w:r>
      <w:r w:rsidR="006A03F3">
        <w:rPr>
          <w:sz w:val="18"/>
          <w:lang w:eastAsia="ja-JP"/>
        </w:rPr>
        <w:t>II</w:t>
      </w:r>
      <w:r w:rsidRPr="00021152">
        <w:rPr>
          <w:sz w:val="18"/>
          <w:lang w:eastAsia="ja-JP"/>
        </w:rPr>
        <w:tab/>
      </w:r>
      <w:r w:rsidR="00FB3605" w:rsidRPr="00021152">
        <w:rPr>
          <w:sz w:val="18"/>
          <w:lang w:eastAsia="ja-JP"/>
        </w:rPr>
        <w:t>CONTRI</w:t>
      </w:r>
      <w:r w:rsidR="00021152" w:rsidRPr="00021152">
        <w:rPr>
          <w:sz w:val="18"/>
          <w:lang w:eastAsia="ja-JP"/>
        </w:rPr>
        <w:t>BUTION FROM BRAZIL ON</w:t>
      </w:r>
      <w:r w:rsidR="00C74A1A">
        <w:rPr>
          <w:sz w:val="18"/>
          <w:lang w:eastAsia="ja-JP"/>
        </w:rPr>
        <w:t xml:space="preserve"> ITS GUIDANCE ON</w:t>
      </w:r>
      <w:r w:rsidR="00021152" w:rsidRPr="00021152">
        <w:rPr>
          <w:sz w:val="18"/>
          <w:lang w:eastAsia="ja-JP"/>
        </w:rPr>
        <w:t xml:space="preserve"> CASES WHICH COULD CAUSE CONFUSION PHONETICALLY BUT NOT VISUALLY </w:t>
      </w:r>
    </w:p>
    <w:p w:rsidR="00EA4900" w:rsidRPr="00506162" w:rsidRDefault="00EA4900" w:rsidP="00EA4900">
      <w:pPr>
        <w:tabs>
          <w:tab w:val="left" w:pos="709"/>
          <w:tab w:val="left" w:pos="1560"/>
        </w:tabs>
        <w:autoSpaceDE w:val="0"/>
        <w:autoSpaceDN w:val="0"/>
        <w:adjustRightInd w:val="0"/>
        <w:spacing w:before="120"/>
        <w:ind w:left="1134" w:hanging="1134"/>
        <w:rPr>
          <w:sz w:val="18"/>
          <w:lang w:eastAsia="ja-JP"/>
        </w:rPr>
      </w:pPr>
      <w:r w:rsidRPr="00021152">
        <w:rPr>
          <w:sz w:val="18"/>
          <w:lang w:eastAsia="ja-JP"/>
        </w:rPr>
        <w:t>ANNEX VII</w:t>
      </w:r>
      <w:r w:rsidR="006A03F3">
        <w:rPr>
          <w:sz w:val="18"/>
          <w:lang w:eastAsia="ja-JP"/>
        </w:rPr>
        <w:t>I</w:t>
      </w:r>
      <w:r w:rsidRPr="00021152">
        <w:rPr>
          <w:sz w:val="18"/>
          <w:lang w:eastAsia="ja-JP"/>
        </w:rPr>
        <w:tab/>
      </w:r>
      <w:r w:rsidR="00021152" w:rsidRPr="00021152">
        <w:rPr>
          <w:sz w:val="18"/>
          <w:lang w:eastAsia="ja-JP"/>
        </w:rPr>
        <w:t xml:space="preserve">CONTRIBUTION FROM </w:t>
      </w:r>
      <w:r w:rsidR="00021152" w:rsidRPr="003004AA">
        <w:rPr>
          <w:sz w:val="18"/>
          <w:lang w:eastAsia="ja-JP"/>
        </w:rPr>
        <w:t xml:space="preserve">NEW ZEALAND </w:t>
      </w:r>
      <w:r w:rsidR="00021152" w:rsidRPr="00021152">
        <w:rPr>
          <w:sz w:val="18"/>
          <w:lang w:eastAsia="ja-JP"/>
        </w:rPr>
        <w:t>FOR A POSSIBLE WAY FORWARD WHERE SEVERAL DENOMINATIONS FOR THE SAME VARIETY EXISTED</w:t>
      </w:r>
    </w:p>
    <w:p w:rsidR="00EA4900" w:rsidRDefault="00EA4900" w:rsidP="00EA4900">
      <w:pPr>
        <w:ind w:left="1560" w:hanging="993"/>
        <w:rPr>
          <w:noProof/>
          <w:snapToGrid w:val="0"/>
          <w:sz w:val="16"/>
        </w:rPr>
      </w:pPr>
    </w:p>
    <w:p w:rsidR="00EA4900" w:rsidRPr="000C3905" w:rsidRDefault="00EA4900" w:rsidP="00EA4900">
      <w:pPr>
        <w:ind w:left="1560" w:hanging="993"/>
        <w:rPr>
          <w:noProof/>
          <w:snapToGrid w:val="0"/>
          <w:sz w:val="18"/>
          <w:lang w:eastAsia="ja-JP"/>
        </w:rPr>
      </w:pPr>
    </w:p>
    <w:p w:rsidR="00EA4900" w:rsidRPr="000C3905" w:rsidRDefault="00EA4900" w:rsidP="00DA07F5">
      <w:pPr>
        <w:jc w:val="left"/>
        <w:rPr>
          <w:rFonts w:cs="Arial"/>
          <w:color w:val="000000"/>
        </w:rPr>
      </w:pPr>
      <w:r w:rsidRPr="000C3905">
        <w:lastRenderedPageBreak/>
        <w:fldChar w:fldCharType="begin"/>
      </w:r>
      <w:r w:rsidRPr="000C3905">
        <w:instrText xml:space="preserve"> AUTONUM  </w:instrText>
      </w:r>
      <w:r w:rsidRPr="000C3905">
        <w:fldChar w:fldCharType="end"/>
      </w:r>
      <w:r w:rsidRPr="000C3905">
        <w:tab/>
      </w:r>
      <w:r w:rsidRPr="000C3905">
        <w:rPr>
          <w:rFonts w:cs="Arial"/>
          <w:color w:val="000000"/>
        </w:rPr>
        <w:t>The following abbreviations are used in this document:</w:t>
      </w:r>
    </w:p>
    <w:p w:rsidR="00EA4900" w:rsidRPr="000C3905" w:rsidRDefault="00EA4900" w:rsidP="00DA07F5">
      <w:pPr>
        <w:rPr>
          <w:rFonts w:cs="Arial"/>
          <w:color w:val="000000"/>
        </w:rPr>
      </w:pPr>
    </w:p>
    <w:p w:rsidR="00EA4900" w:rsidRPr="000C3905" w:rsidRDefault="00EA4900" w:rsidP="00DA07F5">
      <w:pPr>
        <w:ind w:left="567"/>
        <w:rPr>
          <w:rFonts w:cs="Arial"/>
          <w:snapToGrid w:val="0"/>
        </w:rPr>
      </w:pPr>
      <w:r w:rsidRPr="000C3905">
        <w:rPr>
          <w:rFonts w:cs="Arial"/>
          <w:snapToGrid w:val="0"/>
          <w:color w:val="000000"/>
        </w:rPr>
        <w:t xml:space="preserve">CAJ:  </w:t>
      </w:r>
      <w:r w:rsidRPr="000C3905">
        <w:rPr>
          <w:rFonts w:cs="Arial"/>
          <w:snapToGrid w:val="0"/>
          <w:color w:val="000000"/>
          <w:lang w:eastAsia="ja-JP"/>
        </w:rPr>
        <w:tab/>
      </w:r>
      <w:r w:rsidRPr="000C3905">
        <w:rPr>
          <w:rFonts w:cs="Arial"/>
          <w:snapToGrid w:val="0"/>
          <w:color w:val="000000"/>
          <w:lang w:eastAsia="ja-JP"/>
        </w:rPr>
        <w:tab/>
      </w:r>
      <w:r w:rsidRPr="000C3905">
        <w:rPr>
          <w:rFonts w:cs="Arial"/>
          <w:snapToGrid w:val="0"/>
          <w:color w:val="000000"/>
        </w:rPr>
        <w:t xml:space="preserve">Administrative and Legal Committee </w:t>
      </w:r>
    </w:p>
    <w:p w:rsidR="009C2197" w:rsidRDefault="00EA4900" w:rsidP="00DA07F5">
      <w:pPr>
        <w:ind w:left="567"/>
        <w:rPr>
          <w:rFonts w:cs="Arial"/>
          <w:snapToGrid w:val="0"/>
        </w:rPr>
      </w:pPr>
      <w:r w:rsidRPr="000C3905">
        <w:rPr>
          <w:rFonts w:cs="Arial"/>
          <w:snapToGrid w:val="0"/>
        </w:rPr>
        <w:t xml:space="preserve">CAJ-AG:  </w:t>
      </w:r>
      <w:r w:rsidRPr="000C3905">
        <w:rPr>
          <w:rFonts w:cs="Arial"/>
          <w:snapToGrid w:val="0"/>
          <w:lang w:eastAsia="ja-JP"/>
        </w:rPr>
        <w:tab/>
      </w:r>
      <w:r w:rsidRPr="000C3905">
        <w:rPr>
          <w:rFonts w:cs="Arial"/>
          <w:snapToGrid w:val="0"/>
        </w:rPr>
        <w:t>Administrative and Legal Committee Advisory Group</w:t>
      </w:r>
    </w:p>
    <w:p w:rsidR="00EA4900" w:rsidRPr="000C3905" w:rsidRDefault="009C2197" w:rsidP="00DA07F5">
      <w:pPr>
        <w:ind w:left="567"/>
        <w:rPr>
          <w:rFonts w:cs="Arial"/>
          <w:snapToGrid w:val="0"/>
        </w:rPr>
      </w:pPr>
      <w:r>
        <w:rPr>
          <w:rFonts w:cs="Arial"/>
          <w:snapToGrid w:val="0"/>
        </w:rPr>
        <w:t>ICNCP:</w:t>
      </w:r>
      <w:r>
        <w:rPr>
          <w:rFonts w:cs="Arial"/>
          <w:snapToGrid w:val="0"/>
        </w:rPr>
        <w:tab/>
        <w:t>International Code of Nomenclature for Cultivated Plants</w:t>
      </w:r>
      <w:r w:rsidR="00EA4900" w:rsidRPr="000C3905">
        <w:rPr>
          <w:rFonts w:cs="Arial"/>
          <w:snapToGrid w:val="0"/>
        </w:rPr>
        <w:t xml:space="preserve"> </w:t>
      </w:r>
    </w:p>
    <w:p w:rsidR="00EA4900" w:rsidRPr="000C3905" w:rsidRDefault="00EA4900" w:rsidP="00DA07F5">
      <w:pPr>
        <w:ind w:left="567"/>
        <w:rPr>
          <w:snapToGrid w:val="0"/>
          <w:lang w:eastAsia="ja-JP"/>
        </w:rPr>
      </w:pPr>
      <w:r w:rsidRPr="000C3905">
        <w:rPr>
          <w:snapToGrid w:val="0"/>
          <w:lang w:eastAsia="ja-JP"/>
        </w:rPr>
        <w:t>WG-DST:</w:t>
      </w:r>
      <w:r w:rsidRPr="000C3905">
        <w:rPr>
          <w:snapToGrid w:val="0"/>
          <w:lang w:eastAsia="ja-JP"/>
        </w:rPr>
        <w:tab/>
      </w:r>
      <w:r w:rsidRPr="000C3905">
        <w:rPr>
          <w:rFonts w:cs="Arial"/>
        </w:rPr>
        <w:t>Working Group for the Development of a UPOV Denomination Similarity Search Tool</w:t>
      </w:r>
    </w:p>
    <w:p w:rsidR="00EA4900" w:rsidRPr="000C3905" w:rsidRDefault="00EA4900" w:rsidP="00DA07F5">
      <w:pPr>
        <w:spacing w:after="720"/>
        <w:ind w:left="567"/>
        <w:rPr>
          <w:snapToGrid w:val="0"/>
          <w:lang w:eastAsia="ja-JP"/>
        </w:rPr>
      </w:pPr>
      <w:r w:rsidRPr="000C3905">
        <w:rPr>
          <w:snapToGrid w:val="0"/>
          <w:lang w:eastAsia="ja-JP"/>
        </w:rPr>
        <w:t>WG-DEN:</w:t>
      </w:r>
      <w:r w:rsidRPr="000C3905">
        <w:rPr>
          <w:snapToGrid w:val="0"/>
          <w:lang w:eastAsia="ja-JP"/>
        </w:rPr>
        <w:tab/>
        <w:t>Working Group on Variety Denominations</w:t>
      </w:r>
    </w:p>
    <w:p w:rsidR="00EA4900" w:rsidRPr="000C3905" w:rsidRDefault="00EA4900" w:rsidP="00EA4900">
      <w:pPr>
        <w:pStyle w:val="Heading1"/>
        <w:rPr>
          <w:lang w:eastAsia="ja-JP"/>
        </w:rPr>
      </w:pPr>
      <w:bookmarkStart w:id="4" w:name="_Toc526443837"/>
      <w:r w:rsidRPr="000C3905">
        <w:rPr>
          <w:lang w:eastAsia="ja-JP"/>
        </w:rPr>
        <w:t>Background</w:t>
      </w:r>
      <w:bookmarkEnd w:id="4"/>
    </w:p>
    <w:p w:rsidR="00EA4900" w:rsidRPr="000C3905" w:rsidRDefault="00EA4900" w:rsidP="00DA07F5">
      <w:pPr>
        <w:rPr>
          <w:lang w:eastAsia="ja-JP"/>
        </w:rPr>
      </w:pPr>
    </w:p>
    <w:p w:rsidR="00EA4900" w:rsidRPr="000C3905" w:rsidRDefault="00EA4900" w:rsidP="00EA4900">
      <w:pPr>
        <w:rPr>
          <w:rFonts w:cs="Arial"/>
          <w:snapToGrid w:val="0"/>
          <w:lang w:eastAsia="ja-JP"/>
        </w:rPr>
      </w:pPr>
      <w:r w:rsidRPr="000C3905">
        <w:rPr>
          <w:rFonts w:cs="Arial"/>
          <w:snapToGrid w:val="0"/>
        </w:rPr>
        <w:fldChar w:fldCharType="begin"/>
      </w:r>
      <w:r w:rsidRPr="000C3905">
        <w:rPr>
          <w:rFonts w:cs="Arial"/>
          <w:snapToGrid w:val="0"/>
        </w:rPr>
        <w:instrText xml:space="preserve"> AUTONUM  </w:instrText>
      </w:r>
      <w:r w:rsidRPr="000C3905">
        <w:rPr>
          <w:rFonts w:cs="Arial"/>
          <w:snapToGrid w:val="0"/>
        </w:rPr>
        <w:fldChar w:fldCharType="end"/>
      </w:r>
      <w:r w:rsidRPr="000C3905">
        <w:rPr>
          <w:rFonts w:cs="Arial"/>
          <w:snapToGrid w:val="0"/>
        </w:rPr>
        <w:tab/>
      </w:r>
      <w:r w:rsidRPr="000C3905">
        <w:rPr>
          <w:rFonts w:cs="Arial"/>
          <w:snapToGrid w:val="0"/>
          <w:lang w:eastAsia="ja-JP"/>
        </w:rPr>
        <w:t>The background to this matter is</w:t>
      </w:r>
      <w:r w:rsidR="00D641AB">
        <w:rPr>
          <w:rFonts w:cs="Arial"/>
          <w:snapToGrid w:val="0"/>
          <w:lang w:eastAsia="ja-JP"/>
        </w:rPr>
        <w:t xml:space="preserve"> </w:t>
      </w:r>
      <w:r w:rsidRPr="000C3905">
        <w:rPr>
          <w:rFonts w:cs="Arial"/>
          <w:snapToGrid w:val="0"/>
          <w:lang w:eastAsia="ja-JP"/>
        </w:rPr>
        <w:t>provided in document UPOV/WG-DEN/</w:t>
      </w:r>
      <w:r w:rsidR="00A343C4">
        <w:rPr>
          <w:rFonts w:cs="Arial"/>
          <w:snapToGrid w:val="0"/>
          <w:lang w:eastAsia="ja-JP"/>
        </w:rPr>
        <w:t>4</w:t>
      </w:r>
      <w:r w:rsidRPr="000C3905">
        <w:rPr>
          <w:rFonts w:cs="Arial"/>
          <w:snapToGrid w:val="0"/>
          <w:lang w:eastAsia="ja-JP"/>
        </w:rPr>
        <w:t>/2 “Revision of document</w:t>
      </w:r>
      <w:r w:rsidR="00A343C4">
        <w:rPr>
          <w:rFonts w:cs="Arial"/>
          <w:snapToGrid w:val="0"/>
          <w:lang w:eastAsia="ja-JP"/>
        </w:rPr>
        <w:t> </w:t>
      </w:r>
      <w:r w:rsidRPr="000C3905">
        <w:rPr>
          <w:rFonts w:cs="Arial"/>
          <w:snapToGrid w:val="0"/>
          <w:lang w:eastAsia="ja-JP"/>
        </w:rPr>
        <w:t>UPOV/INF/12/5 ‘Explanatory Notes on Variety Denominations under the UPOV Convention’”.</w:t>
      </w:r>
    </w:p>
    <w:p w:rsidR="00EA4900" w:rsidRPr="000C3905" w:rsidRDefault="00EA4900" w:rsidP="00EA4900">
      <w:pPr>
        <w:jc w:val="left"/>
        <w:rPr>
          <w:rFonts w:cs="Arial"/>
          <w:snapToGrid w:val="0"/>
          <w:lang w:eastAsia="ja-JP"/>
        </w:rPr>
      </w:pPr>
    </w:p>
    <w:p w:rsidR="00EA4900" w:rsidRPr="000C3905" w:rsidRDefault="00EA4900" w:rsidP="00EA4900">
      <w:pPr>
        <w:jc w:val="left"/>
        <w:rPr>
          <w:caps/>
          <w:snapToGrid w:val="0"/>
          <w:lang w:eastAsia="ja-JP"/>
        </w:rPr>
      </w:pPr>
    </w:p>
    <w:p w:rsidR="00EA4900" w:rsidRPr="000C3905" w:rsidRDefault="00EA4900" w:rsidP="00EA4900">
      <w:pPr>
        <w:pStyle w:val="Heading1"/>
        <w:rPr>
          <w:lang w:eastAsia="ja-JP"/>
        </w:rPr>
      </w:pPr>
      <w:bookmarkStart w:id="5" w:name="_Toc526443838"/>
      <w:r w:rsidRPr="000C3905">
        <w:rPr>
          <w:snapToGrid w:val="0"/>
          <w:lang w:eastAsia="ja-JP"/>
        </w:rPr>
        <w:t xml:space="preserve">Developments </w:t>
      </w:r>
      <w:r>
        <w:rPr>
          <w:snapToGrid w:val="0"/>
          <w:lang w:eastAsia="ja-JP"/>
        </w:rPr>
        <w:t xml:space="preserve">BY </w:t>
      </w:r>
      <w:r w:rsidRPr="000C3905">
        <w:rPr>
          <w:snapToGrid w:val="0"/>
          <w:lang w:eastAsia="ja-JP"/>
        </w:rPr>
        <w:t xml:space="preserve">the WG-DEN, at its </w:t>
      </w:r>
      <w:r w:rsidR="00A343C4">
        <w:rPr>
          <w:snapToGrid w:val="0"/>
          <w:lang w:eastAsia="ja-JP"/>
        </w:rPr>
        <w:t>FOUR</w:t>
      </w:r>
      <w:r>
        <w:rPr>
          <w:snapToGrid w:val="0"/>
          <w:lang w:eastAsia="ja-JP"/>
        </w:rPr>
        <w:t>th</w:t>
      </w:r>
      <w:r w:rsidRPr="000C3905">
        <w:rPr>
          <w:snapToGrid w:val="0"/>
          <w:lang w:eastAsia="ja-JP"/>
        </w:rPr>
        <w:t xml:space="preserve"> meeting</w:t>
      </w:r>
      <w:bookmarkEnd w:id="5"/>
    </w:p>
    <w:p w:rsidR="00EA4900" w:rsidRPr="000C3905" w:rsidRDefault="00EA4900" w:rsidP="00DA07F5">
      <w:pPr>
        <w:rPr>
          <w:lang w:eastAsia="ja-JP"/>
        </w:rPr>
      </w:pPr>
    </w:p>
    <w:p w:rsidR="00EA4900" w:rsidRPr="000C3905" w:rsidRDefault="00EA4900" w:rsidP="00EA4900">
      <w:pPr>
        <w:rPr>
          <w:rFonts w:cs="Arial"/>
          <w:snapToGrid w:val="0"/>
          <w:lang w:eastAsia="ja-JP"/>
        </w:rPr>
      </w:pPr>
      <w:r w:rsidRPr="000C3905">
        <w:rPr>
          <w:rFonts w:cs="Arial"/>
          <w:snapToGrid w:val="0"/>
        </w:rPr>
        <w:fldChar w:fldCharType="begin"/>
      </w:r>
      <w:r w:rsidRPr="000C3905">
        <w:rPr>
          <w:rFonts w:cs="Arial"/>
          <w:snapToGrid w:val="0"/>
        </w:rPr>
        <w:instrText xml:space="preserve"> AUTONUM  </w:instrText>
      </w:r>
      <w:r w:rsidRPr="000C3905">
        <w:rPr>
          <w:rFonts w:cs="Arial"/>
          <w:snapToGrid w:val="0"/>
        </w:rPr>
        <w:fldChar w:fldCharType="end"/>
      </w:r>
      <w:r w:rsidRPr="000C3905">
        <w:rPr>
          <w:rFonts w:cs="Arial"/>
          <w:snapToGrid w:val="0"/>
        </w:rPr>
        <w:tab/>
      </w:r>
      <w:r w:rsidRPr="000C3905">
        <w:rPr>
          <w:rFonts w:cs="Arial"/>
          <w:snapToGrid w:val="0"/>
          <w:lang w:eastAsia="ja-JP"/>
        </w:rPr>
        <w:t xml:space="preserve">The WG-DEN, at its </w:t>
      </w:r>
      <w:r w:rsidR="00A343C4">
        <w:rPr>
          <w:rFonts w:cs="Arial"/>
          <w:snapToGrid w:val="0"/>
          <w:lang w:eastAsia="ja-JP"/>
        </w:rPr>
        <w:t>fourth</w:t>
      </w:r>
      <w:r w:rsidRPr="000C3905">
        <w:rPr>
          <w:rFonts w:cs="Arial"/>
          <w:snapToGrid w:val="0"/>
          <w:lang w:eastAsia="ja-JP"/>
        </w:rPr>
        <w:t xml:space="preserve"> meeting, held in Geneva, on </w:t>
      </w:r>
      <w:r w:rsidR="00A343C4">
        <w:rPr>
          <w:rFonts w:cs="Arial"/>
          <w:snapToGrid w:val="0"/>
          <w:lang w:eastAsia="ja-JP"/>
        </w:rPr>
        <w:t>October</w:t>
      </w:r>
      <w:r w:rsidRPr="000C3905">
        <w:rPr>
          <w:rFonts w:cs="Arial"/>
          <w:snapToGrid w:val="0"/>
          <w:lang w:eastAsia="ja-JP"/>
        </w:rPr>
        <w:t xml:space="preserve"> 2</w:t>
      </w:r>
      <w:r w:rsidR="00A343C4">
        <w:rPr>
          <w:rFonts w:cs="Arial"/>
          <w:snapToGrid w:val="0"/>
          <w:lang w:eastAsia="ja-JP"/>
        </w:rPr>
        <w:t>7</w:t>
      </w:r>
      <w:r w:rsidRPr="000C3905">
        <w:rPr>
          <w:rFonts w:cs="Arial"/>
          <w:snapToGrid w:val="0"/>
          <w:lang w:eastAsia="ja-JP"/>
        </w:rPr>
        <w:t>, 201</w:t>
      </w:r>
      <w:r>
        <w:rPr>
          <w:rFonts w:cs="Arial"/>
          <w:snapToGrid w:val="0"/>
          <w:lang w:eastAsia="ja-JP"/>
        </w:rPr>
        <w:t>7</w:t>
      </w:r>
      <w:r w:rsidRPr="000C3905">
        <w:rPr>
          <w:rFonts w:cs="Arial"/>
          <w:snapToGrid w:val="0"/>
          <w:lang w:eastAsia="ja-JP"/>
        </w:rPr>
        <w:t xml:space="preserve">, considered document UPOV/INF/12/6 Draft </w:t>
      </w:r>
      <w:r w:rsidR="00A343C4">
        <w:rPr>
          <w:rFonts w:cs="Arial"/>
          <w:snapToGrid w:val="0"/>
          <w:lang w:eastAsia="ja-JP"/>
        </w:rPr>
        <w:t>4</w:t>
      </w:r>
      <w:r w:rsidRPr="000C3905">
        <w:rPr>
          <w:rFonts w:cs="Arial"/>
          <w:snapToGrid w:val="0"/>
          <w:lang w:eastAsia="ja-JP"/>
        </w:rPr>
        <w:t xml:space="preserve"> and agreed the following with regard to a possible revision of document UPOV/INF/12/5</w:t>
      </w:r>
      <w:r w:rsidR="00B55E68">
        <w:rPr>
          <w:rFonts w:cs="Arial"/>
          <w:snapToGrid w:val="0"/>
          <w:lang w:eastAsia="ja-JP"/>
        </w:rPr>
        <w:t xml:space="preserve"> “</w:t>
      </w:r>
      <w:r w:rsidR="00B55E68" w:rsidRPr="000C3905">
        <w:rPr>
          <w:rFonts w:cs="Arial"/>
          <w:snapToGrid w:val="0"/>
          <w:lang w:eastAsia="ja-JP"/>
        </w:rPr>
        <w:t>Explanatory Notes on Variety Denominations under the UPOV Convention</w:t>
      </w:r>
      <w:r w:rsidR="00B55E68">
        <w:rPr>
          <w:rFonts w:cs="Arial"/>
          <w:snapToGrid w:val="0"/>
          <w:lang w:eastAsia="ja-JP"/>
        </w:rPr>
        <w:t>”</w:t>
      </w:r>
      <w:r w:rsidRPr="000C3905">
        <w:rPr>
          <w:rFonts w:cs="Arial"/>
          <w:snapToGrid w:val="0"/>
          <w:lang w:eastAsia="ja-JP"/>
        </w:rPr>
        <w:t>:</w:t>
      </w:r>
    </w:p>
    <w:p w:rsidR="00165B6A" w:rsidRPr="00506162" w:rsidRDefault="00165B6A" w:rsidP="00DA07F5">
      <w:pPr>
        <w:ind w:firstLine="540"/>
        <w:rPr>
          <w:rFonts w:cs="Arial"/>
          <w:snapToGrid w:val="0"/>
          <w:lang w:eastAsia="ja-JP"/>
        </w:rPr>
      </w:pPr>
    </w:p>
    <w:p w:rsidR="00165B6A" w:rsidRPr="00506162" w:rsidRDefault="00165B6A" w:rsidP="00DA07F5">
      <w:pPr>
        <w:ind w:firstLine="540"/>
        <w:rPr>
          <w:szCs w:val="24"/>
          <w:lang w:eastAsia="ja-JP"/>
        </w:rPr>
      </w:pPr>
      <w:r w:rsidRPr="00594ACD">
        <w:rPr>
          <w:rFonts w:cs="Arial"/>
          <w:snapToGrid w:val="0"/>
          <w:lang w:eastAsia="ja-JP"/>
        </w:rPr>
        <w:t>Preamble</w:t>
      </w:r>
      <w:r w:rsidR="00F05AD5">
        <w:rPr>
          <w:rFonts w:cs="Arial"/>
          <w:snapToGrid w:val="0"/>
          <w:lang w:eastAsia="ja-JP"/>
        </w:rPr>
        <w:t>:</w:t>
      </w:r>
      <w:r w:rsidRPr="00594ACD">
        <w:rPr>
          <w:rFonts w:cs="Arial"/>
          <w:snapToGrid w:val="0"/>
          <w:lang w:eastAsia="ja-JP"/>
        </w:rPr>
        <w:t xml:space="preserve"> to add a note that the term “variety” refers to the definition of variety in Article  1  (vi) of the 1991 Act of the UPOV Convention</w:t>
      </w:r>
      <w:r w:rsidRPr="00594ACD">
        <w:rPr>
          <w:szCs w:val="24"/>
          <w:lang w:eastAsia="ja-JP"/>
        </w:rPr>
        <w:t>;</w:t>
      </w:r>
    </w:p>
    <w:p w:rsidR="00165B6A" w:rsidRPr="00506162" w:rsidRDefault="00165B6A" w:rsidP="00DA07F5">
      <w:pPr>
        <w:rPr>
          <w:snapToGrid w:val="0"/>
          <w:lang w:eastAsia="ja-JP"/>
        </w:rPr>
      </w:pPr>
    </w:p>
    <w:p w:rsidR="00165B6A" w:rsidRDefault="00165B6A" w:rsidP="00DA07F5">
      <w:pPr>
        <w:ind w:firstLine="540"/>
        <w:rPr>
          <w:rFonts w:cs="Arial"/>
          <w:snapToGrid w:val="0"/>
          <w:lang w:eastAsia="ja-JP"/>
        </w:rPr>
      </w:pPr>
      <w:r w:rsidRPr="00594ACD">
        <w:rPr>
          <w:rFonts w:cs="Arial"/>
          <w:snapToGrid w:val="0"/>
          <w:lang w:eastAsia="ja-JP"/>
        </w:rPr>
        <w:t>(Paragraph 1</w:t>
      </w:r>
      <w:r>
        <w:rPr>
          <w:rFonts w:cs="Arial"/>
          <w:snapToGrid w:val="0"/>
          <w:lang w:eastAsia="ja-JP"/>
        </w:rPr>
        <w:t xml:space="preserve"> </w:t>
      </w:r>
      <w:r w:rsidRPr="00CE07CB">
        <w:rPr>
          <w:rFonts w:cs="Arial"/>
          <w:snapToGrid w:val="0"/>
          <w:lang w:eastAsia="ja-JP"/>
        </w:rPr>
        <w:t>[Designation of varieties by denominations; use of the denomination]</w:t>
      </w:r>
      <w:r w:rsidR="00F05AD5">
        <w:rPr>
          <w:rFonts w:cs="Arial"/>
          <w:snapToGrid w:val="0"/>
          <w:lang w:eastAsia="ja-JP"/>
        </w:rPr>
        <w:t>:</w:t>
      </w:r>
      <w:r w:rsidRPr="00594ACD">
        <w:rPr>
          <w:rFonts w:cs="Arial"/>
          <w:snapToGrid w:val="0"/>
          <w:lang w:eastAsia="ja-JP"/>
        </w:rPr>
        <w:t xml:space="preserve"> to add a new Section 1.3 to read as follows:</w:t>
      </w:r>
    </w:p>
    <w:p w:rsidR="00165B6A" w:rsidRDefault="00165B6A" w:rsidP="00165B6A">
      <w:pPr>
        <w:pStyle w:val="ListParagraph"/>
        <w:autoSpaceDE w:val="0"/>
        <w:autoSpaceDN w:val="0"/>
        <w:adjustRightInd w:val="0"/>
        <w:ind w:left="0"/>
        <w:contextualSpacing w:val="0"/>
        <w:rPr>
          <w:lang w:eastAsia="ja-JP"/>
        </w:rPr>
      </w:pPr>
    </w:p>
    <w:p w:rsidR="00165B6A" w:rsidRPr="00506162" w:rsidRDefault="00165B6A" w:rsidP="00165B6A">
      <w:pPr>
        <w:pStyle w:val="ListParagraph"/>
        <w:autoSpaceDE w:val="0"/>
        <w:autoSpaceDN w:val="0"/>
        <w:adjustRightInd w:val="0"/>
        <w:ind w:left="1134" w:right="567"/>
        <w:contextualSpacing w:val="0"/>
        <w:rPr>
          <w:szCs w:val="24"/>
          <w:lang w:eastAsia="ja-JP"/>
        </w:rPr>
      </w:pPr>
      <w:r>
        <w:rPr>
          <w:lang w:eastAsia="ja-JP"/>
        </w:rPr>
        <w:t>“</w:t>
      </w:r>
      <w:r w:rsidRPr="00334E5F">
        <w:rPr>
          <w:sz w:val="18"/>
          <w:lang w:eastAsia="ja-JP"/>
        </w:rPr>
        <w:t>1.3</w:t>
      </w:r>
      <w:r w:rsidRPr="00334E5F">
        <w:rPr>
          <w:sz w:val="18"/>
          <w:lang w:eastAsia="ja-JP"/>
        </w:rPr>
        <w:tab/>
        <w:t>If an authority allows a denomination to be registered when the breeder of the variety is also the holder of a trademark that is identical to the variety denomination, the authority should inform the breeder of the obligation to allow the use of the denomination in connection with the variety, even after the expiration of the breeder’s right.</w:t>
      </w:r>
      <w:r w:rsidRPr="003036ED">
        <w:rPr>
          <w:lang w:eastAsia="ja-JP"/>
        </w:rPr>
        <w:t>”</w:t>
      </w:r>
      <w:r w:rsidRPr="00594ACD">
        <w:rPr>
          <w:szCs w:val="24"/>
          <w:lang w:eastAsia="ja-JP"/>
        </w:rPr>
        <w:t>;</w:t>
      </w:r>
    </w:p>
    <w:p w:rsidR="00165B6A" w:rsidRPr="00506162" w:rsidRDefault="00165B6A" w:rsidP="00165B6A">
      <w:pPr>
        <w:rPr>
          <w:snapToGrid w:val="0"/>
          <w:lang w:eastAsia="ja-JP"/>
        </w:rPr>
      </w:pPr>
    </w:p>
    <w:p w:rsidR="00165B6A" w:rsidRPr="00506162" w:rsidRDefault="00165B6A" w:rsidP="00DA07F5">
      <w:pPr>
        <w:ind w:firstLine="540"/>
        <w:rPr>
          <w:szCs w:val="24"/>
          <w:lang w:eastAsia="ja-JP"/>
        </w:rPr>
      </w:pPr>
      <w:r w:rsidRPr="00594ACD">
        <w:rPr>
          <w:rFonts w:cs="Arial"/>
          <w:snapToGrid w:val="0"/>
          <w:lang w:eastAsia="ja-JP"/>
        </w:rPr>
        <w:t>Section 2.3.1</w:t>
      </w:r>
      <w:r w:rsidRPr="00207644">
        <w:rPr>
          <w:rFonts w:cs="Arial"/>
          <w:snapToGrid w:val="0"/>
          <w:lang w:eastAsia="ja-JP"/>
        </w:rPr>
        <w:t>“Characteristics of the variety”</w:t>
      </w:r>
      <w:r w:rsidR="00F05AD5">
        <w:rPr>
          <w:rFonts w:cs="Arial"/>
          <w:snapToGrid w:val="0"/>
          <w:lang w:eastAsia="ja-JP"/>
        </w:rPr>
        <w:t>:</w:t>
      </w:r>
      <w:r w:rsidRPr="00594ACD">
        <w:rPr>
          <w:rFonts w:cs="Arial"/>
          <w:snapToGrid w:val="0"/>
          <w:lang w:eastAsia="ja-JP"/>
        </w:rPr>
        <w:t xml:space="preserve"> to maintain Section 2.3.1 (b) unchanged</w:t>
      </w:r>
      <w:r w:rsidRPr="00594ACD">
        <w:rPr>
          <w:szCs w:val="24"/>
          <w:lang w:eastAsia="ja-JP"/>
        </w:rPr>
        <w:t>;</w:t>
      </w:r>
    </w:p>
    <w:p w:rsidR="00165B6A" w:rsidRPr="00506162" w:rsidRDefault="00165B6A" w:rsidP="00165B6A">
      <w:pPr>
        <w:rPr>
          <w:snapToGrid w:val="0"/>
          <w:lang w:eastAsia="ja-JP"/>
        </w:rPr>
      </w:pPr>
    </w:p>
    <w:p w:rsidR="00165B6A" w:rsidRDefault="00165B6A" w:rsidP="00DA07F5">
      <w:pPr>
        <w:ind w:firstLine="540"/>
        <w:rPr>
          <w:lang w:eastAsia="ja-JP"/>
        </w:rPr>
      </w:pPr>
      <w:r w:rsidRPr="00594ACD">
        <w:rPr>
          <w:rFonts w:cs="Arial"/>
          <w:snapToGrid w:val="0"/>
          <w:lang w:eastAsia="ja-JP"/>
        </w:rPr>
        <w:t>Section 2.3.1</w:t>
      </w:r>
      <w:r w:rsidR="00F05AD5">
        <w:rPr>
          <w:rFonts w:cs="Arial"/>
          <w:snapToGrid w:val="0"/>
          <w:lang w:eastAsia="ja-JP"/>
        </w:rPr>
        <w:t>:</w:t>
      </w:r>
      <w:r w:rsidRPr="00594ACD">
        <w:rPr>
          <w:rFonts w:cs="Arial"/>
          <w:snapToGrid w:val="0"/>
          <w:lang w:eastAsia="ja-JP"/>
        </w:rPr>
        <w:t xml:space="preserve"> </w:t>
      </w:r>
      <w:r w:rsidRPr="0046205D">
        <w:rPr>
          <w:rFonts w:hint="eastAsia"/>
          <w:lang w:eastAsia="ja-JP"/>
        </w:rPr>
        <w:t xml:space="preserve">to </w:t>
      </w:r>
      <w:r>
        <w:rPr>
          <w:lang w:eastAsia="ja-JP"/>
        </w:rPr>
        <w:t>i</w:t>
      </w:r>
      <w:r w:rsidRPr="0046205D">
        <w:rPr>
          <w:lang w:eastAsia="ja-JP"/>
        </w:rPr>
        <w:t xml:space="preserve">nclude the examples of </w:t>
      </w:r>
      <w:r>
        <w:rPr>
          <w:lang w:eastAsia="ja-JP"/>
        </w:rPr>
        <w:t xml:space="preserve">paragraph </w:t>
      </w:r>
      <w:r w:rsidRPr="0046205D">
        <w:rPr>
          <w:lang w:eastAsia="ja-JP"/>
        </w:rPr>
        <w:t xml:space="preserve">21.20 of </w:t>
      </w:r>
      <w:r>
        <w:rPr>
          <w:lang w:eastAsia="ja-JP"/>
        </w:rPr>
        <w:t>the N</w:t>
      </w:r>
      <w:r w:rsidRPr="0046205D">
        <w:rPr>
          <w:lang w:eastAsia="ja-JP"/>
        </w:rPr>
        <w:t xml:space="preserve">inth </w:t>
      </w:r>
      <w:r>
        <w:rPr>
          <w:lang w:eastAsia="ja-JP"/>
        </w:rPr>
        <w:t>E</w:t>
      </w:r>
      <w:r w:rsidRPr="0046205D">
        <w:rPr>
          <w:lang w:eastAsia="ja-JP"/>
        </w:rPr>
        <w:t xml:space="preserve">dition </w:t>
      </w:r>
      <w:r>
        <w:rPr>
          <w:lang w:eastAsia="ja-JP"/>
        </w:rPr>
        <w:t xml:space="preserve">of </w:t>
      </w:r>
      <w:r w:rsidRPr="0046205D">
        <w:rPr>
          <w:lang w:eastAsia="ja-JP"/>
        </w:rPr>
        <w:t xml:space="preserve">the </w:t>
      </w:r>
      <w:r w:rsidRPr="00FE15FC">
        <w:rPr>
          <w:lang w:eastAsia="ja-JP"/>
        </w:rPr>
        <w:t xml:space="preserve">International Code of Nomenclature for Cultivated Plants </w:t>
      </w:r>
      <w:r>
        <w:rPr>
          <w:lang w:eastAsia="ja-JP"/>
        </w:rPr>
        <w:t>(</w:t>
      </w:r>
      <w:r w:rsidRPr="0046205D">
        <w:rPr>
          <w:lang w:eastAsia="ja-JP"/>
        </w:rPr>
        <w:t>ICNCP</w:t>
      </w:r>
      <w:r>
        <w:rPr>
          <w:lang w:eastAsia="ja-JP"/>
        </w:rPr>
        <w:t>), as follows:</w:t>
      </w:r>
    </w:p>
    <w:p w:rsidR="00165B6A" w:rsidRDefault="00165B6A" w:rsidP="00DA07F5">
      <w:pPr>
        <w:ind w:firstLine="540"/>
        <w:rPr>
          <w:lang w:eastAsia="ja-JP"/>
        </w:rPr>
      </w:pPr>
    </w:p>
    <w:p w:rsidR="00165B6A" w:rsidRPr="00B455AF" w:rsidRDefault="00165B6A" w:rsidP="00165B6A">
      <w:pPr>
        <w:pStyle w:val="ListParagraph"/>
        <w:ind w:left="1134"/>
        <w:rPr>
          <w:sz w:val="18"/>
          <w:szCs w:val="18"/>
          <w:lang w:eastAsia="ja-JP"/>
        </w:rPr>
      </w:pPr>
      <w:r>
        <w:rPr>
          <w:sz w:val="18"/>
          <w:szCs w:val="18"/>
          <w:lang w:eastAsia="ja-JP"/>
        </w:rPr>
        <w:t>“</w:t>
      </w:r>
      <w:r w:rsidRPr="00B455AF">
        <w:rPr>
          <w:sz w:val="18"/>
          <w:szCs w:val="18"/>
          <w:lang w:eastAsia="ja-JP"/>
        </w:rPr>
        <w:t>21.20. Except where linguistic custom demands, a name is not established if on or after 1 January 1996 its cultivar epithet contains the Latin or common name(s) of the genus to which it is assigned.</w:t>
      </w:r>
    </w:p>
    <w:p w:rsidR="00165B6A" w:rsidRPr="00B455AF" w:rsidRDefault="00165B6A" w:rsidP="00165B6A">
      <w:pPr>
        <w:pStyle w:val="ListParagraph"/>
        <w:ind w:left="1134"/>
        <w:rPr>
          <w:sz w:val="18"/>
          <w:szCs w:val="18"/>
          <w:lang w:eastAsia="ja-JP"/>
        </w:rPr>
      </w:pPr>
    </w:p>
    <w:p w:rsidR="00165B6A" w:rsidRPr="00B455AF" w:rsidRDefault="00165B6A" w:rsidP="00165B6A">
      <w:pPr>
        <w:pStyle w:val="ListParagraph"/>
        <w:ind w:left="1560"/>
        <w:rPr>
          <w:i/>
          <w:sz w:val="18"/>
          <w:szCs w:val="18"/>
          <w:lang w:eastAsia="ja-JP"/>
        </w:rPr>
      </w:pPr>
      <w:r w:rsidRPr="00B455AF">
        <w:rPr>
          <w:i/>
          <w:sz w:val="18"/>
          <w:szCs w:val="18"/>
          <w:lang w:eastAsia="ja-JP"/>
        </w:rPr>
        <w:t>Ex. 33. Castanea ‘Pale Chestnut’, Gladiolus ‘Pink Gladiolus’, Narcissus ‘Davis Daff’, Narcissus ‘Granny’s Daffodil’, Paeonia ‘Sussex Peony’, Phlox ‘Phlox of Sheep’, and Rhododendron ‘Rhododendron Mad’ may not be established.</w:t>
      </w:r>
    </w:p>
    <w:p w:rsidR="00165B6A" w:rsidRPr="00B455AF" w:rsidRDefault="00165B6A" w:rsidP="00165B6A">
      <w:pPr>
        <w:pStyle w:val="ListParagraph"/>
        <w:ind w:left="1560"/>
        <w:rPr>
          <w:i/>
          <w:sz w:val="18"/>
          <w:szCs w:val="18"/>
          <w:lang w:eastAsia="ja-JP"/>
        </w:rPr>
      </w:pPr>
    </w:p>
    <w:p w:rsidR="00165B6A" w:rsidRPr="00B455AF" w:rsidRDefault="00165B6A" w:rsidP="00165B6A">
      <w:pPr>
        <w:pStyle w:val="ListParagraph"/>
        <w:ind w:left="1560"/>
        <w:rPr>
          <w:i/>
          <w:sz w:val="18"/>
          <w:szCs w:val="18"/>
          <w:lang w:eastAsia="ja-JP"/>
        </w:rPr>
      </w:pPr>
      <w:r w:rsidRPr="00B455AF">
        <w:rPr>
          <w:i/>
          <w:sz w:val="18"/>
          <w:szCs w:val="18"/>
          <w:lang w:eastAsia="ja-JP"/>
        </w:rPr>
        <w:t>Ex. 34. Dianthus ‘Rupert’s Pink’ is established; “pink” is not the common name for all plants in the genus Dianthus.</w:t>
      </w:r>
    </w:p>
    <w:p w:rsidR="00165B6A" w:rsidRPr="00B455AF" w:rsidRDefault="00165B6A" w:rsidP="00165B6A">
      <w:pPr>
        <w:pStyle w:val="ListParagraph"/>
        <w:ind w:left="1560"/>
        <w:rPr>
          <w:i/>
          <w:sz w:val="18"/>
          <w:szCs w:val="18"/>
          <w:lang w:eastAsia="ja-JP"/>
        </w:rPr>
      </w:pPr>
    </w:p>
    <w:p w:rsidR="00165B6A" w:rsidRPr="00B455AF" w:rsidRDefault="00165B6A" w:rsidP="00165B6A">
      <w:pPr>
        <w:pStyle w:val="ListParagraph"/>
        <w:ind w:left="1560"/>
        <w:rPr>
          <w:i/>
          <w:sz w:val="18"/>
          <w:szCs w:val="18"/>
          <w:lang w:eastAsia="ja-JP"/>
        </w:rPr>
      </w:pPr>
      <w:r w:rsidRPr="00B455AF">
        <w:rPr>
          <w:i/>
          <w:sz w:val="18"/>
          <w:szCs w:val="18"/>
          <w:lang w:eastAsia="ja-JP"/>
        </w:rPr>
        <w:t>Ex. 35. Prunus ‘Sato-zakura’ is established; “zakura” is the Japanese word for flowering cherries, rather than a name for the whole genus.</w:t>
      </w:r>
    </w:p>
    <w:p w:rsidR="00165B6A" w:rsidRPr="00B455AF" w:rsidRDefault="00165B6A" w:rsidP="00165B6A">
      <w:pPr>
        <w:pStyle w:val="ListParagraph"/>
        <w:ind w:left="1560"/>
        <w:rPr>
          <w:i/>
          <w:sz w:val="18"/>
          <w:szCs w:val="18"/>
          <w:lang w:eastAsia="ja-JP"/>
        </w:rPr>
      </w:pPr>
    </w:p>
    <w:p w:rsidR="00165B6A" w:rsidRPr="00506162" w:rsidRDefault="00165B6A" w:rsidP="00165B6A">
      <w:pPr>
        <w:pStyle w:val="ListParagraph"/>
        <w:ind w:left="1560"/>
        <w:rPr>
          <w:szCs w:val="24"/>
          <w:lang w:eastAsia="ja-JP"/>
        </w:rPr>
      </w:pPr>
      <w:r w:rsidRPr="00B455AF">
        <w:rPr>
          <w:i/>
          <w:sz w:val="18"/>
          <w:szCs w:val="18"/>
          <w:lang w:eastAsia="ja-JP"/>
        </w:rPr>
        <w:t>Ex. 36. Pyrus bretschneideri ‘Ya Li’ contains the word “li”, which is the Chinese common name for the genus Pyrus. According to Chinese linguistic custom, “li” is inseparable from “ya”, and its inclusion in the cultivar epithet is therefore necess</w:t>
      </w:r>
      <w:r w:rsidRPr="00B455AF">
        <w:rPr>
          <w:sz w:val="18"/>
          <w:szCs w:val="18"/>
          <w:lang w:eastAsia="ja-JP"/>
        </w:rPr>
        <w:t xml:space="preserve">ary and acceptable. </w:t>
      </w:r>
      <w:r>
        <w:rPr>
          <w:sz w:val="18"/>
          <w:szCs w:val="18"/>
          <w:lang w:eastAsia="ja-JP"/>
        </w:rPr>
        <w:t>”</w:t>
      </w:r>
      <w:r w:rsidRPr="00594ACD">
        <w:rPr>
          <w:szCs w:val="24"/>
          <w:lang w:eastAsia="ja-JP"/>
        </w:rPr>
        <w:t>;</w:t>
      </w:r>
    </w:p>
    <w:p w:rsidR="00165B6A" w:rsidRPr="00506162" w:rsidRDefault="00165B6A" w:rsidP="00165B6A">
      <w:pPr>
        <w:rPr>
          <w:snapToGrid w:val="0"/>
          <w:lang w:eastAsia="ja-JP"/>
        </w:rPr>
      </w:pPr>
    </w:p>
    <w:p w:rsidR="00165B6A" w:rsidRDefault="00165B6A" w:rsidP="00DA07F5">
      <w:pPr>
        <w:ind w:firstLine="540"/>
        <w:rPr>
          <w:rFonts w:cs="Arial"/>
          <w:snapToGrid w:val="0"/>
          <w:lang w:eastAsia="ja-JP"/>
        </w:rPr>
      </w:pPr>
      <w:r w:rsidRPr="006E6DF0">
        <w:rPr>
          <w:rFonts w:cs="Arial"/>
          <w:snapToGrid w:val="0"/>
          <w:lang w:eastAsia="ja-JP"/>
        </w:rPr>
        <w:t>Section 2.3.2</w:t>
      </w:r>
      <w:r>
        <w:rPr>
          <w:rFonts w:cs="Arial"/>
          <w:snapToGrid w:val="0"/>
          <w:lang w:eastAsia="ja-JP"/>
        </w:rPr>
        <w:t xml:space="preserve"> </w:t>
      </w:r>
      <w:r w:rsidRPr="00207644">
        <w:rPr>
          <w:rFonts w:cs="Arial"/>
          <w:snapToGrid w:val="0"/>
          <w:lang w:eastAsia="ja-JP"/>
        </w:rPr>
        <w:t>“Value of the variety”</w:t>
      </w:r>
      <w:r w:rsidR="00F05AD5">
        <w:rPr>
          <w:rFonts w:cs="Arial"/>
          <w:snapToGrid w:val="0"/>
          <w:lang w:eastAsia="ja-JP"/>
        </w:rPr>
        <w:t>:</w:t>
      </w:r>
      <w:r w:rsidRPr="006E6DF0">
        <w:rPr>
          <w:rFonts w:cs="Arial"/>
          <w:snapToGrid w:val="0"/>
          <w:lang w:eastAsia="ja-JP"/>
        </w:rPr>
        <w:t xml:space="preserve"> to amend Section 2.3.2 to read as follows:</w:t>
      </w:r>
    </w:p>
    <w:p w:rsidR="00165B6A" w:rsidRDefault="00165B6A" w:rsidP="00DA07F5">
      <w:pPr>
        <w:ind w:firstLine="540"/>
        <w:rPr>
          <w:rFonts w:cs="Arial"/>
          <w:snapToGrid w:val="0"/>
          <w:lang w:eastAsia="ja-JP"/>
        </w:rPr>
      </w:pPr>
    </w:p>
    <w:p w:rsidR="00165B6A" w:rsidRPr="009B3BBB" w:rsidRDefault="00165B6A" w:rsidP="00DA07F5">
      <w:pPr>
        <w:pStyle w:val="ListParagraph"/>
        <w:autoSpaceDE w:val="0"/>
        <w:autoSpaceDN w:val="0"/>
        <w:adjustRightInd w:val="0"/>
        <w:ind w:left="1134" w:right="567"/>
        <w:rPr>
          <w:sz w:val="18"/>
          <w:lang w:eastAsia="ja-JP"/>
        </w:rPr>
      </w:pPr>
      <w:r>
        <w:rPr>
          <w:lang w:eastAsia="ja-JP"/>
        </w:rPr>
        <w:t>“</w:t>
      </w:r>
      <w:r w:rsidRPr="009B3BBB">
        <w:rPr>
          <w:sz w:val="18"/>
          <w:lang w:eastAsia="ja-JP"/>
        </w:rPr>
        <w:t xml:space="preserve">The denomination should not consist of, or contain, comparative or superlative designations </w:t>
      </w:r>
      <w:r w:rsidRPr="009B3BBB">
        <w:rPr>
          <w:sz w:val="18"/>
          <w:u w:val="single"/>
          <w:lang w:eastAsia="ja-JP"/>
        </w:rPr>
        <w:t>that are liable to mislead or to cause confusion concerning the characteristics or value of the variety</w:t>
      </w:r>
      <w:r w:rsidRPr="009B3BBB">
        <w:rPr>
          <w:sz w:val="18"/>
          <w:lang w:eastAsia="ja-JP"/>
        </w:rPr>
        <w:t xml:space="preserve">. </w:t>
      </w:r>
    </w:p>
    <w:p w:rsidR="00165B6A" w:rsidRPr="009B3BBB" w:rsidRDefault="00165B6A" w:rsidP="00DA07F5">
      <w:pPr>
        <w:pStyle w:val="ListParagraph"/>
        <w:autoSpaceDE w:val="0"/>
        <w:autoSpaceDN w:val="0"/>
        <w:adjustRightInd w:val="0"/>
        <w:ind w:left="1134" w:right="567"/>
        <w:rPr>
          <w:sz w:val="18"/>
          <w:lang w:eastAsia="ja-JP"/>
        </w:rPr>
      </w:pPr>
    </w:p>
    <w:p w:rsidR="00165B6A" w:rsidRPr="009B3BBB" w:rsidRDefault="00165B6A" w:rsidP="00DA07F5">
      <w:pPr>
        <w:pStyle w:val="ListParagraph"/>
        <w:autoSpaceDE w:val="0"/>
        <w:autoSpaceDN w:val="0"/>
        <w:adjustRightInd w:val="0"/>
        <w:ind w:left="1134" w:right="567"/>
        <w:rPr>
          <w:sz w:val="18"/>
          <w:lang w:eastAsia="ja-JP"/>
        </w:rPr>
      </w:pPr>
      <w:r w:rsidRPr="009B3BBB">
        <w:rPr>
          <w:i/>
          <w:sz w:val="18"/>
          <w:lang w:eastAsia="ja-JP"/>
        </w:rPr>
        <w:t>Example</w:t>
      </w:r>
      <w:r w:rsidRPr="009B3BBB">
        <w:rPr>
          <w:i/>
          <w:sz w:val="18"/>
          <w:u w:val="single"/>
          <w:lang w:eastAsia="ja-JP"/>
        </w:rPr>
        <w:t xml:space="preserve"> of unsuitable denominations</w:t>
      </w:r>
      <w:r w:rsidRPr="009B3BBB">
        <w:rPr>
          <w:i/>
          <w:sz w:val="18"/>
          <w:lang w:eastAsia="ja-JP"/>
        </w:rPr>
        <w:t>:</w:t>
      </w:r>
      <w:r w:rsidRPr="009B3BBB">
        <w:rPr>
          <w:sz w:val="18"/>
          <w:lang w:eastAsia="ja-JP"/>
        </w:rPr>
        <w:t xml:space="preserve"> </w:t>
      </w:r>
      <w:r w:rsidRPr="009B3BBB">
        <w:rPr>
          <w:strike/>
          <w:sz w:val="18"/>
          <w:lang w:eastAsia="ja-JP"/>
        </w:rPr>
        <w:t xml:space="preserve"> a denomination which includes terms such as</w:t>
      </w:r>
      <w:r w:rsidRPr="009B3BBB">
        <w:rPr>
          <w:sz w:val="18"/>
          <w:lang w:eastAsia="ja-JP"/>
        </w:rPr>
        <w:t xml:space="preserve"> “Best</w:t>
      </w:r>
      <w:r w:rsidRPr="009B3BBB">
        <w:rPr>
          <w:sz w:val="18"/>
          <w:u w:val="single"/>
          <w:lang w:eastAsia="ja-JP"/>
        </w:rPr>
        <w:t xml:space="preserve"> performer</w:t>
      </w:r>
      <w:r w:rsidRPr="009B3BBB">
        <w:rPr>
          <w:sz w:val="18"/>
          <w:lang w:eastAsia="ja-JP"/>
        </w:rPr>
        <w:t>”, “Superior</w:t>
      </w:r>
      <w:r w:rsidRPr="009B3BBB">
        <w:rPr>
          <w:sz w:val="18"/>
          <w:u w:val="single"/>
          <w:lang w:eastAsia="ja-JP"/>
        </w:rPr>
        <w:t xml:space="preserve"> taste</w:t>
      </w:r>
      <w:r w:rsidRPr="009B3BBB">
        <w:rPr>
          <w:sz w:val="18"/>
          <w:lang w:eastAsia="ja-JP"/>
        </w:rPr>
        <w:t>”, “Sweeter</w:t>
      </w:r>
      <w:r w:rsidRPr="009B3BBB">
        <w:rPr>
          <w:sz w:val="18"/>
          <w:u w:val="single"/>
          <w:lang w:eastAsia="ja-JP"/>
        </w:rPr>
        <w:t xml:space="preserve"> than the rest</w:t>
      </w:r>
      <w:r w:rsidRPr="009B3BBB">
        <w:rPr>
          <w:sz w:val="18"/>
          <w:lang w:eastAsia="ja-JP"/>
        </w:rPr>
        <w:t xml:space="preserve">”. </w:t>
      </w:r>
    </w:p>
    <w:p w:rsidR="00165B6A" w:rsidRPr="009B3BBB" w:rsidRDefault="00165B6A" w:rsidP="00DA07F5">
      <w:pPr>
        <w:pStyle w:val="ListParagraph"/>
        <w:autoSpaceDE w:val="0"/>
        <w:autoSpaceDN w:val="0"/>
        <w:adjustRightInd w:val="0"/>
        <w:ind w:left="1134" w:right="567"/>
        <w:rPr>
          <w:sz w:val="18"/>
          <w:lang w:eastAsia="ja-JP"/>
        </w:rPr>
      </w:pPr>
    </w:p>
    <w:p w:rsidR="00165B6A" w:rsidRPr="00506162" w:rsidRDefault="00165B6A" w:rsidP="00DA07F5">
      <w:pPr>
        <w:pStyle w:val="ListParagraph"/>
        <w:autoSpaceDE w:val="0"/>
        <w:autoSpaceDN w:val="0"/>
        <w:adjustRightInd w:val="0"/>
        <w:ind w:left="1134" w:right="567"/>
        <w:rPr>
          <w:szCs w:val="24"/>
          <w:lang w:eastAsia="ja-JP"/>
        </w:rPr>
      </w:pPr>
      <w:r w:rsidRPr="009B3BBB">
        <w:rPr>
          <w:i/>
          <w:sz w:val="18"/>
          <w:u w:val="single"/>
          <w:lang w:eastAsia="ja-JP"/>
        </w:rPr>
        <w:t>Examples of suitable denominations:</w:t>
      </w:r>
      <w:r w:rsidRPr="009B3BBB">
        <w:rPr>
          <w:sz w:val="18"/>
          <w:u w:val="single"/>
          <w:lang w:eastAsia="ja-JP"/>
        </w:rPr>
        <w:t xml:space="preserve">  “Lake Superior”, “Best wishes”.</w:t>
      </w:r>
      <w:r w:rsidRPr="003036ED">
        <w:rPr>
          <w:lang w:eastAsia="ja-JP"/>
        </w:rPr>
        <w:t>”</w:t>
      </w:r>
      <w:r w:rsidRPr="006E6DF0">
        <w:rPr>
          <w:szCs w:val="24"/>
          <w:lang w:eastAsia="ja-JP"/>
        </w:rPr>
        <w:t>;</w:t>
      </w:r>
    </w:p>
    <w:p w:rsidR="00165B6A" w:rsidRPr="00D856F4" w:rsidRDefault="00165B6A" w:rsidP="00DA07F5">
      <w:pPr>
        <w:rPr>
          <w:snapToGrid w:val="0"/>
          <w:lang w:eastAsia="ja-JP"/>
        </w:rPr>
      </w:pPr>
    </w:p>
    <w:p w:rsidR="00165B6A" w:rsidRPr="00D856F4" w:rsidRDefault="00165B6A" w:rsidP="00165B6A">
      <w:pPr>
        <w:keepNext/>
        <w:ind w:firstLine="567"/>
        <w:rPr>
          <w:szCs w:val="24"/>
          <w:lang w:eastAsia="ja-JP"/>
        </w:rPr>
      </w:pPr>
      <w:r w:rsidRPr="00D856F4">
        <w:rPr>
          <w:rFonts w:cs="Arial"/>
          <w:snapToGrid w:val="0"/>
          <w:lang w:eastAsia="ja-JP"/>
        </w:rPr>
        <w:lastRenderedPageBreak/>
        <w:t>Section 2.3.4 “Identity of the breeder”</w:t>
      </w:r>
      <w:r w:rsidR="00F05AD5">
        <w:rPr>
          <w:rFonts w:cs="Arial"/>
          <w:snapToGrid w:val="0"/>
          <w:lang w:eastAsia="ja-JP"/>
        </w:rPr>
        <w:t>:</w:t>
      </w:r>
      <w:r w:rsidRPr="00D856F4">
        <w:rPr>
          <w:rFonts w:cs="Arial"/>
          <w:snapToGrid w:val="0"/>
          <w:lang w:eastAsia="ja-JP"/>
        </w:rPr>
        <w:t xml:space="preserve"> themes without </w:t>
      </w:r>
      <w:r w:rsidR="00F05AD5">
        <w:rPr>
          <w:rFonts w:cs="Arial"/>
          <w:snapToGrid w:val="0"/>
          <w:lang w:eastAsia="ja-JP"/>
        </w:rPr>
        <w:t xml:space="preserve">a </w:t>
      </w:r>
      <w:r w:rsidRPr="00D856F4">
        <w:rPr>
          <w:rFonts w:cs="Arial"/>
          <w:snapToGrid w:val="0"/>
          <w:lang w:eastAsia="ja-JP"/>
        </w:rPr>
        <w:t>common word, prefix or suffix, would not be an acceptable practice</w:t>
      </w:r>
      <w:r w:rsidRPr="00D856F4">
        <w:rPr>
          <w:szCs w:val="24"/>
          <w:lang w:eastAsia="ja-JP"/>
        </w:rPr>
        <w:t>;</w:t>
      </w:r>
    </w:p>
    <w:p w:rsidR="00165B6A" w:rsidRPr="00506162" w:rsidRDefault="00165B6A" w:rsidP="00165B6A">
      <w:pPr>
        <w:rPr>
          <w:snapToGrid w:val="0"/>
          <w:lang w:eastAsia="ja-JP"/>
        </w:rPr>
      </w:pPr>
    </w:p>
    <w:p w:rsidR="00165B6A" w:rsidRDefault="00165B6A" w:rsidP="00165B6A">
      <w:pPr>
        <w:keepNext/>
        <w:ind w:firstLine="567"/>
        <w:rPr>
          <w:rFonts w:cs="Arial"/>
          <w:snapToGrid w:val="0"/>
          <w:lang w:eastAsia="ja-JP"/>
        </w:rPr>
      </w:pPr>
      <w:r w:rsidRPr="00E20A94">
        <w:rPr>
          <w:rFonts w:cs="Arial"/>
          <w:snapToGrid w:val="0"/>
          <w:lang w:eastAsia="ja-JP"/>
        </w:rPr>
        <w:t>Paragraph 4 [Prior rights of third persons]</w:t>
      </w:r>
      <w:r w:rsidR="00F05AD5">
        <w:rPr>
          <w:rFonts w:cs="Arial"/>
          <w:snapToGrid w:val="0"/>
          <w:lang w:eastAsia="ja-JP"/>
        </w:rPr>
        <w:t xml:space="preserve">: </w:t>
      </w:r>
      <w:r w:rsidRPr="00E20A94">
        <w:rPr>
          <w:rFonts w:cs="Arial"/>
          <w:snapToGrid w:val="0"/>
          <w:lang w:eastAsia="ja-JP"/>
        </w:rPr>
        <w:t>to amend Section 4 (a) to read as follows:</w:t>
      </w:r>
    </w:p>
    <w:p w:rsidR="00165B6A" w:rsidRDefault="00165B6A" w:rsidP="00165B6A">
      <w:pPr>
        <w:keepNext/>
        <w:ind w:firstLine="567"/>
        <w:rPr>
          <w:rFonts w:cs="Arial"/>
          <w:snapToGrid w:val="0"/>
          <w:lang w:eastAsia="ja-JP"/>
        </w:rPr>
      </w:pPr>
    </w:p>
    <w:p w:rsidR="00165B6A" w:rsidRPr="00506162" w:rsidRDefault="00165B6A" w:rsidP="00165B6A">
      <w:pPr>
        <w:pStyle w:val="ListParagraph"/>
        <w:autoSpaceDE w:val="0"/>
        <w:autoSpaceDN w:val="0"/>
        <w:adjustRightInd w:val="0"/>
        <w:ind w:left="1134" w:right="567"/>
        <w:rPr>
          <w:szCs w:val="24"/>
          <w:lang w:eastAsia="ja-JP"/>
        </w:rPr>
      </w:pPr>
      <w:r>
        <w:rPr>
          <w:lang w:eastAsia="ja-JP"/>
        </w:rPr>
        <w:t>“</w:t>
      </w:r>
      <w:r w:rsidRPr="00FF3F5B">
        <w:rPr>
          <w:sz w:val="18"/>
          <w:lang w:eastAsia="ja-JP"/>
        </w:rPr>
        <w:t xml:space="preserve"> (a)</w:t>
      </w:r>
      <w:r w:rsidRPr="00FF3F5B">
        <w:rPr>
          <w:sz w:val="18"/>
          <w:lang w:eastAsia="ja-JP"/>
        </w:rPr>
        <w:tab/>
        <w:t xml:space="preserve">An authority should not accept a variety denomination if a </w:t>
      </w:r>
      <w:r w:rsidRPr="00FF3F5B">
        <w:rPr>
          <w:sz w:val="18"/>
          <w:u w:val="single"/>
          <w:lang w:eastAsia="ja-JP"/>
        </w:rPr>
        <w:t>there is an existing</w:t>
      </w:r>
      <w:r w:rsidRPr="00FF3F5B">
        <w:rPr>
          <w:sz w:val="18"/>
          <w:lang w:eastAsia="ja-JP"/>
        </w:rPr>
        <w:t xml:space="preserve"> prior right, the exercise of which may prevent the use of the proposed denomination</w:t>
      </w:r>
      <w:r w:rsidRPr="00FF3F5B">
        <w:rPr>
          <w:strike/>
          <w:sz w:val="18"/>
          <w:lang w:eastAsia="ja-JP"/>
        </w:rPr>
        <w:t>, has already been granted to a third party under plant breeder’s right law, trademark law or any other intellectual property legislation</w:t>
      </w:r>
      <w:r w:rsidRPr="00FF3F5B">
        <w:rPr>
          <w:sz w:val="18"/>
          <w:lang w:eastAsia="ja-JP"/>
        </w:rPr>
        <w:t xml:space="preserve">.  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9" w:history="1">
        <w:r w:rsidRPr="00FF3F5B">
          <w:rPr>
            <w:rStyle w:val="Hyperlink"/>
            <w:sz w:val="18"/>
            <w:lang w:eastAsia="ja-JP"/>
          </w:rPr>
          <w:t>http://www.upov.int/pluto/en/</w:t>
        </w:r>
      </w:hyperlink>
      <w:r w:rsidRPr="00FF3F5B">
        <w:rPr>
          <w:sz w:val="18"/>
          <w:lang w:eastAsia="ja-JP"/>
        </w:rPr>
        <w:t>) to identify prior rights for variety denominations.  They may also make searches in other registers, such as trademark registers, before accepting a variety denomination.</w:t>
      </w:r>
      <w:r w:rsidRPr="003036ED">
        <w:rPr>
          <w:lang w:eastAsia="ja-JP"/>
        </w:rPr>
        <w:t>”</w:t>
      </w:r>
      <w:r w:rsidRPr="00E20A94">
        <w:rPr>
          <w:szCs w:val="24"/>
          <w:lang w:eastAsia="ja-JP"/>
        </w:rPr>
        <w:t>;</w:t>
      </w:r>
      <w:r>
        <w:rPr>
          <w:szCs w:val="24"/>
          <w:lang w:eastAsia="ja-JP"/>
        </w:rPr>
        <w:t xml:space="preserve"> and</w:t>
      </w:r>
    </w:p>
    <w:p w:rsidR="00165B6A" w:rsidRPr="00506162" w:rsidRDefault="00165B6A" w:rsidP="00165B6A">
      <w:pPr>
        <w:rPr>
          <w:snapToGrid w:val="0"/>
          <w:lang w:eastAsia="ja-JP"/>
        </w:rPr>
      </w:pPr>
    </w:p>
    <w:p w:rsidR="00165B6A" w:rsidRPr="00506162" w:rsidRDefault="00165B6A" w:rsidP="00165B6A">
      <w:pPr>
        <w:autoSpaceDE w:val="0"/>
        <w:autoSpaceDN w:val="0"/>
        <w:adjustRightInd w:val="0"/>
        <w:ind w:firstLine="567"/>
        <w:rPr>
          <w:rFonts w:eastAsiaTheme="minorEastAsia"/>
          <w:lang w:eastAsia="ja-JP"/>
        </w:rPr>
      </w:pPr>
      <w:r w:rsidRPr="004D4A6D">
        <w:rPr>
          <w:rFonts w:eastAsiaTheme="minorEastAsia" w:cs="Arial"/>
          <w:snapToGrid w:val="0"/>
          <w:lang w:eastAsia="ja-JP"/>
        </w:rPr>
        <w:t xml:space="preserve"> Paragraph 6 [Information among the authorities of members of the Union]</w:t>
      </w:r>
      <w:r w:rsidR="00F05AD5">
        <w:rPr>
          <w:rFonts w:eastAsiaTheme="minorEastAsia" w:cs="Arial"/>
          <w:snapToGrid w:val="0"/>
          <w:lang w:eastAsia="ja-JP"/>
        </w:rPr>
        <w:t>:</w:t>
      </w:r>
      <w:r w:rsidRPr="004D4A6D">
        <w:rPr>
          <w:rFonts w:eastAsiaTheme="minorEastAsia" w:cs="Arial"/>
          <w:snapToGrid w:val="0"/>
          <w:lang w:eastAsia="ja-JP"/>
        </w:rPr>
        <w:t xml:space="preserve"> </w:t>
      </w:r>
      <w:r w:rsidRPr="004D4A6D">
        <w:rPr>
          <w:rFonts w:eastAsiaTheme="minorEastAsia"/>
        </w:rPr>
        <w:t>to add a new Section 6.8 to read as follows:</w:t>
      </w:r>
      <w:r w:rsidRPr="00506162">
        <w:rPr>
          <w:rFonts w:eastAsiaTheme="minorEastAsia"/>
          <w:szCs w:val="24"/>
          <w:lang w:eastAsia="ja-JP"/>
        </w:rPr>
        <w:t xml:space="preserve"> </w:t>
      </w:r>
    </w:p>
    <w:p w:rsidR="00165B6A" w:rsidRPr="00506162" w:rsidRDefault="00165B6A" w:rsidP="00165B6A">
      <w:pPr>
        <w:rPr>
          <w:snapToGrid w:val="0"/>
          <w:lang w:eastAsia="ja-JP"/>
        </w:rPr>
      </w:pPr>
    </w:p>
    <w:p w:rsidR="00165B6A" w:rsidRDefault="00165B6A" w:rsidP="00DA07F5">
      <w:pPr>
        <w:pStyle w:val="ListParagraph"/>
        <w:autoSpaceDE w:val="0"/>
        <w:autoSpaceDN w:val="0"/>
        <w:adjustRightInd w:val="0"/>
        <w:ind w:left="1134" w:right="567"/>
        <w:contextualSpacing w:val="0"/>
        <w:rPr>
          <w:lang w:eastAsia="ja-JP"/>
        </w:rPr>
      </w:pPr>
      <w:r>
        <w:rPr>
          <w:lang w:eastAsia="ja-JP"/>
        </w:rPr>
        <w:t>“</w:t>
      </w:r>
      <w:r w:rsidRPr="0098461A">
        <w:rPr>
          <w:sz w:val="18"/>
          <w:lang w:eastAsia="ja-JP"/>
        </w:rPr>
        <w:t>6.8</w:t>
      </w:r>
      <w:r w:rsidRPr="0098461A">
        <w:rPr>
          <w:sz w:val="18"/>
          <w:lang w:eastAsia="ja-JP"/>
        </w:rPr>
        <w:tab/>
        <w:t>The contribution of data by members of the Union to the PLUTO database provides support for the examination of variety denominations.   Members of the Union are encouraged to provide data as soon as practical after it is published by the authority(ies) concerned. The PLUTO database will be updated with new data as quickly as possible after receipt, in accordance with the uploading procedure. The PLUTO database can, as necessary, be updated with corrected data, in accordance with the uploading procedure.</w:t>
      </w:r>
      <w:r w:rsidRPr="003036ED">
        <w:rPr>
          <w:lang w:eastAsia="ja-JP"/>
        </w:rPr>
        <w:t>”</w:t>
      </w:r>
    </w:p>
    <w:p w:rsidR="00EA4900" w:rsidRPr="000C3905" w:rsidRDefault="00EA4900" w:rsidP="00EA4900">
      <w:pPr>
        <w:rPr>
          <w:snapToGrid w:val="0"/>
          <w:lang w:eastAsia="ja-JP"/>
        </w:rPr>
      </w:pPr>
    </w:p>
    <w:p w:rsidR="00EA4900" w:rsidRPr="000C3905" w:rsidRDefault="00EA4900" w:rsidP="00DA07F5">
      <w:pPr>
        <w:rPr>
          <w:rFonts w:cs="Arial"/>
          <w:snapToGrid w:val="0"/>
          <w:lang w:eastAsia="ja-JP"/>
        </w:rPr>
      </w:pPr>
      <w:r w:rsidRPr="000C3905">
        <w:rPr>
          <w:rFonts w:cs="Arial"/>
          <w:snapToGrid w:val="0"/>
        </w:rPr>
        <w:fldChar w:fldCharType="begin"/>
      </w:r>
      <w:r w:rsidRPr="000C3905">
        <w:rPr>
          <w:rFonts w:cs="Arial"/>
          <w:snapToGrid w:val="0"/>
        </w:rPr>
        <w:instrText xml:space="preserve"> AUTONUM  </w:instrText>
      </w:r>
      <w:r w:rsidRPr="000C3905">
        <w:rPr>
          <w:rFonts w:cs="Arial"/>
          <w:snapToGrid w:val="0"/>
        </w:rPr>
        <w:fldChar w:fldCharType="end"/>
      </w:r>
      <w:r w:rsidRPr="000C3905">
        <w:rPr>
          <w:rFonts w:cs="Arial"/>
          <w:snapToGrid w:val="0"/>
        </w:rPr>
        <w:tab/>
      </w:r>
      <w:r w:rsidRPr="000C3905">
        <w:rPr>
          <w:rFonts w:cs="Arial"/>
          <w:snapToGrid w:val="0"/>
          <w:lang w:eastAsia="ja-JP"/>
        </w:rPr>
        <w:t xml:space="preserve">The WG-DEN </w:t>
      </w:r>
      <w:r w:rsidR="00EF6589">
        <w:rPr>
          <w:rFonts w:cs="Arial"/>
          <w:snapToGrid w:val="0"/>
          <w:lang w:eastAsia="ja-JP"/>
        </w:rPr>
        <w:t xml:space="preserve">further </w:t>
      </w:r>
      <w:r w:rsidRPr="000C3905">
        <w:rPr>
          <w:rFonts w:cs="Arial"/>
          <w:snapToGrid w:val="0"/>
          <w:lang w:eastAsia="ja-JP"/>
        </w:rPr>
        <w:t xml:space="preserve">agreed to consider </w:t>
      </w:r>
      <w:r w:rsidR="00937C39">
        <w:rPr>
          <w:rFonts w:cs="Arial"/>
          <w:snapToGrid w:val="0"/>
          <w:lang w:eastAsia="ja-JP"/>
        </w:rPr>
        <w:t xml:space="preserve">at its fifth meeting </w:t>
      </w:r>
      <w:r w:rsidRPr="000C3905">
        <w:rPr>
          <w:rFonts w:cs="Arial"/>
          <w:snapToGrid w:val="0"/>
          <w:lang w:eastAsia="ja-JP"/>
        </w:rPr>
        <w:t xml:space="preserve">the following items </w:t>
      </w:r>
      <w:r w:rsidR="00937C39">
        <w:rPr>
          <w:rFonts w:cs="Arial"/>
          <w:snapToGrid w:val="0"/>
          <w:lang w:eastAsia="ja-JP"/>
        </w:rPr>
        <w:t xml:space="preserve">with regard to </w:t>
      </w:r>
      <w:r w:rsidR="00E36E4B">
        <w:rPr>
          <w:rFonts w:cs="Arial"/>
          <w:snapToGrid w:val="0"/>
          <w:lang w:eastAsia="ja-JP"/>
        </w:rPr>
        <w:t xml:space="preserve">a possible </w:t>
      </w:r>
      <w:r w:rsidR="00937C39">
        <w:rPr>
          <w:rFonts w:cs="Arial"/>
          <w:snapToGrid w:val="0"/>
          <w:lang w:eastAsia="ja-JP"/>
        </w:rPr>
        <w:t xml:space="preserve">revision of document </w:t>
      </w:r>
      <w:r w:rsidR="00B55E68" w:rsidRPr="000C3905">
        <w:rPr>
          <w:rFonts w:cs="Arial"/>
          <w:snapToGrid w:val="0"/>
          <w:lang w:eastAsia="ja-JP"/>
        </w:rPr>
        <w:t>UPOV/INF/12/5</w:t>
      </w:r>
      <w:r w:rsidR="00B55E68">
        <w:rPr>
          <w:rFonts w:cs="Arial"/>
          <w:snapToGrid w:val="0"/>
          <w:lang w:eastAsia="ja-JP"/>
        </w:rPr>
        <w:t xml:space="preserve"> “</w:t>
      </w:r>
      <w:r w:rsidR="00B55E68" w:rsidRPr="000C3905">
        <w:rPr>
          <w:rFonts w:cs="Arial"/>
          <w:snapToGrid w:val="0"/>
          <w:lang w:eastAsia="ja-JP"/>
        </w:rPr>
        <w:t>Explanatory Notes on Variety Denominations under the UPOV Convention</w:t>
      </w:r>
      <w:r w:rsidR="00B55E68">
        <w:rPr>
          <w:rFonts w:cs="Arial"/>
          <w:snapToGrid w:val="0"/>
          <w:lang w:eastAsia="ja-JP"/>
        </w:rPr>
        <w:t>”</w:t>
      </w:r>
      <w:r w:rsidRPr="000C3905">
        <w:rPr>
          <w:rFonts w:cs="Arial"/>
          <w:snapToGrid w:val="0"/>
          <w:lang w:eastAsia="ja-JP"/>
        </w:rPr>
        <w:t>:</w:t>
      </w:r>
    </w:p>
    <w:p w:rsidR="00165B6A" w:rsidRPr="00C538B0" w:rsidRDefault="00165B6A" w:rsidP="00DA07F5">
      <w:pPr>
        <w:rPr>
          <w:rFonts w:cs="Arial"/>
          <w:snapToGrid w:val="0"/>
          <w:lang w:eastAsia="ja-JP"/>
        </w:rPr>
      </w:pPr>
    </w:p>
    <w:p w:rsidR="00165B6A" w:rsidRPr="00506162" w:rsidRDefault="00165B6A" w:rsidP="00DA07F5">
      <w:pPr>
        <w:ind w:firstLine="540"/>
        <w:rPr>
          <w:szCs w:val="24"/>
          <w:lang w:eastAsia="ja-JP"/>
        </w:rPr>
      </w:pPr>
      <w:r w:rsidRPr="00594ACD">
        <w:rPr>
          <w:rFonts w:cs="Arial"/>
          <w:snapToGrid w:val="0"/>
          <w:lang w:eastAsia="ja-JP"/>
        </w:rPr>
        <w:t>(</w:t>
      </w:r>
      <w:r>
        <w:rPr>
          <w:rFonts w:cs="Arial"/>
          <w:snapToGrid w:val="0"/>
          <w:lang w:eastAsia="ja-JP"/>
        </w:rPr>
        <w:t>a</w:t>
      </w:r>
      <w:r w:rsidRPr="00594ACD">
        <w:rPr>
          <w:rFonts w:cs="Arial"/>
          <w:snapToGrid w:val="0"/>
          <w:lang w:eastAsia="ja-JP"/>
        </w:rPr>
        <w:t>)</w:t>
      </w:r>
      <w:r w:rsidRPr="00594ACD">
        <w:rPr>
          <w:rFonts w:cs="Arial"/>
          <w:snapToGrid w:val="0"/>
          <w:lang w:eastAsia="ja-JP"/>
        </w:rPr>
        <w:tab/>
        <w:t>Section 2.3.1</w:t>
      </w:r>
      <w:r w:rsidR="00F05AD5">
        <w:rPr>
          <w:rFonts w:cs="Arial"/>
          <w:snapToGrid w:val="0"/>
          <w:lang w:eastAsia="ja-JP"/>
        </w:rPr>
        <w:t>:</w:t>
      </w:r>
      <w:r w:rsidRPr="00594ACD">
        <w:rPr>
          <w:rFonts w:cs="Arial"/>
          <w:snapToGrid w:val="0"/>
          <w:lang w:eastAsia="ja-JP"/>
        </w:rPr>
        <w:t xml:space="preserve"> the Office of the Union </w:t>
      </w:r>
      <w:r w:rsidR="00F05AD5">
        <w:rPr>
          <w:rFonts w:cs="Arial"/>
          <w:snapToGrid w:val="0"/>
          <w:lang w:eastAsia="ja-JP"/>
        </w:rPr>
        <w:t xml:space="preserve"> to </w:t>
      </w:r>
      <w:r w:rsidRPr="00594ACD">
        <w:rPr>
          <w:rFonts w:cs="Arial"/>
          <w:snapToGrid w:val="0"/>
          <w:lang w:eastAsia="ja-JP"/>
        </w:rPr>
        <w:t>prepare options to amend Section 2.3.1 (c) in order to reflect the practices of the authorities</w:t>
      </w:r>
      <w:r w:rsidR="00CB22EE" w:rsidRPr="00CB22EE">
        <w:rPr>
          <w:rFonts w:cs="Arial"/>
          <w:snapToGrid w:val="0"/>
          <w:lang w:eastAsia="ja-JP"/>
        </w:rPr>
        <w:t xml:space="preserve"> regarding the acceptance or rejection of denominations in relation to characteristics of the variety</w:t>
      </w:r>
      <w:r w:rsidRPr="00594ACD">
        <w:rPr>
          <w:szCs w:val="24"/>
          <w:lang w:eastAsia="ja-JP"/>
        </w:rPr>
        <w:t>;</w:t>
      </w:r>
    </w:p>
    <w:p w:rsidR="00165B6A" w:rsidRDefault="00165B6A" w:rsidP="00DA07F5">
      <w:pPr>
        <w:ind w:firstLine="540"/>
        <w:rPr>
          <w:rFonts w:cs="Arial"/>
          <w:snapToGrid w:val="0"/>
          <w:lang w:eastAsia="ja-JP"/>
        </w:rPr>
      </w:pPr>
    </w:p>
    <w:p w:rsidR="00165B6A" w:rsidRPr="00C538B0" w:rsidRDefault="00165B6A" w:rsidP="00DA07F5">
      <w:pPr>
        <w:ind w:firstLine="540"/>
      </w:pPr>
      <w:r w:rsidRPr="00C538B0">
        <w:rPr>
          <w:rFonts w:cs="Arial"/>
          <w:snapToGrid w:val="0"/>
          <w:lang w:eastAsia="ja-JP"/>
        </w:rPr>
        <w:t>(</w:t>
      </w:r>
      <w:r>
        <w:rPr>
          <w:rFonts w:cs="Arial"/>
          <w:snapToGrid w:val="0"/>
          <w:lang w:eastAsia="ja-JP"/>
        </w:rPr>
        <w:t>b</w:t>
      </w:r>
      <w:r w:rsidRPr="00C538B0">
        <w:rPr>
          <w:rFonts w:cs="Arial"/>
          <w:snapToGrid w:val="0"/>
          <w:lang w:eastAsia="ja-JP"/>
        </w:rPr>
        <w:t>)</w:t>
      </w:r>
      <w:r w:rsidRPr="00C538B0">
        <w:rPr>
          <w:rFonts w:cs="Arial"/>
          <w:snapToGrid w:val="0"/>
          <w:lang w:eastAsia="ja-JP"/>
        </w:rPr>
        <w:tab/>
        <w:t>Section 2.3.3 (a)</w:t>
      </w:r>
      <w:r w:rsidR="00F05AD5">
        <w:rPr>
          <w:rFonts w:cs="Arial"/>
          <w:snapToGrid w:val="0"/>
          <w:lang w:eastAsia="ja-JP"/>
        </w:rPr>
        <w:t xml:space="preserve">: </w:t>
      </w:r>
      <w:r w:rsidRPr="00C538B0">
        <w:t>to amend example 2 of Section 2.3.3 (a) (i) to reflect the practices of the authorities. The WG-DEN requested the Office of the Union to issue a circular to invite the authorities to provide their guidance on the cases which could cause confusion phonetically but not visually;</w:t>
      </w:r>
    </w:p>
    <w:p w:rsidR="00CB22EE" w:rsidRPr="00506162" w:rsidRDefault="00CB22EE" w:rsidP="00DA07F5">
      <w:pPr>
        <w:ind w:firstLine="540"/>
        <w:rPr>
          <w:rFonts w:cs="Arial"/>
          <w:snapToGrid w:val="0"/>
          <w:lang w:eastAsia="ja-JP"/>
        </w:rPr>
      </w:pPr>
    </w:p>
    <w:p w:rsidR="00165B6A" w:rsidRDefault="00CB22EE" w:rsidP="00DA07F5">
      <w:pPr>
        <w:ind w:firstLine="540"/>
        <w:rPr>
          <w:rFonts w:eastAsiaTheme="minorEastAsia"/>
          <w:lang w:eastAsia="ja-JP"/>
        </w:rPr>
      </w:pPr>
      <w:r w:rsidRPr="00BF61E6">
        <w:rPr>
          <w:rFonts w:eastAsiaTheme="minorEastAsia"/>
          <w:lang w:eastAsia="ja-JP"/>
        </w:rPr>
        <w:t>(c)</w:t>
      </w:r>
      <w:r w:rsidRPr="00BF61E6">
        <w:rPr>
          <w:rFonts w:eastAsiaTheme="minorEastAsia"/>
          <w:lang w:eastAsia="ja-JP"/>
        </w:rPr>
        <w:tab/>
      </w:r>
      <w:r w:rsidRPr="00CB22EE">
        <w:rPr>
          <w:rFonts w:eastAsiaTheme="minorEastAsia"/>
          <w:lang w:eastAsia="ja-JP"/>
        </w:rPr>
        <w:t>Section 2.3.3 (a) (ii) and (iii)</w:t>
      </w:r>
      <w:r w:rsidR="00E36E4B">
        <w:rPr>
          <w:rFonts w:eastAsiaTheme="minorEastAsia"/>
          <w:lang w:eastAsia="ja-JP"/>
        </w:rPr>
        <w:t>:</w:t>
      </w:r>
      <w:r w:rsidR="00EF6589">
        <w:rPr>
          <w:rFonts w:eastAsiaTheme="minorEastAsia"/>
          <w:lang w:eastAsia="ja-JP"/>
        </w:rPr>
        <w:t xml:space="preserve"> </w:t>
      </w:r>
      <w:r w:rsidRPr="00556966">
        <w:rPr>
          <w:rFonts w:hint="eastAsia"/>
          <w:lang w:eastAsia="ja-JP"/>
        </w:rPr>
        <w:t xml:space="preserve">to </w:t>
      </w:r>
      <w:r w:rsidRPr="00556966">
        <w:rPr>
          <w:lang w:eastAsia="ja-JP"/>
        </w:rPr>
        <w:t xml:space="preserve">amend the draft of the new Section 2.3.3 (b). </w:t>
      </w:r>
      <w:r w:rsidR="00EF6589">
        <w:rPr>
          <w:lang w:eastAsia="ja-JP"/>
        </w:rPr>
        <w:t xml:space="preserve">The WG-DEN </w:t>
      </w:r>
      <w:r w:rsidRPr="00556966">
        <w:rPr>
          <w:lang w:eastAsia="ja-JP"/>
        </w:rPr>
        <w:t>agreed that Brazil should provide its guidance on that matter, which would be used as a basis to develop a proposal for a revision to be considered at the fifth meeting of the WG-DEN</w:t>
      </w:r>
      <w:r>
        <w:rPr>
          <w:lang w:eastAsia="ja-JP"/>
        </w:rPr>
        <w:t>.</w:t>
      </w:r>
    </w:p>
    <w:p w:rsidR="00CB22EE" w:rsidRPr="00506162" w:rsidRDefault="00CB22EE" w:rsidP="00DA07F5">
      <w:pPr>
        <w:ind w:firstLine="540"/>
        <w:rPr>
          <w:rFonts w:cs="Arial"/>
          <w:snapToGrid w:val="0"/>
          <w:lang w:eastAsia="ja-JP"/>
        </w:rPr>
      </w:pPr>
    </w:p>
    <w:p w:rsidR="00165B6A" w:rsidRDefault="00165B6A" w:rsidP="00165B6A">
      <w:pPr>
        <w:autoSpaceDE w:val="0"/>
        <w:autoSpaceDN w:val="0"/>
        <w:adjustRightInd w:val="0"/>
        <w:ind w:firstLine="567"/>
        <w:rPr>
          <w:rFonts w:eastAsiaTheme="minorEastAsia"/>
          <w:lang w:eastAsia="ja-JP"/>
        </w:rPr>
      </w:pPr>
      <w:r w:rsidRPr="00BF61E6">
        <w:rPr>
          <w:rFonts w:eastAsiaTheme="minorEastAsia"/>
          <w:lang w:eastAsia="ja-JP"/>
        </w:rPr>
        <w:t>(</w:t>
      </w:r>
      <w:r w:rsidR="00CB22EE">
        <w:rPr>
          <w:rFonts w:eastAsiaTheme="minorEastAsia"/>
          <w:lang w:eastAsia="ja-JP"/>
        </w:rPr>
        <w:t>d</w:t>
      </w:r>
      <w:r w:rsidRPr="00BF61E6">
        <w:rPr>
          <w:rFonts w:eastAsiaTheme="minorEastAsia"/>
          <w:lang w:eastAsia="ja-JP"/>
        </w:rPr>
        <w:t>)</w:t>
      </w:r>
      <w:r w:rsidRPr="00BF61E6">
        <w:rPr>
          <w:rFonts w:eastAsiaTheme="minorEastAsia"/>
          <w:lang w:eastAsia="ja-JP"/>
        </w:rPr>
        <w:tab/>
        <w:t>Section 2.3.3 (c)</w:t>
      </w:r>
      <w:r w:rsidR="00EF6589">
        <w:rPr>
          <w:rFonts w:eastAsiaTheme="minorEastAsia"/>
          <w:lang w:eastAsia="ja-JP"/>
        </w:rPr>
        <w:t xml:space="preserve"> (re-use of denominations)</w:t>
      </w:r>
      <w:r w:rsidRPr="00BF61E6">
        <w:rPr>
          <w:rFonts w:eastAsiaTheme="minorEastAsia"/>
          <w:lang w:eastAsia="ja-JP"/>
        </w:rPr>
        <w:t>, to include the guidance from Article 30.2 of the Ninth Edition of the ICNCP, for further discussion at the fifth meeting of the WG-DEN, as reproduced below:</w:t>
      </w:r>
    </w:p>
    <w:p w:rsidR="00165B6A" w:rsidRDefault="00165B6A" w:rsidP="00165B6A">
      <w:pPr>
        <w:pStyle w:val="ListParagraph"/>
        <w:autoSpaceDE w:val="0"/>
        <w:autoSpaceDN w:val="0"/>
        <w:adjustRightInd w:val="0"/>
        <w:ind w:left="0"/>
        <w:contextualSpacing w:val="0"/>
        <w:rPr>
          <w:lang w:eastAsia="ja-JP"/>
        </w:rPr>
      </w:pPr>
    </w:p>
    <w:p w:rsidR="00165B6A" w:rsidRPr="00506162" w:rsidRDefault="00165B6A" w:rsidP="00165B6A">
      <w:pPr>
        <w:pStyle w:val="ListParagraph"/>
        <w:ind w:left="1134" w:right="567"/>
        <w:rPr>
          <w:lang w:eastAsia="ja-JP"/>
        </w:rPr>
      </w:pPr>
      <w:r w:rsidRPr="00ED5383">
        <w:rPr>
          <w:sz w:val="18"/>
          <w:szCs w:val="18"/>
        </w:rPr>
        <w:t>“30.2. An International Cultivar Registration Authority may only accept re-use of a cultivar, Group or grex epithet if that authority is satisfied that the original cultivar, Group, or grex (a) is no longer in cultivation, and (b) has ceased to exist as breeding material, and (c) may not be found in a gene or seed bank, and (d) is not a known component in the pedigree of other cultivars, Groups, or grexes, and (e) the name has rarely been used in publications, and (f) re-use is unlikely to cause confusion.</w:t>
      </w:r>
      <w:r>
        <w:rPr>
          <w:sz w:val="18"/>
          <w:szCs w:val="18"/>
        </w:rPr>
        <w:t>”</w:t>
      </w:r>
      <w:r w:rsidRPr="00D2635F">
        <w:rPr>
          <w:lang w:eastAsia="ja-JP"/>
        </w:rPr>
        <w:t>;</w:t>
      </w:r>
    </w:p>
    <w:p w:rsidR="00165B6A" w:rsidRPr="00506162" w:rsidRDefault="00165B6A" w:rsidP="00165B6A">
      <w:pPr>
        <w:autoSpaceDE w:val="0"/>
        <w:autoSpaceDN w:val="0"/>
        <w:adjustRightInd w:val="0"/>
        <w:ind w:firstLine="567"/>
        <w:rPr>
          <w:rFonts w:eastAsiaTheme="minorEastAsia"/>
          <w:lang w:eastAsia="ja-JP"/>
        </w:rPr>
      </w:pPr>
    </w:p>
    <w:p w:rsidR="00165B6A" w:rsidRPr="00D856F4" w:rsidRDefault="00165B6A" w:rsidP="00DA07F5">
      <w:r w:rsidRPr="00D856F4">
        <w:rPr>
          <w:lang w:eastAsia="ja-JP"/>
        </w:rPr>
        <w:tab/>
        <w:t>(</w:t>
      </w:r>
      <w:r w:rsidR="00CB22EE">
        <w:rPr>
          <w:lang w:eastAsia="ja-JP"/>
        </w:rPr>
        <w:t>e</w:t>
      </w:r>
      <w:r w:rsidRPr="00D856F4">
        <w:rPr>
          <w:lang w:eastAsia="ja-JP"/>
        </w:rPr>
        <w:t>)</w:t>
      </w:r>
      <w:r w:rsidRPr="00D856F4">
        <w:rPr>
          <w:lang w:eastAsia="ja-JP"/>
        </w:rPr>
        <w:tab/>
        <w:t>Section 2.3.4 “Identity of the breeder”, the Office of the Union to issue a circular to invite the authorities to provide their guidance on prefixes, suffixes and common word</w:t>
      </w:r>
      <w:r w:rsidR="00EF6589">
        <w:rPr>
          <w:lang w:eastAsia="ja-JP"/>
        </w:rPr>
        <w:t>s</w:t>
      </w:r>
      <w:r w:rsidRPr="00D856F4">
        <w:rPr>
          <w:lang w:eastAsia="ja-JP"/>
        </w:rPr>
        <w:t xml:space="preserve"> to identify the breeder or other practices by the breeder;</w:t>
      </w:r>
    </w:p>
    <w:p w:rsidR="00165B6A" w:rsidRPr="00506162" w:rsidRDefault="00165B6A" w:rsidP="00DA07F5">
      <w:pPr>
        <w:outlineLvl w:val="2"/>
        <w:rPr>
          <w:i/>
        </w:rPr>
      </w:pPr>
    </w:p>
    <w:p w:rsidR="00165B6A" w:rsidRPr="00506162" w:rsidRDefault="00165B6A" w:rsidP="00DA07F5">
      <w:pPr>
        <w:ind w:firstLine="540"/>
        <w:rPr>
          <w:szCs w:val="24"/>
          <w:lang w:eastAsia="ja-JP"/>
        </w:rPr>
      </w:pPr>
      <w:r w:rsidRPr="00DB79F6">
        <w:rPr>
          <w:rFonts w:cs="Arial"/>
          <w:snapToGrid w:val="0"/>
          <w:lang w:eastAsia="ja-JP"/>
        </w:rPr>
        <w:t>(</w:t>
      </w:r>
      <w:r w:rsidR="00CB22EE">
        <w:rPr>
          <w:rFonts w:cs="Arial"/>
          <w:snapToGrid w:val="0"/>
          <w:lang w:eastAsia="ja-JP"/>
        </w:rPr>
        <w:t>f</w:t>
      </w:r>
      <w:r w:rsidRPr="00DB79F6">
        <w:rPr>
          <w:rFonts w:cs="Arial"/>
          <w:snapToGrid w:val="0"/>
          <w:lang w:eastAsia="ja-JP"/>
        </w:rPr>
        <w:t>)</w:t>
      </w:r>
      <w:r w:rsidRPr="00DB79F6">
        <w:rPr>
          <w:rFonts w:cs="Arial"/>
          <w:snapToGrid w:val="0"/>
          <w:lang w:eastAsia="ja-JP"/>
        </w:rPr>
        <w:tab/>
        <w:t>Section 2.5</w:t>
      </w:r>
      <w:r>
        <w:rPr>
          <w:rFonts w:cs="Arial"/>
          <w:snapToGrid w:val="0"/>
          <w:lang w:eastAsia="ja-JP"/>
        </w:rPr>
        <w:t xml:space="preserve"> </w:t>
      </w:r>
      <w:r w:rsidRPr="00DB79F6">
        <w:rPr>
          <w:rFonts w:cs="Arial"/>
          <w:snapToGrid w:val="0"/>
          <w:lang w:eastAsia="ja-JP"/>
        </w:rPr>
        <w:t>“Variety denomination classes”</w:t>
      </w:r>
      <w:r w:rsidR="00EF6589">
        <w:rPr>
          <w:rFonts w:cs="Arial"/>
          <w:snapToGrid w:val="0"/>
          <w:lang w:eastAsia="ja-JP"/>
        </w:rPr>
        <w:t>:</w:t>
      </w:r>
      <w:r w:rsidRPr="00DB79F6">
        <w:rPr>
          <w:rFonts w:cs="Arial"/>
          <w:snapToGrid w:val="0"/>
          <w:lang w:eastAsia="ja-JP"/>
        </w:rPr>
        <w:t xml:space="preserve"> the Office of the Union to issue a circular to invite the authorities to share examples and proposals on possible need to review or create new denomination classes</w:t>
      </w:r>
      <w:r w:rsidRPr="00DB79F6">
        <w:rPr>
          <w:szCs w:val="24"/>
          <w:lang w:eastAsia="ja-JP"/>
        </w:rPr>
        <w:t>;</w:t>
      </w:r>
    </w:p>
    <w:p w:rsidR="00165B6A" w:rsidRPr="00506162" w:rsidRDefault="00165B6A" w:rsidP="00DA07F5">
      <w:pPr>
        <w:ind w:firstLine="562"/>
        <w:rPr>
          <w:rFonts w:eastAsiaTheme="minorEastAsia"/>
        </w:rPr>
      </w:pPr>
      <w:r w:rsidRPr="00506162">
        <w:rPr>
          <w:rFonts w:eastAsiaTheme="minorEastAsia"/>
        </w:rPr>
        <w:t xml:space="preserve"> </w:t>
      </w:r>
    </w:p>
    <w:p w:rsidR="00165B6A" w:rsidRPr="00506162" w:rsidRDefault="00165B6A" w:rsidP="00DA07F5">
      <w:pPr>
        <w:ind w:firstLine="540"/>
        <w:rPr>
          <w:szCs w:val="24"/>
          <w:lang w:eastAsia="ja-JP"/>
        </w:rPr>
      </w:pPr>
      <w:r w:rsidRPr="00B22968">
        <w:rPr>
          <w:rFonts w:cs="Arial"/>
          <w:snapToGrid w:val="0"/>
          <w:lang w:eastAsia="ja-JP"/>
        </w:rPr>
        <w:t>(</w:t>
      </w:r>
      <w:r w:rsidR="00CB22EE">
        <w:rPr>
          <w:rFonts w:cs="Arial"/>
          <w:snapToGrid w:val="0"/>
          <w:lang w:eastAsia="ja-JP"/>
        </w:rPr>
        <w:t>g</w:t>
      </w:r>
      <w:r w:rsidRPr="00B22968">
        <w:rPr>
          <w:rFonts w:cs="Arial"/>
          <w:snapToGrid w:val="0"/>
          <w:lang w:eastAsia="ja-JP"/>
        </w:rPr>
        <w:t>)</w:t>
      </w:r>
      <w:r w:rsidRPr="00B22968">
        <w:rPr>
          <w:rFonts w:cs="Arial"/>
          <w:snapToGrid w:val="0"/>
          <w:lang w:eastAsia="ja-JP"/>
        </w:rPr>
        <w:tab/>
        <w:t>new Section 2.6</w:t>
      </w:r>
      <w:r w:rsidR="00EF6589">
        <w:rPr>
          <w:rFonts w:cs="Arial"/>
          <w:snapToGrid w:val="0"/>
          <w:lang w:eastAsia="ja-JP"/>
        </w:rPr>
        <w:t>:</w:t>
      </w:r>
      <w:r w:rsidRPr="00B22968">
        <w:rPr>
          <w:rFonts w:cs="Arial"/>
          <w:snapToGrid w:val="0"/>
          <w:lang w:eastAsia="ja-JP"/>
        </w:rPr>
        <w:t xml:space="preserve"> the Office of the Union to issue a circular to invite the authorities and users to provide their views on possible ways to use the denomination similarity search tool</w:t>
      </w:r>
      <w:r w:rsidRPr="00B22968">
        <w:rPr>
          <w:szCs w:val="24"/>
          <w:lang w:eastAsia="ja-JP"/>
        </w:rPr>
        <w:t>;</w:t>
      </w:r>
    </w:p>
    <w:p w:rsidR="00165B6A" w:rsidRPr="00506162" w:rsidRDefault="00165B6A" w:rsidP="00DA07F5">
      <w:pPr>
        <w:ind w:firstLine="562"/>
        <w:rPr>
          <w:rFonts w:eastAsiaTheme="minorEastAsia"/>
        </w:rPr>
      </w:pPr>
      <w:r w:rsidRPr="00506162">
        <w:rPr>
          <w:rFonts w:eastAsiaTheme="minorEastAsia"/>
        </w:rPr>
        <w:t xml:space="preserve"> </w:t>
      </w:r>
    </w:p>
    <w:p w:rsidR="00165B6A" w:rsidRPr="00506162" w:rsidRDefault="00165B6A" w:rsidP="00DA07F5">
      <w:pPr>
        <w:ind w:firstLine="540"/>
        <w:rPr>
          <w:szCs w:val="24"/>
          <w:lang w:eastAsia="ja-JP"/>
        </w:rPr>
      </w:pPr>
      <w:r w:rsidRPr="004D4A6D">
        <w:rPr>
          <w:rFonts w:cs="Arial"/>
          <w:snapToGrid w:val="0"/>
          <w:lang w:eastAsia="ja-JP"/>
        </w:rPr>
        <w:t>(</w:t>
      </w:r>
      <w:r w:rsidR="00CB22EE">
        <w:rPr>
          <w:rFonts w:cs="Arial"/>
          <w:snapToGrid w:val="0"/>
          <w:lang w:eastAsia="ja-JP"/>
        </w:rPr>
        <w:t>h</w:t>
      </w:r>
      <w:r w:rsidRPr="004D4A6D">
        <w:rPr>
          <w:rFonts w:cs="Arial"/>
          <w:snapToGrid w:val="0"/>
          <w:lang w:eastAsia="ja-JP"/>
        </w:rPr>
        <w:t>)</w:t>
      </w:r>
      <w:r w:rsidRPr="004D4A6D">
        <w:rPr>
          <w:rFonts w:cs="Arial"/>
          <w:snapToGrid w:val="0"/>
          <w:lang w:eastAsia="ja-JP"/>
        </w:rPr>
        <w:tab/>
        <w:t>Section 5.2 (b)</w:t>
      </w:r>
      <w:r w:rsidR="00EF6589">
        <w:rPr>
          <w:rFonts w:cs="Arial"/>
          <w:snapToGrid w:val="0"/>
          <w:lang w:eastAsia="ja-JP"/>
        </w:rPr>
        <w:t>:</w:t>
      </w:r>
      <w:r w:rsidRPr="004D4A6D">
        <w:rPr>
          <w:rFonts w:cs="Arial"/>
          <w:snapToGrid w:val="0"/>
          <w:lang w:eastAsia="ja-JP"/>
        </w:rPr>
        <w:t xml:space="preserve"> the Office of the Union </w:t>
      </w:r>
      <w:r w:rsidR="00EF6589">
        <w:rPr>
          <w:rFonts w:cs="Arial"/>
          <w:snapToGrid w:val="0"/>
          <w:lang w:eastAsia="ja-JP"/>
        </w:rPr>
        <w:t>to</w:t>
      </w:r>
      <w:r w:rsidR="00EF6589" w:rsidRPr="004D4A6D">
        <w:rPr>
          <w:rFonts w:cs="Arial"/>
          <w:snapToGrid w:val="0"/>
          <w:lang w:eastAsia="ja-JP"/>
        </w:rPr>
        <w:t xml:space="preserve"> </w:t>
      </w:r>
      <w:r w:rsidRPr="004D4A6D">
        <w:rPr>
          <w:rFonts w:cs="Arial"/>
          <w:snapToGrid w:val="0"/>
          <w:lang w:eastAsia="ja-JP"/>
        </w:rPr>
        <w:t xml:space="preserve">prepare a proposal for the fifth meeting of the WG-DEN, in order to achieve </w:t>
      </w:r>
      <w:r w:rsidR="00CB22EE">
        <w:rPr>
          <w:rFonts w:cs="Arial"/>
          <w:snapToGrid w:val="0"/>
          <w:lang w:eastAsia="ja-JP"/>
        </w:rPr>
        <w:t xml:space="preserve">more realistic </w:t>
      </w:r>
      <w:r w:rsidRPr="004D4A6D">
        <w:rPr>
          <w:rFonts w:cs="Arial"/>
          <w:snapToGrid w:val="0"/>
          <w:lang w:eastAsia="ja-JP"/>
        </w:rPr>
        <w:t xml:space="preserve">guidance </w:t>
      </w:r>
      <w:r w:rsidR="00CB22EE">
        <w:rPr>
          <w:rFonts w:cs="Arial"/>
          <w:snapToGrid w:val="0"/>
          <w:lang w:eastAsia="ja-JP"/>
        </w:rPr>
        <w:t xml:space="preserve">reflecting </w:t>
      </w:r>
      <w:r w:rsidRPr="004D4A6D">
        <w:rPr>
          <w:rFonts w:cs="Arial"/>
          <w:snapToGrid w:val="0"/>
          <w:lang w:eastAsia="ja-JP"/>
        </w:rPr>
        <w:t xml:space="preserve">good practices </w:t>
      </w:r>
      <w:r w:rsidR="00CB22EE">
        <w:rPr>
          <w:rFonts w:cs="Arial"/>
          <w:snapToGrid w:val="0"/>
          <w:lang w:eastAsia="ja-JP"/>
        </w:rPr>
        <w:t>by the authorities</w:t>
      </w:r>
      <w:r w:rsidRPr="004D4A6D">
        <w:rPr>
          <w:szCs w:val="24"/>
          <w:lang w:eastAsia="ja-JP"/>
        </w:rPr>
        <w:t>;</w:t>
      </w:r>
      <w:r>
        <w:rPr>
          <w:szCs w:val="24"/>
          <w:lang w:eastAsia="ja-JP"/>
        </w:rPr>
        <w:t xml:space="preserve"> and</w:t>
      </w:r>
    </w:p>
    <w:p w:rsidR="00165B6A" w:rsidRPr="00506162" w:rsidRDefault="00165B6A" w:rsidP="00165B6A">
      <w:pPr>
        <w:ind w:firstLine="562"/>
        <w:rPr>
          <w:rFonts w:eastAsiaTheme="minorEastAsia"/>
        </w:rPr>
      </w:pPr>
      <w:r w:rsidRPr="00506162">
        <w:rPr>
          <w:rFonts w:eastAsiaTheme="minorEastAsia"/>
        </w:rPr>
        <w:t xml:space="preserve"> </w:t>
      </w:r>
    </w:p>
    <w:p w:rsidR="00165B6A" w:rsidRPr="00506162" w:rsidRDefault="00165B6A" w:rsidP="00DA07F5">
      <w:pPr>
        <w:ind w:firstLine="540"/>
        <w:rPr>
          <w:szCs w:val="24"/>
          <w:lang w:eastAsia="ja-JP"/>
        </w:rPr>
      </w:pPr>
      <w:r w:rsidRPr="004D4A6D">
        <w:rPr>
          <w:rFonts w:cs="Arial"/>
          <w:snapToGrid w:val="0"/>
          <w:lang w:eastAsia="ja-JP"/>
        </w:rPr>
        <w:lastRenderedPageBreak/>
        <w:t>(</w:t>
      </w:r>
      <w:r w:rsidR="00CB22EE">
        <w:rPr>
          <w:rFonts w:cs="Arial"/>
          <w:snapToGrid w:val="0"/>
          <w:lang w:eastAsia="ja-JP"/>
        </w:rPr>
        <w:t>i</w:t>
      </w:r>
      <w:r w:rsidRPr="004D4A6D">
        <w:rPr>
          <w:rFonts w:cs="Arial"/>
          <w:snapToGrid w:val="0"/>
          <w:lang w:eastAsia="ja-JP"/>
        </w:rPr>
        <w:t>)</w:t>
      </w:r>
      <w:r w:rsidRPr="004D4A6D">
        <w:rPr>
          <w:rFonts w:cs="Arial"/>
          <w:snapToGrid w:val="0"/>
          <w:lang w:eastAsia="ja-JP"/>
        </w:rPr>
        <w:tab/>
        <w:t>Paragraph 5 [Same denomination in all members of the Union]</w:t>
      </w:r>
      <w:r w:rsidR="00EF6589">
        <w:rPr>
          <w:rFonts w:cs="Arial"/>
          <w:snapToGrid w:val="0"/>
          <w:lang w:eastAsia="ja-JP"/>
        </w:rPr>
        <w:t>:</w:t>
      </w:r>
      <w:r w:rsidRPr="004D4A6D">
        <w:rPr>
          <w:rFonts w:cs="Arial"/>
          <w:snapToGrid w:val="0"/>
          <w:lang w:eastAsia="ja-JP"/>
        </w:rPr>
        <w:t xml:space="preserve"> the WG-DEN</w:t>
      </w:r>
      <w:r w:rsidRPr="004D4A6D">
        <w:t xml:space="preserve"> </w:t>
      </w:r>
      <w:r w:rsidR="00CB22EE" w:rsidRPr="00B33176">
        <w:rPr>
          <w:lang w:eastAsia="ja-JP"/>
        </w:rPr>
        <w:t>noted the proposal from New Zealand to provide guidance for a possible way forward where several denominations for the same variety existed and agreed that New Zealand should</w:t>
      </w:r>
      <w:r w:rsidR="00CB22EE" w:rsidRPr="00B33176">
        <w:rPr>
          <w:szCs w:val="24"/>
          <w:lang w:eastAsia="ja-JP"/>
        </w:rPr>
        <w:t xml:space="preserve"> prepare a proposal for </w:t>
      </w:r>
      <w:r w:rsidR="00CB22EE" w:rsidRPr="00B33176">
        <w:rPr>
          <w:lang w:eastAsia="ja-JP"/>
        </w:rPr>
        <w:t xml:space="preserve">the fifth meeting of the WG DEN, </w:t>
      </w:r>
      <w:r w:rsidR="00CB22EE" w:rsidRPr="00B33176">
        <w:rPr>
          <w:szCs w:val="24"/>
          <w:lang w:eastAsia="ja-JP"/>
        </w:rPr>
        <w:t>to address the above situation</w:t>
      </w:r>
      <w:r>
        <w:rPr>
          <w:szCs w:val="24"/>
          <w:lang w:eastAsia="ja-JP"/>
        </w:rPr>
        <w:t>.</w:t>
      </w:r>
    </w:p>
    <w:p w:rsidR="00EA4900" w:rsidRDefault="00EA4900" w:rsidP="00EA4900">
      <w:pPr>
        <w:pStyle w:val="ListParagraph"/>
        <w:autoSpaceDE w:val="0"/>
        <w:autoSpaceDN w:val="0"/>
        <w:adjustRightInd w:val="0"/>
        <w:ind w:left="0"/>
        <w:contextualSpacing w:val="0"/>
        <w:rPr>
          <w:lang w:eastAsia="ja-JP"/>
        </w:rPr>
      </w:pPr>
    </w:p>
    <w:p w:rsidR="00EA4900" w:rsidRPr="000C3905" w:rsidRDefault="00EA4900" w:rsidP="00EA4900">
      <w:pPr>
        <w:pStyle w:val="ListParagraph"/>
        <w:autoSpaceDE w:val="0"/>
        <w:autoSpaceDN w:val="0"/>
        <w:adjustRightInd w:val="0"/>
        <w:ind w:left="0"/>
        <w:contextualSpacing w:val="0"/>
        <w:rPr>
          <w:lang w:eastAsia="ja-JP"/>
        </w:rPr>
      </w:pPr>
      <w:r w:rsidRPr="000C3905">
        <w:rPr>
          <w:lang w:eastAsia="ja-JP"/>
        </w:rPr>
        <w:fldChar w:fldCharType="begin"/>
      </w:r>
      <w:r w:rsidRPr="000C3905">
        <w:rPr>
          <w:lang w:eastAsia="ja-JP"/>
        </w:rPr>
        <w:instrText xml:space="preserve"> AUTONUM  </w:instrText>
      </w:r>
      <w:r w:rsidRPr="000C3905">
        <w:rPr>
          <w:lang w:eastAsia="ja-JP"/>
        </w:rPr>
        <w:fldChar w:fldCharType="end"/>
      </w:r>
      <w:r w:rsidRPr="000C3905">
        <w:rPr>
          <w:lang w:eastAsia="ja-JP"/>
        </w:rPr>
        <w:tab/>
      </w:r>
      <w:r>
        <w:rPr>
          <w:lang w:eastAsia="ja-JP"/>
        </w:rPr>
        <w:t>UPOV Circular E</w:t>
      </w:r>
      <w:r>
        <w:rPr>
          <w:lang w:eastAsia="ja-JP"/>
        </w:rPr>
        <w:noBreakHyphen/>
        <w:t>1</w:t>
      </w:r>
      <w:r w:rsidR="00F2028E">
        <w:rPr>
          <w:lang w:eastAsia="ja-JP"/>
        </w:rPr>
        <w:t>8</w:t>
      </w:r>
      <w:r>
        <w:rPr>
          <w:lang w:eastAsia="ja-JP"/>
        </w:rPr>
        <w:t>/</w:t>
      </w:r>
      <w:r w:rsidR="00F2028E">
        <w:rPr>
          <w:lang w:eastAsia="ja-JP"/>
        </w:rPr>
        <w:t>064</w:t>
      </w:r>
      <w:r>
        <w:rPr>
          <w:lang w:eastAsia="ja-JP"/>
        </w:rPr>
        <w:t xml:space="preserve"> and UPOV Circular E</w:t>
      </w:r>
      <w:r>
        <w:rPr>
          <w:lang w:eastAsia="ja-JP"/>
        </w:rPr>
        <w:noBreakHyphen/>
        <w:t>1</w:t>
      </w:r>
      <w:r w:rsidR="00F2028E">
        <w:rPr>
          <w:lang w:eastAsia="ja-JP"/>
        </w:rPr>
        <w:t>8/065</w:t>
      </w:r>
      <w:r>
        <w:rPr>
          <w:lang w:eastAsia="ja-JP"/>
        </w:rPr>
        <w:t>, both of Ju</w:t>
      </w:r>
      <w:r w:rsidR="00F2028E">
        <w:rPr>
          <w:lang w:eastAsia="ja-JP"/>
        </w:rPr>
        <w:t>ne</w:t>
      </w:r>
      <w:r>
        <w:rPr>
          <w:lang w:eastAsia="ja-JP"/>
        </w:rPr>
        <w:t xml:space="preserve"> </w:t>
      </w:r>
      <w:r w:rsidR="00F2028E">
        <w:rPr>
          <w:lang w:eastAsia="ja-JP"/>
        </w:rPr>
        <w:t>1</w:t>
      </w:r>
      <w:r>
        <w:rPr>
          <w:lang w:eastAsia="ja-JP"/>
        </w:rPr>
        <w:t>, 201</w:t>
      </w:r>
      <w:r w:rsidR="00F2028E">
        <w:rPr>
          <w:lang w:eastAsia="ja-JP"/>
        </w:rPr>
        <w:t>8</w:t>
      </w:r>
      <w:r>
        <w:rPr>
          <w:lang w:eastAsia="ja-JP"/>
        </w:rPr>
        <w:t>, were issued to members and observers of the WG-DEN, respectively, on the above basis.</w:t>
      </w:r>
    </w:p>
    <w:p w:rsidR="00EA4900" w:rsidRDefault="00EA4900" w:rsidP="00EA4900">
      <w:pPr>
        <w:pStyle w:val="ListParagraph"/>
        <w:autoSpaceDE w:val="0"/>
        <w:autoSpaceDN w:val="0"/>
        <w:adjustRightInd w:val="0"/>
        <w:ind w:left="0"/>
        <w:contextualSpacing w:val="0"/>
        <w:rPr>
          <w:lang w:eastAsia="ja-JP"/>
        </w:rPr>
      </w:pPr>
    </w:p>
    <w:p w:rsidR="00EA4900" w:rsidRPr="000C3905" w:rsidRDefault="00EA4900" w:rsidP="00EA4900">
      <w:pPr>
        <w:pStyle w:val="ListParagraph"/>
        <w:autoSpaceDE w:val="0"/>
        <w:autoSpaceDN w:val="0"/>
        <w:adjustRightInd w:val="0"/>
        <w:ind w:left="0"/>
        <w:contextualSpacing w:val="0"/>
        <w:rPr>
          <w:lang w:eastAsia="ja-JP"/>
        </w:rPr>
      </w:pPr>
    </w:p>
    <w:p w:rsidR="00EA4900" w:rsidRPr="000C3905" w:rsidRDefault="00EA4900" w:rsidP="00EA4900">
      <w:pPr>
        <w:pStyle w:val="Heading1"/>
        <w:rPr>
          <w:lang w:eastAsia="ja-JP"/>
        </w:rPr>
      </w:pPr>
      <w:bookmarkStart w:id="6" w:name="_Toc526443839"/>
      <w:r w:rsidRPr="000C3905">
        <w:rPr>
          <w:lang w:eastAsia="ja-JP"/>
        </w:rPr>
        <w:t xml:space="preserve">MATTERS FOR CONSIDERATION BY THE WG-DEN AT ITS </w:t>
      </w:r>
      <w:r>
        <w:rPr>
          <w:lang w:eastAsia="ja-JP"/>
        </w:rPr>
        <w:t>f</w:t>
      </w:r>
      <w:r w:rsidR="004E7B99">
        <w:rPr>
          <w:lang w:eastAsia="ja-JP"/>
        </w:rPr>
        <w:t>if</w:t>
      </w:r>
      <w:r>
        <w:rPr>
          <w:lang w:eastAsia="ja-JP"/>
        </w:rPr>
        <w:t>th</w:t>
      </w:r>
      <w:r w:rsidRPr="000C3905">
        <w:rPr>
          <w:lang w:eastAsia="ja-JP"/>
        </w:rPr>
        <w:t xml:space="preserve"> MEETING</w:t>
      </w:r>
      <w:bookmarkEnd w:id="6"/>
    </w:p>
    <w:p w:rsidR="00EA4900" w:rsidRPr="000C3905" w:rsidRDefault="00EA4900" w:rsidP="00DA07F5">
      <w:pPr>
        <w:pStyle w:val="ListParagraph"/>
        <w:autoSpaceDE w:val="0"/>
        <w:autoSpaceDN w:val="0"/>
        <w:adjustRightInd w:val="0"/>
        <w:ind w:left="0"/>
        <w:contextualSpacing w:val="0"/>
        <w:rPr>
          <w:lang w:eastAsia="ja-JP"/>
        </w:rPr>
      </w:pPr>
    </w:p>
    <w:p w:rsidR="00EA4900" w:rsidRPr="000C3905" w:rsidRDefault="00EA4900" w:rsidP="00DA07F5">
      <w:pPr>
        <w:pStyle w:val="ListParagraph"/>
        <w:autoSpaceDE w:val="0"/>
        <w:autoSpaceDN w:val="0"/>
        <w:adjustRightInd w:val="0"/>
        <w:ind w:left="0"/>
        <w:contextualSpacing w:val="0"/>
        <w:rPr>
          <w:lang w:eastAsia="ja-JP"/>
        </w:rPr>
      </w:pPr>
      <w:r w:rsidRPr="000C3905">
        <w:rPr>
          <w:lang w:eastAsia="ja-JP"/>
        </w:rPr>
        <w:fldChar w:fldCharType="begin"/>
      </w:r>
      <w:r w:rsidRPr="000C3905">
        <w:rPr>
          <w:lang w:eastAsia="ja-JP"/>
        </w:rPr>
        <w:instrText xml:space="preserve"> AUTONUM  </w:instrText>
      </w:r>
      <w:r w:rsidRPr="000C3905">
        <w:rPr>
          <w:lang w:eastAsia="ja-JP"/>
        </w:rPr>
        <w:fldChar w:fldCharType="end"/>
      </w:r>
      <w:r w:rsidRPr="000C3905">
        <w:rPr>
          <w:lang w:eastAsia="ja-JP"/>
        </w:rPr>
        <w:tab/>
      </w:r>
      <w:r>
        <w:rPr>
          <w:lang w:eastAsia="ja-JP"/>
        </w:rPr>
        <w:t>Document </w:t>
      </w:r>
      <w:r w:rsidRPr="000C3905">
        <w:rPr>
          <w:lang w:eastAsia="ja-JP"/>
        </w:rPr>
        <w:t>UPOV/</w:t>
      </w:r>
      <w:r w:rsidR="004E7B99">
        <w:rPr>
          <w:lang w:eastAsia="ja-JP"/>
        </w:rPr>
        <w:t>EXN/DEN</w:t>
      </w:r>
      <w:r w:rsidR="004E7B99" w:rsidRPr="000C3905">
        <w:rPr>
          <w:lang w:eastAsia="ja-JP"/>
        </w:rPr>
        <w:t>/1</w:t>
      </w:r>
      <w:r w:rsidR="004E7B99">
        <w:rPr>
          <w:lang w:eastAsia="ja-JP"/>
        </w:rPr>
        <w:t> Draft 1</w:t>
      </w:r>
      <w:r>
        <w:rPr>
          <w:lang w:eastAsia="ja-JP"/>
        </w:rPr>
        <w:t xml:space="preserve"> </w:t>
      </w:r>
      <w:r w:rsidRPr="000C3905">
        <w:rPr>
          <w:lang w:eastAsia="ja-JP"/>
        </w:rPr>
        <w:t xml:space="preserve">incorporates </w:t>
      </w:r>
      <w:r>
        <w:rPr>
          <w:lang w:eastAsia="ja-JP"/>
        </w:rPr>
        <w:t xml:space="preserve">the proposals agreed by the </w:t>
      </w:r>
      <w:r w:rsidRPr="000C3905">
        <w:rPr>
          <w:lang w:eastAsia="ja-JP"/>
        </w:rPr>
        <w:t>WG</w:t>
      </w:r>
      <w:r w:rsidR="00647B47">
        <w:rPr>
          <w:lang w:eastAsia="ja-JP"/>
        </w:rPr>
        <w:t>-</w:t>
      </w:r>
      <w:r w:rsidRPr="000C3905">
        <w:rPr>
          <w:lang w:eastAsia="ja-JP"/>
        </w:rPr>
        <w:t>DEN</w:t>
      </w:r>
      <w:r>
        <w:rPr>
          <w:lang w:eastAsia="ja-JP"/>
        </w:rPr>
        <w:t xml:space="preserve"> or have been agreed to be considered further</w:t>
      </w:r>
      <w:r w:rsidRPr="000C3905">
        <w:rPr>
          <w:lang w:eastAsia="ja-JP"/>
        </w:rPr>
        <w:t>.</w:t>
      </w:r>
    </w:p>
    <w:p w:rsidR="00EA4900" w:rsidRDefault="00EA4900" w:rsidP="00DA07F5">
      <w:pPr>
        <w:pStyle w:val="ListParagraph"/>
        <w:autoSpaceDE w:val="0"/>
        <w:autoSpaceDN w:val="0"/>
        <w:adjustRightInd w:val="0"/>
        <w:ind w:left="0"/>
        <w:contextualSpacing w:val="0"/>
        <w:rPr>
          <w:lang w:eastAsia="ja-JP"/>
        </w:rPr>
      </w:pPr>
    </w:p>
    <w:p w:rsidR="00EA4900" w:rsidRDefault="00EA4900" w:rsidP="00EA4900">
      <w:pPr>
        <w:rPr>
          <w:lang w:eastAsia="ja-JP"/>
        </w:rPr>
      </w:pPr>
      <w:r w:rsidRPr="000C3905">
        <w:rPr>
          <w:lang w:eastAsia="ja-JP"/>
        </w:rPr>
        <w:fldChar w:fldCharType="begin"/>
      </w:r>
      <w:r w:rsidRPr="000C3905">
        <w:rPr>
          <w:lang w:eastAsia="ja-JP"/>
        </w:rPr>
        <w:instrText xml:space="preserve"> AUTONUM  </w:instrText>
      </w:r>
      <w:r w:rsidRPr="000C3905">
        <w:rPr>
          <w:lang w:eastAsia="ja-JP"/>
        </w:rPr>
        <w:fldChar w:fldCharType="end"/>
      </w:r>
      <w:r w:rsidRPr="000C3905">
        <w:rPr>
          <w:lang w:eastAsia="ja-JP"/>
        </w:rPr>
        <w:tab/>
      </w:r>
      <w:r>
        <w:rPr>
          <w:lang w:eastAsia="ja-JP"/>
        </w:rPr>
        <w:t xml:space="preserve">Annex I to this document provides a compilation of all </w:t>
      </w:r>
      <w:r w:rsidRPr="000C3905">
        <w:rPr>
          <w:lang w:eastAsia="ja-JP"/>
        </w:rPr>
        <w:t xml:space="preserve">comments </w:t>
      </w:r>
      <w:r>
        <w:rPr>
          <w:lang w:eastAsia="ja-JP"/>
        </w:rPr>
        <w:t xml:space="preserve">that have been received and discussed at </w:t>
      </w:r>
      <w:r w:rsidRPr="000C3905">
        <w:rPr>
          <w:lang w:eastAsia="ja-JP"/>
        </w:rPr>
        <w:t>WG-DEN meeting</w:t>
      </w:r>
      <w:r>
        <w:rPr>
          <w:lang w:eastAsia="ja-JP"/>
        </w:rPr>
        <w:t xml:space="preserve">s and other relevant meetings, in relation to the text of document </w:t>
      </w:r>
      <w:r w:rsidRPr="000C3905">
        <w:rPr>
          <w:lang w:eastAsia="ja-JP"/>
        </w:rPr>
        <w:t>UPOV/INF/12/</w:t>
      </w:r>
      <w:r>
        <w:rPr>
          <w:lang w:eastAsia="ja-JP"/>
        </w:rPr>
        <w:t xml:space="preserve">5, as background information up to </w:t>
      </w:r>
      <w:r w:rsidR="004E7B99">
        <w:rPr>
          <w:lang w:eastAsia="ja-JP"/>
        </w:rPr>
        <w:t>October</w:t>
      </w:r>
      <w:r>
        <w:rPr>
          <w:lang w:eastAsia="ja-JP"/>
        </w:rPr>
        <w:t xml:space="preserve"> 2017 (</w:t>
      </w:r>
      <w:r w:rsidR="004E7B99">
        <w:rPr>
          <w:lang w:eastAsia="ja-JP"/>
        </w:rPr>
        <w:t>four</w:t>
      </w:r>
      <w:r>
        <w:rPr>
          <w:lang w:eastAsia="ja-JP"/>
        </w:rPr>
        <w:t>th meeting of the WG-DEN).</w:t>
      </w:r>
    </w:p>
    <w:p w:rsidR="00EA4900" w:rsidRPr="000C3905" w:rsidRDefault="00EA4900" w:rsidP="00EA4900">
      <w:pPr>
        <w:rPr>
          <w:lang w:eastAsia="ja-JP"/>
        </w:rPr>
      </w:pPr>
    </w:p>
    <w:p w:rsidR="00EA4900" w:rsidRDefault="00EA4900" w:rsidP="00EA4900">
      <w:pPr>
        <w:pStyle w:val="ListParagraph"/>
        <w:autoSpaceDE w:val="0"/>
        <w:autoSpaceDN w:val="0"/>
        <w:adjustRightInd w:val="0"/>
        <w:ind w:left="0"/>
        <w:contextualSpacing w:val="0"/>
        <w:rPr>
          <w:lang w:eastAsia="ja-JP"/>
        </w:rPr>
      </w:pPr>
      <w:r w:rsidRPr="000C3905">
        <w:rPr>
          <w:lang w:eastAsia="ja-JP"/>
        </w:rPr>
        <w:fldChar w:fldCharType="begin"/>
      </w:r>
      <w:r w:rsidRPr="000C3905">
        <w:rPr>
          <w:lang w:eastAsia="ja-JP"/>
        </w:rPr>
        <w:instrText xml:space="preserve"> AUTONUM  </w:instrText>
      </w:r>
      <w:r w:rsidRPr="000C3905">
        <w:rPr>
          <w:lang w:eastAsia="ja-JP"/>
        </w:rPr>
        <w:fldChar w:fldCharType="end"/>
      </w:r>
      <w:r w:rsidRPr="000C3905">
        <w:rPr>
          <w:lang w:eastAsia="ja-JP"/>
        </w:rPr>
        <w:tab/>
      </w:r>
      <w:r>
        <w:rPr>
          <w:lang w:eastAsia="ja-JP"/>
        </w:rPr>
        <w:t xml:space="preserve">Contributions from members and observers of the WG-DEN in response to UPOV Circular </w:t>
      </w:r>
      <w:r w:rsidR="004E7B99">
        <w:rPr>
          <w:lang w:eastAsia="ja-JP"/>
        </w:rPr>
        <w:t>E</w:t>
      </w:r>
      <w:r w:rsidR="004E7B99">
        <w:rPr>
          <w:lang w:eastAsia="ja-JP"/>
        </w:rPr>
        <w:noBreakHyphen/>
        <w:t>18/064 and UPOV Circular E</w:t>
      </w:r>
      <w:r w:rsidR="004E7B99">
        <w:rPr>
          <w:lang w:eastAsia="ja-JP"/>
        </w:rPr>
        <w:noBreakHyphen/>
        <w:t>18/065</w:t>
      </w:r>
      <w:r>
        <w:rPr>
          <w:lang w:eastAsia="ja-JP"/>
        </w:rPr>
        <w:t xml:space="preserve"> are reproduced in the Annexes to this document as follows:</w:t>
      </w:r>
    </w:p>
    <w:p w:rsidR="00EA4900" w:rsidRDefault="00EA4900" w:rsidP="00EA4900">
      <w:pPr>
        <w:pStyle w:val="ListParagraph"/>
        <w:autoSpaceDE w:val="0"/>
        <w:autoSpaceDN w:val="0"/>
        <w:adjustRightInd w:val="0"/>
        <w:ind w:left="0"/>
        <w:contextualSpacing w:val="0"/>
        <w:rPr>
          <w:lang w:eastAsia="ja-JP"/>
        </w:rPr>
      </w:pPr>
    </w:p>
    <w:p w:rsidR="00EA4900" w:rsidRPr="00DD6B8C" w:rsidRDefault="00EA4900" w:rsidP="00EA4900">
      <w:pPr>
        <w:pStyle w:val="ListParagraph"/>
        <w:numPr>
          <w:ilvl w:val="0"/>
          <w:numId w:val="1"/>
        </w:numPr>
        <w:tabs>
          <w:tab w:val="left" w:pos="709"/>
          <w:tab w:val="left" w:pos="1418"/>
        </w:tabs>
        <w:autoSpaceDE w:val="0"/>
        <w:autoSpaceDN w:val="0"/>
        <w:adjustRightInd w:val="0"/>
        <w:ind w:left="1862" w:hanging="1371"/>
        <w:contextualSpacing w:val="0"/>
        <w:rPr>
          <w:lang w:eastAsia="ja-JP"/>
        </w:rPr>
      </w:pPr>
      <w:r w:rsidRPr="00DD6B8C">
        <w:rPr>
          <w:lang w:eastAsia="ja-JP"/>
        </w:rPr>
        <w:t>Annex II</w:t>
      </w:r>
      <w:r w:rsidRPr="00DD6B8C">
        <w:rPr>
          <w:lang w:eastAsia="ja-JP"/>
        </w:rPr>
        <w:tab/>
      </w:r>
      <w:r w:rsidR="00DD6B8C" w:rsidRPr="00DD6B8C">
        <w:rPr>
          <w:lang w:eastAsia="ja-JP"/>
        </w:rPr>
        <w:t xml:space="preserve">Response from the European Union (CPVO) to UPOV </w:t>
      </w:r>
      <w:r w:rsidR="002D2BB5">
        <w:rPr>
          <w:lang w:eastAsia="ja-JP"/>
        </w:rPr>
        <w:t>C</w:t>
      </w:r>
      <w:r w:rsidR="00DD6B8C" w:rsidRPr="00DD6B8C">
        <w:rPr>
          <w:lang w:eastAsia="ja-JP"/>
        </w:rPr>
        <w:t>ircular E</w:t>
      </w:r>
      <w:r w:rsidR="00DD6B8C" w:rsidRPr="00DD6B8C">
        <w:rPr>
          <w:lang w:eastAsia="ja-JP"/>
        </w:rPr>
        <w:noBreakHyphen/>
        <w:t>18/064</w:t>
      </w:r>
    </w:p>
    <w:p w:rsidR="00EA4900" w:rsidRPr="00DD6B8C" w:rsidRDefault="00EA4900" w:rsidP="00EA4900">
      <w:pPr>
        <w:pStyle w:val="ListParagraph"/>
        <w:numPr>
          <w:ilvl w:val="0"/>
          <w:numId w:val="1"/>
        </w:numPr>
        <w:tabs>
          <w:tab w:val="left" w:pos="709"/>
        </w:tabs>
        <w:autoSpaceDE w:val="0"/>
        <w:autoSpaceDN w:val="0"/>
        <w:adjustRightInd w:val="0"/>
        <w:ind w:left="1862" w:hanging="1371"/>
        <w:contextualSpacing w:val="0"/>
        <w:rPr>
          <w:lang w:eastAsia="ja-JP"/>
        </w:rPr>
      </w:pPr>
      <w:r w:rsidRPr="00DD6B8C">
        <w:rPr>
          <w:lang w:eastAsia="ja-JP"/>
        </w:rPr>
        <w:t>Annex III</w:t>
      </w:r>
      <w:r w:rsidRPr="00DD6B8C">
        <w:rPr>
          <w:lang w:eastAsia="ja-JP"/>
        </w:rPr>
        <w:tab/>
      </w:r>
      <w:r w:rsidR="00DD6B8C" w:rsidRPr="00DD6B8C">
        <w:rPr>
          <w:lang w:eastAsia="ja-JP"/>
        </w:rPr>
        <w:t xml:space="preserve">Response from France to UPOV </w:t>
      </w:r>
      <w:r w:rsidR="002D2BB5">
        <w:rPr>
          <w:lang w:eastAsia="ja-JP"/>
        </w:rPr>
        <w:t>C</w:t>
      </w:r>
      <w:r w:rsidR="00DD6B8C" w:rsidRPr="00DD6B8C">
        <w:rPr>
          <w:lang w:eastAsia="ja-JP"/>
        </w:rPr>
        <w:t>ircular E</w:t>
      </w:r>
      <w:r w:rsidR="00DD6B8C" w:rsidRPr="00DD6B8C">
        <w:rPr>
          <w:lang w:eastAsia="ja-JP"/>
        </w:rPr>
        <w:noBreakHyphen/>
        <w:t>18/064</w:t>
      </w:r>
    </w:p>
    <w:p w:rsidR="00EA4900" w:rsidRPr="00895BA4" w:rsidRDefault="00EA4900" w:rsidP="00EA4900">
      <w:pPr>
        <w:pStyle w:val="ListParagraph"/>
        <w:numPr>
          <w:ilvl w:val="0"/>
          <w:numId w:val="1"/>
        </w:numPr>
        <w:tabs>
          <w:tab w:val="left" w:pos="709"/>
        </w:tabs>
        <w:autoSpaceDE w:val="0"/>
        <w:autoSpaceDN w:val="0"/>
        <w:adjustRightInd w:val="0"/>
        <w:ind w:left="1862" w:hanging="1371"/>
        <w:contextualSpacing w:val="0"/>
        <w:rPr>
          <w:lang w:eastAsia="ja-JP"/>
        </w:rPr>
      </w:pPr>
      <w:r w:rsidRPr="00895BA4">
        <w:rPr>
          <w:lang w:eastAsia="ja-JP"/>
        </w:rPr>
        <w:t>Annex IV</w:t>
      </w:r>
      <w:r w:rsidRPr="00895BA4">
        <w:rPr>
          <w:lang w:eastAsia="ja-JP"/>
        </w:rPr>
        <w:tab/>
        <w:t xml:space="preserve">Response from </w:t>
      </w:r>
      <w:r w:rsidR="00DD6B8C" w:rsidRPr="00895BA4">
        <w:rPr>
          <w:lang w:eastAsia="ja-JP"/>
        </w:rPr>
        <w:t>Japan</w:t>
      </w:r>
      <w:r w:rsidRPr="00895BA4">
        <w:rPr>
          <w:lang w:eastAsia="ja-JP"/>
        </w:rPr>
        <w:t xml:space="preserve"> to UPOV </w:t>
      </w:r>
      <w:r w:rsidR="002D2BB5">
        <w:rPr>
          <w:lang w:eastAsia="ja-JP"/>
        </w:rPr>
        <w:t>C</w:t>
      </w:r>
      <w:r w:rsidRPr="00895BA4">
        <w:rPr>
          <w:lang w:eastAsia="ja-JP"/>
        </w:rPr>
        <w:t xml:space="preserve">ircular </w:t>
      </w:r>
      <w:r w:rsidR="00DD6B8C" w:rsidRPr="00895BA4">
        <w:rPr>
          <w:lang w:eastAsia="ja-JP"/>
        </w:rPr>
        <w:t>E</w:t>
      </w:r>
      <w:r w:rsidR="00DD6B8C" w:rsidRPr="00895BA4">
        <w:rPr>
          <w:lang w:eastAsia="ja-JP"/>
        </w:rPr>
        <w:noBreakHyphen/>
        <w:t>18/064</w:t>
      </w:r>
    </w:p>
    <w:p w:rsidR="003004AA" w:rsidRPr="00895BA4" w:rsidRDefault="003004AA" w:rsidP="003004AA">
      <w:pPr>
        <w:pStyle w:val="ListParagraph"/>
        <w:numPr>
          <w:ilvl w:val="0"/>
          <w:numId w:val="1"/>
        </w:numPr>
        <w:tabs>
          <w:tab w:val="left" w:pos="709"/>
        </w:tabs>
        <w:autoSpaceDE w:val="0"/>
        <w:autoSpaceDN w:val="0"/>
        <w:adjustRightInd w:val="0"/>
        <w:ind w:left="1862" w:hanging="1371"/>
        <w:contextualSpacing w:val="0"/>
        <w:rPr>
          <w:lang w:eastAsia="ja-JP"/>
        </w:rPr>
      </w:pPr>
      <w:r w:rsidRPr="00895BA4">
        <w:rPr>
          <w:lang w:eastAsia="ja-JP"/>
        </w:rPr>
        <w:t>Annex V</w:t>
      </w:r>
      <w:r w:rsidRPr="00895BA4">
        <w:rPr>
          <w:lang w:eastAsia="ja-JP"/>
        </w:rPr>
        <w:tab/>
        <w:t xml:space="preserve">Response from New Zealand to UPOV </w:t>
      </w:r>
      <w:r w:rsidR="002D2BB5">
        <w:rPr>
          <w:lang w:eastAsia="ja-JP"/>
        </w:rPr>
        <w:t>C</w:t>
      </w:r>
      <w:r w:rsidRPr="00895BA4">
        <w:rPr>
          <w:lang w:eastAsia="ja-JP"/>
        </w:rPr>
        <w:t>ircular E</w:t>
      </w:r>
      <w:r w:rsidRPr="00895BA4">
        <w:rPr>
          <w:lang w:eastAsia="ja-JP"/>
        </w:rPr>
        <w:noBreakHyphen/>
        <w:t>18/064</w:t>
      </w:r>
    </w:p>
    <w:p w:rsidR="00EA4900" w:rsidRPr="00895BA4" w:rsidRDefault="00EA4900" w:rsidP="00EA4900">
      <w:pPr>
        <w:pStyle w:val="ListParagraph"/>
        <w:numPr>
          <w:ilvl w:val="0"/>
          <w:numId w:val="1"/>
        </w:numPr>
        <w:tabs>
          <w:tab w:val="left" w:pos="709"/>
        </w:tabs>
        <w:autoSpaceDE w:val="0"/>
        <w:autoSpaceDN w:val="0"/>
        <w:adjustRightInd w:val="0"/>
        <w:ind w:left="1862" w:hanging="1371"/>
        <w:contextualSpacing w:val="0"/>
        <w:rPr>
          <w:lang w:eastAsia="ja-JP"/>
        </w:rPr>
      </w:pPr>
      <w:r w:rsidRPr="00895BA4">
        <w:rPr>
          <w:lang w:eastAsia="ja-JP"/>
        </w:rPr>
        <w:t>Annex V</w:t>
      </w:r>
      <w:r w:rsidR="003004AA" w:rsidRPr="00895BA4">
        <w:rPr>
          <w:lang w:eastAsia="ja-JP"/>
        </w:rPr>
        <w:t>I</w:t>
      </w:r>
      <w:r w:rsidRPr="00895BA4">
        <w:rPr>
          <w:lang w:eastAsia="ja-JP"/>
        </w:rPr>
        <w:tab/>
      </w:r>
      <w:r w:rsidR="003004AA" w:rsidRPr="00895BA4">
        <w:rPr>
          <w:lang w:eastAsia="ja-JP"/>
        </w:rPr>
        <w:t xml:space="preserve">Response from ESA/ISF to UPOV </w:t>
      </w:r>
      <w:r w:rsidR="002D2BB5">
        <w:rPr>
          <w:lang w:eastAsia="ja-JP"/>
        </w:rPr>
        <w:t>C</w:t>
      </w:r>
      <w:r w:rsidR="003004AA" w:rsidRPr="00895BA4">
        <w:rPr>
          <w:lang w:eastAsia="ja-JP"/>
        </w:rPr>
        <w:t>ircular E</w:t>
      </w:r>
      <w:r w:rsidR="003004AA" w:rsidRPr="00895BA4">
        <w:rPr>
          <w:lang w:eastAsia="ja-JP"/>
        </w:rPr>
        <w:noBreakHyphen/>
        <w:t>1</w:t>
      </w:r>
      <w:r w:rsidR="00895BA4" w:rsidRPr="00895BA4">
        <w:rPr>
          <w:lang w:eastAsia="ja-JP"/>
        </w:rPr>
        <w:t>8</w:t>
      </w:r>
      <w:r w:rsidR="003004AA" w:rsidRPr="00895BA4">
        <w:rPr>
          <w:lang w:eastAsia="ja-JP"/>
        </w:rPr>
        <w:t>/</w:t>
      </w:r>
      <w:r w:rsidR="00895BA4" w:rsidRPr="00895BA4">
        <w:rPr>
          <w:lang w:eastAsia="ja-JP"/>
        </w:rPr>
        <w:t>065</w:t>
      </w:r>
      <w:r w:rsidR="003004AA" w:rsidRPr="00895BA4">
        <w:rPr>
          <w:lang w:eastAsia="ja-JP"/>
        </w:rPr>
        <w:t>.</w:t>
      </w:r>
    </w:p>
    <w:p w:rsidR="00EA4900" w:rsidRDefault="00EA4900" w:rsidP="00EA4900">
      <w:pPr>
        <w:pStyle w:val="ListParagraph"/>
        <w:autoSpaceDE w:val="0"/>
        <w:autoSpaceDN w:val="0"/>
        <w:adjustRightInd w:val="0"/>
        <w:ind w:left="0"/>
        <w:contextualSpacing w:val="0"/>
        <w:rPr>
          <w:lang w:eastAsia="ja-JP"/>
        </w:rPr>
      </w:pPr>
    </w:p>
    <w:p w:rsidR="00FB3605" w:rsidRDefault="00FB3605" w:rsidP="00FB3605">
      <w:pPr>
        <w:rPr>
          <w:lang w:eastAsia="ja-JP"/>
        </w:rPr>
      </w:pPr>
      <w:r w:rsidRPr="000C3905">
        <w:rPr>
          <w:lang w:eastAsia="ja-JP"/>
        </w:rPr>
        <w:fldChar w:fldCharType="begin"/>
      </w:r>
      <w:r w:rsidRPr="000C3905">
        <w:rPr>
          <w:lang w:eastAsia="ja-JP"/>
        </w:rPr>
        <w:instrText xml:space="preserve"> AUTONUM  </w:instrText>
      </w:r>
      <w:r w:rsidRPr="000C3905">
        <w:rPr>
          <w:lang w:eastAsia="ja-JP"/>
        </w:rPr>
        <w:fldChar w:fldCharType="end"/>
      </w:r>
      <w:r w:rsidRPr="000C3905">
        <w:rPr>
          <w:lang w:eastAsia="ja-JP"/>
        </w:rPr>
        <w:tab/>
      </w:r>
      <w:r>
        <w:rPr>
          <w:lang w:eastAsia="ja-JP"/>
        </w:rPr>
        <w:t xml:space="preserve">Annex VII to this document provides the contribution from Brazil on </w:t>
      </w:r>
      <w:r w:rsidRPr="00556966">
        <w:rPr>
          <w:lang w:eastAsia="ja-JP"/>
        </w:rPr>
        <w:t xml:space="preserve">its guidance on </w:t>
      </w:r>
      <w:r w:rsidRPr="00FB3605">
        <w:rPr>
          <w:lang w:eastAsia="ja-JP"/>
        </w:rPr>
        <w:t>cases which could cause confusion phonetically but not visually</w:t>
      </w:r>
      <w:r>
        <w:rPr>
          <w:lang w:eastAsia="ja-JP"/>
        </w:rPr>
        <w:t>.</w:t>
      </w:r>
    </w:p>
    <w:p w:rsidR="00FB3605" w:rsidRDefault="00FB3605" w:rsidP="00FB3605">
      <w:pPr>
        <w:pStyle w:val="ListParagraph"/>
        <w:autoSpaceDE w:val="0"/>
        <w:autoSpaceDN w:val="0"/>
        <w:adjustRightInd w:val="0"/>
        <w:ind w:left="0"/>
        <w:contextualSpacing w:val="0"/>
        <w:rPr>
          <w:lang w:eastAsia="ja-JP"/>
        </w:rPr>
      </w:pPr>
    </w:p>
    <w:p w:rsidR="00FB3605" w:rsidRDefault="00FB3605" w:rsidP="00FB3605">
      <w:pPr>
        <w:pStyle w:val="ListParagraph"/>
        <w:autoSpaceDE w:val="0"/>
        <w:autoSpaceDN w:val="0"/>
        <w:adjustRightInd w:val="0"/>
        <w:ind w:left="0"/>
        <w:contextualSpacing w:val="0"/>
        <w:rPr>
          <w:lang w:eastAsia="ja-JP"/>
        </w:rPr>
      </w:pPr>
      <w:r w:rsidRPr="000C3905">
        <w:rPr>
          <w:lang w:eastAsia="ja-JP"/>
        </w:rPr>
        <w:fldChar w:fldCharType="begin"/>
      </w:r>
      <w:r w:rsidRPr="000C3905">
        <w:rPr>
          <w:lang w:eastAsia="ja-JP"/>
        </w:rPr>
        <w:instrText xml:space="preserve"> AUTONUM  </w:instrText>
      </w:r>
      <w:r w:rsidRPr="000C3905">
        <w:rPr>
          <w:lang w:eastAsia="ja-JP"/>
        </w:rPr>
        <w:fldChar w:fldCharType="end"/>
      </w:r>
      <w:r w:rsidRPr="000C3905">
        <w:rPr>
          <w:lang w:eastAsia="ja-JP"/>
        </w:rPr>
        <w:tab/>
      </w:r>
      <w:r>
        <w:rPr>
          <w:lang w:eastAsia="ja-JP"/>
        </w:rPr>
        <w:t xml:space="preserve">Annex VIII to this document provides the contribution from </w:t>
      </w:r>
      <w:r w:rsidRPr="00895BA4">
        <w:rPr>
          <w:lang w:eastAsia="ja-JP"/>
        </w:rPr>
        <w:t>New Zealand</w:t>
      </w:r>
      <w:r>
        <w:rPr>
          <w:lang w:eastAsia="ja-JP"/>
        </w:rPr>
        <w:t xml:space="preserve"> on </w:t>
      </w:r>
      <w:r w:rsidRPr="00556966">
        <w:rPr>
          <w:lang w:eastAsia="ja-JP"/>
        </w:rPr>
        <w:t xml:space="preserve">its </w:t>
      </w:r>
      <w:r w:rsidRPr="00FB3605">
        <w:rPr>
          <w:lang w:eastAsia="ja-JP"/>
        </w:rPr>
        <w:t xml:space="preserve">guidance for a possible way forward where several denominations </w:t>
      </w:r>
      <w:r w:rsidR="00EF6589">
        <w:rPr>
          <w:lang w:eastAsia="ja-JP"/>
        </w:rPr>
        <w:t xml:space="preserve">exist </w:t>
      </w:r>
      <w:r w:rsidRPr="00FB3605">
        <w:rPr>
          <w:lang w:eastAsia="ja-JP"/>
        </w:rPr>
        <w:t>for the same variety</w:t>
      </w:r>
      <w:r>
        <w:rPr>
          <w:lang w:eastAsia="ja-JP"/>
        </w:rPr>
        <w:t>.</w:t>
      </w:r>
    </w:p>
    <w:p w:rsidR="009C2197" w:rsidRDefault="009C2197" w:rsidP="009C2197">
      <w:pPr>
        <w:pStyle w:val="ListParagraph"/>
        <w:autoSpaceDE w:val="0"/>
        <w:autoSpaceDN w:val="0"/>
        <w:adjustRightInd w:val="0"/>
        <w:ind w:left="0"/>
        <w:contextualSpacing w:val="0"/>
        <w:rPr>
          <w:lang w:eastAsia="ja-JP"/>
        </w:rPr>
      </w:pPr>
    </w:p>
    <w:p w:rsidR="009C2197" w:rsidRPr="000C3905" w:rsidRDefault="009C2197" w:rsidP="009C2197">
      <w:pPr>
        <w:pStyle w:val="ListParagraph"/>
        <w:autoSpaceDE w:val="0"/>
        <w:autoSpaceDN w:val="0"/>
        <w:adjustRightInd w:val="0"/>
        <w:ind w:left="0"/>
        <w:contextualSpacing w:val="0"/>
        <w:rPr>
          <w:lang w:eastAsia="ja-JP"/>
        </w:rPr>
      </w:pPr>
    </w:p>
    <w:p w:rsidR="009C2197" w:rsidRPr="00FB12DA" w:rsidRDefault="006B484B" w:rsidP="009C2197">
      <w:pPr>
        <w:pStyle w:val="Heading1"/>
        <w:rPr>
          <w:lang w:eastAsia="ja-JP"/>
        </w:rPr>
      </w:pPr>
      <w:bookmarkStart w:id="7" w:name="_Toc526443840"/>
      <w:r w:rsidRPr="00FB12DA">
        <w:rPr>
          <w:snapToGrid w:val="0"/>
          <w:lang w:eastAsia="ja-JP"/>
        </w:rPr>
        <w:t xml:space="preserve">DEVELOPMENTS </w:t>
      </w:r>
      <w:r w:rsidR="00FB12DA" w:rsidRPr="00FB12DA">
        <w:rPr>
          <w:snapToGrid w:val="0"/>
          <w:lang w:eastAsia="ja-JP"/>
        </w:rPr>
        <w:t>Concerning</w:t>
      </w:r>
      <w:r w:rsidR="009C2197" w:rsidRPr="00FB12DA">
        <w:rPr>
          <w:snapToGrid w:val="0"/>
          <w:lang w:eastAsia="ja-JP"/>
        </w:rPr>
        <w:t xml:space="preserve"> the International code of nomenclature for cultivated plants</w:t>
      </w:r>
      <w:bookmarkEnd w:id="7"/>
      <w:r w:rsidR="009C2197" w:rsidRPr="00FB12DA">
        <w:rPr>
          <w:snapToGrid w:val="0"/>
          <w:lang w:eastAsia="ja-JP"/>
        </w:rPr>
        <w:t xml:space="preserve"> </w:t>
      </w:r>
    </w:p>
    <w:p w:rsidR="009C2197" w:rsidRPr="00FB12DA" w:rsidRDefault="009C2197" w:rsidP="00DA07F5">
      <w:pPr>
        <w:pStyle w:val="ListParagraph"/>
        <w:autoSpaceDE w:val="0"/>
        <w:autoSpaceDN w:val="0"/>
        <w:adjustRightInd w:val="0"/>
        <w:ind w:left="0"/>
        <w:contextualSpacing w:val="0"/>
        <w:rPr>
          <w:lang w:eastAsia="ja-JP"/>
        </w:rPr>
      </w:pPr>
    </w:p>
    <w:p w:rsidR="006B484B" w:rsidRDefault="009C2197" w:rsidP="00DA07F5">
      <w:pPr>
        <w:pStyle w:val="ListParagraph"/>
        <w:autoSpaceDE w:val="0"/>
        <w:autoSpaceDN w:val="0"/>
        <w:adjustRightInd w:val="0"/>
        <w:ind w:left="0"/>
        <w:contextualSpacing w:val="0"/>
        <w:rPr>
          <w:lang w:eastAsia="ja-JP"/>
        </w:rPr>
      </w:pPr>
      <w:r w:rsidRPr="00FB12DA">
        <w:rPr>
          <w:lang w:eastAsia="ja-JP"/>
        </w:rPr>
        <w:fldChar w:fldCharType="begin"/>
      </w:r>
      <w:r w:rsidRPr="00FB12DA">
        <w:rPr>
          <w:lang w:eastAsia="ja-JP"/>
        </w:rPr>
        <w:instrText xml:space="preserve"> AUTONUM  </w:instrText>
      </w:r>
      <w:r w:rsidRPr="00FB12DA">
        <w:rPr>
          <w:lang w:eastAsia="ja-JP"/>
        </w:rPr>
        <w:fldChar w:fldCharType="end"/>
      </w:r>
      <w:r w:rsidRPr="00FB12DA">
        <w:rPr>
          <w:lang w:eastAsia="ja-JP"/>
        </w:rPr>
        <w:tab/>
      </w:r>
      <w:r w:rsidR="00FB12DA" w:rsidRPr="00FB12DA">
        <w:rPr>
          <w:lang w:eastAsia="ja-JP"/>
        </w:rPr>
        <w:t xml:space="preserve">The WG-DEN is invited to note that </w:t>
      </w:r>
      <w:r w:rsidR="00FB12DA">
        <w:rPr>
          <w:lang w:eastAsia="ja-JP"/>
        </w:rPr>
        <w:t xml:space="preserve">developments concerning the </w:t>
      </w:r>
      <w:r w:rsidR="00FB12DA" w:rsidRPr="00FB12DA">
        <w:rPr>
          <w:snapToGrid w:val="0"/>
          <w:lang w:eastAsia="ja-JP"/>
        </w:rPr>
        <w:t xml:space="preserve">International </w:t>
      </w:r>
      <w:r w:rsidR="002D2BB5">
        <w:rPr>
          <w:snapToGrid w:val="0"/>
          <w:lang w:eastAsia="ja-JP"/>
        </w:rPr>
        <w:t>C</w:t>
      </w:r>
      <w:r w:rsidR="00FB12DA" w:rsidRPr="00FB12DA">
        <w:rPr>
          <w:snapToGrid w:val="0"/>
          <w:lang w:eastAsia="ja-JP"/>
        </w:rPr>
        <w:t xml:space="preserve">ode of </w:t>
      </w:r>
      <w:r w:rsidR="002D2BB5">
        <w:rPr>
          <w:snapToGrid w:val="0"/>
          <w:lang w:eastAsia="ja-JP"/>
        </w:rPr>
        <w:t>N</w:t>
      </w:r>
      <w:r w:rsidR="00FB12DA" w:rsidRPr="00FB12DA">
        <w:rPr>
          <w:snapToGrid w:val="0"/>
          <w:lang w:eastAsia="ja-JP"/>
        </w:rPr>
        <w:t xml:space="preserve">omenclature for </w:t>
      </w:r>
      <w:r w:rsidR="002D2BB5">
        <w:rPr>
          <w:snapToGrid w:val="0"/>
          <w:lang w:eastAsia="ja-JP"/>
        </w:rPr>
        <w:t>C</w:t>
      </w:r>
      <w:r w:rsidR="00FB12DA" w:rsidRPr="00FB12DA">
        <w:rPr>
          <w:snapToGrid w:val="0"/>
          <w:lang w:eastAsia="ja-JP"/>
        </w:rPr>
        <w:t xml:space="preserve">ultivated </w:t>
      </w:r>
      <w:r w:rsidR="002D2BB5">
        <w:rPr>
          <w:snapToGrid w:val="0"/>
          <w:lang w:eastAsia="ja-JP"/>
        </w:rPr>
        <w:t>P</w:t>
      </w:r>
      <w:r w:rsidR="00FB12DA" w:rsidRPr="00FB12DA">
        <w:rPr>
          <w:snapToGrid w:val="0"/>
          <w:lang w:eastAsia="ja-JP"/>
        </w:rPr>
        <w:t>lants</w:t>
      </w:r>
      <w:r w:rsidR="00FB12DA" w:rsidRPr="00FB12DA">
        <w:rPr>
          <w:lang w:eastAsia="ja-JP"/>
        </w:rPr>
        <w:t xml:space="preserve"> (ICNCP)</w:t>
      </w:r>
      <w:r w:rsidR="00FB12DA">
        <w:rPr>
          <w:lang w:eastAsia="ja-JP"/>
        </w:rPr>
        <w:t xml:space="preserve"> are provided in document CAJ/75/7 Add. “Addendum to Variety Denominations”.</w:t>
      </w:r>
      <w:r w:rsidR="006B484B">
        <w:rPr>
          <w:lang w:eastAsia="ja-JP"/>
        </w:rPr>
        <w:t xml:space="preserve"> </w:t>
      </w:r>
    </w:p>
    <w:p w:rsidR="00EA4900" w:rsidRPr="002C1322" w:rsidRDefault="00EA4900" w:rsidP="00EA4900">
      <w:pPr>
        <w:pStyle w:val="ListParagraph"/>
        <w:autoSpaceDE w:val="0"/>
        <w:autoSpaceDN w:val="0"/>
        <w:adjustRightInd w:val="0"/>
        <w:ind w:left="0"/>
        <w:contextualSpacing w:val="0"/>
        <w:rPr>
          <w:lang w:eastAsia="ja-JP"/>
        </w:rPr>
      </w:pPr>
    </w:p>
    <w:p w:rsidR="00EA4900" w:rsidRPr="00B844B0" w:rsidRDefault="00EA4900" w:rsidP="00DA07F5">
      <w:pPr>
        <w:pStyle w:val="DecisionParagraphs"/>
        <w:rPr>
          <w:iCs/>
          <w:spacing w:val="-4"/>
        </w:rPr>
      </w:pPr>
      <w:r w:rsidRPr="000C3905">
        <w:fldChar w:fldCharType="begin"/>
      </w:r>
      <w:r w:rsidRPr="00B844B0">
        <w:instrText xml:space="preserve"> AUTONUM  </w:instrText>
      </w:r>
      <w:r w:rsidRPr="000C3905">
        <w:fldChar w:fldCharType="end"/>
      </w:r>
      <w:r w:rsidRPr="00B844B0">
        <w:tab/>
      </w:r>
      <w:r w:rsidRPr="00B844B0">
        <w:rPr>
          <w:iCs/>
          <w:spacing w:val="-4"/>
        </w:rPr>
        <w:t xml:space="preserve">The WG-DEN is invited to: </w:t>
      </w:r>
    </w:p>
    <w:p w:rsidR="00EA4900" w:rsidRPr="00B844B0" w:rsidRDefault="00EA4900" w:rsidP="00DA07F5">
      <w:pPr>
        <w:pStyle w:val="DecisionParagraphs"/>
        <w:rPr>
          <w:iCs/>
          <w:spacing w:val="-4"/>
          <w:lang w:eastAsia="ja-JP"/>
        </w:rPr>
      </w:pPr>
    </w:p>
    <w:p w:rsidR="00EA4900" w:rsidRPr="00B844B0" w:rsidRDefault="00DA07F5" w:rsidP="00DA07F5">
      <w:pPr>
        <w:pStyle w:val="DecisionParagraphs"/>
        <w:tabs>
          <w:tab w:val="left" w:pos="5940"/>
        </w:tabs>
        <w:rPr>
          <w:iCs/>
          <w:spacing w:val="-4"/>
          <w:lang w:eastAsia="ja-JP"/>
        </w:rPr>
      </w:pPr>
      <w:r>
        <w:rPr>
          <w:iCs/>
          <w:spacing w:val="-4"/>
          <w:lang w:eastAsia="ja-JP"/>
        </w:rPr>
        <w:t xml:space="preserve">   </w:t>
      </w:r>
      <w:r w:rsidR="00EA4900" w:rsidRPr="00B844B0">
        <w:rPr>
          <w:iCs/>
          <w:spacing w:val="-4"/>
          <w:lang w:eastAsia="ja-JP"/>
        </w:rPr>
        <w:t>(a)</w:t>
      </w:r>
      <w:r w:rsidR="00EA4900" w:rsidRPr="00B844B0">
        <w:rPr>
          <w:iCs/>
          <w:spacing w:val="-4"/>
          <w:lang w:eastAsia="ja-JP"/>
        </w:rPr>
        <w:tab/>
        <w:t xml:space="preserve">note the matters agreed by the WG-DEN at its </w:t>
      </w:r>
      <w:r w:rsidR="004E7B99">
        <w:rPr>
          <w:iCs/>
          <w:spacing w:val="-4"/>
          <w:lang w:eastAsia="ja-JP"/>
        </w:rPr>
        <w:t>fourth</w:t>
      </w:r>
      <w:r w:rsidR="00EA4900" w:rsidRPr="00B844B0">
        <w:rPr>
          <w:iCs/>
          <w:spacing w:val="-4"/>
          <w:lang w:eastAsia="ja-JP"/>
        </w:rPr>
        <w:t xml:space="preserve"> meeting, a</w:t>
      </w:r>
      <w:r w:rsidR="00EA4900">
        <w:rPr>
          <w:iCs/>
          <w:spacing w:val="-4"/>
          <w:lang w:eastAsia="ja-JP"/>
        </w:rPr>
        <w:t xml:space="preserve">s reported in paragraph </w:t>
      </w:r>
      <w:r w:rsidR="00EA4900" w:rsidRPr="00506162">
        <w:rPr>
          <w:iCs/>
          <w:spacing w:val="-4"/>
          <w:lang w:eastAsia="ja-JP"/>
        </w:rPr>
        <w:t>6</w:t>
      </w:r>
      <w:r w:rsidR="00EA4900">
        <w:rPr>
          <w:iCs/>
          <w:spacing w:val="-4"/>
          <w:lang w:eastAsia="ja-JP"/>
        </w:rPr>
        <w:t xml:space="preserve"> of thi</w:t>
      </w:r>
      <w:r w:rsidR="00EA4900" w:rsidRPr="00B844B0">
        <w:rPr>
          <w:iCs/>
          <w:spacing w:val="-4"/>
          <w:lang w:eastAsia="ja-JP"/>
        </w:rPr>
        <w:t>s document; and</w:t>
      </w:r>
    </w:p>
    <w:p w:rsidR="00EA4900" w:rsidRPr="00B844B0" w:rsidRDefault="00EA4900" w:rsidP="00DA07F5">
      <w:pPr>
        <w:pStyle w:val="DecisionParagraphs"/>
        <w:tabs>
          <w:tab w:val="left" w:pos="5940"/>
        </w:tabs>
        <w:rPr>
          <w:iCs/>
          <w:spacing w:val="-4"/>
          <w:lang w:eastAsia="ja-JP"/>
        </w:rPr>
      </w:pPr>
    </w:p>
    <w:p w:rsidR="00EA4900" w:rsidRPr="00B844B0" w:rsidRDefault="00DA07F5" w:rsidP="00DA07F5">
      <w:pPr>
        <w:pStyle w:val="DecisionParagraphs"/>
        <w:tabs>
          <w:tab w:val="left" w:pos="5940"/>
        </w:tabs>
        <w:rPr>
          <w:iCs/>
          <w:spacing w:val="-4"/>
          <w:lang w:eastAsia="ja-JP"/>
        </w:rPr>
      </w:pPr>
      <w:r>
        <w:rPr>
          <w:iCs/>
          <w:spacing w:val="-4"/>
          <w:lang w:eastAsia="ja-JP"/>
        </w:rPr>
        <w:t xml:space="preserve">   </w:t>
      </w:r>
      <w:r w:rsidR="00EA4900" w:rsidRPr="00B844B0">
        <w:rPr>
          <w:iCs/>
          <w:spacing w:val="-4"/>
          <w:lang w:eastAsia="ja-JP"/>
        </w:rPr>
        <w:t>(b)</w:t>
      </w:r>
      <w:r w:rsidR="00EA4900" w:rsidRPr="00B844B0">
        <w:rPr>
          <w:iCs/>
          <w:spacing w:val="-4"/>
          <w:lang w:eastAsia="ja-JP"/>
        </w:rPr>
        <w:tab/>
        <w:t>consider</w:t>
      </w:r>
      <w:r w:rsidR="006C38C8">
        <w:rPr>
          <w:iCs/>
          <w:spacing w:val="-4"/>
          <w:lang w:eastAsia="ja-JP"/>
        </w:rPr>
        <w:t xml:space="preserve"> </w:t>
      </w:r>
      <w:r w:rsidR="006C38C8" w:rsidRPr="00B844B0">
        <w:rPr>
          <w:iCs/>
          <w:spacing w:val="-4"/>
          <w:lang w:eastAsia="ja-JP"/>
        </w:rPr>
        <w:t>document</w:t>
      </w:r>
      <w:r>
        <w:rPr>
          <w:iCs/>
          <w:spacing w:val="-4"/>
          <w:lang w:eastAsia="ja-JP"/>
        </w:rPr>
        <w:t xml:space="preserve"> </w:t>
      </w:r>
      <w:r w:rsidR="00EA4900" w:rsidRPr="00B844B0">
        <w:rPr>
          <w:iCs/>
          <w:spacing w:val="-4"/>
          <w:lang w:eastAsia="ja-JP"/>
        </w:rPr>
        <w:t>UPOV/</w:t>
      </w:r>
      <w:r w:rsidR="004E7B99" w:rsidRPr="004E7B99">
        <w:rPr>
          <w:iCs/>
          <w:spacing w:val="-4"/>
          <w:lang w:eastAsia="ja-JP"/>
        </w:rPr>
        <w:t>EXN/DEN/1</w:t>
      </w:r>
      <w:r>
        <w:rPr>
          <w:iCs/>
          <w:spacing w:val="-4"/>
          <w:lang w:eastAsia="ja-JP"/>
        </w:rPr>
        <w:t xml:space="preserve"> </w:t>
      </w:r>
      <w:r w:rsidR="004E7B99" w:rsidRPr="004E7B99">
        <w:rPr>
          <w:iCs/>
          <w:spacing w:val="-4"/>
          <w:lang w:eastAsia="ja-JP"/>
        </w:rPr>
        <w:t>Draft</w:t>
      </w:r>
      <w:r>
        <w:rPr>
          <w:iCs/>
          <w:spacing w:val="-4"/>
          <w:lang w:eastAsia="ja-JP"/>
        </w:rPr>
        <w:t> </w:t>
      </w:r>
      <w:r w:rsidR="004E7B99" w:rsidRPr="004E7B99">
        <w:rPr>
          <w:iCs/>
          <w:spacing w:val="-4"/>
          <w:lang w:eastAsia="ja-JP"/>
        </w:rPr>
        <w:t>1</w:t>
      </w:r>
      <w:r w:rsidR="00EA4900" w:rsidRPr="00B844B0">
        <w:rPr>
          <w:iCs/>
          <w:spacing w:val="-4"/>
          <w:lang w:eastAsia="ja-JP"/>
        </w:rPr>
        <w:t xml:space="preserve">, </w:t>
      </w:r>
      <w:r>
        <w:rPr>
          <w:iCs/>
          <w:spacing w:val="-4"/>
          <w:lang w:eastAsia="ja-JP"/>
        </w:rPr>
        <w:br/>
      </w:r>
      <w:r w:rsidR="00EA4900" w:rsidRPr="00B844B0">
        <w:rPr>
          <w:iCs/>
          <w:spacing w:val="-4"/>
          <w:lang w:eastAsia="ja-JP"/>
        </w:rPr>
        <w:t xml:space="preserve">as set out in paragraph </w:t>
      </w:r>
      <w:r w:rsidR="00EA4900" w:rsidRPr="00506162">
        <w:rPr>
          <w:iCs/>
          <w:spacing w:val="-4"/>
          <w:lang w:eastAsia="ja-JP"/>
        </w:rPr>
        <w:t>9</w:t>
      </w:r>
      <w:r>
        <w:rPr>
          <w:iCs/>
          <w:spacing w:val="-4"/>
          <w:lang w:eastAsia="ja-JP"/>
        </w:rPr>
        <w:t xml:space="preserve"> of this document;</w:t>
      </w:r>
    </w:p>
    <w:p w:rsidR="00140026" w:rsidRPr="00B844B0" w:rsidRDefault="00140026" w:rsidP="00DA07F5">
      <w:pPr>
        <w:pStyle w:val="DecisionParagraphs"/>
        <w:tabs>
          <w:tab w:val="left" w:pos="5940"/>
        </w:tabs>
        <w:rPr>
          <w:iCs/>
          <w:spacing w:val="-4"/>
          <w:lang w:eastAsia="ja-JP"/>
        </w:rPr>
      </w:pPr>
    </w:p>
    <w:p w:rsidR="00140026" w:rsidRPr="00B844B0" w:rsidRDefault="00DA07F5" w:rsidP="00DA07F5">
      <w:pPr>
        <w:pStyle w:val="DecisionParagraphs"/>
        <w:tabs>
          <w:tab w:val="left" w:pos="5940"/>
        </w:tabs>
        <w:rPr>
          <w:iCs/>
          <w:spacing w:val="-4"/>
          <w:lang w:eastAsia="ja-JP"/>
        </w:rPr>
      </w:pPr>
      <w:r>
        <w:rPr>
          <w:iCs/>
          <w:spacing w:val="-4"/>
          <w:lang w:eastAsia="ja-JP"/>
        </w:rPr>
        <w:t xml:space="preserve">   </w:t>
      </w:r>
      <w:r w:rsidR="00140026" w:rsidRPr="00B844B0">
        <w:rPr>
          <w:iCs/>
          <w:spacing w:val="-4"/>
          <w:lang w:eastAsia="ja-JP"/>
        </w:rPr>
        <w:t>(</w:t>
      </w:r>
      <w:r w:rsidR="00140026">
        <w:rPr>
          <w:iCs/>
          <w:spacing w:val="-4"/>
          <w:lang w:eastAsia="ja-JP"/>
        </w:rPr>
        <w:t>c</w:t>
      </w:r>
      <w:r w:rsidR="00140026" w:rsidRPr="00B844B0">
        <w:rPr>
          <w:iCs/>
          <w:spacing w:val="-4"/>
          <w:lang w:eastAsia="ja-JP"/>
        </w:rPr>
        <w:t>)</w:t>
      </w:r>
      <w:r w:rsidR="00140026" w:rsidRPr="00B844B0">
        <w:rPr>
          <w:iCs/>
          <w:spacing w:val="-4"/>
          <w:lang w:eastAsia="ja-JP"/>
        </w:rPr>
        <w:tab/>
      </w:r>
      <w:r w:rsidR="00FB12DA" w:rsidRPr="00FB12DA">
        <w:rPr>
          <w:iCs/>
          <w:spacing w:val="-4"/>
          <w:lang w:eastAsia="ja-JP"/>
        </w:rPr>
        <w:t xml:space="preserve">note that developments concerning the International </w:t>
      </w:r>
      <w:r w:rsidR="00CC2FEC">
        <w:rPr>
          <w:iCs/>
          <w:spacing w:val="-4"/>
          <w:lang w:eastAsia="ja-JP"/>
        </w:rPr>
        <w:t>C</w:t>
      </w:r>
      <w:r w:rsidR="00FB12DA" w:rsidRPr="00FB12DA">
        <w:rPr>
          <w:iCs/>
          <w:spacing w:val="-4"/>
          <w:lang w:eastAsia="ja-JP"/>
        </w:rPr>
        <w:t xml:space="preserve">ode of </w:t>
      </w:r>
      <w:r w:rsidR="00CC2FEC">
        <w:rPr>
          <w:iCs/>
          <w:spacing w:val="-4"/>
          <w:lang w:eastAsia="ja-JP"/>
        </w:rPr>
        <w:t>N</w:t>
      </w:r>
      <w:r w:rsidR="00FB12DA" w:rsidRPr="00FB12DA">
        <w:rPr>
          <w:iCs/>
          <w:spacing w:val="-4"/>
          <w:lang w:eastAsia="ja-JP"/>
        </w:rPr>
        <w:t xml:space="preserve">omenclature for </w:t>
      </w:r>
      <w:r w:rsidR="00CC2FEC">
        <w:rPr>
          <w:iCs/>
          <w:spacing w:val="-4"/>
          <w:lang w:eastAsia="ja-JP"/>
        </w:rPr>
        <w:t>C</w:t>
      </w:r>
      <w:r w:rsidR="00FB12DA" w:rsidRPr="00FB12DA">
        <w:rPr>
          <w:iCs/>
          <w:spacing w:val="-4"/>
          <w:lang w:eastAsia="ja-JP"/>
        </w:rPr>
        <w:t xml:space="preserve">ultivated </w:t>
      </w:r>
      <w:r w:rsidR="00CC2FEC">
        <w:rPr>
          <w:iCs/>
          <w:spacing w:val="-4"/>
          <w:lang w:eastAsia="ja-JP"/>
        </w:rPr>
        <w:t>P</w:t>
      </w:r>
      <w:r w:rsidR="00FB12DA" w:rsidRPr="00FB12DA">
        <w:rPr>
          <w:iCs/>
          <w:spacing w:val="-4"/>
          <w:lang w:eastAsia="ja-JP"/>
        </w:rPr>
        <w:t>lants (ICNCP) are provided in document CAJ/75/7</w:t>
      </w:r>
      <w:r>
        <w:rPr>
          <w:iCs/>
          <w:spacing w:val="-4"/>
          <w:lang w:eastAsia="ja-JP"/>
        </w:rPr>
        <w:t> </w:t>
      </w:r>
      <w:r w:rsidR="00FB12DA" w:rsidRPr="00FB12DA">
        <w:rPr>
          <w:iCs/>
          <w:spacing w:val="-4"/>
          <w:lang w:eastAsia="ja-JP"/>
        </w:rPr>
        <w:t>Add. “Addendum to Variety Denominations”</w:t>
      </w:r>
      <w:r w:rsidR="00140026" w:rsidRPr="00FB12DA">
        <w:rPr>
          <w:iCs/>
          <w:spacing w:val="-4"/>
          <w:lang w:eastAsia="ja-JP"/>
        </w:rPr>
        <w:t>, as set out in paragraph</w:t>
      </w:r>
      <w:r w:rsidR="00140026" w:rsidRPr="00B844B0">
        <w:rPr>
          <w:iCs/>
          <w:spacing w:val="-4"/>
          <w:lang w:eastAsia="ja-JP"/>
        </w:rPr>
        <w:t xml:space="preserve"> </w:t>
      </w:r>
      <w:r w:rsidR="00140026" w:rsidRPr="00506162">
        <w:rPr>
          <w:iCs/>
          <w:spacing w:val="-4"/>
          <w:lang w:eastAsia="ja-JP"/>
        </w:rPr>
        <w:t>14</w:t>
      </w:r>
      <w:r w:rsidR="00140026" w:rsidRPr="00B844B0">
        <w:rPr>
          <w:iCs/>
          <w:spacing w:val="-4"/>
          <w:lang w:eastAsia="ja-JP"/>
        </w:rPr>
        <w:t xml:space="preserve"> </w:t>
      </w:r>
      <w:r w:rsidR="00140026" w:rsidRPr="00FB12DA">
        <w:rPr>
          <w:iCs/>
          <w:spacing w:val="-4"/>
          <w:lang w:eastAsia="ja-JP"/>
        </w:rPr>
        <w:t>of this document</w:t>
      </w:r>
      <w:r w:rsidR="00140026" w:rsidRPr="00B844B0">
        <w:rPr>
          <w:iCs/>
          <w:spacing w:val="-4"/>
          <w:lang w:eastAsia="ja-JP"/>
        </w:rPr>
        <w:t>.</w:t>
      </w:r>
    </w:p>
    <w:p w:rsidR="00EA4900" w:rsidRPr="00B844B0" w:rsidRDefault="00EA4900" w:rsidP="00EA4900">
      <w:pPr>
        <w:pStyle w:val="DecisionParagraphs"/>
        <w:tabs>
          <w:tab w:val="left" w:pos="5490"/>
          <w:tab w:val="left" w:pos="5940"/>
        </w:tabs>
        <w:ind w:left="0"/>
        <w:jc w:val="right"/>
        <w:rPr>
          <w:rFonts w:cs="Arial"/>
          <w:i w:val="0"/>
          <w:lang w:eastAsia="ja-JP"/>
        </w:rPr>
      </w:pPr>
    </w:p>
    <w:p w:rsidR="00EA4900" w:rsidRPr="00B844B0" w:rsidRDefault="00EA4900" w:rsidP="00EA4900">
      <w:pPr>
        <w:pStyle w:val="DecisionParagraphs"/>
        <w:tabs>
          <w:tab w:val="left" w:pos="5490"/>
          <w:tab w:val="left" w:pos="5940"/>
        </w:tabs>
        <w:ind w:left="0"/>
        <w:jc w:val="right"/>
        <w:rPr>
          <w:rFonts w:cs="Arial"/>
          <w:i w:val="0"/>
          <w:lang w:eastAsia="ja-JP"/>
        </w:rPr>
      </w:pPr>
    </w:p>
    <w:p w:rsidR="00EA4900" w:rsidRDefault="00EA4900" w:rsidP="00E27D83">
      <w:pPr>
        <w:pStyle w:val="DecisionParagraphs"/>
        <w:tabs>
          <w:tab w:val="left" w:pos="5490"/>
          <w:tab w:val="left" w:pos="5940"/>
        </w:tabs>
        <w:ind w:left="0"/>
        <w:jc w:val="right"/>
        <w:rPr>
          <w:rFonts w:cs="Arial"/>
          <w:i w:val="0"/>
          <w:lang w:eastAsia="ja-JP"/>
        </w:rPr>
      </w:pPr>
      <w:r w:rsidRPr="00B844B0">
        <w:rPr>
          <w:rFonts w:cs="Arial"/>
          <w:i w:val="0"/>
          <w:lang w:eastAsia="ja-JP"/>
        </w:rPr>
        <w:t>[Annexes follow]</w:t>
      </w:r>
    </w:p>
    <w:p w:rsidR="00FD2ABF" w:rsidRDefault="00FD2ABF" w:rsidP="00FD2ABF">
      <w:pPr>
        <w:pStyle w:val="DecisionParagraphs"/>
        <w:tabs>
          <w:tab w:val="left" w:pos="5490"/>
          <w:tab w:val="left" w:pos="5940"/>
        </w:tabs>
        <w:ind w:left="0"/>
        <w:rPr>
          <w:rFonts w:cs="Arial"/>
          <w:i w:val="0"/>
          <w:lang w:eastAsia="ja-JP"/>
        </w:rPr>
      </w:pPr>
    </w:p>
    <w:p w:rsidR="00FD2ABF" w:rsidRDefault="00FD2ABF" w:rsidP="00E27D83">
      <w:pPr>
        <w:pStyle w:val="DecisionParagraphs"/>
        <w:tabs>
          <w:tab w:val="left" w:pos="5490"/>
          <w:tab w:val="left" w:pos="5940"/>
        </w:tabs>
        <w:ind w:left="0"/>
        <w:jc w:val="right"/>
        <w:sectPr w:rsidR="00FD2ABF" w:rsidSect="00E27D83">
          <w:headerReference w:type="default" r:id="rId10"/>
          <w:headerReference w:type="first" r:id="rId11"/>
          <w:pgSz w:w="11907" w:h="16840" w:code="9"/>
          <w:pgMar w:top="510" w:right="1134" w:bottom="1134" w:left="1134" w:header="510" w:footer="624" w:gutter="0"/>
          <w:cols w:space="720"/>
          <w:titlePg/>
        </w:sectPr>
      </w:pPr>
    </w:p>
    <w:p w:rsidR="00EA4900" w:rsidRPr="00BB7312" w:rsidRDefault="00747CE4" w:rsidP="00EA4900">
      <w:pPr>
        <w:pStyle w:val="Doccode"/>
        <w:jc w:val="center"/>
        <w:rPr>
          <w:b w:val="0"/>
          <w:spacing w:val="0"/>
          <w:sz w:val="20"/>
        </w:rPr>
      </w:pPr>
      <w:r w:rsidRPr="00747CE4">
        <w:rPr>
          <w:b w:val="0"/>
          <w:spacing w:val="0"/>
          <w:sz w:val="20"/>
        </w:rPr>
        <w:lastRenderedPageBreak/>
        <w:t>COMPILATION OF ALL COMMENTS RECEIVED AND DISCUSSED AT WG-DEN MEETINGS AND OTHER RELEVANT MEETINGS, IN RELATION TO THE TEXT OF DOCUMENT UPOV/</w:t>
      </w:r>
      <w:r w:rsidR="00EB183B">
        <w:rPr>
          <w:b w:val="0"/>
          <w:spacing w:val="0"/>
          <w:sz w:val="20"/>
        </w:rPr>
        <w:t>INF</w:t>
      </w:r>
      <w:r w:rsidRPr="00747CE4">
        <w:rPr>
          <w:b w:val="0"/>
          <w:spacing w:val="0"/>
          <w:sz w:val="20"/>
        </w:rPr>
        <w:t>/</w:t>
      </w:r>
      <w:r w:rsidR="00EB183B">
        <w:rPr>
          <w:b w:val="0"/>
          <w:spacing w:val="0"/>
          <w:sz w:val="20"/>
        </w:rPr>
        <w:t>12</w:t>
      </w:r>
      <w:r w:rsidRPr="00747CE4">
        <w:rPr>
          <w:b w:val="0"/>
          <w:spacing w:val="0"/>
          <w:sz w:val="20"/>
        </w:rPr>
        <w:t>/</w:t>
      </w:r>
      <w:r w:rsidR="00EB183B">
        <w:rPr>
          <w:b w:val="0"/>
          <w:spacing w:val="0"/>
          <w:sz w:val="20"/>
        </w:rPr>
        <w:t>5</w:t>
      </w:r>
    </w:p>
    <w:p w:rsidR="00EA4900" w:rsidRPr="0065452F" w:rsidRDefault="00EA4900" w:rsidP="00EA4900">
      <w:pPr>
        <w:pStyle w:val="Disclaimer"/>
        <w:spacing w:after="1200"/>
        <w:jc w:val="cente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9243"/>
      </w:tblGrid>
      <w:tr w:rsidR="00EA4900" w:rsidRPr="00B02E86" w:rsidTr="00E27D83">
        <w:trPr>
          <w:cantSplit/>
          <w:jc w:val="center"/>
        </w:trPr>
        <w:tc>
          <w:tcPr>
            <w:tcW w:w="9243" w:type="dxa"/>
            <w:shd w:val="clear" w:color="auto" w:fill="E6E6E6"/>
          </w:tcPr>
          <w:p w:rsidR="00EA4900" w:rsidRPr="00B02E86" w:rsidRDefault="00EA4900" w:rsidP="00E27D83">
            <w:pPr>
              <w:jc w:val="center"/>
              <w:rPr>
                <w:rFonts w:cs="Arial"/>
                <w:szCs w:val="22"/>
                <w:u w:val="single"/>
              </w:rPr>
            </w:pPr>
            <w:r w:rsidRPr="00B02E86">
              <w:rPr>
                <w:rFonts w:cs="Arial"/>
                <w:szCs w:val="22"/>
                <w:u w:val="single"/>
              </w:rPr>
              <w:t>Note</w:t>
            </w:r>
          </w:p>
          <w:p w:rsidR="00EA4900" w:rsidRPr="00B02E86" w:rsidRDefault="00EA4900" w:rsidP="00E27D83">
            <w:pPr>
              <w:rPr>
                <w:rFonts w:cs="Arial"/>
                <w:szCs w:val="22"/>
              </w:rPr>
            </w:pPr>
          </w:p>
          <w:p w:rsidR="00EA4900" w:rsidRPr="00B02E86" w:rsidRDefault="00EA4900" w:rsidP="00E27D83">
            <w:pPr>
              <w:rPr>
                <w:rFonts w:cs="Arial"/>
                <w:szCs w:val="22"/>
              </w:rPr>
            </w:pPr>
            <w:r w:rsidRPr="00B02E86">
              <w:rPr>
                <w:rFonts w:cs="Arial"/>
                <w:b/>
                <w:szCs w:val="22"/>
              </w:rPr>
              <w:t>Footnotes</w:t>
            </w:r>
            <w:r w:rsidRPr="00B02E86">
              <w:rPr>
                <w:rFonts w:cs="Arial"/>
                <w:szCs w:val="22"/>
              </w:rPr>
              <w:t xml:space="preserve"> will be retained in published document.</w:t>
            </w:r>
          </w:p>
          <w:p w:rsidR="00EA4900" w:rsidRPr="00B02E86" w:rsidRDefault="00EA4900" w:rsidP="00E27D83">
            <w:pPr>
              <w:rPr>
                <w:rFonts w:cs="Arial"/>
                <w:szCs w:val="22"/>
              </w:rPr>
            </w:pPr>
          </w:p>
          <w:p w:rsidR="00EA4900" w:rsidRPr="00B02E86" w:rsidRDefault="00EA4900" w:rsidP="00E27D83">
            <w:pPr>
              <w:rPr>
                <w:rFonts w:cs="Arial"/>
                <w:szCs w:val="18"/>
                <w:lang w:eastAsia="ja-JP"/>
              </w:rPr>
            </w:pPr>
            <w:r w:rsidRPr="00B02E86">
              <w:rPr>
                <w:rFonts w:cs="Arial"/>
                <w:b/>
                <w:szCs w:val="18"/>
              </w:rPr>
              <w:t>Endnotes</w:t>
            </w:r>
            <w:r w:rsidRPr="00B02E86">
              <w:rPr>
                <w:rFonts w:cs="Arial"/>
                <w:szCs w:val="18"/>
              </w:rPr>
              <w:t xml:space="preserve"> </w:t>
            </w:r>
            <w:r w:rsidRPr="00B02E86">
              <w:rPr>
                <w:rFonts w:cs="Arial" w:hint="eastAsia"/>
                <w:szCs w:val="18"/>
                <w:lang w:eastAsia="ja-JP"/>
              </w:rPr>
              <w:t>are</w:t>
            </w:r>
            <w:r w:rsidRPr="00B02E86">
              <w:rPr>
                <w:rFonts w:cs="Arial"/>
                <w:szCs w:val="18"/>
              </w:rPr>
              <w:t xml:space="preserve"> background information</w:t>
            </w:r>
          </w:p>
          <w:p w:rsidR="00EA4900" w:rsidRPr="00B02E86" w:rsidRDefault="00EA4900" w:rsidP="00E27D83">
            <w:pPr>
              <w:rPr>
                <w:rFonts w:cs="Arial"/>
                <w:szCs w:val="18"/>
                <w:lang w:eastAsia="ja-JP"/>
              </w:rPr>
            </w:pPr>
          </w:p>
          <w:p w:rsidR="00EA4900" w:rsidRPr="00B02E86" w:rsidRDefault="00EA4900" w:rsidP="00E27D83">
            <w:pPr>
              <w:rPr>
                <w:rFonts w:cs="Arial"/>
                <w:szCs w:val="18"/>
                <w:lang w:eastAsia="ja-JP"/>
              </w:rPr>
            </w:pPr>
          </w:p>
          <w:p w:rsidR="00EA4900" w:rsidRPr="00B02E86" w:rsidRDefault="00EA4900" w:rsidP="00E27D83">
            <w:pPr>
              <w:rPr>
                <w:rFonts w:cs="Arial"/>
                <w:szCs w:val="18"/>
                <w:lang w:eastAsia="ja-JP"/>
              </w:rPr>
            </w:pPr>
            <w:r w:rsidRPr="00B02E86">
              <w:rPr>
                <w:rFonts w:cs="Arial" w:hint="eastAsia"/>
                <w:b/>
                <w:szCs w:val="18"/>
                <w:lang w:eastAsia="ja-JP"/>
              </w:rPr>
              <w:t xml:space="preserve">Text </w:t>
            </w:r>
            <w:r w:rsidRPr="00B02E86">
              <w:rPr>
                <w:rFonts w:cs="Arial" w:hint="eastAsia"/>
                <w:szCs w:val="18"/>
                <w:lang w:eastAsia="ja-JP"/>
              </w:rPr>
              <w:t>proposed in relation to document UPOV/INF/12/5</w:t>
            </w:r>
            <w:r w:rsidRPr="00B02E86">
              <w:rPr>
                <w:rFonts w:cs="Arial"/>
                <w:szCs w:val="18"/>
                <w:lang w:eastAsia="ja-JP"/>
              </w:rPr>
              <w:t>:</w:t>
            </w:r>
          </w:p>
          <w:p w:rsidR="00EA4900" w:rsidRPr="00B02E86" w:rsidRDefault="00EA4900" w:rsidP="00E27D83">
            <w:pPr>
              <w:tabs>
                <w:tab w:val="left" w:pos="227"/>
              </w:tabs>
              <w:rPr>
                <w:rFonts w:cs="Arial"/>
                <w:szCs w:val="18"/>
                <w:lang w:eastAsia="ja-JP"/>
              </w:rPr>
            </w:pPr>
            <w:r w:rsidRPr="00B02E86">
              <w:rPr>
                <w:rFonts w:cs="Arial"/>
                <w:szCs w:val="18"/>
                <w:lang w:eastAsia="ja-JP"/>
              </w:rPr>
              <w:tab/>
            </w:r>
            <w:r w:rsidRPr="00B02E86">
              <w:rPr>
                <w:rFonts w:cs="Arial" w:hint="eastAsia"/>
                <w:szCs w:val="18"/>
                <w:lang w:eastAsia="ja-JP"/>
              </w:rPr>
              <w:t xml:space="preserve">to </w:t>
            </w:r>
            <w:r w:rsidRPr="00B02E86">
              <w:rPr>
                <w:rFonts w:cs="Arial" w:hint="eastAsia"/>
                <w:b/>
                <w:szCs w:val="18"/>
                <w:lang w:eastAsia="ja-JP"/>
              </w:rPr>
              <w:t>add</w:t>
            </w:r>
            <w:r w:rsidRPr="00B02E86">
              <w:rPr>
                <w:rFonts w:cs="Arial" w:hint="eastAsia"/>
                <w:szCs w:val="18"/>
                <w:lang w:eastAsia="ja-JP"/>
              </w:rPr>
              <w:t xml:space="preserve"> as </w:t>
            </w:r>
            <w:r w:rsidRPr="00B02E86">
              <w:rPr>
                <w:rFonts w:cs="Arial" w:hint="eastAsia"/>
                <w:szCs w:val="18"/>
                <w:u w:val="single"/>
                <w:lang w:eastAsia="ja-JP"/>
              </w:rPr>
              <w:t>underlined</w:t>
            </w:r>
            <w:r w:rsidRPr="00B02E86">
              <w:rPr>
                <w:rFonts w:cs="Arial"/>
                <w:szCs w:val="18"/>
                <w:lang w:eastAsia="ja-JP"/>
              </w:rPr>
              <w:t xml:space="preserve">; </w:t>
            </w:r>
            <w:r w:rsidRPr="00B02E86">
              <w:rPr>
                <w:rFonts w:cs="Arial" w:hint="eastAsia"/>
                <w:szCs w:val="18"/>
                <w:lang w:eastAsia="ja-JP"/>
              </w:rPr>
              <w:t xml:space="preserve"> </w:t>
            </w:r>
            <w:r w:rsidRPr="00B02E86">
              <w:rPr>
                <w:rFonts w:cs="Arial"/>
                <w:szCs w:val="18"/>
                <w:lang w:eastAsia="ja-JP"/>
              </w:rPr>
              <w:t xml:space="preserve"> </w:t>
            </w:r>
            <w:r w:rsidRPr="00B02E86">
              <w:rPr>
                <w:rFonts w:cs="Arial" w:hint="eastAsia"/>
                <w:szCs w:val="18"/>
                <w:lang w:eastAsia="ja-JP"/>
              </w:rPr>
              <w:t xml:space="preserve">to </w:t>
            </w:r>
            <w:r w:rsidRPr="00B02E86">
              <w:rPr>
                <w:rFonts w:cs="Arial" w:hint="eastAsia"/>
                <w:b/>
                <w:szCs w:val="18"/>
                <w:lang w:eastAsia="ja-JP"/>
              </w:rPr>
              <w:t>delete</w:t>
            </w:r>
            <w:r w:rsidRPr="00B02E86">
              <w:rPr>
                <w:rFonts w:cs="Arial" w:hint="eastAsia"/>
                <w:szCs w:val="18"/>
                <w:lang w:eastAsia="ja-JP"/>
              </w:rPr>
              <w:t xml:space="preserve"> as </w:t>
            </w:r>
            <w:r w:rsidRPr="00B02E86">
              <w:rPr>
                <w:rFonts w:cs="Arial" w:hint="eastAsia"/>
                <w:strike/>
                <w:szCs w:val="18"/>
                <w:lang w:eastAsia="ja-JP"/>
              </w:rPr>
              <w:t>strikethrough</w:t>
            </w:r>
            <w:r w:rsidRPr="00B02E86">
              <w:rPr>
                <w:rFonts w:cs="Arial" w:hint="eastAsia"/>
                <w:szCs w:val="18"/>
                <w:lang w:eastAsia="ja-JP"/>
              </w:rPr>
              <w:t>.</w:t>
            </w:r>
          </w:p>
          <w:p w:rsidR="00EA4900" w:rsidRPr="00B02E86" w:rsidRDefault="00EA4900" w:rsidP="00E27D83">
            <w:pPr>
              <w:tabs>
                <w:tab w:val="left" w:pos="227"/>
              </w:tabs>
              <w:rPr>
                <w:rFonts w:cs="Arial"/>
                <w:b/>
                <w:szCs w:val="18"/>
                <w:lang w:eastAsia="ja-JP"/>
              </w:rPr>
            </w:pPr>
          </w:p>
          <w:p w:rsidR="00EA4900" w:rsidRPr="00B02E86" w:rsidRDefault="00EA4900" w:rsidP="00E27D83">
            <w:pPr>
              <w:rPr>
                <w:rFonts w:cs="Arial"/>
                <w:szCs w:val="18"/>
                <w:lang w:eastAsia="ja-JP"/>
              </w:rPr>
            </w:pPr>
            <w:r w:rsidRPr="00B02E86">
              <w:rPr>
                <w:rFonts w:cs="Arial" w:hint="eastAsia"/>
                <w:b/>
                <w:szCs w:val="18"/>
                <w:lang w:eastAsia="ja-JP"/>
              </w:rPr>
              <w:t>Text</w:t>
            </w:r>
            <w:r w:rsidRPr="00B02E86">
              <w:rPr>
                <w:rFonts w:cs="Arial" w:hint="eastAsia"/>
                <w:szCs w:val="18"/>
                <w:lang w:eastAsia="ja-JP"/>
              </w:rPr>
              <w:t xml:space="preserve"> agreed by the WG-DEN, at its </w:t>
            </w:r>
            <w:r w:rsidR="001A694C">
              <w:rPr>
                <w:rFonts w:cs="Arial"/>
                <w:szCs w:val="18"/>
                <w:lang w:eastAsia="ja-JP"/>
              </w:rPr>
              <w:t>fourth</w:t>
            </w:r>
            <w:r w:rsidRPr="00B02E86">
              <w:rPr>
                <w:rFonts w:cs="Arial" w:hint="eastAsia"/>
                <w:szCs w:val="18"/>
                <w:lang w:eastAsia="ja-JP"/>
              </w:rPr>
              <w:t xml:space="preserve"> meeting</w:t>
            </w:r>
            <w:r w:rsidRPr="00B02E86">
              <w:rPr>
                <w:rFonts w:cs="Arial"/>
                <w:szCs w:val="18"/>
                <w:lang w:eastAsia="ja-JP"/>
              </w:rPr>
              <w:t>:</w:t>
            </w:r>
          </w:p>
          <w:p w:rsidR="00EA4900" w:rsidRPr="00B02E86" w:rsidRDefault="00EA4900" w:rsidP="00E27D83">
            <w:pPr>
              <w:tabs>
                <w:tab w:val="left" w:pos="227"/>
              </w:tabs>
              <w:rPr>
                <w:rFonts w:cs="Arial"/>
                <w:szCs w:val="18"/>
                <w:lang w:eastAsia="ja-JP"/>
              </w:rPr>
            </w:pPr>
            <w:r w:rsidRPr="00B02E86">
              <w:rPr>
                <w:rFonts w:cs="Arial"/>
                <w:szCs w:val="18"/>
                <w:lang w:eastAsia="ja-JP"/>
              </w:rPr>
              <w:tab/>
            </w:r>
            <w:r w:rsidRPr="00B02E86">
              <w:rPr>
                <w:rFonts w:cs="Arial" w:hint="eastAsia"/>
                <w:szCs w:val="18"/>
                <w:lang w:eastAsia="ja-JP"/>
              </w:rPr>
              <w:t xml:space="preserve">to </w:t>
            </w:r>
            <w:r w:rsidRPr="00B02E86">
              <w:rPr>
                <w:rFonts w:cs="Arial" w:hint="eastAsia"/>
                <w:b/>
                <w:szCs w:val="18"/>
                <w:lang w:eastAsia="ja-JP"/>
              </w:rPr>
              <w:t>add</w:t>
            </w:r>
            <w:r w:rsidRPr="00B02E86">
              <w:rPr>
                <w:rFonts w:cs="Arial" w:hint="eastAsia"/>
                <w:szCs w:val="18"/>
                <w:lang w:eastAsia="ja-JP"/>
              </w:rPr>
              <w:t xml:space="preserve"> as </w:t>
            </w:r>
            <w:r w:rsidRPr="00B02E86">
              <w:rPr>
                <w:rFonts w:cs="Arial" w:hint="eastAsia"/>
                <w:szCs w:val="18"/>
                <w:highlight w:val="yellow"/>
                <w:u w:val="single"/>
                <w:lang w:eastAsia="ja-JP"/>
              </w:rPr>
              <w:t>underlined</w:t>
            </w:r>
            <w:r w:rsidRPr="00B02E86">
              <w:rPr>
                <w:rFonts w:cs="Arial"/>
                <w:szCs w:val="18"/>
                <w:lang w:eastAsia="ja-JP"/>
              </w:rPr>
              <w:t xml:space="preserve">; </w:t>
            </w:r>
            <w:r w:rsidRPr="00B02E86">
              <w:rPr>
                <w:rFonts w:cs="Arial" w:hint="eastAsia"/>
                <w:szCs w:val="18"/>
                <w:lang w:eastAsia="ja-JP"/>
              </w:rPr>
              <w:t xml:space="preserve"> </w:t>
            </w:r>
            <w:r w:rsidRPr="00B02E86">
              <w:rPr>
                <w:rFonts w:cs="Arial"/>
                <w:szCs w:val="18"/>
                <w:lang w:eastAsia="ja-JP"/>
              </w:rPr>
              <w:t xml:space="preserve"> </w:t>
            </w:r>
            <w:r w:rsidRPr="00B02E86">
              <w:rPr>
                <w:rFonts w:cs="Arial" w:hint="eastAsia"/>
                <w:szCs w:val="18"/>
                <w:lang w:eastAsia="ja-JP"/>
              </w:rPr>
              <w:t xml:space="preserve">to </w:t>
            </w:r>
            <w:r w:rsidRPr="00B02E86">
              <w:rPr>
                <w:rFonts w:cs="Arial" w:hint="eastAsia"/>
                <w:b/>
                <w:szCs w:val="18"/>
                <w:lang w:eastAsia="ja-JP"/>
              </w:rPr>
              <w:t>delete</w:t>
            </w:r>
            <w:r w:rsidRPr="00B02E86">
              <w:rPr>
                <w:rFonts w:cs="Arial" w:hint="eastAsia"/>
                <w:szCs w:val="18"/>
                <w:lang w:eastAsia="ja-JP"/>
              </w:rPr>
              <w:t xml:space="preserve"> as </w:t>
            </w:r>
            <w:r w:rsidRPr="00B02E86">
              <w:rPr>
                <w:rFonts w:cs="Arial" w:hint="eastAsia"/>
                <w:strike/>
                <w:szCs w:val="18"/>
                <w:highlight w:val="yellow"/>
                <w:lang w:eastAsia="ja-JP"/>
              </w:rPr>
              <w:t>strikethrough yellow highlighted</w:t>
            </w:r>
          </w:p>
          <w:p w:rsidR="00EA4900" w:rsidRPr="00B02E86" w:rsidRDefault="00EA4900" w:rsidP="00E27D83">
            <w:pPr>
              <w:rPr>
                <w:rFonts w:cs="Arial"/>
                <w:b/>
                <w:szCs w:val="18"/>
                <w:lang w:eastAsia="ja-JP"/>
              </w:rPr>
            </w:pPr>
          </w:p>
          <w:p w:rsidR="00EA4900" w:rsidRPr="00B02E86" w:rsidRDefault="00EA4900" w:rsidP="00E27D83">
            <w:pPr>
              <w:rPr>
                <w:rFonts w:cs="Arial"/>
                <w:szCs w:val="18"/>
                <w:lang w:eastAsia="ja-JP"/>
              </w:rPr>
            </w:pPr>
            <w:r w:rsidRPr="00B02E86">
              <w:rPr>
                <w:rFonts w:cs="Arial" w:hint="eastAsia"/>
                <w:b/>
                <w:szCs w:val="18"/>
                <w:lang w:eastAsia="ja-JP"/>
              </w:rPr>
              <w:t>Text in boxes</w:t>
            </w:r>
            <w:r w:rsidRPr="00B02E86">
              <w:rPr>
                <w:rFonts w:cs="Arial" w:hint="eastAsia"/>
                <w:szCs w:val="18"/>
                <w:lang w:eastAsia="ja-JP"/>
              </w:rPr>
              <w:t>:</w:t>
            </w:r>
          </w:p>
          <w:p w:rsidR="00EA4900" w:rsidRPr="00B02E86" w:rsidRDefault="00EA4900" w:rsidP="00E27D83">
            <w:pPr>
              <w:ind w:left="227" w:hanging="227"/>
              <w:rPr>
                <w:rFonts w:cs="Arial"/>
                <w:szCs w:val="18"/>
                <w:lang w:eastAsia="ja-JP"/>
              </w:rPr>
            </w:pPr>
            <w:r w:rsidRPr="00B02E86">
              <w:rPr>
                <w:rFonts w:cs="Arial" w:hint="eastAsia"/>
                <w:szCs w:val="18"/>
                <w:lang w:eastAsia="ja-JP"/>
              </w:rPr>
              <w:t>-</w:t>
            </w:r>
            <w:r w:rsidRPr="00B02E86">
              <w:rPr>
                <w:rFonts w:cs="Arial"/>
                <w:szCs w:val="18"/>
                <w:lang w:eastAsia="ja-JP"/>
              </w:rPr>
              <w:tab/>
            </w:r>
            <w:r w:rsidRPr="00B02E86">
              <w:rPr>
                <w:rFonts w:cs="Arial" w:hint="eastAsia"/>
                <w:szCs w:val="18"/>
                <w:lang w:eastAsia="ja-JP"/>
              </w:rPr>
              <w:t>Proposals at CAJ and CAJ-AG</w:t>
            </w:r>
            <w:r w:rsidRPr="00B02E86">
              <w:rPr>
                <w:rFonts w:cs="Arial"/>
                <w:szCs w:val="18"/>
                <w:lang w:eastAsia="ja-JP"/>
              </w:rPr>
              <w:t xml:space="preserve">: </w:t>
            </w:r>
            <w:r w:rsidRPr="00B02E86">
              <w:rPr>
                <w:rFonts w:cs="Arial" w:hint="eastAsia"/>
                <w:szCs w:val="18"/>
                <w:lang w:eastAsia="ja-JP"/>
              </w:rPr>
              <w:t xml:space="preserve"> </w:t>
            </w:r>
            <w:r w:rsidRPr="00B02E86">
              <w:rPr>
                <w:rFonts w:cs="Arial"/>
                <w:szCs w:val="18"/>
                <w:highlight w:val="lightGray"/>
                <w:lang w:eastAsia="ja-JP"/>
              </w:rPr>
              <w:t>grey highlighted</w:t>
            </w:r>
          </w:p>
          <w:p w:rsidR="00EA4900" w:rsidRPr="00B02E86" w:rsidRDefault="00EA4900" w:rsidP="00E27D83">
            <w:pPr>
              <w:ind w:left="227" w:hanging="227"/>
              <w:rPr>
                <w:rFonts w:cs="Arial"/>
                <w:szCs w:val="18"/>
                <w:lang w:eastAsia="ja-JP"/>
              </w:rPr>
            </w:pPr>
            <w:r w:rsidRPr="00B02E86">
              <w:rPr>
                <w:rFonts w:cs="Arial" w:hint="eastAsia"/>
                <w:szCs w:val="18"/>
                <w:lang w:eastAsia="ja-JP"/>
              </w:rPr>
              <w:t>-</w:t>
            </w:r>
            <w:r w:rsidRPr="00B02E86">
              <w:rPr>
                <w:rFonts w:cs="Arial"/>
                <w:szCs w:val="18"/>
                <w:lang w:eastAsia="ja-JP"/>
              </w:rPr>
              <w:tab/>
            </w:r>
            <w:r w:rsidRPr="00B02E86">
              <w:rPr>
                <w:rFonts w:cs="Arial" w:hint="eastAsia"/>
                <w:szCs w:val="18"/>
                <w:lang w:eastAsia="ja-JP"/>
              </w:rPr>
              <w:t>Proposals at WG-DST</w:t>
            </w:r>
            <w:r w:rsidRPr="00B02E86">
              <w:rPr>
                <w:rFonts w:cs="Arial"/>
                <w:szCs w:val="18"/>
                <w:lang w:eastAsia="ja-JP"/>
              </w:rPr>
              <w:t>:</w:t>
            </w:r>
            <w:r w:rsidRPr="00B02E86">
              <w:rPr>
                <w:rFonts w:cs="Arial" w:hint="eastAsia"/>
                <w:szCs w:val="18"/>
                <w:lang w:eastAsia="ja-JP"/>
              </w:rPr>
              <w:t xml:space="preserve"> </w:t>
            </w:r>
            <w:r w:rsidRPr="00B02E86">
              <w:rPr>
                <w:rFonts w:cs="Arial"/>
                <w:szCs w:val="18"/>
                <w:highlight w:val="lightGray"/>
                <w:lang w:eastAsia="ja-JP"/>
              </w:rPr>
              <w:t>grey highlighted</w:t>
            </w:r>
          </w:p>
          <w:p w:rsidR="00EA4900" w:rsidRPr="00B02E86" w:rsidRDefault="00EA4900" w:rsidP="00E27D83">
            <w:pPr>
              <w:ind w:left="227" w:hanging="227"/>
              <w:rPr>
                <w:rFonts w:cs="Arial"/>
                <w:szCs w:val="18"/>
                <w:lang w:eastAsia="ja-JP"/>
              </w:rPr>
            </w:pPr>
            <w:r w:rsidRPr="00B02E86">
              <w:rPr>
                <w:rFonts w:cs="Arial" w:hint="eastAsia"/>
                <w:szCs w:val="18"/>
                <w:lang w:eastAsia="ja-JP"/>
              </w:rPr>
              <w:t>-</w:t>
            </w:r>
            <w:r w:rsidRPr="00B02E86">
              <w:rPr>
                <w:rFonts w:cs="Arial"/>
                <w:szCs w:val="18"/>
                <w:lang w:eastAsia="ja-JP"/>
              </w:rPr>
              <w:tab/>
            </w:r>
            <w:r w:rsidRPr="00B02E86">
              <w:rPr>
                <w:rFonts w:cs="Arial" w:hint="eastAsia"/>
                <w:szCs w:val="18"/>
                <w:lang w:eastAsia="ja-JP"/>
              </w:rPr>
              <w:t>Proposals at WG-DEN, at its first</w:t>
            </w:r>
            <w:r w:rsidR="002040C1">
              <w:rPr>
                <w:rFonts w:cs="Arial"/>
                <w:szCs w:val="18"/>
                <w:lang w:eastAsia="ja-JP"/>
              </w:rPr>
              <w:t xml:space="preserve"> to </w:t>
            </w:r>
            <w:r w:rsidR="000D4B81">
              <w:rPr>
                <w:rFonts w:cs="Arial"/>
                <w:szCs w:val="18"/>
                <w:lang w:eastAsia="ja-JP"/>
              </w:rPr>
              <w:t>third</w:t>
            </w:r>
            <w:r w:rsidRPr="00B02E86">
              <w:rPr>
                <w:rFonts w:cs="Arial"/>
                <w:szCs w:val="18"/>
                <w:lang w:eastAsia="ja-JP"/>
              </w:rPr>
              <w:t xml:space="preserve"> </w:t>
            </w:r>
            <w:r w:rsidRPr="00B02E86">
              <w:rPr>
                <w:rFonts w:cs="Arial" w:hint="eastAsia"/>
                <w:szCs w:val="18"/>
                <w:lang w:eastAsia="ja-JP"/>
              </w:rPr>
              <w:t>meet</w:t>
            </w:r>
            <w:r>
              <w:rPr>
                <w:rFonts w:cs="Arial" w:hint="eastAsia"/>
                <w:szCs w:val="18"/>
                <w:lang w:eastAsia="ja-JP"/>
              </w:rPr>
              <w:t xml:space="preserve">ing, and </w:t>
            </w:r>
            <w:r w:rsidRPr="000D4B81">
              <w:rPr>
                <w:rFonts w:cs="Arial" w:hint="eastAsia"/>
                <w:szCs w:val="18"/>
                <w:lang w:eastAsia="ja-JP"/>
              </w:rPr>
              <w:t>UPOV Circular E-16/088</w:t>
            </w:r>
            <w:r w:rsidRPr="000D4B81">
              <w:rPr>
                <w:rFonts w:cs="Arial"/>
                <w:szCs w:val="18"/>
                <w:lang w:eastAsia="ja-JP"/>
              </w:rPr>
              <w:br/>
            </w:r>
            <w:r w:rsidRPr="000D4B81">
              <w:rPr>
                <w:rFonts w:cs="Arial" w:hint="eastAsia"/>
                <w:szCs w:val="18"/>
                <w:lang w:eastAsia="ja-JP"/>
              </w:rPr>
              <w:t>of April 13, 2016</w:t>
            </w:r>
            <w:r w:rsidRPr="00B02E86">
              <w:rPr>
                <w:rFonts w:cs="Arial"/>
                <w:szCs w:val="18"/>
                <w:lang w:eastAsia="ja-JP"/>
              </w:rPr>
              <w:t xml:space="preserve">: </w:t>
            </w:r>
            <w:r w:rsidRPr="00B02E86">
              <w:rPr>
                <w:rFonts w:cs="Arial" w:hint="eastAsia"/>
                <w:szCs w:val="18"/>
                <w:lang w:eastAsia="ja-JP"/>
              </w:rPr>
              <w:t xml:space="preserve"> </w:t>
            </w:r>
            <w:r w:rsidRPr="00B02E86">
              <w:rPr>
                <w:rFonts w:cs="Arial"/>
                <w:szCs w:val="18"/>
                <w:highlight w:val="lightGray"/>
                <w:shd w:val="clear" w:color="auto" w:fill="F2F2F2" w:themeFill="background1" w:themeFillShade="F2"/>
                <w:lang w:eastAsia="ja-JP"/>
              </w:rPr>
              <w:t>grey highlighted</w:t>
            </w:r>
          </w:p>
          <w:p w:rsidR="00EA4900" w:rsidRPr="00B02E86" w:rsidRDefault="00EA4900" w:rsidP="00E27D83">
            <w:pPr>
              <w:ind w:left="227" w:hanging="227"/>
              <w:rPr>
                <w:rFonts w:cs="Arial"/>
                <w:szCs w:val="18"/>
                <w:lang w:eastAsia="ja-JP"/>
              </w:rPr>
            </w:pPr>
            <w:r w:rsidRPr="00B02E86">
              <w:rPr>
                <w:rFonts w:cs="Arial" w:hint="eastAsia"/>
                <w:szCs w:val="18"/>
                <w:lang w:eastAsia="ja-JP"/>
              </w:rPr>
              <w:t>-</w:t>
            </w:r>
            <w:r w:rsidRPr="00B02E86">
              <w:rPr>
                <w:rFonts w:cs="Arial"/>
                <w:szCs w:val="18"/>
                <w:lang w:eastAsia="ja-JP"/>
              </w:rPr>
              <w:tab/>
            </w:r>
            <w:r w:rsidRPr="00B02E86">
              <w:rPr>
                <w:rFonts w:cs="Arial" w:hint="eastAsia"/>
                <w:szCs w:val="18"/>
                <w:lang w:eastAsia="ja-JP"/>
              </w:rPr>
              <w:t xml:space="preserve">Information provided for consideration at the WG-DEN, at its </w:t>
            </w:r>
            <w:r w:rsidR="002040C1">
              <w:rPr>
                <w:rFonts w:cs="Arial"/>
                <w:szCs w:val="18"/>
                <w:lang w:eastAsia="ja-JP"/>
              </w:rPr>
              <w:t>f</w:t>
            </w:r>
            <w:r w:rsidR="000D4B81">
              <w:rPr>
                <w:rFonts w:cs="Arial"/>
                <w:szCs w:val="18"/>
                <w:lang w:eastAsia="ja-JP"/>
              </w:rPr>
              <w:t>our</w:t>
            </w:r>
            <w:r w:rsidR="002040C1">
              <w:rPr>
                <w:rFonts w:cs="Arial"/>
                <w:szCs w:val="18"/>
                <w:lang w:eastAsia="ja-JP"/>
              </w:rPr>
              <w:t>th</w:t>
            </w:r>
            <w:r w:rsidRPr="00B02E86">
              <w:rPr>
                <w:rFonts w:cs="Arial" w:hint="eastAsia"/>
                <w:szCs w:val="18"/>
                <w:lang w:eastAsia="ja-JP"/>
              </w:rPr>
              <w:t xml:space="preserve"> meeting</w:t>
            </w:r>
            <w:r w:rsidRPr="00B02E86">
              <w:rPr>
                <w:rFonts w:cs="Arial"/>
                <w:szCs w:val="18"/>
                <w:lang w:eastAsia="ja-JP"/>
              </w:rPr>
              <w:t xml:space="preserve">: </w:t>
            </w:r>
            <w:r w:rsidRPr="00B02E86">
              <w:rPr>
                <w:rFonts w:cs="Arial" w:hint="eastAsia"/>
                <w:szCs w:val="18"/>
                <w:lang w:eastAsia="ja-JP"/>
              </w:rPr>
              <w:t xml:space="preserve"> </w:t>
            </w:r>
            <w:r w:rsidRPr="00B02E86">
              <w:rPr>
                <w:rFonts w:cs="Arial"/>
                <w:szCs w:val="18"/>
                <w:highlight w:val="lightGray"/>
                <w:shd w:val="clear" w:color="auto" w:fill="F2F2F2" w:themeFill="background1" w:themeFillShade="F2"/>
                <w:lang w:eastAsia="ja-JP"/>
              </w:rPr>
              <w:t>grey highlighted</w:t>
            </w:r>
          </w:p>
          <w:p w:rsidR="00EA4900" w:rsidRPr="00B02E86" w:rsidRDefault="00EA4900" w:rsidP="00E27D83">
            <w:pPr>
              <w:ind w:left="227" w:hanging="227"/>
              <w:rPr>
                <w:rFonts w:cs="Arial"/>
                <w:b/>
                <w:szCs w:val="18"/>
                <w:lang w:eastAsia="ja-JP"/>
              </w:rPr>
            </w:pPr>
            <w:r w:rsidRPr="00B02E86">
              <w:rPr>
                <w:rFonts w:cs="Arial" w:hint="eastAsia"/>
                <w:szCs w:val="18"/>
                <w:lang w:eastAsia="ja-JP"/>
              </w:rPr>
              <w:t>-</w:t>
            </w:r>
            <w:r w:rsidRPr="00B02E86">
              <w:rPr>
                <w:rFonts w:cs="Arial"/>
                <w:szCs w:val="18"/>
                <w:lang w:eastAsia="ja-JP"/>
              </w:rPr>
              <w:tab/>
            </w:r>
            <w:r w:rsidRPr="00B02E86">
              <w:rPr>
                <w:rFonts w:cs="Arial" w:hint="eastAsia"/>
                <w:szCs w:val="18"/>
                <w:lang w:eastAsia="ja-JP"/>
              </w:rPr>
              <w:t xml:space="preserve">Proposals at WG-DEN, at its </w:t>
            </w:r>
            <w:r w:rsidR="002040C1">
              <w:rPr>
                <w:rFonts w:cs="Arial"/>
                <w:szCs w:val="18"/>
                <w:lang w:eastAsia="ja-JP"/>
              </w:rPr>
              <w:t>f</w:t>
            </w:r>
            <w:r w:rsidR="000D4B81">
              <w:rPr>
                <w:rFonts w:cs="Arial"/>
                <w:szCs w:val="18"/>
                <w:lang w:eastAsia="ja-JP"/>
              </w:rPr>
              <w:t>ourth</w:t>
            </w:r>
            <w:r w:rsidRPr="00B02E86">
              <w:rPr>
                <w:rFonts w:cs="Arial" w:hint="eastAsia"/>
                <w:szCs w:val="18"/>
                <w:lang w:eastAsia="ja-JP"/>
              </w:rPr>
              <w:t xml:space="preserve"> meeting</w:t>
            </w:r>
            <w:r w:rsidRPr="00B02E86">
              <w:rPr>
                <w:rFonts w:cs="Arial"/>
                <w:szCs w:val="18"/>
                <w:lang w:eastAsia="ja-JP"/>
              </w:rPr>
              <w:t>:</w:t>
            </w:r>
            <w:r w:rsidRPr="00B02E86">
              <w:rPr>
                <w:rFonts w:cs="Arial" w:hint="eastAsia"/>
                <w:szCs w:val="18"/>
                <w:lang w:eastAsia="ja-JP"/>
              </w:rPr>
              <w:t xml:space="preserve"> </w:t>
            </w:r>
            <w:r w:rsidRPr="00B02E86">
              <w:rPr>
                <w:rFonts w:cs="Arial"/>
                <w:szCs w:val="18"/>
                <w:lang w:eastAsia="ja-JP"/>
              </w:rPr>
              <w:t xml:space="preserve"> </w:t>
            </w:r>
            <w:r w:rsidRPr="00B02E86">
              <w:rPr>
                <w:rFonts w:cs="Arial" w:hint="eastAsia"/>
                <w:szCs w:val="18"/>
                <w:highlight w:val="yellow"/>
                <w:lang w:eastAsia="ja-JP"/>
              </w:rPr>
              <w:t>yellow highlighted</w:t>
            </w:r>
          </w:p>
          <w:p w:rsidR="00EA4900" w:rsidRPr="00B02E86" w:rsidRDefault="00EA4900" w:rsidP="00E27D83">
            <w:pPr>
              <w:rPr>
                <w:rFonts w:cs="Arial"/>
                <w:szCs w:val="18"/>
              </w:rPr>
            </w:pPr>
          </w:p>
        </w:tc>
      </w:tr>
    </w:tbl>
    <w:p w:rsidR="00EA4900" w:rsidRDefault="00EA4900" w:rsidP="00EA4900">
      <w:pPr>
        <w:rPr>
          <w:snapToGrid w:val="0"/>
        </w:rPr>
      </w:pPr>
    </w:p>
    <w:p w:rsidR="00EA4900" w:rsidRDefault="00EA4900" w:rsidP="00EA4900">
      <w:pPr>
        <w:rPr>
          <w:snapToGrid w:val="0"/>
        </w:rPr>
      </w:pPr>
    </w:p>
    <w:p w:rsidR="00EA4900" w:rsidRDefault="00EA4900" w:rsidP="00EA4900">
      <w:pPr>
        <w:jc w:val="left"/>
        <w:rPr>
          <w:snapToGrid w:val="0"/>
        </w:rPr>
      </w:pPr>
      <w:r>
        <w:rPr>
          <w:snapToGrid w:val="0"/>
        </w:rPr>
        <w:br w:type="page"/>
      </w:r>
    </w:p>
    <w:p w:rsidR="00EA4900" w:rsidRPr="00407B23" w:rsidRDefault="00EA4900" w:rsidP="00EA4900">
      <w:pPr>
        <w:jc w:val="center"/>
      </w:pPr>
      <w:r w:rsidRPr="00407B23">
        <w:lastRenderedPageBreak/>
        <w:t>EXPLANATORY NOTES ON VARIETY DENOMINATIONS</w:t>
      </w:r>
    </w:p>
    <w:p w:rsidR="00EA4900" w:rsidRPr="00407B23" w:rsidRDefault="00EA4900" w:rsidP="00EA4900">
      <w:pPr>
        <w:jc w:val="center"/>
      </w:pPr>
      <w:r w:rsidRPr="00407B23">
        <w:t>UNDER THE UPOV CONVENTION</w:t>
      </w:r>
    </w:p>
    <w:p w:rsidR="00EA4900" w:rsidRDefault="00EA4900" w:rsidP="00EA4900"/>
    <w:p w:rsidR="00E12BF5" w:rsidRDefault="00E12BF5" w:rsidP="00EA4900">
      <w:pPr>
        <w:jc w:val="center"/>
        <w:rPr>
          <w:i/>
        </w:rPr>
      </w:pPr>
    </w:p>
    <w:p w:rsidR="00EA4900" w:rsidRPr="00407B23" w:rsidRDefault="00EA4900" w:rsidP="00EA4900">
      <w:pPr>
        <w:jc w:val="center"/>
        <w:rPr>
          <w:i/>
        </w:rPr>
      </w:pPr>
      <w:r w:rsidRPr="00407B23">
        <w:rPr>
          <w:i/>
        </w:rPr>
        <w:t>Preamble</w:t>
      </w:r>
    </w:p>
    <w:p w:rsidR="00EA4900" w:rsidRPr="00407B23" w:rsidRDefault="00EA4900" w:rsidP="00EA4900"/>
    <w:p w:rsidR="00EA4900" w:rsidRPr="00407B23" w:rsidRDefault="00EA4900" w:rsidP="00EA4900">
      <w:r w:rsidRPr="00407B23">
        <w:t>1.</w:t>
      </w:r>
      <w:r w:rsidRPr="00407B23">
        <w:tab/>
        <w:t xml:space="preserve">The Council of the International Union for the Protection of New Varieties of Plants (UPOV) refers to the International Convention for the Protection of New Varieties of Plants (UPOV Convention), and in particular to Articles 5(2) and 20 of the 1991 Act, and Articles 6(1)(e) and 13 of the 1978 Act and the 1961 Convention, which provides that a variety must be given a suitable denomination which will be registered at the same time as the breeder’s right is granted. </w:t>
      </w:r>
    </w:p>
    <w:p w:rsidR="00EA4900" w:rsidRPr="00407B23" w:rsidRDefault="00EA4900" w:rsidP="00EA4900"/>
    <w:p w:rsidR="00EA4900" w:rsidRPr="00407B23" w:rsidRDefault="00EA4900" w:rsidP="00EA4900">
      <w:r w:rsidRPr="00407B23">
        <w:t>2.</w:t>
      </w:r>
      <w:r w:rsidRPr="00407B23">
        <w:tab/>
        <w:t>The Council recalls that, according to the relevant provisions of the UPOV Convention, a variety denomination must be suitable as a generic designation and must enable the variety to be identified; it must not be liable to mislead or to cause confusion concerning the characteristics, value or identity of the variety or the identity of the breeder.</w:t>
      </w:r>
    </w:p>
    <w:p w:rsidR="00EA4900" w:rsidRPr="00407B23" w:rsidRDefault="00EA4900" w:rsidP="00EA4900"/>
    <w:p w:rsidR="00EA4900" w:rsidRDefault="00EA4900" w:rsidP="00EA4900">
      <w:r w:rsidRPr="00407B23">
        <w:t>3.</w:t>
      </w:r>
      <w:r w:rsidRPr="00407B23">
        <w:tab/>
        <w:t>The Council emphasizes that the main purpose of these Explanatory Notes is to ensure that, as far as possible, protected varieties are designated in all members of the Union</w:t>
      </w:r>
      <w:r w:rsidRPr="00407B23">
        <w:rPr>
          <w:rStyle w:val="FootnoteReference"/>
        </w:rPr>
        <w:footnoteReference w:id="2"/>
      </w:r>
      <w:r w:rsidRPr="00407B23">
        <w:t xml:space="preserve"> by the same variety denomination, that the approved variety denominations establish themselves as the generic designations and that they are used in the offering for sale or marketing of propagating material of the variety, even after the expiration of the breeder’s right.</w:t>
      </w:r>
    </w:p>
    <w:p w:rsidR="00EA4900" w:rsidRPr="00407B23" w:rsidRDefault="00EA4900" w:rsidP="00EA4900"/>
    <w:p w:rsidR="00EA4900" w:rsidRDefault="00EA4900" w:rsidP="00EA4900"/>
    <w:tbl>
      <w:tblPr>
        <w:tblW w:w="9813" w:type="dxa"/>
        <w:tblInd w:w="15" w:type="dxa"/>
        <w:tblBorders>
          <w:top w:val="single" w:sz="4" w:space="0" w:color="auto"/>
          <w:left w:val="single" w:sz="4" w:space="0" w:color="auto"/>
          <w:bottom w:val="single" w:sz="4" w:space="0" w:color="auto"/>
          <w:right w:val="single" w:sz="4" w:space="0" w:color="auto"/>
        </w:tblBorders>
        <w:tblCellMar>
          <w:top w:w="142" w:type="dxa"/>
          <w:left w:w="85" w:type="dxa"/>
          <w:bottom w:w="142" w:type="dxa"/>
          <w:right w:w="85" w:type="dxa"/>
        </w:tblCellMar>
        <w:tblLook w:val="04A0" w:firstRow="1" w:lastRow="0" w:firstColumn="1" w:lastColumn="0" w:noHBand="0" w:noVBand="1"/>
      </w:tblPr>
      <w:tblGrid>
        <w:gridCol w:w="9813"/>
      </w:tblGrid>
      <w:tr w:rsidR="004A0FEE" w:rsidRPr="004A0FEE" w:rsidTr="005B58CF">
        <w:tc>
          <w:tcPr>
            <w:tcW w:w="9813" w:type="dxa"/>
            <w:shd w:val="clear" w:color="auto" w:fill="D9D9D9" w:themeFill="background1" w:themeFillShade="D9"/>
          </w:tcPr>
          <w:p w:rsidR="004A0FEE" w:rsidRPr="004A0FEE" w:rsidRDefault="004A0FEE" w:rsidP="004A0FEE">
            <w:pPr>
              <w:pageBreakBefore/>
              <w:rPr>
                <w:color w:val="000000"/>
                <w:sz w:val="18"/>
                <w:szCs w:val="18"/>
                <w:highlight w:val="darkGray"/>
                <w:u w:val="single"/>
              </w:rPr>
            </w:pPr>
            <w:r w:rsidRPr="004A0FEE">
              <w:rPr>
                <w:rFonts w:hint="eastAsia"/>
                <w:color w:val="000000"/>
                <w:sz w:val="18"/>
                <w:szCs w:val="18"/>
                <w:highlight w:val="darkGray"/>
                <w:u w:val="single"/>
                <w:lang w:eastAsia="ja-JP"/>
              </w:rPr>
              <w:lastRenderedPageBreak/>
              <w:t>T</w:t>
            </w:r>
            <w:r w:rsidRPr="004A0FEE">
              <w:rPr>
                <w:color w:val="000000"/>
                <w:sz w:val="18"/>
                <w:szCs w:val="18"/>
                <w:highlight w:val="darkGray"/>
                <w:u w:val="single"/>
              </w:rPr>
              <w:t xml:space="preserve">he </w:t>
            </w:r>
            <w:r w:rsidRPr="004A0FEE">
              <w:rPr>
                <w:rFonts w:hint="eastAsia"/>
                <w:color w:val="000000"/>
                <w:sz w:val="18"/>
                <w:szCs w:val="18"/>
                <w:highlight w:val="darkGray"/>
                <w:u w:val="single"/>
                <w:lang w:eastAsia="ja-JP"/>
              </w:rPr>
              <w:t>WG-DEN</w:t>
            </w:r>
            <w:r w:rsidRPr="004A0FEE">
              <w:rPr>
                <w:color w:val="000000"/>
                <w:sz w:val="18"/>
                <w:szCs w:val="18"/>
                <w:highlight w:val="darkGray"/>
                <w:u w:val="single"/>
                <w:lang w:eastAsia="ja-JP"/>
              </w:rPr>
              <w:t>, at its third meeting</w:t>
            </w:r>
            <w:r w:rsidR="00FE49B7" w:rsidRPr="006A3091">
              <w:rPr>
                <w:color w:val="000000"/>
                <w:sz w:val="18"/>
                <w:szCs w:val="18"/>
                <w:lang w:eastAsia="ja-JP"/>
              </w:rPr>
              <w:t xml:space="preserve"> </w:t>
            </w:r>
            <w:r w:rsidR="006A3091" w:rsidRPr="006A3091">
              <w:rPr>
                <w:rStyle w:val="EndnoteReference"/>
                <w:color w:val="000000"/>
                <w:sz w:val="18"/>
                <w:szCs w:val="18"/>
                <w:lang w:eastAsia="ja-JP"/>
              </w:rPr>
              <w:endnoteReference w:id="2"/>
            </w:r>
          </w:p>
          <w:p w:rsidR="004A0FEE" w:rsidRPr="004A0FEE" w:rsidRDefault="004A0FEE" w:rsidP="004A0FEE">
            <w:pPr>
              <w:rPr>
                <w:sz w:val="18"/>
                <w:szCs w:val="18"/>
                <w:highlight w:val="darkGray"/>
                <w:lang w:eastAsia="ja-JP"/>
              </w:rPr>
            </w:pPr>
          </w:p>
          <w:p w:rsidR="004A0FEE" w:rsidRPr="004A0FEE" w:rsidRDefault="004A0FEE" w:rsidP="004A0FEE">
            <w:pPr>
              <w:rPr>
                <w:sz w:val="18"/>
                <w:szCs w:val="18"/>
                <w:highlight w:val="darkGray"/>
              </w:rPr>
            </w:pPr>
            <w:r w:rsidRPr="004A0FEE">
              <w:rPr>
                <w:sz w:val="18"/>
                <w:szCs w:val="18"/>
                <w:highlight w:val="darkGray"/>
              </w:rPr>
              <w:t>The WG-DEN agreed to issue a circular in order to explore the frequency that UPOV members were faced with existing denominations that did not meet their own criteria and the frequency that synonyms were created as a result.  In addition, the WG-DEN agreed to issue a circular to users on whether the current practices created problems (</w:t>
            </w:r>
            <w:r w:rsidRPr="004A0FEE">
              <w:rPr>
                <w:sz w:val="18"/>
                <w:szCs w:val="18"/>
                <w:highlight w:val="darkGray"/>
                <w:lang w:eastAsia="ja-JP"/>
              </w:rPr>
              <w:t xml:space="preserve">see </w:t>
            </w:r>
            <w:r w:rsidRPr="004A0FEE">
              <w:rPr>
                <w:rFonts w:hint="eastAsia"/>
                <w:sz w:val="18"/>
                <w:szCs w:val="18"/>
                <w:highlight w:val="darkGray"/>
                <w:lang w:eastAsia="ja-JP"/>
              </w:rPr>
              <w:t xml:space="preserve">document </w:t>
            </w:r>
            <w:hyperlink r:id="rId12" w:history="1">
              <w:r w:rsidRPr="004A0FEE">
                <w:rPr>
                  <w:rFonts w:hint="eastAsia"/>
                  <w:color w:val="0000FF"/>
                  <w:sz w:val="18"/>
                  <w:szCs w:val="18"/>
                  <w:highlight w:val="darkGray"/>
                  <w:u w:val="single"/>
                  <w:lang w:eastAsia="ja-JP"/>
                </w:rPr>
                <w:t>UPOV/WG-DEN/</w:t>
              </w:r>
              <w:r w:rsidRPr="004A0FEE">
                <w:rPr>
                  <w:color w:val="0000FF"/>
                  <w:sz w:val="18"/>
                  <w:szCs w:val="18"/>
                  <w:highlight w:val="darkGray"/>
                  <w:u w:val="single"/>
                  <w:lang w:eastAsia="ja-JP"/>
                </w:rPr>
                <w:t>4</w:t>
              </w:r>
              <w:r w:rsidRPr="004A0FEE">
                <w:rPr>
                  <w:rFonts w:hint="eastAsia"/>
                  <w:color w:val="0000FF"/>
                  <w:sz w:val="18"/>
                  <w:szCs w:val="18"/>
                  <w:highlight w:val="darkGray"/>
                  <w:u w:val="single"/>
                  <w:lang w:eastAsia="ja-JP"/>
                </w:rPr>
                <w:t>/</w:t>
              </w:r>
              <w:r w:rsidRPr="004A0FEE">
                <w:rPr>
                  <w:color w:val="0000FF"/>
                  <w:sz w:val="18"/>
                  <w:szCs w:val="18"/>
                  <w:highlight w:val="darkGray"/>
                  <w:u w:val="single"/>
                  <w:lang w:eastAsia="ja-JP"/>
                </w:rPr>
                <w:t>2</w:t>
              </w:r>
            </w:hyperlink>
            <w:r w:rsidRPr="004A0FEE">
              <w:rPr>
                <w:rFonts w:hint="eastAsia"/>
                <w:sz w:val="18"/>
                <w:szCs w:val="18"/>
                <w:highlight w:val="darkGray"/>
                <w:lang w:eastAsia="ja-JP"/>
              </w:rPr>
              <w:t xml:space="preserve"> </w:t>
            </w:r>
            <w:r w:rsidRPr="004A0FEE">
              <w:rPr>
                <w:sz w:val="18"/>
                <w:szCs w:val="18"/>
                <w:highlight w:val="darkGray"/>
                <w:lang w:eastAsia="ja-JP"/>
              </w:rPr>
              <w:t>“Revision of document UPOV/INF/12/5 ‘Explanatory Notes on Variety Denominations under the UPOV Convention’”, Annexes II to VIII</w:t>
            </w:r>
            <w:r w:rsidRPr="004A0FEE">
              <w:rPr>
                <w:sz w:val="18"/>
                <w:szCs w:val="18"/>
                <w:highlight w:val="darkGray"/>
              </w:rPr>
              <w:t>).</w:t>
            </w:r>
          </w:p>
          <w:p w:rsidR="004A0FEE" w:rsidRPr="004A0FEE" w:rsidRDefault="004A0FEE" w:rsidP="004A0FEE">
            <w:pPr>
              <w:rPr>
                <w:sz w:val="18"/>
                <w:szCs w:val="18"/>
                <w:highlight w:val="darkGray"/>
              </w:rPr>
            </w:pPr>
          </w:p>
          <w:p w:rsidR="004A0FEE" w:rsidRPr="004A0FEE" w:rsidRDefault="004A0FEE" w:rsidP="004A0FEE">
            <w:pPr>
              <w:rPr>
                <w:sz w:val="18"/>
                <w:szCs w:val="18"/>
                <w:highlight w:val="darkGray"/>
              </w:rPr>
            </w:pPr>
          </w:p>
          <w:p w:rsidR="004A0FEE" w:rsidRPr="004A0FEE" w:rsidRDefault="004A0FEE" w:rsidP="004A0FEE">
            <w:pPr>
              <w:keepNext/>
              <w:rPr>
                <w:sz w:val="18"/>
                <w:szCs w:val="18"/>
                <w:highlight w:val="darkGray"/>
                <w:u w:val="single"/>
              </w:rPr>
            </w:pPr>
            <w:r w:rsidRPr="004A0FEE">
              <w:rPr>
                <w:sz w:val="18"/>
                <w:szCs w:val="18"/>
                <w:highlight w:val="darkGray"/>
                <w:u w:val="single"/>
              </w:rPr>
              <w:t>Summary of results of circular E-17/135 to members of the Union</w:t>
            </w:r>
          </w:p>
          <w:p w:rsidR="004A0FEE" w:rsidRPr="004A0FEE" w:rsidRDefault="004A0FEE" w:rsidP="004A0FEE">
            <w:pPr>
              <w:keepNext/>
              <w:rPr>
                <w:sz w:val="18"/>
                <w:szCs w:val="18"/>
                <w:highlight w:val="darkGray"/>
              </w:rPr>
            </w:pPr>
          </w:p>
          <w:p w:rsidR="004A0FEE" w:rsidRPr="004A0FEE" w:rsidRDefault="004A0FEE" w:rsidP="004A0FEE">
            <w:pPr>
              <w:spacing w:after="120"/>
              <w:ind w:left="567" w:hanging="283"/>
              <w:rPr>
                <w:sz w:val="18"/>
                <w:szCs w:val="18"/>
                <w:highlight w:val="darkGray"/>
              </w:rPr>
            </w:pPr>
            <w:r w:rsidRPr="004A0FEE">
              <w:rPr>
                <w:sz w:val="18"/>
                <w:szCs w:val="18"/>
                <w:highlight w:val="darkGray"/>
              </w:rPr>
              <w:t>-</w:t>
            </w:r>
            <w:r w:rsidRPr="004A0FEE">
              <w:rPr>
                <w:sz w:val="18"/>
                <w:szCs w:val="18"/>
                <w:highlight w:val="darkGray"/>
              </w:rPr>
              <w:tab/>
              <w:t>Provide the number of denominations, in the past 12 months, that had previously been accepted by another member of the Union that did not meet the criteria for acceptance in your territory and, of those, the number that:</w:t>
            </w:r>
          </w:p>
          <w:p w:rsidR="004A0FEE" w:rsidRPr="004A0FEE" w:rsidRDefault="004A0FEE" w:rsidP="004A0FEE">
            <w:pPr>
              <w:numPr>
                <w:ilvl w:val="1"/>
                <w:numId w:val="25"/>
              </w:numPr>
              <w:ind w:left="993" w:hanging="283"/>
              <w:rPr>
                <w:rFonts w:eastAsia="MS Mincho"/>
                <w:sz w:val="18"/>
                <w:szCs w:val="18"/>
                <w:highlight w:val="darkGray"/>
              </w:rPr>
            </w:pPr>
            <w:r w:rsidRPr="004A0FEE">
              <w:rPr>
                <w:rFonts w:eastAsia="MS Mincho"/>
                <w:sz w:val="18"/>
                <w:szCs w:val="18"/>
                <w:highlight w:val="darkGray"/>
              </w:rPr>
              <w:t>were accepted in your territory despite the fact that they did not meet the criteria for acceptance in your territory</w:t>
            </w:r>
          </w:p>
          <w:p w:rsidR="004A0FEE" w:rsidRPr="004A0FEE" w:rsidRDefault="004A0FEE" w:rsidP="004A0FEE">
            <w:pPr>
              <w:rPr>
                <w:sz w:val="18"/>
                <w:szCs w:val="18"/>
                <w:highlight w:val="darkGray"/>
              </w:rPr>
            </w:pPr>
          </w:p>
          <w:tbl>
            <w:tblPr>
              <w:tblStyle w:val="TableGrid20"/>
              <w:tblW w:w="0" w:type="auto"/>
              <w:tblInd w:w="652" w:type="dxa"/>
              <w:tblCellMar>
                <w:top w:w="85" w:type="dxa"/>
                <w:left w:w="85" w:type="dxa"/>
                <w:bottom w:w="85" w:type="dxa"/>
                <w:right w:w="85" w:type="dxa"/>
              </w:tblCellMar>
              <w:tblLook w:val="04A0" w:firstRow="1" w:lastRow="0" w:firstColumn="1" w:lastColumn="0" w:noHBand="0" w:noVBand="1"/>
            </w:tblPr>
            <w:tblGrid>
              <w:gridCol w:w="2806"/>
              <w:gridCol w:w="6175"/>
            </w:tblGrid>
            <w:tr w:rsidR="004A0FEE" w:rsidRPr="004A0FEE" w:rsidTr="005B58CF">
              <w:tc>
                <w:tcPr>
                  <w:tcW w:w="2835" w:type="dxa"/>
                </w:tcPr>
                <w:p w:rsidR="004A0FEE" w:rsidRPr="004A0FEE" w:rsidRDefault="004A0FEE" w:rsidP="004A0FEE">
                  <w:pPr>
                    <w:rPr>
                      <w:sz w:val="18"/>
                      <w:szCs w:val="18"/>
                      <w:highlight w:val="darkGray"/>
                    </w:rPr>
                  </w:pPr>
                  <w:r w:rsidRPr="004A0FEE">
                    <w:rPr>
                      <w:sz w:val="18"/>
                      <w:szCs w:val="18"/>
                      <w:highlight w:val="darkGray"/>
                    </w:rPr>
                    <w:t>None</w:t>
                  </w:r>
                </w:p>
              </w:tc>
              <w:tc>
                <w:tcPr>
                  <w:tcW w:w="6237" w:type="dxa"/>
                </w:tcPr>
                <w:p w:rsidR="004A0FEE" w:rsidRPr="004A0FEE" w:rsidRDefault="004A0FEE" w:rsidP="004A0FEE">
                  <w:pPr>
                    <w:rPr>
                      <w:sz w:val="18"/>
                      <w:szCs w:val="18"/>
                      <w:highlight w:val="darkGray"/>
                    </w:rPr>
                  </w:pPr>
                  <w:r w:rsidRPr="004A0FEE">
                    <w:rPr>
                      <w:snapToGrid w:val="0"/>
                      <w:sz w:val="18"/>
                      <w:szCs w:val="18"/>
                      <w:highlight w:val="darkGray"/>
                      <w:lang w:val="en-GB"/>
                    </w:rPr>
                    <w:t>Australia,</w:t>
                  </w:r>
                  <w:r w:rsidRPr="004A0FEE">
                    <w:rPr>
                      <w:sz w:val="18"/>
                      <w:szCs w:val="18"/>
                      <w:highlight w:val="darkGray"/>
                      <w:lang w:val="en-GB"/>
                    </w:rPr>
                    <w:t xml:space="preserve"> South Africa</w:t>
                  </w:r>
                </w:p>
              </w:tc>
            </w:tr>
            <w:tr w:rsidR="004A0FEE" w:rsidRPr="004A0FEE" w:rsidTr="005B58CF">
              <w:tc>
                <w:tcPr>
                  <w:tcW w:w="2835" w:type="dxa"/>
                </w:tcPr>
                <w:p w:rsidR="004A0FEE" w:rsidRPr="004A0FEE" w:rsidRDefault="004A0FEE" w:rsidP="004A0FEE">
                  <w:pPr>
                    <w:rPr>
                      <w:sz w:val="18"/>
                      <w:szCs w:val="18"/>
                      <w:highlight w:val="darkGray"/>
                    </w:rPr>
                  </w:pPr>
                  <w:r w:rsidRPr="004A0FEE">
                    <w:rPr>
                      <w:sz w:val="18"/>
                      <w:szCs w:val="18"/>
                      <w:highlight w:val="darkGray"/>
                    </w:rPr>
                    <w:t>Some</w:t>
                  </w:r>
                </w:p>
              </w:tc>
              <w:tc>
                <w:tcPr>
                  <w:tcW w:w="6237" w:type="dxa"/>
                </w:tcPr>
                <w:p w:rsidR="004A0FEE" w:rsidRPr="004A0FEE" w:rsidRDefault="004A0FEE" w:rsidP="004A0FEE">
                  <w:pPr>
                    <w:rPr>
                      <w:sz w:val="18"/>
                      <w:szCs w:val="18"/>
                      <w:highlight w:val="darkGray"/>
                    </w:rPr>
                  </w:pPr>
                  <w:r w:rsidRPr="004A0FEE">
                    <w:rPr>
                      <w:color w:val="000000" w:themeColor="text1"/>
                      <w:sz w:val="18"/>
                      <w:szCs w:val="18"/>
                      <w:highlight w:val="darkGray"/>
                    </w:rPr>
                    <w:t>European Union (1)</w:t>
                  </w:r>
                  <w:r w:rsidRPr="004A0FEE">
                    <w:rPr>
                      <w:snapToGrid w:val="0"/>
                      <w:sz w:val="18"/>
                      <w:szCs w:val="18"/>
                      <w:highlight w:val="darkGray"/>
                    </w:rPr>
                    <w:t>, Netherlands (1), New Zealand</w:t>
                  </w:r>
                  <w:r w:rsidRPr="004A0FEE">
                    <w:rPr>
                      <w:sz w:val="18"/>
                      <w:szCs w:val="18"/>
                      <w:highlight w:val="darkGray"/>
                    </w:rPr>
                    <w:t xml:space="preserve"> (2)</w:t>
                  </w:r>
                </w:p>
              </w:tc>
            </w:tr>
          </w:tbl>
          <w:p w:rsidR="004A0FEE" w:rsidRPr="004A0FEE" w:rsidRDefault="004A0FEE" w:rsidP="004A0FEE">
            <w:pPr>
              <w:rPr>
                <w:sz w:val="18"/>
                <w:szCs w:val="18"/>
                <w:highlight w:val="darkGray"/>
              </w:rPr>
            </w:pPr>
          </w:p>
          <w:p w:rsidR="004A0FEE" w:rsidRPr="004A0FEE" w:rsidRDefault="004A0FEE" w:rsidP="004A0FEE">
            <w:pPr>
              <w:numPr>
                <w:ilvl w:val="1"/>
                <w:numId w:val="25"/>
              </w:numPr>
              <w:ind w:left="993" w:hanging="283"/>
              <w:rPr>
                <w:rFonts w:eastAsia="MS Mincho"/>
                <w:sz w:val="18"/>
                <w:szCs w:val="18"/>
                <w:highlight w:val="darkGray"/>
              </w:rPr>
            </w:pPr>
            <w:r w:rsidRPr="004A0FEE">
              <w:rPr>
                <w:rFonts w:eastAsia="MS Mincho"/>
                <w:sz w:val="18"/>
                <w:szCs w:val="18"/>
                <w:highlight w:val="darkGray"/>
              </w:rPr>
              <w:t>were rejected in your territory because they did not meet the criteria for acceptance in your territory</w:t>
            </w:r>
          </w:p>
          <w:p w:rsidR="004A0FEE" w:rsidRPr="004A0FEE" w:rsidRDefault="004A0FEE" w:rsidP="004A0FEE">
            <w:pPr>
              <w:rPr>
                <w:sz w:val="18"/>
                <w:szCs w:val="18"/>
                <w:highlight w:val="darkGray"/>
              </w:rPr>
            </w:pPr>
          </w:p>
          <w:tbl>
            <w:tblPr>
              <w:tblStyle w:val="TableGrid20"/>
              <w:tblW w:w="0" w:type="auto"/>
              <w:tblInd w:w="652" w:type="dxa"/>
              <w:tblCellMar>
                <w:top w:w="85" w:type="dxa"/>
                <w:left w:w="85" w:type="dxa"/>
                <w:bottom w:w="85" w:type="dxa"/>
                <w:right w:w="85" w:type="dxa"/>
              </w:tblCellMar>
              <w:tblLook w:val="04A0" w:firstRow="1" w:lastRow="0" w:firstColumn="1" w:lastColumn="0" w:noHBand="0" w:noVBand="1"/>
            </w:tblPr>
            <w:tblGrid>
              <w:gridCol w:w="2806"/>
              <w:gridCol w:w="6175"/>
            </w:tblGrid>
            <w:tr w:rsidR="004A0FEE" w:rsidRPr="004A0FEE" w:rsidTr="005B58CF">
              <w:tc>
                <w:tcPr>
                  <w:tcW w:w="2835" w:type="dxa"/>
                </w:tcPr>
                <w:p w:rsidR="004A0FEE" w:rsidRPr="004A0FEE" w:rsidRDefault="004A0FEE" w:rsidP="004A0FEE">
                  <w:pPr>
                    <w:rPr>
                      <w:sz w:val="18"/>
                      <w:szCs w:val="18"/>
                      <w:highlight w:val="darkGray"/>
                    </w:rPr>
                  </w:pPr>
                  <w:r w:rsidRPr="004A0FEE">
                    <w:rPr>
                      <w:sz w:val="18"/>
                      <w:szCs w:val="18"/>
                      <w:highlight w:val="darkGray"/>
                    </w:rPr>
                    <w:t>None</w:t>
                  </w:r>
                </w:p>
              </w:tc>
              <w:tc>
                <w:tcPr>
                  <w:tcW w:w="6237" w:type="dxa"/>
                </w:tcPr>
                <w:p w:rsidR="004A0FEE" w:rsidRPr="004A0FEE" w:rsidRDefault="004A0FEE" w:rsidP="004A0FEE">
                  <w:pPr>
                    <w:rPr>
                      <w:sz w:val="18"/>
                      <w:szCs w:val="18"/>
                      <w:highlight w:val="darkGray"/>
                    </w:rPr>
                  </w:pPr>
                  <w:r w:rsidRPr="004A0FEE">
                    <w:rPr>
                      <w:snapToGrid w:val="0"/>
                      <w:sz w:val="18"/>
                      <w:szCs w:val="18"/>
                      <w:highlight w:val="darkGray"/>
                      <w:lang w:val="en-GB"/>
                    </w:rPr>
                    <w:t>New Zealand</w:t>
                  </w:r>
                  <w:r w:rsidRPr="004A0FEE">
                    <w:rPr>
                      <w:sz w:val="18"/>
                      <w:szCs w:val="18"/>
                      <w:highlight w:val="darkGray"/>
                      <w:lang w:val="en-GB"/>
                    </w:rPr>
                    <w:t>, South Africa</w:t>
                  </w:r>
                </w:p>
              </w:tc>
            </w:tr>
            <w:tr w:rsidR="004A0FEE" w:rsidRPr="004A0FEE" w:rsidTr="005B58CF">
              <w:tc>
                <w:tcPr>
                  <w:tcW w:w="2835" w:type="dxa"/>
                </w:tcPr>
                <w:p w:rsidR="004A0FEE" w:rsidRPr="004A0FEE" w:rsidRDefault="004A0FEE" w:rsidP="004A0FEE">
                  <w:pPr>
                    <w:rPr>
                      <w:sz w:val="18"/>
                      <w:szCs w:val="18"/>
                      <w:highlight w:val="darkGray"/>
                    </w:rPr>
                  </w:pPr>
                  <w:r w:rsidRPr="004A0FEE">
                    <w:rPr>
                      <w:sz w:val="18"/>
                      <w:szCs w:val="18"/>
                      <w:highlight w:val="darkGray"/>
                    </w:rPr>
                    <w:t>Some</w:t>
                  </w:r>
                </w:p>
              </w:tc>
              <w:tc>
                <w:tcPr>
                  <w:tcW w:w="6237" w:type="dxa"/>
                </w:tcPr>
                <w:p w:rsidR="004A0FEE" w:rsidRPr="004A0FEE" w:rsidRDefault="004A0FEE" w:rsidP="004A0FEE">
                  <w:pPr>
                    <w:jc w:val="left"/>
                    <w:rPr>
                      <w:sz w:val="18"/>
                      <w:szCs w:val="18"/>
                      <w:highlight w:val="darkGray"/>
                    </w:rPr>
                  </w:pPr>
                  <w:r w:rsidRPr="004A0FEE">
                    <w:rPr>
                      <w:snapToGrid w:val="0"/>
                      <w:color w:val="000000" w:themeColor="text1"/>
                      <w:sz w:val="18"/>
                      <w:szCs w:val="18"/>
                      <w:highlight w:val="darkGray"/>
                    </w:rPr>
                    <w:t xml:space="preserve">Australia </w:t>
                  </w:r>
                  <w:r w:rsidRPr="004A0FEE">
                    <w:rPr>
                      <w:color w:val="000000" w:themeColor="text1"/>
                      <w:sz w:val="18"/>
                      <w:szCs w:val="18"/>
                      <w:highlight w:val="darkGray"/>
                    </w:rPr>
                    <w:t>(7), European Union</w:t>
                  </w:r>
                  <w:r w:rsidRPr="004A0FEE">
                    <w:rPr>
                      <w:sz w:val="18"/>
                      <w:szCs w:val="18"/>
                      <w:highlight w:val="darkGray"/>
                    </w:rPr>
                    <w:t xml:space="preserve"> (17 in 2016, 6 in 2017 to end August)</w:t>
                  </w:r>
                  <w:r w:rsidRPr="004A0FEE">
                    <w:rPr>
                      <w:snapToGrid w:val="0"/>
                      <w:sz w:val="18"/>
                      <w:szCs w:val="18"/>
                      <w:highlight w:val="darkGray"/>
                    </w:rPr>
                    <w:t>, Netherlands (1)</w:t>
                  </w:r>
                </w:p>
              </w:tc>
            </w:tr>
          </w:tbl>
          <w:p w:rsidR="004A0FEE" w:rsidRPr="004A0FEE" w:rsidRDefault="004A0FEE" w:rsidP="004A0FEE">
            <w:pPr>
              <w:rPr>
                <w:sz w:val="18"/>
                <w:szCs w:val="18"/>
                <w:highlight w:val="darkGray"/>
              </w:rPr>
            </w:pPr>
          </w:p>
          <w:p w:rsidR="004A0FEE" w:rsidRPr="004A0FEE" w:rsidRDefault="004A0FEE" w:rsidP="004A0FEE">
            <w:pPr>
              <w:rPr>
                <w:sz w:val="18"/>
                <w:szCs w:val="18"/>
                <w:highlight w:val="darkGray"/>
              </w:rPr>
            </w:pPr>
          </w:p>
          <w:p w:rsidR="004A0FEE" w:rsidRPr="004A0FEE" w:rsidRDefault="004A0FEE" w:rsidP="004A0FEE">
            <w:pPr>
              <w:keepNext/>
              <w:rPr>
                <w:sz w:val="18"/>
                <w:szCs w:val="18"/>
                <w:highlight w:val="darkGray"/>
                <w:u w:val="single"/>
              </w:rPr>
            </w:pPr>
            <w:r w:rsidRPr="004A0FEE">
              <w:rPr>
                <w:sz w:val="18"/>
                <w:szCs w:val="18"/>
                <w:highlight w:val="darkGray"/>
                <w:u w:val="single"/>
              </w:rPr>
              <w:t>Summary of results of circular E-17/136 to observers</w:t>
            </w:r>
          </w:p>
          <w:p w:rsidR="004A0FEE" w:rsidRPr="004A0FEE" w:rsidRDefault="004A0FEE" w:rsidP="004A0FEE">
            <w:pPr>
              <w:keepNext/>
              <w:rPr>
                <w:sz w:val="18"/>
                <w:szCs w:val="18"/>
                <w:highlight w:val="darkGray"/>
              </w:rPr>
            </w:pPr>
          </w:p>
          <w:p w:rsidR="004A0FEE" w:rsidRPr="004A0FEE" w:rsidRDefault="004A0FEE" w:rsidP="004A0FEE">
            <w:pPr>
              <w:keepNext/>
              <w:ind w:left="567" w:hanging="283"/>
              <w:rPr>
                <w:rFonts w:eastAsia="MS Mincho"/>
                <w:sz w:val="18"/>
                <w:szCs w:val="18"/>
                <w:highlight w:val="darkGray"/>
              </w:rPr>
            </w:pPr>
            <w:r w:rsidRPr="004A0FEE">
              <w:rPr>
                <w:rFonts w:eastAsia="MS Mincho"/>
                <w:sz w:val="18"/>
                <w:szCs w:val="18"/>
                <w:highlight w:val="darkGray"/>
              </w:rPr>
              <w:t>-</w:t>
            </w:r>
            <w:r w:rsidRPr="004A0FEE">
              <w:rPr>
                <w:rFonts w:eastAsia="MS Mincho"/>
                <w:sz w:val="18"/>
                <w:szCs w:val="18"/>
                <w:highlight w:val="darkGray"/>
              </w:rPr>
              <w:tab/>
              <w:t>Information on the frequency, within the last 12 months, that a variety denomination that had previous</w:t>
            </w:r>
            <w:r w:rsidRPr="004A0FEE">
              <w:rPr>
                <w:sz w:val="18"/>
                <w:szCs w:val="18"/>
                <w:highlight w:val="darkGray"/>
              </w:rPr>
              <w:t xml:space="preserve">ly been </w:t>
            </w:r>
            <w:r w:rsidRPr="004A0FEE">
              <w:rPr>
                <w:rFonts w:eastAsia="MS Mincho"/>
                <w:sz w:val="18"/>
                <w:szCs w:val="18"/>
                <w:highlight w:val="darkGray"/>
              </w:rPr>
              <w:t xml:space="preserve">accepted by a member of the Union was rejected by another member of the Union because it did not meet the criteria for acceptance in the latter’s territory; </w:t>
            </w:r>
          </w:p>
          <w:p w:rsidR="004A0FEE" w:rsidRPr="004A0FEE" w:rsidRDefault="004A0FEE" w:rsidP="004A0FEE">
            <w:pPr>
              <w:keepNext/>
              <w:ind w:left="851" w:hanging="567"/>
              <w:jc w:val="left"/>
              <w:rPr>
                <w:rFonts w:eastAsia="MS Mincho"/>
                <w:sz w:val="18"/>
                <w:szCs w:val="18"/>
                <w:highlight w:val="darkGray"/>
              </w:rPr>
            </w:pPr>
          </w:p>
          <w:tbl>
            <w:tblPr>
              <w:tblStyle w:val="TableGrid20"/>
              <w:tblW w:w="0" w:type="auto"/>
              <w:tblInd w:w="652" w:type="dxa"/>
              <w:tblCellMar>
                <w:top w:w="85" w:type="dxa"/>
                <w:left w:w="85" w:type="dxa"/>
                <w:bottom w:w="85" w:type="dxa"/>
                <w:right w:w="85" w:type="dxa"/>
              </w:tblCellMar>
              <w:tblLook w:val="04A0" w:firstRow="1" w:lastRow="0" w:firstColumn="1" w:lastColumn="0" w:noHBand="0" w:noVBand="1"/>
            </w:tblPr>
            <w:tblGrid>
              <w:gridCol w:w="2805"/>
              <w:gridCol w:w="6176"/>
            </w:tblGrid>
            <w:tr w:rsidR="004A0FEE" w:rsidRPr="004A0FEE" w:rsidTr="005B58CF">
              <w:tc>
                <w:tcPr>
                  <w:tcW w:w="2835" w:type="dxa"/>
                </w:tcPr>
                <w:p w:rsidR="004A0FEE" w:rsidRPr="004A0FEE" w:rsidRDefault="004A0FEE" w:rsidP="004A0FEE">
                  <w:pPr>
                    <w:rPr>
                      <w:sz w:val="18"/>
                      <w:szCs w:val="18"/>
                      <w:highlight w:val="darkGray"/>
                    </w:rPr>
                  </w:pPr>
                  <w:r w:rsidRPr="004A0FEE">
                    <w:rPr>
                      <w:sz w:val="18"/>
                      <w:szCs w:val="18"/>
                      <w:highlight w:val="darkGray"/>
                    </w:rPr>
                    <w:t>ISF/ESA</w:t>
                  </w:r>
                </w:p>
              </w:tc>
              <w:tc>
                <w:tcPr>
                  <w:tcW w:w="6254" w:type="dxa"/>
                </w:tcPr>
                <w:p w:rsidR="004A0FEE" w:rsidRPr="004A0FEE" w:rsidRDefault="004A0FEE" w:rsidP="004A0FEE">
                  <w:pPr>
                    <w:rPr>
                      <w:sz w:val="18"/>
                      <w:szCs w:val="18"/>
                      <w:highlight w:val="darkGray"/>
                    </w:rPr>
                  </w:pPr>
                  <w:r w:rsidRPr="004A0FEE">
                    <w:rPr>
                      <w:sz w:val="18"/>
                      <w:szCs w:val="18"/>
                      <w:highlight w:val="darkGray"/>
                    </w:rPr>
                    <w:t>At least one issue per responding company per year</w:t>
                  </w:r>
                </w:p>
              </w:tc>
            </w:tr>
          </w:tbl>
          <w:p w:rsidR="004A0FEE" w:rsidRPr="004A0FEE" w:rsidRDefault="004A0FEE" w:rsidP="004A0FEE">
            <w:pPr>
              <w:spacing w:line="360" w:lineRule="auto"/>
              <w:ind w:left="851" w:hanging="567"/>
              <w:jc w:val="left"/>
              <w:rPr>
                <w:rFonts w:eastAsia="MS Mincho"/>
                <w:sz w:val="18"/>
                <w:szCs w:val="18"/>
                <w:highlight w:val="darkGray"/>
              </w:rPr>
            </w:pPr>
          </w:p>
          <w:p w:rsidR="004A0FEE" w:rsidRPr="004A0FEE" w:rsidRDefault="004A0FEE" w:rsidP="004A0FEE">
            <w:pPr>
              <w:keepNext/>
              <w:spacing w:after="120"/>
              <w:ind w:left="567" w:hanging="283"/>
              <w:contextualSpacing/>
              <w:rPr>
                <w:rFonts w:eastAsia="MS Mincho"/>
                <w:sz w:val="18"/>
                <w:szCs w:val="18"/>
                <w:highlight w:val="darkGray"/>
              </w:rPr>
            </w:pPr>
            <w:r w:rsidRPr="004A0FEE">
              <w:rPr>
                <w:rFonts w:eastAsia="MS Mincho"/>
                <w:sz w:val="18"/>
                <w:szCs w:val="18"/>
                <w:highlight w:val="darkGray"/>
              </w:rPr>
              <w:t>-</w:t>
            </w:r>
            <w:r w:rsidRPr="004A0FEE">
              <w:rPr>
                <w:rFonts w:eastAsia="MS Mincho"/>
                <w:sz w:val="18"/>
                <w:szCs w:val="18"/>
                <w:highlight w:val="darkGray"/>
              </w:rPr>
              <w:tab/>
              <w:t xml:space="preserve">Information on the frequency, within the last 12 months, that a variety denomination that had already been used in the market place was affected by the situation described in (a); </w:t>
            </w:r>
          </w:p>
          <w:p w:rsidR="004A0FEE" w:rsidRPr="004A0FEE" w:rsidRDefault="004A0FEE" w:rsidP="004A0FEE">
            <w:pPr>
              <w:keepNext/>
              <w:ind w:left="851" w:hanging="567"/>
              <w:rPr>
                <w:rFonts w:eastAsia="MS Mincho"/>
                <w:sz w:val="18"/>
                <w:szCs w:val="18"/>
                <w:highlight w:val="darkGray"/>
              </w:rPr>
            </w:pPr>
          </w:p>
          <w:tbl>
            <w:tblPr>
              <w:tblStyle w:val="TableGrid20"/>
              <w:tblW w:w="0" w:type="auto"/>
              <w:tblInd w:w="652" w:type="dxa"/>
              <w:tblCellMar>
                <w:top w:w="85" w:type="dxa"/>
                <w:left w:w="85" w:type="dxa"/>
                <w:bottom w:w="85" w:type="dxa"/>
                <w:right w:w="85" w:type="dxa"/>
              </w:tblCellMar>
              <w:tblLook w:val="04A0" w:firstRow="1" w:lastRow="0" w:firstColumn="1" w:lastColumn="0" w:noHBand="0" w:noVBand="1"/>
            </w:tblPr>
            <w:tblGrid>
              <w:gridCol w:w="2809"/>
              <w:gridCol w:w="6172"/>
            </w:tblGrid>
            <w:tr w:rsidR="004A0FEE" w:rsidRPr="004A0FEE" w:rsidTr="005B58CF">
              <w:tc>
                <w:tcPr>
                  <w:tcW w:w="2835" w:type="dxa"/>
                </w:tcPr>
                <w:p w:rsidR="004A0FEE" w:rsidRPr="004A0FEE" w:rsidRDefault="004A0FEE" w:rsidP="004A0FEE">
                  <w:pPr>
                    <w:rPr>
                      <w:sz w:val="18"/>
                      <w:szCs w:val="18"/>
                      <w:highlight w:val="darkGray"/>
                    </w:rPr>
                  </w:pPr>
                  <w:r w:rsidRPr="004A0FEE">
                    <w:rPr>
                      <w:sz w:val="18"/>
                      <w:szCs w:val="18"/>
                      <w:highlight w:val="darkGray"/>
                    </w:rPr>
                    <w:t>ISF/ESA</w:t>
                  </w:r>
                </w:p>
              </w:tc>
              <w:tc>
                <w:tcPr>
                  <w:tcW w:w="6237" w:type="dxa"/>
                </w:tcPr>
                <w:p w:rsidR="004A0FEE" w:rsidRPr="004A0FEE" w:rsidRDefault="004A0FEE" w:rsidP="004A0FEE">
                  <w:pPr>
                    <w:rPr>
                      <w:sz w:val="18"/>
                      <w:szCs w:val="18"/>
                      <w:highlight w:val="darkGray"/>
                    </w:rPr>
                  </w:pPr>
                  <w:r w:rsidRPr="004A0FEE">
                    <w:rPr>
                      <w:sz w:val="18"/>
                      <w:szCs w:val="18"/>
                      <w:highlight w:val="darkGray"/>
                    </w:rPr>
                    <w:t>At least one issue per responding company per year where the company had to change the denomination of a variety already in the market place.</w:t>
                  </w:r>
                </w:p>
              </w:tc>
            </w:tr>
          </w:tbl>
          <w:p w:rsidR="004A0FEE" w:rsidRPr="004A0FEE" w:rsidRDefault="004A0FEE" w:rsidP="004A0FEE">
            <w:pPr>
              <w:spacing w:after="120" w:line="360" w:lineRule="auto"/>
              <w:ind w:left="851" w:hanging="567"/>
              <w:contextualSpacing/>
              <w:rPr>
                <w:rFonts w:eastAsia="MS Mincho"/>
                <w:sz w:val="18"/>
                <w:szCs w:val="18"/>
                <w:highlight w:val="darkGray"/>
              </w:rPr>
            </w:pPr>
          </w:p>
          <w:p w:rsidR="004A0FEE" w:rsidRPr="004A0FEE" w:rsidRDefault="004A0FEE" w:rsidP="004A0FEE">
            <w:pPr>
              <w:keepNext/>
              <w:spacing w:after="120"/>
              <w:ind w:left="567" w:hanging="283"/>
              <w:contextualSpacing/>
              <w:rPr>
                <w:rFonts w:eastAsia="MS Mincho"/>
                <w:sz w:val="18"/>
                <w:szCs w:val="18"/>
                <w:highlight w:val="darkGray"/>
              </w:rPr>
            </w:pPr>
            <w:r w:rsidRPr="004A0FEE">
              <w:rPr>
                <w:rFonts w:eastAsia="MS Mincho"/>
                <w:sz w:val="18"/>
                <w:szCs w:val="18"/>
                <w:highlight w:val="darkGray"/>
              </w:rPr>
              <w:t>-</w:t>
            </w:r>
            <w:r w:rsidRPr="004A0FEE">
              <w:rPr>
                <w:rFonts w:eastAsia="MS Mincho"/>
                <w:sz w:val="18"/>
                <w:szCs w:val="18"/>
                <w:highlight w:val="darkGray"/>
              </w:rPr>
              <w:tab/>
              <w:t>Extent of problems that arise from the use of different denominations in different members of the Union, taking into account the challenge in achieving fully harmonized denomination acceptance criteria for all members of the Union; and</w:t>
            </w:r>
          </w:p>
          <w:p w:rsidR="004A0FEE" w:rsidRPr="004A0FEE" w:rsidRDefault="004A0FEE" w:rsidP="004A0FEE">
            <w:pPr>
              <w:keepNext/>
              <w:ind w:left="851" w:hanging="567"/>
              <w:rPr>
                <w:rFonts w:eastAsia="MS Mincho"/>
                <w:sz w:val="18"/>
                <w:szCs w:val="18"/>
                <w:highlight w:val="darkGray"/>
              </w:rPr>
            </w:pPr>
          </w:p>
          <w:tbl>
            <w:tblPr>
              <w:tblStyle w:val="TableGrid20"/>
              <w:tblW w:w="0" w:type="auto"/>
              <w:tblInd w:w="652" w:type="dxa"/>
              <w:tblCellMar>
                <w:top w:w="85" w:type="dxa"/>
                <w:left w:w="85" w:type="dxa"/>
                <w:bottom w:w="85" w:type="dxa"/>
                <w:right w:w="85" w:type="dxa"/>
              </w:tblCellMar>
              <w:tblLook w:val="04A0" w:firstRow="1" w:lastRow="0" w:firstColumn="1" w:lastColumn="0" w:noHBand="0" w:noVBand="1"/>
            </w:tblPr>
            <w:tblGrid>
              <w:gridCol w:w="2810"/>
              <w:gridCol w:w="6171"/>
            </w:tblGrid>
            <w:tr w:rsidR="004A0FEE" w:rsidRPr="004A0FEE" w:rsidTr="005B58CF">
              <w:tc>
                <w:tcPr>
                  <w:tcW w:w="2835" w:type="dxa"/>
                </w:tcPr>
                <w:p w:rsidR="004A0FEE" w:rsidRPr="004A0FEE" w:rsidRDefault="004A0FEE" w:rsidP="004A0FEE">
                  <w:pPr>
                    <w:rPr>
                      <w:sz w:val="18"/>
                      <w:szCs w:val="18"/>
                      <w:highlight w:val="darkGray"/>
                    </w:rPr>
                  </w:pPr>
                  <w:r w:rsidRPr="004A0FEE">
                    <w:rPr>
                      <w:sz w:val="18"/>
                      <w:szCs w:val="18"/>
                      <w:highlight w:val="darkGray"/>
                    </w:rPr>
                    <w:t>ISF/ESA</w:t>
                  </w:r>
                </w:p>
              </w:tc>
              <w:tc>
                <w:tcPr>
                  <w:tcW w:w="6237" w:type="dxa"/>
                </w:tcPr>
                <w:p w:rsidR="004A0FEE" w:rsidRPr="004A0FEE" w:rsidRDefault="004A0FEE" w:rsidP="004A0FEE">
                  <w:pPr>
                    <w:rPr>
                      <w:sz w:val="18"/>
                      <w:szCs w:val="18"/>
                      <w:highlight w:val="darkGray"/>
                    </w:rPr>
                  </w:pPr>
                  <w:r w:rsidRPr="004A0FEE">
                    <w:rPr>
                      <w:sz w:val="18"/>
                      <w:szCs w:val="18"/>
                      <w:highlight w:val="darkGray"/>
                    </w:rPr>
                    <w:t>Different names for a single variety leads to practical difficulties.</w:t>
                  </w:r>
                </w:p>
              </w:tc>
            </w:tr>
          </w:tbl>
          <w:p w:rsidR="004A0FEE" w:rsidRPr="004A0FEE" w:rsidRDefault="004A0FEE" w:rsidP="004A0FEE">
            <w:pPr>
              <w:spacing w:line="360" w:lineRule="auto"/>
              <w:ind w:left="851" w:hanging="567"/>
              <w:rPr>
                <w:rFonts w:eastAsia="MS Mincho"/>
                <w:sz w:val="18"/>
                <w:szCs w:val="18"/>
                <w:highlight w:val="darkGray"/>
              </w:rPr>
            </w:pPr>
          </w:p>
          <w:p w:rsidR="004A0FEE" w:rsidRPr="004A0FEE" w:rsidRDefault="004A0FEE" w:rsidP="004A0FEE">
            <w:pPr>
              <w:keepNext/>
              <w:ind w:left="284"/>
              <w:contextualSpacing/>
              <w:rPr>
                <w:rFonts w:eastAsia="MS Mincho"/>
                <w:sz w:val="18"/>
                <w:szCs w:val="18"/>
                <w:highlight w:val="darkGray"/>
              </w:rPr>
            </w:pPr>
            <w:r w:rsidRPr="004A0FEE">
              <w:rPr>
                <w:rFonts w:eastAsia="MS Mincho"/>
                <w:sz w:val="18"/>
                <w:szCs w:val="18"/>
                <w:highlight w:val="darkGray"/>
              </w:rPr>
              <w:t>-</w:t>
            </w:r>
            <w:r w:rsidRPr="004A0FEE">
              <w:rPr>
                <w:rFonts w:eastAsia="MS Mincho"/>
                <w:sz w:val="18"/>
                <w:szCs w:val="18"/>
                <w:highlight w:val="darkGray"/>
              </w:rPr>
              <w:tab/>
              <w:t>Information on measures that breeders have taken to avoid the creation of synonyms.</w:t>
            </w:r>
          </w:p>
          <w:p w:rsidR="004A0FEE" w:rsidRPr="004A0FEE" w:rsidRDefault="004A0FEE" w:rsidP="004A0FEE">
            <w:pPr>
              <w:keepNext/>
              <w:ind w:left="284"/>
              <w:rPr>
                <w:sz w:val="18"/>
                <w:szCs w:val="18"/>
                <w:highlight w:val="darkGray"/>
              </w:rPr>
            </w:pPr>
          </w:p>
          <w:tbl>
            <w:tblPr>
              <w:tblStyle w:val="TableGrid20"/>
              <w:tblW w:w="0" w:type="auto"/>
              <w:tblInd w:w="652" w:type="dxa"/>
              <w:tblCellMar>
                <w:top w:w="85" w:type="dxa"/>
                <w:left w:w="85" w:type="dxa"/>
                <w:bottom w:w="85" w:type="dxa"/>
                <w:right w:w="85" w:type="dxa"/>
              </w:tblCellMar>
              <w:tblLook w:val="04A0" w:firstRow="1" w:lastRow="0" w:firstColumn="1" w:lastColumn="0" w:noHBand="0" w:noVBand="1"/>
            </w:tblPr>
            <w:tblGrid>
              <w:gridCol w:w="2810"/>
              <w:gridCol w:w="6171"/>
            </w:tblGrid>
            <w:tr w:rsidR="004A0FEE" w:rsidRPr="004A0FEE" w:rsidTr="005B58CF">
              <w:tc>
                <w:tcPr>
                  <w:tcW w:w="2835" w:type="dxa"/>
                </w:tcPr>
                <w:p w:rsidR="004A0FEE" w:rsidRPr="004A0FEE" w:rsidRDefault="004A0FEE" w:rsidP="004A0FEE">
                  <w:pPr>
                    <w:rPr>
                      <w:sz w:val="18"/>
                      <w:szCs w:val="18"/>
                      <w:highlight w:val="darkGray"/>
                    </w:rPr>
                  </w:pPr>
                  <w:r w:rsidRPr="004A0FEE">
                    <w:rPr>
                      <w:sz w:val="18"/>
                      <w:szCs w:val="18"/>
                      <w:highlight w:val="darkGray"/>
                    </w:rPr>
                    <w:t>ISF/ESA</w:t>
                  </w:r>
                </w:p>
              </w:tc>
              <w:tc>
                <w:tcPr>
                  <w:tcW w:w="6237" w:type="dxa"/>
                </w:tcPr>
                <w:p w:rsidR="004A0FEE" w:rsidRPr="004A0FEE" w:rsidRDefault="004A0FEE" w:rsidP="004A0FEE">
                  <w:pPr>
                    <w:rPr>
                      <w:sz w:val="18"/>
                      <w:szCs w:val="18"/>
                    </w:rPr>
                  </w:pPr>
                  <w:r w:rsidRPr="004A0FEE">
                    <w:rPr>
                      <w:sz w:val="18"/>
                      <w:szCs w:val="18"/>
                      <w:highlight w:val="darkGray"/>
                    </w:rPr>
                    <w:t>Internal company screening based on UPOV, regional and national guidelines and databases.</w:t>
                  </w:r>
                </w:p>
              </w:tc>
            </w:tr>
          </w:tbl>
          <w:p w:rsidR="004A0FEE" w:rsidRPr="004A0FEE" w:rsidRDefault="004A0FEE" w:rsidP="004A0FEE">
            <w:pPr>
              <w:rPr>
                <w:sz w:val="18"/>
                <w:szCs w:val="18"/>
              </w:rPr>
            </w:pPr>
          </w:p>
        </w:tc>
      </w:tr>
    </w:tbl>
    <w:p w:rsidR="004A0FEE" w:rsidRDefault="004A0FEE" w:rsidP="00EA4900"/>
    <w:p w:rsidR="004A0FEE" w:rsidRPr="00407B23" w:rsidRDefault="004A0FEE" w:rsidP="00EA4900"/>
    <w:p w:rsidR="00E43B13" w:rsidRPr="00E43B13" w:rsidRDefault="00E43B13" w:rsidP="00E43B13">
      <w:pPr>
        <w:rPr>
          <w:rFonts w:eastAsia="MS Mincho"/>
          <w:highlight w:val="yellow"/>
          <w:u w:val="single"/>
          <w:shd w:val="pct15" w:color="auto" w:fill="FFFFFF"/>
        </w:rPr>
      </w:pPr>
      <w:r w:rsidRPr="00E43B13">
        <w:rPr>
          <w:rFonts w:eastAsia="MS Mincho"/>
          <w:highlight w:val="yellow"/>
          <w:u w:val="single"/>
          <w:shd w:val="pct15" w:color="auto" w:fill="FFFFFF"/>
        </w:rPr>
        <w:t>4.</w:t>
      </w:r>
      <w:r w:rsidRPr="00E43B13">
        <w:rPr>
          <w:rFonts w:eastAsia="MS Mincho"/>
          <w:highlight w:val="yellow"/>
          <w:u w:val="single"/>
          <w:shd w:val="pct15" w:color="auto" w:fill="FFFFFF"/>
        </w:rPr>
        <w:tab/>
        <w:t xml:space="preserve">The Council recalls </w:t>
      </w:r>
      <w:r w:rsidR="002D2BB5" w:rsidRPr="00E43B13">
        <w:rPr>
          <w:rFonts w:eastAsia="MS Mincho"/>
          <w:highlight w:val="yellow"/>
          <w:u w:val="single"/>
          <w:shd w:val="pct15" w:color="auto" w:fill="FFFFFF"/>
        </w:rPr>
        <w:t xml:space="preserve">the definition of “variety” </w:t>
      </w:r>
      <w:r w:rsidR="002D2BB5">
        <w:rPr>
          <w:rFonts w:eastAsia="MS Mincho"/>
          <w:highlight w:val="yellow"/>
          <w:u w:val="single"/>
          <w:shd w:val="pct15" w:color="auto" w:fill="FFFFFF"/>
        </w:rPr>
        <w:t xml:space="preserve">in </w:t>
      </w:r>
      <w:r w:rsidRPr="00E43B13">
        <w:rPr>
          <w:rFonts w:eastAsia="MS Mincho"/>
          <w:highlight w:val="yellow"/>
          <w:u w:val="single"/>
          <w:shd w:val="pct15" w:color="auto" w:fill="FFFFFF"/>
        </w:rPr>
        <w:t>Article 1 (iv) of the 1991 Act</w:t>
      </w:r>
      <w:r w:rsidR="002D2BB5">
        <w:rPr>
          <w:rFonts w:eastAsia="MS Mincho"/>
          <w:highlight w:val="yellow"/>
          <w:u w:val="single"/>
          <w:shd w:val="pct15" w:color="auto" w:fill="FFFFFF"/>
        </w:rPr>
        <w:t xml:space="preserve"> of the UPOV Convention </w:t>
      </w:r>
      <w:r w:rsidRPr="00E43B13">
        <w:rPr>
          <w:rFonts w:eastAsia="MS Mincho"/>
          <w:highlight w:val="yellow"/>
          <w:u w:val="single"/>
          <w:shd w:val="pct15" w:color="auto" w:fill="FFFFFF"/>
        </w:rPr>
        <w:t>:</w:t>
      </w:r>
      <w:r w:rsidRPr="00E43B13">
        <w:rPr>
          <w:rFonts w:eastAsia="MS Mincho"/>
          <w:highlight w:val="yellow"/>
          <w:shd w:val="pct15" w:color="auto" w:fill="FFFFFF"/>
        </w:rPr>
        <w:t xml:space="preserve"> </w:t>
      </w:r>
    </w:p>
    <w:p w:rsidR="00E43B13" w:rsidRPr="00E43B13" w:rsidRDefault="00E43B13" w:rsidP="00E43B13">
      <w:pPr>
        <w:rPr>
          <w:rFonts w:eastAsia="MS Mincho"/>
          <w:highlight w:val="yellow"/>
          <w:u w:val="single"/>
          <w:shd w:val="pct15" w:color="auto" w:fill="FFFFFF"/>
        </w:rPr>
      </w:pPr>
    </w:p>
    <w:p w:rsidR="00E43B13" w:rsidRPr="00E43B13" w:rsidRDefault="00E43B13" w:rsidP="00E43B13">
      <w:pPr>
        <w:ind w:left="567"/>
        <w:rPr>
          <w:rFonts w:eastAsia="MS Mincho"/>
          <w:sz w:val="18"/>
          <w:szCs w:val="18"/>
          <w:highlight w:val="yellow"/>
          <w:u w:val="single"/>
          <w:shd w:val="pct15" w:color="auto" w:fill="FFFFFF"/>
        </w:rPr>
      </w:pPr>
      <w:r w:rsidRPr="00E43B13">
        <w:rPr>
          <w:rFonts w:eastAsia="MS Mincho"/>
          <w:sz w:val="18"/>
          <w:szCs w:val="18"/>
          <w:highlight w:val="yellow"/>
          <w:u w:val="single"/>
          <w:shd w:val="pct15" w:color="auto" w:fill="FFFFFF"/>
        </w:rPr>
        <w:t xml:space="preserve">"variety" means a plant grouping within a single botanical taxon of the lowest known rank, which grouping, irrespective of whether the conditions for the grant of a breeder's right are fully met, can be </w:t>
      </w:r>
    </w:p>
    <w:p w:rsidR="00E43B13" w:rsidRPr="00E43B13" w:rsidRDefault="00E43B13" w:rsidP="00E43B13">
      <w:pPr>
        <w:ind w:left="993" w:hanging="142"/>
        <w:rPr>
          <w:rFonts w:eastAsia="MS Mincho"/>
          <w:sz w:val="18"/>
          <w:szCs w:val="18"/>
          <w:highlight w:val="yellow"/>
          <w:u w:val="single"/>
          <w:shd w:val="pct15" w:color="auto" w:fill="FFFFFF"/>
        </w:rPr>
      </w:pPr>
      <w:r w:rsidRPr="00E43B13">
        <w:rPr>
          <w:rFonts w:eastAsia="MS Mincho"/>
          <w:sz w:val="18"/>
          <w:szCs w:val="18"/>
          <w:highlight w:val="yellow"/>
          <w:u w:val="single"/>
          <w:shd w:val="pct15" w:color="auto" w:fill="FFFFFF"/>
        </w:rPr>
        <w:t xml:space="preserve">- defined by the expression of the characteristics resulting from a given genotype or combination of genotypes, </w:t>
      </w:r>
    </w:p>
    <w:p w:rsidR="00E43B13" w:rsidRPr="00E43B13" w:rsidRDefault="00E43B13" w:rsidP="00E43B13">
      <w:pPr>
        <w:ind w:left="993" w:hanging="142"/>
        <w:rPr>
          <w:rFonts w:eastAsia="MS Mincho"/>
          <w:sz w:val="18"/>
          <w:szCs w:val="18"/>
          <w:highlight w:val="yellow"/>
          <w:u w:val="single"/>
          <w:shd w:val="pct15" w:color="auto" w:fill="FFFFFF"/>
        </w:rPr>
      </w:pPr>
      <w:r w:rsidRPr="00E43B13">
        <w:rPr>
          <w:rFonts w:eastAsia="MS Mincho"/>
          <w:sz w:val="18"/>
          <w:szCs w:val="18"/>
          <w:highlight w:val="yellow"/>
          <w:u w:val="single"/>
          <w:shd w:val="pct15" w:color="auto" w:fill="FFFFFF"/>
        </w:rPr>
        <w:t xml:space="preserve">- distinguished from any other plant grouping by the expression of at least one of the said characteristics and </w:t>
      </w:r>
    </w:p>
    <w:p w:rsidR="00E43B13" w:rsidRPr="00FE49B7" w:rsidRDefault="00E43B13" w:rsidP="00E43B13">
      <w:pPr>
        <w:ind w:left="993" w:hanging="142"/>
        <w:rPr>
          <w:rFonts w:eastAsia="MS Mincho"/>
          <w:shd w:val="pct15" w:color="auto" w:fill="FFFFFF"/>
        </w:rPr>
      </w:pPr>
      <w:r w:rsidRPr="00E43B13">
        <w:rPr>
          <w:rFonts w:eastAsia="MS Mincho"/>
          <w:sz w:val="18"/>
          <w:szCs w:val="18"/>
          <w:highlight w:val="yellow"/>
          <w:u w:val="single"/>
          <w:shd w:val="pct15" w:color="auto" w:fill="FFFFFF"/>
        </w:rPr>
        <w:t>- considered as a unit with regard to its suitability for being propagated unchanged [</w:t>
      </w:r>
      <w:r w:rsidRPr="00E43B13">
        <w:rPr>
          <w:rFonts w:eastAsia="MS Mincho"/>
          <w:highlight w:val="yellow"/>
          <w:u w:val="single"/>
          <w:shd w:val="pct15" w:color="auto" w:fill="FFFFFF"/>
        </w:rPr>
        <w:t>;].</w:t>
      </w:r>
      <w:r w:rsidR="00FE49B7" w:rsidRPr="00FE49B7">
        <w:rPr>
          <w:rFonts w:eastAsia="MS Mincho"/>
        </w:rPr>
        <w:t xml:space="preserve"> </w:t>
      </w:r>
      <w:r w:rsidR="006A3091">
        <w:rPr>
          <w:rStyle w:val="EndnoteReference"/>
          <w:rFonts w:eastAsia="MS Mincho"/>
        </w:rPr>
        <w:endnoteReference w:id="3"/>
      </w:r>
    </w:p>
    <w:p w:rsidR="00E43B13" w:rsidRPr="00E43B13" w:rsidRDefault="00E43B13" w:rsidP="00E43B13">
      <w:pPr>
        <w:rPr>
          <w:rFonts w:eastAsia="MS Mincho"/>
          <w:u w:val="single"/>
        </w:rPr>
      </w:pPr>
    </w:p>
    <w:p w:rsidR="00EA4900" w:rsidRPr="00407B23" w:rsidRDefault="00E43B13" w:rsidP="00EA4900">
      <w:r w:rsidRPr="00C91276">
        <w:rPr>
          <w:highlight w:val="yellow"/>
          <w:u w:val="single"/>
        </w:rPr>
        <w:t>5</w:t>
      </w:r>
      <w:r w:rsidR="00EA4900" w:rsidRPr="00407B23">
        <w:t>.</w:t>
      </w:r>
      <w:r w:rsidR="00EA4900" w:rsidRPr="00407B23">
        <w:tab/>
        <w:t>Whilst noting that the only binding obligations for members of the Union are those contained in the UPOV Convention itself, the Council considers that the aim set out in paragraph 3 can only be achieved if the broadly worded provisions on variety denominations under the UPOV Convention are uniformly interpreted and applied by the members of the Union, and that the adoption of appropriate explanatory notes is therefore advisable.  Those Explanatory Notes should not be interpreted in a way that is inconsistent with the UPOV Convention.</w:t>
      </w:r>
    </w:p>
    <w:p w:rsidR="00EA4900" w:rsidRPr="00407B23" w:rsidRDefault="00EA4900" w:rsidP="00EA4900"/>
    <w:p w:rsidR="00EA4900" w:rsidRPr="00407B23" w:rsidRDefault="00E43B13" w:rsidP="00EA4900">
      <w:r w:rsidRPr="00C91276">
        <w:rPr>
          <w:highlight w:val="yellow"/>
          <w:u w:val="single"/>
        </w:rPr>
        <w:t>6</w:t>
      </w:r>
      <w:r w:rsidR="00EA4900" w:rsidRPr="00407B23">
        <w:t>.</w:t>
      </w:r>
      <w:r w:rsidR="00EA4900" w:rsidRPr="00407B23">
        <w:tab/>
        <w:t>The Council considers that the adoption of such Explanatory Notes for the uniform interpretation and application of the provisions on variety denominations will be of assistance not only to the authorities</w:t>
      </w:r>
      <w:r w:rsidR="00EA4900" w:rsidRPr="00407B23">
        <w:rPr>
          <w:rStyle w:val="FootnoteReference"/>
        </w:rPr>
        <w:footnoteReference w:id="3"/>
      </w:r>
      <w:r w:rsidR="00EA4900" w:rsidRPr="00407B23">
        <w:t xml:space="preserve"> of members of the Union but also to breeders in their selection of variety denominations.</w:t>
      </w:r>
    </w:p>
    <w:p w:rsidR="00EA4900" w:rsidRPr="00407B23" w:rsidRDefault="00EA4900" w:rsidP="00EA4900"/>
    <w:p w:rsidR="00EA4900" w:rsidRPr="00407B23" w:rsidRDefault="00E43B13" w:rsidP="00EA4900">
      <w:r w:rsidRPr="00C91276">
        <w:rPr>
          <w:highlight w:val="yellow"/>
          <w:u w:val="single"/>
        </w:rPr>
        <w:t>7</w:t>
      </w:r>
      <w:r w:rsidR="00EA4900" w:rsidRPr="00407B23">
        <w:t>.</w:t>
      </w:r>
      <w:r w:rsidR="00EA4900" w:rsidRPr="00407B23">
        <w:tab/>
        <w:t xml:space="preserve">The Council, having regard to the UPOV Convention (Article 26(5)(x) of the 1991 Act and Article 21(h) of the 1978 Act and the 1961 Convention), under which it has the task of taking all necessary decisions to ensure the efficient functioning of the Union, and in the light of the experience acquired by members of the Union in connection with variety denominations, recommends that the authorities of the members of the Union, </w:t>
      </w:r>
    </w:p>
    <w:p w:rsidR="00EA4900" w:rsidRPr="00407B23" w:rsidRDefault="00EA4900" w:rsidP="00EA4900"/>
    <w:p w:rsidR="00EA4900" w:rsidRPr="00407B23" w:rsidRDefault="00EA4900" w:rsidP="00EA4900">
      <w:pPr>
        <w:tabs>
          <w:tab w:val="right" w:pos="1134"/>
          <w:tab w:val="left" w:pos="1418"/>
        </w:tabs>
      </w:pPr>
      <w:r w:rsidRPr="00407B23">
        <w:tab/>
        <w:t>(i)</w:t>
      </w:r>
      <w:r w:rsidRPr="00407B23">
        <w:tab/>
        <w:t xml:space="preserve">base their decisions on the suitability of proposed variety denominations on these Explanatory Notes; </w:t>
      </w:r>
    </w:p>
    <w:p w:rsidR="00EA4900" w:rsidRPr="00407B23" w:rsidRDefault="00EA4900" w:rsidP="00EA4900">
      <w:pPr>
        <w:tabs>
          <w:tab w:val="right" w:pos="1134"/>
          <w:tab w:val="left" w:pos="1418"/>
        </w:tabs>
      </w:pPr>
    </w:p>
    <w:p w:rsidR="00EA4900" w:rsidRPr="00407B23" w:rsidRDefault="00EA4900" w:rsidP="00EA4900">
      <w:pPr>
        <w:tabs>
          <w:tab w:val="right" w:pos="1134"/>
          <w:tab w:val="left" w:pos="1418"/>
        </w:tabs>
      </w:pPr>
      <w:r w:rsidRPr="00407B23">
        <w:tab/>
        <w:t>(ii)</w:t>
      </w:r>
      <w:r w:rsidRPr="00407B23">
        <w:tab/>
        <w:t xml:space="preserve">take into account the guidance in these Explanatory Notes concerning the procedure for assessing the suitability of proposed variety denominations and the exchange of information; </w:t>
      </w:r>
    </w:p>
    <w:p w:rsidR="00EA4900" w:rsidRPr="00407B23" w:rsidRDefault="00EA4900" w:rsidP="00EA4900">
      <w:pPr>
        <w:tabs>
          <w:tab w:val="right" w:pos="1134"/>
          <w:tab w:val="left" w:pos="1418"/>
        </w:tabs>
      </w:pPr>
    </w:p>
    <w:p w:rsidR="00EA4900" w:rsidRPr="00407B23" w:rsidRDefault="00EA4900" w:rsidP="00EA4900">
      <w:pPr>
        <w:tabs>
          <w:tab w:val="right" w:pos="1134"/>
          <w:tab w:val="left" w:pos="1418"/>
        </w:tabs>
      </w:pPr>
      <w:r w:rsidRPr="00407B23">
        <w:tab/>
        <w:t>(iii)</w:t>
      </w:r>
      <w:r w:rsidRPr="00407B23">
        <w:tab/>
        <w:t xml:space="preserve">provide comprehensive information concerning these Explanatory Notes, to assist breeders when selecting variety denominations. </w:t>
      </w:r>
    </w:p>
    <w:p w:rsidR="00EA4900" w:rsidRPr="00407B23" w:rsidRDefault="00EA4900" w:rsidP="00EA4900"/>
    <w:p w:rsidR="00EA4900" w:rsidRPr="00407B23" w:rsidRDefault="00EA4900" w:rsidP="00EA4900">
      <w:r w:rsidRPr="00407B23">
        <w:t xml:space="preserve">Prior guidance on this matter, provided by the </w:t>
      </w:r>
      <w:r>
        <w:t>“</w:t>
      </w:r>
      <w:r w:rsidRPr="00407B23">
        <w:t>Explanatory Notes on Varie</w:t>
      </w:r>
      <w:r w:rsidR="00C91276">
        <w:t>ty Denominations under the UPOV </w:t>
      </w:r>
      <w:r w:rsidRPr="00407B23">
        <w:t>Con</w:t>
      </w:r>
      <w:r>
        <w:t>vention” (document UPOV/INF/12/</w:t>
      </w:r>
      <w:r w:rsidR="002D2BB5" w:rsidRPr="00C91276">
        <w:rPr>
          <w:highlight w:val="yellow"/>
          <w:u w:val="single"/>
        </w:rPr>
        <w:t>5</w:t>
      </w:r>
      <w:r w:rsidRPr="00407B23">
        <w:t>), is superseded by these Explanatory Notes</w:t>
      </w:r>
      <w:r w:rsidR="002D2BB5">
        <w:t xml:space="preserve"> (document</w:t>
      </w:r>
      <w:r w:rsidR="00C91276">
        <w:t> </w:t>
      </w:r>
      <w:r w:rsidR="002D2BB5" w:rsidRPr="00C91276">
        <w:rPr>
          <w:highlight w:val="yellow"/>
          <w:u w:val="single"/>
        </w:rPr>
        <w:t>UPOV/EXN/DEN/1</w:t>
      </w:r>
      <w:r w:rsidR="002D2BB5">
        <w:t>)</w:t>
      </w:r>
      <w:r w:rsidRPr="00407B23">
        <w:t>.</w:t>
      </w:r>
    </w:p>
    <w:tbl>
      <w:tblPr>
        <w:tblW w:w="0" w:type="auto"/>
        <w:jc w:val="center"/>
        <w:tblLook w:val="0000" w:firstRow="0" w:lastRow="0" w:firstColumn="0" w:lastColumn="0" w:noHBand="0" w:noVBand="0"/>
      </w:tblPr>
      <w:tblGrid>
        <w:gridCol w:w="9287"/>
      </w:tblGrid>
      <w:tr w:rsidR="00EA4900" w:rsidRPr="00407B23" w:rsidTr="00E27D83">
        <w:trPr>
          <w:jc w:val="center"/>
        </w:trPr>
        <w:tc>
          <w:tcPr>
            <w:tcW w:w="9287" w:type="dxa"/>
            <w:tcBorders>
              <w:top w:val="single" w:sz="4" w:space="0" w:color="auto"/>
              <w:left w:val="single" w:sz="4" w:space="0" w:color="auto"/>
              <w:bottom w:val="single" w:sz="4" w:space="0" w:color="auto"/>
              <w:right w:val="single" w:sz="4" w:space="0" w:color="auto"/>
            </w:tcBorders>
          </w:tcPr>
          <w:p w:rsidR="00EA4900" w:rsidRPr="00407B23" w:rsidRDefault="00EA4900" w:rsidP="00E27D83">
            <w:pPr>
              <w:pStyle w:val="Style1"/>
              <w:pageBreakBefore/>
              <w:spacing w:before="240"/>
              <w:jc w:val="center"/>
              <w:rPr>
                <w:b/>
              </w:rPr>
            </w:pPr>
            <w:r w:rsidRPr="00407B23">
              <w:rPr>
                <w:b/>
              </w:rPr>
              <w:lastRenderedPageBreak/>
              <w:t xml:space="preserve">EXPLANATORY NOTES ON VARIETY DENOMINATIONS </w:t>
            </w:r>
            <w:r w:rsidRPr="00407B23">
              <w:rPr>
                <w:b/>
              </w:rPr>
              <w:br/>
              <w:t>UNDER THE UPOV CONVENTION</w:t>
            </w:r>
          </w:p>
          <w:p w:rsidR="00EA4900" w:rsidRPr="00407B23" w:rsidRDefault="00EA4900" w:rsidP="00E27D83">
            <w:pPr>
              <w:pStyle w:val="Style1"/>
              <w:pageBreakBefore/>
              <w:jc w:val="center"/>
            </w:pPr>
          </w:p>
          <w:p w:rsidR="00EA4900" w:rsidRPr="00407B23" w:rsidRDefault="00EA4900" w:rsidP="00E27D83">
            <w:pPr>
              <w:pStyle w:val="Style1"/>
              <w:pageBreakBefore/>
              <w:spacing w:after="240"/>
              <w:jc w:val="center"/>
              <w:rPr>
                <w:i/>
                <w:highlight w:val="yellow"/>
              </w:rPr>
            </w:pPr>
            <w:r w:rsidRPr="00407B23">
              <w:rPr>
                <w:i/>
              </w:rPr>
              <w:t>The Explanatory Notes below correspond to the paragraph numbers</w:t>
            </w:r>
            <w:r w:rsidRPr="00407B23">
              <w:rPr>
                <w:i/>
              </w:rPr>
              <w:br/>
              <w:t>within Article 20 of the 1991 Act and Article 13 of the 1978 Act and 1961 Convention,</w:t>
            </w:r>
            <w:r w:rsidRPr="00407B23">
              <w:rPr>
                <w:i/>
              </w:rPr>
              <w:br/>
              <w:t>unless indicated otherwise.</w:t>
            </w:r>
          </w:p>
        </w:tc>
      </w:tr>
    </w:tbl>
    <w:p w:rsidR="00EA4900" w:rsidRPr="00407B23" w:rsidRDefault="00EA4900" w:rsidP="00EA4900">
      <w:pPr>
        <w:rPr>
          <w:i/>
        </w:rPr>
      </w:pPr>
    </w:p>
    <w:p w:rsidR="00EA4900" w:rsidRPr="00407B23" w:rsidRDefault="00EA4900" w:rsidP="00EA4900">
      <w:pPr>
        <w:jc w:val="center"/>
        <w:rPr>
          <w:b/>
        </w:rPr>
      </w:pPr>
      <w:r w:rsidRPr="00407B23">
        <w:rPr>
          <w:b/>
        </w:rPr>
        <w:t>Paragraph 1</w:t>
      </w:r>
    </w:p>
    <w:p w:rsidR="00EA4900" w:rsidRPr="00407B23" w:rsidRDefault="00EA4900" w:rsidP="00EA4900">
      <w:pPr>
        <w:jc w:val="center"/>
      </w:pPr>
      <w:r w:rsidRPr="00407B23">
        <w:t>(Paragraphs 1 and 3 of Article 13 of the 1961 Convention)</w:t>
      </w:r>
    </w:p>
    <w:p w:rsidR="00EA4900" w:rsidRPr="00407B23" w:rsidRDefault="00EA4900" w:rsidP="00EA4900"/>
    <w:p w:rsidR="00EA4900" w:rsidRPr="00407B23" w:rsidRDefault="00EA4900" w:rsidP="00EA4900">
      <w:pPr>
        <w:ind w:firstLine="567"/>
        <w:rPr>
          <w:b/>
        </w:rPr>
      </w:pPr>
      <w:r w:rsidRPr="00407B23">
        <w:rPr>
          <w:b/>
        </w:rPr>
        <w:t>[</w:t>
      </w:r>
      <w:r w:rsidRPr="00407B23">
        <w:rPr>
          <w:b/>
          <w:i/>
        </w:rPr>
        <w:t>Designation of varieties by denominations;  use of the denomination</w:t>
      </w:r>
      <w:r w:rsidRPr="00407B23">
        <w:rPr>
          <w:b/>
        </w:rPr>
        <w:t xml:space="preserve">]  The variety shall be designated by a denomination which will be its generic designation. </w:t>
      </w:r>
      <w:r w:rsidRPr="00407B23">
        <w:rPr>
          <w:b/>
          <w:i/>
        </w:rPr>
        <w:t xml:space="preserve"> </w:t>
      </w:r>
      <w:r w:rsidRPr="00407B23">
        <w:rPr>
          <w:b/>
        </w:rPr>
        <w:t>Each member of the Union shall ensure that, subject to paragraph (4), no rights in the designation registered as the denomination of the variety shall hamper the free use of the denomination in connection with the variety, even after the expiration of the breeder’s right.</w:t>
      </w:r>
    </w:p>
    <w:p w:rsidR="00EA4900" w:rsidRPr="00407B23" w:rsidRDefault="00EA4900" w:rsidP="00EA4900">
      <w:pPr>
        <w:rPr>
          <w:b/>
        </w:rPr>
      </w:pPr>
    </w:p>
    <w:p w:rsidR="00EA4900" w:rsidRPr="00407B23" w:rsidRDefault="00EA4900" w:rsidP="00EA4900">
      <w:pPr>
        <w:rPr>
          <w:i/>
        </w:rPr>
      </w:pPr>
      <w:r w:rsidRPr="00407B23">
        <w:rPr>
          <w:i/>
        </w:rPr>
        <w:t>Explanatory Notes – Paragraph (1)</w:t>
      </w:r>
    </w:p>
    <w:p w:rsidR="00EA4900" w:rsidRPr="00407B23" w:rsidRDefault="00EA4900" w:rsidP="00EA4900"/>
    <w:p w:rsidR="00EA4900" w:rsidRPr="00407B23" w:rsidRDefault="00EA4900" w:rsidP="00EA4900">
      <w:pPr>
        <w:widowControl w:val="0"/>
        <w:tabs>
          <w:tab w:val="left" w:pos="567"/>
        </w:tabs>
      </w:pPr>
      <w:r w:rsidRPr="00407B23">
        <w:t>1.1</w:t>
      </w:r>
      <w:r w:rsidRPr="00407B23">
        <w:tab/>
        <w:t>Article 5(2) of the 1991 Act and Article 6(1)(e) of the 1978 Act and the 1961 Convention require that the variety is designated by a denomination.  Paragraph (1) provides for the denomination to be the generic designation of the variety, and subject to prior rights, no rights in the designation shall hamper the free use of the denomination of the variety, even after the expiration of the breeder’s right.  The obligation under paragraph (1) should be considered together with the obligation to use the variety denomination in respect of the offering for sale or marketing of propagating material of the variety (see paragraph (7)).</w:t>
      </w:r>
    </w:p>
    <w:p w:rsidR="00EA4900" w:rsidRPr="00407B23" w:rsidRDefault="00EA4900" w:rsidP="00EA4900">
      <w:pPr>
        <w:widowControl w:val="0"/>
        <w:tabs>
          <w:tab w:val="left" w:pos="567"/>
        </w:tabs>
      </w:pPr>
    </w:p>
    <w:p w:rsidR="00EA4900" w:rsidRPr="00407B23" w:rsidRDefault="00EA4900" w:rsidP="00EA4900">
      <w:pPr>
        <w:widowControl w:val="0"/>
        <w:tabs>
          <w:tab w:val="left" w:pos="567"/>
        </w:tabs>
      </w:pPr>
      <w:r w:rsidRPr="00407B23">
        <w:t>1.2</w:t>
      </w:r>
      <w:r w:rsidRPr="00407B23">
        <w:tab/>
        <w:t>The obligation under paragraph (1) to allow for the use of the denomination in connection with the variety, even after the expiration of the breeder’s right, is of relevance if the breeder of the variety is also the holder of a trademark which is identical to the variety denomination. It should be noted that where a name is registered as a trademark by a trademark authority, the use of the name as a variety denomination may transform the trademark into a generic name.  In such cases, the trademark may become liable for cancellation</w:t>
      </w:r>
      <w:r w:rsidRPr="00407B23">
        <w:rPr>
          <w:rStyle w:val="FootnoteReference"/>
        </w:rPr>
        <w:footnoteReference w:id="4"/>
      </w:r>
      <w:r w:rsidRPr="00407B23">
        <w:t>.  In order to provide clarity and certainty in relation to variety denominations, authorities should refuse a variety denomination which is the same as a trademark in which the breeder has a right.  The breeder may choose to renounce the trademark right prior to the submission of a proposed denomination in order to avoid its refusal.</w:t>
      </w:r>
    </w:p>
    <w:p w:rsidR="00E43B13" w:rsidRPr="00E43B13" w:rsidRDefault="00E43B13" w:rsidP="00E43B13">
      <w:pPr>
        <w:jc w:val="left"/>
        <w:rPr>
          <w:rFonts w:eastAsia="MS Mincho"/>
          <w:lang w:eastAsia="ja-JP"/>
        </w:rPr>
      </w:pPr>
    </w:p>
    <w:p w:rsidR="00E43B13" w:rsidRPr="00E43B13" w:rsidRDefault="00E43B13" w:rsidP="00E43B13">
      <w:pPr>
        <w:widowControl w:val="0"/>
        <w:tabs>
          <w:tab w:val="left" w:pos="567"/>
        </w:tabs>
        <w:rPr>
          <w:rFonts w:eastAsia="MS Mincho"/>
          <w:u w:val="single"/>
        </w:rPr>
      </w:pPr>
      <w:r w:rsidRPr="00E43B13">
        <w:rPr>
          <w:rFonts w:eastAsia="MS Mincho"/>
          <w:highlight w:val="yellow"/>
          <w:u w:val="single"/>
        </w:rPr>
        <w:t>1.3</w:t>
      </w:r>
      <w:r w:rsidRPr="00E43B13">
        <w:rPr>
          <w:rFonts w:eastAsia="MS Mincho"/>
          <w:highlight w:val="yellow"/>
          <w:u w:val="single"/>
        </w:rPr>
        <w:tab/>
      </w:r>
      <w:r w:rsidRPr="00E43B13">
        <w:rPr>
          <w:rFonts w:eastAsia="MS Mincho"/>
          <w:color w:val="000000"/>
          <w:highlight w:val="yellow"/>
          <w:u w:val="single"/>
          <w:lang w:eastAsia="ja-JP"/>
        </w:rPr>
        <w:t>If an authority allows a denomination to be registered when the breeder of the variety is also the holder of a trademark that is identical to the variety denomination, the authority should inform the breeder of the obligation to allow the use of the denomination in connection with the variety, even after the expiration of the breeder’s right.</w:t>
      </w:r>
      <w:r w:rsidR="00FE49B7" w:rsidRPr="00FE49B7">
        <w:rPr>
          <w:sz w:val="18"/>
        </w:rPr>
        <w:t xml:space="preserve"> </w:t>
      </w:r>
      <w:r w:rsidR="006A3091">
        <w:rPr>
          <w:rStyle w:val="EndnoteReference"/>
          <w:sz w:val="18"/>
        </w:rPr>
        <w:endnoteReference w:id="4"/>
      </w:r>
    </w:p>
    <w:p w:rsidR="00E43B13" w:rsidRDefault="00E43B13" w:rsidP="00EA4900"/>
    <w:p w:rsidR="00E43B13" w:rsidRDefault="00E43B13"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Default="00EA4900" w:rsidP="00E27D83"/>
          <w:p w:rsidR="00EA4900" w:rsidRPr="005E542B" w:rsidRDefault="00EA4900" w:rsidP="00E27D83">
            <w:pPr>
              <w:shd w:val="clear" w:color="auto" w:fill="D9D9D9" w:themeFill="background1" w:themeFillShade="D9"/>
              <w:rPr>
                <w:color w:val="000000"/>
                <w:sz w:val="18"/>
                <w:szCs w:val="18"/>
                <w:highlight w:val="yellow"/>
                <w:u w:val="single"/>
                <w:lang w:eastAsia="ja-JP"/>
              </w:rPr>
            </w:pPr>
            <w:r w:rsidRPr="00C93901">
              <w:rPr>
                <w:rFonts w:hint="eastAsia"/>
                <w:color w:val="000000"/>
                <w:sz w:val="18"/>
                <w:szCs w:val="18"/>
                <w:highlight w:val="lightGray"/>
                <w:u w:val="single"/>
                <w:lang w:eastAsia="ja-JP"/>
              </w:rPr>
              <w:t>T</w:t>
            </w:r>
            <w:r w:rsidRPr="00C93901">
              <w:rPr>
                <w:color w:val="000000"/>
                <w:sz w:val="18"/>
                <w:szCs w:val="18"/>
                <w:highlight w:val="lightGray"/>
                <w:u w:val="single"/>
              </w:rPr>
              <w:t xml:space="preserve">he </w:t>
            </w:r>
            <w:r w:rsidRPr="00C93901">
              <w:rPr>
                <w:rFonts w:hint="eastAsia"/>
                <w:color w:val="000000"/>
                <w:sz w:val="18"/>
                <w:szCs w:val="18"/>
                <w:highlight w:val="lightGray"/>
                <w:u w:val="single"/>
                <w:lang w:eastAsia="ja-JP"/>
              </w:rPr>
              <w:t>WG-DEN</w:t>
            </w:r>
            <w:r>
              <w:rPr>
                <w:color w:val="000000"/>
                <w:sz w:val="18"/>
                <w:szCs w:val="18"/>
                <w:highlight w:val="lightGray"/>
                <w:u w:val="single"/>
                <w:lang w:eastAsia="ja-JP"/>
              </w:rPr>
              <w:t>, at its second meeting,</w:t>
            </w:r>
            <w:r w:rsidRPr="00C93901">
              <w:rPr>
                <w:rFonts w:hint="eastAsia"/>
                <w:color w:val="000000"/>
                <w:sz w:val="18"/>
                <w:szCs w:val="18"/>
                <w:highlight w:val="lightGray"/>
                <w:u w:val="single"/>
                <w:lang w:eastAsia="ja-JP"/>
              </w:rPr>
              <w:t xml:space="preserve"> agreed to consider the </w:t>
            </w:r>
            <w:r w:rsidRPr="00C93901">
              <w:rPr>
                <w:color w:val="000000"/>
                <w:sz w:val="18"/>
                <w:szCs w:val="18"/>
                <w:highlight w:val="lightGray"/>
                <w:u w:val="single"/>
                <w:lang w:eastAsia="ja-JP"/>
              </w:rPr>
              <w:t>following</w:t>
            </w:r>
            <w:r w:rsidRPr="00C93901">
              <w:rPr>
                <w:rFonts w:hint="eastAsia"/>
                <w:color w:val="000000"/>
                <w:sz w:val="18"/>
                <w:szCs w:val="18"/>
                <w:highlight w:val="lightGray"/>
                <w:u w:val="single"/>
                <w:lang w:eastAsia="ja-JP"/>
              </w:rPr>
              <w:t xml:space="preserve"> proposal at its third meeting</w:t>
            </w:r>
            <w:r w:rsidRPr="005E542B">
              <w:rPr>
                <w:rFonts w:hint="eastAsia"/>
                <w:color w:val="000000"/>
                <w:sz w:val="18"/>
                <w:szCs w:val="18"/>
                <w:highlight w:val="yellow"/>
                <w:u w:val="single"/>
                <w:lang w:eastAsia="ja-JP"/>
              </w:rPr>
              <w:t xml:space="preserve"> </w:t>
            </w:r>
          </w:p>
          <w:p w:rsidR="00EA4900" w:rsidRPr="005E542B" w:rsidRDefault="00EA4900" w:rsidP="00E27D83">
            <w:pPr>
              <w:shd w:val="clear" w:color="auto" w:fill="D9D9D9" w:themeFill="background1" w:themeFillShade="D9"/>
              <w:rPr>
                <w:color w:val="000000"/>
                <w:sz w:val="18"/>
                <w:szCs w:val="18"/>
                <w:highlight w:val="yellow"/>
                <w:u w:val="single"/>
              </w:rPr>
            </w:pPr>
          </w:p>
          <w:p w:rsidR="00EA4900" w:rsidRPr="00932960" w:rsidRDefault="00EA4900" w:rsidP="00E27D83">
            <w:pPr>
              <w:shd w:val="clear" w:color="auto" w:fill="D9D9D9" w:themeFill="background1" w:themeFillShade="D9"/>
              <w:rPr>
                <w:color w:val="000000"/>
                <w:sz w:val="18"/>
                <w:szCs w:val="18"/>
                <w:lang w:eastAsia="ja-JP"/>
              </w:rPr>
            </w:pPr>
            <w:r w:rsidRPr="00C93901">
              <w:rPr>
                <w:rFonts w:hint="eastAsia"/>
                <w:color w:val="000000"/>
                <w:sz w:val="18"/>
                <w:szCs w:val="18"/>
                <w:highlight w:val="lightGray"/>
                <w:lang w:eastAsia="ja-JP"/>
              </w:rPr>
              <w:t>I</w:t>
            </w:r>
            <w:r w:rsidRPr="00C93901">
              <w:rPr>
                <w:color w:val="000000"/>
                <w:sz w:val="18"/>
                <w:szCs w:val="18"/>
                <w:highlight w:val="lightGray"/>
                <w:lang w:eastAsia="ja-JP"/>
              </w:rPr>
              <w:t>f an authority did allow a denomination to be registered when the breeder of the variety was also the holder of a trademark that was identical to the variety denomination, the authority should inform the breeder of the obligation to allow the use of the denomination in connection with the variety, even after the expiration of the breeder’s right.</w:t>
            </w:r>
          </w:p>
          <w:p w:rsidR="00EA4900" w:rsidRDefault="00EA4900" w:rsidP="00E27D83"/>
        </w:tc>
      </w:tr>
    </w:tbl>
    <w:p w:rsidR="00EA4900" w:rsidRPr="00407B23"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Default="00EA4900" w:rsidP="00E27D83"/>
          <w:p w:rsidR="00EA4900" w:rsidRPr="0051478C" w:rsidRDefault="00EA4900" w:rsidP="00E27D83">
            <w:pPr>
              <w:shd w:val="clear" w:color="auto" w:fill="D9D9D9" w:themeFill="background1" w:themeFillShade="D9"/>
              <w:rPr>
                <w:color w:val="000000"/>
                <w:sz w:val="18"/>
                <w:szCs w:val="18"/>
                <w:u w:val="single"/>
                <w:lang w:eastAsia="ja-JP"/>
              </w:rPr>
            </w:pPr>
            <w:r w:rsidRPr="0051478C">
              <w:rPr>
                <w:color w:val="000000"/>
                <w:sz w:val="18"/>
                <w:szCs w:val="18"/>
                <w:u w:val="single"/>
                <w:lang w:eastAsia="ja-JP"/>
              </w:rPr>
              <w:t>T</w:t>
            </w:r>
            <w:r w:rsidRPr="0051478C">
              <w:rPr>
                <w:color w:val="000000"/>
                <w:sz w:val="18"/>
                <w:szCs w:val="18"/>
                <w:u w:val="single"/>
              </w:rPr>
              <w:t xml:space="preserve">he </w:t>
            </w:r>
            <w:r w:rsidRPr="0051478C">
              <w:rPr>
                <w:rFonts w:hint="eastAsia"/>
                <w:color w:val="000000"/>
                <w:sz w:val="18"/>
                <w:szCs w:val="18"/>
                <w:u w:val="single"/>
                <w:lang w:eastAsia="ja-JP"/>
              </w:rPr>
              <w:t>WG-DEN</w:t>
            </w:r>
            <w:r w:rsidRPr="0051478C">
              <w:rPr>
                <w:color w:val="000000"/>
                <w:sz w:val="18"/>
                <w:szCs w:val="18"/>
                <w:u w:val="single"/>
                <w:lang w:eastAsia="ja-JP"/>
              </w:rPr>
              <w:t>, at its third meeting, agreed</w:t>
            </w:r>
            <w:r w:rsidRPr="0051478C">
              <w:rPr>
                <w:rFonts w:hint="eastAsia"/>
                <w:color w:val="000000"/>
                <w:sz w:val="18"/>
                <w:szCs w:val="18"/>
                <w:u w:val="single"/>
                <w:lang w:eastAsia="ja-JP"/>
              </w:rPr>
              <w:t xml:space="preserve"> </w:t>
            </w:r>
          </w:p>
          <w:p w:rsidR="00EA4900" w:rsidRPr="0051478C" w:rsidRDefault="00EA4900" w:rsidP="00E27D83">
            <w:pPr>
              <w:shd w:val="clear" w:color="auto" w:fill="D9D9D9" w:themeFill="background1" w:themeFillShade="D9"/>
              <w:rPr>
                <w:color w:val="000000"/>
                <w:sz w:val="18"/>
                <w:szCs w:val="18"/>
                <w:u w:val="single"/>
              </w:rPr>
            </w:pPr>
          </w:p>
          <w:p w:rsidR="00EA4900" w:rsidRDefault="00EA4900" w:rsidP="00E27D83">
            <w:pPr>
              <w:rPr>
                <w:color w:val="000000"/>
                <w:sz w:val="18"/>
                <w:szCs w:val="18"/>
                <w:lang w:eastAsia="ja-JP"/>
              </w:rPr>
            </w:pPr>
            <w:r w:rsidRPr="0051478C">
              <w:rPr>
                <w:color w:val="000000"/>
                <w:sz w:val="18"/>
                <w:szCs w:val="18"/>
                <w:lang w:eastAsia="ja-JP"/>
              </w:rPr>
              <w:t xml:space="preserve">To propose additional text to explain that, if an authority allows a denomination to be registered when the breeder of the variety is also the holder of a trademark that is identical to the variety denomination, the authority should inform the breeder of the obligation to allow the use of the denomination in connection with the variety, even after the expiration of the breeder’s right. </w:t>
            </w:r>
          </w:p>
          <w:p w:rsidR="00EA4900" w:rsidRDefault="00EA4900" w:rsidP="00E27D83"/>
        </w:tc>
      </w:tr>
    </w:tbl>
    <w:p w:rsidR="00EA4900" w:rsidRDefault="00EA4900" w:rsidP="00EA4900">
      <w:pPr>
        <w:keepNext/>
        <w:jc w:val="center"/>
        <w:rPr>
          <w:b/>
        </w:rPr>
      </w:pPr>
    </w:p>
    <w:p w:rsidR="00EA4900" w:rsidRDefault="00EA4900" w:rsidP="00EA4900">
      <w:pPr>
        <w:keepNext/>
        <w:jc w:val="center"/>
        <w:rPr>
          <w:b/>
        </w:rPr>
      </w:pPr>
    </w:p>
    <w:p w:rsidR="00EA4900" w:rsidRPr="00407B23" w:rsidRDefault="00EA4900" w:rsidP="00EA4900">
      <w:pPr>
        <w:keepNext/>
        <w:jc w:val="center"/>
        <w:rPr>
          <w:b/>
        </w:rPr>
      </w:pPr>
      <w:r w:rsidRPr="00407B23">
        <w:rPr>
          <w:b/>
        </w:rPr>
        <w:t>Paragraph 2</w:t>
      </w:r>
    </w:p>
    <w:p w:rsidR="00EA4900" w:rsidRPr="00407B23" w:rsidRDefault="00EA4900" w:rsidP="00EA4900">
      <w:pPr>
        <w:keepNext/>
        <w:jc w:val="center"/>
        <w:rPr>
          <w:b/>
        </w:rPr>
      </w:pPr>
    </w:p>
    <w:p w:rsidR="00EA4900" w:rsidRPr="00407B23" w:rsidRDefault="00EA4900" w:rsidP="00EA4900">
      <w:pPr>
        <w:ind w:firstLine="567"/>
        <w:rPr>
          <w:b/>
        </w:rPr>
      </w:pPr>
      <w:r w:rsidRPr="00407B23">
        <w:rPr>
          <w:b/>
        </w:rPr>
        <w:t>[</w:t>
      </w:r>
      <w:r w:rsidRPr="00407B23">
        <w:rPr>
          <w:b/>
          <w:i/>
        </w:rPr>
        <w:t>Characteristics of the denomination</w:t>
      </w:r>
      <w:r w:rsidRPr="00407B23">
        <w:rPr>
          <w:b/>
        </w:rPr>
        <w:t>]  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member of the Union, an existing variety of the same plant species or of a closely related species.</w:t>
      </w:r>
    </w:p>
    <w:p w:rsidR="00EA4900" w:rsidRPr="00407B23" w:rsidRDefault="00EA4900" w:rsidP="00EA4900"/>
    <w:p w:rsidR="00EA4900" w:rsidRPr="00407B23" w:rsidRDefault="00EA4900" w:rsidP="00EA4900">
      <w:pPr>
        <w:rPr>
          <w:i/>
        </w:rPr>
      </w:pPr>
      <w:r w:rsidRPr="00407B23">
        <w:rPr>
          <w:i/>
        </w:rPr>
        <w:t>Explanatory Notes – Paragraph (2)</w:t>
      </w:r>
    </w:p>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c>
          <w:tcPr>
            <w:tcW w:w="9855" w:type="dxa"/>
            <w:shd w:val="clear" w:color="auto" w:fill="D9D9D9" w:themeFill="background1" w:themeFillShade="D9"/>
          </w:tcPr>
          <w:p w:rsidR="00EA4900" w:rsidRPr="005F2452" w:rsidRDefault="00EA4900" w:rsidP="00E27D83">
            <w:pPr>
              <w:rPr>
                <w:sz w:val="18"/>
                <w:szCs w:val="18"/>
              </w:rPr>
            </w:pPr>
          </w:p>
          <w:p w:rsidR="00EA4900" w:rsidRPr="005F2452" w:rsidRDefault="00EA4900" w:rsidP="00E27D83">
            <w:pPr>
              <w:rPr>
                <w:color w:val="000000"/>
                <w:sz w:val="18"/>
                <w:szCs w:val="18"/>
                <w:u w:val="single"/>
              </w:rPr>
            </w:pPr>
            <w:r>
              <w:rPr>
                <w:color w:val="000000"/>
                <w:sz w:val="18"/>
                <w:szCs w:val="18"/>
                <w:u w:val="single"/>
              </w:rPr>
              <w:t xml:space="preserve">General comment </w:t>
            </w:r>
            <w:r w:rsidRPr="005F2452">
              <w:rPr>
                <w:color w:val="000000"/>
                <w:sz w:val="18"/>
                <w:szCs w:val="18"/>
                <w:u w:val="single"/>
              </w:rPr>
              <w:t xml:space="preserve">by </w:t>
            </w:r>
            <w:r>
              <w:rPr>
                <w:color w:val="000000"/>
                <w:sz w:val="18"/>
                <w:szCs w:val="18"/>
                <w:u w:val="single"/>
              </w:rPr>
              <w:t xml:space="preserve">the </w:t>
            </w:r>
            <w:r w:rsidRPr="005F2452">
              <w:rPr>
                <w:color w:val="000000"/>
                <w:sz w:val="18"/>
                <w:szCs w:val="18"/>
                <w:u w:val="single"/>
              </w:rPr>
              <w:t>European Union (CPVO)</w:t>
            </w:r>
            <w:r w:rsidR="006A3091" w:rsidRPr="006A3091">
              <w:rPr>
                <w:color w:val="000000"/>
                <w:sz w:val="18"/>
                <w:szCs w:val="18"/>
              </w:rPr>
              <w:t xml:space="preserve"> </w:t>
            </w:r>
            <w:bookmarkStart w:id="8" w:name="_Ref526437916"/>
            <w:r w:rsidR="006A3091">
              <w:rPr>
                <w:rStyle w:val="EndnoteReference"/>
                <w:color w:val="000000"/>
                <w:sz w:val="18"/>
                <w:szCs w:val="18"/>
              </w:rPr>
              <w:endnoteReference w:id="5"/>
            </w:r>
            <w:bookmarkEnd w:id="8"/>
          </w:p>
          <w:p w:rsidR="00EA4900" w:rsidRPr="005F2452" w:rsidRDefault="00EA4900" w:rsidP="00E27D83">
            <w:pPr>
              <w:rPr>
                <w:color w:val="000000"/>
                <w:sz w:val="18"/>
                <w:szCs w:val="18"/>
                <w:u w:val="single"/>
              </w:rPr>
            </w:pPr>
          </w:p>
          <w:p w:rsidR="00EA4900" w:rsidRPr="005F2452" w:rsidRDefault="00EA4900" w:rsidP="00E27D83">
            <w:pPr>
              <w:rPr>
                <w:sz w:val="18"/>
                <w:szCs w:val="18"/>
              </w:rPr>
            </w:pPr>
            <w:r w:rsidRPr="005F2452">
              <w:rPr>
                <w:sz w:val="18"/>
                <w:szCs w:val="18"/>
              </w:rPr>
              <w:t>Articles 3,</w:t>
            </w:r>
            <w:r>
              <w:rPr>
                <w:sz w:val="18"/>
                <w:szCs w:val="18"/>
              </w:rPr>
              <w:t xml:space="preserve"> </w:t>
            </w:r>
            <w:r w:rsidRPr="005F2452">
              <w:rPr>
                <w:sz w:val="18"/>
                <w:szCs w:val="18"/>
              </w:rPr>
              <w:t>4 and 7 of the CPVO Guidelines on variety denominations provide some more detailed guidance on this subject</w:t>
            </w:r>
            <w:r>
              <w:rPr>
                <w:sz w:val="18"/>
                <w:szCs w:val="18"/>
              </w:rPr>
              <w:t>.</w:t>
            </w:r>
          </w:p>
          <w:p w:rsidR="00EA4900" w:rsidRPr="005F2452" w:rsidRDefault="00EA4900" w:rsidP="00E27D83">
            <w:pPr>
              <w:rPr>
                <w:sz w:val="18"/>
                <w:szCs w:val="18"/>
              </w:rPr>
            </w:pPr>
          </w:p>
        </w:tc>
      </w:tr>
    </w:tbl>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c>
          <w:tcPr>
            <w:tcW w:w="9855" w:type="dxa"/>
            <w:shd w:val="clear" w:color="auto" w:fill="D9D9D9" w:themeFill="background1" w:themeFillShade="D9"/>
          </w:tcPr>
          <w:p w:rsidR="00EA4900" w:rsidRPr="005F2452" w:rsidRDefault="00EA4900" w:rsidP="00E27D83">
            <w:pPr>
              <w:rPr>
                <w:sz w:val="18"/>
                <w:szCs w:val="18"/>
              </w:rPr>
            </w:pPr>
          </w:p>
          <w:p w:rsidR="00EA4900" w:rsidRPr="00A42B98" w:rsidRDefault="00EA4900" w:rsidP="00E27D83">
            <w:pPr>
              <w:tabs>
                <w:tab w:val="left" w:pos="567"/>
              </w:tabs>
              <w:rPr>
                <w:sz w:val="18"/>
                <w:szCs w:val="18"/>
                <w:lang w:eastAsia="ja-JP"/>
              </w:rPr>
            </w:pPr>
            <w:r w:rsidRPr="00A42B98">
              <w:rPr>
                <w:sz w:val="18"/>
                <w:szCs w:val="18"/>
                <w:u w:val="single"/>
              </w:rPr>
              <w:t>Agreed by the WG-DEN</w:t>
            </w:r>
            <w:r w:rsidRPr="00A42B98">
              <w:rPr>
                <w:rFonts w:hint="eastAsia"/>
                <w:sz w:val="18"/>
                <w:szCs w:val="18"/>
                <w:u w:val="single"/>
                <w:lang w:eastAsia="ja-JP"/>
              </w:rPr>
              <w:t>, at its first meeting</w:t>
            </w:r>
            <w:r w:rsidR="006A3091" w:rsidRPr="006A3091">
              <w:rPr>
                <w:sz w:val="18"/>
                <w:szCs w:val="18"/>
                <w:lang w:eastAsia="ja-JP"/>
              </w:rPr>
              <w:t xml:space="preserve"> </w:t>
            </w:r>
            <w:r w:rsidR="006A3091">
              <w:rPr>
                <w:rStyle w:val="EndnoteReference"/>
                <w:sz w:val="18"/>
                <w:szCs w:val="18"/>
                <w:lang w:eastAsia="ja-JP"/>
              </w:rPr>
              <w:endnoteReference w:id="6"/>
            </w:r>
          </w:p>
          <w:p w:rsidR="00EA4900" w:rsidRPr="00A42B98" w:rsidRDefault="00EA4900" w:rsidP="00E27D83">
            <w:pPr>
              <w:rPr>
                <w:sz w:val="18"/>
                <w:szCs w:val="18"/>
              </w:rPr>
            </w:pPr>
          </w:p>
          <w:p w:rsidR="00EA4900" w:rsidRPr="006E7801" w:rsidRDefault="00EA4900" w:rsidP="00E27D83">
            <w:pPr>
              <w:rPr>
                <w:sz w:val="16"/>
                <w:szCs w:val="18"/>
              </w:rPr>
            </w:pPr>
            <w:r w:rsidRPr="00A42B98">
              <w:rPr>
                <w:rFonts w:hint="eastAsia"/>
                <w:sz w:val="18"/>
                <w:szCs w:val="18"/>
                <w:lang w:eastAsia="ja-JP"/>
              </w:rPr>
              <w:t>T</w:t>
            </w:r>
            <w:r w:rsidRPr="00A42B98">
              <w:rPr>
                <w:rFonts w:hint="eastAsia"/>
                <w:sz w:val="18"/>
                <w:lang w:eastAsia="ja-JP"/>
              </w:rPr>
              <w:t>here are four categories of denominations</w:t>
            </w:r>
            <w:r w:rsidRPr="00A42B98">
              <w:rPr>
                <w:sz w:val="18"/>
                <w:lang w:eastAsia="ja-JP"/>
              </w:rPr>
              <w:t xml:space="preserve">: </w:t>
            </w:r>
            <w:r w:rsidRPr="00A42B98">
              <w:rPr>
                <w:rFonts w:hint="eastAsia"/>
                <w:sz w:val="18"/>
                <w:lang w:eastAsia="ja-JP"/>
              </w:rPr>
              <w:t xml:space="preserve"> </w:t>
            </w:r>
            <w:r w:rsidRPr="00A42B98">
              <w:rPr>
                <w:sz w:val="18"/>
                <w:lang w:eastAsia="ja-JP"/>
              </w:rPr>
              <w:t>pronounceable</w:t>
            </w:r>
            <w:r w:rsidRPr="00A42B98">
              <w:rPr>
                <w:rFonts w:hint="eastAsia"/>
                <w:sz w:val="18"/>
                <w:lang w:eastAsia="ja-JP"/>
              </w:rPr>
              <w:t xml:space="preserve"> words</w:t>
            </w:r>
            <w:r w:rsidRPr="00A42B98">
              <w:rPr>
                <w:sz w:val="18"/>
                <w:lang w:eastAsia="ja-JP"/>
              </w:rPr>
              <w:t xml:space="preserve">; </w:t>
            </w:r>
            <w:r w:rsidRPr="00A42B98">
              <w:rPr>
                <w:rFonts w:hint="eastAsia"/>
                <w:sz w:val="18"/>
                <w:lang w:eastAsia="ja-JP"/>
              </w:rPr>
              <w:t xml:space="preserve">letters only (not in the form of </w:t>
            </w:r>
            <w:r w:rsidRPr="00A42B98">
              <w:rPr>
                <w:sz w:val="18"/>
                <w:lang w:eastAsia="ja-JP"/>
              </w:rPr>
              <w:t>pronounceable</w:t>
            </w:r>
            <w:r w:rsidRPr="00A42B98">
              <w:rPr>
                <w:rFonts w:hint="eastAsia"/>
                <w:sz w:val="18"/>
                <w:lang w:eastAsia="ja-JP"/>
              </w:rPr>
              <w:t xml:space="preserve"> words)</w:t>
            </w:r>
            <w:r w:rsidRPr="00A42B98">
              <w:rPr>
                <w:sz w:val="18"/>
                <w:lang w:eastAsia="ja-JP"/>
              </w:rPr>
              <w:t>;</w:t>
            </w:r>
            <w:r w:rsidRPr="00A42B98">
              <w:rPr>
                <w:rFonts w:hint="eastAsia"/>
                <w:sz w:val="18"/>
                <w:lang w:eastAsia="ja-JP"/>
              </w:rPr>
              <w:t xml:space="preserve"> letters and figures</w:t>
            </w:r>
            <w:r w:rsidRPr="00A42B98">
              <w:rPr>
                <w:sz w:val="18"/>
                <w:lang w:eastAsia="ja-JP"/>
              </w:rPr>
              <w:t xml:space="preserve">; </w:t>
            </w:r>
            <w:r w:rsidRPr="00A42B98">
              <w:rPr>
                <w:rFonts w:hint="eastAsia"/>
                <w:sz w:val="18"/>
                <w:lang w:eastAsia="ja-JP"/>
              </w:rPr>
              <w:t>and figures only.</w:t>
            </w:r>
          </w:p>
          <w:p w:rsidR="00EA4900" w:rsidRPr="005F2452" w:rsidRDefault="00EA4900" w:rsidP="00E27D83">
            <w:pPr>
              <w:rPr>
                <w:sz w:val="18"/>
                <w:szCs w:val="18"/>
              </w:rPr>
            </w:pPr>
          </w:p>
        </w:tc>
      </w:tr>
    </w:tbl>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c>
          <w:tcPr>
            <w:tcW w:w="9855" w:type="dxa"/>
            <w:shd w:val="clear" w:color="auto" w:fill="D9D9D9" w:themeFill="background1" w:themeFillShade="D9"/>
          </w:tcPr>
          <w:p w:rsidR="00EA4900" w:rsidRPr="005F2452" w:rsidRDefault="00EA4900" w:rsidP="00E27D83">
            <w:pPr>
              <w:rPr>
                <w:sz w:val="18"/>
                <w:szCs w:val="18"/>
              </w:rPr>
            </w:pPr>
          </w:p>
          <w:p w:rsidR="00EA4900" w:rsidRPr="005E542B" w:rsidRDefault="00EA4900" w:rsidP="00E27D83">
            <w:pPr>
              <w:tabs>
                <w:tab w:val="left" w:pos="567"/>
              </w:tabs>
              <w:rPr>
                <w:sz w:val="18"/>
                <w:szCs w:val="18"/>
                <w:highlight w:val="yellow"/>
                <w:lang w:eastAsia="ja-JP"/>
              </w:rPr>
            </w:pPr>
            <w:r w:rsidRPr="00DB3DD4">
              <w:rPr>
                <w:rFonts w:hint="eastAsia"/>
                <w:color w:val="000000"/>
                <w:sz w:val="18"/>
                <w:szCs w:val="18"/>
                <w:highlight w:val="lightGray"/>
                <w:u w:val="single"/>
                <w:lang w:eastAsia="ja-JP"/>
              </w:rPr>
              <w:t>T</w:t>
            </w:r>
            <w:r w:rsidRPr="00DB3DD4">
              <w:rPr>
                <w:color w:val="000000"/>
                <w:sz w:val="18"/>
                <w:szCs w:val="18"/>
                <w:highlight w:val="lightGray"/>
                <w:u w:val="single"/>
              </w:rPr>
              <w:t xml:space="preserve">he </w:t>
            </w:r>
            <w:r w:rsidRPr="00DB3DD4">
              <w:rPr>
                <w:rFonts w:hint="eastAsia"/>
                <w:color w:val="000000"/>
                <w:sz w:val="18"/>
                <w:szCs w:val="18"/>
                <w:highlight w:val="lightGray"/>
                <w:u w:val="single"/>
                <w:lang w:eastAsia="ja-JP"/>
              </w:rPr>
              <w:t>WG-DEN</w:t>
            </w:r>
            <w:r w:rsidRPr="00DB3DD4">
              <w:rPr>
                <w:color w:val="000000"/>
                <w:sz w:val="18"/>
                <w:szCs w:val="18"/>
                <w:highlight w:val="lightGray"/>
                <w:u w:val="single"/>
                <w:lang w:eastAsia="ja-JP"/>
              </w:rPr>
              <w:t>, at its second meeting,</w:t>
            </w:r>
            <w:r w:rsidRPr="00DB3DD4">
              <w:rPr>
                <w:rFonts w:hint="eastAsia"/>
                <w:color w:val="000000"/>
                <w:sz w:val="18"/>
                <w:szCs w:val="18"/>
                <w:highlight w:val="lightGray"/>
                <w:u w:val="single"/>
                <w:lang w:eastAsia="ja-JP"/>
              </w:rPr>
              <w:t xml:space="preserve"> agreed to consider the </w:t>
            </w:r>
            <w:r w:rsidRPr="00DB3DD4">
              <w:rPr>
                <w:color w:val="000000"/>
                <w:sz w:val="18"/>
                <w:szCs w:val="18"/>
                <w:highlight w:val="lightGray"/>
                <w:u w:val="single"/>
                <w:lang w:eastAsia="ja-JP"/>
              </w:rPr>
              <w:t>following</w:t>
            </w:r>
            <w:r w:rsidRPr="00DB3DD4">
              <w:rPr>
                <w:rFonts w:hint="eastAsia"/>
                <w:color w:val="000000"/>
                <w:sz w:val="18"/>
                <w:szCs w:val="18"/>
                <w:highlight w:val="lightGray"/>
                <w:u w:val="single"/>
                <w:lang w:eastAsia="ja-JP"/>
              </w:rPr>
              <w:t xml:space="preserve"> proposal at its third meeting</w:t>
            </w:r>
          </w:p>
          <w:p w:rsidR="00EA4900" w:rsidRPr="005E542B" w:rsidRDefault="00EA4900" w:rsidP="00E27D83">
            <w:pPr>
              <w:rPr>
                <w:sz w:val="18"/>
                <w:szCs w:val="18"/>
                <w:highlight w:val="yellow"/>
              </w:rPr>
            </w:pPr>
          </w:p>
          <w:p w:rsidR="00EA4900" w:rsidRPr="006E7801" w:rsidRDefault="00EA4900" w:rsidP="00E27D83">
            <w:pPr>
              <w:rPr>
                <w:sz w:val="16"/>
                <w:szCs w:val="18"/>
              </w:rPr>
            </w:pPr>
            <w:r w:rsidRPr="00DB3DD4">
              <w:rPr>
                <w:rFonts w:hint="eastAsia"/>
                <w:sz w:val="18"/>
                <w:highlight w:val="lightGray"/>
                <w:lang w:eastAsia="ja-JP"/>
              </w:rPr>
              <w:t>T</w:t>
            </w:r>
            <w:r w:rsidRPr="00DB3DD4">
              <w:rPr>
                <w:sz w:val="18"/>
                <w:highlight w:val="lightGray"/>
                <w:lang w:eastAsia="ja-JP"/>
              </w:rPr>
              <w:t>he definition of “words” and the four categories of denominations: pronounceable words; letters only (not in the form of pronounceable words); letters and figures; and figures only</w:t>
            </w:r>
            <w:r w:rsidRPr="00DB3DD4">
              <w:rPr>
                <w:rFonts w:hint="eastAsia"/>
                <w:sz w:val="18"/>
                <w:highlight w:val="lightGray"/>
                <w:lang w:eastAsia="ja-JP"/>
              </w:rPr>
              <w:t>.</w:t>
            </w:r>
          </w:p>
          <w:p w:rsidR="00EA4900" w:rsidRPr="005F2452" w:rsidRDefault="00EA4900" w:rsidP="00E27D83">
            <w:pPr>
              <w:rPr>
                <w:sz w:val="18"/>
                <w:szCs w:val="18"/>
              </w:rPr>
            </w:pPr>
          </w:p>
        </w:tc>
      </w:tr>
    </w:tbl>
    <w:p w:rsidR="00EA4900" w:rsidRDefault="00EA4900" w:rsidP="00EA4900">
      <w:pPr>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c>
          <w:tcPr>
            <w:tcW w:w="9855" w:type="dxa"/>
            <w:shd w:val="clear" w:color="auto" w:fill="D9D9D9" w:themeFill="background1" w:themeFillShade="D9"/>
          </w:tcPr>
          <w:p w:rsidR="00EA4900" w:rsidRPr="005F2452" w:rsidRDefault="00EA4900" w:rsidP="00E27D83">
            <w:pPr>
              <w:rPr>
                <w:sz w:val="18"/>
                <w:szCs w:val="18"/>
              </w:rPr>
            </w:pPr>
          </w:p>
          <w:p w:rsidR="00EA4900" w:rsidRPr="0051478C" w:rsidRDefault="00EA4900" w:rsidP="00E27D83">
            <w:pPr>
              <w:rPr>
                <w:sz w:val="18"/>
                <w:szCs w:val="18"/>
                <w:lang w:eastAsia="ja-JP"/>
              </w:rPr>
            </w:pPr>
            <w:r w:rsidRPr="0051478C">
              <w:rPr>
                <w:rFonts w:hint="eastAsia"/>
                <w:color w:val="000000"/>
                <w:sz w:val="18"/>
                <w:szCs w:val="18"/>
                <w:u w:val="single"/>
                <w:lang w:eastAsia="ja-JP"/>
              </w:rPr>
              <w:t>T</w:t>
            </w:r>
            <w:r w:rsidRPr="0051478C">
              <w:rPr>
                <w:color w:val="000000"/>
                <w:sz w:val="18"/>
                <w:szCs w:val="18"/>
                <w:u w:val="single"/>
              </w:rPr>
              <w:t xml:space="preserve">he </w:t>
            </w:r>
            <w:r w:rsidRPr="0051478C">
              <w:rPr>
                <w:rFonts w:hint="eastAsia"/>
                <w:color w:val="000000"/>
                <w:sz w:val="18"/>
                <w:szCs w:val="18"/>
                <w:u w:val="single"/>
                <w:lang w:eastAsia="ja-JP"/>
              </w:rPr>
              <w:t>WG-DEN</w:t>
            </w:r>
            <w:r w:rsidRPr="0051478C">
              <w:rPr>
                <w:color w:val="000000"/>
                <w:sz w:val="18"/>
                <w:szCs w:val="18"/>
                <w:u w:val="single"/>
                <w:lang w:eastAsia="ja-JP"/>
              </w:rPr>
              <w:t>, at its third meeting,</w:t>
            </w:r>
            <w:r w:rsidRPr="0051478C">
              <w:rPr>
                <w:rFonts w:hint="eastAsia"/>
                <w:color w:val="000000"/>
                <w:sz w:val="18"/>
                <w:szCs w:val="18"/>
                <w:u w:val="single"/>
                <w:lang w:eastAsia="ja-JP"/>
              </w:rPr>
              <w:t xml:space="preserve"> </w:t>
            </w:r>
          </w:p>
          <w:p w:rsidR="00EA4900" w:rsidRPr="0051478C" w:rsidRDefault="00EA4900" w:rsidP="00E27D83">
            <w:pPr>
              <w:rPr>
                <w:sz w:val="18"/>
                <w:szCs w:val="18"/>
                <w:lang w:eastAsia="ja-JP"/>
              </w:rPr>
            </w:pPr>
          </w:p>
          <w:p w:rsidR="00EA4900" w:rsidRDefault="00EA4900" w:rsidP="00E27D83">
            <w:pPr>
              <w:rPr>
                <w:sz w:val="18"/>
                <w:lang w:eastAsia="ja-JP"/>
              </w:rPr>
            </w:pPr>
            <w:r w:rsidRPr="0051478C">
              <w:rPr>
                <w:sz w:val="18"/>
                <w:lang w:eastAsia="ja-JP"/>
              </w:rPr>
              <w:t>noted that there were some significant differences in the detailed criteria for variety denomination suitability between UPOV members and that it might be difficult to achieve complete harmonization.  The WG-DEN noted that such differences in criteria would not lead to the creation of a synonym if authorities accepted the denomination that was submitted and registered with the first application, even if the denomination would not have met the criteria in their territory.</w:t>
            </w:r>
          </w:p>
          <w:p w:rsidR="00EA4900" w:rsidRPr="005F2452" w:rsidRDefault="00EA4900" w:rsidP="00E27D83">
            <w:pPr>
              <w:rPr>
                <w:sz w:val="18"/>
                <w:szCs w:val="18"/>
              </w:rPr>
            </w:pPr>
          </w:p>
        </w:tc>
      </w:tr>
    </w:tbl>
    <w:p w:rsidR="00EA4900" w:rsidRDefault="00EA4900" w:rsidP="00EA4900">
      <w:pPr>
        <w:rPr>
          <w:lang w:eastAsia="ja-JP"/>
        </w:rPr>
      </w:pPr>
    </w:p>
    <w:p w:rsidR="00EA4900" w:rsidRDefault="00EA4900" w:rsidP="00EA4900">
      <w:pPr>
        <w:rPr>
          <w:lang w:eastAsia="ja-JP"/>
        </w:rPr>
      </w:pPr>
    </w:p>
    <w:p w:rsidR="00EA4900" w:rsidRPr="00407B23" w:rsidRDefault="00EA4900" w:rsidP="00EA4900">
      <w:pPr>
        <w:rPr>
          <w:i/>
        </w:rPr>
      </w:pPr>
      <w:r w:rsidRPr="00407B23">
        <w:rPr>
          <w:i/>
        </w:rPr>
        <w:t>2.1</w:t>
      </w:r>
      <w:r w:rsidRPr="00407B23">
        <w:rPr>
          <w:i/>
        </w:rPr>
        <w:tab/>
        <w:t>Identification</w:t>
      </w:r>
    </w:p>
    <w:p w:rsidR="00EA4900" w:rsidRPr="00407B23" w:rsidRDefault="00EA4900" w:rsidP="00EA4900"/>
    <w:p w:rsidR="00EA4900" w:rsidRDefault="00EA4900" w:rsidP="00EA4900">
      <w:pPr>
        <w:tabs>
          <w:tab w:val="left" w:pos="567"/>
        </w:tabs>
      </w:pPr>
      <w:r w:rsidRPr="00407B23">
        <w:t>Provisions under paragraph (2) emphasize the “identification” role of the denomination.  Bearing in mind that the main objective of the denomination is to identify the variety, sufficient flexibility should be given to incorporate evolving practices in designating varieties.</w:t>
      </w:r>
    </w:p>
    <w:p w:rsidR="00EA4900" w:rsidRDefault="00EA4900" w:rsidP="00EA4900">
      <w:pPr>
        <w:tabs>
          <w:tab w:val="left" w:pos="567"/>
        </w:tabs>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3101A8" w:rsidRDefault="00EA4900" w:rsidP="00E27D83">
            <w:pPr>
              <w:tabs>
                <w:tab w:val="left" w:pos="567"/>
              </w:tabs>
              <w:rPr>
                <w:sz w:val="18"/>
                <w:szCs w:val="18"/>
              </w:rPr>
            </w:pPr>
          </w:p>
          <w:p w:rsidR="00EA4900" w:rsidRPr="00C46A71" w:rsidRDefault="00EA4900" w:rsidP="00E27D83">
            <w:pPr>
              <w:tabs>
                <w:tab w:val="left" w:pos="567"/>
              </w:tabs>
              <w:rPr>
                <w:color w:val="000000"/>
                <w:sz w:val="18"/>
                <w:szCs w:val="18"/>
                <w:u w:val="single"/>
                <w:lang w:eastAsia="ja-JP"/>
              </w:rPr>
            </w:pPr>
            <w:r w:rsidRPr="00C46A71">
              <w:rPr>
                <w:color w:val="000000"/>
                <w:sz w:val="18"/>
                <w:szCs w:val="18"/>
                <w:u w:val="single"/>
              </w:rPr>
              <w:t xml:space="preserve">Proposal by </w:t>
            </w:r>
            <w:r>
              <w:rPr>
                <w:color w:val="000000"/>
                <w:sz w:val="18"/>
                <w:szCs w:val="18"/>
                <w:u w:val="single"/>
              </w:rPr>
              <w:t xml:space="preserve">the </w:t>
            </w:r>
            <w:r w:rsidRPr="00C46A71">
              <w:rPr>
                <w:color w:val="000000"/>
                <w:sz w:val="18"/>
                <w:szCs w:val="18"/>
                <w:u w:val="single"/>
              </w:rPr>
              <w:t>European Union (CPVO)</w:t>
            </w:r>
            <w:r w:rsidR="006A3091" w:rsidRPr="006A3091">
              <w:rPr>
                <w:color w:val="000000"/>
                <w:sz w:val="18"/>
                <w:szCs w:val="18"/>
                <w:lang w:eastAsia="ja-JP"/>
              </w:rPr>
              <w:t xml:space="preserve"> </w:t>
            </w:r>
            <w:r w:rsidR="006A3091">
              <w:rPr>
                <w:color w:val="000000"/>
                <w:sz w:val="18"/>
                <w:szCs w:val="18"/>
                <w:lang w:eastAsia="ja-JP"/>
              </w:rPr>
              <w:fldChar w:fldCharType="begin"/>
            </w:r>
            <w:r w:rsidR="006A3091">
              <w:rPr>
                <w:color w:val="000000"/>
                <w:sz w:val="18"/>
                <w:szCs w:val="18"/>
                <w:lang w:eastAsia="ja-JP"/>
              </w:rPr>
              <w:instrText xml:space="preserve"> NOTEREF _Ref526437916 \f \h </w:instrText>
            </w:r>
            <w:r w:rsidR="006A3091">
              <w:rPr>
                <w:color w:val="000000"/>
                <w:sz w:val="18"/>
                <w:szCs w:val="18"/>
                <w:lang w:eastAsia="ja-JP"/>
              </w:rPr>
            </w:r>
            <w:r w:rsidR="006A3091">
              <w:rPr>
                <w:color w:val="000000"/>
                <w:sz w:val="18"/>
                <w:szCs w:val="18"/>
                <w:lang w:eastAsia="ja-JP"/>
              </w:rPr>
              <w:fldChar w:fldCharType="separate"/>
            </w:r>
            <w:r w:rsidR="008D27BA" w:rsidRPr="008D27BA">
              <w:rPr>
                <w:rStyle w:val="EndnoteReference"/>
              </w:rPr>
              <w:t>d</w:t>
            </w:r>
            <w:r w:rsidR="006A3091">
              <w:rPr>
                <w:color w:val="000000"/>
                <w:sz w:val="18"/>
                <w:szCs w:val="18"/>
                <w:lang w:eastAsia="ja-JP"/>
              </w:rPr>
              <w:fldChar w:fldCharType="end"/>
            </w:r>
          </w:p>
          <w:p w:rsidR="00EA4900" w:rsidRPr="003101A8" w:rsidRDefault="00EA4900" w:rsidP="00E27D83">
            <w:pPr>
              <w:tabs>
                <w:tab w:val="left" w:pos="567"/>
              </w:tabs>
              <w:rPr>
                <w:sz w:val="18"/>
                <w:szCs w:val="18"/>
              </w:rPr>
            </w:pPr>
          </w:p>
          <w:p w:rsidR="00EA4900" w:rsidRPr="00C46A71" w:rsidRDefault="00EA4900" w:rsidP="00E27D83">
            <w:pPr>
              <w:tabs>
                <w:tab w:val="left" w:pos="567"/>
              </w:tabs>
              <w:rPr>
                <w:sz w:val="18"/>
                <w:szCs w:val="18"/>
              </w:rPr>
            </w:pPr>
            <w:r w:rsidRPr="00C46A71">
              <w:rPr>
                <w:sz w:val="18"/>
                <w:szCs w:val="18"/>
              </w:rPr>
              <w:t>It would be important to mention the difference between fancy names and codes</w:t>
            </w:r>
            <w:r>
              <w:rPr>
                <w:sz w:val="18"/>
                <w:szCs w:val="18"/>
              </w:rPr>
              <w:t>.</w:t>
            </w:r>
          </w:p>
          <w:p w:rsidR="00EA4900" w:rsidRPr="003101A8" w:rsidRDefault="00EA4900" w:rsidP="00E27D83">
            <w:pPr>
              <w:tabs>
                <w:tab w:val="left" w:pos="567"/>
              </w:tabs>
              <w:rPr>
                <w:sz w:val="18"/>
                <w:szCs w:val="18"/>
              </w:rPr>
            </w:pPr>
          </w:p>
        </w:tc>
      </w:tr>
    </w:tbl>
    <w:p w:rsidR="00EA4900" w:rsidRDefault="00EA4900" w:rsidP="00EA4900">
      <w:pPr>
        <w:tabs>
          <w:tab w:val="left" w:pos="567"/>
        </w:tabs>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AB5F07" w:rsidRDefault="00EA4900" w:rsidP="00E27D83">
            <w:pPr>
              <w:tabs>
                <w:tab w:val="left" w:pos="567"/>
              </w:tabs>
              <w:rPr>
                <w:sz w:val="18"/>
                <w:szCs w:val="18"/>
              </w:rPr>
            </w:pPr>
          </w:p>
          <w:p w:rsidR="00EA4900" w:rsidRPr="00AB5F07" w:rsidRDefault="00EA4900" w:rsidP="00E27D83">
            <w:pPr>
              <w:tabs>
                <w:tab w:val="left" w:pos="567"/>
              </w:tabs>
              <w:rPr>
                <w:sz w:val="18"/>
                <w:szCs w:val="18"/>
              </w:rPr>
            </w:pPr>
            <w:r w:rsidRPr="00AB5F07">
              <w:rPr>
                <w:sz w:val="18"/>
                <w:szCs w:val="18"/>
                <w:u w:val="single"/>
              </w:rPr>
              <w:t>Proposal by New Zealand</w:t>
            </w:r>
            <w:r w:rsidR="00DD2A40" w:rsidRPr="00DD2A40">
              <w:rPr>
                <w:sz w:val="18"/>
                <w:szCs w:val="18"/>
              </w:rPr>
              <w:t xml:space="preserve"> </w:t>
            </w:r>
            <w:bookmarkStart w:id="9" w:name="_Ref526439134"/>
            <w:r w:rsidR="00DD2A40">
              <w:rPr>
                <w:rStyle w:val="EndnoteReference"/>
                <w:sz w:val="18"/>
                <w:szCs w:val="18"/>
              </w:rPr>
              <w:endnoteReference w:id="7"/>
            </w:r>
            <w:bookmarkEnd w:id="9"/>
          </w:p>
          <w:p w:rsidR="00EA4900" w:rsidRPr="00AB5F07" w:rsidRDefault="00EA4900" w:rsidP="00E27D83">
            <w:pPr>
              <w:tabs>
                <w:tab w:val="left" w:pos="567"/>
              </w:tabs>
              <w:rPr>
                <w:sz w:val="18"/>
                <w:szCs w:val="18"/>
              </w:rPr>
            </w:pPr>
          </w:p>
          <w:p w:rsidR="00EA4900" w:rsidRPr="00AB5F07" w:rsidRDefault="00EA4900" w:rsidP="00E27D83">
            <w:pPr>
              <w:tabs>
                <w:tab w:val="left" w:pos="567"/>
              </w:tabs>
              <w:rPr>
                <w:sz w:val="18"/>
                <w:szCs w:val="18"/>
              </w:rPr>
            </w:pPr>
            <w:r w:rsidRPr="00AB5F07">
              <w:rPr>
                <w:sz w:val="18"/>
                <w:szCs w:val="18"/>
              </w:rPr>
              <w:t>Section 2.1 proposed examples: Identification now includes the use of Genus or species prefixes Agapanthus ‘Agapetite’, Lavender ‘Lavang12’.</w:t>
            </w:r>
          </w:p>
          <w:p w:rsidR="00EA4900" w:rsidRPr="00AB5F07" w:rsidRDefault="00EA4900" w:rsidP="00E27D83">
            <w:pPr>
              <w:tabs>
                <w:tab w:val="left" w:pos="567"/>
              </w:tabs>
              <w:rPr>
                <w:sz w:val="18"/>
                <w:szCs w:val="18"/>
              </w:rPr>
            </w:pPr>
          </w:p>
        </w:tc>
      </w:tr>
    </w:tbl>
    <w:p w:rsidR="00EA4900" w:rsidRDefault="00EA4900" w:rsidP="00EA4900"/>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c>
          <w:tcPr>
            <w:tcW w:w="9855" w:type="dxa"/>
            <w:shd w:val="clear" w:color="auto" w:fill="D9D9D9" w:themeFill="background1" w:themeFillShade="D9"/>
          </w:tcPr>
          <w:p w:rsidR="00EA4900" w:rsidRPr="005F2452" w:rsidRDefault="00EA4900" w:rsidP="00E27D83">
            <w:pPr>
              <w:rPr>
                <w:sz w:val="18"/>
                <w:szCs w:val="18"/>
              </w:rPr>
            </w:pPr>
          </w:p>
          <w:p w:rsidR="00EA4900" w:rsidRDefault="00EA4900" w:rsidP="00E27D83">
            <w:pPr>
              <w:rPr>
                <w:sz w:val="18"/>
                <w:szCs w:val="18"/>
                <w:highlight w:val="yellow"/>
                <w:lang w:eastAsia="ja-JP"/>
              </w:rPr>
            </w:pPr>
            <w:r w:rsidRPr="00D167DE">
              <w:rPr>
                <w:rFonts w:hint="eastAsia"/>
                <w:color w:val="000000"/>
                <w:sz w:val="18"/>
                <w:szCs w:val="18"/>
                <w:highlight w:val="lightGray"/>
                <w:u w:val="single"/>
                <w:lang w:eastAsia="ja-JP"/>
              </w:rPr>
              <w:t>T</w:t>
            </w:r>
            <w:r w:rsidRPr="00D167DE">
              <w:rPr>
                <w:color w:val="000000"/>
                <w:sz w:val="18"/>
                <w:szCs w:val="18"/>
                <w:highlight w:val="lightGray"/>
                <w:u w:val="single"/>
              </w:rPr>
              <w:t xml:space="preserve">he </w:t>
            </w:r>
            <w:r w:rsidRPr="00D167DE">
              <w:rPr>
                <w:rFonts w:hint="eastAsia"/>
                <w:color w:val="000000"/>
                <w:sz w:val="18"/>
                <w:szCs w:val="18"/>
                <w:highlight w:val="lightGray"/>
                <w:u w:val="single"/>
                <w:lang w:eastAsia="ja-JP"/>
              </w:rPr>
              <w:t>WG-DEN</w:t>
            </w:r>
            <w:r>
              <w:rPr>
                <w:color w:val="000000"/>
                <w:sz w:val="18"/>
                <w:szCs w:val="18"/>
                <w:highlight w:val="lightGray"/>
                <w:u w:val="single"/>
                <w:lang w:eastAsia="ja-JP"/>
              </w:rPr>
              <w:t>, at its second meeting,</w:t>
            </w:r>
            <w:r w:rsidRPr="00D167DE">
              <w:rPr>
                <w:rFonts w:hint="eastAsia"/>
                <w:color w:val="000000"/>
                <w:sz w:val="18"/>
                <w:szCs w:val="18"/>
                <w:highlight w:val="lightGray"/>
                <w:u w:val="single"/>
                <w:lang w:eastAsia="ja-JP"/>
              </w:rPr>
              <w:t xml:space="preserve"> agreed to consider the </w:t>
            </w:r>
            <w:r w:rsidRPr="00D167DE">
              <w:rPr>
                <w:color w:val="000000"/>
                <w:sz w:val="18"/>
                <w:szCs w:val="18"/>
                <w:highlight w:val="lightGray"/>
                <w:u w:val="single"/>
                <w:lang w:eastAsia="ja-JP"/>
              </w:rPr>
              <w:t>following</w:t>
            </w:r>
            <w:r w:rsidRPr="00D167DE">
              <w:rPr>
                <w:rFonts w:hint="eastAsia"/>
                <w:color w:val="000000"/>
                <w:sz w:val="18"/>
                <w:szCs w:val="18"/>
                <w:highlight w:val="lightGray"/>
                <w:u w:val="single"/>
                <w:lang w:eastAsia="ja-JP"/>
              </w:rPr>
              <w:t xml:space="preserve"> proposal at its third meeting</w:t>
            </w:r>
            <w:r w:rsidRPr="005E542B">
              <w:rPr>
                <w:sz w:val="18"/>
                <w:szCs w:val="18"/>
                <w:highlight w:val="yellow"/>
              </w:rPr>
              <w:t xml:space="preserve"> </w:t>
            </w:r>
          </w:p>
          <w:p w:rsidR="00EA4900" w:rsidRPr="005E542B" w:rsidRDefault="00EA4900" w:rsidP="00E27D83">
            <w:pPr>
              <w:rPr>
                <w:sz w:val="18"/>
                <w:szCs w:val="18"/>
                <w:highlight w:val="yellow"/>
                <w:lang w:eastAsia="ja-JP"/>
              </w:rPr>
            </w:pPr>
          </w:p>
          <w:p w:rsidR="00EA4900" w:rsidRPr="006E7801" w:rsidRDefault="00EA4900" w:rsidP="00E27D83">
            <w:pPr>
              <w:rPr>
                <w:sz w:val="16"/>
                <w:szCs w:val="18"/>
              </w:rPr>
            </w:pPr>
            <w:r w:rsidRPr="00D167DE">
              <w:rPr>
                <w:rFonts w:hint="eastAsia"/>
                <w:sz w:val="18"/>
                <w:highlight w:val="lightGray"/>
                <w:lang w:eastAsia="ja-JP"/>
              </w:rPr>
              <w:t>T</w:t>
            </w:r>
            <w:r w:rsidRPr="00D167DE">
              <w:rPr>
                <w:sz w:val="18"/>
                <w:highlight w:val="lightGray"/>
                <w:lang w:eastAsia="ja-JP"/>
              </w:rPr>
              <w:t>he WG-DEN noted that some members considered two elements on Section 2.3.1 “Characteristics of the variety”, (a) the denomination should not convey the impression that the variety has a particular characteristics which in reality it does not have; and (b) the denomination should not refer to specific characteristics in such a way that the impression is created that only the variety possesses them, whereas in fact other varieties or species in question also have or may have the same characteristics, with Section 2.1</w:t>
            </w:r>
          </w:p>
          <w:p w:rsidR="00EA4900" w:rsidRPr="005F2452" w:rsidRDefault="00EA4900" w:rsidP="00E27D83">
            <w:pPr>
              <w:rPr>
                <w:sz w:val="18"/>
                <w:szCs w:val="18"/>
              </w:rPr>
            </w:pPr>
          </w:p>
        </w:tc>
      </w:tr>
    </w:tbl>
    <w:p w:rsidR="00EA4900" w:rsidRDefault="00EA4900" w:rsidP="00EA4900">
      <w:pPr>
        <w:rPr>
          <w:lang w:eastAsia="ja-JP"/>
        </w:rPr>
      </w:pPr>
    </w:p>
    <w:p w:rsidR="00EA4900" w:rsidRDefault="00EA4900" w:rsidP="00EA4900">
      <w:pPr>
        <w:tabs>
          <w:tab w:val="left" w:pos="567"/>
        </w:tabs>
        <w:rPr>
          <w:lang w:eastAsia="ja-JP"/>
        </w:rPr>
      </w:pPr>
    </w:p>
    <w:p w:rsidR="00EA4900" w:rsidRPr="00407B23" w:rsidRDefault="00EA4900" w:rsidP="00EA4900">
      <w:pPr>
        <w:rPr>
          <w:i/>
        </w:rPr>
      </w:pPr>
      <w:r w:rsidRPr="00407B23">
        <w:rPr>
          <w:i/>
        </w:rPr>
        <w:t>2.2.</w:t>
      </w:r>
      <w:r w:rsidRPr="00407B23">
        <w:rPr>
          <w:i/>
        </w:rPr>
        <w:tab/>
        <w:t>Solely of figures</w:t>
      </w:r>
    </w:p>
    <w:p w:rsidR="00EA4900" w:rsidRPr="00407B23" w:rsidRDefault="00EA4900" w:rsidP="00EA4900">
      <w:pPr>
        <w:rPr>
          <w:i/>
        </w:rPr>
      </w:pPr>
    </w:p>
    <w:p w:rsidR="00EA4900" w:rsidRPr="00407B23" w:rsidRDefault="00EA4900" w:rsidP="00EA4900">
      <w:r w:rsidRPr="00407B23">
        <w:t xml:space="preserve">2.2.1 </w:t>
      </w:r>
      <w:r w:rsidRPr="00407B23">
        <w:tab/>
        <w:t xml:space="preserve">Paragraph (2) states that the denomination may not consist “solely of figures” except where this is an “established practice” for designating varieties.  The expression “solely of figures” refers to variety denominations consisting of numbers only (e.g. 91150).  Thus, denominations containing both letters and figures are not subject to the “established practice” requirement (e.g. AX350).  </w:t>
      </w:r>
    </w:p>
    <w:p w:rsidR="00EA4900" w:rsidRPr="00407B23" w:rsidRDefault="00EA4900" w:rsidP="00EA4900"/>
    <w:p w:rsidR="00EA4900" w:rsidRPr="00407B23" w:rsidRDefault="00EA4900" w:rsidP="00EA4900">
      <w:r w:rsidRPr="00407B23">
        <w:t xml:space="preserve">2.2.2 </w:t>
      </w:r>
      <w:r w:rsidRPr="00407B23">
        <w:tab/>
        <w:t>In the case of denominations consisting “solely of figures,” the following non</w:t>
      </w:r>
      <w:r w:rsidRPr="00407B23">
        <w:noBreakHyphen/>
        <w:t xml:space="preserve">exhaustive elements may assist the authorities to understand what might be considered to be “established practice”:  </w:t>
      </w:r>
    </w:p>
    <w:p w:rsidR="00EA4900" w:rsidRPr="00407B23" w:rsidRDefault="00EA4900" w:rsidP="00EA4900"/>
    <w:p w:rsidR="00EA4900" w:rsidRPr="00407B23" w:rsidRDefault="00EA4900" w:rsidP="00EA4900">
      <w:pPr>
        <w:ind w:firstLine="567"/>
      </w:pPr>
      <w:r w:rsidRPr="00407B23">
        <w:t xml:space="preserve">(a)  </w:t>
      </w:r>
      <w:r w:rsidRPr="00407B23">
        <w:tab/>
        <w:t>for varieties used within a limited circle of specialists, the established practice should reflect that specialist circle (e.g. inbred lines);</w:t>
      </w:r>
    </w:p>
    <w:p w:rsidR="00EA4900" w:rsidRPr="00407B23" w:rsidRDefault="00EA4900" w:rsidP="00EA4900">
      <w:pPr>
        <w:ind w:firstLine="567"/>
      </w:pPr>
    </w:p>
    <w:p w:rsidR="00EA4900" w:rsidRPr="00407B23" w:rsidRDefault="00EA4900" w:rsidP="00EA4900">
      <w:pPr>
        <w:ind w:firstLine="567"/>
        <w:rPr>
          <w:color w:val="000000"/>
          <w:lang w:eastAsia="ja-JP"/>
        </w:rPr>
      </w:pPr>
      <w:r w:rsidRPr="00407B23">
        <w:rPr>
          <w:color w:val="000000"/>
        </w:rPr>
        <w:t xml:space="preserve">(b)  </w:t>
      </w:r>
      <w:r w:rsidRPr="00407B23">
        <w:rPr>
          <w:color w:val="000000"/>
        </w:rPr>
        <w:tab/>
        <w:t>accepted market practices for particular variety types (e.g. hybrid</w:t>
      </w:r>
      <w:r>
        <w:rPr>
          <w:color w:val="000000"/>
        </w:rPr>
        <w:t xml:space="preserve">s) and particular </w:t>
      </w:r>
      <w:r w:rsidRPr="00A42B98">
        <w:rPr>
          <w:rFonts w:hint="eastAsia"/>
          <w:color w:val="000000"/>
          <w:u w:val="single"/>
          <w:lang w:eastAsia="ja-JP"/>
        </w:rPr>
        <w:t>genera</w:t>
      </w:r>
      <w:r w:rsidR="00DD2A40">
        <w:rPr>
          <w:rStyle w:val="EndnoteReference"/>
          <w:color w:val="000000"/>
          <w:u w:val="single"/>
          <w:lang w:eastAsia="ja-JP"/>
        </w:rPr>
        <w:endnoteReference w:id="8"/>
      </w:r>
      <w:r w:rsidRPr="00A42B98">
        <w:rPr>
          <w:rFonts w:hint="eastAsia"/>
          <w:color w:val="000000"/>
          <w:lang w:eastAsia="ja-JP"/>
        </w:rPr>
        <w:t>/</w:t>
      </w:r>
      <w:r w:rsidRPr="00A42B98">
        <w:rPr>
          <w:color w:val="000000"/>
        </w:rPr>
        <w:t>species</w:t>
      </w:r>
      <w:r>
        <w:rPr>
          <w:color w:val="000000"/>
        </w:rPr>
        <w:t xml:space="preserve"> (e.g. Medicago, Helianthus)</w:t>
      </w:r>
      <w:r>
        <w:rPr>
          <w:rFonts w:hint="eastAsia"/>
          <w:color w:val="000000"/>
          <w:lang w:eastAsia="ja-JP"/>
        </w:rPr>
        <w:t>;</w:t>
      </w:r>
    </w:p>
    <w:p w:rsidR="00EA4900" w:rsidRDefault="00EA4900" w:rsidP="00EA4900">
      <w:pPr>
        <w:rPr>
          <w:color w:val="000000"/>
          <w:lang w:eastAsia="ja-JP"/>
        </w:rPr>
      </w:pPr>
    </w:p>
    <w:p w:rsidR="00EA4900" w:rsidRDefault="00EA4900" w:rsidP="00EA4900">
      <w:pPr>
        <w:ind w:firstLine="567"/>
        <w:rPr>
          <w:color w:val="000000"/>
          <w:lang w:eastAsia="ja-JP"/>
        </w:rPr>
      </w:pPr>
      <w:r w:rsidRPr="005E542B">
        <w:rPr>
          <w:color w:val="000000"/>
          <w:lang w:eastAsia="ja-JP"/>
        </w:rPr>
        <w:t>(c)</w:t>
      </w:r>
      <w:r w:rsidRPr="005E542B">
        <w:rPr>
          <w:color w:val="000000"/>
          <w:lang w:eastAsia="ja-JP"/>
        </w:rPr>
        <w:tab/>
        <w:t>“established practice” is determined to be when registration has been accepted for one species or group, so that it can be used in other species which have not yet registered any variety whose denomination consists solely of figures.</w:t>
      </w:r>
    </w:p>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c>
          <w:tcPr>
            <w:tcW w:w="9855" w:type="dxa"/>
            <w:shd w:val="clear" w:color="auto" w:fill="D9D9D9" w:themeFill="background1" w:themeFillShade="D9"/>
          </w:tcPr>
          <w:p w:rsidR="00EA4900" w:rsidRPr="005F2452" w:rsidRDefault="00EA4900" w:rsidP="00E27D83">
            <w:pPr>
              <w:rPr>
                <w:sz w:val="18"/>
                <w:szCs w:val="18"/>
              </w:rPr>
            </w:pPr>
          </w:p>
          <w:p w:rsidR="00EA4900" w:rsidRPr="005E542B" w:rsidRDefault="00EA4900" w:rsidP="00E27D83">
            <w:pPr>
              <w:tabs>
                <w:tab w:val="left" w:pos="567"/>
              </w:tabs>
              <w:rPr>
                <w:sz w:val="18"/>
                <w:szCs w:val="18"/>
                <w:highlight w:val="yellow"/>
                <w:lang w:eastAsia="ja-JP"/>
              </w:rPr>
            </w:pPr>
            <w:r w:rsidRPr="00DE2536">
              <w:rPr>
                <w:rFonts w:hint="eastAsia"/>
                <w:color w:val="000000"/>
                <w:sz w:val="18"/>
                <w:szCs w:val="18"/>
                <w:highlight w:val="lightGray"/>
                <w:u w:val="single"/>
                <w:lang w:eastAsia="ja-JP"/>
              </w:rPr>
              <w:t xml:space="preserve">Agreed </w:t>
            </w:r>
            <w:r w:rsidRPr="00DE2536">
              <w:rPr>
                <w:sz w:val="18"/>
                <w:szCs w:val="18"/>
                <w:highlight w:val="lightGray"/>
                <w:u w:val="single"/>
              </w:rPr>
              <w:t>by the WG-DEN</w:t>
            </w:r>
            <w:r w:rsidRPr="00DE2536">
              <w:rPr>
                <w:rFonts w:hint="eastAsia"/>
                <w:sz w:val="18"/>
                <w:szCs w:val="18"/>
                <w:highlight w:val="lightGray"/>
                <w:u w:val="single"/>
                <w:lang w:eastAsia="ja-JP"/>
              </w:rPr>
              <w:t>, at its second meeting</w:t>
            </w:r>
          </w:p>
          <w:p w:rsidR="00EA4900" w:rsidRPr="005E542B" w:rsidRDefault="00EA4900" w:rsidP="00E27D83">
            <w:pPr>
              <w:rPr>
                <w:sz w:val="18"/>
                <w:szCs w:val="18"/>
                <w:highlight w:val="yellow"/>
              </w:rPr>
            </w:pPr>
          </w:p>
          <w:p w:rsidR="00EA4900" w:rsidRDefault="00EA4900" w:rsidP="00E27D83">
            <w:pPr>
              <w:rPr>
                <w:sz w:val="18"/>
                <w:lang w:eastAsia="ja-JP"/>
              </w:rPr>
            </w:pPr>
            <w:r w:rsidRPr="00DE2536">
              <w:rPr>
                <w:rFonts w:hint="eastAsia"/>
                <w:sz w:val="18"/>
                <w:highlight w:val="lightGray"/>
                <w:lang w:eastAsia="ja-JP"/>
              </w:rPr>
              <w:t>T</w:t>
            </w:r>
            <w:r w:rsidRPr="00DE2536">
              <w:rPr>
                <w:sz w:val="18"/>
                <w:highlight w:val="lightGray"/>
                <w:lang w:eastAsia="ja-JP"/>
              </w:rPr>
              <w:t>he current text could eventually allow the use of a denomination consisting solely of figures in all denomination classes, and agreed that the current text was appropriate, on that basis.</w:t>
            </w:r>
          </w:p>
          <w:p w:rsidR="00EA4900" w:rsidRPr="005F2452" w:rsidRDefault="00EA4900" w:rsidP="00E27D83">
            <w:pPr>
              <w:rPr>
                <w:sz w:val="18"/>
                <w:szCs w:val="18"/>
              </w:rPr>
            </w:pPr>
          </w:p>
        </w:tc>
      </w:tr>
    </w:tbl>
    <w:p w:rsidR="00EA4900" w:rsidRDefault="00EA4900" w:rsidP="00EA4900">
      <w:pPr>
        <w:rPr>
          <w:lang w:eastAsia="ja-JP"/>
        </w:rPr>
      </w:pPr>
    </w:p>
    <w:p w:rsidR="00EA4900" w:rsidRDefault="00EA4900" w:rsidP="00EA4900">
      <w:pPr>
        <w:ind w:firstLine="567"/>
        <w:rPr>
          <w:color w:val="000000"/>
          <w:u w:val="single"/>
          <w:lang w:eastAsia="ja-JP"/>
        </w:rPr>
      </w:pPr>
    </w:p>
    <w:p w:rsidR="00EA4900" w:rsidRPr="00407B23" w:rsidRDefault="00EA4900" w:rsidP="00EA4900">
      <w:pPr>
        <w:keepNext/>
        <w:rPr>
          <w:i/>
        </w:rPr>
      </w:pPr>
      <w:r w:rsidRPr="00407B23">
        <w:rPr>
          <w:i/>
        </w:rPr>
        <w:t>2.3.</w:t>
      </w:r>
      <w:r w:rsidRPr="00407B23">
        <w:rPr>
          <w:i/>
        </w:rPr>
        <w:tab/>
        <w:t>Liable to mislead or to cause confusion</w:t>
      </w:r>
    </w:p>
    <w:p w:rsidR="00EA4900" w:rsidRPr="00407B23" w:rsidRDefault="00EA4900" w:rsidP="00EA4900">
      <w:pPr>
        <w:keepNext/>
        <w:rPr>
          <w:i/>
        </w:rPr>
      </w:pPr>
    </w:p>
    <w:p w:rsidR="00EA4900" w:rsidRDefault="00EA4900" w:rsidP="00EA4900">
      <w:r w:rsidRPr="00407B23">
        <w:t>Paragraph (2) states that the denomination must not be liable to “mislead or to cause confusion concerning the characteristics, value or identity of the variety or the identity of the breeder.”  These aspects are considered below:</w:t>
      </w:r>
    </w:p>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3101A8" w:rsidRDefault="00EA4900" w:rsidP="00E27D83">
            <w:pPr>
              <w:rPr>
                <w:sz w:val="18"/>
                <w:szCs w:val="18"/>
              </w:rPr>
            </w:pPr>
          </w:p>
          <w:p w:rsidR="00EA4900" w:rsidRPr="003101A8" w:rsidRDefault="00EA4900" w:rsidP="00E27D83">
            <w:pPr>
              <w:tabs>
                <w:tab w:val="left" w:pos="567"/>
              </w:tabs>
              <w:rPr>
                <w:color w:val="000000"/>
                <w:sz w:val="18"/>
                <w:szCs w:val="18"/>
                <w:u w:val="single"/>
              </w:rPr>
            </w:pPr>
            <w:r w:rsidRPr="003101A8">
              <w:rPr>
                <w:color w:val="000000"/>
                <w:sz w:val="18"/>
                <w:szCs w:val="18"/>
                <w:u w:val="single"/>
              </w:rPr>
              <w:t xml:space="preserve">Proposal by </w:t>
            </w:r>
            <w:r>
              <w:rPr>
                <w:color w:val="000000"/>
                <w:sz w:val="18"/>
                <w:szCs w:val="18"/>
                <w:u w:val="single"/>
              </w:rPr>
              <w:t xml:space="preserve">the </w:t>
            </w:r>
            <w:r w:rsidRPr="003101A8">
              <w:rPr>
                <w:color w:val="000000"/>
                <w:sz w:val="18"/>
                <w:szCs w:val="18"/>
                <w:u w:val="single"/>
              </w:rPr>
              <w:t>European Union (CPVO)</w:t>
            </w:r>
            <w:r w:rsidR="009629DA" w:rsidRPr="009629DA">
              <w:rPr>
                <w:color w:val="000000"/>
                <w:sz w:val="18"/>
                <w:szCs w:val="18"/>
              </w:rPr>
              <w:t xml:space="preserve"> </w:t>
            </w:r>
            <w:r w:rsidR="009629DA">
              <w:rPr>
                <w:color w:val="000000"/>
                <w:sz w:val="18"/>
                <w:szCs w:val="18"/>
                <w:u w:val="single"/>
              </w:rPr>
              <w:fldChar w:fldCharType="begin"/>
            </w:r>
            <w:r w:rsidR="009629DA">
              <w:rPr>
                <w:color w:val="000000"/>
                <w:sz w:val="18"/>
                <w:szCs w:val="18"/>
                <w:u w:val="single"/>
              </w:rPr>
              <w:instrText xml:space="preserve"> NOTEREF _Ref526437916 \f \h </w:instrText>
            </w:r>
            <w:r w:rsidR="009629DA">
              <w:rPr>
                <w:color w:val="000000"/>
                <w:sz w:val="18"/>
                <w:szCs w:val="18"/>
                <w:u w:val="single"/>
              </w:rPr>
            </w:r>
            <w:r w:rsidR="009629DA">
              <w:rPr>
                <w:color w:val="000000"/>
                <w:sz w:val="18"/>
                <w:szCs w:val="18"/>
                <w:u w:val="single"/>
              </w:rPr>
              <w:fldChar w:fldCharType="separate"/>
            </w:r>
            <w:r w:rsidR="008D27BA" w:rsidRPr="008D27BA">
              <w:rPr>
                <w:rStyle w:val="EndnoteReference"/>
              </w:rPr>
              <w:t>d</w:t>
            </w:r>
            <w:r w:rsidR="009629DA">
              <w:rPr>
                <w:color w:val="000000"/>
                <w:sz w:val="18"/>
                <w:szCs w:val="18"/>
                <w:u w:val="single"/>
              </w:rPr>
              <w:fldChar w:fldCharType="end"/>
            </w:r>
          </w:p>
          <w:p w:rsidR="00EA4900" w:rsidRPr="003101A8" w:rsidRDefault="00EA4900" w:rsidP="00E27D83">
            <w:pPr>
              <w:rPr>
                <w:sz w:val="18"/>
                <w:szCs w:val="18"/>
              </w:rPr>
            </w:pPr>
          </w:p>
          <w:p w:rsidR="00EA4900" w:rsidRPr="003101A8" w:rsidRDefault="00EA4900" w:rsidP="00E27D83">
            <w:pPr>
              <w:rPr>
                <w:sz w:val="18"/>
                <w:szCs w:val="18"/>
              </w:rPr>
            </w:pPr>
            <w:r w:rsidRPr="003101A8">
              <w:rPr>
                <w:sz w:val="18"/>
                <w:szCs w:val="18"/>
              </w:rPr>
              <w:t xml:space="preserve">In the draft proposal prepared by the CPVO for the revision of its own guidelines on VDs, we propose 3 criteria for assessment of similarity between VDs: </w:t>
            </w:r>
            <w:r>
              <w:rPr>
                <w:sz w:val="18"/>
                <w:szCs w:val="18"/>
              </w:rPr>
              <w:t xml:space="preserve"> </w:t>
            </w:r>
            <w:r w:rsidRPr="003101A8">
              <w:rPr>
                <w:sz w:val="18"/>
                <w:szCs w:val="18"/>
              </w:rPr>
              <w:t xml:space="preserve">visual, phonetic and conceptual; such criteria are especially considered for the assessment of similarity between trademark. </w:t>
            </w:r>
            <w:r>
              <w:rPr>
                <w:sz w:val="18"/>
                <w:szCs w:val="18"/>
              </w:rPr>
              <w:t xml:space="preserve"> </w:t>
            </w:r>
            <w:r w:rsidRPr="003101A8">
              <w:rPr>
                <w:sz w:val="18"/>
                <w:szCs w:val="18"/>
              </w:rPr>
              <w:t>We considered that the problematic is very similar in this other IP system and that this approach is the outcome of a huge experience with many court cases and judgements.</w:t>
            </w:r>
          </w:p>
          <w:p w:rsidR="00EA4900" w:rsidRPr="003101A8" w:rsidRDefault="00EA4900" w:rsidP="00E27D83">
            <w:pPr>
              <w:rPr>
                <w:sz w:val="18"/>
                <w:szCs w:val="18"/>
              </w:rPr>
            </w:pPr>
          </w:p>
        </w:tc>
      </w:tr>
    </w:tbl>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3101A8" w:rsidRDefault="00EA4900" w:rsidP="00E27D83">
            <w:pPr>
              <w:rPr>
                <w:sz w:val="18"/>
                <w:szCs w:val="18"/>
              </w:rPr>
            </w:pPr>
          </w:p>
          <w:p w:rsidR="00EA4900" w:rsidRPr="00DF496A" w:rsidRDefault="00EA4900" w:rsidP="00E27D83">
            <w:pPr>
              <w:tabs>
                <w:tab w:val="left" w:pos="567"/>
              </w:tabs>
              <w:rPr>
                <w:color w:val="000000"/>
                <w:sz w:val="18"/>
                <w:szCs w:val="18"/>
              </w:rPr>
            </w:pPr>
            <w:r w:rsidRPr="003101A8">
              <w:rPr>
                <w:color w:val="000000"/>
                <w:sz w:val="18"/>
                <w:szCs w:val="18"/>
                <w:u w:val="single"/>
              </w:rPr>
              <w:t xml:space="preserve">Proposal by </w:t>
            </w:r>
            <w:r>
              <w:rPr>
                <w:color w:val="000000"/>
                <w:sz w:val="18"/>
                <w:szCs w:val="18"/>
                <w:u w:val="single"/>
              </w:rPr>
              <w:t xml:space="preserve">the </w:t>
            </w:r>
            <w:r w:rsidRPr="003101A8">
              <w:rPr>
                <w:color w:val="000000"/>
                <w:sz w:val="18"/>
                <w:szCs w:val="18"/>
                <w:u w:val="single"/>
              </w:rPr>
              <w:t>European Union (CPVO)</w:t>
            </w:r>
            <w:r w:rsidR="009629DA" w:rsidRPr="009629DA">
              <w:rPr>
                <w:color w:val="000000"/>
                <w:sz w:val="18"/>
                <w:szCs w:val="18"/>
              </w:rPr>
              <w:t xml:space="preserve"> </w:t>
            </w:r>
            <w:r w:rsidR="009629DA">
              <w:rPr>
                <w:color w:val="000000"/>
                <w:sz w:val="18"/>
                <w:szCs w:val="18"/>
                <w:u w:val="single"/>
              </w:rPr>
              <w:fldChar w:fldCharType="begin"/>
            </w:r>
            <w:r w:rsidR="009629DA">
              <w:rPr>
                <w:color w:val="000000"/>
                <w:sz w:val="18"/>
                <w:szCs w:val="18"/>
                <w:u w:val="single"/>
              </w:rPr>
              <w:instrText xml:space="preserve"> NOTEREF _Ref526437916 \f \h </w:instrText>
            </w:r>
            <w:r w:rsidR="009629DA">
              <w:rPr>
                <w:color w:val="000000"/>
                <w:sz w:val="18"/>
                <w:szCs w:val="18"/>
                <w:u w:val="single"/>
              </w:rPr>
            </w:r>
            <w:r w:rsidR="009629DA">
              <w:rPr>
                <w:color w:val="000000"/>
                <w:sz w:val="18"/>
                <w:szCs w:val="18"/>
                <w:u w:val="single"/>
              </w:rPr>
              <w:fldChar w:fldCharType="separate"/>
            </w:r>
            <w:r w:rsidR="008D27BA" w:rsidRPr="008D27BA">
              <w:rPr>
                <w:rStyle w:val="EndnoteReference"/>
              </w:rPr>
              <w:t>d</w:t>
            </w:r>
            <w:r w:rsidR="009629DA">
              <w:rPr>
                <w:color w:val="000000"/>
                <w:sz w:val="18"/>
                <w:szCs w:val="18"/>
                <w:u w:val="single"/>
              </w:rPr>
              <w:fldChar w:fldCharType="end"/>
            </w:r>
          </w:p>
          <w:p w:rsidR="00EA4900" w:rsidRPr="00D81DF5" w:rsidRDefault="00EA4900" w:rsidP="00E27D83">
            <w:pPr>
              <w:rPr>
                <w:spacing w:val="-2"/>
                <w:sz w:val="18"/>
                <w:szCs w:val="18"/>
              </w:rPr>
            </w:pPr>
          </w:p>
          <w:p w:rsidR="00EA4900" w:rsidRPr="003101A8" w:rsidRDefault="00EA4900" w:rsidP="00E27D83">
            <w:pPr>
              <w:rPr>
                <w:sz w:val="18"/>
                <w:szCs w:val="18"/>
              </w:rPr>
            </w:pPr>
            <w:r w:rsidRPr="00D81DF5">
              <w:rPr>
                <w:spacing w:val="-2"/>
                <w:sz w:val="18"/>
                <w:szCs w:val="18"/>
              </w:rPr>
              <w:t>To include a section providing guidance on the assessment of similarity of variety denominations consisting of “first names”.</w:t>
            </w:r>
          </w:p>
          <w:p w:rsidR="00EA4900" w:rsidRPr="003101A8" w:rsidRDefault="00EA4900" w:rsidP="00E27D83">
            <w:pPr>
              <w:rPr>
                <w:sz w:val="18"/>
                <w:szCs w:val="18"/>
              </w:rPr>
            </w:pPr>
          </w:p>
        </w:tc>
      </w:tr>
    </w:tbl>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3101A8" w:rsidRDefault="00EA4900" w:rsidP="00E27D83">
            <w:pPr>
              <w:rPr>
                <w:sz w:val="18"/>
                <w:szCs w:val="18"/>
              </w:rPr>
            </w:pPr>
          </w:p>
          <w:p w:rsidR="00EA4900" w:rsidRDefault="00EA4900" w:rsidP="00E27D83">
            <w:pPr>
              <w:rPr>
                <w:spacing w:val="-2"/>
                <w:sz w:val="18"/>
                <w:szCs w:val="18"/>
                <w:lang w:eastAsia="ja-JP"/>
              </w:rPr>
            </w:pPr>
            <w:r w:rsidRPr="006117C0">
              <w:rPr>
                <w:rFonts w:hint="eastAsia"/>
                <w:color w:val="000000"/>
                <w:sz w:val="18"/>
                <w:szCs w:val="18"/>
                <w:highlight w:val="lightGray"/>
                <w:u w:val="single"/>
                <w:lang w:eastAsia="ja-JP"/>
              </w:rPr>
              <w:t>T</w:t>
            </w:r>
            <w:r w:rsidRPr="006117C0">
              <w:rPr>
                <w:color w:val="000000"/>
                <w:sz w:val="18"/>
                <w:szCs w:val="18"/>
                <w:highlight w:val="lightGray"/>
                <w:u w:val="single"/>
              </w:rPr>
              <w:t xml:space="preserve">he </w:t>
            </w:r>
            <w:r w:rsidRPr="006117C0">
              <w:rPr>
                <w:rFonts w:hint="eastAsia"/>
                <w:color w:val="000000"/>
                <w:sz w:val="18"/>
                <w:szCs w:val="18"/>
                <w:highlight w:val="lightGray"/>
                <w:u w:val="single"/>
                <w:lang w:eastAsia="ja-JP"/>
              </w:rPr>
              <w:t>WG-DEN</w:t>
            </w:r>
            <w:r>
              <w:rPr>
                <w:color w:val="000000"/>
                <w:sz w:val="18"/>
                <w:szCs w:val="18"/>
                <w:highlight w:val="lightGray"/>
                <w:u w:val="single"/>
                <w:lang w:eastAsia="ja-JP"/>
              </w:rPr>
              <w:t>, at its second meeting,</w:t>
            </w:r>
            <w:r w:rsidRPr="006117C0">
              <w:rPr>
                <w:rFonts w:hint="eastAsia"/>
                <w:color w:val="000000"/>
                <w:sz w:val="18"/>
                <w:szCs w:val="18"/>
                <w:highlight w:val="lightGray"/>
                <w:u w:val="single"/>
                <w:lang w:eastAsia="ja-JP"/>
              </w:rPr>
              <w:t xml:space="preserve"> agreed to consider the </w:t>
            </w:r>
            <w:r w:rsidRPr="006117C0">
              <w:rPr>
                <w:color w:val="000000"/>
                <w:sz w:val="18"/>
                <w:szCs w:val="18"/>
                <w:highlight w:val="lightGray"/>
                <w:u w:val="single"/>
                <w:lang w:eastAsia="ja-JP"/>
              </w:rPr>
              <w:t>following</w:t>
            </w:r>
            <w:r w:rsidRPr="006117C0">
              <w:rPr>
                <w:rFonts w:hint="eastAsia"/>
                <w:color w:val="000000"/>
                <w:sz w:val="18"/>
                <w:szCs w:val="18"/>
                <w:highlight w:val="lightGray"/>
                <w:u w:val="single"/>
                <w:lang w:eastAsia="ja-JP"/>
              </w:rPr>
              <w:t xml:space="preserve"> proposal at its third meeting</w:t>
            </w:r>
            <w:r w:rsidRPr="00D81DF5">
              <w:rPr>
                <w:spacing w:val="-2"/>
                <w:sz w:val="18"/>
                <w:szCs w:val="18"/>
              </w:rPr>
              <w:t xml:space="preserve"> </w:t>
            </w:r>
          </w:p>
          <w:p w:rsidR="00EA4900" w:rsidRPr="00D81DF5" w:rsidRDefault="00EA4900" w:rsidP="00E27D83">
            <w:pPr>
              <w:rPr>
                <w:spacing w:val="-2"/>
                <w:sz w:val="18"/>
                <w:szCs w:val="18"/>
                <w:lang w:eastAsia="ja-JP"/>
              </w:rPr>
            </w:pPr>
          </w:p>
          <w:p w:rsidR="00EA4900" w:rsidRPr="003101A8" w:rsidRDefault="00EA4900" w:rsidP="00E27D83">
            <w:pPr>
              <w:rPr>
                <w:sz w:val="18"/>
                <w:szCs w:val="18"/>
              </w:rPr>
            </w:pPr>
            <w:r w:rsidRPr="006117C0">
              <w:rPr>
                <w:rFonts w:hint="eastAsia"/>
                <w:spacing w:val="-2"/>
                <w:sz w:val="18"/>
                <w:szCs w:val="18"/>
                <w:highlight w:val="lightGray"/>
                <w:lang w:eastAsia="ja-JP"/>
              </w:rPr>
              <w:t>Concerning t</w:t>
            </w:r>
            <w:r w:rsidRPr="006117C0">
              <w:rPr>
                <w:spacing w:val="-2"/>
                <w:sz w:val="18"/>
                <w:szCs w:val="18"/>
                <w:highlight w:val="lightGray"/>
              </w:rPr>
              <w:t>hree aspects: visual; phonetic; and conceptual, it was noted that introducing a conceptual aspect would necessitate consideration of linguistic and cultural aspects, which could potentially increase the risk of synonyms because, for example, differences in conceptual meanings could be linked to specific understandings in different languages that would not be understood in other languages, and it was agreed to consider whether it would be appropriate to introduce the conceptual aspect with information to be provided by CPVO.</w:t>
            </w:r>
          </w:p>
          <w:p w:rsidR="00EA4900" w:rsidRDefault="00EA4900" w:rsidP="00E27D83"/>
        </w:tc>
      </w:tr>
    </w:tbl>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3101A8" w:rsidRDefault="00EA4900" w:rsidP="00E27D83">
            <w:pPr>
              <w:rPr>
                <w:sz w:val="18"/>
                <w:szCs w:val="18"/>
              </w:rPr>
            </w:pPr>
          </w:p>
          <w:p w:rsidR="00EA4900" w:rsidRDefault="00EA4900" w:rsidP="00E27D83">
            <w:pPr>
              <w:rPr>
                <w:spacing w:val="-2"/>
                <w:sz w:val="18"/>
                <w:szCs w:val="18"/>
                <w:lang w:eastAsia="ja-JP"/>
              </w:rPr>
            </w:pPr>
            <w:r w:rsidRPr="006117C0">
              <w:rPr>
                <w:rFonts w:hint="eastAsia"/>
                <w:color w:val="000000"/>
                <w:sz w:val="18"/>
                <w:szCs w:val="18"/>
                <w:highlight w:val="lightGray"/>
                <w:u w:val="single"/>
                <w:lang w:eastAsia="ja-JP"/>
              </w:rPr>
              <w:t>T</w:t>
            </w:r>
            <w:r w:rsidRPr="006117C0">
              <w:rPr>
                <w:color w:val="000000"/>
                <w:sz w:val="18"/>
                <w:szCs w:val="18"/>
                <w:highlight w:val="lightGray"/>
                <w:u w:val="single"/>
              </w:rPr>
              <w:t xml:space="preserve">he </w:t>
            </w:r>
            <w:r w:rsidRPr="006117C0">
              <w:rPr>
                <w:rFonts w:hint="eastAsia"/>
                <w:color w:val="000000"/>
                <w:sz w:val="18"/>
                <w:szCs w:val="18"/>
                <w:highlight w:val="lightGray"/>
                <w:u w:val="single"/>
                <w:lang w:eastAsia="ja-JP"/>
              </w:rPr>
              <w:t xml:space="preserve">WG-DEN agreed to consider the </w:t>
            </w:r>
            <w:r w:rsidRPr="006117C0">
              <w:rPr>
                <w:color w:val="000000"/>
                <w:sz w:val="18"/>
                <w:szCs w:val="18"/>
                <w:highlight w:val="lightGray"/>
                <w:u w:val="single"/>
                <w:lang w:eastAsia="ja-JP"/>
              </w:rPr>
              <w:t>following</w:t>
            </w:r>
            <w:r w:rsidRPr="006117C0">
              <w:rPr>
                <w:rFonts w:hint="eastAsia"/>
                <w:color w:val="000000"/>
                <w:sz w:val="18"/>
                <w:szCs w:val="18"/>
                <w:highlight w:val="lightGray"/>
                <w:u w:val="single"/>
                <w:lang w:eastAsia="ja-JP"/>
              </w:rPr>
              <w:t xml:space="preserve"> proposal at its third meeting</w:t>
            </w:r>
            <w:r w:rsidRPr="00D81DF5">
              <w:rPr>
                <w:spacing w:val="-2"/>
                <w:sz w:val="18"/>
                <w:szCs w:val="18"/>
              </w:rPr>
              <w:t xml:space="preserve"> </w:t>
            </w:r>
          </w:p>
          <w:p w:rsidR="00EA4900" w:rsidRPr="00D81DF5" w:rsidRDefault="00EA4900" w:rsidP="00E27D83">
            <w:pPr>
              <w:rPr>
                <w:spacing w:val="-2"/>
                <w:sz w:val="18"/>
                <w:szCs w:val="18"/>
                <w:lang w:eastAsia="ja-JP"/>
              </w:rPr>
            </w:pPr>
          </w:p>
          <w:p w:rsidR="00EA4900" w:rsidRPr="003101A8" w:rsidRDefault="00EA4900" w:rsidP="00E27D83">
            <w:pPr>
              <w:rPr>
                <w:sz w:val="18"/>
                <w:szCs w:val="18"/>
              </w:rPr>
            </w:pPr>
            <w:r w:rsidRPr="006117C0">
              <w:rPr>
                <w:spacing w:val="-2"/>
                <w:sz w:val="18"/>
                <w:szCs w:val="18"/>
                <w:highlight w:val="lightGray"/>
                <w:lang w:eastAsia="ja-JP"/>
              </w:rPr>
              <w:t>“</w:t>
            </w:r>
            <w:r w:rsidRPr="006117C0">
              <w:rPr>
                <w:rFonts w:hint="eastAsia"/>
                <w:spacing w:val="-2"/>
                <w:sz w:val="18"/>
                <w:szCs w:val="18"/>
                <w:highlight w:val="lightGray"/>
                <w:lang w:eastAsia="ja-JP"/>
              </w:rPr>
              <w:t>F</w:t>
            </w:r>
            <w:r w:rsidRPr="006117C0">
              <w:rPr>
                <w:spacing w:val="-2"/>
                <w:sz w:val="18"/>
                <w:szCs w:val="18"/>
                <w:highlight w:val="lightGray"/>
                <w:lang w:eastAsia="ja-JP"/>
              </w:rPr>
              <w:t xml:space="preserve">irst names” </w:t>
            </w:r>
            <w:r w:rsidRPr="006117C0">
              <w:rPr>
                <w:rFonts w:hint="eastAsia"/>
                <w:spacing w:val="-2"/>
                <w:sz w:val="18"/>
                <w:szCs w:val="18"/>
                <w:highlight w:val="lightGray"/>
                <w:lang w:eastAsia="ja-JP"/>
              </w:rPr>
              <w:t xml:space="preserve">to </w:t>
            </w:r>
            <w:r w:rsidRPr="006117C0">
              <w:rPr>
                <w:spacing w:val="-2"/>
                <w:sz w:val="18"/>
                <w:szCs w:val="18"/>
                <w:highlight w:val="lightGray"/>
                <w:lang w:eastAsia="ja-JP"/>
              </w:rPr>
              <w:t>be considered based on the information provided by the CPVO on its consideration on “first names” under the explanation of the conceptual differences</w:t>
            </w:r>
            <w:r w:rsidRPr="006117C0">
              <w:rPr>
                <w:spacing w:val="-2"/>
                <w:sz w:val="18"/>
                <w:szCs w:val="18"/>
                <w:highlight w:val="lightGray"/>
              </w:rPr>
              <w:t>.</w:t>
            </w:r>
          </w:p>
          <w:p w:rsidR="00EA4900" w:rsidRDefault="00EA4900" w:rsidP="00E27D83"/>
        </w:tc>
      </w:tr>
    </w:tbl>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3101A8" w:rsidRDefault="00EA4900" w:rsidP="00E27D83">
            <w:pPr>
              <w:rPr>
                <w:sz w:val="18"/>
                <w:szCs w:val="18"/>
              </w:rPr>
            </w:pPr>
          </w:p>
          <w:p w:rsidR="00EA4900" w:rsidRPr="0051478C" w:rsidRDefault="00EA4900" w:rsidP="00E27D83">
            <w:pPr>
              <w:rPr>
                <w:spacing w:val="-2"/>
                <w:sz w:val="18"/>
                <w:szCs w:val="18"/>
                <w:lang w:eastAsia="ja-JP"/>
              </w:rPr>
            </w:pPr>
            <w:r w:rsidRPr="0051478C">
              <w:rPr>
                <w:color w:val="000000"/>
                <w:sz w:val="18"/>
                <w:szCs w:val="18"/>
                <w:u w:val="single"/>
                <w:lang w:eastAsia="ja-JP"/>
              </w:rPr>
              <w:t>Concluded by t</w:t>
            </w:r>
            <w:r w:rsidRPr="0051478C">
              <w:rPr>
                <w:color w:val="000000"/>
                <w:sz w:val="18"/>
                <w:szCs w:val="18"/>
                <w:u w:val="single"/>
              </w:rPr>
              <w:t xml:space="preserve">he </w:t>
            </w:r>
            <w:r w:rsidRPr="0051478C">
              <w:rPr>
                <w:rFonts w:hint="eastAsia"/>
                <w:color w:val="000000"/>
                <w:sz w:val="18"/>
                <w:szCs w:val="18"/>
                <w:u w:val="single"/>
                <w:lang w:eastAsia="ja-JP"/>
              </w:rPr>
              <w:t>WG-DEN</w:t>
            </w:r>
            <w:r w:rsidRPr="0051478C">
              <w:rPr>
                <w:color w:val="000000"/>
                <w:sz w:val="18"/>
                <w:szCs w:val="18"/>
                <w:u w:val="single"/>
                <w:lang w:eastAsia="ja-JP"/>
              </w:rPr>
              <w:t xml:space="preserve">, at its third </w:t>
            </w:r>
            <w:r w:rsidRPr="0051478C">
              <w:rPr>
                <w:rFonts w:hint="eastAsia"/>
                <w:color w:val="000000"/>
                <w:sz w:val="18"/>
                <w:szCs w:val="18"/>
                <w:u w:val="single"/>
                <w:lang w:eastAsia="ja-JP"/>
              </w:rPr>
              <w:t>meeting</w:t>
            </w:r>
            <w:r w:rsidRPr="0051478C">
              <w:rPr>
                <w:spacing w:val="-2"/>
                <w:sz w:val="18"/>
                <w:szCs w:val="18"/>
              </w:rPr>
              <w:t xml:space="preserve"> </w:t>
            </w:r>
          </w:p>
          <w:p w:rsidR="00EA4900" w:rsidRPr="0051478C" w:rsidRDefault="00EA4900" w:rsidP="00E27D83">
            <w:pPr>
              <w:rPr>
                <w:spacing w:val="-2"/>
                <w:sz w:val="18"/>
                <w:szCs w:val="18"/>
                <w:lang w:eastAsia="ja-JP"/>
              </w:rPr>
            </w:pPr>
          </w:p>
          <w:p w:rsidR="00EA4900" w:rsidRPr="003101A8" w:rsidRDefault="00EA4900" w:rsidP="00E27D83">
            <w:pPr>
              <w:rPr>
                <w:sz w:val="18"/>
                <w:szCs w:val="18"/>
              </w:rPr>
            </w:pPr>
            <w:r w:rsidRPr="0051478C">
              <w:rPr>
                <w:spacing w:val="-2"/>
                <w:sz w:val="18"/>
                <w:szCs w:val="18"/>
                <w:lang w:eastAsia="ja-JP"/>
              </w:rPr>
              <w:t>Conceptual criteria in the UPOV guidance might not be suitable due to the difficulties for the harmonized implementation of the conceptual aspect at the international level.</w:t>
            </w:r>
          </w:p>
          <w:p w:rsidR="00EA4900" w:rsidRDefault="00EA4900" w:rsidP="00E27D83"/>
        </w:tc>
      </w:tr>
    </w:tbl>
    <w:p w:rsidR="00EA4900" w:rsidRDefault="00EA4900" w:rsidP="00EA4900"/>
    <w:p w:rsidR="00EA4900" w:rsidRDefault="00EA4900" w:rsidP="00EA4900"/>
    <w:p w:rsidR="00EA4900" w:rsidRPr="00407B23" w:rsidRDefault="00EA4900" w:rsidP="00EA4900">
      <w:r w:rsidRPr="00407B23">
        <w:t>2.3.1</w:t>
      </w:r>
      <w:r w:rsidRPr="00407B23">
        <w:tab/>
        <w:t>Characteristics of the variety</w:t>
      </w:r>
    </w:p>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Default="00EA4900" w:rsidP="00E27D83"/>
          <w:p w:rsidR="00EA4900" w:rsidRDefault="00EA4900" w:rsidP="00E27D83">
            <w:pPr>
              <w:shd w:val="clear" w:color="auto" w:fill="D9D9D9" w:themeFill="background1" w:themeFillShade="D9"/>
              <w:rPr>
                <w:color w:val="000000"/>
                <w:sz w:val="18"/>
                <w:szCs w:val="18"/>
                <w:u w:val="single"/>
              </w:rPr>
            </w:pPr>
            <w:r w:rsidRPr="00C46A71">
              <w:rPr>
                <w:color w:val="000000"/>
                <w:sz w:val="18"/>
                <w:szCs w:val="18"/>
                <w:u w:val="single"/>
              </w:rPr>
              <w:t xml:space="preserve">Proposal by </w:t>
            </w:r>
            <w:r>
              <w:rPr>
                <w:color w:val="000000"/>
                <w:sz w:val="18"/>
                <w:szCs w:val="18"/>
                <w:u w:val="single"/>
              </w:rPr>
              <w:t xml:space="preserve">the </w:t>
            </w:r>
            <w:r w:rsidRPr="00C46A71">
              <w:rPr>
                <w:color w:val="000000"/>
                <w:sz w:val="18"/>
                <w:szCs w:val="18"/>
                <w:u w:val="single"/>
              </w:rPr>
              <w:t>European Union (CPVO)</w:t>
            </w:r>
            <w:r w:rsidR="009629DA" w:rsidRPr="009629DA">
              <w:rPr>
                <w:color w:val="000000"/>
                <w:sz w:val="18"/>
                <w:szCs w:val="18"/>
              </w:rPr>
              <w:t xml:space="preserve"> </w:t>
            </w:r>
            <w:r w:rsidR="009629DA">
              <w:rPr>
                <w:color w:val="000000"/>
                <w:sz w:val="18"/>
                <w:szCs w:val="18"/>
                <w:u w:val="single"/>
              </w:rPr>
              <w:fldChar w:fldCharType="begin"/>
            </w:r>
            <w:r w:rsidR="009629DA">
              <w:rPr>
                <w:color w:val="000000"/>
                <w:sz w:val="18"/>
                <w:szCs w:val="18"/>
                <w:u w:val="single"/>
              </w:rPr>
              <w:instrText xml:space="preserve"> NOTEREF _Ref526437916 \f \h </w:instrText>
            </w:r>
            <w:r w:rsidR="009629DA">
              <w:rPr>
                <w:color w:val="000000"/>
                <w:sz w:val="18"/>
                <w:szCs w:val="18"/>
                <w:u w:val="single"/>
              </w:rPr>
            </w:r>
            <w:r w:rsidR="009629DA">
              <w:rPr>
                <w:color w:val="000000"/>
                <w:sz w:val="18"/>
                <w:szCs w:val="18"/>
                <w:u w:val="single"/>
              </w:rPr>
              <w:fldChar w:fldCharType="separate"/>
            </w:r>
            <w:r w:rsidR="008D27BA" w:rsidRPr="008D27BA">
              <w:rPr>
                <w:rStyle w:val="EndnoteReference"/>
              </w:rPr>
              <w:t>d</w:t>
            </w:r>
            <w:r w:rsidR="009629DA">
              <w:rPr>
                <w:color w:val="000000"/>
                <w:sz w:val="18"/>
                <w:szCs w:val="18"/>
                <w:u w:val="single"/>
              </w:rPr>
              <w:fldChar w:fldCharType="end"/>
            </w:r>
          </w:p>
          <w:p w:rsidR="00EA4900" w:rsidRDefault="00EA4900" w:rsidP="00E27D83">
            <w:pPr>
              <w:shd w:val="clear" w:color="auto" w:fill="D9D9D9" w:themeFill="background1" w:themeFillShade="D9"/>
              <w:rPr>
                <w:color w:val="000000"/>
                <w:sz w:val="18"/>
                <w:szCs w:val="18"/>
                <w:u w:val="single"/>
              </w:rPr>
            </w:pPr>
          </w:p>
          <w:p w:rsidR="00EA4900" w:rsidRPr="00932960" w:rsidRDefault="00EA4900" w:rsidP="00E27D83">
            <w:pPr>
              <w:shd w:val="clear" w:color="auto" w:fill="D9D9D9" w:themeFill="background1" w:themeFillShade="D9"/>
              <w:rPr>
                <w:color w:val="000000"/>
                <w:sz w:val="18"/>
                <w:szCs w:val="18"/>
              </w:rPr>
            </w:pPr>
            <w:r>
              <w:rPr>
                <w:color w:val="000000"/>
                <w:sz w:val="18"/>
                <w:szCs w:val="18"/>
              </w:rPr>
              <w:t>Section 2.3.1 to provide more detailed guidance and provide clear examples of suitable and non-suitable proposals for VDs.</w:t>
            </w:r>
          </w:p>
          <w:p w:rsidR="00EA4900" w:rsidRDefault="00EA4900" w:rsidP="00E27D83"/>
        </w:tc>
      </w:tr>
    </w:tbl>
    <w:p w:rsidR="00EA4900" w:rsidRPr="00407B23" w:rsidRDefault="00EA4900" w:rsidP="00EA4900"/>
    <w:p w:rsidR="00EA4900" w:rsidRPr="00407B23" w:rsidRDefault="00EA4900" w:rsidP="00EA4900">
      <w:r w:rsidRPr="00407B23">
        <w:t>The denomination should not:</w:t>
      </w:r>
    </w:p>
    <w:p w:rsidR="00EA4900" w:rsidRPr="00407B23" w:rsidRDefault="00EA4900" w:rsidP="00EA4900"/>
    <w:p w:rsidR="00EA4900" w:rsidRPr="005E542B" w:rsidRDefault="00EA4900" w:rsidP="00EA4900">
      <w:pPr>
        <w:ind w:firstLine="567"/>
      </w:pPr>
      <w:r w:rsidRPr="005E542B">
        <w:t>(a)</w:t>
      </w:r>
      <w:r w:rsidRPr="005E542B">
        <w:tab/>
        <w:t xml:space="preserve">convey the impression that the variety has particular characteristics which, in reality, it does not have; </w:t>
      </w:r>
    </w:p>
    <w:p w:rsidR="00EA4900" w:rsidRPr="005E542B" w:rsidRDefault="00EA4900" w:rsidP="00EA4900">
      <w:pPr>
        <w:ind w:firstLine="567"/>
      </w:pPr>
    </w:p>
    <w:p w:rsidR="00EA4900" w:rsidRPr="00407B23" w:rsidRDefault="00EA4900" w:rsidP="00EA4900">
      <w:pPr>
        <w:ind w:left="567"/>
      </w:pPr>
      <w:r w:rsidRPr="005E542B">
        <w:rPr>
          <w:i/>
        </w:rPr>
        <w:t>Example:</w:t>
      </w:r>
      <w:r w:rsidRPr="005E542B">
        <w:t xml:space="preserve">  a variety denomination “dwarf” for a variety which is of normal height, when a dwarfness trait exists within the species, but is not possessed by the variety.</w:t>
      </w:r>
    </w:p>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3101A8" w:rsidRDefault="00EA4900" w:rsidP="00E27D83">
            <w:pPr>
              <w:rPr>
                <w:sz w:val="18"/>
                <w:szCs w:val="18"/>
              </w:rPr>
            </w:pPr>
          </w:p>
          <w:p w:rsidR="00EA4900" w:rsidRPr="005E542B" w:rsidRDefault="00EA4900" w:rsidP="00E27D83">
            <w:pPr>
              <w:tabs>
                <w:tab w:val="left" w:pos="567"/>
              </w:tabs>
              <w:rPr>
                <w:sz w:val="18"/>
                <w:szCs w:val="18"/>
                <w:highlight w:val="yellow"/>
                <w:lang w:eastAsia="ja-JP"/>
              </w:rPr>
            </w:pPr>
            <w:r w:rsidRPr="00AF1815">
              <w:rPr>
                <w:rFonts w:hint="eastAsia"/>
                <w:color w:val="000000"/>
                <w:sz w:val="18"/>
                <w:szCs w:val="18"/>
                <w:highlight w:val="lightGray"/>
                <w:u w:val="single"/>
                <w:lang w:eastAsia="ja-JP"/>
              </w:rPr>
              <w:t xml:space="preserve">Agreed </w:t>
            </w:r>
            <w:r w:rsidRPr="00AF1815">
              <w:rPr>
                <w:sz w:val="18"/>
                <w:szCs w:val="18"/>
                <w:highlight w:val="lightGray"/>
                <w:u w:val="single"/>
              </w:rPr>
              <w:t>by the WG-DEN</w:t>
            </w:r>
            <w:r w:rsidRPr="00AF1815">
              <w:rPr>
                <w:rFonts w:hint="eastAsia"/>
                <w:sz w:val="18"/>
                <w:szCs w:val="18"/>
                <w:highlight w:val="lightGray"/>
                <w:u w:val="single"/>
                <w:lang w:eastAsia="ja-JP"/>
              </w:rPr>
              <w:t>, at its second meeting</w:t>
            </w:r>
          </w:p>
          <w:p w:rsidR="00EA4900" w:rsidRPr="00D81DF5" w:rsidRDefault="00EA4900" w:rsidP="00E27D83">
            <w:pPr>
              <w:rPr>
                <w:spacing w:val="-2"/>
                <w:sz w:val="18"/>
                <w:szCs w:val="18"/>
              </w:rPr>
            </w:pPr>
          </w:p>
          <w:p w:rsidR="00EA4900" w:rsidRDefault="00EA4900" w:rsidP="00E27D83">
            <w:pPr>
              <w:rPr>
                <w:spacing w:val="-2"/>
                <w:sz w:val="18"/>
                <w:szCs w:val="18"/>
                <w:lang w:eastAsia="ja-JP"/>
              </w:rPr>
            </w:pPr>
            <w:r w:rsidRPr="00AF1815">
              <w:rPr>
                <w:rFonts w:hint="eastAsia"/>
                <w:spacing w:val="-2"/>
                <w:sz w:val="18"/>
                <w:szCs w:val="18"/>
                <w:highlight w:val="lightGray"/>
                <w:lang w:eastAsia="ja-JP"/>
              </w:rPr>
              <w:t>T</w:t>
            </w:r>
            <w:r w:rsidRPr="00AF1815">
              <w:rPr>
                <w:spacing w:val="-2"/>
                <w:sz w:val="18"/>
                <w:szCs w:val="18"/>
                <w:highlight w:val="lightGray"/>
                <w:lang w:eastAsia="ja-JP"/>
              </w:rPr>
              <w:t>he example in the section provided clear guidance</w:t>
            </w:r>
            <w:r w:rsidRPr="00AF1815">
              <w:rPr>
                <w:rFonts w:hint="eastAsia"/>
                <w:spacing w:val="-2"/>
                <w:sz w:val="18"/>
                <w:szCs w:val="18"/>
                <w:highlight w:val="lightGray"/>
                <w:lang w:eastAsia="ja-JP"/>
              </w:rPr>
              <w:t>.</w:t>
            </w:r>
          </w:p>
          <w:p w:rsidR="00EA4900" w:rsidRDefault="00EA4900" w:rsidP="00E27D83">
            <w:r w:rsidRPr="005E542B">
              <w:rPr>
                <w:spacing w:val="-2"/>
                <w:sz w:val="18"/>
                <w:szCs w:val="18"/>
                <w:lang w:eastAsia="ja-JP"/>
              </w:rPr>
              <w:t xml:space="preserve"> </w:t>
            </w:r>
          </w:p>
        </w:tc>
      </w:tr>
    </w:tbl>
    <w:p w:rsidR="00EA4900" w:rsidRPr="00AF1815" w:rsidRDefault="00EA4900" w:rsidP="00EA4900">
      <w:pPr>
        <w:rPr>
          <w:lang w:eastAsia="ja-JP"/>
        </w:rPr>
      </w:pPr>
    </w:p>
    <w:p w:rsidR="00EA4900" w:rsidRPr="00E43B13" w:rsidRDefault="00EA4900" w:rsidP="00E43B13">
      <w:pPr>
        <w:keepNext/>
        <w:keepLines/>
        <w:ind w:firstLine="567"/>
        <w:rPr>
          <w:color w:val="000000"/>
        </w:rPr>
      </w:pPr>
      <w:r w:rsidRPr="00E43B13">
        <w:rPr>
          <w:color w:val="000000"/>
        </w:rPr>
        <w:t>(b)</w:t>
      </w:r>
      <w:r w:rsidRPr="00E43B13">
        <w:rPr>
          <w:color w:val="000000"/>
        </w:rPr>
        <w:tab/>
        <w:t>refer to specific characteristics of the variety in such a way</w:t>
      </w:r>
      <w:r w:rsidRPr="00E43B13">
        <w:rPr>
          <w:b/>
          <w:color w:val="000000"/>
        </w:rPr>
        <w:t xml:space="preserve"> </w:t>
      </w:r>
      <w:r w:rsidRPr="00E43B13">
        <w:rPr>
          <w:color w:val="000000"/>
        </w:rPr>
        <w:t>that the impression is created that only the variety possesses them, whereas in fact other varieties of the species in question also have or may have the same characteristics;  for example where the denomination consists solely of descriptive words that describe attributes of the variety that other varieties in the species may also possess.</w:t>
      </w:r>
    </w:p>
    <w:p w:rsidR="00EA4900" w:rsidRPr="00E43B13" w:rsidRDefault="00EA4900" w:rsidP="00EA4900">
      <w:pPr>
        <w:ind w:firstLine="567"/>
        <w:rPr>
          <w:color w:val="000000"/>
          <w:u w:val="single"/>
        </w:rPr>
      </w:pPr>
    </w:p>
    <w:p w:rsidR="00EA4900" w:rsidRPr="00E43B13" w:rsidRDefault="00EA4900" w:rsidP="00EA4900">
      <w:pPr>
        <w:ind w:firstLine="567"/>
        <w:jc w:val="left"/>
        <w:rPr>
          <w:color w:val="000000"/>
          <w:u w:val="single"/>
        </w:rPr>
      </w:pPr>
      <w:r w:rsidRPr="00E43B13">
        <w:rPr>
          <w:i/>
        </w:rPr>
        <w:t>Example 1</w:t>
      </w:r>
      <w:r w:rsidRPr="00E43B13">
        <w:t>:  “Sweet” for a fruit variety;</w:t>
      </w:r>
      <w:r w:rsidRPr="00E43B13">
        <w:br/>
      </w:r>
    </w:p>
    <w:p w:rsidR="00EA4900" w:rsidRDefault="00EA4900" w:rsidP="00EA4900">
      <w:pPr>
        <w:ind w:firstLine="567"/>
        <w:jc w:val="left"/>
        <w:rPr>
          <w:lang w:eastAsia="ja-JP"/>
        </w:rPr>
      </w:pPr>
      <w:r w:rsidRPr="00E43B13">
        <w:rPr>
          <w:i/>
        </w:rPr>
        <w:t>Example 2</w:t>
      </w:r>
      <w:r w:rsidRPr="00E43B13">
        <w:t>:  “Large white” for a variety of chrysanthemum.</w:t>
      </w:r>
      <w:r w:rsidRPr="00E43B13">
        <w:br/>
      </w:r>
    </w:p>
    <w:p w:rsidR="00EA4900" w:rsidRDefault="00EA4900" w:rsidP="00EA4900">
      <w:pPr>
        <w:ind w:firstLine="567"/>
        <w:jc w:val="left"/>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922DA9" w:rsidRDefault="00EA4900" w:rsidP="00E27D83">
            <w:pPr>
              <w:rPr>
                <w:sz w:val="18"/>
                <w:szCs w:val="18"/>
              </w:rPr>
            </w:pPr>
          </w:p>
          <w:p w:rsidR="00EA4900" w:rsidRPr="00AF1815" w:rsidRDefault="00EA4900" w:rsidP="00E27D83">
            <w:pPr>
              <w:tabs>
                <w:tab w:val="left" w:pos="567"/>
              </w:tabs>
              <w:rPr>
                <w:sz w:val="18"/>
                <w:szCs w:val="18"/>
                <w:highlight w:val="lightGray"/>
                <w:lang w:eastAsia="ja-JP"/>
              </w:rPr>
            </w:pPr>
            <w:r w:rsidRPr="00AF1815">
              <w:rPr>
                <w:rFonts w:hint="eastAsia"/>
                <w:color w:val="000000"/>
                <w:sz w:val="18"/>
                <w:szCs w:val="18"/>
                <w:highlight w:val="lightGray"/>
                <w:u w:val="single"/>
                <w:lang w:eastAsia="ja-JP"/>
              </w:rPr>
              <w:t>T</w:t>
            </w:r>
            <w:r w:rsidRPr="00AF1815">
              <w:rPr>
                <w:color w:val="000000"/>
                <w:sz w:val="18"/>
                <w:szCs w:val="18"/>
                <w:highlight w:val="lightGray"/>
                <w:u w:val="single"/>
              </w:rPr>
              <w:t xml:space="preserve">he </w:t>
            </w:r>
            <w:r w:rsidRPr="00AF1815">
              <w:rPr>
                <w:rFonts w:hint="eastAsia"/>
                <w:color w:val="000000"/>
                <w:sz w:val="18"/>
                <w:szCs w:val="18"/>
                <w:highlight w:val="lightGray"/>
                <w:u w:val="single"/>
                <w:lang w:eastAsia="ja-JP"/>
              </w:rPr>
              <w:t xml:space="preserve">WG-DEN agreed the </w:t>
            </w:r>
            <w:r w:rsidRPr="00AF1815">
              <w:rPr>
                <w:color w:val="000000"/>
                <w:sz w:val="18"/>
                <w:szCs w:val="18"/>
                <w:highlight w:val="lightGray"/>
                <w:u w:val="single"/>
                <w:lang w:eastAsia="ja-JP"/>
              </w:rPr>
              <w:t>following</w:t>
            </w:r>
            <w:r w:rsidRPr="00AF1815">
              <w:rPr>
                <w:rFonts w:hint="eastAsia"/>
                <w:color w:val="000000"/>
                <w:sz w:val="18"/>
                <w:szCs w:val="18"/>
                <w:highlight w:val="lightGray"/>
                <w:u w:val="single"/>
                <w:lang w:eastAsia="ja-JP"/>
              </w:rPr>
              <w:t>s, at its second meeting</w:t>
            </w:r>
          </w:p>
          <w:p w:rsidR="00EA4900" w:rsidRPr="005E542B" w:rsidRDefault="00EA4900" w:rsidP="00E27D83">
            <w:pPr>
              <w:rPr>
                <w:sz w:val="18"/>
                <w:szCs w:val="18"/>
                <w:highlight w:val="yellow"/>
                <w:lang w:eastAsia="ja-JP"/>
              </w:rPr>
            </w:pPr>
          </w:p>
          <w:p w:rsidR="00EA4900" w:rsidRPr="005E542B" w:rsidRDefault="00EA4900" w:rsidP="00E27D83">
            <w:pPr>
              <w:rPr>
                <w:sz w:val="16"/>
                <w:szCs w:val="18"/>
                <w:lang w:eastAsia="ja-JP"/>
              </w:rPr>
            </w:pPr>
            <w:r w:rsidRPr="00AF1815">
              <w:rPr>
                <w:sz w:val="18"/>
                <w:highlight w:val="lightGray"/>
                <w:lang w:eastAsia="ja-JP"/>
              </w:rPr>
              <w:t xml:space="preserve">To propose to delete the current text in Section 2.3.1(b) and </w:t>
            </w:r>
            <w:r w:rsidRPr="00AF1815">
              <w:rPr>
                <w:rFonts w:hint="eastAsia"/>
                <w:sz w:val="18"/>
                <w:highlight w:val="lightGray"/>
                <w:lang w:eastAsia="ja-JP"/>
              </w:rPr>
              <w:t>to consider</w:t>
            </w:r>
            <w:r w:rsidRPr="00AF1815">
              <w:rPr>
                <w:sz w:val="18"/>
                <w:highlight w:val="lightGray"/>
                <w:lang w:eastAsia="ja-JP"/>
              </w:rPr>
              <w:t xml:space="preserve"> alternative guidance</w:t>
            </w:r>
            <w:r w:rsidRPr="00AF1815">
              <w:rPr>
                <w:rFonts w:hint="eastAsia"/>
                <w:sz w:val="18"/>
                <w:highlight w:val="lightGray"/>
                <w:lang w:eastAsia="ja-JP"/>
              </w:rPr>
              <w:t xml:space="preserve"> to be provided by the CPVO, at its third meeting</w:t>
            </w:r>
            <w:r w:rsidRPr="00AF1815">
              <w:rPr>
                <w:sz w:val="18"/>
                <w:highlight w:val="lightGray"/>
                <w:lang w:eastAsia="ja-JP"/>
              </w:rPr>
              <w:t>.</w:t>
            </w:r>
          </w:p>
          <w:p w:rsidR="00EA4900" w:rsidRPr="00922DA9" w:rsidRDefault="00EA4900" w:rsidP="00E27D83">
            <w:pPr>
              <w:rPr>
                <w:sz w:val="18"/>
                <w:szCs w:val="18"/>
              </w:rPr>
            </w:pPr>
          </w:p>
        </w:tc>
      </w:tr>
    </w:tbl>
    <w:p w:rsidR="00EA4900" w:rsidRDefault="00EA4900" w:rsidP="00EA4900">
      <w:pPr>
        <w:jc w:val="left"/>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43B13" w:rsidTr="005B58CF">
        <w:trPr>
          <w:cantSplit/>
        </w:trPr>
        <w:tc>
          <w:tcPr>
            <w:tcW w:w="9855" w:type="dxa"/>
            <w:shd w:val="clear" w:color="auto" w:fill="D9D9D9" w:themeFill="background1" w:themeFillShade="D9"/>
          </w:tcPr>
          <w:p w:rsidR="00E43B13" w:rsidRDefault="00E43B13" w:rsidP="005B58CF"/>
          <w:p w:rsidR="00E43B13" w:rsidRPr="00E43B13" w:rsidRDefault="00E43B13" w:rsidP="005B58CF">
            <w:pPr>
              <w:shd w:val="clear" w:color="auto" w:fill="D9D9D9" w:themeFill="background1" w:themeFillShade="D9"/>
              <w:rPr>
                <w:color w:val="000000"/>
                <w:sz w:val="18"/>
                <w:szCs w:val="18"/>
                <w:highlight w:val="yellow"/>
                <w:u w:val="single"/>
                <w:lang w:eastAsia="ja-JP"/>
              </w:rPr>
            </w:pPr>
            <w:r w:rsidRPr="00E43B13">
              <w:rPr>
                <w:color w:val="000000"/>
                <w:sz w:val="18"/>
                <w:szCs w:val="18"/>
                <w:highlight w:val="yellow"/>
                <w:u w:val="single"/>
                <w:lang w:eastAsia="ja-JP"/>
              </w:rPr>
              <w:t>T</w:t>
            </w:r>
            <w:r w:rsidRPr="00E43B13">
              <w:rPr>
                <w:color w:val="000000"/>
                <w:sz w:val="18"/>
                <w:szCs w:val="18"/>
                <w:highlight w:val="yellow"/>
                <w:u w:val="single"/>
              </w:rPr>
              <w:t xml:space="preserve">he </w:t>
            </w:r>
            <w:r w:rsidRPr="00E43B13">
              <w:rPr>
                <w:rFonts w:hint="eastAsia"/>
                <w:color w:val="000000"/>
                <w:sz w:val="18"/>
                <w:szCs w:val="18"/>
                <w:highlight w:val="yellow"/>
                <w:u w:val="single"/>
                <w:lang w:eastAsia="ja-JP"/>
              </w:rPr>
              <w:t>WG-DEN</w:t>
            </w:r>
            <w:r w:rsidRPr="00E43B13">
              <w:rPr>
                <w:color w:val="000000"/>
                <w:sz w:val="18"/>
                <w:szCs w:val="18"/>
                <w:highlight w:val="yellow"/>
                <w:u w:val="single"/>
                <w:lang w:eastAsia="ja-JP"/>
              </w:rPr>
              <w:t>, at its fourth meeting, agreed</w:t>
            </w:r>
            <w:r w:rsidRPr="00E43B13">
              <w:rPr>
                <w:rFonts w:hint="eastAsia"/>
                <w:color w:val="000000"/>
                <w:sz w:val="18"/>
                <w:szCs w:val="18"/>
                <w:highlight w:val="yellow"/>
                <w:u w:val="single"/>
                <w:lang w:eastAsia="ja-JP"/>
              </w:rPr>
              <w:t xml:space="preserve"> </w:t>
            </w:r>
          </w:p>
          <w:p w:rsidR="00E43B13" w:rsidRPr="00E43B13" w:rsidRDefault="00E43B13" w:rsidP="005B58CF">
            <w:pPr>
              <w:shd w:val="clear" w:color="auto" w:fill="D9D9D9" w:themeFill="background1" w:themeFillShade="D9"/>
              <w:rPr>
                <w:color w:val="000000"/>
                <w:sz w:val="18"/>
                <w:szCs w:val="18"/>
                <w:highlight w:val="yellow"/>
                <w:u w:val="single"/>
              </w:rPr>
            </w:pPr>
          </w:p>
          <w:p w:rsidR="00E43B13" w:rsidRDefault="00E43B13" w:rsidP="005B58CF">
            <w:pPr>
              <w:rPr>
                <w:color w:val="000000"/>
                <w:sz w:val="18"/>
                <w:szCs w:val="18"/>
                <w:lang w:eastAsia="ja-JP"/>
              </w:rPr>
            </w:pPr>
            <w:r w:rsidRPr="00E43B13">
              <w:rPr>
                <w:color w:val="000000"/>
                <w:sz w:val="18"/>
                <w:szCs w:val="18"/>
                <w:highlight w:val="yellow"/>
                <w:lang w:eastAsia="ja-JP"/>
              </w:rPr>
              <w:t>To maintain Section 2.3.1 (b) unchanged.</w:t>
            </w:r>
            <w:r w:rsidRPr="0051478C">
              <w:rPr>
                <w:color w:val="000000"/>
                <w:sz w:val="18"/>
                <w:szCs w:val="18"/>
                <w:lang w:eastAsia="ja-JP"/>
              </w:rPr>
              <w:t xml:space="preserve"> </w:t>
            </w:r>
          </w:p>
          <w:p w:rsidR="00E43B13" w:rsidRDefault="00E43B13" w:rsidP="005B58CF"/>
        </w:tc>
      </w:tr>
    </w:tbl>
    <w:p w:rsidR="00E43B13" w:rsidRDefault="00E43B13" w:rsidP="00EA4900">
      <w:pPr>
        <w:jc w:val="left"/>
        <w:rPr>
          <w:lang w:eastAsia="ja-JP"/>
        </w:rPr>
      </w:pPr>
    </w:p>
    <w:p w:rsidR="00E43B13" w:rsidRDefault="00E43B13" w:rsidP="00EA4900">
      <w:pPr>
        <w:jc w:val="left"/>
        <w:rPr>
          <w:lang w:eastAsia="ja-JP"/>
        </w:rPr>
      </w:pPr>
    </w:p>
    <w:p w:rsidR="00EA4900" w:rsidRPr="005E542B" w:rsidRDefault="00EA4900" w:rsidP="00EA4900">
      <w:pPr>
        <w:keepNext/>
        <w:ind w:firstLine="567"/>
        <w:rPr>
          <w:strike/>
        </w:rPr>
      </w:pPr>
      <w:r w:rsidRPr="005E542B">
        <w:rPr>
          <w:strike/>
        </w:rPr>
        <w:t>(c)</w:t>
      </w:r>
      <w:r w:rsidRPr="005E542B">
        <w:rPr>
          <w:strike/>
        </w:rPr>
        <w:tab/>
        <w:t>convey the impression that the variety is derived from, or related to, another variety when that is not, in fact, the case;</w:t>
      </w:r>
    </w:p>
    <w:p w:rsidR="00EA4900" w:rsidRPr="005E542B" w:rsidRDefault="00EA4900" w:rsidP="00EA4900">
      <w:pPr>
        <w:keepNext/>
        <w:ind w:firstLine="567"/>
        <w:rPr>
          <w:strike/>
        </w:rPr>
      </w:pPr>
    </w:p>
    <w:p w:rsidR="00EA4900" w:rsidRDefault="00EA4900" w:rsidP="00EA4900">
      <w:pPr>
        <w:ind w:left="567"/>
        <w:rPr>
          <w:strike/>
          <w:lang w:eastAsia="ja-JP"/>
        </w:rPr>
      </w:pPr>
      <w:r w:rsidRPr="005E542B">
        <w:rPr>
          <w:i/>
          <w:strike/>
        </w:rPr>
        <w:t>Example:</w:t>
      </w:r>
      <w:r w:rsidRPr="005E542B">
        <w:rPr>
          <w:strike/>
        </w:rPr>
        <w:t xml:space="preserve">  a denomination which is similar to that of another variety of the same species or closely related species, e.g. “Southern cross 1”; “Southern cross 2”; etc., giving the impression that these </w:t>
      </w:r>
    </w:p>
    <w:p w:rsidR="00EA4900" w:rsidRPr="00634EB1" w:rsidRDefault="00EA4900" w:rsidP="00EA4900">
      <w:pPr>
        <w:ind w:left="567"/>
        <w:rPr>
          <w:strike/>
          <w:lang w:eastAsia="ja-JP"/>
        </w:rPr>
      </w:pPr>
      <w:r w:rsidRPr="005E542B">
        <w:rPr>
          <w:strike/>
        </w:rPr>
        <w:t>varieties are a series of related varieties with similar characteristics, when, in fact, this is not the case</w:t>
      </w:r>
      <w:r w:rsidR="009629DA" w:rsidRPr="009629DA">
        <w:t xml:space="preserve"> </w:t>
      </w:r>
      <w:r w:rsidR="009629DA">
        <w:rPr>
          <w:rStyle w:val="EndnoteReference"/>
        </w:rPr>
        <w:endnoteReference w:id="9"/>
      </w:r>
    </w:p>
    <w:p w:rsidR="00EA4900" w:rsidRDefault="00EA4900" w:rsidP="00EA4900">
      <w:pPr>
        <w:rPr>
          <w:lang w:eastAsia="ja-JP"/>
        </w:rPr>
      </w:pPr>
    </w:p>
    <w:p w:rsidR="00EA4900" w:rsidRDefault="00EA4900" w:rsidP="00EA4900">
      <w:pPr>
        <w:jc w:val="left"/>
        <w:rPr>
          <w:lang w:eastAsia="ja-JP"/>
        </w:rPr>
      </w:pPr>
      <w:r>
        <w:rPr>
          <w:rFonts w:hint="eastAsia"/>
          <w:lang w:eastAsia="ja-JP"/>
        </w:rPr>
        <w:t xml:space="preserve">[agreed to delete by </w:t>
      </w:r>
      <w:r>
        <w:rPr>
          <w:lang w:eastAsia="ja-JP"/>
        </w:rPr>
        <w:t xml:space="preserve">the </w:t>
      </w:r>
      <w:r>
        <w:rPr>
          <w:rFonts w:hint="eastAsia"/>
          <w:lang w:eastAsia="ja-JP"/>
        </w:rPr>
        <w:t>WG-DEN, at its first meeting]</w:t>
      </w:r>
    </w:p>
    <w:p w:rsidR="009E7079" w:rsidRPr="009754CE" w:rsidRDefault="009E7079" w:rsidP="009E7079">
      <w:pPr>
        <w:jc w:val="left"/>
        <w:rPr>
          <w:rFonts w:eastAsia="MS Mincho"/>
          <w:highlight w:val="yellow"/>
          <w:lang w:eastAsia="ja-JP"/>
        </w:rPr>
      </w:pPr>
    </w:p>
    <w:p w:rsidR="009E7079" w:rsidRPr="009754CE" w:rsidRDefault="009E7079" w:rsidP="009E7079">
      <w:pPr>
        <w:ind w:firstLine="540"/>
        <w:rPr>
          <w:rFonts w:eastAsia="MS Mincho"/>
          <w:highlight w:val="yellow"/>
          <w:u w:val="single"/>
          <w:lang w:eastAsia="ja-JP"/>
        </w:rPr>
      </w:pPr>
      <w:r w:rsidRPr="009754CE">
        <w:rPr>
          <w:rFonts w:eastAsia="MS Mincho"/>
          <w:highlight w:val="yellow"/>
          <w:u w:val="single"/>
          <w:lang w:eastAsia="ja-JP"/>
        </w:rPr>
        <w:t>(d)</w:t>
      </w:r>
      <w:r w:rsidRPr="009754CE">
        <w:rPr>
          <w:rFonts w:eastAsia="MS Mincho"/>
          <w:highlight w:val="yellow"/>
          <w:u w:val="single"/>
          <w:lang w:eastAsia="ja-JP"/>
        </w:rPr>
        <w:tab/>
        <w:t xml:space="preserve">contain the botanical or common name of the genus to which that variety belongs. </w:t>
      </w:r>
    </w:p>
    <w:p w:rsidR="009E7079" w:rsidRPr="009754CE" w:rsidRDefault="009E7079" w:rsidP="009E7079">
      <w:pPr>
        <w:rPr>
          <w:rFonts w:eastAsia="MS Mincho"/>
          <w:highlight w:val="yellow"/>
          <w:u w:val="single"/>
          <w:lang w:eastAsia="ja-JP"/>
        </w:rPr>
      </w:pPr>
    </w:p>
    <w:p w:rsidR="009E7079" w:rsidRPr="009754CE" w:rsidRDefault="009E7079" w:rsidP="009E7079">
      <w:pPr>
        <w:ind w:left="540"/>
        <w:rPr>
          <w:rFonts w:eastAsia="MS Mincho"/>
          <w:highlight w:val="yellow"/>
          <w:u w:val="single"/>
          <w:lang w:eastAsia="ja-JP"/>
        </w:rPr>
      </w:pPr>
      <w:r w:rsidRPr="009754CE">
        <w:rPr>
          <w:rFonts w:eastAsia="MS Mincho"/>
          <w:highlight w:val="yellow"/>
          <w:u w:val="single"/>
          <w:lang w:eastAsia="ja-JP"/>
        </w:rPr>
        <w:t xml:space="preserve">Example of unsuitable denominations:  </w:t>
      </w:r>
    </w:p>
    <w:p w:rsidR="009E7079" w:rsidRPr="009754CE" w:rsidRDefault="009E7079" w:rsidP="009E7079">
      <w:pPr>
        <w:ind w:left="1134"/>
        <w:rPr>
          <w:rFonts w:eastAsia="MS Mincho"/>
          <w:i/>
          <w:color w:val="000000"/>
          <w:sz w:val="18"/>
          <w:szCs w:val="18"/>
          <w:highlight w:val="yellow"/>
          <w:u w:val="single"/>
          <w:shd w:val="pct15" w:color="auto" w:fill="FFFFFF"/>
          <w:lang w:eastAsia="ja-JP"/>
        </w:rPr>
      </w:pPr>
      <w:r w:rsidRPr="009754CE">
        <w:rPr>
          <w:rFonts w:eastAsia="MS Mincho"/>
          <w:i/>
          <w:highlight w:val="yellow"/>
          <w:u w:val="single"/>
          <w:lang w:eastAsia="ja-JP"/>
        </w:rPr>
        <w:t>Carex</w:t>
      </w:r>
      <w:r w:rsidRPr="009754CE">
        <w:rPr>
          <w:rFonts w:eastAsia="MS Mincho"/>
          <w:highlight w:val="yellow"/>
          <w:u w:val="single"/>
          <w:lang w:eastAsia="ja-JP"/>
        </w:rPr>
        <w:t xml:space="preserve"> variety “Sedge”.  (</w:t>
      </w:r>
      <w:r w:rsidRPr="009754CE">
        <w:rPr>
          <w:rFonts w:eastAsia="MS Mincho"/>
          <w:i/>
          <w:highlight w:val="yellow"/>
          <w:u w:val="single"/>
          <w:lang w:eastAsia="ja-JP"/>
        </w:rPr>
        <w:t>Carex</w:t>
      </w:r>
      <w:r w:rsidRPr="009754CE">
        <w:rPr>
          <w:rFonts w:eastAsia="MS Mincho"/>
          <w:highlight w:val="yellow"/>
          <w:u w:val="single"/>
          <w:lang w:eastAsia="ja-JP"/>
        </w:rPr>
        <w:t xml:space="preserve"> is the botanical name of the genus, for which the common name is sedge.)</w:t>
      </w:r>
      <w:r w:rsidRPr="009754CE">
        <w:rPr>
          <w:rFonts w:eastAsia="MS Mincho"/>
          <w:i/>
          <w:color w:val="000000"/>
          <w:sz w:val="18"/>
          <w:szCs w:val="18"/>
          <w:highlight w:val="yellow"/>
          <w:u w:val="single"/>
          <w:shd w:val="pct15" w:color="auto" w:fill="FFFFFF"/>
          <w:lang w:eastAsia="ja-JP"/>
        </w:rPr>
        <w:t xml:space="preserve"> </w:t>
      </w:r>
    </w:p>
    <w:p w:rsidR="009E7079" w:rsidRPr="009754CE" w:rsidRDefault="009E7079" w:rsidP="009E7079">
      <w:pPr>
        <w:ind w:left="1134"/>
        <w:rPr>
          <w:rFonts w:eastAsia="MS Mincho"/>
          <w:highlight w:val="yellow"/>
          <w:u w:val="single"/>
          <w:lang w:eastAsia="ja-JP"/>
        </w:rPr>
      </w:pPr>
      <w:r w:rsidRPr="009754CE">
        <w:rPr>
          <w:rFonts w:eastAsia="MS Mincho"/>
          <w:i/>
          <w:highlight w:val="yellow"/>
          <w:u w:val="single"/>
          <w:lang w:eastAsia="ja-JP"/>
        </w:rPr>
        <w:t>Castanea</w:t>
      </w:r>
      <w:r w:rsidRPr="009754CE">
        <w:rPr>
          <w:rFonts w:eastAsia="MS Mincho"/>
          <w:highlight w:val="yellow"/>
          <w:u w:val="single"/>
          <w:lang w:eastAsia="ja-JP"/>
        </w:rPr>
        <w:t xml:space="preserve"> “Pale Chestnut”. (</w:t>
      </w:r>
      <w:r w:rsidRPr="009754CE">
        <w:rPr>
          <w:rFonts w:eastAsia="MS Mincho"/>
          <w:i/>
          <w:highlight w:val="yellow"/>
          <w:u w:val="single"/>
          <w:lang w:eastAsia="ja-JP"/>
        </w:rPr>
        <w:t>Castanea</w:t>
      </w:r>
      <w:r w:rsidRPr="009754CE">
        <w:rPr>
          <w:rFonts w:eastAsia="MS Mincho"/>
          <w:highlight w:val="yellow"/>
          <w:u w:val="single"/>
          <w:lang w:eastAsia="ja-JP"/>
        </w:rPr>
        <w:t xml:space="preserve"> is the botanical name of the genus, for which the common name is Chestnut.)</w:t>
      </w:r>
      <w:r w:rsidRPr="009629DA">
        <w:rPr>
          <w:rFonts w:eastAsia="MS Mincho"/>
          <w:lang w:eastAsia="ja-JP"/>
        </w:rPr>
        <w:t xml:space="preserve"> </w:t>
      </w:r>
      <w:r w:rsidRPr="009754CE">
        <w:rPr>
          <w:rFonts w:eastAsia="MS Mincho"/>
          <w:highlight w:val="yellow"/>
          <w:vertAlign w:val="superscript"/>
          <w:lang w:eastAsia="ja-JP"/>
        </w:rPr>
        <w:endnoteReference w:id="10"/>
      </w:r>
    </w:p>
    <w:p w:rsidR="009E7079" w:rsidRPr="009754CE" w:rsidRDefault="009E7079" w:rsidP="009E7079">
      <w:pPr>
        <w:ind w:left="1134"/>
        <w:rPr>
          <w:rFonts w:eastAsia="MS Mincho"/>
          <w:highlight w:val="yellow"/>
          <w:u w:val="single"/>
          <w:lang w:eastAsia="ja-JP"/>
        </w:rPr>
      </w:pPr>
      <w:r w:rsidRPr="009754CE">
        <w:rPr>
          <w:rFonts w:eastAsia="MS Mincho"/>
          <w:i/>
          <w:highlight w:val="yellow"/>
          <w:u w:val="single"/>
          <w:lang w:eastAsia="ja-JP"/>
        </w:rPr>
        <w:t>Gladiolus</w:t>
      </w:r>
      <w:r w:rsidRPr="009754CE">
        <w:rPr>
          <w:rFonts w:eastAsia="MS Mincho"/>
          <w:highlight w:val="yellow"/>
          <w:u w:val="single"/>
          <w:lang w:eastAsia="ja-JP"/>
        </w:rPr>
        <w:t xml:space="preserve"> “Pink Gladiolus”.</w:t>
      </w:r>
    </w:p>
    <w:p w:rsidR="009E7079" w:rsidRPr="009754CE" w:rsidRDefault="009E7079" w:rsidP="009E7079">
      <w:pPr>
        <w:ind w:left="1134"/>
        <w:rPr>
          <w:rFonts w:eastAsia="MS Mincho"/>
          <w:highlight w:val="yellow"/>
          <w:u w:val="single"/>
          <w:lang w:eastAsia="ja-JP"/>
        </w:rPr>
      </w:pPr>
      <w:r w:rsidRPr="009754CE">
        <w:rPr>
          <w:rFonts w:eastAsia="MS Mincho"/>
          <w:i/>
          <w:highlight w:val="yellow"/>
          <w:u w:val="single"/>
          <w:lang w:eastAsia="ja-JP"/>
        </w:rPr>
        <w:t>Narcissus</w:t>
      </w:r>
      <w:r w:rsidRPr="009754CE">
        <w:rPr>
          <w:rFonts w:eastAsia="MS Mincho"/>
          <w:highlight w:val="yellow"/>
          <w:u w:val="single"/>
          <w:lang w:eastAsia="ja-JP"/>
        </w:rPr>
        <w:t xml:space="preserve"> “ Davis Daff ”. (</w:t>
      </w:r>
      <w:r w:rsidRPr="009754CE">
        <w:rPr>
          <w:rFonts w:eastAsia="MS Mincho"/>
          <w:i/>
          <w:highlight w:val="yellow"/>
          <w:u w:val="single"/>
          <w:lang w:eastAsia="ja-JP"/>
        </w:rPr>
        <w:t>Narcissus</w:t>
      </w:r>
      <w:r w:rsidRPr="009754CE">
        <w:rPr>
          <w:rFonts w:eastAsia="MS Mincho"/>
          <w:highlight w:val="yellow"/>
          <w:u w:val="single"/>
          <w:lang w:eastAsia="ja-JP"/>
        </w:rPr>
        <w:t xml:space="preserve"> is the botanical name of the genus, for which the common name is Daffodil.)</w:t>
      </w:r>
    </w:p>
    <w:p w:rsidR="009E7079" w:rsidRPr="009754CE" w:rsidRDefault="009E7079" w:rsidP="009E7079">
      <w:pPr>
        <w:ind w:left="1134"/>
        <w:rPr>
          <w:rFonts w:eastAsia="MS Mincho"/>
          <w:highlight w:val="yellow"/>
          <w:u w:val="single"/>
          <w:lang w:eastAsia="ja-JP"/>
        </w:rPr>
      </w:pPr>
      <w:r w:rsidRPr="009754CE">
        <w:rPr>
          <w:rFonts w:eastAsia="MS Mincho"/>
          <w:highlight w:val="yellow"/>
          <w:u w:val="single"/>
          <w:lang w:eastAsia="ja-JP"/>
        </w:rPr>
        <w:t>Narcissus “Granny’s Daffodil”.</w:t>
      </w:r>
    </w:p>
    <w:p w:rsidR="009E7079" w:rsidRPr="009754CE" w:rsidRDefault="009E7079" w:rsidP="009E7079">
      <w:pPr>
        <w:ind w:left="1134"/>
        <w:rPr>
          <w:rFonts w:eastAsia="MS Mincho"/>
          <w:highlight w:val="yellow"/>
          <w:u w:val="single"/>
          <w:lang w:eastAsia="ja-JP"/>
        </w:rPr>
      </w:pPr>
      <w:r w:rsidRPr="009754CE">
        <w:rPr>
          <w:rFonts w:eastAsia="MS Mincho"/>
          <w:i/>
          <w:highlight w:val="yellow"/>
          <w:u w:val="single"/>
          <w:lang w:eastAsia="ja-JP"/>
        </w:rPr>
        <w:t>Paeonia</w:t>
      </w:r>
      <w:r w:rsidRPr="009754CE">
        <w:rPr>
          <w:rFonts w:eastAsia="MS Mincho"/>
          <w:highlight w:val="yellow"/>
          <w:u w:val="single"/>
          <w:lang w:eastAsia="ja-JP"/>
        </w:rPr>
        <w:t xml:space="preserve"> “Sussex Peony”. (</w:t>
      </w:r>
      <w:r w:rsidRPr="009754CE">
        <w:rPr>
          <w:rFonts w:eastAsia="MS Mincho"/>
          <w:i/>
          <w:highlight w:val="yellow"/>
          <w:u w:val="single"/>
          <w:lang w:eastAsia="ja-JP"/>
        </w:rPr>
        <w:t>Paeonia</w:t>
      </w:r>
      <w:r w:rsidRPr="009754CE">
        <w:rPr>
          <w:rFonts w:eastAsia="MS Mincho"/>
          <w:highlight w:val="yellow"/>
          <w:u w:val="single"/>
          <w:lang w:eastAsia="ja-JP"/>
        </w:rPr>
        <w:t xml:space="preserve"> is the botanical name of the genus, for which the common name is Peony.)</w:t>
      </w:r>
    </w:p>
    <w:p w:rsidR="009E7079" w:rsidRPr="009754CE" w:rsidRDefault="009E7079" w:rsidP="009E7079">
      <w:pPr>
        <w:ind w:left="1134"/>
        <w:rPr>
          <w:rFonts w:eastAsia="MS Mincho"/>
          <w:highlight w:val="yellow"/>
          <w:u w:val="single"/>
          <w:lang w:eastAsia="ja-JP"/>
        </w:rPr>
      </w:pPr>
      <w:r w:rsidRPr="009754CE">
        <w:rPr>
          <w:rFonts w:eastAsia="MS Mincho"/>
          <w:i/>
          <w:highlight w:val="yellow"/>
          <w:u w:val="single"/>
          <w:lang w:eastAsia="ja-JP"/>
        </w:rPr>
        <w:t>Phlox</w:t>
      </w:r>
      <w:r w:rsidRPr="009754CE">
        <w:rPr>
          <w:rFonts w:eastAsia="MS Mincho"/>
          <w:highlight w:val="yellow"/>
          <w:u w:val="single"/>
          <w:lang w:eastAsia="ja-JP"/>
        </w:rPr>
        <w:t xml:space="preserve"> “Phlox of Sheep”.</w:t>
      </w:r>
    </w:p>
    <w:p w:rsidR="009E7079" w:rsidRPr="009754CE" w:rsidRDefault="009E7079" w:rsidP="009E7079">
      <w:pPr>
        <w:ind w:left="1134"/>
        <w:rPr>
          <w:rFonts w:eastAsia="MS Mincho"/>
          <w:highlight w:val="yellow"/>
          <w:u w:val="single"/>
          <w:lang w:eastAsia="ja-JP"/>
        </w:rPr>
      </w:pPr>
      <w:r w:rsidRPr="009754CE">
        <w:rPr>
          <w:rFonts w:eastAsia="MS Mincho"/>
          <w:i/>
          <w:highlight w:val="yellow"/>
          <w:u w:val="single"/>
          <w:lang w:eastAsia="ja-JP"/>
        </w:rPr>
        <w:t>Rhododendron</w:t>
      </w:r>
      <w:r w:rsidRPr="009754CE">
        <w:rPr>
          <w:rFonts w:eastAsia="MS Mincho"/>
          <w:highlight w:val="yellow"/>
          <w:u w:val="single"/>
          <w:lang w:eastAsia="ja-JP"/>
        </w:rPr>
        <w:t xml:space="preserve"> “Rhododendron Mad”.</w:t>
      </w:r>
    </w:p>
    <w:p w:rsidR="009E7079" w:rsidRPr="009754CE" w:rsidRDefault="009E7079" w:rsidP="009E7079">
      <w:pPr>
        <w:rPr>
          <w:rFonts w:eastAsia="MS Mincho"/>
          <w:highlight w:val="yellow"/>
          <w:u w:val="single"/>
          <w:lang w:eastAsia="ja-JP"/>
        </w:rPr>
      </w:pPr>
    </w:p>
    <w:p w:rsidR="009E7079" w:rsidRPr="009754CE" w:rsidRDefault="009E7079" w:rsidP="009E7079">
      <w:pPr>
        <w:ind w:left="540"/>
        <w:rPr>
          <w:rFonts w:eastAsia="MS Mincho"/>
          <w:highlight w:val="yellow"/>
          <w:u w:val="single"/>
          <w:lang w:eastAsia="ja-JP"/>
        </w:rPr>
      </w:pPr>
      <w:r w:rsidRPr="009754CE">
        <w:rPr>
          <w:rFonts w:eastAsia="MS Mincho"/>
          <w:highlight w:val="yellow"/>
          <w:u w:val="single"/>
          <w:lang w:eastAsia="ja-JP"/>
        </w:rPr>
        <w:t xml:space="preserve">Example of suitable denominations:  </w:t>
      </w:r>
    </w:p>
    <w:p w:rsidR="009E7079" w:rsidRPr="009754CE" w:rsidRDefault="009E7079" w:rsidP="009E7079">
      <w:pPr>
        <w:ind w:left="1134"/>
        <w:rPr>
          <w:rFonts w:eastAsia="MS Mincho"/>
          <w:highlight w:val="yellow"/>
          <w:u w:val="single"/>
          <w:lang w:eastAsia="ja-JP"/>
        </w:rPr>
      </w:pPr>
      <w:r w:rsidRPr="009754CE">
        <w:rPr>
          <w:rFonts w:eastAsia="MS Mincho"/>
          <w:i/>
          <w:highlight w:val="yellow"/>
          <w:u w:val="single"/>
          <w:lang w:eastAsia="ja-JP"/>
        </w:rPr>
        <w:t>Dianthus</w:t>
      </w:r>
      <w:r w:rsidRPr="009754CE">
        <w:rPr>
          <w:rFonts w:eastAsia="MS Mincho"/>
          <w:highlight w:val="yellow"/>
          <w:u w:val="single"/>
          <w:lang w:eastAsia="ja-JP"/>
        </w:rPr>
        <w:t xml:space="preserve"> “Rupert’s Pink”. (“Pink” is not the common name for all plants in the genus </w:t>
      </w:r>
      <w:r w:rsidRPr="009754CE">
        <w:rPr>
          <w:rFonts w:eastAsia="MS Mincho"/>
          <w:i/>
          <w:highlight w:val="yellow"/>
          <w:u w:val="single"/>
          <w:lang w:eastAsia="ja-JP"/>
        </w:rPr>
        <w:t>Dianthus</w:t>
      </w:r>
      <w:r w:rsidRPr="009754CE">
        <w:rPr>
          <w:rFonts w:eastAsia="MS Mincho"/>
          <w:highlight w:val="yellow"/>
          <w:u w:val="single"/>
          <w:lang w:eastAsia="ja-JP"/>
        </w:rPr>
        <w:t>.</w:t>
      </w:r>
      <w:r w:rsidRPr="009754CE">
        <w:rPr>
          <w:rFonts w:eastAsia="MS Mincho"/>
          <w:highlight w:val="yellow"/>
          <w:u w:val="single"/>
          <w:shd w:val="pct15" w:color="auto" w:fill="FFFFFF"/>
          <w:lang w:eastAsia="ja-JP"/>
        </w:rPr>
        <w:t>)</w:t>
      </w:r>
      <w:r w:rsidRPr="009754CE">
        <w:rPr>
          <w:rFonts w:eastAsia="MS Mincho"/>
          <w:i/>
          <w:color w:val="000000"/>
          <w:sz w:val="18"/>
          <w:szCs w:val="18"/>
          <w:highlight w:val="yellow"/>
          <w:u w:val="single"/>
          <w:shd w:val="pct15" w:color="auto" w:fill="FFFFFF"/>
          <w:lang w:eastAsia="ja-JP"/>
        </w:rPr>
        <w:t xml:space="preserve"> </w:t>
      </w:r>
      <w:r w:rsidRPr="009754CE">
        <w:rPr>
          <w:rFonts w:eastAsia="MS Mincho"/>
          <w:i/>
          <w:highlight w:val="yellow"/>
          <w:u w:val="single"/>
          <w:lang w:eastAsia="ja-JP"/>
        </w:rPr>
        <w:t>Prunus</w:t>
      </w:r>
      <w:r w:rsidRPr="009754CE">
        <w:rPr>
          <w:rFonts w:eastAsia="MS Mincho"/>
          <w:highlight w:val="yellow"/>
          <w:u w:val="single"/>
          <w:lang w:eastAsia="ja-JP"/>
        </w:rPr>
        <w:t xml:space="preserve"> “Sato-zakura”. (“Zakura” is the Japanese word for flowering cherries, rather than a name for the whole genus.)</w:t>
      </w:r>
    </w:p>
    <w:p w:rsidR="009E7079" w:rsidRPr="009754CE" w:rsidRDefault="009E7079" w:rsidP="009E7079">
      <w:pPr>
        <w:ind w:left="1134"/>
        <w:rPr>
          <w:rFonts w:eastAsia="MS Mincho"/>
          <w:i/>
          <w:highlight w:val="yellow"/>
          <w:u w:val="single"/>
          <w:lang w:eastAsia="ja-JP"/>
        </w:rPr>
      </w:pPr>
      <w:r w:rsidRPr="009754CE">
        <w:rPr>
          <w:rFonts w:eastAsia="MS Mincho"/>
          <w:i/>
          <w:highlight w:val="yellow"/>
          <w:u w:val="single"/>
          <w:lang w:eastAsia="ja-JP"/>
        </w:rPr>
        <w:t>Pyrus bretschneideri</w:t>
      </w:r>
      <w:r w:rsidRPr="009754CE">
        <w:rPr>
          <w:rFonts w:eastAsia="MS Mincho"/>
          <w:highlight w:val="yellow"/>
          <w:u w:val="single"/>
          <w:lang w:eastAsia="ja-JP"/>
        </w:rPr>
        <w:t xml:space="preserve"> “Ya Li”. (While the word “li” is the Chinese common name for the genus </w:t>
      </w:r>
      <w:r w:rsidRPr="009754CE">
        <w:rPr>
          <w:rFonts w:eastAsia="MS Mincho"/>
          <w:i/>
          <w:highlight w:val="yellow"/>
          <w:u w:val="single"/>
          <w:lang w:eastAsia="ja-JP"/>
        </w:rPr>
        <w:t>Pyrus</w:t>
      </w:r>
      <w:r w:rsidRPr="009754CE">
        <w:rPr>
          <w:rFonts w:eastAsia="MS Mincho"/>
          <w:highlight w:val="yellow"/>
          <w:u w:val="single"/>
          <w:lang w:eastAsia="ja-JP"/>
        </w:rPr>
        <w:t>, “li” is inseparable from “ya” according to Chinese linguistic custom, and its inclusion in the variety denomination is therefore necessary and acceptable.)</w:t>
      </w:r>
    </w:p>
    <w:p w:rsidR="009E7079" w:rsidRPr="009E7079" w:rsidRDefault="009E7079" w:rsidP="009E7079">
      <w:pPr>
        <w:tabs>
          <w:tab w:val="left" w:pos="380"/>
        </w:tabs>
        <w:ind w:left="380"/>
        <w:rPr>
          <w:rFonts w:eastAsia="MS Mincho"/>
          <w:color w:val="000000"/>
          <w:sz w:val="18"/>
          <w:szCs w:val="18"/>
          <w:u w:val="single"/>
          <w:shd w:val="pct15" w:color="auto" w:fill="FFFFFF"/>
          <w:lang w:eastAsia="ja-JP"/>
        </w:rPr>
      </w:pPr>
    </w:p>
    <w:p w:rsidR="009E7079" w:rsidRDefault="009E7079" w:rsidP="00EA4900">
      <w:pPr>
        <w:rPr>
          <w:lang w:eastAsia="ja-JP"/>
        </w:rPr>
      </w:pPr>
    </w:p>
    <w:p w:rsidR="009E7079" w:rsidRDefault="009E7079" w:rsidP="00EA4900">
      <w:pPr>
        <w:rPr>
          <w:lang w:eastAsia="ja-JP"/>
        </w:rPr>
      </w:pPr>
    </w:p>
    <w:p w:rsidR="009E7079" w:rsidRDefault="009E7079" w:rsidP="00EA4900">
      <w:pPr>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374C3C" w:rsidRDefault="00EA4900" w:rsidP="00E27D83">
            <w:pPr>
              <w:rPr>
                <w:sz w:val="18"/>
                <w:szCs w:val="18"/>
                <w:highlight w:val="yellow"/>
              </w:rPr>
            </w:pPr>
          </w:p>
          <w:p w:rsidR="00EA4900" w:rsidRPr="00374C3C" w:rsidRDefault="00EA4900" w:rsidP="00E27D83">
            <w:pPr>
              <w:tabs>
                <w:tab w:val="left" w:pos="567"/>
              </w:tabs>
              <w:rPr>
                <w:sz w:val="18"/>
                <w:szCs w:val="18"/>
                <w:highlight w:val="yellow"/>
                <w:lang w:eastAsia="ja-JP"/>
              </w:rPr>
            </w:pPr>
            <w:r w:rsidRPr="00AF1815">
              <w:rPr>
                <w:rFonts w:hint="eastAsia"/>
                <w:color w:val="000000"/>
                <w:sz w:val="18"/>
                <w:szCs w:val="18"/>
                <w:highlight w:val="lightGray"/>
                <w:u w:val="single"/>
                <w:lang w:eastAsia="ja-JP"/>
              </w:rPr>
              <w:t>T</w:t>
            </w:r>
            <w:r w:rsidRPr="00AF1815">
              <w:rPr>
                <w:color w:val="000000"/>
                <w:sz w:val="18"/>
                <w:szCs w:val="18"/>
                <w:highlight w:val="lightGray"/>
                <w:u w:val="single"/>
              </w:rPr>
              <w:t xml:space="preserve">he </w:t>
            </w:r>
            <w:r w:rsidRPr="00AF1815">
              <w:rPr>
                <w:rFonts w:hint="eastAsia"/>
                <w:color w:val="000000"/>
                <w:sz w:val="18"/>
                <w:szCs w:val="18"/>
                <w:highlight w:val="lightGray"/>
                <w:u w:val="single"/>
                <w:lang w:eastAsia="ja-JP"/>
              </w:rPr>
              <w:t>WG-DEN</w:t>
            </w:r>
            <w:r w:rsidRPr="00AF1815">
              <w:rPr>
                <w:color w:val="000000"/>
                <w:sz w:val="18"/>
                <w:szCs w:val="18"/>
                <w:highlight w:val="lightGray"/>
                <w:u w:val="single"/>
                <w:lang w:eastAsia="ja-JP"/>
              </w:rPr>
              <w:t>, at its second meeting,</w:t>
            </w:r>
            <w:r w:rsidRPr="00AF1815">
              <w:rPr>
                <w:rFonts w:hint="eastAsia"/>
                <w:color w:val="000000"/>
                <w:sz w:val="18"/>
                <w:szCs w:val="18"/>
                <w:highlight w:val="lightGray"/>
                <w:u w:val="single"/>
                <w:lang w:eastAsia="ja-JP"/>
              </w:rPr>
              <w:t xml:space="preserve"> agreed to consider the </w:t>
            </w:r>
            <w:r w:rsidRPr="00AF1815">
              <w:rPr>
                <w:color w:val="000000"/>
                <w:sz w:val="18"/>
                <w:szCs w:val="18"/>
                <w:highlight w:val="lightGray"/>
                <w:u w:val="single"/>
                <w:lang w:eastAsia="ja-JP"/>
              </w:rPr>
              <w:t>following</w:t>
            </w:r>
            <w:r w:rsidRPr="00AF1815">
              <w:rPr>
                <w:rFonts w:hint="eastAsia"/>
                <w:color w:val="000000"/>
                <w:sz w:val="18"/>
                <w:szCs w:val="18"/>
                <w:highlight w:val="lightGray"/>
                <w:u w:val="single"/>
                <w:lang w:eastAsia="ja-JP"/>
              </w:rPr>
              <w:t xml:space="preserve"> proposal at its third meeting</w:t>
            </w:r>
          </w:p>
          <w:p w:rsidR="00EA4900" w:rsidRPr="00374C3C" w:rsidRDefault="00EA4900" w:rsidP="00E27D83">
            <w:pPr>
              <w:rPr>
                <w:spacing w:val="-2"/>
                <w:sz w:val="18"/>
                <w:szCs w:val="18"/>
                <w:highlight w:val="yellow"/>
              </w:rPr>
            </w:pPr>
          </w:p>
          <w:p w:rsidR="00EA4900" w:rsidRPr="00374C3C" w:rsidRDefault="00EA4900" w:rsidP="00E27D83">
            <w:pPr>
              <w:rPr>
                <w:spacing w:val="-2"/>
                <w:sz w:val="18"/>
                <w:szCs w:val="18"/>
                <w:highlight w:val="yellow"/>
                <w:lang w:eastAsia="ja-JP"/>
              </w:rPr>
            </w:pPr>
            <w:r w:rsidRPr="00AF1815">
              <w:rPr>
                <w:rFonts w:hint="eastAsia"/>
                <w:spacing w:val="-2"/>
                <w:sz w:val="18"/>
                <w:szCs w:val="18"/>
                <w:highlight w:val="lightGray"/>
                <w:lang w:eastAsia="ja-JP"/>
              </w:rPr>
              <w:t>T</w:t>
            </w:r>
            <w:r w:rsidRPr="00AF1815">
              <w:rPr>
                <w:spacing w:val="-2"/>
                <w:sz w:val="18"/>
                <w:szCs w:val="18"/>
                <w:highlight w:val="lightGray"/>
                <w:lang w:eastAsia="ja-JP"/>
              </w:rPr>
              <w:t>o consider two elements together, botanical relationship of varieties and confusion in relation to the identity of the breeder, to cover refusal of following cases:</w:t>
            </w:r>
          </w:p>
          <w:p w:rsidR="00EA4900" w:rsidRPr="00AF1815" w:rsidRDefault="00EA4900" w:rsidP="00E27D83">
            <w:pPr>
              <w:rPr>
                <w:spacing w:val="-2"/>
                <w:sz w:val="18"/>
                <w:szCs w:val="18"/>
                <w:lang w:eastAsia="ja-JP"/>
              </w:rPr>
            </w:pPr>
          </w:p>
          <w:p w:rsidR="00EA4900" w:rsidRPr="00AF1815" w:rsidRDefault="00EA4900" w:rsidP="00E27D83">
            <w:pPr>
              <w:pStyle w:val="ListParagraph"/>
              <w:numPr>
                <w:ilvl w:val="0"/>
                <w:numId w:val="6"/>
              </w:numPr>
              <w:tabs>
                <w:tab w:val="left" w:pos="851"/>
              </w:tabs>
              <w:ind w:left="0" w:firstLine="567"/>
              <w:rPr>
                <w:spacing w:val="-2"/>
                <w:sz w:val="18"/>
                <w:szCs w:val="18"/>
                <w:highlight w:val="lightGray"/>
                <w:lang w:eastAsia="ja-JP"/>
              </w:rPr>
            </w:pPr>
            <w:r w:rsidRPr="00AF1815">
              <w:rPr>
                <w:spacing w:val="-2"/>
                <w:sz w:val="18"/>
                <w:szCs w:val="18"/>
                <w:highlight w:val="lightGray"/>
                <w:lang w:eastAsia="ja-JP"/>
              </w:rPr>
              <w:t xml:space="preserve">a variety denomination “Dannys Royal Gala” even if it had little botanical relation with variety denomination “Royal Gala”;  and </w:t>
            </w:r>
          </w:p>
          <w:p w:rsidR="00EA4900" w:rsidRPr="00374C3C" w:rsidRDefault="00EA4900" w:rsidP="00E27D83">
            <w:pPr>
              <w:tabs>
                <w:tab w:val="left" w:pos="851"/>
              </w:tabs>
              <w:ind w:firstLine="567"/>
              <w:rPr>
                <w:spacing w:val="-2"/>
                <w:sz w:val="18"/>
                <w:szCs w:val="18"/>
                <w:highlight w:val="yellow"/>
                <w:lang w:eastAsia="ja-JP"/>
              </w:rPr>
            </w:pPr>
          </w:p>
          <w:p w:rsidR="00EA4900" w:rsidRPr="00AF1815" w:rsidRDefault="00EA4900" w:rsidP="00E27D83">
            <w:pPr>
              <w:pStyle w:val="ListParagraph"/>
              <w:numPr>
                <w:ilvl w:val="0"/>
                <w:numId w:val="6"/>
              </w:numPr>
              <w:tabs>
                <w:tab w:val="left" w:pos="851"/>
              </w:tabs>
              <w:ind w:left="0" w:firstLine="567"/>
              <w:rPr>
                <w:spacing w:val="-2"/>
                <w:sz w:val="18"/>
                <w:szCs w:val="18"/>
                <w:highlight w:val="lightGray"/>
                <w:lang w:eastAsia="ja-JP"/>
              </w:rPr>
            </w:pPr>
            <w:r w:rsidRPr="00AF1815">
              <w:rPr>
                <w:spacing w:val="-2"/>
                <w:sz w:val="18"/>
                <w:szCs w:val="18"/>
                <w:highlight w:val="lightGray"/>
                <w:lang w:eastAsia="ja-JP"/>
              </w:rPr>
              <w:t>a breeder submitting a type of variety denomination, which resulted in a copy of another  breeders well known practice.  For instance, the practice of a breeder that proposes denominations consisting of names of mountains</w:t>
            </w:r>
            <w:r w:rsidRPr="00AF1815">
              <w:rPr>
                <w:rFonts w:hint="eastAsia"/>
                <w:spacing w:val="-2"/>
                <w:sz w:val="18"/>
                <w:szCs w:val="18"/>
                <w:highlight w:val="lightGray"/>
                <w:lang w:eastAsia="ja-JP"/>
              </w:rPr>
              <w:t>.</w:t>
            </w:r>
          </w:p>
          <w:p w:rsidR="00EA4900" w:rsidRPr="00374C3C" w:rsidRDefault="00EA4900" w:rsidP="00E27D83">
            <w:pPr>
              <w:rPr>
                <w:highlight w:val="yellow"/>
              </w:rPr>
            </w:pPr>
          </w:p>
        </w:tc>
      </w:tr>
    </w:tbl>
    <w:p w:rsidR="00EA4900" w:rsidRDefault="00EA4900" w:rsidP="00EA4900">
      <w:pPr>
        <w:jc w:val="left"/>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613BB7" w:rsidTr="005B58CF">
        <w:trPr>
          <w:cantSplit/>
        </w:trPr>
        <w:tc>
          <w:tcPr>
            <w:tcW w:w="9855" w:type="dxa"/>
            <w:shd w:val="clear" w:color="auto" w:fill="D9D9D9" w:themeFill="background1" w:themeFillShade="D9"/>
          </w:tcPr>
          <w:p w:rsidR="00613BB7" w:rsidRDefault="00613BB7" w:rsidP="005B58CF"/>
          <w:p w:rsidR="00613BB7" w:rsidRPr="00E43B13" w:rsidRDefault="00613BB7" w:rsidP="005B58CF">
            <w:pPr>
              <w:shd w:val="clear" w:color="auto" w:fill="D9D9D9" w:themeFill="background1" w:themeFillShade="D9"/>
              <w:rPr>
                <w:color w:val="000000"/>
                <w:sz w:val="18"/>
                <w:szCs w:val="18"/>
                <w:highlight w:val="yellow"/>
                <w:u w:val="single"/>
                <w:lang w:eastAsia="ja-JP"/>
              </w:rPr>
            </w:pPr>
            <w:r w:rsidRPr="00E43B13">
              <w:rPr>
                <w:color w:val="000000"/>
                <w:sz w:val="18"/>
                <w:szCs w:val="18"/>
                <w:highlight w:val="yellow"/>
                <w:u w:val="single"/>
                <w:lang w:eastAsia="ja-JP"/>
              </w:rPr>
              <w:t>T</w:t>
            </w:r>
            <w:r w:rsidRPr="00E43B13">
              <w:rPr>
                <w:color w:val="000000"/>
                <w:sz w:val="18"/>
                <w:szCs w:val="18"/>
                <w:highlight w:val="yellow"/>
                <w:u w:val="single"/>
              </w:rPr>
              <w:t xml:space="preserve">he </w:t>
            </w:r>
            <w:r w:rsidRPr="00E43B13">
              <w:rPr>
                <w:rFonts w:hint="eastAsia"/>
                <w:color w:val="000000"/>
                <w:sz w:val="18"/>
                <w:szCs w:val="18"/>
                <w:highlight w:val="yellow"/>
                <w:u w:val="single"/>
                <w:lang w:eastAsia="ja-JP"/>
              </w:rPr>
              <w:t>WG-DEN</w:t>
            </w:r>
            <w:r w:rsidRPr="00E43B13">
              <w:rPr>
                <w:color w:val="000000"/>
                <w:sz w:val="18"/>
                <w:szCs w:val="18"/>
                <w:highlight w:val="yellow"/>
                <w:u w:val="single"/>
                <w:lang w:eastAsia="ja-JP"/>
              </w:rPr>
              <w:t>, at its fourth meeting, agreed</w:t>
            </w:r>
            <w:r w:rsidRPr="00E43B13">
              <w:rPr>
                <w:rFonts w:hint="eastAsia"/>
                <w:color w:val="000000"/>
                <w:sz w:val="18"/>
                <w:szCs w:val="18"/>
                <w:highlight w:val="yellow"/>
                <w:u w:val="single"/>
                <w:lang w:eastAsia="ja-JP"/>
              </w:rPr>
              <w:t xml:space="preserve"> </w:t>
            </w:r>
          </w:p>
          <w:p w:rsidR="00613BB7" w:rsidRPr="00E43B13" w:rsidRDefault="00613BB7" w:rsidP="005B58CF">
            <w:pPr>
              <w:shd w:val="clear" w:color="auto" w:fill="D9D9D9" w:themeFill="background1" w:themeFillShade="D9"/>
              <w:rPr>
                <w:color w:val="000000"/>
                <w:sz w:val="18"/>
                <w:szCs w:val="18"/>
                <w:highlight w:val="yellow"/>
                <w:u w:val="single"/>
              </w:rPr>
            </w:pPr>
          </w:p>
          <w:p w:rsidR="00613BB7" w:rsidRDefault="00613BB7" w:rsidP="00613BB7">
            <w:pPr>
              <w:rPr>
                <w:color w:val="000000"/>
                <w:sz w:val="18"/>
                <w:szCs w:val="18"/>
                <w:lang w:eastAsia="ja-JP"/>
              </w:rPr>
            </w:pPr>
            <w:r w:rsidRPr="00613BB7">
              <w:rPr>
                <w:color w:val="000000"/>
                <w:sz w:val="18"/>
                <w:szCs w:val="18"/>
                <w:highlight w:val="yellow"/>
                <w:lang w:eastAsia="ja-JP"/>
              </w:rPr>
              <w:t>that the Office of the Union should prepare options to amend Section 2.3.1 (c) in order to reflect the different practices of authorities regarding the acceptance or rejection of denominations in relation to characteristics of the variety.  The WG-DEN noted that one authority could accept a denomination for a variety which was similar to the denomination of another variety, even though the two varieties were unrelated and had different characteristics, if the varieties were from the same breeder;  another authority in the above scenario would reject the denomination which was similar to that of another variety if the varieties had different characteristics and were not related.</w:t>
            </w:r>
          </w:p>
          <w:p w:rsidR="00613BB7" w:rsidRDefault="00613BB7" w:rsidP="00613BB7">
            <w:r>
              <w:t xml:space="preserve"> </w:t>
            </w:r>
          </w:p>
        </w:tc>
      </w:tr>
    </w:tbl>
    <w:p w:rsidR="00613BB7" w:rsidRDefault="00613BB7" w:rsidP="00EA4900">
      <w:pPr>
        <w:jc w:val="left"/>
        <w:rPr>
          <w:lang w:eastAsia="ja-JP"/>
        </w:rPr>
      </w:pPr>
    </w:p>
    <w:p w:rsidR="00613BB7" w:rsidRDefault="00613BB7" w:rsidP="00EA4900">
      <w:pPr>
        <w:jc w:val="left"/>
        <w:rPr>
          <w:lang w:eastAsia="ja-JP"/>
        </w:rPr>
      </w:pPr>
    </w:p>
    <w:p w:rsidR="00613BB7" w:rsidRDefault="00613BB7" w:rsidP="00EA4900">
      <w:pPr>
        <w:jc w:val="left"/>
        <w:rPr>
          <w:lang w:eastAsia="ja-JP"/>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922DA9" w:rsidRDefault="00EA4900" w:rsidP="00E27D83">
            <w:pPr>
              <w:rPr>
                <w:sz w:val="18"/>
                <w:szCs w:val="18"/>
              </w:rPr>
            </w:pPr>
          </w:p>
          <w:p w:rsidR="00EA4900" w:rsidRPr="00E86FF7" w:rsidRDefault="00EA4900" w:rsidP="00E27D83">
            <w:pPr>
              <w:tabs>
                <w:tab w:val="left" w:pos="567"/>
              </w:tabs>
              <w:rPr>
                <w:sz w:val="18"/>
                <w:szCs w:val="18"/>
                <w:lang w:eastAsia="ja-JP"/>
              </w:rPr>
            </w:pPr>
            <w:r w:rsidRPr="00E86FF7">
              <w:rPr>
                <w:color w:val="000000"/>
                <w:sz w:val="18"/>
                <w:szCs w:val="18"/>
                <w:u w:val="single"/>
                <w:lang w:eastAsia="ja-JP"/>
              </w:rPr>
              <w:t>Proposed to add by the</w:t>
            </w:r>
            <w:r w:rsidRPr="00E86FF7">
              <w:rPr>
                <w:color w:val="000000"/>
                <w:sz w:val="18"/>
                <w:szCs w:val="18"/>
                <w:u w:val="single"/>
              </w:rPr>
              <w:t xml:space="preserve"> </w:t>
            </w:r>
            <w:r w:rsidRPr="00E86FF7">
              <w:rPr>
                <w:rFonts w:hint="eastAsia"/>
                <w:color w:val="000000"/>
                <w:sz w:val="18"/>
                <w:szCs w:val="18"/>
                <w:u w:val="single"/>
                <w:lang w:eastAsia="ja-JP"/>
              </w:rPr>
              <w:t>WG-D</w:t>
            </w:r>
            <w:r w:rsidRPr="00E86FF7">
              <w:rPr>
                <w:color w:val="000000"/>
                <w:sz w:val="18"/>
                <w:szCs w:val="18"/>
                <w:u w:val="single"/>
                <w:lang w:eastAsia="ja-JP"/>
              </w:rPr>
              <w:t>ST,</w:t>
            </w:r>
            <w:r w:rsidRPr="00E86FF7">
              <w:rPr>
                <w:rFonts w:hint="eastAsia"/>
                <w:color w:val="000000"/>
                <w:sz w:val="18"/>
                <w:szCs w:val="18"/>
                <w:u w:val="single"/>
                <w:lang w:eastAsia="ja-JP"/>
              </w:rPr>
              <w:t xml:space="preserve"> at its second meeting</w:t>
            </w:r>
          </w:p>
          <w:p w:rsidR="00EA4900" w:rsidRPr="00E86FF7" w:rsidRDefault="00EA4900" w:rsidP="00E27D83">
            <w:pPr>
              <w:rPr>
                <w:sz w:val="18"/>
                <w:szCs w:val="18"/>
                <w:lang w:eastAsia="ja-JP"/>
              </w:rPr>
            </w:pPr>
          </w:p>
          <w:p w:rsidR="00EA4900" w:rsidRPr="00E86FF7" w:rsidRDefault="00EA4900" w:rsidP="00E27D83">
            <w:pPr>
              <w:ind w:firstLine="540"/>
              <w:rPr>
                <w:sz w:val="18"/>
                <w:szCs w:val="18"/>
                <w:lang w:eastAsia="ja-JP"/>
              </w:rPr>
            </w:pPr>
            <w:r w:rsidRPr="00E86FF7">
              <w:rPr>
                <w:rFonts w:hint="eastAsia"/>
                <w:sz w:val="18"/>
                <w:szCs w:val="18"/>
                <w:lang w:eastAsia="ja-JP"/>
              </w:rPr>
              <w:t>(d)</w:t>
            </w:r>
            <w:r w:rsidRPr="00E86FF7">
              <w:rPr>
                <w:rFonts w:hint="eastAsia"/>
                <w:sz w:val="18"/>
                <w:szCs w:val="18"/>
                <w:lang w:eastAsia="ja-JP"/>
              </w:rPr>
              <w:tab/>
            </w:r>
            <w:r w:rsidRPr="00E86FF7">
              <w:rPr>
                <w:sz w:val="18"/>
                <w:szCs w:val="18"/>
                <w:lang w:eastAsia="ja-JP"/>
              </w:rPr>
              <w:t>contain the botanical or common name of the genus to which that variety belongs.  The identity of the denomination and that of the genus to which it belongs could become unclear and confusing.</w:t>
            </w:r>
          </w:p>
          <w:p w:rsidR="00EA4900" w:rsidRPr="00E86FF7" w:rsidRDefault="00EA4900" w:rsidP="00E27D83">
            <w:pPr>
              <w:rPr>
                <w:sz w:val="18"/>
                <w:szCs w:val="18"/>
                <w:lang w:eastAsia="ja-JP"/>
              </w:rPr>
            </w:pPr>
          </w:p>
          <w:p w:rsidR="00EA4900" w:rsidRPr="006351E2" w:rsidRDefault="00EA4900" w:rsidP="00E27D83">
            <w:pPr>
              <w:ind w:left="540"/>
              <w:rPr>
                <w:sz w:val="18"/>
                <w:szCs w:val="18"/>
                <w:lang w:eastAsia="ja-JP"/>
              </w:rPr>
            </w:pPr>
            <w:r w:rsidRPr="00E86FF7">
              <w:rPr>
                <w:sz w:val="18"/>
                <w:szCs w:val="18"/>
                <w:lang w:eastAsia="ja-JP"/>
              </w:rPr>
              <w:t>Example in section 2.3.1 (d): Carex variety “Sedge”.  Carex is the botanical name of the genus, for which the common name is sedge.</w:t>
            </w:r>
            <w:r w:rsidR="009629DA">
              <w:rPr>
                <w:sz w:val="18"/>
                <w:szCs w:val="18"/>
                <w:lang w:eastAsia="ja-JP"/>
              </w:rPr>
              <w:t xml:space="preserve"> </w:t>
            </w:r>
            <w:r w:rsidR="009629DA">
              <w:rPr>
                <w:rStyle w:val="EndnoteReference"/>
                <w:sz w:val="18"/>
                <w:szCs w:val="18"/>
                <w:lang w:eastAsia="ja-JP"/>
              </w:rPr>
              <w:endnoteReference w:id="11"/>
            </w:r>
          </w:p>
          <w:p w:rsidR="00EA4900" w:rsidRPr="00922DA9" w:rsidRDefault="00EA4900" w:rsidP="00E27D83">
            <w:pPr>
              <w:rPr>
                <w:sz w:val="18"/>
                <w:szCs w:val="18"/>
              </w:rPr>
            </w:pPr>
          </w:p>
        </w:tc>
      </w:tr>
    </w:tbl>
    <w:p w:rsidR="00EA4900" w:rsidRDefault="00EA4900" w:rsidP="00EA4900">
      <w:pPr>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B343D1" w:rsidRDefault="00EA4900" w:rsidP="00E27D83">
            <w:pPr>
              <w:rPr>
                <w:sz w:val="18"/>
                <w:szCs w:val="18"/>
              </w:rPr>
            </w:pPr>
          </w:p>
          <w:p w:rsidR="00EA4900" w:rsidRPr="005F50A8" w:rsidRDefault="00EA4900" w:rsidP="00E27D83">
            <w:pPr>
              <w:rPr>
                <w:sz w:val="18"/>
                <w:szCs w:val="18"/>
              </w:rPr>
            </w:pPr>
            <w:r w:rsidRPr="005E542B">
              <w:rPr>
                <w:sz w:val="18"/>
                <w:szCs w:val="18"/>
                <w:u w:val="single"/>
              </w:rPr>
              <w:t>Agreed by the WG-DEN</w:t>
            </w:r>
            <w:r w:rsidRPr="005E542B">
              <w:rPr>
                <w:rFonts w:hint="eastAsia"/>
                <w:sz w:val="18"/>
                <w:szCs w:val="18"/>
                <w:u w:val="single"/>
                <w:lang w:eastAsia="ja-JP"/>
              </w:rPr>
              <w:t>, at its first meeting</w:t>
            </w:r>
            <w:r w:rsidR="005F50A8">
              <w:rPr>
                <w:sz w:val="18"/>
                <w:szCs w:val="18"/>
                <w:lang w:eastAsia="ja-JP"/>
              </w:rPr>
              <w:t xml:space="preserve"> </w:t>
            </w:r>
            <w:r w:rsidR="005F50A8">
              <w:rPr>
                <w:rStyle w:val="EndnoteReference"/>
                <w:sz w:val="18"/>
                <w:szCs w:val="18"/>
                <w:lang w:eastAsia="ja-JP"/>
              </w:rPr>
              <w:endnoteReference w:id="12"/>
            </w:r>
          </w:p>
          <w:p w:rsidR="00EA4900" w:rsidRPr="005E542B" w:rsidRDefault="00EA4900" w:rsidP="00E27D83">
            <w:pPr>
              <w:rPr>
                <w:sz w:val="18"/>
                <w:szCs w:val="18"/>
                <w:u w:val="single"/>
              </w:rPr>
            </w:pPr>
          </w:p>
          <w:p w:rsidR="00EA4900" w:rsidRPr="005E542B" w:rsidRDefault="00EA4900" w:rsidP="00E27D83">
            <w:pPr>
              <w:rPr>
                <w:sz w:val="18"/>
                <w:szCs w:val="18"/>
              </w:rPr>
            </w:pPr>
            <w:r w:rsidRPr="005E542B">
              <w:rPr>
                <w:sz w:val="18"/>
                <w:szCs w:val="18"/>
              </w:rPr>
              <w:t>To consider the following issues with regard to confusion concerning the use of botanical and common names in relation to denominations at the second meeting of the WG-DEN:</w:t>
            </w:r>
          </w:p>
          <w:p w:rsidR="00EA4900" w:rsidRPr="005E542B" w:rsidRDefault="00EA4900" w:rsidP="00E27D83">
            <w:pPr>
              <w:rPr>
                <w:sz w:val="18"/>
                <w:szCs w:val="18"/>
              </w:rPr>
            </w:pPr>
          </w:p>
          <w:p w:rsidR="00EA4900" w:rsidRPr="005E542B" w:rsidRDefault="00EA4900" w:rsidP="00E27D83">
            <w:pPr>
              <w:pStyle w:val="ListParagraph"/>
              <w:numPr>
                <w:ilvl w:val="0"/>
                <w:numId w:val="3"/>
              </w:numPr>
              <w:tabs>
                <w:tab w:val="left" w:pos="881"/>
              </w:tabs>
              <w:ind w:left="0" w:firstLine="567"/>
              <w:rPr>
                <w:spacing w:val="-2"/>
                <w:sz w:val="18"/>
                <w:szCs w:val="18"/>
              </w:rPr>
            </w:pPr>
            <w:r w:rsidRPr="005E542B">
              <w:rPr>
                <w:spacing w:val="-2"/>
                <w:sz w:val="18"/>
                <w:szCs w:val="18"/>
              </w:rPr>
              <w:t>to consider the guidance of the International Code for the Nomenclature of Cultivated Plants (ICNCP) of the International Commission for the Nomenclature of Cultivated Plants of the International Union for Biological Sciences (IUBS Commission) on the use of botanical and common names with a view to exploring greater harmonization</w:t>
            </w:r>
            <w:r w:rsidRPr="005E542B">
              <w:rPr>
                <w:rFonts w:hint="eastAsia"/>
                <w:spacing w:val="-2"/>
                <w:sz w:val="18"/>
                <w:szCs w:val="18"/>
                <w:lang w:eastAsia="ja-JP"/>
              </w:rPr>
              <w:t xml:space="preserve"> (see below)</w:t>
            </w:r>
            <w:r w:rsidRPr="005E542B">
              <w:rPr>
                <w:spacing w:val="-2"/>
                <w:sz w:val="18"/>
                <w:szCs w:val="18"/>
              </w:rPr>
              <w:t>;</w:t>
            </w:r>
          </w:p>
          <w:p w:rsidR="00EA4900" w:rsidRPr="005E542B" w:rsidRDefault="00EA4900" w:rsidP="00E27D83">
            <w:pPr>
              <w:ind w:firstLine="567"/>
              <w:rPr>
                <w:sz w:val="18"/>
                <w:szCs w:val="18"/>
              </w:rPr>
            </w:pPr>
          </w:p>
          <w:p w:rsidR="00EA4900" w:rsidRPr="005E542B" w:rsidRDefault="00EA4900" w:rsidP="00E27D83">
            <w:pPr>
              <w:pStyle w:val="ListParagraph"/>
              <w:numPr>
                <w:ilvl w:val="0"/>
                <w:numId w:val="3"/>
              </w:numPr>
              <w:tabs>
                <w:tab w:val="left" w:pos="881"/>
              </w:tabs>
              <w:ind w:left="0" w:firstLine="567"/>
              <w:rPr>
                <w:sz w:val="18"/>
                <w:szCs w:val="18"/>
              </w:rPr>
            </w:pPr>
            <w:r w:rsidRPr="005E542B">
              <w:rPr>
                <w:sz w:val="18"/>
                <w:szCs w:val="18"/>
              </w:rPr>
              <w:t>whether to refuse the use of all botanical names and only accept certain common names that had a wider meaning;</w:t>
            </w:r>
          </w:p>
          <w:p w:rsidR="00EA4900" w:rsidRPr="005E542B" w:rsidRDefault="00EA4900" w:rsidP="00E27D83">
            <w:pPr>
              <w:ind w:firstLine="567"/>
              <w:rPr>
                <w:sz w:val="18"/>
                <w:szCs w:val="18"/>
              </w:rPr>
            </w:pPr>
          </w:p>
          <w:p w:rsidR="00EA4900" w:rsidRPr="005E542B" w:rsidRDefault="00EA4900" w:rsidP="00E27D83">
            <w:pPr>
              <w:pStyle w:val="ListParagraph"/>
              <w:numPr>
                <w:ilvl w:val="0"/>
                <w:numId w:val="3"/>
              </w:numPr>
              <w:tabs>
                <w:tab w:val="left" w:pos="881"/>
              </w:tabs>
              <w:ind w:left="0" w:firstLine="567"/>
              <w:rPr>
                <w:sz w:val="18"/>
                <w:szCs w:val="18"/>
              </w:rPr>
            </w:pPr>
            <w:r w:rsidRPr="005E542B">
              <w:rPr>
                <w:sz w:val="18"/>
                <w:szCs w:val="18"/>
              </w:rPr>
              <w:t>whether to broaden the guidance proposed by the WG-DST in new paragraph (d) to cover the use of any genus/species name that was covered by the same variety denomination class or was in the same crop category;</w:t>
            </w:r>
          </w:p>
          <w:p w:rsidR="00EA4900" w:rsidRPr="005E542B" w:rsidRDefault="00EA4900" w:rsidP="00E27D83">
            <w:pPr>
              <w:ind w:firstLine="567"/>
              <w:rPr>
                <w:sz w:val="18"/>
                <w:szCs w:val="18"/>
              </w:rPr>
            </w:pPr>
          </w:p>
          <w:p w:rsidR="00EA4900" w:rsidRPr="005E542B" w:rsidRDefault="00EA4900" w:rsidP="00E27D83">
            <w:pPr>
              <w:pStyle w:val="ListParagraph"/>
              <w:numPr>
                <w:ilvl w:val="0"/>
                <w:numId w:val="3"/>
              </w:numPr>
              <w:tabs>
                <w:tab w:val="left" w:pos="881"/>
              </w:tabs>
              <w:ind w:left="0" w:firstLine="567"/>
              <w:rPr>
                <w:sz w:val="18"/>
                <w:szCs w:val="18"/>
              </w:rPr>
            </w:pPr>
            <w:r w:rsidRPr="005E542B">
              <w:rPr>
                <w:sz w:val="18"/>
                <w:szCs w:val="18"/>
              </w:rPr>
              <w:t>whether to provide guidance on the use of part of the genus/species name or a slightly changed version of the genus/species name in a variety denomination;  and</w:t>
            </w:r>
          </w:p>
          <w:p w:rsidR="00EA4900" w:rsidRPr="005E542B" w:rsidRDefault="00EA4900" w:rsidP="00E27D83">
            <w:pPr>
              <w:ind w:firstLine="567"/>
              <w:rPr>
                <w:sz w:val="18"/>
                <w:szCs w:val="18"/>
              </w:rPr>
            </w:pPr>
          </w:p>
          <w:p w:rsidR="00EA4900" w:rsidRPr="005E542B" w:rsidRDefault="00EA4900" w:rsidP="00E27D83">
            <w:pPr>
              <w:pStyle w:val="ListParagraph"/>
              <w:numPr>
                <w:ilvl w:val="0"/>
                <w:numId w:val="3"/>
              </w:numPr>
              <w:tabs>
                <w:tab w:val="left" w:pos="881"/>
              </w:tabs>
              <w:ind w:left="0" w:firstLine="567"/>
              <w:rPr>
                <w:sz w:val="18"/>
                <w:szCs w:val="18"/>
              </w:rPr>
            </w:pPr>
            <w:r w:rsidRPr="005E542B">
              <w:rPr>
                <w:sz w:val="18"/>
                <w:szCs w:val="18"/>
              </w:rPr>
              <w:t>whether to consider all languages of UPOV members in relation to common names of the genus to which a variety belongs.</w:t>
            </w:r>
          </w:p>
          <w:p w:rsidR="00EA4900" w:rsidRPr="00B343D1" w:rsidRDefault="00EA4900" w:rsidP="00E27D83">
            <w:pPr>
              <w:rPr>
                <w:sz w:val="18"/>
                <w:szCs w:val="18"/>
              </w:rPr>
            </w:pPr>
          </w:p>
        </w:tc>
      </w:tr>
    </w:tbl>
    <w:p w:rsidR="00EA4900" w:rsidRDefault="00EA4900" w:rsidP="00EA4900">
      <w:pPr>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47703B" w:rsidRDefault="00EA4900" w:rsidP="00E27D83">
            <w:pPr>
              <w:rPr>
                <w:sz w:val="18"/>
                <w:szCs w:val="18"/>
              </w:rPr>
            </w:pPr>
          </w:p>
          <w:p w:rsidR="00EA4900" w:rsidRPr="005E542B" w:rsidRDefault="00EA4900" w:rsidP="00E27D83">
            <w:pPr>
              <w:rPr>
                <w:sz w:val="18"/>
                <w:szCs w:val="18"/>
                <w:u w:val="single"/>
                <w:lang w:eastAsia="ja-JP"/>
              </w:rPr>
            </w:pPr>
            <w:r w:rsidRPr="005E542B">
              <w:rPr>
                <w:sz w:val="18"/>
                <w:szCs w:val="18"/>
                <w:u w:val="single"/>
              </w:rPr>
              <w:t>Proposal by France</w:t>
            </w:r>
            <w:r w:rsidRPr="005E542B">
              <w:rPr>
                <w:rFonts w:hint="eastAsia"/>
                <w:sz w:val="18"/>
                <w:szCs w:val="18"/>
                <w:u w:val="single"/>
                <w:lang w:eastAsia="ja-JP"/>
              </w:rPr>
              <w:t xml:space="preserve"> submitted in conjunction with other proposals for </w:t>
            </w:r>
            <w:r w:rsidRPr="005E542B">
              <w:rPr>
                <w:sz w:val="18"/>
                <w:szCs w:val="18"/>
                <w:u w:val="single"/>
                <w:lang w:eastAsia="ja-JP"/>
              </w:rPr>
              <w:t>UPOV Circular E-16/088 of April 13, 2016</w:t>
            </w:r>
          </w:p>
          <w:p w:rsidR="00EA4900" w:rsidRPr="005E542B" w:rsidRDefault="00EA4900" w:rsidP="00E27D83">
            <w:pPr>
              <w:rPr>
                <w:sz w:val="18"/>
                <w:szCs w:val="18"/>
                <w:u w:val="single"/>
              </w:rPr>
            </w:pPr>
          </w:p>
          <w:p w:rsidR="00EA4900" w:rsidRPr="00395671" w:rsidRDefault="00EA4900" w:rsidP="00E27D83">
            <w:pPr>
              <w:rPr>
                <w:spacing w:val="-2"/>
                <w:sz w:val="18"/>
                <w:szCs w:val="18"/>
              </w:rPr>
            </w:pPr>
            <w:r w:rsidRPr="005E542B">
              <w:rPr>
                <w:spacing w:val="-2"/>
                <w:sz w:val="18"/>
                <w:szCs w:val="18"/>
              </w:rPr>
              <w:t>We think it should be avoided if it may mislead concerning the identity of the variety, or if it prevents users from identifying the variety amongst others. Latin or common names of the species/genera which the variety belongs (as such, or with an evocating word) should not be the only word of the denomination. Example of non-acceptable denominations because preventing from identifying the variety: ‘Lolius’ for a Lolium perenne variety, ‘Sunflow’ for a sunflower variety.  On the contrary, a denomination proposal ‘Pineapple’ or ‘Cherry’ for a tomato variety may be suitable, provided that it does not cause any confusion concerning the characteristics of the variety. In our opinion, the notion of “crop sector” used in the EU to authorize botanical name used as denomination as soon as it belongs to another crop sector that the one concerned by the variety works quite well (e.g. a botanical name of an ornamental species for a denomination of an agricultural variety).</w:t>
            </w:r>
          </w:p>
          <w:p w:rsidR="00EA4900" w:rsidRPr="0047703B" w:rsidRDefault="00EA4900" w:rsidP="00E27D83">
            <w:pPr>
              <w:rPr>
                <w:sz w:val="18"/>
                <w:szCs w:val="18"/>
              </w:rPr>
            </w:pPr>
          </w:p>
        </w:tc>
      </w:tr>
    </w:tbl>
    <w:p w:rsidR="00EA4900" w:rsidRDefault="00EA4900" w:rsidP="00EA4900">
      <w:pPr>
        <w:rPr>
          <w:lang w:eastAsia="ja-JP"/>
        </w:rPr>
      </w:pPr>
    </w:p>
    <w:p w:rsidR="00E43B13" w:rsidRDefault="00E43B13" w:rsidP="00EA4900">
      <w:pPr>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5F2452" w:rsidRDefault="00EA4900" w:rsidP="00E27D83">
            <w:pPr>
              <w:rPr>
                <w:sz w:val="18"/>
                <w:szCs w:val="18"/>
              </w:rPr>
            </w:pPr>
          </w:p>
          <w:p w:rsidR="00EA4900" w:rsidRPr="005E542B" w:rsidRDefault="00EA4900" w:rsidP="00E27D83">
            <w:pPr>
              <w:rPr>
                <w:color w:val="000000"/>
                <w:sz w:val="18"/>
                <w:szCs w:val="18"/>
                <w:u w:val="single"/>
              </w:rPr>
            </w:pPr>
            <w:r w:rsidRPr="005E542B">
              <w:rPr>
                <w:rFonts w:hint="eastAsia"/>
                <w:color w:val="000000"/>
                <w:sz w:val="18"/>
                <w:szCs w:val="18"/>
                <w:u w:val="single"/>
                <w:lang w:eastAsia="ja-JP"/>
              </w:rPr>
              <w:t>Extract from ICNCP provided by CPVO</w:t>
            </w:r>
          </w:p>
          <w:p w:rsidR="00EA4900" w:rsidRPr="005E542B" w:rsidRDefault="00EA4900" w:rsidP="00E27D83">
            <w:pPr>
              <w:tabs>
                <w:tab w:val="left" w:pos="380"/>
              </w:tabs>
              <w:rPr>
                <w:color w:val="000000"/>
                <w:sz w:val="18"/>
                <w:szCs w:val="18"/>
                <w:u w:val="single"/>
                <w:lang w:eastAsia="ja-JP"/>
              </w:rPr>
            </w:pPr>
          </w:p>
          <w:p w:rsidR="00EA4900" w:rsidRPr="005E542B" w:rsidRDefault="00EA4900" w:rsidP="00E27D83">
            <w:pPr>
              <w:tabs>
                <w:tab w:val="left" w:pos="380"/>
              </w:tabs>
              <w:rPr>
                <w:color w:val="000000"/>
                <w:sz w:val="18"/>
                <w:szCs w:val="18"/>
                <w:lang w:eastAsia="ja-JP"/>
              </w:rPr>
            </w:pPr>
            <w:r w:rsidRPr="005E542B">
              <w:rPr>
                <w:color w:val="000000"/>
                <w:sz w:val="18"/>
                <w:szCs w:val="18"/>
                <w:lang w:eastAsia="ja-JP"/>
              </w:rPr>
              <w:t>21.20. Except where linguistic custom demands, a name is not established if on or after 1 January 1996 its cultivar epithet contains the Latin or common name(s) of the genus to which it is assigned.</w:t>
            </w:r>
          </w:p>
          <w:p w:rsidR="00EA4900" w:rsidRPr="002371C8" w:rsidRDefault="00EA4900" w:rsidP="00E27D83">
            <w:pPr>
              <w:tabs>
                <w:tab w:val="left" w:pos="380"/>
              </w:tabs>
              <w:rPr>
                <w:color w:val="000000"/>
                <w:sz w:val="16"/>
                <w:szCs w:val="18"/>
                <w:lang w:eastAsia="ja-JP"/>
              </w:rPr>
            </w:pPr>
          </w:p>
          <w:p w:rsidR="00EA4900" w:rsidRPr="005E542B" w:rsidRDefault="00EA4900" w:rsidP="00E27D83">
            <w:pPr>
              <w:tabs>
                <w:tab w:val="left" w:pos="380"/>
              </w:tabs>
              <w:rPr>
                <w:color w:val="000000"/>
                <w:sz w:val="18"/>
                <w:szCs w:val="18"/>
                <w:lang w:eastAsia="ja-JP"/>
              </w:rPr>
            </w:pPr>
            <w:r w:rsidRPr="005E542B">
              <w:rPr>
                <w:color w:val="000000"/>
                <w:sz w:val="18"/>
                <w:szCs w:val="18"/>
                <w:lang w:eastAsia="ja-JP"/>
              </w:rPr>
              <w:t>Ex. 33. Castanea ‘Pale Chestnut’, Gladiolus ‘Pink Gladiolus’, Narcissus ‘Davis Daff’, Narcissus ‘Granny’s Daffodil’, Paeonia ‘Sussex Peony’, Phlox ‘Phlox of Sheep’, and Rhododendron ‘Rhododendron Mad’ may not be established.</w:t>
            </w:r>
          </w:p>
          <w:p w:rsidR="00EA4900" w:rsidRPr="002371C8" w:rsidRDefault="00EA4900" w:rsidP="00E27D83">
            <w:pPr>
              <w:tabs>
                <w:tab w:val="left" w:pos="380"/>
              </w:tabs>
              <w:rPr>
                <w:color w:val="000000"/>
                <w:sz w:val="14"/>
                <w:szCs w:val="18"/>
                <w:lang w:eastAsia="ja-JP"/>
              </w:rPr>
            </w:pPr>
          </w:p>
          <w:p w:rsidR="00EA4900" w:rsidRPr="005E542B" w:rsidRDefault="00EA4900" w:rsidP="00E27D83">
            <w:pPr>
              <w:tabs>
                <w:tab w:val="left" w:pos="380"/>
              </w:tabs>
              <w:rPr>
                <w:color w:val="000000"/>
                <w:sz w:val="18"/>
                <w:szCs w:val="18"/>
                <w:lang w:eastAsia="ja-JP"/>
              </w:rPr>
            </w:pPr>
            <w:r w:rsidRPr="005E542B">
              <w:rPr>
                <w:color w:val="000000"/>
                <w:sz w:val="18"/>
                <w:szCs w:val="18"/>
                <w:lang w:eastAsia="ja-JP"/>
              </w:rPr>
              <w:t>Ex. 34. Dianthus ‘Rupert’s Pink’ is established; “pink” is not the common name for all plants in the genus Dianthus.</w:t>
            </w:r>
          </w:p>
          <w:p w:rsidR="00EA4900" w:rsidRPr="005E542B" w:rsidRDefault="00EA4900" w:rsidP="00E27D83">
            <w:pPr>
              <w:tabs>
                <w:tab w:val="left" w:pos="380"/>
              </w:tabs>
              <w:rPr>
                <w:color w:val="000000"/>
                <w:sz w:val="18"/>
                <w:szCs w:val="18"/>
                <w:lang w:eastAsia="ja-JP"/>
              </w:rPr>
            </w:pPr>
            <w:r w:rsidRPr="005E542B">
              <w:rPr>
                <w:color w:val="000000"/>
                <w:sz w:val="18"/>
                <w:szCs w:val="18"/>
                <w:lang w:eastAsia="ja-JP"/>
              </w:rPr>
              <w:t>Ex. 35. Prunus ‘Sato-zakura’ is established; “zakura” is the Japanese word for flowering cherries, rather than a name for the whole genus.</w:t>
            </w:r>
          </w:p>
          <w:p w:rsidR="00EA4900" w:rsidRPr="002371C8" w:rsidRDefault="00EA4900" w:rsidP="00E27D83">
            <w:pPr>
              <w:tabs>
                <w:tab w:val="left" w:pos="380"/>
              </w:tabs>
              <w:rPr>
                <w:color w:val="000000"/>
                <w:sz w:val="14"/>
                <w:szCs w:val="18"/>
                <w:lang w:eastAsia="ja-JP"/>
              </w:rPr>
            </w:pPr>
          </w:p>
          <w:p w:rsidR="00EA4900" w:rsidRPr="005E542B" w:rsidRDefault="00EA4900" w:rsidP="00E27D83">
            <w:pPr>
              <w:tabs>
                <w:tab w:val="left" w:pos="380"/>
              </w:tabs>
              <w:rPr>
                <w:color w:val="000000"/>
                <w:sz w:val="18"/>
                <w:szCs w:val="18"/>
                <w:lang w:eastAsia="ja-JP"/>
              </w:rPr>
            </w:pPr>
            <w:r w:rsidRPr="005E542B">
              <w:rPr>
                <w:color w:val="000000"/>
                <w:sz w:val="18"/>
                <w:szCs w:val="18"/>
                <w:lang w:eastAsia="ja-JP"/>
              </w:rPr>
              <w:t>Ex. 36. Pyrus bretschneideri ‘Ya Li’ contains the word “li”, which is the Chinese common name for the genus Pyrus. According to Chinese linguistic custom, “li” is inseparable from “ya”, and its inclusion in the cultivar epithet is therefore necessary and acceptable.</w:t>
            </w:r>
          </w:p>
          <w:p w:rsidR="00EA4900" w:rsidRPr="002371C8" w:rsidRDefault="00EA4900" w:rsidP="00E27D83">
            <w:pPr>
              <w:tabs>
                <w:tab w:val="left" w:pos="380"/>
              </w:tabs>
              <w:rPr>
                <w:color w:val="000000"/>
                <w:sz w:val="14"/>
                <w:szCs w:val="18"/>
                <w:lang w:eastAsia="ja-JP"/>
              </w:rPr>
            </w:pPr>
          </w:p>
          <w:p w:rsidR="00EA4900" w:rsidRPr="005E542B" w:rsidRDefault="00EA4900" w:rsidP="00E27D83">
            <w:pPr>
              <w:tabs>
                <w:tab w:val="left" w:pos="380"/>
              </w:tabs>
              <w:rPr>
                <w:color w:val="000000"/>
                <w:sz w:val="18"/>
                <w:szCs w:val="18"/>
                <w:lang w:eastAsia="ja-JP"/>
              </w:rPr>
            </w:pPr>
            <w:r w:rsidRPr="005E542B">
              <w:rPr>
                <w:color w:val="000000"/>
                <w:sz w:val="18"/>
                <w:szCs w:val="18"/>
                <w:lang w:eastAsia="ja-JP"/>
              </w:rPr>
              <w:t>21.22. A name is not established if on or after 1 January 1959 its cultivar epithet is the name of a genus or the common name of a species or other denomination class if use of such epithets might lead to confusion.</w:t>
            </w:r>
          </w:p>
          <w:p w:rsidR="00EA4900" w:rsidRPr="002371C8" w:rsidRDefault="00EA4900" w:rsidP="00E27D83">
            <w:pPr>
              <w:tabs>
                <w:tab w:val="left" w:pos="380"/>
              </w:tabs>
              <w:rPr>
                <w:color w:val="000000"/>
                <w:sz w:val="14"/>
                <w:szCs w:val="18"/>
                <w:lang w:eastAsia="ja-JP"/>
              </w:rPr>
            </w:pPr>
          </w:p>
          <w:p w:rsidR="00EA4900" w:rsidRPr="005E542B" w:rsidRDefault="00EA4900" w:rsidP="00E27D83">
            <w:pPr>
              <w:tabs>
                <w:tab w:val="left" w:pos="380"/>
              </w:tabs>
              <w:rPr>
                <w:color w:val="000000"/>
                <w:sz w:val="18"/>
                <w:szCs w:val="18"/>
                <w:lang w:eastAsia="ja-JP"/>
              </w:rPr>
            </w:pPr>
            <w:r w:rsidRPr="005E542B">
              <w:rPr>
                <w:color w:val="000000"/>
                <w:sz w:val="18"/>
                <w:szCs w:val="18"/>
                <w:lang w:eastAsia="ja-JP"/>
              </w:rPr>
              <w:t>Ex. 39. The names Erica ‘Calluna’ and snowdrop ‘Snowflake’ may not be established since, by referring to them in the market place as ‘Calluna’ heather and ‘Snowflake’ snowdrop respectively, people might be confused. However names such as ash ‘Veronica’, Dianthus ‘Victoria’, Lilium ‘Erica’, Magnolia ‘Daphne’, and Rhododendron ‘Calypso’ would all be acceptable since, although the epithets are names of genera, they are unlikely to cause confusion if written ‘Veronica’ ash, ‘Victoria’ Dianthus, ‘Erica’ Lilium, ‘Daphne’ Magnolia, and ‘Calypso’ Rhododendron respectively.</w:t>
            </w:r>
          </w:p>
          <w:p w:rsidR="00EA4900" w:rsidRPr="002371C8" w:rsidRDefault="00EA4900" w:rsidP="00E27D83">
            <w:pPr>
              <w:tabs>
                <w:tab w:val="left" w:pos="380"/>
              </w:tabs>
              <w:rPr>
                <w:color w:val="000000"/>
                <w:sz w:val="14"/>
                <w:szCs w:val="18"/>
                <w:lang w:eastAsia="ja-JP"/>
              </w:rPr>
            </w:pPr>
          </w:p>
          <w:p w:rsidR="00EA4900" w:rsidRPr="005E542B" w:rsidRDefault="00EA4900" w:rsidP="00E27D83">
            <w:pPr>
              <w:tabs>
                <w:tab w:val="left" w:pos="380"/>
              </w:tabs>
              <w:rPr>
                <w:color w:val="000000"/>
                <w:sz w:val="18"/>
                <w:szCs w:val="18"/>
                <w:lang w:eastAsia="ja-JP"/>
              </w:rPr>
            </w:pPr>
            <w:r w:rsidRPr="005E542B">
              <w:rPr>
                <w:color w:val="000000"/>
                <w:sz w:val="18"/>
                <w:szCs w:val="18"/>
                <w:lang w:eastAsia="ja-JP"/>
              </w:rPr>
              <w:t>Ex. 40. Calluna ‘Heather’, Geranium ‘Herb Robert’, and Silene ‘Jupiterbloem’ could not be established since “heather” is the English common name for the genus Calluna, “herb robert” is an English common name for Geranium robertianum, and “jupiterbloem” is a Dutch common name for Silene flos-jovis.</w:t>
            </w:r>
          </w:p>
          <w:p w:rsidR="00EA4900" w:rsidRPr="002371C8" w:rsidRDefault="00EA4900" w:rsidP="00E27D83">
            <w:pPr>
              <w:tabs>
                <w:tab w:val="left" w:pos="380"/>
              </w:tabs>
              <w:rPr>
                <w:color w:val="000000"/>
                <w:sz w:val="14"/>
                <w:szCs w:val="18"/>
                <w:lang w:eastAsia="ja-JP"/>
              </w:rPr>
            </w:pPr>
          </w:p>
          <w:p w:rsidR="00EA4900" w:rsidRPr="005E542B" w:rsidRDefault="00EA4900" w:rsidP="00E27D83">
            <w:pPr>
              <w:tabs>
                <w:tab w:val="left" w:pos="380"/>
              </w:tabs>
              <w:rPr>
                <w:color w:val="000000"/>
                <w:sz w:val="18"/>
                <w:szCs w:val="18"/>
                <w:lang w:eastAsia="ja-JP"/>
              </w:rPr>
            </w:pPr>
            <w:r w:rsidRPr="005E542B">
              <w:rPr>
                <w:color w:val="000000"/>
                <w:sz w:val="18"/>
                <w:szCs w:val="18"/>
                <w:lang w:eastAsia="ja-JP"/>
              </w:rPr>
              <w:t>Ex. 41. The names of the plum cultivars ‘Apricot’ and ‘Peach’, or Prunus domestica ‘Apricot’ and Prunus domestica ‘Peach’ (Hogg, 1866), published well before 1959, can be considered established names.</w:t>
            </w:r>
          </w:p>
          <w:p w:rsidR="00EA4900" w:rsidRPr="002371C8" w:rsidRDefault="00EA4900" w:rsidP="00E27D83">
            <w:pPr>
              <w:tabs>
                <w:tab w:val="left" w:pos="380"/>
              </w:tabs>
              <w:rPr>
                <w:color w:val="000000"/>
                <w:sz w:val="14"/>
                <w:szCs w:val="18"/>
                <w:lang w:eastAsia="ja-JP"/>
              </w:rPr>
            </w:pPr>
          </w:p>
          <w:p w:rsidR="00EA4900" w:rsidRPr="005E542B" w:rsidRDefault="00EA4900" w:rsidP="00E27D83">
            <w:pPr>
              <w:tabs>
                <w:tab w:val="left" w:pos="380"/>
              </w:tabs>
              <w:rPr>
                <w:color w:val="000000"/>
                <w:sz w:val="18"/>
                <w:szCs w:val="18"/>
                <w:lang w:eastAsia="ja-JP"/>
              </w:rPr>
            </w:pPr>
            <w:r w:rsidRPr="005E542B">
              <w:rPr>
                <w:color w:val="000000"/>
                <w:sz w:val="18"/>
                <w:szCs w:val="18"/>
                <w:lang w:eastAsia="ja-JP"/>
              </w:rPr>
              <w:t xml:space="preserve">Ex. 42. Dahlia ‘Northwest Cosmos’ (named after the American baseball/football team), Dianthus ‘Giulia Viola’, and Rhododendron ‘Nancy Stipa’ are established names. </w:t>
            </w:r>
          </w:p>
          <w:p w:rsidR="00EA4900" w:rsidRPr="002371C8" w:rsidRDefault="00EA4900" w:rsidP="00E27D83">
            <w:pPr>
              <w:tabs>
                <w:tab w:val="left" w:pos="380"/>
              </w:tabs>
              <w:rPr>
                <w:color w:val="000000"/>
                <w:sz w:val="14"/>
                <w:szCs w:val="18"/>
                <w:lang w:eastAsia="ja-JP"/>
              </w:rPr>
            </w:pPr>
          </w:p>
          <w:p w:rsidR="00EA4900" w:rsidRPr="005F2452" w:rsidRDefault="00EA4900" w:rsidP="00E27D83">
            <w:pPr>
              <w:tabs>
                <w:tab w:val="left" w:pos="380"/>
              </w:tabs>
              <w:rPr>
                <w:color w:val="000000"/>
                <w:sz w:val="18"/>
                <w:szCs w:val="18"/>
                <w:u w:val="single"/>
                <w:lang w:eastAsia="ja-JP"/>
              </w:rPr>
            </w:pPr>
            <w:r w:rsidRPr="005E542B">
              <w:rPr>
                <w:color w:val="000000"/>
                <w:sz w:val="18"/>
                <w:szCs w:val="18"/>
                <w:lang w:eastAsia="ja-JP"/>
              </w:rPr>
              <w:t>Ex. 43. Lilium ‘Henri’ is acceptable even though there is a Lilium henryi; Clematis ‘Florida Blue’ is acceptable even though there is a Clematis florida (“Florida” only forms part of the cultivar epithet and is a place name).</w:t>
            </w:r>
          </w:p>
          <w:p w:rsidR="00EA4900" w:rsidRPr="005F2452" w:rsidRDefault="00EA4900" w:rsidP="00E27D83">
            <w:pPr>
              <w:rPr>
                <w:sz w:val="18"/>
                <w:szCs w:val="18"/>
              </w:rPr>
            </w:pPr>
          </w:p>
        </w:tc>
      </w:tr>
    </w:tbl>
    <w:p w:rsidR="00EA4900" w:rsidRDefault="00EA4900" w:rsidP="00EA4900">
      <w:pPr>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613BB7" w:rsidTr="005B58CF">
        <w:trPr>
          <w:cantSplit/>
        </w:trPr>
        <w:tc>
          <w:tcPr>
            <w:tcW w:w="9855" w:type="dxa"/>
            <w:shd w:val="clear" w:color="auto" w:fill="D9D9D9" w:themeFill="background1" w:themeFillShade="D9"/>
          </w:tcPr>
          <w:p w:rsidR="00613BB7" w:rsidRDefault="00613BB7" w:rsidP="005B58CF"/>
          <w:p w:rsidR="00613BB7" w:rsidRPr="00E43B13" w:rsidRDefault="00613BB7" w:rsidP="005B58CF">
            <w:pPr>
              <w:shd w:val="clear" w:color="auto" w:fill="D9D9D9" w:themeFill="background1" w:themeFillShade="D9"/>
              <w:rPr>
                <w:color w:val="000000"/>
                <w:sz w:val="18"/>
                <w:szCs w:val="18"/>
                <w:highlight w:val="yellow"/>
                <w:u w:val="single"/>
                <w:lang w:eastAsia="ja-JP"/>
              </w:rPr>
            </w:pPr>
            <w:r w:rsidRPr="00E43B13">
              <w:rPr>
                <w:color w:val="000000"/>
                <w:sz w:val="18"/>
                <w:szCs w:val="18"/>
                <w:highlight w:val="yellow"/>
                <w:u w:val="single"/>
                <w:lang w:eastAsia="ja-JP"/>
              </w:rPr>
              <w:t>T</w:t>
            </w:r>
            <w:r w:rsidRPr="00E43B13">
              <w:rPr>
                <w:color w:val="000000"/>
                <w:sz w:val="18"/>
                <w:szCs w:val="18"/>
                <w:highlight w:val="yellow"/>
                <w:u w:val="single"/>
              </w:rPr>
              <w:t xml:space="preserve">he </w:t>
            </w:r>
            <w:r w:rsidRPr="00E43B13">
              <w:rPr>
                <w:rFonts w:hint="eastAsia"/>
                <w:color w:val="000000"/>
                <w:sz w:val="18"/>
                <w:szCs w:val="18"/>
                <w:highlight w:val="yellow"/>
                <w:u w:val="single"/>
                <w:lang w:eastAsia="ja-JP"/>
              </w:rPr>
              <w:t>WG-DEN</w:t>
            </w:r>
            <w:r w:rsidRPr="00E43B13">
              <w:rPr>
                <w:color w:val="000000"/>
                <w:sz w:val="18"/>
                <w:szCs w:val="18"/>
                <w:highlight w:val="yellow"/>
                <w:u w:val="single"/>
                <w:lang w:eastAsia="ja-JP"/>
              </w:rPr>
              <w:t>, at its fourth meeting, agreed</w:t>
            </w:r>
            <w:r w:rsidRPr="00E43B13">
              <w:rPr>
                <w:rFonts w:hint="eastAsia"/>
                <w:color w:val="000000"/>
                <w:sz w:val="18"/>
                <w:szCs w:val="18"/>
                <w:highlight w:val="yellow"/>
                <w:u w:val="single"/>
                <w:lang w:eastAsia="ja-JP"/>
              </w:rPr>
              <w:t xml:space="preserve"> </w:t>
            </w:r>
          </w:p>
          <w:p w:rsidR="00613BB7" w:rsidRPr="00613BB7" w:rsidRDefault="00613BB7" w:rsidP="005B58CF">
            <w:pPr>
              <w:shd w:val="clear" w:color="auto" w:fill="D9D9D9" w:themeFill="background1" w:themeFillShade="D9"/>
              <w:rPr>
                <w:color w:val="000000"/>
                <w:sz w:val="18"/>
                <w:szCs w:val="18"/>
                <w:highlight w:val="yellow"/>
                <w:u w:val="single"/>
              </w:rPr>
            </w:pPr>
          </w:p>
          <w:p w:rsidR="00613BB7" w:rsidRPr="00613BB7" w:rsidRDefault="00613BB7" w:rsidP="00613BB7">
            <w:pPr>
              <w:rPr>
                <w:color w:val="000000"/>
                <w:sz w:val="18"/>
                <w:szCs w:val="18"/>
                <w:highlight w:val="yellow"/>
                <w:lang w:eastAsia="ja-JP"/>
              </w:rPr>
            </w:pPr>
            <w:r w:rsidRPr="00613BB7">
              <w:rPr>
                <w:color w:val="000000"/>
                <w:sz w:val="18"/>
                <w:szCs w:val="18"/>
                <w:highlight w:val="yellow"/>
                <w:lang w:eastAsia="ja-JP"/>
              </w:rPr>
              <w:t xml:space="preserve">To include the examples of paragraph 21.20 of the Ninth Edition of the International Code of Nomenclature for Cultivated Plants (ICNCP), as follows: </w:t>
            </w:r>
          </w:p>
          <w:p w:rsidR="00613BB7" w:rsidRPr="00613BB7" w:rsidRDefault="00613BB7" w:rsidP="00613BB7">
            <w:pPr>
              <w:rPr>
                <w:color w:val="000000"/>
                <w:sz w:val="18"/>
                <w:szCs w:val="18"/>
                <w:highlight w:val="yellow"/>
                <w:lang w:eastAsia="ja-JP"/>
              </w:rPr>
            </w:pPr>
          </w:p>
          <w:p w:rsidR="00613BB7" w:rsidRPr="00613BB7" w:rsidRDefault="00613BB7" w:rsidP="00613BB7">
            <w:pPr>
              <w:rPr>
                <w:color w:val="000000"/>
                <w:sz w:val="16"/>
                <w:szCs w:val="16"/>
                <w:highlight w:val="yellow"/>
                <w:lang w:eastAsia="ja-JP"/>
              </w:rPr>
            </w:pPr>
            <w:r w:rsidRPr="00613BB7">
              <w:rPr>
                <w:color w:val="000000"/>
                <w:sz w:val="16"/>
                <w:szCs w:val="16"/>
                <w:highlight w:val="yellow"/>
                <w:lang w:eastAsia="ja-JP"/>
              </w:rPr>
              <w:t>“21.20.  Except where linguistic custom demands, a name is not established if on or after 1 January 1996 its cultivar epithet contains the Latin or common name(s) of the genus to which it is assigned.</w:t>
            </w:r>
          </w:p>
          <w:p w:rsidR="00613BB7" w:rsidRPr="00613BB7" w:rsidRDefault="00613BB7" w:rsidP="00613BB7">
            <w:pPr>
              <w:rPr>
                <w:color w:val="000000"/>
                <w:sz w:val="16"/>
                <w:szCs w:val="16"/>
                <w:highlight w:val="yellow"/>
                <w:lang w:eastAsia="ja-JP"/>
              </w:rPr>
            </w:pPr>
          </w:p>
          <w:p w:rsidR="00613BB7" w:rsidRPr="00613BB7" w:rsidRDefault="00613BB7" w:rsidP="00613BB7">
            <w:pPr>
              <w:rPr>
                <w:color w:val="000000"/>
                <w:sz w:val="16"/>
                <w:szCs w:val="16"/>
                <w:highlight w:val="yellow"/>
                <w:lang w:eastAsia="ja-JP"/>
              </w:rPr>
            </w:pPr>
            <w:r w:rsidRPr="00613BB7">
              <w:rPr>
                <w:color w:val="000000"/>
                <w:sz w:val="16"/>
                <w:szCs w:val="16"/>
                <w:highlight w:val="yellow"/>
                <w:lang w:eastAsia="ja-JP"/>
              </w:rPr>
              <w:t>Ex. 33. Castanea ‘Pale Chestnut’, Gladiolus ‘Pink Gladiolus’, Narcissus ‘Davis Daff’, Narcissus ‘Granny’s Daffodil’, Paeonia ‘Sussex Peony’, Phlox ‘Phlox of Sheep’, and Rhododendron ‘Rhododendron Mad’ may not be established.</w:t>
            </w:r>
          </w:p>
          <w:p w:rsidR="00613BB7" w:rsidRPr="00613BB7" w:rsidRDefault="00613BB7" w:rsidP="00613BB7">
            <w:pPr>
              <w:rPr>
                <w:color w:val="000000"/>
                <w:sz w:val="16"/>
                <w:szCs w:val="16"/>
                <w:highlight w:val="yellow"/>
                <w:lang w:eastAsia="ja-JP"/>
              </w:rPr>
            </w:pPr>
          </w:p>
          <w:p w:rsidR="00613BB7" w:rsidRPr="00613BB7" w:rsidRDefault="00613BB7" w:rsidP="00613BB7">
            <w:pPr>
              <w:rPr>
                <w:color w:val="000000"/>
                <w:sz w:val="16"/>
                <w:szCs w:val="16"/>
                <w:highlight w:val="yellow"/>
                <w:lang w:eastAsia="ja-JP"/>
              </w:rPr>
            </w:pPr>
            <w:r w:rsidRPr="00613BB7">
              <w:rPr>
                <w:color w:val="000000"/>
                <w:sz w:val="16"/>
                <w:szCs w:val="16"/>
                <w:highlight w:val="yellow"/>
                <w:lang w:eastAsia="ja-JP"/>
              </w:rPr>
              <w:t>Ex. 34. Dianthus ‘Rupert’s Pink’ is established; “pink” is not the common name for all plants in the genus Dianthus.</w:t>
            </w:r>
          </w:p>
          <w:p w:rsidR="00613BB7" w:rsidRPr="00613BB7" w:rsidRDefault="00613BB7" w:rsidP="00613BB7">
            <w:pPr>
              <w:rPr>
                <w:color w:val="000000"/>
                <w:sz w:val="16"/>
                <w:szCs w:val="16"/>
                <w:highlight w:val="yellow"/>
                <w:lang w:eastAsia="ja-JP"/>
              </w:rPr>
            </w:pPr>
          </w:p>
          <w:p w:rsidR="00613BB7" w:rsidRPr="00613BB7" w:rsidRDefault="00613BB7" w:rsidP="00613BB7">
            <w:pPr>
              <w:rPr>
                <w:color w:val="000000"/>
                <w:sz w:val="16"/>
                <w:szCs w:val="16"/>
                <w:highlight w:val="yellow"/>
                <w:lang w:eastAsia="ja-JP"/>
              </w:rPr>
            </w:pPr>
            <w:r w:rsidRPr="00613BB7">
              <w:rPr>
                <w:color w:val="000000"/>
                <w:sz w:val="16"/>
                <w:szCs w:val="16"/>
                <w:highlight w:val="yellow"/>
                <w:lang w:eastAsia="ja-JP"/>
              </w:rPr>
              <w:t>Ex. 35. Prunus ‘Sato-zakura’ is established; “zakura” is the Japanese word for flowering cherries, rather than a name for the whole genus.</w:t>
            </w:r>
          </w:p>
          <w:p w:rsidR="00613BB7" w:rsidRPr="00613BB7" w:rsidRDefault="00613BB7" w:rsidP="00613BB7">
            <w:pPr>
              <w:rPr>
                <w:color w:val="000000"/>
                <w:sz w:val="16"/>
                <w:szCs w:val="16"/>
                <w:highlight w:val="yellow"/>
                <w:lang w:eastAsia="ja-JP"/>
              </w:rPr>
            </w:pPr>
          </w:p>
          <w:p w:rsidR="00613BB7" w:rsidRPr="00613BB7" w:rsidRDefault="00613BB7" w:rsidP="00613BB7">
            <w:pPr>
              <w:rPr>
                <w:color w:val="000000"/>
                <w:sz w:val="16"/>
                <w:szCs w:val="16"/>
                <w:lang w:eastAsia="ja-JP"/>
              </w:rPr>
            </w:pPr>
            <w:r w:rsidRPr="00613BB7">
              <w:rPr>
                <w:color w:val="000000"/>
                <w:sz w:val="16"/>
                <w:szCs w:val="16"/>
                <w:highlight w:val="yellow"/>
                <w:lang w:eastAsia="ja-JP"/>
              </w:rPr>
              <w:t>Ex. 36. Pyrus bretschneideri ‘Ya Li’ contains the word “li”, which is the Chinese common name for the genus Pyrus. According to Chinese linguistic custom, “li” is inseparable from “ya”, and its inclusion in the cultivar epithet is therefore necessary and acceptable. ”</w:t>
            </w:r>
          </w:p>
          <w:p w:rsidR="00613BB7" w:rsidRDefault="00613BB7" w:rsidP="005B58CF">
            <w:r>
              <w:t xml:space="preserve"> </w:t>
            </w:r>
          </w:p>
        </w:tc>
      </w:tr>
    </w:tbl>
    <w:p w:rsidR="00613BB7" w:rsidRDefault="00613BB7" w:rsidP="00EA4900">
      <w:pPr>
        <w:rPr>
          <w:lang w:eastAsia="ja-JP"/>
        </w:rPr>
      </w:pPr>
    </w:p>
    <w:p w:rsidR="00613BB7" w:rsidRDefault="00613BB7" w:rsidP="00EA4900">
      <w:pPr>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3101A8" w:rsidRDefault="00EA4900" w:rsidP="00E27D83">
            <w:pPr>
              <w:rPr>
                <w:sz w:val="18"/>
                <w:szCs w:val="18"/>
              </w:rPr>
            </w:pPr>
          </w:p>
          <w:p w:rsidR="00EA4900" w:rsidRPr="00906C00" w:rsidRDefault="00EA4900" w:rsidP="00E27D83">
            <w:pPr>
              <w:tabs>
                <w:tab w:val="left" w:pos="567"/>
              </w:tabs>
              <w:rPr>
                <w:sz w:val="18"/>
                <w:szCs w:val="18"/>
                <w:highlight w:val="lightGray"/>
                <w:lang w:eastAsia="ja-JP"/>
              </w:rPr>
            </w:pPr>
            <w:r w:rsidRPr="00906C00">
              <w:rPr>
                <w:rFonts w:hint="eastAsia"/>
                <w:color w:val="000000"/>
                <w:sz w:val="18"/>
                <w:szCs w:val="18"/>
                <w:highlight w:val="lightGray"/>
                <w:u w:val="single"/>
                <w:lang w:eastAsia="ja-JP"/>
              </w:rPr>
              <w:t xml:space="preserve">Agreed </w:t>
            </w:r>
            <w:r w:rsidRPr="00906C00">
              <w:rPr>
                <w:sz w:val="18"/>
                <w:szCs w:val="18"/>
                <w:highlight w:val="lightGray"/>
                <w:u w:val="single"/>
              </w:rPr>
              <w:t>by the WG-DEN</w:t>
            </w:r>
            <w:r w:rsidRPr="00906C00">
              <w:rPr>
                <w:rFonts w:hint="eastAsia"/>
                <w:sz w:val="18"/>
                <w:szCs w:val="18"/>
                <w:highlight w:val="lightGray"/>
                <w:u w:val="single"/>
                <w:lang w:eastAsia="ja-JP"/>
              </w:rPr>
              <w:t>, at its second meeting</w:t>
            </w:r>
          </w:p>
          <w:p w:rsidR="00EA4900" w:rsidRPr="005E542B" w:rsidRDefault="00EA4900" w:rsidP="00E27D83">
            <w:pPr>
              <w:rPr>
                <w:spacing w:val="-2"/>
                <w:sz w:val="18"/>
                <w:szCs w:val="18"/>
                <w:highlight w:val="yellow"/>
              </w:rPr>
            </w:pPr>
          </w:p>
          <w:p w:rsidR="00EA4900" w:rsidRDefault="00EA4900" w:rsidP="00E27D83">
            <w:pPr>
              <w:rPr>
                <w:spacing w:val="-2"/>
                <w:sz w:val="18"/>
                <w:szCs w:val="18"/>
                <w:lang w:eastAsia="ja-JP"/>
              </w:rPr>
            </w:pPr>
            <w:r w:rsidRPr="00906C00">
              <w:rPr>
                <w:rFonts w:hint="eastAsia"/>
                <w:spacing w:val="-2"/>
                <w:sz w:val="18"/>
                <w:szCs w:val="18"/>
                <w:highlight w:val="lightGray"/>
                <w:lang w:eastAsia="ja-JP"/>
              </w:rPr>
              <w:t>T</w:t>
            </w:r>
            <w:r w:rsidRPr="00906C00">
              <w:rPr>
                <w:spacing w:val="-2"/>
                <w:sz w:val="18"/>
                <w:szCs w:val="18"/>
                <w:highlight w:val="lightGray"/>
                <w:lang w:eastAsia="ja-JP"/>
              </w:rPr>
              <w:t>he use of any botanical name as a variety denomination was unsuitable except for certain common names that had a wider meaning and for which there was no likelihood of confusion</w:t>
            </w:r>
            <w:r w:rsidRPr="00906C00">
              <w:rPr>
                <w:rFonts w:hint="eastAsia"/>
                <w:spacing w:val="-2"/>
                <w:sz w:val="18"/>
                <w:szCs w:val="18"/>
                <w:highlight w:val="lightGray"/>
                <w:lang w:eastAsia="ja-JP"/>
              </w:rPr>
              <w:t>.</w:t>
            </w:r>
            <w:r w:rsidRPr="005E542B">
              <w:rPr>
                <w:spacing w:val="-2"/>
                <w:sz w:val="18"/>
                <w:szCs w:val="18"/>
                <w:lang w:eastAsia="ja-JP"/>
              </w:rPr>
              <w:t xml:space="preserve"> </w:t>
            </w:r>
          </w:p>
          <w:p w:rsidR="00EA4900" w:rsidRDefault="00EA4900" w:rsidP="00E27D83"/>
        </w:tc>
      </w:tr>
    </w:tbl>
    <w:p w:rsidR="00EA4900" w:rsidRDefault="00EA4900" w:rsidP="00EA4900">
      <w:pPr>
        <w:rPr>
          <w:lang w:eastAsia="ja-JP"/>
        </w:rPr>
      </w:pPr>
    </w:p>
    <w:p w:rsidR="00EA4900" w:rsidRDefault="00EA4900" w:rsidP="00EA4900">
      <w:pPr>
        <w:jc w:val="left"/>
      </w:pPr>
    </w:p>
    <w:p w:rsidR="00EA4900" w:rsidRPr="00407B23" w:rsidRDefault="00EA4900" w:rsidP="00613BB7">
      <w:pPr>
        <w:keepNext/>
      </w:pPr>
      <w:r w:rsidRPr="00407B23">
        <w:lastRenderedPageBreak/>
        <w:t>2.3.2</w:t>
      </w:r>
      <w:r w:rsidRPr="00407B23">
        <w:tab/>
        <w:t>Value of the variety</w:t>
      </w:r>
    </w:p>
    <w:p w:rsidR="00EA4900" w:rsidRPr="00407B23" w:rsidRDefault="00EA4900" w:rsidP="00613BB7">
      <w:pPr>
        <w:keepNext/>
      </w:pPr>
    </w:p>
    <w:p w:rsidR="00613BB7" w:rsidRPr="00613BB7" w:rsidRDefault="00613BB7" w:rsidP="00613BB7">
      <w:pPr>
        <w:keepNext/>
        <w:rPr>
          <w:rFonts w:eastAsia="MS Mincho"/>
        </w:rPr>
      </w:pPr>
      <w:r w:rsidRPr="00613BB7">
        <w:rPr>
          <w:rFonts w:eastAsia="MS Mincho"/>
        </w:rPr>
        <w:t xml:space="preserve">The denomination should not consist of, or contain, comparative or superlative designations </w:t>
      </w:r>
      <w:r w:rsidRPr="00613BB7">
        <w:rPr>
          <w:rFonts w:eastAsia="MS Mincho"/>
          <w:highlight w:val="yellow"/>
          <w:u w:val="single"/>
        </w:rPr>
        <w:t>that are liable to mislead or to cause confusion concerning the characteristics or value of the variety</w:t>
      </w:r>
      <w:r w:rsidRPr="00613BB7">
        <w:rPr>
          <w:rFonts w:eastAsia="MS Mincho"/>
        </w:rPr>
        <w:t xml:space="preserve">. </w:t>
      </w:r>
    </w:p>
    <w:p w:rsidR="00613BB7" w:rsidRPr="00613BB7" w:rsidRDefault="00613BB7" w:rsidP="00613BB7">
      <w:pPr>
        <w:keepNext/>
        <w:ind w:firstLine="567"/>
        <w:rPr>
          <w:rFonts w:eastAsia="MS Mincho"/>
        </w:rPr>
      </w:pPr>
    </w:p>
    <w:p w:rsidR="00613BB7" w:rsidRPr="00613BB7" w:rsidRDefault="00613BB7" w:rsidP="00613BB7">
      <w:pPr>
        <w:ind w:left="567"/>
        <w:rPr>
          <w:rFonts w:eastAsia="MS Mincho"/>
        </w:rPr>
      </w:pPr>
      <w:r w:rsidRPr="00613BB7">
        <w:rPr>
          <w:rFonts w:eastAsia="MS Mincho"/>
          <w:i/>
        </w:rPr>
        <w:t>Example</w:t>
      </w:r>
      <w:r w:rsidRPr="00613BB7">
        <w:rPr>
          <w:rFonts w:eastAsia="MS Mincho"/>
          <w:i/>
          <w:u w:val="single"/>
        </w:rPr>
        <w:t xml:space="preserve"> </w:t>
      </w:r>
      <w:r w:rsidRPr="00613BB7">
        <w:rPr>
          <w:rFonts w:eastAsia="MS Mincho"/>
          <w:i/>
          <w:highlight w:val="yellow"/>
          <w:u w:val="single"/>
        </w:rPr>
        <w:t>of unsuitable denominations</w:t>
      </w:r>
      <w:r w:rsidRPr="00613BB7">
        <w:rPr>
          <w:rFonts w:eastAsia="MS Mincho"/>
          <w:i/>
        </w:rPr>
        <w:t>:</w:t>
      </w:r>
      <w:r w:rsidRPr="00613BB7">
        <w:rPr>
          <w:rFonts w:eastAsia="MS Mincho"/>
        </w:rPr>
        <w:t xml:space="preserve">  </w:t>
      </w:r>
      <w:r w:rsidRPr="00613BB7">
        <w:rPr>
          <w:rFonts w:eastAsia="MS Mincho"/>
          <w:strike/>
          <w:highlight w:val="yellow"/>
        </w:rPr>
        <w:t>a denomination which includes terms such as</w:t>
      </w:r>
      <w:r w:rsidRPr="00613BB7">
        <w:rPr>
          <w:rFonts w:eastAsia="MS Mincho"/>
          <w:strike/>
        </w:rPr>
        <w:t xml:space="preserve"> </w:t>
      </w:r>
      <w:r w:rsidRPr="00613BB7">
        <w:rPr>
          <w:rFonts w:eastAsia="MS Mincho"/>
        </w:rPr>
        <w:t>“Best</w:t>
      </w:r>
      <w:r w:rsidRPr="00613BB7">
        <w:rPr>
          <w:rFonts w:eastAsia="MS Mincho"/>
          <w:u w:val="single"/>
        </w:rPr>
        <w:t xml:space="preserve"> </w:t>
      </w:r>
      <w:r w:rsidRPr="00613BB7">
        <w:rPr>
          <w:rFonts w:eastAsia="MS Mincho"/>
          <w:highlight w:val="yellow"/>
          <w:u w:val="single"/>
        </w:rPr>
        <w:t>performer</w:t>
      </w:r>
      <w:r w:rsidRPr="00613BB7">
        <w:rPr>
          <w:rFonts w:eastAsia="MS Mincho"/>
        </w:rPr>
        <w:t>”, “Superior</w:t>
      </w:r>
      <w:r w:rsidRPr="00613BB7">
        <w:rPr>
          <w:rFonts w:eastAsia="MS Mincho"/>
          <w:u w:val="single"/>
        </w:rPr>
        <w:t xml:space="preserve"> </w:t>
      </w:r>
      <w:r w:rsidRPr="00613BB7">
        <w:rPr>
          <w:rFonts w:eastAsia="MS Mincho"/>
          <w:highlight w:val="yellow"/>
          <w:u w:val="single"/>
        </w:rPr>
        <w:t>taste</w:t>
      </w:r>
      <w:r w:rsidRPr="00613BB7">
        <w:rPr>
          <w:rFonts w:eastAsia="MS Mincho"/>
        </w:rPr>
        <w:t>”, “Sweeter</w:t>
      </w:r>
      <w:r w:rsidRPr="00613BB7">
        <w:rPr>
          <w:rFonts w:eastAsia="MS Mincho"/>
          <w:u w:val="single"/>
        </w:rPr>
        <w:t xml:space="preserve"> </w:t>
      </w:r>
      <w:r w:rsidRPr="00613BB7">
        <w:rPr>
          <w:rFonts w:eastAsia="MS Mincho"/>
          <w:highlight w:val="yellow"/>
          <w:u w:val="single"/>
        </w:rPr>
        <w:t>than the rest</w:t>
      </w:r>
      <w:r w:rsidRPr="00613BB7">
        <w:rPr>
          <w:rFonts w:eastAsia="MS Mincho"/>
        </w:rPr>
        <w:t xml:space="preserve">”. </w:t>
      </w:r>
    </w:p>
    <w:p w:rsidR="00613BB7" w:rsidRPr="00613BB7" w:rsidRDefault="00613BB7" w:rsidP="00613BB7">
      <w:pPr>
        <w:rPr>
          <w:rFonts w:eastAsia="MS Mincho"/>
        </w:rPr>
      </w:pPr>
    </w:p>
    <w:p w:rsidR="00613BB7" w:rsidRPr="00613BB7" w:rsidRDefault="00613BB7" w:rsidP="00613BB7">
      <w:pPr>
        <w:ind w:left="567"/>
        <w:rPr>
          <w:rFonts w:eastAsia="MS Mincho"/>
          <w:u w:val="single"/>
        </w:rPr>
      </w:pPr>
      <w:r w:rsidRPr="00613BB7">
        <w:rPr>
          <w:rFonts w:eastAsia="MS Mincho"/>
          <w:i/>
          <w:highlight w:val="yellow"/>
          <w:u w:val="single"/>
        </w:rPr>
        <w:t>Examples of suitable denominations:</w:t>
      </w:r>
      <w:r w:rsidRPr="00613BB7">
        <w:rPr>
          <w:rFonts w:eastAsia="MS Mincho"/>
          <w:highlight w:val="yellow"/>
          <w:u w:val="single"/>
        </w:rPr>
        <w:t xml:space="preserve">  “Lake Superior”, “Best wishes”.</w:t>
      </w:r>
      <w:r w:rsidR="005F50A8">
        <w:rPr>
          <w:rFonts w:eastAsia="MS Mincho"/>
          <w:color w:val="000000"/>
        </w:rPr>
        <w:t xml:space="preserve"> </w:t>
      </w:r>
      <w:r w:rsidR="005F50A8">
        <w:rPr>
          <w:rStyle w:val="EndnoteReference"/>
          <w:rFonts w:eastAsia="MS Mincho"/>
          <w:color w:val="000000"/>
        </w:rPr>
        <w:endnoteReference w:id="13"/>
      </w:r>
    </w:p>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5F2452" w:rsidRDefault="00EA4900" w:rsidP="00E27D83">
            <w:pPr>
              <w:rPr>
                <w:sz w:val="18"/>
                <w:szCs w:val="18"/>
              </w:rPr>
            </w:pPr>
          </w:p>
          <w:p w:rsidR="00EA4900" w:rsidRPr="005F2452" w:rsidRDefault="00EA4900" w:rsidP="00E27D83">
            <w:pPr>
              <w:rPr>
                <w:color w:val="000000"/>
                <w:sz w:val="18"/>
                <w:szCs w:val="18"/>
                <w:u w:val="single"/>
              </w:rPr>
            </w:pPr>
            <w:r w:rsidRPr="005F2452">
              <w:rPr>
                <w:color w:val="000000"/>
                <w:sz w:val="18"/>
                <w:szCs w:val="18"/>
                <w:u w:val="single"/>
              </w:rPr>
              <w:t xml:space="preserve">Proposal by </w:t>
            </w:r>
            <w:r>
              <w:rPr>
                <w:color w:val="000000"/>
                <w:sz w:val="18"/>
                <w:szCs w:val="18"/>
                <w:u w:val="single"/>
              </w:rPr>
              <w:t xml:space="preserve">the </w:t>
            </w:r>
            <w:r w:rsidRPr="005F2452">
              <w:rPr>
                <w:color w:val="000000"/>
                <w:sz w:val="18"/>
                <w:szCs w:val="18"/>
                <w:u w:val="single"/>
              </w:rPr>
              <w:t>European Union (CPVO)</w:t>
            </w:r>
            <w:r w:rsidRPr="00D122CA">
              <w:rPr>
                <w:color w:val="000000"/>
                <w:sz w:val="18"/>
                <w:szCs w:val="18"/>
              </w:rPr>
              <w:t xml:space="preserve"> </w:t>
            </w:r>
            <w:r w:rsidR="00D122CA">
              <w:rPr>
                <w:color w:val="000000"/>
                <w:sz w:val="18"/>
                <w:szCs w:val="18"/>
                <w:u w:val="single"/>
              </w:rPr>
              <w:fldChar w:fldCharType="begin"/>
            </w:r>
            <w:r w:rsidR="00D122CA">
              <w:rPr>
                <w:color w:val="000000"/>
                <w:sz w:val="18"/>
                <w:szCs w:val="18"/>
                <w:u w:val="single"/>
              </w:rPr>
              <w:instrText xml:space="preserve"> NOTEREF _Ref526437916 \f \h </w:instrText>
            </w:r>
            <w:r w:rsidR="00D122CA">
              <w:rPr>
                <w:color w:val="000000"/>
                <w:sz w:val="18"/>
                <w:szCs w:val="18"/>
                <w:u w:val="single"/>
              </w:rPr>
            </w:r>
            <w:r w:rsidR="00D122CA">
              <w:rPr>
                <w:color w:val="000000"/>
                <w:sz w:val="18"/>
                <w:szCs w:val="18"/>
                <w:u w:val="single"/>
              </w:rPr>
              <w:fldChar w:fldCharType="separate"/>
            </w:r>
            <w:r w:rsidR="008D27BA" w:rsidRPr="008D27BA">
              <w:rPr>
                <w:rStyle w:val="EndnoteReference"/>
              </w:rPr>
              <w:t>d</w:t>
            </w:r>
            <w:r w:rsidR="00D122CA">
              <w:rPr>
                <w:color w:val="000000"/>
                <w:sz w:val="18"/>
                <w:szCs w:val="18"/>
                <w:u w:val="single"/>
              </w:rPr>
              <w:fldChar w:fldCharType="end"/>
            </w:r>
          </w:p>
          <w:p w:rsidR="00EA4900" w:rsidRPr="005F2452" w:rsidRDefault="00EA4900" w:rsidP="00E27D83">
            <w:pPr>
              <w:tabs>
                <w:tab w:val="left" w:pos="380"/>
              </w:tabs>
              <w:rPr>
                <w:color w:val="000000"/>
                <w:sz w:val="18"/>
                <w:szCs w:val="18"/>
                <w:u w:val="single"/>
              </w:rPr>
            </w:pPr>
          </w:p>
          <w:p w:rsidR="00EA4900" w:rsidRPr="005F2452" w:rsidRDefault="00EA4900" w:rsidP="00E27D83">
            <w:pPr>
              <w:rPr>
                <w:sz w:val="18"/>
                <w:szCs w:val="18"/>
              </w:rPr>
            </w:pPr>
            <w:r w:rsidRPr="005F2452">
              <w:rPr>
                <w:sz w:val="18"/>
                <w:szCs w:val="18"/>
              </w:rPr>
              <w:t>More detaile</w:t>
            </w:r>
            <w:r>
              <w:rPr>
                <w:sz w:val="18"/>
                <w:szCs w:val="18"/>
              </w:rPr>
              <w:t>d guidance and examples in the S</w:t>
            </w:r>
            <w:r w:rsidRPr="005F2452">
              <w:rPr>
                <w:sz w:val="18"/>
                <w:szCs w:val="18"/>
              </w:rPr>
              <w:t>ection 2.3.2 dealing with the value of the variety.</w:t>
            </w:r>
          </w:p>
          <w:p w:rsidR="00EA4900" w:rsidRPr="005F2452" w:rsidRDefault="00EA4900" w:rsidP="00E27D83">
            <w:pPr>
              <w:rPr>
                <w:sz w:val="18"/>
                <w:szCs w:val="18"/>
              </w:rPr>
            </w:pPr>
          </w:p>
        </w:tc>
      </w:tr>
    </w:tbl>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47703B" w:rsidRDefault="00EA4900" w:rsidP="00E27D83">
            <w:pPr>
              <w:rPr>
                <w:sz w:val="18"/>
                <w:szCs w:val="18"/>
              </w:rPr>
            </w:pPr>
          </w:p>
          <w:p w:rsidR="00EA4900" w:rsidRPr="0047703B" w:rsidRDefault="00EA4900" w:rsidP="00E27D83">
            <w:pPr>
              <w:rPr>
                <w:sz w:val="18"/>
                <w:szCs w:val="18"/>
              </w:rPr>
            </w:pPr>
            <w:r w:rsidRPr="0047703B">
              <w:rPr>
                <w:sz w:val="18"/>
                <w:szCs w:val="18"/>
                <w:u w:val="single"/>
              </w:rPr>
              <w:t>Proposal by New Zealand</w:t>
            </w:r>
            <w:r w:rsidR="00B37D73" w:rsidRPr="00B37D73">
              <w:rPr>
                <w:sz w:val="18"/>
                <w:szCs w:val="18"/>
              </w:rPr>
              <w:t xml:space="preserve"> </w:t>
            </w:r>
            <w:r w:rsidR="00B37D73">
              <w:rPr>
                <w:sz w:val="18"/>
                <w:szCs w:val="18"/>
              </w:rPr>
              <w:fldChar w:fldCharType="begin"/>
            </w:r>
            <w:r w:rsidR="00B37D73">
              <w:rPr>
                <w:sz w:val="18"/>
                <w:szCs w:val="18"/>
              </w:rPr>
              <w:instrText xml:space="preserve"> NOTEREF _Ref526439134 \f \h </w:instrText>
            </w:r>
            <w:r w:rsidR="00B37D73">
              <w:rPr>
                <w:sz w:val="18"/>
                <w:szCs w:val="18"/>
              </w:rPr>
            </w:r>
            <w:r w:rsidR="00B37D73">
              <w:rPr>
                <w:sz w:val="18"/>
                <w:szCs w:val="18"/>
              </w:rPr>
              <w:fldChar w:fldCharType="separate"/>
            </w:r>
            <w:r w:rsidR="008D27BA" w:rsidRPr="008D27BA">
              <w:rPr>
                <w:rStyle w:val="EndnoteReference"/>
              </w:rPr>
              <w:t>f</w:t>
            </w:r>
            <w:r w:rsidR="00B37D73">
              <w:rPr>
                <w:sz w:val="18"/>
                <w:szCs w:val="18"/>
              </w:rPr>
              <w:fldChar w:fldCharType="end"/>
            </w:r>
          </w:p>
          <w:p w:rsidR="00EA4900" w:rsidRPr="0047703B" w:rsidRDefault="00EA4900" w:rsidP="00E27D83">
            <w:pPr>
              <w:rPr>
                <w:sz w:val="18"/>
                <w:szCs w:val="18"/>
              </w:rPr>
            </w:pPr>
          </w:p>
          <w:p w:rsidR="00EA4900" w:rsidRDefault="00EA4900" w:rsidP="00E27D83">
            <w:pPr>
              <w:rPr>
                <w:sz w:val="18"/>
                <w:szCs w:val="18"/>
              </w:rPr>
            </w:pPr>
            <w:r>
              <w:rPr>
                <w:sz w:val="18"/>
                <w:szCs w:val="18"/>
              </w:rPr>
              <w:t xml:space="preserve">Section 2.3.2:  the current guidance is too simplified.  It should not be enough </w:t>
            </w:r>
            <w:r w:rsidRPr="00E47B6B">
              <w:rPr>
                <w:sz w:val="18"/>
                <w:szCs w:val="18"/>
                <w:u w:val="single"/>
              </w:rPr>
              <w:t>just to include</w:t>
            </w:r>
            <w:r>
              <w:rPr>
                <w:sz w:val="18"/>
                <w:szCs w:val="18"/>
              </w:rPr>
              <w:t xml:space="preserve"> superlatives or comparatives, a more complete evaluation should be used considering the whole context and presence and position of other words in the denomination.  ‘Pink Supreme’, ‘Best Wishes’ and ‘Lake Superior’ contain superlatives but viewed as a whole, may be acceptable denominations.</w:t>
            </w:r>
          </w:p>
          <w:p w:rsidR="00EA4900" w:rsidRPr="0047703B" w:rsidRDefault="00EA4900" w:rsidP="00E27D83">
            <w:pPr>
              <w:rPr>
                <w:sz w:val="18"/>
                <w:szCs w:val="18"/>
              </w:rPr>
            </w:pPr>
          </w:p>
        </w:tc>
      </w:tr>
    </w:tbl>
    <w:p w:rsidR="00EA4900" w:rsidRDefault="00EA4900" w:rsidP="00EA4900">
      <w:pPr>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B343D1" w:rsidRDefault="00EA4900" w:rsidP="00E27D83">
            <w:pPr>
              <w:rPr>
                <w:sz w:val="18"/>
                <w:szCs w:val="18"/>
              </w:rPr>
            </w:pPr>
          </w:p>
          <w:p w:rsidR="00EA4900" w:rsidRPr="005E542B" w:rsidRDefault="00EA4900" w:rsidP="00E27D83">
            <w:pPr>
              <w:rPr>
                <w:sz w:val="18"/>
                <w:szCs w:val="18"/>
                <w:u w:val="single"/>
              </w:rPr>
            </w:pPr>
            <w:r w:rsidRPr="005E542B">
              <w:rPr>
                <w:sz w:val="18"/>
                <w:szCs w:val="18"/>
                <w:u w:val="single"/>
              </w:rPr>
              <w:t>Agreed by the WG-DEN</w:t>
            </w:r>
            <w:r w:rsidRPr="005E542B">
              <w:rPr>
                <w:rFonts w:hint="eastAsia"/>
                <w:sz w:val="18"/>
                <w:szCs w:val="18"/>
                <w:u w:val="single"/>
                <w:lang w:eastAsia="ja-JP"/>
              </w:rPr>
              <w:t>, at its first meeting</w:t>
            </w:r>
            <w:r w:rsidR="00B37D73" w:rsidRPr="00B37D73">
              <w:rPr>
                <w:sz w:val="18"/>
                <w:szCs w:val="18"/>
                <w:lang w:eastAsia="ja-JP"/>
              </w:rPr>
              <w:t xml:space="preserve"> </w:t>
            </w:r>
            <w:r w:rsidR="00B37D73">
              <w:rPr>
                <w:rStyle w:val="EndnoteReference"/>
                <w:sz w:val="18"/>
                <w:szCs w:val="18"/>
                <w:lang w:eastAsia="ja-JP"/>
              </w:rPr>
              <w:endnoteReference w:id="14"/>
            </w:r>
          </w:p>
          <w:p w:rsidR="00EA4900" w:rsidRPr="005E542B" w:rsidRDefault="00EA4900" w:rsidP="00E27D83">
            <w:pPr>
              <w:rPr>
                <w:sz w:val="16"/>
                <w:szCs w:val="18"/>
                <w:u w:val="single"/>
              </w:rPr>
            </w:pPr>
          </w:p>
          <w:p w:rsidR="00EA4900" w:rsidRPr="005E542B" w:rsidRDefault="00EA4900" w:rsidP="00E27D83">
            <w:pPr>
              <w:ind w:left="567" w:hanging="567"/>
              <w:rPr>
                <w:sz w:val="18"/>
                <w:szCs w:val="18"/>
              </w:rPr>
            </w:pPr>
            <w:r w:rsidRPr="005E542B">
              <w:rPr>
                <w:sz w:val="18"/>
                <w:szCs w:val="18"/>
              </w:rPr>
              <w:t>-</w:t>
            </w:r>
            <w:r w:rsidRPr="005E542B">
              <w:rPr>
                <w:sz w:val="18"/>
                <w:szCs w:val="18"/>
              </w:rPr>
              <w:tab/>
              <w:t>Superlatives and comparatives should only be unacceptable if they misled or caused confusion concerning the characteristics of the variety.</w:t>
            </w:r>
          </w:p>
          <w:p w:rsidR="00EA4900" w:rsidRPr="005E542B" w:rsidRDefault="00EA4900" w:rsidP="00E27D83">
            <w:pPr>
              <w:rPr>
                <w:sz w:val="16"/>
                <w:szCs w:val="18"/>
              </w:rPr>
            </w:pPr>
          </w:p>
          <w:p w:rsidR="00EA4900" w:rsidRPr="005E542B" w:rsidRDefault="00EA4900" w:rsidP="00E27D83">
            <w:pPr>
              <w:ind w:left="567" w:hanging="567"/>
              <w:rPr>
                <w:sz w:val="18"/>
                <w:szCs w:val="18"/>
              </w:rPr>
            </w:pPr>
            <w:r w:rsidRPr="005E542B">
              <w:rPr>
                <w:sz w:val="18"/>
                <w:szCs w:val="18"/>
              </w:rPr>
              <w:t>-</w:t>
            </w:r>
            <w:r w:rsidRPr="005E542B">
              <w:rPr>
                <w:sz w:val="18"/>
                <w:szCs w:val="18"/>
              </w:rPr>
              <w:tab/>
              <w:t>Examples of acceptable and unacceptable use of superlatives and comparatives should be provided in document UPOV/INF/12.</w:t>
            </w:r>
          </w:p>
          <w:p w:rsidR="00EA4900" w:rsidRPr="005E542B" w:rsidRDefault="00EA4900" w:rsidP="00E27D83">
            <w:pPr>
              <w:ind w:left="567" w:hanging="567"/>
              <w:rPr>
                <w:sz w:val="18"/>
                <w:szCs w:val="18"/>
                <w:lang w:eastAsia="ja-JP"/>
              </w:rPr>
            </w:pPr>
          </w:p>
          <w:p w:rsidR="00EA4900" w:rsidRPr="005E542B" w:rsidRDefault="00EA4900" w:rsidP="00E27D83">
            <w:pPr>
              <w:ind w:left="567" w:hanging="567"/>
              <w:rPr>
                <w:sz w:val="18"/>
                <w:szCs w:val="18"/>
                <w:lang w:eastAsia="ja-JP"/>
              </w:rPr>
            </w:pPr>
          </w:p>
          <w:p w:rsidR="00EA4900" w:rsidRPr="005E542B" w:rsidRDefault="00EA4900" w:rsidP="00E27D83">
            <w:pPr>
              <w:rPr>
                <w:sz w:val="18"/>
                <w:szCs w:val="18"/>
                <w:lang w:eastAsia="ja-JP"/>
              </w:rPr>
            </w:pPr>
            <w:r w:rsidRPr="005E542B">
              <w:rPr>
                <w:sz w:val="18"/>
                <w:szCs w:val="18"/>
                <w:lang w:eastAsia="ja-JP"/>
              </w:rPr>
              <w:t>UPOV Circular E-16/088 of April 13, 2016</w:t>
            </w:r>
            <w:r w:rsidRPr="005E542B">
              <w:rPr>
                <w:rFonts w:hint="eastAsia"/>
                <w:sz w:val="18"/>
                <w:szCs w:val="18"/>
                <w:lang w:eastAsia="ja-JP"/>
              </w:rPr>
              <w:t xml:space="preserve">, </w:t>
            </w:r>
            <w:r w:rsidRPr="005E542B">
              <w:rPr>
                <w:sz w:val="18"/>
                <w:szCs w:val="18"/>
                <w:lang w:eastAsia="ja-JP"/>
              </w:rPr>
              <w:t>invite</w:t>
            </w:r>
            <w:r w:rsidRPr="005E542B">
              <w:rPr>
                <w:rFonts w:hint="eastAsia"/>
                <w:sz w:val="18"/>
                <w:szCs w:val="18"/>
                <w:lang w:eastAsia="ja-JP"/>
              </w:rPr>
              <w:t>d</w:t>
            </w:r>
            <w:r w:rsidRPr="005E542B">
              <w:rPr>
                <w:sz w:val="18"/>
                <w:szCs w:val="18"/>
                <w:lang w:eastAsia="ja-JP"/>
              </w:rPr>
              <w:t xml:space="preserve"> members of the WG</w:t>
            </w:r>
            <w:r w:rsidRPr="005E542B">
              <w:rPr>
                <w:rFonts w:hint="eastAsia"/>
                <w:sz w:val="18"/>
                <w:szCs w:val="18"/>
                <w:lang w:eastAsia="ja-JP"/>
              </w:rPr>
              <w:t>-</w:t>
            </w:r>
            <w:r w:rsidRPr="005E542B">
              <w:rPr>
                <w:sz w:val="18"/>
                <w:szCs w:val="18"/>
                <w:lang w:eastAsia="ja-JP"/>
              </w:rPr>
              <w:t>DEN to submit examples of acceptable and unacceptable use of superlatives and comparatives</w:t>
            </w:r>
            <w:r w:rsidRPr="005E542B">
              <w:rPr>
                <w:rFonts w:hint="eastAsia"/>
                <w:sz w:val="18"/>
                <w:szCs w:val="18"/>
                <w:lang w:eastAsia="ja-JP"/>
              </w:rPr>
              <w:t>, and received proposals as follows</w:t>
            </w:r>
            <w:r w:rsidRPr="005E542B">
              <w:rPr>
                <w:sz w:val="18"/>
                <w:szCs w:val="18"/>
                <w:lang w:eastAsia="ja-JP"/>
              </w:rPr>
              <w:t>:</w:t>
            </w:r>
          </w:p>
          <w:p w:rsidR="00EA4900" w:rsidRPr="005E542B" w:rsidRDefault="00EA4900" w:rsidP="00E27D83">
            <w:pPr>
              <w:spacing w:line="360" w:lineRule="auto"/>
              <w:ind w:left="567" w:hanging="567"/>
              <w:rPr>
                <w:sz w:val="18"/>
                <w:szCs w:val="18"/>
                <w:lang w:eastAsia="ja-JP"/>
              </w:rPr>
            </w:pPr>
          </w:p>
          <w:p w:rsidR="00EA4900" w:rsidRPr="005E542B" w:rsidRDefault="00EA4900" w:rsidP="00E27D83">
            <w:pPr>
              <w:rPr>
                <w:sz w:val="18"/>
                <w:szCs w:val="18"/>
                <w:lang w:eastAsia="ja-JP"/>
              </w:rPr>
            </w:pPr>
            <w:r w:rsidRPr="005E542B">
              <w:rPr>
                <w:sz w:val="18"/>
                <w:szCs w:val="18"/>
                <w:u w:val="single"/>
              </w:rPr>
              <w:t>Proposal by France</w:t>
            </w:r>
          </w:p>
          <w:p w:rsidR="00EA4900" w:rsidRPr="005E542B" w:rsidRDefault="00EA4900" w:rsidP="00E27D83">
            <w:pPr>
              <w:rPr>
                <w:sz w:val="16"/>
                <w:szCs w:val="18"/>
              </w:rPr>
            </w:pPr>
          </w:p>
          <w:p w:rsidR="00EA4900" w:rsidRPr="005E542B" w:rsidRDefault="00EA4900" w:rsidP="00E27D83">
            <w:pPr>
              <w:rPr>
                <w:sz w:val="18"/>
                <w:szCs w:val="18"/>
              </w:rPr>
            </w:pPr>
            <w:r w:rsidRPr="005E542B">
              <w:rPr>
                <w:sz w:val="18"/>
                <w:szCs w:val="18"/>
              </w:rPr>
              <w:t>In general we do not accept denominations including this type of terms, provided that (specially for superlative terms) it has not been proved by the competent authority and may thus be misleading. Examples: ‘EXCELSIOR’, ‘EXCELLIUM’.</w:t>
            </w:r>
          </w:p>
          <w:p w:rsidR="00EA4900" w:rsidRPr="005E542B" w:rsidRDefault="00EA4900" w:rsidP="00E27D83">
            <w:pPr>
              <w:spacing w:line="360" w:lineRule="auto"/>
              <w:ind w:left="567" w:hanging="567"/>
              <w:rPr>
                <w:sz w:val="18"/>
                <w:szCs w:val="18"/>
                <w:lang w:eastAsia="ja-JP"/>
              </w:rPr>
            </w:pPr>
          </w:p>
          <w:p w:rsidR="00EA4900" w:rsidRPr="005E542B" w:rsidRDefault="00EA4900" w:rsidP="00E27D83">
            <w:pPr>
              <w:rPr>
                <w:sz w:val="18"/>
                <w:szCs w:val="18"/>
                <w:lang w:eastAsia="ja-JP"/>
              </w:rPr>
            </w:pPr>
            <w:r w:rsidRPr="005E542B">
              <w:rPr>
                <w:sz w:val="18"/>
                <w:szCs w:val="18"/>
                <w:u w:val="single"/>
              </w:rPr>
              <w:t>Proposal by the Netherlands</w:t>
            </w:r>
          </w:p>
          <w:p w:rsidR="00EA4900" w:rsidRPr="005E542B" w:rsidRDefault="00EA4900" w:rsidP="00E27D83">
            <w:pPr>
              <w:rPr>
                <w:sz w:val="16"/>
                <w:szCs w:val="18"/>
              </w:rPr>
            </w:pPr>
          </w:p>
          <w:p w:rsidR="00EA4900" w:rsidRPr="005E542B" w:rsidRDefault="00EA4900" w:rsidP="00E27D83">
            <w:pPr>
              <w:rPr>
                <w:sz w:val="18"/>
                <w:szCs w:val="18"/>
              </w:rPr>
            </w:pPr>
            <w:r w:rsidRPr="005E542B">
              <w:rPr>
                <w:sz w:val="18"/>
                <w:szCs w:val="18"/>
              </w:rPr>
              <w:t>Acceptable are:</w:t>
            </w:r>
          </w:p>
          <w:p w:rsidR="00EA4900" w:rsidRPr="005E542B" w:rsidRDefault="00EA4900" w:rsidP="00E27D83">
            <w:pPr>
              <w:rPr>
                <w:sz w:val="18"/>
                <w:szCs w:val="18"/>
              </w:rPr>
            </w:pPr>
            <w:r w:rsidRPr="005E542B">
              <w:rPr>
                <w:sz w:val="18"/>
                <w:szCs w:val="18"/>
              </w:rPr>
              <w:t>•</w:t>
            </w:r>
            <w:r w:rsidRPr="005E542B">
              <w:rPr>
                <w:sz w:val="18"/>
                <w:szCs w:val="18"/>
              </w:rPr>
              <w:tab/>
              <w:t>‘Excellent’, ‘Brilliant Taste’.</w:t>
            </w:r>
          </w:p>
          <w:p w:rsidR="00EA4900" w:rsidRPr="005E542B" w:rsidRDefault="00EA4900" w:rsidP="00E27D83">
            <w:pPr>
              <w:rPr>
                <w:sz w:val="16"/>
                <w:szCs w:val="18"/>
              </w:rPr>
            </w:pPr>
          </w:p>
          <w:p w:rsidR="00EA4900" w:rsidRPr="005E542B" w:rsidRDefault="00EA4900" w:rsidP="00E27D83">
            <w:pPr>
              <w:rPr>
                <w:sz w:val="18"/>
                <w:szCs w:val="18"/>
              </w:rPr>
            </w:pPr>
            <w:r w:rsidRPr="005E542B">
              <w:rPr>
                <w:sz w:val="18"/>
                <w:szCs w:val="18"/>
              </w:rPr>
              <w:t>Unacceptable are:</w:t>
            </w:r>
          </w:p>
          <w:p w:rsidR="00EA4900" w:rsidRPr="005E542B" w:rsidRDefault="00EA4900" w:rsidP="00E27D83">
            <w:pPr>
              <w:rPr>
                <w:sz w:val="18"/>
                <w:szCs w:val="18"/>
              </w:rPr>
            </w:pPr>
            <w:r w:rsidRPr="005E542B">
              <w:rPr>
                <w:sz w:val="18"/>
                <w:szCs w:val="18"/>
              </w:rPr>
              <w:t>•</w:t>
            </w:r>
            <w:r w:rsidRPr="005E542B">
              <w:rPr>
                <w:sz w:val="18"/>
                <w:szCs w:val="18"/>
              </w:rPr>
              <w:tab/>
              <w:t xml:space="preserve"> ‘Longest of All’, ‘Best Ever’, ‘Germany’s Best’.</w:t>
            </w:r>
          </w:p>
          <w:p w:rsidR="00EA4900" w:rsidRPr="005E542B" w:rsidRDefault="00EA4900" w:rsidP="00E27D83">
            <w:pPr>
              <w:spacing w:line="360" w:lineRule="auto"/>
              <w:ind w:left="567" w:hanging="567"/>
              <w:rPr>
                <w:sz w:val="18"/>
                <w:szCs w:val="18"/>
                <w:lang w:eastAsia="ja-JP"/>
              </w:rPr>
            </w:pPr>
          </w:p>
          <w:p w:rsidR="00EA4900" w:rsidRPr="005E542B" w:rsidRDefault="00EA4900" w:rsidP="00E27D83">
            <w:pPr>
              <w:rPr>
                <w:sz w:val="18"/>
                <w:szCs w:val="18"/>
                <w:lang w:eastAsia="ja-JP"/>
              </w:rPr>
            </w:pPr>
            <w:r w:rsidRPr="005E542B">
              <w:rPr>
                <w:sz w:val="18"/>
                <w:szCs w:val="18"/>
                <w:u w:val="single"/>
              </w:rPr>
              <w:t>Proposal by New Zealand</w:t>
            </w:r>
          </w:p>
          <w:p w:rsidR="00EA4900" w:rsidRPr="005E542B" w:rsidRDefault="00EA4900" w:rsidP="00E27D83">
            <w:pPr>
              <w:rPr>
                <w:sz w:val="16"/>
                <w:szCs w:val="18"/>
              </w:rPr>
            </w:pPr>
          </w:p>
          <w:p w:rsidR="00EA4900" w:rsidRPr="005E542B" w:rsidRDefault="00EA4900" w:rsidP="00E27D83">
            <w:pPr>
              <w:tabs>
                <w:tab w:val="left" w:pos="2567"/>
              </w:tabs>
              <w:rPr>
                <w:sz w:val="18"/>
                <w:szCs w:val="18"/>
              </w:rPr>
            </w:pPr>
            <w:r w:rsidRPr="005E542B">
              <w:rPr>
                <w:i/>
                <w:sz w:val="18"/>
                <w:szCs w:val="18"/>
              </w:rPr>
              <w:t xml:space="preserve">Trachelium </w:t>
            </w:r>
            <w:r w:rsidRPr="005E542B">
              <w:rPr>
                <w:sz w:val="18"/>
                <w:szCs w:val="18"/>
              </w:rPr>
              <w:t xml:space="preserve"> ‘Lake Superior’</w:t>
            </w:r>
            <w:r w:rsidRPr="005E542B">
              <w:rPr>
                <w:sz w:val="18"/>
                <w:szCs w:val="18"/>
              </w:rPr>
              <w:tab/>
              <w:t>The use of superior has no connection with value or worth.  Acceptable.</w:t>
            </w:r>
          </w:p>
          <w:p w:rsidR="00EA4900" w:rsidRPr="005E542B" w:rsidRDefault="00EA4900" w:rsidP="00E27D83">
            <w:pPr>
              <w:tabs>
                <w:tab w:val="left" w:pos="2567"/>
              </w:tabs>
              <w:rPr>
                <w:sz w:val="16"/>
                <w:szCs w:val="18"/>
              </w:rPr>
            </w:pPr>
          </w:p>
          <w:p w:rsidR="00EA4900" w:rsidRPr="005E542B" w:rsidRDefault="00EA4900" w:rsidP="00E27D83">
            <w:pPr>
              <w:tabs>
                <w:tab w:val="left" w:pos="2567"/>
              </w:tabs>
              <w:rPr>
                <w:sz w:val="18"/>
                <w:szCs w:val="18"/>
              </w:rPr>
            </w:pPr>
            <w:r w:rsidRPr="005E542B">
              <w:rPr>
                <w:i/>
                <w:sz w:val="18"/>
                <w:szCs w:val="18"/>
              </w:rPr>
              <w:t>Clematis</w:t>
            </w:r>
            <w:r w:rsidRPr="005E542B">
              <w:rPr>
                <w:sz w:val="18"/>
                <w:szCs w:val="18"/>
              </w:rPr>
              <w:t xml:space="preserve"> ‘Best Wishes’ </w:t>
            </w:r>
            <w:r w:rsidRPr="005E542B">
              <w:rPr>
                <w:sz w:val="18"/>
                <w:szCs w:val="18"/>
              </w:rPr>
              <w:tab/>
              <w:t>Best has no connection with value, worth.  Acceptable.</w:t>
            </w:r>
          </w:p>
          <w:p w:rsidR="00EA4900" w:rsidRPr="005E542B" w:rsidRDefault="00EA4900" w:rsidP="00E27D83">
            <w:pPr>
              <w:tabs>
                <w:tab w:val="left" w:pos="2567"/>
              </w:tabs>
              <w:rPr>
                <w:sz w:val="16"/>
                <w:szCs w:val="18"/>
              </w:rPr>
            </w:pPr>
          </w:p>
          <w:p w:rsidR="00EA4900" w:rsidRPr="005E542B" w:rsidRDefault="00EA4900" w:rsidP="00E27D83">
            <w:pPr>
              <w:tabs>
                <w:tab w:val="left" w:pos="2567"/>
              </w:tabs>
              <w:rPr>
                <w:sz w:val="18"/>
                <w:szCs w:val="18"/>
              </w:rPr>
            </w:pPr>
            <w:r w:rsidRPr="005E542B">
              <w:rPr>
                <w:sz w:val="18"/>
                <w:szCs w:val="18"/>
              </w:rPr>
              <w:t>The superlative ‘Supreme’ has been accepted in denominations, ‘Regal Supreme’, ‘Pink Supreme’, ‘Thai Supreme’ but note that the word order appears to significant because there are very few, if any, denominations where use of ‘Supreme’ is acceptable when used first ‘Supreme XXX’.</w:t>
            </w:r>
          </w:p>
          <w:p w:rsidR="00EA4900" w:rsidRPr="005E542B" w:rsidRDefault="00EA4900" w:rsidP="00E27D83">
            <w:pPr>
              <w:tabs>
                <w:tab w:val="left" w:pos="2567"/>
              </w:tabs>
              <w:rPr>
                <w:sz w:val="16"/>
                <w:szCs w:val="18"/>
              </w:rPr>
            </w:pPr>
          </w:p>
          <w:p w:rsidR="00EA4900" w:rsidRPr="005E542B" w:rsidRDefault="00EA4900" w:rsidP="00E27D83">
            <w:pPr>
              <w:tabs>
                <w:tab w:val="left" w:pos="2567"/>
              </w:tabs>
              <w:rPr>
                <w:sz w:val="18"/>
                <w:szCs w:val="18"/>
              </w:rPr>
            </w:pPr>
            <w:r w:rsidRPr="005E542B">
              <w:rPr>
                <w:i/>
                <w:sz w:val="18"/>
                <w:szCs w:val="18"/>
              </w:rPr>
              <w:t>Dahlia</w:t>
            </w:r>
            <w:r w:rsidRPr="005E542B">
              <w:rPr>
                <w:sz w:val="18"/>
                <w:szCs w:val="18"/>
              </w:rPr>
              <w:t xml:space="preserve"> ‘Best Bet’   </w:t>
            </w:r>
            <w:r w:rsidRPr="005E542B">
              <w:rPr>
                <w:sz w:val="18"/>
                <w:szCs w:val="18"/>
              </w:rPr>
              <w:tab/>
              <w:t>A colloquial term in New Zealand for “the best”, “guaranteed”. Not acceptable</w:t>
            </w:r>
          </w:p>
          <w:p w:rsidR="00EA4900" w:rsidRPr="005E542B" w:rsidRDefault="00EA4900" w:rsidP="00E27D83">
            <w:pPr>
              <w:tabs>
                <w:tab w:val="left" w:pos="2567"/>
              </w:tabs>
              <w:rPr>
                <w:sz w:val="16"/>
                <w:szCs w:val="18"/>
              </w:rPr>
            </w:pPr>
          </w:p>
          <w:p w:rsidR="00EA4900" w:rsidRDefault="00EA4900" w:rsidP="00E27D83">
            <w:pPr>
              <w:tabs>
                <w:tab w:val="left" w:pos="2567"/>
              </w:tabs>
              <w:rPr>
                <w:sz w:val="18"/>
                <w:szCs w:val="18"/>
                <w:lang w:eastAsia="ja-JP"/>
              </w:rPr>
            </w:pPr>
            <w:r w:rsidRPr="005E542B">
              <w:rPr>
                <w:i/>
                <w:sz w:val="18"/>
                <w:szCs w:val="18"/>
              </w:rPr>
              <w:t>Magnolia</w:t>
            </w:r>
            <w:r w:rsidRPr="005E542B">
              <w:rPr>
                <w:sz w:val="18"/>
                <w:szCs w:val="18"/>
              </w:rPr>
              <w:t xml:space="preserve"> ‘Best Purple’</w:t>
            </w:r>
            <w:r w:rsidRPr="005E542B">
              <w:rPr>
                <w:sz w:val="18"/>
                <w:szCs w:val="18"/>
              </w:rPr>
              <w:tab/>
              <w:t>Implies the best purple Magnolia. Not acceptable.</w:t>
            </w:r>
          </w:p>
          <w:p w:rsidR="00EA4900" w:rsidRPr="00B343D1" w:rsidRDefault="00EA4900" w:rsidP="00E27D83">
            <w:pPr>
              <w:ind w:left="567" w:hanging="567"/>
              <w:rPr>
                <w:sz w:val="18"/>
                <w:szCs w:val="18"/>
                <w:lang w:eastAsia="ja-JP"/>
              </w:rPr>
            </w:pPr>
          </w:p>
        </w:tc>
      </w:tr>
    </w:tbl>
    <w:p w:rsidR="00EA4900" w:rsidRDefault="00EA4900" w:rsidP="00EA4900">
      <w:pPr>
        <w:ind w:firstLine="567"/>
        <w:jc w:val="left"/>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922DA9" w:rsidRDefault="00EA4900" w:rsidP="00E27D83">
            <w:pPr>
              <w:rPr>
                <w:sz w:val="18"/>
                <w:szCs w:val="18"/>
              </w:rPr>
            </w:pPr>
          </w:p>
          <w:p w:rsidR="00EA4900" w:rsidRPr="007B4E56" w:rsidRDefault="00EA4900" w:rsidP="00E27D83">
            <w:pPr>
              <w:tabs>
                <w:tab w:val="left" w:pos="567"/>
              </w:tabs>
              <w:rPr>
                <w:sz w:val="18"/>
                <w:szCs w:val="18"/>
                <w:highlight w:val="lightGray"/>
                <w:lang w:eastAsia="ja-JP"/>
              </w:rPr>
            </w:pPr>
            <w:r w:rsidRPr="007B4E56">
              <w:rPr>
                <w:rFonts w:hint="eastAsia"/>
                <w:color w:val="000000"/>
                <w:sz w:val="18"/>
                <w:szCs w:val="18"/>
                <w:highlight w:val="lightGray"/>
                <w:u w:val="single"/>
                <w:lang w:eastAsia="ja-JP"/>
              </w:rPr>
              <w:t>T</w:t>
            </w:r>
            <w:r w:rsidRPr="007B4E56">
              <w:rPr>
                <w:color w:val="000000"/>
                <w:sz w:val="18"/>
                <w:szCs w:val="18"/>
                <w:highlight w:val="lightGray"/>
                <w:u w:val="single"/>
              </w:rPr>
              <w:t xml:space="preserve">he </w:t>
            </w:r>
            <w:r w:rsidRPr="007B4E56">
              <w:rPr>
                <w:rFonts w:hint="eastAsia"/>
                <w:color w:val="000000"/>
                <w:sz w:val="18"/>
                <w:szCs w:val="18"/>
                <w:highlight w:val="lightGray"/>
                <w:u w:val="single"/>
                <w:lang w:eastAsia="ja-JP"/>
              </w:rPr>
              <w:t>WG-DEN</w:t>
            </w:r>
            <w:r w:rsidRPr="007B4E56">
              <w:rPr>
                <w:color w:val="000000"/>
                <w:sz w:val="18"/>
                <w:szCs w:val="18"/>
                <w:highlight w:val="lightGray"/>
                <w:u w:val="single"/>
                <w:lang w:eastAsia="ja-JP"/>
              </w:rPr>
              <w:t>, at its second meeting,</w:t>
            </w:r>
            <w:r w:rsidRPr="007B4E56">
              <w:rPr>
                <w:rFonts w:hint="eastAsia"/>
                <w:color w:val="000000"/>
                <w:sz w:val="18"/>
                <w:szCs w:val="18"/>
                <w:highlight w:val="lightGray"/>
                <w:u w:val="single"/>
                <w:lang w:eastAsia="ja-JP"/>
              </w:rPr>
              <w:t xml:space="preserve"> agreed to consider the </w:t>
            </w:r>
            <w:r w:rsidRPr="007B4E56">
              <w:rPr>
                <w:color w:val="000000"/>
                <w:sz w:val="18"/>
                <w:szCs w:val="18"/>
                <w:highlight w:val="lightGray"/>
                <w:u w:val="single"/>
                <w:lang w:eastAsia="ja-JP"/>
              </w:rPr>
              <w:t>following</w:t>
            </w:r>
            <w:r w:rsidRPr="007B4E56">
              <w:rPr>
                <w:rFonts w:hint="eastAsia"/>
                <w:color w:val="000000"/>
                <w:sz w:val="18"/>
                <w:szCs w:val="18"/>
                <w:highlight w:val="lightGray"/>
                <w:u w:val="single"/>
                <w:lang w:eastAsia="ja-JP"/>
              </w:rPr>
              <w:t xml:space="preserve"> proposal at its third meeting</w:t>
            </w:r>
          </w:p>
          <w:p w:rsidR="00EA4900" w:rsidRPr="005E542B" w:rsidRDefault="00EA4900" w:rsidP="00E27D83">
            <w:pPr>
              <w:rPr>
                <w:sz w:val="18"/>
                <w:szCs w:val="18"/>
                <w:highlight w:val="yellow"/>
                <w:lang w:eastAsia="ja-JP"/>
              </w:rPr>
            </w:pPr>
          </w:p>
          <w:p w:rsidR="00EA4900" w:rsidRPr="005E542B" w:rsidRDefault="00EA4900" w:rsidP="00E27D83">
            <w:pPr>
              <w:rPr>
                <w:sz w:val="16"/>
                <w:szCs w:val="18"/>
                <w:lang w:eastAsia="ja-JP"/>
              </w:rPr>
            </w:pPr>
            <w:r w:rsidRPr="007B4E56">
              <w:rPr>
                <w:sz w:val="18"/>
                <w:highlight w:val="lightGray"/>
                <w:lang w:eastAsia="ja-JP"/>
              </w:rPr>
              <w:t xml:space="preserve">To </w:t>
            </w:r>
            <w:r w:rsidRPr="007B4E56">
              <w:rPr>
                <w:rFonts w:hint="eastAsia"/>
                <w:sz w:val="18"/>
                <w:highlight w:val="lightGray"/>
                <w:lang w:eastAsia="ja-JP"/>
              </w:rPr>
              <w:t xml:space="preserve">consider </w:t>
            </w:r>
            <w:r w:rsidRPr="007B4E56">
              <w:rPr>
                <w:sz w:val="18"/>
                <w:highlight w:val="lightGray"/>
                <w:lang w:eastAsia="ja-JP"/>
              </w:rPr>
              <w:t>examples of acceptable and unacceptable uses of superlatives and comparatives.</w:t>
            </w:r>
          </w:p>
          <w:p w:rsidR="00EA4900" w:rsidRPr="00922DA9" w:rsidRDefault="00EA4900" w:rsidP="00E27D83">
            <w:pPr>
              <w:rPr>
                <w:sz w:val="18"/>
                <w:szCs w:val="18"/>
              </w:rPr>
            </w:pPr>
          </w:p>
        </w:tc>
      </w:tr>
    </w:tbl>
    <w:p w:rsidR="00EA4900" w:rsidRDefault="00EA4900" w:rsidP="00EA4900">
      <w:pPr>
        <w:jc w:val="left"/>
      </w:pPr>
    </w:p>
    <w:p w:rsidR="00EA4900" w:rsidRDefault="00EA4900" w:rsidP="00EA4900">
      <w:pPr>
        <w:jc w:val="left"/>
      </w:pPr>
    </w:p>
    <w:p w:rsidR="00EA4900" w:rsidRPr="00407B23" w:rsidRDefault="00EA4900" w:rsidP="00EA4900">
      <w:pPr>
        <w:keepNext/>
        <w:keepLines/>
      </w:pPr>
      <w:r w:rsidRPr="00407B23">
        <w:t>2.3.3</w:t>
      </w:r>
      <w:r w:rsidRPr="00407B23">
        <w:tab/>
        <w:t>Identity of the variety</w:t>
      </w:r>
    </w:p>
    <w:p w:rsidR="00EA4900" w:rsidRPr="00407B23" w:rsidRDefault="00EA4900" w:rsidP="00EA4900">
      <w:pPr>
        <w:keepNext/>
        <w:keepLines/>
      </w:pPr>
    </w:p>
    <w:p w:rsidR="00EA4900" w:rsidRPr="00407B23" w:rsidRDefault="00EA4900" w:rsidP="00EA4900">
      <w:pPr>
        <w:keepNext/>
        <w:spacing w:after="240"/>
      </w:pPr>
      <w:r w:rsidRPr="00407B23">
        <w:tab/>
        <w:t>(a)</w:t>
      </w:r>
      <w:r w:rsidRPr="00407B23">
        <w:tab/>
      </w:r>
      <w:r w:rsidR="00FE5270" w:rsidRPr="00FE5270">
        <w:rPr>
          <w:u w:val="single"/>
        </w:rPr>
        <w:t>For denominations consisting solely of letters</w:t>
      </w:r>
      <w:r w:rsidR="00FE5270">
        <w:rPr>
          <w:u w:val="single"/>
        </w:rPr>
        <w:t>,</w:t>
      </w:r>
      <w:r w:rsidR="00FE5270" w:rsidRPr="00FE5270">
        <w:t xml:space="preserve"> </w:t>
      </w:r>
      <w:r w:rsidR="00FE5270">
        <w:t>a</w:t>
      </w:r>
      <w:r w:rsidRPr="00407B23">
        <w:t xml:space="preserve">s a general recommendation, a difference of only one letter </w:t>
      </w:r>
      <w:r w:rsidRPr="009754CE">
        <w:rPr>
          <w:strike/>
        </w:rPr>
        <w:t>or one number</w:t>
      </w:r>
      <w:r w:rsidRPr="00407B23">
        <w:t xml:space="preserve"> may be considered to be liable to mislead or cause confusion concerning the identity of the variety, except where the</w:t>
      </w:r>
      <w:r w:rsidRPr="009754CE">
        <w:rPr>
          <w:strike/>
        </w:rPr>
        <w:t>:</w:t>
      </w:r>
      <w:r w:rsidRPr="00407B23">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296117" w:rsidRDefault="00EA4900" w:rsidP="00E27D83">
            <w:pPr>
              <w:rPr>
                <w:sz w:val="18"/>
                <w:szCs w:val="18"/>
              </w:rPr>
            </w:pPr>
          </w:p>
          <w:p w:rsidR="00EA4900" w:rsidRDefault="00EA4900" w:rsidP="00E27D83">
            <w:pPr>
              <w:rPr>
                <w:color w:val="000000"/>
                <w:sz w:val="18"/>
                <w:szCs w:val="18"/>
                <w:u w:val="single"/>
              </w:rPr>
            </w:pPr>
            <w:r w:rsidRPr="00AA4B3B">
              <w:rPr>
                <w:color w:val="000000"/>
                <w:sz w:val="18"/>
                <w:szCs w:val="18"/>
                <w:u w:val="single"/>
              </w:rPr>
              <w:t>Proposal by WG-DST</w:t>
            </w:r>
            <w:r w:rsidR="00B37D73" w:rsidRPr="00B37D73">
              <w:rPr>
                <w:color w:val="000000"/>
                <w:sz w:val="18"/>
                <w:szCs w:val="18"/>
              </w:rPr>
              <w:t xml:space="preserve"> </w:t>
            </w:r>
            <w:bookmarkStart w:id="10" w:name="_Ref526439596"/>
            <w:r w:rsidR="00B37D73">
              <w:rPr>
                <w:rStyle w:val="EndnoteReference"/>
                <w:color w:val="000000"/>
                <w:sz w:val="18"/>
                <w:szCs w:val="18"/>
              </w:rPr>
              <w:endnoteReference w:id="15"/>
            </w:r>
            <w:bookmarkEnd w:id="10"/>
          </w:p>
          <w:p w:rsidR="00EA4900" w:rsidRPr="00395671" w:rsidRDefault="00EA4900" w:rsidP="00E27D83">
            <w:pPr>
              <w:rPr>
                <w:color w:val="000000"/>
                <w:sz w:val="16"/>
                <w:szCs w:val="18"/>
                <w:u w:val="single"/>
              </w:rPr>
            </w:pPr>
          </w:p>
          <w:p w:rsidR="00EA4900" w:rsidRDefault="00EA4900" w:rsidP="00E27D83">
            <w:pPr>
              <w:rPr>
                <w:color w:val="000000"/>
                <w:sz w:val="18"/>
                <w:szCs w:val="18"/>
              </w:rPr>
            </w:pPr>
            <w:r>
              <w:rPr>
                <w:color w:val="000000"/>
                <w:sz w:val="18"/>
                <w:szCs w:val="18"/>
              </w:rPr>
              <w:t xml:space="preserve">Section 2.3.3 (a): to differentiate </w:t>
            </w:r>
            <w:r w:rsidRPr="00234D9F">
              <w:rPr>
                <w:color w:val="000000"/>
                <w:sz w:val="18"/>
                <w:szCs w:val="18"/>
              </w:rPr>
              <w:t>between letters in the form of words and other cases</w:t>
            </w:r>
            <w:r>
              <w:rPr>
                <w:color w:val="000000"/>
                <w:sz w:val="18"/>
                <w:szCs w:val="18"/>
              </w:rPr>
              <w:t xml:space="preserve"> as follows:</w:t>
            </w:r>
          </w:p>
          <w:p w:rsidR="00EA4900" w:rsidRPr="00395671" w:rsidRDefault="00EA4900" w:rsidP="00E27D83">
            <w:pPr>
              <w:rPr>
                <w:color w:val="000000"/>
                <w:sz w:val="16"/>
                <w:szCs w:val="18"/>
              </w:rPr>
            </w:pPr>
          </w:p>
          <w:p w:rsidR="00EA4900" w:rsidRPr="00234D9F" w:rsidRDefault="00EA4900" w:rsidP="00E27D83">
            <w:pPr>
              <w:rPr>
                <w:color w:val="000000"/>
                <w:sz w:val="18"/>
                <w:szCs w:val="18"/>
              </w:rPr>
            </w:pPr>
            <w:r w:rsidRPr="00234D9F">
              <w:rPr>
                <w:color w:val="000000"/>
                <w:sz w:val="18"/>
                <w:szCs w:val="18"/>
              </w:rPr>
              <w:t>(i)</w:t>
            </w:r>
            <w:r w:rsidRPr="00234D9F">
              <w:rPr>
                <w:color w:val="000000"/>
                <w:sz w:val="18"/>
                <w:szCs w:val="18"/>
              </w:rPr>
              <w:tab/>
              <w:t>in the case of denominations consisting of letters not in the form of words, a difference of a single letter should be regarded as a clear difference, with examples to be provided;</w:t>
            </w:r>
          </w:p>
          <w:p w:rsidR="00EA4900" w:rsidRPr="00395671" w:rsidRDefault="00EA4900" w:rsidP="00E27D83">
            <w:pPr>
              <w:rPr>
                <w:color w:val="000000"/>
                <w:sz w:val="16"/>
                <w:szCs w:val="18"/>
              </w:rPr>
            </w:pPr>
          </w:p>
          <w:p w:rsidR="00EA4900" w:rsidRPr="00234D9F" w:rsidRDefault="00EA4900" w:rsidP="00E27D83">
            <w:pPr>
              <w:rPr>
                <w:color w:val="000000"/>
                <w:sz w:val="18"/>
                <w:szCs w:val="18"/>
              </w:rPr>
            </w:pPr>
            <w:r w:rsidRPr="00234D9F">
              <w:rPr>
                <w:color w:val="000000"/>
                <w:sz w:val="18"/>
                <w:szCs w:val="18"/>
              </w:rPr>
              <w:t xml:space="preserve">(ii) </w:t>
            </w:r>
            <w:r w:rsidRPr="00234D9F">
              <w:rPr>
                <w:color w:val="000000"/>
                <w:sz w:val="18"/>
                <w:szCs w:val="18"/>
              </w:rPr>
              <w:tab/>
              <w:t>in the case of denominations consisting of figures, a difference of a single figure should be regarded as a clear difference, with examples to be provided; and</w:t>
            </w:r>
          </w:p>
          <w:p w:rsidR="00EA4900" w:rsidRPr="00395671" w:rsidRDefault="00EA4900" w:rsidP="00E27D83">
            <w:pPr>
              <w:rPr>
                <w:color w:val="000000"/>
                <w:sz w:val="16"/>
                <w:szCs w:val="18"/>
              </w:rPr>
            </w:pPr>
          </w:p>
          <w:p w:rsidR="00EA4900" w:rsidRPr="00234D9F" w:rsidRDefault="00EA4900" w:rsidP="00E27D83">
            <w:pPr>
              <w:rPr>
                <w:color w:val="000000"/>
                <w:sz w:val="18"/>
                <w:szCs w:val="18"/>
              </w:rPr>
            </w:pPr>
            <w:r w:rsidRPr="00234D9F">
              <w:rPr>
                <w:color w:val="000000"/>
                <w:sz w:val="18"/>
                <w:szCs w:val="18"/>
              </w:rPr>
              <w:t xml:space="preserve">(iii) </w:t>
            </w:r>
            <w:r w:rsidRPr="00234D9F">
              <w:rPr>
                <w:color w:val="000000"/>
                <w:sz w:val="18"/>
                <w:szCs w:val="18"/>
              </w:rPr>
              <w:tab/>
              <w:t>in the case of denominations consisting of figures and letters, not in the form of words, one letter or figure difference should be regarded as clear difference, with examples to be provided</w:t>
            </w:r>
            <w:r>
              <w:rPr>
                <w:color w:val="000000"/>
                <w:sz w:val="18"/>
                <w:szCs w:val="18"/>
              </w:rPr>
              <w:t>.</w:t>
            </w:r>
          </w:p>
          <w:p w:rsidR="00EA4900" w:rsidRPr="00234D9F" w:rsidRDefault="00EA4900" w:rsidP="00E27D83">
            <w:pPr>
              <w:rPr>
                <w:sz w:val="18"/>
                <w:szCs w:val="18"/>
              </w:rPr>
            </w:pPr>
          </w:p>
        </w:tc>
      </w:tr>
    </w:tbl>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47703B" w:rsidRDefault="00EA4900" w:rsidP="00E27D83">
            <w:pPr>
              <w:rPr>
                <w:sz w:val="18"/>
                <w:szCs w:val="18"/>
              </w:rPr>
            </w:pPr>
          </w:p>
          <w:p w:rsidR="00EA4900" w:rsidRPr="0047703B" w:rsidRDefault="00EA4900" w:rsidP="00E27D83">
            <w:pPr>
              <w:shd w:val="clear" w:color="auto" w:fill="D9D9D9" w:themeFill="background1" w:themeFillShade="D9"/>
              <w:rPr>
                <w:sz w:val="18"/>
                <w:szCs w:val="18"/>
              </w:rPr>
            </w:pPr>
            <w:r w:rsidRPr="0047703B">
              <w:rPr>
                <w:sz w:val="18"/>
                <w:szCs w:val="18"/>
                <w:u w:val="single"/>
              </w:rPr>
              <w:t>Proposal by New Zealand</w:t>
            </w:r>
            <w:r w:rsidR="00B37D73" w:rsidRPr="00B37D73">
              <w:rPr>
                <w:sz w:val="18"/>
                <w:szCs w:val="18"/>
              </w:rPr>
              <w:t xml:space="preserve"> </w:t>
            </w:r>
            <w:r w:rsidR="00B37D73">
              <w:rPr>
                <w:sz w:val="18"/>
                <w:szCs w:val="18"/>
              </w:rPr>
              <w:fldChar w:fldCharType="begin"/>
            </w:r>
            <w:r w:rsidR="00B37D73">
              <w:rPr>
                <w:sz w:val="18"/>
                <w:szCs w:val="18"/>
              </w:rPr>
              <w:instrText xml:space="preserve"> NOTEREF _Ref526439134 \f \h </w:instrText>
            </w:r>
            <w:r w:rsidR="00B37D73">
              <w:rPr>
                <w:sz w:val="18"/>
                <w:szCs w:val="18"/>
              </w:rPr>
            </w:r>
            <w:r w:rsidR="00B37D73">
              <w:rPr>
                <w:sz w:val="18"/>
                <w:szCs w:val="18"/>
              </w:rPr>
              <w:fldChar w:fldCharType="separate"/>
            </w:r>
            <w:r w:rsidR="008D27BA" w:rsidRPr="008D27BA">
              <w:rPr>
                <w:rStyle w:val="EndnoteReference"/>
              </w:rPr>
              <w:t>f</w:t>
            </w:r>
            <w:r w:rsidR="00B37D73">
              <w:rPr>
                <w:sz w:val="18"/>
                <w:szCs w:val="18"/>
              </w:rPr>
              <w:fldChar w:fldCharType="end"/>
            </w:r>
          </w:p>
          <w:p w:rsidR="00EA4900" w:rsidRPr="0047703B" w:rsidRDefault="00EA4900" w:rsidP="00E27D83">
            <w:pPr>
              <w:shd w:val="clear" w:color="auto" w:fill="D9D9D9" w:themeFill="background1" w:themeFillShade="D9"/>
              <w:rPr>
                <w:sz w:val="18"/>
                <w:szCs w:val="18"/>
              </w:rPr>
            </w:pPr>
          </w:p>
          <w:p w:rsidR="00EA4900" w:rsidRDefault="00EA4900" w:rsidP="00E27D83">
            <w:pPr>
              <w:shd w:val="clear" w:color="auto" w:fill="D9D9D9" w:themeFill="background1" w:themeFillShade="D9"/>
              <w:rPr>
                <w:sz w:val="18"/>
                <w:szCs w:val="18"/>
              </w:rPr>
            </w:pPr>
            <w:r>
              <w:rPr>
                <w:sz w:val="18"/>
                <w:szCs w:val="18"/>
              </w:rPr>
              <w:t>Section 2.3.3 (a):  the same guidance should apply to alpha numeric combination denominations as it does to all other denominations containing letters and numbers.</w:t>
            </w:r>
          </w:p>
          <w:p w:rsidR="00EA4900" w:rsidRPr="0047703B" w:rsidRDefault="00EA4900" w:rsidP="00E27D83">
            <w:pPr>
              <w:rPr>
                <w:sz w:val="18"/>
                <w:szCs w:val="18"/>
              </w:rPr>
            </w:pPr>
          </w:p>
        </w:tc>
      </w:tr>
    </w:tbl>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5D7C20" w:rsidRDefault="00EA4900" w:rsidP="00E27D83">
            <w:pPr>
              <w:rPr>
                <w:sz w:val="18"/>
                <w:szCs w:val="18"/>
              </w:rPr>
            </w:pPr>
          </w:p>
          <w:p w:rsidR="00EA4900" w:rsidRPr="005D7C20" w:rsidRDefault="00EA4900" w:rsidP="00E27D83">
            <w:pPr>
              <w:rPr>
                <w:sz w:val="18"/>
                <w:szCs w:val="18"/>
                <w:u w:val="single"/>
              </w:rPr>
            </w:pPr>
            <w:r w:rsidRPr="005D7C20">
              <w:rPr>
                <w:sz w:val="18"/>
                <w:szCs w:val="18"/>
                <w:u w:val="single"/>
              </w:rPr>
              <w:t>Proposal by ESA/ISF</w:t>
            </w:r>
            <w:r w:rsidR="00B37D73" w:rsidRPr="00B37D73">
              <w:rPr>
                <w:sz w:val="18"/>
                <w:szCs w:val="18"/>
              </w:rPr>
              <w:t xml:space="preserve"> </w:t>
            </w:r>
            <w:bookmarkStart w:id="11" w:name="_Ref526439475"/>
            <w:r w:rsidR="00B37D73">
              <w:rPr>
                <w:rStyle w:val="EndnoteReference"/>
                <w:sz w:val="18"/>
                <w:szCs w:val="18"/>
              </w:rPr>
              <w:endnoteReference w:id="16"/>
            </w:r>
            <w:bookmarkEnd w:id="11"/>
          </w:p>
          <w:p w:rsidR="00EA4900" w:rsidRPr="005D7C20" w:rsidRDefault="00EA4900" w:rsidP="00E27D83">
            <w:pPr>
              <w:rPr>
                <w:sz w:val="18"/>
                <w:szCs w:val="18"/>
              </w:rPr>
            </w:pPr>
          </w:p>
          <w:p w:rsidR="00EA4900" w:rsidRPr="005D7C20" w:rsidRDefault="00EA4900" w:rsidP="00E27D83">
            <w:pPr>
              <w:rPr>
                <w:sz w:val="18"/>
                <w:szCs w:val="18"/>
              </w:rPr>
            </w:pPr>
            <w:r>
              <w:rPr>
                <w:sz w:val="18"/>
                <w:szCs w:val="18"/>
              </w:rPr>
              <w:t xml:space="preserve">Section 2.3.3 </w:t>
            </w:r>
            <w:r w:rsidRPr="00A6443F">
              <w:rPr>
                <w:strike/>
                <w:sz w:val="18"/>
                <w:szCs w:val="18"/>
              </w:rPr>
              <w:t>(b)</w:t>
            </w:r>
            <w:r w:rsidRPr="00A6443F">
              <w:rPr>
                <w:sz w:val="18"/>
                <w:szCs w:val="18"/>
              </w:rPr>
              <w:t xml:space="preserve"> </w:t>
            </w:r>
            <w:r w:rsidRPr="00A6443F">
              <w:rPr>
                <w:sz w:val="18"/>
                <w:szCs w:val="18"/>
                <w:u w:val="single"/>
              </w:rPr>
              <w:t>(a)</w:t>
            </w:r>
            <w:r w:rsidRPr="00CC5743">
              <w:rPr>
                <w:sz w:val="18"/>
                <w:szCs w:val="18"/>
              </w:rPr>
              <w:t>:</w:t>
            </w:r>
            <w:r>
              <w:rPr>
                <w:sz w:val="18"/>
                <w:szCs w:val="18"/>
              </w:rPr>
              <w:t xml:space="preserve">  propose to simplify and thereby improve the readability of the first line of the sentence in the following way: “For denominations consisting solely of letters, as a general recommendation…”.</w:t>
            </w:r>
          </w:p>
          <w:p w:rsidR="00EA4900" w:rsidRPr="005D7C20" w:rsidRDefault="00EA4900" w:rsidP="00E27D83">
            <w:pPr>
              <w:rPr>
                <w:sz w:val="18"/>
                <w:szCs w:val="18"/>
              </w:rPr>
            </w:pPr>
          </w:p>
        </w:tc>
      </w:tr>
    </w:tbl>
    <w:p w:rsidR="00EA4900" w:rsidRDefault="00EA4900" w:rsidP="00EA4900">
      <w:pPr>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RPr="00C04C22" w:rsidTr="00E27D83">
        <w:trPr>
          <w:cantSplit/>
        </w:trPr>
        <w:tc>
          <w:tcPr>
            <w:tcW w:w="9855" w:type="dxa"/>
            <w:shd w:val="clear" w:color="auto" w:fill="D9D9D9" w:themeFill="background1" w:themeFillShade="D9"/>
          </w:tcPr>
          <w:p w:rsidR="00EA4900" w:rsidRPr="002371C8" w:rsidRDefault="00EA4900" w:rsidP="00E27D83">
            <w:pPr>
              <w:rPr>
                <w:sz w:val="18"/>
                <w:szCs w:val="18"/>
              </w:rPr>
            </w:pPr>
          </w:p>
          <w:p w:rsidR="00EA4900" w:rsidRPr="002371C8" w:rsidRDefault="00EA4900" w:rsidP="00E27D83">
            <w:pPr>
              <w:tabs>
                <w:tab w:val="left" w:pos="567"/>
              </w:tabs>
              <w:rPr>
                <w:sz w:val="18"/>
                <w:szCs w:val="18"/>
                <w:highlight w:val="yellow"/>
                <w:lang w:eastAsia="ja-JP"/>
              </w:rPr>
            </w:pPr>
            <w:r w:rsidRPr="00E60C07">
              <w:rPr>
                <w:rFonts w:hint="eastAsia"/>
                <w:color w:val="000000"/>
                <w:sz w:val="18"/>
                <w:szCs w:val="18"/>
                <w:highlight w:val="lightGray"/>
                <w:u w:val="single"/>
                <w:lang w:eastAsia="ja-JP"/>
              </w:rPr>
              <w:t>T</w:t>
            </w:r>
            <w:r w:rsidRPr="00E60C07">
              <w:rPr>
                <w:color w:val="000000"/>
                <w:sz w:val="18"/>
                <w:szCs w:val="18"/>
                <w:highlight w:val="lightGray"/>
                <w:u w:val="single"/>
              </w:rPr>
              <w:t xml:space="preserve">he </w:t>
            </w:r>
            <w:r w:rsidRPr="00E60C07">
              <w:rPr>
                <w:rFonts w:hint="eastAsia"/>
                <w:color w:val="000000"/>
                <w:sz w:val="18"/>
                <w:szCs w:val="18"/>
                <w:highlight w:val="lightGray"/>
                <w:u w:val="single"/>
                <w:lang w:eastAsia="ja-JP"/>
              </w:rPr>
              <w:t>WG-DEN</w:t>
            </w:r>
            <w:r w:rsidRPr="00E60C07">
              <w:rPr>
                <w:color w:val="000000"/>
                <w:sz w:val="18"/>
                <w:szCs w:val="18"/>
                <w:highlight w:val="lightGray"/>
                <w:u w:val="single"/>
                <w:lang w:eastAsia="ja-JP"/>
              </w:rPr>
              <w:t>, at its second meeting,</w:t>
            </w:r>
            <w:r w:rsidRPr="00E60C07">
              <w:rPr>
                <w:rFonts w:hint="eastAsia"/>
                <w:color w:val="000000"/>
                <w:sz w:val="18"/>
                <w:szCs w:val="18"/>
                <w:highlight w:val="lightGray"/>
                <w:u w:val="single"/>
                <w:lang w:eastAsia="ja-JP"/>
              </w:rPr>
              <w:t xml:space="preserve"> agreed to consider the </w:t>
            </w:r>
            <w:r w:rsidRPr="00E60C07">
              <w:rPr>
                <w:color w:val="000000"/>
                <w:sz w:val="18"/>
                <w:szCs w:val="18"/>
                <w:highlight w:val="lightGray"/>
                <w:u w:val="single"/>
                <w:lang w:eastAsia="ja-JP"/>
              </w:rPr>
              <w:t>following</w:t>
            </w:r>
            <w:r w:rsidRPr="00E60C07">
              <w:rPr>
                <w:rFonts w:hint="eastAsia"/>
                <w:color w:val="000000"/>
                <w:sz w:val="18"/>
                <w:szCs w:val="18"/>
                <w:highlight w:val="lightGray"/>
                <w:u w:val="single"/>
                <w:lang w:eastAsia="ja-JP"/>
              </w:rPr>
              <w:t xml:space="preserve"> proposal at its third meeting</w:t>
            </w:r>
          </w:p>
          <w:p w:rsidR="00EA4900" w:rsidRPr="002371C8" w:rsidRDefault="00EA4900" w:rsidP="00E27D83">
            <w:pPr>
              <w:rPr>
                <w:spacing w:val="-2"/>
                <w:sz w:val="18"/>
                <w:szCs w:val="18"/>
                <w:highlight w:val="yellow"/>
              </w:rPr>
            </w:pPr>
          </w:p>
          <w:p w:rsidR="00EA4900" w:rsidRPr="002371C8" w:rsidRDefault="00EA4900" w:rsidP="00E27D83">
            <w:pPr>
              <w:rPr>
                <w:spacing w:val="-2"/>
                <w:sz w:val="18"/>
                <w:szCs w:val="18"/>
                <w:lang w:eastAsia="ja-JP"/>
              </w:rPr>
            </w:pPr>
            <w:r w:rsidRPr="00E60C07">
              <w:rPr>
                <w:spacing w:val="-2"/>
                <w:sz w:val="18"/>
                <w:szCs w:val="18"/>
                <w:highlight w:val="lightGray"/>
                <w:lang w:eastAsia="ja-JP"/>
              </w:rPr>
              <w:t>Possible exceptions to Section 2.3.3 (a)</w:t>
            </w:r>
            <w:r w:rsidRPr="00E60C07">
              <w:rPr>
                <w:rFonts w:hint="eastAsia"/>
                <w:spacing w:val="-2"/>
                <w:sz w:val="18"/>
                <w:szCs w:val="18"/>
                <w:highlight w:val="lightGray"/>
                <w:lang w:eastAsia="ja-JP"/>
              </w:rPr>
              <w:t>.</w:t>
            </w:r>
          </w:p>
          <w:p w:rsidR="00EA4900" w:rsidRPr="002371C8" w:rsidRDefault="00EA4900" w:rsidP="00E27D83"/>
        </w:tc>
      </w:tr>
    </w:tbl>
    <w:p w:rsidR="00EA4900" w:rsidRPr="00C04C22" w:rsidRDefault="00EA4900" w:rsidP="00EA4900">
      <w:pPr>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2371C8" w:rsidRDefault="00EA4900" w:rsidP="00E27D83">
            <w:pPr>
              <w:rPr>
                <w:sz w:val="18"/>
                <w:szCs w:val="18"/>
                <w:highlight w:val="yellow"/>
              </w:rPr>
            </w:pPr>
          </w:p>
          <w:p w:rsidR="00EA4900" w:rsidRPr="00E60C07" w:rsidRDefault="00EA4900" w:rsidP="00E27D83">
            <w:pPr>
              <w:tabs>
                <w:tab w:val="left" w:pos="567"/>
              </w:tabs>
              <w:rPr>
                <w:sz w:val="18"/>
                <w:szCs w:val="18"/>
                <w:highlight w:val="lightGray"/>
                <w:lang w:eastAsia="ja-JP"/>
              </w:rPr>
            </w:pPr>
            <w:r w:rsidRPr="00E60C07">
              <w:rPr>
                <w:rFonts w:hint="eastAsia"/>
                <w:color w:val="000000"/>
                <w:sz w:val="18"/>
                <w:szCs w:val="18"/>
                <w:highlight w:val="lightGray"/>
                <w:u w:val="single"/>
                <w:lang w:eastAsia="ja-JP"/>
              </w:rPr>
              <w:t xml:space="preserve">Agreed </w:t>
            </w:r>
            <w:r w:rsidRPr="00E60C07">
              <w:rPr>
                <w:sz w:val="18"/>
                <w:szCs w:val="18"/>
                <w:highlight w:val="lightGray"/>
                <w:u w:val="single"/>
              </w:rPr>
              <w:t>by the WG-DEN</w:t>
            </w:r>
            <w:r w:rsidRPr="00E60C07">
              <w:rPr>
                <w:rFonts w:hint="eastAsia"/>
                <w:sz w:val="18"/>
                <w:szCs w:val="18"/>
                <w:highlight w:val="lightGray"/>
                <w:u w:val="single"/>
                <w:lang w:eastAsia="ja-JP"/>
              </w:rPr>
              <w:t>, at its second meeting</w:t>
            </w:r>
          </w:p>
          <w:p w:rsidR="00EA4900" w:rsidRPr="002371C8" w:rsidRDefault="00EA4900" w:rsidP="00E27D83">
            <w:pPr>
              <w:rPr>
                <w:spacing w:val="-2"/>
                <w:sz w:val="18"/>
                <w:szCs w:val="18"/>
                <w:highlight w:val="yellow"/>
              </w:rPr>
            </w:pPr>
          </w:p>
          <w:p w:rsidR="00EA4900" w:rsidRPr="00E60C07" w:rsidRDefault="00EA4900" w:rsidP="00E27D83">
            <w:pPr>
              <w:rPr>
                <w:spacing w:val="-2"/>
                <w:sz w:val="18"/>
                <w:szCs w:val="18"/>
                <w:highlight w:val="lightGray"/>
                <w:lang w:eastAsia="ja-JP"/>
              </w:rPr>
            </w:pPr>
            <w:r w:rsidRPr="00E60C07">
              <w:rPr>
                <w:rFonts w:hint="eastAsia"/>
                <w:spacing w:val="-2"/>
                <w:sz w:val="18"/>
                <w:szCs w:val="18"/>
                <w:highlight w:val="lightGray"/>
                <w:lang w:eastAsia="ja-JP"/>
              </w:rPr>
              <w:t>T</w:t>
            </w:r>
            <w:r w:rsidRPr="00E60C07">
              <w:rPr>
                <w:spacing w:val="-2"/>
                <w:sz w:val="18"/>
                <w:szCs w:val="18"/>
                <w:highlight w:val="lightGray"/>
                <w:lang w:eastAsia="ja-JP"/>
              </w:rPr>
              <w:t>he proposal that for all categories of denominations including pronounceable words, a difference of one letter or one figure should not be considered to be liable to mislead and cause confusion concerning the identity of the variety should not be pursued</w:t>
            </w:r>
            <w:r w:rsidRPr="00E60C07">
              <w:rPr>
                <w:rFonts w:hint="eastAsia"/>
                <w:spacing w:val="-2"/>
                <w:sz w:val="18"/>
                <w:szCs w:val="18"/>
                <w:highlight w:val="lightGray"/>
                <w:lang w:eastAsia="ja-JP"/>
              </w:rPr>
              <w:t>.</w:t>
            </w:r>
          </w:p>
          <w:p w:rsidR="00EA4900" w:rsidRPr="002371C8" w:rsidRDefault="00EA4900" w:rsidP="00E27D83">
            <w:pPr>
              <w:rPr>
                <w:highlight w:val="yellow"/>
              </w:rPr>
            </w:pPr>
          </w:p>
        </w:tc>
      </w:tr>
    </w:tbl>
    <w:p w:rsidR="00EA4900" w:rsidRDefault="00EA4900" w:rsidP="00EA4900">
      <w:pPr>
        <w:rPr>
          <w:lang w:eastAsia="ja-JP"/>
        </w:rPr>
      </w:pPr>
    </w:p>
    <w:p w:rsidR="00EA4900" w:rsidRDefault="00EA4900" w:rsidP="00EA4900">
      <w:pPr>
        <w:jc w:val="left"/>
      </w:pPr>
    </w:p>
    <w:p w:rsidR="00EA4900" w:rsidRPr="00C04C22" w:rsidRDefault="00EA4900" w:rsidP="00EA4900">
      <w:pPr>
        <w:keepNext/>
        <w:tabs>
          <w:tab w:val="right" w:pos="1134"/>
          <w:tab w:val="left" w:pos="1418"/>
        </w:tabs>
      </w:pPr>
      <w:r w:rsidRPr="009754CE">
        <w:rPr>
          <w:strike/>
        </w:rPr>
        <w:tab/>
        <w:t>(i)</w:t>
      </w:r>
      <w:r w:rsidRPr="009754CE">
        <w:rPr>
          <w:strike/>
        </w:rPr>
        <w:tab/>
      </w:r>
      <w:r w:rsidRPr="00C04C22">
        <w:t>difference of one letter provides for a clear visual or phonetic difference, e.g. if it concerns a letter at the beginning of a word:</w:t>
      </w:r>
    </w:p>
    <w:p w:rsidR="00EA4900" w:rsidRPr="00C04C22" w:rsidRDefault="00EA4900" w:rsidP="00EA4900">
      <w:pPr>
        <w:keepNext/>
      </w:pPr>
    </w:p>
    <w:p w:rsidR="00EA4900" w:rsidRPr="00C04C22" w:rsidRDefault="00EA4900" w:rsidP="00EA4900">
      <w:pPr>
        <w:ind w:left="567"/>
        <w:rPr>
          <w:color w:val="000000"/>
        </w:rPr>
      </w:pPr>
      <w:r w:rsidRPr="00C04C22">
        <w:rPr>
          <w:i/>
          <w:color w:val="000000"/>
        </w:rPr>
        <w:t>Example 1:</w:t>
      </w:r>
      <w:r w:rsidRPr="00C04C22">
        <w:rPr>
          <w:color w:val="000000"/>
        </w:rPr>
        <w:t xml:space="preserve">  </w:t>
      </w:r>
      <w:r w:rsidRPr="009754CE">
        <w:rPr>
          <w:strike/>
          <w:color w:val="000000"/>
        </w:rPr>
        <w:t xml:space="preserve">in the English language, </w:t>
      </w:r>
      <w:r w:rsidRPr="00C04C22">
        <w:rPr>
          <w:color w:val="000000"/>
        </w:rPr>
        <w:t>‘</w:t>
      </w:r>
      <w:r w:rsidRPr="00C04C22">
        <w:rPr>
          <w:color w:val="000000"/>
          <w:u w:val="single"/>
        </w:rPr>
        <w:t>H</w:t>
      </w:r>
      <w:r w:rsidRPr="00C04C22">
        <w:rPr>
          <w:color w:val="000000"/>
        </w:rPr>
        <w:t>arry’ and ‘</w:t>
      </w:r>
      <w:r w:rsidRPr="00C04C22">
        <w:rPr>
          <w:color w:val="000000"/>
          <w:u w:val="single"/>
        </w:rPr>
        <w:t>L</w:t>
      </w:r>
      <w:r w:rsidRPr="00C04C22">
        <w:rPr>
          <w:color w:val="000000"/>
        </w:rPr>
        <w:t xml:space="preserve">arry’ would not cause confusion;  </w:t>
      </w:r>
      <w:r w:rsidRPr="009754CE">
        <w:rPr>
          <w:strike/>
          <w:color w:val="000000"/>
        </w:rPr>
        <w:t>However, ‘Bo</w:t>
      </w:r>
      <w:r w:rsidRPr="009754CE">
        <w:rPr>
          <w:strike/>
          <w:color w:val="000000"/>
          <w:u w:val="single"/>
        </w:rPr>
        <w:t>ugh’</w:t>
      </w:r>
      <w:r w:rsidRPr="009754CE">
        <w:rPr>
          <w:strike/>
          <w:color w:val="000000"/>
        </w:rPr>
        <w:t xml:space="preserve"> and ‘Bo</w:t>
      </w:r>
      <w:r w:rsidRPr="009754CE">
        <w:rPr>
          <w:strike/>
          <w:color w:val="000000"/>
          <w:u w:val="single"/>
        </w:rPr>
        <w:t>w</w:t>
      </w:r>
      <w:r w:rsidRPr="009754CE">
        <w:rPr>
          <w:strike/>
          <w:color w:val="000000"/>
        </w:rPr>
        <w:t>’ might cause confusion (in phonetic terms);</w:t>
      </w:r>
    </w:p>
    <w:p w:rsidR="00EA4900" w:rsidRPr="00F96023" w:rsidRDefault="00EA4900" w:rsidP="00EA4900">
      <w:pPr>
        <w:spacing w:before="120"/>
        <w:ind w:left="567"/>
      </w:pPr>
      <w:r w:rsidRPr="00C04C22">
        <w:rPr>
          <w:i/>
          <w:strike/>
        </w:rPr>
        <w:t xml:space="preserve">Example 2: </w:t>
      </w:r>
      <w:r w:rsidRPr="00C04C22">
        <w:rPr>
          <w:strike/>
        </w:rPr>
        <w:t xml:space="preserve"> in the Japanese and Korean languages there is no difference between “L” and “R” sounds, thus “</w:t>
      </w:r>
      <w:r w:rsidRPr="00C04C22">
        <w:rPr>
          <w:strike/>
          <w:u w:val="single"/>
        </w:rPr>
        <w:t>L</w:t>
      </w:r>
      <w:r w:rsidRPr="00C04C22">
        <w:rPr>
          <w:strike/>
        </w:rPr>
        <w:t>ion” and “</w:t>
      </w:r>
      <w:r w:rsidRPr="00C04C22">
        <w:rPr>
          <w:strike/>
          <w:u w:val="single"/>
        </w:rPr>
        <w:t>R</w:t>
      </w:r>
      <w:r w:rsidRPr="00C04C22">
        <w:rPr>
          <w:strike/>
        </w:rPr>
        <w:t>aion” are exactly the same although these are distinguishable for English mother tongue speakers</w:t>
      </w:r>
      <w:r w:rsidRPr="00C04C22">
        <w:t>;</w:t>
      </w:r>
      <w:r w:rsidR="00B37D73" w:rsidRPr="00B37D73">
        <w:t xml:space="preserve"> </w:t>
      </w:r>
      <w:bookmarkStart w:id="12" w:name="_Ref526440080"/>
      <w:r w:rsidR="00B37D73">
        <w:rPr>
          <w:rStyle w:val="EndnoteReference"/>
        </w:rPr>
        <w:endnoteReference w:id="17"/>
      </w:r>
      <w:bookmarkEnd w:id="12"/>
    </w:p>
    <w:p w:rsidR="00EA4900" w:rsidRDefault="00EA4900" w:rsidP="00EA4900"/>
    <w:tbl>
      <w:tblPr>
        <w:tblW w:w="0" w:type="auto"/>
        <w:tblBorders>
          <w:top w:val="single" w:sz="4" w:space="0" w:color="auto"/>
          <w:left w:val="single" w:sz="4" w:space="0" w:color="auto"/>
          <w:bottom w:val="single" w:sz="4" w:space="0" w:color="auto"/>
          <w:right w:val="single" w:sz="4" w:space="0" w:color="auto"/>
        </w:tblBorders>
        <w:shd w:val="clear" w:color="auto" w:fill="95B3D7" w:themeFill="accent1" w:themeFillTint="99"/>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5D7C20" w:rsidRDefault="00EA4900" w:rsidP="00E27D83">
            <w:pPr>
              <w:rPr>
                <w:sz w:val="18"/>
                <w:szCs w:val="18"/>
              </w:rPr>
            </w:pPr>
          </w:p>
          <w:p w:rsidR="00EA4900" w:rsidRPr="005D7C20" w:rsidRDefault="00EA4900" w:rsidP="00E27D83">
            <w:pPr>
              <w:rPr>
                <w:sz w:val="18"/>
                <w:szCs w:val="18"/>
                <w:u w:val="single"/>
              </w:rPr>
            </w:pPr>
            <w:r w:rsidRPr="005D7C20">
              <w:rPr>
                <w:sz w:val="18"/>
                <w:szCs w:val="18"/>
                <w:u w:val="single"/>
              </w:rPr>
              <w:t>Proposal by ESA/ISF</w:t>
            </w:r>
            <w:r w:rsidR="00B37D73" w:rsidRPr="00B37D73">
              <w:rPr>
                <w:sz w:val="18"/>
                <w:szCs w:val="18"/>
              </w:rPr>
              <w:t xml:space="preserve"> </w:t>
            </w:r>
            <w:r w:rsidR="00B37D73">
              <w:rPr>
                <w:sz w:val="18"/>
                <w:szCs w:val="18"/>
              </w:rPr>
              <w:fldChar w:fldCharType="begin"/>
            </w:r>
            <w:r w:rsidR="00B37D73">
              <w:rPr>
                <w:sz w:val="18"/>
                <w:szCs w:val="18"/>
              </w:rPr>
              <w:instrText xml:space="preserve"> NOTEREF _Ref526439475 \f \h </w:instrText>
            </w:r>
            <w:r w:rsidR="00B37D73">
              <w:rPr>
                <w:sz w:val="18"/>
                <w:szCs w:val="18"/>
              </w:rPr>
            </w:r>
            <w:r w:rsidR="00B37D73">
              <w:rPr>
                <w:sz w:val="18"/>
                <w:szCs w:val="18"/>
              </w:rPr>
              <w:fldChar w:fldCharType="separate"/>
            </w:r>
            <w:r w:rsidR="008D27BA" w:rsidRPr="008D27BA">
              <w:rPr>
                <w:rStyle w:val="EndnoteReference"/>
              </w:rPr>
              <w:t>o</w:t>
            </w:r>
            <w:r w:rsidR="00B37D73">
              <w:rPr>
                <w:sz w:val="18"/>
                <w:szCs w:val="18"/>
              </w:rPr>
              <w:fldChar w:fldCharType="end"/>
            </w:r>
          </w:p>
          <w:p w:rsidR="00EA4900" w:rsidRPr="005D7C20" w:rsidRDefault="00EA4900" w:rsidP="00E27D83">
            <w:pPr>
              <w:rPr>
                <w:sz w:val="18"/>
                <w:szCs w:val="18"/>
              </w:rPr>
            </w:pPr>
          </w:p>
          <w:p w:rsidR="00EA4900" w:rsidRDefault="00EA4900" w:rsidP="00E27D83">
            <w:pPr>
              <w:rPr>
                <w:sz w:val="18"/>
                <w:szCs w:val="18"/>
              </w:rPr>
            </w:pPr>
            <w:r>
              <w:rPr>
                <w:sz w:val="18"/>
                <w:szCs w:val="18"/>
              </w:rPr>
              <w:t xml:space="preserve">Section 2.3.3 </w:t>
            </w:r>
            <w:r w:rsidRPr="00A6443F">
              <w:rPr>
                <w:strike/>
                <w:sz w:val="18"/>
                <w:szCs w:val="18"/>
              </w:rPr>
              <w:t>(b) (iii)</w:t>
            </w:r>
            <w:r w:rsidRPr="00A6443F">
              <w:rPr>
                <w:sz w:val="18"/>
                <w:szCs w:val="18"/>
              </w:rPr>
              <w:t xml:space="preserve"> </w:t>
            </w:r>
            <w:r>
              <w:rPr>
                <w:sz w:val="18"/>
                <w:szCs w:val="18"/>
                <w:u w:val="single"/>
              </w:rPr>
              <w:t xml:space="preserve">(a) </w:t>
            </w:r>
            <w:r w:rsidRPr="00A6443F">
              <w:rPr>
                <w:sz w:val="18"/>
                <w:szCs w:val="18"/>
                <w:u w:val="single"/>
              </w:rPr>
              <w:t>(i)</w:t>
            </w:r>
            <w:r>
              <w:rPr>
                <w:sz w:val="18"/>
                <w:szCs w:val="18"/>
              </w:rPr>
              <w:t>:  refers to a case where a difference of one letter at the beginning  may not provide a clear visual and phonetic difference.  The example given in the first bullet however does not have a difference of one letter in the beginning but of two letters and is therefore somewhat confusing.</w:t>
            </w:r>
          </w:p>
          <w:p w:rsidR="00EA4900" w:rsidRPr="005D7C20" w:rsidRDefault="00EA4900" w:rsidP="00E27D83">
            <w:pPr>
              <w:rPr>
                <w:sz w:val="18"/>
                <w:szCs w:val="18"/>
              </w:rPr>
            </w:pPr>
          </w:p>
        </w:tc>
      </w:tr>
    </w:tbl>
    <w:p w:rsidR="00EA4900" w:rsidRDefault="00EA4900" w:rsidP="00EA4900">
      <w:pPr>
        <w:ind w:right="566"/>
        <w:rPr>
          <w:lang w:eastAsia="ja-JP"/>
        </w:rPr>
      </w:pPr>
    </w:p>
    <w:tbl>
      <w:tblPr>
        <w:tblW w:w="0" w:type="auto"/>
        <w:tblBorders>
          <w:top w:val="single" w:sz="4" w:space="0" w:color="auto"/>
          <w:left w:val="single" w:sz="4" w:space="0" w:color="auto"/>
          <w:bottom w:val="single" w:sz="4" w:space="0" w:color="auto"/>
          <w:right w:val="single" w:sz="4" w:space="0" w:color="auto"/>
        </w:tblBorders>
        <w:shd w:val="clear" w:color="auto" w:fill="95B3D7" w:themeFill="accent1" w:themeFillTint="99"/>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5D7C20" w:rsidRDefault="00EA4900" w:rsidP="00E27D83">
            <w:pPr>
              <w:rPr>
                <w:sz w:val="18"/>
                <w:szCs w:val="18"/>
              </w:rPr>
            </w:pPr>
          </w:p>
          <w:p w:rsidR="00EA4900" w:rsidRPr="00C04C22" w:rsidRDefault="00EA4900" w:rsidP="00E27D83">
            <w:pPr>
              <w:rPr>
                <w:sz w:val="18"/>
                <w:szCs w:val="18"/>
                <w:u w:val="single"/>
              </w:rPr>
            </w:pPr>
            <w:r w:rsidRPr="00C04C22">
              <w:rPr>
                <w:sz w:val="18"/>
                <w:szCs w:val="18"/>
                <w:u w:val="single"/>
              </w:rPr>
              <w:t>Agreed by the WG-DEN</w:t>
            </w:r>
            <w:r w:rsidR="00B37D73" w:rsidRPr="00B37D73">
              <w:rPr>
                <w:sz w:val="18"/>
                <w:szCs w:val="18"/>
              </w:rPr>
              <w:t xml:space="preserve"> </w:t>
            </w:r>
            <w:r w:rsidR="00B37D73">
              <w:rPr>
                <w:rStyle w:val="EndnoteReference"/>
                <w:sz w:val="18"/>
                <w:szCs w:val="18"/>
              </w:rPr>
              <w:endnoteReference w:id="18"/>
            </w:r>
          </w:p>
          <w:p w:rsidR="00EA4900" w:rsidRPr="00C04C22" w:rsidRDefault="00EA4900" w:rsidP="00E27D83">
            <w:pPr>
              <w:rPr>
                <w:sz w:val="18"/>
                <w:szCs w:val="18"/>
              </w:rPr>
            </w:pPr>
          </w:p>
          <w:p w:rsidR="00EA4900" w:rsidRPr="00C04C22" w:rsidRDefault="00EA4900" w:rsidP="00E27D83">
            <w:pPr>
              <w:rPr>
                <w:sz w:val="18"/>
                <w:szCs w:val="18"/>
              </w:rPr>
            </w:pPr>
            <w:r w:rsidRPr="00C04C22">
              <w:rPr>
                <w:sz w:val="18"/>
                <w:szCs w:val="18"/>
              </w:rPr>
              <w:t>To add “Helena” and “Elena” as an example of a clear visual difference that may not provide a clear phonetic difference in a language other than English (in Spanish).</w:t>
            </w:r>
          </w:p>
          <w:p w:rsidR="00EA4900" w:rsidRPr="00C04C22" w:rsidRDefault="00EA4900" w:rsidP="00E27D83">
            <w:pPr>
              <w:rPr>
                <w:sz w:val="18"/>
                <w:szCs w:val="18"/>
              </w:rPr>
            </w:pPr>
          </w:p>
          <w:p w:rsidR="00EA4900" w:rsidRDefault="00EA4900" w:rsidP="00E27D83">
            <w:pPr>
              <w:rPr>
                <w:sz w:val="18"/>
                <w:szCs w:val="18"/>
              </w:rPr>
            </w:pPr>
            <w:r w:rsidRPr="00C04C22">
              <w:rPr>
                <w:sz w:val="18"/>
                <w:szCs w:val="18"/>
              </w:rPr>
              <w:t>To consider the example of “Bow” and “Bough” at the second meeting.</w:t>
            </w:r>
          </w:p>
          <w:p w:rsidR="00EA4900" w:rsidRPr="005D7C20" w:rsidRDefault="00EA4900" w:rsidP="00E27D83">
            <w:pPr>
              <w:rPr>
                <w:sz w:val="18"/>
                <w:szCs w:val="18"/>
              </w:rPr>
            </w:pPr>
          </w:p>
        </w:tc>
      </w:tr>
    </w:tbl>
    <w:p w:rsidR="00EA4900" w:rsidRDefault="00EA4900" w:rsidP="00EA4900">
      <w:pPr>
        <w:ind w:right="566"/>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C544AE" w:rsidTr="005B58CF">
        <w:trPr>
          <w:cantSplit/>
        </w:trPr>
        <w:tc>
          <w:tcPr>
            <w:tcW w:w="9855" w:type="dxa"/>
            <w:shd w:val="clear" w:color="auto" w:fill="D9D9D9" w:themeFill="background1" w:themeFillShade="D9"/>
          </w:tcPr>
          <w:p w:rsidR="00C544AE" w:rsidRDefault="00C544AE" w:rsidP="005B58CF"/>
          <w:p w:rsidR="00C544AE" w:rsidRPr="00E43B13" w:rsidRDefault="00C544AE" w:rsidP="005B58CF">
            <w:pPr>
              <w:shd w:val="clear" w:color="auto" w:fill="D9D9D9" w:themeFill="background1" w:themeFillShade="D9"/>
              <w:rPr>
                <w:color w:val="000000"/>
                <w:sz w:val="18"/>
                <w:szCs w:val="18"/>
                <w:highlight w:val="yellow"/>
                <w:u w:val="single"/>
                <w:lang w:eastAsia="ja-JP"/>
              </w:rPr>
            </w:pPr>
            <w:r w:rsidRPr="00E43B13">
              <w:rPr>
                <w:color w:val="000000"/>
                <w:sz w:val="18"/>
                <w:szCs w:val="18"/>
                <w:highlight w:val="yellow"/>
                <w:u w:val="single"/>
                <w:lang w:eastAsia="ja-JP"/>
              </w:rPr>
              <w:t>T</w:t>
            </w:r>
            <w:r w:rsidRPr="00E43B13">
              <w:rPr>
                <w:color w:val="000000"/>
                <w:sz w:val="18"/>
                <w:szCs w:val="18"/>
                <w:highlight w:val="yellow"/>
                <w:u w:val="single"/>
              </w:rPr>
              <w:t xml:space="preserve">he </w:t>
            </w:r>
            <w:r w:rsidRPr="00E43B13">
              <w:rPr>
                <w:rFonts w:hint="eastAsia"/>
                <w:color w:val="000000"/>
                <w:sz w:val="18"/>
                <w:szCs w:val="18"/>
                <w:highlight w:val="yellow"/>
                <w:u w:val="single"/>
                <w:lang w:eastAsia="ja-JP"/>
              </w:rPr>
              <w:t>WG-DEN</w:t>
            </w:r>
            <w:r w:rsidRPr="00E43B13">
              <w:rPr>
                <w:color w:val="000000"/>
                <w:sz w:val="18"/>
                <w:szCs w:val="18"/>
                <w:highlight w:val="yellow"/>
                <w:u w:val="single"/>
                <w:lang w:eastAsia="ja-JP"/>
              </w:rPr>
              <w:t>, at its fourth meeting, agreed</w:t>
            </w:r>
            <w:r w:rsidRPr="00E43B13">
              <w:rPr>
                <w:rFonts w:hint="eastAsia"/>
                <w:color w:val="000000"/>
                <w:sz w:val="18"/>
                <w:szCs w:val="18"/>
                <w:highlight w:val="yellow"/>
                <w:u w:val="single"/>
                <w:lang w:eastAsia="ja-JP"/>
              </w:rPr>
              <w:t xml:space="preserve"> </w:t>
            </w:r>
          </w:p>
          <w:p w:rsidR="00C544AE" w:rsidRPr="00613BB7" w:rsidRDefault="00C544AE" w:rsidP="005B58CF">
            <w:pPr>
              <w:shd w:val="clear" w:color="auto" w:fill="D9D9D9" w:themeFill="background1" w:themeFillShade="D9"/>
              <w:rPr>
                <w:color w:val="000000"/>
                <w:sz w:val="18"/>
                <w:szCs w:val="18"/>
                <w:highlight w:val="yellow"/>
                <w:u w:val="single"/>
              </w:rPr>
            </w:pPr>
          </w:p>
          <w:p w:rsidR="00C544AE" w:rsidRDefault="00C544AE" w:rsidP="005B58CF">
            <w:pPr>
              <w:rPr>
                <w:color w:val="000000"/>
                <w:sz w:val="18"/>
                <w:szCs w:val="18"/>
                <w:lang w:eastAsia="ja-JP"/>
              </w:rPr>
            </w:pPr>
            <w:r w:rsidRPr="00613BB7">
              <w:rPr>
                <w:color w:val="000000"/>
                <w:sz w:val="18"/>
                <w:szCs w:val="18"/>
                <w:highlight w:val="yellow"/>
                <w:lang w:eastAsia="ja-JP"/>
              </w:rPr>
              <w:t>To</w:t>
            </w:r>
            <w:r>
              <w:rPr>
                <w:color w:val="000000"/>
                <w:sz w:val="18"/>
                <w:szCs w:val="18"/>
                <w:highlight w:val="yellow"/>
                <w:lang w:eastAsia="ja-JP"/>
              </w:rPr>
              <w:t xml:space="preserve"> </w:t>
            </w:r>
            <w:r w:rsidRPr="00C544AE">
              <w:rPr>
                <w:color w:val="000000"/>
                <w:sz w:val="18"/>
                <w:szCs w:val="18"/>
                <w:highlight w:val="yellow"/>
                <w:lang w:eastAsia="ja-JP"/>
              </w:rPr>
              <w:t xml:space="preserve">amend the draft of the example 2 of the Section 2.3.3 (a) (i) to reflect the practices of the authorities. </w:t>
            </w:r>
            <w:r>
              <w:rPr>
                <w:color w:val="000000"/>
                <w:sz w:val="18"/>
                <w:szCs w:val="18"/>
                <w:highlight w:val="yellow"/>
                <w:lang w:eastAsia="ja-JP"/>
              </w:rPr>
              <w:t xml:space="preserve"> </w:t>
            </w:r>
            <w:r w:rsidRPr="00C544AE">
              <w:rPr>
                <w:color w:val="000000"/>
                <w:sz w:val="18"/>
                <w:szCs w:val="18"/>
                <w:highlight w:val="yellow"/>
                <w:lang w:eastAsia="ja-JP"/>
              </w:rPr>
              <w:t>The WG-DEN requested the Office of the Union to issue a circular to invite the authorities to provide their guidance on the cases which could cause confusion phonetically but not visually.</w:t>
            </w:r>
            <w:r w:rsidRPr="00C544AE">
              <w:rPr>
                <w:color w:val="000000"/>
                <w:sz w:val="18"/>
                <w:szCs w:val="18"/>
                <w:lang w:eastAsia="ja-JP"/>
              </w:rPr>
              <w:t xml:space="preserve"> </w:t>
            </w:r>
          </w:p>
          <w:p w:rsidR="00C544AE" w:rsidRDefault="00C544AE" w:rsidP="005B58CF"/>
        </w:tc>
      </w:tr>
    </w:tbl>
    <w:p w:rsidR="00C544AE" w:rsidRDefault="00C544AE" w:rsidP="00EA4900">
      <w:pPr>
        <w:ind w:right="566"/>
        <w:rPr>
          <w:lang w:eastAsia="ja-JP"/>
        </w:rPr>
      </w:pPr>
    </w:p>
    <w:p w:rsidR="00C544AE" w:rsidRDefault="00C544AE" w:rsidP="00EA4900">
      <w:pPr>
        <w:ind w:right="566"/>
        <w:rPr>
          <w:lang w:eastAsia="ja-JP"/>
        </w:rPr>
      </w:pPr>
    </w:p>
    <w:p w:rsidR="00EA4900" w:rsidRPr="00407B23" w:rsidRDefault="00EA4900" w:rsidP="00EA4900">
      <w:pPr>
        <w:tabs>
          <w:tab w:val="right" w:pos="1134"/>
          <w:tab w:val="left" w:pos="1418"/>
        </w:tabs>
      </w:pPr>
      <w:r w:rsidRPr="00407B23">
        <w:tab/>
      </w:r>
      <w:r w:rsidRPr="009754CE">
        <w:rPr>
          <w:strike/>
        </w:rPr>
        <w:t>(ii)</w:t>
      </w:r>
      <w:r w:rsidR="00FE5270" w:rsidRPr="009754CE">
        <w:rPr>
          <w:u w:val="single"/>
        </w:rPr>
        <w:t>(b)</w:t>
      </w:r>
      <w:r w:rsidRPr="00407B23">
        <w:tab/>
      </w:r>
      <w:r w:rsidR="00FE5270" w:rsidRPr="009754CE">
        <w:rPr>
          <w:u w:val="single"/>
        </w:rPr>
        <w:t xml:space="preserve">For </w:t>
      </w:r>
      <w:r w:rsidRPr="00407B23">
        <w:t>denominations consist</w:t>
      </w:r>
      <w:r w:rsidR="00FE5270" w:rsidRPr="009754CE">
        <w:rPr>
          <w:u w:val="single"/>
        </w:rPr>
        <w:t>ing</w:t>
      </w:r>
      <w:r w:rsidRPr="00407B23">
        <w:t xml:space="preserve"> of a combination of letters and figures</w:t>
      </w:r>
      <w:r w:rsidRPr="009754CE">
        <w:rPr>
          <w:strike/>
        </w:rPr>
        <w:t>;</w:t>
      </w:r>
      <w:r w:rsidR="00FE5270" w:rsidRPr="009754CE">
        <w:rPr>
          <w:u w:val="single"/>
        </w:rPr>
        <w:t xml:space="preserve"> and</w:t>
      </w:r>
    </w:p>
    <w:p w:rsidR="00EA4900" w:rsidRDefault="00EA4900" w:rsidP="00EA4900">
      <w:pPr>
        <w:tabs>
          <w:tab w:val="right" w:pos="1134"/>
          <w:tab w:val="left" w:pos="1418"/>
        </w:tabs>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47703B" w:rsidRDefault="00EA4900" w:rsidP="00E27D83">
            <w:pPr>
              <w:rPr>
                <w:sz w:val="18"/>
                <w:szCs w:val="18"/>
              </w:rPr>
            </w:pPr>
          </w:p>
          <w:p w:rsidR="00EA4900" w:rsidRPr="0047703B" w:rsidRDefault="00EA4900" w:rsidP="00E27D83">
            <w:pPr>
              <w:rPr>
                <w:sz w:val="18"/>
                <w:szCs w:val="18"/>
              </w:rPr>
            </w:pPr>
            <w:r w:rsidRPr="0047703B">
              <w:rPr>
                <w:sz w:val="18"/>
                <w:szCs w:val="18"/>
                <w:u w:val="single"/>
              </w:rPr>
              <w:t>Proposal by New Zealand</w:t>
            </w:r>
            <w:r w:rsidR="00B37D73" w:rsidRPr="00B37D73">
              <w:rPr>
                <w:sz w:val="18"/>
                <w:szCs w:val="18"/>
              </w:rPr>
              <w:t xml:space="preserve"> </w:t>
            </w:r>
            <w:r w:rsidR="00B37D73">
              <w:rPr>
                <w:sz w:val="18"/>
                <w:szCs w:val="18"/>
              </w:rPr>
              <w:fldChar w:fldCharType="begin"/>
            </w:r>
            <w:r w:rsidR="00B37D73">
              <w:rPr>
                <w:sz w:val="18"/>
                <w:szCs w:val="18"/>
              </w:rPr>
              <w:instrText xml:space="preserve"> NOTEREF _Ref526439134 \f \h </w:instrText>
            </w:r>
            <w:r w:rsidR="00B37D73">
              <w:rPr>
                <w:sz w:val="18"/>
                <w:szCs w:val="18"/>
              </w:rPr>
            </w:r>
            <w:r w:rsidR="00B37D73">
              <w:rPr>
                <w:sz w:val="18"/>
                <w:szCs w:val="18"/>
              </w:rPr>
              <w:fldChar w:fldCharType="separate"/>
            </w:r>
            <w:r w:rsidR="008D27BA" w:rsidRPr="008D27BA">
              <w:rPr>
                <w:rStyle w:val="EndnoteReference"/>
              </w:rPr>
              <w:t>f</w:t>
            </w:r>
            <w:r w:rsidR="00B37D73">
              <w:rPr>
                <w:sz w:val="18"/>
                <w:szCs w:val="18"/>
              </w:rPr>
              <w:fldChar w:fldCharType="end"/>
            </w:r>
          </w:p>
          <w:p w:rsidR="00EA4900" w:rsidRPr="0047703B" w:rsidRDefault="00EA4900" w:rsidP="00E27D83">
            <w:pPr>
              <w:rPr>
                <w:sz w:val="18"/>
                <w:szCs w:val="18"/>
              </w:rPr>
            </w:pPr>
          </w:p>
          <w:p w:rsidR="00EA4900" w:rsidRDefault="00EA4900" w:rsidP="00E27D83">
            <w:pPr>
              <w:rPr>
                <w:sz w:val="18"/>
                <w:szCs w:val="18"/>
              </w:rPr>
            </w:pPr>
            <w:r>
              <w:rPr>
                <w:sz w:val="18"/>
                <w:szCs w:val="18"/>
              </w:rPr>
              <w:t>Section 2.3.3 (a) (ii):  consider whether this exemption should continue from the general recommendation.</w:t>
            </w:r>
          </w:p>
          <w:p w:rsidR="00EA4900" w:rsidRPr="0047703B" w:rsidRDefault="00EA4900" w:rsidP="00E27D83">
            <w:pPr>
              <w:rPr>
                <w:sz w:val="18"/>
                <w:szCs w:val="18"/>
              </w:rPr>
            </w:pPr>
          </w:p>
        </w:tc>
      </w:tr>
    </w:tbl>
    <w:p w:rsidR="00EA4900" w:rsidRPr="00407B23" w:rsidRDefault="00EA4900" w:rsidP="00EA4900">
      <w:pPr>
        <w:tabs>
          <w:tab w:val="right" w:pos="1134"/>
          <w:tab w:val="left" w:pos="1418"/>
        </w:tabs>
      </w:pPr>
    </w:p>
    <w:p w:rsidR="00EA4900" w:rsidRPr="00407B23" w:rsidRDefault="00EA4900" w:rsidP="00EA4900">
      <w:pPr>
        <w:tabs>
          <w:tab w:val="right" w:pos="1134"/>
          <w:tab w:val="left" w:pos="1418"/>
        </w:tabs>
      </w:pPr>
      <w:r w:rsidRPr="009754CE">
        <w:rPr>
          <w:strike/>
        </w:rPr>
        <w:tab/>
        <w:t>(iii)</w:t>
      </w:r>
      <w:r w:rsidRPr="009754CE">
        <w:rPr>
          <w:strike/>
        </w:rPr>
        <w:tab/>
      </w:r>
      <w:r w:rsidRPr="00407B23">
        <w:t>denominations consist</w:t>
      </w:r>
      <w:r w:rsidR="00FE5270" w:rsidRPr="00FE5270">
        <w:t>ing</w:t>
      </w:r>
      <w:r w:rsidRPr="00407B23">
        <w:t xml:space="preserve"> “solely of figures</w:t>
      </w:r>
      <w:r w:rsidRPr="00FE5270">
        <w:t>”</w:t>
      </w:r>
      <w:r w:rsidR="00FE5270" w:rsidRPr="009754CE">
        <w:rPr>
          <w:strike/>
        </w:rPr>
        <w:t>.</w:t>
      </w:r>
      <w:r w:rsidR="00FE5270" w:rsidRPr="009754CE">
        <w:rPr>
          <w:u w:val="single"/>
        </w:rPr>
        <w:t>, as a general recommendation, a difference of only one letter or one number may be considered not to be liable to mislead or cause confusion concerning the identity of the variety.</w:t>
      </w:r>
    </w:p>
    <w:p w:rsidR="00EA4900" w:rsidRPr="00407B23" w:rsidRDefault="00EA4900" w:rsidP="00EA4900"/>
    <w:p w:rsidR="00EA4900" w:rsidRDefault="00EA4900" w:rsidP="00EA4900">
      <w:pPr>
        <w:keepNext/>
      </w:pPr>
      <w:r w:rsidRPr="00407B23">
        <w:tab/>
      </w:r>
      <w:r w:rsidRPr="009754CE">
        <w:rPr>
          <w:strike/>
        </w:rPr>
        <w:t>(b)</w:t>
      </w:r>
      <w:r w:rsidR="00FE5270" w:rsidRPr="009754CE">
        <w:rPr>
          <w:u w:val="single"/>
        </w:rPr>
        <w:t>(c)</w:t>
      </w:r>
      <w:r w:rsidRPr="00407B23">
        <w:tab/>
        <w:t>The use of a denomination which is similar to that used for a variety of another species or genera in the same denomination class (see section 2.5) may cause confusion.</w:t>
      </w:r>
    </w:p>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C544AE" w:rsidTr="005B58CF">
        <w:trPr>
          <w:cantSplit/>
        </w:trPr>
        <w:tc>
          <w:tcPr>
            <w:tcW w:w="9855" w:type="dxa"/>
            <w:shd w:val="clear" w:color="auto" w:fill="D9D9D9" w:themeFill="background1" w:themeFillShade="D9"/>
          </w:tcPr>
          <w:p w:rsidR="00C544AE" w:rsidRDefault="00C544AE" w:rsidP="005B58CF"/>
          <w:p w:rsidR="00C544AE" w:rsidRPr="00E43B13" w:rsidRDefault="00C544AE" w:rsidP="005B58CF">
            <w:pPr>
              <w:shd w:val="clear" w:color="auto" w:fill="D9D9D9" w:themeFill="background1" w:themeFillShade="D9"/>
              <w:rPr>
                <w:color w:val="000000"/>
                <w:sz w:val="18"/>
                <w:szCs w:val="18"/>
                <w:highlight w:val="yellow"/>
                <w:u w:val="single"/>
                <w:lang w:eastAsia="ja-JP"/>
              </w:rPr>
            </w:pPr>
            <w:r w:rsidRPr="00E43B13">
              <w:rPr>
                <w:color w:val="000000"/>
                <w:sz w:val="18"/>
                <w:szCs w:val="18"/>
                <w:highlight w:val="yellow"/>
                <w:u w:val="single"/>
                <w:lang w:eastAsia="ja-JP"/>
              </w:rPr>
              <w:t>T</w:t>
            </w:r>
            <w:r w:rsidRPr="00E43B13">
              <w:rPr>
                <w:color w:val="000000"/>
                <w:sz w:val="18"/>
                <w:szCs w:val="18"/>
                <w:highlight w:val="yellow"/>
                <w:u w:val="single"/>
              </w:rPr>
              <w:t xml:space="preserve">he </w:t>
            </w:r>
            <w:r w:rsidRPr="00E43B13">
              <w:rPr>
                <w:rFonts w:hint="eastAsia"/>
                <w:color w:val="000000"/>
                <w:sz w:val="18"/>
                <w:szCs w:val="18"/>
                <w:highlight w:val="yellow"/>
                <w:u w:val="single"/>
                <w:lang w:eastAsia="ja-JP"/>
              </w:rPr>
              <w:t>WG-DEN</w:t>
            </w:r>
            <w:r w:rsidRPr="00E43B13">
              <w:rPr>
                <w:color w:val="000000"/>
                <w:sz w:val="18"/>
                <w:szCs w:val="18"/>
                <w:highlight w:val="yellow"/>
                <w:u w:val="single"/>
                <w:lang w:eastAsia="ja-JP"/>
              </w:rPr>
              <w:t>, at its fourth meeting, agreed</w:t>
            </w:r>
            <w:r w:rsidRPr="00E43B13">
              <w:rPr>
                <w:rFonts w:hint="eastAsia"/>
                <w:color w:val="000000"/>
                <w:sz w:val="18"/>
                <w:szCs w:val="18"/>
                <w:highlight w:val="yellow"/>
                <w:u w:val="single"/>
                <w:lang w:eastAsia="ja-JP"/>
              </w:rPr>
              <w:t xml:space="preserve"> </w:t>
            </w:r>
          </w:p>
          <w:p w:rsidR="00C544AE" w:rsidRPr="00613BB7" w:rsidRDefault="00C544AE" w:rsidP="005B58CF">
            <w:pPr>
              <w:shd w:val="clear" w:color="auto" w:fill="D9D9D9" w:themeFill="background1" w:themeFillShade="D9"/>
              <w:rPr>
                <w:color w:val="000000"/>
                <w:sz w:val="18"/>
                <w:szCs w:val="18"/>
                <w:highlight w:val="yellow"/>
                <w:u w:val="single"/>
              </w:rPr>
            </w:pPr>
          </w:p>
          <w:p w:rsidR="00C544AE" w:rsidRDefault="00C544AE" w:rsidP="005B58CF">
            <w:pPr>
              <w:rPr>
                <w:color w:val="000000"/>
                <w:sz w:val="18"/>
                <w:szCs w:val="18"/>
                <w:lang w:eastAsia="ja-JP"/>
              </w:rPr>
            </w:pPr>
            <w:r w:rsidRPr="00613BB7">
              <w:rPr>
                <w:color w:val="000000"/>
                <w:sz w:val="18"/>
                <w:szCs w:val="18"/>
                <w:highlight w:val="yellow"/>
                <w:lang w:eastAsia="ja-JP"/>
              </w:rPr>
              <w:t>To</w:t>
            </w:r>
            <w:r>
              <w:rPr>
                <w:color w:val="000000"/>
                <w:sz w:val="18"/>
                <w:szCs w:val="18"/>
                <w:highlight w:val="yellow"/>
                <w:lang w:eastAsia="ja-JP"/>
              </w:rPr>
              <w:t xml:space="preserve"> </w:t>
            </w:r>
            <w:r w:rsidRPr="00C544AE">
              <w:rPr>
                <w:color w:val="000000"/>
                <w:sz w:val="18"/>
                <w:szCs w:val="18"/>
                <w:highlight w:val="yellow"/>
                <w:lang w:eastAsia="ja-JP"/>
              </w:rPr>
              <w:t>amend the draft of the new Section 2.3.3 (b) (currently, Section 2.3.3 (a) (ii) and (iii)). It agreed that Brazil should provide its guidance on that matter, which would be used as a basis to develop a proposal for a revision to be considered at the fifth meeting of the WG-DEN.</w:t>
            </w:r>
            <w:r w:rsidRPr="00C544AE">
              <w:rPr>
                <w:color w:val="000000"/>
                <w:sz w:val="18"/>
                <w:szCs w:val="18"/>
                <w:lang w:eastAsia="ja-JP"/>
              </w:rPr>
              <w:t xml:space="preserve"> </w:t>
            </w:r>
          </w:p>
          <w:p w:rsidR="00C544AE" w:rsidRDefault="00C544AE" w:rsidP="005B58CF"/>
        </w:tc>
      </w:tr>
    </w:tbl>
    <w:p w:rsidR="00C544AE" w:rsidRDefault="00C544AE" w:rsidP="00EA4900"/>
    <w:p w:rsidR="00C544AE" w:rsidRPr="00407B23" w:rsidRDefault="00C544AE" w:rsidP="00EA4900"/>
    <w:p w:rsidR="00EA4900" w:rsidRPr="00407B23" w:rsidRDefault="00EA4900" w:rsidP="00EA4900">
      <w:pPr>
        <w:spacing w:line="240" w:lineRule="atLeast"/>
        <w:ind w:firstLine="567"/>
      </w:pPr>
      <w:r w:rsidRPr="009754CE">
        <w:rPr>
          <w:strike/>
        </w:rPr>
        <w:t>(c)</w:t>
      </w:r>
      <w:r w:rsidR="00FE5270" w:rsidRPr="009754CE">
        <w:rPr>
          <w:u w:val="single"/>
        </w:rPr>
        <w:t>(d)</w:t>
      </w:r>
      <w:r w:rsidRPr="00407B23">
        <w:tab/>
        <w:t xml:space="preserve">In order to provide clarity and certainty in relation to variety denominations, the re-use of denominations is, in general, discouraged, since the re-use of a denomination, even where that relates to a variety which no longer exists (see section 2.4.2) may, nevertheless, cause confusion.  In some limited cases an exception may be acceptable, for example a variety which was never commercialized, or was only commercialized in a limited way for a very short time.  In those cases, a suitable period of time after discontinued commercialization of the variety would be required before the re-use of the denomination in order to avoid causing confusion in relation to the identity and/or the characteristics of the variety. </w:t>
      </w:r>
    </w:p>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A442B5" w:rsidRDefault="00EA4900" w:rsidP="00E27D83">
            <w:pPr>
              <w:rPr>
                <w:color w:val="000000"/>
                <w:sz w:val="18"/>
                <w:szCs w:val="18"/>
                <w:u w:val="single"/>
              </w:rPr>
            </w:pPr>
          </w:p>
          <w:p w:rsidR="00EA4900" w:rsidRPr="00A442B5" w:rsidRDefault="00EA4900" w:rsidP="00E27D83">
            <w:pPr>
              <w:rPr>
                <w:color w:val="000000"/>
                <w:sz w:val="18"/>
                <w:szCs w:val="18"/>
                <w:u w:val="single"/>
              </w:rPr>
            </w:pPr>
            <w:r w:rsidRPr="00A442B5">
              <w:rPr>
                <w:color w:val="000000"/>
                <w:sz w:val="18"/>
                <w:szCs w:val="18"/>
                <w:u w:val="single"/>
              </w:rPr>
              <w:t>Proposal by WG-DST</w:t>
            </w:r>
            <w:r w:rsidR="00B37D73" w:rsidRPr="00B37D73">
              <w:rPr>
                <w:color w:val="000000"/>
                <w:sz w:val="18"/>
                <w:szCs w:val="18"/>
              </w:rPr>
              <w:t xml:space="preserve"> </w:t>
            </w:r>
            <w:r w:rsidR="00B37D73">
              <w:rPr>
                <w:color w:val="000000"/>
                <w:sz w:val="18"/>
                <w:szCs w:val="18"/>
              </w:rPr>
              <w:fldChar w:fldCharType="begin"/>
            </w:r>
            <w:r w:rsidR="00B37D73">
              <w:rPr>
                <w:color w:val="000000"/>
                <w:sz w:val="18"/>
                <w:szCs w:val="18"/>
              </w:rPr>
              <w:instrText xml:space="preserve"> NOTEREF _Ref526439596 \f \h </w:instrText>
            </w:r>
            <w:r w:rsidR="00B37D73">
              <w:rPr>
                <w:color w:val="000000"/>
                <w:sz w:val="18"/>
                <w:szCs w:val="18"/>
              </w:rPr>
            </w:r>
            <w:r w:rsidR="00B37D73">
              <w:rPr>
                <w:color w:val="000000"/>
                <w:sz w:val="18"/>
                <w:szCs w:val="18"/>
              </w:rPr>
              <w:fldChar w:fldCharType="separate"/>
            </w:r>
            <w:r w:rsidR="008D27BA" w:rsidRPr="008D27BA">
              <w:rPr>
                <w:rStyle w:val="EndnoteReference"/>
              </w:rPr>
              <w:t>n</w:t>
            </w:r>
            <w:r w:rsidR="00B37D73">
              <w:rPr>
                <w:color w:val="000000"/>
                <w:sz w:val="18"/>
                <w:szCs w:val="18"/>
              </w:rPr>
              <w:fldChar w:fldCharType="end"/>
            </w:r>
          </w:p>
          <w:p w:rsidR="00EA4900" w:rsidRPr="00A442B5" w:rsidRDefault="00EA4900" w:rsidP="00E27D83">
            <w:pPr>
              <w:rPr>
                <w:color w:val="000000"/>
                <w:sz w:val="18"/>
                <w:szCs w:val="18"/>
                <w:u w:val="single"/>
              </w:rPr>
            </w:pPr>
          </w:p>
          <w:p w:rsidR="00EA4900" w:rsidRDefault="00EA4900" w:rsidP="00E27D83">
            <w:pPr>
              <w:rPr>
                <w:sz w:val="18"/>
                <w:szCs w:val="18"/>
              </w:rPr>
            </w:pPr>
            <w:r>
              <w:rPr>
                <w:sz w:val="18"/>
                <w:szCs w:val="18"/>
              </w:rPr>
              <w:t>New section 2.3.3 (d):  t</w:t>
            </w:r>
            <w:r w:rsidRPr="00A442B5">
              <w:rPr>
                <w:sz w:val="18"/>
                <w:szCs w:val="18"/>
              </w:rPr>
              <w:t>o recommend that consideration be given to avoiding re-use of denominations in all cases.  However, it clarified that it would be important to consider only denominations of varieties (i.e. plant groupings that meet the definition of variety in Article 1 (vi) of the 1991 Act) and, in addition, to expand the content of PLUTO database to include all varieties, including those that had not been, or were no longer, registered/protected.</w:t>
            </w:r>
          </w:p>
          <w:p w:rsidR="00EA4900" w:rsidRPr="00A442B5" w:rsidRDefault="00EA4900" w:rsidP="00E27D83">
            <w:pPr>
              <w:rPr>
                <w:sz w:val="18"/>
                <w:szCs w:val="18"/>
              </w:rPr>
            </w:pPr>
          </w:p>
        </w:tc>
      </w:tr>
    </w:tbl>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5F2452" w:rsidRDefault="00EA4900" w:rsidP="00E27D83">
            <w:pPr>
              <w:rPr>
                <w:sz w:val="18"/>
                <w:szCs w:val="18"/>
              </w:rPr>
            </w:pPr>
          </w:p>
          <w:p w:rsidR="00EA4900" w:rsidRPr="005F2452" w:rsidRDefault="00EA4900" w:rsidP="00E27D83">
            <w:pPr>
              <w:rPr>
                <w:color w:val="000000"/>
                <w:sz w:val="18"/>
                <w:szCs w:val="18"/>
                <w:u w:val="single"/>
              </w:rPr>
            </w:pPr>
            <w:r w:rsidRPr="005F2452">
              <w:rPr>
                <w:color w:val="000000"/>
                <w:sz w:val="18"/>
                <w:szCs w:val="18"/>
                <w:u w:val="single"/>
              </w:rPr>
              <w:t xml:space="preserve">Proposal by </w:t>
            </w:r>
            <w:r>
              <w:rPr>
                <w:color w:val="000000"/>
                <w:sz w:val="18"/>
                <w:szCs w:val="18"/>
                <w:u w:val="single"/>
              </w:rPr>
              <w:t xml:space="preserve">the </w:t>
            </w:r>
            <w:r w:rsidRPr="005F2452">
              <w:rPr>
                <w:color w:val="000000"/>
                <w:sz w:val="18"/>
                <w:szCs w:val="18"/>
                <w:u w:val="single"/>
              </w:rPr>
              <w:t>European Union (CPVO)</w:t>
            </w:r>
            <w:r w:rsidR="00B37D73" w:rsidRPr="00B37D73">
              <w:rPr>
                <w:sz w:val="18"/>
                <w:szCs w:val="18"/>
              </w:rPr>
              <w:t xml:space="preserve"> </w:t>
            </w:r>
            <w:r w:rsidR="00B37D73">
              <w:rPr>
                <w:sz w:val="18"/>
                <w:szCs w:val="18"/>
              </w:rPr>
              <w:fldChar w:fldCharType="begin"/>
            </w:r>
            <w:r w:rsidR="00B37D73">
              <w:rPr>
                <w:sz w:val="18"/>
                <w:szCs w:val="18"/>
              </w:rPr>
              <w:instrText xml:space="preserve"> NOTEREF _Ref526437916 \f \h </w:instrText>
            </w:r>
            <w:r w:rsidR="00B37D73">
              <w:rPr>
                <w:sz w:val="18"/>
                <w:szCs w:val="18"/>
              </w:rPr>
            </w:r>
            <w:r w:rsidR="00B37D73">
              <w:rPr>
                <w:sz w:val="18"/>
                <w:szCs w:val="18"/>
              </w:rPr>
              <w:fldChar w:fldCharType="separate"/>
            </w:r>
            <w:r w:rsidR="008D27BA" w:rsidRPr="008D27BA">
              <w:rPr>
                <w:rStyle w:val="EndnoteReference"/>
              </w:rPr>
              <w:t>d</w:t>
            </w:r>
            <w:r w:rsidR="00B37D73">
              <w:rPr>
                <w:sz w:val="18"/>
                <w:szCs w:val="18"/>
              </w:rPr>
              <w:fldChar w:fldCharType="end"/>
            </w:r>
          </w:p>
          <w:p w:rsidR="00EA4900" w:rsidRPr="005F2452" w:rsidRDefault="00EA4900" w:rsidP="00E27D83">
            <w:pPr>
              <w:rPr>
                <w:color w:val="000000"/>
                <w:sz w:val="18"/>
                <w:szCs w:val="18"/>
                <w:u w:val="single"/>
              </w:rPr>
            </w:pPr>
          </w:p>
          <w:p w:rsidR="00EA4900" w:rsidRPr="005F2452" w:rsidRDefault="00EA4900" w:rsidP="00E27D83">
            <w:pPr>
              <w:rPr>
                <w:sz w:val="18"/>
                <w:szCs w:val="18"/>
              </w:rPr>
            </w:pPr>
            <w:r w:rsidRPr="005F2452">
              <w:rPr>
                <w:sz w:val="18"/>
                <w:szCs w:val="18"/>
              </w:rPr>
              <w:t>To make clear in section 2.3.3 dealing with the identity of the variety, that the re-use of the same or a similar VDs is possible under certain conditions, especially when an earlier variety has disappeared.</w:t>
            </w:r>
          </w:p>
          <w:p w:rsidR="00EA4900" w:rsidRPr="005F2452" w:rsidRDefault="00EA4900" w:rsidP="00E27D83">
            <w:pPr>
              <w:rPr>
                <w:sz w:val="18"/>
                <w:szCs w:val="18"/>
              </w:rPr>
            </w:pPr>
          </w:p>
        </w:tc>
      </w:tr>
    </w:tbl>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47703B" w:rsidRDefault="00EA4900" w:rsidP="00E27D83">
            <w:pPr>
              <w:rPr>
                <w:sz w:val="18"/>
                <w:szCs w:val="18"/>
              </w:rPr>
            </w:pPr>
          </w:p>
          <w:p w:rsidR="00EA4900" w:rsidRPr="0047703B" w:rsidRDefault="00EA4900" w:rsidP="00E27D83">
            <w:pPr>
              <w:rPr>
                <w:sz w:val="18"/>
                <w:szCs w:val="18"/>
              </w:rPr>
            </w:pPr>
            <w:r w:rsidRPr="0047703B">
              <w:rPr>
                <w:sz w:val="18"/>
                <w:szCs w:val="18"/>
                <w:u w:val="single"/>
              </w:rPr>
              <w:t>Proposal by New Zealand</w:t>
            </w:r>
            <w:r w:rsidR="00B37D73" w:rsidRPr="00B37D73">
              <w:rPr>
                <w:sz w:val="18"/>
                <w:szCs w:val="18"/>
              </w:rPr>
              <w:t xml:space="preserve"> </w:t>
            </w:r>
            <w:r w:rsidR="00B37D73">
              <w:rPr>
                <w:sz w:val="18"/>
                <w:szCs w:val="18"/>
              </w:rPr>
              <w:fldChar w:fldCharType="begin"/>
            </w:r>
            <w:r w:rsidR="00B37D73">
              <w:rPr>
                <w:sz w:val="18"/>
                <w:szCs w:val="18"/>
              </w:rPr>
              <w:instrText xml:space="preserve"> NOTEREF _Ref526439134 \f \h </w:instrText>
            </w:r>
            <w:r w:rsidR="00B37D73">
              <w:rPr>
                <w:sz w:val="18"/>
                <w:szCs w:val="18"/>
              </w:rPr>
            </w:r>
            <w:r w:rsidR="00B37D73">
              <w:rPr>
                <w:sz w:val="18"/>
                <w:szCs w:val="18"/>
              </w:rPr>
              <w:fldChar w:fldCharType="separate"/>
            </w:r>
            <w:r w:rsidR="008D27BA" w:rsidRPr="008D27BA">
              <w:rPr>
                <w:rStyle w:val="EndnoteReference"/>
              </w:rPr>
              <w:t>f</w:t>
            </w:r>
            <w:r w:rsidR="00B37D73">
              <w:rPr>
                <w:sz w:val="18"/>
                <w:szCs w:val="18"/>
              </w:rPr>
              <w:fldChar w:fldCharType="end"/>
            </w:r>
          </w:p>
          <w:p w:rsidR="00EA4900" w:rsidRDefault="00EA4900" w:rsidP="00E27D83">
            <w:pPr>
              <w:rPr>
                <w:sz w:val="18"/>
                <w:szCs w:val="18"/>
              </w:rPr>
            </w:pPr>
          </w:p>
          <w:p w:rsidR="00EA4900" w:rsidRDefault="00EA4900" w:rsidP="00E27D83">
            <w:pPr>
              <w:rPr>
                <w:sz w:val="18"/>
                <w:szCs w:val="18"/>
              </w:rPr>
            </w:pPr>
            <w:r>
              <w:rPr>
                <w:sz w:val="18"/>
                <w:szCs w:val="18"/>
              </w:rPr>
              <w:t>New section 2.3.3 (d):  to re-use of denominations should be possible for genera that require ongoing maintenance, such as annual seed crops.  It may be possible to sufficiently establish that a variety no longer exists.  For vegetatively propagated species it may be much more difficult to adequately establish that a variety no longer exists.  The re-use of denominations should not be entirely ruled out.</w:t>
            </w:r>
          </w:p>
          <w:p w:rsidR="00EA4900" w:rsidRPr="0047703B" w:rsidRDefault="00EA4900" w:rsidP="00E27D83">
            <w:pPr>
              <w:rPr>
                <w:sz w:val="18"/>
                <w:szCs w:val="18"/>
              </w:rPr>
            </w:pPr>
          </w:p>
        </w:tc>
      </w:tr>
    </w:tbl>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5D7C20" w:rsidRDefault="00EA4900" w:rsidP="00E27D83">
            <w:pPr>
              <w:rPr>
                <w:sz w:val="18"/>
                <w:szCs w:val="18"/>
              </w:rPr>
            </w:pPr>
          </w:p>
          <w:p w:rsidR="00EA4900" w:rsidRPr="005D7C20" w:rsidRDefault="00EA4900" w:rsidP="00E27D83">
            <w:pPr>
              <w:rPr>
                <w:sz w:val="18"/>
                <w:szCs w:val="18"/>
                <w:u w:val="single"/>
              </w:rPr>
            </w:pPr>
            <w:r w:rsidRPr="005D7C20">
              <w:rPr>
                <w:sz w:val="18"/>
                <w:szCs w:val="18"/>
                <w:u w:val="single"/>
              </w:rPr>
              <w:t>Proposal by ESA/ISF</w:t>
            </w:r>
            <w:r w:rsidR="00B37D73" w:rsidRPr="00B37D73">
              <w:rPr>
                <w:sz w:val="18"/>
                <w:szCs w:val="18"/>
              </w:rPr>
              <w:t xml:space="preserve"> </w:t>
            </w:r>
            <w:r w:rsidR="00B37D73">
              <w:rPr>
                <w:sz w:val="18"/>
                <w:szCs w:val="18"/>
              </w:rPr>
              <w:fldChar w:fldCharType="begin"/>
            </w:r>
            <w:r w:rsidR="00B37D73">
              <w:rPr>
                <w:sz w:val="18"/>
                <w:szCs w:val="18"/>
              </w:rPr>
              <w:instrText xml:space="preserve"> NOTEREF _Ref526439475 \f \h </w:instrText>
            </w:r>
            <w:r w:rsidR="00B37D73">
              <w:rPr>
                <w:sz w:val="18"/>
                <w:szCs w:val="18"/>
              </w:rPr>
            </w:r>
            <w:r w:rsidR="00B37D73">
              <w:rPr>
                <w:sz w:val="18"/>
                <w:szCs w:val="18"/>
              </w:rPr>
              <w:fldChar w:fldCharType="separate"/>
            </w:r>
            <w:r w:rsidR="008D27BA" w:rsidRPr="008D27BA">
              <w:rPr>
                <w:rStyle w:val="EndnoteReference"/>
              </w:rPr>
              <w:t>o</w:t>
            </w:r>
            <w:r w:rsidR="00B37D73">
              <w:rPr>
                <w:sz w:val="18"/>
                <w:szCs w:val="18"/>
              </w:rPr>
              <w:fldChar w:fldCharType="end"/>
            </w:r>
          </w:p>
          <w:p w:rsidR="00EA4900" w:rsidRPr="005D7C20" w:rsidRDefault="00EA4900" w:rsidP="00E27D83">
            <w:pPr>
              <w:rPr>
                <w:sz w:val="18"/>
                <w:szCs w:val="18"/>
              </w:rPr>
            </w:pPr>
          </w:p>
          <w:p w:rsidR="00EA4900" w:rsidRDefault="00EA4900" w:rsidP="00E27D83">
            <w:pPr>
              <w:rPr>
                <w:sz w:val="18"/>
                <w:szCs w:val="18"/>
              </w:rPr>
            </w:pPr>
            <w:r>
              <w:rPr>
                <w:sz w:val="18"/>
                <w:szCs w:val="18"/>
              </w:rPr>
              <w:t>Section: 2.3.3 (d):  propose to mention 10 years as an example of suitable period.  This is what is indicated in the CPVO guidelines on variety denominations.</w:t>
            </w:r>
          </w:p>
          <w:p w:rsidR="00EA4900" w:rsidRPr="005D7C20" w:rsidRDefault="00EA4900" w:rsidP="00E27D83">
            <w:pPr>
              <w:rPr>
                <w:sz w:val="18"/>
                <w:szCs w:val="18"/>
              </w:rPr>
            </w:pPr>
          </w:p>
        </w:tc>
      </w:tr>
    </w:tbl>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47703B" w:rsidRDefault="00EA4900" w:rsidP="00E27D83">
            <w:pPr>
              <w:rPr>
                <w:sz w:val="18"/>
                <w:szCs w:val="18"/>
              </w:rPr>
            </w:pPr>
          </w:p>
          <w:p w:rsidR="00EA4900" w:rsidRPr="005D7C20" w:rsidRDefault="00EA4900" w:rsidP="00E27D83">
            <w:pPr>
              <w:rPr>
                <w:sz w:val="18"/>
                <w:szCs w:val="18"/>
                <w:u w:val="single"/>
              </w:rPr>
            </w:pPr>
            <w:r w:rsidRPr="005D7C20">
              <w:rPr>
                <w:sz w:val="18"/>
                <w:szCs w:val="18"/>
                <w:u w:val="single"/>
              </w:rPr>
              <w:t>Proposal by ESA/ISF</w:t>
            </w:r>
            <w:r w:rsidR="00B37D73" w:rsidRPr="00B37D73">
              <w:rPr>
                <w:sz w:val="18"/>
                <w:szCs w:val="18"/>
              </w:rPr>
              <w:t xml:space="preserve"> </w:t>
            </w:r>
            <w:r w:rsidR="00B37D73">
              <w:rPr>
                <w:sz w:val="18"/>
                <w:szCs w:val="18"/>
              </w:rPr>
              <w:fldChar w:fldCharType="begin"/>
            </w:r>
            <w:r w:rsidR="00B37D73">
              <w:rPr>
                <w:sz w:val="18"/>
                <w:szCs w:val="18"/>
              </w:rPr>
              <w:instrText xml:space="preserve"> NOTEREF _Ref526439475 \f \h </w:instrText>
            </w:r>
            <w:r w:rsidR="00B37D73">
              <w:rPr>
                <w:sz w:val="18"/>
                <w:szCs w:val="18"/>
              </w:rPr>
            </w:r>
            <w:r w:rsidR="00B37D73">
              <w:rPr>
                <w:sz w:val="18"/>
                <w:szCs w:val="18"/>
              </w:rPr>
              <w:fldChar w:fldCharType="separate"/>
            </w:r>
            <w:r w:rsidR="008D27BA" w:rsidRPr="008D27BA">
              <w:rPr>
                <w:rStyle w:val="EndnoteReference"/>
              </w:rPr>
              <w:t>o</w:t>
            </w:r>
            <w:r w:rsidR="00B37D73">
              <w:rPr>
                <w:sz w:val="18"/>
                <w:szCs w:val="18"/>
              </w:rPr>
              <w:fldChar w:fldCharType="end"/>
            </w:r>
          </w:p>
          <w:p w:rsidR="00EA4900" w:rsidRDefault="00EA4900" w:rsidP="00E27D83">
            <w:pPr>
              <w:rPr>
                <w:sz w:val="18"/>
                <w:szCs w:val="18"/>
              </w:rPr>
            </w:pPr>
          </w:p>
          <w:p w:rsidR="00EA4900" w:rsidRDefault="00EA4900" w:rsidP="00E27D83">
            <w:pPr>
              <w:rPr>
                <w:sz w:val="18"/>
                <w:szCs w:val="18"/>
              </w:rPr>
            </w:pPr>
            <w:r>
              <w:rPr>
                <w:sz w:val="18"/>
                <w:szCs w:val="18"/>
              </w:rPr>
              <w:t>WG-DST has proposed to include all varieties in PLUTO, also those which had not been or were no longer registered/ protected.  We understand that this may cover varieties that may have been marketed under a “test-marketing regime” prior to registration.  Breeders would like to be able to re-use names which have not yet been registered and not yet been marketed.  These are rare cases but still too restrictive rules are not favored.  As outlined also above, we propose to allow re-use of denominations after a period of 10 years.</w:t>
            </w:r>
          </w:p>
          <w:p w:rsidR="00EA4900" w:rsidRPr="0047703B" w:rsidRDefault="00EA4900" w:rsidP="00E27D83">
            <w:pPr>
              <w:rPr>
                <w:sz w:val="18"/>
                <w:szCs w:val="18"/>
              </w:rPr>
            </w:pPr>
          </w:p>
        </w:tc>
      </w:tr>
    </w:tbl>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47703B" w:rsidRDefault="00EA4900" w:rsidP="00E27D83">
            <w:pPr>
              <w:rPr>
                <w:sz w:val="18"/>
                <w:szCs w:val="18"/>
              </w:rPr>
            </w:pPr>
          </w:p>
          <w:p w:rsidR="00EA4900" w:rsidRPr="00C04C22" w:rsidRDefault="00EA4900" w:rsidP="00E27D83">
            <w:pPr>
              <w:rPr>
                <w:sz w:val="18"/>
                <w:szCs w:val="18"/>
                <w:u w:val="single"/>
              </w:rPr>
            </w:pPr>
            <w:r w:rsidRPr="00C04C22">
              <w:rPr>
                <w:sz w:val="18"/>
                <w:szCs w:val="18"/>
                <w:u w:val="single"/>
              </w:rPr>
              <w:t>Agreed by the WG-DEN</w:t>
            </w:r>
            <w:r w:rsidR="001B68A3" w:rsidRPr="00B37D73">
              <w:rPr>
                <w:sz w:val="18"/>
                <w:szCs w:val="18"/>
              </w:rPr>
              <w:t xml:space="preserve"> </w:t>
            </w:r>
            <w:r w:rsidR="001B68A3">
              <w:rPr>
                <w:sz w:val="18"/>
                <w:szCs w:val="18"/>
              </w:rPr>
              <w:fldChar w:fldCharType="begin"/>
            </w:r>
            <w:r w:rsidR="001B68A3">
              <w:rPr>
                <w:sz w:val="18"/>
                <w:szCs w:val="18"/>
              </w:rPr>
              <w:instrText xml:space="preserve"> NOTEREF _Ref526439475 \f \h </w:instrText>
            </w:r>
            <w:r w:rsidR="001B68A3">
              <w:rPr>
                <w:sz w:val="18"/>
                <w:szCs w:val="18"/>
              </w:rPr>
            </w:r>
            <w:r w:rsidR="001B68A3">
              <w:rPr>
                <w:sz w:val="18"/>
                <w:szCs w:val="18"/>
              </w:rPr>
              <w:fldChar w:fldCharType="separate"/>
            </w:r>
            <w:r w:rsidR="008D27BA" w:rsidRPr="008D27BA">
              <w:rPr>
                <w:rStyle w:val="EndnoteReference"/>
              </w:rPr>
              <w:t>o</w:t>
            </w:r>
            <w:r w:rsidR="001B68A3">
              <w:rPr>
                <w:sz w:val="18"/>
                <w:szCs w:val="18"/>
              </w:rPr>
              <w:fldChar w:fldCharType="end"/>
            </w:r>
          </w:p>
          <w:p w:rsidR="00EA4900" w:rsidRPr="00C04C22" w:rsidRDefault="00EA4900" w:rsidP="00E27D83">
            <w:pPr>
              <w:rPr>
                <w:sz w:val="18"/>
                <w:szCs w:val="18"/>
              </w:rPr>
            </w:pPr>
          </w:p>
          <w:p w:rsidR="00EA4900" w:rsidRPr="00C04C22" w:rsidRDefault="00EA4900" w:rsidP="00E27D83">
            <w:pPr>
              <w:tabs>
                <w:tab w:val="left" w:pos="301"/>
                <w:tab w:val="left" w:pos="689"/>
              </w:tabs>
              <w:rPr>
                <w:sz w:val="18"/>
                <w:szCs w:val="18"/>
              </w:rPr>
            </w:pPr>
            <w:r w:rsidRPr="00C04C22">
              <w:rPr>
                <w:sz w:val="18"/>
                <w:szCs w:val="18"/>
              </w:rPr>
              <w:tab/>
              <w:t>(a)</w:t>
            </w:r>
            <w:r w:rsidRPr="00C04C22">
              <w:rPr>
                <w:sz w:val="18"/>
                <w:szCs w:val="18"/>
              </w:rPr>
              <w:tab/>
              <w:t>to clarify that the guidance only concerned the re-use of denominations in the same denomination class;</w:t>
            </w:r>
          </w:p>
          <w:p w:rsidR="00EA4900" w:rsidRPr="00C04C22" w:rsidRDefault="00EA4900" w:rsidP="00E27D83">
            <w:pPr>
              <w:tabs>
                <w:tab w:val="left" w:pos="301"/>
                <w:tab w:val="left" w:pos="689"/>
              </w:tabs>
              <w:rPr>
                <w:sz w:val="18"/>
                <w:szCs w:val="18"/>
              </w:rPr>
            </w:pPr>
          </w:p>
          <w:p w:rsidR="00EA4900" w:rsidRPr="00C04C22" w:rsidRDefault="00EA4900" w:rsidP="00E27D83">
            <w:pPr>
              <w:tabs>
                <w:tab w:val="left" w:pos="301"/>
                <w:tab w:val="left" w:pos="689"/>
              </w:tabs>
              <w:rPr>
                <w:sz w:val="18"/>
                <w:szCs w:val="18"/>
              </w:rPr>
            </w:pPr>
            <w:r w:rsidRPr="00C04C22">
              <w:rPr>
                <w:sz w:val="18"/>
                <w:szCs w:val="18"/>
              </w:rPr>
              <w:tab/>
              <w:t>(b)</w:t>
            </w:r>
            <w:r w:rsidRPr="00C04C22">
              <w:rPr>
                <w:sz w:val="18"/>
                <w:szCs w:val="18"/>
              </w:rPr>
              <w:tab/>
              <w:t xml:space="preserve">to consider, at its second meeting, whether a time period of 10 years after the variety was no longer commercialized was appropriate for international guidance, given: </w:t>
            </w:r>
          </w:p>
          <w:p w:rsidR="00EA4900" w:rsidRPr="00C04C22" w:rsidRDefault="00EA4900" w:rsidP="00E27D83">
            <w:pPr>
              <w:rPr>
                <w:sz w:val="18"/>
                <w:szCs w:val="18"/>
              </w:rPr>
            </w:pPr>
          </w:p>
          <w:p w:rsidR="00EA4900" w:rsidRPr="00C04C22" w:rsidRDefault="00EA4900" w:rsidP="00E27D83">
            <w:pPr>
              <w:pStyle w:val="ListParagraph"/>
              <w:numPr>
                <w:ilvl w:val="0"/>
                <w:numId w:val="4"/>
              </w:numPr>
              <w:ind w:left="993" w:hanging="284"/>
              <w:rPr>
                <w:sz w:val="18"/>
                <w:szCs w:val="18"/>
              </w:rPr>
            </w:pPr>
            <w:r w:rsidRPr="00C04C22">
              <w:rPr>
                <w:sz w:val="18"/>
                <w:szCs w:val="18"/>
              </w:rPr>
              <w:t xml:space="preserve">the difficulty of obtaining information on commercialization in different territories, </w:t>
            </w:r>
          </w:p>
          <w:p w:rsidR="00EA4900" w:rsidRPr="00C04C22" w:rsidRDefault="00EA4900" w:rsidP="00E27D83">
            <w:pPr>
              <w:ind w:left="993" w:hanging="284"/>
              <w:rPr>
                <w:sz w:val="18"/>
                <w:szCs w:val="18"/>
              </w:rPr>
            </w:pPr>
          </w:p>
          <w:p w:rsidR="00EA4900" w:rsidRPr="00C04C22" w:rsidRDefault="00EA4900" w:rsidP="00E27D83">
            <w:pPr>
              <w:pStyle w:val="ListParagraph"/>
              <w:numPr>
                <w:ilvl w:val="0"/>
                <w:numId w:val="4"/>
              </w:numPr>
              <w:ind w:left="993" w:hanging="284"/>
              <w:rPr>
                <w:sz w:val="18"/>
                <w:szCs w:val="18"/>
              </w:rPr>
            </w:pPr>
            <w:r w:rsidRPr="00C04C22">
              <w:rPr>
                <w:sz w:val="18"/>
                <w:szCs w:val="18"/>
              </w:rPr>
              <w:t>the presence of varieties in genebanks, and</w:t>
            </w:r>
          </w:p>
          <w:p w:rsidR="00EA4900" w:rsidRPr="00C04C22" w:rsidRDefault="00EA4900" w:rsidP="00E27D83">
            <w:pPr>
              <w:ind w:left="993" w:hanging="284"/>
              <w:rPr>
                <w:sz w:val="18"/>
                <w:szCs w:val="18"/>
              </w:rPr>
            </w:pPr>
          </w:p>
          <w:p w:rsidR="00EA4900" w:rsidRPr="0047703B" w:rsidRDefault="00EA4900" w:rsidP="004A0FEE">
            <w:pPr>
              <w:pStyle w:val="ListParagraph"/>
              <w:numPr>
                <w:ilvl w:val="0"/>
                <w:numId w:val="4"/>
              </w:numPr>
              <w:ind w:left="993" w:hanging="284"/>
              <w:rPr>
                <w:sz w:val="18"/>
                <w:szCs w:val="18"/>
              </w:rPr>
            </w:pPr>
            <w:r w:rsidRPr="00C04C22">
              <w:rPr>
                <w:sz w:val="18"/>
                <w:szCs w:val="18"/>
              </w:rPr>
              <w:t>that farmers would probably remember varieties over a considerably longer time than 10 years.</w:t>
            </w:r>
          </w:p>
        </w:tc>
      </w:tr>
      <w:tr w:rsidR="00EA4900" w:rsidTr="00E27D83">
        <w:tc>
          <w:tcPr>
            <w:tcW w:w="9855" w:type="dxa"/>
            <w:shd w:val="clear" w:color="auto" w:fill="D9D9D9" w:themeFill="background1" w:themeFillShade="D9"/>
          </w:tcPr>
          <w:p w:rsidR="00EA4900" w:rsidRPr="005F2452" w:rsidRDefault="00EA4900" w:rsidP="004A0FEE">
            <w:pPr>
              <w:rPr>
                <w:sz w:val="18"/>
                <w:szCs w:val="18"/>
              </w:rPr>
            </w:pPr>
          </w:p>
        </w:tc>
      </w:tr>
    </w:tbl>
    <w:p w:rsidR="00EA4900" w:rsidRDefault="00EA4900" w:rsidP="00EA4900"/>
    <w:p w:rsidR="004A0FEE" w:rsidRDefault="004A0FEE" w:rsidP="00EA4900"/>
    <w:tbl>
      <w:tblPr>
        <w:tblW w:w="0" w:type="auto"/>
        <w:tblCellMar>
          <w:top w:w="113" w:type="dxa"/>
          <w:bottom w:w="113" w:type="dxa"/>
        </w:tblCellMar>
        <w:tblLook w:val="04A0" w:firstRow="1" w:lastRow="0" w:firstColumn="1" w:lastColumn="0" w:noHBand="0" w:noVBand="1"/>
      </w:tblPr>
      <w:tblGrid>
        <w:gridCol w:w="9629"/>
      </w:tblGrid>
      <w:tr w:rsidR="004A0FEE" w:rsidRPr="004A0FEE" w:rsidTr="005B58CF">
        <w:trPr>
          <w:cantSplit/>
        </w:trPr>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0FEE" w:rsidRPr="004A0FEE" w:rsidRDefault="004A0FEE" w:rsidP="004A0FEE">
            <w:pPr>
              <w:rPr>
                <w:sz w:val="18"/>
                <w:szCs w:val="18"/>
              </w:rPr>
            </w:pPr>
            <w:r w:rsidRPr="004A0FEE">
              <w:rPr>
                <w:sz w:val="18"/>
                <w:szCs w:val="18"/>
                <w:u w:val="single"/>
              </w:rPr>
              <w:lastRenderedPageBreak/>
              <w:t xml:space="preserve">Concluded by </w:t>
            </w:r>
            <w:r w:rsidRPr="004A0FEE">
              <w:rPr>
                <w:rFonts w:hint="eastAsia"/>
                <w:sz w:val="18"/>
                <w:szCs w:val="18"/>
                <w:u w:val="single"/>
              </w:rPr>
              <w:t>WG-DEN</w:t>
            </w:r>
            <w:r w:rsidR="001B68A3">
              <w:rPr>
                <w:sz w:val="18"/>
                <w:szCs w:val="18"/>
                <w:u w:val="single"/>
              </w:rPr>
              <w:t>, at its third meeting</w:t>
            </w:r>
            <w:r w:rsidRPr="001B68A3">
              <w:rPr>
                <w:rFonts w:hint="eastAsia"/>
                <w:sz w:val="18"/>
                <w:szCs w:val="18"/>
              </w:rPr>
              <w:t xml:space="preserve"> </w:t>
            </w:r>
            <w:r w:rsidR="001B68A3" w:rsidRPr="001B68A3">
              <w:rPr>
                <w:rStyle w:val="EndnoteReference"/>
                <w:sz w:val="18"/>
                <w:szCs w:val="18"/>
              </w:rPr>
              <w:endnoteReference w:id="19"/>
            </w:r>
          </w:p>
          <w:p w:rsidR="004A0FEE" w:rsidRPr="004A0FEE" w:rsidRDefault="004A0FEE" w:rsidP="004A0FEE">
            <w:pPr>
              <w:rPr>
                <w:sz w:val="18"/>
                <w:szCs w:val="18"/>
              </w:rPr>
            </w:pPr>
          </w:p>
          <w:p w:rsidR="004A0FEE" w:rsidRPr="004A0FEE" w:rsidRDefault="004A0FEE" w:rsidP="004A0FEE">
            <w:pPr>
              <w:rPr>
                <w:sz w:val="18"/>
                <w:szCs w:val="18"/>
              </w:rPr>
            </w:pPr>
            <w:r w:rsidRPr="004A0FEE">
              <w:rPr>
                <w:sz w:val="18"/>
                <w:szCs w:val="18"/>
              </w:rPr>
              <w:t xml:space="preserve">at that time, there was no agreement to change the current wording of Section 2.3.3(c), but before finally concluding on that matter the WG-DEN requested members of the WG-DEN to provide examples/guidance in the implementation of the following element of Section 2.3.3(c) “In some limited cases an exception may be acceptable, for example a variety which was never commercialized, or was only commercialized in a limited way for a very short time” and the WG-DEN agreed to send a circular for that purpose (see </w:t>
            </w:r>
            <w:r w:rsidRPr="004A0FEE">
              <w:rPr>
                <w:rFonts w:hint="eastAsia"/>
                <w:sz w:val="18"/>
                <w:szCs w:val="18"/>
              </w:rPr>
              <w:t xml:space="preserve">document </w:t>
            </w:r>
            <w:hyperlink r:id="rId13" w:history="1">
              <w:r w:rsidRPr="004A0FEE">
                <w:rPr>
                  <w:rStyle w:val="Hyperlink"/>
                  <w:rFonts w:hint="eastAsia"/>
                  <w:sz w:val="18"/>
                  <w:szCs w:val="18"/>
                </w:rPr>
                <w:t>UPOV/WG-DEN/</w:t>
              </w:r>
              <w:r w:rsidRPr="004A0FEE">
                <w:rPr>
                  <w:rStyle w:val="Hyperlink"/>
                  <w:sz w:val="18"/>
                  <w:szCs w:val="18"/>
                </w:rPr>
                <w:t>4</w:t>
              </w:r>
              <w:r w:rsidRPr="004A0FEE">
                <w:rPr>
                  <w:rStyle w:val="Hyperlink"/>
                  <w:rFonts w:hint="eastAsia"/>
                  <w:sz w:val="18"/>
                  <w:szCs w:val="18"/>
                </w:rPr>
                <w:t>/</w:t>
              </w:r>
              <w:r w:rsidRPr="004A0FEE">
                <w:rPr>
                  <w:rStyle w:val="Hyperlink"/>
                  <w:sz w:val="18"/>
                  <w:szCs w:val="18"/>
                </w:rPr>
                <w:t>2</w:t>
              </w:r>
            </w:hyperlink>
            <w:r w:rsidRPr="004A0FEE">
              <w:rPr>
                <w:rFonts w:hint="eastAsia"/>
                <w:sz w:val="18"/>
                <w:szCs w:val="18"/>
              </w:rPr>
              <w:t xml:space="preserve"> </w:t>
            </w:r>
            <w:r w:rsidRPr="004A0FEE">
              <w:rPr>
                <w:sz w:val="18"/>
                <w:szCs w:val="18"/>
              </w:rPr>
              <w:t>“Revision of document UPOV/INF/12/5 ‘Explanatory Notes on Variety Denominations under the UPOV Convention’”, Annexes II to VIII).</w:t>
            </w:r>
          </w:p>
          <w:p w:rsidR="004A0FEE" w:rsidRPr="004A0FEE" w:rsidRDefault="004A0FEE" w:rsidP="004A0FEE"/>
          <w:p w:rsidR="004A0FEE" w:rsidRPr="004A0FEE" w:rsidRDefault="004A0FEE" w:rsidP="004A0FEE">
            <w:pPr>
              <w:rPr>
                <w:sz w:val="18"/>
                <w:szCs w:val="18"/>
                <w:highlight w:val="darkGray"/>
                <w:u w:val="single"/>
              </w:rPr>
            </w:pPr>
            <w:r w:rsidRPr="004A0FEE">
              <w:rPr>
                <w:sz w:val="18"/>
                <w:szCs w:val="18"/>
                <w:highlight w:val="darkGray"/>
                <w:u w:val="single"/>
              </w:rPr>
              <w:t>Summary of results of circular E-17/135 to members of the Union</w:t>
            </w:r>
          </w:p>
          <w:p w:rsidR="004A0FEE" w:rsidRPr="004A0FEE" w:rsidRDefault="004A0FEE" w:rsidP="004A0FEE">
            <w:pPr>
              <w:rPr>
                <w:sz w:val="18"/>
                <w:szCs w:val="18"/>
                <w:highlight w:val="darkGray"/>
              </w:rPr>
            </w:pPr>
          </w:p>
          <w:p w:rsidR="004A0FEE" w:rsidRPr="004A0FEE" w:rsidRDefault="004A0FEE" w:rsidP="004A0FEE">
            <w:pPr>
              <w:rPr>
                <w:sz w:val="18"/>
                <w:szCs w:val="18"/>
                <w:highlight w:val="darkGray"/>
              </w:rPr>
            </w:pPr>
            <w:r w:rsidRPr="004A0FEE">
              <w:rPr>
                <w:sz w:val="18"/>
                <w:szCs w:val="18"/>
                <w:highlight w:val="darkGray"/>
              </w:rPr>
              <w:t>-</w:t>
            </w:r>
            <w:r w:rsidRPr="004A0FEE">
              <w:rPr>
                <w:sz w:val="18"/>
                <w:szCs w:val="18"/>
                <w:highlight w:val="darkGray"/>
              </w:rPr>
              <w:tab/>
              <w:t>Allowing the re-use of denominations:</w:t>
            </w:r>
          </w:p>
          <w:p w:rsidR="004A0FEE" w:rsidRPr="004A0FEE" w:rsidRDefault="004A0FEE" w:rsidP="004A0FEE">
            <w:pPr>
              <w:rPr>
                <w:sz w:val="18"/>
                <w:szCs w:val="18"/>
                <w:highlight w:val="darkGray"/>
              </w:rPr>
            </w:pPr>
          </w:p>
          <w:tbl>
            <w:tblPr>
              <w:tblStyle w:val="TableGrid"/>
              <w:tblW w:w="0" w:type="auto"/>
              <w:tblInd w:w="652" w:type="dxa"/>
              <w:tblCellMar>
                <w:top w:w="85" w:type="dxa"/>
                <w:left w:w="85" w:type="dxa"/>
                <w:bottom w:w="85" w:type="dxa"/>
                <w:right w:w="85" w:type="dxa"/>
              </w:tblCellMar>
              <w:tblLook w:val="04A0" w:firstRow="1" w:lastRow="0" w:firstColumn="1" w:lastColumn="0" w:noHBand="0" w:noVBand="1"/>
            </w:tblPr>
            <w:tblGrid>
              <w:gridCol w:w="3154"/>
              <w:gridCol w:w="5597"/>
            </w:tblGrid>
            <w:tr w:rsidR="004A0FEE" w:rsidRPr="004A0FEE" w:rsidTr="005B58CF">
              <w:tc>
                <w:tcPr>
                  <w:tcW w:w="3261" w:type="dxa"/>
                </w:tcPr>
                <w:p w:rsidR="004A0FEE" w:rsidRPr="004A0FEE" w:rsidRDefault="004A0FEE" w:rsidP="004A0FEE">
                  <w:pPr>
                    <w:rPr>
                      <w:sz w:val="18"/>
                      <w:szCs w:val="18"/>
                      <w:highlight w:val="darkGray"/>
                    </w:rPr>
                  </w:pPr>
                  <w:r w:rsidRPr="004A0FEE">
                    <w:rPr>
                      <w:sz w:val="18"/>
                      <w:szCs w:val="18"/>
                      <w:highlight w:val="darkGray"/>
                    </w:rPr>
                    <w:t>Not allowed</w:t>
                  </w:r>
                </w:p>
              </w:tc>
              <w:tc>
                <w:tcPr>
                  <w:tcW w:w="5811" w:type="dxa"/>
                </w:tcPr>
                <w:p w:rsidR="004A0FEE" w:rsidRPr="004A0FEE" w:rsidRDefault="004A0FEE" w:rsidP="004A0FEE">
                  <w:pPr>
                    <w:rPr>
                      <w:sz w:val="18"/>
                      <w:szCs w:val="18"/>
                      <w:highlight w:val="darkGray"/>
                    </w:rPr>
                  </w:pPr>
                  <w:r w:rsidRPr="004A0FEE">
                    <w:rPr>
                      <w:sz w:val="18"/>
                      <w:szCs w:val="18"/>
                      <w:highlight w:val="darkGray"/>
                    </w:rPr>
                    <w:t>Netherlands, New Zealand, South Africa</w:t>
                  </w:r>
                </w:p>
              </w:tc>
            </w:tr>
            <w:tr w:rsidR="004A0FEE" w:rsidRPr="004A0FEE" w:rsidTr="005B58CF">
              <w:tc>
                <w:tcPr>
                  <w:tcW w:w="3261" w:type="dxa"/>
                </w:tcPr>
                <w:p w:rsidR="004A0FEE" w:rsidRPr="004A0FEE" w:rsidRDefault="004A0FEE" w:rsidP="004A0FEE">
                  <w:pPr>
                    <w:rPr>
                      <w:sz w:val="18"/>
                      <w:szCs w:val="18"/>
                      <w:highlight w:val="darkGray"/>
                    </w:rPr>
                  </w:pPr>
                  <w:r w:rsidRPr="004A0FEE">
                    <w:rPr>
                      <w:sz w:val="18"/>
                      <w:szCs w:val="18"/>
                      <w:highlight w:val="darkGray"/>
                    </w:rPr>
                    <w:t>Allowed after 10 years</w:t>
                  </w:r>
                </w:p>
              </w:tc>
              <w:tc>
                <w:tcPr>
                  <w:tcW w:w="5811" w:type="dxa"/>
                </w:tcPr>
                <w:p w:rsidR="004A0FEE" w:rsidRPr="004A0FEE" w:rsidRDefault="004A0FEE" w:rsidP="004A0FEE">
                  <w:pPr>
                    <w:rPr>
                      <w:sz w:val="18"/>
                      <w:szCs w:val="18"/>
                      <w:highlight w:val="darkGray"/>
                    </w:rPr>
                  </w:pPr>
                  <w:r w:rsidRPr="004A0FEE">
                    <w:rPr>
                      <w:sz w:val="18"/>
                      <w:szCs w:val="18"/>
                      <w:highlight w:val="darkGray"/>
                    </w:rPr>
                    <w:t>European Union</w:t>
                  </w:r>
                </w:p>
              </w:tc>
            </w:tr>
            <w:tr w:rsidR="004A0FEE" w:rsidRPr="004A0FEE" w:rsidTr="005B58CF">
              <w:tc>
                <w:tcPr>
                  <w:tcW w:w="3261" w:type="dxa"/>
                </w:tcPr>
                <w:p w:rsidR="004A0FEE" w:rsidRPr="004A0FEE" w:rsidRDefault="004A0FEE" w:rsidP="001B68A3">
                  <w:pPr>
                    <w:pStyle w:val="EndnoteText"/>
                    <w:rPr>
                      <w:highlight w:val="darkGray"/>
                    </w:rPr>
                  </w:pPr>
                  <w:r w:rsidRPr="004A0FEE">
                    <w:rPr>
                      <w:highlight w:val="darkGray"/>
                    </w:rPr>
                    <w:t>Allowed according to ICNCP rules</w:t>
                  </w:r>
                  <w:r w:rsidR="006757D3" w:rsidRPr="001B68A3">
                    <w:t xml:space="preserve"> </w:t>
                  </w:r>
                  <w:r w:rsidR="001B68A3">
                    <w:rPr>
                      <w:rStyle w:val="EndnoteReference"/>
                    </w:rPr>
                    <w:endnoteReference w:id="20"/>
                  </w:r>
                </w:p>
              </w:tc>
              <w:tc>
                <w:tcPr>
                  <w:tcW w:w="5811" w:type="dxa"/>
                </w:tcPr>
                <w:p w:rsidR="004A0FEE" w:rsidRPr="004A0FEE" w:rsidRDefault="004A0FEE" w:rsidP="004A0FEE">
                  <w:pPr>
                    <w:rPr>
                      <w:sz w:val="18"/>
                      <w:szCs w:val="18"/>
                    </w:rPr>
                  </w:pPr>
                  <w:r w:rsidRPr="004A0FEE">
                    <w:rPr>
                      <w:sz w:val="18"/>
                      <w:szCs w:val="18"/>
                      <w:highlight w:val="darkGray"/>
                    </w:rPr>
                    <w:t>Australia</w:t>
                  </w:r>
                </w:p>
              </w:tc>
            </w:tr>
          </w:tbl>
          <w:p w:rsidR="004A0FEE" w:rsidRPr="004A0FEE" w:rsidRDefault="004A0FEE" w:rsidP="004A0FEE">
            <w:pPr>
              <w:rPr>
                <w:u w:val="single"/>
              </w:rPr>
            </w:pPr>
          </w:p>
        </w:tc>
      </w:tr>
    </w:tbl>
    <w:p w:rsidR="004A0FEE" w:rsidRDefault="004A0FEE" w:rsidP="00EA4900"/>
    <w:p w:rsidR="004A0FEE" w:rsidRDefault="004A0FEE" w:rsidP="00EA4900"/>
    <w:p w:rsidR="004A0FEE" w:rsidRDefault="004A0FEE"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C544AE" w:rsidTr="005B58CF">
        <w:trPr>
          <w:cantSplit/>
        </w:trPr>
        <w:tc>
          <w:tcPr>
            <w:tcW w:w="9855" w:type="dxa"/>
            <w:shd w:val="clear" w:color="auto" w:fill="D9D9D9" w:themeFill="background1" w:themeFillShade="D9"/>
          </w:tcPr>
          <w:p w:rsidR="00C544AE" w:rsidRDefault="00C544AE" w:rsidP="005B58CF"/>
          <w:p w:rsidR="00C544AE" w:rsidRPr="00E43B13" w:rsidRDefault="00C544AE" w:rsidP="005B58CF">
            <w:pPr>
              <w:shd w:val="clear" w:color="auto" w:fill="D9D9D9" w:themeFill="background1" w:themeFillShade="D9"/>
              <w:rPr>
                <w:color w:val="000000"/>
                <w:sz w:val="18"/>
                <w:szCs w:val="18"/>
                <w:highlight w:val="yellow"/>
                <w:u w:val="single"/>
                <w:lang w:eastAsia="ja-JP"/>
              </w:rPr>
            </w:pPr>
            <w:r w:rsidRPr="00E43B13">
              <w:rPr>
                <w:color w:val="000000"/>
                <w:sz w:val="18"/>
                <w:szCs w:val="18"/>
                <w:highlight w:val="yellow"/>
                <w:u w:val="single"/>
                <w:lang w:eastAsia="ja-JP"/>
              </w:rPr>
              <w:t>T</w:t>
            </w:r>
            <w:r w:rsidRPr="00E43B13">
              <w:rPr>
                <w:color w:val="000000"/>
                <w:sz w:val="18"/>
                <w:szCs w:val="18"/>
                <w:highlight w:val="yellow"/>
                <w:u w:val="single"/>
              </w:rPr>
              <w:t xml:space="preserve">he </w:t>
            </w:r>
            <w:r w:rsidRPr="00E43B13">
              <w:rPr>
                <w:rFonts w:hint="eastAsia"/>
                <w:color w:val="000000"/>
                <w:sz w:val="18"/>
                <w:szCs w:val="18"/>
                <w:highlight w:val="yellow"/>
                <w:u w:val="single"/>
                <w:lang w:eastAsia="ja-JP"/>
              </w:rPr>
              <w:t>WG-DEN</w:t>
            </w:r>
            <w:r w:rsidRPr="00E43B13">
              <w:rPr>
                <w:color w:val="000000"/>
                <w:sz w:val="18"/>
                <w:szCs w:val="18"/>
                <w:highlight w:val="yellow"/>
                <w:u w:val="single"/>
                <w:lang w:eastAsia="ja-JP"/>
              </w:rPr>
              <w:t>, at its fourth meeting, agreed</w:t>
            </w:r>
            <w:r w:rsidRPr="00E43B13">
              <w:rPr>
                <w:rFonts w:hint="eastAsia"/>
                <w:color w:val="000000"/>
                <w:sz w:val="18"/>
                <w:szCs w:val="18"/>
                <w:highlight w:val="yellow"/>
                <w:u w:val="single"/>
                <w:lang w:eastAsia="ja-JP"/>
              </w:rPr>
              <w:t xml:space="preserve"> </w:t>
            </w:r>
          </w:p>
          <w:p w:rsidR="00C544AE" w:rsidRPr="00613BB7" w:rsidRDefault="00C544AE" w:rsidP="005B58CF">
            <w:pPr>
              <w:shd w:val="clear" w:color="auto" w:fill="D9D9D9" w:themeFill="background1" w:themeFillShade="D9"/>
              <w:rPr>
                <w:color w:val="000000"/>
                <w:sz w:val="18"/>
                <w:szCs w:val="18"/>
                <w:highlight w:val="yellow"/>
                <w:u w:val="single"/>
              </w:rPr>
            </w:pPr>
          </w:p>
          <w:p w:rsidR="00C544AE" w:rsidRDefault="00C544AE" w:rsidP="00C544AE">
            <w:pPr>
              <w:rPr>
                <w:color w:val="000000"/>
                <w:sz w:val="18"/>
                <w:szCs w:val="18"/>
                <w:highlight w:val="yellow"/>
                <w:lang w:eastAsia="ja-JP"/>
              </w:rPr>
            </w:pPr>
            <w:r w:rsidRPr="00C544AE">
              <w:rPr>
                <w:color w:val="000000"/>
                <w:sz w:val="18"/>
                <w:szCs w:val="18"/>
                <w:highlight w:val="yellow"/>
                <w:lang w:eastAsia="ja-JP"/>
              </w:rPr>
              <w:t xml:space="preserve">With regard to the re-use of denominations in Section 2.3.3 (c), </w:t>
            </w:r>
            <w:r w:rsidRPr="00C544AE">
              <w:rPr>
                <w:rFonts w:hint="eastAsia"/>
                <w:color w:val="000000"/>
                <w:sz w:val="18"/>
                <w:szCs w:val="18"/>
                <w:highlight w:val="yellow"/>
                <w:lang w:eastAsia="ja-JP"/>
              </w:rPr>
              <w:t xml:space="preserve">to </w:t>
            </w:r>
            <w:r w:rsidRPr="00C544AE">
              <w:rPr>
                <w:color w:val="000000"/>
                <w:sz w:val="18"/>
                <w:szCs w:val="18"/>
                <w:highlight w:val="yellow"/>
                <w:lang w:eastAsia="ja-JP"/>
              </w:rPr>
              <w:t>include the guidance from Article 30.2 of the Ninth Edition of the ICNCP, for further discussion at the fifth meeting of the WG-DEN, as reproduced below:</w:t>
            </w:r>
          </w:p>
          <w:p w:rsidR="00C544AE" w:rsidRPr="00C544AE" w:rsidRDefault="00C544AE" w:rsidP="00C544AE">
            <w:pPr>
              <w:rPr>
                <w:color w:val="000000"/>
                <w:sz w:val="16"/>
                <w:szCs w:val="16"/>
                <w:highlight w:val="yellow"/>
                <w:lang w:eastAsia="ja-JP"/>
              </w:rPr>
            </w:pPr>
            <w:r w:rsidRPr="00C544AE">
              <w:rPr>
                <w:color w:val="000000"/>
                <w:sz w:val="16"/>
                <w:szCs w:val="16"/>
                <w:highlight w:val="yellow"/>
                <w:lang w:eastAsia="ja-JP"/>
              </w:rPr>
              <w:t xml:space="preserve"> </w:t>
            </w:r>
          </w:p>
          <w:p w:rsidR="00C544AE" w:rsidRPr="00C544AE" w:rsidRDefault="00C544AE" w:rsidP="00C544AE">
            <w:pPr>
              <w:rPr>
                <w:color w:val="000000"/>
                <w:sz w:val="16"/>
                <w:szCs w:val="16"/>
                <w:highlight w:val="yellow"/>
                <w:lang w:eastAsia="ja-JP"/>
              </w:rPr>
            </w:pPr>
            <w:r w:rsidRPr="00C544AE">
              <w:rPr>
                <w:color w:val="000000"/>
                <w:sz w:val="16"/>
                <w:szCs w:val="16"/>
                <w:highlight w:val="yellow"/>
                <w:lang w:eastAsia="ja-JP"/>
              </w:rPr>
              <w:t>“30.2.  An International Cultivar Registration Authority may only accept re-use of a cultivar, Group or grex epithet if that authority is satisfied that the original cultivar, Group, or grex (a) is no longer in cultivation, and (b) has ceased to exist as breeding material, and (c) may not be found in a gene or seed bank, and (d) is not a known component in the pedigree of other cultivars, Groups, or grexes, and (e) the name has rarely been used in publications, and (f) re-use is unlikely to cause confusion.”</w:t>
            </w:r>
          </w:p>
          <w:p w:rsidR="00C544AE" w:rsidRDefault="00C544AE" w:rsidP="00C544AE"/>
        </w:tc>
      </w:tr>
    </w:tbl>
    <w:p w:rsidR="00C544AE" w:rsidRDefault="00C544AE" w:rsidP="00EA4900"/>
    <w:p w:rsidR="00C544AE" w:rsidRDefault="00C544AE" w:rsidP="00EA4900"/>
    <w:p w:rsidR="00EA4900" w:rsidRDefault="00EA4900" w:rsidP="00EA4900"/>
    <w:p w:rsidR="00EA4900" w:rsidRPr="00407B23" w:rsidRDefault="00EA4900" w:rsidP="00EA4900">
      <w:pPr>
        <w:keepNext/>
      </w:pPr>
      <w:r w:rsidRPr="00407B23">
        <w:t>2.3.4</w:t>
      </w:r>
      <w:r w:rsidRPr="00407B23">
        <w:tab/>
        <w:t>Identity of the breeder</w:t>
      </w:r>
    </w:p>
    <w:p w:rsidR="00EA4900" w:rsidRPr="00407B23" w:rsidRDefault="00EA4900" w:rsidP="00EA4900">
      <w:pPr>
        <w:keepNext/>
      </w:pPr>
    </w:p>
    <w:p w:rsidR="00EA4900" w:rsidRPr="00407B23" w:rsidRDefault="00EA4900" w:rsidP="00EA4900">
      <w:pPr>
        <w:keepNext/>
      </w:pPr>
      <w:r w:rsidRPr="00407B23">
        <w:t>The variety denomination should not mislead or cause confusion concerning the identity of the breeder.</w:t>
      </w:r>
    </w:p>
    <w:p w:rsidR="00EA4900" w:rsidRDefault="00EA4900" w:rsidP="00EA4900">
      <w:pPr>
        <w:keepNext/>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47703B" w:rsidRDefault="00EA4900" w:rsidP="00E27D83">
            <w:pPr>
              <w:rPr>
                <w:sz w:val="18"/>
                <w:szCs w:val="18"/>
              </w:rPr>
            </w:pPr>
          </w:p>
          <w:p w:rsidR="00EA4900" w:rsidRPr="0047703B" w:rsidRDefault="00EA4900" w:rsidP="00E27D83">
            <w:pPr>
              <w:rPr>
                <w:sz w:val="18"/>
                <w:szCs w:val="18"/>
              </w:rPr>
            </w:pPr>
            <w:r w:rsidRPr="0047703B">
              <w:rPr>
                <w:sz w:val="18"/>
                <w:szCs w:val="18"/>
                <w:u w:val="single"/>
              </w:rPr>
              <w:t>Proposal by New Zealand</w:t>
            </w:r>
            <w:r w:rsidR="008A5DEF" w:rsidRPr="008A5DEF">
              <w:rPr>
                <w:sz w:val="18"/>
                <w:szCs w:val="18"/>
              </w:rPr>
              <w:t xml:space="preserve"> </w:t>
            </w:r>
            <w:r w:rsidR="008A5DEF">
              <w:rPr>
                <w:sz w:val="18"/>
                <w:szCs w:val="18"/>
              </w:rPr>
              <w:fldChar w:fldCharType="begin"/>
            </w:r>
            <w:r w:rsidR="008A5DEF">
              <w:rPr>
                <w:sz w:val="18"/>
                <w:szCs w:val="18"/>
              </w:rPr>
              <w:instrText xml:space="preserve"> NOTEREF _Ref526439134 \f \h </w:instrText>
            </w:r>
            <w:r w:rsidR="008A5DEF">
              <w:rPr>
                <w:sz w:val="18"/>
                <w:szCs w:val="18"/>
              </w:rPr>
            </w:r>
            <w:r w:rsidR="008A5DEF">
              <w:rPr>
                <w:sz w:val="18"/>
                <w:szCs w:val="18"/>
              </w:rPr>
              <w:fldChar w:fldCharType="separate"/>
            </w:r>
            <w:r w:rsidR="008D27BA" w:rsidRPr="008D27BA">
              <w:rPr>
                <w:rStyle w:val="EndnoteReference"/>
              </w:rPr>
              <w:t>f</w:t>
            </w:r>
            <w:r w:rsidR="008A5DEF">
              <w:rPr>
                <w:sz w:val="18"/>
                <w:szCs w:val="18"/>
              </w:rPr>
              <w:fldChar w:fldCharType="end"/>
            </w:r>
          </w:p>
          <w:p w:rsidR="00EA4900" w:rsidRPr="0047703B" w:rsidRDefault="00EA4900" w:rsidP="00E27D83">
            <w:pPr>
              <w:rPr>
                <w:sz w:val="18"/>
                <w:szCs w:val="18"/>
              </w:rPr>
            </w:pPr>
          </w:p>
          <w:p w:rsidR="00EA4900" w:rsidRDefault="00EA4900" w:rsidP="00E27D83">
            <w:pPr>
              <w:rPr>
                <w:sz w:val="18"/>
                <w:szCs w:val="18"/>
              </w:rPr>
            </w:pPr>
            <w:r>
              <w:rPr>
                <w:sz w:val="18"/>
                <w:szCs w:val="18"/>
              </w:rPr>
              <w:t>Section 2.3.4 examples:  the identity of the breeder is often shown using prefixes of various kinds Apple ‘Scired’, Apple ‘Scifresh’, Rose ‘Macrexy’, Rose ‘Macgenev’.</w:t>
            </w:r>
          </w:p>
          <w:p w:rsidR="00EA4900" w:rsidRPr="0047703B" w:rsidRDefault="00EA4900" w:rsidP="00E27D83">
            <w:pPr>
              <w:rPr>
                <w:sz w:val="18"/>
                <w:szCs w:val="18"/>
              </w:rPr>
            </w:pPr>
          </w:p>
        </w:tc>
      </w:tr>
    </w:tbl>
    <w:p w:rsidR="00EA4900" w:rsidRDefault="00EA4900" w:rsidP="00EA4900">
      <w:pPr>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Default="00EA4900" w:rsidP="00E27D83">
            <w:pPr>
              <w:rPr>
                <w:sz w:val="18"/>
                <w:szCs w:val="18"/>
                <w:lang w:eastAsia="ja-JP"/>
              </w:rPr>
            </w:pPr>
          </w:p>
          <w:p w:rsidR="00EA4900" w:rsidRPr="00C04C22" w:rsidRDefault="00EA4900" w:rsidP="00E27D83">
            <w:pPr>
              <w:rPr>
                <w:sz w:val="18"/>
                <w:szCs w:val="18"/>
                <w:lang w:eastAsia="ja-JP"/>
              </w:rPr>
            </w:pPr>
            <w:r w:rsidRPr="00C04C22">
              <w:rPr>
                <w:sz w:val="18"/>
                <w:szCs w:val="18"/>
                <w:lang w:eastAsia="ja-JP"/>
              </w:rPr>
              <w:t>UPOV Circular E-16/088 of April 13, 2016</w:t>
            </w:r>
            <w:r w:rsidRPr="00C04C22">
              <w:rPr>
                <w:rFonts w:hint="eastAsia"/>
                <w:sz w:val="18"/>
                <w:szCs w:val="18"/>
                <w:lang w:eastAsia="ja-JP"/>
              </w:rPr>
              <w:t xml:space="preserve">, </w:t>
            </w:r>
            <w:r w:rsidRPr="00C04C22">
              <w:rPr>
                <w:sz w:val="18"/>
                <w:szCs w:val="18"/>
                <w:lang w:eastAsia="ja-JP"/>
              </w:rPr>
              <w:t>invite</w:t>
            </w:r>
            <w:r w:rsidRPr="00C04C22">
              <w:rPr>
                <w:rFonts w:hint="eastAsia"/>
                <w:sz w:val="18"/>
                <w:szCs w:val="18"/>
                <w:lang w:eastAsia="ja-JP"/>
              </w:rPr>
              <w:t>d</w:t>
            </w:r>
            <w:r w:rsidRPr="00C04C22">
              <w:rPr>
                <w:sz w:val="18"/>
                <w:szCs w:val="18"/>
                <w:lang w:eastAsia="ja-JP"/>
              </w:rPr>
              <w:t xml:space="preserve"> members of the WG</w:t>
            </w:r>
            <w:r w:rsidRPr="00C04C22">
              <w:rPr>
                <w:rFonts w:hint="eastAsia"/>
                <w:sz w:val="18"/>
                <w:szCs w:val="18"/>
                <w:lang w:eastAsia="ja-JP"/>
              </w:rPr>
              <w:t>-</w:t>
            </w:r>
            <w:r w:rsidRPr="00C04C22">
              <w:rPr>
                <w:sz w:val="18"/>
                <w:szCs w:val="18"/>
                <w:lang w:eastAsia="ja-JP"/>
              </w:rPr>
              <w:t>DEN to provide examples and information on the use of prefixes to identify the breeder and issues that could arise</w:t>
            </w:r>
            <w:r w:rsidRPr="00C04C22">
              <w:rPr>
                <w:rFonts w:hint="eastAsia"/>
                <w:sz w:val="18"/>
                <w:szCs w:val="18"/>
                <w:lang w:eastAsia="ja-JP"/>
              </w:rPr>
              <w:t>, and received proposals as follows:</w:t>
            </w:r>
          </w:p>
          <w:p w:rsidR="00EA4900" w:rsidRPr="00C04C22" w:rsidRDefault="00EA4900" w:rsidP="00E27D83">
            <w:pPr>
              <w:spacing w:line="360" w:lineRule="auto"/>
              <w:rPr>
                <w:sz w:val="18"/>
                <w:szCs w:val="18"/>
                <w:lang w:eastAsia="ja-JP"/>
              </w:rPr>
            </w:pPr>
          </w:p>
          <w:p w:rsidR="00EA4900" w:rsidRPr="00C04C22" w:rsidRDefault="00EA4900" w:rsidP="00E27D83">
            <w:pPr>
              <w:rPr>
                <w:sz w:val="18"/>
                <w:szCs w:val="18"/>
                <w:lang w:eastAsia="ja-JP"/>
              </w:rPr>
            </w:pPr>
            <w:r w:rsidRPr="00C04C22">
              <w:rPr>
                <w:sz w:val="18"/>
                <w:szCs w:val="18"/>
                <w:u w:val="single"/>
              </w:rPr>
              <w:t>Proposal by France</w:t>
            </w:r>
          </w:p>
          <w:p w:rsidR="00EA4900" w:rsidRPr="00C04C22" w:rsidRDefault="00EA4900" w:rsidP="00E27D83">
            <w:pPr>
              <w:rPr>
                <w:sz w:val="18"/>
                <w:szCs w:val="18"/>
              </w:rPr>
            </w:pPr>
          </w:p>
          <w:p w:rsidR="00EA4900" w:rsidRPr="00C04C22" w:rsidRDefault="00EA4900" w:rsidP="00E27D83">
            <w:pPr>
              <w:rPr>
                <w:sz w:val="18"/>
                <w:szCs w:val="18"/>
              </w:rPr>
            </w:pPr>
            <w:r w:rsidRPr="00C04C22">
              <w:rPr>
                <w:sz w:val="18"/>
                <w:szCs w:val="18"/>
              </w:rPr>
              <w:t>France considers breeder as defined by the Art 1 of the UPOV Convention.  Furthermore, as licensees may be different depending on the geographical areas concerned and may change depending on commercial strategy of companies and timeframe, we strongly support the necessity to stick to the following principle: a breeder’s identifier in a denomination should only refer to the original breeder or breeding company.  The use of breeder’s identifier in a denomination is not compulsory, but when used, it should not be misleading regarding identity of the breeder sensus stricto.  Example: ‘ABC’ is the prefix commonly used by breeding company A, while ‘DEF’ is the one used by the breeding company D.   For a said crop, A company gives some licenses to D company; for the consistency of D portfolio, A company propose ‘DEF Mano’ for one of the varieties bred by ABC and licensed to D company.  From our point of view, this proposal is not acceptable because cause confusion regarding breeder’s identity.</w:t>
            </w:r>
          </w:p>
          <w:p w:rsidR="00EA4900" w:rsidRPr="00C04C22" w:rsidRDefault="00EA4900" w:rsidP="00E27D83">
            <w:pPr>
              <w:spacing w:line="360" w:lineRule="auto"/>
              <w:rPr>
                <w:sz w:val="18"/>
                <w:szCs w:val="18"/>
                <w:lang w:eastAsia="ja-JP"/>
              </w:rPr>
            </w:pPr>
          </w:p>
          <w:p w:rsidR="00EA4900" w:rsidRPr="00C04C22" w:rsidRDefault="00EA4900" w:rsidP="00E27D83">
            <w:pPr>
              <w:rPr>
                <w:sz w:val="18"/>
                <w:szCs w:val="18"/>
                <w:u w:val="single"/>
                <w:lang w:eastAsia="ja-JP"/>
              </w:rPr>
            </w:pPr>
            <w:r w:rsidRPr="00C04C22">
              <w:rPr>
                <w:sz w:val="18"/>
                <w:szCs w:val="18"/>
                <w:u w:val="single"/>
              </w:rPr>
              <w:t>Proposal by the Netherlands</w:t>
            </w:r>
          </w:p>
          <w:p w:rsidR="00EA4900" w:rsidRPr="00C04C22" w:rsidRDefault="00EA4900" w:rsidP="00E27D83">
            <w:pPr>
              <w:rPr>
                <w:sz w:val="18"/>
                <w:szCs w:val="18"/>
              </w:rPr>
            </w:pPr>
          </w:p>
          <w:p w:rsidR="00EA4900" w:rsidRPr="00C04C22" w:rsidRDefault="00EA4900" w:rsidP="00E27D83">
            <w:pPr>
              <w:rPr>
                <w:sz w:val="18"/>
                <w:szCs w:val="18"/>
              </w:rPr>
            </w:pPr>
            <w:r w:rsidRPr="00C04C22">
              <w:rPr>
                <w:sz w:val="18"/>
                <w:szCs w:val="18"/>
              </w:rPr>
              <w:t>The German Rose breeder Kordes has ‘KOR’ as the prefix for their varieties; e.g. ‘Korbin’, ‘Korgazell’ &amp; ‘Korkuma’.  It would be misleading if other Rose breeders would use the same prefix.</w:t>
            </w:r>
          </w:p>
          <w:p w:rsidR="00EA4900" w:rsidRPr="00C04C22" w:rsidRDefault="00EA4900" w:rsidP="00E27D83">
            <w:pPr>
              <w:spacing w:line="360" w:lineRule="auto"/>
              <w:rPr>
                <w:sz w:val="18"/>
                <w:szCs w:val="18"/>
                <w:lang w:eastAsia="ja-JP"/>
              </w:rPr>
            </w:pPr>
          </w:p>
          <w:p w:rsidR="00EA4900" w:rsidRPr="00C04C22" w:rsidRDefault="00EA4900" w:rsidP="00E27D83">
            <w:pPr>
              <w:rPr>
                <w:sz w:val="18"/>
                <w:szCs w:val="18"/>
                <w:u w:val="single"/>
                <w:lang w:eastAsia="ja-JP"/>
              </w:rPr>
            </w:pPr>
            <w:r w:rsidRPr="00C04C22">
              <w:rPr>
                <w:sz w:val="18"/>
                <w:szCs w:val="18"/>
                <w:u w:val="single"/>
              </w:rPr>
              <w:t>Proposal by New Zealand</w:t>
            </w:r>
          </w:p>
          <w:p w:rsidR="00EA4900" w:rsidRPr="00C04C22" w:rsidRDefault="00EA4900" w:rsidP="00E27D83">
            <w:pPr>
              <w:rPr>
                <w:sz w:val="18"/>
                <w:szCs w:val="18"/>
              </w:rPr>
            </w:pPr>
          </w:p>
          <w:p w:rsidR="00EA4900" w:rsidRPr="00C04C22" w:rsidRDefault="00EA4900" w:rsidP="00E27D83">
            <w:pPr>
              <w:ind w:left="1701" w:hanging="1701"/>
              <w:rPr>
                <w:sz w:val="18"/>
                <w:szCs w:val="18"/>
              </w:rPr>
            </w:pPr>
            <w:r w:rsidRPr="00C04C22">
              <w:rPr>
                <w:i/>
                <w:sz w:val="18"/>
                <w:szCs w:val="18"/>
              </w:rPr>
              <w:t>Eucomis</w:t>
            </w:r>
            <w:r w:rsidRPr="00C04C22">
              <w:rPr>
                <w:sz w:val="18"/>
                <w:szCs w:val="18"/>
              </w:rPr>
              <w:t xml:space="preserve">  ‘Eudun1’</w:t>
            </w:r>
            <w:r w:rsidRPr="00C04C22">
              <w:rPr>
                <w:sz w:val="18"/>
                <w:szCs w:val="18"/>
              </w:rPr>
              <w:tab/>
              <w:t>The breeder of this variety is the first to use the prefix ‘Eu’, indicating the genus of the variety.  Does this also indicate the breeder?</w:t>
            </w:r>
          </w:p>
          <w:p w:rsidR="00EA4900" w:rsidRPr="00C04C22" w:rsidRDefault="00EA4900" w:rsidP="00E27D83">
            <w:pPr>
              <w:rPr>
                <w:sz w:val="18"/>
                <w:szCs w:val="18"/>
              </w:rPr>
            </w:pPr>
          </w:p>
          <w:p w:rsidR="00EA4900" w:rsidRPr="00C04C22" w:rsidRDefault="00EA4900" w:rsidP="00E27D83">
            <w:pPr>
              <w:rPr>
                <w:sz w:val="18"/>
                <w:szCs w:val="18"/>
              </w:rPr>
            </w:pPr>
            <w:r w:rsidRPr="00C04C22">
              <w:rPr>
                <w:sz w:val="18"/>
                <w:szCs w:val="18"/>
              </w:rPr>
              <w:t xml:space="preserve">Other examples  </w:t>
            </w:r>
            <w:r w:rsidRPr="00C04C22">
              <w:rPr>
                <w:i/>
                <w:sz w:val="18"/>
                <w:szCs w:val="18"/>
              </w:rPr>
              <w:t>Agapanthus</w:t>
            </w:r>
            <w:r w:rsidRPr="00C04C22">
              <w:rPr>
                <w:sz w:val="18"/>
                <w:szCs w:val="18"/>
              </w:rPr>
              <w:t xml:space="preserve"> ‘Agapetite’,  </w:t>
            </w:r>
            <w:r w:rsidRPr="00C04C22">
              <w:rPr>
                <w:i/>
                <w:sz w:val="18"/>
                <w:szCs w:val="18"/>
              </w:rPr>
              <w:t>Carex</w:t>
            </w:r>
            <w:r w:rsidRPr="00C04C22">
              <w:rPr>
                <w:sz w:val="18"/>
                <w:szCs w:val="18"/>
              </w:rPr>
              <w:t xml:space="preserve"> ‘Carfit01’, </w:t>
            </w:r>
            <w:r w:rsidRPr="00C04C22">
              <w:rPr>
                <w:i/>
                <w:sz w:val="18"/>
                <w:szCs w:val="18"/>
              </w:rPr>
              <w:t>Westringia</w:t>
            </w:r>
            <w:r w:rsidRPr="00C04C22">
              <w:rPr>
                <w:sz w:val="18"/>
                <w:szCs w:val="18"/>
              </w:rPr>
              <w:t xml:space="preserve"> ‘WES08’ </w:t>
            </w:r>
          </w:p>
          <w:p w:rsidR="00EA4900" w:rsidRPr="00C04C22" w:rsidRDefault="00EA4900" w:rsidP="00E27D83">
            <w:pPr>
              <w:rPr>
                <w:sz w:val="18"/>
                <w:szCs w:val="18"/>
              </w:rPr>
            </w:pPr>
          </w:p>
          <w:p w:rsidR="00EA4900" w:rsidRDefault="00EA4900" w:rsidP="00E27D83">
            <w:pPr>
              <w:rPr>
                <w:sz w:val="18"/>
                <w:szCs w:val="18"/>
                <w:lang w:eastAsia="ja-JP"/>
              </w:rPr>
            </w:pPr>
            <w:r w:rsidRPr="00C04C22">
              <w:rPr>
                <w:sz w:val="18"/>
                <w:szCs w:val="18"/>
              </w:rPr>
              <w:t>If a breeder is the first to use a genus prefix to identify their varieties, could this prevent other breeders of that genus from using the genus prefix?</w:t>
            </w:r>
          </w:p>
          <w:p w:rsidR="00EA4900" w:rsidRPr="0047703B" w:rsidRDefault="00EA4900" w:rsidP="00E27D83">
            <w:pPr>
              <w:rPr>
                <w:sz w:val="18"/>
                <w:szCs w:val="18"/>
                <w:lang w:eastAsia="ja-JP"/>
              </w:rPr>
            </w:pPr>
          </w:p>
        </w:tc>
      </w:tr>
    </w:tbl>
    <w:p w:rsidR="004A0FEE" w:rsidRPr="004A0FEE" w:rsidRDefault="004A0FEE" w:rsidP="004A0FEE">
      <w:pPr>
        <w:spacing w:line="360" w:lineRule="auto"/>
        <w:rPr>
          <w:sz w:val="18"/>
        </w:rPr>
      </w:pPr>
    </w:p>
    <w:tbl>
      <w:tblPr>
        <w:tblW w:w="0" w:type="auto"/>
        <w:tblCellMar>
          <w:top w:w="113" w:type="dxa"/>
          <w:bottom w:w="113" w:type="dxa"/>
        </w:tblCellMar>
        <w:tblLook w:val="04A0" w:firstRow="1" w:lastRow="0" w:firstColumn="1" w:lastColumn="0" w:noHBand="0" w:noVBand="1"/>
      </w:tblPr>
      <w:tblGrid>
        <w:gridCol w:w="9629"/>
      </w:tblGrid>
      <w:tr w:rsidR="004A0FEE" w:rsidRPr="004A0FEE" w:rsidTr="005B58CF">
        <w:trPr>
          <w:cantSplit/>
        </w:trPr>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0FEE" w:rsidRPr="004A0FEE" w:rsidRDefault="004A0FEE" w:rsidP="004A0FEE">
            <w:pPr>
              <w:spacing w:line="360" w:lineRule="auto"/>
              <w:rPr>
                <w:sz w:val="18"/>
              </w:rPr>
            </w:pPr>
            <w:r w:rsidRPr="004A0FEE">
              <w:rPr>
                <w:rFonts w:hint="eastAsia"/>
                <w:sz w:val="18"/>
                <w:u w:val="single"/>
              </w:rPr>
              <w:t>T</w:t>
            </w:r>
            <w:r w:rsidRPr="004A0FEE">
              <w:rPr>
                <w:sz w:val="18"/>
                <w:u w:val="single"/>
              </w:rPr>
              <w:t xml:space="preserve">he </w:t>
            </w:r>
            <w:r w:rsidRPr="004A0FEE">
              <w:rPr>
                <w:rFonts w:hint="eastAsia"/>
                <w:sz w:val="18"/>
                <w:u w:val="single"/>
              </w:rPr>
              <w:t>WG-DEN</w:t>
            </w:r>
            <w:r w:rsidRPr="004A0FEE">
              <w:rPr>
                <w:sz w:val="18"/>
                <w:u w:val="single"/>
              </w:rPr>
              <w:t>, at its third meeting, agreed</w:t>
            </w:r>
            <w:r w:rsidRPr="008A5DEF">
              <w:rPr>
                <w:rFonts w:hint="eastAsia"/>
                <w:sz w:val="18"/>
              </w:rPr>
              <w:t xml:space="preserve"> </w:t>
            </w:r>
            <w:r w:rsidR="008A5DEF" w:rsidRPr="008A5DEF">
              <w:rPr>
                <w:rStyle w:val="EndnoteReference"/>
                <w:sz w:val="18"/>
              </w:rPr>
              <w:endnoteReference w:id="21"/>
            </w:r>
          </w:p>
          <w:p w:rsidR="004A0FEE" w:rsidRDefault="004A0FEE" w:rsidP="004A0FEE">
            <w:pPr>
              <w:spacing w:line="360" w:lineRule="auto"/>
              <w:rPr>
                <w:sz w:val="18"/>
              </w:rPr>
            </w:pPr>
          </w:p>
          <w:p w:rsidR="004A0FEE" w:rsidRPr="004A0FEE" w:rsidRDefault="004A0FEE" w:rsidP="004A0FEE">
            <w:pPr>
              <w:spacing w:line="360" w:lineRule="auto"/>
              <w:rPr>
                <w:sz w:val="18"/>
                <w:szCs w:val="18"/>
              </w:rPr>
            </w:pPr>
            <w:r w:rsidRPr="004A0FEE">
              <w:rPr>
                <w:sz w:val="18"/>
                <w:szCs w:val="18"/>
              </w:rPr>
              <w:t xml:space="preserve">To reflect further on whether PVP Offices should seek to have a role in recognizing breeders practices in naming varieties (e.g. prefixes, themes) or whether that should be left to other mechanisms (e.g. trademarks). It was agreed that the Office of the Union should send a circular inviting comments on that matter (see </w:t>
            </w:r>
            <w:r w:rsidRPr="004A0FEE">
              <w:rPr>
                <w:rFonts w:hint="eastAsia"/>
                <w:sz w:val="18"/>
                <w:szCs w:val="18"/>
              </w:rPr>
              <w:t xml:space="preserve">document </w:t>
            </w:r>
            <w:hyperlink r:id="rId14" w:history="1">
              <w:r w:rsidRPr="004A0FEE">
                <w:rPr>
                  <w:rStyle w:val="Hyperlink"/>
                  <w:rFonts w:hint="eastAsia"/>
                  <w:sz w:val="18"/>
                  <w:szCs w:val="18"/>
                </w:rPr>
                <w:t>UPOV/WG-DEN/</w:t>
              </w:r>
              <w:r w:rsidRPr="004A0FEE">
                <w:rPr>
                  <w:rStyle w:val="Hyperlink"/>
                  <w:sz w:val="18"/>
                  <w:szCs w:val="18"/>
                </w:rPr>
                <w:t>4</w:t>
              </w:r>
              <w:r w:rsidRPr="004A0FEE">
                <w:rPr>
                  <w:rStyle w:val="Hyperlink"/>
                  <w:rFonts w:hint="eastAsia"/>
                  <w:sz w:val="18"/>
                  <w:szCs w:val="18"/>
                </w:rPr>
                <w:t>/</w:t>
              </w:r>
              <w:r w:rsidRPr="004A0FEE">
                <w:rPr>
                  <w:rStyle w:val="Hyperlink"/>
                  <w:sz w:val="18"/>
                  <w:szCs w:val="18"/>
                </w:rPr>
                <w:t>2</w:t>
              </w:r>
            </w:hyperlink>
            <w:r w:rsidRPr="004A0FEE">
              <w:rPr>
                <w:rFonts w:hint="eastAsia"/>
                <w:sz w:val="18"/>
                <w:szCs w:val="18"/>
              </w:rPr>
              <w:t xml:space="preserve"> </w:t>
            </w:r>
            <w:r w:rsidRPr="004A0FEE">
              <w:rPr>
                <w:sz w:val="18"/>
                <w:szCs w:val="18"/>
              </w:rPr>
              <w:t xml:space="preserve">“Revision of document UPOV/INF/12/5 ‘Explanatory Notes on Variety Denominations under the UPOV Convention’”, Annexes II to VIII).  It was also agreed that the Office of the Union should investigate the background that led to the adoption in the Convention of the principle in Section 2.3.4 “Identity of the breeder” at the 1961 Diplomatic Conference (see </w:t>
            </w:r>
            <w:r w:rsidRPr="004A0FEE">
              <w:rPr>
                <w:rFonts w:hint="eastAsia"/>
                <w:sz w:val="18"/>
                <w:szCs w:val="18"/>
              </w:rPr>
              <w:t xml:space="preserve">document </w:t>
            </w:r>
            <w:hyperlink r:id="rId15" w:history="1">
              <w:r w:rsidRPr="004A0FEE">
                <w:rPr>
                  <w:rStyle w:val="Hyperlink"/>
                  <w:rFonts w:hint="eastAsia"/>
                  <w:sz w:val="18"/>
                  <w:szCs w:val="18"/>
                </w:rPr>
                <w:t>UPOV/WG-DEN/</w:t>
              </w:r>
              <w:r w:rsidRPr="004A0FEE">
                <w:rPr>
                  <w:rStyle w:val="Hyperlink"/>
                  <w:sz w:val="18"/>
                  <w:szCs w:val="18"/>
                </w:rPr>
                <w:t>4</w:t>
              </w:r>
              <w:r w:rsidRPr="004A0FEE">
                <w:rPr>
                  <w:rStyle w:val="Hyperlink"/>
                  <w:rFonts w:hint="eastAsia"/>
                  <w:sz w:val="18"/>
                  <w:szCs w:val="18"/>
                </w:rPr>
                <w:t>/</w:t>
              </w:r>
              <w:r w:rsidRPr="004A0FEE">
                <w:rPr>
                  <w:rStyle w:val="Hyperlink"/>
                  <w:sz w:val="18"/>
                  <w:szCs w:val="18"/>
                </w:rPr>
                <w:t>2</w:t>
              </w:r>
            </w:hyperlink>
            <w:r w:rsidRPr="004A0FEE">
              <w:rPr>
                <w:rFonts w:hint="eastAsia"/>
                <w:sz w:val="18"/>
                <w:szCs w:val="18"/>
              </w:rPr>
              <w:t xml:space="preserve"> </w:t>
            </w:r>
            <w:r w:rsidRPr="004A0FEE">
              <w:rPr>
                <w:sz w:val="18"/>
                <w:szCs w:val="18"/>
              </w:rPr>
              <w:t>“Revision of document UPOV/INF/12/5 ‘Explanatory Notes on Variety Denominations under the UPOV Convention’”, paragraph 13).</w:t>
            </w:r>
          </w:p>
          <w:p w:rsidR="004A0FEE" w:rsidRPr="004A0FEE" w:rsidRDefault="004A0FEE" w:rsidP="004A0FEE">
            <w:pPr>
              <w:spacing w:line="360" w:lineRule="auto"/>
              <w:rPr>
                <w:sz w:val="18"/>
              </w:rPr>
            </w:pPr>
          </w:p>
          <w:p w:rsidR="004A0FEE" w:rsidRPr="004A0FEE" w:rsidRDefault="004A0FEE" w:rsidP="004A0FEE">
            <w:pPr>
              <w:spacing w:line="360" w:lineRule="auto"/>
              <w:rPr>
                <w:sz w:val="18"/>
                <w:highlight w:val="darkGray"/>
                <w:u w:val="single"/>
              </w:rPr>
            </w:pPr>
            <w:r w:rsidRPr="004A0FEE">
              <w:rPr>
                <w:sz w:val="18"/>
                <w:highlight w:val="darkGray"/>
                <w:u w:val="single"/>
              </w:rPr>
              <w:t>Summary of results of circular E-17/135 to members of the Union</w:t>
            </w:r>
          </w:p>
          <w:p w:rsidR="004A0FEE" w:rsidRPr="004A0FEE" w:rsidRDefault="004A0FEE" w:rsidP="004A0FEE">
            <w:pPr>
              <w:spacing w:line="360" w:lineRule="auto"/>
              <w:rPr>
                <w:sz w:val="18"/>
                <w:highlight w:val="darkGray"/>
              </w:rPr>
            </w:pPr>
          </w:p>
          <w:p w:rsidR="004A0FEE" w:rsidRPr="004A0FEE" w:rsidRDefault="004A0FEE" w:rsidP="004A0FEE">
            <w:pPr>
              <w:spacing w:line="360" w:lineRule="auto"/>
              <w:rPr>
                <w:sz w:val="18"/>
                <w:highlight w:val="darkGray"/>
              </w:rPr>
            </w:pPr>
            <w:r w:rsidRPr="004A0FEE">
              <w:rPr>
                <w:sz w:val="18"/>
                <w:highlight w:val="darkGray"/>
              </w:rPr>
              <w:t>-</w:t>
            </w:r>
            <w:r w:rsidRPr="004A0FEE">
              <w:rPr>
                <w:sz w:val="18"/>
                <w:highlight w:val="darkGray"/>
              </w:rPr>
              <w:tab/>
              <w:t>Recognizing breeders practices in naming varieties (e.g. prefixes, themes)</w:t>
            </w:r>
          </w:p>
          <w:tbl>
            <w:tblPr>
              <w:tblStyle w:val="TableGrid"/>
              <w:tblW w:w="0" w:type="auto"/>
              <w:tblInd w:w="652" w:type="dxa"/>
              <w:tblCellMar>
                <w:top w:w="85" w:type="dxa"/>
                <w:left w:w="85" w:type="dxa"/>
                <w:bottom w:w="85" w:type="dxa"/>
                <w:right w:w="85" w:type="dxa"/>
              </w:tblCellMar>
              <w:tblLook w:val="04A0" w:firstRow="1" w:lastRow="0" w:firstColumn="1" w:lastColumn="0" w:noHBand="0" w:noVBand="1"/>
            </w:tblPr>
            <w:tblGrid>
              <w:gridCol w:w="3154"/>
              <w:gridCol w:w="5597"/>
            </w:tblGrid>
            <w:tr w:rsidR="004A0FEE" w:rsidRPr="004A0FEE" w:rsidTr="005B58CF">
              <w:tc>
                <w:tcPr>
                  <w:tcW w:w="3261" w:type="dxa"/>
                </w:tcPr>
                <w:p w:rsidR="004A0FEE" w:rsidRPr="004A0FEE" w:rsidRDefault="004A0FEE" w:rsidP="004A0FEE">
                  <w:pPr>
                    <w:spacing w:line="360" w:lineRule="auto"/>
                    <w:rPr>
                      <w:sz w:val="18"/>
                      <w:highlight w:val="darkGray"/>
                    </w:rPr>
                  </w:pPr>
                  <w:r w:rsidRPr="004A0FEE">
                    <w:rPr>
                      <w:sz w:val="18"/>
                      <w:highlight w:val="darkGray"/>
                    </w:rPr>
                    <w:t>Accepted</w:t>
                  </w:r>
                </w:p>
              </w:tc>
              <w:tc>
                <w:tcPr>
                  <w:tcW w:w="5811" w:type="dxa"/>
                </w:tcPr>
                <w:p w:rsidR="004A0FEE" w:rsidRPr="004A0FEE" w:rsidRDefault="004A0FEE" w:rsidP="004A0FEE">
                  <w:pPr>
                    <w:spacing w:line="360" w:lineRule="auto"/>
                    <w:rPr>
                      <w:sz w:val="18"/>
                      <w:highlight w:val="darkGray"/>
                    </w:rPr>
                  </w:pPr>
                  <w:r w:rsidRPr="004A0FEE">
                    <w:rPr>
                      <w:sz w:val="18"/>
                      <w:highlight w:val="darkGray"/>
                    </w:rPr>
                    <w:t>Australia, European Union, France, New Zealand, South Africa</w:t>
                  </w:r>
                </w:p>
              </w:tc>
            </w:tr>
            <w:tr w:rsidR="004A0FEE" w:rsidRPr="004A0FEE" w:rsidTr="005B58CF">
              <w:tc>
                <w:tcPr>
                  <w:tcW w:w="3261" w:type="dxa"/>
                </w:tcPr>
                <w:p w:rsidR="004A0FEE" w:rsidRPr="004A0FEE" w:rsidRDefault="004A0FEE" w:rsidP="004A0FEE">
                  <w:pPr>
                    <w:spacing w:line="360" w:lineRule="auto"/>
                    <w:rPr>
                      <w:sz w:val="18"/>
                      <w:highlight w:val="darkGray"/>
                    </w:rPr>
                  </w:pPr>
                  <w:r w:rsidRPr="004A0FEE">
                    <w:rPr>
                      <w:sz w:val="18"/>
                      <w:highlight w:val="darkGray"/>
                    </w:rPr>
                    <w:t>Not accepted</w:t>
                  </w:r>
                </w:p>
              </w:tc>
              <w:tc>
                <w:tcPr>
                  <w:tcW w:w="5811" w:type="dxa"/>
                </w:tcPr>
                <w:p w:rsidR="004A0FEE" w:rsidRPr="004A0FEE" w:rsidRDefault="004A0FEE" w:rsidP="004A0FEE">
                  <w:pPr>
                    <w:spacing w:line="360" w:lineRule="auto"/>
                    <w:rPr>
                      <w:sz w:val="18"/>
                    </w:rPr>
                  </w:pPr>
                  <w:r w:rsidRPr="004A0FEE">
                    <w:rPr>
                      <w:sz w:val="18"/>
                      <w:highlight w:val="darkGray"/>
                    </w:rPr>
                    <w:t>Netherlands</w:t>
                  </w:r>
                </w:p>
              </w:tc>
            </w:tr>
          </w:tbl>
          <w:p w:rsidR="004A0FEE" w:rsidRPr="004A0FEE" w:rsidRDefault="004A0FEE" w:rsidP="004A0FEE">
            <w:pPr>
              <w:spacing w:line="360" w:lineRule="auto"/>
              <w:rPr>
                <w:sz w:val="18"/>
                <w:u w:val="single"/>
              </w:rPr>
            </w:pPr>
          </w:p>
        </w:tc>
      </w:tr>
    </w:tbl>
    <w:p w:rsidR="004A0FEE" w:rsidRPr="004A0FEE" w:rsidRDefault="004A0FEE" w:rsidP="004A0FEE">
      <w:pPr>
        <w:spacing w:line="360" w:lineRule="auto"/>
        <w:rPr>
          <w:sz w:val="18"/>
        </w:rPr>
      </w:pPr>
    </w:p>
    <w:p w:rsidR="004A0FEE" w:rsidRDefault="004A0FEE" w:rsidP="00EA4900">
      <w:pPr>
        <w:spacing w:line="360" w:lineRule="auto"/>
        <w:rPr>
          <w:sz w:val="18"/>
        </w:rPr>
      </w:pPr>
    </w:p>
    <w:p w:rsidR="004A0FEE" w:rsidRDefault="004A0FEE" w:rsidP="00EA4900">
      <w:pPr>
        <w:spacing w:line="360" w:lineRule="auto"/>
        <w:rPr>
          <w:sz w:val="18"/>
        </w:rPr>
      </w:pPr>
    </w:p>
    <w:p w:rsidR="004A0FEE" w:rsidRDefault="004A0FEE" w:rsidP="00EA4900">
      <w:pPr>
        <w:spacing w:line="360" w:lineRule="auto"/>
        <w:rPr>
          <w:sz w:val="1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C544AE" w:rsidTr="005B58CF">
        <w:trPr>
          <w:cantSplit/>
        </w:trPr>
        <w:tc>
          <w:tcPr>
            <w:tcW w:w="9855" w:type="dxa"/>
            <w:shd w:val="clear" w:color="auto" w:fill="D9D9D9" w:themeFill="background1" w:themeFillShade="D9"/>
          </w:tcPr>
          <w:p w:rsidR="00C544AE" w:rsidRDefault="00C544AE" w:rsidP="005B58CF"/>
          <w:p w:rsidR="00C544AE" w:rsidRPr="00E43B13" w:rsidRDefault="00C544AE" w:rsidP="005B58CF">
            <w:pPr>
              <w:shd w:val="clear" w:color="auto" w:fill="D9D9D9" w:themeFill="background1" w:themeFillShade="D9"/>
              <w:rPr>
                <w:color w:val="000000"/>
                <w:sz w:val="18"/>
                <w:szCs w:val="18"/>
                <w:highlight w:val="yellow"/>
                <w:u w:val="single"/>
                <w:lang w:eastAsia="ja-JP"/>
              </w:rPr>
            </w:pPr>
            <w:r w:rsidRPr="00E43B13">
              <w:rPr>
                <w:color w:val="000000"/>
                <w:sz w:val="18"/>
                <w:szCs w:val="18"/>
                <w:highlight w:val="yellow"/>
                <w:u w:val="single"/>
                <w:lang w:eastAsia="ja-JP"/>
              </w:rPr>
              <w:t>T</w:t>
            </w:r>
            <w:r w:rsidRPr="00E43B13">
              <w:rPr>
                <w:color w:val="000000"/>
                <w:sz w:val="18"/>
                <w:szCs w:val="18"/>
                <w:highlight w:val="yellow"/>
                <w:u w:val="single"/>
              </w:rPr>
              <w:t xml:space="preserve">he </w:t>
            </w:r>
            <w:r w:rsidRPr="00E43B13">
              <w:rPr>
                <w:rFonts w:hint="eastAsia"/>
                <w:color w:val="000000"/>
                <w:sz w:val="18"/>
                <w:szCs w:val="18"/>
                <w:highlight w:val="yellow"/>
                <w:u w:val="single"/>
                <w:lang w:eastAsia="ja-JP"/>
              </w:rPr>
              <w:t>WG-DEN</w:t>
            </w:r>
            <w:r w:rsidRPr="00E43B13">
              <w:rPr>
                <w:color w:val="000000"/>
                <w:sz w:val="18"/>
                <w:szCs w:val="18"/>
                <w:highlight w:val="yellow"/>
                <w:u w:val="single"/>
                <w:lang w:eastAsia="ja-JP"/>
              </w:rPr>
              <w:t>, at its fourth meeting, agreed</w:t>
            </w:r>
            <w:r w:rsidRPr="00E43B13">
              <w:rPr>
                <w:rFonts w:hint="eastAsia"/>
                <w:color w:val="000000"/>
                <w:sz w:val="18"/>
                <w:szCs w:val="18"/>
                <w:highlight w:val="yellow"/>
                <w:u w:val="single"/>
                <w:lang w:eastAsia="ja-JP"/>
              </w:rPr>
              <w:t xml:space="preserve"> </w:t>
            </w:r>
          </w:p>
          <w:p w:rsidR="00C544AE" w:rsidRPr="00613BB7" w:rsidRDefault="00C544AE" w:rsidP="005B58CF">
            <w:pPr>
              <w:shd w:val="clear" w:color="auto" w:fill="D9D9D9" w:themeFill="background1" w:themeFillShade="D9"/>
              <w:rPr>
                <w:color w:val="000000"/>
                <w:sz w:val="18"/>
                <w:szCs w:val="18"/>
                <w:highlight w:val="yellow"/>
                <w:u w:val="single"/>
              </w:rPr>
            </w:pPr>
          </w:p>
          <w:p w:rsidR="00C544AE" w:rsidRPr="00C544AE" w:rsidRDefault="00C544AE" w:rsidP="005B58CF">
            <w:pPr>
              <w:rPr>
                <w:color w:val="000000"/>
                <w:sz w:val="16"/>
                <w:szCs w:val="16"/>
                <w:highlight w:val="yellow"/>
                <w:lang w:eastAsia="ja-JP"/>
              </w:rPr>
            </w:pPr>
            <w:r w:rsidRPr="00C544AE">
              <w:rPr>
                <w:color w:val="000000"/>
                <w:sz w:val="18"/>
                <w:szCs w:val="18"/>
                <w:highlight w:val="yellow"/>
                <w:lang w:eastAsia="ja-JP"/>
              </w:rPr>
              <w:t>that themes without a common word, prefix nor suffix, should not be an acceptable practice.</w:t>
            </w:r>
            <w:r w:rsidRPr="00C544AE">
              <w:rPr>
                <w:color w:val="000000"/>
                <w:sz w:val="16"/>
                <w:szCs w:val="16"/>
                <w:highlight w:val="yellow"/>
                <w:lang w:eastAsia="ja-JP"/>
              </w:rPr>
              <w:t xml:space="preserve"> </w:t>
            </w:r>
          </w:p>
          <w:p w:rsidR="00C544AE" w:rsidRDefault="00C544AE" w:rsidP="00C544AE"/>
        </w:tc>
      </w:tr>
    </w:tbl>
    <w:p w:rsidR="00C544AE" w:rsidRDefault="00C544AE" w:rsidP="00EA4900">
      <w:pPr>
        <w:spacing w:line="360" w:lineRule="auto"/>
        <w:rPr>
          <w:sz w:val="1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0A1621" w:rsidTr="005B58CF">
        <w:trPr>
          <w:cantSplit/>
        </w:trPr>
        <w:tc>
          <w:tcPr>
            <w:tcW w:w="9855" w:type="dxa"/>
            <w:shd w:val="clear" w:color="auto" w:fill="D9D9D9" w:themeFill="background1" w:themeFillShade="D9"/>
          </w:tcPr>
          <w:p w:rsidR="000A1621" w:rsidRDefault="000A1621" w:rsidP="005B58CF"/>
          <w:p w:rsidR="000A1621" w:rsidRPr="00E43B13" w:rsidRDefault="000A1621" w:rsidP="005B58CF">
            <w:pPr>
              <w:shd w:val="clear" w:color="auto" w:fill="D9D9D9" w:themeFill="background1" w:themeFillShade="D9"/>
              <w:rPr>
                <w:color w:val="000000"/>
                <w:sz w:val="18"/>
                <w:szCs w:val="18"/>
                <w:highlight w:val="yellow"/>
                <w:u w:val="single"/>
                <w:lang w:eastAsia="ja-JP"/>
              </w:rPr>
            </w:pPr>
            <w:r w:rsidRPr="00E43B13">
              <w:rPr>
                <w:color w:val="000000"/>
                <w:sz w:val="18"/>
                <w:szCs w:val="18"/>
                <w:highlight w:val="yellow"/>
                <w:u w:val="single"/>
                <w:lang w:eastAsia="ja-JP"/>
              </w:rPr>
              <w:t>T</w:t>
            </w:r>
            <w:r w:rsidRPr="00E43B13">
              <w:rPr>
                <w:color w:val="000000"/>
                <w:sz w:val="18"/>
                <w:szCs w:val="18"/>
                <w:highlight w:val="yellow"/>
                <w:u w:val="single"/>
              </w:rPr>
              <w:t xml:space="preserve">he </w:t>
            </w:r>
            <w:r w:rsidRPr="00E43B13">
              <w:rPr>
                <w:rFonts w:hint="eastAsia"/>
                <w:color w:val="000000"/>
                <w:sz w:val="18"/>
                <w:szCs w:val="18"/>
                <w:highlight w:val="yellow"/>
                <w:u w:val="single"/>
                <w:lang w:eastAsia="ja-JP"/>
              </w:rPr>
              <w:t>WG-DEN</w:t>
            </w:r>
            <w:r w:rsidRPr="00E43B13">
              <w:rPr>
                <w:color w:val="000000"/>
                <w:sz w:val="18"/>
                <w:szCs w:val="18"/>
                <w:highlight w:val="yellow"/>
                <w:u w:val="single"/>
                <w:lang w:eastAsia="ja-JP"/>
              </w:rPr>
              <w:t xml:space="preserve">, at its fourth meeting, </w:t>
            </w:r>
            <w:r>
              <w:rPr>
                <w:color w:val="000000"/>
                <w:sz w:val="18"/>
                <w:szCs w:val="18"/>
                <w:highlight w:val="yellow"/>
                <w:u w:val="single"/>
                <w:lang w:eastAsia="ja-JP"/>
              </w:rPr>
              <w:t>requested</w:t>
            </w:r>
            <w:r w:rsidRPr="00E43B13">
              <w:rPr>
                <w:rFonts w:hint="eastAsia"/>
                <w:color w:val="000000"/>
                <w:sz w:val="18"/>
                <w:szCs w:val="18"/>
                <w:highlight w:val="yellow"/>
                <w:u w:val="single"/>
                <w:lang w:eastAsia="ja-JP"/>
              </w:rPr>
              <w:t xml:space="preserve"> </w:t>
            </w:r>
          </w:p>
          <w:p w:rsidR="000A1621" w:rsidRPr="00613BB7" w:rsidRDefault="000A1621" w:rsidP="005B58CF">
            <w:pPr>
              <w:shd w:val="clear" w:color="auto" w:fill="D9D9D9" w:themeFill="background1" w:themeFillShade="D9"/>
              <w:rPr>
                <w:color w:val="000000"/>
                <w:sz w:val="18"/>
                <w:szCs w:val="18"/>
                <w:highlight w:val="yellow"/>
                <w:u w:val="single"/>
              </w:rPr>
            </w:pPr>
          </w:p>
          <w:p w:rsidR="000A1621" w:rsidRPr="00C544AE" w:rsidRDefault="000A1621" w:rsidP="005B58CF">
            <w:pPr>
              <w:rPr>
                <w:color w:val="000000"/>
                <w:sz w:val="16"/>
                <w:szCs w:val="16"/>
                <w:highlight w:val="yellow"/>
                <w:lang w:eastAsia="ja-JP"/>
              </w:rPr>
            </w:pPr>
            <w:r w:rsidRPr="000A1621">
              <w:rPr>
                <w:color w:val="000000"/>
                <w:sz w:val="18"/>
                <w:szCs w:val="18"/>
                <w:highlight w:val="yellow"/>
                <w:lang w:eastAsia="ja-JP"/>
              </w:rPr>
              <w:t>the Office of the Union to issue a circular to invite the authorities to provide their guidance on prefixes, suffixes and common word to identify the breeder or other practices by the breeder</w:t>
            </w:r>
            <w:r>
              <w:rPr>
                <w:color w:val="000000"/>
                <w:sz w:val="18"/>
                <w:szCs w:val="18"/>
                <w:highlight w:val="yellow"/>
                <w:lang w:eastAsia="ja-JP"/>
              </w:rPr>
              <w:t>.</w:t>
            </w:r>
            <w:r w:rsidRPr="00C544AE">
              <w:rPr>
                <w:color w:val="000000"/>
                <w:sz w:val="16"/>
                <w:szCs w:val="16"/>
                <w:highlight w:val="yellow"/>
                <w:lang w:eastAsia="ja-JP"/>
              </w:rPr>
              <w:t xml:space="preserve"> </w:t>
            </w:r>
          </w:p>
          <w:p w:rsidR="000A1621" w:rsidRDefault="000A1621" w:rsidP="005B58CF"/>
        </w:tc>
      </w:tr>
    </w:tbl>
    <w:p w:rsidR="00C544AE" w:rsidRDefault="00C544AE" w:rsidP="00EA4900">
      <w:pPr>
        <w:spacing w:line="360" w:lineRule="auto"/>
        <w:rPr>
          <w:sz w:val="18"/>
        </w:rPr>
      </w:pPr>
    </w:p>
    <w:p w:rsidR="000A1621" w:rsidRPr="00395671" w:rsidRDefault="000A1621" w:rsidP="00EA4900">
      <w:pPr>
        <w:spacing w:line="360" w:lineRule="auto"/>
        <w:rPr>
          <w:sz w:val="18"/>
        </w:rPr>
      </w:pPr>
    </w:p>
    <w:p w:rsidR="00EA4900" w:rsidRPr="00407B23" w:rsidRDefault="00EA4900" w:rsidP="00EA4900">
      <w:pPr>
        <w:keepNext/>
        <w:ind w:left="567" w:hanging="567"/>
        <w:rPr>
          <w:i/>
        </w:rPr>
      </w:pPr>
      <w:r w:rsidRPr="00407B23">
        <w:rPr>
          <w:i/>
        </w:rPr>
        <w:t>2.4.</w:t>
      </w:r>
      <w:r w:rsidRPr="00407B23">
        <w:rPr>
          <w:i/>
        </w:rPr>
        <w:tab/>
        <w:t>Different from an existing variety of the same plant species or of a closely related species</w:t>
      </w:r>
    </w:p>
    <w:p w:rsidR="00EA4900" w:rsidRPr="00407B23" w:rsidRDefault="00EA4900" w:rsidP="00EA4900">
      <w:pPr>
        <w:keepNext/>
      </w:pPr>
    </w:p>
    <w:p w:rsidR="00EA4900" w:rsidRPr="00407B23" w:rsidRDefault="00EA4900" w:rsidP="00EA4900">
      <w:r w:rsidRPr="00407B23">
        <w:t>2.4.1</w:t>
      </w:r>
      <w:r w:rsidRPr="00407B23">
        <w:tab/>
        <w:t>Paragraph (2) states that the denomination must be “different” from an existing variety of the same plant species or a closely related species</w:t>
      </w:r>
      <w:r w:rsidRPr="00407B23">
        <w:rPr>
          <w:rStyle w:val="FootnoteReference"/>
        </w:rPr>
        <w:footnoteReference w:id="5"/>
      </w:r>
      <w:r w:rsidRPr="00407B23">
        <w:t xml:space="preserve">. </w:t>
      </w:r>
    </w:p>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5D7C20" w:rsidRDefault="00EA4900" w:rsidP="00E27D83">
            <w:pPr>
              <w:rPr>
                <w:sz w:val="18"/>
                <w:szCs w:val="18"/>
              </w:rPr>
            </w:pPr>
          </w:p>
          <w:p w:rsidR="00EA4900" w:rsidRPr="005D7C20" w:rsidRDefault="00EA4900" w:rsidP="00E27D83">
            <w:pPr>
              <w:rPr>
                <w:sz w:val="18"/>
                <w:szCs w:val="18"/>
                <w:u w:val="single"/>
              </w:rPr>
            </w:pPr>
            <w:r w:rsidRPr="005D7C20">
              <w:rPr>
                <w:sz w:val="18"/>
                <w:szCs w:val="18"/>
                <w:u w:val="single"/>
              </w:rPr>
              <w:t>Proposal by ESA/ISF</w:t>
            </w:r>
            <w:r w:rsidR="008A5DEF" w:rsidRPr="008A5DEF">
              <w:rPr>
                <w:sz w:val="18"/>
                <w:szCs w:val="18"/>
              </w:rPr>
              <w:t xml:space="preserve"> </w:t>
            </w:r>
            <w:r w:rsidR="008A5DEF">
              <w:rPr>
                <w:sz w:val="18"/>
                <w:szCs w:val="18"/>
              </w:rPr>
              <w:fldChar w:fldCharType="begin"/>
            </w:r>
            <w:r w:rsidR="008A5DEF">
              <w:rPr>
                <w:sz w:val="18"/>
                <w:szCs w:val="18"/>
              </w:rPr>
              <w:instrText xml:space="preserve"> NOTEREF _Ref526439475 \f \h </w:instrText>
            </w:r>
            <w:r w:rsidR="008A5DEF">
              <w:rPr>
                <w:sz w:val="18"/>
                <w:szCs w:val="18"/>
              </w:rPr>
            </w:r>
            <w:r w:rsidR="008A5DEF">
              <w:rPr>
                <w:sz w:val="18"/>
                <w:szCs w:val="18"/>
              </w:rPr>
              <w:fldChar w:fldCharType="separate"/>
            </w:r>
            <w:r w:rsidR="008D27BA" w:rsidRPr="008D27BA">
              <w:rPr>
                <w:rStyle w:val="EndnoteReference"/>
              </w:rPr>
              <w:t>o</w:t>
            </w:r>
            <w:r w:rsidR="008A5DEF">
              <w:rPr>
                <w:sz w:val="18"/>
                <w:szCs w:val="18"/>
              </w:rPr>
              <w:fldChar w:fldCharType="end"/>
            </w:r>
          </w:p>
          <w:p w:rsidR="00EA4900" w:rsidRPr="005D7C20" w:rsidRDefault="00EA4900" w:rsidP="00E27D83">
            <w:pPr>
              <w:rPr>
                <w:sz w:val="18"/>
                <w:szCs w:val="18"/>
              </w:rPr>
            </w:pPr>
          </w:p>
          <w:p w:rsidR="00EA4900" w:rsidRDefault="00EA4900" w:rsidP="00E27D83">
            <w:pPr>
              <w:rPr>
                <w:sz w:val="18"/>
                <w:szCs w:val="18"/>
              </w:rPr>
            </w:pPr>
            <w:r>
              <w:rPr>
                <w:sz w:val="18"/>
                <w:szCs w:val="18"/>
              </w:rPr>
              <w:t>Section 2.4 is intended to provide guidance on what it means that the denomination has to be different from any other denomination designating an existing variety of the same plant species or of a closely related species.  We propose to also specify here that this does not only refer to denominations used for protected varieties but also denominations registered under national variety registration laws.</w:t>
            </w:r>
          </w:p>
          <w:p w:rsidR="00EA4900" w:rsidRPr="005D7C20" w:rsidRDefault="00EA4900" w:rsidP="00E27D83">
            <w:pPr>
              <w:rPr>
                <w:sz w:val="18"/>
                <w:szCs w:val="18"/>
              </w:rPr>
            </w:pPr>
          </w:p>
        </w:tc>
      </w:tr>
    </w:tbl>
    <w:p w:rsidR="00EA4900" w:rsidRDefault="00EA4900" w:rsidP="00EA4900">
      <w:pPr>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5D7C20" w:rsidRDefault="00EA4900" w:rsidP="00E27D83">
            <w:pPr>
              <w:rPr>
                <w:sz w:val="18"/>
                <w:szCs w:val="18"/>
              </w:rPr>
            </w:pPr>
          </w:p>
          <w:p w:rsidR="00EA4900" w:rsidRPr="00C04C22" w:rsidRDefault="00EA4900" w:rsidP="00E27D83">
            <w:pPr>
              <w:rPr>
                <w:sz w:val="18"/>
                <w:szCs w:val="18"/>
                <w:u w:val="single"/>
              </w:rPr>
            </w:pPr>
            <w:r w:rsidRPr="00C04C22">
              <w:rPr>
                <w:sz w:val="18"/>
                <w:szCs w:val="18"/>
                <w:u w:val="single"/>
              </w:rPr>
              <w:t>Agreed by the WG-DEN</w:t>
            </w:r>
            <w:r w:rsidR="008A5DEF">
              <w:rPr>
                <w:sz w:val="18"/>
                <w:szCs w:val="18"/>
              </w:rPr>
              <w:t xml:space="preserve"> </w:t>
            </w:r>
            <w:r w:rsidR="008A5DEF">
              <w:rPr>
                <w:sz w:val="18"/>
                <w:szCs w:val="18"/>
              </w:rPr>
              <w:fldChar w:fldCharType="begin"/>
            </w:r>
            <w:r w:rsidR="008A5DEF">
              <w:rPr>
                <w:sz w:val="18"/>
                <w:szCs w:val="18"/>
              </w:rPr>
              <w:instrText xml:space="preserve"> NOTEREF _Ref526440080 \f \h </w:instrText>
            </w:r>
            <w:r w:rsidR="008A5DEF">
              <w:rPr>
                <w:sz w:val="18"/>
                <w:szCs w:val="18"/>
              </w:rPr>
            </w:r>
            <w:r w:rsidR="008A5DEF">
              <w:rPr>
                <w:sz w:val="18"/>
                <w:szCs w:val="18"/>
              </w:rPr>
              <w:fldChar w:fldCharType="separate"/>
            </w:r>
            <w:r w:rsidR="008D27BA" w:rsidRPr="008D27BA">
              <w:rPr>
                <w:rStyle w:val="EndnoteReference"/>
              </w:rPr>
              <w:t>p</w:t>
            </w:r>
            <w:r w:rsidR="008A5DEF">
              <w:rPr>
                <w:sz w:val="18"/>
                <w:szCs w:val="18"/>
              </w:rPr>
              <w:fldChar w:fldCharType="end"/>
            </w:r>
          </w:p>
          <w:p w:rsidR="00EA4900" w:rsidRPr="00C04C22" w:rsidRDefault="00EA4900" w:rsidP="00E27D83">
            <w:pPr>
              <w:rPr>
                <w:sz w:val="18"/>
                <w:szCs w:val="18"/>
              </w:rPr>
            </w:pPr>
          </w:p>
          <w:p w:rsidR="00EA4900" w:rsidRDefault="00EA4900" w:rsidP="00E27D83">
            <w:pPr>
              <w:rPr>
                <w:sz w:val="18"/>
                <w:szCs w:val="18"/>
              </w:rPr>
            </w:pPr>
            <w:r w:rsidRPr="00C04C22">
              <w:rPr>
                <w:sz w:val="18"/>
                <w:szCs w:val="18"/>
              </w:rPr>
              <w:t>The term “variety” related to the definition of variety as defined in Article 1 (vi) of the 1991 Act of the UPOV Convention.</w:t>
            </w:r>
          </w:p>
          <w:p w:rsidR="00EA4900" w:rsidRPr="005D7C20" w:rsidRDefault="00EA4900" w:rsidP="00E27D83">
            <w:pPr>
              <w:rPr>
                <w:sz w:val="18"/>
                <w:szCs w:val="18"/>
              </w:rPr>
            </w:pPr>
          </w:p>
        </w:tc>
      </w:tr>
    </w:tbl>
    <w:p w:rsidR="00EA4900" w:rsidRDefault="00EA4900" w:rsidP="00EA4900">
      <w:pPr>
        <w:spacing w:before="240"/>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c>
          <w:tcPr>
            <w:tcW w:w="9855" w:type="dxa"/>
            <w:shd w:val="clear" w:color="auto" w:fill="D9D9D9" w:themeFill="background1" w:themeFillShade="D9"/>
          </w:tcPr>
          <w:p w:rsidR="00EA4900" w:rsidRPr="005F2452" w:rsidRDefault="00EA4900" w:rsidP="00E27D83">
            <w:pPr>
              <w:rPr>
                <w:sz w:val="18"/>
                <w:szCs w:val="18"/>
              </w:rPr>
            </w:pPr>
          </w:p>
          <w:p w:rsidR="00EA4900" w:rsidRPr="0051478C" w:rsidRDefault="00EA4900" w:rsidP="00E27D83">
            <w:pPr>
              <w:rPr>
                <w:sz w:val="18"/>
                <w:szCs w:val="18"/>
                <w:lang w:eastAsia="ja-JP"/>
              </w:rPr>
            </w:pPr>
            <w:r w:rsidRPr="0051478C">
              <w:rPr>
                <w:color w:val="000000"/>
                <w:sz w:val="18"/>
                <w:szCs w:val="18"/>
                <w:u w:val="single"/>
                <w:lang w:eastAsia="ja-JP"/>
              </w:rPr>
              <w:t>Agreed by t</w:t>
            </w:r>
            <w:r w:rsidRPr="0051478C">
              <w:rPr>
                <w:color w:val="000000"/>
                <w:sz w:val="18"/>
                <w:szCs w:val="18"/>
                <w:u w:val="single"/>
              </w:rPr>
              <w:t xml:space="preserve">he </w:t>
            </w:r>
            <w:r w:rsidRPr="0051478C">
              <w:rPr>
                <w:rFonts w:hint="eastAsia"/>
                <w:color w:val="000000"/>
                <w:sz w:val="18"/>
                <w:szCs w:val="18"/>
                <w:u w:val="single"/>
                <w:lang w:eastAsia="ja-JP"/>
              </w:rPr>
              <w:t>WG-DEN</w:t>
            </w:r>
            <w:r w:rsidRPr="0051478C">
              <w:rPr>
                <w:color w:val="000000"/>
                <w:sz w:val="18"/>
                <w:szCs w:val="18"/>
                <w:u w:val="single"/>
                <w:lang w:eastAsia="ja-JP"/>
              </w:rPr>
              <w:t>, at its third meeting</w:t>
            </w:r>
            <w:r w:rsidRPr="0051478C">
              <w:rPr>
                <w:rFonts w:hint="eastAsia"/>
                <w:color w:val="000000"/>
                <w:sz w:val="18"/>
                <w:szCs w:val="18"/>
                <w:u w:val="single"/>
                <w:lang w:eastAsia="ja-JP"/>
              </w:rPr>
              <w:t xml:space="preserve"> </w:t>
            </w:r>
          </w:p>
          <w:p w:rsidR="00EA4900" w:rsidRPr="0051478C" w:rsidRDefault="00EA4900" w:rsidP="00E27D83">
            <w:pPr>
              <w:rPr>
                <w:sz w:val="18"/>
                <w:szCs w:val="18"/>
                <w:lang w:eastAsia="ja-JP"/>
              </w:rPr>
            </w:pPr>
          </w:p>
          <w:p w:rsidR="00EA4900" w:rsidRDefault="00EA4900" w:rsidP="00E27D83">
            <w:pPr>
              <w:rPr>
                <w:sz w:val="18"/>
                <w:lang w:eastAsia="ja-JP"/>
              </w:rPr>
            </w:pPr>
            <w:r w:rsidRPr="0051478C">
              <w:rPr>
                <w:sz w:val="18"/>
                <w:lang w:eastAsia="ja-JP"/>
              </w:rPr>
              <w:t>The term “variety” related to the definition of variety as defined in Article 1(vi) of the 1991 Act of the UPOV Convention and, in particular the term “variety” was wider than protectable variety. The WG-DEN noted that the role of PLUTO in that matter would be considered under a separate agenda item.</w:t>
            </w:r>
          </w:p>
          <w:p w:rsidR="00EA4900" w:rsidRPr="005F2452" w:rsidRDefault="00EA4900" w:rsidP="00E27D83">
            <w:pPr>
              <w:rPr>
                <w:sz w:val="18"/>
                <w:szCs w:val="18"/>
              </w:rPr>
            </w:pPr>
          </w:p>
        </w:tc>
      </w:tr>
    </w:tbl>
    <w:p w:rsidR="00EA4900" w:rsidRDefault="00EA4900" w:rsidP="00EA4900">
      <w:pPr>
        <w:spacing w:before="240"/>
      </w:pPr>
    </w:p>
    <w:p w:rsidR="00EA4900" w:rsidRPr="00407B23" w:rsidRDefault="00EA4900" w:rsidP="00EA4900">
      <w:pPr>
        <w:spacing w:before="240"/>
      </w:pPr>
      <w:r w:rsidRPr="00407B23">
        <w:t>2.4.2</w:t>
      </w:r>
      <w:r w:rsidRPr="00407B23">
        <w:tab/>
        <w:t>The following explanation is for the purposes of variety denominations and without prejudice to the meaning of a “variety whose existence is a matter of common knowledge” in Article 7 of the 1991 Act and in Article 6(1)(a) of the 1978 Act and the 1961 Convention.  In general, the re-use of denominations is discouraged but, under exceptional circumstances (see section 2.3.3(c)), the denomination of an old variety could, in principle, be registered for a new variety.</w:t>
      </w:r>
    </w:p>
    <w:p w:rsidR="00EA4900" w:rsidRPr="00407B23" w:rsidRDefault="00EA4900" w:rsidP="00EA4900">
      <w:pPr>
        <w:spacing w:line="360" w:lineRule="auto"/>
      </w:pPr>
    </w:p>
    <w:p w:rsidR="00EA4900" w:rsidRPr="00407B23" w:rsidRDefault="00EA4900" w:rsidP="00EA4900">
      <w:pPr>
        <w:keepNext/>
        <w:spacing w:line="240" w:lineRule="atLeast"/>
        <w:ind w:left="567" w:hanging="567"/>
        <w:rPr>
          <w:i/>
        </w:rPr>
      </w:pPr>
      <w:r w:rsidRPr="00407B23">
        <w:rPr>
          <w:i/>
        </w:rPr>
        <w:t>2.5.</w:t>
      </w:r>
      <w:r w:rsidRPr="00407B23">
        <w:rPr>
          <w:i/>
        </w:rPr>
        <w:tab/>
        <w:t>Variety denomination classes:  a variety denomination should not be used more than once in the same class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523D6">
        <w:tc>
          <w:tcPr>
            <w:tcW w:w="9629" w:type="dxa"/>
            <w:shd w:val="clear" w:color="auto" w:fill="D9D9D9" w:themeFill="background1" w:themeFillShade="D9"/>
          </w:tcPr>
          <w:p w:rsidR="00EA4900" w:rsidRPr="005F2452" w:rsidRDefault="00EA4900" w:rsidP="00E27D83">
            <w:pPr>
              <w:rPr>
                <w:sz w:val="18"/>
                <w:szCs w:val="18"/>
              </w:rPr>
            </w:pPr>
          </w:p>
          <w:p w:rsidR="00EA4900" w:rsidRPr="005F2452" w:rsidRDefault="00EA4900" w:rsidP="00E27D83">
            <w:pPr>
              <w:rPr>
                <w:color w:val="000000"/>
                <w:sz w:val="18"/>
                <w:szCs w:val="18"/>
                <w:u w:val="single"/>
              </w:rPr>
            </w:pPr>
            <w:r w:rsidRPr="005F2452">
              <w:rPr>
                <w:color w:val="000000"/>
                <w:sz w:val="18"/>
                <w:szCs w:val="18"/>
                <w:u w:val="single"/>
              </w:rPr>
              <w:t xml:space="preserve">Proposal by </w:t>
            </w:r>
            <w:r>
              <w:rPr>
                <w:color w:val="000000"/>
                <w:sz w:val="18"/>
                <w:szCs w:val="18"/>
                <w:u w:val="single"/>
              </w:rPr>
              <w:t xml:space="preserve">the </w:t>
            </w:r>
            <w:r w:rsidRPr="005F2452">
              <w:rPr>
                <w:color w:val="000000"/>
                <w:sz w:val="18"/>
                <w:szCs w:val="18"/>
                <w:u w:val="single"/>
              </w:rPr>
              <w:t>European Union (CPVO)</w:t>
            </w:r>
            <w:r w:rsidR="008A5DEF" w:rsidRPr="008A5DEF">
              <w:rPr>
                <w:sz w:val="18"/>
                <w:szCs w:val="18"/>
              </w:rPr>
              <w:t xml:space="preserve"> </w:t>
            </w:r>
            <w:r w:rsidR="008A5DEF">
              <w:rPr>
                <w:sz w:val="18"/>
                <w:szCs w:val="18"/>
              </w:rPr>
              <w:fldChar w:fldCharType="begin"/>
            </w:r>
            <w:r w:rsidR="008A5DEF">
              <w:rPr>
                <w:sz w:val="18"/>
                <w:szCs w:val="18"/>
              </w:rPr>
              <w:instrText xml:space="preserve"> NOTEREF _Ref526437916 \f \h </w:instrText>
            </w:r>
            <w:r w:rsidR="008A5DEF">
              <w:rPr>
                <w:sz w:val="18"/>
                <w:szCs w:val="18"/>
              </w:rPr>
            </w:r>
            <w:r w:rsidR="008A5DEF">
              <w:rPr>
                <w:sz w:val="18"/>
                <w:szCs w:val="18"/>
              </w:rPr>
              <w:fldChar w:fldCharType="separate"/>
            </w:r>
            <w:r w:rsidR="008D27BA" w:rsidRPr="008D27BA">
              <w:rPr>
                <w:rStyle w:val="EndnoteReference"/>
              </w:rPr>
              <w:t>d</w:t>
            </w:r>
            <w:r w:rsidR="008A5DEF">
              <w:rPr>
                <w:sz w:val="18"/>
                <w:szCs w:val="18"/>
              </w:rPr>
              <w:fldChar w:fldCharType="end"/>
            </w:r>
          </w:p>
          <w:p w:rsidR="00EA4900" w:rsidRPr="005F2452" w:rsidRDefault="00EA4900" w:rsidP="00E27D83">
            <w:pPr>
              <w:rPr>
                <w:color w:val="000000"/>
                <w:sz w:val="18"/>
                <w:szCs w:val="18"/>
                <w:u w:val="single"/>
              </w:rPr>
            </w:pPr>
          </w:p>
          <w:p w:rsidR="00EA4900" w:rsidRPr="005F2452" w:rsidRDefault="00EA4900" w:rsidP="00E27D83">
            <w:pPr>
              <w:rPr>
                <w:sz w:val="18"/>
                <w:szCs w:val="18"/>
              </w:rPr>
            </w:pPr>
            <w:r>
              <w:rPr>
                <w:sz w:val="18"/>
                <w:szCs w:val="18"/>
              </w:rPr>
              <w:t>To make clear in S</w:t>
            </w:r>
            <w:r w:rsidRPr="005F2452">
              <w:rPr>
                <w:sz w:val="18"/>
                <w:szCs w:val="18"/>
              </w:rPr>
              <w:t xml:space="preserve">ection 2.5 dealing with variety denomination classes, in cases of UPOV classes containing more than one genus, that the situation where the genera are different is taken into account with a more lenient approach in respect of the similarity between VDs used for varieties belonging to different genera. </w:t>
            </w:r>
            <w:r>
              <w:rPr>
                <w:sz w:val="18"/>
                <w:szCs w:val="18"/>
              </w:rPr>
              <w:t xml:space="preserve"> </w:t>
            </w:r>
            <w:r w:rsidRPr="005F2452">
              <w:rPr>
                <w:sz w:val="18"/>
                <w:szCs w:val="18"/>
              </w:rPr>
              <w:t>This could also apply, in certain cases, to different species within a genus.</w:t>
            </w:r>
          </w:p>
          <w:p w:rsidR="00EA4900" w:rsidRPr="005F2452" w:rsidRDefault="00EA4900" w:rsidP="00E27D83">
            <w:pPr>
              <w:rPr>
                <w:sz w:val="18"/>
                <w:szCs w:val="18"/>
              </w:rPr>
            </w:pPr>
          </w:p>
        </w:tc>
      </w:tr>
    </w:tbl>
    <w:p w:rsidR="00EA4900" w:rsidRDefault="00EA4900" w:rsidP="00EA4900">
      <w:pPr>
        <w:rPr>
          <w:lang w:eastAsia="ja-JP"/>
        </w:rPr>
      </w:pPr>
    </w:p>
    <w:p w:rsidR="00EA4900" w:rsidRPr="00407B23" w:rsidRDefault="00EA4900" w:rsidP="00EA4900">
      <w:pPr>
        <w:spacing w:line="240" w:lineRule="atLeast"/>
      </w:pPr>
      <w:r w:rsidRPr="00407B23">
        <w:t>2.5.1</w:t>
      </w:r>
      <w:r w:rsidRPr="00407B23">
        <w:tab/>
        <w:t xml:space="preserve">For the purposes of providing guidance on the third (see section 2.3.3(b))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47703B" w:rsidRDefault="00EA4900" w:rsidP="00E27D83">
            <w:pPr>
              <w:rPr>
                <w:sz w:val="18"/>
                <w:szCs w:val="18"/>
              </w:rPr>
            </w:pPr>
          </w:p>
          <w:p w:rsidR="00EA4900" w:rsidRPr="0047703B" w:rsidRDefault="00EA4900" w:rsidP="00E27D83">
            <w:pPr>
              <w:rPr>
                <w:sz w:val="18"/>
                <w:szCs w:val="18"/>
              </w:rPr>
            </w:pPr>
            <w:r w:rsidRPr="0047703B">
              <w:rPr>
                <w:sz w:val="18"/>
                <w:szCs w:val="18"/>
                <w:u w:val="single"/>
              </w:rPr>
              <w:t>Proposal by New Zealand</w:t>
            </w:r>
            <w:r w:rsidR="008A5DEF" w:rsidRPr="008A5DEF">
              <w:rPr>
                <w:sz w:val="18"/>
                <w:szCs w:val="18"/>
              </w:rPr>
              <w:t xml:space="preserve"> </w:t>
            </w:r>
            <w:r w:rsidR="008A5DEF">
              <w:rPr>
                <w:sz w:val="18"/>
                <w:szCs w:val="18"/>
              </w:rPr>
              <w:fldChar w:fldCharType="begin"/>
            </w:r>
            <w:r w:rsidR="008A5DEF">
              <w:rPr>
                <w:sz w:val="18"/>
                <w:szCs w:val="18"/>
              </w:rPr>
              <w:instrText xml:space="preserve"> NOTEREF _Ref526439134 \f \h </w:instrText>
            </w:r>
            <w:r w:rsidR="008A5DEF">
              <w:rPr>
                <w:sz w:val="18"/>
                <w:szCs w:val="18"/>
              </w:rPr>
            </w:r>
            <w:r w:rsidR="008A5DEF">
              <w:rPr>
                <w:sz w:val="18"/>
                <w:szCs w:val="18"/>
              </w:rPr>
              <w:fldChar w:fldCharType="separate"/>
            </w:r>
            <w:r w:rsidR="008D27BA" w:rsidRPr="008D27BA">
              <w:rPr>
                <w:rStyle w:val="EndnoteReference"/>
              </w:rPr>
              <w:t>f</w:t>
            </w:r>
            <w:r w:rsidR="008A5DEF">
              <w:rPr>
                <w:sz w:val="18"/>
                <w:szCs w:val="18"/>
              </w:rPr>
              <w:fldChar w:fldCharType="end"/>
            </w:r>
          </w:p>
          <w:p w:rsidR="00EA4900" w:rsidRPr="0047703B" w:rsidRDefault="00EA4900" w:rsidP="00E27D83">
            <w:pPr>
              <w:rPr>
                <w:sz w:val="18"/>
                <w:szCs w:val="18"/>
              </w:rPr>
            </w:pPr>
          </w:p>
          <w:p w:rsidR="00EA4900" w:rsidRDefault="00EA4900" w:rsidP="00E27D83">
            <w:pPr>
              <w:rPr>
                <w:sz w:val="18"/>
                <w:szCs w:val="18"/>
              </w:rPr>
            </w:pPr>
            <w:r>
              <w:rPr>
                <w:sz w:val="18"/>
                <w:szCs w:val="18"/>
              </w:rPr>
              <w:t>Section 2.5.1 additional sentence proposed:</w:t>
            </w:r>
          </w:p>
          <w:p w:rsidR="00EA4900" w:rsidRDefault="00EA4900" w:rsidP="00E27D83">
            <w:pPr>
              <w:rPr>
                <w:sz w:val="18"/>
                <w:szCs w:val="18"/>
              </w:rPr>
            </w:pPr>
          </w:p>
          <w:p w:rsidR="00EA4900" w:rsidRDefault="00EA4900" w:rsidP="00E27D83">
            <w:pPr>
              <w:rPr>
                <w:sz w:val="18"/>
                <w:szCs w:val="18"/>
              </w:rPr>
            </w:pPr>
            <w:r>
              <w:rPr>
                <w:sz w:val="18"/>
                <w:szCs w:val="18"/>
              </w:rPr>
              <w:t>For certain genera (e.g. Prunus) there may be sufficient botanical difference between species within the genus to permit the same denomination to exist in the same genus (class).  A cherry variety is generally considered not likely to be confused with an apricot variety.</w:t>
            </w:r>
          </w:p>
          <w:p w:rsidR="00EA4900" w:rsidRPr="0047703B" w:rsidRDefault="00EA4900" w:rsidP="00E27D83">
            <w:pPr>
              <w:rPr>
                <w:sz w:val="18"/>
                <w:szCs w:val="18"/>
              </w:rPr>
            </w:pPr>
          </w:p>
        </w:tc>
      </w:tr>
    </w:tbl>
    <w:p w:rsidR="00EA4900" w:rsidRDefault="00EA4900" w:rsidP="00EA4900">
      <w:pPr>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5D7C20" w:rsidRDefault="00EA4900" w:rsidP="00E27D83">
            <w:pPr>
              <w:rPr>
                <w:sz w:val="18"/>
                <w:szCs w:val="18"/>
              </w:rPr>
            </w:pPr>
          </w:p>
          <w:p w:rsidR="00EA4900" w:rsidRPr="00C04C22" w:rsidRDefault="00EA4900" w:rsidP="00E27D83">
            <w:pPr>
              <w:rPr>
                <w:sz w:val="18"/>
                <w:szCs w:val="18"/>
                <w:u w:val="single"/>
              </w:rPr>
            </w:pPr>
            <w:r w:rsidRPr="00C04C22">
              <w:rPr>
                <w:sz w:val="18"/>
                <w:szCs w:val="18"/>
                <w:u w:val="single"/>
              </w:rPr>
              <w:t>Agreed by the WG-DEN</w:t>
            </w:r>
            <w:r w:rsidR="008A5DEF" w:rsidRPr="008A5DEF">
              <w:rPr>
                <w:sz w:val="18"/>
                <w:szCs w:val="18"/>
              </w:rPr>
              <w:t xml:space="preserve"> </w:t>
            </w:r>
            <w:r w:rsidR="008A5DEF">
              <w:rPr>
                <w:rStyle w:val="EndnoteReference"/>
                <w:sz w:val="18"/>
                <w:szCs w:val="18"/>
              </w:rPr>
              <w:endnoteReference w:id="22"/>
            </w:r>
          </w:p>
          <w:p w:rsidR="00EA4900" w:rsidRPr="00C04C22" w:rsidRDefault="00EA4900" w:rsidP="00E27D83">
            <w:pPr>
              <w:rPr>
                <w:sz w:val="18"/>
                <w:szCs w:val="18"/>
              </w:rPr>
            </w:pPr>
          </w:p>
          <w:p w:rsidR="00EA4900" w:rsidRPr="00C04C22" w:rsidRDefault="00EA4900" w:rsidP="00E27D83">
            <w:pPr>
              <w:rPr>
                <w:sz w:val="18"/>
                <w:szCs w:val="18"/>
              </w:rPr>
            </w:pPr>
            <w:r w:rsidRPr="00C04C22">
              <w:rPr>
                <w:sz w:val="18"/>
                <w:szCs w:val="18"/>
              </w:rPr>
              <w:t>The guidance concerning denominations belonging to the same denomination class should be the same, irrespective of whether the denomination class followed the general rule or was one of the exceptional classes.</w:t>
            </w:r>
          </w:p>
          <w:p w:rsidR="00EA4900" w:rsidRPr="00C04C22" w:rsidRDefault="00EA4900" w:rsidP="00E27D83">
            <w:pPr>
              <w:rPr>
                <w:sz w:val="18"/>
                <w:szCs w:val="18"/>
              </w:rPr>
            </w:pPr>
          </w:p>
          <w:p w:rsidR="00EA4900" w:rsidRPr="00C04C22" w:rsidRDefault="00EA4900" w:rsidP="00E27D83">
            <w:pPr>
              <w:rPr>
                <w:sz w:val="18"/>
                <w:szCs w:val="18"/>
                <w:lang w:eastAsia="ja-JP"/>
              </w:rPr>
            </w:pPr>
            <w:r w:rsidRPr="00C04C22">
              <w:rPr>
                <w:sz w:val="18"/>
                <w:szCs w:val="18"/>
              </w:rPr>
              <w:t>The list of denomination classes in document UPOV/INF/12 Annex I “List of Classes” might be need to be reviewed to better reflect current practices of members of the Union.</w:t>
            </w:r>
          </w:p>
          <w:p w:rsidR="00EA4900" w:rsidRPr="00C04C22" w:rsidRDefault="00EA4900" w:rsidP="00E27D83">
            <w:pPr>
              <w:rPr>
                <w:sz w:val="18"/>
                <w:szCs w:val="18"/>
                <w:lang w:eastAsia="ja-JP"/>
              </w:rPr>
            </w:pPr>
          </w:p>
          <w:p w:rsidR="00EA4900" w:rsidRPr="00C04C22" w:rsidRDefault="00EA4900" w:rsidP="00E27D83">
            <w:pPr>
              <w:rPr>
                <w:sz w:val="18"/>
                <w:szCs w:val="18"/>
                <w:lang w:eastAsia="ja-JP"/>
              </w:rPr>
            </w:pPr>
          </w:p>
          <w:p w:rsidR="00EA4900" w:rsidRPr="00C04C22" w:rsidRDefault="00EA4900" w:rsidP="00E27D83">
            <w:pPr>
              <w:rPr>
                <w:sz w:val="18"/>
                <w:szCs w:val="18"/>
                <w:lang w:eastAsia="ja-JP"/>
              </w:rPr>
            </w:pPr>
            <w:r w:rsidRPr="00C04C22">
              <w:rPr>
                <w:sz w:val="18"/>
                <w:szCs w:val="18"/>
                <w:lang w:eastAsia="ja-JP"/>
              </w:rPr>
              <w:t>UPOV Circular E-16/088 of April 13, 2016</w:t>
            </w:r>
            <w:r w:rsidRPr="00C04C22">
              <w:rPr>
                <w:rFonts w:hint="eastAsia"/>
                <w:sz w:val="18"/>
                <w:szCs w:val="18"/>
                <w:lang w:eastAsia="ja-JP"/>
              </w:rPr>
              <w:t xml:space="preserve">, </w:t>
            </w:r>
            <w:r w:rsidRPr="00C04C22">
              <w:rPr>
                <w:sz w:val="18"/>
                <w:szCs w:val="18"/>
                <w:lang w:eastAsia="ja-JP"/>
              </w:rPr>
              <w:t>invite</w:t>
            </w:r>
            <w:r w:rsidRPr="00C04C22">
              <w:rPr>
                <w:rFonts w:hint="eastAsia"/>
                <w:sz w:val="18"/>
                <w:szCs w:val="18"/>
                <w:lang w:eastAsia="ja-JP"/>
              </w:rPr>
              <w:t>d</w:t>
            </w:r>
            <w:r w:rsidRPr="00C04C22">
              <w:rPr>
                <w:sz w:val="18"/>
                <w:szCs w:val="18"/>
                <w:lang w:eastAsia="ja-JP"/>
              </w:rPr>
              <w:t xml:space="preserve"> members of the WG</w:t>
            </w:r>
            <w:r w:rsidRPr="00C04C22">
              <w:rPr>
                <w:rFonts w:hint="eastAsia"/>
                <w:sz w:val="18"/>
                <w:szCs w:val="18"/>
                <w:lang w:eastAsia="ja-JP"/>
              </w:rPr>
              <w:t>-</w:t>
            </w:r>
            <w:r w:rsidRPr="00C04C22">
              <w:rPr>
                <w:sz w:val="18"/>
                <w:szCs w:val="18"/>
                <w:lang w:eastAsia="ja-JP"/>
              </w:rPr>
              <w:t>DEN to make proposals concerning a possible revision of the variety denomination classes</w:t>
            </w:r>
            <w:r w:rsidRPr="00C04C22">
              <w:rPr>
                <w:rFonts w:hint="eastAsia"/>
                <w:sz w:val="18"/>
                <w:szCs w:val="18"/>
                <w:lang w:eastAsia="ja-JP"/>
              </w:rPr>
              <w:t>, and received proposals as follows</w:t>
            </w:r>
            <w:r w:rsidRPr="00C04C22">
              <w:rPr>
                <w:sz w:val="18"/>
                <w:szCs w:val="18"/>
                <w:lang w:eastAsia="ja-JP"/>
              </w:rPr>
              <w:t>:</w:t>
            </w:r>
          </w:p>
          <w:p w:rsidR="00EA4900" w:rsidRPr="00C04C22" w:rsidRDefault="00EA4900" w:rsidP="00E27D83">
            <w:pPr>
              <w:spacing w:line="360" w:lineRule="auto"/>
              <w:rPr>
                <w:sz w:val="18"/>
                <w:szCs w:val="18"/>
                <w:lang w:eastAsia="ja-JP"/>
              </w:rPr>
            </w:pPr>
          </w:p>
          <w:p w:rsidR="00EA4900" w:rsidRPr="00C04C22" w:rsidRDefault="00EA4900" w:rsidP="00E27D83">
            <w:pPr>
              <w:rPr>
                <w:sz w:val="18"/>
                <w:szCs w:val="18"/>
                <w:u w:val="single"/>
                <w:lang w:eastAsia="ja-JP"/>
              </w:rPr>
            </w:pPr>
            <w:r w:rsidRPr="00C04C22">
              <w:rPr>
                <w:sz w:val="18"/>
                <w:szCs w:val="18"/>
                <w:u w:val="single"/>
              </w:rPr>
              <w:t>Proposal by the Netherlands</w:t>
            </w:r>
          </w:p>
          <w:p w:rsidR="00EA4900" w:rsidRPr="00C04C22" w:rsidRDefault="00EA4900" w:rsidP="00E27D83">
            <w:pPr>
              <w:rPr>
                <w:sz w:val="18"/>
                <w:szCs w:val="18"/>
              </w:rPr>
            </w:pPr>
          </w:p>
          <w:p w:rsidR="00EA4900" w:rsidRPr="00C04C22" w:rsidRDefault="00EA4900" w:rsidP="00E27D83">
            <w:pPr>
              <w:rPr>
                <w:sz w:val="18"/>
                <w:szCs w:val="18"/>
              </w:rPr>
            </w:pPr>
            <w:r w:rsidRPr="00C04C22">
              <w:rPr>
                <w:sz w:val="18"/>
                <w:szCs w:val="18"/>
              </w:rPr>
              <w:t>For harmonization we suggest to follow the denomination classes of the International Code of Nomenclature for Cultivated Plants (ICNCP); see appendix V ICNCP.  If wished Naktuinbouw can make a comparison and a list of relevant additions.</w:t>
            </w:r>
            <w:r w:rsidRPr="00C04C22">
              <w:rPr>
                <w:rFonts w:hint="eastAsia"/>
                <w:sz w:val="18"/>
                <w:szCs w:val="18"/>
                <w:lang w:eastAsia="ja-JP"/>
              </w:rPr>
              <w:t xml:space="preserve">  A copy of appendix V of the ICNCP is </w:t>
            </w:r>
            <w:r w:rsidRPr="00C04C22">
              <w:rPr>
                <w:sz w:val="18"/>
                <w:szCs w:val="18"/>
                <w:lang w:eastAsia="ja-JP"/>
              </w:rPr>
              <w:t>attached</w:t>
            </w:r>
            <w:r w:rsidRPr="00C04C22">
              <w:rPr>
                <w:rFonts w:hint="eastAsia"/>
                <w:sz w:val="18"/>
                <w:szCs w:val="18"/>
                <w:lang w:eastAsia="ja-JP"/>
              </w:rPr>
              <w:t xml:space="preserve"> as Annex III to this document. </w:t>
            </w:r>
          </w:p>
          <w:p w:rsidR="00EA4900" w:rsidRPr="00C04C22" w:rsidRDefault="00EA4900" w:rsidP="00E27D83">
            <w:pPr>
              <w:spacing w:line="360" w:lineRule="auto"/>
              <w:rPr>
                <w:sz w:val="18"/>
                <w:szCs w:val="18"/>
                <w:lang w:eastAsia="ja-JP"/>
              </w:rPr>
            </w:pPr>
          </w:p>
          <w:p w:rsidR="00EA4900" w:rsidRPr="00C04C22" w:rsidRDefault="00EA4900" w:rsidP="00E27D83">
            <w:pPr>
              <w:rPr>
                <w:sz w:val="18"/>
                <w:szCs w:val="18"/>
                <w:u w:val="single"/>
                <w:lang w:eastAsia="ja-JP"/>
              </w:rPr>
            </w:pPr>
            <w:r w:rsidRPr="00C04C22">
              <w:rPr>
                <w:sz w:val="18"/>
                <w:szCs w:val="18"/>
                <w:u w:val="single"/>
              </w:rPr>
              <w:t>Proposal by New Zealand</w:t>
            </w:r>
          </w:p>
          <w:p w:rsidR="00EA4900" w:rsidRPr="00C04C22" w:rsidRDefault="00EA4900" w:rsidP="00E27D83">
            <w:pPr>
              <w:rPr>
                <w:sz w:val="18"/>
                <w:szCs w:val="18"/>
              </w:rPr>
            </w:pPr>
          </w:p>
          <w:p w:rsidR="00EA4900" w:rsidRPr="00C04C22" w:rsidRDefault="00EA4900" w:rsidP="00E27D83">
            <w:pPr>
              <w:rPr>
                <w:sz w:val="18"/>
                <w:szCs w:val="18"/>
              </w:rPr>
            </w:pPr>
            <w:r w:rsidRPr="00C04C22">
              <w:rPr>
                <w:sz w:val="18"/>
                <w:szCs w:val="18"/>
              </w:rPr>
              <w:t xml:space="preserve">There currently exist more than one </w:t>
            </w:r>
            <w:r w:rsidRPr="00C04C22">
              <w:rPr>
                <w:i/>
                <w:sz w:val="18"/>
                <w:szCs w:val="18"/>
              </w:rPr>
              <w:t>Prunus</w:t>
            </w:r>
            <w:r w:rsidRPr="00C04C22">
              <w:rPr>
                <w:sz w:val="18"/>
                <w:szCs w:val="18"/>
              </w:rPr>
              <w:t xml:space="preserve"> variety with the same denomination because there exists clear species divisions within the genus;  plum, peach, apricot, cherry.  Should there be classes within Prunus?</w:t>
            </w:r>
          </w:p>
          <w:p w:rsidR="00EA4900" w:rsidRPr="00C04C22" w:rsidRDefault="00EA4900" w:rsidP="00E27D83">
            <w:pPr>
              <w:ind w:left="1701" w:hanging="1701"/>
              <w:rPr>
                <w:sz w:val="18"/>
                <w:szCs w:val="18"/>
              </w:rPr>
            </w:pPr>
          </w:p>
          <w:p w:rsidR="00EA4900" w:rsidRDefault="00EA4900" w:rsidP="00E27D83">
            <w:pPr>
              <w:rPr>
                <w:sz w:val="18"/>
                <w:szCs w:val="18"/>
              </w:rPr>
            </w:pPr>
            <w:r w:rsidRPr="00C04C22">
              <w:rPr>
                <w:sz w:val="18"/>
                <w:szCs w:val="18"/>
              </w:rPr>
              <w:t xml:space="preserve">In a similar way, should there be classes within </w:t>
            </w:r>
            <w:r w:rsidRPr="00C04C22">
              <w:rPr>
                <w:i/>
                <w:sz w:val="18"/>
                <w:szCs w:val="18"/>
              </w:rPr>
              <w:t>Rubus</w:t>
            </w:r>
            <w:r w:rsidRPr="00C04C22">
              <w:rPr>
                <w:sz w:val="18"/>
                <w:szCs w:val="18"/>
              </w:rPr>
              <w:t>; blackberry, raspberry, hybrid berry?</w:t>
            </w:r>
          </w:p>
          <w:p w:rsidR="00EA4900" w:rsidRPr="005D7C20" w:rsidRDefault="00EA4900" w:rsidP="00E27D83">
            <w:pPr>
              <w:rPr>
                <w:sz w:val="18"/>
                <w:szCs w:val="18"/>
              </w:rPr>
            </w:pPr>
          </w:p>
        </w:tc>
      </w:tr>
    </w:tbl>
    <w:p w:rsidR="00EA4900" w:rsidRDefault="00EA4900" w:rsidP="00EA4900"/>
    <w:tbl>
      <w:tblPr>
        <w:tblW w:w="0" w:type="auto"/>
        <w:tblCellMar>
          <w:top w:w="113" w:type="dxa"/>
          <w:bottom w:w="113" w:type="dxa"/>
        </w:tblCellMar>
        <w:tblLook w:val="04A0" w:firstRow="1" w:lastRow="0" w:firstColumn="1" w:lastColumn="0" w:noHBand="0" w:noVBand="1"/>
      </w:tblPr>
      <w:tblGrid>
        <w:gridCol w:w="9629"/>
      </w:tblGrid>
      <w:tr w:rsidR="004A0FEE" w:rsidRPr="004A0FEE" w:rsidTr="005B58CF">
        <w:trPr>
          <w:cantSplit/>
        </w:trPr>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0FEE" w:rsidRPr="004A0FEE" w:rsidRDefault="004A0FEE" w:rsidP="004A0FEE">
            <w:pPr>
              <w:rPr>
                <w:sz w:val="18"/>
                <w:szCs w:val="18"/>
              </w:rPr>
            </w:pPr>
            <w:r w:rsidRPr="004A0FEE">
              <w:rPr>
                <w:rFonts w:hint="eastAsia"/>
                <w:sz w:val="18"/>
                <w:szCs w:val="18"/>
                <w:u w:val="single"/>
              </w:rPr>
              <w:lastRenderedPageBreak/>
              <w:t>T</w:t>
            </w:r>
            <w:r w:rsidRPr="004A0FEE">
              <w:rPr>
                <w:sz w:val="18"/>
                <w:szCs w:val="18"/>
                <w:u w:val="single"/>
              </w:rPr>
              <w:t xml:space="preserve">he </w:t>
            </w:r>
            <w:r w:rsidRPr="004A0FEE">
              <w:rPr>
                <w:rFonts w:hint="eastAsia"/>
                <w:sz w:val="18"/>
                <w:szCs w:val="18"/>
                <w:u w:val="single"/>
              </w:rPr>
              <w:t>WG-DEN</w:t>
            </w:r>
            <w:r w:rsidRPr="004A0FEE">
              <w:rPr>
                <w:sz w:val="18"/>
                <w:szCs w:val="18"/>
                <w:u w:val="single"/>
              </w:rPr>
              <w:t>, at its third meeting, noted that</w:t>
            </w:r>
            <w:r w:rsidRPr="004A0FEE">
              <w:rPr>
                <w:rFonts w:hint="eastAsia"/>
                <w:sz w:val="18"/>
                <w:szCs w:val="18"/>
                <w:u w:val="single"/>
              </w:rPr>
              <w:t xml:space="preserve"> </w:t>
            </w:r>
            <w:r w:rsidR="003F5254">
              <w:rPr>
                <w:sz w:val="18"/>
              </w:rPr>
              <w:t>[</w:t>
            </w:r>
            <w:r w:rsidR="003F5254" w:rsidRPr="00012886">
              <w:rPr>
                <w:rFonts w:hint="eastAsia"/>
                <w:sz w:val="18"/>
                <w:lang w:eastAsia="ja-JP"/>
              </w:rPr>
              <w:t xml:space="preserve">See document </w:t>
            </w:r>
            <w:hyperlink r:id="rId16" w:history="1">
              <w:r w:rsidR="003F5254" w:rsidRPr="00012886">
                <w:rPr>
                  <w:rStyle w:val="Hyperlink"/>
                  <w:rFonts w:hint="eastAsia"/>
                  <w:sz w:val="18"/>
                  <w:lang w:eastAsia="ja-JP"/>
                </w:rPr>
                <w:t>UPOV/WG-DEN/</w:t>
              </w:r>
              <w:r w:rsidR="003F5254" w:rsidRPr="00012886">
                <w:rPr>
                  <w:rStyle w:val="Hyperlink"/>
                  <w:sz w:val="18"/>
                  <w:lang w:eastAsia="ja-JP"/>
                </w:rPr>
                <w:t>3</w:t>
              </w:r>
              <w:r w:rsidR="003F5254" w:rsidRPr="00012886">
                <w:rPr>
                  <w:rStyle w:val="Hyperlink"/>
                  <w:rFonts w:hint="eastAsia"/>
                  <w:sz w:val="18"/>
                  <w:lang w:eastAsia="ja-JP"/>
                </w:rPr>
                <w:t>/</w:t>
              </w:r>
              <w:r w:rsidR="003F5254" w:rsidRPr="00012886">
                <w:rPr>
                  <w:rStyle w:val="Hyperlink"/>
                  <w:sz w:val="18"/>
                  <w:lang w:eastAsia="ja-JP"/>
                </w:rPr>
                <w:t>3</w:t>
              </w:r>
            </w:hyperlink>
            <w:r w:rsidR="003F5254" w:rsidRPr="00012886">
              <w:rPr>
                <w:rFonts w:hint="eastAsia"/>
                <w:sz w:val="18"/>
                <w:lang w:eastAsia="ja-JP"/>
              </w:rPr>
              <w:t xml:space="preserve"> </w:t>
            </w:r>
            <w:r w:rsidR="003F5254" w:rsidRPr="00012886">
              <w:rPr>
                <w:sz w:val="18"/>
                <w:lang w:eastAsia="ja-JP"/>
              </w:rPr>
              <w:t>“</w:t>
            </w:r>
            <w:r w:rsidR="003F5254" w:rsidRPr="00012886">
              <w:rPr>
                <w:rFonts w:hint="eastAsia"/>
                <w:sz w:val="18"/>
                <w:lang w:eastAsia="ja-JP"/>
              </w:rPr>
              <w:t>Report</w:t>
            </w:r>
            <w:r w:rsidR="003F5254" w:rsidRPr="00012886">
              <w:rPr>
                <w:sz w:val="18"/>
                <w:lang w:eastAsia="ja-JP"/>
              </w:rPr>
              <w:t>”</w:t>
            </w:r>
            <w:r w:rsidR="003F5254" w:rsidRPr="00012886">
              <w:rPr>
                <w:rFonts w:hint="eastAsia"/>
                <w:sz w:val="18"/>
                <w:lang w:eastAsia="ja-JP"/>
              </w:rPr>
              <w:t xml:space="preserve">, paragraph </w:t>
            </w:r>
            <w:r w:rsidR="003F5254" w:rsidRPr="00012886">
              <w:rPr>
                <w:sz w:val="18"/>
                <w:lang w:eastAsia="ja-JP"/>
              </w:rPr>
              <w:t>13.</w:t>
            </w:r>
            <w:r w:rsidR="003F5254">
              <w:rPr>
                <w:sz w:val="18"/>
                <w:lang w:eastAsia="ja-JP"/>
              </w:rPr>
              <w:t>]</w:t>
            </w:r>
            <w:r w:rsidRPr="004A0FEE">
              <w:rPr>
                <w:rFonts w:hint="eastAsia"/>
                <w:sz w:val="18"/>
                <w:szCs w:val="18"/>
                <w:u w:val="single"/>
              </w:rPr>
              <w:t xml:space="preserve">  </w:t>
            </w:r>
          </w:p>
          <w:p w:rsidR="004A0FEE" w:rsidRPr="004A0FEE" w:rsidRDefault="004A0FEE" w:rsidP="004A0FEE">
            <w:pPr>
              <w:rPr>
                <w:sz w:val="18"/>
                <w:szCs w:val="18"/>
              </w:rPr>
            </w:pPr>
          </w:p>
          <w:p w:rsidR="004A0FEE" w:rsidRPr="004A0FEE" w:rsidRDefault="004A0FEE" w:rsidP="004A0FEE">
            <w:pPr>
              <w:rPr>
                <w:sz w:val="18"/>
                <w:szCs w:val="18"/>
              </w:rPr>
            </w:pPr>
            <w:r w:rsidRPr="004A0FEE">
              <w:rPr>
                <w:sz w:val="18"/>
                <w:szCs w:val="18"/>
              </w:rPr>
              <w:t>For some UPOV members, the acceptability of similar denominations varied according to class.  For example, in the case of a class following the general rule (one genus/one class) a similar denomination might be accepted for a different species within the same genus.  The WG-DEN agreed that UPOV members should be invited to provide information on such approaches by means of the circular to be issued.</w:t>
            </w:r>
          </w:p>
          <w:p w:rsidR="004A0FEE" w:rsidRPr="004A0FEE" w:rsidRDefault="004A0FEE" w:rsidP="004A0FEE">
            <w:pPr>
              <w:rPr>
                <w:sz w:val="18"/>
                <w:szCs w:val="18"/>
              </w:rPr>
            </w:pPr>
          </w:p>
          <w:p w:rsidR="004A0FEE" w:rsidRPr="004A0FEE" w:rsidRDefault="004A0FEE" w:rsidP="004A0FEE">
            <w:pPr>
              <w:rPr>
                <w:sz w:val="18"/>
                <w:szCs w:val="18"/>
                <w:highlight w:val="darkGray"/>
                <w:u w:val="single"/>
              </w:rPr>
            </w:pPr>
            <w:r w:rsidRPr="004A0FEE">
              <w:rPr>
                <w:sz w:val="18"/>
                <w:szCs w:val="18"/>
                <w:highlight w:val="darkGray"/>
                <w:u w:val="single"/>
              </w:rPr>
              <w:t>Summary of results of circular E-17/135 to members of the Union</w:t>
            </w:r>
          </w:p>
          <w:p w:rsidR="004A0FEE" w:rsidRPr="004A0FEE" w:rsidRDefault="004A0FEE" w:rsidP="004A0FEE">
            <w:pPr>
              <w:rPr>
                <w:sz w:val="18"/>
                <w:szCs w:val="18"/>
                <w:highlight w:val="darkGray"/>
              </w:rPr>
            </w:pPr>
          </w:p>
          <w:p w:rsidR="004A0FEE" w:rsidRPr="004A0FEE" w:rsidRDefault="004A0FEE" w:rsidP="004A0FEE">
            <w:pPr>
              <w:rPr>
                <w:sz w:val="18"/>
                <w:szCs w:val="18"/>
                <w:highlight w:val="darkGray"/>
              </w:rPr>
            </w:pPr>
            <w:r w:rsidRPr="004A0FEE">
              <w:rPr>
                <w:sz w:val="18"/>
                <w:szCs w:val="18"/>
                <w:highlight w:val="darkGray"/>
              </w:rPr>
              <w:t>-</w:t>
            </w:r>
            <w:r w:rsidRPr="004A0FEE">
              <w:rPr>
                <w:sz w:val="18"/>
                <w:szCs w:val="18"/>
                <w:highlight w:val="darkGray"/>
              </w:rPr>
              <w:tab/>
              <w:t>Differences in the acceptability of similar denominations according to class (e.g. in the case of a class following the general rule (one genus/one class), accepting a similar denomination for a variety of a different species within the same genus that would not be accepted for the same species)</w:t>
            </w:r>
          </w:p>
          <w:p w:rsidR="004A0FEE" w:rsidRPr="004A0FEE" w:rsidRDefault="004A0FEE" w:rsidP="004A0FEE">
            <w:pPr>
              <w:rPr>
                <w:sz w:val="18"/>
                <w:szCs w:val="18"/>
                <w:highlight w:val="darkGray"/>
              </w:rPr>
            </w:pPr>
          </w:p>
          <w:tbl>
            <w:tblPr>
              <w:tblStyle w:val="TableGrid"/>
              <w:tblW w:w="0" w:type="auto"/>
              <w:tblInd w:w="652" w:type="dxa"/>
              <w:tblCellMar>
                <w:top w:w="85" w:type="dxa"/>
                <w:left w:w="85" w:type="dxa"/>
                <w:bottom w:w="85" w:type="dxa"/>
                <w:right w:w="85" w:type="dxa"/>
              </w:tblCellMar>
              <w:tblLook w:val="04A0" w:firstRow="1" w:lastRow="0" w:firstColumn="1" w:lastColumn="0" w:noHBand="0" w:noVBand="1"/>
            </w:tblPr>
            <w:tblGrid>
              <w:gridCol w:w="3987"/>
              <w:gridCol w:w="4764"/>
            </w:tblGrid>
            <w:tr w:rsidR="004A0FEE" w:rsidRPr="004A0FEE" w:rsidTr="005B58CF">
              <w:tc>
                <w:tcPr>
                  <w:tcW w:w="4111" w:type="dxa"/>
                </w:tcPr>
                <w:p w:rsidR="004A0FEE" w:rsidRPr="004A0FEE" w:rsidRDefault="004A0FEE" w:rsidP="004A0FEE">
                  <w:pPr>
                    <w:rPr>
                      <w:sz w:val="18"/>
                      <w:szCs w:val="18"/>
                      <w:highlight w:val="darkGray"/>
                    </w:rPr>
                  </w:pPr>
                  <w:r w:rsidRPr="004A0FEE">
                    <w:rPr>
                      <w:sz w:val="18"/>
                      <w:szCs w:val="18"/>
                      <w:highlight w:val="darkGray"/>
                    </w:rPr>
                    <w:t>No differences</w:t>
                  </w:r>
                </w:p>
              </w:tc>
              <w:tc>
                <w:tcPr>
                  <w:tcW w:w="4961" w:type="dxa"/>
                </w:tcPr>
                <w:p w:rsidR="004A0FEE" w:rsidRPr="004A0FEE" w:rsidRDefault="004A0FEE" w:rsidP="004A0FEE">
                  <w:pPr>
                    <w:rPr>
                      <w:sz w:val="18"/>
                      <w:szCs w:val="18"/>
                      <w:highlight w:val="darkGray"/>
                    </w:rPr>
                  </w:pPr>
                  <w:r w:rsidRPr="004A0FEE">
                    <w:rPr>
                      <w:sz w:val="18"/>
                      <w:szCs w:val="18"/>
                      <w:highlight w:val="darkGray"/>
                    </w:rPr>
                    <w:t>Australia, Netherlands (amend classes if necessary), South Africa</w:t>
                  </w:r>
                </w:p>
              </w:tc>
            </w:tr>
            <w:tr w:rsidR="004A0FEE" w:rsidRPr="004A0FEE" w:rsidTr="005B58CF">
              <w:tc>
                <w:tcPr>
                  <w:tcW w:w="4111" w:type="dxa"/>
                </w:tcPr>
                <w:p w:rsidR="004A0FEE" w:rsidRPr="004A0FEE" w:rsidRDefault="004A0FEE" w:rsidP="004A0FEE">
                  <w:pPr>
                    <w:rPr>
                      <w:sz w:val="18"/>
                      <w:szCs w:val="18"/>
                      <w:highlight w:val="darkGray"/>
                    </w:rPr>
                  </w:pPr>
                  <w:r w:rsidRPr="004A0FEE">
                    <w:rPr>
                      <w:sz w:val="18"/>
                      <w:szCs w:val="18"/>
                      <w:highlight w:val="darkGray"/>
                    </w:rPr>
                    <w:t>Greater similarity accepted for :</w:t>
                  </w:r>
                </w:p>
                <w:p w:rsidR="004A0FEE" w:rsidRPr="004A0FEE" w:rsidRDefault="004A0FEE" w:rsidP="004A0FEE">
                  <w:pPr>
                    <w:rPr>
                      <w:sz w:val="18"/>
                      <w:szCs w:val="18"/>
                      <w:highlight w:val="darkGray"/>
                    </w:rPr>
                  </w:pPr>
                  <w:r w:rsidRPr="004A0FEE">
                    <w:rPr>
                      <w:sz w:val="18"/>
                      <w:szCs w:val="18"/>
                      <w:highlight w:val="darkGray"/>
                    </w:rPr>
                    <w:tab/>
                    <w:t>(a)  different species in general classes (one genus – one class);</w:t>
                  </w:r>
                </w:p>
                <w:p w:rsidR="004A0FEE" w:rsidRPr="004A0FEE" w:rsidRDefault="004A0FEE" w:rsidP="004A0FEE">
                  <w:pPr>
                    <w:rPr>
                      <w:sz w:val="18"/>
                      <w:szCs w:val="18"/>
                      <w:highlight w:val="darkGray"/>
                    </w:rPr>
                  </w:pPr>
                  <w:r w:rsidRPr="004A0FEE">
                    <w:rPr>
                      <w:sz w:val="18"/>
                      <w:szCs w:val="18"/>
                      <w:highlight w:val="darkGray"/>
                    </w:rPr>
                    <w:tab/>
                    <w:t>(b)  different genera in same class for classes encompassing more than one genus: List of classes in  Annex: Part II.</w:t>
                  </w:r>
                </w:p>
              </w:tc>
              <w:tc>
                <w:tcPr>
                  <w:tcW w:w="4961" w:type="dxa"/>
                </w:tcPr>
                <w:p w:rsidR="004A0FEE" w:rsidRPr="004A0FEE" w:rsidRDefault="004A0FEE" w:rsidP="004A0FEE">
                  <w:pPr>
                    <w:rPr>
                      <w:sz w:val="18"/>
                      <w:szCs w:val="18"/>
                    </w:rPr>
                  </w:pPr>
                  <w:r w:rsidRPr="004A0FEE">
                    <w:rPr>
                      <w:sz w:val="18"/>
                      <w:szCs w:val="18"/>
                      <w:highlight w:val="darkGray"/>
                    </w:rPr>
                    <w:t>European Union, New Zealand</w:t>
                  </w:r>
                </w:p>
              </w:tc>
            </w:tr>
          </w:tbl>
          <w:p w:rsidR="004A0FEE" w:rsidRPr="004A0FEE" w:rsidRDefault="004A0FEE" w:rsidP="004A0FEE">
            <w:pPr>
              <w:rPr>
                <w:u w:val="single"/>
              </w:rPr>
            </w:pPr>
          </w:p>
        </w:tc>
      </w:tr>
    </w:tbl>
    <w:p w:rsidR="00EA4900" w:rsidRDefault="00EA4900" w:rsidP="00EA4900"/>
    <w:p w:rsidR="00EA4900" w:rsidRPr="00407B23" w:rsidRDefault="00EA4900" w:rsidP="00EA4900">
      <w:pPr>
        <w:keepNext/>
        <w:spacing w:line="240" w:lineRule="atLeast"/>
      </w:pPr>
      <w:r w:rsidRPr="00407B23">
        <w:t>2.5.2</w:t>
      </w:r>
      <w:r w:rsidRPr="00407B23">
        <w:tab/>
        <w:t xml:space="preserve">The variety denomination classes are as follows:  </w:t>
      </w:r>
    </w:p>
    <w:p w:rsidR="00EA4900" w:rsidRPr="00407B23" w:rsidRDefault="00EA4900" w:rsidP="00EA4900">
      <w:pPr>
        <w:keepNext/>
      </w:pPr>
    </w:p>
    <w:p w:rsidR="00EA4900" w:rsidRPr="00DE1471" w:rsidRDefault="00EA4900" w:rsidP="00EA4900">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Annex I, a genus is considered to be a class;   </w:t>
      </w:r>
    </w:p>
    <w:p w:rsidR="00EA4900" w:rsidRPr="00DE1471" w:rsidRDefault="00EA4900" w:rsidP="00EA4900">
      <w:pPr>
        <w:pStyle w:val="BodyTextIndent"/>
        <w:ind w:left="0"/>
        <w:rPr>
          <w:lang w:val="en-US"/>
        </w:rPr>
      </w:pPr>
    </w:p>
    <w:p w:rsidR="00EA4900" w:rsidRPr="00DE1471" w:rsidRDefault="00EA4900" w:rsidP="00EA4900">
      <w:pPr>
        <w:pStyle w:val="BodyTextIndent"/>
        <w:ind w:left="0" w:firstLine="567"/>
        <w:rPr>
          <w:lang w:val="en-US"/>
        </w:rPr>
      </w:pPr>
      <w:r w:rsidRPr="00DE1471">
        <w:rPr>
          <w:lang w:val="en-US"/>
        </w:rPr>
        <w:t>(b)</w:t>
      </w:r>
      <w:r w:rsidRPr="00DE1471">
        <w:rPr>
          <w:lang w:val="en-US"/>
        </w:rPr>
        <w:tab/>
        <w:t xml:space="preserve">Exceptions to the General Rule (list of classes):  </w:t>
      </w:r>
    </w:p>
    <w:p w:rsidR="00EA4900" w:rsidRPr="00DE1471" w:rsidRDefault="00EA4900" w:rsidP="00EA4900">
      <w:pPr>
        <w:pStyle w:val="BodyTextIndent"/>
        <w:ind w:left="0"/>
        <w:rPr>
          <w:lang w:val="en-US"/>
        </w:rPr>
      </w:pPr>
    </w:p>
    <w:p w:rsidR="00EA4900" w:rsidRPr="00DE1471" w:rsidRDefault="00EA4900" w:rsidP="00EA4900">
      <w:pPr>
        <w:pStyle w:val="BodyTextIndent"/>
        <w:tabs>
          <w:tab w:val="right" w:pos="1134"/>
          <w:tab w:val="left" w:pos="1418"/>
        </w:tabs>
        <w:ind w:left="0"/>
        <w:rPr>
          <w:lang w:val="en-US"/>
        </w:rPr>
      </w:pPr>
      <w:r w:rsidRPr="00DE1471">
        <w:rPr>
          <w:lang w:val="en-US"/>
        </w:rPr>
        <w:tab/>
        <w:t xml:space="preserve"> (i)</w:t>
      </w:r>
      <w:r w:rsidRPr="00DE1471">
        <w:rPr>
          <w:lang w:val="en-US"/>
        </w:rPr>
        <w:tab/>
        <w:t xml:space="preserve">classes within a genus:  List of classes in Annex I:  Part I;  </w:t>
      </w:r>
    </w:p>
    <w:p w:rsidR="00EA4900" w:rsidRPr="0044165F" w:rsidRDefault="00EA4900" w:rsidP="00EA4900">
      <w:pPr>
        <w:pStyle w:val="BodyTextIndent"/>
        <w:tabs>
          <w:tab w:val="right" w:pos="1134"/>
          <w:tab w:val="left" w:pos="1418"/>
        </w:tabs>
        <w:ind w:left="0"/>
        <w:rPr>
          <w:sz w:val="16"/>
          <w:lang w:val="en-US"/>
        </w:rPr>
      </w:pPr>
    </w:p>
    <w:p w:rsidR="00EA4900" w:rsidRPr="00DE1471" w:rsidRDefault="00EA4900" w:rsidP="00EA4900">
      <w:pPr>
        <w:pStyle w:val="Header"/>
        <w:tabs>
          <w:tab w:val="right" w:pos="1134"/>
          <w:tab w:val="left" w:pos="1418"/>
        </w:tabs>
        <w:spacing w:after="240"/>
        <w:jc w:val="left"/>
        <w:rPr>
          <w:lang w:val="en-US"/>
        </w:rPr>
      </w:pPr>
      <w:r w:rsidRPr="00DE1471">
        <w:rPr>
          <w:lang w:val="en-US"/>
        </w:rPr>
        <w:tab/>
        <w:t>(ii)</w:t>
      </w:r>
      <w:r w:rsidRPr="00DE1471">
        <w:rPr>
          <w:lang w:val="en-US"/>
        </w:rPr>
        <w:tab/>
        <w:t>classes encompassing more than one genus:  List of classes in Annex I:  Part II.</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0A1621" w:rsidTr="005B58CF">
        <w:trPr>
          <w:cantSplit/>
        </w:trPr>
        <w:tc>
          <w:tcPr>
            <w:tcW w:w="9855" w:type="dxa"/>
            <w:shd w:val="clear" w:color="auto" w:fill="D9D9D9" w:themeFill="background1" w:themeFillShade="D9"/>
          </w:tcPr>
          <w:p w:rsidR="000A1621" w:rsidRDefault="000A1621" w:rsidP="005B58CF"/>
          <w:p w:rsidR="000A1621" w:rsidRPr="00E43B13" w:rsidRDefault="000A1621" w:rsidP="005B58CF">
            <w:pPr>
              <w:shd w:val="clear" w:color="auto" w:fill="D9D9D9" w:themeFill="background1" w:themeFillShade="D9"/>
              <w:rPr>
                <w:color w:val="000000"/>
                <w:sz w:val="18"/>
                <w:szCs w:val="18"/>
                <w:highlight w:val="yellow"/>
                <w:u w:val="single"/>
                <w:lang w:eastAsia="ja-JP"/>
              </w:rPr>
            </w:pPr>
            <w:r w:rsidRPr="00E43B13">
              <w:rPr>
                <w:color w:val="000000"/>
                <w:sz w:val="18"/>
                <w:szCs w:val="18"/>
                <w:highlight w:val="yellow"/>
                <w:u w:val="single"/>
                <w:lang w:eastAsia="ja-JP"/>
              </w:rPr>
              <w:t>T</w:t>
            </w:r>
            <w:r w:rsidRPr="00E43B13">
              <w:rPr>
                <w:color w:val="000000"/>
                <w:sz w:val="18"/>
                <w:szCs w:val="18"/>
                <w:highlight w:val="yellow"/>
                <w:u w:val="single"/>
              </w:rPr>
              <w:t xml:space="preserve">he </w:t>
            </w:r>
            <w:r w:rsidRPr="00E43B13">
              <w:rPr>
                <w:rFonts w:hint="eastAsia"/>
                <w:color w:val="000000"/>
                <w:sz w:val="18"/>
                <w:szCs w:val="18"/>
                <w:highlight w:val="yellow"/>
                <w:u w:val="single"/>
                <w:lang w:eastAsia="ja-JP"/>
              </w:rPr>
              <w:t>WG-DEN</w:t>
            </w:r>
            <w:r w:rsidRPr="00E43B13">
              <w:rPr>
                <w:color w:val="000000"/>
                <w:sz w:val="18"/>
                <w:szCs w:val="18"/>
                <w:highlight w:val="yellow"/>
                <w:u w:val="single"/>
                <w:lang w:eastAsia="ja-JP"/>
              </w:rPr>
              <w:t xml:space="preserve">, at its fourth meeting, </w:t>
            </w:r>
            <w:r>
              <w:rPr>
                <w:color w:val="000000"/>
                <w:sz w:val="18"/>
                <w:szCs w:val="18"/>
                <w:highlight w:val="yellow"/>
                <w:u w:val="single"/>
                <w:lang w:eastAsia="ja-JP"/>
              </w:rPr>
              <w:t>requested</w:t>
            </w:r>
            <w:r w:rsidRPr="00E43B13">
              <w:rPr>
                <w:rFonts w:hint="eastAsia"/>
                <w:color w:val="000000"/>
                <w:sz w:val="18"/>
                <w:szCs w:val="18"/>
                <w:highlight w:val="yellow"/>
                <w:u w:val="single"/>
                <w:lang w:eastAsia="ja-JP"/>
              </w:rPr>
              <w:t xml:space="preserve"> </w:t>
            </w:r>
          </w:p>
          <w:p w:rsidR="000A1621" w:rsidRPr="00613BB7" w:rsidRDefault="000A1621" w:rsidP="005B58CF">
            <w:pPr>
              <w:shd w:val="clear" w:color="auto" w:fill="D9D9D9" w:themeFill="background1" w:themeFillShade="D9"/>
              <w:rPr>
                <w:color w:val="000000"/>
                <w:sz w:val="18"/>
                <w:szCs w:val="18"/>
                <w:highlight w:val="yellow"/>
                <w:u w:val="single"/>
              </w:rPr>
            </w:pPr>
          </w:p>
          <w:p w:rsidR="000A1621" w:rsidRPr="00C544AE" w:rsidRDefault="000A1621" w:rsidP="005B58CF">
            <w:pPr>
              <w:rPr>
                <w:color w:val="000000"/>
                <w:sz w:val="16"/>
                <w:szCs w:val="16"/>
                <w:highlight w:val="yellow"/>
                <w:lang w:eastAsia="ja-JP"/>
              </w:rPr>
            </w:pPr>
            <w:r w:rsidRPr="000A1621">
              <w:rPr>
                <w:color w:val="000000"/>
                <w:sz w:val="18"/>
                <w:szCs w:val="18"/>
                <w:highlight w:val="yellow"/>
                <w:lang w:eastAsia="ja-JP"/>
              </w:rPr>
              <w:t>the Office of the Union to issue a circular to invite the authorities to share examples and proposals on possible need to review or create new denomination classes</w:t>
            </w:r>
            <w:r>
              <w:rPr>
                <w:color w:val="000000"/>
                <w:sz w:val="18"/>
                <w:szCs w:val="18"/>
                <w:highlight w:val="yellow"/>
                <w:lang w:eastAsia="ja-JP"/>
              </w:rPr>
              <w:t>.</w:t>
            </w:r>
            <w:r w:rsidRPr="00C544AE">
              <w:rPr>
                <w:color w:val="000000"/>
                <w:sz w:val="16"/>
                <w:szCs w:val="16"/>
                <w:highlight w:val="yellow"/>
                <w:lang w:eastAsia="ja-JP"/>
              </w:rPr>
              <w:t xml:space="preserve"> </w:t>
            </w:r>
          </w:p>
          <w:p w:rsidR="000A1621" w:rsidRDefault="000A1621" w:rsidP="005B58CF"/>
        </w:tc>
      </w:tr>
    </w:tbl>
    <w:p w:rsidR="000A1621" w:rsidRDefault="000A1621" w:rsidP="00EA4900"/>
    <w:p w:rsidR="000A1621" w:rsidRDefault="000A1621" w:rsidP="00EA4900"/>
    <w:p w:rsidR="00EA4900" w:rsidRPr="00407B23" w:rsidRDefault="00EA4900" w:rsidP="00EA4900">
      <w:pPr>
        <w:rPr>
          <w:color w:val="000000"/>
          <w:u w:val="single"/>
        </w:rPr>
      </w:pPr>
      <w:r w:rsidRPr="00407B23">
        <w:t>2.5.3</w:t>
      </w:r>
      <w:r w:rsidRPr="00407B23">
        <w:tab/>
      </w:r>
      <w:r w:rsidRPr="00407B23">
        <w:rPr>
          <w:color w:val="000000"/>
        </w:rPr>
        <w:t>It is recommended that th</w:t>
      </w:r>
      <w:r>
        <w:rPr>
          <w:color w:val="000000"/>
        </w:rPr>
        <w:t>e UPOV Plant Variety Database (“</w:t>
      </w:r>
      <w:r w:rsidRPr="004A4F36">
        <w:rPr>
          <w:rFonts w:hint="eastAsia"/>
          <w:color w:val="000000"/>
          <w:u w:val="single"/>
          <w:lang w:eastAsia="ja-JP"/>
        </w:rPr>
        <w:t>PLUTO database</w:t>
      </w:r>
      <w:r>
        <w:rPr>
          <w:rFonts w:hint="eastAsia"/>
          <w:color w:val="000000"/>
          <w:lang w:eastAsia="ja-JP"/>
        </w:rPr>
        <w:t xml:space="preserve"> </w:t>
      </w:r>
      <w:r w:rsidRPr="004A4F36">
        <w:rPr>
          <w:strike/>
          <w:color w:val="000000"/>
        </w:rPr>
        <w:t>UPOV-ROM</w:t>
      </w:r>
      <w:r>
        <w:rPr>
          <w:color w:val="000000"/>
        </w:rPr>
        <w:t>”)</w:t>
      </w:r>
      <w:r w:rsidRPr="00407B23">
        <w:rPr>
          <w:color w:val="000000"/>
        </w:rPr>
        <w:t xml:space="preserve"> used in the process to check if, in the territory of any member of the Union, the proposed denomination is different from denominations of existing varieties of the same genus or, if appropriate, variety denomination class (see Annex I).  Attention is drawn to the “General Notice and Disclaimer” of </w:t>
      </w:r>
      <w:r>
        <w:rPr>
          <w:color w:val="000000"/>
        </w:rPr>
        <w:t xml:space="preserve">the </w:t>
      </w:r>
      <w:r w:rsidRPr="009754CE">
        <w:rPr>
          <w:strike/>
          <w:color w:val="000000"/>
        </w:rPr>
        <w:t>UPOV-ROM</w:t>
      </w:r>
      <w:r w:rsidR="00A53DAC" w:rsidRPr="00A53DAC">
        <w:rPr>
          <w:rFonts w:hint="eastAsia"/>
          <w:color w:val="000000"/>
          <w:u w:val="single"/>
          <w:lang w:eastAsia="ja-JP"/>
        </w:rPr>
        <w:t xml:space="preserve"> </w:t>
      </w:r>
      <w:r w:rsidR="00A53DAC" w:rsidRPr="004A4F36">
        <w:rPr>
          <w:rFonts w:hint="eastAsia"/>
          <w:color w:val="000000"/>
          <w:u w:val="single"/>
          <w:lang w:eastAsia="ja-JP"/>
        </w:rPr>
        <w:t>PLUTO database</w:t>
      </w:r>
      <w:r w:rsidRPr="00407B23">
        <w:rPr>
          <w:color w:val="000000"/>
        </w:rPr>
        <w:t xml:space="preserve"> to ensure that the information contained in the </w:t>
      </w:r>
      <w:r w:rsidRPr="009754CE">
        <w:rPr>
          <w:strike/>
          <w:color w:val="000000"/>
        </w:rPr>
        <w:t>UPOV-ROM</w:t>
      </w:r>
      <w:r w:rsidR="00A53DAC" w:rsidRPr="00A53DAC">
        <w:rPr>
          <w:rFonts w:hint="eastAsia"/>
          <w:color w:val="000000"/>
          <w:u w:val="single"/>
          <w:lang w:eastAsia="ja-JP"/>
        </w:rPr>
        <w:t xml:space="preserve"> </w:t>
      </w:r>
      <w:r w:rsidR="00A53DAC" w:rsidRPr="004A4F36">
        <w:rPr>
          <w:rFonts w:hint="eastAsia"/>
          <w:color w:val="000000"/>
          <w:u w:val="single"/>
          <w:lang w:eastAsia="ja-JP"/>
        </w:rPr>
        <w:t>PLUTO database</w:t>
      </w:r>
      <w:r w:rsidRPr="00407B23">
        <w:rPr>
          <w:color w:val="000000"/>
        </w:rPr>
        <w:t xml:space="preserve"> is considered in an appropriate way.</w:t>
      </w:r>
    </w:p>
    <w:p w:rsidR="00EA4900" w:rsidRDefault="00EA4900" w:rsidP="00EA4900">
      <w:pPr>
        <w:rPr>
          <w:b/>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0A1621" w:rsidTr="005B58CF">
        <w:trPr>
          <w:cantSplit/>
        </w:trPr>
        <w:tc>
          <w:tcPr>
            <w:tcW w:w="9855" w:type="dxa"/>
            <w:shd w:val="clear" w:color="auto" w:fill="D9D9D9" w:themeFill="background1" w:themeFillShade="D9"/>
          </w:tcPr>
          <w:p w:rsidR="000A1621" w:rsidRDefault="000A1621" w:rsidP="005B58CF"/>
          <w:p w:rsidR="000A1621" w:rsidRPr="00E43B13" w:rsidRDefault="000A1621" w:rsidP="005B58CF">
            <w:pPr>
              <w:shd w:val="clear" w:color="auto" w:fill="D9D9D9" w:themeFill="background1" w:themeFillShade="D9"/>
              <w:rPr>
                <w:color w:val="000000"/>
                <w:sz w:val="18"/>
                <w:szCs w:val="18"/>
                <w:highlight w:val="yellow"/>
                <w:u w:val="single"/>
                <w:lang w:eastAsia="ja-JP"/>
              </w:rPr>
            </w:pPr>
            <w:r w:rsidRPr="00E43B13">
              <w:rPr>
                <w:color w:val="000000"/>
                <w:sz w:val="18"/>
                <w:szCs w:val="18"/>
                <w:highlight w:val="yellow"/>
                <w:u w:val="single"/>
                <w:lang w:eastAsia="ja-JP"/>
              </w:rPr>
              <w:t>T</w:t>
            </w:r>
            <w:r w:rsidRPr="00E43B13">
              <w:rPr>
                <w:color w:val="000000"/>
                <w:sz w:val="18"/>
                <w:szCs w:val="18"/>
                <w:highlight w:val="yellow"/>
                <w:u w:val="single"/>
              </w:rPr>
              <w:t xml:space="preserve">he </w:t>
            </w:r>
            <w:r w:rsidRPr="00E43B13">
              <w:rPr>
                <w:rFonts w:hint="eastAsia"/>
                <w:color w:val="000000"/>
                <w:sz w:val="18"/>
                <w:szCs w:val="18"/>
                <w:highlight w:val="yellow"/>
                <w:u w:val="single"/>
                <w:lang w:eastAsia="ja-JP"/>
              </w:rPr>
              <w:t>WG-DEN</w:t>
            </w:r>
            <w:r w:rsidRPr="00E43B13">
              <w:rPr>
                <w:color w:val="000000"/>
                <w:sz w:val="18"/>
                <w:szCs w:val="18"/>
                <w:highlight w:val="yellow"/>
                <w:u w:val="single"/>
                <w:lang w:eastAsia="ja-JP"/>
              </w:rPr>
              <w:t xml:space="preserve">, at its fourth meeting, </w:t>
            </w:r>
            <w:r>
              <w:rPr>
                <w:color w:val="000000"/>
                <w:sz w:val="18"/>
                <w:szCs w:val="18"/>
                <w:highlight w:val="yellow"/>
                <w:u w:val="single"/>
                <w:lang w:eastAsia="ja-JP"/>
              </w:rPr>
              <w:t>requested</w:t>
            </w:r>
            <w:r w:rsidRPr="00E43B13">
              <w:rPr>
                <w:rFonts w:hint="eastAsia"/>
                <w:color w:val="000000"/>
                <w:sz w:val="18"/>
                <w:szCs w:val="18"/>
                <w:highlight w:val="yellow"/>
                <w:u w:val="single"/>
                <w:lang w:eastAsia="ja-JP"/>
              </w:rPr>
              <w:t xml:space="preserve"> </w:t>
            </w:r>
          </w:p>
          <w:p w:rsidR="000A1621" w:rsidRPr="00613BB7" w:rsidRDefault="000A1621" w:rsidP="005B58CF">
            <w:pPr>
              <w:shd w:val="clear" w:color="auto" w:fill="D9D9D9" w:themeFill="background1" w:themeFillShade="D9"/>
              <w:rPr>
                <w:color w:val="000000"/>
                <w:sz w:val="18"/>
                <w:szCs w:val="18"/>
                <w:highlight w:val="yellow"/>
                <w:u w:val="single"/>
              </w:rPr>
            </w:pPr>
          </w:p>
          <w:p w:rsidR="000A1621" w:rsidRPr="00C544AE" w:rsidRDefault="000A1621" w:rsidP="005B58CF">
            <w:pPr>
              <w:rPr>
                <w:color w:val="000000"/>
                <w:sz w:val="16"/>
                <w:szCs w:val="16"/>
                <w:highlight w:val="yellow"/>
                <w:lang w:eastAsia="ja-JP"/>
              </w:rPr>
            </w:pPr>
            <w:r w:rsidRPr="000A1621">
              <w:rPr>
                <w:color w:val="000000"/>
                <w:sz w:val="18"/>
                <w:szCs w:val="18"/>
                <w:highlight w:val="yellow"/>
                <w:lang w:eastAsia="ja-JP"/>
              </w:rPr>
              <w:t xml:space="preserve">With regard to a new Section 2.6 on UPOV denomination similarity search tool, the Office of the Union to issue a circular to invite the authorities and users to provide their views on possible ways to use the denomination similarity search tool. </w:t>
            </w:r>
            <w:r w:rsidRPr="00C544AE">
              <w:rPr>
                <w:color w:val="000000"/>
                <w:sz w:val="16"/>
                <w:szCs w:val="16"/>
                <w:highlight w:val="yellow"/>
                <w:lang w:eastAsia="ja-JP"/>
              </w:rPr>
              <w:t xml:space="preserve"> </w:t>
            </w:r>
          </w:p>
          <w:p w:rsidR="000A1621" w:rsidRDefault="000A1621" w:rsidP="005B58CF"/>
        </w:tc>
      </w:tr>
    </w:tbl>
    <w:p w:rsidR="000A1621" w:rsidRDefault="000A1621" w:rsidP="00EA4900">
      <w:pPr>
        <w:rPr>
          <w:b/>
          <w:lang w:eastAsia="ja-JP"/>
        </w:rPr>
      </w:pPr>
    </w:p>
    <w:p w:rsidR="000A1621" w:rsidRDefault="000A1621" w:rsidP="00EA4900">
      <w:pPr>
        <w:rPr>
          <w:b/>
          <w:lang w:eastAsia="ja-JP"/>
        </w:rPr>
      </w:pPr>
    </w:p>
    <w:p w:rsidR="00EA4900" w:rsidRDefault="00EA4900" w:rsidP="00EA4900">
      <w:pPr>
        <w:jc w:val="left"/>
        <w:rPr>
          <w:b/>
          <w:lang w:eastAsia="ja-JP"/>
        </w:rPr>
      </w:pPr>
    </w:p>
    <w:p w:rsidR="00EA4900" w:rsidRPr="00407B23" w:rsidRDefault="00EA4900" w:rsidP="00EA4900">
      <w:pPr>
        <w:keepNext/>
        <w:jc w:val="center"/>
        <w:rPr>
          <w:b/>
        </w:rPr>
      </w:pPr>
      <w:r w:rsidRPr="00407B23">
        <w:rPr>
          <w:b/>
        </w:rPr>
        <w:lastRenderedPageBreak/>
        <w:t>Paragraph 3</w:t>
      </w:r>
    </w:p>
    <w:p w:rsidR="00EA4900" w:rsidRPr="00407B23" w:rsidRDefault="00EA4900" w:rsidP="00EA4900">
      <w:pPr>
        <w:keepNext/>
        <w:jc w:val="center"/>
      </w:pPr>
      <w:r w:rsidRPr="00407B23">
        <w:t>(Paragraph 4 of Article 13 of the 1961 Convention)</w:t>
      </w:r>
    </w:p>
    <w:p w:rsidR="00EA4900" w:rsidRPr="00407B23" w:rsidRDefault="00EA4900" w:rsidP="00EA4900">
      <w:pPr>
        <w:keepNext/>
      </w:pPr>
    </w:p>
    <w:p w:rsidR="00EA4900" w:rsidRPr="00407B23" w:rsidRDefault="00EA4900" w:rsidP="00EA4900">
      <w:pPr>
        <w:keepLines/>
        <w:rPr>
          <w:b/>
        </w:rPr>
      </w:pPr>
      <w:r w:rsidRPr="00407B23">
        <w:rPr>
          <w:b/>
        </w:rPr>
        <w:tab/>
        <w:t>[</w:t>
      </w:r>
      <w:r w:rsidRPr="00407B23">
        <w:rPr>
          <w:b/>
          <w:i/>
        </w:rPr>
        <w:t>Registration of the denomination</w:t>
      </w:r>
      <w:r w:rsidRPr="00407B23">
        <w:rPr>
          <w:b/>
        </w:rPr>
        <w:t>]  The denomination of the variety shall be submitted by the breeder to the authority.  If it is found that the denomination does not satisfy the requirements of paragraph (2), the authority shall refuse to register it and shall require the breeder to propose another denomination within a prescribed period.  The denomination shall be registered by the authority at the same time as the breeder’s right is granted.</w:t>
      </w:r>
    </w:p>
    <w:p w:rsidR="00EA4900" w:rsidRPr="00407B23" w:rsidRDefault="00EA4900" w:rsidP="00EA4900">
      <w:pPr>
        <w:rPr>
          <w:b/>
        </w:rPr>
      </w:pPr>
    </w:p>
    <w:p w:rsidR="00EA4900" w:rsidRPr="00407B23" w:rsidRDefault="00EA4900" w:rsidP="00EA4900">
      <w:pPr>
        <w:rPr>
          <w:i/>
        </w:rPr>
      </w:pPr>
      <w:r w:rsidRPr="00407B23">
        <w:rPr>
          <w:i/>
        </w:rPr>
        <w:t>Explanatory Notes – Paragraph</w:t>
      </w:r>
      <w:r w:rsidRPr="00407B23">
        <w:t> </w:t>
      </w:r>
      <w:r w:rsidRPr="00407B23">
        <w:rPr>
          <w:i/>
        </w:rPr>
        <w:t>(3)</w:t>
      </w:r>
    </w:p>
    <w:p w:rsidR="00EA4900" w:rsidRPr="00407B23" w:rsidRDefault="00EA4900" w:rsidP="00EA4900"/>
    <w:p w:rsidR="00EA4900" w:rsidRPr="00407B23" w:rsidRDefault="00EA4900" w:rsidP="00EA4900">
      <w:r w:rsidRPr="00407B23">
        <w:t>3.1</w:t>
      </w:r>
      <w:r w:rsidRPr="00407B23">
        <w:tab/>
        <w:t>If the authority has found no grounds for refusal under paragraph (2), and knows of no grounds for refusal under paragraph (4), the proposed denomination shall be registered, published and communicated to the authorities of the other members of the Union.</w:t>
      </w:r>
    </w:p>
    <w:p w:rsidR="00EA4900" w:rsidRPr="00407B23" w:rsidRDefault="00EA4900" w:rsidP="00EA4900"/>
    <w:p w:rsidR="00EA4900" w:rsidRPr="00407B23" w:rsidRDefault="00EA4900" w:rsidP="00EA4900">
      <w:r w:rsidRPr="00407B23">
        <w:t>3.2</w:t>
      </w:r>
      <w:r w:rsidRPr="00407B23">
        <w:tab/>
        <w:t>In the event of prior rights (paragraph (4)) or other grounds for refusal, any interested person may file an objection to the registration.  The authorities of the other members of the Union may submit observations (see Explanatory Notes of paragraph (6)).</w:t>
      </w:r>
    </w:p>
    <w:p w:rsidR="00EA4900" w:rsidRPr="00407B23" w:rsidRDefault="00EA4900" w:rsidP="00EA4900"/>
    <w:p w:rsidR="00EA4900" w:rsidRPr="00407B23" w:rsidRDefault="00EA4900" w:rsidP="00EA4900">
      <w:r w:rsidRPr="00407B23">
        <w:t>3.3</w:t>
      </w:r>
      <w:r w:rsidRPr="00407B23">
        <w:tab/>
        <w:t xml:space="preserve">Relevant objections and observations should be communicated to the applicant.  The applicant should be given the opportunity to reply to the observations.  If the authority considers the denomination unsuitable within its territory, it will require the breeder to submit another denomination.  Failure to submit a proposal within the prescribed period should entail the rejection of the application. </w:t>
      </w:r>
    </w:p>
    <w:p w:rsidR="00EA4900" w:rsidRPr="00407B23" w:rsidRDefault="00EA4900" w:rsidP="00EA4900"/>
    <w:p w:rsidR="00EA4900" w:rsidRPr="00407B23" w:rsidRDefault="00EA4900" w:rsidP="00EA4900">
      <w:r w:rsidRPr="00407B23">
        <w:t>3.4</w:t>
      </w:r>
      <w:r w:rsidRPr="00407B23">
        <w:tab/>
        <w:t>The examination of the proposed denomination and of the other conditions for the protection of the variety are procedures which should be undertaken in parallel in order to ensure that the denomination can be registered at the time the breeder’s right is granted.</w:t>
      </w:r>
    </w:p>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c>
          <w:tcPr>
            <w:tcW w:w="9855" w:type="dxa"/>
            <w:shd w:val="clear" w:color="auto" w:fill="D9D9D9" w:themeFill="background1" w:themeFillShade="D9"/>
          </w:tcPr>
          <w:p w:rsidR="00EA4900" w:rsidRPr="005D7C20" w:rsidRDefault="00EA4900" w:rsidP="00E27D83">
            <w:pPr>
              <w:rPr>
                <w:sz w:val="18"/>
                <w:szCs w:val="18"/>
              </w:rPr>
            </w:pPr>
          </w:p>
          <w:p w:rsidR="00EA4900" w:rsidRPr="005D7C20" w:rsidRDefault="00EA4900" w:rsidP="00E27D83">
            <w:pPr>
              <w:rPr>
                <w:sz w:val="18"/>
                <w:szCs w:val="18"/>
                <w:u w:val="single"/>
              </w:rPr>
            </w:pPr>
            <w:r w:rsidRPr="005D7C20">
              <w:rPr>
                <w:sz w:val="18"/>
                <w:szCs w:val="18"/>
                <w:u w:val="single"/>
              </w:rPr>
              <w:t>Proposal by ESA/ISF</w:t>
            </w:r>
            <w:r w:rsidR="008A5DEF" w:rsidRPr="008A5DEF">
              <w:rPr>
                <w:sz w:val="18"/>
                <w:szCs w:val="18"/>
              </w:rPr>
              <w:t xml:space="preserve"> </w:t>
            </w:r>
            <w:r w:rsidR="008A5DEF">
              <w:rPr>
                <w:sz w:val="18"/>
                <w:szCs w:val="18"/>
              </w:rPr>
              <w:fldChar w:fldCharType="begin"/>
            </w:r>
            <w:r w:rsidR="008A5DEF">
              <w:rPr>
                <w:sz w:val="18"/>
                <w:szCs w:val="18"/>
              </w:rPr>
              <w:instrText xml:space="preserve"> NOTEREF _Ref526439475 \f \h </w:instrText>
            </w:r>
            <w:r w:rsidR="008A5DEF">
              <w:rPr>
                <w:sz w:val="18"/>
                <w:szCs w:val="18"/>
              </w:rPr>
            </w:r>
            <w:r w:rsidR="008A5DEF">
              <w:rPr>
                <w:sz w:val="18"/>
                <w:szCs w:val="18"/>
              </w:rPr>
              <w:fldChar w:fldCharType="separate"/>
            </w:r>
            <w:r w:rsidR="008D27BA" w:rsidRPr="008D27BA">
              <w:rPr>
                <w:rStyle w:val="EndnoteReference"/>
              </w:rPr>
              <w:t>o</w:t>
            </w:r>
            <w:r w:rsidR="008A5DEF">
              <w:rPr>
                <w:sz w:val="18"/>
                <w:szCs w:val="18"/>
              </w:rPr>
              <w:fldChar w:fldCharType="end"/>
            </w:r>
          </w:p>
          <w:p w:rsidR="00EA4900" w:rsidRPr="0042091F" w:rsidRDefault="00EA4900" w:rsidP="00E27D83">
            <w:pPr>
              <w:rPr>
                <w:sz w:val="14"/>
                <w:szCs w:val="18"/>
              </w:rPr>
            </w:pPr>
          </w:p>
          <w:p w:rsidR="00EA4900" w:rsidRDefault="00EA4900" w:rsidP="00E27D83">
            <w:pPr>
              <w:rPr>
                <w:sz w:val="18"/>
                <w:szCs w:val="18"/>
              </w:rPr>
            </w:pPr>
            <w:r>
              <w:rPr>
                <w:sz w:val="18"/>
                <w:szCs w:val="18"/>
              </w:rPr>
              <w:t>Paragraph 3</w:t>
            </w:r>
          </w:p>
          <w:p w:rsidR="00EA4900" w:rsidRPr="0042091F" w:rsidRDefault="00EA4900" w:rsidP="00E27D83">
            <w:pPr>
              <w:rPr>
                <w:sz w:val="14"/>
                <w:szCs w:val="18"/>
              </w:rPr>
            </w:pPr>
          </w:p>
          <w:p w:rsidR="00EA4900" w:rsidRDefault="00EA4900" w:rsidP="00E27D83">
            <w:pPr>
              <w:rPr>
                <w:sz w:val="18"/>
                <w:szCs w:val="18"/>
              </w:rPr>
            </w:pPr>
            <w:r>
              <w:rPr>
                <w:sz w:val="18"/>
                <w:szCs w:val="18"/>
              </w:rPr>
              <w:t>In the introductory text it is stated that “</w:t>
            </w:r>
            <w:r w:rsidRPr="00474EF5">
              <w:rPr>
                <w:i/>
                <w:sz w:val="18"/>
                <w:szCs w:val="18"/>
              </w:rPr>
              <w:t>the authority shall refuse to register it and shall require the breeder to propose another denomination with a prescribed period</w:t>
            </w:r>
            <w:r>
              <w:rPr>
                <w:sz w:val="18"/>
                <w:szCs w:val="18"/>
              </w:rPr>
              <w:t>”.  The words “prescribed period” indeed appear in Article 20(3) of the UPOV Convention but in practice the breeder may propose a new denomination at any time before the grant.  In order to avoid confusion it would be useful to clarify that the “</w:t>
            </w:r>
            <w:r w:rsidRPr="00474EF5">
              <w:rPr>
                <w:i/>
                <w:sz w:val="18"/>
                <w:szCs w:val="18"/>
              </w:rPr>
              <w:t>prescribed period</w:t>
            </w:r>
            <w:r>
              <w:rPr>
                <w:sz w:val="18"/>
                <w:szCs w:val="18"/>
              </w:rPr>
              <w:t>” basically refers to before grant.</w:t>
            </w:r>
          </w:p>
          <w:p w:rsidR="00EA4900" w:rsidRPr="005D7C20" w:rsidRDefault="00EA4900" w:rsidP="00E27D83">
            <w:pPr>
              <w:rPr>
                <w:sz w:val="18"/>
                <w:szCs w:val="18"/>
              </w:rPr>
            </w:pPr>
          </w:p>
        </w:tc>
      </w:tr>
    </w:tbl>
    <w:p w:rsidR="00EA4900" w:rsidRDefault="00EA4900" w:rsidP="00EA4900">
      <w:pPr>
        <w:rPr>
          <w:highlight w:val="yellow"/>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5D7C20" w:rsidRDefault="00EA4900" w:rsidP="00E27D83">
            <w:pPr>
              <w:rPr>
                <w:sz w:val="18"/>
                <w:szCs w:val="18"/>
              </w:rPr>
            </w:pPr>
          </w:p>
          <w:p w:rsidR="00EA4900" w:rsidRPr="00C04C22" w:rsidRDefault="00EA4900" w:rsidP="00E27D83">
            <w:pPr>
              <w:rPr>
                <w:sz w:val="18"/>
                <w:szCs w:val="18"/>
                <w:u w:val="single"/>
              </w:rPr>
            </w:pPr>
            <w:r w:rsidRPr="00C04C22">
              <w:rPr>
                <w:sz w:val="18"/>
                <w:szCs w:val="18"/>
                <w:u w:val="single"/>
              </w:rPr>
              <w:t>Agreed by the WG-DEN</w:t>
            </w:r>
            <w:r w:rsidR="008A5DEF" w:rsidRPr="008A5DEF">
              <w:rPr>
                <w:sz w:val="18"/>
                <w:szCs w:val="18"/>
              </w:rPr>
              <w:t xml:space="preserve"> </w:t>
            </w:r>
            <w:r w:rsidR="008A5DEF">
              <w:rPr>
                <w:rStyle w:val="EndnoteReference"/>
                <w:sz w:val="18"/>
                <w:szCs w:val="18"/>
              </w:rPr>
              <w:endnoteReference w:id="23"/>
            </w:r>
          </w:p>
          <w:p w:rsidR="00EA4900" w:rsidRPr="00C04C22" w:rsidRDefault="00EA4900" w:rsidP="00E27D83">
            <w:pPr>
              <w:rPr>
                <w:sz w:val="18"/>
                <w:szCs w:val="18"/>
              </w:rPr>
            </w:pPr>
          </w:p>
          <w:p w:rsidR="00EA4900" w:rsidRDefault="00EA4900" w:rsidP="00E27D83">
            <w:pPr>
              <w:rPr>
                <w:sz w:val="18"/>
                <w:szCs w:val="18"/>
              </w:rPr>
            </w:pPr>
            <w:r w:rsidRPr="00C04C22">
              <w:rPr>
                <w:sz w:val="18"/>
                <w:szCs w:val="18"/>
              </w:rPr>
              <w:t>Not to change the current text of the explanatory note.</w:t>
            </w:r>
          </w:p>
          <w:p w:rsidR="00EA4900" w:rsidRPr="005D7C20" w:rsidRDefault="00EA4900" w:rsidP="00E27D83">
            <w:pPr>
              <w:rPr>
                <w:sz w:val="18"/>
                <w:szCs w:val="18"/>
              </w:rPr>
            </w:pPr>
          </w:p>
        </w:tc>
      </w:tr>
    </w:tbl>
    <w:p w:rsidR="00EA4900" w:rsidRDefault="00EA4900" w:rsidP="00EA4900">
      <w:pPr>
        <w:rPr>
          <w:lang w:eastAsia="ja-JP"/>
        </w:rPr>
      </w:pPr>
    </w:p>
    <w:p w:rsidR="00EA4900" w:rsidRDefault="00EA4900" w:rsidP="00EA4900">
      <w:pPr>
        <w:rPr>
          <w:lang w:eastAsia="ja-JP"/>
        </w:rPr>
      </w:pPr>
    </w:p>
    <w:p w:rsidR="00EA4900" w:rsidRDefault="00EA4900" w:rsidP="00EA4900">
      <w:pPr>
        <w:rPr>
          <w:lang w:eastAsia="ja-JP"/>
        </w:rPr>
      </w:pPr>
    </w:p>
    <w:p w:rsidR="00EA4900" w:rsidRDefault="00EA4900" w:rsidP="00EA4900">
      <w:pPr>
        <w:jc w:val="left"/>
        <w:rPr>
          <w:b/>
        </w:rPr>
      </w:pPr>
      <w:r>
        <w:rPr>
          <w:b/>
        </w:rPr>
        <w:br w:type="page"/>
      </w:r>
    </w:p>
    <w:p w:rsidR="00EA4900" w:rsidRPr="00407B23" w:rsidRDefault="00EA4900" w:rsidP="00EA4900">
      <w:pPr>
        <w:keepNext/>
        <w:jc w:val="center"/>
        <w:rPr>
          <w:b/>
        </w:rPr>
      </w:pPr>
      <w:r w:rsidRPr="00407B23">
        <w:rPr>
          <w:b/>
        </w:rPr>
        <w:lastRenderedPageBreak/>
        <w:t>Paragraph 4</w:t>
      </w:r>
    </w:p>
    <w:p w:rsidR="00EA4900" w:rsidRPr="00407B23" w:rsidRDefault="00EA4900" w:rsidP="00EA4900">
      <w:pPr>
        <w:keepNext/>
        <w:jc w:val="center"/>
      </w:pPr>
      <w:r w:rsidRPr="00407B23">
        <w:t>(Paragraph 10 of Article 13 of the 1961 Convention)</w:t>
      </w:r>
    </w:p>
    <w:p w:rsidR="00EA4900" w:rsidRPr="00407B23" w:rsidRDefault="00EA4900" w:rsidP="00EA4900">
      <w:pPr>
        <w:keepNext/>
      </w:pPr>
    </w:p>
    <w:p w:rsidR="00EA4900" w:rsidRPr="00407B23" w:rsidRDefault="00EA4900" w:rsidP="00EA4900">
      <w:pPr>
        <w:keepLines/>
        <w:rPr>
          <w:b/>
        </w:rPr>
      </w:pPr>
      <w:r w:rsidRPr="00407B23">
        <w:rPr>
          <w:b/>
        </w:rPr>
        <w:tab/>
        <w:t>[</w:t>
      </w:r>
      <w:r w:rsidRPr="00407B23">
        <w:rPr>
          <w:b/>
          <w:i/>
        </w:rPr>
        <w:t>Prior rights of third persons</w:t>
      </w:r>
      <w:r w:rsidRPr="00407B23">
        <w:rPr>
          <w:b/>
        </w:rPr>
        <w:t>]  Prior rights of third persons shall not be affected.  If, by reason of a prior right, the use of the denomination of a variety is forbidden to a person who, in accordance with the provisions of paragraph (7), is obliged to use it, the authority shall require the breeder to submit another denomination for the variety.</w:t>
      </w:r>
    </w:p>
    <w:p w:rsidR="00EA4900" w:rsidRPr="00407B23" w:rsidRDefault="00EA4900" w:rsidP="00EA4900"/>
    <w:p w:rsidR="00EA4900" w:rsidRPr="00407B23" w:rsidRDefault="00EA4900" w:rsidP="00EA4900">
      <w:pPr>
        <w:rPr>
          <w:i/>
        </w:rPr>
      </w:pPr>
      <w:r w:rsidRPr="00407B23">
        <w:rPr>
          <w:i/>
        </w:rPr>
        <w:t>Explanatory Notes – Paragraph (4)</w:t>
      </w:r>
    </w:p>
    <w:p w:rsidR="00EA4900" w:rsidRPr="00407B23" w:rsidRDefault="00EA4900" w:rsidP="00EA4900"/>
    <w:p w:rsidR="00EA4900" w:rsidRDefault="00EA4900" w:rsidP="00EA4900">
      <w:r w:rsidRPr="00407B23">
        <w:t>4.</w:t>
      </w:r>
      <w:r w:rsidRPr="00407B23">
        <w:tab/>
        <w:t>In deciding on the suitability of the proposed denomination and examining objections and observations in relation to prior rights of third persons, the following are intended to assist authorities.</w:t>
      </w:r>
    </w:p>
    <w:p w:rsidR="00C544AE" w:rsidRDefault="00C544AE" w:rsidP="00EA4900"/>
    <w:p w:rsidR="00EA4900" w:rsidRPr="000C67D4" w:rsidRDefault="00C544AE" w:rsidP="00C544AE">
      <w:pPr>
        <w:rPr>
          <w:color w:val="000000"/>
        </w:rPr>
      </w:pPr>
      <w:r w:rsidRPr="00C544AE">
        <w:rPr>
          <w:rFonts w:eastAsia="MS Mincho"/>
        </w:rPr>
        <w:tab/>
        <w:t>(a)</w:t>
      </w:r>
      <w:r w:rsidRPr="00C544AE">
        <w:rPr>
          <w:rFonts w:eastAsia="MS Mincho"/>
        </w:rPr>
        <w:tab/>
        <w:t xml:space="preserve">An authority should not accept a variety denomination if </w:t>
      </w:r>
      <w:r w:rsidRPr="00C544AE">
        <w:rPr>
          <w:rFonts w:eastAsia="MS Mincho"/>
          <w:strike/>
          <w:highlight w:val="yellow"/>
        </w:rPr>
        <w:t>a</w:t>
      </w:r>
      <w:r w:rsidRPr="00C544AE">
        <w:rPr>
          <w:rFonts w:eastAsia="MS Mincho"/>
          <w:highlight w:val="yellow"/>
        </w:rPr>
        <w:t xml:space="preserve"> </w:t>
      </w:r>
      <w:r w:rsidRPr="00C544AE">
        <w:rPr>
          <w:rFonts w:eastAsia="MS Mincho"/>
          <w:highlight w:val="yellow"/>
          <w:u w:val="single"/>
        </w:rPr>
        <w:t>there is an existing</w:t>
      </w:r>
      <w:r w:rsidRPr="00C544AE">
        <w:rPr>
          <w:rFonts w:eastAsia="MS Mincho"/>
        </w:rPr>
        <w:t xml:space="preserve"> prior right, the exercise of which may prevent the use of the proposed denomination</w:t>
      </w:r>
      <w:r w:rsidRPr="00C544AE">
        <w:rPr>
          <w:rFonts w:eastAsia="MS Mincho"/>
          <w:strike/>
          <w:highlight w:val="yellow"/>
        </w:rPr>
        <w:t>, has already been granted to a third party</w:t>
      </w:r>
      <w:r w:rsidRPr="00C544AE">
        <w:rPr>
          <w:rFonts w:eastAsia="MS Mincho"/>
          <w:highlight w:val="yellow"/>
        </w:rPr>
        <w:t xml:space="preserve"> </w:t>
      </w:r>
      <w:r w:rsidRPr="00C544AE">
        <w:rPr>
          <w:rFonts w:eastAsia="MS Mincho"/>
          <w:strike/>
          <w:highlight w:val="yellow"/>
        </w:rPr>
        <w:t>under plant breeder’s right law, trademark law or any other intellectual property legislation.</w:t>
      </w:r>
      <w:r w:rsidR="00AF4AF9" w:rsidRPr="00360C86">
        <w:rPr>
          <w:rStyle w:val="EndnoteReference"/>
          <w:sz w:val="18"/>
        </w:rPr>
        <w:endnoteReference w:id="24"/>
      </w:r>
      <w:r w:rsidR="00360C86" w:rsidRPr="00360C86">
        <w:rPr>
          <w:rFonts w:eastAsia="MS Mincho"/>
        </w:rPr>
        <w:t xml:space="preserve"> </w:t>
      </w:r>
      <w:r w:rsidR="00EA4900" w:rsidRPr="00407B23">
        <w:t>It is the responsibility of the title holder of a prior right to assert his rights through the available objection or court procedures.  However, authorities are encouraged to make prior searches in relevant publications (e.g. official gazettes) and databases (e.g. </w:t>
      </w:r>
      <w:r w:rsidR="00EA4900" w:rsidRPr="00815B9D">
        <w:rPr>
          <w:color w:val="000000"/>
        </w:rPr>
        <w:t>UPOV-ROM)</w:t>
      </w:r>
      <w:r w:rsidR="00EA4900" w:rsidRPr="00407B23">
        <w:t xml:space="preserve"> to identify prior rights for variety denominations.  They may also make searches in other registers, such as trademark registers, before accepting a variety denomination.</w:t>
      </w:r>
    </w:p>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4953AB" w:rsidRDefault="00EA4900" w:rsidP="00E27D83">
            <w:pPr>
              <w:rPr>
                <w:sz w:val="18"/>
                <w:szCs w:val="18"/>
              </w:rPr>
            </w:pPr>
          </w:p>
          <w:p w:rsidR="00EA4900" w:rsidRDefault="00EA4900" w:rsidP="00E27D83">
            <w:pPr>
              <w:rPr>
                <w:color w:val="000000"/>
                <w:sz w:val="18"/>
                <w:szCs w:val="18"/>
                <w:u w:val="single"/>
              </w:rPr>
            </w:pPr>
            <w:r>
              <w:rPr>
                <w:color w:val="000000"/>
                <w:sz w:val="18"/>
                <w:szCs w:val="18"/>
                <w:u w:val="single"/>
              </w:rPr>
              <w:t>Proposal by CAJ</w:t>
            </w:r>
            <w:r w:rsidRPr="005F5B46">
              <w:rPr>
                <w:color w:val="000000"/>
                <w:sz w:val="18"/>
                <w:szCs w:val="18"/>
                <w:u w:val="single"/>
              </w:rPr>
              <w:t>-AG</w:t>
            </w:r>
            <w:r w:rsidR="008A5DEF" w:rsidRPr="00856D87">
              <w:rPr>
                <w:color w:val="000000"/>
                <w:sz w:val="18"/>
                <w:szCs w:val="18"/>
              </w:rPr>
              <w:t xml:space="preserve"> </w:t>
            </w:r>
            <w:r w:rsidR="008A5DEF">
              <w:rPr>
                <w:rStyle w:val="EndnoteReference"/>
                <w:color w:val="000000"/>
                <w:sz w:val="18"/>
                <w:szCs w:val="18"/>
              </w:rPr>
              <w:endnoteReference w:id="25"/>
            </w:r>
          </w:p>
          <w:p w:rsidR="00EA4900" w:rsidRDefault="00EA4900" w:rsidP="00E27D83">
            <w:pPr>
              <w:rPr>
                <w:color w:val="000000"/>
                <w:sz w:val="18"/>
                <w:szCs w:val="18"/>
                <w:u w:val="single"/>
              </w:rPr>
            </w:pPr>
          </w:p>
          <w:p w:rsidR="00EA4900" w:rsidRPr="00BA5EEC" w:rsidRDefault="00EA4900" w:rsidP="00E27D83">
            <w:pPr>
              <w:rPr>
                <w:snapToGrid w:val="0"/>
                <w:sz w:val="18"/>
                <w:szCs w:val="18"/>
              </w:rPr>
            </w:pPr>
            <w:r w:rsidRPr="00BA5EEC">
              <w:rPr>
                <w:snapToGrid w:val="0"/>
                <w:sz w:val="18"/>
                <w:szCs w:val="18"/>
              </w:rPr>
              <w:t>To modify 4(a) as follows:</w:t>
            </w:r>
          </w:p>
          <w:p w:rsidR="00EA4900" w:rsidRPr="00BA5EEC" w:rsidRDefault="00EA4900" w:rsidP="00E27D83">
            <w:pPr>
              <w:rPr>
                <w:snapToGrid w:val="0"/>
                <w:sz w:val="18"/>
                <w:szCs w:val="18"/>
              </w:rPr>
            </w:pPr>
          </w:p>
          <w:p w:rsidR="00EA4900" w:rsidRDefault="00EA4900" w:rsidP="00E27D83">
            <w:pPr>
              <w:rPr>
                <w:sz w:val="18"/>
                <w:szCs w:val="18"/>
              </w:rPr>
            </w:pPr>
            <w:r w:rsidRPr="00BA5EEC">
              <w:rPr>
                <w:sz w:val="18"/>
                <w:szCs w:val="18"/>
              </w:rPr>
              <w:t>“(a)</w:t>
            </w:r>
            <w:r w:rsidRPr="00BA5EEC">
              <w:rPr>
                <w:sz w:val="18"/>
                <w:szCs w:val="18"/>
              </w:rPr>
              <w:tab/>
              <w:t xml:space="preserve">An authority should not accept a variety denomination if </w:t>
            </w:r>
            <w:r w:rsidRPr="00BA5EEC">
              <w:rPr>
                <w:strike/>
                <w:sz w:val="18"/>
                <w:szCs w:val="18"/>
              </w:rPr>
              <w:t>a</w:t>
            </w:r>
            <w:r w:rsidRPr="00BA5EEC">
              <w:rPr>
                <w:sz w:val="18"/>
                <w:szCs w:val="18"/>
              </w:rPr>
              <w:t xml:space="preserve"> </w:t>
            </w:r>
            <w:r w:rsidRPr="00BA5EEC">
              <w:rPr>
                <w:sz w:val="18"/>
                <w:szCs w:val="18"/>
                <w:u w:val="single"/>
              </w:rPr>
              <w:t>there is an existing</w:t>
            </w:r>
            <w:r w:rsidRPr="00BA5EEC">
              <w:rPr>
                <w:sz w:val="18"/>
                <w:szCs w:val="18"/>
              </w:rPr>
              <w:t xml:space="preserve"> prior right, the exercise of which may prevent the use of the proposed denomination</w:t>
            </w:r>
            <w:r w:rsidRPr="00BA5EEC">
              <w:rPr>
                <w:strike/>
                <w:sz w:val="18"/>
                <w:szCs w:val="18"/>
              </w:rPr>
              <w:t>, has already been granted to a third party</w:t>
            </w:r>
            <w:r w:rsidRPr="00BA5EEC">
              <w:rPr>
                <w:sz w:val="18"/>
                <w:szCs w:val="18"/>
              </w:rPr>
              <w:t xml:space="preserve"> </w:t>
            </w:r>
            <w:r w:rsidRPr="00BA5EEC">
              <w:rPr>
                <w:strike/>
                <w:sz w:val="18"/>
                <w:szCs w:val="18"/>
              </w:rPr>
              <w:t>under plant breeder’s right law, trademark law or any other intellectual property legislation.</w:t>
            </w:r>
            <w:r w:rsidRPr="00BA5EEC">
              <w:rPr>
                <w:sz w:val="18"/>
                <w:szCs w:val="18"/>
              </w:rPr>
              <w:t xml:space="preserve"> </w:t>
            </w:r>
            <w:r>
              <w:rPr>
                <w:sz w:val="18"/>
                <w:szCs w:val="18"/>
              </w:rPr>
              <w:t xml:space="preserve"> </w:t>
            </w:r>
            <w:r w:rsidRPr="00BA5EEC">
              <w:rPr>
                <w:sz w:val="18"/>
                <w:szCs w:val="18"/>
              </w:rPr>
              <w:t xml:space="preserve">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17" w:history="1">
              <w:r w:rsidRPr="00BA5EEC">
                <w:rPr>
                  <w:rStyle w:val="Hyperlink"/>
                  <w:sz w:val="18"/>
                  <w:szCs w:val="18"/>
                </w:rPr>
                <w:t>http://www.upov.int/pluto/en/</w:t>
              </w:r>
            </w:hyperlink>
            <w:r w:rsidRPr="00BA5EEC">
              <w:rPr>
                <w:sz w:val="18"/>
                <w:szCs w:val="18"/>
              </w:rPr>
              <w:t>) to identify prior rights for variety denominations.  They may also make searches in other registers, such as trademark registers, before accepting a variety denomination.”</w:t>
            </w:r>
          </w:p>
          <w:p w:rsidR="00EA4900" w:rsidRPr="004953AB" w:rsidRDefault="00EA4900" w:rsidP="00E27D83">
            <w:pPr>
              <w:rPr>
                <w:sz w:val="18"/>
                <w:szCs w:val="18"/>
              </w:rPr>
            </w:pPr>
          </w:p>
        </w:tc>
      </w:tr>
    </w:tbl>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05301B" w:rsidRDefault="00EA4900" w:rsidP="00E27D83">
            <w:pPr>
              <w:rPr>
                <w:sz w:val="18"/>
                <w:szCs w:val="18"/>
              </w:rPr>
            </w:pPr>
          </w:p>
          <w:p w:rsidR="00EA4900" w:rsidRPr="0005301B" w:rsidRDefault="00EA4900" w:rsidP="00E27D83">
            <w:pPr>
              <w:rPr>
                <w:color w:val="000000"/>
                <w:sz w:val="18"/>
                <w:szCs w:val="18"/>
                <w:u w:val="single"/>
              </w:rPr>
            </w:pPr>
            <w:r w:rsidRPr="0005301B">
              <w:rPr>
                <w:color w:val="000000"/>
                <w:sz w:val="18"/>
                <w:szCs w:val="18"/>
                <w:u w:val="single"/>
              </w:rPr>
              <w:t xml:space="preserve">Proposal by </w:t>
            </w:r>
            <w:r>
              <w:rPr>
                <w:color w:val="000000"/>
                <w:sz w:val="18"/>
                <w:szCs w:val="18"/>
                <w:u w:val="single"/>
              </w:rPr>
              <w:t xml:space="preserve">the </w:t>
            </w:r>
            <w:r w:rsidRPr="0005301B">
              <w:rPr>
                <w:color w:val="000000"/>
                <w:sz w:val="18"/>
                <w:szCs w:val="18"/>
                <w:u w:val="single"/>
              </w:rPr>
              <w:t>European Union (CPVO)</w:t>
            </w:r>
            <w:r w:rsidR="00856D87">
              <w:rPr>
                <w:sz w:val="18"/>
                <w:szCs w:val="18"/>
                <w:vertAlign w:val="superscript"/>
              </w:rPr>
              <w:t xml:space="preserve"> </w:t>
            </w:r>
            <w:r w:rsidR="00856D87">
              <w:rPr>
                <w:sz w:val="18"/>
                <w:szCs w:val="18"/>
                <w:vertAlign w:val="superscript"/>
              </w:rPr>
              <w:fldChar w:fldCharType="begin"/>
            </w:r>
            <w:r w:rsidR="00856D87">
              <w:rPr>
                <w:sz w:val="18"/>
                <w:szCs w:val="18"/>
                <w:vertAlign w:val="superscript"/>
              </w:rPr>
              <w:instrText xml:space="preserve"> NOTEREF _Ref526437916 \f \h </w:instrText>
            </w:r>
            <w:r w:rsidR="00856D87">
              <w:rPr>
                <w:sz w:val="18"/>
                <w:szCs w:val="18"/>
                <w:vertAlign w:val="superscript"/>
              </w:rPr>
            </w:r>
            <w:r w:rsidR="00856D87">
              <w:rPr>
                <w:sz w:val="18"/>
                <w:szCs w:val="18"/>
                <w:vertAlign w:val="superscript"/>
              </w:rPr>
              <w:fldChar w:fldCharType="separate"/>
            </w:r>
            <w:r w:rsidR="008D27BA" w:rsidRPr="008D27BA">
              <w:rPr>
                <w:rStyle w:val="EndnoteReference"/>
              </w:rPr>
              <w:t>d</w:t>
            </w:r>
            <w:r w:rsidR="00856D87">
              <w:rPr>
                <w:sz w:val="18"/>
                <w:szCs w:val="18"/>
                <w:vertAlign w:val="superscript"/>
              </w:rPr>
              <w:fldChar w:fldCharType="end"/>
            </w:r>
          </w:p>
          <w:p w:rsidR="00EA4900" w:rsidRPr="0005301B" w:rsidRDefault="00EA4900" w:rsidP="00E27D83">
            <w:pPr>
              <w:rPr>
                <w:color w:val="000000"/>
                <w:sz w:val="18"/>
                <w:szCs w:val="18"/>
                <w:u w:val="single"/>
              </w:rPr>
            </w:pPr>
          </w:p>
          <w:p w:rsidR="00EA4900" w:rsidRPr="0005301B" w:rsidRDefault="00EA4900" w:rsidP="00E27D83">
            <w:pPr>
              <w:rPr>
                <w:sz w:val="18"/>
                <w:szCs w:val="18"/>
              </w:rPr>
            </w:pPr>
            <w:r>
              <w:rPr>
                <w:sz w:val="18"/>
                <w:szCs w:val="18"/>
              </w:rPr>
              <w:t>It is stated that an authority should not accept a variety denomination if it exists already a prior right.  In the opinion of the CPVO this paragraph should allow also other approaches, in the case of the CPVO, the office doesn’t refuse ex officio a proposal for VD in case of existence of an identical prior right (trade mark).  In such cases the CPVO informs the applicant about a situation of identity with a prior right (trade mark) and refuses the proposal only in case of formal objection by the owner of the prior right (trade mark).</w:t>
            </w:r>
          </w:p>
          <w:p w:rsidR="00EA4900" w:rsidRPr="0005301B" w:rsidRDefault="00EA4900" w:rsidP="00E27D83">
            <w:pPr>
              <w:rPr>
                <w:sz w:val="18"/>
                <w:szCs w:val="18"/>
              </w:rPr>
            </w:pPr>
          </w:p>
        </w:tc>
      </w:tr>
    </w:tbl>
    <w:p w:rsidR="00EA4900" w:rsidRPr="00407B23"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5D7C20" w:rsidRDefault="00EA4900" w:rsidP="00E27D83">
            <w:pPr>
              <w:rPr>
                <w:sz w:val="18"/>
                <w:szCs w:val="18"/>
              </w:rPr>
            </w:pPr>
          </w:p>
          <w:p w:rsidR="00EA4900" w:rsidRPr="00C04C22" w:rsidRDefault="00EA4900" w:rsidP="00E27D83">
            <w:pPr>
              <w:rPr>
                <w:sz w:val="18"/>
                <w:szCs w:val="18"/>
                <w:lang w:eastAsia="ja-JP"/>
              </w:rPr>
            </w:pPr>
            <w:r w:rsidRPr="00C04C22">
              <w:rPr>
                <w:sz w:val="18"/>
                <w:szCs w:val="18"/>
                <w:lang w:eastAsia="ja-JP"/>
              </w:rPr>
              <w:t>UPOV Circular E-16/088 of April 13, 2016</w:t>
            </w:r>
            <w:r w:rsidRPr="00C04C22">
              <w:rPr>
                <w:rFonts w:hint="eastAsia"/>
                <w:sz w:val="18"/>
                <w:szCs w:val="18"/>
                <w:lang w:eastAsia="ja-JP"/>
              </w:rPr>
              <w:t xml:space="preserve">, </w:t>
            </w:r>
            <w:r w:rsidRPr="00C04C22">
              <w:rPr>
                <w:sz w:val="18"/>
                <w:szCs w:val="18"/>
                <w:lang w:eastAsia="ja-JP"/>
              </w:rPr>
              <w:t>invite</w:t>
            </w:r>
            <w:r w:rsidRPr="00C04C22">
              <w:rPr>
                <w:rFonts w:hint="eastAsia"/>
                <w:sz w:val="18"/>
                <w:szCs w:val="18"/>
                <w:lang w:eastAsia="ja-JP"/>
              </w:rPr>
              <w:t>d</w:t>
            </w:r>
            <w:r w:rsidRPr="00C04C22">
              <w:rPr>
                <w:sz w:val="18"/>
                <w:szCs w:val="18"/>
                <w:lang w:eastAsia="ja-JP"/>
              </w:rPr>
              <w:t xml:space="preserve"> members of the WG</w:t>
            </w:r>
            <w:r w:rsidRPr="00C04C22">
              <w:rPr>
                <w:rFonts w:hint="eastAsia"/>
                <w:sz w:val="18"/>
                <w:szCs w:val="18"/>
                <w:lang w:eastAsia="ja-JP"/>
              </w:rPr>
              <w:t>-</w:t>
            </w:r>
            <w:r w:rsidRPr="00C04C22">
              <w:rPr>
                <w:sz w:val="18"/>
                <w:szCs w:val="18"/>
                <w:lang w:eastAsia="ja-JP"/>
              </w:rPr>
              <w:t>DEN to submit comments/proposals on Section 4(a), in relation to their practices concerning searches and measures concerning prior rights</w:t>
            </w:r>
            <w:r w:rsidRPr="00C04C22">
              <w:rPr>
                <w:rFonts w:hint="eastAsia"/>
                <w:sz w:val="18"/>
                <w:szCs w:val="18"/>
                <w:lang w:eastAsia="ja-JP"/>
              </w:rPr>
              <w:t>, and received proposals as follows</w:t>
            </w:r>
            <w:r w:rsidRPr="00C04C22">
              <w:rPr>
                <w:sz w:val="18"/>
                <w:szCs w:val="18"/>
                <w:lang w:eastAsia="ja-JP"/>
              </w:rPr>
              <w:t>:</w:t>
            </w:r>
          </w:p>
          <w:p w:rsidR="00EA4900" w:rsidRPr="00C04C22" w:rsidRDefault="00EA4900" w:rsidP="00E27D83">
            <w:pPr>
              <w:spacing w:line="360" w:lineRule="auto"/>
              <w:rPr>
                <w:sz w:val="18"/>
                <w:szCs w:val="18"/>
                <w:u w:val="single"/>
                <w:lang w:eastAsia="ja-JP"/>
              </w:rPr>
            </w:pPr>
          </w:p>
          <w:p w:rsidR="00EA4900" w:rsidRPr="00C04C22" w:rsidRDefault="00EA4900" w:rsidP="00E27D83">
            <w:pPr>
              <w:rPr>
                <w:sz w:val="18"/>
                <w:szCs w:val="18"/>
                <w:u w:val="single"/>
                <w:lang w:eastAsia="ja-JP"/>
              </w:rPr>
            </w:pPr>
            <w:r w:rsidRPr="00C04C22">
              <w:rPr>
                <w:sz w:val="18"/>
                <w:szCs w:val="18"/>
                <w:u w:val="single"/>
              </w:rPr>
              <w:t>Proposal by France</w:t>
            </w:r>
          </w:p>
          <w:p w:rsidR="00EA4900" w:rsidRPr="00C04C22" w:rsidRDefault="00EA4900" w:rsidP="00E27D83">
            <w:pPr>
              <w:rPr>
                <w:sz w:val="18"/>
                <w:szCs w:val="18"/>
              </w:rPr>
            </w:pPr>
          </w:p>
          <w:p w:rsidR="00EA4900" w:rsidRPr="00C04C22" w:rsidRDefault="00EA4900" w:rsidP="00E27D83">
            <w:pPr>
              <w:rPr>
                <w:sz w:val="18"/>
                <w:szCs w:val="18"/>
              </w:rPr>
            </w:pPr>
            <w:r w:rsidRPr="00C04C22">
              <w:rPr>
                <w:sz w:val="18"/>
                <w:szCs w:val="18"/>
              </w:rPr>
              <w:t>National Office for Plant Breeder’s Rights (INOV) applies the following approach: assuming that a prior right of a third party may prevent users or PBR holder to use the denomination, we may not accept denomination identical to a trade mark on common products.  A limited waiver may lead us to accept this denomination. For national listing purposes, a slightly different approach is followed, in line with Community Plant Variety Office’s (CPVO) one:  in case of denomination proposal identical to a third person trade mark, applicant is informed of risk of confusion and likelihood of infringement, and therefore invited to take a conclusion whether to go on with this proposal or to propose another denomination.</w:t>
            </w:r>
          </w:p>
          <w:p w:rsidR="00EA4900" w:rsidRPr="00C04C22" w:rsidRDefault="00EA4900" w:rsidP="00E27D83">
            <w:pPr>
              <w:spacing w:line="360" w:lineRule="auto"/>
              <w:rPr>
                <w:sz w:val="18"/>
                <w:szCs w:val="18"/>
                <w:lang w:eastAsia="ja-JP"/>
              </w:rPr>
            </w:pPr>
          </w:p>
          <w:p w:rsidR="00EA4900" w:rsidRPr="00C04C22" w:rsidRDefault="00EA4900" w:rsidP="00E27D83">
            <w:pPr>
              <w:rPr>
                <w:sz w:val="18"/>
                <w:szCs w:val="18"/>
                <w:u w:val="single"/>
                <w:lang w:eastAsia="ja-JP"/>
              </w:rPr>
            </w:pPr>
            <w:r w:rsidRPr="00C04C22">
              <w:rPr>
                <w:sz w:val="18"/>
                <w:szCs w:val="18"/>
                <w:u w:val="single"/>
              </w:rPr>
              <w:t>Proposal by the Netherlands</w:t>
            </w:r>
          </w:p>
          <w:p w:rsidR="00EA4900" w:rsidRPr="00C04C22" w:rsidRDefault="00EA4900" w:rsidP="00E27D83">
            <w:pPr>
              <w:rPr>
                <w:sz w:val="18"/>
                <w:szCs w:val="18"/>
              </w:rPr>
            </w:pPr>
          </w:p>
          <w:p w:rsidR="00EA4900" w:rsidRPr="00C04C22" w:rsidRDefault="00EA4900" w:rsidP="00E27D83">
            <w:pPr>
              <w:rPr>
                <w:sz w:val="18"/>
                <w:szCs w:val="18"/>
              </w:rPr>
            </w:pPr>
            <w:r w:rsidRPr="00C04C22">
              <w:rPr>
                <w:sz w:val="18"/>
                <w:szCs w:val="18"/>
              </w:rPr>
              <w:t>It often happens that a new variety denomination already registered by a trademark office in in class 31, but the trademark is not in use for the crop concerned. E.g. ‘Grand Bleu’ is a registered trademark since 1999 (WIPO 719128).  In practice it is in use for Caryopteris ×clandonensis ‘Inoveris’. When a Hydrangea breeder wants to use it as a variety denomination for Hydrangea macrophylla, he should be able to use it when the trademark owner has no objection.</w:t>
            </w:r>
          </w:p>
          <w:p w:rsidR="00EA4900" w:rsidRPr="00C04C22" w:rsidRDefault="00EA4900" w:rsidP="00E27D83">
            <w:pPr>
              <w:spacing w:line="360" w:lineRule="auto"/>
              <w:rPr>
                <w:sz w:val="18"/>
                <w:szCs w:val="18"/>
                <w:lang w:eastAsia="ja-JP"/>
              </w:rPr>
            </w:pPr>
          </w:p>
          <w:p w:rsidR="00EA4900" w:rsidRPr="00C04C22" w:rsidRDefault="00EA4900" w:rsidP="00E27D83">
            <w:pPr>
              <w:rPr>
                <w:sz w:val="18"/>
                <w:szCs w:val="18"/>
                <w:u w:val="single"/>
                <w:lang w:eastAsia="ja-JP"/>
              </w:rPr>
            </w:pPr>
            <w:r w:rsidRPr="00C04C22">
              <w:rPr>
                <w:sz w:val="18"/>
                <w:szCs w:val="18"/>
                <w:u w:val="single"/>
              </w:rPr>
              <w:t>Proposal by New Zealand</w:t>
            </w:r>
          </w:p>
          <w:p w:rsidR="00EA4900" w:rsidRPr="00C04C22" w:rsidRDefault="00EA4900" w:rsidP="00E27D83">
            <w:pPr>
              <w:rPr>
                <w:sz w:val="18"/>
                <w:szCs w:val="18"/>
              </w:rPr>
            </w:pPr>
          </w:p>
          <w:p w:rsidR="00EA4900" w:rsidRPr="00504D1D" w:rsidRDefault="00EA4900" w:rsidP="00E27D83">
            <w:pPr>
              <w:rPr>
                <w:sz w:val="18"/>
                <w:szCs w:val="18"/>
              </w:rPr>
            </w:pPr>
            <w:r w:rsidRPr="00C04C22">
              <w:rPr>
                <w:sz w:val="18"/>
                <w:szCs w:val="18"/>
              </w:rPr>
              <w:t>It is routine to search the NZ trade mark register Class 31 as part of the denomination examination.  The search is made using a proprietary similarity search tool called ACSEPTO. If there is a conflict between a mark and the proposed denomination, the applicant is notified and given time to decide their position.  When the Class 31 mark is in a goods or service category that differs from denomination usage, the denomination may be accepted.  For example, the denomination of a milling wheat variety may conflict with a Class 31 mark used to sell live animals or animal food. The denomination may be accepted because the two are unlikely to cross over in the market place.  It is also advisable for the denomination proposer to communicate with the mark holder and if the applicant advises that the mark holder has no objection to the usage of the denomination, the proposed denomination may also be accepted.</w:t>
            </w:r>
          </w:p>
          <w:p w:rsidR="00EA4900" w:rsidRPr="001D48B5" w:rsidRDefault="00EA4900" w:rsidP="00E27D83">
            <w:pPr>
              <w:rPr>
                <w:lang w:eastAsia="ja-JP"/>
              </w:rPr>
            </w:pPr>
          </w:p>
        </w:tc>
      </w:tr>
    </w:tbl>
    <w:p w:rsidR="00EA4900" w:rsidRDefault="00EA4900" w:rsidP="00EA4900"/>
    <w:p w:rsidR="00EA4900" w:rsidRPr="00407B23" w:rsidRDefault="00EA4900" w:rsidP="00EA4900">
      <w:pPr>
        <w:ind w:firstLine="567"/>
      </w:pPr>
      <w:r w:rsidRPr="00407B23">
        <w:t>(b)</w:t>
      </w:r>
      <w:r w:rsidRPr="00407B23">
        <w:tab/>
        <w:t>The notion of prior rights should include those rights which are in force, in the territory concerned, at the time of publication of the proposed denomination.  For rights whose duration starts at the filing date of the application, the filing dates are those relevant for prior right considerations, provided those applications lead to the granting of rights.</w:t>
      </w:r>
    </w:p>
    <w:p w:rsidR="00EA4900" w:rsidRPr="00407B23" w:rsidRDefault="00EA4900" w:rsidP="00EA4900">
      <w:pPr>
        <w:ind w:firstLine="567"/>
      </w:pPr>
    </w:p>
    <w:p w:rsidR="00EA4900" w:rsidRPr="00407B23" w:rsidRDefault="00EA4900" w:rsidP="00EA4900">
      <w:pPr>
        <w:ind w:firstLine="567"/>
      </w:pPr>
      <w:r w:rsidRPr="00407B23">
        <w:t>(c)</w:t>
      </w:r>
      <w:r w:rsidRPr="00407B23">
        <w:tab/>
        <w:t>In the case of two conflicting proposed variety denominations (see paragraph (2)) in the same or different territories, the one with an earlier publication date should be retained and the relevant authority should request the breeder, whose proposed denomination was or might have been published at a later date, to submit another denomination.</w:t>
      </w:r>
    </w:p>
    <w:p w:rsidR="00EA4900" w:rsidRPr="00407B23" w:rsidRDefault="00EA4900" w:rsidP="00EA4900">
      <w:pPr>
        <w:ind w:firstLine="567"/>
      </w:pPr>
    </w:p>
    <w:p w:rsidR="00EA4900" w:rsidRPr="00407B23" w:rsidRDefault="00EA4900" w:rsidP="00EA4900">
      <w:pPr>
        <w:ind w:firstLine="567"/>
      </w:pPr>
      <w:r w:rsidRPr="00407B23">
        <w:t>(d)</w:t>
      </w:r>
      <w:r w:rsidRPr="00407B23">
        <w:tab/>
        <w:t>If, after the granting of a breeder’s right, it is discovered that there was a prior right concerning the denomination which would have resulted in the rejection of the denomination, the denomination should be cancelled and the breeder should propose another suitable denomination for the variety.  Article 22(1)</w:t>
      </w:r>
      <w:r w:rsidRPr="00407B23">
        <w:rPr>
          <w:i/>
        </w:rPr>
        <w:t>(b)</w:t>
      </w:r>
      <w:r w:rsidRPr="00407B23">
        <w:t xml:space="preserve">(iii) of the 1991 Act states that, if the breeder does not propose another suitable denomination, the authority may cancel the breeder’s right.  </w:t>
      </w:r>
    </w:p>
    <w:p w:rsidR="00EA4900" w:rsidRPr="00407B23" w:rsidRDefault="00EA4900" w:rsidP="00EA4900"/>
    <w:p w:rsidR="00EA4900" w:rsidRPr="00407B23" w:rsidRDefault="00EA4900" w:rsidP="00EA4900">
      <w:pPr>
        <w:ind w:firstLine="567"/>
      </w:pPr>
      <w:r w:rsidRPr="00407B23">
        <w:t>(e)</w:t>
      </w:r>
      <w:r w:rsidRPr="00407B23">
        <w:tab/>
        <w:t>The following items provide some guidance on what might constitute a “prior right”, the exercise of which may prevent the use of the proposed denomination:</w:t>
      </w:r>
    </w:p>
    <w:p w:rsidR="00EA4900" w:rsidRPr="00407B23" w:rsidRDefault="00EA4900" w:rsidP="00EA4900">
      <w:pPr>
        <w:ind w:left="567" w:firstLine="567"/>
      </w:pPr>
    </w:p>
    <w:p w:rsidR="00EA4900" w:rsidRPr="00407B23" w:rsidRDefault="00EA4900" w:rsidP="00EA4900">
      <w:pPr>
        <w:tabs>
          <w:tab w:val="right" w:pos="1134"/>
          <w:tab w:val="left" w:pos="1418"/>
        </w:tabs>
      </w:pPr>
      <w:r w:rsidRPr="00407B23">
        <w:t xml:space="preserve">  </w:t>
      </w:r>
      <w:r w:rsidRPr="00407B23">
        <w:tab/>
        <w:t>(i)</w:t>
      </w:r>
      <w:r w:rsidRPr="00407B23">
        <w:tab/>
        <w:t>A trademark may be considered as a prior right when the proposed denomination is identical to a trademark registered for an identical good.  For all practical purposes, such identity of goods is most likely to occur in respect of trademarks registered for goods under Class 31 of the Nice Classification</w:t>
      </w:r>
      <w:r w:rsidRPr="00407B23">
        <w:rPr>
          <w:rStyle w:val="FootnoteReference"/>
        </w:rPr>
        <w:footnoteReference w:id="6"/>
      </w:r>
      <w:r w:rsidRPr="00407B23">
        <w:t xml:space="preserve">, although it is recalled that, in certain countries, trademarks may also be protected on the basis of use and without registration.  If the trademark and proposed denomination are not identical, but similar, the trademark, in some cases, may constitute a prior right, the exercise of which may prevent the use of the proposed denomination, and the breeder may be required to propose another denomination.  If, in spite of the similarity between the proposed denomination and the trademark, the exercise of the latter will not prevent the use of the proposed </w:t>
      </w:r>
      <w:r w:rsidRPr="00407B23">
        <w:lastRenderedPageBreak/>
        <w:t xml:space="preserve">denomination, the denomination may be accepted;  rejections of denominations by the authority on the basis of similarity to a trademark will, in general, result from oppositions of trademark holders, observations of authorities responsible for trademark registration, or </w:t>
      </w:r>
      <w:r w:rsidRPr="00C04C22">
        <w:t xml:space="preserve">judgments from a competent court.  In cases of mere similarity or small likelihood of </w:t>
      </w:r>
      <w:r w:rsidRPr="00C04C22">
        <w:rPr>
          <w:strike/>
        </w:rPr>
        <w:t>association</w:t>
      </w:r>
      <w:r w:rsidRPr="00C04C22">
        <w:t xml:space="preserve"> </w:t>
      </w:r>
      <w:r w:rsidRPr="00C04C22">
        <w:rPr>
          <w:rFonts w:hint="eastAsia"/>
          <w:u w:val="single"/>
          <w:lang w:eastAsia="ja-JP"/>
        </w:rPr>
        <w:t>confusion</w:t>
      </w:r>
      <w:r w:rsidRPr="00C04C22">
        <w:rPr>
          <w:rFonts w:hint="eastAsia"/>
          <w:lang w:eastAsia="ja-JP"/>
        </w:rPr>
        <w:t xml:space="preserve"> </w:t>
      </w:r>
      <w:r w:rsidRPr="00C04C22">
        <w:t>by</w:t>
      </w:r>
      <w:r w:rsidRPr="00407B23">
        <w:t xml:space="preserve"> users, waivers granted to breeders by prior trademark right holde</w:t>
      </w:r>
      <w:r>
        <w:t>rs could be a suitable solution;</w:t>
      </w:r>
    </w:p>
    <w:p w:rsidR="00EA4900" w:rsidRPr="00407B23" w:rsidRDefault="00EA4900" w:rsidP="00EA4900"/>
    <w:p w:rsidR="00EA4900" w:rsidRPr="00407B23" w:rsidRDefault="00EA4900" w:rsidP="00EA4900">
      <w:pPr>
        <w:tabs>
          <w:tab w:val="right" w:pos="1134"/>
          <w:tab w:val="left" w:pos="1418"/>
        </w:tabs>
      </w:pPr>
      <w:r w:rsidRPr="00407B23">
        <w:tab/>
        <w:t>(ii)</w:t>
      </w:r>
      <w:r w:rsidRPr="00407B23">
        <w:tab/>
        <w:t>If the proposed denomination is identical with or similar to a well-known mark, it may be unsuitable, even if the well-known mark applies to goods other than those ap</w:t>
      </w:r>
      <w:r>
        <w:t>pearing in Class 31 of the Nice </w:t>
      </w:r>
      <w:r w:rsidRPr="00407B23">
        <w:t>Classification</w:t>
      </w:r>
      <w:r>
        <w:t>;</w:t>
      </w:r>
      <w:r w:rsidRPr="00407B23">
        <w:rPr>
          <w:rStyle w:val="FootnoteReference"/>
        </w:rPr>
        <w:footnoteReference w:id="7"/>
      </w:r>
    </w:p>
    <w:p w:rsidR="00EA4900" w:rsidRPr="00407B23" w:rsidRDefault="00EA4900" w:rsidP="00EA4900">
      <w:pPr>
        <w:tabs>
          <w:tab w:val="right" w:pos="1134"/>
        </w:tabs>
      </w:pPr>
    </w:p>
    <w:p w:rsidR="00EA4900" w:rsidRPr="00407B23" w:rsidRDefault="00EA4900" w:rsidP="00EA4900">
      <w:pPr>
        <w:tabs>
          <w:tab w:val="right" w:pos="1134"/>
          <w:tab w:val="left" w:pos="1418"/>
        </w:tabs>
      </w:pPr>
      <w:r w:rsidRPr="00407B23">
        <w:tab/>
        <w:t>(iii)</w:t>
      </w:r>
      <w:r w:rsidRPr="00407B23">
        <w:tab/>
        <w:t>Prior rights might also concern trade names</w:t>
      </w:r>
      <w:bookmarkStart w:id="13" w:name="_Ref526436923"/>
      <w:r w:rsidRPr="00407B23">
        <w:rPr>
          <w:rStyle w:val="FootnoteReference"/>
        </w:rPr>
        <w:footnoteReference w:id="8"/>
      </w:r>
      <w:bookmarkEnd w:id="13"/>
      <w:r w:rsidRPr="00407B23">
        <w:t xml:space="preserve"> and names of famous persons;</w:t>
      </w:r>
    </w:p>
    <w:p w:rsidR="00EA4900" w:rsidRPr="00407B23" w:rsidRDefault="00EA4900" w:rsidP="00EA4900">
      <w:pPr>
        <w:tabs>
          <w:tab w:val="right" w:pos="1134"/>
        </w:tabs>
      </w:pPr>
    </w:p>
    <w:p w:rsidR="00EA4900" w:rsidRPr="00407B23" w:rsidRDefault="00EA4900" w:rsidP="00EA4900">
      <w:pPr>
        <w:tabs>
          <w:tab w:val="right" w:pos="1134"/>
          <w:tab w:val="left" w:pos="1418"/>
        </w:tabs>
      </w:pPr>
      <w:r w:rsidRPr="00407B23">
        <w:tab/>
        <w:t xml:space="preserve">(iv) </w:t>
      </w:r>
      <w:r w:rsidRPr="00407B23">
        <w:tab/>
        <w:t>Names and abbreviations of intergovernmental organizations, which are excluded by international conventions from use as trademarks or parts of trademarks, are not suitable as variety denominations</w:t>
      </w:r>
      <w:r>
        <w:t>;</w:t>
      </w:r>
      <w:r w:rsidRPr="00407B23">
        <w:rPr>
          <w:rStyle w:val="FootnoteReference"/>
        </w:rPr>
        <w:footnoteReference w:id="9"/>
      </w:r>
    </w:p>
    <w:p w:rsidR="00EA4900" w:rsidRPr="00407B23" w:rsidRDefault="00EA4900" w:rsidP="00EA4900">
      <w:pPr>
        <w:ind w:firstLine="1134"/>
      </w:pPr>
    </w:p>
    <w:p w:rsidR="00EA4900" w:rsidRPr="00407B23" w:rsidRDefault="00EA4900" w:rsidP="00EA4900">
      <w:pPr>
        <w:tabs>
          <w:tab w:val="right" w:pos="1134"/>
          <w:tab w:val="left" w:pos="1418"/>
        </w:tabs>
      </w:pPr>
      <w:r w:rsidRPr="00407B23">
        <w:tab/>
        <w:t>(v)</w:t>
      </w:r>
      <w:r w:rsidRPr="00407B23">
        <w:tab/>
        <w:t>Prior rights concerning appellations of origin and geographical indications (e.g. “Scotch”) may exist under national legislation on grounds of common law or registration</w:t>
      </w:r>
      <w:r>
        <w:t>;</w:t>
      </w:r>
      <w:r w:rsidRPr="00407B23">
        <w:rPr>
          <w:rStyle w:val="FootnoteReference"/>
        </w:rPr>
        <w:footnoteReference w:id="10"/>
      </w:r>
    </w:p>
    <w:p w:rsidR="00EA4900" w:rsidRPr="00407B23" w:rsidRDefault="00EA4900" w:rsidP="00EA4900">
      <w:pPr>
        <w:tabs>
          <w:tab w:val="right" w:pos="1134"/>
        </w:tabs>
      </w:pPr>
    </w:p>
    <w:p w:rsidR="00EA4900" w:rsidRPr="00407B23" w:rsidRDefault="00EA4900" w:rsidP="00EA4900">
      <w:pPr>
        <w:tabs>
          <w:tab w:val="right" w:pos="1134"/>
          <w:tab w:val="left" w:pos="1418"/>
        </w:tabs>
      </w:pPr>
      <w:r w:rsidRPr="00407B23">
        <w:tab/>
        <w:t>(vi)</w:t>
      </w:r>
      <w:r w:rsidRPr="00407B23">
        <w:tab/>
        <w:t>In certain cases, prior rights in geographical names (e.g. names of cities or States) may exist;  however, there is no general rule on these cases and assessment should be based on the probatory material presented on a case-by-case basis.</w:t>
      </w:r>
    </w:p>
    <w:p w:rsidR="00EA4900" w:rsidRPr="00407B23" w:rsidRDefault="00EA4900" w:rsidP="00EA4900">
      <w:pPr>
        <w:jc w:val="center"/>
      </w:pPr>
    </w:p>
    <w:p w:rsidR="00EA4900" w:rsidRPr="00407B23" w:rsidRDefault="00EA4900" w:rsidP="00EA4900">
      <w:pPr>
        <w:jc w:val="center"/>
      </w:pPr>
    </w:p>
    <w:p w:rsidR="00EA4900" w:rsidRDefault="00EA4900" w:rsidP="00EA4900">
      <w:pPr>
        <w:jc w:val="left"/>
        <w:rPr>
          <w:b/>
        </w:rPr>
      </w:pPr>
      <w:r>
        <w:rPr>
          <w:b/>
        </w:rPr>
        <w:br w:type="page"/>
      </w:r>
    </w:p>
    <w:p w:rsidR="00EA4900" w:rsidRPr="00407B23" w:rsidRDefault="00EA4900" w:rsidP="00EA4900">
      <w:pPr>
        <w:keepNext/>
        <w:keepLines/>
        <w:jc w:val="center"/>
        <w:rPr>
          <w:b/>
        </w:rPr>
      </w:pPr>
      <w:r w:rsidRPr="00407B23">
        <w:rPr>
          <w:b/>
        </w:rPr>
        <w:lastRenderedPageBreak/>
        <w:t>Paragraph 5</w:t>
      </w:r>
    </w:p>
    <w:p w:rsidR="00EA4900" w:rsidRPr="00407B23" w:rsidRDefault="00EA4900" w:rsidP="00EA4900">
      <w:pPr>
        <w:keepNext/>
        <w:keepLines/>
        <w:ind w:firstLine="567"/>
      </w:pPr>
    </w:p>
    <w:p w:rsidR="00EA4900" w:rsidRPr="00407B23" w:rsidRDefault="00EA4900" w:rsidP="00EA4900">
      <w:pPr>
        <w:keepNext/>
        <w:ind w:firstLine="567"/>
        <w:rPr>
          <w:b/>
        </w:rPr>
      </w:pPr>
      <w:r w:rsidRPr="00407B23">
        <w:rPr>
          <w:b/>
        </w:rPr>
        <w:t>[</w:t>
      </w:r>
      <w:r w:rsidRPr="00407B23">
        <w:rPr>
          <w:b/>
          <w:i/>
        </w:rPr>
        <w:t>Same denomination in all members of the Union</w:t>
      </w:r>
      <w:r w:rsidRPr="00407B23">
        <w:rPr>
          <w:b/>
        </w:rPr>
        <w:t xml:space="preserve">]  A variety must be submitted to all members of the Union under the same denomination.  The authority of each member of the Union shall register the denomination so submitted, unless it considers the denomination unsuitable within its territory.  In the latter case, it shall require the breeder to submit another denomination. </w:t>
      </w:r>
    </w:p>
    <w:p w:rsidR="00EA4900" w:rsidRPr="00407B23" w:rsidRDefault="00EA4900" w:rsidP="00EA4900">
      <w:pPr>
        <w:keepNext/>
        <w:rPr>
          <w:i/>
        </w:rPr>
      </w:pPr>
    </w:p>
    <w:p w:rsidR="00EA4900" w:rsidRPr="00407B23" w:rsidRDefault="00EA4900" w:rsidP="00EA4900">
      <w:r w:rsidRPr="00407B23">
        <w:rPr>
          <w:i/>
        </w:rPr>
        <w:t>Explanatory Notes – Paragraph (5)</w:t>
      </w:r>
      <w:r w:rsidRPr="00407B23">
        <w:t xml:space="preserve"> </w:t>
      </w:r>
    </w:p>
    <w:p w:rsidR="00EA4900" w:rsidRPr="00407B23" w:rsidRDefault="00EA4900" w:rsidP="00EA4900"/>
    <w:p w:rsidR="00EA4900" w:rsidRPr="00407B23" w:rsidRDefault="00EA4900" w:rsidP="00EA4900">
      <w:r w:rsidRPr="00407B23">
        <w:t>5.1</w:t>
      </w:r>
      <w:r w:rsidRPr="00407B23">
        <w:tab/>
        <w:t xml:space="preserve">This provision reflects the importance of a single variety denomination for the effective operation of the UPOV system.  </w:t>
      </w:r>
    </w:p>
    <w:p w:rsidR="00EA4900" w:rsidRPr="00407B23" w:rsidRDefault="00EA4900" w:rsidP="00EA4900"/>
    <w:p w:rsidR="00EA4900" w:rsidRPr="00407B23" w:rsidRDefault="00EA4900" w:rsidP="00EA4900">
      <w:r w:rsidRPr="00407B23">
        <w:t>5.2</w:t>
      </w:r>
      <w:r w:rsidRPr="00407B23">
        <w:tab/>
      </w:r>
      <w:r w:rsidRPr="00407B23">
        <w:rPr>
          <w:i/>
        </w:rPr>
        <w:t>Paragraph</w:t>
      </w:r>
      <w:r w:rsidRPr="00407B23">
        <w:t> (5) provides clear directions both for breeders and authorities:</w:t>
      </w:r>
    </w:p>
    <w:p w:rsidR="00EA4900" w:rsidRPr="00407B23" w:rsidRDefault="00EA4900" w:rsidP="00EA4900"/>
    <w:p w:rsidR="00EA4900" w:rsidRPr="00407B23" w:rsidRDefault="00EA4900" w:rsidP="00EA4900">
      <w:pPr>
        <w:ind w:firstLine="567"/>
      </w:pPr>
      <w:r w:rsidRPr="00407B23">
        <w:t>(a)</w:t>
      </w:r>
      <w:r w:rsidRPr="00407B23">
        <w:tab/>
        <w:t>In relation to subsequent applications of the same variety, the breeder must submit in all members of the Union the denomination that was submitted with the first application.  An exception to the above obligation might be appropriate when the proposed denomination is refused by one authority before the denomination is registered by any of the other members of the Union, in which case the breeder is encouraged to submit a new denomination to all authorities in order to obtain a single denomination in all territories.</w:t>
      </w:r>
    </w:p>
    <w:p w:rsidR="00EA4900" w:rsidRPr="00407B23" w:rsidRDefault="00EA4900" w:rsidP="00EA4900"/>
    <w:p w:rsidR="00EA4900" w:rsidRPr="00407B23" w:rsidRDefault="00EA4900" w:rsidP="00EA4900">
      <w:pPr>
        <w:ind w:firstLine="567"/>
      </w:pPr>
      <w:r w:rsidRPr="00407B23">
        <w:t>(b)</w:t>
      </w:r>
      <w:r w:rsidRPr="00407B23">
        <w:tab/>
        <w:t>The essential obligation under paragraph (5) is that authorities should accept the denomination that was submitted and registered with the first application, unless such denomination is unsuitable in their territory (see section 5.3).  On that basis, although certain provisions on variety denominations allow for authorities to develop individual guidance concerning best practices, the obligation under paragraph (5) should be given priority, unless there is direct conflict with the provisions of the UPOV Convention.  In that respect, it is also recommended to avoid any narrow interpretation of the provisions of the UPOV Convention and related guidance or best practices, which could lead to the unnecessary refusal of variety denominations and, consequently, the unnecessary creation of synonyms for a variety;</w:t>
      </w:r>
    </w:p>
    <w:p w:rsidR="00EA4900" w:rsidRDefault="00EA4900" w:rsidP="00EA4900">
      <w:pPr>
        <w:ind w:firstLine="567"/>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Default="00EA4900" w:rsidP="00E27D83">
            <w:pPr>
              <w:rPr>
                <w:sz w:val="18"/>
                <w:szCs w:val="18"/>
                <w:lang w:eastAsia="ja-JP"/>
              </w:rPr>
            </w:pPr>
          </w:p>
          <w:p w:rsidR="00EA4900" w:rsidRPr="00C04C22" w:rsidRDefault="00EA4900" w:rsidP="00E27D83">
            <w:pPr>
              <w:rPr>
                <w:sz w:val="18"/>
                <w:szCs w:val="18"/>
                <w:lang w:eastAsia="ja-JP"/>
              </w:rPr>
            </w:pPr>
            <w:r w:rsidRPr="00C04C22">
              <w:rPr>
                <w:sz w:val="18"/>
                <w:szCs w:val="18"/>
                <w:lang w:eastAsia="ja-JP"/>
              </w:rPr>
              <w:t>UPOV Circular E-16/088 of April 13, 2016</w:t>
            </w:r>
            <w:r w:rsidRPr="00C04C22">
              <w:rPr>
                <w:rFonts w:hint="eastAsia"/>
                <w:sz w:val="18"/>
                <w:szCs w:val="18"/>
                <w:lang w:eastAsia="ja-JP"/>
              </w:rPr>
              <w:t xml:space="preserve">, </w:t>
            </w:r>
            <w:r w:rsidRPr="00C04C22">
              <w:rPr>
                <w:sz w:val="18"/>
                <w:szCs w:val="18"/>
                <w:lang w:eastAsia="ja-JP"/>
              </w:rPr>
              <w:t>invite</w:t>
            </w:r>
            <w:r w:rsidRPr="00C04C22">
              <w:rPr>
                <w:rFonts w:hint="eastAsia"/>
                <w:sz w:val="18"/>
                <w:szCs w:val="18"/>
                <w:lang w:eastAsia="ja-JP"/>
              </w:rPr>
              <w:t>d</w:t>
            </w:r>
            <w:r w:rsidRPr="00C04C22">
              <w:rPr>
                <w:sz w:val="18"/>
                <w:szCs w:val="18"/>
                <w:lang w:eastAsia="ja-JP"/>
              </w:rPr>
              <w:t xml:space="preserve"> New Zealand and other members of the WG-DEN to provide information of cases in which the denomination accepted in the first application was not the denomination used by other authorities when a different denomination was accepted by a second authority</w:t>
            </w:r>
            <w:r w:rsidRPr="00C04C22">
              <w:rPr>
                <w:rFonts w:hint="eastAsia"/>
                <w:sz w:val="18"/>
                <w:szCs w:val="18"/>
                <w:lang w:eastAsia="ja-JP"/>
              </w:rPr>
              <w:t>, and received proposals as follows;</w:t>
            </w:r>
          </w:p>
          <w:p w:rsidR="00EA4900" w:rsidRPr="00C04C22" w:rsidRDefault="00EA4900" w:rsidP="00E27D83">
            <w:pPr>
              <w:spacing w:line="360" w:lineRule="auto"/>
              <w:rPr>
                <w:sz w:val="18"/>
                <w:szCs w:val="18"/>
                <w:lang w:eastAsia="ja-JP"/>
              </w:rPr>
            </w:pPr>
          </w:p>
          <w:p w:rsidR="00EA4900" w:rsidRPr="00C04C22" w:rsidRDefault="00EA4900" w:rsidP="00E27D83">
            <w:pPr>
              <w:rPr>
                <w:sz w:val="18"/>
                <w:szCs w:val="18"/>
                <w:u w:val="single"/>
                <w:lang w:eastAsia="ja-JP"/>
              </w:rPr>
            </w:pPr>
            <w:r w:rsidRPr="00C04C22">
              <w:rPr>
                <w:sz w:val="18"/>
                <w:szCs w:val="18"/>
                <w:u w:val="single"/>
              </w:rPr>
              <w:t>Proposal by France</w:t>
            </w:r>
          </w:p>
          <w:p w:rsidR="00EA4900" w:rsidRPr="00C04C22" w:rsidRDefault="00EA4900" w:rsidP="00E27D83">
            <w:pPr>
              <w:rPr>
                <w:sz w:val="18"/>
                <w:szCs w:val="18"/>
              </w:rPr>
            </w:pPr>
          </w:p>
          <w:p w:rsidR="00EA4900" w:rsidRPr="00C04C22" w:rsidRDefault="00EA4900" w:rsidP="00E27D83">
            <w:pPr>
              <w:rPr>
                <w:sz w:val="18"/>
                <w:szCs w:val="18"/>
              </w:rPr>
            </w:pPr>
            <w:r w:rsidRPr="00C04C22">
              <w:rPr>
                <w:sz w:val="18"/>
                <w:szCs w:val="18"/>
              </w:rPr>
              <w:t>We are in the opinion that necessity of synonyms should be limited to very specific cases (i.e. already existing variety of the same UPOV class with the same denomination registered/listed in UPOV Member territory or very clear non-acceptable denomination).  Following this statement, it is necessary to act for a more harmonized guidance for denomination evaluation, and for a Pluto updating with national/regional consolidated data as soon as possible.</w:t>
            </w:r>
          </w:p>
          <w:p w:rsidR="00EA4900" w:rsidRPr="005D7C20" w:rsidRDefault="00EA4900" w:rsidP="0051478C">
            <w:pPr>
              <w:rPr>
                <w:sz w:val="18"/>
                <w:szCs w:val="18"/>
                <w:lang w:eastAsia="ja-JP"/>
              </w:rPr>
            </w:pPr>
          </w:p>
        </w:tc>
      </w:tr>
    </w:tbl>
    <w:p w:rsidR="00EA4900" w:rsidRDefault="00EA4900" w:rsidP="00EA4900">
      <w:pPr>
        <w:rPr>
          <w:rFonts w:cs="Arial"/>
          <w:snapToGrid w:val="0"/>
          <w:lang w:eastAsia="ja-JP"/>
        </w:rPr>
      </w:pPr>
    </w:p>
    <w:tbl>
      <w:tblPr>
        <w:tblW w:w="9813" w:type="dxa"/>
        <w:tblInd w:w="15" w:type="dxa"/>
        <w:tblBorders>
          <w:top w:val="single" w:sz="4" w:space="0" w:color="auto"/>
          <w:left w:val="single" w:sz="4" w:space="0" w:color="auto"/>
          <w:bottom w:val="single" w:sz="4" w:space="0" w:color="auto"/>
          <w:right w:val="single" w:sz="4" w:space="0" w:color="auto"/>
        </w:tblBorders>
        <w:tblCellMar>
          <w:top w:w="142" w:type="dxa"/>
          <w:left w:w="85" w:type="dxa"/>
          <w:bottom w:w="142" w:type="dxa"/>
          <w:right w:w="85" w:type="dxa"/>
        </w:tblCellMar>
        <w:tblLook w:val="04A0" w:firstRow="1" w:lastRow="0" w:firstColumn="1" w:lastColumn="0" w:noHBand="0" w:noVBand="1"/>
      </w:tblPr>
      <w:tblGrid>
        <w:gridCol w:w="9813"/>
      </w:tblGrid>
      <w:tr w:rsidR="000D4B81" w:rsidTr="005B58CF">
        <w:tc>
          <w:tcPr>
            <w:tcW w:w="9813" w:type="dxa"/>
            <w:shd w:val="clear" w:color="auto" w:fill="D9D9D9" w:themeFill="background1" w:themeFillShade="D9"/>
          </w:tcPr>
          <w:p w:rsidR="000D4B81" w:rsidRPr="000D4B81" w:rsidRDefault="000D4B81" w:rsidP="005B58CF">
            <w:pPr>
              <w:rPr>
                <w:color w:val="000000"/>
                <w:sz w:val="18"/>
                <w:szCs w:val="18"/>
                <w:highlight w:val="yellow"/>
                <w:u w:val="single"/>
              </w:rPr>
            </w:pPr>
            <w:r w:rsidRPr="000D4B81">
              <w:rPr>
                <w:rFonts w:hint="eastAsia"/>
                <w:color w:val="000000"/>
                <w:sz w:val="18"/>
                <w:szCs w:val="18"/>
                <w:highlight w:val="yellow"/>
                <w:u w:val="single"/>
                <w:lang w:eastAsia="ja-JP"/>
              </w:rPr>
              <w:t>T</w:t>
            </w:r>
            <w:r w:rsidRPr="000D4B81">
              <w:rPr>
                <w:color w:val="000000"/>
                <w:sz w:val="18"/>
                <w:szCs w:val="18"/>
                <w:highlight w:val="yellow"/>
                <w:u w:val="single"/>
              </w:rPr>
              <w:t xml:space="preserve">he </w:t>
            </w:r>
            <w:r w:rsidRPr="000D4B81">
              <w:rPr>
                <w:rFonts w:hint="eastAsia"/>
                <w:color w:val="000000"/>
                <w:sz w:val="18"/>
                <w:szCs w:val="18"/>
                <w:highlight w:val="yellow"/>
                <w:u w:val="single"/>
                <w:lang w:eastAsia="ja-JP"/>
              </w:rPr>
              <w:t>WG-DEN</w:t>
            </w:r>
            <w:r w:rsidRPr="000D4B81">
              <w:rPr>
                <w:color w:val="000000"/>
                <w:sz w:val="18"/>
                <w:szCs w:val="18"/>
                <w:highlight w:val="yellow"/>
                <w:u w:val="single"/>
                <w:lang w:eastAsia="ja-JP"/>
              </w:rPr>
              <w:t>, at its fourth meeting</w:t>
            </w:r>
            <w:r w:rsidR="00E12BF5">
              <w:rPr>
                <w:color w:val="000000"/>
                <w:sz w:val="18"/>
                <w:szCs w:val="18"/>
                <w:highlight w:val="yellow"/>
                <w:u w:val="single"/>
                <w:lang w:eastAsia="ja-JP"/>
              </w:rPr>
              <w:t>,</w:t>
            </w:r>
            <w:r w:rsidRPr="000D4B81">
              <w:rPr>
                <w:color w:val="000000"/>
                <w:sz w:val="18"/>
                <w:szCs w:val="18"/>
                <w:highlight w:val="yellow"/>
                <w:u w:val="single"/>
                <w:lang w:eastAsia="ja-JP"/>
              </w:rPr>
              <w:t xml:space="preserve"> agreed </w:t>
            </w:r>
          </w:p>
          <w:p w:rsidR="000D4B81" w:rsidRPr="000D4B81" w:rsidRDefault="000D4B81" w:rsidP="005B58CF">
            <w:pPr>
              <w:rPr>
                <w:sz w:val="18"/>
                <w:szCs w:val="18"/>
                <w:highlight w:val="yellow"/>
                <w:lang w:eastAsia="ja-JP"/>
              </w:rPr>
            </w:pPr>
          </w:p>
          <w:p w:rsidR="000D4B81" w:rsidRDefault="000D4B81" w:rsidP="005B58CF">
            <w:pPr>
              <w:rPr>
                <w:sz w:val="18"/>
                <w:szCs w:val="18"/>
              </w:rPr>
            </w:pPr>
            <w:r w:rsidRPr="000D4B81">
              <w:rPr>
                <w:sz w:val="18"/>
                <w:szCs w:val="18"/>
                <w:highlight w:val="yellow"/>
              </w:rPr>
              <w:t>With regard to Section 5.2 (b), that the Office of the Union should prepare a proposal for the fifth meeting of the WG-DEN, in order to achieve more realistic guidance reflecting good practices by authorities.</w:t>
            </w:r>
          </w:p>
          <w:p w:rsidR="000D4B81" w:rsidRPr="005F2452" w:rsidRDefault="000D4B81" w:rsidP="005B58CF">
            <w:pPr>
              <w:rPr>
                <w:sz w:val="18"/>
                <w:szCs w:val="18"/>
              </w:rPr>
            </w:pPr>
          </w:p>
        </w:tc>
      </w:tr>
    </w:tbl>
    <w:p w:rsidR="000D4B81" w:rsidRDefault="000D4B81" w:rsidP="00EA4900">
      <w:pPr>
        <w:rPr>
          <w:rFonts w:cs="Arial"/>
          <w:snapToGrid w:val="0"/>
          <w:lang w:eastAsia="ja-JP"/>
        </w:rPr>
      </w:pPr>
    </w:p>
    <w:tbl>
      <w:tblPr>
        <w:tblW w:w="9813" w:type="dxa"/>
        <w:tblInd w:w="15" w:type="dxa"/>
        <w:tblBorders>
          <w:top w:val="single" w:sz="4" w:space="0" w:color="auto"/>
          <w:left w:val="single" w:sz="4" w:space="0" w:color="auto"/>
          <w:bottom w:val="single" w:sz="4" w:space="0" w:color="auto"/>
          <w:right w:val="single" w:sz="4" w:space="0" w:color="auto"/>
        </w:tblBorders>
        <w:tblCellMar>
          <w:top w:w="142" w:type="dxa"/>
          <w:left w:w="85" w:type="dxa"/>
          <w:bottom w:w="142" w:type="dxa"/>
          <w:right w:w="85" w:type="dxa"/>
        </w:tblCellMar>
        <w:tblLook w:val="04A0" w:firstRow="1" w:lastRow="0" w:firstColumn="1" w:lastColumn="0" w:noHBand="0" w:noVBand="1"/>
      </w:tblPr>
      <w:tblGrid>
        <w:gridCol w:w="9813"/>
      </w:tblGrid>
      <w:tr w:rsidR="00E12BF5" w:rsidTr="005B58CF">
        <w:tc>
          <w:tcPr>
            <w:tcW w:w="9813" w:type="dxa"/>
            <w:shd w:val="clear" w:color="auto" w:fill="D9D9D9" w:themeFill="background1" w:themeFillShade="D9"/>
          </w:tcPr>
          <w:p w:rsidR="00E12BF5" w:rsidRPr="000D4B81" w:rsidRDefault="00E12BF5" w:rsidP="005B58CF">
            <w:pPr>
              <w:rPr>
                <w:color w:val="000000"/>
                <w:sz w:val="18"/>
                <w:szCs w:val="18"/>
                <w:highlight w:val="yellow"/>
                <w:u w:val="single"/>
              </w:rPr>
            </w:pPr>
            <w:r w:rsidRPr="000D4B81">
              <w:rPr>
                <w:rFonts w:hint="eastAsia"/>
                <w:color w:val="000000"/>
                <w:sz w:val="18"/>
                <w:szCs w:val="18"/>
                <w:highlight w:val="yellow"/>
                <w:u w:val="single"/>
                <w:lang w:eastAsia="ja-JP"/>
              </w:rPr>
              <w:t>T</w:t>
            </w:r>
            <w:r w:rsidRPr="000D4B81">
              <w:rPr>
                <w:color w:val="000000"/>
                <w:sz w:val="18"/>
                <w:szCs w:val="18"/>
                <w:highlight w:val="yellow"/>
                <w:u w:val="single"/>
              </w:rPr>
              <w:t xml:space="preserve">he </w:t>
            </w:r>
            <w:r w:rsidRPr="000D4B81">
              <w:rPr>
                <w:rFonts w:hint="eastAsia"/>
                <w:color w:val="000000"/>
                <w:sz w:val="18"/>
                <w:szCs w:val="18"/>
                <w:highlight w:val="yellow"/>
                <w:u w:val="single"/>
                <w:lang w:eastAsia="ja-JP"/>
              </w:rPr>
              <w:t>WG-DEN</w:t>
            </w:r>
            <w:r w:rsidRPr="000D4B81">
              <w:rPr>
                <w:color w:val="000000"/>
                <w:sz w:val="18"/>
                <w:szCs w:val="18"/>
                <w:highlight w:val="yellow"/>
                <w:u w:val="single"/>
                <w:lang w:eastAsia="ja-JP"/>
              </w:rPr>
              <w:t>, at its fourth meeting</w:t>
            </w:r>
            <w:r>
              <w:rPr>
                <w:color w:val="000000"/>
                <w:sz w:val="18"/>
                <w:szCs w:val="18"/>
                <w:highlight w:val="yellow"/>
                <w:u w:val="single"/>
                <w:lang w:eastAsia="ja-JP"/>
              </w:rPr>
              <w:t>,</w:t>
            </w:r>
            <w:r w:rsidRPr="000D4B81">
              <w:rPr>
                <w:color w:val="000000"/>
                <w:sz w:val="18"/>
                <w:szCs w:val="18"/>
                <w:highlight w:val="yellow"/>
                <w:u w:val="single"/>
                <w:lang w:eastAsia="ja-JP"/>
              </w:rPr>
              <w:t xml:space="preserve"> </w:t>
            </w:r>
            <w:r>
              <w:rPr>
                <w:color w:val="000000"/>
                <w:sz w:val="18"/>
                <w:szCs w:val="18"/>
                <w:highlight w:val="yellow"/>
                <w:u w:val="single"/>
                <w:lang w:eastAsia="ja-JP"/>
              </w:rPr>
              <w:t>noted</w:t>
            </w:r>
            <w:r w:rsidRPr="000D4B81">
              <w:rPr>
                <w:color w:val="000000"/>
                <w:sz w:val="18"/>
                <w:szCs w:val="18"/>
                <w:highlight w:val="yellow"/>
                <w:u w:val="single"/>
                <w:lang w:eastAsia="ja-JP"/>
              </w:rPr>
              <w:t xml:space="preserve"> </w:t>
            </w:r>
          </w:p>
          <w:p w:rsidR="00E12BF5" w:rsidRPr="000D4B81" w:rsidRDefault="00E12BF5" w:rsidP="005B58CF">
            <w:pPr>
              <w:rPr>
                <w:sz w:val="18"/>
                <w:szCs w:val="18"/>
                <w:highlight w:val="yellow"/>
                <w:lang w:eastAsia="ja-JP"/>
              </w:rPr>
            </w:pPr>
          </w:p>
          <w:p w:rsidR="00E12BF5" w:rsidRPr="005F2452" w:rsidRDefault="00E12BF5" w:rsidP="00E12BF5">
            <w:pPr>
              <w:rPr>
                <w:sz w:val="18"/>
                <w:szCs w:val="18"/>
              </w:rPr>
            </w:pPr>
            <w:r w:rsidRPr="00E12BF5">
              <w:rPr>
                <w:sz w:val="18"/>
                <w:szCs w:val="18"/>
                <w:highlight w:val="yellow"/>
              </w:rPr>
              <w:t>the proposal from New Zealand to provide guidance for a possible way forward where several denominations for the same variety existed and agreed that New Zealand should prepare a proposal for the fifth meeting of the WG DEN, to address the above situation</w:t>
            </w:r>
            <w:r w:rsidRPr="000D4B81">
              <w:rPr>
                <w:sz w:val="18"/>
                <w:szCs w:val="18"/>
                <w:highlight w:val="yellow"/>
              </w:rPr>
              <w:t>.</w:t>
            </w:r>
          </w:p>
        </w:tc>
      </w:tr>
    </w:tbl>
    <w:p w:rsidR="00E12BF5" w:rsidRDefault="00E12BF5" w:rsidP="00EA4900">
      <w:pPr>
        <w:rPr>
          <w:rFonts w:cs="Arial"/>
          <w:snapToGrid w:val="0"/>
          <w:lang w:eastAsia="ja-JP"/>
        </w:rPr>
      </w:pPr>
    </w:p>
    <w:p w:rsidR="00E12BF5" w:rsidRDefault="00E12BF5" w:rsidP="00EA4900">
      <w:pPr>
        <w:rPr>
          <w:rFonts w:cs="Arial"/>
          <w:snapToGrid w:val="0"/>
          <w:lang w:eastAsia="ja-JP"/>
        </w:rPr>
      </w:pPr>
    </w:p>
    <w:p w:rsidR="000D4B81" w:rsidRDefault="000D4B81" w:rsidP="00EA4900">
      <w:pPr>
        <w:rPr>
          <w:rFonts w:cs="Arial"/>
          <w:snapToGrid w:val="0"/>
          <w:lang w:eastAsia="ja-JP"/>
        </w:rPr>
      </w:pPr>
    </w:p>
    <w:p w:rsidR="00EA4900" w:rsidRPr="00407B23" w:rsidRDefault="00EA4900" w:rsidP="00EA4900">
      <w:r w:rsidRPr="00407B23">
        <w:tab/>
        <w:t>(c)</w:t>
      </w:r>
      <w:r w:rsidRPr="00407B23">
        <w:tab/>
        <w:t>Due to different alphabetic scripts or systems of writing, it may be necessary to transliterate</w:t>
      </w:r>
      <w:r w:rsidRPr="00856D87">
        <w:rPr>
          <w:rStyle w:val="EndnoteReference"/>
          <w:vertAlign w:val="baseline"/>
        </w:rPr>
        <w:t xml:space="preserve"> </w:t>
      </w:r>
      <w:r w:rsidRPr="00407B23">
        <w:t>or transcribe the submitted denomination to enable its registration in another territory.  In such cases, both the variety denomination submitted in the application and its transliteration or transcription are regarded as the same denomination.  However, a translation would not be considered as the same denomination.</w:t>
      </w:r>
    </w:p>
    <w:p w:rsidR="00EA4900" w:rsidRPr="00407B23" w:rsidRDefault="00EA4900" w:rsidP="00EA4900"/>
    <w:p w:rsidR="00EA4900" w:rsidRPr="00407B23" w:rsidRDefault="00EA4900" w:rsidP="00EA4900">
      <w:r w:rsidRPr="00407B23">
        <w:lastRenderedPageBreak/>
        <w:t>5.3</w:t>
      </w:r>
      <w:r w:rsidRPr="00407B23">
        <w:tab/>
        <w:t>Whilst a degree of flexibility is appropriate, the following non</w:t>
      </w:r>
      <w:r w:rsidRPr="00407B23">
        <w:noBreakHyphen/>
        <w:t xml:space="preserve">exhaustive list may assist the authorities in deciding what is unsuitable.  A proposed denomination may be refused by an authority of a member if it transpires that, despite best endeavors (see section 5.5), in its territory </w:t>
      </w:r>
    </w:p>
    <w:p w:rsidR="00EA4900" w:rsidRPr="00407B23" w:rsidRDefault="00EA4900" w:rsidP="00EA4900"/>
    <w:p w:rsidR="00EA4900" w:rsidRPr="00407B23" w:rsidRDefault="00EA4900" w:rsidP="00EA4900">
      <w:pPr>
        <w:ind w:firstLine="567"/>
      </w:pPr>
      <w:r w:rsidRPr="00407B23">
        <w:t xml:space="preserve">(a)  </w:t>
      </w:r>
      <w:r w:rsidRPr="00407B23">
        <w:tab/>
        <w:t>it does not conform to the provisions in paragraphs (2) and (4); or</w:t>
      </w:r>
    </w:p>
    <w:p w:rsidR="00EA4900" w:rsidRPr="00407B23" w:rsidRDefault="00EA4900" w:rsidP="00EA4900">
      <w:pPr>
        <w:ind w:firstLine="567"/>
      </w:pPr>
    </w:p>
    <w:p w:rsidR="00EA4900" w:rsidRPr="00407B23" w:rsidRDefault="00EA4900" w:rsidP="00EA4900">
      <w:pPr>
        <w:ind w:firstLine="567"/>
      </w:pPr>
      <w:r w:rsidRPr="00407B23">
        <w:t xml:space="preserve">(b)  </w:t>
      </w:r>
      <w:r w:rsidRPr="00407B23">
        <w:tab/>
        <w:t>it is contrary to public policy.</w:t>
      </w:r>
    </w:p>
    <w:p w:rsidR="00EA4900" w:rsidRPr="00407B23" w:rsidRDefault="00EA4900" w:rsidP="00EA4900">
      <w:pPr>
        <w:ind w:firstLine="567"/>
      </w:pPr>
    </w:p>
    <w:p w:rsidR="00EA4900" w:rsidRPr="00407B23" w:rsidRDefault="00EA4900" w:rsidP="00EA4900">
      <w:r w:rsidRPr="00407B23">
        <w:t>5.4</w:t>
      </w:r>
      <w:r w:rsidRPr="00407B23">
        <w:tab/>
        <w:t>In order to permit the correct identification of a variety registered with different denominations due to exceptional cases (see section 5.3 above)</w:t>
      </w:r>
      <w:r w:rsidRPr="00407B23">
        <w:rPr>
          <w:i/>
        </w:rPr>
        <w:t xml:space="preserve">, </w:t>
      </w:r>
      <w:r w:rsidRPr="00407B23">
        <w:t>in different territories, a regional or international synonym register may be developed by UPOV and/or by some members of the Union.</w:t>
      </w:r>
    </w:p>
    <w:p w:rsidR="00EA4900" w:rsidRDefault="00EA4900" w:rsidP="00EA4900"/>
    <w:p w:rsidR="00EA4900" w:rsidRPr="00407B23" w:rsidRDefault="00EA4900" w:rsidP="00EA4900">
      <w:r w:rsidRPr="00407B23">
        <w:t>5.5</w:t>
      </w:r>
      <w:r w:rsidRPr="00407B23">
        <w:tab/>
        <w:t xml:space="preserve">To reduce the risk of a variety denomination being considered to be unsuitable within a territory in which protection is to be sought, members of the Union are encouraged to make available to other authorities and breeders, the criteria, guidance and best practices which they apply for variety denominations.  In particular, authorities are encouraged to make available any electronic search functions which they use in the examination of denominations in a form which would allow the on-line checking of a proposed variety denomination, against databases of relevant varieties and, in particular, the </w:t>
      </w:r>
      <w:r w:rsidR="003A3F92" w:rsidRPr="009754CE">
        <w:rPr>
          <w:strike/>
        </w:rPr>
        <w:t>UPOV Plant Variety</w:t>
      </w:r>
      <w:r w:rsidR="003A3F92" w:rsidRPr="009754CE">
        <w:rPr>
          <w:u w:val="single"/>
        </w:rPr>
        <w:t>PLUTO</w:t>
      </w:r>
      <w:r w:rsidRPr="00407B23">
        <w:t xml:space="preserve"> Database.  Members of the Union may also choose to provide customized variety denomination checking services.  Members of the Union are encouraged to use the UPOV website to provide information on, and links to, such resources. </w:t>
      </w:r>
    </w:p>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47703B" w:rsidRDefault="00EA4900" w:rsidP="00E27D83">
            <w:pPr>
              <w:rPr>
                <w:sz w:val="18"/>
                <w:szCs w:val="18"/>
              </w:rPr>
            </w:pPr>
          </w:p>
          <w:p w:rsidR="00EA4900" w:rsidRPr="0047703B" w:rsidRDefault="00EA4900" w:rsidP="00E27D83">
            <w:pPr>
              <w:rPr>
                <w:sz w:val="18"/>
                <w:szCs w:val="18"/>
                <w:lang w:eastAsia="ja-JP"/>
              </w:rPr>
            </w:pPr>
            <w:r w:rsidRPr="0047703B">
              <w:rPr>
                <w:sz w:val="18"/>
                <w:szCs w:val="18"/>
                <w:u w:val="single"/>
              </w:rPr>
              <w:t>Proposal by New Zealand</w:t>
            </w:r>
            <w:r w:rsidR="00856D87">
              <w:rPr>
                <w:sz w:val="18"/>
                <w:szCs w:val="18"/>
                <w:vertAlign w:val="superscript"/>
                <w:lang w:eastAsia="ja-JP"/>
              </w:rPr>
              <w:t xml:space="preserve"> </w:t>
            </w:r>
            <w:r w:rsidR="00856D87">
              <w:rPr>
                <w:sz w:val="18"/>
                <w:szCs w:val="18"/>
                <w:vertAlign w:val="superscript"/>
                <w:lang w:eastAsia="ja-JP"/>
              </w:rPr>
              <w:fldChar w:fldCharType="begin"/>
            </w:r>
            <w:r w:rsidR="00856D87">
              <w:rPr>
                <w:sz w:val="18"/>
                <w:szCs w:val="18"/>
                <w:vertAlign w:val="superscript"/>
                <w:lang w:eastAsia="ja-JP"/>
              </w:rPr>
              <w:instrText xml:space="preserve"> NOTEREF _Ref526439134 \f \h </w:instrText>
            </w:r>
            <w:r w:rsidR="00856D87">
              <w:rPr>
                <w:sz w:val="18"/>
                <w:szCs w:val="18"/>
                <w:vertAlign w:val="superscript"/>
                <w:lang w:eastAsia="ja-JP"/>
              </w:rPr>
            </w:r>
            <w:r w:rsidR="00856D87">
              <w:rPr>
                <w:sz w:val="18"/>
                <w:szCs w:val="18"/>
                <w:vertAlign w:val="superscript"/>
                <w:lang w:eastAsia="ja-JP"/>
              </w:rPr>
              <w:fldChar w:fldCharType="separate"/>
            </w:r>
            <w:r w:rsidR="008D27BA" w:rsidRPr="008D27BA">
              <w:rPr>
                <w:rStyle w:val="EndnoteReference"/>
              </w:rPr>
              <w:t>f</w:t>
            </w:r>
            <w:r w:rsidR="00856D87">
              <w:rPr>
                <w:sz w:val="18"/>
                <w:szCs w:val="18"/>
                <w:vertAlign w:val="superscript"/>
                <w:lang w:eastAsia="ja-JP"/>
              </w:rPr>
              <w:fldChar w:fldCharType="end"/>
            </w:r>
          </w:p>
          <w:p w:rsidR="00EA4900" w:rsidRPr="0047703B" w:rsidRDefault="00EA4900" w:rsidP="00E27D83">
            <w:pPr>
              <w:rPr>
                <w:sz w:val="18"/>
                <w:szCs w:val="18"/>
              </w:rPr>
            </w:pPr>
          </w:p>
          <w:p w:rsidR="00EA4900" w:rsidRDefault="00EA4900" w:rsidP="00E27D83">
            <w:pPr>
              <w:rPr>
                <w:sz w:val="18"/>
                <w:szCs w:val="18"/>
              </w:rPr>
            </w:pPr>
            <w:r>
              <w:rPr>
                <w:sz w:val="18"/>
                <w:szCs w:val="18"/>
              </w:rPr>
              <w:t>Paragraph 5</w:t>
            </w:r>
          </w:p>
          <w:p w:rsidR="00EA4900" w:rsidRDefault="00EA4900" w:rsidP="00E27D83">
            <w:pPr>
              <w:rPr>
                <w:sz w:val="18"/>
                <w:szCs w:val="18"/>
              </w:rPr>
            </w:pPr>
          </w:p>
          <w:p w:rsidR="00EA4900" w:rsidRDefault="00EA4900" w:rsidP="00E27D83">
            <w:pPr>
              <w:rPr>
                <w:sz w:val="18"/>
                <w:szCs w:val="18"/>
              </w:rPr>
            </w:pPr>
            <w:r>
              <w:rPr>
                <w:sz w:val="18"/>
                <w:szCs w:val="18"/>
              </w:rPr>
              <w:t>The principle of one denomination per variety worldwide should not be diminished however it could be helpful to provide guidance for an approved approach where two denominations exist.  Such guidance goes against Article 20(5), the principle of a single denomination, but unfortunately this does occur all too frequently.  Should an authority following a number of other denomination proposals or approvals for earlier foreign applications, accept the first approved denomination or accept the most common denomination?</w:t>
            </w:r>
          </w:p>
          <w:p w:rsidR="00EA4900" w:rsidRPr="0047703B" w:rsidRDefault="00EA4900" w:rsidP="00E27D83">
            <w:pPr>
              <w:rPr>
                <w:sz w:val="18"/>
                <w:szCs w:val="18"/>
              </w:rPr>
            </w:pPr>
          </w:p>
        </w:tc>
      </w:tr>
    </w:tbl>
    <w:p w:rsidR="00EA4900" w:rsidRPr="00407B23" w:rsidRDefault="00EA4900" w:rsidP="00EA4900">
      <w:pPr>
        <w:rPr>
          <w:b/>
        </w:rPr>
      </w:pPr>
    </w:p>
    <w:p w:rsidR="00EA4900" w:rsidRPr="00407B23" w:rsidRDefault="00EA4900" w:rsidP="00EA4900"/>
    <w:p w:rsidR="00EA4900" w:rsidRDefault="00EA4900" w:rsidP="00EA4900">
      <w:pPr>
        <w:jc w:val="left"/>
        <w:rPr>
          <w:b/>
        </w:rPr>
      </w:pPr>
    </w:p>
    <w:p w:rsidR="00EA4900" w:rsidRDefault="00EA4900" w:rsidP="00EA4900">
      <w:pPr>
        <w:jc w:val="left"/>
        <w:rPr>
          <w:b/>
        </w:rPr>
      </w:pPr>
      <w:r>
        <w:rPr>
          <w:b/>
        </w:rPr>
        <w:br w:type="page"/>
      </w:r>
    </w:p>
    <w:p w:rsidR="00EA4900" w:rsidRPr="00407B23" w:rsidRDefault="00EA4900" w:rsidP="00EA4900">
      <w:pPr>
        <w:jc w:val="center"/>
        <w:rPr>
          <w:b/>
        </w:rPr>
      </w:pPr>
      <w:r w:rsidRPr="00407B23">
        <w:rPr>
          <w:b/>
        </w:rPr>
        <w:lastRenderedPageBreak/>
        <w:t>Paragraph 6</w:t>
      </w:r>
    </w:p>
    <w:p w:rsidR="00EA4900" w:rsidRPr="00407B23" w:rsidRDefault="00EA4900" w:rsidP="00EA4900"/>
    <w:p w:rsidR="00EA4900" w:rsidRPr="00407B23" w:rsidRDefault="00EA4900" w:rsidP="00EA4900">
      <w:pPr>
        <w:rPr>
          <w:b/>
        </w:rPr>
      </w:pPr>
      <w:r w:rsidRPr="00407B23">
        <w:tab/>
      </w:r>
      <w:r w:rsidRPr="00407B23">
        <w:rPr>
          <w:b/>
        </w:rPr>
        <w:t>[</w:t>
      </w:r>
      <w:r w:rsidRPr="00407B23">
        <w:rPr>
          <w:b/>
          <w:i/>
        </w:rPr>
        <w:t>Information among the authorities of members of the Union</w:t>
      </w:r>
      <w:r w:rsidRPr="00407B23">
        <w:rPr>
          <w:b/>
        </w:rPr>
        <w:t>]  The authority of a member of the Union shall ensure that the authorities of all the other members of the Union are informed of matters concerning variety denominations, in particular the submission, registration and cancellation of denominations.  Any authority may address its observations, if any, on the registration of a denomination to the authority which communicated that denomination.</w:t>
      </w:r>
    </w:p>
    <w:p w:rsidR="00EA4900" w:rsidRPr="00407B23" w:rsidRDefault="00EA4900" w:rsidP="00EA4900"/>
    <w:p w:rsidR="00EA4900" w:rsidRPr="00407B23" w:rsidRDefault="00EA4900" w:rsidP="00EA4900">
      <w:pPr>
        <w:rPr>
          <w:i/>
        </w:rPr>
      </w:pPr>
      <w:r w:rsidRPr="00407B23">
        <w:rPr>
          <w:i/>
        </w:rPr>
        <w:t>Explanatory Notes – Paragraph (6)</w:t>
      </w:r>
    </w:p>
    <w:p w:rsidR="00EA4900" w:rsidRPr="00407B23" w:rsidRDefault="00EA4900" w:rsidP="00EA4900"/>
    <w:p w:rsidR="00EA4900" w:rsidRPr="00407B23" w:rsidRDefault="00EA4900" w:rsidP="00EA4900">
      <w:r w:rsidRPr="00407B23">
        <w:t>6.1</w:t>
      </w:r>
      <w:r w:rsidRPr="00407B23">
        <w:tab/>
        <w:t xml:space="preserve">Provisions of paragraph (6) indicate the importance of cooperation and exchange of information among authorities.  </w:t>
      </w:r>
    </w:p>
    <w:p w:rsidR="00EA4900" w:rsidRPr="00407B23" w:rsidRDefault="00EA4900" w:rsidP="00EA4900"/>
    <w:p w:rsidR="00EA4900" w:rsidRPr="00407B23" w:rsidRDefault="00EA4900" w:rsidP="00EA4900">
      <w:r w:rsidRPr="00407B23">
        <w:t>6.2</w:t>
      </w:r>
      <w:r w:rsidRPr="00407B23">
        <w:tab/>
        <w:t xml:space="preserve">The obligation to inform other members of the Union of matters concerning variety denominations relies on the exchange of official gazettes and other means of publication.  It is recommended that the layout of the official gazette be based on the UPOV Model Plant Breeder’s Right Gazette (document UPOV/INF/5), in particular, the chapters containing information on variety denominations, should be appropriately identified in the table of contents.  However, the </w:t>
      </w:r>
      <w:r w:rsidR="003A3F92" w:rsidRPr="009754CE">
        <w:rPr>
          <w:strike/>
        </w:rPr>
        <w:t>UPOV Plant Variety</w:t>
      </w:r>
      <w:r w:rsidR="003A3F92" w:rsidRPr="009754CE">
        <w:rPr>
          <w:u w:val="single"/>
        </w:rPr>
        <w:t>PLUTO</w:t>
      </w:r>
      <w:r w:rsidRPr="00407B23">
        <w:t xml:space="preserve"> Database is an important mechanism by which to maximize the availability of information for members of the Union concerning variety denominations in a practical form.  </w:t>
      </w:r>
    </w:p>
    <w:p w:rsidR="00EA4900" w:rsidRPr="00407B23" w:rsidRDefault="00EA4900" w:rsidP="00EA4900"/>
    <w:p w:rsidR="00EA4900" w:rsidRPr="00407B23" w:rsidRDefault="00EA4900" w:rsidP="00EA4900">
      <w:r w:rsidRPr="00407B23">
        <w:t>6.3</w:t>
      </w:r>
      <w:r w:rsidRPr="00407B23">
        <w:tab/>
        <w:t>Paragraph (6) provides for the possibility for a member of the Union to make observations if it considers that a proposed denomination in another member of the Union is unsuitable.  In particular with respect to the provisions of paragraph (5), the authority should take into account all observations made by the authorities of other members when deciding on the suitability of a proposed denomination.  If the observations refer to an obstacle for approval which, according to the provisions on variety denominations under the UPOV Convention, applies to all members, then the proposed denomination should be refused.  If the observation refers to an obstacle to approval only in the member of the Union which has transmitted the observation (e.g. prior trademark right within that territory), the applicant should be informed accordingly.  If it is envisaged that protection will be applied for, or if it can be expected that reproductive or propagating material of the variety will be marketed in the territory of the member of the Union which has transmitted the observation, the authority examining the proposed denomination should request the applicant to propose another denomination.</w:t>
      </w:r>
    </w:p>
    <w:p w:rsidR="00EA4900" w:rsidRPr="00407B23" w:rsidRDefault="00EA4900" w:rsidP="00EA4900"/>
    <w:p w:rsidR="00EA4900" w:rsidRPr="00407B23" w:rsidRDefault="00EA4900" w:rsidP="00EA4900">
      <w:pPr>
        <w:pStyle w:val="BodyText"/>
      </w:pPr>
      <w:r w:rsidRPr="00407B23">
        <w:t>6.4</w:t>
      </w:r>
      <w:r w:rsidRPr="00407B23">
        <w:tab/>
        <w:t>The authorities making observations and the authority conducting the examination should, as far as possible, endeavor to reach an agreement on the acceptability of a variety denomination.</w:t>
      </w:r>
    </w:p>
    <w:p w:rsidR="00EA4900" w:rsidRPr="00407B23" w:rsidRDefault="00EA4900" w:rsidP="00EA4900"/>
    <w:p w:rsidR="00EA4900" w:rsidRPr="00407B23" w:rsidRDefault="00EA4900" w:rsidP="00EA4900">
      <w:r w:rsidRPr="00407B23">
        <w:t>6.5</w:t>
      </w:r>
      <w:r w:rsidRPr="00407B23">
        <w:tab/>
        <w:t xml:space="preserve">It is recommended that a communication of the final decision be addressed to any authority which has transmitted an observation. </w:t>
      </w:r>
    </w:p>
    <w:p w:rsidR="00EA4900" w:rsidRPr="00407B23" w:rsidRDefault="00EA4900" w:rsidP="00EA4900"/>
    <w:p w:rsidR="00EA4900" w:rsidRPr="00407B23" w:rsidRDefault="00EA4900" w:rsidP="00EA4900">
      <w:r w:rsidRPr="00407B23">
        <w:t>6.6</w:t>
      </w:r>
      <w:r w:rsidRPr="00407B23">
        <w:tab/>
        <w:t xml:space="preserve">Authorities are encouraged to send information on variety denominations to authorities dealing with the protection of other rights (e.g. authorities responsible for registering trademarks). </w:t>
      </w:r>
    </w:p>
    <w:p w:rsidR="00EA4900" w:rsidRPr="00407B23" w:rsidRDefault="00EA4900" w:rsidP="00EA4900"/>
    <w:p w:rsidR="00EA4900" w:rsidRDefault="00EA4900" w:rsidP="00EA4900">
      <w:r w:rsidRPr="00407B23">
        <w:t>6.7</w:t>
      </w:r>
      <w:r w:rsidRPr="00407B23">
        <w:tab/>
        <w:t>A model form for observations on proposed denominations submitted in another member of the Union can be seen in Annex II.  A model form for a reply to observations can be seen in Annex III.  Copies of these communications should be sent at the same time to the authorities of the other members of the Union.</w:t>
      </w:r>
    </w:p>
    <w:p w:rsidR="000D4B81" w:rsidRDefault="000D4B81" w:rsidP="00EA4900"/>
    <w:p w:rsidR="000D4B81" w:rsidRPr="008A736E" w:rsidRDefault="000D4B81" w:rsidP="000D4B81">
      <w:pPr>
        <w:rPr>
          <w:u w:val="single"/>
        </w:rPr>
      </w:pPr>
      <w:r w:rsidRPr="000D4B81">
        <w:rPr>
          <w:highlight w:val="yellow"/>
          <w:u w:val="single"/>
        </w:rPr>
        <w:t>6.8</w:t>
      </w:r>
      <w:r w:rsidRPr="000D4B81">
        <w:rPr>
          <w:highlight w:val="yellow"/>
          <w:u w:val="single"/>
        </w:rPr>
        <w:tab/>
        <w:t>The contribution of data by members of the Union to the PLUTO database provides support for the examination of variety denominations.  Members of the Union are encouraged to provide data as soon as practical after it is published by the authority(ies) concerned. The PLUTO database will be updated with new data as quickly as possible after receipt, in accordance with the uploading procedure. The PLUTO database can, as necessary, be updated with corrected data, in accordance with the uploading procedure.</w:t>
      </w:r>
      <w:r w:rsidRPr="000D4B81">
        <w:rPr>
          <w:rStyle w:val="EndnoteReference"/>
          <w:color w:val="000000"/>
          <w:highlight w:val="yellow"/>
          <w:u w:val="single"/>
        </w:rPr>
        <w:t xml:space="preserve"> </w:t>
      </w:r>
      <w:r w:rsidR="00856D87">
        <w:rPr>
          <w:rStyle w:val="EndnoteReference"/>
          <w:color w:val="000000"/>
        </w:rPr>
        <w:t xml:space="preserve"> </w:t>
      </w:r>
      <w:r w:rsidR="00856D87">
        <w:rPr>
          <w:rStyle w:val="EndnoteReference"/>
          <w:color w:val="000000"/>
        </w:rPr>
        <w:endnoteReference w:id="26"/>
      </w:r>
    </w:p>
    <w:p w:rsidR="000D4B81" w:rsidRPr="00407B23" w:rsidRDefault="000D4B81" w:rsidP="00EA4900"/>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47703B" w:rsidRDefault="00EA4900" w:rsidP="00E27D83">
            <w:pPr>
              <w:rPr>
                <w:sz w:val="18"/>
                <w:szCs w:val="18"/>
              </w:rPr>
            </w:pPr>
          </w:p>
          <w:p w:rsidR="00EA4900" w:rsidRPr="0047703B" w:rsidRDefault="00EA4900" w:rsidP="00E27D83">
            <w:pPr>
              <w:rPr>
                <w:sz w:val="18"/>
                <w:szCs w:val="18"/>
              </w:rPr>
            </w:pPr>
            <w:r w:rsidRPr="0047703B">
              <w:rPr>
                <w:sz w:val="18"/>
                <w:szCs w:val="18"/>
                <w:u w:val="single"/>
              </w:rPr>
              <w:t>Proposal by New Zealand</w:t>
            </w:r>
            <w:r w:rsidR="00856D87">
              <w:rPr>
                <w:sz w:val="18"/>
                <w:szCs w:val="18"/>
                <w:vertAlign w:val="superscript"/>
                <w:lang w:eastAsia="ja-JP"/>
              </w:rPr>
              <w:t xml:space="preserve"> </w:t>
            </w:r>
            <w:r w:rsidR="00856D87">
              <w:rPr>
                <w:sz w:val="18"/>
                <w:szCs w:val="18"/>
                <w:vertAlign w:val="superscript"/>
                <w:lang w:eastAsia="ja-JP"/>
              </w:rPr>
              <w:fldChar w:fldCharType="begin"/>
            </w:r>
            <w:r w:rsidR="00856D87">
              <w:rPr>
                <w:sz w:val="18"/>
                <w:szCs w:val="18"/>
                <w:vertAlign w:val="superscript"/>
                <w:lang w:eastAsia="ja-JP"/>
              </w:rPr>
              <w:instrText xml:space="preserve"> NOTEREF _Ref526439134 \f \h </w:instrText>
            </w:r>
            <w:r w:rsidR="00856D87">
              <w:rPr>
                <w:sz w:val="18"/>
                <w:szCs w:val="18"/>
                <w:vertAlign w:val="superscript"/>
                <w:lang w:eastAsia="ja-JP"/>
              </w:rPr>
            </w:r>
            <w:r w:rsidR="00856D87">
              <w:rPr>
                <w:sz w:val="18"/>
                <w:szCs w:val="18"/>
                <w:vertAlign w:val="superscript"/>
                <w:lang w:eastAsia="ja-JP"/>
              </w:rPr>
              <w:fldChar w:fldCharType="separate"/>
            </w:r>
            <w:r w:rsidR="008D27BA" w:rsidRPr="008D27BA">
              <w:rPr>
                <w:rStyle w:val="EndnoteReference"/>
              </w:rPr>
              <w:t>f</w:t>
            </w:r>
            <w:r w:rsidR="00856D87">
              <w:rPr>
                <w:sz w:val="18"/>
                <w:szCs w:val="18"/>
                <w:vertAlign w:val="superscript"/>
                <w:lang w:eastAsia="ja-JP"/>
              </w:rPr>
              <w:fldChar w:fldCharType="end"/>
            </w:r>
          </w:p>
          <w:p w:rsidR="00EA4900" w:rsidRPr="0047703B" w:rsidRDefault="00EA4900" w:rsidP="00E27D83">
            <w:pPr>
              <w:rPr>
                <w:sz w:val="18"/>
                <w:szCs w:val="18"/>
              </w:rPr>
            </w:pPr>
          </w:p>
          <w:p w:rsidR="00EA4900" w:rsidRDefault="00EA4900" w:rsidP="00E27D83">
            <w:pPr>
              <w:rPr>
                <w:sz w:val="18"/>
                <w:szCs w:val="18"/>
                <w:lang w:eastAsia="ja-JP"/>
              </w:rPr>
            </w:pPr>
            <w:r>
              <w:rPr>
                <w:sz w:val="18"/>
                <w:szCs w:val="18"/>
              </w:rPr>
              <w:t>Paragraph 6</w:t>
            </w:r>
          </w:p>
          <w:p w:rsidR="00EA4900" w:rsidRDefault="00EA4900" w:rsidP="00E27D83">
            <w:pPr>
              <w:rPr>
                <w:sz w:val="18"/>
                <w:szCs w:val="18"/>
                <w:lang w:eastAsia="ja-JP"/>
              </w:rPr>
            </w:pPr>
          </w:p>
          <w:p w:rsidR="00EA4900" w:rsidRDefault="00EA4900" w:rsidP="00E27D83">
            <w:pPr>
              <w:rPr>
                <w:sz w:val="18"/>
                <w:szCs w:val="18"/>
              </w:rPr>
            </w:pPr>
            <w:r>
              <w:rPr>
                <w:sz w:val="18"/>
                <w:szCs w:val="18"/>
              </w:rPr>
              <w:t>The current explanatory notes are correct in a broad sense with cooperation and exchange of information still of importance, but do not reflect current operational practice for many authorities.  PLUTO and in the future similarity search tools are now the key resources and not structured observation or notification between authorities.  Journals and Gazette remain important for legal publication requirements however their role in informing about denominations between authorities has decreased.</w:t>
            </w:r>
          </w:p>
          <w:p w:rsidR="00EA4900" w:rsidRPr="0047703B" w:rsidRDefault="00EA4900" w:rsidP="00E27D83">
            <w:pPr>
              <w:rPr>
                <w:sz w:val="18"/>
                <w:szCs w:val="18"/>
              </w:rPr>
            </w:pPr>
          </w:p>
        </w:tc>
      </w:tr>
    </w:tbl>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RPr="0047703B" w:rsidTr="00E27D83">
        <w:trPr>
          <w:cantSplit/>
        </w:trPr>
        <w:tc>
          <w:tcPr>
            <w:tcW w:w="9855" w:type="dxa"/>
            <w:shd w:val="clear" w:color="auto" w:fill="D9D9D9" w:themeFill="background1" w:themeFillShade="D9"/>
          </w:tcPr>
          <w:p w:rsidR="00EA4900" w:rsidRPr="0047703B" w:rsidRDefault="00EA4900" w:rsidP="00E27D83">
            <w:pPr>
              <w:rPr>
                <w:sz w:val="18"/>
                <w:szCs w:val="18"/>
              </w:rPr>
            </w:pPr>
          </w:p>
          <w:p w:rsidR="00EA4900" w:rsidRPr="00C04C22" w:rsidRDefault="00EA4900" w:rsidP="00E27D83">
            <w:pPr>
              <w:rPr>
                <w:sz w:val="18"/>
                <w:szCs w:val="18"/>
              </w:rPr>
            </w:pPr>
            <w:r w:rsidRPr="00C04C22">
              <w:rPr>
                <w:sz w:val="18"/>
                <w:szCs w:val="18"/>
                <w:u w:val="single"/>
              </w:rPr>
              <w:t>Agreed by the WG-DEN</w:t>
            </w:r>
            <w:r w:rsidR="00856D87">
              <w:rPr>
                <w:sz w:val="18"/>
                <w:szCs w:val="18"/>
                <w:vertAlign w:val="superscript"/>
              </w:rPr>
              <w:t xml:space="preserve"> </w:t>
            </w:r>
            <w:r w:rsidR="00856D87">
              <w:rPr>
                <w:rStyle w:val="EndnoteReference"/>
                <w:sz w:val="18"/>
                <w:szCs w:val="18"/>
              </w:rPr>
              <w:endnoteReference w:id="27"/>
            </w:r>
          </w:p>
          <w:p w:rsidR="00EA4900" w:rsidRPr="00C04C22" w:rsidRDefault="00EA4900" w:rsidP="00E27D83">
            <w:pPr>
              <w:rPr>
                <w:sz w:val="18"/>
                <w:szCs w:val="18"/>
              </w:rPr>
            </w:pPr>
          </w:p>
          <w:p w:rsidR="00EA4900" w:rsidRPr="00C04C22" w:rsidRDefault="00EA4900" w:rsidP="00E27D83">
            <w:pPr>
              <w:rPr>
                <w:sz w:val="18"/>
                <w:szCs w:val="18"/>
                <w:lang w:eastAsia="ja-JP"/>
              </w:rPr>
            </w:pPr>
            <w:r w:rsidRPr="00C04C22">
              <w:rPr>
                <w:sz w:val="18"/>
                <w:szCs w:val="18"/>
              </w:rPr>
              <w:t>The document UPOV/INF/12 should be amended to encourage members of the Union to contribute data to the PLUTO database in accordance with the guidance provided in document UPOV/INF/15 “Guidance for Members of UPOV”.</w:t>
            </w:r>
          </w:p>
          <w:p w:rsidR="00EA4900" w:rsidRPr="00C04C22" w:rsidRDefault="00EA4900" w:rsidP="00E27D83">
            <w:pPr>
              <w:rPr>
                <w:sz w:val="18"/>
                <w:szCs w:val="18"/>
                <w:lang w:eastAsia="ja-JP"/>
              </w:rPr>
            </w:pPr>
          </w:p>
          <w:p w:rsidR="00EA4900" w:rsidRPr="00C04C22" w:rsidRDefault="00EA4900" w:rsidP="00E27D83">
            <w:pPr>
              <w:rPr>
                <w:sz w:val="18"/>
                <w:szCs w:val="18"/>
                <w:lang w:eastAsia="ja-JP"/>
              </w:rPr>
            </w:pPr>
          </w:p>
          <w:p w:rsidR="00EA4900" w:rsidRPr="00C04C22" w:rsidRDefault="00EA4900" w:rsidP="00E27D83">
            <w:pPr>
              <w:rPr>
                <w:sz w:val="18"/>
                <w:szCs w:val="18"/>
                <w:lang w:eastAsia="ja-JP"/>
              </w:rPr>
            </w:pPr>
            <w:r w:rsidRPr="00C04C22">
              <w:rPr>
                <w:rFonts w:hint="eastAsia"/>
                <w:sz w:val="18"/>
                <w:szCs w:val="18"/>
                <w:lang w:eastAsia="ja-JP"/>
              </w:rPr>
              <w:t xml:space="preserve">Quote from document UPOV/INF/15 </w:t>
            </w:r>
            <w:r w:rsidRPr="00C04C22">
              <w:rPr>
                <w:sz w:val="18"/>
                <w:szCs w:val="18"/>
              </w:rPr>
              <w:t>“Guidance for Members of UPOV”</w:t>
            </w:r>
          </w:p>
          <w:p w:rsidR="00EA4900" w:rsidRPr="00C04C22" w:rsidRDefault="00EA4900" w:rsidP="00E27D83">
            <w:pPr>
              <w:ind w:left="450"/>
              <w:rPr>
                <w:sz w:val="18"/>
                <w:szCs w:val="18"/>
                <w:lang w:eastAsia="ja-JP"/>
              </w:rPr>
            </w:pPr>
          </w:p>
          <w:p w:rsidR="00EA4900" w:rsidRPr="00C04C22" w:rsidRDefault="00EA4900" w:rsidP="00E27D83">
            <w:pPr>
              <w:ind w:left="450"/>
              <w:rPr>
                <w:i/>
                <w:sz w:val="18"/>
                <w:szCs w:val="18"/>
                <w:lang w:eastAsia="ja-JP"/>
              </w:rPr>
            </w:pPr>
            <w:r w:rsidRPr="00C04C22">
              <w:rPr>
                <w:i/>
                <w:sz w:val="18"/>
                <w:szCs w:val="18"/>
                <w:lang w:eastAsia="ja-JP"/>
              </w:rPr>
              <w:t>“Variety Denominations (PLUTO database)</w:t>
            </w:r>
          </w:p>
          <w:p w:rsidR="00EA4900" w:rsidRPr="00C04C22" w:rsidRDefault="00EA4900" w:rsidP="00E27D83">
            <w:pPr>
              <w:ind w:left="450"/>
              <w:rPr>
                <w:i/>
                <w:sz w:val="18"/>
                <w:szCs w:val="18"/>
                <w:lang w:eastAsia="ja-JP"/>
              </w:rPr>
            </w:pPr>
          </w:p>
          <w:p w:rsidR="00EA4900" w:rsidRPr="00C04C22" w:rsidRDefault="00EA4900" w:rsidP="00E27D83">
            <w:pPr>
              <w:ind w:left="450"/>
              <w:rPr>
                <w:sz w:val="18"/>
                <w:szCs w:val="18"/>
                <w:lang w:eastAsia="ja-JP"/>
              </w:rPr>
            </w:pPr>
            <w:r w:rsidRPr="00C04C22">
              <w:rPr>
                <w:sz w:val="18"/>
                <w:szCs w:val="18"/>
                <w:lang w:eastAsia="ja-JP"/>
              </w:rPr>
              <w:t>24. The contribution of data by members of the Union to the PLUTO Plant Variety Database provides support in particular for the examination of variety denominations.</w:t>
            </w:r>
          </w:p>
          <w:p w:rsidR="00EA4900" w:rsidRPr="00C04C22" w:rsidRDefault="00EA4900" w:rsidP="00E27D83">
            <w:pPr>
              <w:ind w:left="450"/>
              <w:rPr>
                <w:sz w:val="18"/>
                <w:szCs w:val="18"/>
                <w:lang w:eastAsia="ja-JP"/>
              </w:rPr>
            </w:pPr>
          </w:p>
          <w:p w:rsidR="00EA4900" w:rsidRDefault="00EA4900" w:rsidP="00E27D83">
            <w:pPr>
              <w:ind w:left="450"/>
              <w:rPr>
                <w:sz w:val="18"/>
                <w:szCs w:val="18"/>
                <w:lang w:eastAsia="ja-JP"/>
              </w:rPr>
            </w:pPr>
            <w:r w:rsidRPr="00C04C22">
              <w:rPr>
                <w:sz w:val="18"/>
                <w:szCs w:val="18"/>
                <w:lang w:eastAsia="ja-JP"/>
              </w:rPr>
              <w:t>25. Members of the Union are encouraged to provide data as soon as practical after it is published by the authority(ies) concerned. The PLUTO database will be updated with new data as quickly as possible after receipt, in accordance with the uploading procedure. The PLUTO database can, as necessary, be updated with corrected data, in accordance with the uploading procedure.”</w:t>
            </w:r>
          </w:p>
          <w:p w:rsidR="00EA4900" w:rsidRPr="0047703B" w:rsidRDefault="00EA4900" w:rsidP="00E27D83">
            <w:pPr>
              <w:rPr>
                <w:sz w:val="18"/>
                <w:szCs w:val="18"/>
                <w:lang w:eastAsia="ja-JP"/>
              </w:rPr>
            </w:pPr>
          </w:p>
        </w:tc>
      </w:tr>
    </w:tbl>
    <w:p w:rsidR="00EA4900" w:rsidRPr="00407B23" w:rsidRDefault="00EA4900" w:rsidP="00EA4900"/>
    <w:p w:rsidR="00EA4900" w:rsidRDefault="00EA4900" w:rsidP="00EA4900">
      <w:pPr>
        <w:jc w:val="left"/>
        <w:rPr>
          <w:b/>
        </w:rPr>
      </w:pPr>
    </w:p>
    <w:p w:rsidR="00EA4900" w:rsidRDefault="00EA4900" w:rsidP="00EA4900">
      <w:pPr>
        <w:jc w:val="left"/>
        <w:rPr>
          <w:b/>
        </w:rPr>
      </w:pPr>
      <w:r>
        <w:rPr>
          <w:b/>
        </w:rPr>
        <w:br w:type="page"/>
      </w:r>
    </w:p>
    <w:p w:rsidR="00EA4900" w:rsidRPr="00294914" w:rsidRDefault="00EA4900" w:rsidP="00EA4900">
      <w:pPr>
        <w:keepNext/>
        <w:jc w:val="center"/>
        <w:rPr>
          <w:b/>
        </w:rPr>
      </w:pPr>
      <w:r w:rsidRPr="00294914">
        <w:rPr>
          <w:b/>
        </w:rPr>
        <w:lastRenderedPageBreak/>
        <w:t>Paragraph 7</w:t>
      </w:r>
    </w:p>
    <w:p w:rsidR="00EA4900" w:rsidRPr="00294914" w:rsidRDefault="00EA4900" w:rsidP="00EA4900">
      <w:pPr>
        <w:keepNext/>
        <w:rPr>
          <w:b/>
        </w:rPr>
      </w:pPr>
    </w:p>
    <w:p w:rsidR="00EA4900" w:rsidRPr="00294914" w:rsidRDefault="00EA4900" w:rsidP="00EA4900">
      <w:pPr>
        <w:rPr>
          <w:b/>
        </w:rPr>
      </w:pPr>
      <w:r w:rsidRPr="00294914">
        <w:rPr>
          <w:b/>
        </w:rPr>
        <w:tab/>
        <w:t>[</w:t>
      </w:r>
      <w:r w:rsidRPr="00294914">
        <w:rPr>
          <w:b/>
          <w:i/>
        </w:rPr>
        <w:t>Obligation to use the denomination</w:t>
      </w:r>
      <w:r w:rsidRPr="00294914">
        <w:rPr>
          <w:b/>
        </w:rPr>
        <w:t>]  Any person who, within the territory of one of the members of the Union, offers for sale or markets propagating material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EA4900" w:rsidRPr="00294914" w:rsidRDefault="00EA4900" w:rsidP="00EA4900"/>
    <w:p w:rsidR="00EA4900" w:rsidRPr="00294914" w:rsidRDefault="00EA4900" w:rsidP="00EA4900">
      <w:pPr>
        <w:rPr>
          <w:i/>
        </w:rPr>
      </w:pPr>
      <w:r w:rsidRPr="00294914">
        <w:rPr>
          <w:i/>
        </w:rPr>
        <w:t>Explanatory Note – Paragraph (7)</w:t>
      </w:r>
    </w:p>
    <w:p w:rsidR="00EA4900" w:rsidRPr="00294914" w:rsidRDefault="00EA4900" w:rsidP="00EA4900"/>
    <w:p w:rsidR="00EA4900" w:rsidRPr="00795648" w:rsidRDefault="00EA4900" w:rsidP="00EA4900">
      <w:r w:rsidRPr="00795648">
        <w:t>7.1</w:t>
      </w:r>
      <w:r w:rsidRPr="00795648">
        <w:tab/>
        <w:t xml:space="preserve">If it is found that prior rights of a third party prevent the use of the registered variety denomination, the authority shall require the breeder to submit another denomination.  Article 22(1)(b)(iii) of the 1991 Act provides that the breeder’s right may be cancelled if “the breeder does not propose, where the denomination of the variety is cancelled after the grant of the right, another suitable denomination.”  </w:t>
      </w:r>
    </w:p>
    <w:p w:rsidR="00EA4900" w:rsidRPr="00795648" w:rsidRDefault="00EA4900" w:rsidP="00EA4900"/>
    <w:p w:rsidR="00EA4900" w:rsidRPr="00294914" w:rsidRDefault="00EA4900" w:rsidP="00EA4900">
      <w:r w:rsidRPr="00795648">
        <w:t>7.2</w:t>
      </w:r>
      <w:r w:rsidRPr="00795648">
        <w:tab/>
        <w:t>The following items provide guidance in relation to changes of registered variety denominations:</w:t>
      </w:r>
    </w:p>
    <w:p w:rsidR="00EA4900" w:rsidRPr="00294914" w:rsidRDefault="00EA4900" w:rsidP="00EA4900"/>
    <w:p w:rsidR="00EA4900" w:rsidRPr="00294914" w:rsidRDefault="00EA4900" w:rsidP="00EA4900">
      <w:pPr>
        <w:ind w:firstLine="567"/>
      </w:pPr>
      <w:r w:rsidRPr="00294914">
        <w:t>(a)</w:t>
      </w:r>
      <w:r w:rsidRPr="00294914">
        <w:tab/>
        <w:t xml:space="preserve">The UPOV Convention requires a change of the registered denomination where the denomination of the variety is cancelled after the grant of the right.  The competent authority should cancel a variety denomination if: </w:t>
      </w:r>
    </w:p>
    <w:p w:rsidR="00EA4900" w:rsidRPr="00294914" w:rsidRDefault="00EA4900" w:rsidP="00EA4900">
      <w:pPr>
        <w:pStyle w:val="ListParagraph"/>
      </w:pPr>
    </w:p>
    <w:p w:rsidR="00EA4900" w:rsidRPr="00294914" w:rsidRDefault="00EA4900" w:rsidP="00EA4900">
      <w:pPr>
        <w:pStyle w:val="ListParagraph"/>
        <w:numPr>
          <w:ilvl w:val="0"/>
          <w:numId w:val="5"/>
        </w:numPr>
        <w:tabs>
          <w:tab w:val="left" w:pos="1418"/>
        </w:tabs>
        <w:ind w:left="0" w:firstLine="1134"/>
      </w:pPr>
      <w:r w:rsidRPr="00294914">
        <w:t xml:space="preserve">by reason of a prior right, the use of the denomination of a variety is forbidden to a person who, in accordance with the provisions of paragraph (7), is obliged to use it (see paragraph (4) “Prior rights of third persons”); </w:t>
      </w:r>
    </w:p>
    <w:p w:rsidR="00EA4900" w:rsidRPr="00294914" w:rsidRDefault="00EA4900" w:rsidP="00EA4900">
      <w:pPr>
        <w:tabs>
          <w:tab w:val="left" w:pos="1418"/>
        </w:tabs>
        <w:ind w:firstLine="1134"/>
      </w:pPr>
    </w:p>
    <w:p w:rsidR="00EA4900" w:rsidRPr="00294914" w:rsidRDefault="00EA4900" w:rsidP="00EA4900">
      <w:pPr>
        <w:pStyle w:val="ListParagraph"/>
        <w:numPr>
          <w:ilvl w:val="0"/>
          <w:numId w:val="5"/>
        </w:numPr>
        <w:tabs>
          <w:tab w:val="left" w:pos="1418"/>
        </w:tabs>
        <w:ind w:left="0" w:firstLine="1134"/>
      </w:pPr>
      <w:r w:rsidRPr="00294914">
        <w:t xml:space="preserve">the denomination is unsuitable because it is contrary to the provisions in paragraph (2) “Characteristics of the denomination”; </w:t>
      </w:r>
    </w:p>
    <w:p w:rsidR="00EA4900" w:rsidRPr="00294914" w:rsidRDefault="00EA4900" w:rsidP="00EA4900">
      <w:pPr>
        <w:pStyle w:val="ListParagraph"/>
        <w:ind w:left="1854"/>
      </w:pPr>
    </w:p>
    <w:p w:rsidR="00EA4900" w:rsidRPr="00294914" w:rsidRDefault="00EA4900" w:rsidP="00EA4900">
      <w:pPr>
        <w:ind w:firstLine="567"/>
      </w:pPr>
      <w:r w:rsidRPr="00294914">
        <w:t>(b)</w:t>
      </w:r>
      <w:r w:rsidRPr="00294914">
        <w:tab/>
        <w:t>In cases where the registered denomination is subsequently refused in another member of the Union because it is unsuitable in that territory (e.g. prior right), at the request of the breeder, the authority may consider it appropriate to change the denomination to the denomination registered in the said other member of the Union (see provisions in paragraph (5) “Same denomination in all Contracting Parties”); and</w:t>
      </w:r>
    </w:p>
    <w:p w:rsidR="00EA4900" w:rsidRPr="00294914" w:rsidRDefault="00EA4900" w:rsidP="00EA4900"/>
    <w:p w:rsidR="00EA4900" w:rsidRPr="00294914" w:rsidRDefault="00EA4900" w:rsidP="00EA4900">
      <w:pPr>
        <w:ind w:firstLine="567"/>
      </w:pPr>
      <w:r w:rsidRPr="00294914">
        <w:t>(c)</w:t>
      </w:r>
      <w:r w:rsidRPr="00294914">
        <w:tab/>
        <w:t>In general, subject to (a) and (b) above, it would not be appropriate for the authority to change a registered denomination following a request by the breeder.</w:t>
      </w:r>
      <w:r w:rsidR="00856D87">
        <w:rPr>
          <w:vertAlign w:val="superscript"/>
        </w:rPr>
        <w:t xml:space="preserve"> </w:t>
      </w:r>
      <w:r w:rsidR="00856D87">
        <w:rPr>
          <w:rStyle w:val="EndnoteReference"/>
        </w:rPr>
        <w:endnoteReference w:id="28"/>
      </w:r>
    </w:p>
    <w:p w:rsidR="00EA4900" w:rsidRPr="00294914" w:rsidRDefault="00EA4900" w:rsidP="00EA4900"/>
    <w:p w:rsidR="00EA4900" w:rsidRPr="00407B23" w:rsidRDefault="00EA4900" w:rsidP="00EA4900"/>
    <w:p w:rsidR="00EA4900" w:rsidRDefault="00EA4900" w:rsidP="00EA4900">
      <w:pPr>
        <w:jc w:val="left"/>
        <w:rPr>
          <w:b/>
        </w:rPr>
      </w:pPr>
      <w:r>
        <w:rPr>
          <w:b/>
        </w:rPr>
        <w:br w:type="page"/>
      </w:r>
    </w:p>
    <w:p w:rsidR="00EA4900" w:rsidRPr="00407B23" w:rsidRDefault="00EA4900" w:rsidP="00EA4900">
      <w:pPr>
        <w:jc w:val="center"/>
        <w:rPr>
          <w:b/>
        </w:rPr>
      </w:pPr>
      <w:r w:rsidRPr="00407B23">
        <w:rPr>
          <w:b/>
        </w:rPr>
        <w:lastRenderedPageBreak/>
        <w:t>Paragraph 8</w:t>
      </w:r>
    </w:p>
    <w:p w:rsidR="00EA4900" w:rsidRPr="00407B23" w:rsidRDefault="00EA4900" w:rsidP="00EA4900"/>
    <w:p w:rsidR="00EA4900" w:rsidRPr="00407B23" w:rsidRDefault="00EA4900" w:rsidP="00EA4900">
      <w:pPr>
        <w:rPr>
          <w:b/>
        </w:rPr>
      </w:pPr>
      <w:r w:rsidRPr="00407B23">
        <w:tab/>
      </w:r>
      <w:r w:rsidRPr="00407B23">
        <w:rPr>
          <w:b/>
        </w:rPr>
        <w:t>[</w:t>
      </w:r>
      <w:r w:rsidRPr="00407B23">
        <w:rPr>
          <w:b/>
          <w:i/>
        </w:rPr>
        <w:t>Indications used in association with denominations</w:t>
      </w:r>
      <w:r w:rsidRPr="00407B23">
        <w:rPr>
          <w:b/>
        </w:rPr>
        <w:t>]  When a variety is offered for sale or marketed, it shall be permitted to associate a trademark, trade name or other similar indication with a registered variety denomination.  If such an indication is so associated, the denomination must nevertheless be easily recognizable.</w:t>
      </w:r>
    </w:p>
    <w:p w:rsidR="00EA4900" w:rsidRPr="00407B23" w:rsidRDefault="00EA4900" w:rsidP="00EA4900"/>
    <w:p w:rsidR="00EA4900" w:rsidRDefault="00EA4900" w:rsidP="00EA4900">
      <w:r w:rsidRPr="00407B23">
        <w:tab/>
        <w:t>This provision is self-explanatory.</w:t>
      </w:r>
    </w:p>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Tr="00E27D83">
        <w:trPr>
          <w:cantSplit/>
        </w:trPr>
        <w:tc>
          <w:tcPr>
            <w:tcW w:w="9855" w:type="dxa"/>
            <w:shd w:val="clear" w:color="auto" w:fill="D9D9D9" w:themeFill="background1" w:themeFillShade="D9"/>
          </w:tcPr>
          <w:p w:rsidR="00EA4900" w:rsidRPr="0047703B" w:rsidRDefault="00EA4900" w:rsidP="00E27D83">
            <w:pPr>
              <w:rPr>
                <w:sz w:val="18"/>
                <w:szCs w:val="18"/>
              </w:rPr>
            </w:pPr>
          </w:p>
          <w:p w:rsidR="00EA4900" w:rsidRPr="0047703B" w:rsidRDefault="00EA4900" w:rsidP="00E27D83">
            <w:pPr>
              <w:rPr>
                <w:sz w:val="18"/>
                <w:szCs w:val="18"/>
              </w:rPr>
            </w:pPr>
            <w:r w:rsidRPr="0047703B">
              <w:rPr>
                <w:sz w:val="18"/>
                <w:szCs w:val="18"/>
                <w:u w:val="single"/>
              </w:rPr>
              <w:t>Proposal by New Zealand</w:t>
            </w:r>
            <w:r w:rsidR="00856D87">
              <w:rPr>
                <w:sz w:val="18"/>
                <w:szCs w:val="18"/>
                <w:vertAlign w:val="superscript"/>
                <w:lang w:eastAsia="ja-JP"/>
              </w:rPr>
              <w:t xml:space="preserve"> </w:t>
            </w:r>
            <w:r w:rsidR="00856D87">
              <w:rPr>
                <w:sz w:val="18"/>
                <w:szCs w:val="18"/>
                <w:vertAlign w:val="superscript"/>
                <w:lang w:eastAsia="ja-JP"/>
              </w:rPr>
              <w:fldChar w:fldCharType="begin"/>
            </w:r>
            <w:r w:rsidR="00856D87">
              <w:rPr>
                <w:sz w:val="18"/>
                <w:szCs w:val="18"/>
                <w:vertAlign w:val="superscript"/>
                <w:lang w:eastAsia="ja-JP"/>
              </w:rPr>
              <w:instrText xml:space="preserve"> NOTEREF _Ref526439134 \f \h </w:instrText>
            </w:r>
            <w:r w:rsidR="00856D87">
              <w:rPr>
                <w:sz w:val="18"/>
                <w:szCs w:val="18"/>
                <w:vertAlign w:val="superscript"/>
                <w:lang w:eastAsia="ja-JP"/>
              </w:rPr>
            </w:r>
            <w:r w:rsidR="00856D87">
              <w:rPr>
                <w:sz w:val="18"/>
                <w:szCs w:val="18"/>
                <w:vertAlign w:val="superscript"/>
                <w:lang w:eastAsia="ja-JP"/>
              </w:rPr>
              <w:fldChar w:fldCharType="separate"/>
            </w:r>
            <w:r w:rsidR="008D27BA" w:rsidRPr="008D27BA">
              <w:rPr>
                <w:rStyle w:val="EndnoteReference"/>
              </w:rPr>
              <w:t>f</w:t>
            </w:r>
            <w:r w:rsidR="00856D87">
              <w:rPr>
                <w:sz w:val="18"/>
                <w:szCs w:val="18"/>
                <w:vertAlign w:val="superscript"/>
                <w:lang w:eastAsia="ja-JP"/>
              </w:rPr>
              <w:fldChar w:fldCharType="end"/>
            </w:r>
          </w:p>
          <w:p w:rsidR="00EA4900" w:rsidRPr="0047703B" w:rsidRDefault="00EA4900" w:rsidP="00E27D83">
            <w:pPr>
              <w:rPr>
                <w:sz w:val="18"/>
                <w:szCs w:val="18"/>
              </w:rPr>
            </w:pPr>
          </w:p>
          <w:p w:rsidR="00EA4900" w:rsidRDefault="00EA4900" w:rsidP="00E27D83">
            <w:pPr>
              <w:rPr>
                <w:sz w:val="18"/>
                <w:szCs w:val="18"/>
              </w:rPr>
            </w:pPr>
            <w:r>
              <w:rPr>
                <w:sz w:val="18"/>
                <w:szCs w:val="18"/>
              </w:rPr>
              <w:t>Paragraph 8</w:t>
            </w:r>
          </w:p>
          <w:p w:rsidR="00EA4900" w:rsidRDefault="00EA4900" w:rsidP="00E27D83">
            <w:pPr>
              <w:rPr>
                <w:sz w:val="18"/>
                <w:szCs w:val="18"/>
              </w:rPr>
            </w:pPr>
          </w:p>
          <w:p w:rsidR="00EA4900" w:rsidRDefault="00EA4900" w:rsidP="00E27D83">
            <w:pPr>
              <w:rPr>
                <w:sz w:val="18"/>
                <w:szCs w:val="18"/>
              </w:rPr>
            </w:pPr>
            <w:r>
              <w:rPr>
                <w:sz w:val="18"/>
                <w:szCs w:val="18"/>
              </w:rPr>
              <w:t>Explanatory notes could be helpful because commercial synonyms often become the effective variety identifier.  Commercial synonyms, other than registered trademarks, have no legal standing and are not covered by UPOV guidance, but there are many examples where protected varieties effectively have two names, but only one being the approved denomination.  UPOV guidance should resemble practical reality and further elaboration should be considered.</w:t>
            </w:r>
          </w:p>
          <w:p w:rsidR="00EA4900" w:rsidRPr="0047703B" w:rsidRDefault="00EA4900" w:rsidP="00E27D83">
            <w:pPr>
              <w:rPr>
                <w:sz w:val="18"/>
                <w:szCs w:val="18"/>
              </w:rPr>
            </w:pPr>
          </w:p>
        </w:tc>
      </w:tr>
    </w:tbl>
    <w:p w:rsidR="00EA4900" w:rsidRDefault="00EA4900" w:rsidP="00EA490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A4900" w:rsidRPr="00494FFB" w:rsidTr="00E27D83">
        <w:trPr>
          <w:cantSplit/>
        </w:trPr>
        <w:tc>
          <w:tcPr>
            <w:tcW w:w="9855" w:type="dxa"/>
            <w:shd w:val="clear" w:color="auto" w:fill="D9D9D9" w:themeFill="background1" w:themeFillShade="D9"/>
          </w:tcPr>
          <w:p w:rsidR="00EA4900" w:rsidRPr="00C04C22" w:rsidRDefault="00EA4900" w:rsidP="00E27D83">
            <w:pPr>
              <w:rPr>
                <w:sz w:val="18"/>
                <w:szCs w:val="18"/>
                <w:u w:val="single"/>
                <w:lang w:eastAsia="ja-JP"/>
              </w:rPr>
            </w:pPr>
          </w:p>
          <w:p w:rsidR="00EA4900" w:rsidRPr="00C04C22" w:rsidRDefault="00EA4900" w:rsidP="00E27D83">
            <w:pPr>
              <w:rPr>
                <w:sz w:val="18"/>
                <w:szCs w:val="18"/>
              </w:rPr>
            </w:pPr>
            <w:r w:rsidRPr="00C04C22">
              <w:rPr>
                <w:sz w:val="18"/>
                <w:szCs w:val="18"/>
                <w:u w:val="single"/>
              </w:rPr>
              <w:t>Agreed by the WG-DEN</w:t>
            </w:r>
            <w:r w:rsidR="00856D87">
              <w:rPr>
                <w:sz w:val="18"/>
                <w:szCs w:val="18"/>
                <w:vertAlign w:val="superscript"/>
              </w:rPr>
              <w:t xml:space="preserve"> </w:t>
            </w:r>
            <w:r w:rsidR="00856D87">
              <w:rPr>
                <w:rStyle w:val="EndnoteReference"/>
                <w:sz w:val="18"/>
                <w:szCs w:val="18"/>
              </w:rPr>
              <w:endnoteReference w:id="29"/>
            </w:r>
          </w:p>
          <w:p w:rsidR="00EA4900" w:rsidRPr="00C04C22" w:rsidRDefault="00EA4900" w:rsidP="00E27D83">
            <w:pPr>
              <w:rPr>
                <w:sz w:val="18"/>
                <w:szCs w:val="18"/>
                <w:u w:val="single"/>
                <w:lang w:eastAsia="ja-JP"/>
              </w:rPr>
            </w:pPr>
          </w:p>
          <w:p w:rsidR="00EA4900" w:rsidRPr="00C04C22" w:rsidRDefault="00EA4900" w:rsidP="00E27D83">
            <w:pPr>
              <w:rPr>
                <w:sz w:val="18"/>
                <w:szCs w:val="18"/>
                <w:lang w:eastAsia="ja-JP"/>
              </w:rPr>
            </w:pPr>
            <w:r w:rsidRPr="00C04C22">
              <w:rPr>
                <w:rFonts w:hint="eastAsia"/>
                <w:sz w:val="18"/>
                <w:szCs w:val="18"/>
                <w:lang w:eastAsia="ja-JP"/>
              </w:rPr>
              <w:t>T</w:t>
            </w:r>
            <w:r w:rsidRPr="00C04C22">
              <w:rPr>
                <w:sz w:val="18"/>
                <w:szCs w:val="18"/>
                <w:lang w:eastAsia="ja-JP"/>
              </w:rPr>
              <w:t>o investigate the reasons that breeders used names other than variety denominations with a view to considering whether a change to document UPOV/INF/12 could reduce such practices.</w:t>
            </w:r>
          </w:p>
          <w:p w:rsidR="00EA4900" w:rsidRPr="00C04C22" w:rsidRDefault="00EA4900" w:rsidP="00E27D83">
            <w:pPr>
              <w:rPr>
                <w:sz w:val="18"/>
                <w:szCs w:val="18"/>
                <w:u w:val="single"/>
                <w:lang w:eastAsia="ja-JP"/>
              </w:rPr>
            </w:pPr>
          </w:p>
          <w:p w:rsidR="00EA4900" w:rsidRPr="00C04C22" w:rsidRDefault="00EA4900" w:rsidP="00E27D83">
            <w:pPr>
              <w:rPr>
                <w:sz w:val="18"/>
                <w:szCs w:val="18"/>
                <w:u w:val="single"/>
                <w:lang w:eastAsia="ja-JP"/>
              </w:rPr>
            </w:pPr>
          </w:p>
          <w:p w:rsidR="00EA4900" w:rsidRPr="00C04C22" w:rsidRDefault="00EA4900" w:rsidP="00E27D83">
            <w:pPr>
              <w:rPr>
                <w:sz w:val="18"/>
                <w:szCs w:val="18"/>
                <w:u w:val="single"/>
                <w:lang w:eastAsia="ja-JP"/>
              </w:rPr>
            </w:pPr>
            <w:r w:rsidRPr="00C04C22">
              <w:rPr>
                <w:rFonts w:hint="eastAsia"/>
                <w:sz w:val="18"/>
                <w:szCs w:val="18"/>
                <w:u w:val="single"/>
                <w:lang w:eastAsia="ja-JP"/>
              </w:rPr>
              <w:t>Reasons provided</w:t>
            </w:r>
            <w:r w:rsidRPr="00C04C22">
              <w:rPr>
                <w:sz w:val="18"/>
                <w:szCs w:val="18"/>
                <w:u w:val="single"/>
              </w:rPr>
              <w:t xml:space="preserve"> by </w:t>
            </w:r>
            <w:r w:rsidRPr="00C04C22">
              <w:rPr>
                <w:rFonts w:hint="eastAsia"/>
                <w:sz w:val="18"/>
                <w:szCs w:val="18"/>
                <w:u w:val="single"/>
                <w:lang w:eastAsia="ja-JP"/>
              </w:rPr>
              <w:t xml:space="preserve">Netherlands submitted in conjunction with other proposals for </w:t>
            </w:r>
            <w:r w:rsidRPr="00C04C22">
              <w:rPr>
                <w:sz w:val="18"/>
                <w:szCs w:val="18"/>
                <w:u w:val="single"/>
                <w:lang w:eastAsia="ja-JP"/>
              </w:rPr>
              <w:t>UPOV Circular E-16/088 of April 13, 2016</w:t>
            </w:r>
          </w:p>
          <w:p w:rsidR="00EA4900" w:rsidRPr="00494FFB" w:rsidRDefault="00EA4900" w:rsidP="00E27D83">
            <w:pPr>
              <w:rPr>
                <w:sz w:val="18"/>
                <w:szCs w:val="18"/>
              </w:rPr>
            </w:pPr>
          </w:p>
        </w:tc>
      </w:tr>
    </w:tbl>
    <w:p w:rsidR="00EA4900" w:rsidRDefault="00EA4900" w:rsidP="00EA4900"/>
    <w:p w:rsidR="00EA4900" w:rsidRPr="00407B23" w:rsidRDefault="00EA4900" w:rsidP="00EA4900">
      <w:pPr>
        <w:jc w:val="right"/>
      </w:pPr>
    </w:p>
    <w:p w:rsidR="00EA4900" w:rsidRPr="00407B23" w:rsidRDefault="00EA4900" w:rsidP="00EA4900">
      <w:pPr>
        <w:jc w:val="right"/>
      </w:pPr>
    </w:p>
    <w:p w:rsidR="00EA4900" w:rsidRPr="00407B23" w:rsidRDefault="00EA4900" w:rsidP="00FD2ABF">
      <w:pPr>
        <w:jc w:val="right"/>
      </w:pPr>
    </w:p>
    <w:p w:rsidR="00EA4900" w:rsidRDefault="00FD2ABF" w:rsidP="00FD2ABF">
      <w:pPr>
        <w:jc w:val="right"/>
      </w:pPr>
      <w:r>
        <w:t>[</w:t>
      </w:r>
      <w:r w:rsidRPr="00527219">
        <w:t xml:space="preserve">Annex </w:t>
      </w:r>
      <w:r w:rsidRPr="00527219">
        <w:t>I</w:t>
      </w:r>
      <w:r>
        <w:t xml:space="preserve"> </w:t>
      </w:r>
      <w:r>
        <w:t xml:space="preserve">of document </w:t>
      </w:r>
      <w:r>
        <w:t>UPOV/INF/12/5</w:t>
      </w:r>
      <w:r>
        <w:t xml:space="preserve"> follows]</w:t>
      </w:r>
    </w:p>
    <w:p w:rsidR="00FD2ABF" w:rsidRDefault="00FD2ABF">
      <w:pPr>
        <w:jc w:val="left"/>
      </w:pPr>
      <w:r>
        <w:br w:type="page"/>
      </w:r>
    </w:p>
    <w:p w:rsidR="00EA4900" w:rsidRPr="00527219" w:rsidRDefault="00FD2ABF" w:rsidP="00EA4900">
      <w:pPr>
        <w:jc w:val="center"/>
      </w:pPr>
      <w:r w:rsidRPr="00527219">
        <w:lastRenderedPageBreak/>
        <w:t>ANNEX I</w:t>
      </w:r>
      <w:r>
        <w:t xml:space="preserve"> OF DOCUMENT UPOV/INF/12/5</w:t>
      </w:r>
    </w:p>
    <w:p w:rsidR="00EA4900" w:rsidRPr="00527219" w:rsidRDefault="00EA4900" w:rsidP="00EA4900">
      <w:pPr>
        <w:jc w:val="center"/>
      </w:pPr>
    </w:p>
    <w:p w:rsidR="00EA4900" w:rsidRPr="00DE1471" w:rsidRDefault="00EA4900" w:rsidP="00EA4900">
      <w:pPr>
        <w:spacing w:line="240" w:lineRule="atLeast"/>
        <w:jc w:val="center"/>
        <w:rPr>
          <w:u w:val="single"/>
        </w:rPr>
      </w:pPr>
      <w:r w:rsidRPr="00DE1471">
        <w:rPr>
          <w:u w:val="single"/>
        </w:rPr>
        <w:t xml:space="preserve">UPOV Variety Denomination Classes:  </w:t>
      </w:r>
      <w:r w:rsidRPr="00DE1471">
        <w:rPr>
          <w:u w:val="single"/>
        </w:rPr>
        <w:br/>
        <w:t>A Variety Denomination Should not be Used More than Once in the Same Class</w:t>
      </w:r>
    </w:p>
    <w:p w:rsidR="00EA4900" w:rsidRPr="00407B23" w:rsidRDefault="00EA4900" w:rsidP="00EA4900">
      <w:pPr>
        <w:spacing w:line="240" w:lineRule="atLeast"/>
        <w:rPr>
          <w:b/>
        </w:rPr>
      </w:pPr>
    </w:p>
    <w:p w:rsidR="00EA4900" w:rsidRPr="00407B23" w:rsidRDefault="00EA4900" w:rsidP="00EA4900">
      <w:pPr>
        <w:spacing w:line="240" w:lineRule="atLeast"/>
      </w:pPr>
      <w:r w:rsidRPr="00407B23">
        <w:t xml:space="preserve">For the purposes of providing guidance on the third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EA4900" w:rsidRPr="00407B23" w:rsidRDefault="00EA4900" w:rsidP="00EA4900">
      <w:pPr>
        <w:spacing w:line="240" w:lineRule="atLeast"/>
      </w:pPr>
    </w:p>
    <w:p w:rsidR="00EA4900" w:rsidRPr="00407B23" w:rsidRDefault="00EA4900" w:rsidP="00EA4900">
      <w:pPr>
        <w:spacing w:line="240" w:lineRule="atLeast"/>
      </w:pPr>
      <w:r w:rsidRPr="00407B23">
        <w:t xml:space="preserve">The variety denomination classes are as follows:  </w:t>
      </w:r>
    </w:p>
    <w:p w:rsidR="00EA4900" w:rsidRPr="00407B23" w:rsidRDefault="00EA4900" w:rsidP="00EA4900">
      <w:pPr>
        <w:spacing w:line="240" w:lineRule="atLeast"/>
      </w:pPr>
    </w:p>
    <w:p w:rsidR="00EA4900" w:rsidRPr="00DE1471" w:rsidRDefault="00EA4900" w:rsidP="00EA4900">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this Annex, a genus is considered to be a class;   </w:t>
      </w:r>
    </w:p>
    <w:p w:rsidR="00EA4900" w:rsidRPr="00DE1471" w:rsidRDefault="00EA4900" w:rsidP="00EA4900">
      <w:pPr>
        <w:pStyle w:val="BodyTextIndent"/>
        <w:ind w:left="0"/>
        <w:rPr>
          <w:lang w:val="en-US"/>
        </w:rPr>
      </w:pPr>
    </w:p>
    <w:p w:rsidR="00EA4900" w:rsidRPr="00DE1471" w:rsidRDefault="00EA4900" w:rsidP="00EA4900">
      <w:pPr>
        <w:pStyle w:val="BodyTextIndent"/>
        <w:ind w:left="0" w:firstLine="567"/>
        <w:rPr>
          <w:lang w:val="en-US"/>
        </w:rPr>
      </w:pPr>
      <w:r w:rsidRPr="00DE1471">
        <w:rPr>
          <w:lang w:val="en-US"/>
        </w:rPr>
        <w:t>(b)</w:t>
      </w:r>
      <w:r w:rsidRPr="00DE1471">
        <w:rPr>
          <w:lang w:val="en-US"/>
        </w:rPr>
        <w:tab/>
        <w:t xml:space="preserve">Exceptions to the General Rule (list of classes):  </w:t>
      </w:r>
    </w:p>
    <w:p w:rsidR="00EA4900" w:rsidRPr="00DE1471" w:rsidRDefault="00EA4900" w:rsidP="00EA4900">
      <w:pPr>
        <w:pStyle w:val="BodyTextIndent"/>
        <w:tabs>
          <w:tab w:val="right" w:pos="1134"/>
        </w:tabs>
        <w:ind w:left="0"/>
        <w:rPr>
          <w:lang w:val="en-US"/>
        </w:rPr>
      </w:pPr>
    </w:p>
    <w:p w:rsidR="00EA4900" w:rsidRPr="00407B23" w:rsidRDefault="00EA4900" w:rsidP="00EA4900">
      <w:pPr>
        <w:tabs>
          <w:tab w:val="right" w:pos="1134"/>
          <w:tab w:val="left" w:pos="1418"/>
        </w:tabs>
      </w:pPr>
      <w:r w:rsidRPr="00407B23">
        <w:tab/>
        <w:t>(i)</w:t>
      </w:r>
      <w:r w:rsidRPr="00407B23">
        <w:tab/>
        <w:t xml:space="preserve">classes within a genus:  List of classes in this Annex:  Part I;  </w:t>
      </w:r>
    </w:p>
    <w:p w:rsidR="00EA4900" w:rsidRPr="00407B23" w:rsidRDefault="00EA4900" w:rsidP="00EA4900">
      <w:pPr>
        <w:tabs>
          <w:tab w:val="right" w:pos="1134"/>
          <w:tab w:val="left" w:pos="1418"/>
        </w:tabs>
      </w:pPr>
    </w:p>
    <w:p w:rsidR="00EA4900" w:rsidRPr="00407B23" w:rsidRDefault="00EA4900" w:rsidP="00EA4900">
      <w:pPr>
        <w:tabs>
          <w:tab w:val="right" w:pos="1134"/>
          <w:tab w:val="left" w:pos="1418"/>
        </w:tabs>
      </w:pPr>
      <w:r w:rsidRPr="00407B23">
        <w:tab/>
        <w:t>(ii)</w:t>
      </w:r>
      <w:r w:rsidRPr="00407B23">
        <w:tab/>
        <w:t>classes encompassing more than one genus:  List of classes in this Annex:  Part II.</w:t>
      </w:r>
    </w:p>
    <w:p w:rsidR="00EA4900" w:rsidRDefault="00EA4900" w:rsidP="00EA4900">
      <w:pPr>
        <w:pStyle w:val="BodyTextIndent"/>
        <w:ind w:left="0"/>
        <w:rPr>
          <w:lang w:val="en-US"/>
        </w:rPr>
      </w:pPr>
    </w:p>
    <w:p w:rsidR="00EA4900" w:rsidRPr="00DE1471" w:rsidRDefault="00EA4900" w:rsidP="00EA4900">
      <w:pPr>
        <w:pStyle w:val="BodyTextIndent"/>
        <w:ind w:left="0"/>
        <w:rPr>
          <w:lang w:val="en-US"/>
        </w:rPr>
      </w:pPr>
    </w:p>
    <w:p w:rsidR="00EA4900" w:rsidRPr="00407B23" w:rsidRDefault="00EA4900" w:rsidP="00EA4900">
      <w:pPr>
        <w:jc w:val="center"/>
      </w:pPr>
      <w:r w:rsidRPr="00407B23">
        <w:t>LIST OF CLASSES</w:t>
      </w:r>
    </w:p>
    <w:p w:rsidR="00EA4900" w:rsidRPr="00DE1471" w:rsidRDefault="00EA4900" w:rsidP="00EA4900">
      <w:pPr>
        <w:rPr>
          <w:u w:val="single"/>
        </w:rPr>
      </w:pPr>
    </w:p>
    <w:p w:rsidR="00EA4900" w:rsidRPr="00EA4900" w:rsidRDefault="00EA4900" w:rsidP="00EA4900">
      <w:pPr>
        <w:jc w:val="center"/>
        <w:rPr>
          <w:u w:val="single"/>
        </w:rPr>
      </w:pPr>
      <w:r w:rsidRPr="00EA4900">
        <w:rPr>
          <w:u w:val="single"/>
        </w:rPr>
        <w:t>Part I</w:t>
      </w:r>
    </w:p>
    <w:p w:rsidR="00EA4900" w:rsidRPr="00DE1471" w:rsidRDefault="00EA4900" w:rsidP="006A3091">
      <w:pPr>
        <w:pStyle w:val="EndnoteText"/>
      </w:pPr>
    </w:p>
    <w:p w:rsidR="00EA4900" w:rsidRPr="00DE1471" w:rsidRDefault="00EA4900" w:rsidP="00EA4900">
      <w:pPr>
        <w:jc w:val="center"/>
        <w:rPr>
          <w:i/>
        </w:rPr>
      </w:pPr>
      <w:r w:rsidRPr="00DE1471">
        <w:rPr>
          <w:i/>
        </w:rPr>
        <w:t>Classes within a genus</w:t>
      </w:r>
    </w:p>
    <w:p w:rsidR="00EA4900" w:rsidRDefault="00EA4900" w:rsidP="00EA4900">
      <w:pPr>
        <w:pStyle w:val="Style1"/>
        <w:tabs>
          <w:tab w:val="clear" w:pos="907"/>
          <w:tab w:val="clear" w:pos="1077"/>
        </w:tabs>
        <w:rPr>
          <w:szCs w:val="20"/>
        </w:rPr>
      </w:pPr>
    </w:p>
    <w:p w:rsidR="00EA4900" w:rsidRPr="00DE1471" w:rsidRDefault="00EA4900" w:rsidP="00EA4900">
      <w:pPr>
        <w:pStyle w:val="Style1"/>
        <w:tabs>
          <w:tab w:val="clear" w:pos="907"/>
          <w:tab w:val="clear" w:pos="1077"/>
        </w:tabs>
        <w:rPr>
          <w:szCs w:val="20"/>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EA4900" w:rsidRPr="00A6443F" w:rsidTr="00E27D83">
        <w:trPr>
          <w:cantSplit/>
          <w:tblHeader/>
        </w:trPr>
        <w:tc>
          <w:tcPr>
            <w:tcW w:w="1418" w:type="dxa"/>
            <w:shd w:val="clear" w:color="auto" w:fill="D9D9D9" w:themeFill="background1" w:themeFillShade="D9"/>
            <w:vAlign w:val="center"/>
          </w:tcPr>
          <w:p w:rsidR="00EA4900" w:rsidRPr="00A6443F" w:rsidRDefault="00EA4900" w:rsidP="00E27D83">
            <w:pPr>
              <w:spacing w:before="40" w:after="60"/>
              <w:jc w:val="left"/>
              <w:rPr>
                <w:sz w:val="18"/>
                <w:u w:val="single"/>
              </w:rPr>
            </w:pPr>
          </w:p>
        </w:tc>
        <w:tc>
          <w:tcPr>
            <w:tcW w:w="5670" w:type="dxa"/>
            <w:shd w:val="clear" w:color="auto" w:fill="D9D9D9" w:themeFill="background1" w:themeFillShade="D9"/>
            <w:vAlign w:val="center"/>
          </w:tcPr>
          <w:p w:rsidR="00EA4900" w:rsidRPr="00A6443F" w:rsidRDefault="00EA4900" w:rsidP="00E27D83">
            <w:pPr>
              <w:spacing w:before="40" w:after="60"/>
              <w:jc w:val="center"/>
              <w:rPr>
                <w:sz w:val="18"/>
                <w:u w:val="single"/>
              </w:rPr>
            </w:pPr>
            <w:r w:rsidRPr="00A6443F">
              <w:rPr>
                <w:sz w:val="18"/>
                <w:u w:val="single"/>
              </w:rPr>
              <w:t>Botanical names</w:t>
            </w:r>
          </w:p>
        </w:tc>
        <w:tc>
          <w:tcPr>
            <w:tcW w:w="2551" w:type="dxa"/>
            <w:shd w:val="clear" w:color="auto" w:fill="D9D9D9" w:themeFill="background1" w:themeFillShade="D9"/>
            <w:vAlign w:val="center"/>
          </w:tcPr>
          <w:p w:rsidR="00EA4900" w:rsidRPr="00A6443F" w:rsidRDefault="00EA4900" w:rsidP="00E27D83">
            <w:pPr>
              <w:spacing w:before="40" w:after="60"/>
              <w:jc w:val="center"/>
              <w:rPr>
                <w:sz w:val="18"/>
                <w:u w:val="single"/>
              </w:rPr>
            </w:pPr>
            <w:r w:rsidRPr="00A6443F">
              <w:rPr>
                <w:sz w:val="18"/>
                <w:u w:val="single"/>
              </w:rPr>
              <w:t>UPOV codes</w:t>
            </w:r>
          </w:p>
        </w:tc>
      </w:tr>
      <w:tr w:rsidR="00EA4900" w:rsidRPr="00A6443F" w:rsidTr="00E27D83">
        <w:trPr>
          <w:cantSplit/>
          <w:tblHeader/>
        </w:trPr>
        <w:tc>
          <w:tcPr>
            <w:tcW w:w="1418" w:type="dxa"/>
            <w:tcBorders>
              <w:left w:val="nil"/>
              <w:right w:val="nil"/>
            </w:tcBorders>
          </w:tcPr>
          <w:p w:rsidR="00EA4900" w:rsidRPr="00A6443F" w:rsidRDefault="00EA4900" w:rsidP="00E27D83">
            <w:pPr>
              <w:jc w:val="left"/>
              <w:rPr>
                <w:sz w:val="18"/>
              </w:rPr>
            </w:pPr>
          </w:p>
        </w:tc>
        <w:tc>
          <w:tcPr>
            <w:tcW w:w="5670" w:type="dxa"/>
            <w:tcBorders>
              <w:left w:val="nil"/>
              <w:right w:val="nil"/>
            </w:tcBorders>
          </w:tcPr>
          <w:p w:rsidR="00EA4900" w:rsidRPr="00A6443F" w:rsidRDefault="00EA4900" w:rsidP="00E27D83">
            <w:pPr>
              <w:jc w:val="left"/>
              <w:rPr>
                <w:sz w:val="18"/>
              </w:rPr>
            </w:pPr>
          </w:p>
        </w:tc>
        <w:tc>
          <w:tcPr>
            <w:tcW w:w="2551" w:type="dxa"/>
            <w:tcBorders>
              <w:left w:val="nil"/>
              <w:right w:val="nil"/>
            </w:tcBorders>
          </w:tcPr>
          <w:p w:rsidR="00EA4900" w:rsidRPr="00A6443F" w:rsidRDefault="00EA4900" w:rsidP="00E27D83">
            <w:pPr>
              <w:jc w:val="left"/>
              <w:rPr>
                <w:sz w:val="18"/>
              </w:rPr>
            </w:pPr>
          </w:p>
        </w:tc>
      </w:tr>
      <w:tr w:rsidR="00EA4900" w:rsidRPr="00A6443F" w:rsidTr="00E27D83">
        <w:trPr>
          <w:cantSplit/>
        </w:trPr>
        <w:tc>
          <w:tcPr>
            <w:tcW w:w="1418" w:type="dxa"/>
          </w:tcPr>
          <w:p w:rsidR="00EA4900" w:rsidRPr="00A6443F" w:rsidRDefault="00EA4900" w:rsidP="00E27D83">
            <w:pPr>
              <w:spacing w:before="40" w:after="40"/>
              <w:jc w:val="left"/>
              <w:rPr>
                <w:sz w:val="18"/>
              </w:rPr>
            </w:pPr>
            <w:r w:rsidRPr="00A6443F">
              <w:rPr>
                <w:sz w:val="18"/>
              </w:rPr>
              <w:t>Class 1.1</w:t>
            </w:r>
          </w:p>
        </w:tc>
        <w:tc>
          <w:tcPr>
            <w:tcW w:w="5670" w:type="dxa"/>
          </w:tcPr>
          <w:p w:rsidR="00EA4900" w:rsidRPr="00A6443F" w:rsidRDefault="00EA4900" w:rsidP="00E27D83">
            <w:pPr>
              <w:spacing w:before="40" w:after="40"/>
              <w:jc w:val="left"/>
              <w:rPr>
                <w:sz w:val="18"/>
              </w:rPr>
            </w:pPr>
            <w:r w:rsidRPr="00A6443F">
              <w:rPr>
                <w:sz w:val="18"/>
              </w:rPr>
              <w:t>Brassica oleracea</w:t>
            </w:r>
          </w:p>
        </w:tc>
        <w:tc>
          <w:tcPr>
            <w:tcW w:w="2551" w:type="dxa"/>
          </w:tcPr>
          <w:p w:rsidR="00EA4900" w:rsidRPr="00A6443F" w:rsidRDefault="00EA4900" w:rsidP="00E27D83">
            <w:pPr>
              <w:spacing w:before="40" w:after="40"/>
              <w:jc w:val="left"/>
              <w:rPr>
                <w:sz w:val="18"/>
              </w:rPr>
            </w:pPr>
            <w:r w:rsidRPr="00A6443F">
              <w:rPr>
                <w:sz w:val="18"/>
              </w:rPr>
              <w:t>BRASS_OLE</w:t>
            </w:r>
          </w:p>
        </w:tc>
      </w:tr>
      <w:tr w:rsidR="00EA4900" w:rsidRPr="00A6443F" w:rsidTr="00E27D83">
        <w:trPr>
          <w:cantSplit/>
        </w:trPr>
        <w:tc>
          <w:tcPr>
            <w:tcW w:w="1418" w:type="dxa"/>
            <w:tcBorders>
              <w:bottom w:val="nil"/>
            </w:tcBorders>
          </w:tcPr>
          <w:p w:rsidR="00EA4900" w:rsidRPr="00A6443F" w:rsidRDefault="00EA4900" w:rsidP="00E27D83">
            <w:pPr>
              <w:spacing w:before="40" w:after="40"/>
              <w:jc w:val="left"/>
              <w:rPr>
                <w:sz w:val="18"/>
              </w:rPr>
            </w:pPr>
            <w:r w:rsidRPr="00A6443F">
              <w:rPr>
                <w:sz w:val="18"/>
              </w:rPr>
              <w:t>Class 1.2</w:t>
            </w:r>
          </w:p>
        </w:tc>
        <w:tc>
          <w:tcPr>
            <w:tcW w:w="5670" w:type="dxa"/>
            <w:tcBorders>
              <w:bottom w:val="nil"/>
            </w:tcBorders>
          </w:tcPr>
          <w:p w:rsidR="00EA4900" w:rsidRPr="00A6443F" w:rsidRDefault="00EA4900" w:rsidP="00E27D83">
            <w:pPr>
              <w:spacing w:before="40" w:after="40"/>
              <w:jc w:val="left"/>
              <w:rPr>
                <w:sz w:val="18"/>
              </w:rPr>
            </w:pPr>
            <w:r w:rsidRPr="00A6443F">
              <w:rPr>
                <w:sz w:val="18"/>
              </w:rPr>
              <w:t>Brassica other than Brassica oleracea</w:t>
            </w:r>
          </w:p>
        </w:tc>
        <w:tc>
          <w:tcPr>
            <w:tcW w:w="2551" w:type="dxa"/>
            <w:tcBorders>
              <w:bottom w:val="nil"/>
            </w:tcBorders>
          </w:tcPr>
          <w:p w:rsidR="00EA4900" w:rsidRPr="00A6443F" w:rsidRDefault="00EA4900" w:rsidP="00E27D83">
            <w:pPr>
              <w:spacing w:before="40" w:after="40"/>
              <w:jc w:val="left"/>
              <w:rPr>
                <w:sz w:val="18"/>
              </w:rPr>
            </w:pPr>
            <w:r w:rsidRPr="00A6443F">
              <w:rPr>
                <w:sz w:val="18"/>
              </w:rPr>
              <w:t>other than BRASS_OLE</w:t>
            </w:r>
          </w:p>
        </w:tc>
      </w:tr>
      <w:tr w:rsidR="00EA4900" w:rsidRPr="00A6443F" w:rsidTr="00E27D83">
        <w:trPr>
          <w:cantSplit/>
        </w:trPr>
        <w:tc>
          <w:tcPr>
            <w:tcW w:w="1418" w:type="dxa"/>
            <w:tcBorders>
              <w:left w:val="nil"/>
              <w:right w:val="nil"/>
            </w:tcBorders>
          </w:tcPr>
          <w:p w:rsidR="00EA4900" w:rsidRPr="00A6443F" w:rsidRDefault="00EA4900" w:rsidP="00E27D83">
            <w:pPr>
              <w:jc w:val="left"/>
              <w:rPr>
                <w:sz w:val="18"/>
              </w:rPr>
            </w:pPr>
          </w:p>
        </w:tc>
        <w:tc>
          <w:tcPr>
            <w:tcW w:w="5670" w:type="dxa"/>
            <w:tcBorders>
              <w:left w:val="nil"/>
              <w:right w:val="nil"/>
            </w:tcBorders>
          </w:tcPr>
          <w:p w:rsidR="00EA4900" w:rsidRPr="00A6443F" w:rsidRDefault="00EA4900" w:rsidP="00E27D83">
            <w:pPr>
              <w:jc w:val="left"/>
              <w:rPr>
                <w:sz w:val="18"/>
              </w:rPr>
            </w:pPr>
          </w:p>
        </w:tc>
        <w:tc>
          <w:tcPr>
            <w:tcW w:w="2551" w:type="dxa"/>
            <w:tcBorders>
              <w:left w:val="nil"/>
              <w:right w:val="nil"/>
            </w:tcBorders>
          </w:tcPr>
          <w:p w:rsidR="00EA4900" w:rsidRPr="00A6443F" w:rsidRDefault="00EA4900" w:rsidP="00E27D83">
            <w:pPr>
              <w:jc w:val="left"/>
              <w:rPr>
                <w:sz w:val="18"/>
              </w:rPr>
            </w:pPr>
          </w:p>
        </w:tc>
      </w:tr>
      <w:tr w:rsidR="00EA4900" w:rsidRPr="00557AC8" w:rsidTr="00E27D83">
        <w:trPr>
          <w:cantSplit/>
        </w:trPr>
        <w:tc>
          <w:tcPr>
            <w:tcW w:w="1418" w:type="dxa"/>
          </w:tcPr>
          <w:p w:rsidR="00EA4900" w:rsidRPr="00A6443F" w:rsidRDefault="00EA4900" w:rsidP="00E27D83">
            <w:pPr>
              <w:spacing w:before="40" w:after="40"/>
              <w:jc w:val="left"/>
              <w:rPr>
                <w:sz w:val="18"/>
              </w:rPr>
            </w:pPr>
            <w:r w:rsidRPr="00A6443F">
              <w:rPr>
                <w:sz w:val="18"/>
              </w:rPr>
              <w:t>Class 2.1</w:t>
            </w:r>
          </w:p>
        </w:tc>
        <w:tc>
          <w:tcPr>
            <w:tcW w:w="5670" w:type="dxa"/>
          </w:tcPr>
          <w:p w:rsidR="00EA4900" w:rsidRPr="00A6443F" w:rsidRDefault="00EA4900" w:rsidP="00E27D83">
            <w:pPr>
              <w:spacing w:before="40" w:after="40"/>
              <w:jc w:val="left"/>
              <w:rPr>
                <w:sz w:val="18"/>
                <w:lang w:val="es-ES"/>
              </w:rPr>
            </w:pPr>
            <w:r w:rsidRPr="00A6443F">
              <w:rPr>
                <w:sz w:val="18"/>
                <w:lang w:val="es-ES"/>
              </w:rPr>
              <w:t xml:space="preserve">Beta vulgaris L. var. alba DC., </w:t>
            </w:r>
            <w:r w:rsidRPr="00A6443F">
              <w:rPr>
                <w:sz w:val="18"/>
                <w:lang w:val="es-ES"/>
              </w:rPr>
              <w:br/>
              <w:t>Beta vulgaris L. var. altissima</w:t>
            </w:r>
          </w:p>
        </w:tc>
        <w:tc>
          <w:tcPr>
            <w:tcW w:w="2551" w:type="dxa"/>
          </w:tcPr>
          <w:p w:rsidR="00EA4900" w:rsidRPr="00A6443F" w:rsidRDefault="00EA4900" w:rsidP="00E27D83">
            <w:pPr>
              <w:spacing w:before="40" w:after="40"/>
              <w:jc w:val="left"/>
              <w:rPr>
                <w:sz w:val="18"/>
                <w:lang w:val="nl-NL"/>
              </w:rPr>
            </w:pPr>
            <w:r w:rsidRPr="00A6443F">
              <w:rPr>
                <w:sz w:val="18"/>
                <w:lang w:val="nl-NL"/>
              </w:rPr>
              <w:t>BETAA_VUL_GVA;  BETAA_VUL_GVS</w:t>
            </w:r>
          </w:p>
        </w:tc>
      </w:tr>
      <w:tr w:rsidR="00EA4900" w:rsidRPr="00557AC8" w:rsidTr="00E27D83">
        <w:trPr>
          <w:cantSplit/>
        </w:trPr>
        <w:tc>
          <w:tcPr>
            <w:tcW w:w="1418" w:type="dxa"/>
          </w:tcPr>
          <w:p w:rsidR="00EA4900" w:rsidRPr="00A6443F" w:rsidRDefault="00EA4900" w:rsidP="00E27D83">
            <w:pPr>
              <w:spacing w:before="40" w:after="40"/>
              <w:jc w:val="left"/>
              <w:rPr>
                <w:sz w:val="18"/>
              </w:rPr>
            </w:pPr>
            <w:r w:rsidRPr="00A6443F">
              <w:rPr>
                <w:sz w:val="18"/>
              </w:rPr>
              <w:t>Class 2.2</w:t>
            </w:r>
          </w:p>
        </w:tc>
        <w:tc>
          <w:tcPr>
            <w:tcW w:w="5670" w:type="dxa"/>
          </w:tcPr>
          <w:p w:rsidR="00EA4900" w:rsidRPr="00A6443F" w:rsidRDefault="00EA4900" w:rsidP="00E27D83">
            <w:pPr>
              <w:spacing w:before="40" w:after="40"/>
              <w:jc w:val="left"/>
              <w:rPr>
                <w:sz w:val="18"/>
                <w:lang w:val="es-ES"/>
              </w:rPr>
            </w:pPr>
            <w:r w:rsidRPr="00A6443F">
              <w:rPr>
                <w:sz w:val="18"/>
                <w:lang w:val="es-ES"/>
              </w:rPr>
              <w:t>Beta vulgaris ssp. vulgaris var. conditiva Alef. (syn.:  B. vulgaris L. var. rubra L.), B. vulgaris L. var. cicla L., B. vulgaris L. ssp. vulgaris var. vulgaris</w:t>
            </w:r>
          </w:p>
        </w:tc>
        <w:tc>
          <w:tcPr>
            <w:tcW w:w="2551" w:type="dxa"/>
          </w:tcPr>
          <w:p w:rsidR="00EA4900" w:rsidRPr="00A6443F" w:rsidRDefault="00EA4900" w:rsidP="00E27D83">
            <w:pPr>
              <w:spacing w:before="40" w:after="40"/>
              <w:jc w:val="left"/>
              <w:rPr>
                <w:sz w:val="18"/>
                <w:lang w:val="nl-NL"/>
              </w:rPr>
            </w:pPr>
            <w:r w:rsidRPr="00A6443F">
              <w:rPr>
                <w:sz w:val="18"/>
                <w:lang w:val="nl-NL"/>
              </w:rPr>
              <w:t>BETAA_VUL_GVC; BETAA_VUL_GVF</w:t>
            </w:r>
          </w:p>
        </w:tc>
      </w:tr>
      <w:tr w:rsidR="00EA4900" w:rsidRPr="00A6443F" w:rsidTr="00E27D83">
        <w:trPr>
          <w:cantSplit/>
        </w:trPr>
        <w:tc>
          <w:tcPr>
            <w:tcW w:w="1418" w:type="dxa"/>
            <w:tcBorders>
              <w:bottom w:val="nil"/>
            </w:tcBorders>
          </w:tcPr>
          <w:p w:rsidR="00EA4900" w:rsidRPr="00A6443F" w:rsidRDefault="00EA4900" w:rsidP="00E27D83">
            <w:pPr>
              <w:spacing w:before="40" w:after="40"/>
              <w:jc w:val="left"/>
              <w:rPr>
                <w:sz w:val="18"/>
              </w:rPr>
            </w:pPr>
            <w:r w:rsidRPr="00A6443F">
              <w:rPr>
                <w:sz w:val="18"/>
              </w:rPr>
              <w:t>Class 2.3</w:t>
            </w:r>
          </w:p>
        </w:tc>
        <w:tc>
          <w:tcPr>
            <w:tcW w:w="5670" w:type="dxa"/>
            <w:tcBorders>
              <w:bottom w:val="nil"/>
            </w:tcBorders>
          </w:tcPr>
          <w:p w:rsidR="00EA4900" w:rsidRPr="00A6443F" w:rsidRDefault="00EA4900" w:rsidP="00E27D83">
            <w:pPr>
              <w:spacing w:before="40" w:after="40"/>
              <w:jc w:val="left"/>
              <w:rPr>
                <w:sz w:val="18"/>
              </w:rPr>
            </w:pPr>
            <w:r w:rsidRPr="00A6443F">
              <w:rPr>
                <w:sz w:val="18"/>
              </w:rPr>
              <w:t>Beta other than classes 2.1 and 2.2.</w:t>
            </w:r>
          </w:p>
        </w:tc>
        <w:tc>
          <w:tcPr>
            <w:tcW w:w="2551" w:type="dxa"/>
            <w:tcBorders>
              <w:bottom w:val="nil"/>
            </w:tcBorders>
          </w:tcPr>
          <w:p w:rsidR="00EA4900" w:rsidRPr="00A6443F" w:rsidRDefault="00EA4900" w:rsidP="00E27D83">
            <w:pPr>
              <w:spacing w:before="40" w:after="40"/>
              <w:jc w:val="left"/>
              <w:rPr>
                <w:sz w:val="18"/>
              </w:rPr>
            </w:pPr>
            <w:r w:rsidRPr="00A6443F">
              <w:rPr>
                <w:sz w:val="18"/>
              </w:rPr>
              <w:t>other than classes 2.1</w:t>
            </w:r>
            <w:r w:rsidRPr="00A6443F">
              <w:rPr>
                <w:sz w:val="18"/>
              </w:rPr>
              <w:br/>
              <w:t>and 2.2</w:t>
            </w:r>
          </w:p>
        </w:tc>
      </w:tr>
      <w:tr w:rsidR="00EA4900" w:rsidRPr="00A6443F" w:rsidTr="00E27D83">
        <w:trPr>
          <w:cantSplit/>
        </w:trPr>
        <w:tc>
          <w:tcPr>
            <w:tcW w:w="1418" w:type="dxa"/>
            <w:tcBorders>
              <w:left w:val="nil"/>
              <w:bottom w:val="nil"/>
              <w:right w:val="nil"/>
            </w:tcBorders>
          </w:tcPr>
          <w:p w:rsidR="00EA4900" w:rsidRPr="00A6443F" w:rsidRDefault="00EA4900" w:rsidP="00E27D83">
            <w:pPr>
              <w:jc w:val="left"/>
              <w:rPr>
                <w:sz w:val="18"/>
              </w:rPr>
            </w:pPr>
          </w:p>
        </w:tc>
        <w:tc>
          <w:tcPr>
            <w:tcW w:w="5670" w:type="dxa"/>
            <w:tcBorders>
              <w:left w:val="nil"/>
              <w:bottom w:val="nil"/>
              <w:right w:val="nil"/>
            </w:tcBorders>
          </w:tcPr>
          <w:p w:rsidR="00EA4900" w:rsidRPr="00A6443F" w:rsidRDefault="00EA4900" w:rsidP="00E27D83">
            <w:pPr>
              <w:jc w:val="left"/>
              <w:rPr>
                <w:sz w:val="18"/>
              </w:rPr>
            </w:pPr>
          </w:p>
        </w:tc>
        <w:tc>
          <w:tcPr>
            <w:tcW w:w="2551" w:type="dxa"/>
            <w:tcBorders>
              <w:left w:val="nil"/>
              <w:bottom w:val="nil"/>
              <w:right w:val="nil"/>
            </w:tcBorders>
          </w:tcPr>
          <w:p w:rsidR="00EA4900" w:rsidRPr="00A6443F" w:rsidRDefault="00EA4900" w:rsidP="00E27D83">
            <w:pPr>
              <w:jc w:val="left"/>
              <w:rPr>
                <w:sz w:val="18"/>
              </w:rPr>
            </w:pPr>
          </w:p>
        </w:tc>
      </w:tr>
      <w:tr w:rsidR="00EA4900" w:rsidRPr="00A6443F" w:rsidTr="00E27D83">
        <w:trPr>
          <w:cantSplit/>
        </w:trPr>
        <w:tc>
          <w:tcPr>
            <w:tcW w:w="1418" w:type="dxa"/>
            <w:tcBorders>
              <w:top w:val="single" w:sz="4" w:space="0" w:color="auto"/>
            </w:tcBorders>
          </w:tcPr>
          <w:p w:rsidR="00EA4900" w:rsidRPr="00A6443F" w:rsidRDefault="00EA4900" w:rsidP="00E27D83">
            <w:pPr>
              <w:spacing w:before="40" w:after="40"/>
              <w:jc w:val="left"/>
              <w:rPr>
                <w:sz w:val="18"/>
              </w:rPr>
            </w:pPr>
            <w:r w:rsidRPr="00A6443F">
              <w:rPr>
                <w:sz w:val="18"/>
              </w:rPr>
              <w:t>Class 3.1</w:t>
            </w:r>
          </w:p>
        </w:tc>
        <w:tc>
          <w:tcPr>
            <w:tcW w:w="5670" w:type="dxa"/>
            <w:tcBorders>
              <w:top w:val="single" w:sz="4" w:space="0" w:color="auto"/>
            </w:tcBorders>
          </w:tcPr>
          <w:p w:rsidR="00EA4900" w:rsidRPr="00A6443F" w:rsidRDefault="00EA4900" w:rsidP="00E27D83">
            <w:pPr>
              <w:spacing w:before="40" w:after="40"/>
              <w:jc w:val="left"/>
              <w:rPr>
                <w:sz w:val="18"/>
              </w:rPr>
            </w:pPr>
            <w:r w:rsidRPr="00A6443F">
              <w:rPr>
                <w:sz w:val="18"/>
              </w:rPr>
              <w:t>Cucumis sativus</w:t>
            </w:r>
          </w:p>
        </w:tc>
        <w:tc>
          <w:tcPr>
            <w:tcW w:w="2551" w:type="dxa"/>
            <w:tcBorders>
              <w:top w:val="single" w:sz="4" w:space="0" w:color="auto"/>
            </w:tcBorders>
          </w:tcPr>
          <w:p w:rsidR="00EA4900" w:rsidRPr="00A6443F" w:rsidRDefault="00EA4900" w:rsidP="00E27D83">
            <w:pPr>
              <w:spacing w:before="40" w:after="40"/>
              <w:jc w:val="left"/>
              <w:rPr>
                <w:sz w:val="18"/>
              </w:rPr>
            </w:pPr>
            <w:r w:rsidRPr="00A6443F">
              <w:rPr>
                <w:sz w:val="18"/>
              </w:rPr>
              <w:t>CUCUM_SAT</w:t>
            </w:r>
          </w:p>
        </w:tc>
      </w:tr>
      <w:tr w:rsidR="00EA4900" w:rsidRPr="00A6443F" w:rsidTr="00E27D83">
        <w:trPr>
          <w:cantSplit/>
        </w:trPr>
        <w:tc>
          <w:tcPr>
            <w:tcW w:w="1418" w:type="dxa"/>
          </w:tcPr>
          <w:p w:rsidR="00EA4900" w:rsidRPr="00A6443F" w:rsidRDefault="00EA4900" w:rsidP="00E27D83">
            <w:pPr>
              <w:spacing w:before="40" w:after="40"/>
              <w:jc w:val="left"/>
              <w:rPr>
                <w:sz w:val="18"/>
              </w:rPr>
            </w:pPr>
            <w:r w:rsidRPr="00A6443F">
              <w:rPr>
                <w:sz w:val="18"/>
              </w:rPr>
              <w:t>Class 3.2</w:t>
            </w:r>
          </w:p>
        </w:tc>
        <w:tc>
          <w:tcPr>
            <w:tcW w:w="5670" w:type="dxa"/>
          </w:tcPr>
          <w:p w:rsidR="00EA4900" w:rsidRPr="00A6443F" w:rsidRDefault="00EA4900" w:rsidP="00E27D83">
            <w:pPr>
              <w:spacing w:before="40" w:after="40"/>
              <w:jc w:val="left"/>
              <w:rPr>
                <w:sz w:val="18"/>
              </w:rPr>
            </w:pPr>
            <w:r w:rsidRPr="00A6443F">
              <w:rPr>
                <w:sz w:val="18"/>
              </w:rPr>
              <w:t>Cucumis melo</w:t>
            </w:r>
          </w:p>
        </w:tc>
        <w:tc>
          <w:tcPr>
            <w:tcW w:w="2551" w:type="dxa"/>
          </w:tcPr>
          <w:p w:rsidR="00EA4900" w:rsidRPr="00A6443F" w:rsidRDefault="00EA4900" w:rsidP="00E27D83">
            <w:pPr>
              <w:spacing w:before="40" w:after="40"/>
              <w:jc w:val="left"/>
              <w:rPr>
                <w:sz w:val="18"/>
              </w:rPr>
            </w:pPr>
            <w:r w:rsidRPr="00A6443F">
              <w:rPr>
                <w:sz w:val="18"/>
              </w:rPr>
              <w:t>CUCUM_MEL</w:t>
            </w:r>
          </w:p>
        </w:tc>
      </w:tr>
      <w:tr w:rsidR="00EA4900" w:rsidRPr="00A6443F" w:rsidTr="00E27D83">
        <w:trPr>
          <w:cantSplit/>
        </w:trPr>
        <w:tc>
          <w:tcPr>
            <w:tcW w:w="1418" w:type="dxa"/>
          </w:tcPr>
          <w:p w:rsidR="00EA4900" w:rsidRPr="00A6443F" w:rsidRDefault="00EA4900" w:rsidP="00E27D83">
            <w:pPr>
              <w:spacing w:before="40" w:after="40"/>
              <w:jc w:val="left"/>
              <w:rPr>
                <w:sz w:val="18"/>
              </w:rPr>
            </w:pPr>
            <w:r w:rsidRPr="00A6443F">
              <w:rPr>
                <w:sz w:val="18"/>
              </w:rPr>
              <w:t>Class 3.3</w:t>
            </w:r>
          </w:p>
        </w:tc>
        <w:tc>
          <w:tcPr>
            <w:tcW w:w="5670" w:type="dxa"/>
          </w:tcPr>
          <w:p w:rsidR="00EA4900" w:rsidRPr="00A6443F" w:rsidRDefault="00EA4900" w:rsidP="00E27D83">
            <w:pPr>
              <w:spacing w:before="40" w:after="40"/>
              <w:jc w:val="left"/>
              <w:rPr>
                <w:sz w:val="18"/>
              </w:rPr>
            </w:pPr>
            <w:r w:rsidRPr="00A6443F">
              <w:rPr>
                <w:sz w:val="18"/>
              </w:rPr>
              <w:t>Cucumis other than classes 3.1 and 3.2</w:t>
            </w:r>
          </w:p>
        </w:tc>
        <w:tc>
          <w:tcPr>
            <w:tcW w:w="2551" w:type="dxa"/>
          </w:tcPr>
          <w:p w:rsidR="00EA4900" w:rsidRPr="00A6443F" w:rsidRDefault="00EA4900" w:rsidP="00E27D83">
            <w:pPr>
              <w:spacing w:before="40" w:after="40"/>
              <w:jc w:val="left"/>
              <w:rPr>
                <w:sz w:val="18"/>
              </w:rPr>
            </w:pPr>
            <w:r w:rsidRPr="00A6443F">
              <w:rPr>
                <w:sz w:val="18"/>
              </w:rPr>
              <w:t>other than classes 3.1</w:t>
            </w:r>
            <w:r w:rsidRPr="00A6443F">
              <w:rPr>
                <w:sz w:val="18"/>
              </w:rPr>
              <w:br/>
              <w:t>and 3.2</w:t>
            </w:r>
          </w:p>
        </w:tc>
      </w:tr>
      <w:tr w:rsidR="00EA4900" w:rsidRPr="00A6443F" w:rsidTr="00E27D83">
        <w:trPr>
          <w:cantSplit/>
        </w:trPr>
        <w:tc>
          <w:tcPr>
            <w:tcW w:w="1418" w:type="dxa"/>
            <w:tcBorders>
              <w:left w:val="nil"/>
              <w:bottom w:val="nil"/>
              <w:right w:val="nil"/>
            </w:tcBorders>
          </w:tcPr>
          <w:p w:rsidR="00EA4900" w:rsidRPr="00A6443F" w:rsidRDefault="00EA4900" w:rsidP="00E27D83">
            <w:pPr>
              <w:jc w:val="left"/>
              <w:rPr>
                <w:sz w:val="18"/>
              </w:rPr>
            </w:pPr>
          </w:p>
        </w:tc>
        <w:tc>
          <w:tcPr>
            <w:tcW w:w="5670" w:type="dxa"/>
            <w:tcBorders>
              <w:left w:val="nil"/>
              <w:bottom w:val="nil"/>
              <w:right w:val="nil"/>
            </w:tcBorders>
          </w:tcPr>
          <w:p w:rsidR="00EA4900" w:rsidRPr="00A6443F" w:rsidRDefault="00EA4900" w:rsidP="00E27D83">
            <w:pPr>
              <w:jc w:val="left"/>
              <w:rPr>
                <w:sz w:val="18"/>
              </w:rPr>
            </w:pPr>
          </w:p>
        </w:tc>
        <w:tc>
          <w:tcPr>
            <w:tcW w:w="2551" w:type="dxa"/>
            <w:tcBorders>
              <w:left w:val="nil"/>
              <w:bottom w:val="nil"/>
              <w:right w:val="nil"/>
            </w:tcBorders>
          </w:tcPr>
          <w:p w:rsidR="00EA4900" w:rsidRPr="00A6443F" w:rsidRDefault="00EA4900" w:rsidP="00E27D83">
            <w:pPr>
              <w:jc w:val="left"/>
              <w:rPr>
                <w:sz w:val="18"/>
              </w:rPr>
            </w:pPr>
          </w:p>
        </w:tc>
      </w:tr>
      <w:tr w:rsidR="00EA4900" w:rsidRPr="00A6443F" w:rsidTr="00E27D83">
        <w:trPr>
          <w:cantSplit/>
        </w:trPr>
        <w:tc>
          <w:tcPr>
            <w:tcW w:w="1418" w:type="dxa"/>
            <w:tcBorders>
              <w:top w:val="single" w:sz="4" w:space="0" w:color="auto"/>
              <w:left w:val="single" w:sz="4" w:space="0" w:color="auto"/>
              <w:bottom w:val="single" w:sz="4" w:space="0" w:color="auto"/>
            </w:tcBorders>
          </w:tcPr>
          <w:p w:rsidR="00EA4900" w:rsidRPr="00A6443F" w:rsidRDefault="00EA4900" w:rsidP="00E27D83">
            <w:pPr>
              <w:keepNext/>
              <w:spacing w:before="40" w:after="40"/>
              <w:rPr>
                <w:color w:val="000000"/>
                <w:sz w:val="18"/>
              </w:rPr>
            </w:pPr>
            <w:r w:rsidRPr="00A6443F">
              <w:rPr>
                <w:color w:val="000000"/>
                <w:sz w:val="18"/>
              </w:rPr>
              <w:t>Class 4.1</w:t>
            </w:r>
          </w:p>
        </w:tc>
        <w:tc>
          <w:tcPr>
            <w:tcW w:w="5670" w:type="dxa"/>
            <w:tcBorders>
              <w:top w:val="single" w:sz="4" w:space="0" w:color="auto"/>
              <w:bottom w:val="single" w:sz="4" w:space="0" w:color="auto"/>
            </w:tcBorders>
          </w:tcPr>
          <w:p w:rsidR="00EA4900" w:rsidRPr="00A6443F" w:rsidRDefault="00EA4900" w:rsidP="00E27D83">
            <w:pPr>
              <w:keepNext/>
              <w:spacing w:before="40" w:after="40"/>
              <w:rPr>
                <w:color w:val="000000"/>
                <w:sz w:val="18"/>
              </w:rPr>
            </w:pPr>
            <w:r w:rsidRPr="00A6443F">
              <w:rPr>
                <w:color w:val="000000"/>
                <w:sz w:val="18"/>
              </w:rPr>
              <w:t>Solanum tuberosum L.</w:t>
            </w:r>
          </w:p>
        </w:tc>
        <w:tc>
          <w:tcPr>
            <w:tcW w:w="2551" w:type="dxa"/>
            <w:tcBorders>
              <w:top w:val="single" w:sz="4" w:space="0" w:color="auto"/>
              <w:bottom w:val="single" w:sz="4" w:space="0" w:color="auto"/>
            </w:tcBorders>
          </w:tcPr>
          <w:p w:rsidR="00EA4900" w:rsidRPr="00A6443F" w:rsidRDefault="00EA4900" w:rsidP="00E27D83">
            <w:pPr>
              <w:keepNext/>
              <w:spacing w:before="40" w:after="40"/>
              <w:rPr>
                <w:color w:val="000000"/>
                <w:sz w:val="18"/>
              </w:rPr>
            </w:pPr>
            <w:r w:rsidRPr="00A6443F">
              <w:rPr>
                <w:color w:val="000000"/>
                <w:sz w:val="18"/>
              </w:rPr>
              <w:t>SOLAN_TUB</w:t>
            </w:r>
          </w:p>
        </w:tc>
      </w:tr>
      <w:tr w:rsidR="00EA4900" w:rsidRPr="00A6443F" w:rsidTr="00E27D83">
        <w:trPr>
          <w:cantSplit/>
        </w:trPr>
        <w:tc>
          <w:tcPr>
            <w:tcW w:w="1418" w:type="dxa"/>
            <w:tcBorders>
              <w:top w:val="single" w:sz="4" w:space="0" w:color="auto"/>
              <w:left w:val="single" w:sz="4" w:space="0" w:color="auto"/>
              <w:bottom w:val="dotted" w:sz="4" w:space="0" w:color="auto"/>
              <w:right w:val="single" w:sz="4" w:space="0" w:color="auto"/>
            </w:tcBorders>
          </w:tcPr>
          <w:p w:rsidR="00EA4900" w:rsidRPr="00A6443F" w:rsidRDefault="00EA4900" w:rsidP="00E27D83">
            <w:pPr>
              <w:keepNext/>
              <w:spacing w:before="40" w:after="40"/>
              <w:rPr>
                <w:color w:val="000000"/>
                <w:sz w:val="18"/>
              </w:rPr>
            </w:pPr>
            <w:r w:rsidRPr="00A6443F">
              <w:rPr>
                <w:color w:val="000000"/>
                <w:sz w:val="18"/>
              </w:rPr>
              <w:t>Class 4.2</w:t>
            </w:r>
          </w:p>
        </w:tc>
        <w:tc>
          <w:tcPr>
            <w:tcW w:w="5670" w:type="dxa"/>
            <w:tcBorders>
              <w:top w:val="single" w:sz="4" w:space="0" w:color="auto"/>
              <w:left w:val="single" w:sz="4" w:space="0" w:color="auto"/>
              <w:bottom w:val="dotted" w:sz="4" w:space="0" w:color="auto"/>
              <w:right w:val="single" w:sz="4" w:space="0" w:color="auto"/>
            </w:tcBorders>
          </w:tcPr>
          <w:p w:rsidR="00EA4900" w:rsidRPr="00A6443F" w:rsidRDefault="00EA4900" w:rsidP="00E27D83">
            <w:pPr>
              <w:keepNext/>
              <w:spacing w:before="40" w:after="40"/>
              <w:ind w:left="227" w:hanging="227"/>
              <w:jc w:val="left"/>
              <w:rPr>
                <w:iCs/>
                <w:color w:val="000000"/>
                <w:sz w:val="18"/>
              </w:rPr>
            </w:pPr>
            <w:r w:rsidRPr="00A6443F">
              <w:rPr>
                <w:iCs/>
                <w:color w:val="000000"/>
                <w:sz w:val="18"/>
              </w:rPr>
              <w:t>Tomato &amp; Tomato rootstocks</w:t>
            </w:r>
          </w:p>
        </w:tc>
        <w:tc>
          <w:tcPr>
            <w:tcW w:w="2551" w:type="dxa"/>
            <w:tcBorders>
              <w:top w:val="single" w:sz="4" w:space="0" w:color="auto"/>
              <w:left w:val="single" w:sz="4" w:space="0" w:color="auto"/>
              <w:bottom w:val="dotted" w:sz="4" w:space="0" w:color="auto"/>
              <w:right w:val="single" w:sz="4" w:space="0" w:color="auto"/>
            </w:tcBorders>
          </w:tcPr>
          <w:p w:rsidR="00EA4900" w:rsidRPr="00A6443F" w:rsidRDefault="00EA4900" w:rsidP="00E27D83">
            <w:pPr>
              <w:keepNext/>
              <w:spacing w:before="40" w:after="40"/>
              <w:rPr>
                <w:color w:val="000000"/>
                <w:sz w:val="18"/>
              </w:rPr>
            </w:pPr>
          </w:p>
        </w:tc>
      </w:tr>
      <w:tr w:rsidR="00EA4900" w:rsidRPr="00A6443F" w:rsidTr="00E27D83">
        <w:trPr>
          <w:cantSplit/>
        </w:trPr>
        <w:tc>
          <w:tcPr>
            <w:tcW w:w="1418"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keepNext/>
              <w:spacing w:before="40" w:after="40"/>
              <w:ind w:left="340" w:hanging="170"/>
              <w:jc w:val="left"/>
              <w:rPr>
                <w:iCs/>
                <w:color w:val="000000"/>
                <w:sz w:val="18"/>
              </w:rPr>
            </w:pPr>
            <w:r w:rsidRPr="00A6443F">
              <w:rPr>
                <w:iCs/>
                <w:color w:val="000000"/>
                <w:sz w:val="18"/>
              </w:rPr>
              <w:t>Solanum lycopersicum L.</w:t>
            </w:r>
            <w:r w:rsidRPr="00A6443F">
              <w:rPr>
                <w:color w:val="000000"/>
                <w:sz w:val="18"/>
              </w:rPr>
              <w:t xml:space="preserve"> </w:t>
            </w:r>
            <w:r w:rsidRPr="00A6443F">
              <w:rPr>
                <w:iCs/>
                <w:strike/>
                <w:color w:val="000000"/>
                <w:sz w:val="18"/>
              </w:rPr>
              <w:br/>
            </w:r>
            <w:r w:rsidRPr="00A6443F">
              <w:rPr>
                <w:iCs/>
                <w:color w:val="000000"/>
                <w:sz w:val="18"/>
              </w:rPr>
              <w:t>(synonym: Lycopersicon esculentum Mill.)</w:t>
            </w:r>
          </w:p>
        </w:tc>
        <w:tc>
          <w:tcPr>
            <w:tcW w:w="2551"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keepNext/>
              <w:spacing w:before="40" w:after="40"/>
              <w:rPr>
                <w:color w:val="000000"/>
                <w:sz w:val="18"/>
              </w:rPr>
            </w:pPr>
            <w:bookmarkStart w:id="14" w:name="OLE_LINK1"/>
            <w:bookmarkStart w:id="15" w:name="OLE_LINK2"/>
            <w:r w:rsidRPr="00A6443F">
              <w:rPr>
                <w:color w:val="000000"/>
                <w:sz w:val="18"/>
              </w:rPr>
              <w:t>SOLAN_</w:t>
            </w:r>
            <w:bookmarkEnd w:id="14"/>
            <w:bookmarkEnd w:id="15"/>
            <w:r w:rsidRPr="00A6443F">
              <w:rPr>
                <w:color w:val="000000"/>
                <w:sz w:val="18"/>
              </w:rPr>
              <w:t>LYC</w:t>
            </w:r>
          </w:p>
        </w:tc>
      </w:tr>
      <w:tr w:rsidR="00EA4900" w:rsidRPr="00A6443F" w:rsidTr="00E27D83">
        <w:trPr>
          <w:cantSplit/>
        </w:trPr>
        <w:tc>
          <w:tcPr>
            <w:tcW w:w="1418"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keepNext/>
              <w:spacing w:before="40" w:after="40"/>
              <w:ind w:left="340" w:hanging="170"/>
              <w:jc w:val="left"/>
              <w:rPr>
                <w:iCs/>
                <w:color w:val="000000"/>
                <w:sz w:val="18"/>
                <w:lang w:val="en-GB"/>
              </w:rPr>
            </w:pPr>
            <w:r w:rsidRPr="00A6443F">
              <w:rPr>
                <w:sz w:val="18"/>
                <w:lang w:val="en-GB"/>
              </w:rPr>
              <w:t xml:space="preserve">Solanum cheesmaniae (L. Ridley) Fosberg </w:t>
            </w:r>
            <w:r w:rsidRPr="00A6443F">
              <w:rPr>
                <w:sz w:val="18"/>
                <w:lang w:val="en-GB"/>
              </w:rPr>
              <w:br/>
              <w:t>(Lycopersicon cheesmaniae L. Riley)</w:t>
            </w:r>
          </w:p>
        </w:tc>
        <w:tc>
          <w:tcPr>
            <w:tcW w:w="2551"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keepNext/>
              <w:spacing w:before="40" w:after="40"/>
              <w:rPr>
                <w:color w:val="000000"/>
                <w:sz w:val="18"/>
              </w:rPr>
            </w:pPr>
            <w:r w:rsidRPr="00A6443F">
              <w:rPr>
                <w:color w:val="000000"/>
                <w:sz w:val="18"/>
              </w:rPr>
              <w:t>SOLAN_CHE</w:t>
            </w:r>
          </w:p>
        </w:tc>
      </w:tr>
      <w:tr w:rsidR="00EA4900" w:rsidRPr="00A6443F" w:rsidTr="00E27D83">
        <w:trPr>
          <w:cantSplit/>
        </w:trPr>
        <w:tc>
          <w:tcPr>
            <w:tcW w:w="1418"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keepNext/>
              <w:spacing w:before="40" w:after="40"/>
              <w:ind w:left="340" w:hanging="170"/>
              <w:jc w:val="left"/>
              <w:rPr>
                <w:iCs/>
                <w:color w:val="000000"/>
                <w:sz w:val="18"/>
                <w:lang w:val="nl-BE"/>
              </w:rPr>
            </w:pPr>
            <w:r w:rsidRPr="00A6443F">
              <w:rPr>
                <w:sz w:val="18"/>
                <w:lang w:val="nl-BE"/>
              </w:rPr>
              <w:t xml:space="preserve">Solanum chilense (Dunal) Reiche </w:t>
            </w:r>
            <w:r w:rsidRPr="00A6443F">
              <w:rPr>
                <w:sz w:val="18"/>
                <w:lang w:val="nl-BE"/>
              </w:rPr>
              <w:br/>
              <w:t>(Lycopersicon chilense Dunal)</w:t>
            </w:r>
          </w:p>
        </w:tc>
        <w:tc>
          <w:tcPr>
            <w:tcW w:w="2551"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keepNext/>
              <w:spacing w:before="40" w:after="40"/>
              <w:rPr>
                <w:color w:val="000000"/>
                <w:sz w:val="18"/>
              </w:rPr>
            </w:pPr>
            <w:r w:rsidRPr="00A6443F">
              <w:rPr>
                <w:color w:val="000000"/>
                <w:sz w:val="18"/>
              </w:rPr>
              <w:t>SOLAN_CHI</w:t>
            </w:r>
          </w:p>
        </w:tc>
      </w:tr>
      <w:tr w:rsidR="00EA4900" w:rsidRPr="00A6443F" w:rsidTr="00E27D83">
        <w:trPr>
          <w:cantSplit/>
        </w:trPr>
        <w:tc>
          <w:tcPr>
            <w:tcW w:w="1418"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spacing w:before="40" w:after="40"/>
              <w:ind w:left="340" w:hanging="170"/>
              <w:jc w:val="left"/>
              <w:rPr>
                <w:iCs/>
                <w:color w:val="000000"/>
                <w:sz w:val="18"/>
                <w:lang w:val="nl-BE"/>
              </w:rPr>
            </w:pPr>
            <w:r w:rsidRPr="00A6443F">
              <w:rPr>
                <w:sz w:val="18"/>
                <w:lang w:val="en-GB"/>
              </w:rPr>
              <w:t xml:space="preserve">Solanum chmielewskii (C.M. Rick et al.) </w:t>
            </w:r>
            <w:r w:rsidRPr="00A6443F">
              <w:rPr>
                <w:sz w:val="18"/>
                <w:lang w:val="nl-BE"/>
              </w:rPr>
              <w:t xml:space="preserve">D.M. Spooner et al. </w:t>
            </w:r>
            <w:r w:rsidRPr="00A6443F">
              <w:rPr>
                <w:sz w:val="18"/>
                <w:lang w:val="nl-BE"/>
              </w:rPr>
              <w:br/>
              <w:t>(Lycopersicon chmielewskii C. M. Rick et al.)</w:t>
            </w:r>
          </w:p>
        </w:tc>
        <w:tc>
          <w:tcPr>
            <w:tcW w:w="2551"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spacing w:before="40" w:after="40"/>
              <w:rPr>
                <w:color w:val="000000"/>
                <w:sz w:val="18"/>
              </w:rPr>
            </w:pPr>
            <w:r w:rsidRPr="00A6443F">
              <w:rPr>
                <w:color w:val="000000"/>
                <w:sz w:val="18"/>
              </w:rPr>
              <w:t>SOLAN_CHM</w:t>
            </w:r>
          </w:p>
        </w:tc>
      </w:tr>
      <w:tr w:rsidR="00EA4900" w:rsidRPr="00A6443F" w:rsidTr="00E27D83">
        <w:trPr>
          <w:cantSplit/>
        </w:trPr>
        <w:tc>
          <w:tcPr>
            <w:tcW w:w="1418"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spacing w:before="40" w:after="40"/>
              <w:ind w:left="340" w:hanging="170"/>
              <w:jc w:val="left"/>
              <w:rPr>
                <w:sz w:val="18"/>
              </w:rPr>
            </w:pPr>
            <w:r w:rsidRPr="00A6443F">
              <w:rPr>
                <w:sz w:val="18"/>
              </w:rPr>
              <w:t>Solanum galapagense S.C. Darwin &amp; Peralta</w:t>
            </w:r>
            <w:r w:rsidRPr="00A6443F">
              <w:rPr>
                <w:sz w:val="18"/>
              </w:rPr>
              <w:br/>
              <w:t>(Lycopersicon cheesmaniae f. minor (Hook. f.) C. H. Müll.)</w:t>
            </w:r>
            <w:r w:rsidRPr="00A6443F">
              <w:rPr>
                <w:sz w:val="18"/>
              </w:rPr>
              <w:br/>
              <w:t>(Lycopersicon cheesmaniae var. minor (Hook. f.)</w:t>
            </w:r>
            <w:r w:rsidRPr="00A6443F">
              <w:rPr>
                <w:sz w:val="18"/>
              </w:rPr>
              <w:br/>
              <w:t>D. M. Porter)</w:t>
            </w:r>
          </w:p>
        </w:tc>
        <w:tc>
          <w:tcPr>
            <w:tcW w:w="2551"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spacing w:before="40" w:after="40"/>
              <w:rPr>
                <w:color w:val="000000"/>
                <w:sz w:val="18"/>
              </w:rPr>
            </w:pPr>
            <w:r w:rsidRPr="00A6443F">
              <w:rPr>
                <w:color w:val="000000"/>
                <w:sz w:val="18"/>
              </w:rPr>
              <w:t>SOLAN_GAL</w:t>
            </w:r>
          </w:p>
        </w:tc>
      </w:tr>
      <w:tr w:rsidR="00EA4900" w:rsidRPr="00A6443F" w:rsidTr="00E27D83">
        <w:trPr>
          <w:cantSplit/>
        </w:trPr>
        <w:tc>
          <w:tcPr>
            <w:tcW w:w="1418"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spacing w:before="40" w:after="40"/>
              <w:ind w:left="340" w:hanging="170"/>
              <w:jc w:val="left"/>
              <w:rPr>
                <w:sz w:val="18"/>
              </w:rPr>
            </w:pPr>
            <w:r w:rsidRPr="00A6443F">
              <w:rPr>
                <w:sz w:val="18"/>
              </w:rPr>
              <w:t>Solanum habrochaites S. Knapp &amp; D.M. Spooner</w:t>
            </w:r>
            <w:r w:rsidRPr="00A6443F">
              <w:rPr>
                <w:sz w:val="18"/>
              </w:rPr>
              <w:br/>
              <w:t>(Lycopersicon agrimoniifolium Dunal)</w:t>
            </w:r>
            <w:r w:rsidRPr="00A6443F">
              <w:rPr>
                <w:sz w:val="18"/>
              </w:rPr>
              <w:br/>
              <w:t>(Lycopersicon hirsutum Dunal)</w:t>
            </w:r>
            <w:r w:rsidRPr="00A6443F">
              <w:rPr>
                <w:sz w:val="18"/>
              </w:rPr>
              <w:br/>
              <w:t xml:space="preserve">(Lycopersicon hirsutum f. glabratum C. H. Müll.) </w:t>
            </w:r>
          </w:p>
        </w:tc>
        <w:tc>
          <w:tcPr>
            <w:tcW w:w="2551"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spacing w:before="40" w:after="40"/>
              <w:rPr>
                <w:color w:val="000000"/>
                <w:sz w:val="18"/>
              </w:rPr>
            </w:pPr>
            <w:r w:rsidRPr="00A6443F">
              <w:rPr>
                <w:color w:val="000000"/>
                <w:sz w:val="18"/>
              </w:rPr>
              <w:t>SOLAN_HAB</w:t>
            </w:r>
          </w:p>
        </w:tc>
      </w:tr>
      <w:tr w:rsidR="00EA4900" w:rsidRPr="00A6443F" w:rsidTr="00E27D83">
        <w:trPr>
          <w:cantSplit/>
        </w:trPr>
        <w:tc>
          <w:tcPr>
            <w:tcW w:w="1418"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spacing w:before="40" w:after="40"/>
              <w:ind w:left="340" w:hanging="170"/>
              <w:jc w:val="left"/>
              <w:rPr>
                <w:sz w:val="18"/>
                <w:lang w:val="fr-FR"/>
              </w:rPr>
            </w:pPr>
            <w:r w:rsidRPr="00A6443F">
              <w:rPr>
                <w:sz w:val="18"/>
                <w:lang w:val="fr-FR"/>
              </w:rPr>
              <w:t>Solanum pennellii Correll</w:t>
            </w:r>
            <w:r w:rsidRPr="00A6443F">
              <w:rPr>
                <w:sz w:val="18"/>
                <w:lang w:val="fr-FR"/>
              </w:rPr>
              <w:br/>
              <w:t>(Lycopersicon pennellii (Correll) D'Arcy)</w:t>
            </w:r>
          </w:p>
        </w:tc>
        <w:tc>
          <w:tcPr>
            <w:tcW w:w="2551"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spacing w:before="40" w:after="40"/>
              <w:rPr>
                <w:color w:val="000000"/>
                <w:sz w:val="18"/>
                <w:lang w:val="fr-FR"/>
              </w:rPr>
            </w:pPr>
            <w:r w:rsidRPr="00A6443F">
              <w:rPr>
                <w:color w:val="000000"/>
                <w:sz w:val="18"/>
              </w:rPr>
              <w:t>SOLAN_PEN</w:t>
            </w:r>
          </w:p>
        </w:tc>
      </w:tr>
      <w:tr w:rsidR="00EA4900" w:rsidRPr="00A6443F" w:rsidTr="00E27D83">
        <w:trPr>
          <w:cantSplit/>
        </w:trPr>
        <w:tc>
          <w:tcPr>
            <w:tcW w:w="1418"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spacing w:before="40" w:after="40"/>
              <w:ind w:left="340" w:hanging="170"/>
              <w:jc w:val="left"/>
              <w:rPr>
                <w:sz w:val="18"/>
                <w:lang w:val="nl-BE"/>
              </w:rPr>
            </w:pPr>
            <w:r w:rsidRPr="00A6443F">
              <w:rPr>
                <w:sz w:val="18"/>
                <w:lang w:val="nl-BE"/>
              </w:rPr>
              <w:t>Solanum peruvianum L.</w:t>
            </w:r>
            <w:r w:rsidRPr="00A6443F">
              <w:rPr>
                <w:sz w:val="18"/>
                <w:lang w:val="nl-BE"/>
              </w:rPr>
              <w:br/>
              <w:t>(Lycopersicon dentatum Dunal)</w:t>
            </w:r>
            <w:r w:rsidRPr="00A6443F">
              <w:rPr>
                <w:sz w:val="18"/>
                <w:lang w:val="nl-BE"/>
              </w:rPr>
              <w:br/>
              <w:t>(Lycopersicon peruvianum (L.) Mill.)</w:t>
            </w:r>
          </w:p>
        </w:tc>
        <w:tc>
          <w:tcPr>
            <w:tcW w:w="2551"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spacing w:before="40" w:after="40"/>
              <w:rPr>
                <w:color w:val="000000"/>
                <w:sz w:val="18"/>
              </w:rPr>
            </w:pPr>
            <w:r w:rsidRPr="00A6443F">
              <w:rPr>
                <w:color w:val="000000"/>
                <w:sz w:val="18"/>
              </w:rPr>
              <w:t>SOLAN_PER</w:t>
            </w:r>
          </w:p>
        </w:tc>
      </w:tr>
      <w:tr w:rsidR="00EA4900" w:rsidRPr="00A6443F" w:rsidTr="00E27D83">
        <w:trPr>
          <w:cantSplit/>
        </w:trPr>
        <w:tc>
          <w:tcPr>
            <w:tcW w:w="1418"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spacing w:before="40" w:after="40"/>
              <w:ind w:left="340" w:hanging="170"/>
              <w:jc w:val="left"/>
              <w:rPr>
                <w:sz w:val="18"/>
              </w:rPr>
            </w:pPr>
            <w:r w:rsidRPr="00486FA5">
              <w:rPr>
                <w:sz w:val="18"/>
                <w:lang w:val="fr-CH"/>
              </w:rPr>
              <w:t>Solanum pimpinellifolium L.</w:t>
            </w:r>
            <w:r w:rsidRPr="00486FA5">
              <w:rPr>
                <w:sz w:val="18"/>
                <w:lang w:val="fr-CH"/>
              </w:rPr>
              <w:br/>
              <w:t xml:space="preserve">(Lycopersicon pimpinellifolium (L.) </w:t>
            </w:r>
            <w:r w:rsidRPr="00A6443F">
              <w:rPr>
                <w:sz w:val="18"/>
              </w:rPr>
              <w:t>Mill.)</w:t>
            </w:r>
            <w:r w:rsidRPr="00A6443F">
              <w:rPr>
                <w:sz w:val="18"/>
              </w:rPr>
              <w:br/>
              <w:t>(Lycopersicon racemigerum Lange)</w:t>
            </w:r>
          </w:p>
        </w:tc>
        <w:tc>
          <w:tcPr>
            <w:tcW w:w="2551" w:type="dxa"/>
            <w:tcBorders>
              <w:top w:val="dotted" w:sz="4" w:space="0" w:color="auto"/>
              <w:left w:val="single" w:sz="4" w:space="0" w:color="auto"/>
              <w:bottom w:val="dotted" w:sz="4" w:space="0" w:color="auto"/>
              <w:right w:val="single" w:sz="4" w:space="0" w:color="auto"/>
            </w:tcBorders>
          </w:tcPr>
          <w:p w:rsidR="00EA4900" w:rsidRPr="00A6443F" w:rsidRDefault="00EA4900" w:rsidP="00E27D83">
            <w:pPr>
              <w:spacing w:before="40" w:after="40"/>
              <w:rPr>
                <w:color w:val="000000"/>
                <w:sz w:val="18"/>
              </w:rPr>
            </w:pPr>
            <w:r w:rsidRPr="00A6443F">
              <w:rPr>
                <w:color w:val="000000"/>
                <w:sz w:val="18"/>
              </w:rPr>
              <w:t>SOLAN_PIM</w:t>
            </w:r>
          </w:p>
        </w:tc>
      </w:tr>
      <w:tr w:rsidR="00EA4900" w:rsidRPr="00A6443F" w:rsidTr="00E27D83">
        <w:trPr>
          <w:cantSplit/>
        </w:trPr>
        <w:tc>
          <w:tcPr>
            <w:tcW w:w="1418" w:type="dxa"/>
            <w:tcBorders>
              <w:top w:val="dotted" w:sz="4" w:space="0" w:color="auto"/>
              <w:left w:val="single" w:sz="4" w:space="0" w:color="auto"/>
              <w:bottom w:val="single" w:sz="4" w:space="0" w:color="auto"/>
              <w:right w:val="single" w:sz="4" w:space="0" w:color="auto"/>
            </w:tcBorders>
          </w:tcPr>
          <w:p w:rsidR="00EA4900" w:rsidRPr="00A6443F" w:rsidRDefault="00EA4900" w:rsidP="00E27D83">
            <w:pPr>
              <w:spacing w:before="40" w:after="40"/>
              <w:rPr>
                <w:color w:val="000000"/>
                <w:sz w:val="18"/>
                <w:lang w:val="fr-FR"/>
              </w:rPr>
            </w:pPr>
          </w:p>
        </w:tc>
        <w:tc>
          <w:tcPr>
            <w:tcW w:w="5670" w:type="dxa"/>
            <w:tcBorders>
              <w:top w:val="dotted" w:sz="4" w:space="0" w:color="auto"/>
              <w:left w:val="single" w:sz="4" w:space="0" w:color="auto"/>
              <w:bottom w:val="single" w:sz="4" w:space="0" w:color="auto"/>
              <w:right w:val="single" w:sz="4" w:space="0" w:color="auto"/>
            </w:tcBorders>
          </w:tcPr>
          <w:p w:rsidR="00EA4900" w:rsidRPr="00A6443F" w:rsidRDefault="00EA4900" w:rsidP="00E27D83">
            <w:pPr>
              <w:spacing w:before="40" w:after="40"/>
              <w:rPr>
                <w:i/>
                <w:color w:val="000000"/>
                <w:sz w:val="18"/>
              </w:rPr>
            </w:pPr>
            <w:r w:rsidRPr="00A6443F">
              <w:rPr>
                <w:color w:val="000000"/>
                <w:sz w:val="18"/>
              </w:rPr>
              <w:t>and hybrids between those species</w:t>
            </w:r>
          </w:p>
        </w:tc>
        <w:tc>
          <w:tcPr>
            <w:tcW w:w="2551" w:type="dxa"/>
            <w:tcBorders>
              <w:top w:val="dotted" w:sz="4" w:space="0" w:color="auto"/>
              <w:left w:val="single" w:sz="4" w:space="0" w:color="auto"/>
              <w:bottom w:val="single" w:sz="4" w:space="0" w:color="auto"/>
              <w:right w:val="single" w:sz="4" w:space="0" w:color="auto"/>
            </w:tcBorders>
          </w:tcPr>
          <w:p w:rsidR="00EA4900" w:rsidRPr="00A6443F" w:rsidRDefault="00EA4900" w:rsidP="00E27D83">
            <w:pPr>
              <w:spacing w:before="40" w:after="40"/>
              <w:rPr>
                <w:color w:val="000000"/>
                <w:sz w:val="18"/>
              </w:rPr>
            </w:pPr>
          </w:p>
        </w:tc>
      </w:tr>
      <w:tr w:rsidR="00EA4900" w:rsidRPr="00A6443F" w:rsidTr="00E27D83">
        <w:trPr>
          <w:cantSplit/>
        </w:trPr>
        <w:tc>
          <w:tcPr>
            <w:tcW w:w="1418" w:type="dxa"/>
            <w:tcBorders>
              <w:top w:val="single" w:sz="4" w:space="0" w:color="auto"/>
              <w:left w:val="single" w:sz="4" w:space="0" w:color="auto"/>
              <w:bottom w:val="single" w:sz="4" w:space="0" w:color="auto"/>
              <w:right w:val="single" w:sz="4" w:space="0" w:color="auto"/>
            </w:tcBorders>
          </w:tcPr>
          <w:p w:rsidR="00EA4900" w:rsidRPr="00A6443F" w:rsidRDefault="00EA4900" w:rsidP="00E27D83">
            <w:pPr>
              <w:spacing w:before="40" w:after="40"/>
              <w:jc w:val="left"/>
              <w:rPr>
                <w:color w:val="000000"/>
                <w:sz w:val="18"/>
              </w:rPr>
            </w:pPr>
            <w:r w:rsidRPr="00A6443F">
              <w:rPr>
                <w:color w:val="000000"/>
                <w:sz w:val="18"/>
              </w:rPr>
              <w:t>Class 4.3</w:t>
            </w:r>
          </w:p>
        </w:tc>
        <w:tc>
          <w:tcPr>
            <w:tcW w:w="5670" w:type="dxa"/>
            <w:tcBorders>
              <w:top w:val="single" w:sz="4" w:space="0" w:color="auto"/>
              <w:left w:val="single" w:sz="4" w:space="0" w:color="auto"/>
              <w:bottom w:val="single" w:sz="4" w:space="0" w:color="auto"/>
              <w:right w:val="single" w:sz="4" w:space="0" w:color="auto"/>
            </w:tcBorders>
          </w:tcPr>
          <w:p w:rsidR="00EA4900" w:rsidRPr="00A6443F" w:rsidRDefault="00EA4900" w:rsidP="00E27D83">
            <w:pPr>
              <w:spacing w:before="40" w:after="40"/>
              <w:jc w:val="left"/>
              <w:rPr>
                <w:color w:val="000000"/>
                <w:sz w:val="18"/>
              </w:rPr>
            </w:pPr>
            <w:r w:rsidRPr="00A6443F">
              <w:rPr>
                <w:iCs/>
                <w:color w:val="000000"/>
                <w:sz w:val="18"/>
              </w:rPr>
              <w:t xml:space="preserve">Solanum melongena </w:t>
            </w:r>
            <w:r w:rsidRPr="00A6443F">
              <w:rPr>
                <w:color w:val="000000"/>
                <w:sz w:val="18"/>
              </w:rPr>
              <w:t>L.</w:t>
            </w:r>
          </w:p>
        </w:tc>
        <w:tc>
          <w:tcPr>
            <w:tcW w:w="2551" w:type="dxa"/>
            <w:tcBorders>
              <w:top w:val="single" w:sz="4" w:space="0" w:color="auto"/>
              <w:left w:val="single" w:sz="4" w:space="0" w:color="auto"/>
              <w:bottom w:val="single" w:sz="4" w:space="0" w:color="auto"/>
              <w:right w:val="single" w:sz="4" w:space="0" w:color="auto"/>
            </w:tcBorders>
          </w:tcPr>
          <w:p w:rsidR="00EA4900" w:rsidRPr="00A6443F" w:rsidRDefault="00EA4900" w:rsidP="00E27D83">
            <w:pPr>
              <w:spacing w:before="40" w:after="40"/>
              <w:jc w:val="left"/>
              <w:rPr>
                <w:color w:val="000000"/>
                <w:sz w:val="18"/>
              </w:rPr>
            </w:pPr>
            <w:r w:rsidRPr="00A6443F">
              <w:rPr>
                <w:color w:val="000000"/>
                <w:sz w:val="18"/>
              </w:rPr>
              <w:t>SOLAN_MEL</w:t>
            </w:r>
          </w:p>
        </w:tc>
      </w:tr>
      <w:tr w:rsidR="00EA4900" w:rsidRPr="00A6443F" w:rsidTr="00E27D83">
        <w:trPr>
          <w:cantSplit/>
        </w:trPr>
        <w:tc>
          <w:tcPr>
            <w:tcW w:w="1418" w:type="dxa"/>
            <w:tcBorders>
              <w:top w:val="single" w:sz="4" w:space="0" w:color="auto"/>
              <w:left w:val="single" w:sz="4" w:space="0" w:color="auto"/>
              <w:bottom w:val="single" w:sz="4" w:space="0" w:color="auto"/>
              <w:right w:val="single" w:sz="4" w:space="0" w:color="auto"/>
            </w:tcBorders>
          </w:tcPr>
          <w:p w:rsidR="00EA4900" w:rsidRPr="00A6443F" w:rsidRDefault="00EA4900" w:rsidP="00E27D83">
            <w:pPr>
              <w:spacing w:before="40" w:after="40"/>
              <w:jc w:val="left"/>
              <w:rPr>
                <w:color w:val="000000"/>
                <w:sz w:val="18"/>
              </w:rPr>
            </w:pPr>
            <w:r w:rsidRPr="00A6443F">
              <w:rPr>
                <w:color w:val="000000"/>
                <w:sz w:val="18"/>
              </w:rPr>
              <w:t>Class 4.4</w:t>
            </w:r>
          </w:p>
        </w:tc>
        <w:tc>
          <w:tcPr>
            <w:tcW w:w="5670" w:type="dxa"/>
            <w:tcBorders>
              <w:top w:val="single" w:sz="4" w:space="0" w:color="auto"/>
              <w:left w:val="single" w:sz="4" w:space="0" w:color="auto"/>
              <w:bottom w:val="single" w:sz="4" w:space="0" w:color="auto"/>
              <w:right w:val="single" w:sz="4" w:space="0" w:color="auto"/>
            </w:tcBorders>
          </w:tcPr>
          <w:p w:rsidR="00EA4900" w:rsidRPr="00A6443F" w:rsidRDefault="00EA4900" w:rsidP="00E27D83">
            <w:pPr>
              <w:spacing w:before="40" w:after="40"/>
              <w:jc w:val="left"/>
              <w:rPr>
                <w:color w:val="000000"/>
                <w:sz w:val="18"/>
              </w:rPr>
            </w:pPr>
            <w:r w:rsidRPr="00A6443F">
              <w:rPr>
                <w:color w:val="000000"/>
                <w:sz w:val="18"/>
              </w:rPr>
              <w:t>Solanum other than classes 4.1, 4.2 and 4.3</w:t>
            </w:r>
          </w:p>
        </w:tc>
        <w:tc>
          <w:tcPr>
            <w:tcW w:w="2551" w:type="dxa"/>
            <w:tcBorders>
              <w:top w:val="single" w:sz="4" w:space="0" w:color="auto"/>
              <w:left w:val="single" w:sz="4" w:space="0" w:color="auto"/>
              <w:bottom w:val="single" w:sz="4" w:space="0" w:color="auto"/>
              <w:right w:val="single" w:sz="4" w:space="0" w:color="auto"/>
            </w:tcBorders>
          </w:tcPr>
          <w:p w:rsidR="00EA4900" w:rsidRPr="00A6443F" w:rsidRDefault="00EA4900" w:rsidP="00E27D83">
            <w:pPr>
              <w:spacing w:before="40" w:after="40"/>
              <w:jc w:val="left"/>
              <w:rPr>
                <w:color w:val="000000"/>
                <w:sz w:val="18"/>
              </w:rPr>
            </w:pPr>
            <w:r w:rsidRPr="00A6443F">
              <w:rPr>
                <w:color w:val="000000"/>
                <w:sz w:val="18"/>
              </w:rPr>
              <w:t>other than classes 4.1, 4.2 and 4.3</w:t>
            </w:r>
          </w:p>
        </w:tc>
      </w:tr>
    </w:tbl>
    <w:p w:rsidR="00EA4900" w:rsidRDefault="00EA4900" w:rsidP="00EA4900"/>
    <w:p w:rsidR="00EA4900" w:rsidRPr="00407B23" w:rsidRDefault="00EA4900" w:rsidP="00EA4900"/>
    <w:p w:rsidR="00EA4900" w:rsidRPr="00407B23" w:rsidRDefault="00EA4900" w:rsidP="00EA4900">
      <w:pPr>
        <w:jc w:val="center"/>
      </w:pPr>
      <w:r w:rsidRPr="00407B23">
        <w:br w:type="page"/>
      </w:r>
      <w:r w:rsidRPr="00407B23">
        <w:lastRenderedPageBreak/>
        <w:t>LIST OF CLASSES (Continuation)</w:t>
      </w:r>
    </w:p>
    <w:p w:rsidR="00EA4900" w:rsidRPr="00407B23" w:rsidRDefault="00EA4900" w:rsidP="00EA4900"/>
    <w:p w:rsidR="00EA4900" w:rsidRPr="00407B23" w:rsidRDefault="00EA4900" w:rsidP="00EA4900">
      <w:pPr>
        <w:keepNext/>
        <w:jc w:val="center"/>
        <w:rPr>
          <w:u w:val="single"/>
        </w:rPr>
      </w:pPr>
      <w:r w:rsidRPr="00407B23">
        <w:rPr>
          <w:u w:val="single"/>
        </w:rPr>
        <w:t>Part II</w:t>
      </w:r>
    </w:p>
    <w:p w:rsidR="00EA4900" w:rsidRPr="00407B23" w:rsidRDefault="00EA4900" w:rsidP="00EA4900"/>
    <w:p w:rsidR="00EA4900" w:rsidRDefault="00EA4900" w:rsidP="00EA4900">
      <w:pPr>
        <w:jc w:val="center"/>
        <w:rPr>
          <w:i/>
        </w:rPr>
      </w:pPr>
      <w:r w:rsidRPr="00407B23">
        <w:rPr>
          <w:i/>
        </w:rPr>
        <w:t>Classes encompassing more than one genus</w:t>
      </w:r>
      <w:r w:rsidRPr="00407B23">
        <w:rPr>
          <w:i/>
        </w:rPr>
        <w:br/>
      </w:r>
    </w:p>
    <w:p w:rsidR="00EA4900" w:rsidRPr="00407B23" w:rsidRDefault="00EA4900" w:rsidP="00EA4900">
      <w:pPr>
        <w:jc w:val="center"/>
        <w:rPr>
          <w:i/>
        </w:rPr>
      </w:pP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677"/>
        <w:gridCol w:w="3830"/>
      </w:tblGrid>
      <w:tr w:rsidR="00EA4900" w:rsidRPr="00A6443F" w:rsidTr="00E27D83">
        <w:trPr>
          <w:cantSplit/>
          <w:tblHeader/>
        </w:trPr>
        <w:tc>
          <w:tcPr>
            <w:tcW w:w="1277" w:type="dxa"/>
            <w:shd w:val="clear" w:color="auto" w:fill="D9D9D9" w:themeFill="background1" w:themeFillShade="D9"/>
            <w:vAlign w:val="center"/>
          </w:tcPr>
          <w:p w:rsidR="00EA4900" w:rsidRPr="00A6443F" w:rsidRDefault="00EA4900" w:rsidP="00E27D83">
            <w:pPr>
              <w:spacing w:before="40" w:after="40"/>
              <w:jc w:val="left"/>
              <w:rPr>
                <w:sz w:val="18"/>
                <w:szCs w:val="18"/>
                <w:u w:val="single"/>
              </w:rPr>
            </w:pPr>
          </w:p>
        </w:tc>
        <w:tc>
          <w:tcPr>
            <w:tcW w:w="4677" w:type="dxa"/>
            <w:shd w:val="clear" w:color="auto" w:fill="D9D9D9" w:themeFill="background1" w:themeFillShade="D9"/>
            <w:vAlign w:val="center"/>
          </w:tcPr>
          <w:p w:rsidR="00EA4900" w:rsidRPr="00A6443F" w:rsidRDefault="00EA4900" w:rsidP="00E27D83">
            <w:pPr>
              <w:spacing w:before="40" w:after="40"/>
              <w:jc w:val="center"/>
              <w:rPr>
                <w:sz w:val="18"/>
                <w:szCs w:val="18"/>
                <w:u w:val="single"/>
              </w:rPr>
            </w:pPr>
            <w:r w:rsidRPr="00A6443F">
              <w:rPr>
                <w:sz w:val="18"/>
                <w:szCs w:val="18"/>
                <w:u w:val="single"/>
              </w:rPr>
              <w:t>Botanical names</w:t>
            </w:r>
          </w:p>
        </w:tc>
        <w:tc>
          <w:tcPr>
            <w:tcW w:w="3830" w:type="dxa"/>
            <w:shd w:val="clear" w:color="auto" w:fill="D9D9D9" w:themeFill="background1" w:themeFillShade="D9"/>
            <w:vAlign w:val="center"/>
          </w:tcPr>
          <w:p w:rsidR="00EA4900" w:rsidRPr="00A6443F" w:rsidRDefault="00EA4900" w:rsidP="00E27D83">
            <w:pPr>
              <w:spacing w:before="40" w:after="40"/>
              <w:jc w:val="center"/>
              <w:rPr>
                <w:sz w:val="18"/>
                <w:szCs w:val="18"/>
                <w:u w:val="single"/>
              </w:rPr>
            </w:pPr>
            <w:r w:rsidRPr="00A6443F">
              <w:rPr>
                <w:sz w:val="18"/>
                <w:szCs w:val="18"/>
                <w:u w:val="single"/>
              </w:rPr>
              <w:t>UPOV codes</w:t>
            </w:r>
          </w:p>
        </w:tc>
      </w:tr>
      <w:tr w:rsidR="00EA4900" w:rsidRPr="00A6443F" w:rsidTr="00E27D83">
        <w:trPr>
          <w:cantSplit/>
          <w:tblHeader/>
        </w:trPr>
        <w:tc>
          <w:tcPr>
            <w:tcW w:w="1277" w:type="dxa"/>
            <w:tcBorders>
              <w:top w:val="nil"/>
              <w:left w:val="nil"/>
              <w:bottom w:val="nil"/>
              <w:right w:val="nil"/>
            </w:tcBorders>
          </w:tcPr>
          <w:p w:rsidR="00EA4900" w:rsidRPr="00A6443F" w:rsidRDefault="00EA4900" w:rsidP="00E27D83">
            <w:pPr>
              <w:keepNext/>
              <w:spacing w:before="40" w:after="40"/>
              <w:jc w:val="left"/>
              <w:rPr>
                <w:sz w:val="10"/>
                <w:szCs w:val="18"/>
              </w:rPr>
            </w:pPr>
          </w:p>
        </w:tc>
        <w:tc>
          <w:tcPr>
            <w:tcW w:w="4677" w:type="dxa"/>
            <w:tcBorders>
              <w:top w:val="nil"/>
              <w:left w:val="nil"/>
              <w:bottom w:val="nil"/>
              <w:right w:val="nil"/>
            </w:tcBorders>
          </w:tcPr>
          <w:p w:rsidR="00EA4900" w:rsidRPr="00A6443F" w:rsidRDefault="00EA4900" w:rsidP="00E27D83">
            <w:pPr>
              <w:keepNext/>
              <w:spacing w:before="40" w:after="40"/>
              <w:jc w:val="left"/>
              <w:rPr>
                <w:sz w:val="10"/>
                <w:szCs w:val="18"/>
              </w:rPr>
            </w:pPr>
          </w:p>
        </w:tc>
        <w:tc>
          <w:tcPr>
            <w:tcW w:w="3830" w:type="dxa"/>
            <w:tcBorders>
              <w:top w:val="nil"/>
              <w:left w:val="nil"/>
              <w:bottom w:val="nil"/>
              <w:right w:val="nil"/>
            </w:tcBorders>
          </w:tcPr>
          <w:p w:rsidR="00EA4900" w:rsidRPr="00A6443F" w:rsidRDefault="00EA4900" w:rsidP="00E27D83">
            <w:pPr>
              <w:keepNext/>
              <w:spacing w:before="40" w:after="40"/>
              <w:jc w:val="left"/>
              <w:rPr>
                <w:sz w:val="10"/>
                <w:szCs w:val="18"/>
              </w:rPr>
            </w:pPr>
          </w:p>
        </w:tc>
      </w:tr>
      <w:tr w:rsidR="00EA4900" w:rsidRPr="00A6443F" w:rsidTr="00E27D83">
        <w:trPr>
          <w:cantSplit/>
        </w:trPr>
        <w:tc>
          <w:tcPr>
            <w:tcW w:w="1277" w:type="dxa"/>
            <w:tcBorders>
              <w:top w:val="single" w:sz="4" w:space="0" w:color="auto"/>
            </w:tcBorders>
          </w:tcPr>
          <w:p w:rsidR="00EA4900" w:rsidRPr="00A6443F" w:rsidRDefault="00EA4900" w:rsidP="00E27D83">
            <w:pPr>
              <w:spacing w:before="40" w:after="40"/>
              <w:jc w:val="left"/>
              <w:rPr>
                <w:sz w:val="18"/>
                <w:szCs w:val="18"/>
              </w:rPr>
            </w:pPr>
            <w:r w:rsidRPr="00A6443F">
              <w:rPr>
                <w:sz w:val="18"/>
                <w:szCs w:val="18"/>
              </w:rPr>
              <w:t>Class 201</w:t>
            </w:r>
          </w:p>
        </w:tc>
        <w:tc>
          <w:tcPr>
            <w:tcW w:w="4677" w:type="dxa"/>
            <w:tcBorders>
              <w:top w:val="single" w:sz="4" w:space="0" w:color="auto"/>
            </w:tcBorders>
          </w:tcPr>
          <w:p w:rsidR="00EA4900" w:rsidRPr="00A6443F" w:rsidRDefault="00EA4900" w:rsidP="00E27D83">
            <w:pPr>
              <w:keepNext/>
              <w:spacing w:before="40" w:after="40"/>
              <w:jc w:val="left"/>
              <w:rPr>
                <w:sz w:val="18"/>
                <w:szCs w:val="18"/>
              </w:rPr>
            </w:pPr>
            <w:r w:rsidRPr="00A6443F">
              <w:rPr>
                <w:sz w:val="18"/>
                <w:szCs w:val="18"/>
              </w:rPr>
              <w:t>Secale, Triticale</w:t>
            </w:r>
            <w:r w:rsidRPr="00A6443F">
              <w:rPr>
                <w:iCs/>
                <w:sz w:val="18"/>
                <w:szCs w:val="18"/>
              </w:rPr>
              <w:t xml:space="preserve">, </w:t>
            </w:r>
            <w:r w:rsidRPr="00A6443F">
              <w:rPr>
                <w:sz w:val="18"/>
                <w:szCs w:val="18"/>
              </w:rPr>
              <w:t>Triticum</w:t>
            </w:r>
          </w:p>
        </w:tc>
        <w:tc>
          <w:tcPr>
            <w:tcW w:w="3830" w:type="dxa"/>
            <w:tcBorders>
              <w:top w:val="single" w:sz="4" w:space="0" w:color="auto"/>
            </w:tcBorders>
          </w:tcPr>
          <w:p w:rsidR="00EA4900" w:rsidRPr="00A6443F" w:rsidRDefault="00EA4900" w:rsidP="00E27D83">
            <w:pPr>
              <w:keepNext/>
              <w:spacing w:before="40" w:after="40"/>
              <w:jc w:val="left"/>
              <w:rPr>
                <w:sz w:val="18"/>
                <w:szCs w:val="18"/>
              </w:rPr>
            </w:pPr>
            <w:r w:rsidRPr="00A6443F">
              <w:rPr>
                <w:sz w:val="18"/>
                <w:szCs w:val="18"/>
              </w:rPr>
              <w:t>SECAL;  TRITL;  TRITI</w:t>
            </w:r>
          </w:p>
        </w:tc>
      </w:tr>
      <w:tr w:rsidR="00EA4900" w:rsidRPr="00A6443F" w:rsidTr="00E27D83">
        <w:trPr>
          <w:cantSplit/>
        </w:trPr>
        <w:tc>
          <w:tcPr>
            <w:tcW w:w="1277" w:type="dxa"/>
          </w:tcPr>
          <w:p w:rsidR="00EA4900" w:rsidRPr="00A6443F" w:rsidRDefault="00EA4900" w:rsidP="00E27D83">
            <w:pPr>
              <w:spacing w:before="40" w:after="40"/>
              <w:jc w:val="left"/>
              <w:rPr>
                <w:sz w:val="18"/>
                <w:szCs w:val="18"/>
              </w:rPr>
            </w:pPr>
            <w:r w:rsidRPr="00A6443F">
              <w:rPr>
                <w:sz w:val="18"/>
                <w:szCs w:val="18"/>
              </w:rPr>
              <w:t>Class 202</w:t>
            </w:r>
          </w:p>
        </w:tc>
        <w:tc>
          <w:tcPr>
            <w:tcW w:w="4677" w:type="dxa"/>
          </w:tcPr>
          <w:p w:rsidR="00EA4900" w:rsidRPr="00A6443F" w:rsidRDefault="00EA4900" w:rsidP="00E27D83">
            <w:pPr>
              <w:keepNext/>
              <w:spacing w:before="40" w:after="40"/>
              <w:jc w:val="left"/>
              <w:rPr>
                <w:sz w:val="18"/>
                <w:szCs w:val="18"/>
              </w:rPr>
            </w:pPr>
            <w:r w:rsidRPr="00A6443F">
              <w:rPr>
                <w:iCs/>
                <w:sz w:val="18"/>
                <w:szCs w:val="18"/>
              </w:rPr>
              <w:t xml:space="preserve">Megathyrsus, </w:t>
            </w:r>
            <w:r w:rsidRPr="00A6443F">
              <w:rPr>
                <w:sz w:val="18"/>
                <w:szCs w:val="18"/>
              </w:rPr>
              <w:t xml:space="preserve">Panicum, Setaria, </w:t>
            </w:r>
            <w:r w:rsidRPr="00A6443F">
              <w:rPr>
                <w:iCs/>
                <w:sz w:val="18"/>
                <w:szCs w:val="18"/>
              </w:rPr>
              <w:t>Steinchisma</w:t>
            </w:r>
          </w:p>
        </w:tc>
        <w:tc>
          <w:tcPr>
            <w:tcW w:w="3830" w:type="dxa"/>
          </w:tcPr>
          <w:p w:rsidR="00EA4900" w:rsidRPr="00A6443F" w:rsidRDefault="00EA4900" w:rsidP="00E27D83">
            <w:pPr>
              <w:keepNext/>
              <w:spacing w:before="40" w:after="40"/>
              <w:jc w:val="left"/>
              <w:rPr>
                <w:sz w:val="18"/>
                <w:szCs w:val="18"/>
              </w:rPr>
            </w:pPr>
            <w:r w:rsidRPr="00A6443F">
              <w:rPr>
                <w:sz w:val="18"/>
                <w:szCs w:val="18"/>
              </w:rPr>
              <w:t>MEGAT;  PANIC;  SETAR;  STEIN</w:t>
            </w:r>
          </w:p>
        </w:tc>
      </w:tr>
      <w:tr w:rsidR="00EA4900" w:rsidRPr="00557AC8" w:rsidTr="00E27D83">
        <w:trPr>
          <w:cantSplit/>
        </w:trPr>
        <w:tc>
          <w:tcPr>
            <w:tcW w:w="1277" w:type="dxa"/>
          </w:tcPr>
          <w:p w:rsidR="00EA4900" w:rsidRPr="00A6443F" w:rsidRDefault="00EA4900" w:rsidP="00E27D83">
            <w:pPr>
              <w:spacing w:before="40" w:after="40"/>
              <w:jc w:val="left"/>
              <w:rPr>
                <w:sz w:val="18"/>
                <w:szCs w:val="18"/>
              </w:rPr>
            </w:pPr>
            <w:r w:rsidRPr="00A6443F">
              <w:rPr>
                <w:sz w:val="18"/>
                <w:szCs w:val="18"/>
              </w:rPr>
              <w:t>Class 203</w:t>
            </w:r>
            <w:r w:rsidRPr="00A6443F">
              <w:rPr>
                <w:rStyle w:val="FootnoteReference"/>
                <w:sz w:val="18"/>
                <w:szCs w:val="18"/>
              </w:rPr>
              <w:footnoteReference w:customMarkFollows="1" w:id="11"/>
              <w:t>*</w:t>
            </w:r>
          </w:p>
        </w:tc>
        <w:tc>
          <w:tcPr>
            <w:tcW w:w="4677" w:type="dxa"/>
          </w:tcPr>
          <w:p w:rsidR="00EA4900" w:rsidRPr="00A6443F" w:rsidRDefault="00EA4900" w:rsidP="00E27D83">
            <w:pPr>
              <w:keepNext/>
              <w:spacing w:before="40" w:after="40"/>
              <w:jc w:val="left"/>
              <w:rPr>
                <w:sz w:val="18"/>
                <w:szCs w:val="18"/>
              </w:rPr>
            </w:pPr>
            <w:r w:rsidRPr="00A6443F">
              <w:rPr>
                <w:sz w:val="18"/>
                <w:szCs w:val="18"/>
              </w:rPr>
              <w:t>Agrostis, Dactylis, Festuca, Festulolium, Lolium, Phalaris, Phleum and Poa</w:t>
            </w:r>
          </w:p>
        </w:tc>
        <w:tc>
          <w:tcPr>
            <w:tcW w:w="3830" w:type="dxa"/>
          </w:tcPr>
          <w:p w:rsidR="00EA4900" w:rsidRPr="00486FA5" w:rsidRDefault="00EA4900" w:rsidP="00E27D83">
            <w:pPr>
              <w:keepNext/>
              <w:spacing w:before="40" w:after="40"/>
              <w:jc w:val="left"/>
              <w:rPr>
                <w:sz w:val="18"/>
                <w:szCs w:val="18"/>
                <w:lang w:val="fr-CH"/>
              </w:rPr>
            </w:pPr>
            <w:r w:rsidRPr="00486FA5">
              <w:rPr>
                <w:sz w:val="18"/>
                <w:szCs w:val="18"/>
                <w:lang w:val="fr-CH"/>
              </w:rPr>
              <w:t xml:space="preserve">AGROS;  DCTLS;  FESTU;  FESTL;  LOLIU;  PHALR;  PHLEU;  POAAA </w:t>
            </w:r>
          </w:p>
        </w:tc>
      </w:tr>
      <w:tr w:rsidR="00EA4900" w:rsidRPr="00A6443F" w:rsidTr="00E27D83">
        <w:trPr>
          <w:cantSplit/>
        </w:trPr>
        <w:tc>
          <w:tcPr>
            <w:tcW w:w="1277" w:type="dxa"/>
          </w:tcPr>
          <w:p w:rsidR="00EA4900" w:rsidRPr="00A6443F" w:rsidRDefault="00EA4900" w:rsidP="00E27D83">
            <w:pPr>
              <w:spacing w:before="40" w:after="40"/>
              <w:jc w:val="left"/>
              <w:rPr>
                <w:sz w:val="18"/>
                <w:szCs w:val="18"/>
              </w:rPr>
            </w:pPr>
            <w:r w:rsidRPr="00A6443F">
              <w:rPr>
                <w:sz w:val="18"/>
                <w:szCs w:val="18"/>
              </w:rPr>
              <w:t>Class 204</w:t>
            </w:r>
            <w:r w:rsidRPr="00A6443F">
              <w:rPr>
                <w:sz w:val="18"/>
                <w:szCs w:val="18"/>
                <w:vertAlign w:val="superscript"/>
              </w:rPr>
              <w:t>*</w:t>
            </w:r>
          </w:p>
        </w:tc>
        <w:tc>
          <w:tcPr>
            <w:tcW w:w="4677" w:type="dxa"/>
          </w:tcPr>
          <w:p w:rsidR="00EA4900" w:rsidRPr="00A6443F" w:rsidRDefault="00EA4900" w:rsidP="00E27D83">
            <w:pPr>
              <w:keepNext/>
              <w:spacing w:before="40" w:after="40"/>
              <w:jc w:val="left"/>
              <w:rPr>
                <w:sz w:val="18"/>
                <w:szCs w:val="18"/>
              </w:rPr>
            </w:pPr>
            <w:r w:rsidRPr="00A6443F">
              <w:rPr>
                <w:sz w:val="18"/>
                <w:szCs w:val="18"/>
              </w:rPr>
              <w:t>Lotus, Medicago, Ornithopus, Onobrychis, Trifolium</w:t>
            </w:r>
          </w:p>
        </w:tc>
        <w:tc>
          <w:tcPr>
            <w:tcW w:w="3830" w:type="dxa"/>
          </w:tcPr>
          <w:p w:rsidR="00EA4900" w:rsidRPr="00A6443F" w:rsidRDefault="00EA4900" w:rsidP="00E27D83">
            <w:pPr>
              <w:keepNext/>
              <w:spacing w:before="40" w:after="40"/>
              <w:jc w:val="left"/>
              <w:rPr>
                <w:sz w:val="18"/>
                <w:szCs w:val="18"/>
              </w:rPr>
            </w:pPr>
            <w:r w:rsidRPr="00A6443F">
              <w:rPr>
                <w:sz w:val="18"/>
                <w:szCs w:val="18"/>
              </w:rPr>
              <w:t>LOTUS;  MEDIC;  ORNTP;  ONOBR;  TRFOL</w:t>
            </w:r>
          </w:p>
        </w:tc>
      </w:tr>
      <w:tr w:rsidR="00EA4900" w:rsidRPr="00A6443F" w:rsidTr="00E27D83">
        <w:trPr>
          <w:cantSplit/>
        </w:trPr>
        <w:tc>
          <w:tcPr>
            <w:tcW w:w="1277" w:type="dxa"/>
          </w:tcPr>
          <w:p w:rsidR="00EA4900" w:rsidRPr="00A6443F" w:rsidRDefault="00EA4900" w:rsidP="00E27D83">
            <w:pPr>
              <w:spacing w:before="40" w:after="40"/>
              <w:jc w:val="left"/>
              <w:rPr>
                <w:sz w:val="18"/>
                <w:szCs w:val="18"/>
              </w:rPr>
            </w:pPr>
            <w:r w:rsidRPr="00A6443F">
              <w:rPr>
                <w:sz w:val="18"/>
                <w:szCs w:val="18"/>
              </w:rPr>
              <w:t>Class 205</w:t>
            </w:r>
          </w:p>
        </w:tc>
        <w:tc>
          <w:tcPr>
            <w:tcW w:w="4677" w:type="dxa"/>
          </w:tcPr>
          <w:p w:rsidR="00EA4900" w:rsidRPr="00A6443F" w:rsidRDefault="00EA4900" w:rsidP="00E27D83">
            <w:pPr>
              <w:keepNext/>
              <w:spacing w:before="40" w:after="40"/>
              <w:jc w:val="left"/>
              <w:rPr>
                <w:sz w:val="18"/>
                <w:szCs w:val="18"/>
              </w:rPr>
            </w:pPr>
            <w:r w:rsidRPr="00A6443F">
              <w:rPr>
                <w:sz w:val="18"/>
                <w:szCs w:val="18"/>
              </w:rPr>
              <w:t xml:space="preserve">Cichorium, Lactuca </w:t>
            </w:r>
          </w:p>
        </w:tc>
        <w:tc>
          <w:tcPr>
            <w:tcW w:w="3830" w:type="dxa"/>
          </w:tcPr>
          <w:p w:rsidR="00EA4900" w:rsidRPr="00A6443F" w:rsidRDefault="00EA4900" w:rsidP="00E27D83">
            <w:pPr>
              <w:keepNext/>
              <w:spacing w:before="40" w:after="40"/>
              <w:jc w:val="left"/>
              <w:rPr>
                <w:sz w:val="18"/>
                <w:szCs w:val="18"/>
              </w:rPr>
            </w:pPr>
            <w:r w:rsidRPr="00A6443F">
              <w:rPr>
                <w:sz w:val="18"/>
                <w:szCs w:val="18"/>
              </w:rPr>
              <w:t>CICHO;  LACTU</w:t>
            </w:r>
          </w:p>
        </w:tc>
      </w:tr>
      <w:tr w:rsidR="00EA4900" w:rsidRPr="00A6443F" w:rsidTr="00E27D83">
        <w:trPr>
          <w:cantSplit/>
        </w:trPr>
        <w:tc>
          <w:tcPr>
            <w:tcW w:w="1277" w:type="dxa"/>
          </w:tcPr>
          <w:p w:rsidR="00EA4900" w:rsidRPr="00A6443F" w:rsidRDefault="00EA4900" w:rsidP="00E27D83">
            <w:pPr>
              <w:spacing w:before="40" w:after="40"/>
              <w:jc w:val="left"/>
              <w:rPr>
                <w:sz w:val="18"/>
                <w:szCs w:val="18"/>
              </w:rPr>
            </w:pPr>
            <w:r w:rsidRPr="00A6443F">
              <w:rPr>
                <w:sz w:val="18"/>
                <w:szCs w:val="18"/>
              </w:rPr>
              <w:t>Class 206</w:t>
            </w:r>
          </w:p>
        </w:tc>
        <w:tc>
          <w:tcPr>
            <w:tcW w:w="4677" w:type="dxa"/>
          </w:tcPr>
          <w:p w:rsidR="00EA4900" w:rsidRPr="00A6443F" w:rsidRDefault="00EA4900" w:rsidP="00E27D83">
            <w:pPr>
              <w:keepNext/>
              <w:spacing w:before="40" w:after="40"/>
              <w:jc w:val="left"/>
              <w:rPr>
                <w:sz w:val="18"/>
                <w:szCs w:val="18"/>
              </w:rPr>
            </w:pPr>
            <w:r w:rsidRPr="00A6443F">
              <w:rPr>
                <w:sz w:val="18"/>
                <w:szCs w:val="18"/>
              </w:rPr>
              <w:t>Petunia and Calibrachoa</w:t>
            </w:r>
          </w:p>
        </w:tc>
        <w:tc>
          <w:tcPr>
            <w:tcW w:w="3830" w:type="dxa"/>
          </w:tcPr>
          <w:p w:rsidR="00EA4900" w:rsidRPr="00A6443F" w:rsidRDefault="00EA4900" w:rsidP="00E27D83">
            <w:pPr>
              <w:keepNext/>
              <w:spacing w:before="40" w:after="40"/>
              <w:jc w:val="left"/>
              <w:rPr>
                <w:sz w:val="18"/>
                <w:szCs w:val="18"/>
              </w:rPr>
            </w:pPr>
            <w:r w:rsidRPr="00A6443F">
              <w:rPr>
                <w:sz w:val="18"/>
                <w:szCs w:val="18"/>
              </w:rPr>
              <w:t>PETUN;  CALIB</w:t>
            </w:r>
          </w:p>
        </w:tc>
      </w:tr>
      <w:tr w:rsidR="00EA4900" w:rsidRPr="00A6443F" w:rsidTr="00E27D83">
        <w:trPr>
          <w:cantSplit/>
        </w:trPr>
        <w:tc>
          <w:tcPr>
            <w:tcW w:w="1277" w:type="dxa"/>
          </w:tcPr>
          <w:p w:rsidR="00EA4900" w:rsidRPr="00A6443F" w:rsidRDefault="00EA4900" w:rsidP="00E27D83">
            <w:pPr>
              <w:spacing w:before="40" w:after="40"/>
              <w:jc w:val="left"/>
              <w:rPr>
                <w:sz w:val="18"/>
                <w:szCs w:val="18"/>
              </w:rPr>
            </w:pPr>
            <w:r w:rsidRPr="00A6443F">
              <w:rPr>
                <w:sz w:val="18"/>
                <w:szCs w:val="18"/>
              </w:rPr>
              <w:t>Class 207</w:t>
            </w:r>
          </w:p>
        </w:tc>
        <w:tc>
          <w:tcPr>
            <w:tcW w:w="4677" w:type="dxa"/>
          </w:tcPr>
          <w:p w:rsidR="00EA4900" w:rsidRPr="00A6443F" w:rsidRDefault="00EA4900" w:rsidP="00E27D83">
            <w:pPr>
              <w:keepNext/>
              <w:spacing w:before="40" w:after="40"/>
              <w:jc w:val="left"/>
              <w:rPr>
                <w:sz w:val="18"/>
                <w:szCs w:val="18"/>
              </w:rPr>
            </w:pPr>
            <w:r w:rsidRPr="00A6443F">
              <w:rPr>
                <w:sz w:val="18"/>
                <w:szCs w:val="18"/>
              </w:rPr>
              <w:t>Chrysanthemum and Ajania</w:t>
            </w:r>
          </w:p>
        </w:tc>
        <w:tc>
          <w:tcPr>
            <w:tcW w:w="3830" w:type="dxa"/>
          </w:tcPr>
          <w:p w:rsidR="00EA4900" w:rsidRPr="00A6443F" w:rsidRDefault="00EA4900" w:rsidP="00E27D83">
            <w:pPr>
              <w:keepNext/>
              <w:spacing w:before="40" w:after="40"/>
              <w:jc w:val="left"/>
              <w:rPr>
                <w:sz w:val="18"/>
                <w:szCs w:val="18"/>
              </w:rPr>
            </w:pPr>
            <w:r w:rsidRPr="00A6443F">
              <w:rPr>
                <w:sz w:val="18"/>
                <w:szCs w:val="18"/>
              </w:rPr>
              <w:t>CHRYS;  AJANI</w:t>
            </w:r>
          </w:p>
        </w:tc>
      </w:tr>
      <w:tr w:rsidR="00EA4900" w:rsidRPr="00A6443F" w:rsidTr="00E27D83">
        <w:trPr>
          <w:cantSplit/>
        </w:trPr>
        <w:tc>
          <w:tcPr>
            <w:tcW w:w="1277" w:type="dxa"/>
          </w:tcPr>
          <w:p w:rsidR="00EA4900" w:rsidRPr="00A6443F" w:rsidRDefault="00EA4900" w:rsidP="00E27D83">
            <w:pPr>
              <w:spacing w:before="40" w:after="40"/>
              <w:jc w:val="left"/>
              <w:rPr>
                <w:sz w:val="18"/>
                <w:szCs w:val="18"/>
              </w:rPr>
            </w:pPr>
            <w:r w:rsidRPr="00A6443F">
              <w:rPr>
                <w:sz w:val="18"/>
                <w:szCs w:val="18"/>
              </w:rPr>
              <w:t>Class 208</w:t>
            </w:r>
          </w:p>
        </w:tc>
        <w:tc>
          <w:tcPr>
            <w:tcW w:w="4677" w:type="dxa"/>
          </w:tcPr>
          <w:p w:rsidR="00EA4900" w:rsidRPr="00A6443F" w:rsidRDefault="00EA4900" w:rsidP="00E27D83">
            <w:pPr>
              <w:keepNext/>
              <w:spacing w:before="40" w:after="40"/>
              <w:jc w:val="left"/>
              <w:rPr>
                <w:sz w:val="18"/>
                <w:szCs w:val="18"/>
              </w:rPr>
            </w:pPr>
            <w:r w:rsidRPr="00A6443F">
              <w:rPr>
                <w:sz w:val="18"/>
                <w:szCs w:val="18"/>
              </w:rPr>
              <w:t>(Statice) Goniolimon, Limonium, Psylliostachys</w:t>
            </w:r>
          </w:p>
        </w:tc>
        <w:tc>
          <w:tcPr>
            <w:tcW w:w="3830" w:type="dxa"/>
          </w:tcPr>
          <w:p w:rsidR="00EA4900" w:rsidRPr="00A6443F" w:rsidRDefault="00EA4900" w:rsidP="00E27D83">
            <w:pPr>
              <w:keepNext/>
              <w:spacing w:before="40" w:after="40"/>
              <w:jc w:val="left"/>
              <w:rPr>
                <w:sz w:val="18"/>
                <w:szCs w:val="18"/>
              </w:rPr>
            </w:pPr>
            <w:r w:rsidRPr="00A6443F">
              <w:rPr>
                <w:sz w:val="18"/>
                <w:szCs w:val="18"/>
              </w:rPr>
              <w:t>GONIO;  LIMON;  PSYLL</w:t>
            </w:r>
          </w:p>
        </w:tc>
      </w:tr>
      <w:tr w:rsidR="00EA4900" w:rsidRPr="00A6443F" w:rsidTr="00E27D83">
        <w:trPr>
          <w:cantSplit/>
        </w:trPr>
        <w:tc>
          <w:tcPr>
            <w:tcW w:w="1277" w:type="dxa"/>
          </w:tcPr>
          <w:p w:rsidR="00EA4900" w:rsidRPr="00A6443F" w:rsidRDefault="00EA4900" w:rsidP="00E27D83">
            <w:pPr>
              <w:spacing w:before="40" w:after="40"/>
              <w:jc w:val="left"/>
              <w:rPr>
                <w:sz w:val="18"/>
                <w:szCs w:val="18"/>
              </w:rPr>
            </w:pPr>
            <w:r w:rsidRPr="00A6443F">
              <w:rPr>
                <w:sz w:val="18"/>
                <w:szCs w:val="18"/>
              </w:rPr>
              <w:t>Class 209</w:t>
            </w:r>
          </w:p>
        </w:tc>
        <w:tc>
          <w:tcPr>
            <w:tcW w:w="4677" w:type="dxa"/>
          </w:tcPr>
          <w:p w:rsidR="00EA4900" w:rsidRPr="00A6443F" w:rsidRDefault="00EA4900" w:rsidP="00E27D83">
            <w:pPr>
              <w:keepNext/>
              <w:spacing w:before="40" w:after="40"/>
              <w:jc w:val="left"/>
              <w:rPr>
                <w:sz w:val="18"/>
                <w:szCs w:val="18"/>
              </w:rPr>
            </w:pPr>
            <w:r w:rsidRPr="00A6443F">
              <w:rPr>
                <w:sz w:val="18"/>
                <w:szCs w:val="18"/>
              </w:rPr>
              <w:t>(Waxflower) Chamelaucium, Verticordia</w:t>
            </w:r>
          </w:p>
        </w:tc>
        <w:tc>
          <w:tcPr>
            <w:tcW w:w="3830" w:type="dxa"/>
          </w:tcPr>
          <w:p w:rsidR="00EA4900" w:rsidRPr="00A6443F" w:rsidRDefault="00EA4900" w:rsidP="00E27D83">
            <w:pPr>
              <w:keepNext/>
              <w:spacing w:before="40" w:after="40"/>
              <w:jc w:val="left"/>
              <w:rPr>
                <w:sz w:val="18"/>
                <w:szCs w:val="18"/>
              </w:rPr>
            </w:pPr>
            <w:r w:rsidRPr="00A6443F">
              <w:rPr>
                <w:sz w:val="18"/>
                <w:szCs w:val="18"/>
              </w:rPr>
              <w:t>CHMLC;  VERTI;  VECHM</w:t>
            </w:r>
          </w:p>
        </w:tc>
      </w:tr>
      <w:tr w:rsidR="00EA4900" w:rsidRPr="00A6443F" w:rsidTr="00E27D83">
        <w:trPr>
          <w:cantSplit/>
        </w:trPr>
        <w:tc>
          <w:tcPr>
            <w:tcW w:w="1277" w:type="dxa"/>
          </w:tcPr>
          <w:p w:rsidR="00EA4900" w:rsidRPr="00A6443F" w:rsidRDefault="00EA4900" w:rsidP="00E27D83">
            <w:pPr>
              <w:spacing w:before="40" w:after="40"/>
              <w:jc w:val="left"/>
              <w:rPr>
                <w:sz w:val="18"/>
                <w:szCs w:val="18"/>
              </w:rPr>
            </w:pPr>
            <w:r w:rsidRPr="00A6443F">
              <w:rPr>
                <w:sz w:val="18"/>
                <w:szCs w:val="18"/>
              </w:rPr>
              <w:t>Class 210</w:t>
            </w:r>
          </w:p>
        </w:tc>
        <w:tc>
          <w:tcPr>
            <w:tcW w:w="4677" w:type="dxa"/>
          </w:tcPr>
          <w:p w:rsidR="00EA4900" w:rsidRPr="00A6443F" w:rsidRDefault="00EA4900" w:rsidP="00E27D83">
            <w:pPr>
              <w:keepNext/>
              <w:spacing w:before="40" w:after="40"/>
              <w:jc w:val="left"/>
              <w:rPr>
                <w:sz w:val="18"/>
                <w:szCs w:val="18"/>
              </w:rPr>
            </w:pPr>
            <w:r w:rsidRPr="00A6443F">
              <w:rPr>
                <w:sz w:val="18"/>
                <w:szCs w:val="18"/>
              </w:rPr>
              <w:t>Jamesbrittania and Sutera</w:t>
            </w:r>
          </w:p>
        </w:tc>
        <w:tc>
          <w:tcPr>
            <w:tcW w:w="3830" w:type="dxa"/>
          </w:tcPr>
          <w:p w:rsidR="00EA4900" w:rsidRPr="00A6443F" w:rsidRDefault="00EA4900" w:rsidP="00E27D83">
            <w:pPr>
              <w:keepNext/>
              <w:spacing w:before="40" w:after="40"/>
              <w:jc w:val="left"/>
              <w:rPr>
                <w:sz w:val="18"/>
                <w:szCs w:val="18"/>
              </w:rPr>
            </w:pPr>
            <w:r w:rsidRPr="00A6443F">
              <w:rPr>
                <w:sz w:val="18"/>
                <w:szCs w:val="18"/>
              </w:rPr>
              <w:t>JAMES; SUTER</w:t>
            </w:r>
          </w:p>
        </w:tc>
      </w:tr>
      <w:tr w:rsidR="00EA4900" w:rsidRPr="00A6443F" w:rsidTr="00E27D83">
        <w:trPr>
          <w:cantSplit/>
        </w:trPr>
        <w:tc>
          <w:tcPr>
            <w:tcW w:w="1277" w:type="dxa"/>
          </w:tcPr>
          <w:p w:rsidR="00EA4900" w:rsidRPr="00A6443F" w:rsidRDefault="00EA4900" w:rsidP="00E27D83">
            <w:pPr>
              <w:spacing w:before="40" w:after="40"/>
              <w:ind w:left="567" w:right="113" w:hanging="567"/>
              <w:jc w:val="left"/>
              <w:rPr>
                <w:sz w:val="18"/>
                <w:szCs w:val="18"/>
              </w:rPr>
            </w:pPr>
            <w:r w:rsidRPr="00A6443F">
              <w:rPr>
                <w:sz w:val="18"/>
                <w:szCs w:val="18"/>
              </w:rPr>
              <w:t>Class 211</w:t>
            </w:r>
          </w:p>
        </w:tc>
        <w:tc>
          <w:tcPr>
            <w:tcW w:w="4677" w:type="dxa"/>
          </w:tcPr>
          <w:p w:rsidR="00EA4900" w:rsidRPr="00A6443F" w:rsidRDefault="00EA4900" w:rsidP="00E27D83">
            <w:pPr>
              <w:tabs>
                <w:tab w:val="left" w:pos="6373"/>
                <w:tab w:val="left" w:pos="9066"/>
              </w:tabs>
              <w:spacing w:before="40" w:after="40"/>
              <w:ind w:left="298" w:right="113" w:hanging="298"/>
              <w:jc w:val="left"/>
              <w:rPr>
                <w:sz w:val="18"/>
                <w:szCs w:val="18"/>
              </w:rPr>
            </w:pPr>
            <w:r w:rsidRPr="00A6443F">
              <w:rPr>
                <w:sz w:val="18"/>
                <w:szCs w:val="18"/>
              </w:rPr>
              <w:t>(Mushrooms)</w:t>
            </w:r>
            <w:r w:rsidRPr="00A6443F">
              <w:rPr>
                <w:sz w:val="18"/>
                <w:szCs w:val="18"/>
              </w:rPr>
              <w:br/>
            </w:r>
            <w:r w:rsidRPr="00A6443F">
              <w:rPr>
                <w:snapToGrid w:val="0"/>
                <w:color w:val="000000"/>
                <w:sz w:val="18"/>
                <w:szCs w:val="18"/>
              </w:rPr>
              <w:t xml:space="preserve">Agaricus  </w:t>
            </w:r>
            <w:r w:rsidRPr="00A6443F">
              <w:rPr>
                <w:snapToGrid w:val="0"/>
                <w:color w:val="000000"/>
                <w:sz w:val="18"/>
                <w:szCs w:val="18"/>
              </w:rPr>
              <w:br/>
              <w:t xml:space="preserve">Agrocybe </w:t>
            </w:r>
            <w:r w:rsidRPr="00A6443F">
              <w:rPr>
                <w:snapToGrid w:val="0"/>
                <w:color w:val="000000"/>
                <w:sz w:val="18"/>
                <w:szCs w:val="18"/>
              </w:rPr>
              <w:br/>
              <w:t xml:space="preserve">Auricularia </w:t>
            </w:r>
            <w:r w:rsidRPr="00A6443F">
              <w:rPr>
                <w:snapToGrid w:val="0"/>
                <w:color w:val="000000"/>
                <w:sz w:val="18"/>
                <w:szCs w:val="18"/>
              </w:rPr>
              <w:br/>
              <w:t xml:space="preserve">Dictyophora </w:t>
            </w:r>
            <w:r w:rsidRPr="00A6443F">
              <w:rPr>
                <w:snapToGrid w:val="0"/>
                <w:color w:val="000000"/>
                <w:sz w:val="18"/>
                <w:szCs w:val="18"/>
              </w:rPr>
              <w:br/>
              <w:t xml:space="preserve">Flammulina </w:t>
            </w:r>
            <w:r w:rsidRPr="00A6443F">
              <w:rPr>
                <w:snapToGrid w:val="0"/>
                <w:color w:val="000000"/>
                <w:sz w:val="18"/>
                <w:szCs w:val="18"/>
              </w:rPr>
              <w:br/>
              <w:t xml:space="preserve">Ganoderma </w:t>
            </w:r>
            <w:r w:rsidRPr="00A6443F">
              <w:rPr>
                <w:snapToGrid w:val="0"/>
                <w:color w:val="000000"/>
                <w:sz w:val="18"/>
                <w:szCs w:val="18"/>
              </w:rPr>
              <w:br/>
              <w:t xml:space="preserve">Grifola </w:t>
            </w:r>
            <w:r w:rsidRPr="00A6443F">
              <w:rPr>
                <w:snapToGrid w:val="0"/>
                <w:color w:val="000000"/>
                <w:sz w:val="18"/>
                <w:szCs w:val="18"/>
              </w:rPr>
              <w:br/>
              <w:t xml:space="preserve">Hericium </w:t>
            </w:r>
            <w:r w:rsidRPr="00A6443F">
              <w:rPr>
                <w:snapToGrid w:val="0"/>
                <w:color w:val="000000"/>
                <w:sz w:val="18"/>
                <w:szCs w:val="18"/>
              </w:rPr>
              <w:br/>
              <w:t xml:space="preserve">Hypsizigus </w:t>
            </w:r>
            <w:r w:rsidRPr="00A6443F">
              <w:rPr>
                <w:snapToGrid w:val="0"/>
                <w:color w:val="000000"/>
                <w:sz w:val="18"/>
                <w:szCs w:val="18"/>
              </w:rPr>
              <w:br/>
              <w:t xml:space="preserve">Lentinula </w:t>
            </w:r>
            <w:r w:rsidRPr="00A6443F">
              <w:rPr>
                <w:snapToGrid w:val="0"/>
                <w:color w:val="000000"/>
                <w:sz w:val="18"/>
                <w:szCs w:val="18"/>
              </w:rPr>
              <w:br/>
              <w:t xml:space="preserve">Lepista </w:t>
            </w:r>
            <w:r w:rsidRPr="00A6443F">
              <w:rPr>
                <w:snapToGrid w:val="0"/>
                <w:color w:val="000000"/>
                <w:sz w:val="18"/>
                <w:szCs w:val="18"/>
              </w:rPr>
              <w:br/>
              <w:t xml:space="preserve">Lyophyllum </w:t>
            </w:r>
            <w:r w:rsidRPr="00A6443F">
              <w:rPr>
                <w:snapToGrid w:val="0"/>
                <w:color w:val="000000"/>
                <w:sz w:val="18"/>
                <w:szCs w:val="18"/>
              </w:rPr>
              <w:br/>
              <w:t xml:space="preserve">Meripilus </w:t>
            </w:r>
            <w:r w:rsidRPr="00A6443F">
              <w:rPr>
                <w:snapToGrid w:val="0"/>
                <w:color w:val="000000"/>
                <w:sz w:val="18"/>
                <w:szCs w:val="18"/>
              </w:rPr>
              <w:br/>
              <w:t xml:space="preserve">Mycoleptodonoides </w:t>
            </w:r>
            <w:r w:rsidRPr="00A6443F">
              <w:rPr>
                <w:snapToGrid w:val="0"/>
                <w:color w:val="000000"/>
                <w:sz w:val="18"/>
                <w:szCs w:val="18"/>
              </w:rPr>
              <w:br/>
              <w:t xml:space="preserve">Naematoloma </w:t>
            </w:r>
            <w:r w:rsidRPr="00A6443F">
              <w:rPr>
                <w:snapToGrid w:val="0"/>
                <w:color w:val="000000"/>
                <w:sz w:val="18"/>
                <w:szCs w:val="18"/>
              </w:rPr>
              <w:br/>
              <w:t>Panellus</w:t>
            </w:r>
            <w:r w:rsidRPr="00A6443F">
              <w:rPr>
                <w:snapToGrid w:val="0"/>
                <w:color w:val="000000"/>
                <w:sz w:val="18"/>
                <w:szCs w:val="18"/>
              </w:rPr>
              <w:br/>
              <w:t xml:space="preserve">Pholiota </w:t>
            </w:r>
            <w:r w:rsidRPr="00A6443F">
              <w:rPr>
                <w:snapToGrid w:val="0"/>
                <w:color w:val="000000"/>
                <w:sz w:val="18"/>
                <w:szCs w:val="18"/>
              </w:rPr>
              <w:br/>
              <w:t xml:space="preserve">Pleurotus </w:t>
            </w:r>
            <w:r w:rsidRPr="00A6443F">
              <w:rPr>
                <w:snapToGrid w:val="0"/>
                <w:color w:val="000000"/>
                <w:sz w:val="18"/>
                <w:szCs w:val="18"/>
              </w:rPr>
              <w:br/>
              <w:t xml:space="preserve">Polyporus </w:t>
            </w:r>
            <w:r w:rsidRPr="00A6443F">
              <w:rPr>
                <w:snapToGrid w:val="0"/>
                <w:color w:val="000000"/>
                <w:sz w:val="18"/>
                <w:szCs w:val="18"/>
              </w:rPr>
              <w:br/>
              <w:t xml:space="preserve">Sparassis </w:t>
            </w:r>
            <w:r w:rsidRPr="00A6443F">
              <w:rPr>
                <w:snapToGrid w:val="0"/>
                <w:color w:val="000000"/>
                <w:sz w:val="18"/>
                <w:szCs w:val="18"/>
              </w:rPr>
              <w:br/>
              <w:t xml:space="preserve">Tricholoma </w:t>
            </w:r>
          </w:p>
        </w:tc>
        <w:tc>
          <w:tcPr>
            <w:tcW w:w="3830" w:type="dxa"/>
          </w:tcPr>
          <w:p w:rsidR="00EA4900" w:rsidRPr="00A6443F" w:rsidRDefault="00EA4900" w:rsidP="00E27D83">
            <w:pPr>
              <w:spacing w:before="40" w:after="40"/>
              <w:jc w:val="left"/>
              <w:rPr>
                <w:snapToGrid w:val="0"/>
                <w:color w:val="000000"/>
                <w:sz w:val="18"/>
                <w:szCs w:val="18"/>
                <w:lang w:val="it-IT"/>
              </w:rPr>
            </w:pPr>
            <w:r w:rsidRPr="00A6443F">
              <w:rPr>
                <w:snapToGrid w:val="0"/>
                <w:color w:val="000000"/>
                <w:sz w:val="18"/>
                <w:szCs w:val="18"/>
                <w:lang w:val="it-IT"/>
              </w:rPr>
              <w:br/>
              <w:t>AGARI</w:t>
            </w:r>
            <w:r w:rsidRPr="00A6443F">
              <w:rPr>
                <w:b/>
                <w:snapToGrid w:val="0"/>
                <w:color w:val="000000"/>
                <w:sz w:val="18"/>
                <w:szCs w:val="18"/>
                <w:lang w:val="it-IT"/>
              </w:rPr>
              <w:br/>
            </w:r>
            <w:r w:rsidRPr="00A6443F">
              <w:rPr>
                <w:snapToGrid w:val="0"/>
                <w:color w:val="000000"/>
                <w:sz w:val="18"/>
                <w:szCs w:val="18"/>
                <w:lang w:val="it-IT"/>
              </w:rPr>
              <w:t>AGROC</w:t>
            </w:r>
            <w:r w:rsidRPr="00A6443F">
              <w:rPr>
                <w:snapToGrid w:val="0"/>
                <w:color w:val="000000"/>
                <w:sz w:val="18"/>
                <w:szCs w:val="18"/>
                <w:lang w:val="it-IT"/>
              </w:rPr>
              <w:br/>
              <w:t>AURIC</w:t>
            </w:r>
            <w:r w:rsidRPr="00A6443F">
              <w:rPr>
                <w:snapToGrid w:val="0"/>
                <w:color w:val="000000"/>
                <w:sz w:val="18"/>
                <w:szCs w:val="18"/>
                <w:lang w:val="it-IT"/>
              </w:rPr>
              <w:br/>
              <w:t>DICTP</w:t>
            </w:r>
            <w:r w:rsidRPr="00A6443F">
              <w:rPr>
                <w:snapToGrid w:val="0"/>
                <w:color w:val="000000"/>
                <w:sz w:val="18"/>
                <w:szCs w:val="18"/>
                <w:lang w:val="it-IT"/>
              </w:rPr>
              <w:br/>
              <w:t>FLAMM</w:t>
            </w:r>
            <w:r w:rsidRPr="00A6443F">
              <w:rPr>
                <w:snapToGrid w:val="0"/>
                <w:color w:val="000000"/>
                <w:sz w:val="18"/>
                <w:szCs w:val="18"/>
                <w:lang w:val="it-IT"/>
              </w:rPr>
              <w:br/>
              <w:t>GANOD</w:t>
            </w:r>
            <w:r w:rsidRPr="00A6443F">
              <w:rPr>
                <w:snapToGrid w:val="0"/>
                <w:color w:val="000000"/>
                <w:sz w:val="18"/>
                <w:szCs w:val="18"/>
                <w:lang w:val="it-IT"/>
              </w:rPr>
              <w:br/>
              <w:t>GRIFO</w:t>
            </w:r>
            <w:r w:rsidRPr="00A6443F">
              <w:rPr>
                <w:snapToGrid w:val="0"/>
                <w:color w:val="000000"/>
                <w:sz w:val="18"/>
                <w:szCs w:val="18"/>
                <w:lang w:val="it-IT"/>
              </w:rPr>
              <w:br/>
              <w:t>HERIC</w:t>
            </w:r>
            <w:r w:rsidRPr="00A6443F">
              <w:rPr>
                <w:snapToGrid w:val="0"/>
                <w:color w:val="000000"/>
                <w:sz w:val="18"/>
                <w:szCs w:val="18"/>
                <w:lang w:val="it-IT"/>
              </w:rPr>
              <w:br/>
              <w:t>HYPSI</w:t>
            </w:r>
            <w:r w:rsidRPr="00A6443F">
              <w:rPr>
                <w:snapToGrid w:val="0"/>
                <w:color w:val="000000"/>
                <w:sz w:val="18"/>
                <w:szCs w:val="18"/>
                <w:lang w:val="it-IT"/>
              </w:rPr>
              <w:br/>
              <w:t>LENTI</w:t>
            </w:r>
            <w:r w:rsidRPr="00A6443F">
              <w:rPr>
                <w:snapToGrid w:val="0"/>
                <w:color w:val="000000"/>
                <w:sz w:val="18"/>
                <w:szCs w:val="18"/>
                <w:lang w:val="it-IT"/>
              </w:rPr>
              <w:br/>
              <w:t>LEPIS</w:t>
            </w:r>
            <w:r w:rsidRPr="00A6443F">
              <w:rPr>
                <w:snapToGrid w:val="0"/>
                <w:color w:val="000000"/>
                <w:sz w:val="18"/>
                <w:szCs w:val="18"/>
                <w:lang w:val="it-IT"/>
              </w:rPr>
              <w:br/>
            </w:r>
            <w:r w:rsidRPr="00A6443F">
              <w:rPr>
                <w:snapToGrid w:val="0"/>
                <w:color w:val="000000"/>
                <w:sz w:val="18"/>
                <w:szCs w:val="18"/>
              </w:rPr>
              <w:t>LYOPH</w:t>
            </w:r>
            <w:r w:rsidRPr="00A6443F">
              <w:rPr>
                <w:snapToGrid w:val="0"/>
                <w:color w:val="000000"/>
                <w:sz w:val="18"/>
                <w:szCs w:val="18"/>
              </w:rPr>
              <w:br/>
              <w:t>MERIP</w:t>
            </w:r>
            <w:r w:rsidRPr="00A6443F">
              <w:rPr>
                <w:snapToGrid w:val="0"/>
                <w:color w:val="000000"/>
                <w:sz w:val="18"/>
                <w:szCs w:val="18"/>
              </w:rPr>
              <w:br/>
              <w:t>MYCOL</w:t>
            </w:r>
            <w:r w:rsidRPr="00A6443F">
              <w:rPr>
                <w:snapToGrid w:val="0"/>
                <w:color w:val="000000"/>
                <w:sz w:val="18"/>
                <w:szCs w:val="18"/>
              </w:rPr>
              <w:br/>
              <w:t>NAEMA</w:t>
            </w:r>
            <w:r w:rsidRPr="00A6443F">
              <w:rPr>
                <w:snapToGrid w:val="0"/>
                <w:color w:val="000000"/>
                <w:sz w:val="18"/>
                <w:szCs w:val="18"/>
              </w:rPr>
              <w:br/>
              <w:t>PANEL</w:t>
            </w:r>
            <w:r w:rsidRPr="00A6443F">
              <w:rPr>
                <w:snapToGrid w:val="0"/>
                <w:color w:val="000000"/>
                <w:sz w:val="18"/>
                <w:szCs w:val="18"/>
              </w:rPr>
              <w:br/>
              <w:t>PHLIO</w:t>
            </w:r>
            <w:r w:rsidRPr="00A6443F">
              <w:rPr>
                <w:snapToGrid w:val="0"/>
                <w:color w:val="000000"/>
                <w:sz w:val="18"/>
                <w:szCs w:val="18"/>
              </w:rPr>
              <w:br/>
              <w:t>PLEUR</w:t>
            </w:r>
            <w:r w:rsidRPr="00A6443F">
              <w:rPr>
                <w:snapToGrid w:val="0"/>
                <w:color w:val="000000"/>
                <w:sz w:val="18"/>
                <w:szCs w:val="18"/>
              </w:rPr>
              <w:br/>
            </w:r>
            <w:r w:rsidRPr="00A6443F">
              <w:rPr>
                <w:snapToGrid w:val="0"/>
                <w:color w:val="000000"/>
                <w:sz w:val="18"/>
                <w:szCs w:val="18"/>
                <w:lang w:val="it-IT"/>
              </w:rPr>
              <w:t>POLYO</w:t>
            </w:r>
            <w:r w:rsidRPr="00A6443F">
              <w:rPr>
                <w:snapToGrid w:val="0"/>
                <w:color w:val="000000"/>
                <w:sz w:val="18"/>
                <w:szCs w:val="18"/>
                <w:lang w:val="it-IT"/>
              </w:rPr>
              <w:br/>
              <w:t>SPARA</w:t>
            </w:r>
            <w:r w:rsidRPr="00A6443F">
              <w:rPr>
                <w:snapToGrid w:val="0"/>
                <w:color w:val="000000"/>
                <w:sz w:val="18"/>
                <w:szCs w:val="18"/>
                <w:lang w:val="it-IT"/>
              </w:rPr>
              <w:br/>
              <w:t>MACRO</w:t>
            </w:r>
          </w:p>
        </w:tc>
      </w:tr>
      <w:tr w:rsidR="00EA4900" w:rsidRPr="00A6443F" w:rsidTr="00E27D83">
        <w:trPr>
          <w:cantSplit/>
        </w:trPr>
        <w:tc>
          <w:tcPr>
            <w:tcW w:w="1277" w:type="dxa"/>
          </w:tcPr>
          <w:p w:rsidR="00EA4900" w:rsidRPr="00A6443F" w:rsidRDefault="00EA4900" w:rsidP="00E27D83">
            <w:pPr>
              <w:spacing w:before="40" w:after="40"/>
              <w:ind w:left="567" w:right="113" w:hanging="567"/>
              <w:jc w:val="left"/>
              <w:rPr>
                <w:sz w:val="18"/>
                <w:szCs w:val="18"/>
              </w:rPr>
            </w:pPr>
            <w:r w:rsidRPr="00A6443F">
              <w:rPr>
                <w:snapToGrid w:val="0"/>
                <w:sz w:val="18"/>
                <w:szCs w:val="18"/>
              </w:rPr>
              <w:t>Class 212</w:t>
            </w:r>
          </w:p>
        </w:tc>
        <w:tc>
          <w:tcPr>
            <w:tcW w:w="4677" w:type="dxa"/>
          </w:tcPr>
          <w:p w:rsidR="00EA4900" w:rsidRPr="00A6443F" w:rsidRDefault="00EA4900" w:rsidP="00E27D83">
            <w:pPr>
              <w:tabs>
                <w:tab w:val="left" w:pos="6373"/>
                <w:tab w:val="left" w:pos="9066"/>
              </w:tabs>
              <w:spacing w:before="40" w:after="40"/>
              <w:ind w:left="301" w:right="113" w:hanging="301"/>
              <w:jc w:val="left"/>
              <w:rPr>
                <w:sz w:val="18"/>
                <w:szCs w:val="18"/>
              </w:rPr>
            </w:pPr>
            <w:r w:rsidRPr="00A6443F">
              <w:rPr>
                <w:sz w:val="18"/>
                <w:szCs w:val="18"/>
              </w:rPr>
              <w:t>Verbena L. and Glandularia J. F. Gmel.</w:t>
            </w:r>
          </w:p>
        </w:tc>
        <w:tc>
          <w:tcPr>
            <w:tcW w:w="3830" w:type="dxa"/>
          </w:tcPr>
          <w:p w:rsidR="00EA4900" w:rsidRPr="00A6443F" w:rsidRDefault="00EA4900" w:rsidP="00E27D83">
            <w:pPr>
              <w:spacing w:before="40" w:after="40"/>
              <w:jc w:val="left"/>
              <w:rPr>
                <w:snapToGrid w:val="0"/>
                <w:color w:val="000000"/>
                <w:sz w:val="18"/>
                <w:szCs w:val="18"/>
                <w:lang w:val="it-IT"/>
              </w:rPr>
            </w:pPr>
            <w:r w:rsidRPr="00A6443F">
              <w:rPr>
                <w:snapToGrid w:val="0"/>
                <w:color w:val="000000"/>
                <w:sz w:val="18"/>
                <w:szCs w:val="18"/>
                <w:lang w:val="it-IT"/>
              </w:rPr>
              <w:t>VERBE;  GLAND</w:t>
            </w:r>
          </w:p>
        </w:tc>
      </w:tr>
      <w:tr w:rsidR="00EA4900" w:rsidRPr="00A6443F" w:rsidTr="00E27D83">
        <w:tblPrEx>
          <w:tblCellMar>
            <w:left w:w="56" w:type="dxa"/>
            <w:right w:w="56" w:type="dxa"/>
          </w:tblCellMar>
        </w:tblPrEx>
        <w:trPr>
          <w:cantSplit/>
        </w:trPr>
        <w:tc>
          <w:tcPr>
            <w:tcW w:w="1277" w:type="dxa"/>
            <w:tcBorders>
              <w:top w:val="single" w:sz="4" w:space="0" w:color="auto"/>
              <w:left w:val="single" w:sz="4" w:space="0" w:color="auto"/>
              <w:bottom w:val="nil"/>
              <w:right w:val="single" w:sz="4" w:space="0" w:color="auto"/>
            </w:tcBorders>
            <w:shd w:val="clear" w:color="auto" w:fill="auto"/>
          </w:tcPr>
          <w:p w:rsidR="00EA4900" w:rsidRPr="00A6443F" w:rsidRDefault="00EA4900" w:rsidP="00E27D83">
            <w:pPr>
              <w:spacing w:before="40"/>
              <w:ind w:left="301" w:right="113" w:hanging="301"/>
              <w:jc w:val="left"/>
              <w:rPr>
                <w:sz w:val="18"/>
                <w:szCs w:val="18"/>
              </w:rPr>
            </w:pPr>
            <w:r w:rsidRPr="00A6443F">
              <w:rPr>
                <w:sz w:val="18"/>
                <w:szCs w:val="18"/>
              </w:rPr>
              <w:t>Class 213</w:t>
            </w:r>
          </w:p>
        </w:tc>
        <w:tc>
          <w:tcPr>
            <w:tcW w:w="4677" w:type="dxa"/>
            <w:tcBorders>
              <w:top w:val="single" w:sz="4" w:space="0" w:color="auto"/>
              <w:left w:val="single" w:sz="4" w:space="0" w:color="auto"/>
              <w:bottom w:val="nil"/>
              <w:right w:val="single" w:sz="4" w:space="0" w:color="auto"/>
            </w:tcBorders>
            <w:shd w:val="clear" w:color="auto" w:fill="auto"/>
          </w:tcPr>
          <w:p w:rsidR="00EA4900" w:rsidRPr="00A6443F" w:rsidRDefault="00EA4900" w:rsidP="00E27D83">
            <w:pPr>
              <w:spacing w:before="40"/>
              <w:ind w:left="301" w:right="113" w:hanging="301"/>
              <w:jc w:val="left"/>
              <w:rPr>
                <w:color w:val="000000"/>
                <w:sz w:val="18"/>
                <w:szCs w:val="18"/>
              </w:rPr>
            </w:pPr>
            <w:r w:rsidRPr="00A6443F">
              <w:rPr>
                <w:color w:val="000000"/>
                <w:sz w:val="18"/>
                <w:szCs w:val="18"/>
              </w:rPr>
              <w:t>Eupatorium L.</w:t>
            </w:r>
          </w:p>
        </w:tc>
        <w:tc>
          <w:tcPr>
            <w:tcW w:w="3830" w:type="dxa"/>
            <w:tcBorders>
              <w:top w:val="single" w:sz="4" w:space="0" w:color="auto"/>
              <w:left w:val="single" w:sz="4" w:space="0" w:color="auto"/>
              <w:bottom w:val="nil"/>
              <w:right w:val="single" w:sz="4" w:space="0" w:color="auto"/>
            </w:tcBorders>
            <w:shd w:val="clear" w:color="auto" w:fill="auto"/>
          </w:tcPr>
          <w:p w:rsidR="00EA4900" w:rsidRPr="00A6443F" w:rsidRDefault="00EA4900" w:rsidP="00E27D83">
            <w:pPr>
              <w:spacing w:before="40"/>
              <w:ind w:left="301" w:right="113" w:hanging="301"/>
              <w:jc w:val="left"/>
              <w:rPr>
                <w:sz w:val="18"/>
                <w:szCs w:val="18"/>
              </w:rPr>
            </w:pPr>
            <w:r w:rsidRPr="00A6443F">
              <w:rPr>
                <w:sz w:val="18"/>
                <w:szCs w:val="18"/>
              </w:rPr>
              <w:t>EUPAT</w:t>
            </w:r>
          </w:p>
        </w:tc>
      </w:tr>
      <w:tr w:rsidR="00EA4900" w:rsidRPr="00A6443F" w:rsidTr="00E27D83">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ind w:firstLine="305"/>
              <w:jc w:val="left"/>
              <w:rPr>
                <w:color w:val="000000"/>
                <w:sz w:val="18"/>
                <w:szCs w:val="18"/>
              </w:rPr>
            </w:pPr>
            <w:r w:rsidRPr="00A6443F">
              <w:rPr>
                <w:color w:val="000000"/>
                <w:sz w:val="18"/>
                <w:szCs w:val="18"/>
              </w:rPr>
              <w:t>Acanthostyles R. M. King &amp; H. Rob.</w:t>
            </w:r>
          </w:p>
        </w:tc>
        <w:tc>
          <w:tcPr>
            <w:tcW w:w="3830"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jc w:val="left"/>
              <w:rPr>
                <w:sz w:val="18"/>
                <w:szCs w:val="18"/>
              </w:rPr>
            </w:pPr>
            <w:r w:rsidRPr="00A6443F">
              <w:rPr>
                <w:sz w:val="18"/>
                <w:szCs w:val="18"/>
              </w:rPr>
              <w:t>-</w:t>
            </w:r>
          </w:p>
        </w:tc>
      </w:tr>
      <w:tr w:rsidR="00EA4900" w:rsidRPr="00A6443F" w:rsidTr="00E27D83">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ind w:firstLine="305"/>
              <w:jc w:val="left"/>
              <w:rPr>
                <w:color w:val="000000"/>
                <w:sz w:val="18"/>
                <w:szCs w:val="18"/>
              </w:rPr>
            </w:pPr>
            <w:r w:rsidRPr="00A6443F">
              <w:rPr>
                <w:iCs/>
                <w:color w:val="000000"/>
                <w:sz w:val="18"/>
                <w:szCs w:val="18"/>
              </w:rPr>
              <w:t>Ageratina Spach</w:t>
            </w:r>
          </w:p>
        </w:tc>
        <w:tc>
          <w:tcPr>
            <w:tcW w:w="3830"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jc w:val="left"/>
              <w:rPr>
                <w:sz w:val="18"/>
                <w:szCs w:val="18"/>
              </w:rPr>
            </w:pPr>
            <w:r w:rsidRPr="00A6443F">
              <w:rPr>
                <w:sz w:val="18"/>
                <w:szCs w:val="18"/>
              </w:rPr>
              <w:t>AGERT</w:t>
            </w:r>
          </w:p>
        </w:tc>
      </w:tr>
      <w:tr w:rsidR="00EA4900" w:rsidRPr="00A6443F" w:rsidTr="00E27D83">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ind w:firstLine="305"/>
              <w:jc w:val="left"/>
              <w:rPr>
                <w:color w:val="000000"/>
                <w:sz w:val="18"/>
                <w:szCs w:val="18"/>
              </w:rPr>
            </w:pPr>
            <w:r w:rsidRPr="00A6443F">
              <w:rPr>
                <w:sz w:val="18"/>
                <w:szCs w:val="18"/>
              </w:rPr>
              <w:t>Asplundianthus R. M. King &amp; H. Rob.</w:t>
            </w:r>
          </w:p>
        </w:tc>
        <w:tc>
          <w:tcPr>
            <w:tcW w:w="3830"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jc w:val="left"/>
              <w:rPr>
                <w:sz w:val="18"/>
                <w:szCs w:val="18"/>
              </w:rPr>
            </w:pPr>
            <w:r w:rsidRPr="00A6443F">
              <w:rPr>
                <w:sz w:val="18"/>
                <w:szCs w:val="18"/>
              </w:rPr>
              <w:t>-</w:t>
            </w:r>
          </w:p>
        </w:tc>
      </w:tr>
      <w:tr w:rsidR="00EA4900" w:rsidRPr="00A6443F" w:rsidTr="00E27D83">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ind w:firstLine="305"/>
              <w:jc w:val="left"/>
              <w:rPr>
                <w:color w:val="000000"/>
                <w:sz w:val="18"/>
                <w:szCs w:val="18"/>
              </w:rPr>
            </w:pPr>
            <w:r w:rsidRPr="00A6443F">
              <w:rPr>
                <w:sz w:val="18"/>
                <w:szCs w:val="18"/>
              </w:rPr>
              <w:t>Bartlettina R. M. King &amp; H. Rob.</w:t>
            </w:r>
          </w:p>
        </w:tc>
        <w:tc>
          <w:tcPr>
            <w:tcW w:w="3830"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jc w:val="left"/>
              <w:rPr>
                <w:sz w:val="18"/>
                <w:szCs w:val="18"/>
              </w:rPr>
            </w:pPr>
            <w:r w:rsidRPr="00A6443F">
              <w:rPr>
                <w:sz w:val="18"/>
                <w:szCs w:val="18"/>
              </w:rPr>
              <w:t>-</w:t>
            </w:r>
          </w:p>
        </w:tc>
      </w:tr>
      <w:tr w:rsidR="00EA4900" w:rsidRPr="00A6443F" w:rsidTr="00E27D83">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ind w:firstLine="305"/>
              <w:jc w:val="left"/>
              <w:rPr>
                <w:color w:val="000000"/>
                <w:sz w:val="18"/>
                <w:szCs w:val="18"/>
              </w:rPr>
            </w:pPr>
            <w:r w:rsidRPr="00A6443F">
              <w:rPr>
                <w:sz w:val="18"/>
                <w:szCs w:val="18"/>
              </w:rPr>
              <w:t>Campuloclinium DC.</w:t>
            </w:r>
          </w:p>
        </w:tc>
        <w:tc>
          <w:tcPr>
            <w:tcW w:w="3830"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jc w:val="left"/>
              <w:rPr>
                <w:sz w:val="18"/>
                <w:szCs w:val="18"/>
              </w:rPr>
            </w:pPr>
            <w:r w:rsidRPr="00A6443F">
              <w:rPr>
                <w:sz w:val="18"/>
                <w:szCs w:val="18"/>
              </w:rPr>
              <w:t>-</w:t>
            </w:r>
          </w:p>
        </w:tc>
      </w:tr>
      <w:tr w:rsidR="00EA4900" w:rsidRPr="00A6443F" w:rsidTr="00E27D83">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ind w:firstLine="305"/>
              <w:jc w:val="left"/>
              <w:rPr>
                <w:color w:val="000000"/>
                <w:sz w:val="18"/>
                <w:szCs w:val="18"/>
              </w:rPr>
            </w:pPr>
            <w:r w:rsidRPr="00A6443F">
              <w:rPr>
                <w:sz w:val="18"/>
                <w:szCs w:val="18"/>
              </w:rPr>
              <w:t>Chromolaena DC.</w:t>
            </w:r>
          </w:p>
        </w:tc>
        <w:tc>
          <w:tcPr>
            <w:tcW w:w="3830"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jc w:val="left"/>
              <w:rPr>
                <w:sz w:val="18"/>
                <w:szCs w:val="18"/>
              </w:rPr>
            </w:pPr>
            <w:r w:rsidRPr="00A6443F">
              <w:rPr>
                <w:sz w:val="18"/>
                <w:szCs w:val="18"/>
              </w:rPr>
              <w:t>-</w:t>
            </w:r>
          </w:p>
        </w:tc>
      </w:tr>
      <w:tr w:rsidR="00EA4900" w:rsidRPr="00A6443F" w:rsidTr="00E27D83">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ind w:firstLine="305"/>
              <w:jc w:val="left"/>
              <w:rPr>
                <w:color w:val="000000"/>
                <w:sz w:val="18"/>
                <w:szCs w:val="18"/>
              </w:rPr>
            </w:pPr>
            <w:r w:rsidRPr="00A6443F">
              <w:rPr>
                <w:sz w:val="18"/>
                <w:szCs w:val="18"/>
              </w:rPr>
              <w:t>Conoclinium DC.</w:t>
            </w:r>
          </w:p>
        </w:tc>
        <w:tc>
          <w:tcPr>
            <w:tcW w:w="3830"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jc w:val="left"/>
              <w:rPr>
                <w:sz w:val="18"/>
                <w:szCs w:val="18"/>
              </w:rPr>
            </w:pPr>
            <w:r w:rsidRPr="00A6443F">
              <w:rPr>
                <w:sz w:val="18"/>
                <w:szCs w:val="18"/>
              </w:rPr>
              <w:t>-</w:t>
            </w:r>
          </w:p>
        </w:tc>
      </w:tr>
      <w:tr w:rsidR="00EA4900" w:rsidRPr="00A6443F" w:rsidTr="00E27D83">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ind w:firstLine="305"/>
              <w:jc w:val="left"/>
              <w:rPr>
                <w:color w:val="000000"/>
                <w:sz w:val="18"/>
                <w:szCs w:val="18"/>
              </w:rPr>
            </w:pPr>
            <w:r w:rsidRPr="00A6443F">
              <w:rPr>
                <w:sz w:val="18"/>
                <w:szCs w:val="18"/>
              </w:rPr>
              <w:t>Cronquistianthus R. M. King &amp; H. Rob.</w:t>
            </w:r>
          </w:p>
        </w:tc>
        <w:tc>
          <w:tcPr>
            <w:tcW w:w="3830"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jc w:val="left"/>
              <w:rPr>
                <w:sz w:val="18"/>
                <w:szCs w:val="18"/>
              </w:rPr>
            </w:pPr>
            <w:r w:rsidRPr="00A6443F">
              <w:rPr>
                <w:sz w:val="18"/>
                <w:szCs w:val="18"/>
              </w:rPr>
              <w:t>-</w:t>
            </w:r>
          </w:p>
        </w:tc>
      </w:tr>
      <w:tr w:rsidR="00EA4900" w:rsidRPr="00A6443F" w:rsidTr="00E27D83">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ind w:firstLine="305"/>
              <w:jc w:val="left"/>
              <w:rPr>
                <w:color w:val="000000"/>
                <w:sz w:val="18"/>
                <w:szCs w:val="18"/>
              </w:rPr>
            </w:pPr>
            <w:r w:rsidRPr="00A6443F">
              <w:rPr>
                <w:iCs/>
                <w:color w:val="000000"/>
                <w:sz w:val="18"/>
                <w:szCs w:val="18"/>
              </w:rPr>
              <w:t>Eutrochium Raf.</w:t>
            </w:r>
          </w:p>
        </w:tc>
        <w:tc>
          <w:tcPr>
            <w:tcW w:w="3830" w:type="dxa"/>
            <w:tcBorders>
              <w:top w:val="nil"/>
              <w:left w:val="single" w:sz="4" w:space="0" w:color="auto"/>
              <w:bottom w:val="nil"/>
              <w:right w:val="single" w:sz="4" w:space="0" w:color="auto"/>
            </w:tcBorders>
            <w:shd w:val="clear" w:color="auto" w:fill="auto"/>
          </w:tcPr>
          <w:p w:rsidR="00EA4900" w:rsidRPr="00A6443F" w:rsidRDefault="00EA4900" w:rsidP="00E27D83">
            <w:pPr>
              <w:keepNext/>
              <w:spacing w:before="10" w:after="10"/>
              <w:jc w:val="left"/>
              <w:rPr>
                <w:sz w:val="18"/>
                <w:szCs w:val="18"/>
              </w:rPr>
            </w:pPr>
            <w:r w:rsidRPr="00A6443F">
              <w:rPr>
                <w:sz w:val="18"/>
                <w:szCs w:val="18"/>
              </w:rPr>
              <w:t>EUTRO</w:t>
            </w:r>
          </w:p>
        </w:tc>
      </w:tr>
      <w:tr w:rsidR="00EA4900" w:rsidRPr="00A6443F" w:rsidTr="00E27D83">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EA4900" w:rsidRPr="00A6443F" w:rsidRDefault="00EA4900" w:rsidP="00E27D83">
            <w:pPr>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EA4900" w:rsidRPr="00A6443F" w:rsidRDefault="00EA4900" w:rsidP="00E27D83">
            <w:pPr>
              <w:spacing w:before="10" w:after="10"/>
              <w:ind w:firstLine="305"/>
              <w:jc w:val="left"/>
              <w:rPr>
                <w:color w:val="000000"/>
                <w:sz w:val="18"/>
                <w:szCs w:val="18"/>
              </w:rPr>
            </w:pPr>
            <w:r w:rsidRPr="00A6443F">
              <w:rPr>
                <w:sz w:val="18"/>
                <w:szCs w:val="18"/>
              </w:rPr>
              <w:t>Fleischmannia Sch. Bip.</w:t>
            </w:r>
          </w:p>
        </w:tc>
        <w:tc>
          <w:tcPr>
            <w:tcW w:w="3830" w:type="dxa"/>
            <w:tcBorders>
              <w:top w:val="nil"/>
              <w:left w:val="single" w:sz="4" w:space="0" w:color="auto"/>
              <w:bottom w:val="nil"/>
              <w:right w:val="single" w:sz="4" w:space="0" w:color="auto"/>
            </w:tcBorders>
            <w:shd w:val="clear" w:color="auto" w:fill="auto"/>
          </w:tcPr>
          <w:p w:rsidR="00EA4900" w:rsidRPr="00A6443F" w:rsidRDefault="00EA4900" w:rsidP="00E27D83">
            <w:pPr>
              <w:spacing w:before="10" w:after="10"/>
              <w:jc w:val="left"/>
              <w:rPr>
                <w:sz w:val="18"/>
                <w:szCs w:val="18"/>
              </w:rPr>
            </w:pPr>
            <w:r w:rsidRPr="00A6443F">
              <w:rPr>
                <w:sz w:val="18"/>
                <w:szCs w:val="18"/>
              </w:rPr>
              <w:t>-</w:t>
            </w:r>
          </w:p>
        </w:tc>
      </w:tr>
      <w:tr w:rsidR="00EA4900" w:rsidRPr="00A6443F" w:rsidTr="00E27D83">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EA4900" w:rsidRPr="00A6443F" w:rsidRDefault="00EA4900" w:rsidP="00E27D83">
            <w:pPr>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EA4900" w:rsidRPr="00A6443F" w:rsidRDefault="00EA4900" w:rsidP="00E27D83">
            <w:pPr>
              <w:spacing w:before="10" w:after="10"/>
              <w:ind w:firstLine="305"/>
              <w:jc w:val="left"/>
              <w:rPr>
                <w:sz w:val="18"/>
                <w:szCs w:val="18"/>
              </w:rPr>
            </w:pPr>
            <w:r w:rsidRPr="00A6443F">
              <w:rPr>
                <w:sz w:val="18"/>
                <w:szCs w:val="18"/>
              </w:rPr>
              <w:t>Praxelis Cass.</w:t>
            </w:r>
          </w:p>
        </w:tc>
        <w:tc>
          <w:tcPr>
            <w:tcW w:w="3830" w:type="dxa"/>
            <w:tcBorders>
              <w:top w:val="nil"/>
              <w:left w:val="single" w:sz="4" w:space="0" w:color="auto"/>
              <w:bottom w:val="nil"/>
              <w:right w:val="single" w:sz="4" w:space="0" w:color="auto"/>
            </w:tcBorders>
            <w:shd w:val="clear" w:color="auto" w:fill="auto"/>
          </w:tcPr>
          <w:p w:rsidR="00EA4900" w:rsidRPr="00A6443F" w:rsidRDefault="00EA4900" w:rsidP="00E27D83">
            <w:pPr>
              <w:spacing w:before="10" w:after="10"/>
              <w:jc w:val="left"/>
              <w:rPr>
                <w:sz w:val="18"/>
                <w:szCs w:val="18"/>
              </w:rPr>
            </w:pPr>
            <w:r w:rsidRPr="00A6443F">
              <w:rPr>
                <w:sz w:val="18"/>
                <w:szCs w:val="18"/>
              </w:rPr>
              <w:t>-</w:t>
            </w:r>
          </w:p>
        </w:tc>
      </w:tr>
      <w:tr w:rsidR="00EA4900" w:rsidRPr="00A6443F" w:rsidTr="00E27D83">
        <w:tblPrEx>
          <w:tblCellMar>
            <w:left w:w="56" w:type="dxa"/>
            <w:right w:w="56" w:type="dxa"/>
          </w:tblCellMar>
        </w:tblPrEx>
        <w:trPr>
          <w:cantSplit/>
        </w:trPr>
        <w:tc>
          <w:tcPr>
            <w:tcW w:w="1277" w:type="dxa"/>
            <w:tcBorders>
              <w:top w:val="nil"/>
              <w:left w:val="single" w:sz="4" w:space="0" w:color="auto"/>
              <w:bottom w:val="single" w:sz="4" w:space="0" w:color="auto"/>
              <w:right w:val="single" w:sz="4" w:space="0" w:color="auto"/>
            </w:tcBorders>
            <w:shd w:val="clear" w:color="auto" w:fill="auto"/>
          </w:tcPr>
          <w:p w:rsidR="00EA4900" w:rsidRPr="00A6443F" w:rsidRDefault="00EA4900" w:rsidP="00E27D83">
            <w:pPr>
              <w:spacing w:before="10" w:after="10"/>
              <w:jc w:val="left"/>
              <w:rPr>
                <w:sz w:val="18"/>
                <w:szCs w:val="18"/>
              </w:rPr>
            </w:pPr>
          </w:p>
        </w:tc>
        <w:tc>
          <w:tcPr>
            <w:tcW w:w="4677" w:type="dxa"/>
            <w:tcBorders>
              <w:top w:val="nil"/>
              <w:left w:val="single" w:sz="4" w:space="0" w:color="auto"/>
              <w:bottom w:val="single" w:sz="4" w:space="0" w:color="auto"/>
              <w:right w:val="single" w:sz="4" w:space="0" w:color="auto"/>
            </w:tcBorders>
            <w:shd w:val="clear" w:color="auto" w:fill="auto"/>
          </w:tcPr>
          <w:p w:rsidR="00EA4900" w:rsidRPr="00A6443F" w:rsidRDefault="00EA4900" w:rsidP="00E27D83">
            <w:pPr>
              <w:spacing w:before="10" w:after="10"/>
              <w:ind w:firstLine="305"/>
              <w:jc w:val="left"/>
              <w:rPr>
                <w:color w:val="000000"/>
                <w:sz w:val="18"/>
                <w:szCs w:val="18"/>
              </w:rPr>
            </w:pPr>
            <w:r w:rsidRPr="00A6443F">
              <w:rPr>
                <w:rFonts w:cs="Arial"/>
                <w:sz w:val="18"/>
                <w:szCs w:val="18"/>
              </w:rPr>
              <w:t>Viereckia R. M. King &amp; H. Rob.</w:t>
            </w:r>
          </w:p>
        </w:tc>
        <w:tc>
          <w:tcPr>
            <w:tcW w:w="3830" w:type="dxa"/>
            <w:tcBorders>
              <w:top w:val="nil"/>
              <w:left w:val="single" w:sz="4" w:space="0" w:color="auto"/>
              <w:bottom w:val="single" w:sz="4" w:space="0" w:color="auto"/>
              <w:right w:val="single" w:sz="4" w:space="0" w:color="auto"/>
            </w:tcBorders>
            <w:shd w:val="clear" w:color="auto" w:fill="auto"/>
          </w:tcPr>
          <w:p w:rsidR="00EA4900" w:rsidRPr="00A6443F" w:rsidRDefault="00EA4900" w:rsidP="00E27D83">
            <w:pPr>
              <w:spacing w:before="10" w:after="10"/>
              <w:jc w:val="left"/>
              <w:rPr>
                <w:sz w:val="18"/>
                <w:szCs w:val="18"/>
              </w:rPr>
            </w:pPr>
            <w:r w:rsidRPr="00A6443F">
              <w:rPr>
                <w:sz w:val="18"/>
                <w:szCs w:val="18"/>
              </w:rPr>
              <w:t>-</w:t>
            </w:r>
          </w:p>
        </w:tc>
      </w:tr>
    </w:tbl>
    <w:p w:rsidR="00EA4900" w:rsidRDefault="00EA4900" w:rsidP="00FA1D1F">
      <w:r>
        <w:rPr>
          <w:rFonts w:cs="Arial"/>
          <w:noProof/>
        </w:rPr>
        <mc:AlternateContent>
          <mc:Choice Requires="wps">
            <w:drawing>
              <wp:anchor distT="0" distB="0" distL="114300" distR="114300" simplePos="0" relativeHeight="251659264" behindDoc="0" locked="0" layoutInCell="0" allowOverlap="1" wp14:anchorId="243C7D3B" wp14:editId="3F9D1926">
                <wp:simplePos x="0" y="0"/>
                <wp:positionH relativeFrom="column">
                  <wp:posOffset>3471521</wp:posOffset>
                </wp:positionH>
                <wp:positionV relativeFrom="paragraph">
                  <wp:posOffset>214071</wp:posOffset>
                </wp:positionV>
                <wp:extent cx="2747492" cy="228600"/>
                <wp:effectExtent l="0" t="0" r="152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492"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9DA" w:rsidRPr="009929A5" w:rsidRDefault="009629DA" w:rsidP="00EA4900">
                            <w:pPr>
                              <w:ind w:right="53"/>
                              <w:jc w:val="right"/>
                              <w:rPr>
                                <w:rFonts w:cs="Arial"/>
                              </w:rPr>
                            </w:pPr>
                            <w:r w:rsidRPr="009929A5">
                              <w:rPr>
                                <w:rFonts w:cs="Arial"/>
                              </w:rPr>
                              <w:t>[</w:t>
                            </w:r>
                            <w:r>
                              <w:t>Annex II of document UPOV/INF/12/5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C7D3B" id="_x0000_t202" coordsize="21600,21600" o:spt="202" path="m,l,21600r21600,l21600,xe">
                <v:stroke joinstyle="miter"/>
                <v:path gradientshapeok="t" o:connecttype="rect"/>
              </v:shapetype>
              <v:shape id="Text Box 4" o:spid="_x0000_s1026" type="#_x0000_t202" style="position:absolute;left:0;text-align:left;margin-left:273.35pt;margin-top:16.85pt;width:216.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zKPrwIAAKk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" o:allowincell="f" filled="f" stroked="f">
                <v:textbox inset="0,0,0,0">
                  <w:txbxContent>
                    <w:p w:rsidR="009629DA" w:rsidRPr="009929A5" w:rsidRDefault="009629DA" w:rsidP="00EA4900">
                      <w:pPr>
                        <w:ind w:right="53"/>
                        <w:jc w:val="right"/>
                        <w:rPr>
                          <w:rFonts w:cs="Arial"/>
                        </w:rPr>
                      </w:pPr>
                      <w:r w:rsidRPr="009929A5">
                        <w:rPr>
                          <w:rFonts w:cs="Arial"/>
                        </w:rPr>
                        <w:t>[</w:t>
                      </w:r>
                      <w:r>
                        <w:t>Annex II of document UPOV/INF/12/5 follows]</w:t>
                      </w:r>
                    </w:p>
                  </w:txbxContent>
                </v:textbox>
              </v:shape>
            </w:pict>
          </mc:Fallback>
        </mc:AlternateContent>
      </w:r>
    </w:p>
    <w:p w:rsidR="00EA4900" w:rsidRDefault="00EA4900" w:rsidP="00EA4900">
      <w:pPr>
        <w:jc w:val="center"/>
      </w:pPr>
    </w:p>
    <w:p w:rsidR="00FA1D1F" w:rsidRDefault="00FA1D1F">
      <w:pPr>
        <w:jc w:val="left"/>
      </w:pPr>
      <w:r>
        <w:br w:type="page"/>
      </w:r>
    </w:p>
    <w:p w:rsidR="00EA4900" w:rsidRDefault="00FD2ABF" w:rsidP="00EA4900">
      <w:pPr>
        <w:jc w:val="center"/>
      </w:pPr>
      <w:r>
        <w:lastRenderedPageBreak/>
        <w:t>ANNEX II OF DOCUMENT UPOV/INF/12/5</w:t>
      </w:r>
    </w:p>
    <w:p w:rsidR="00EA4900" w:rsidRDefault="00EA4900" w:rsidP="00EA4900">
      <w:pPr>
        <w:jc w:val="center"/>
      </w:pPr>
    </w:p>
    <w:p w:rsidR="00EA4900" w:rsidRPr="00407B23" w:rsidRDefault="00EA4900" w:rsidP="00EA4900">
      <w:pPr>
        <w:jc w:val="center"/>
        <w:rPr>
          <w:u w:val="single"/>
        </w:rPr>
      </w:pPr>
      <w:r w:rsidRPr="00407B23">
        <w:rPr>
          <w:u w:val="single"/>
        </w:rPr>
        <w:t>Model Form for Observations on Proposed Variety Denominations Submitted</w:t>
      </w:r>
    </w:p>
    <w:p w:rsidR="00EA4900" w:rsidRPr="00407B23" w:rsidRDefault="00EA4900" w:rsidP="00EA4900">
      <w:pPr>
        <w:jc w:val="center"/>
        <w:rPr>
          <w:u w:val="single"/>
        </w:rPr>
      </w:pPr>
      <w:r w:rsidRPr="00407B23">
        <w:rPr>
          <w:u w:val="single"/>
        </w:rPr>
        <w:t>to Another Member of the Union</w:t>
      </w:r>
    </w:p>
    <w:p w:rsidR="00EA4900" w:rsidRPr="00407B23" w:rsidRDefault="00EA4900" w:rsidP="00EA4900"/>
    <w:p w:rsidR="00EA4900" w:rsidRPr="00407B23" w:rsidRDefault="00EA4900" w:rsidP="00EA4900">
      <w:r w:rsidRPr="00407B23">
        <w:t>From:</w:t>
      </w:r>
    </w:p>
    <w:p w:rsidR="00EA4900" w:rsidRPr="00407B23" w:rsidRDefault="00EA4900" w:rsidP="00EA4900">
      <w:pPr>
        <w:tabs>
          <w:tab w:val="right" w:leader="underscore" w:pos="9639"/>
        </w:tabs>
        <w:ind w:left="4678"/>
        <w:jc w:val="center"/>
      </w:pPr>
      <w:r w:rsidRPr="00407B23">
        <w:tab/>
      </w:r>
    </w:p>
    <w:p w:rsidR="00EA4900" w:rsidRPr="00407B23" w:rsidRDefault="00EA4900" w:rsidP="00EA4900">
      <w:pPr>
        <w:tabs>
          <w:tab w:val="left" w:pos="4678"/>
          <w:tab w:val="right" w:leader="underscore" w:pos="9072"/>
        </w:tabs>
        <w:ind w:left="4678"/>
        <w:jc w:val="center"/>
      </w:pPr>
      <w:r w:rsidRPr="00407B23">
        <w:t>Your ref.</w:t>
      </w:r>
    </w:p>
    <w:p w:rsidR="00EA4900" w:rsidRPr="00407B23" w:rsidRDefault="00EA4900" w:rsidP="00EA4900">
      <w:pPr>
        <w:tabs>
          <w:tab w:val="left" w:pos="4678"/>
          <w:tab w:val="right" w:leader="underscore" w:pos="9639"/>
        </w:tabs>
        <w:ind w:left="4678"/>
        <w:jc w:val="center"/>
      </w:pPr>
      <w:r w:rsidRPr="00407B23">
        <w:tab/>
      </w:r>
    </w:p>
    <w:p w:rsidR="00EA4900" w:rsidRPr="00407B23" w:rsidRDefault="00EA4900" w:rsidP="00EA4900">
      <w:pPr>
        <w:tabs>
          <w:tab w:val="left" w:pos="4678"/>
          <w:tab w:val="right" w:leader="underscore" w:pos="9072"/>
        </w:tabs>
        <w:ind w:left="4678"/>
        <w:jc w:val="center"/>
      </w:pPr>
      <w:r w:rsidRPr="00407B23">
        <w:t>Our ref.</w:t>
      </w:r>
    </w:p>
    <w:p w:rsidR="00EA4900" w:rsidRPr="00407B23" w:rsidRDefault="00EA4900" w:rsidP="00EA4900"/>
    <w:p w:rsidR="00EA4900" w:rsidRPr="00407B23" w:rsidRDefault="00EA4900" w:rsidP="00EA4900"/>
    <w:p w:rsidR="00EA4900" w:rsidRPr="00407B23" w:rsidRDefault="00EA4900" w:rsidP="00EA4900">
      <w:pPr>
        <w:jc w:val="center"/>
        <w:rPr>
          <w:b/>
        </w:rPr>
      </w:pPr>
      <w:r w:rsidRPr="00407B23">
        <w:rPr>
          <w:b/>
        </w:rPr>
        <w:t>Observations on a Submitted Variety Denomination</w:t>
      </w:r>
    </w:p>
    <w:p w:rsidR="00EA4900" w:rsidRPr="00407B23" w:rsidRDefault="00EA4900" w:rsidP="00EA4900">
      <w:pPr>
        <w:jc w:val="center"/>
        <w:rPr>
          <w:b/>
        </w:rPr>
      </w:pPr>
    </w:p>
    <w:p w:rsidR="00EA4900" w:rsidRPr="00407B23" w:rsidRDefault="00EA4900" w:rsidP="00EA4900">
      <w:r w:rsidRPr="00407B23">
        <w:t xml:space="preserve">To:  </w:t>
      </w:r>
    </w:p>
    <w:p w:rsidR="00EA4900" w:rsidRPr="00407B23" w:rsidRDefault="00EA4900" w:rsidP="00EA4900"/>
    <w:p w:rsidR="00EA4900" w:rsidRPr="00407B23" w:rsidRDefault="00EA4900" w:rsidP="00EA4900"/>
    <w:p w:rsidR="00EA4900" w:rsidRPr="00407B23" w:rsidRDefault="00EA4900" w:rsidP="00EA4900">
      <w:pPr>
        <w:tabs>
          <w:tab w:val="right" w:leader="underscore" w:pos="9639"/>
        </w:tabs>
      </w:pPr>
      <w:r w:rsidRPr="00407B23">
        <w:t xml:space="preserve">Submitted Variety Denomination:  </w:t>
      </w:r>
      <w:r w:rsidRPr="00407B23">
        <w:tab/>
      </w:r>
    </w:p>
    <w:p w:rsidR="00EA4900" w:rsidRPr="00407B23" w:rsidRDefault="00EA4900" w:rsidP="00EA4900">
      <w:pPr>
        <w:tabs>
          <w:tab w:val="right" w:leader="underscore" w:pos="9072"/>
        </w:tabs>
      </w:pPr>
    </w:p>
    <w:p w:rsidR="00EA4900" w:rsidRPr="00407B23" w:rsidRDefault="00EA4900" w:rsidP="00EA4900">
      <w:pPr>
        <w:tabs>
          <w:tab w:val="right" w:leader="underscore" w:pos="6096"/>
          <w:tab w:val="left" w:pos="6237"/>
          <w:tab w:val="right" w:leader="underscore" w:pos="9639"/>
        </w:tabs>
      </w:pPr>
      <w:r w:rsidRPr="00407B23">
        <w:t>Genus/Species (Botanical name):  </w:t>
      </w:r>
      <w:r w:rsidRPr="00407B23">
        <w:tab/>
      </w:r>
      <w:r w:rsidRPr="00407B23">
        <w:tab/>
        <w:t xml:space="preserve">UPOV Code:  </w:t>
      </w:r>
      <w:r w:rsidRPr="00407B23">
        <w:tab/>
      </w:r>
    </w:p>
    <w:p w:rsidR="00EA4900" w:rsidRPr="00407B23" w:rsidRDefault="00EA4900" w:rsidP="00EA4900">
      <w:pPr>
        <w:tabs>
          <w:tab w:val="right" w:leader="underscore" w:pos="9072"/>
        </w:tabs>
      </w:pPr>
    </w:p>
    <w:p w:rsidR="00EA4900" w:rsidRPr="00407B23" w:rsidRDefault="00EA4900" w:rsidP="00EA4900">
      <w:pPr>
        <w:tabs>
          <w:tab w:val="right" w:leader="underscore" w:pos="9639"/>
        </w:tabs>
      </w:pPr>
      <w:r w:rsidRPr="00407B23">
        <w:t xml:space="preserve">Gazette:  </w:t>
      </w:r>
      <w:r w:rsidRPr="00407B23">
        <w:tab/>
      </w:r>
    </w:p>
    <w:p w:rsidR="00EA4900" w:rsidRPr="00407B23" w:rsidRDefault="00EA4900" w:rsidP="00EA4900">
      <w:pPr>
        <w:tabs>
          <w:tab w:val="right" w:leader="underscore" w:pos="9072"/>
        </w:tabs>
        <w:jc w:val="center"/>
      </w:pPr>
      <w:r w:rsidRPr="00407B23">
        <w:t>(number/year)</w:t>
      </w:r>
    </w:p>
    <w:p w:rsidR="00EA4900" w:rsidRPr="00407B23" w:rsidRDefault="00EA4900" w:rsidP="00EA4900">
      <w:pPr>
        <w:tabs>
          <w:tab w:val="right" w:leader="underscore" w:pos="9072"/>
        </w:tabs>
      </w:pPr>
    </w:p>
    <w:p w:rsidR="00EA4900" w:rsidRPr="00407B23" w:rsidRDefault="00EA4900" w:rsidP="00EA4900">
      <w:pPr>
        <w:tabs>
          <w:tab w:val="right" w:leader="underscore" w:pos="9639"/>
        </w:tabs>
      </w:pPr>
      <w:r w:rsidRPr="00407B23">
        <w:t xml:space="preserve">Applicant:  </w:t>
      </w:r>
      <w:r w:rsidRPr="00407B23">
        <w:tab/>
      </w:r>
    </w:p>
    <w:p w:rsidR="00EA4900" w:rsidRPr="00407B23" w:rsidRDefault="00EA4900" w:rsidP="00EA4900">
      <w:pPr>
        <w:tabs>
          <w:tab w:val="right" w:leader="underscore" w:pos="9072"/>
        </w:tabs>
      </w:pPr>
    </w:p>
    <w:p w:rsidR="00EA4900" w:rsidRPr="00407B23" w:rsidRDefault="00EA4900" w:rsidP="00EA4900">
      <w:pPr>
        <w:tabs>
          <w:tab w:val="right" w:leader="underscore" w:pos="9639"/>
        </w:tabs>
      </w:pPr>
      <w:r w:rsidRPr="00407B23">
        <w:t xml:space="preserve">Observations: </w:t>
      </w:r>
      <w:r w:rsidRPr="00407B23">
        <w:tab/>
      </w:r>
      <w:r w:rsidRPr="00407B23">
        <w:tab/>
      </w:r>
    </w:p>
    <w:p w:rsidR="00EA4900" w:rsidRPr="00407B23" w:rsidRDefault="00EA4900" w:rsidP="00EA4900">
      <w:pPr>
        <w:tabs>
          <w:tab w:val="right" w:leader="underscore" w:pos="9072"/>
        </w:tabs>
      </w:pPr>
    </w:p>
    <w:p w:rsidR="00EA4900" w:rsidRPr="00407B23" w:rsidRDefault="00EA4900" w:rsidP="00EA4900">
      <w:pPr>
        <w:tabs>
          <w:tab w:val="right" w:leader="underscore" w:pos="9639"/>
        </w:tabs>
      </w:pPr>
      <w:r w:rsidRPr="00407B23">
        <w:tab/>
      </w:r>
    </w:p>
    <w:p w:rsidR="00EA4900" w:rsidRPr="00407B23" w:rsidRDefault="00EA4900" w:rsidP="00EA4900">
      <w:pPr>
        <w:tabs>
          <w:tab w:val="right" w:leader="underscore" w:pos="9072"/>
        </w:tabs>
      </w:pPr>
    </w:p>
    <w:p w:rsidR="00EA4900" w:rsidRPr="00407B23" w:rsidRDefault="00EA4900" w:rsidP="00EA4900">
      <w:pPr>
        <w:tabs>
          <w:tab w:val="right" w:leader="underscore" w:pos="9639"/>
        </w:tabs>
      </w:pPr>
      <w:r w:rsidRPr="00407B23">
        <w:tab/>
      </w:r>
    </w:p>
    <w:p w:rsidR="00EA4900" w:rsidRPr="00407B23" w:rsidRDefault="00EA4900" w:rsidP="00EA4900">
      <w:pPr>
        <w:tabs>
          <w:tab w:val="right" w:leader="underscore" w:pos="9072"/>
        </w:tabs>
      </w:pPr>
    </w:p>
    <w:p w:rsidR="00EA4900" w:rsidRPr="00407B23" w:rsidRDefault="00EA4900" w:rsidP="00EA4900">
      <w:pPr>
        <w:tabs>
          <w:tab w:val="right" w:leader="underscore" w:pos="9639"/>
        </w:tabs>
      </w:pPr>
      <w:r w:rsidRPr="00407B23">
        <w:tab/>
      </w:r>
    </w:p>
    <w:p w:rsidR="00EA4900" w:rsidRPr="00407B23" w:rsidRDefault="00EA4900" w:rsidP="00EA4900">
      <w:pPr>
        <w:tabs>
          <w:tab w:val="right" w:leader="underscore" w:pos="9072"/>
        </w:tabs>
      </w:pPr>
    </w:p>
    <w:p w:rsidR="00EA4900" w:rsidRPr="00407B23" w:rsidRDefault="00EA4900" w:rsidP="00EA4900">
      <w:pPr>
        <w:pStyle w:val="BodyText"/>
        <w:tabs>
          <w:tab w:val="right" w:leader="underscore" w:pos="9072"/>
        </w:tabs>
      </w:pPr>
      <w:r w:rsidRPr="00407B23">
        <w:t>If the observations refer to a trademark or another right, name and ad</w:t>
      </w:r>
      <w:r>
        <w:t>dress of the holder thereof (if </w:t>
      </w:r>
      <w:r w:rsidRPr="00407B23">
        <w:t>possible):</w:t>
      </w:r>
    </w:p>
    <w:p w:rsidR="00EA4900" w:rsidRPr="00407B23" w:rsidRDefault="00EA4900" w:rsidP="00EA4900">
      <w:pPr>
        <w:tabs>
          <w:tab w:val="right" w:leader="underscore" w:pos="9639"/>
        </w:tabs>
        <w:ind w:right="-568"/>
      </w:pPr>
      <w:r w:rsidRPr="00407B23">
        <w:tab/>
      </w:r>
    </w:p>
    <w:p w:rsidR="00EA4900" w:rsidRPr="00407B23" w:rsidRDefault="00EA4900" w:rsidP="00EA4900">
      <w:pPr>
        <w:tabs>
          <w:tab w:val="right" w:leader="underscore" w:pos="9072"/>
          <w:tab w:val="left" w:pos="10773"/>
        </w:tabs>
        <w:ind w:right="-1"/>
      </w:pPr>
    </w:p>
    <w:p w:rsidR="00EA4900" w:rsidRPr="00407B23" w:rsidRDefault="00EA4900" w:rsidP="00EA4900">
      <w:pPr>
        <w:pStyle w:val="BodyText"/>
        <w:tabs>
          <w:tab w:val="right" w:leader="underscore" w:pos="9639"/>
        </w:tabs>
      </w:pPr>
      <w:r w:rsidRPr="00407B23">
        <w:tab/>
      </w:r>
    </w:p>
    <w:p w:rsidR="00EA4900" w:rsidRPr="00407B23" w:rsidRDefault="00EA4900" w:rsidP="00EA4900">
      <w:pPr>
        <w:tabs>
          <w:tab w:val="right" w:leader="underscore" w:pos="9072"/>
          <w:tab w:val="left" w:pos="10773"/>
        </w:tabs>
        <w:ind w:right="-1"/>
      </w:pPr>
    </w:p>
    <w:p w:rsidR="00EA4900" w:rsidRPr="00407B23" w:rsidRDefault="00EA4900" w:rsidP="00EA4900">
      <w:pPr>
        <w:tabs>
          <w:tab w:val="right" w:leader="underscore" w:pos="9639"/>
        </w:tabs>
        <w:ind w:right="-568"/>
      </w:pPr>
      <w:r w:rsidRPr="00407B23">
        <w:tab/>
      </w:r>
    </w:p>
    <w:p w:rsidR="00EA4900" w:rsidRPr="00407B23" w:rsidRDefault="00EA4900" w:rsidP="00EA4900">
      <w:pPr>
        <w:tabs>
          <w:tab w:val="right" w:leader="underscore" w:pos="9639"/>
        </w:tabs>
      </w:pPr>
    </w:p>
    <w:p w:rsidR="00EA4900" w:rsidRPr="00407B23" w:rsidRDefault="00EA4900" w:rsidP="00EA4900">
      <w:pPr>
        <w:tabs>
          <w:tab w:val="right" w:leader="underscore" w:pos="9072"/>
        </w:tabs>
        <w:jc w:val="center"/>
      </w:pPr>
      <w:r w:rsidRPr="00407B23">
        <w:t>Copies sent to the authorities of the other members of the Union</w:t>
      </w:r>
    </w:p>
    <w:p w:rsidR="00EA4900" w:rsidRPr="00407B23" w:rsidRDefault="00EA4900" w:rsidP="00EA4900">
      <w:pPr>
        <w:tabs>
          <w:tab w:val="right" w:leader="underscore" w:pos="9072"/>
        </w:tabs>
      </w:pPr>
    </w:p>
    <w:p w:rsidR="00EA4900" w:rsidRPr="00407B23" w:rsidRDefault="00EA4900" w:rsidP="00EA4900">
      <w:pPr>
        <w:tabs>
          <w:tab w:val="right" w:leader="underscore" w:pos="9072"/>
        </w:tabs>
      </w:pPr>
    </w:p>
    <w:p w:rsidR="00EA4900" w:rsidRPr="00407B23" w:rsidRDefault="00EA4900" w:rsidP="00EA4900">
      <w:pPr>
        <w:tabs>
          <w:tab w:val="right" w:leader="underscore" w:pos="9072"/>
        </w:tabs>
      </w:pPr>
    </w:p>
    <w:p w:rsidR="00EA4900" w:rsidRPr="00407B23" w:rsidRDefault="00EA4900" w:rsidP="00EA4900">
      <w:pPr>
        <w:tabs>
          <w:tab w:val="right" w:leader="underscore" w:pos="3828"/>
          <w:tab w:val="left" w:pos="4253"/>
          <w:tab w:val="right" w:leader="underscore" w:pos="9639"/>
        </w:tabs>
      </w:pPr>
      <w:r w:rsidRPr="00407B23">
        <w:t xml:space="preserve">Date: </w:t>
      </w:r>
      <w:r w:rsidRPr="00407B23">
        <w:tab/>
      </w:r>
      <w:r w:rsidRPr="00407B23">
        <w:tab/>
        <w:t>Signature:</w:t>
      </w:r>
      <w:r w:rsidRPr="00407B23">
        <w:tab/>
      </w:r>
      <w:r w:rsidRPr="00407B23">
        <w:tab/>
      </w:r>
    </w:p>
    <w:p w:rsidR="00EA4900" w:rsidRPr="00DE1471" w:rsidRDefault="00EA4900" w:rsidP="00EA4900">
      <w:pPr>
        <w:pStyle w:val="Header"/>
        <w:tabs>
          <w:tab w:val="right" w:leader="underscore" w:pos="9072"/>
        </w:tabs>
        <w:rPr>
          <w:lang w:val="en-US"/>
        </w:rPr>
      </w:pPr>
    </w:p>
    <w:p w:rsidR="00EA4900" w:rsidRDefault="00EA4900" w:rsidP="00EA4900">
      <w:pPr>
        <w:pStyle w:val="Header"/>
        <w:tabs>
          <w:tab w:val="right" w:leader="underscore" w:pos="9072"/>
        </w:tabs>
        <w:rPr>
          <w:lang w:val="en-US"/>
        </w:rPr>
      </w:pPr>
    </w:p>
    <w:p w:rsidR="00EA4900" w:rsidRPr="00DE1471" w:rsidRDefault="00EA4900" w:rsidP="00EA4900">
      <w:pPr>
        <w:pStyle w:val="Header"/>
        <w:tabs>
          <w:tab w:val="right" w:leader="underscore" w:pos="9072"/>
        </w:tabs>
        <w:rPr>
          <w:lang w:val="en-US"/>
        </w:rPr>
      </w:pPr>
    </w:p>
    <w:p w:rsidR="00EA4900" w:rsidRPr="00407B23" w:rsidRDefault="00EA4900" w:rsidP="00FA1D1F"/>
    <w:p w:rsidR="00FA1D1F" w:rsidRDefault="00FA1D1F">
      <w:pPr>
        <w:jc w:val="left"/>
        <w:rPr>
          <w:u w:val="single"/>
        </w:rPr>
      </w:pPr>
      <w:r>
        <w:rPr>
          <w:u w:val="single"/>
        </w:rPr>
        <w:br w:type="page"/>
      </w:r>
    </w:p>
    <w:p w:rsidR="00EA4900" w:rsidRPr="00407B23" w:rsidRDefault="00EA4900" w:rsidP="00EA4900">
      <w:pPr>
        <w:jc w:val="center"/>
        <w:rPr>
          <w:u w:val="single"/>
        </w:rPr>
      </w:pPr>
      <w:r w:rsidRPr="00407B23">
        <w:rPr>
          <w:u w:val="single"/>
        </w:rPr>
        <w:lastRenderedPageBreak/>
        <w:t>Model Reply to Observations on Proposed Variety Denominations</w:t>
      </w:r>
      <w:r w:rsidRPr="00407B23">
        <w:rPr>
          <w:u w:val="single"/>
        </w:rPr>
        <w:br/>
        <w:t>Submitted to Another Member of the Union</w:t>
      </w:r>
    </w:p>
    <w:p w:rsidR="00EA4900" w:rsidRPr="00DE1471" w:rsidRDefault="00EA4900" w:rsidP="00EA4900">
      <w:pPr>
        <w:pStyle w:val="Header"/>
        <w:rPr>
          <w:u w:val="single"/>
          <w:lang w:val="en-US"/>
        </w:rPr>
      </w:pPr>
    </w:p>
    <w:p w:rsidR="00EA4900" w:rsidRPr="00407B23" w:rsidRDefault="00EA4900" w:rsidP="00EA4900">
      <w:r w:rsidRPr="00407B23">
        <w:t>From:</w:t>
      </w:r>
    </w:p>
    <w:p w:rsidR="00EA4900" w:rsidRPr="00407B23" w:rsidRDefault="00EA4900" w:rsidP="00EA4900">
      <w:pPr>
        <w:tabs>
          <w:tab w:val="left" w:pos="4678"/>
          <w:tab w:val="right" w:leader="underscore" w:pos="9639"/>
        </w:tabs>
        <w:ind w:left="4678"/>
        <w:jc w:val="center"/>
      </w:pPr>
      <w:r w:rsidRPr="00407B23">
        <w:tab/>
      </w:r>
    </w:p>
    <w:p w:rsidR="00EA4900" w:rsidRPr="00407B23" w:rsidRDefault="00EA4900" w:rsidP="00EA4900">
      <w:pPr>
        <w:tabs>
          <w:tab w:val="left" w:pos="4678"/>
          <w:tab w:val="right" w:leader="underscore" w:pos="9072"/>
        </w:tabs>
        <w:ind w:left="4678"/>
        <w:jc w:val="center"/>
      </w:pPr>
      <w:r w:rsidRPr="00407B23">
        <w:t>Your ref.</w:t>
      </w:r>
    </w:p>
    <w:p w:rsidR="00EA4900" w:rsidRPr="00407B23" w:rsidRDefault="00EA4900" w:rsidP="00EA4900">
      <w:pPr>
        <w:tabs>
          <w:tab w:val="left" w:pos="4678"/>
          <w:tab w:val="right" w:leader="underscore" w:pos="9639"/>
        </w:tabs>
        <w:ind w:left="4678"/>
        <w:jc w:val="center"/>
      </w:pPr>
      <w:r w:rsidRPr="00407B23">
        <w:tab/>
      </w:r>
    </w:p>
    <w:p w:rsidR="00EA4900" w:rsidRPr="00407B23" w:rsidRDefault="00EA4900" w:rsidP="00EA4900">
      <w:pPr>
        <w:tabs>
          <w:tab w:val="left" w:pos="4678"/>
          <w:tab w:val="right" w:leader="underscore" w:pos="9639"/>
        </w:tabs>
        <w:ind w:left="4678"/>
        <w:jc w:val="center"/>
      </w:pPr>
      <w:r w:rsidRPr="00407B23">
        <w:t>Our ref.</w:t>
      </w:r>
    </w:p>
    <w:p w:rsidR="00EA4900" w:rsidRPr="00407B23" w:rsidRDefault="00EA4900" w:rsidP="00EA4900"/>
    <w:p w:rsidR="00EA4900" w:rsidRPr="00407B23" w:rsidRDefault="00EA4900" w:rsidP="00EA4900"/>
    <w:p w:rsidR="00EA4900" w:rsidRPr="00407B23" w:rsidRDefault="00EA4900" w:rsidP="00EA4900">
      <w:pPr>
        <w:jc w:val="center"/>
        <w:rPr>
          <w:b/>
          <w:bCs/>
        </w:rPr>
      </w:pPr>
      <w:r w:rsidRPr="00407B23">
        <w:rPr>
          <w:b/>
          <w:bCs/>
        </w:rPr>
        <w:t>Reply to Observations on a Submitted Variety Denomination</w:t>
      </w:r>
    </w:p>
    <w:p w:rsidR="00EA4900" w:rsidRPr="00407B23" w:rsidRDefault="00EA4900" w:rsidP="00EA4900">
      <w:pPr>
        <w:jc w:val="center"/>
        <w:rPr>
          <w:b/>
        </w:rPr>
      </w:pPr>
    </w:p>
    <w:p w:rsidR="00EA4900" w:rsidRPr="00407B23" w:rsidRDefault="00EA4900" w:rsidP="00EA4900">
      <w:r w:rsidRPr="00407B23">
        <w:t>To:</w:t>
      </w:r>
    </w:p>
    <w:p w:rsidR="00EA4900" w:rsidRPr="00407B23" w:rsidRDefault="00EA4900" w:rsidP="00EA4900"/>
    <w:p w:rsidR="00EA4900" w:rsidRPr="00407B23" w:rsidRDefault="00EA4900" w:rsidP="00EA4900">
      <w:pPr>
        <w:tabs>
          <w:tab w:val="right" w:leader="dot" w:pos="7655"/>
          <w:tab w:val="left" w:pos="7797"/>
        </w:tabs>
        <w:ind w:firstLine="567"/>
      </w:pPr>
      <w:r w:rsidRPr="00407B23">
        <w:t>In reply to your objection to the denomination [</w:t>
      </w:r>
      <w:r w:rsidRPr="00407B23">
        <w:tab/>
        <w:t>]</w:t>
      </w:r>
      <w:r w:rsidRPr="00407B23">
        <w:tab/>
        <w:t>for the variety of [Botanical name/UPOV code], we wish to inform you that:</w:t>
      </w:r>
    </w:p>
    <w:p w:rsidR="00EA4900" w:rsidRPr="00407B23" w:rsidRDefault="00EA4900" w:rsidP="00EA4900"/>
    <w:p w:rsidR="00EA4900" w:rsidRPr="00407B23" w:rsidRDefault="00EA4900" w:rsidP="00EA4900">
      <w:pPr>
        <w:tabs>
          <w:tab w:val="left" w:pos="391"/>
          <w:tab w:val="left" w:pos="851"/>
          <w:tab w:val="right" w:leader="dot" w:pos="3686"/>
          <w:tab w:val="left" w:pos="3828"/>
          <w:tab w:val="right" w:leader="dot" w:pos="9639"/>
        </w:tabs>
        <w:ind w:left="851" w:hanging="851"/>
      </w:pPr>
      <w:r w:rsidRPr="00407B23">
        <w:t>1.</w:t>
      </w:r>
      <w:r w:rsidRPr="00407B23">
        <w:rPr>
          <w:sz w:val="40"/>
        </w:rPr>
        <w:tab/>
        <w:t>□</w:t>
      </w:r>
      <w:r w:rsidRPr="00407B23">
        <w:rPr>
          <w:sz w:val="40"/>
        </w:rPr>
        <w:tab/>
      </w:r>
      <w:r w:rsidRPr="00407B23">
        <w:t xml:space="preserve">In our opinion there is sufficient difference between the names </w:t>
      </w:r>
      <w:r w:rsidRPr="00407B23">
        <w:tab/>
      </w:r>
      <w:r w:rsidRPr="00407B23">
        <w:br/>
        <w:t xml:space="preserve">and </w:t>
      </w:r>
      <w:r w:rsidRPr="00407B23">
        <w:tab/>
      </w:r>
      <w:r w:rsidRPr="00407B23">
        <w:tab/>
        <w:t xml:space="preserve">both in writing and pronunciation.  Therefore the [authority] sees no reason to reject the denomination. </w:t>
      </w:r>
    </w:p>
    <w:p w:rsidR="00EA4900" w:rsidRPr="00407B23" w:rsidRDefault="00EA4900" w:rsidP="00EA4900">
      <w:pPr>
        <w:ind w:left="851" w:hanging="851"/>
        <w:rPr>
          <w:sz w:val="16"/>
        </w:rPr>
      </w:pPr>
    </w:p>
    <w:p w:rsidR="00EA4900" w:rsidRPr="00407B23" w:rsidRDefault="00EA4900" w:rsidP="00EA4900">
      <w:pPr>
        <w:tabs>
          <w:tab w:val="left" w:pos="392"/>
        </w:tabs>
        <w:ind w:left="851" w:hanging="851"/>
      </w:pPr>
      <w:r w:rsidRPr="00407B23">
        <w:t>2.</w:t>
      </w:r>
      <w:r w:rsidRPr="00407B23">
        <w:rPr>
          <w:sz w:val="40"/>
        </w:rPr>
        <w:tab/>
        <w:t>□</w:t>
      </w:r>
      <w:r w:rsidRPr="00407B23">
        <w:tab/>
        <w:t>The [authority] accepted this denomination and no objections were received during the prescribed period after publishing.</w:t>
      </w:r>
    </w:p>
    <w:p w:rsidR="00EA4900" w:rsidRPr="00407B23" w:rsidRDefault="00EA4900" w:rsidP="00EA4900">
      <w:pPr>
        <w:rPr>
          <w:sz w:val="16"/>
        </w:rPr>
      </w:pPr>
    </w:p>
    <w:p w:rsidR="00EA4900" w:rsidRPr="00407B23" w:rsidRDefault="00EA4900" w:rsidP="00EA4900">
      <w:pPr>
        <w:tabs>
          <w:tab w:val="left" w:pos="392"/>
          <w:tab w:val="left" w:pos="851"/>
          <w:tab w:val="right" w:leader="dot" w:pos="9639"/>
        </w:tabs>
        <w:ind w:left="851" w:hanging="851"/>
      </w:pPr>
      <w:r w:rsidRPr="00407B23">
        <w:t>3.</w:t>
      </w:r>
      <w:r w:rsidRPr="00407B23">
        <w:rPr>
          <w:sz w:val="40"/>
        </w:rPr>
        <w:tab/>
        <w:t>□</w:t>
      </w:r>
      <w:r w:rsidRPr="00407B23">
        <w:rPr>
          <w:sz w:val="40"/>
        </w:rPr>
        <w:tab/>
      </w:r>
      <w:r w:rsidRPr="00407B23">
        <w:t xml:space="preserve">This variety has been registered under this name on </w:t>
      </w:r>
      <w:r w:rsidRPr="00407B23">
        <w:tab/>
      </w:r>
    </w:p>
    <w:p w:rsidR="00EA4900" w:rsidRPr="00407B23" w:rsidRDefault="00EA4900" w:rsidP="00EA4900">
      <w:pPr>
        <w:rPr>
          <w:sz w:val="16"/>
        </w:rPr>
      </w:pPr>
    </w:p>
    <w:p w:rsidR="00EA4900" w:rsidRPr="00407B23" w:rsidRDefault="00EA4900" w:rsidP="00EA4900">
      <w:pPr>
        <w:tabs>
          <w:tab w:val="left" w:pos="392"/>
          <w:tab w:val="left" w:pos="851"/>
          <w:tab w:val="right" w:leader="dot" w:pos="9639"/>
        </w:tabs>
        <w:ind w:left="851" w:hanging="851"/>
      </w:pPr>
      <w:r w:rsidRPr="00407B23">
        <w:t>4.</w:t>
      </w:r>
      <w:r w:rsidRPr="00407B23">
        <w:rPr>
          <w:sz w:val="40"/>
        </w:rPr>
        <w:tab/>
        <w:t>□</w:t>
      </w:r>
      <w:r w:rsidRPr="00407B23">
        <w:rPr>
          <w:sz w:val="40"/>
        </w:rPr>
        <w:tab/>
      </w:r>
      <w:r w:rsidRPr="00407B23">
        <w:t xml:space="preserve">First publication as proposed denomination in </w:t>
      </w:r>
      <w:r w:rsidRPr="00407B23">
        <w:tab/>
      </w:r>
    </w:p>
    <w:p w:rsidR="00EA4900" w:rsidRPr="00407B23" w:rsidRDefault="00EA4900" w:rsidP="00EA4900">
      <w:pPr>
        <w:tabs>
          <w:tab w:val="left" w:pos="851"/>
        </w:tabs>
        <w:ind w:left="851" w:hanging="851"/>
        <w:rPr>
          <w:sz w:val="16"/>
        </w:rPr>
      </w:pPr>
    </w:p>
    <w:p w:rsidR="00EA4900" w:rsidRPr="00407B23" w:rsidRDefault="00EA4900" w:rsidP="00EA4900">
      <w:pPr>
        <w:tabs>
          <w:tab w:val="left" w:pos="392"/>
          <w:tab w:val="left" w:pos="851"/>
        </w:tabs>
        <w:ind w:left="851" w:hanging="851"/>
      </w:pPr>
      <w:r w:rsidRPr="00407B23">
        <w:t>5.</w:t>
      </w:r>
      <w:r w:rsidRPr="00407B23">
        <w:rPr>
          <w:sz w:val="40"/>
        </w:rPr>
        <w:tab/>
        <w:t>□</w:t>
      </w:r>
      <w:r w:rsidRPr="00407B23">
        <w:rPr>
          <w:sz w:val="40"/>
        </w:rPr>
        <w:tab/>
      </w:r>
      <w:r w:rsidRPr="00407B23">
        <w:t xml:space="preserve">The applicant has been requested for another denomination. </w:t>
      </w:r>
    </w:p>
    <w:p w:rsidR="00EA4900" w:rsidRPr="00407B23" w:rsidRDefault="00EA4900" w:rsidP="00EA4900">
      <w:pPr>
        <w:rPr>
          <w:sz w:val="16"/>
        </w:rPr>
      </w:pPr>
    </w:p>
    <w:p w:rsidR="00EA4900" w:rsidRPr="00407B23" w:rsidRDefault="00EA4900" w:rsidP="00EA4900">
      <w:pPr>
        <w:tabs>
          <w:tab w:val="left" w:pos="392"/>
          <w:tab w:val="left" w:pos="851"/>
        </w:tabs>
        <w:ind w:left="851" w:hanging="851"/>
      </w:pPr>
      <w:r w:rsidRPr="00407B23">
        <w:t>6.</w:t>
      </w:r>
      <w:r w:rsidRPr="00407B23">
        <w:rPr>
          <w:sz w:val="40"/>
        </w:rPr>
        <w:tab/>
        <w:t>□</w:t>
      </w:r>
      <w:r w:rsidRPr="00407B23">
        <w:rPr>
          <w:sz w:val="40"/>
        </w:rPr>
        <w:tab/>
      </w:r>
      <w:r w:rsidRPr="00407B23">
        <w:t xml:space="preserve">This is the same variety. </w:t>
      </w:r>
    </w:p>
    <w:p w:rsidR="00EA4900" w:rsidRPr="00407B23" w:rsidRDefault="00EA4900" w:rsidP="00EA4900">
      <w:pPr>
        <w:rPr>
          <w:sz w:val="16"/>
        </w:rPr>
      </w:pPr>
    </w:p>
    <w:p w:rsidR="00EA4900" w:rsidRPr="00407B23" w:rsidRDefault="00EA4900" w:rsidP="00EA4900">
      <w:pPr>
        <w:tabs>
          <w:tab w:val="left" w:pos="392"/>
          <w:tab w:val="left" w:pos="851"/>
        </w:tabs>
        <w:ind w:left="851" w:hanging="851"/>
      </w:pPr>
      <w:r w:rsidRPr="00407B23">
        <w:t>7.</w:t>
      </w:r>
      <w:r w:rsidRPr="00407B23">
        <w:rPr>
          <w:sz w:val="40"/>
        </w:rPr>
        <w:tab/>
        <w:t>□</w:t>
      </w:r>
      <w:r w:rsidRPr="00407B23">
        <w:rPr>
          <w:sz w:val="40"/>
        </w:rPr>
        <w:tab/>
      </w:r>
      <w:r w:rsidRPr="00407B23">
        <w:t xml:space="preserve">Application on the variety has been withdrawn/rejected. </w:t>
      </w:r>
    </w:p>
    <w:p w:rsidR="00EA4900" w:rsidRPr="00407B23" w:rsidRDefault="00EA4900" w:rsidP="00EA4900">
      <w:pPr>
        <w:rPr>
          <w:sz w:val="16"/>
        </w:rPr>
      </w:pPr>
    </w:p>
    <w:p w:rsidR="00EA4900" w:rsidRPr="00407B23" w:rsidRDefault="00EA4900" w:rsidP="00EA4900">
      <w:pPr>
        <w:tabs>
          <w:tab w:val="left" w:pos="392"/>
          <w:tab w:val="left" w:pos="851"/>
        </w:tabs>
        <w:ind w:left="851" w:hanging="851"/>
      </w:pPr>
      <w:r w:rsidRPr="00407B23">
        <w:t>8.</w:t>
      </w:r>
      <w:r w:rsidRPr="00407B23">
        <w:rPr>
          <w:sz w:val="40"/>
        </w:rPr>
        <w:tab/>
        <w:t>□</w:t>
      </w:r>
      <w:r w:rsidRPr="00407B23">
        <w:rPr>
          <w:sz w:val="40"/>
        </w:rPr>
        <w:tab/>
      </w:r>
      <w:r w:rsidRPr="00407B23">
        <w:t xml:space="preserve">The applicant has withdrawn the proposed denomination for the variety. </w:t>
      </w:r>
    </w:p>
    <w:p w:rsidR="00EA4900" w:rsidRPr="00407B23" w:rsidRDefault="00EA4900" w:rsidP="00EA4900">
      <w:pPr>
        <w:rPr>
          <w:sz w:val="16"/>
        </w:rPr>
      </w:pPr>
    </w:p>
    <w:p w:rsidR="00EA4900" w:rsidRPr="00407B23" w:rsidRDefault="00EA4900" w:rsidP="00EA4900">
      <w:pPr>
        <w:tabs>
          <w:tab w:val="left" w:pos="392"/>
          <w:tab w:val="left" w:pos="851"/>
        </w:tabs>
        <w:ind w:left="851" w:hanging="851"/>
      </w:pPr>
      <w:r w:rsidRPr="00407B23">
        <w:t>9.</w:t>
      </w:r>
      <w:r w:rsidRPr="00407B23">
        <w:rPr>
          <w:sz w:val="40"/>
        </w:rPr>
        <w:tab/>
        <w:t>□</w:t>
      </w:r>
      <w:r w:rsidRPr="00407B23">
        <w:rPr>
          <w:sz w:val="40"/>
        </w:rPr>
        <w:tab/>
      </w:r>
      <w:r w:rsidRPr="00407B23">
        <w:t>Other</w:t>
      </w:r>
    </w:p>
    <w:p w:rsidR="00EA4900" w:rsidRPr="00407B23" w:rsidRDefault="00EA4900" w:rsidP="00EA4900"/>
    <w:p w:rsidR="00EA4900" w:rsidRPr="00407B23" w:rsidRDefault="00EA4900" w:rsidP="00EA4900">
      <w:pPr>
        <w:tabs>
          <w:tab w:val="right" w:leader="underscore" w:pos="9072"/>
        </w:tabs>
        <w:jc w:val="center"/>
      </w:pPr>
      <w:r w:rsidRPr="00407B23">
        <w:t>Copies sent to the authorities of the other members of the Union</w:t>
      </w:r>
    </w:p>
    <w:p w:rsidR="00EA4900" w:rsidRPr="00407B23" w:rsidRDefault="00EA4900" w:rsidP="00EA4900">
      <w:pPr>
        <w:tabs>
          <w:tab w:val="right" w:leader="underscore" w:pos="9072"/>
        </w:tabs>
      </w:pPr>
    </w:p>
    <w:p w:rsidR="00EA4900" w:rsidRPr="00407B23" w:rsidRDefault="00EA4900" w:rsidP="00EA4900">
      <w:pPr>
        <w:tabs>
          <w:tab w:val="right" w:leader="underscore" w:pos="9072"/>
        </w:tabs>
      </w:pPr>
    </w:p>
    <w:p w:rsidR="00EA4900" w:rsidRPr="00407B23" w:rsidRDefault="00EA4900" w:rsidP="00EA4900">
      <w:pPr>
        <w:tabs>
          <w:tab w:val="right" w:leader="underscore" w:pos="9072"/>
        </w:tabs>
      </w:pPr>
    </w:p>
    <w:p w:rsidR="00EA4900" w:rsidRPr="00407B23" w:rsidRDefault="00EA4900" w:rsidP="00EA4900">
      <w:pPr>
        <w:tabs>
          <w:tab w:val="right" w:leader="underscore" w:pos="3828"/>
          <w:tab w:val="left" w:pos="4253"/>
          <w:tab w:val="right" w:leader="underscore" w:pos="9072"/>
        </w:tabs>
      </w:pPr>
      <w:r w:rsidRPr="00407B23">
        <w:t xml:space="preserve">Date: </w:t>
      </w:r>
      <w:r w:rsidRPr="00407B23">
        <w:tab/>
      </w:r>
      <w:r w:rsidRPr="00407B23">
        <w:tab/>
        <w:t>Signature:</w:t>
      </w:r>
      <w:r w:rsidRPr="00407B23">
        <w:tab/>
      </w:r>
      <w:r w:rsidRPr="00407B23">
        <w:tab/>
      </w:r>
    </w:p>
    <w:p w:rsidR="00EA4900" w:rsidRPr="00DE1471" w:rsidRDefault="00EA4900" w:rsidP="00EA4900">
      <w:pPr>
        <w:pStyle w:val="Header"/>
        <w:tabs>
          <w:tab w:val="right" w:leader="underscore" w:pos="9072"/>
        </w:tabs>
        <w:rPr>
          <w:lang w:val="en-US"/>
        </w:rPr>
      </w:pPr>
    </w:p>
    <w:p w:rsidR="00EA4900" w:rsidRDefault="00EA4900" w:rsidP="00EA4900">
      <w:pPr>
        <w:jc w:val="right"/>
      </w:pPr>
    </w:p>
    <w:p w:rsidR="00EA4900" w:rsidRDefault="00EA4900" w:rsidP="00EA4900">
      <w:pPr>
        <w:jc w:val="right"/>
      </w:pPr>
    </w:p>
    <w:p w:rsidR="00EA4900" w:rsidRDefault="00EA4900" w:rsidP="00EA4900">
      <w:pPr>
        <w:jc w:val="right"/>
      </w:pPr>
    </w:p>
    <w:p w:rsidR="00EA4900" w:rsidRDefault="00EA4900" w:rsidP="00EA4900">
      <w:pPr>
        <w:jc w:val="right"/>
      </w:pPr>
      <w:r w:rsidRPr="00407B23">
        <w:sym w:font="Symbol" w:char="F05B"/>
      </w:r>
      <w:r w:rsidR="00457502">
        <w:t>Appendix of Annex I</w:t>
      </w:r>
      <w:r w:rsidR="00AC709C">
        <w:t xml:space="preserve"> follows</w:t>
      </w:r>
      <w:r w:rsidRPr="00407B23">
        <w:sym w:font="Symbol" w:char="F05D"/>
      </w:r>
    </w:p>
    <w:p w:rsidR="00FA1D1F" w:rsidRDefault="00FA1D1F" w:rsidP="00FA1D1F">
      <w:pPr>
        <w:rPr>
          <w:lang w:eastAsia="ja-JP"/>
        </w:rPr>
      </w:pPr>
    </w:p>
    <w:p w:rsidR="00FA1D1F" w:rsidRDefault="00FA1D1F">
      <w:pPr>
        <w:jc w:val="left"/>
      </w:pPr>
      <w:r>
        <w:br w:type="page"/>
      </w:r>
    </w:p>
    <w:p w:rsidR="00EA4900" w:rsidRDefault="00457502" w:rsidP="00EA4900">
      <w:pPr>
        <w:jc w:val="center"/>
        <w:rPr>
          <w:lang w:eastAsia="ja-JP"/>
        </w:rPr>
      </w:pPr>
      <w:r>
        <w:lastRenderedPageBreak/>
        <w:t>APPENDIX</w:t>
      </w:r>
      <w:r w:rsidR="00AC709C">
        <w:t xml:space="preserve"> OF ANNEX I</w:t>
      </w:r>
    </w:p>
    <w:p w:rsidR="00EA4900" w:rsidRDefault="00EA4900" w:rsidP="00EA4900">
      <w:pPr>
        <w:jc w:val="center"/>
      </w:pPr>
    </w:p>
    <w:p w:rsidR="00EA4900" w:rsidRPr="00B844B0" w:rsidRDefault="00EA4900" w:rsidP="00EA4900">
      <w:pPr>
        <w:pStyle w:val="DecisionParagraphs"/>
        <w:keepLines/>
        <w:tabs>
          <w:tab w:val="left" w:pos="5490"/>
          <w:tab w:val="left" w:pos="5940"/>
        </w:tabs>
        <w:ind w:left="0"/>
        <w:jc w:val="center"/>
        <w:rPr>
          <w:rFonts w:cs="Arial"/>
          <w:i w:val="0"/>
          <w:lang w:eastAsia="ja-JP"/>
        </w:rPr>
      </w:pPr>
      <w:r w:rsidRPr="00B844B0">
        <w:rPr>
          <w:rFonts w:cs="Arial"/>
          <w:i w:val="0"/>
          <w:lang w:eastAsia="ja-JP"/>
        </w:rPr>
        <w:t>INTERNATIONAL CODE OF NOMENCLATURE FOR CULTIVATED PLANTS (ICNCP)</w:t>
      </w:r>
    </w:p>
    <w:p w:rsidR="00EA4900" w:rsidRPr="00B844B0" w:rsidRDefault="00EA4900" w:rsidP="00EA4900">
      <w:pPr>
        <w:pStyle w:val="DecisionParagraphs"/>
        <w:keepLines/>
        <w:tabs>
          <w:tab w:val="left" w:pos="5490"/>
          <w:tab w:val="left" w:pos="5940"/>
        </w:tabs>
        <w:ind w:left="0"/>
        <w:jc w:val="center"/>
        <w:rPr>
          <w:rFonts w:eastAsia="MS Mincho" w:cs="Arial"/>
          <w:i w:val="0"/>
          <w:lang w:eastAsia="ja-JP"/>
        </w:rPr>
      </w:pPr>
      <w:r w:rsidRPr="00B844B0">
        <w:rPr>
          <w:rFonts w:cs="Arial"/>
          <w:i w:val="0"/>
          <w:lang w:eastAsia="ja-JP"/>
        </w:rPr>
        <w:t>APPENDIX V SPECIAL DENOMINATION CLASSES</w:t>
      </w:r>
      <w:r w:rsidRPr="00B844B0">
        <w:rPr>
          <w:rFonts w:eastAsia="MS Mincho" w:cs="Arial" w:hint="eastAsia"/>
          <w:i w:val="0"/>
          <w:lang w:eastAsia="ja-JP"/>
        </w:rPr>
        <w:t xml:space="preserve"> (8</w:t>
      </w:r>
      <w:r w:rsidRPr="00B844B0">
        <w:rPr>
          <w:rFonts w:eastAsia="MS Mincho" w:cs="Arial" w:hint="eastAsia"/>
          <w:i w:val="0"/>
          <w:vertAlign w:val="superscript"/>
          <w:lang w:eastAsia="ja-JP"/>
        </w:rPr>
        <w:t xml:space="preserve">TH </w:t>
      </w:r>
      <w:r w:rsidRPr="00B844B0">
        <w:rPr>
          <w:rFonts w:eastAsia="MS Mincho" w:cs="Arial" w:hint="eastAsia"/>
          <w:i w:val="0"/>
          <w:lang w:eastAsia="ja-JP"/>
        </w:rPr>
        <w:t>EDITION)</w:t>
      </w:r>
    </w:p>
    <w:p w:rsidR="00EA4900" w:rsidRPr="00B844B0" w:rsidRDefault="00EA4900" w:rsidP="00EA4900">
      <w:pPr>
        <w:pStyle w:val="DecisionParagraphs"/>
        <w:keepLines/>
        <w:tabs>
          <w:tab w:val="left" w:pos="5490"/>
          <w:tab w:val="left" w:pos="5940"/>
        </w:tabs>
        <w:ind w:left="0"/>
        <w:jc w:val="center"/>
        <w:rPr>
          <w:rFonts w:eastAsia="MS Mincho" w:cs="Arial"/>
          <w:i w:val="0"/>
          <w:lang w:eastAsia="ja-JP"/>
        </w:rPr>
      </w:pPr>
    </w:p>
    <w:p w:rsidR="00EA4900" w:rsidRDefault="00EA4900" w:rsidP="00EA4900">
      <w:pPr>
        <w:pStyle w:val="DecisionParagraphs"/>
        <w:keepLines/>
        <w:tabs>
          <w:tab w:val="left" w:pos="5490"/>
          <w:tab w:val="left" w:pos="5940"/>
        </w:tabs>
        <w:ind w:left="0"/>
        <w:jc w:val="center"/>
        <w:rPr>
          <w:rFonts w:eastAsia="MS Mincho" w:cs="Arial"/>
          <w:i w:val="0"/>
          <w:lang w:eastAsia="ja-JP"/>
        </w:rPr>
      </w:pPr>
      <w:r>
        <w:rPr>
          <w:noProof/>
        </w:rPr>
        <w:drawing>
          <wp:inline distT="0" distB="0" distL="0" distR="0" wp14:anchorId="08DAA30C" wp14:editId="46ADA77A">
            <wp:extent cx="5484367" cy="83848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91155" cy="8395252"/>
                    </a:xfrm>
                    <a:prstGeom prst="rect">
                      <a:avLst/>
                    </a:prstGeom>
                  </pic:spPr>
                </pic:pic>
              </a:graphicData>
            </a:graphic>
          </wp:inline>
        </w:drawing>
      </w:r>
    </w:p>
    <w:p w:rsidR="00EA4900" w:rsidRPr="000D0F12" w:rsidRDefault="00EA4900" w:rsidP="00EA4900">
      <w:pPr>
        <w:pStyle w:val="DecisionParagraphs"/>
        <w:keepLines/>
        <w:tabs>
          <w:tab w:val="left" w:pos="5490"/>
          <w:tab w:val="left" w:pos="5940"/>
        </w:tabs>
        <w:ind w:left="0"/>
        <w:jc w:val="center"/>
        <w:rPr>
          <w:rFonts w:eastAsia="MS Mincho" w:cs="Arial"/>
          <w:i w:val="0"/>
          <w:lang w:eastAsia="ja-JP"/>
        </w:rPr>
      </w:pPr>
    </w:p>
    <w:p w:rsidR="00EA4900" w:rsidRPr="000D0F12" w:rsidRDefault="00EA4900" w:rsidP="00EA4900">
      <w:pPr>
        <w:pStyle w:val="DecisionParagraphs"/>
        <w:keepLines/>
        <w:tabs>
          <w:tab w:val="left" w:pos="5490"/>
          <w:tab w:val="left" w:pos="5940"/>
        </w:tabs>
        <w:ind w:left="0"/>
        <w:jc w:val="center"/>
        <w:rPr>
          <w:rFonts w:eastAsia="MS Mincho" w:cs="Arial"/>
          <w:i w:val="0"/>
          <w:lang w:eastAsia="ja-JP"/>
        </w:rPr>
      </w:pPr>
      <w:r>
        <w:rPr>
          <w:noProof/>
        </w:rPr>
        <w:drawing>
          <wp:inline distT="0" distB="0" distL="0" distR="0" wp14:anchorId="0EFEBBEE" wp14:editId="5D7C4D4F">
            <wp:extent cx="5733461" cy="492001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3596" cy="4920134"/>
                    </a:xfrm>
                    <a:prstGeom prst="rect">
                      <a:avLst/>
                    </a:prstGeom>
                  </pic:spPr>
                </pic:pic>
              </a:graphicData>
            </a:graphic>
          </wp:inline>
        </w:drawing>
      </w:r>
    </w:p>
    <w:p w:rsidR="00EA4900" w:rsidRDefault="00EA4900" w:rsidP="00EA4900">
      <w:pPr>
        <w:jc w:val="right"/>
        <w:rPr>
          <w:lang w:eastAsia="ja-JP"/>
        </w:rPr>
      </w:pPr>
    </w:p>
    <w:p w:rsidR="00AC709C" w:rsidRDefault="00AC709C" w:rsidP="00EA4900">
      <w:pPr>
        <w:jc w:val="right"/>
        <w:rPr>
          <w:lang w:eastAsia="ja-JP"/>
        </w:rPr>
      </w:pPr>
    </w:p>
    <w:p w:rsidR="00AC709C" w:rsidRDefault="00AC709C" w:rsidP="00EA4900">
      <w:pPr>
        <w:jc w:val="right"/>
        <w:rPr>
          <w:lang w:eastAsia="ja-JP"/>
        </w:rPr>
      </w:pPr>
      <w:r>
        <w:rPr>
          <w:lang w:eastAsia="ja-JP"/>
        </w:rPr>
        <w:t>[Endnotes of Annex I follow]</w:t>
      </w:r>
    </w:p>
    <w:p w:rsidR="00EA4900" w:rsidRDefault="00EA4900" w:rsidP="00FA1D1F">
      <w:pPr>
        <w:rPr>
          <w:lang w:eastAsia="ja-JP"/>
        </w:rPr>
      </w:pPr>
    </w:p>
    <w:p w:rsidR="00EA4900" w:rsidRDefault="00EA4900" w:rsidP="00EA4900">
      <w:pPr>
        <w:jc w:val="left"/>
      </w:pPr>
    </w:p>
    <w:p w:rsidR="00EA4900" w:rsidRDefault="00EA4900" w:rsidP="00EA4900">
      <w:pPr>
        <w:jc w:val="left"/>
      </w:pPr>
    </w:p>
    <w:p w:rsidR="00FA1D1F" w:rsidRDefault="00FA1D1F">
      <w:pPr>
        <w:jc w:val="left"/>
        <w:rPr>
          <w:lang w:val="de-DE"/>
        </w:rPr>
      </w:pPr>
      <w:r>
        <w:rPr>
          <w:lang w:val="de-DE"/>
        </w:rPr>
        <w:br w:type="page"/>
      </w:r>
    </w:p>
    <w:p w:rsidR="00EA4900" w:rsidRPr="00647B47" w:rsidRDefault="00EA4900" w:rsidP="00EA4900">
      <w:pPr>
        <w:jc w:val="center"/>
        <w:rPr>
          <w:lang w:val="de-DE" w:eastAsia="ja-JP"/>
        </w:rPr>
      </w:pPr>
      <w:r w:rsidRPr="00647B47">
        <w:rPr>
          <w:lang w:val="de-DE"/>
        </w:rPr>
        <w:lastRenderedPageBreak/>
        <w:t>ENDNOTES</w:t>
      </w:r>
      <w:r w:rsidR="00AC709C">
        <w:rPr>
          <w:lang w:val="de-DE"/>
        </w:rPr>
        <w:t xml:space="preserve"> OF ANNEX I</w:t>
      </w:r>
    </w:p>
    <w:p w:rsidR="00EA4900" w:rsidRPr="00647B47" w:rsidRDefault="00EA4900" w:rsidP="00EA4900">
      <w:pPr>
        <w:jc w:val="left"/>
        <w:rPr>
          <w:lang w:val="de-DE"/>
        </w:rPr>
      </w:pPr>
    </w:p>
    <w:p w:rsidR="00EA4900" w:rsidRDefault="00EA4900" w:rsidP="00FA1D1F"/>
    <w:p w:rsidR="00EA4900" w:rsidRDefault="00EA4900" w:rsidP="00EA4900">
      <w:pPr>
        <w:sectPr w:rsidR="00EA4900" w:rsidSect="00FD2ABF">
          <w:headerReference w:type="default" r:id="rId20"/>
          <w:headerReference w:type="first" r:id="rId21"/>
          <w:endnotePr>
            <w:numFmt w:val="lowerLetter"/>
          </w:endnotePr>
          <w:pgSz w:w="11907" w:h="16840" w:code="9"/>
          <w:pgMar w:top="510" w:right="1134" w:bottom="1134" w:left="1134" w:header="510" w:footer="680" w:gutter="0"/>
          <w:pgNumType w:start="1"/>
          <w:cols w:space="720"/>
          <w:titlePg/>
          <w:docGrid w:linePitch="272"/>
        </w:sectPr>
      </w:pPr>
    </w:p>
    <w:p w:rsidR="00EA4900" w:rsidRDefault="00EA4900" w:rsidP="00EA4900"/>
    <w:p w:rsidR="00EA4900" w:rsidRDefault="00021152" w:rsidP="00EA4900">
      <w:pPr>
        <w:jc w:val="center"/>
        <w:rPr>
          <w:lang w:eastAsia="ja-JP"/>
        </w:rPr>
      </w:pPr>
      <w:r w:rsidRPr="00021152">
        <w:rPr>
          <w:lang w:eastAsia="ja-JP"/>
        </w:rPr>
        <w:t>RESPONSE FROM THE EUROPEAN UNION (CPVO) TO UPOV CIRCULAR E</w:t>
      </w:r>
      <w:r>
        <w:rPr>
          <w:lang w:eastAsia="ja-JP"/>
        </w:rPr>
        <w:t>-</w:t>
      </w:r>
      <w:r w:rsidRPr="00021152">
        <w:rPr>
          <w:lang w:eastAsia="ja-JP"/>
        </w:rPr>
        <w:t>18/064</w:t>
      </w:r>
    </w:p>
    <w:p w:rsidR="00EA4900" w:rsidRDefault="00EA4900" w:rsidP="00EA4900">
      <w:pPr>
        <w:jc w:val="center"/>
        <w:rPr>
          <w:lang w:eastAsia="ja-JP"/>
        </w:rPr>
      </w:pPr>
    </w:p>
    <w:p w:rsidR="00983BF8" w:rsidRDefault="00983BF8" w:rsidP="00EA4900">
      <w:pPr>
        <w:jc w:val="center"/>
        <w:rPr>
          <w:lang w:eastAsia="ja-JP"/>
        </w:rPr>
      </w:pPr>
    </w:p>
    <w:p w:rsidR="00983BF8" w:rsidRDefault="00983BF8" w:rsidP="00EA4900">
      <w:pPr>
        <w:jc w:val="center"/>
        <w:rPr>
          <w:lang w:eastAsia="ja-JP"/>
        </w:rPr>
      </w:pPr>
    </w:p>
    <w:p w:rsidR="00983BF8" w:rsidRPr="00983BF8" w:rsidRDefault="00983BF8" w:rsidP="00983BF8">
      <w:pPr>
        <w:rPr>
          <w:rFonts w:eastAsia="Cambria" w:cs="Arial"/>
        </w:rPr>
      </w:pPr>
      <w:r w:rsidRPr="00983BF8">
        <w:rPr>
          <w:rFonts w:eastAsia="Cambria" w:cs="Arial"/>
        </w:rPr>
        <w:t xml:space="preserve">In the view of the fifth meeting of the </w:t>
      </w:r>
      <w:r w:rsidRPr="00983BF8">
        <w:rPr>
          <w:rFonts w:eastAsia="Cambria" w:cs="Arial"/>
          <w:snapToGrid w:val="0"/>
          <w:lang w:eastAsia="ja-JP"/>
        </w:rPr>
        <w:t>Working Group on Variety Denominations (WG</w:t>
      </w:r>
      <w:r w:rsidRPr="00983BF8">
        <w:rPr>
          <w:rFonts w:eastAsia="Cambria" w:cs="Arial"/>
          <w:snapToGrid w:val="0"/>
          <w:lang w:eastAsia="ja-JP"/>
        </w:rPr>
        <w:noBreakHyphen/>
        <w:t>DEN)</w:t>
      </w:r>
      <w:r w:rsidRPr="00983BF8">
        <w:rPr>
          <w:rFonts w:eastAsia="Cambria" w:cs="Arial"/>
        </w:rPr>
        <w:t xml:space="preserve">, that will be held in Geneva, on Tuesday, October 30, 2018, please find below the CPVO comments and proposals on the questions outlined in the UPOV circular E-18/056 of 01/06/2018 (email). </w:t>
      </w:r>
    </w:p>
    <w:p w:rsidR="00983BF8" w:rsidRPr="00983BF8" w:rsidRDefault="00983BF8" w:rsidP="00983BF8">
      <w:pPr>
        <w:jc w:val="left"/>
        <w:rPr>
          <w:rFonts w:eastAsia="Cambria" w:cs="Arial"/>
        </w:rPr>
      </w:pPr>
    </w:p>
    <w:p w:rsidR="00983BF8" w:rsidRPr="00983BF8" w:rsidRDefault="00983BF8" w:rsidP="00983BF8">
      <w:pPr>
        <w:jc w:val="left"/>
        <w:rPr>
          <w:rFonts w:eastAsia="Cambria" w:cs="Arial"/>
        </w:rPr>
      </w:pPr>
    </w:p>
    <w:p w:rsidR="00983BF8" w:rsidRPr="00983BF8" w:rsidRDefault="00983BF8" w:rsidP="00983BF8">
      <w:pPr>
        <w:spacing w:after="120"/>
        <w:ind w:left="426" w:hanging="142"/>
        <w:jc w:val="left"/>
        <w:rPr>
          <w:rFonts w:eastAsia="Cambria" w:cs="Arial"/>
          <w:b/>
          <w:highlight w:val="yellow"/>
        </w:rPr>
      </w:pPr>
      <w:r w:rsidRPr="00983BF8">
        <w:rPr>
          <w:rFonts w:eastAsia="Cambria" w:cs="Arial"/>
          <w:b/>
        </w:rPr>
        <w:t>a) CPVO comments and practices on cases, which could cause confusion phonetically but not visually.</w:t>
      </w:r>
    </w:p>
    <w:p w:rsidR="00983BF8" w:rsidRPr="00983BF8" w:rsidRDefault="00983BF8" w:rsidP="00983BF8">
      <w:pPr>
        <w:widowControl w:val="0"/>
        <w:tabs>
          <w:tab w:val="left" w:pos="9781"/>
        </w:tabs>
        <w:spacing w:before="240" w:line="359" w:lineRule="auto"/>
        <w:ind w:left="426" w:right="-20"/>
        <w:rPr>
          <w:rFonts w:cs="Arial"/>
          <w:spacing w:val="1"/>
          <w:lang w:val="en-GB"/>
        </w:rPr>
      </w:pPr>
      <w:r w:rsidRPr="00983BF8">
        <w:rPr>
          <w:rFonts w:cs="Arial"/>
          <w:spacing w:val="1"/>
          <w:lang w:val="en-GB"/>
        </w:rPr>
        <w:t>The comparison of the denominations is made on a three criteria-basis:  the visual, phonetical and conceptual similarity – before an overall assessment is made. For these three criteria, a continuous variation in the level of similarity (low, medium, high) needs to be taken into account.</w:t>
      </w:r>
    </w:p>
    <w:p w:rsidR="00983BF8" w:rsidRPr="00983BF8" w:rsidRDefault="00983BF8" w:rsidP="00983BF8">
      <w:pPr>
        <w:widowControl w:val="0"/>
        <w:tabs>
          <w:tab w:val="left" w:pos="9781"/>
        </w:tabs>
        <w:spacing w:before="240" w:line="359" w:lineRule="auto"/>
        <w:ind w:left="426" w:right="-20"/>
        <w:rPr>
          <w:rFonts w:cs="Arial"/>
          <w:spacing w:val="1"/>
          <w:lang w:val="en-GB"/>
        </w:rPr>
      </w:pPr>
      <w:r w:rsidRPr="00983BF8">
        <w:rPr>
          <w:rFonts w:cs="Arial"/>
          <w:spacing w:val="1"/>
          <w:lang w:val="en-GB"/>
        </w:rPr>
        <w:t xml:space="preserve">As regards the phonetic comparison, the overall phonetic impression produced by a denomination is particularly influenced by the number and sequence of its syllables. The common rhythm and intonation plays an important role. Consequently, the key elements for determining the overall phonetic impression of a denomination are the syllables and their particular sequence. </w:t>
      </w:r>
    </w:p>
    <w:p w:rsidR="00983BF8" w:rsidRPr="00983BF8" w:rsidRDefault="00983BF8" w:rsidP="00983BF8">
      <w:pPr>
        <w:ind w:left="426"/>
        <w:jc w:val="left"/>
        <w:rPr>
          <w:rFonts w:eastAsia="Cambria" w:cs="Arial"/>
        </w:rPr>
      </w:pPr>
    </w:p>
    <w:p w:rsidR="00983BF8" w:rsidRPr="00983BF8" w:rsidRDefault="00983BF8" w:rsidP="00983BF8">
      <w:pPr>
        <w:widowControl w:val="0"/>
        <w:tabs>
          <w:tab w:val="left" w:pos="9781"/>
        </w:tabs>
        <w:spacing w:line="359" w:lineRule="auto"/>
        <w:ind w:left="426" w:right="-20"/>
        <w:rPr>
          <w:rFonts w:cs="Arial"/>
          <w:spacing w:val="1"/>
          <w:lang w:val="en-GB"/>
        </w:rPr>
      </w:pPr>
      <w:r w:rsidRPr="00983BF8">
        <w:rPr>
          <w:rFonts w:cs="Arial"/>
          <w:b/>
          <w:spacing w:val="1"/>
          <w:lang w:val="en-GB"/>
        </w:rPr>
        <w:t>Examples</w:t>
      </w:r>
      <w:r w:rsidRPr="00983BF8">
        <w:rPr>
          <w:rFonts w:cs="Arial"/>
          <w:spacing w:val="1"/>
          <w:lang w:val="en-GB"/>
        </w:rPr>
        <w:t>:</w:t>
      </w:r>
    </w:p>
    <w:tbl>
      <w:tblPr>
        <w:tblW w:w="8363" w:type="dxa"/>
        <w:jc w:val="right"/>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shd w:val="clear" w:color="auto" w:fill="FFE181"/>
        <w:tblLayout w:type="fixed"/>
        <w:tblLook w:val="04A0" w:firstRow="1" w:lastRow="0" w:firstColumn="1" w:lastColumn="0" w:noHBand="0" w:noVBand="1"/>
      </w:tblPr>
      <w:tblGrid>
        <w:gridCol w:w="2682"/>
        <w:gridCol w:w="1897"/>
        <w:gridCol w:w="3784"/>
      </w:tblGrid>
      <w:tr w:rsidR="00983BF8" w:rsidRPr="00983BF8" w:rsidTr="001A694C">
        <w:trPr>
          <w:trHeight w:val="340"/>
          <w:tblHeader/>
          <w:jc w:val="right"/>
        </w:trPr>
        <w:tc>
          <w:tcPr>
            <w:tcW w:w="8363" w:type="dxa"/>
            <w:gridSpan w:val="3"/>
            <w:shd w:val="clear" w:color="auto" w:fill="auto"/>
          </w:tcPr>
          <w:p w:rsidR="00983BF8" w:rsidRPr="00983BF8" w:rsidRDefault="00983BF8" w:rsidP="00983BF8">
            <w:pPr>
              <w:tabs>
                <w:tab w:val="left" w:pos="1731"/>
                <w:tab w:val="left" w:pos="3432"/>
              </w:tabs>
              <w:spacing w:before="120" w:after="120"/>
              <w:jc w:val="left"/>
              <w:rPr>
                <w:rFonts w:eastAsia="Cambria" w:cs="Arial"/>
                <w:b/>
              </w:rPr>
            </w:pPr>
            <w:r w:rsidRPr="00983BF8">
              <w:rPr>
                <w:rFonts w:eastAsia="Cambria" w:cs="Arial"/>
              </w:rPr>
              <w:t>Legend:</w:t>
            </w:r>
            <w:r w:rsidRPr="00983BF8">
              <w:rPr>
                <w:rFonts w:eastAsia="Cambria" w:cs="Arial"/>
                <w:b/>
              </w:rPr>
              <w:tab/>
            </w:r>
            <w:r w:rsidRPr="00983BF8">
              <w:rPr>
                <w:rFonts w:eastAsia="Cambria" w:cs="Arial"/>
                <w:color w:val="FF0000"/>
              </w:rPr>
              <w:sym w:font="Wingdings" w:char="F0FB"/>
            </w:r>
            <w:r w:rsidRPr="00983BF8">
              <w:rPr>
                <w:rFonts w:eastAsia="Cambria" w:cs="Arial"/>
                <w:color w:val="FF0000"/>
              </w:rPr>
              <w:t xml:space="preserve"> </w:t>
            </w:r>
            <w:r w:rsidRPr="00983BF8">
              <w:rPr>
                <w:rFonts w:eastAsia="Cambria" w:cs="Arial"/>
              </w:rPr>
              <w:t>not suitable</w:t>
            </w:r>
            <w:r w:rsidRPr="00983BF8">
              <w:rPr>
                <w:rFonts w:eastAsia="Cambria" w:cs="Arial"/>
              </w:rPr>
              <w:tab/>
            </w:r>
            <w:r w:rsidRPr="00983BF8">
              <w:rPr>
                <w:rFonts w:eastAsia="Cambria" w:cs="Arial"/>
                <w:color w:val="00B050"/>
              </w:rPr>
              <w:sym w:font="Wingdings" w:char="F0FC"/>
            </w:r>
            <w:r w:rsidRPr="00983BF8">
              <w:rPr>
                <w:rFonts w:eastAsia="Cambria" w:cs="Arial"/>
              </w:rPr>
              <w:t>suitable</w:t>
            </w:r>
          </w:p>
        </w:tc>
      </w:tr>
      <w:tr w:rsidR="00983BF8" w:rsidRPr="00983BF8" w:rsidTr="001A694C">
        <w:trPr>
          <w:trHeight w:val="340"/>
          <w:tblHeader/>
          <w:jc w:val="right"/>
        </w:trPr>
        <w:tc>
          <w:tcPr>
            <w:tcW w:w="2682" w:type="dxa"/>
            <w:shd w:val="clear" w:color="auto" w:fill="auto"/>
          </w:tcPr>
          <w:p w:rsidR="00983BF8" w:rsidRPr="00983BF8" w:rsidRDefault="00983BF8" w:rsidP="00983BF8">
            <w:pPr>
              <w:jc w:val="left"/>
              <w:rPr>
                <w:rFonts w:eastAsia="Calibri" w:cs="Arial"/>
                <w:b/>
              </w:rPr>
            </w:pPr>
            <w:r w:rsidRPr="00983BF8">
              <w:rPr>
                <w:rFonts w:eastAsia="Calibri" w:cs="Arial"/>
                <w:b/>
              </w:rPr>
              <w:t>Denomination</w:t>
            </w:r>
          </w:p>
        </w:tc>
        <w:tc>
          <w:tcPr>
            <w:tcW w:w="1897" w:type="dxa"/>
            <w:shd w:val="clear" w:color="auto" w:fill="auto"/>
          </w:tcPr>
          <w:p w:rsidR="00983BF8" w:rsidRPr="00983BF8" w:rsidRDefault="00983BF8" w:rsidP="00983BF8">
            <w:pPr>
              <w:jc w:val="center"/>
              <w:rPr>
                <w:rFonts w:eastAsia="Calibri" w:cs="Arial"/>
                <w:b/>
              </w:rPr>
            </w:pPr>
            <w:r w:rsidRPr="00983BF8">
              <w:rPr>
                <w:rFonts w:eastAsia="Calibri" w:cs="Arial"/>
                <w:b/>
              </w:rPr>
              <w:t>Suitability*</w:t>
            </w:r>
          </w:p>
        </w:tc>
        <w:tc>
          <w:tcPr>
            <w:tcW w:w="3784" w:type="dxa"/>
            <w:tcBorders>
              <w:bottom w:val="single" w:sz="4" w:space="0" w:color="948A54" w:themeColor="background2" w:themeShade="80"/>
            </w:tcBorders>
            <w:shd w:val="clear" w:color="auto" w:fill="auto"/>
          </w:tcPr>
          <w:p w:rsidR="00983BF8" w:rsidRPr="00983BF8" w:rsidRDefault="00983BF8" w:rsidP="00983BF8">
            <w:pPr>
              <w:jc w:val="left"/>
              <w:rPr>
                <w:rFonts w:eastAsia="Calibri" w:cs="Arial"/>
                <w:b/>
              </w:rPr>
            </w:pPr>
            <w:r w:rsidRPr="00983BF8">
              <w:rPr>
                <w:rFonts w:eastAsia="Calibri" w:cs="Arial"/>
                <w:b/>
              </w:rPr>
              <w:t>Comments</w:t>
            </w:r>
          </w:p>
        </w:tc>
      </w:tr>
      <w:tr w:rsidR="00983BF8" w:rsidRPr="00983BF8" w:rsidTr="001A694C">
        <w:trPr>
          <w:trHeight w:val="340"/>
          <w:jc w:val="right"/>
        </w:trPr>
        <w:tc>
          <w:tcPr>
            <w:tcW w:w="2682" w:type="dxa"/>
            <w:shd w:val="clear" w:color="auto" w:fill="auto"/>
            <w:vAlign w:val="center"/>
          </w:tcPr>
          <w:p w:rsidR="00983BF8" w:rsidRPr="00983BF8" w:rsidRDefault="00983BF8" w:rsidP="00983BF8">
            <w:pPr>
              <w:jc w:val="left"/>
              <w:rPr>
                <w:rFonts w:eastAsia="Calibri" w:cs="Arial"/>
                <w:b/>
                <w:color w:val="215868"/>
                <w:lang w:val="en-GB"/>
              </w:rPr>
            </w:pPr>
            <w:r w:rsidRPr="00983BF8">
              <w:rPr>
                <w:rFonts w:eastAsia="Cambria" w:cs="Arial"/>
                <w:b/>
              </w:rPr>
              <w:t>‘Meagan’&lt;&gt;‘Reagan’</w:t>
            </w:r>
          </w:p>
        </w:tc>
        <w:tc>
          <w:tcPr>
            <w:tcW w:w="1897" w:type="dxa"/>
            <w:shd w:val="clear" w:color="auto" w:fill="auto"/>
          </w:tcPr>
          <w:p w:rsidR="00983BF8" w:rsidRPr="00983BF8" w:rsidRDefault="00983BF8" w:rsidP="00983BF8">
            <w:pPr>
              <w:jc w:val="center"/>
              <w:rPr>
                <w:rFonts w:eastAsia="Cambria" w:cs="Arial"/>
              </w:rPr>
            </w:pPr>
            <w:r w:rsidRPr="00983BF8">
              <w:rPr>
                <w:rFonts w:eastAsia="Cambria" w:cs="Arial"/>
                <w:color w:val="00B050"/>
              </w:rPr>
              <w:sym w:font="Wingdings" w:char="F0FC"/>
            </w:r>
          </w:p>
        </w:tc>
        <w:tc>
          <w:tcPr>
            <w:tcW w:w="3784" w:type="dxa"/>
            <w:vMerge w:val="restart"/>
            <w:shd w:val="clear" w:color="auto" w:fill="auto"/>
            <w:vAlign w:val="center"/>
          </w:tcPr>
          <w:p w:rsidR="00983BF8" w:rsidRPr="00983BF8" w:rsidRDefault="00983BF8" w:rsidP="00983BF8">
            <w:pPr>
              <w:rPr>
                <w:rFonts w:eastAsia="Cambria" w:cs="Arial"/>
              </w:rPr>
            </w:pPr>
            <w:r w:rsidRPr="00983BF8">
              <w:rPr>
                <w:rFonts w:eastAsia="Cambria" w:cs="Arial"/>
                <w:lang w:val="en-GB"/>
              </w:rPr>
              <w:t>The denominations are phonetically dissimilar.</w:t>
            </w:r>
          </w:p>
        </w:tc>
      </w:tr>
      <w:tr w:rsidR="00983BF8" w:rsidRPr="00983BF8" w:rsidTr="001A694C">
        <w:trPr>
          <w:trHeight w:val="340"/>
          <w:jc w:val="right"/>
        </w:trPr>
        <w:tc>
          <w:tcPr>
            <w:tcW w:w="2682" w:type="dxa"/>
            <w:shd w:val="clear" w:color="auto" w:fill="auto"/>
            <w:vAlign w:val="center"/>
          </w:tcPr>
          <w:p w:rsidR="00983BF8" w:rsidRPr="00983BF8" w:rsidRDefault="00983BF8" w:rsidP="00983BF8">
            <w:pPr>
              <w:jc w:val="left"/>
              <w:rPr>
                <w:rFonts w:eastAsia="Cambria" w:cs="Arial"/>
              </w:rPr>
            </w:pPr>
            <w:r w:rsidRPr="00983BF8">
              <w:rPr>
                <w:rFonts w:eastAsia="Cambria" w:cs="Arial"/>
                <w:b/>
              </w:rPr>
              <w:t>‘Kinky’&lt;&gt;’Binky’</w:t>
            </w:r>
          </w:p>
        </w:tc>
        <w:tc>
          <w:tcPr>
            <w:tcW w:w="1897" w:type="dxa"/>
            <w:shd w:val="clear" w:color="auto" w:fill="auto"/>
          </w:tcPr>
          <w:p w:rsidR="00983BF8" w:rsidRPr="00983BF8" w:rsidRDefault="00983BF8" w:rsidP="00983BF8">
            <w:pPr>
              <w:jc w:val="center"/>
              <w:rPr>
                <w:rFonts w:eastAsia="Cambria" w:cs="Arial"/>
              </w:rPr>
            </w:pPr>
            <w:r w:rsidRPr="00983BF8">
              <w:rPr>
                <w:rFonts w:eastAsia="Cambria" w:cs="Arial"/>
                <w:color w:val="00B050"/>
              </w:rPr>
              <w:sym w:font="Wingdings" w:char="F0FC"/>
            </w:r>
          </w:p>
        </w:tc>
        <w:tc>
          <w:tcPr>
            <w:tcW w:w="3784" w:type="dxa"/>
            <w:vMerge/>
            <w:shd w:val="clear" w:color="auto" w:fill="auto"/>
            <w:vAlign w:val="center"/>
          </w:tcPr>
          <w:p w:rsidR="00983BF8" w:rsidRPr="00983BF8" w:rsidRDefault="00983BF8" w:rsidP="00983BF8">
            <w:pPr>
              <w:jc w:val="left"/>
              <w:rPr>
                <w:rFonts w:eastAsia="Cambria" w:cs="Arial"/>
              </w:rPr>
            </w:pPr>
          </w:p>
        </w:tc>
      </w:tr>
      <w:tr w:rsidR="00983BF8" w:rsidRPr="00983BF8" w:rsidTr="001A694C">
        <w:trPr>
          <w:trHeight w:val="340"/>
          <w:jc w:val="right"/>
        </w:trPr>
        <w:tc>
          <w:tcPr>
            <w:tcW w:w="2682" w:type="dxa"/>
            <w:shd w:val="clear" w:color="auto" w:fill="auto"/>
            <w:vAlign w:val="center"/>
          </w:tcPr>
          <w:p w:rsidR="00983BF8" w:rsidRPr="00983BF8" w:rsidRDefault="00983BF8" w:rsidP="00983BF8">
            <w:pPr>
              <w:jc w:val="left"/>
              <w:rPr>
                <w:rFonts w:eastAsia="Cambria" w:cs="Arial"/>
              </w:rPr>
            </w:pPr>
            <w:r w:rsidRPr="00983BF8">
              <w:rPr>
                <w:rFonts w:eastAsia="Cambria" w:cs="Arial"/>
                <w:b/>
              </w:rPr>
              <w:t>‘Hagar’&lt;&gt;’Magar’</w:t>
            </w:r>
          </w:p>
        </w:tc>
        <w:tc>
          <w:tcPr>
            <w:tcW w:w="1897" w:type="dxa"/>
            <w:shd w:val="clear" w:color="auto" w:fill="auto"/>
          </w:tcPr>
          <w:p w:rsidR="00983BF8" w:rsidRPr="00983BF8" w:rsidRDefault="00983BF8" w:rsidP="00983BF8">
            <w:pPr>
              <w:jc w:val="center"/>
              <w:rPr>
                <w:rFonts w:eastAsia="Cambria" w:cs="Arial"/>
              </w:rPr>
            </w:pPr>
            <w:r w:rsidRPr="00983BF8">
              <w:rPr>
                <w:rFonts w:eastAsia="Cambria" w:cs="Arial"/>
                <w:color w:val="00B050"/>
              </w:rPr>
              <w:sym w:font="Wingdings" w:char="F0FC"/>
            </w:r>
          </w:p>
        </w:tc>
        <w:tc>
          <w:tcPr>
            <w:tcW w:w="3784" w:type="dxa"/>
            <w:vMerge/>
            <w:shd w:val="clear" w:color="auto" w:fill="auto"/>
            <w:vAlign w:val="center"/>
          </w:tcPr>
          <w:p w:rsidR="00983BF8" w:rsidRPr="00983BF8" w:rsidRDefault="00983BF8" w:rsidP="00983BF8">
            <w:pPr>
              <w:jc w:val="left"/>
              <w:rPr>
                <w:rFonts w:eastAsia="Cambria" w:cs="Arial"/>
                <w:lang w:val="en-GB"/>
              </w:rPr>
            </w:pPr>
          </w:p>
        </w:tc>
      </w:tr>
      <w:tr w:rsidR="00983BF8" w:rsidRPr="00983BF8" w:rsidTr="001A694C">
        <w:trPr>
          <w:trHeight w:val="340"/>
          <w:jc w:val="right"/>
        </w:trPr>
        <w:tc>
          <w:tcPr>
            <w:tcW w:w="2682" w:type="dxa"/>
            <w:shd w:val="clear" w:color="auto" w:fill="auto"/>
            <w:vAlign w:val="center"/>
          </w:tcPr>
          <w:p w:rsidR="00983BF8" w:rsidRPr="00983BF8" w:rsidRDefault="00983BF8" w:rsidP="00983BF8">
            <w:pPr>
              <w:jc w:val="left"/>
              <w:rPr>
                <w:rFonts w:eastAsia="Cambria" w:cs="Arial"/>
                <w:b/>
              </w:rPr>
            </w:pPr>
            <w:r w:rsidRPr="00983BF8">
              <w:rPr>
                <w:rFonts w:eastAsia="Cambria" w:cs="Arial"/>
                <w:b/>
              </w:rPr>
              <w:t>‘Zophia’ &lt;&gt; ‘Sofia’</w:t>
            </w:r>
          </w:p>
        </w:tc>
        <w:tc>
          <w:tcPr>
            <w:tcW w:w="1897" w:type="dxa"/>
            <w:shd w:val="clear" w:color="auto" w:fill="auto"/>
          </w:tcPr>
          <w:p w:rsidR="00983BF8" w:rsidRPr="00983BF8" w:rsidRDefault="00983BF8" w:rsidP="00983BF8">
            <w:pPr>
              <w:jc w:val="center"/>
              <w:rPr>
                <w:rFonts w:eastAsia="Cambria" w:cs="Arial"/>
                <w:color w:val="00B050"/>
              </w:rPr>
            </w:pPr>
            <w:r w:rsidRPr="00983BF8">
              <w:rPr>
                <w:rFonts w:eastAsia="Cambria" w:cs="Arial"/>
                <w:color w:val="FF0000"/>
              </w:rPr>
              <w:sym w:font="Wingdings" w:char="F0FB"/>
            </w:r>
          </w:p>
        </w:tc>
        <w:tc>
          <w:tcPr>
            <w:tcW w:w="3784" w:type="dxa"/>
            <w:vMerge w:val="restart"/>
            <w:shd w:val="clear" w:color="auto" w:fill="auto"/>
            <w:vAlign w:val="center"/>
          </w:tcPr>
          <w:p w:rsidR="00983BF8" w:rsidRPr="00983BF8" w:rsidRDefault="00983BF8" w:rsidP="00983BF8">
            <w:pPr>
              <w:rPr>
                <w:rFonts w:eastAsia="Cambria" w:cs="Arial"/>
                <w:lang w:val="en-GB"/>
              </w:rPr>
            </w:pPr>
            <w:r w:rsidRPr="00983BF8">
              <w:rPr>
                <w:rFonts w:eastAsia="Cambria" w:cs="Arial"/>
                <w:lang w:val="en-GB"/>
              </w:rPr>
              <w:t>The denominations are phonetically similar.</w:t>
            </w:r>
          </w:p>
        </w:tc>
      </w:tr>
      <w:tr w:rsidR="00983BF8" w:rsidRPr="00983BF8" w:rsidTr="001A694C">
        <w:trPr>
          <w:trHeight w:val="340"/>
          <w:jc w:val="right"/>
        </w:trPr>
        <w:tc>
          <w:tcPr>
            <w:tcW w:w="2682" w:type="dxa"/>
            <w:shd w:val="clear" w:color="auto" w:fill="auto"/>
            <w:vAlign w:val="center"/>
          </w:tcPr>
          <w:p w:rsidR="00983BF8" w:rsidRPr="00983BF8" w:rsidRDefault="00983BF8" w:rsidP="00983BF8">
            <w:pPr>
              <w:jc w:val="left"/>
              <w:rPr>
                <w:rFonts w:eastAsia="Cambria" w:cs="Arial"/>
                <w:b/>
              </w:rPr>
            </w:pPr>
            <w:r w:rsidRPr="00983BF8">
              <w:rPr>
                <w:rFonts w:eastAsia="Cambria" w:cs="Arial"/>
                <w:b/>
              </w:rPr>
              <w:t>‘Viki’ &lt;&gt; ‘Wicki’</w:t>
            </w:r>
          </w:p>
        </w:tc>
        <w:tc>
          <w:tcPr>
            <w:tcW w:w="1897" w:type="dxa"/>
            <w:shd w:val="clear" w:color="auto" w:fill="auto"/>
          </w:tcPr>
          <w:p w:rsidR="00983BF8" w:rsidRPr="00983BF8" w:rsidRDefault="00983BF8" w:rsidP="00983BF8">
            <w:pPr>
              <w:jc w:val="center"/>
              <w:rPr>
                <w:rFonts w:eastAsia="Cambria" w:cs="Arial"/>
                <w:color w:val="FF0000"/>
              </w:rPr>
            </w:pPr>
            <w:r w:rsidRPr="00983BF8">
              <w:rPr>
                <w:rFonts w:eastAsia="Cambria" w:cs="Arial"/>
                <w:color w:val="FF0000"/>
              </w:rPr>
              <w:sym w:font="Wingdings" w:char="F0FB"/>
            </w:r>
          </w:p>
        </w:tc>
        <w:tc>
          <w:tcPr>
            <w:tcW w:w="3784" w:type="dxa"/>
            <w:vMerge/>
            <w:shd w:val="clear" w:color="auto" w:fill="auto"/>
            <w:vAlign w:val="center"/>
          </w:tcPr>
          <w:p w:rsidR="00983BF8" w:rsidRPr="00983BF8" w:rsidRDefault="00983BF8" w:rsidP="00983BF8">
            <w:pPr>
              <w:jc w:val="left"/>
              <w:rPr>
                <w:rFonts w:eastAsia="Cambria" w:cs="Arial"/>
                <w:lang w:val="en-GB"/>
              </w:rPr>
            </w:pPr>
          </w:p>
        </w:tc>
      </w:tr>
      <w:tr w:rsidR="00983BF8" w:rsidRPr="00983BF8" w:rsidTr="001A694C">
        <w:trPr>
          <w:trHeight w:val="340"/>
          <w:jc w:val="right"/>
        </w:trPr>
        <w:tc>
          <w:tcPr>
            <w:tcW w:w="2682" w:type="dxa"/>
            <w:shd w:val="clear" w:color="auto" w:fill="auto"/>
            <w:vAlign w:val="center"/>
          </w:tcPr>
          <w:p w:rsidR="00983BF8" w:rsidRPr="00983BF8" w:rsidRDefault="00983BF8" w:rsidP="00983BF8">
            <w:pPr>
              <w:jc w:val="left"/>
              <w:rPr>
                <w:rFonts w:eastAsia="Cambria" w:cs="Arial"/>
                <w:b/>
              </w:rPr>
            </w:pPr>
            <w:r w:rsidRPr="00983BF8">
              <w:rPr>
                <w:rFonts w:eastAsia="Cambria" w:cs="Arial"/>
                <w:b/>
              </w:rPr>
              <w:t>‘Jozephine’&lt;&gt; ‘Josefin’</w:t>
            </w:r>
          </w:p>
        </w:tc>
        <w:tc>
          <w:tcPr>
            <w:tcW w:w="1897" w:type="dxa"/>
            <w:shd w:val="clear" w:color="auto" w:fill="auto"/>
          </w:tcPr>
          <w:p w:rsidR="00983BF8" w:rsidRPr="00983BF8" w:rsidRDefault="00983BF8" w:rsidP="00983BF8">
            <w:pPr>
              <w:jc w:val="center"/>
              <w:rPr>
                <w:rFonts w:eastAsia="Cambria" w:cs="Arial"/>
                <w:color w:val="FF0000"/>
              </w:rPr>
            </w:pPr>
            <w:r w:rsidRPr="00983BF8">
              <w:rPr>
                <w:rFonts w:eastAsia="Cambria" w:cs="Arial"/>
                <w:color w:val="FF0000"/>
              </w:rPr>
              <w:sym w:font="Wingdings" w:char="F0FB"/>
            </w:r>
          </w:p>
        </w:tc>
        <w:tc>
          <w:tcPr>
            <w:tcW w:w="3784" w:type="dxa"/>
            <w:vMerge/>
            <w:shd w:val="clear" w:color="auto" w:fill="auto"/>
            <w:vAlign w:val="center"/>
          </w:tcPr>
          <w:p w:rsidR="00983BF8" w:rsidRPr="00983BF8" w:rsidRDefault="00983BF8" w:rsidP="00983BF8">
            <w:pPr>
              <w:jc w:val="left"/>
              <w:rPr>
                <w:rFonts w:eastAsia="Cambria" w:cs="Arial"/>
                <w:lang w:val="en-GB"/>
              </w:rPr>
            </w:pPr>
          </w:p>
        </w:tc>
      </w:tr>
    </w:tbl>
    <w:p w:rsidR="00983BF8" w:rsidRPr="00983BF8" w:rsidRDefault="00983BF8" w:rsidP="00983BF8">
      <w:pPr>
        <w:jc w:val="left"/>
        <w:rPr>
          <w:rFonts w:eastAsia="Cambria" w:cs="Arial"/>
        </w:rPr>
      </w:pPr>
    </w:p>
    <w:p w:rsidR="00983BF8" w:rsidRPr="00983BF8" w:rsidRDefault="00983BF8" w:rsidP="00983BF8">
      <w:pPr>
        <w:jc w:val="left"/>
        <w:rPr>
          <w:rFonts w:eastAsia="Cambria" w:cs="Arial"/>
          <w:lang w:val="en-GB"/>
        </w:rPr>
      </w:pPr>
      <w:r w:rsidRPr="00983BF8">
        <w:rPr>
          <w:rFonts w:eastAsia="Cambria" w:cs="Arial"/>
          <w:lang w:val="en-GB"/>
        </w:rPr>
        <w:br w:type="page"/>
      </w:r>
    </w:p>
    <w:p w:rsidR="00983BF8" w:rsidRPr="00983BF8" w:rsidRDefault="00983BF8" w:rsidP="00983BF8">
      <w:pPr>
        <w:spacing w:after="120"/>
        <w:ind w:left="567" w:hanging="283"/>
        <w:rPr>
          <w:rFonts w:eastAsia="Cambria" w:cs="Arial"/>
        </w:rPr>
      </w:pPr>
      <w:r w:rsidRPr="00983BF8">
        <w:rPr>
          <w:rFonts w:eastAsia="Cambria" w:cs="Arial"/>
        </w:rPr>
        <w:lastRenderedPageBreak/>
        <w:t>b) CPVO comments and practices on prefixes, suffixes and common words to identify breeders, or other practices by the breeder.</w:t>
      </w:r>
    </w:p>
    <w:p w:rsidR="00983BF8" w:rsidRPr="00983BF8" w:rsidRDefault="00983BF8" w:rsidP="00983BF8">
      <w:pPr>
        <w:widowControl w:val="0"/>
        <w:tabs>
          <w:tab w:val="left" w:pos="9781"/>
        </w:tabs>
        <w:spacing w:before="240" w:line="359" w:lineRule="auto"/>
        <w:ind w:left="567" w:right="-20"/>
        <w:rPr>
          <w:rFonts w:cs="Arial"/>
          <w:spacing w:val="1"/>
          <w:lang w:val="en-GB"/>
        </w:rPr>
      </w:pPr>
      <w:r w:rsidRPr="00983BF8">
        <w:rPr>
          <w:rFonts w:cs="Arial"/>
          <w:spacing w:val="1"/>
          <w:lang w:val="en-GB"/>
        </w:rPr>
        <w:t>In assessing similarity, company abbreviations, series identifiers, descriptive characteristics or numbers are removed as a first step. The reason is that their addition to an identical or very similar denomination will be considered to make an unfair use of the existing denomination. That unfair use is not relevant if it is an addition to the same denomination by the same breeder, if there is a biological relationship between the varieties or if there already exist more denominations including the same word from different breeders.</w:t>
      </w:r>
    </w:p>
    <w:p w:rsidR="00983BF8" w:rsidRPr="00983BF8" w:rsidRDefault="00983BF8" w:rsidP="00983BF8">
      <w:pPr>
        <w:widowControl w:val="0"/>
        <w:tabs>
          <w:tab w:val="left" w:pos="9781"/>
        </w:tabs>
        <w:spacing w:before="240" w:line="359" w:lineRule="auto"/>
        <w:ind w:left="426" w:right="-20"/>
        <w:rPr>
          <w:rFonts w:cs="Arial"/>
          <w:spacing w:val="1"/>
          <w:lang w:val="en-GB"/>
        </w:rPr>
      </w:pPr>
      <w:r w:rsidRPr="00983BF8">
        <w:rPr>
          <w:rFonts w:cs="Arial"/>
          <w:b/>
          <w:spacing w:val="1"/>
          <w:lang w:val="en-GB"/>
        </w:rPr>
        <w:t>Examples</w:t>
      </w:r>
      <w:r w:rsidRPr="00983BF8">
        <w:rPr>
          <w:rFonts w:cs="Arial"/>
          <w:spacing w:val="1"/>
          <w:lang w:val="en-GB"/>
        </w:rPr>
        <w:t xml:space="preserve">: Denomination proposal </w:t>
      </w:r>
      <w:r w:rsidRPr="00983BF8">
        <w:rPr>
          <w:rFonts w:cs="Arial"/>
          <w:b/>
          <w:spacing w:val="1"/>
          <w:lang w:val="en-GB"/>
        </w:rPr>
        <w:t>‘Red Impact’</w:t>
      </w:r>
      <w:r w:rsidRPr="00983BF8">
        <w:rPr>
          <w:rFonts w:cs="Arial"/>
          <w:spacing w:val="1"/>
          <w:lang w:val="en-GB"/>
        </w:rPr>
        <w:t xml:space="preserve"> from the applicant </w:t>
      </w:r>
      <w:r w:rsidRPr="00983BF8">
        <w:rPr>
          <w:rFonts w:cs="Arial"/>
          <w:b/>
          <w:spacing w:val="1"/>
          <w:lang w:val="en-GB"/>
        </w:rPr>
        <w:t>ABC seeds</w:t>
      </w:r>
      <w:r w:rsidRPr="00983BF8">
        <w:rPr>
          <w:rFonts w:cs="Arial"/>
          <w:spacing w:val="1"/>
          <w:lang w:val="en-GB"/>
        </w:rPr>
        <w:t>.</w:t>
      </w:r>
    </w:p>
    <w:tbl>
      <w:tblPr>
        <w:tblStyle w:val="TableGrid10"/>
        <w:tblW w:w="8363" w:type="dxa"/>
        <w:tblInd w:w="421" w:type="dxa"/>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shd w:val="clear" w:color="auto" w:fill="FFE181"/>
        <w:tblLayout w:type="fixed"/>
        <w:tblLook w:val="04A0" w:firstRow="1" w:lastRow="0" w:firstColumn="1" w:lastColumn="0" w:noHBand="0" w:noVBand="1"/>
      </w:tblPr>
      <w:tblGrid>
        <w:gridCol w:w="2132"/>
        <w:gridCol w:w="1561"/>
        <w:gridCol w:w="4670"/>
      </w:tblGrid>
      <w:tr w:rsidR="00983BF8" w:rsidRPr="00983BF8" w:rsidTr="001A694C">
        <w:trPr>
          <w:tblHeader/>
        </w:trPr>
        <w:tc>
          <w:tcPr>
            <w:tcW w:w="8363" w:type="dxa"/>
            <w:gridSpan w:val="3"/>
            <w:shd w:val="clear" w:color="auto" w:fill="auto"/>
          </w:tcPr>
          <w:p w:rsidR="00983BF8" w:rsidRPr="00983BF8" w:rsidRDefault="00983BF8" w:rsidP="00983BF8">
            <w:pPr>
              <w:tabs>
                <w:tab w:val="left" w:pos="1095"/>
                <w:tab w:val="left" w:pos="2512"/>
                <w:tab w:val="left" w:pos="4213"/>
              </w:tabs>
              <w:jc w:val="left"/>
              <w:rPr>
                <w:rFonts w:eastAsia="Cambria" w:cs="Arial"/>
                <w:sz w:val="20"/>
                <w:szCs w:val="20"/>
              </w:rPr>
            </w:pPr>
            <w:r w:rsidRPr="00983BF8">
              <w:rPr>
                <w:rFonts w:eastAsia="Cambria" w:cs="Arial"/>
                <w:noProof/>
              </w:rPr>
              <w:drawing>
                <wp:anchor distT="0" distB="0" distL="114300" distR="114300" simplePos="0" relativeHeight="251661312" behindDoc="0" locked="0" layoutInCell="1" allowOverlap="1" wp14:anchorId="66F4397B" wp14:editId="424E1DBE">
                  <wp:simplePos x="0" y="0"/>
                  <wp:positionH relativeFrom="margin">
                    <wp:posOffset>2444162</wp:posOffset>
                  </wp:positionH>
                  <wp:positionV relativeFrom="margin">
                    <wp:posOffset>44551</wp:posOffset>
                  </wp:positionV>
                  <wp:extent cx="219075" cy="190500"/>
                  <wp:effectExtent l="0" t="0" r="9525" b="0"/>
                  <wp:wrapNone/>
                  <wp:docPr id="10" name="Picture 10" descr="sign, black, mark, yellow, triangle, warning"/>
                  <wp:cNvGraphicFramePr/>
                  <a:graphic xmlns:a="http://schemas.openxmlformats.org/drawingml/2006/main">
                    <a:graphicData uri="http://schemas.openxmlformats.org/drawingml/2006/picture">
                      <pic:pic xmlns:pic="http://schemas.openxmlformats.org/drawingml/2006/picture">
                        <pic:nvPicPr>
                          <pic:cNvPr id="2" name="Picture 2" descr="sign, black, mark, yellow, triangle, warning"/>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9687" cy="1997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3BF8">
              <w:rPr>
                <w:rFonts w:eastAsia="Cambria" w:cs="Arial"/>
                <w:sz w:val="20"/>
                <w:szCs w:val="20"/>
              </w:rPr>
              <w:t>Legend:</w:t>
            </w:r>
            <w:r w:rsidRPr="00983BF8">
              <w:rPr>
                <w:rFonts w:eastAsia="Cambria" w:cs="Arial"/>
                <w:sz w:val="20"/>
                <w:szCs w:val="20"/>
              </w:rPr>
              <w:tab/>
            </w:r>
            <w:r w:rsidRPr="00983BF8">
              <w:rPr>
                <w:rFonts w:eastAsia="Cambria" w:cs="Arial"/>
                <w:color w:val="FF0000"/>
                <w:sz w:val="20"/>
                <w:szCs w:val="20"/>
              </w:rPr>
              <w:sym w:font="Wingdings" w:char="F0FB"/>
            </w:r>
            <w:r w:rsidRPr="00983BF8">
              <w:rPr>
                <w:rFonts w:eastAsia="Cambria" w:cs="Arial"/>
                <w:color w:val="FF0000"/>
                <w:sz w:val="20"/>
                <w:szCs w:val="20"/>
              </w:rPr>
              <w:t xml:space="preserve"> </w:t>
            </w:r>
            <w:r w:rsidRPr="00983BF8">
              <w:rPr>
                <w:rFonts w:eastAsia="Cambria" w:cs="Arial"/>
                <w:sz w:val="20"/>
                <w:szCs w:val="20"/>
              </w:rPr>
              <w:t>not suitable</w:t>
            </w:r>
            <w:r w:rsidRPr="00983BF8">
              <w:rPr>
                <w:rFonts w:eastAsia="Cambria" w:cs="Arial"/>
                <w:sz w:val="20"/>
                <w:szCs w:val="20"/>
              </w:rPr>
              <w:tab/>
            </w:r>
            <w:r w:rsidRPr="00983BF8">
              <w:rPr>
                <w:rFonts w:eastAsia="Cambria" w:cs="Arial"/>
                <w:color w:val="00B050"/>
                <w:sz w:val="20"/>
                <w:szCs w:val="20"/>
              </w:rPr>
              <w:sym w:font="Wingdings" w:char="F0FC"/>
            </w:r>
            <w:r w:rsidRPr="00983BF8">
              <w:rPr>
                <w:rFonts w:eastAsia="Cambria" w:cs="Arial"/>
                <w:sz w:val="20"/>
                <w:szCs w:val="20"/>
              </w:rPr>
              <w:t>suitable</w:t>
            </w:r>
            <w:r w:rsidRPr="00983BF8">
              <w:rPr>
                <w:rFonts w:eastAsia="Cambria" w:cs="Arial"/>
                <w:sz w:val="20"/>
                <w:szCs w:val="20"/>
              </w:rPr>
              <w:tab/>
            </w:r>
            <w:r w:rsidRPr="00983BF8">
              <w:rPr>
                <w:rFonts w:eastAsia="Cambria" w:cs="Arial"/>
                <w:color w:val="00B050"/>
                <w:sz w:val="20"/>
                <w:szCs w:val="20"/>
              </w:rPr>
              <w:sym w:font="Wingdings" w:char="F0FC"/>
            </w:r>
            <w:r w:rsidRPr="00983BF8">
              <w:rPr>
                <w:rFonts w:eastAsia="Cambria" w:cs="Arial"/>
                <w:sz w:val="20"/>
                <w:szCs w:val="20"/>
              </w:rPr>
              <w:t>suitable with conditions</w:t>
            </w:r>
          </w:p>
          <w:p w:rsidR="00983BF8" w:rsidRPr="00983BF8" w:rsidRDefault="00983BF8" w:rsidP="00983BF8">
            <w:pPr>
              <w:tabs>
                <w:tab w:val="left" w:pos="1095"/>
                <w:tab w:val="left" w:pos="2512"/>
                <w:tab w:val="left" w:pos="4213"/>
              </w:tabs>
              <w:jc w:val="left"/>
              <w:rPr>
                <w:rFonts w:eastAsia="Cambria" w:cs="Arial"/>
                <w:sz w:val="20"/>
                <w:szCs w:val="20"/>
              </w:rPr>
            </w:pPr>
          </w:p>
        </w:tc>
      </w:tr>
      <w:tr w:rsidR="00983BF8" w:rsidRPr="00983BF8" w:rsidTr="001A694C">
        <w:trPr>
          <w:tblHeader/>
        </w:trPr>
        <w:tc>
          <w:tcPr>
            <w:tcW w:w="3693" w:type="dxa"/>
            <w:gridSpan w:val="2"/>
            <w:shd w:val="clear" w:color="auto" w:fill="auto"/>
            <w:vAlign w:val="center"/>
          </w:tcPr>
          <w:p w:rsidR="00983BF8" w:rsidRPr="00983BF8" w:rsidRDefault="00983BF8" w:rsidP="00983BF8">
            <w:pPr>
              <w:widowControl w:val="0"/>
              <w:tabs>
                <w:tab w:val="left" w:pos="9781"/>
              </w:tabs>
              <w:spacing w:before="120"/>
              <w:ind w:right="-23"/>
              <w:jc w:val="center"/>
              <w:rPr>
                <w:rFonts w:cs="Arial"/>
                <w:spacing w:val="1"/>
                <w:position w:val="-1"/>
                <w:sz w:val="20"/>
                <w:szCs w:val="20"/>
                <w:lang w:val="en-GB"/>
              </w:rPr>
            </w:pPr>
            <w:r w:rsidRPr="00983BF8">
              <w:rPr>
                <w:rFonts w:cs="Arial"/>
                <w:spacing w:val="1"/>
                <w:position w:val="-1"/>
                <w:sz w:val="20"/>
                <w:szCs w:val="20"/>
                <w:lang w:val="en-GB"/>
              </w:rPr>
              <w:t>‘Red Impact’</w:t>
            </w:r>
          </w:p>
          <w:p w:rsidR="00983BF8" w:rsidRPr="00983BF8" w:rsidRDefault="00983BF8" w:rsidP="00983BF8">
            <w:pPr>
              <w:widowControl w:val="0"/>
              <w:tabs>
                <w:tab w:val="left" w:pos="9781"/>
              </w:tabs>
              <w:ind w:right="-20"/>
              <w:jc w:val="center"/>
              <w:rPr>
                <w:rFonts w:cs="Arial"/>
                <w:i/>
                <w:spacing w:val="1"/>
                <w:position w:val="-1"/>
                <w:sz w:val="20"/>
                <w:szCs w:val="20"/>
                <w:lang w:val="en-GB"/>
              </w:rPr>
            </w:pPr>
            <w:r w:rsidRPr="00983BF8">
              <w:rPr>
                <w:rFonts w:cs="Arial"/>
                <w:i/>
                <w:spacing w:val="1"/>
                <w:position w:val="-1"/>
                <w:sz w:val="20"/>
                <w:szCs w:val="20"/>
                <w:lang w:val="en-GB"/>
              </w:rPr>
              <w:t>vs</w:t>
            </w:r>
          </w:p>
        </w:tc>
        <w:tc>
          <w:tcPr>
            <w:tcW w:w="4670" w:type="dxa"/>
            <w:shd w:val="clear" w:color="auto" w:fill="auto"/>
            <w:vAlign w:val="center"/>
          </w:tcPr>
          <w:p w:rsidR="00983BF8" w:rsidRPr="00983BF8" w:rsidRDefault="00983BF8" w:rsidP="00983BF8">
            <w:pPr>
              <w:widowControl w:val="0"/>
              <w:tabs>
                <w:tab w:val="left" w:pos="9781"/>
              </w:tabs>
              <w:spacing w:line="360" w:lineRule="auto"/>
              <w:ind w:right="-23"/>
              <w:rPr>
                <w:rFonts w:cs="Arial"/>
                <w:spacing w:val="1"/>
                <w:position w:val="-1"/>
                <w:sz w:val="20"/>
                <w:szCs w:val="20"/>
                <w:lang w:val="en-GB"/>
              </w:rPr>
            </w:pPr>
            <w:r w:rsidRPr="00983BF8">
              <w:rPr>
                <w:rFonts w:cs="Arial"/>
                <w:spacing w:val="1"/>
                <w:position w:val="-1"/>
                <w:sz w:val="20"/>
                <w:szCs w:val="20"/>
                <w:lang w:val="en-GB"/>
              </w:rPr>
              <w:t>Comments</w:t>
            </w:r>
          </w:p>
        </w:tc>
      </w:tr>
      <w:tr w:rsidR="00983BF8" w:rsidRPr="00983BF8" w:rsidTr="001A694C">
        <w:tc>
          <w:tcPr>
            <w:tcW w:w="2132" w:type="dxa"/>
            <w:shd w:val="clear" w:color="auto" w:fill="auto"/>
            <w:vAlign w:val="center"/>
          </w:tcPr>
          <w:p w:rsidR="00983BF8" w:rsidRPr="00983BF8" w:rsidRDefault="00983BF8" w:rsidP="00983BF8">
            <w:pPr>
              <w:widowControl w:val="0"/>
              <w:tabs>
                <w:tab w:val="left" w:pos="9781"/>
              </w:tabs>
              <w:spacing w:line="359" w:lineRule="auto"/>
              <w:ind w:right="-20"/>
              <w:jc w:val="left"/>
              <w:rPr>
                <w:rFonts w:cs="Arial"/>
                <w:spacing w:val="1"/>
                <w:position w:val="-1"/>
                <w:sz w:val="20"/>
                <w:szCs w:val="20"/>
                <w:lang w:val="en-GB"/>
              </w:rPr>
            </w:pPr>
            <w:r w:rsidRPr="00983BF8">
              <w:rPr>
                <w:rFonts w:cs="Arial"/>
                <w:spacing w:val="1"/>
                <w:position w:val="-1"/>
                <w:sz w:val="20"/>
                <w:szCs w:val="20"/>
                <w:lang w:val="en-GB"/>
              </w:rPr>
              <w:t>Impact</w:t>
            </w:r>
          </w:p>
        </w:tc>
        <w:tc>
          <w:tcPr>
            <w:tcW w:w="1561" w:type="dxa"/>
            <w:shd w:val="clear" w:color="auto" w:fill="auto"/>
            <w:vAlign w:val="center"/>
          </w:tcPr>
          <w:p w:rsidR="00983BF8" w:rsidRPr="00983BF8" w:rsidRDefault="00983BF8" w:rsidP="00983BF8">
            <w:pPr>
              <w:widowControl w:val="0"/>
              <w:tabs>
                <w:tab w:val="left" w:pos="9781"/>
              </w:tabs>
              <w:spacing w:line="359" w:lineRule="auto"/>
              <w:ind w:right="-20"/>
              <w:jc w:val="center"/>
              <w:rPr>
                <w:rFonts w:cs="Arial"/>
                <w:spacing w:val="1"/>
                <w:position w:val="-1"/>
                <w:sz w:val="20"/>
                <w:szCs w:val="20"/>
                <w:lang w:val="en-GB"/>
              </w:rPr>
            </w:pPr>
            <w:r w:rsidRPr="00983BF8">
              <w:rPr>
                <w:rFonts w:cs="Arial"/>
                <w:noProof/>
                <w:spacing w:val="1"/>
                <w:position w:val="-1"/>
              </w:rPr>
              <w:drawing>
                <wp:inline distT="0" distB="0" distL="0" distR="0" wp14:anchorId="49D7D7BE" wp14:editId="787C6611">
                  <wp:extent cx="219710" cy="189230"/>
                  <wp:effectExtent l="0" t="0" r="889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710" cy="189230"/>
                          </a:xfrm>
                          <a:prstGeom prst="rect">
                            <a:avLst/>
                          </a:prstGeom>
                          <a:noFill/>
                        </pic:spPr>
                      </pic:pic>
                    </a:graphicData>
                  </a:graphic>
                </wp:inline>
              </w:drawing>
            </w:r>
            <w:r w:rsidRPr="00983BF8">
              <w:rPr>
                <w:rFonts w:cs="Arial"/>
                <w:color w:val="00B050"/>
                <w:spacing w:val="1"/>
                <w:sz w:val="20"/>
                <w:szCs w:val="20"/>
                <w:lang w:val="en-GB"/>
              </w:rPr>
              <w:sym w:font="Wingdings" w:char="F0FC"/>
            </w:r>
          </w:p>
        </w:tc>
        <w:tc>
          <w:tcPr>
            <w:tcW w:w="4670" w:type="dxa"/>
            <w:shd w:val="clear" w:color="auto" w:fill="auto"/>
            <w:vAlign w:val="center"/>
          </w:tcPr>
          <w:p w:rsidR="00983BF8" w:rsidRPr="00983BF8" w:rsidRDefault="00983BF8" w:rsidP="00983BF8">
            <w:pPr>
              <w:widowControl w:val="0"/>
              <w:tabs>
                <w:tab w:val="left" w:pos="9781"/>
              </w:tabs>
              <w:spacing w:before="80" w:after="80"/>
              <w:ind w:right="-20"/>
              <w:rPr>
                <w:rFonts w:cs="Arial"/>
                <w:spacing w:val="1"/>
                <w:position w:val="-1"/>
                <w:sz w:val="20"/>
                <w:szCs w:val="20"/>
                <w:lang w:val="en-GB"/>
              </w:rPr>
            </w:pPr>
            <w:r w:rsidRPr="00983BF8">
              <w:rPr>
                <w:rFonts w:cs="Arial"/>
                <w:spacing w:val="1"/>
                <w:position w:val="-1"/>
                <w:sz w:val="20"/>
                <w:szCs w:val="20"/>
                <w:lang w:val="en-GB"/>
              </w:rPr>
              <w:t>The proposal is suitable if it is the same breeder, there is a biologic relationship between the varieties or if the word Impact is generic (common to other denominations of varieties of the same species and from different breeders).</w:t>
            </w:r>
          </w:p>
        </w:tc>
      </w:tr>
      <w:tr w:rsidR="00983BF8" w:rsidRPr="00983BF8" w:rsidTr="001A694C">
        <w:tc>
          <w:tcPr>
            <w:tcW w:w="2132" w:type="dxa"/>
            <w:shd w:val="clear" w:color="auto" w:fill="auto"/>
            <w:vAlign w:val="center"/>
          </w:tcPr>
          <w:p w:rsidR="00983BF8" w:rsidRPr="00983BF8" w:rsidRDefault="00983BF8" w:rsidP="00983BF8">
            <w:pPr>
              <w:widowControl w:val="0"/>
              <w:tabs>
                <w:tab w:val="left" w:pos="1816"/>
              </w:tabs>
              <w:spacing w:line="359" w:lineRule="auto"/>
              <w:ind w:right="-20"/>
              <w:jc w:val="left"/>
              <w:rPr>
                <w:rFonts w:cs="Arial"/>
                <w:spacing w:val="1"/>
                <w:position w:val="-1"/>
                <w:sz w:val="20"/>
                <w:szCs w:val="20"/>
                <w:lang w:val="en-GB"/>
              </w:rPr>
            </w:pPr>
            <w:r w:rsidRPr="00983BF8">
              <w:rPr>
                <w:rFonts w:cs="Arial"/>
                <w:spacing w:val="1"/>
                <w:position w:val="-1"/>
                <w:sz w:val="20"/>
                <w:szCs w:val="20"/>
                <w:lang w:val="en-GB"/>
              </w:rPr>
              <w:t>KWS Impact</w:t>
            </w:r>
          </w:p>
        </w:tc>
        <w:tc>
          <w:tcPr>
            <w:tcW w:w="1561" w:type="dxa"/>
            <w:shd w:val="clear" w:color="auto" w:fill="auto"/>
            <w:vAlign w:val="center"/>
          </w:tcPr>
          <w:p w:rsidR="00983BF8" w:rsidRPr="00983BF8" w:rsidRDefault="00983BF8" w:rsidP="00983BF8">
            <w:pPr>
              <w:widowControl w:val="0"/>
              <w:tabs>
                <w:tab w:val="left" w:pos="9781"/>
              </w:tabs>
              <w:spacing w:line="359" w:lineRule="auto"/>
              <w:ind w:right="-20"/>
              <w:jc w:val="center"/>
              <w:rPr>
                <w:rFonts w:cs="Arial"/>
                <w:color w:val="FF0000"/>
                <w:spacing w:val="1"/>
                <w:sz w:val="20"/>
                <w:szCs w:val="20"/>
                <w:lang w:val="en-GB"/>
              </w:rPr>
            </w:pPr>
            <w:r w:rsidRPr="00983BF8">
              <w:rPr>
                <w:rFonts w:cs="Arial"/>
                <w:color w:val="FF0000"/>
                <w:spacing w:val="1"/>
                <w:sz w:val="20"/>
                <w:szCs w:val="20"/>
                <w:lang w:val="en-GB"/>
              </w:rPr>
              <w:sym w:font="Wingdings" w:char="F0FB"/>
            </w:r>
          </w:p>
        </w:tc>
        <w:tc>
          <w:tcPr>
            <w:tcW w:w="4670" w:type="dxa"/>
            <w:shd w:val="clear" w:color="auto" w:fill="auto"/>
            <w:vAlign w:val="center"/>
          </w:tcPr>
          <w:p w:rsidR="00983BF8" w:rsidRPr="00983BF8" w:rsidRDefault="00983BF8" w:rsidP="00983BF8">
            <w:pPr>
              <w:widowControl w:val="0"/>
              <w:tabs>
                <w:tab w:val="left" w:pos="9781"/>
              </w:tabs>
              <w:spacing w:before="80" w:after="80"/>
              <w:ind w:right="-20"/>
              <w:rPr>
                <w:rFonts w:cs="Arial"/>
                <w:spacing w:val="1"/>
                <w:position w:val="-1"/>
                <w:sz w:val="20"/>
                <w:szCs w:val="20"/>
                <w:lang w:val="en-GB"/>
              </w:rPr>
            </w:pPr>
            <w:r w:rsidRPr="00983BF8">
              <w:rPr>
                <w:rFonts w:cs="Arial"/>
                <w:spacing w:val="1"/>
                <w:position w:val="-1"/>
                <w:sz w:val="20"/>
                <w:szCs w:val="20"/>
                <w:lang w:val="en-GB"/>
              </w:rPr>
              <w:t>KWS is the company acronym of Klein Wanzlebener Saatzucht.</w:t>
            </w:r>
          </w:p>
        </w:tc>
      </w:tr>
      <w:tr w:rsidR="00983BF8" w:rsidRPr="00983BF8" w:rsidTr="001A694C">
        <w:tc>
          <w:tcPr>
            <w:tcW w:w="2132" w:type="dxa"/>
            <w:shd w:val="clear" w:color="auto" w:fill="auto"/>
            <w:vAlign w:val="center"/>
          </w:tcPr>
          <w:p w:rsidR="00983BF8" w:rsidRPr="00983BF8" w:rsidRDefault="00983BF8" w:rsidP="00983BF8">
            <w:pPr>
              <w:widowControl w:val="0"/>
              <w:tabs>
                <w:tab w:val="left" w:pos="1816"/>
              </w:tabs>
              <w:spacing w:line="359" w:lineRule="auto"/>
              <w:ind w:right="-20"/>
              <w:jc w:val="left"/>
              <w:rPr>
                <w:rFonts w:cs="Arial"/>
                <w:spacing w:val="1"/>
                <w:position w:val="-1"/>
                <w:sz w:val="20"/>
                <w:szCs w:val="20"/>
                <w:lang w:val="en-GB"/>
              </w:rPr>
            </w:pPr>
            <w:r w:rsidRPr="00983BF8">
              <w:rPr>
                <w:rFonts w:cs="Arial"/>
                <w:spacing w:val="1"/>
                <w:position w:val="-1"/>
                <w:sz w:val="20"/>
                <w:szCs w:val="20"/>
                <w:lang w:val="en-GB"/>
              </w:rPr>
              <w:t>Codiimpact</w:t>
            </w:r>
          </w:p>
        </w:tc>
        <w:tc>
          <w:tcPr>
            <w:tcW w:w="1561" w:type="dxa"/>
            <w:shd w:val="clear" w:color="auto" w:fill="auto"/>
            <w:vAlign w:val="center"/>
          </w:tcPr>
          <w:p w:rsidR="00983BF8" w:rsidRPr="00983BF8" w:rsidRDefault="00983BF8" w:rsidP="00983BF8">
            <w:pPr>
              <w:widowControl w:val="0"/>
              <w:tabs>
                <w:tab w:val="left" w:pos="9781"/>
              </w:tabs>
              <w:spacing w:line="359" w:lineRule="auto"/>
              <w:ind w:right="-20"/>
              <w:jc w:val="center"/>
              <w:rPr>
                <w:rFonts w:cs="Arial"/>
                <w:color w:val="FF0000"/>
                <w:spacing w:val="1"/>
                <w:sz w:val="20"/>
                <w:szCs w:val="20"/>
                <w:lang w:val="en-GB"/>
              </w:rPr>
            </w:pPr>
            <w:r w:rsidRPr="00983BF8">
              <w:rPr>
                <w:rFonts w:cs="Arial"/>
                <w:color w:val="FF0000"/>
                <w:spacing w:val="1"/>
                <w:sz w:val="20"/>
                <w:szCs w:val="20"/>
                <w:lang w:val="en-GB"/>
              </w:rPr>
              <w:sym w:font="Wingdings" w:char="F0FB"/>
            </w:r>
          </w:p>
        </w:tc>
        <w:tc>
          <w:tcPr>
            <w:tcW w:w="4670" w:type="dxa"/>
            <w:shd w:val="clear" w:color="auto" w:fill="auto"/>
            <w:vAlign w:val="center"/>
          </w:tcPr>
          <w:p w:rsidR="00983BF8" w:rsidRPr="00983BF8" w:rsidRDefault="00983BF8" w:rsidP="00983BF8">
            <w:pPr>
              <w:widowControl w:val="0"/>
              <w:tabs>
                <w:tab w:val="left" w:pos="9781"/>
              </w:tabs>
              <w:spacing w:before="80" w:after="80"/>
              <w:ind w:right="-23"/>
              <w:rPr>
                <w:rFonts w:cs="Arial"/>
                <w:spacing w:val="1"/>
                <w:position w:val="-1"/>
                <w:sz w:val="20"/>
                <w:szCs w:val="20"/>
                <w:lang w:val="en-GB"/>
              </w:rPr>
            </w:pPr>
            <w:r w:rsidRPr="00983BF8">
              <w:rPr>
                <w:rFonts w:cs="Arial"/>
                <w:spacing w:val="1"/>
                <w:position w:val="-1"/>
                <w:sz w:val="20"/>
                <w:szCs w:val="20"/>
                <w:lang w:val="en-GB"/>
              </w:rPr>
              <w:t>‘Codi’ is the identifier of a series of the company Caussade Semences.</w:t>
            </w:r>
          </w:p>
        </w:tc>
      </w:tr>
      <w:tr w:rsidR="00983BF8" w:rsidRPr="00983BF8" w:rsidTr="001A694C">
        <w:tc>
          <w:tcPr>
            <w:tcW w:w="2132" w:type="dxa"/>
            <w:shd w:val="clear" w:color="auto" w:fill="auto"/>
            <w:vAlign w:val="center"/>
          </w:tcPr>
          <w:p w:rsidR="00983BF8" w:rsidRPr="00983BF8" w:rsidRDefault="00983BF8" w:rsidP="00983BF8">
            <w:pPr>
              <w:widowControl w:val="0"/>
              <w:tabs>
                <w:tab w:val="left" w:pos="1816"/>
              </w:tabs>
              <w:ind w:right="-20"/>
              <w:jc w:val="left"/>
              <w:rPr>
                <w:rFonts w:cs="Arial"/>
                <w:spacing w:val="1"/>
                <w:position w:val="-1"/>
                <w:sz w:val="20"/>
                <w:szCs w:val="20"/>
                <w:lang w:val="en-GB"/>
              </w:rPr>
            </w:pPr>
            <w:r w:rsidRPr="00983BF8">
              <w:rPr>
                <w:rFonts w:cs="Arial"/>
                <w:spacing w:val="1"/>
                <w:position w:val="-1"/>
                <w:sz w:val="20"/>
                <w:szCs w:val="20"/>
                <w:lang w:val="en-GB"/>
              </w:rPr>
              <w:t>Impact CL</w:t>
            </w:r>
          </w:p>
        </w:tc>
        <w:tc>
          <w:tcPr>
            <w:tcW w:w="1561" w:type="dxa"/>
            <w:shd w:val="clear" w:color="auto" w:fill="auto"/>
            <w:vAlign w:val="center"/>
          </w:tcPr>
          <w:p w:rsidR="00983BF8" w:rsidRPr="00983BF8" w:rsidRDefault="00983BF8" w:rsidP="00983BF8">
            <w:pPr>
              <w:widowControl w:val="0"/>
              <w:tabs>
                <w:tab w:val="left" w:pos="9781"/>
              </w:tabs>
              <w:ind w:right="-20"/>
              <w:jc w:val="center"/>
              <w:rPr>
                <w:rFonts w:cs="Arial"/>
                <w:color w:val="FF0000"/>
                <w:spacing w:val="1"/>
                <w:sz w:val="20"/>
                <w:szCs w:val="20"/>
                <w:lang w:val="en-GB"/>
              </w:rPr>
            </w:pPr>
            <w:r w:rsidRPr="00983BF8">
              <w:rPr>
                <w:rFonts w:cs="Arial"/>
                <w:noProof/>
                <w:spacing w:val="1"/>
              </w:rPr>
              <w:drawing>
                <wp:anchor distT="0" distB="0" distL="114300" distR="114300" simplePos="0" relativeHeight="251662336" behindDoc="0" locked="0" layoutInCell="1" allowOverlap="1" wp14:anchorId="57649668" wp14:editId="48EAF3EA">
                  <wp:simplePos x="0" y="0"/>
                  <wp:positionH relativeFrom="margin">
                    <wp:posOffset>139065</wp:posOffset>
                  </wp:positionH>
                  <wp:positionV relativeFrom="margin">
                    <wp:posOffset>-8255</wp:posOffset>
                  </wp:positionV>
                  <wp:extent cx="219075" cy="190500"/>
                  <wp:effectExtent l="0" t="0" r="9525" b="0"/>
                  <wp:wrapNone/>
                  <wp:docPr id="12" name="Picture 12" descr="sign, black, mark, yellow, triangle, warning"/>
                  <wp:cNvGraphicFramePr/>
                  <a:graphic xmlns:a="http://schemas.openxmlformats.org/drawingml/2006/main">
                    <a:graphicData uri="http://schemas.openxmlformats.org/drawingml/2006/picture">
                      <pic:pic xmlns:pic="http://schemas.openxmlformats.org/drawingml/2006/picture">
                        <pic:nvPicPr>
                          <pic:cNvPr id="2" name="Picture 2" descr="sign, black, mark, yellow, triangle, warning"/>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3BF8">
              <w:rPr>
                <w:rFonts w:cs="Arial"/>
                <w:color w:val="00B050"/>
                <w:spacing w:val="1"/>
                <w:sz w:val="20"/>
                <w:szCs w:val="20"/>
                <w:lang w:val="en-GB"/>
              </w:rPr>
              <w:t xml:space="preserve"> </w:t>
            </w:r>
            <w:r w:rsidRPr="00983BF8">
              <w:rPr>
                <w:rFonts w:cs="Arial"/>
                <w:color w:val="00B050"/>
                <w:spacing w:val="1"/>
                <w:sz w:val="20"/>
                <w:szCs w:val="20"/>
                <w:lang w:val="en-GB"/>
              </w:rPr>
              <w:sym w:font="Wingdings" w:char="F0FC"/>
            </w:r>
          </w:p>
        </w:tc>
        <w:tc>
          <w:tcPr>
            <w:tcW w:w="4670" w:type="dxa"/>
            <w:shd w:val="clear" w:color="auto" w:fill="auto"/>
            <w:vAlign w:val="center"/>
          </w:tcPr>
          <w:p w:rsidR="00983BF8" w:rsidRPr="00983BF8" w:rsidRDefault="00983BF8" w:rsidP="00983BF8">
            <w:pPr>
              <w:widowControl w:val="0"/>
              <w:tabs>
                <w:tab w:val="left" w:pos="9781"/>
              </w:tabs>
              <w:spacing w:before="80" w:after="80"/>
              <w:ind w:right="-20"/>
              <w:rPr>
                <w:rFonts w:cs="Arial"/>
                <w:spacing w:val="1"/>
                <w:position w:val="-1"/>
                <w:sz w:val="20"/>
                <w:szCs w:val="20"/>
                <w:lang w:val="en-GB"/>
              </w:rPr>
            </w:pPr>
            <w:r w:rsidRPr="00983BF8">
              <w:rPr>
                <w:rFonts w:cs="Arial"/>
                <w:spacing w:val="1"/>
                <w:position w:val="-1"/>
                <w:sz w:val="20"/>
                <w:szCs w:val="20"/>
                <w:lang w:val="en-GB"/>
              </w:rPr>
              <w:t>The proposal is suitable if it is the same breeder, if there is a biologic relationship between the varieties or if the word Impact is generic (common to other denominations of varieties of the same species and from different breeders).</w:t>
            </w:r>
          </w:p>
        </w:tc>
      </w:tr>
      <w:tr w:rsidR="00983BF8" w:rsidRPr="00983BF8" w:rsidTr="001A694C">
        <w:tc>
          <w:tcPr>
            <w:tcW w:w="2132" w:type="dxa"/>
            <w:shd w:val="clear" w:color="auto" w:fill="auto"/>
            <w:vAlign w:val="center"/>
          </w:tcPr>
          <w:p w:rsidR="00983BF8" w:rsidRPr="00983BF8" w:rsidRDefault="00983BF8" w:rsidP="00983BF8">
            <w:pPr>
              <w:widowControl w:val="0"/>
              <w:tabs>
                <w:tab w:val="left" w:pos="1816"/>
              </w:tabs>
              <w:ind w:right="-20"/>
              <w:jc w:val="left"/>
              <w:rPr>
                <w:rFonts w:cs="Arial"/>
                <w:spacing w:val="1"/>
                <w:position w:val="-1"/>
                <w:sz w:val="20"/>
                <w:szCs w:val="20"/>
                <w:lang w:val="en-GB"/>
              </w:rPr>
            </w:pPr>
            <w:r w:rsidRPr="00983BF8">
              <w:rPr>
                <w:rFonts w:cs="Arial"/>
                <w:spacing w:val="1"/>
                <w:position w:val="-1"/>
                <w:sz w:val="20"/>
                <w:szCs w:val="20"/>
                <w:lang w:val="en-GB"/>
              </w:rPr>
              <w:t>Yellow Impact</w:t>
            </w:r>
            <w:r w:rsidRPr="00983BF8">
              <w:rPr>
                <w:rFonts w:cs="Arial"/>
                <w:spacing w:val="1"/>
                <w:position w:val="-1"/>
                <w:sz w:val="20"/>
                <w:szCs w:val="20"/>
                <w:lang w:val="en-GB"/>
              </w:rPr>
              <w:tab/>
            </w:r>
          </w:p>
        </w:tc>
        <w:tc>
          <w:tcPr>
            <w:tcW w:w="1561" w:type="dxa"/>
            <w:shd w:val="clear" w:color="auto" w:fill="auto"/>
            <w:vAlign w:val="center"/>
          </w:tcPr>
          <w:p w:rsidR="00983BF8" w:rsidRPr="00983BF8" w:rsidRDefault="00983BF8" w:rsidP="00983BF8">
            <w:pPr>
              <w:widowControl w:val="0"/>
              <w:tabs>
                <w:tab w:val="left" w:pos="9781"/>
              </w:tabs>
              <w:ind w:right="-20"/>
              <w:jc w:val="center"/>
              <w:rPr>
                <w:rFonts w:cs="Arial"/>
                <w:spacing w:val="1"/>
                <w:position w:val="-1"/>
                <w:sz w:val="20"/>
                <w:szCs w:val="20"/>
                <w:lang w:val="en-GB"/>
              </w:rPr>
            </w:pPr>
            <w:r w:rsidRPr="00983BF8">
              <w:rPr>
                <w:rFonts w:cs="Arial"/>
                <w:color w:val="FF0000"/>
                <w:spacing w:val="1"/>
                <w:sz w:val="20"/>
                <w:szCs w:val="20"/>
                <w:lang w:val="en-GB"/>
              </w:rPr>
              <w:sym w:font="Wingdings" w:char="F0FB"/>
            </w:r>
          </w:p>
        </w:tc>
        <w:tc>
          <w:tcPr>
            <w:tcW w:w="4670" w:type="dxa"/>
            <w:shd w:val="clear" w:color="auto" w:fill="auto"/>
            <w:vAlign w:val="center"/>
          </w:tcPr>
          <w:p w:rsidR="00983BF8" w:rsidRPr="00983BF8" w:rsidRDefault="00983BF8" w:rsidP="00983BF8">
            <w:pPr>
              <w:widowControl w:val="0"/>
              <w:tabs>
                <w:tab w:val="left" w:pos="9781"/>
              </w:tabs>
              <w:spacing w:before="80" w:after="80"/>
              <w:ind w:right="-20"/>
              <w:rPr>
                <w:rFonts w:cs="Arial"/>
                <w:spacing w:val="1"/>
                <w:position w:val="-1"/>
                <w:sz w:val="20"/>
                <w:szCs w:val="20"/>
                <w:lang w:val="en-GB"/>
              </w:rPr>
            </w:pPr>
            <w:r w:rsidRPr="00983BF8">
              <w:rPr>
                <w:rFonts w:cs="Arial"/>
                <w:spacing w:val="1"/>
                <w:position w:val="-1"/>
                <w:sz w:val="20"/>
                <w:szCs w:val="20"/>
                <w:lang w:val="en-GB"/>
              </w:rPr>
              <w:t>The proposal is suitable if it is the same breeder, there is a biologic relationship between the varieties or there already exist more denominations including Impact from different breeders.</w:t>
            </w:r>
          </w:p>
        </w:tc>
      </w:tr>
      <w:tr w:rsidR="00983BF8" w:rsidRPr="00983BF8" w:rsidTr="001A694C">
        <w:tc>
          <w:tcPr>
            <w:tcW w:w="2132" w:type="dxa"/>
            <w:shd w:val="clear" w:color="auto" w:fill="auto"/>
            <w:vAlign w:val="center"/>
          </w:tcPr>
          <w:p w:rsidR="00983BF8" w:rsidRPr="00983BF8" w:rsidRDefault="00983BF8" w:rsidP="00983BF8">
            <w:pPr>
              <w:widowControl w:val="0"/>
              <w:tabs>
                <w:tab w:val="left" w:pos="9781"/>
              </w:tabs>
              <w:ind w:right="-20"/>
              <w:jc w:val="left"/>
              <w:rPr>
                <w:rFonts w:cs="Arial"/>
                <w:spacing w:val="1"/>
                <w:position w:val="-1"/>
                <w:sz w:val="20"/>
                <w:szCs w:val="20"/>
                <w:lang w:val="en-GB"/>
              </w:rPr>
            </w:pPr>
            <w:r w:rsidRPr="00983BF8">
              <w:rPr>
                <w:rFonts w:cs="Arial"/>
                <w:spacing w:val="1"/>
                <w:position w:val="-1"/>
                <w:sz w:val="20"/>
                <w:szCs w:val="20"/>
                <w:lang w:val="en-GB"/>
              </w:rPr>
              <w:t>Impakt</w:t>
            </w:r>
          </w:p>
        </w:tc>
        <w:tc>
          <w:tcPr>
            <w:tcW w:w="1561" w:type="dxa"/>
            <w:shd w:val="clear" w:color="auto" w:fill="auto"/>
            <w:vAlign w:val="center"/>
          </w:tcPr>
          <w:p w:rsidR="00983BF8" w:rsidRPr="00983BF8" w:rsidRDefault="00983BF8" w:rsidP="00983BF8">
            <w:pPr>
              <w:widowControl w:val="0"/>
              <w:tabs>
                <w:tab w:val="left" w:pos="9781"/>
              </w:tabs>
              <w:ind w:right="-20"/>
              <w:jc w:val="center"/>
              <w:rPr>
                <w:rFonts w:cs="Arial"/>
                <w:spacing w:val="1"/>
                <w:position w:val="-1"/>
                <w:sz w:val="20"/>
                <w:szCs w:val="20"/>
                <w:lang w:val="en-GB"/>
              </w:rPr>
            </w:pPr>
            <w:r w:rsidRPr="00983BF8">
              <w:rPr>
                <w:rFonts w:cs="Arial"/>
                <w:color w:val="FF0000"/>
                <w:spacing w:val="1"/>
                <w:sz w:val="20"/>
                <w:szCs w:val="20"/>
                <w:lang w:val="en-GB"/>
              </w:rPr>
              <w:sym w:font="Wingdings" w:char="F0FB"/>
            </w:r>
          </w:p>
        </w:tc>
        <w:tc>
          <w:tcPr>
            <w:tcW w:w="4670" w:type="dxa"/>
            <w:shd w:val="clear" w:color="auto" w:fill="auto"/>
            <w:vAlign w:val="center"/>
          </w:tcPr>
          <w:p w:rsidR="00983BF8" w:rsidRPr="00983BF8" w:rsidRDefault="00983BF8" w:rsidP="00983BF8">
            <w:pPr>
              <w:widowControl w:val="0"/>
              <w:tabs>
                <w:tab w:val="left" w:pos="9781"/>
              </w:tabs>
              <w:spacing w:before="80" w:after="80"/>
              <w:ind w:right="-23"/>
              <w:rPr>
                <w:rFonts w:cs="Arial"/>
                <w:spacing w:val="1"/>
                <w:position w:val="-1"/>
                <w:sz w:val="20"/>
                <w:szCs w:val="20"/>
                <w:lang w:val="en-GB"/>
              </w:rPr>
            </w:pPr>
            <w:r w:rsidRPr="00983BF8">
              <w:rPr>
                <w:rFonts w:cs="Arial"/>
                <w:spacing w:val="1"/>
                <w:position w:val="-1"/>
                <w:sz w:val="20"/>
                <w:szCs w:val="20"/>
                <w:lang w:val="en-GB"/>
              </w:rPr>
              <w:t>The word ‘Impakt’ is visually and phonetically too close to ‘Impact’. Despite the additional colour characteristic ‘Red’ in the initial variety denomination, the use of ‘Impakt’ could be considered as an unfair use of an existing variety denomination.</w:t>
            </w:r>
          </w:p>
        </w:tc>
      </w:tr>
      <w:tr w:rsidR="00983BF8" w:rsidRPr="00983BF8" w:rsidTr="001A694C">
        <w:tc>
          <w:tcPr>
            <w:tcW w:w="2132" w:type="dxa"/>
            <w:shd w:val="clear" w:color="auto" w:fill="auto"/>
            <w:vAlign w:val="center"/>
          </w:tcPr>
          <w:p w:rsidR="00983BF8" w:rsidRPr="00983BF8" w:rsidRDefault="00983BF8" w:rsidP="00983BF8">
            <w:pPr>
              <w:widowControl w:val="0"/>
              <w:tabs>
                <w:tab w:val="left" w:pos="9781"/>
              </w:tabs>
              <w:ind w:right="-20"/>
              <w:jc w:val="left"/>
              <w:rPr>
                <w:rFonts w:cs="Arial"/>
                <w:spacing w:val="1"/>
                <w:position w:val="-1"/>
                <w:sz w:val="20"/>
                <w:szCs w:val="20"/>
                <w:lang w:val="en-GB"/>
              </w:rPr>
            </w:pPr>
            <w:r w:rsidRPr="00983BF8">
              <w:rPr>
                <w:rFonts w:cs="Arial"/>
                <w:spacing w:val="1"/>
                <w:position w:val="-1"/>
                <w:sz w:val="20"/>
                <w:szCs w:val="20"/>
                <w:lang w:val="en-GB"/>
              </w:rPr>
              <w:t>Red Impakt</w:t>
            </w:r>
          </w:p>
        </w:tc>
        <w:tc>
          <w:tcPr>
            <w:tcW w:w="1561" w:type="dxa"/>
            <w:shd w:val="clear" w:color="auto" w:fill="auto"/>
            <w:vAlign w:val="center"/>
          </w:tcPr>
          <w:p w:rsidR="00983BF8" w:rsidRPr="00983BF8" w:rsidRDefault="00983BF8" w:rsidP="00983BF8">
            <w:pPr>
              <w:widowControl w:val="0"/>
              <w:tabs>
                <w:tab w:val="left" w:pos="9781"/>
              </w:tabs>
              <w:ind w:right="-20"/>
              <w:jc w:val="center"/>
              <w:rPr>
                <w:rFonts w:cs="Arial"/>
                <w:spacing w:val="1"/>
                <w:position w:val="-1"/>
                <w:sz w:val="20"/>
                <w:szCs w:val="20"/>
                <w:lang w:val="en-GB"/>
              </w:rPr>
            </w:pPr>
            <w:r w:rsidRPr="00983BF8">
              <w:rPr>
                <w:rFonts w:cs="Arial"/>
                <w:color w:val="FF0000"/>
                <w:spacing w:val="1"/>
                <w:sz w:val="20"/>
                <w:szCs w:val="20"/>
                <w:lang w:val="en-GB"/>
              </w:rPr>
              <w:sym w:font="Wingdings" w:char="F0FB"/>
            </w:r>
          </w:p>
        </w:tc>
        <w:tc>
          <w:tcPr>
            <w:tcW w:w="4670" w:type="dxa"/>
            <w:shd w:val="clear" w:color="auto" w:fill="auto"/>
            <w:vAlign w:val="center"/>
          </w:tcPr>
          <w:p w:rsidR="00983BF8" w:rsidRPr="00983BF8" w:rsidRDefault="00983BF8" w:rsidP="00983BF8">
            <w:pPr>
              <w:widowControl w:val="0"/>
              <w:tabs>
                <w:tab w:val="left" w:pos="9781"/>
              </w:tabs>
              <w:spacing w:before="80" w:after="80"/>
              <w:ind w:right="-23"/>
              <w:rPr>
                <w:rFonts w:cs="Arial"/>
                <w:spacing w:val="1"/>
                <w:position w:val="-1"/>
                <w:sz w:val="20"/>
                <w:szCs w:val="20"/>
                <w:lang w:val="en-GB"/>
              </w:rPr>
            </w:pPr>
            <w:r w:rsidRPr="00983BF8">
              <w:rPr>
                <w:rFonts w:cs="Arial"/>
                <w:spacing w:val="1"/>
                <w:position w:val="-1"/>
                <w:sz w:val="20"/>
                <w:szCs w:val="20"/>
                <w:lang w:val="en-GB"/>
              </w:rPr>
              <w:t>The proposal is visually and phonetically too close to ‘Red Impact’.</w:t>
            </w:r>
          </w:p>
        </w:tc>
      </w:tr>
      <w:tr w:rsidR="00983BF8" w:rsidRPr="00983BF8" w:rsidTr="001A694C">
        <w:tc>
          <w:tcPr>
            <w:tcW w:w="2132" w:type="dxa"/>
            <w:shd w:val="clear" w:color="auto" w:fill="auto"/>
            <w:vAlign w:val="center"/>
          </w:tcPr>
          <w:p w:rsidR="00983BF8" w:rsidRPr="00983BF8" w:rsidRDefault="00983BF8" w:rsidP="00983BF8">
            <w:pPr>
              <w:widowControl w:val="0"/>
              <w:tabs>
                <w:tab w:val="left" w:pos="9781"/>
              </w:tabs>
              <w:ind w:right="-20"/>
              <w:jc w:val="left"/>
              <w:rPr>
                <w:rFonts w:cs="Arial"/>
                <w:spacing w:val="1"/>
                <w:position w:val="-1"/>
                <w:sz w:val="20"/>
                <w:szCs w:val="20"/>
                <w:lang w:val="en-GB"/>
              </w:rPr>
            </w:pPr>
            <w:r w:rsidRPr="00983BF8">
              <w:rPr>
                <w:rFonts w:cs="Arial"/>
                <w:spacing w:val="1"/>
                <w:position w:val="-1"/>
                <w:sz w:val="20"/>
                <w:szCs w:val="20"/>
                <w:lang w:val="en-GB"/>
              </w:rPr>
              <w:t>Klein Impacty</w:t>
            </w:r>
          </w:p>
        </w:tc>
        <w:tc>
          <w:tcPr>
            <w:tcW w:w="1561" w:type="dxa"/>
            <w:shd w:val="clear" w:color="auto" w:fill="auto"/>
            <w:vAlign w:val="center"/>
          </w:tcPr>
          <w:p w:rsidR="00983BF8" w:rsidRPr="00983BF8" w:rsidRDefault="00983BF8" w:rsidP="00983BF8">
            <w:pPr>
              <w:widowControl w:val="0"/>
              <w:tabs>
                <w:tab w:val="left" w:pos="9781"/>
              </w:tabs>
              <w:ind w:right="-20"/>
              <w:jc w:val="center"/>
              <w:rPr>
                <w:rFonts w:cs="Arial"/>
                <w:spacing w:val="1"/>
                <w:position w:val="-1"/>
                <w:sz w:val="20"/>
                <w:szCs w:val="20"/>
                <w:lang w:val="en-GB"/>
              </w:rPr>
            </w:pPr>
            <w:r w:rsidRPr="00983BF8">
              <w:rPr>
                <w:rFonts w:cs="Arial"/>
                <w:color w:val="00B050"/>
                <w:spacing w:val="1"/>
                <w:sz w:val="20"/>
                <w:szCs w:val="20"/>
                <w:lang w:val="en-GB"/>
              </w:rPr>
              <w:sym w:font="Wingdings" w:char="F0FC"/>
            </w:r>
          </w:p>
        </w:tc>
        <w:tc>
          <w:tcPr>
            <w:tcW w:w="4670" w:type="dxa"/>
            <w:shd w:val="clear" w:color="auto" w:fill="auto"/>
            <w:vAlign w:val="center"/>
          </w:tcPr>
          <w:p w:rsidR="00983BF8" w:rsidRPr="00983BF8" w:rsidRDefault="00983BF8" w:rsidP="00983BF8">
            <w:pPr>
              <w:widowControl w:val="0"/>
              <w:tabs>
                <w:tab w:val="left" w:pos="9781"/>
              </w:tabs>
              <w:spacing w:before="80" w:after="80"/>
              <w:ind w:right="-20"/>
              <w:rPr>
                <w:rFonts w:cs="Arial"/>
                <w:spacing w:val="1"/>
                <w:position w:val="-1"/>
                <w:sz w:val="20"/>
                <w:szCs w:val="20"/>
                <w:lang w:val="en-GB"/>
              </w:rPr>
            </w:pPr>
            <w:r w:rsidRPr="00983BF8">
              <w:rPr>
                <w:rFonts w:cs="Arial"/>
                <w:spacing w:val="1"/>
                <w:position w:val="-1"/>
                <w:sz w:val="20"/>
                <w:szCs w:val="20"/>
                <w:lang w:val="en-GB"/>
              </w:rPr>
              <w:t>There is a medium level of visual and phonetic similarity between ‘Impacty’ and ‘Impact’ but the addition of ‘Klein’ produces a sufficient visual and phonetic difference and avoid confusions between the two denominations.</w:t>
            </w:r>
          </w:p>
        </w:tc>
      </w:tr>
    </w:tbl>
    <w:p w:rsidR="00983BF8" w:rsidRPr="00983BF8" w:rsidRDefault="00983BF8" w:rsidP="00983BF8">
      <w:pPr>
        <w:spacing w:after="120"/>
        <w:ind w:left="720"/>
        <w:contextualSpacing/>
        <w:jc w:val="left"/>
        <w:rPr>
          <w:rFonts w:eastAsia="Cambria" w:cs="Arial"/>
        </w:rPr>
      </w:pPr>
    </w:p>
    <w:p w:rsidR="00983BF8" w:rsidRPr="00983BF8" w:rsidRDefault="00983BF8" w:rsidP="00983BF8">
      <w:pPr>
        <w:spacing w:after="120"/>
        <w:ind w:left="720"/>
        <w:contextualSpacing/>
        <w:jc w:val="left"/>
        <w:rPr>
          <w:rFonts w:eastAsia="Cambria" w:cs="Arial"/>
        </w:rPr>
      </w:pPr>
    </w:p>
    <w:p w:rsidR="00983BF8" w:rsidRPr="00983BF8" w:rsidRDefault="00983BF8" w:rsidP="00983BF8">
      <w:pPr>
        <w:jc w:val="left"/>
        <w:rPr>
          <w:rFonts w:eastAsia="Cambria" w:cs="Arial"/>
        </w:rPr>
      </w:pPr>
      <w:r w:rsidRPr="00983BF8">
        <w:rPr>
          <w:rFonts w:eastAsia="Cambria" w:cs="Arial"/>
        </w:rPr>
        <w:br w:type="page"/>
      </w:r>
    </w:p>
    <w:p w:rsidR="00983BF8" w:rsidRPr="00983BF8" w:rsidRDefault="00983BF8" w:rsidP="00983BF8">
      <w:pPr>
        <w:spacing w:after="120"/>
        <w:ind w:left="720"/>
        <w:contextualSpacing/>
        <w:jc w:val="left"/>
        <w:rPr>
          <w:rFonts w:eastAsia="Cambria" w:cs="Arial"/>
        </w:rPr>
      </w:pPr>
    </w:p>
    <w:p w:rsidR="00983BF8" w:rsidRPr="00983BF8" w:rsidRDefault="00983BF8" w:rsidP="00983BF8">
      <w:pPr>
        <w:widowControl w:val="0"/>
        <w:tabs>
          <w:tab w:val="left" w:pos="9781"/>
        </w:tabs>
        <w:spacing w:before="240" w:line="359" w:lineRule="auto"/>
        <w:ind w:left="426" w:right="-20"/>
        <w:rPr>
          <w:rFonts w:cs="Arial"/>
          <w:spacing w:val="1"/>
          <w:lang w:val="en-GB"/>
        </w:rPr>
      </w:pPr>
      <w:r w:rsidRPr="00983BF8">
        <w:rPr>
          <w:rFonts w:cs="Arial"/>
          <w:spacing w:val="1"/>
          <w:lang w:val="en-GB"/>
        </w:rPr>
        <w:t>A variety denomination shall be considered to mislead or to cause confusion if, by dint of its similarity to a well-known trading name other than a registered trademark or variety denomination, it suggests that the variety is another variety, or if it conveys a false impression concerning the identity of the applicant, the person responsible for the maintenance of the variety, or the breeder.</w:t>
      </w:r>
    </w:p>
    <w:p w:rsidR="00983BF8" w:rsidRPr="00983BF8" w:rsidRDefault="00983BF8" w:rsidP="00983BF8">
      <w:pPr>
        <w:widowControl w:val="0"/>
        <w:tabs>
          <w:tab w:val="left" w:pos="9781"/>
        </w:tabs>
        <w:spacing w:line="359" w:lineRule="auto"/>
        <w:ind w:left="426" w:right="-20"/>
        <w:rPr>
          <w:rFonts w:cs="Arial"/>
          <w:b/>
          <w:spacing w:val="1"/>
          <w:lang w:val="en-GB"/>
        </w:rPr>
      </w:pPr>
    </w:p>
    <w:p w:rsidR="00983BF8" w:rsidRPr="00983BF8" w:rsidRDefault="00983BF8" w:rsidP="00983BF8">
      <w:pPr>
        <w:widowControl w:val="0"/>
        <w:tabs>
          <w:tab w:val="left" w:pos="9781"/>
        </w:tabs>
        <w:spacing w:line="359" w:lineRule="auto"/>
        <w:ind w:left="426" w:right="-20"/>
        <w:rPr>
          <w:rFonts w:cs="Arial"/>
          <w:b/>
          <w:i/>
          <w:spacing w:val="1"/>
          <w:lang w:val="en-GB"/>
        </w:rPr>
      </w:pPr>
      <w:r w:rsidRPr="00983BF8">
        <w:rPr>
          <w:rFonts w:cs="Arial"/>
          <w:b/>
          <w:i/>
          <w:spacing w:val="1"/>
          <w:lang w:val="en-GB"/>
        </w:rPr>
        <w:t xml:space="preserve">Examples: </w:t>
      </w:r>
      <w:r w:rsidRPr="00983BF8">
        <w:rPr>
          <w:rFonts w:cs="Arial"/>
          <w:i/>
          <w:spacing w:val="1"/>
          <w:lang w:val="en-GB"/>
        </w:rPr>
        <w:t>A denomination proposal ‘</w:t>
      </w:r>
      <w:r w:rsidRPr="00983BF8">
        <w:rPr>
          <w:rFonts w:cs="Arial"/>
          <w:b/>
          <w:i/>
          <w:spacing w:val="1"/>
          <w:lang w:val="en-GB"/>
        </w:rPr>
        <w:t xml:space="preserve">Cherry Reagan’ </w:t>
      </w:r>
      <w:r w:rsidRPr="00983BF8">
        <w:rPr>
          <w:rFonts w:cs="Arial"/>
          <w:i/>
          <w:spacing w:val="1"/>
          <w:lang w:val="en-GB"/>
        </w:rPr>
        <w:t>where a series</w:t>
      </w:r>
      <w:r w:rsidRPr="00983BF8">
        <w:rPr>
          <w:rFonts w:cs="Arial"/>
          <w:b/>
          <w:i/>
          <w:spacing w:val="1"/>
          <w:lang w:val="en-GB"/>
        </w:rPr>
        <w:t xml:space="preserve"> ‘</w:t>
      </w:r>
      <w:r w:rsidRPr="00983BF8">
        <w:rPr>
          <w:rFonts w:cs="Arial"/>
          <w:i/>
          <w:spacing w:val="1"/>
          <w:lang w:val="en-GB"/>
        </w:rPr>
        <w:t>Cream Reagan’</w:t>
      </w:r>
      <w:r w:rsidRPr="00983BF8">
        <w:rPr>
          <w:rFonts w:cs="Arial"/>
          <w:b/>
          <w:i/>
          <w:spacing w:val="1"/>
          <w:lang w:val="en-GB"/>
        </w:rPr>
        <w:t>, ‘</w:t>
      </w:r>
      <w:r w:rsidRPr="00983BF8">
        <w:rPr>
          <w:rFonts w:cs="Arial"/>
          <w:i/>
          <w:spacing w:val="1"/>
          <w:lang w:val="en-GB"/>
        </w:rPr>
        <w:t>Sweet Reagan’</w:t>
      </w:r>
      <w:r w:rsidRPr="00983BF8">
        <w:rPr>
          <w:rFonts w:cs="Arial"/>
          <w:b/>
          <w:i/>
          <w:spacing w:val="1"/>
          <w:lang w:val="en-GB"/>
        </w:rPr>
        <w:t>, ‘</w:t>
      </w:r>
      <w:r w:rsidRPr="00983BF8">
        <w:rPr>
          <w:rFonts w:cs="Arial"/>
          <w:i/>
          <w:spacing w:val="1"/>
          <w:lang w:val="en-GB"/>
        </w:rPr>
        <w:t>Yellow Reagan’</w:t>
      </w:r>
      <w:r w:rsidRPr="00983BF8">
        <w:rPr>
          <w:rFonts w:cs="Arial"/>
          <w:b/>
          <w:i/>
          <w:spacing w:val="1"/>
          <w:lang w:val="en-GB"/>
        </w:rPr>
        <w:t xml:space="preserve"> </w:t>
      </w:r>
      <w:r w:rsidRPr="00983BF8">
        <w:rPr>
          <w:rFonts w:cs="Arial"/>
          <w:i/>
          <w:spacing w:val="1"/>
          <w:lang w:val="en-GB"/>
        </w:rPr>
        <w:t>already exists.</w:t>
      </w:r>
    </w:p>
    <w:tbl>
      <w:tblPr>
        <w:tblStyle w:val="TableGrid10"/>
        <w:tblW w:w="8363" w:type="dxa"/>
        <w:tblInd w:w="421" w:type="dxa"/>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shd w:val="clear" w:color="auto" w:fill="FFE181"/>
        <w:tblLook w:val="04A0" w:firstRow="1" w:lastRow="0" w:firstColumn="1" w:lastColumn="0" w:noHBand="0" w:noVBand="1"/>
      </w:tblPr>
      <w:tblGrid>
        <w:gridCol w:w="3501"/>
        <w:gridCol w:w="1715"/>
        <w:gridCol w:w="3147"/>
      </w:tblGrid>
      <w:tr w:rsidR="00983BF8" w:rsidRPr="00983BF8" w:rsidTr="001A694C">
        <w:trPr>
          <w:tblHeader/>
        </w:trPr>
        <w:tc>
          <w:tcPr>
            <w:tcW w:w="8363" w:type="dxa"/>
            <w:gridSpan w:val="3"/>
            <w:shd w:val="clear" w:color="auto" w:fill="auto"/>
          </w:tcPr>
          <w:p w:rsidR="00983BF8" w:rsidRPr="00983BF8" w:rsidRDefault="00983BF8" w:rsidP="00983BF8">
            <w:pPr>
              <w:tabs>
                <w:tab w:val="left" w:pos="1303"/>
                <w:tab w:val="left" w:pos="3146"/>
                <w:tab w:val="left" w:pos="5130"/>
              </w:tabs>
              <w:jc w:val="left"/>
              <w:rPr>
                <w:rFonts w:eastAsia="Cambria" w:cs="Arial"/>
                <w:sz w:val="20"/>
                <w:szCs w:val="20"/>
              </w:rPr>
            </w:pPr>
            <w:r w:rsidRPr="00983BF8">
              <w:rPr>
                <w:rFonts w:eastAsia="Cambria" w:cs="Arial"/>
                <w:noProof/>
              </w:rPr>
              <w:drawing>
                <wp:anchor distT="0" distB="0" distL="114300" distR="114300" simplePos="0" relativeHeight="251664384" behindDoc="0" locked="1" layoutInCell="1" allowOverlap="1" wp14:anchorId="789C3391" wp14:editId="1B734088">
                  <wp:simplePos x="0" y="0"/>
                  <wp:positionH relativeFrom="margin">
                    <wp:posOffset>3023235</wp:posOffset>
                  </wp:positionH>
                  <wp:positionV relativeFrom="margin">
                    <wp:posOffset>18415</wp:posOffset>
                  </wp:positionV>
                  <wp:extent cx="219075" cy="190500"/>
                  <wp:effectExtent l="0" t="0" r="9525" b="0"/>
                  <wp:wrapNone/>
                  <wp:docPr id="13" name="Picture 13" descr="sign, black, mark, yellow, triangle, warning"/>
                  <wp:cNvGraphicFramePr/>
                  <a:graphic xmlns:a="http://schemas.openxmlformats.org/drawingml/2006/main">
                    <a:graphicData uri="http://schemas.openxmlformats.org/drawingml/2006/picture">
                      <pic:pic xmlns:pic="http://schemas.openxmlformats.org/drawingml/2006/picture">
                        <pic:nvPicPr>
                          <pic:cNvPr id="2" name="Picture 2" descr="sign, black, mark, yellow, triangle, warning"/>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3BF8">
              <w:rPr>
                <w:rFonts w:eastAsia="Cambria" w:cs="Arial"/>
                <w:sz w:val="20"/>
                <w:szCs w:val="20"/>
              </w:rPr>
              <w:t>Legend:</w:t>
            </w:r>
            <w:r w:rsidRPr="00983BF8">
              <w:rPr>
                <w:rFonts w:eastAsia="Cambria" w:cs="Arial"/>
                <w:sz w:val="20"/>
                <w:szCs w:val="20"/>
              </w:rPr>
              <w:tab/>
            </w:r>
            <w:r w:rsidRPr="00983BF8">
              <w:rPr>
                <w:rFonts w:eastAsia="Cambria" w:cs="Arial"/>
                <w:color w:val="FF0000"/>
                <w:sz w:val="20"/>
                <w:szCs w:val="20"/>
              </w:rPr>
              <w:sym w:font="Wingdings" w:char="F0FB"/>
            </w:r>
            <w:r w:rsidRPr="00983BF8">
              <w:rPr>
                <w:rFonts w:eastAsia="Cambria" w:cs="Arial"/>
                <w:color w:val="FF0000"/>
                <w:sz w:val="20"/>
                <w:szCs w:val="20"/>
              </w:rPr>
              <w:t xml:space="preserve"> </w:t>
            </w:r>
            <w:r w:rsidRPr="00983BF8">
              <w:rPr>
                <w:rFonts w:eastAsia="Cambria" w:cs="Arial"/>
                <w:sz w:val="20"/>
                <w:szCs w:val="20"/>
              </w:rPr>
              <w:t>not suitable</w:t>
            </w:r>
            <w:r w:rsidRPr="00983BF8">
              <w:rPr>
                <w:rFonts w:eastAsia="Cambria" w:cs="Arial"/>
                <w:sz w:val="20"/>
                <w:szCs w:val="20"/>
              </w:rPr>
              <w:tab/>
            </w:r>
            <w:r w:rsidRPr="00983BF8">
              <w:rPr>
                <w:rFonts w:eastAsia="Cambria" w:cs="Arial"/>
                <w:color w:val="00B050"/>
                <w:sz w:val="20"/>
                <w:szCs w:val="20"/>
              </w:rPr>
              <w:sym w:font="Wingdings" w:char="F0FC"/>
            </w:r>
            <w:r w:rsidRPr="00983BF8">
              <w:rPr>
                <w:rFonts w:eastAsia="Cambria" w:cs="Arial"/>
                <w:sz w:val="20"/>
                <w:szCs w:val="20"/>
              </w:rPr>
              <w:t>suitable</w:t>
            </w:r>
            <w:r w:rsidRPr="00983BF8">
              <w:rPr>
                <w:rFonts w:eastAsia="Cambria" w:cs="Arial"/>
                <w:sz w:val="20"/>
                <w:szCs w:val="20"/>
              </w:rPr>
              <w:tab/>
            </w:r>
            <w:r w:rsidRPr="00983BF8">
              <w:rPr>
                <w:rFonts w:eastAsia="Cambria" w:cs="Arial"/>
                <w:color w:val="00B050"/>
                <w:sz w:val="20"/>
                <w:szCs w:val="20"/>
              </w:rPr>
              <w:sym w:font="Wingdings" w:char="F0FC"/>
            </w:r>
            <w:r w:rsidRPr="00983BF8">
              <w:rPr>
                <w:rFonts w:eastAsia="Cambria" w:cs="Arial"/>
                <w:sz w:val="20"/>
                <w:szCs w:val="20"/>
              </w:rPr>
              <w:t>suitable with conditions</w:t>
            </w:r>
          </w:p>
          <w:p w:rsidR="00983BF8" w:rsidRPr="00983BF8" w:rsidRDefault="00983BF8" w:rsidP="00983BF8">
            <w:pPr>
              <w:tabs>
                <w:tab w:val="left" w:pos="1303"/>
                <w:tab w:val="left" w:pos="3146"/>
                <w:tab w:val="left" w:pos="5130"/>
              </w:tabs>
              <w:jc w:val="left"/>
              <w:rPr>
                <w:rFonts w:eastAsia="Cambria" w:cs="Arial"/>
                <w:sz w:val="20"/>
                <w:szCs w:val="20"/>
              </w:rPr>
            </w:pPr>
          </w:p>
        </w:tc>
      </w:tr>
      <w:tr w:rsidR="00983BF8" w:rsidRPr="00983BF8" w:rsidTr="001A694C">
        <w:tc>
          <w:tcPr>
            <w:tcW w:w="3501" w:type="dxa"/>
            <w:shd w:val="clear" w:color="auto" w:fill="auto"/>
          </w:tcPr>
          <w:p w:rsidR="00983BF8" w:rsidRPr="00983BF8" w:rsidRDefault="00983BF8" w:rsidP="00983BF8">
            <w:pPr>
              <w:widowControl w:val="0"/>
              <w:tabs>
                <w:tab w:val="left" w:pos="9781"/>
              </w:tabs>
              <w:spacing w:before="80" w:after="80"/>
              <w:ind w:right="-23"/>
              <w:jc w:val="center"/>
              <w:rPr>
                <w:rFonts w:cs="Arial"/>
                <w:spacing w:val="1"/>
                <w:sz w:val="20"/>
                <w:szCs w:val="20"/>
                <w:lang w:val="en-GB"/>
              </w:rPr>
            </w:pPr>
            <w:r w:rsidRPr="00983BF8">
              <w:rPr>
                <w:rFonts w:cs="Arial"/>
                <w:spacing w:val="1"/>
                <w:sz w:val="20"/>
                <w:szCs w:val="20"/>
                <w:lang w:val="en-GB"/>
              </w:rPr>
              <w:t>‘Cherry</w:t>
            </w:r>
            <w:r w:rsidRPr="00983BF8">
              <w:rPr>
                <w:rFonts w:cs="Arial"/>
                <w:spacing w:val="45"/>
                <w:sz w:val="20"/>
                <w:szCs w:val="20"/>
                <w:lang w:val="en-GB"/>
              </w:rPr>
              <w:t xml:space="preserve"> </w:t>
            </w:r>
            <w:r w:rsidRPr="00983BF8">
              <w:rPr>
                <w:rFonts w:cs="Arial"/>
                <w:spacing w:val="1"/>
                <w:sz w:val="20"/>
                <w:szCs w:val="20"/>
                <w:lang w:val="en-GB"/>
              </w:rPr>
              <w:t>Reaga</w:t>
            </w:r>
            <w:r w:rsidRPr="00983BF8">
              <w:rPr>
                <w:rFonts w:cs="Arial"/>
                <w:spacing w:val="-2"/>
                <w:sz w:val="20"/>
                <w:szCs w:val="20"/>
                <w:lang w:val="en-GB"/>
              </w:rPr>
              <w:t>n</w:t>
            </w:r>
            <w:r w:rsidRPr="00983BF8">
              <w:rPr>
                <w:rFonts w:cs="Arial"/>
                <w:spacing w:val="1"/>
                <w:sz w:val="20"/>
                <w:szCs w:val="20"/>
                <w:lang w:val="en-GB"/>
              </w:rPr>
              <w:t>’</w:t>
            </w:r>
          </w:p>
          <w:p w:rsidR="00983BF8" w:rsidRPr="00983BF8" w:rsidRDefault="00983BF8" w:rsidP="00983BF8">
            <w:pPr>
              <w:widowControl w:val="0"/>
              <w:tabs>
                <w:tab w:val="left" w:pos="9781"/>
              </w:tabs>
              <w:spacing w:before="80" w:after="80"/>
              <w:ind w:right="-23"/>
              <w:jc w:val="center"/>
              <w:rPr>
                <w:rFonts w:cs="Arial"/>
                <w:i/>
                <w:spacing w:val="1"/>
                <w:sz w:val="20"/>
                <w:szCs w:val="20"/>
                <w:lang w:val="en-GB"/>
              </w:rPr>
            </w:pPr>
            <w:r w:rsidRPr="00983BF8">
              <w:rPr>
                <w:rFonts w:cs="Arial"/>
                <w:i/>
                <w:spacing w:val="1"/>
                <w:sz w:val="20"/>
                <w:szCs w:val="20"/>
                <w:lang w:val="en-GB"/>
              </w:rPr>
              <w:t>vs</w:t>
            </w:r>
          </w:p>
          <w:p w:rsidR="00983BF8" w:rsidRPr="00983BF8" w:rsidRDefault="00983BF8" w:rsidP="00983BF8">
            <w:pPr>
              <w:widowControl w:val="0"/>
              <w:tabs>
                <w:tab w:val="left" w:pos="9781"/>
              </w:tabs>
              <w:spacing w:before="80" w:after="80"/>
              <w:ind w:right="-23"/>
              <w:jc w:val="center"/>
              <w:rPr>
                <w:rFonts w:cs="Arial"/>
                <w:spacing w:val="44"/>
                <w:sz w:val="20"/>
                <w:szCs w:val="20"/>
                <w:lang w:val="en-GB"/>
              </w:rPr>
            </w:pPr>
            <w:r w:rsidRPr="00983BF8">
              <w:rPr>
                <w:rFonts w:cs="Arial"/>
                <w:spacing w:val="1"/>
                <w:sz w:val="20"/>
                <w:szCs w:val="20"/>
                <w:lang w:val="en-GB"/>
              </w:rPr>
              <w:t>existing series</w:t>
            </w:r>
          </w:p>
          <w:p w:rsidR="00983BF8" w:rsidRPr="00983BF8" w:rsidRDefault="00983BF8" w:rsidP="00983BF8">
            <w:pPr>
              <w:widowControl w:val="0"/>
              <w:tabs>
                <w:tab w:val="left" w:pos="9781"/>
              </w:tabs>
              <w:spacing w:before="80" w:after="80"/>
              <w:ind w:right="-23"/>
              <w:jc w:val="center"/>
              <w:rPr>
                <w:rFonts w:cs="Arial"/>
                <w:spacing w:val="1"/>
                <w:sz w:val="20"/>
                <w:szCs w:val="20"/>
                <w:lang w:val="en-GB"/>
              </w:rPr>
            </w:pPr>
            <w:r w:rsidRPr="00983BF8">
              <w:rPr>
                <w:rFonts w:cs="Arial"/>
                <w:spacing w:val="1"/>
                <w:sz w:val="20"/>
                <w:szCs w:val="20"/>
                <w:lang w:val="en-GB"/>
              </w:rPr>
              <w:t>‘Cream Reaga</w:t>
            </w:r>
            <w:r w:rsidRPr="00983BF8">
              <w:rPr>
                <w:rFonts w:cs="Arial"/>
                <w:spacing w:val="-2"/>
                <w:sz w:val="20"/>
                <w:szCs w:val="20"/>
                <w:lang w:val="en-GB"/>
              </w:rPr>
              <w:t>n</w:t>
            </w:r>
            <w:r w:rsidRPr="00983BF8">
              <w:rPr>
                <w:rFonts w:cs="Arial"/>
                <w:spacing w:val="1"/>
                <w:sz w:val="20"/>
                <w:szCs w:val="20"/>
                <w:lang w:val="en-GB"/>
              </w:rPr>
              <w:t>’,</w:t>
            </w:r>
            <w:r w:rsidRPr="00983BF8">
              <w:rPr>
                <w:rFonts w:cs="Arial"/>
                <w:spacing w:val="3"/>
                <w:sz w:val="20"/>
                <w:szCs w:val="20"/>
                <w:lang w:val="en-GB"/>
              </w:rPr>
              <w:t xml:space="preserve"> </w:t>
            </w:r>
            <w:r w:rsidRPr="00983BF8">
              <w:rPr>
                <w:rFonts w:cs="Arial"/>
                <w:spacing w:val="1"/>
                <w:sz w:val="20"/>
                <w:szCs w:val="20"/>
                <w:lang w:val="en-GB"/>
              </w:rPr>
              <w:t>‘S</w:t>
            </w:r>
            <w:r w:rsidRPr="00983BF8">
              <w:rPr>
                <w:rFonts w:cs="Arial"/>
                <w:spacing w:val="-3"/>
                <w:sz w:val="20"/>
                <w:szCs w:val="20"/>
                <w:lang w:val="en-GB"/>
              </w:rPr>
              <w:t>w</w:t>
            </w:r>
            <w:r w:rsidRPr="00983BF8">
              <w:rPr>
                <w:rFonts w:cs="Arial"/>
                <w:spacing w:val="1"/>
                <w:sz w:val="20"/>
                <w:szCs w:val="20"/>
                <w:lang w:val="en-GB"/>
              </w:rPr>
              <w:t>eet</w:t>
            </w:r>
            <w:r w:rsidRPr="00983BF8">
              <w:rPr>
                <w:rFonts w:cs="Arial"/>
                <w:spacing w:val="3"/>
                <w:sz w:val="20"/>
                <w:szCs w:val="20"/>
                <w:lang w:val="en-GB"/>
              </w:rPr>
              <w:t xml:space="preserve"> </w:t>
            </w:r>
            <w:r w:rsidRPr="00983BF8">
              <w:rPr>
                <w:rFonts w:cs="Arial"/>
                <w:spacing w:val="1"/>
                <w:sz w:val="20"/>
                <w:szCs w:val="20"/>
                <w:lang w:val="en-GB"/>
              </w:rPr>
              <w:t>Reaga</w:t>
            </w:r>
            <w:r w:rsidRPr="00983BF8">
              <w:rPr>
                <w:rFonts w:cs="Arial"/>
                <w:spacing w:val="-2"/>
                <w:sz w:val="20"/>
                <w:szCs w:val="20"/>
                <w:lang w:val="en-GB"/>
              </w:rPr>
              <w:t>n</w:t>
            </w:r>
            <w:r w:rsidRPr="00983BF8">
              <w:rPr>
                <w:rFonts w:cs="Arial"/>
                <w:spacing w:val="1"/>
                <w:sz w:val="20"/>
                <w:szCs w:val="20"/>
                <w:lang w:val="en-GB"/>
              </w:rPr>
              <w:t>’,</w:t>
            </w:r>
            <w:r w:rsidRPr="00983BF8">
              <w:rPr>
                <w:rFonts w:cs="Arial"/>
                <w:spacing w:val="3"/>
                <w:sz w:val="20"/>
                <w:szCs w:val="20"/>
                <w:lang w:val="en-GB"/>
              </w:rPr>
              <w:t xml:space="preserve"> </w:t>
            </w:r>
            <w:r w:rsidRPr="00983BF8">
              <w:rPr>
                <w:rFonts w:cs="Arial"/>
                <w:spacing w:val="1"/>
                <w:sz w:val="20"/>
                <w:szCs w:val="20"/>
                <w:lang w:val="en-GB"/>
              </w:rPr>
              <w:t>‘</w:t>
            </w:r>
            <w:r w:rsidRPr="00983BF8">
              <w:rPr>
                <w:rFonts w:cs="Arial"/>
                <w:spacing w:val="-3"/>
                <w:sz w:val="20"/>
                <w:szCs w:val="20"/>
                <w:lang w:val="en-GB"/>
              </w:rPr>
              <w:t>Y</w:t>
            </w:r>
            <w:r w:rsidRPr="00983BF8">
              <w:rPr>
                <w:rFonts w:cs="Arial"/>
                <w:spacing w:val="1"/>
                <w:sz w:val="20"/>
                <w:szCs w:val="20"/>
                <w:lang w:val="en-GB"/>
              </w:rPr>
              <w:t>e</w:t>
            </w:r>
            <w:r w:rsidRPr="00983BF8">
              <w:rPr>
                <w:rFonts w:cs="Arial"/>
                <w:spacing w:val="-2"/>
                <w:sz w:val="20"/>
                <w:szCs w:val="20"/>
                <w:lang w:val="en-GB"/>
              </w:rPr>
              <w:t>l</w:t>
            </w:r>
            <w:r w:rsidRPr="00983BF8">
              <w:rPr>
                <w:rFonts w:cs="Arial"/>
                <w:spacing w:val="1"/>
                <w:sz w:val="20"/>
                <w:szCs w:val="20"/>
                <w:lang w:val="en-GB"/>
              </w:rPr>
              <w:t>low Reagan’</w:t>
            </w:r>
          </w:p>
        </w:tc>
        <w:tc>
          <w:tcPr>
            <w:tcW w:w="1715" w:type="dxa"/>
            <w:shd w:val="clear" w:color="auto" w:fill="auto"/>
          </w:tcPr>
          <w:p w:rsidR="00983BF8" w:rsidRPr="00983BF8" w:rsidRDefault="00983BF8" w:rsidP="00983BF8">
            <w:pPr>
              <w:widowControl w:val="0"/>
              <w:tabs>
                <w:tab w:val="left" w:pos="9781"/>
              </w:tabs>
              <w:spacing w:before="240" w:line="359" w:lineRule="auto"/>
              <w:ind w:right="-20"/>
              <w:rPr>
                <w:rFonts w:cs="Arial"/>
                <w:spacing w:val="1"/>
                <w:sz w:val="20"/>
                <w:szCs w:val="20"/>
                <w:lang w:val="en-GB"/>
              </w:rPr>
            </w:pPr>
            <w:r w:rsidRPr="00983BF8">
              <w:rPr>
                <w:rFonts w:cs="Arial"/>
                <w:spacing w:val="1"/>
                <w:sz w:val="20"/>
                <w:szCs w:val="20"/>
                <w:lang w:val="en-GB"/>
              </w:rPr>
              <w:t>Same breeder</w:t>
            </w:r>
          </w:p>
        </w:tc>
        <w:tc>
          <w:tcPr>
            <w:tcW w:w="3147" w:type="dxa"/>
            <w:shd w:val="clear" w:color="auto" w:fill="auto"/>
          </w:tcPr>
          <w:p w:rsidR="00983BF8" w:rsidRPr="00983BF8" w:rsidRDefault="00983BF8" w:rsidP="00983BF8">
            <w:pPr>
              <w:widowControl w:val="0"/>
              <w:tabs>
                <w:tab w:val="left" w:pos="9781"/>
              </w:tabs>
              <w:spacing w:before="240" w:line="359" w:lineRule="auto"/>
              <w:ind w:right="-20"/>
              <w:jc w:val="center"/>
              <w:rPr>
                <w:rFonts w:cs="Arial"/>
                <w:spacing w:val="1"/>
                <w:sz w:val="20"/>
                <w:szCs w:val="20"/>
                <w:lang w:val="en-GB"/>
              </w:rPr>
            </w:pPr>
            <w:r w:rsidRPr="00983BF8">
              <w:rPr>
                <w:rFonts w:cs="Arial"/>
                <w:spacing w:val="1"/>
                <w:sz w:val="20"/>
                <w:szCs w:val="20"/>
                <w:lang w:val="en-GB"/>
              </w:rPr>
              <w:t>Different breeder</w:t>
            </w:r>
          </w:p>
        </w:tc>
      </w:tr>
      <w:tr w:rsidR="00983BF8" w:rsidRPr="00983BF8" w:rsidTr="001A694C">
        <w:tc>
          <w:tcPr>
            <w:tcW w:w="3501" w:type="dxa"/>
            <w:shd w:val="clear" w:color="auto" w:fill="auto"/>
          </w:tcPr>
          <w:p w:rsidR="00983BF8" w:rsidRPr="00983BF8" w:rsidRDefault="00983BF8" w:rsidP="00983BF8">
            <w:pPr>
              <w:widowControl w:val="0"/>
              <w:tabs>
                <w:tab w:val="left" w:pos="9781"/>
              </w:tabs>
              <w:spacing w:before="240" w:line="359" w:lineRule="auto"/>
              <w:ind w:right="-20"/>
              <w:jc w:val="center"/>
              <w:rPr>
                <w:rFonts w:cs="Arial"/>
                <w:spacing w:val="1"/>
                <w:sz w:val="20"/>
                <w:szCs w:val="20"/>
                <w:lang w:val="en-GB"/>
              </w:rPr>
            </w:pPr>
            <w:r w:rsidRPr="00983BF8">
              <w:rPr>
                <w:rFonts w:cs="Arial"/>
                <w:spacing w:val="1"/>
                <w:sz w:val="20"/>
                <w:szCs w:val="20"/>
                <w:lang w:val="en-GB"/>
              </w:rPr>
              <w:t>Biolink</w:t>
            </w:r>
          </w:p>
        </w:tc>
        <w:tc>
          <w:tcPr>
            <w:tcW w:w="1715" w:type="dxa"/>
            <w:shd w:val="clear" w:color="auto" w:fill="auto"/>
          </w:tcPr>
          <w:p w:rsidR="00983BF8" w:rsidRPr="00983BF8" w:rsidRDefault="00983BF8" w:rsidP="00983BF8">
            <w:pPr>
              <w:jc w:val="center"/>
              <w:rPr>
                <w:rFonts w:cs="Arial"/>
                <w:color w:val="92D050"/>
                <w:sz w:val="20"/>
                <w:szCs w:val="20"/>
              </w:rPr>
            </w:pPr>
          </w:p>
          <w:p w:rsidR="00983BF8" w:rsidRPr="00983BF8" w:rsidRDefault="00983BF8" w:rsidP="00983BF8">
            <w:pPr>
              <w:jc w:val="center"/>
              <w:rPr>
                <w:rFonts w:cs="Arial"/>
                <w:color w:val="00B050"/>
                <w:sz w:val="20"/>
                <w:szCs w:val="20"/>
              </w:rPr>
            </w:pPr>
            <w:r w:rsidRPr="00983BF8">
              <w:rPr>
                <w:rFonts w:cs="Arial"/>
                <w:color w:val="00B050"/>
                <w:sz w:val="20"/>
                <w:szCs w:val="20"/>
              </w:rPr>
              <w:sym w:font="Wingdings" w:char="F0FC"/>
            </w:r>
          </w:p>
          <w:p w:rsidR="00983BF8" w:rsidRPr="00983BF8" w:rsidRDefault="00983BF8" w:rsidP="00983BF8">
            <w:pPr>
              <w:widowControl w:val="0"/>
              <w:tabs>
                <w:tab w:val="left" w:pos="9781"/>
              </w:tabs>
              <w:spacing w:before="240" w:line="359" w:lineRule="auto"/>
              <w:ind w:right="-20"/>
              <w:rPr>
                <w:rFonts w:cs="Arial"/>
                <w:spacing w:val="1"/>
                <w:sz w:val="20"/>
                <w:szCs w:val="20"/>
                <w:lang w:val="en-GB"/>
              </w:rPr>
            </w:pPr>
          </w:p>
        </w:tc>
        <w:tc>
          <w:tcPr>
            <w:tcW w:w="3147" w:type="dxa"/>
            <w:shd w:val="clear" w:color="auto" w:fill="auto"/>
          </w:tcPr>
          <w:p w:rsidR="00983BF8" w:rsidRPr="00983BF8" w:rsidRDefault="00983BF8" w:rsidP="00983BF8">
            <w:pPr>
              <w:jc w:val="center"/>
              <w:rPr>
                <w:rFonts w:eastAsia="Cambria" w:cs="Arial"/>
                <w:sz w:val="20"/>
                <w:szCs w:val="20"/>
              </w:rPr>
            </w:pPr>
          </w:p>
          <w:p w:rsidR="00983BF8" w:rsidRPr="00983BF8" w:rsidRDefault="00983BF8" w:rsidP="00983BF8">
            <w:pPr>
              <w:jc w:val="left"/>
              <w:rPr>
                <w:rFonts w:cs="Arial"/>
                <w:color w:val="92D050"/>
                <w:sz w:val="20"/>
                <w:szCs w:val="20"/>
              </w:rPr>
            </w:pPr>
            <w:r w:rsidRPr="00983BF8">
              <w:rPr>
                <w:rFonts w:eastAsia="Cambria" w:cs="Arial"/>
                <w:noProof/>
              </w:rPr>
              <w:drawing>
                <wp:anchor distT="0" distB="0" distL="114300" distR="114300" simplePos="0" relativeHeight="251663360" behindDoc="0" locked="0" layoutInCell="1" allowOverlap="1" wp14:anchorId="2F7F68D0" wp14:editId="45E4D15F">
                  <wp:simplePos x="0" y="0"/>
                  <wp:positionH relativeFrom="margin">
                    <wp:posOffset>555803</wp:posOffset>
                  </wp:positionH>
                  <wp:positionV relativeFrom="margin">
                    <wp:posOffset>146050</wp:posOffset>
                  </wp:positionV>
                  <wp:extent cx="218440" cy="190500"/>
                  <wp:effectExtent l="0" t="0" r="0" b="0"/>
                  <wp:wrapSquare wrapText="bothSides"/>
                  <wp:docPr id="14" name="Picture 14" descr="sign, black, mark, yellow, triangle, warning"/>
                  <wp:cNvGraphicFramePr/>
                  <a:graphic xmlns:a="http://schemas.openxmlformats.org/drawingml/2006/main">
                    <a:graphicData uri="http://schemas.openxmlformats.org/drawingml/2006/picture">
                      <pic:pic xmlns:pic="http://schemas.openxmlformats.org/drawingml/2006/picture">
                        <pic:nvPicPr>
                          <pic:cNvPr id="2" name="Picture 2" descr="sign, black, mark, yellow, triangle, warning"/>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8440" cy="190500"/>
                          </a:xfrm>
                          <a:prstGeom prst="rect">
                            <a:avLst/>
                          </a:prstGeom>
                          <a:noFill/>
                          <a:ln>
                            <a:noFill/>
                          </a:ln>
                        </pic:spPr>
                      </pic:pic>
                    </a:graphicData>
                  </a:graphic>
                  <wp14:sizeRelV relativeFrom="margin">
                    <wp14:pctHeight>0</wp14:pctHeight>
                  </wp14:sizeRelV>
                </wp:anchor>
              </w:drawing>
            </w:r>
            <w:r w:rsidRPr="00983BF8">
              <w:rPr>
                <w:rFonts w:cs="Arial"/>
                <w:color w:val="00B050"/>
                <w:sz w:val="20"/>
                <w:szCs w:val="20"/>
              </w:rPr>
              <w:tab/>
            </w:r>
            <w:r w:rsidRPr="00983BF8">
              <w:rPr>
                <w:rFonts w:cs="Arial"/>
                <w:color w:val="00B050"/>
                <w:sz w:val="20"/>
                <w:szCs w:val="20"/>
              </w:rPr>
              <w:sym w:font="Wingdings" w:char="F0FC"/>
            </w:r>
          </w:p>
          <w:p w:rsidR="00983BF8" w:rsidRPr="00983BF8" w:rsidRDefault="00983BF8" w:rsidP="00983BF8">
            <w:pPr>
              <w:rPr>
                <w:rFonts w:eastAsia="Cambria" w:cs="Arial"/>
                <w:sz w:val="20"/>
                <w:szCs w:val="20"/>
              </w:rPr>
            </w:pPr>
          </w:p>
          <w:p w:rsidR="00983BF8" w:rsidRPr="00983BF8" w:rsidRDefault="00983BF8" w:rsidP="00983BF8">
            <w:pPr>
              <w:rPr>
                <w:rFonts w:eastAsia="Cambria" w:cs="Arial"/>
                <w:sz w:val="20"/>
                <w:szCs w:val="20"/>
              </w:rPr>
            </w:pPr>
            <w:r w:rsidRPr="00983BF8">
              <w:rPr>
                <w:rFonts w:eastAsia="Cambria" w:cs="Arial"/>
                <w:sz w:val="20"/>
                <w:szCs w:val="20"/>
              </w:rPr>
              <w:t xml:space="preserve">Suitable unless the original breeder refuses </w:t>
            </w:r>
          </w:p>
          <w:p w:rsidR="00983BF8" w:rsidRPr="00983BF8" w:rsidRDefault="00983BF8" w:rsidP="00983BF8">
            <w:pPr>
              <w:jc w:val="left"/>
              <w:rPr>
                <w:rFonts w:cs="Arial"/>
                <w:color w:val="92D050"/>
                <w:sz w:val="20"/>
                <w:szCs w:val="20"/>
              </w:rPr>
            </w:pPr>
          </w:p>
        </w:tc>
      </w:tr>
      <w:tr w:rsidR="00983BF8" w:rsidRPr="00983BF8" w:rsidTr="001A694C">
        <w:tc>
          <w:tcPr>
            <w:tcW w:w="3501" w:type="dxa"/>
            <w:shd w:val="clear" w:color="auto" w:fill="auto"/>
          </w:tcPr>
          <w:p w:rsidR="00983BF8" w:rsidRPr="00983BF8" w:rsidRDefault="00983BF8" w:rsidP="00983BF8">
            <w:pPr>
              <w:widowControl w:val="0"/>
              <w:tabs>
                <w:tab w:val="left" w:pos="9781"/>
              </w:tabs>
              <w:spacing w:line="360" w:lineRule="auto"/>
              <w:ind w:right="-23"/>
              <w:jc w:val="center"/>
              <w:rPr>
                <w:rFonts w:cs="Arial"/>
                <w:spacing w:val="1"/>
                <w:sz w:val="20"/>
                <w:szCs w:val="20"/>
                <w:lang w:val="en-GB"/>
              </w:rPr>
            </w:pPr>
            <w:r w:rsidRPr="00983BF8">
              <w:rPr>
                <w:rFonts w:cs="Arial"/>
                <w:spacing w:val="1"/>
                <w:sz w:val="20"/>
                <w:szCs w:val="20"/>
                <w:lang w:val="en-GB"/>
              </w:rPr>
              <w:t>No biolink</w:t>
            </w:r>
          </w:p>
        </w:tc>
        <w:tc>
          <w:tcPr>
            <w:tcW w:w="1715" w:type="dxa"/>
            <w:shd w:val="clear" w:color="auto" w:fill="auto"/>
          </w:tcPr>
          <w:p w:rsidR="00983BF8" w:rsidRPr="00983BF8" w:rsidRDefault="00983BF8" w:rsidP="00983BF8">
            <w:pPr>
              <w:jc w:val="center"/>
              <w:rPr>
                <w:rFonts w:cs="Arial"/>
                <w:color w:val="92D050"/>
                <w:sz w:val="20"/>
                <w:szCs w:val="20"/>
              </w:rPr>
            </w:pPr>
            <w:r w:rsidRPr="00983BF8">
              <w:rPr>
                <w:rFonts w:cs="Arial"/>
                <w:color w:val="00B050"/>
                <w:sz w:val="20"/>
                <w:szCs w:val="20"/>
              </w:rPr>
              <w:sym w:font="Wingdings" w:char="F0FC"/>
            </w:r>
          </w:p>
        </w:tc>
        <w:tc>
          <w:tcPr>
            <w:tcW w:w="3147" w:type="dxa"/>
            <w:shd w:val="clear" w:color="auto" w:fill="auto"/>
          </w:tcPr>
          <w:p w:rsidR="00983BF8" w:rsidRPr="00983BF8" w:rsidRDefault="00983BF8" w:rsidP="00983BF8">
            <w:pPr>
              <w:widowControl w:val="0"/>
              <w:tabs>
                <w:tab w:val="left" w:pos="9781"/>
              </w:tabs>
              <w:ind w:right="-23"/>
              <w:jc w:val="center"/>
              <w:rPr>
                <w:rFonts w:cs="Arial"/>
                <w:spacing w:val="1"/>
                <w:sz w:val="20"/>
                <w:szCs w:val="20"/>
                <w:lang w:val="en-GB"/>
              </w:rPr>
            </w:pPr>
            <w:r w:rsidRPr="00983BF8">
              <w:rPr>
                <w:rFonts w:cs="Arial"/>
                <w:color w:val="FF0000"/>
                <w:spacing w:val="1"/>
                <w:sz w:val="20"/>
                <w:szCs w:val="20"/>
                <w:lang w:val="en-GB"/>
              </w:rPr>
              <w:sym w:font="Wingdings" w:char="F0FB"/>
            </w:r>
          </w:p>
        </w:tc>
      </w:tr>
    </w:tbl>
    <w:p w:rsidR="00983BF8" w:rsidRPr="00983BF8" w:rsidRDefault="00983BF8" w:rsidP="00983BF8">
      <w:pPr>
        <w:jc w:val="left"/>
        <w:rPr>
          <w:rFonts w:eastAsia="Cambria" w:cs="Arial"/>
          <w:lang w:val="en-GB"/>
        </w:rPr>
      </w:pPr>
    </w:p>
    <w:p w:rsidR="00983BF8" w:rsidRPr="00983BF8" w:rsidRDefault="00983BF8" w:rsidP="00983BF8">
      <w:pPr>
        <w:spacing w:after="120"/>
        <w:ind w:left="360"/>
        <w:jc w:val="left"/>
        <w:rPr>
          <w:rFonts w:eastAsia="Cambria" w:cs="Arial"/>
        </w:rPr>
      </w:pPr>
    </w:p>
    <w:p w:rsidR="00983BF8" w:rsidRPr="00983BF8" w:rsidRDefault="00983BF8" w:rsidP="00983BF8">
      <w:pPr>
        <w:widowControl w:val="0"/>
        <w:tabs>
          <w:tab w:val="left" w:pos="9781"/>
        </w:tabs>
        <w:spacing w:before="240" w:line="359" w:lineRule="auto"/>
        <w:ind w:left="426" w:right="-20"/>
        <w:rPr>
          <w:rFonts w:cs="Arial"/>
          <w:spacing w:val="1"/>
          <w:lang w:val="en-GB"/>
        </w:rPr>
      </w:pPr>
      <w:r w:rsidRPr="00983BF8">
        <w:rPr>
          <w:rFonts w:cs="Arial"/>
          <w:spacing w:val="1"/>
          <w:lang w:val="en-GB"/>
        </w:rPr>
        <w:t>A variety denomination shall be considered to mislead or to cause confusion if it contains the name of a natural or legal person, or a reference thereto, so as to convey a false impression  concerning  the  identity  of  the  applicant,  the  person  responsible  for  the maintenance of the variety, or the breeder;</w:t>
      </w:r>
    </w:p>
    <w:p w:rsidR="00983BF8" w:rsidRPr="00983BF8" w:rsidRDefault="00983BF8" w:rsidP="00983BF8">
      <w:pPr>
        <w:jc w:val="left"/>
        <w:rPr>
          <w:rFonts w:eastAsia="Cambria" w:cs="Arial"/>
        </w:rPr>
      </w:pPr>
    </w:p>
    <w:p w:rsidR="00983BF8" w:rsidRPr="00983BF8" w:rsidRDefault="00983BF8" w:rsidP="00983BF8">
      <w:pPr>
        <w:widowControl w:val="0"/>
        <w:tabs>
          <w:tab w:val="left" w:pos="9781"/>
        </w:tabs>
        <w:spacing w:before="240" w:line="359" w:lineRule="auto"/>
        <w:ind w:left="426" w:right="-20"/>
        <w:rPr>
          <w:rFonts w:cs="Arial"/>
          <w:spacing w:val="1"/>
          <w:lang w:val="en-GB"/>
        </w:rPr>
      </w:pPr>
      <w:r w:rsidRPr="00983BF8">
        <w:rPr>
          <w:rFonts w:cs="Arial"/>
          <w:spacing w:val="1"/>
          <w:lang w:val="en-GB"/>
        </w:rPr>
        <w:t>Companies might use an abbreviation for their identification in variety denominations. It should be noted that the abbreviation established to identify company A cannot be used by company B for the denominations of varieties not bred by company A. If several companies were involved in the breeding of a variety, the established abbreviation of any of these companies in the denomination would be suitable.</w:t>
      </w:r>
    </w:p>
    <w:p w:rsidR="00983BF8" w:rsidRPr="00983BF8" w:rsidRDefault="00983BF8" w:rsidP="00983BF8">
      <w:pPr>
        <w:widowControl w:val="0"/>
        <w:tabs>
          <w:tab w:val="left" w:pos="9781"/>
        </w:tabs>
        <w:spacing w:before="240" w:line="359" w:lineRule="auto"/>
        <w:ind w:left="426" w:right="-20"/>
        <w:rPr>
          <w:rFonts w:cs="Arial"/>
          <w:b/>
          <w:spacing w:val="1"/>
          <w:lang w:val="en-GB"/>
        </w:rPr>
      </w:pPr>
      <w:r w:rsidRPr="00983BF8">
        <w:rPr>
          <w:rFonts w:cs="Arial"/>
          <w:b/>
          <w:spacing w:val="1"/>
          <w:lang w:val="en-GB"/>
        </w:rPr>
        <w:t>Example:</w:t>
      </w:r>
    </w:p>
    <w:p w:rsidR="00983BF8" w:rsidRPr="00983BF8" w:rsidRDefault="00983BF8" w:rsidP="00983BF8">
      <w:pPr>
        <w:widowControl w:val="0"/>
        <w:tabs>
          <w:tab w:val="left" w:pos="9781"/>
        </w:tabs>
        <w:spacing w:before="240" w:line="359" w:lineRule="auto"/>
        <w:ind w:left="426" w:right="-20"/>
        <w:rPr>
          <w:rFonts w:cs="Arial"/>
          <w:spacing w:val="1"/>
          <w:lang w:val="en-GB"/>
        </w:rPr>
      </w:pPr>
      <w:r w:rsidRPr="00983BF8">
        <w:rPr>
          <w:rFonts w:cs="Arial"/>
          <w:spacing w:val="1"/>
          <w:lang w:val="en-GB"/>
        </w:rPr>
        <w:t>A variety ‘</w:t>
      </w:r>
      <w:r w:rsidRPr="00983BF8">
        <w:rPr>
          <w:rFonts w:cs="Arial"/>
          <w:b/>
          <w:spacing w:val="1"/>
          <w:lang w:val="en-GB"/>
        </w:rPr>
        <w:t>ABC Ambition’</w:t>
      </w:r>
      <w:r w:rsidRPr="00983BF8">
        <w:rPr>
          <w:rFonts w:cs="Arial"/>
          <w:spacing w:val="1"/>
          <w:lang w:val="en-GB"/>
        </w:rPr>
        <w:t xml:space="preserve"> is registered with </w:t>
      </w:r>
      <w:r w:rsidRPr="00983BF8">
        <w:rPr>
          <w:rFonts w:cs="Arial"/>
          <w:b/>
          <w:spacing w:val="1"/>
          <w:lang w:val="en-GB"/>
        </w:rPr>
        <w:t>DEF</w:t>
      </w:r>
      <w:r w:rsidRPr="00983BF8">
        <w:rPr>
          <w:rFonts w:cs="Arial"/>
          <w:spacing w:val="1"/>
          <w:lang w:val="en-GB"/>
        </w:rPr>
        <w:t xml:space="preserve"> as the Breeder and titleholder.  </w:t>
      </w:r>
      <w:r w:rsidRPr="00983BF8">
        <w:rPr>
          <w:rFonts w:cs="Arial"/>
          <w:b/>
          <w:spacing w:val="1"/>
          <w:lang w:val="en-GB"/>
        </w:rPr>
        <w:t>ABC</w:t>
      </w:r>
      <w:r w:rsidRPr="00983BF8">
        <w:rPr>
          <w:rFonts w:cs="Arial"/>
          <w:spacing w:val="1"/>
          <w:lang w:val="en-GB"/>
        </w:rPr>
        <w:t xml:space="preserve"> is the name of the company, which bought the license for the marketing and acts also as a procedural representative for PBR. ABC is not suitable in the denomination because this company is not the breeder nor its successor in title.</w:t>
      </w:r>
    </w:p>
    <w:p w:rsidR="00983BF8" w:rsidRPr="00983BF8" w:rsidRDefault="00983BF8" w:rsidP="00983BF8">
      <w:pPr>
        <w:spacing w:after="120"/>
        <w:ind w:left="360"/>
        <w:jc w:val="left"/>
        <w:rPr>
          <w:rFonts w:eastAsia="Cambria" w:cs="Arial"/>
        </w:rPr>
      </w:pPr>
    </w:p>
    <w:p w:rsidR="00983BF8" w:rsidRPr="00983BF8" w:rsidRDefault="00983BF8" w:rsidP="00983BF8">
      <w:pPr>
        <w:jc w:val="left"/>
        <w:rPr>
          <w:rFonts w:eastAsia="Cambria" w:cs="Arial"/>
        </w:rPr>
      </w:pPr>
      <w:r w:rsidRPr="00983BF8">
        <w:rPr>
          <w:rFonts w:eastAsia="Cambria" w:cs="Arial"/>
        </w:rPr>
        <w:br w:type="page"/>
      </w:r>
    </w:p>
    <w:p w:rsidR="00983BF8" w:rsidRPr="00983BF8" w:rsidRDefault="00983BF8" w:rsidP="00983BF8">
      <w:pPr>
        <w:spacing w:after="120"/>
        <w:ind w:left="360"/>
        <w:jc w:val="left"/>
        <w:rPr>
          <w:rFonts w:eastAsia="Cambria" w:cs="Arial"/>
        </w:rPr>
      </w:pPr>
      <w:r w:rsidRPr="00983BF8">
        <w:rPr>
          <w:rFonts w:eastAsia="Cambria" w:cs="Arial"/>
        </w:rPr>
        <w:lastRenderedPageBreak/>
        <w:t>c) CPVO comments and practices as to the denomination classes</w:t>
      </w:r>
    </w:p>
    <w:p w:rsidR="00983BF8" w:rsidRPr="00983BF8" w:rsidRDefault="00983BF8" w:rsidP="00983BF8">
      <w:pPr>
        <w:widowControl w:val="0"/>
        <w:tabs>
          <w:tab w:val="left" w:pos="9781"/>
        </w:tabs>
        <w:spacing w:before="240" w:line="359" w:lineRule="auto"/>
        <w:ind w:left="567" w:right="-20"/>
        <w:rPr>
          <w:rFonts w:cs="Arial"/>
          <w:spacing w:val="1"/>
          <w:lang w:val="en-GB"/>
        </w:rPr>
      </w:pPr>
      <w:r w:rsidRPr="00983BF8">
        <w:rPr>
          <w:rFonts w:cs="Arial"/>
          <w:spacing w:val="1"/>
          <w:lang w:val="en-GB"/>
        </w:rPr>
        <w:t xml:space="preserve">The web based CPVO Variety Finder assists in the process of checking whether the proposed denomination is identical or similar to denominations of existing varieties of the same genus or, if appropriate, UPOV class. </w:t>
      </w:r>
    </w:p>
    <w:p w:rsidR="00983BF8" w:rsidRPr="00983BF8" w:rsidRDefault="00983BF8" w:rsidP="00983BF8">
      <w:pPr>
        <w:widowControl w:val="0"/>
        <w:tabs>
          <w:tab w:val="left" w:pos="9781"/>
        </w:tabs>
        <w:spacing w:before="240" w:line="359" w:lineRule="auto"/>
        <w:ind w:left="567" w:right="-20"/>
        <w:rPr>
          <w:rFonts w:cs="Arial"/>
          <w:spacing w:val="1"/>
          <w:lang w:val="en-GB"/>
        </w:rPr>
      </w:pPr>
      <w:r w:rsidRPr="00983BF8">
        <w:rPr>
          <w:rFonts w:cs="Arial"/>
          <w:spacing w:val="1"/>
          <w:lang w:val="en-GB"/>
        </w:rPr>
        <w:t xml:space="preserve">While identical denominations for varieties of the same UPOV class are systematically refused, similar denominations for varieties of different species in the same UPOV Class might be accepted when the risk of confusion is very limited, in particular in the professional circles. </w:t>
      </w:r>
    </w:p>
    <w:p w:rsidR="00983BF8" w:rsidRPr="00983BF8" w:rsidRDefault="00983BF8" w:rsidP="00983BF8">
      <w:pPr>
        <w:widowControl w:val="0"/>
        <w:tabs>
          <w:tab w:val="left" w:pos="9781"/>
        </w:tabs>
        <w:spacing w:before="240" w:line="359" w:lineRule="auto"/>
        <w:ind w:left="567" w:right="-20"/>
        <w:rPr>
          <w:rFonts w:cs="Arial"/>
          <w:spacing w:val="1"/>
          <w:lang w:val="en-GB"/>
        </w:rPr>
      </w:pPr>
      <w:r w:rsidRPr="00983BF8">
        <w:rPr>
          <w:rFonts w:cs="Arial"/>
          <w:spacing w:val="1"/>
          <w:lang w:val="en-GB"/>
        </w:rPr>
        <w:t>This is the case for instance for Brassica in the UPOV class 1.2, Chicorium and lactuca in the UPOV class 205, Agrostis, Dactylis, Festuca, Festulolium, Lolium, Phalaris,Phleum and Poa in the UPOV Class 203, Lotus, Medicago, Ornithopus, Onobrychis, Trifolium in the UPOV class 204, Prunus L., Secale, Triticale, Triticum in the UPOV class 201.</w:t>
      </w:r>
    </w:p>
    <w:p w:rsidR="00983BF8" w:rsidRPr="00983BF8" w:rsidRDefault="00983BF8" w:rsidP="00983BF8">
      <w:pPr>
        <w:widowControl w:val="0"/>
        <w:tabs>
          <w:tab w:val="left" w:pos="9781"/>
        </w:tabs>
        <w:spacing w:before="240" w:line="359" w:lineRule="auto"/>
        <w:ind w:left="567" w:right="-20"/>
        <w:rPr>
          <w:rFonts w:cs="Arial"/>
          <w:b/>
          <w:spacing w:val="1"/>
          <w:lang w:val="en-GB"/>
        </w:rPr>
      </w:pPr>
      <w:r w:rsidRPr="00983BF8">
        <w:rPr>
          <w:rFonts w:cs="Arial"/>
          <w:b/>
          <w:spacing w:val="1"/>
          <w:lang w:val="en-GB"/>
        </w:rPr>
        <w:t>Examples of accepted denomination proposals</w:t>
      </w:r>
    </w:p>
    <w:p w:rsidR="00983BF8" w:rsidRPr="00983BF8" w:rsidRDefault="00983BF8" w:rsidP="00983BF8">
      <w:pPr>
        <w:widowControl w:val="0"/>
        <w:numPr>
          <w:ilvl w:val="0"/>
          <w:numId w:val="19"/>
        </w:numPr>
        <w:tabs>
          <w:tab w:val="left" w:pos="9781"/>
        </w:tabs>
        <w:spacing w:before="120" w:line="360" w:lineRule="auto"/>
        <w:ind w:right="-23"/>
        <w:jc w:val="left"/>
        <w:rPr>
          <w:rFonts w:cs="Arial"/>
          <w:spacing w:val="1"/>
          <w:lang w:val="en-GB"/>
        </w:rPr>
      </w:pPr>
      <w:r w:rsidRPr="00983BF8">
        <w:rPr>
          <w:rFonts w:cs="Arial"/>
          <w:spacing w:val="1"/>
          <w:lang w:val="en-GB"/>
        </w:rPr>
        <w:t>'</w:t>
      </w:r>
      <w:r w:rsidRPr="00983BF8">
        <w:rPr>
          <w:rFonts w:cs="Arial"/>
          <w:b/>
          <w:spacing w:val="1"/>
          <w:lang w:val="en-GB"/>
        </w:rPr>
        <w:t>Oregon</w:t>
      </w:r>
      <w:r w:rsidRPr="00983BF8">
        <w:rPr>
          <w:rFonts w:cs="Arial"/>
          <w:spacing w:val="1"/>
          <w:lang w:val="en-GB"/>
        </w:rPr>
        <w:t xml:space="preserve">' </w:t>
      </w:r>
      <w:r w:rsidRPr="00983BF8">
        <w:rPr>
          <w:rFonts w:cs="Arial"/>
          <w:i/>
          <w:spacing w:val="1"/>
          <w:lang w:val="en-GB"/>
        </w:rPr>
        <w:t xml:space="preserve">Brassica rapa </w:t>
      </w:r>
      <w:r w:rsidRPr="00983BF8">
        <w:rPr>
          <w:rFonts w:cs="Arial"/>
          <w:spacing w:val="1"/>
          <w:lang w:val="en-GB"/>
        </w:rPr>
        <w:t xml:space="preserve">L. var. </w:t>
      </w:r>
      <w:r w:rsidRPr="00983BF8">
        <w:rPr>
          <w:rFonts w:cs="Arial"/>
          <w:i/>
          <w:spacing w:val="1"/>
          <w:lang w:val="en-GB"/>
        </w:rPr>
        <w:t xml:space="preserve">rapa </w:t>
      </w:r>
      <w:r w:rsidRPr="00983BF8">
        <w:rPr>
          <w:rFonts w:cs="Arial"/>
          <w:spacing w:val="1"/>
          <w:lang w:val="en-GB"/>
        </w:rPr>
        <w:t>(L.) Thell. &lt;&gt; '</w:t>
      </w:r>
      <w:r w:rsidRPr="00983BF8">
        <w:rPr>
          <w:rFonts w:cs="Arial"/>
          <w:b/>
          <w:spacing w:val="1"/>
          <w:lang w:val="en-GB"/>
        </w:rPr>
        <w:t>Ortegon</w:t>
      </w:r>
      <w:r w:rsidRPr="00983BF8">
        <w:rPr>
          <w:rFonts w:cs="Arial"/>
          <w:spacing w:val="1"/>
          <w:lang w:val="en-GB"/>
        </w:rPr>
        <w:t xml:space="preserve">' </w:t>
      </w:r>
      <w:r w:rsidRPr="00983BF8">
        <w:rPr>
          <w:rFonts w:cs="Arial"/>
          <w:i/>
          <w:spacing w:val="1"/>
          <w:lang w:val="en-GB"/>
        </w:rPr>
        <w:t>Brassica napus</w:t>
      </w:r>
      <w:r w:rsidRPr="00983BF8">
        <w:rPr>
          <w:rFonts w:cs="Arial"/>
          <w:spacing w:val="1"/>
          <w:lang w:val="en-GB"/>
        </w:rPr>
        <w:t xml:space="preserve"> L.</w:t>
      </w:r>
    </w:p>
    <w:p w:rsidR="00983BF8" w:rsidRPr="00983BF8" w:rsidRDefault="00983BF8" w:rsidP="00983BF8">
      <w:pPr>
        <w:widowControl w:val="0"/>
        <w:numPr>
          <w:ilvl w:val="0"/>
          <w:numId w:val="19"/>
        </w:numPr>
        <w:tabs>
          <w:tab w:val="left" w:pos="9781"/>
        </w:tabs>
        <w:spacing w:before="120" w:line="360" w:lineRule="auto"/>
        <w:ind w:right="-23"/>
        <w:jc w:val="left"/>
        <w:rPr>
          <w:rFonts w:cs="Arial"/>
          <w:spacing w:val="1"/>
          <w:lang w:val="es-ES"/>
        </w:rPr>
      </w:pPr>
      <w:r w:rsidRPr="00983BF8">
        <w:rPr>
          <w:rFonts w:cs="Arial"/>
          <w:spacing w:val="1"/>
          <w:lang w:val="es-ES"/>
        </w:rPr>
        <w:t>'</w:t>
      </w:r>
      <w:r w:rsidRPr="00983BF8">
        <w:rPr>
          <w:rFonts w:cs="Arial"/>
          <w:b/>
          <w:spacing w:val="1"/>
          <w:lang w:val="es-ES"/>
        </w:rPr>
        <w:t>Bekana</w:t>
      </w:r>
      <w:r w:rsidRPr="00983BF8">
        <w:rPr>
          <w:rFonts w:cs="Arial"/>
          <w:spacing w:val="1"/>
          <w:lang w:val="es-ES"/>
        </w:rPr>
        <w:t xml:space="preserve">' </w:t>
      </w:r>
      <w:r w:rsidRPr="00983BF8">
        <w:rPr>
          <w:rFonts w:cs="Arial"/>
          <w:i/>
          <w:spacing w:val="1"/>
          <w:lang w:val="es-ES"/>
        </w:rPr>
        <w:t>Brassica rapa</w:t>
      </w:r>
      <w:r w:rsidRPr="00983BF8">
        <w:rPr>
          <w:rFonts w:cs="Arial"/>
          <w:spacing w:val="1"/>
          <w:lang w:val="es-ES"/>
        </w:rPr>
        <w:t xml:space="preserve"> L. &lt;&gt; '</w:t>
      </w:r>
      <w:r w:rsidRPr="00983BF8">
        <w:rPr>
          <w:rFonts w:cs="Arial"/>
          <w:b/>
          <w:spacing w:val="1"/>
          <w:lang w:val="es-ES"/>
        </w:rPr>
        <w:t>Belana</w:t>
      </w:r>
      <w:r w:rsidRPr="00983BF8">
        <w:rPr>
          <w:rFonts w:cs="Arial"/>
          <w:spacing w:val="1"/>
          <w:lang w:val="es-ES"/>
        </w:rPr>
        <w:t xml:space="preserve">' </w:t>
      </w:r>
      <w:r w:rsidRPr="00983BF8">
        <w:rPr>
          <w:rFonts w:cs="Arial"/>
          <w:i/>
          <w:spacing w:val="1"/>
          <w:lang w:val="es-ES"/>
        </w:rPr>
        <w:t>Brassica napus</w:t>
      </w:r>
      <w:r w:rsidRPr="00983BF8">
        <w:rPr>
          <w:rFonts w:cs="Arial"/>
          <w:spacing w:val="1"/>
          <w:lang w:val="es-ES"/>
        </w:rPr>
        <w:t xml:space="preserve"> L.</w:t>
      </w:r>
    </w:p>
    <w:p w:rsidR="00983BF8" w:rsidRPr="00983BF8" w:rsidRDefault="00983BF8" w:rsidP="00983BF8">
      <w:pPr>
        <w:widowControl w:val="0"/>
        <w:numPr>
          <w:ilvl w:val="0"/>
          <w:numId w:val="19"/>
        </w:numPr>
        <w:tabs>
          <w:tab w:val="left" w:pos="9781"/>
        </w:tabs>
        <w:spacing w:before="120" w:line="360" w:lineRule="auto"/>
        <w:ind w:right="-23"/>
        <w:jc w:val="left"/>
        <w:rPr>
          <w:rFonts w:cs="Arial"/>
          <w:spacing w:val="1"/>
          <w:lang w:val="es-ES"/>
        </w:rPr>
      </w:pPr>
      <w:r w:rsidRPr="00983BF8">
        <w:rPr>
          <w:rFonts w:cs="Arial"/>
          <w:spacing w:val="1"/>
          <w:lang w:val="es-ES"/>
        </w:rPr>
        <w:t>'</w:t>
      </w:r>
      <w:r w:rsidRPr="00983BF8">
        <w:rPr>
          <w:rFonts w:cs="Arial"/>
          <w:b/>
          <w:spacing w:val="1"/>
          <w:lang w:val="es-ES"/>
        </w:rPr>
        <w:t>Dixie</w:t>
      </w:r>
      <w:r w:rsidRPr="00983BF8">
        <w:rPr>
          <w:rFonts w:cs="Arial"/>
          <w:spacing w:val="1"/>
          <w:lang w:val="es-ES"/>
        </w:rPr>
        <w:t xml:space="preserve">' </w:t>
      </w:r>
      <w:r w:rsidRPr="00983BF8">
        <w:rPr>
          <w:rFonts w:cs="Arial"/>
          <w:i/>
          <w:spacing w:val="1"/>
          <w:lang w:val="es-ES"/>
        </w:rPr>
        <w:t>Cichorium endivia</w:t>
      </w:r>
      <w:r w:rsidRPr="00983BF8">
        <w:rPr>
          <w:rFonts w:cs="Arial"/>
          <w:spacing w:val="1"/>
          <w:lang w:val="es-ES"/>
        </w:rPr>
        <w:t xml:space="preserve"> L. &lt;&gt; '</w:t>
      </w:r>
      <w:r w:rsidRPr="00983BF8">
        <w:rPr>
          <w:rFonts w:cs="Arial"/>
          <w:b/>
          <w:spacing w:val="1"/>
          <w:lang w:val="es-ES"/>
        </w:rPr>
        <w:t>Dexie</w:t>
      </w:r>
      <w:r w:rsidRPr="00983BF8">
        <w:rPr>
          <w:rFonts w:cs="Arial"/>
          <w:spacing w:val="1"/>
          <w:lang w:val="es-ES"/>
        </w:rPr>
        <w:t xml:space="preserve">' </w:t>
      </w:r>
      <w:r w:rsidRPr="00983BF8">
        <w:rPr>
          <w:rFonts w:cs="Arial"/>
          <w:i/>
          <w:spacing w:val="1"/>
          <w:lang w:val="es-ES"/>
        </w:rPr>
        <w:t>Lactuca sativa</w:t>
      </w:r>
      <w:r w:rsidRPr="00983BF8">
        <w:rPr>
          <w:rFonts w:cs="Arial"/>
          <w:spacing w:val="1"/>
          <w:lang w:val="es-ES"/>
        </w:rPr>
        <w:t xml:space="preserve"> L. </w:t>
      </w:r>
    </w:p>
    <w:p w:rsidR="00983BF8" w:rsidRPr="00983BF8" w:rsidRDefault="00983BF8" w:rsidP="00983BF8">
      <w:pPr>
        <w:widowControl w:val="0"/>
        <w:numPr>
          <w:ilvl w:val="0"/>
          <w:numId w:val="19"/>
        </w:numPr>
        <w:tabs>
          <w:tab w:val="left" w:pos="9781"/>
        </w:tabs>
        <w:spacing w:before="120" w:line="360" w:lineRule="auto"/>
        <w:ind w:right="-23"/>
        <w:jc w:val="left"/>
        <w:rPr>
          <w:rFonts w:cs="Arial"/>
          <w:spacing w:val="1"/>
          <w:lang w:val="es-ES"/>
        </w:rPr>
      </w:pPr>
      <w:r w:rsidRPr="00983BF8">
        <w:rPr>
          <w:rFonts w:cs="Arial"/>
          <w:spacing w:val="1"/>
          <w:lang w:val="es-ES"/>
        </w:rPr>
        <w:t>'</w:t>
      </w:r>
      <w:r w:rsidRPr="00983BF8">
        <w:rPr>
          <w:rFonts w:cs="Arial"/>
          <w:b/>
          <w:spacing w:val="1"/>
          <w:lang w:val="es-ES"/>
        </w:rPr>
        <w:t>Camilie</w:t>
      </w:r>
      <w:r w:rsidRPr="00983BF8">
        <w:rPr>
          <w:rFonts w:cs="Arial"/>
          <w:spacing w:val="1"/>
          <w:lang w:val="es-ES"/>
        </w:rPr>
        <w:t xml:space="preserve">' </w:t>
      </w:r>
      <w:r w:rsidRPr="00983BF8">
        <w:rPr>
          <w:rFonts w:cs="Arial"/>
          <w:i/>
          <w:spacing w:val="1"/>
          <w:lang w:val="es-ES"/>
        </w:rPr>
        <w:t>Lactuca sativa</w:t>
      </w:r>
      <w:r w:rsidRPr="00983BF8">
        <w:rPr>
          <w:rFonts w:cs="Arial"/>
          <w:spacing w:val="1"/>
          <w:lang w:val="es-ES"/>
        </w:rPr>
        <w:t xml:space="preserve"> L.  &lt;&gt; '</w:t>
      </w:r>
      <w:r w:rsidRPr="00983BF8">
        <w:rPr>
          <w:rFonts w:cs="Arial"/>
          <w:b/>
          <w:spacing w:val="1"/>
          <w:lang w:val="es-ES"/>
        </w:rPr>
        <w:t>Camila</w:t>
      </w:r>
      <w:r w:rsidRPr="00983BF8">
        <w:rPr>
          <w:rFonts w:cs="Arial"/>
          <w:spacing w:val="1"/>
          <w:lang w:val="es-ES"/>
        </w:rPr>
        <w:t xml:space="preserve">' </w:t>
      </w:r>
      <w:r w:rsidRPr="00983BF8">
        <w:rPr>
          <w:rFonts w:cs="Arial"/>
          <w:i/>
          <w:spacing w:val="1"/>
          <w:lang w:val="es-ES"/>
        </w:rPr>
        <w:t>Cichorium endivia</w:t>
      </w:r>
      <w:r w:rsidRPr="00983BF8">
        <w:rPr>
          <w:rFonts w:cs="Arial"/>
          <w:spacing w:val="1"/>
          <w:lang w:val="es-ES"/>
        </w:rPr>
        <w:t xml:space="preserve"> L.</w:t>
      </w:r>
    </w:p>
    <w:p w:rsidR="00983BF8" w:rsidRPr="00983BF8" w:rsidRDefault="00983BF8" w:rsidP="00983BF8">
      <w:pPr>
        <w:widowControl w:val="0"/>
        <w:numPr>
          <w:ilvl w:val="0"/>
          <w:numId w:val="19"/>
        </w:numPr>
        <w:tabs>
          <w:tab w:val="left" w:pos="9781"/>
        </w:tabs>
        <w:spacing w:before="120" w:line="360" w:lineRule="auto"/>
        <w:ind w:right="-23"/>
        <w:jc w:val="left"/>
        <w:rPr>
          <w:rFonts w:cs="Arial"/>
          <w:spacing w:val="1"/>
          <w:lang w:val="es-ES"/>
        </w:rPr>
      </w:pPr>
      <w:r w:rsidRPr="00983BF8">
        <w:rPr>
          <w:rFonts w:cs="Arial"/>
          <w:spacing w:val="1"/>
          <w:lang w:val="es-ES"/>
        </w:rPr>
        <w:t>‘</w:t>
      </w:r>
      <w:r w:rsidRPr="00983BF8">
        <w:rPr>
          <w:rFonts w:cs="Arial"/>
          <w:b/>
          <w:spacing w:val="1"/>
          <w:lang w:val="es-ES"/>
        </w:rPr>
        <w:t>Prolana</w:t>
      </w:r>
      <w:r w:rsidRPr="00983BF8">
        <w:rPr>
          <w:rFonts w:cs="Arial"/>
          <w:spacing w:val="1"/>
          <w:lang w:val="es-ES"/>
        </w:rPr>
        <w:t xml:space="preserve">’ </w:t>
      </w:r>
      <w:r w:rsidRPr="00983BF8">
        <w:rPr>
          <w:rFonts w:cs="Arial"/>
          <w:i/>
          <w:spacing w:val="1"/>
          <w:lang w:val="es-ES"/>
        </w:rPr>
        <w:t>Dactylis glomerata</w:t>
      </w:r>
      <w:r w:rsidRPr="00983BF8">
        <w:rPr>
          <w:rFonts w:cs="Arial"/>
          <w:spacing w:val="1"/>
          <w:lang w:val="es-ES"/>
        </w:rPr>
        <w:t xml:space="preserve"> L. &lt;&gt; '</w:t>
      </w:r>
      <w:r w:rsidRPr="00983BF8">
        <w:rPr>
          <w:rFonts w:cs="Arial"/>
          <w:b/>
          <w:spacing w:val="1"/>
          <w:lang w:val="es-ES"/>
        </w:rPr>
        <w:t>Polana</w:t>
      </w:r>
      <w:r w:rsidRPr="00983BF8">
        <w:rPr>
          <w:rFonts w:cs="Arial"/>
          <w:spacing w:val="1"/>
          <w:lang w:val="es-ES"/>
        </w:rPr>
        <w:t xml:space="preserve">' </w:t>
      </w:r>
      <w:r w:rsidRPr="00983BF8">
        <w:rPr>
          <w:rFonts w:cs="Arial"/>
          <w:i/>
          <w:spacing w:val="1"/>
          <w:lang w:val="es-ES"/>
        </w:rPr>
        <w:t>Agrostis capillaris</w:t>
      </w:r>
      <w:r w:rsidRPr="00983BF8">
        <w:rPr>
          <w:rFonts w:cs="Arial"/>
          <w:spacing w:val="1"/>
          <w:lang w:val="es-ES"/>
        </w:rPr>
        <w:t xml:space="preserve"> L.</w:t>
      </w:r>
    </w:p>
    <w:p w:rsidR="00983BF8" w:rsidRPr="00983BF8" w:rsidRDefault="00983BF8" w:rsidP="00983BF8">
      <w:pPr>
        <w:widowControl w:val="0"/>
        <w:numPr>
          <w:ilvl w:val="0"/>
          <w:numId w:val="19"/>
        </w:numPr>
        <w:tabs>
          <w:tab w:val="left" w:pos="9781"/>
        </w:tabs>
        <w:spacing w:before="120" w:line="360" w:lineRule="auto"/>
        <w:ind w:right="-23"/>
        <w:jc w:val="left"/>
        <w:rPr>
          <w:rFonts w:cs="Arial"/>
          <w:spacing w:val="1"/>
          <w:lang w:val="es-ES"/>
        </w:rPr>
      </w:pPr>
      <w:r w:rsidRPr="00983BF8">
        <w:rPr>
          <w:rFonts w:cs="Arial"/>
          <w:spacing w:val="1"/>
          <w:lang w:val="es-ES"/>
        </w:rPr>
        <w:t>'</w:t>
      </w:r>
      <w:r w:rsidRPr="00983BF8">
        <w:rPr>
          <w:rFonts w:cs="Arial"/>
          <w:b/>
          <w:spacing w:val="1"/>
          <w:lang w:val="es-ES"/>
        </w:rPr>
        <w:t>Rodio</w:t>
      </w:r>
      <w:r w:rsidRPr="00983BF8">
        <w:rPr>
          <w:rFonts w:cs="Arial"/>
          <w:spacing w:val="1"/>
          <w:lang w:val="es-ES"/>
        </w:rPr>
        <w:t xml:space="preserve">'  </w:t>
      </w:r>
      <w:r w:rsidRPr="00983BF8">
        <w:rPr>
          <w:rFonts w:cs="Arial"/>
          <w:i/>
          <w:spacing w:val="1"/>
          <w:lang w:val="es-ES"/>
        </w:rPr>
        <w:t xml:space="preserve">Lolium multiflorum </w:t>
      </w:r>
      <w:r w:rsidRPr="00983BF8">
        <w:rPr>
          <w:rFonts w:cs="Arial"/>
          <w:spacing w:val="1"/>
          <w:lang w:val="es-ES"/>
        </w:rPr>
        <w:t>Lam. &lt;&gt; '</w:t>
      </w:r>
      <w:r w:rsidRPr="00983BF8">
        <w:rPr>
          <w:rFonts w:cs="Arial"/>
          <w:b/>
          <w:spacing w:val="1"/>
          <w:lang w:val="es-ES"/>
        </w:rPr>
        <w:t>Rocio</w:t>
      </w:r>
      <w:r w:rsidRPr="00983BF8">
        <w:rPr>
          <w:rFonts w:cs="Arial"/>
          <w:spacing w:val="1"/>
          <w:lang w:val="es-ES"/>
        </w:rPr>
        <w:t xml:space="preserve">' </w:t>
      </w:r>
      <w:r w:rsidRPr="00983BF8">
        <w:rPr>
          <w:rFonts w:cs="Arial"/>
          <w:i/>
          <w:spacing w:val="1"/>
          <w:lang w:val="es-ES"/>
        </w:rPr>
        <w:t>Festuca arundinacea</w:t>
      </w:r>
      <w:r w:rsidRPr="00983BF8">
        <w:rPr>
          <w:rFonts w:cs="Arial"/>
          <w:spacing w:val="1"/>
          <w:lang w:val="es-ES"/>
        </w:rPr>
        <w:t xml:space="preserve"> Schreb.</w:t>
      </w:r>
    </w:p>
    <w:p w:rsidR="00983BF8" w:rsidRPr="00983BF8" w:rsidRDefault="00983BF8" w:rsidP="00983BF8">
      <w:pPr>
        <w:widowControl w:val="0"/>
        <w:numPr>
          <w:ilvl w:val="0"/>
          <w:numId w:val="19"/>
        </w:numPr>
        <w:tabs>
          <w:tab w:val="left" w:pos="9781"/>
        </w:tabs>
        <w:spacing w:before="120" w:line="360" w:lineRule="auto"/>
        <w:ind w:right="-23"/>
        <w:jc w:val="left"/>
        <w:rPr>
          <w:rFonts w:cs="Arial"/>
          <w:spacing w:val="1"/>
          <w:lang w:val="es-ES"/>
        </w:rPr>
      </w:pPr>
      <w:r w:rsidRPr="00983BF8">
        <w:rPr>
          <w:rFonts w:cs="Arial"/>
          <w:spacing w:val="1"/>
          <w:lang w:val="es-ES"/>
        </w:rPr>
        <w:t>'</w:t>
      </w:r>
      <w:r w:rsidRPr="00983BF8">
        <w:rPr>
          <w:rFonts w:cs="Arial"/>
          <w:b/>
          <w:spacing w:val="1"/>
          <w:lang w:val="es-ES"/>
        </w:rPr>
        <w:t>Varta</w:t>
      </w:r>
      <w:r w:rsidRPr="00983BF8">
        <w:rPr>
          <w:rFonts w:cs="Arial"/>
          <w:spacing w:val="1"/>
          <w:lang w:val="es-ES"/>
        </w:rPr>
        <w:t xml:space="preserve">'  </w:t>
      </w:r>
      <w:r w:rsidRPr="00983BF8">
        <w:rPr>
          <w:rFonts w:cs="Arial"/>
          <w:i/>
          <w:spacing w:val="1"/>
          <w:lang w:val="es-ES"/>
        </w:rPr>
        <w:t>Medicago sativa</w:t>
      </w:r>
      <w:r w:rsidRPr="00983BF8">
        <w:rPr>
          <w:rFonts w:cs="Arial"/>
          <w:spacing w:val="1"/>
          <w:lang w:val="es-ES"/>
        </w:rPr>
        <w:t xml:space="preserve"> L. &lt;&gt; '</w:t>
      </w:r>
      <w:r w:rsidRPr="00983BF8">
        <w:rPr>
          <w:rFonts w:cs="Arial"/>
          <w:b/>
          <w:spacing w:val="1"/>
          <w:lang w:val="es-ES"/>
        </w:rPr>
        <w:t>Varte</w:t>
      </w:r>
      <w:r w:rsidRPr="00983BF8">
        <w:rPr>
          <w:rFonts w:cs="Arial"/>
          <w:spacing w:val="1"/>
          <w:lang w:val="es-ES"/>
        </w:rPr>
        <w:t xml:space="preserve">' </w:t>
      </w:r>
      <w:r w:rsidRPr="00983BF8">
        <w:rPr>
          <w:rFonts w:cs="Arial"/>
          <w:i/>
          <w:spacing w:val="1"/>
          <w:lang w:val="es-ES"/>
        </w:rPr>
        <w:t>Trifolium pratense</w:t>
      </w:r>
      <w:r w:rsidRPr="00983BF8">
        <w:rPr>
          <w:rFonts w:cs="Arial"/>
          <w:spacing w:val="1"/>
          <w:lang w:val="es-ES"/>
        </w:rPr>
        <w:t xml:space="preserve"> L.</w:t>
      </w:r>
    </w:p>
    <w:p w:rsidR="00983BF8" w:rsidRPr="00983BF8" w:rsidRDefault="00983BF8" w:rsidP="00983BF8">
      <w:pPr>
        <w:widowControl w:val="0"/>
        <w:numPr>
          <w:ilvl w:val="0"/>
          <w:numId w:val="19"/>
        </w:numPr>
        <w:tabs>
          <w:tab w:val="left" w:pos="9781"/>
        </w:tabs>
        <w:spacing w:before="120" w:line="360" w:lineRule="auto"/>
        <w:ind w:right="-23"/>
        <w:jc w:val="left"/>
        <w:rPr>
          <w:rFonts w:cs="Arial"/>
          <w:spacing w:val="1"/>
          <w:lang w:val="en-GB"/>
        </w:rPr>
      </w:pPr>
      <w:r w:rsidRPr="00983BF8">
        <w:rPr>
          <w:rFonts w:cs="Arial"/>
          <w:spacing w:val="1"/>
          <w:lang w:val="en-GB"/>
        </w:rPr>
        <w:t>‘</w:t>
      </w:r>
      <w:r w:rsidRPr="00983BF8">
        <w:rPr>
          <w:rFonts w:cs="Arial"/>
          <w:b/>
          <w:spacing w:val="1"/>
          <w:lang w:val="en-GB"/>
        </w:rPr>
        <w:t>Lotte</w:t>
      </w:r>
      <w:r w:rsidRPr="00983BF8">
        <w:rPr>
          <w:rFonts w:cs="Arial"/>
          <w:spacing w:val="1"/>
          <w:lang w:val="en-GB"/>
        </w:rPr>
        <w:t xml:space="preserve">’ </w:t>
      </w:r>
      <w:r w:rsidRPr="00983BF8">
        <w:rPr>
          <w:rFonts w:cs="Arial"/>
          <w:i/>
          <w:spacing w:val="1"/>
          <w:lang w:val="en-GB"/>
        </w:rPr>
        <w:t>Prunus armeniaca</w:t>
      </w:r>
      <w:r w:rsidRPr="00983BF8">
        <w:rPr>
          <w:rFonts w:cs="Arial"/>
          <w:spacing w:val="1"/>
          <w:lang w:val="en-GB"/>
        </w:rPr>
        <w:t xml:space="preserve"> L. &lt;&gt; '</w:t>
      </w:r>
      <w:r w:rsidRPr="00983BF8">
        <w:rPr>
          <w:rFonts w:cs="Arial"/>
          <w:b/>
          <w:spacing w:val="1"/>
          <w:lang w:val="en-GB"/>
        </w:rPr>
        <w:t>Lotta</w:t>
      </w:r>
      <w:r w:rsidRPr="00983BF8">
        <w:rPr>
          <w:rFonts w:cs="Arial"/>
          <w:spacing w:val="1"/>
          <w:lang w:val="en-GB"/>
        </w:rPr>
        <w:t xml:space="preserve">' </w:t>
      </w:r>
      <w:r w:rsidRPr="00983BF8">
        <w:rPr>
          <w:rFonts w:cs="Arial"/>
          <w:i/>
          <w:spacing w:val="1"/>
          <w:lang w:val="en-GB"/>
        </w:rPr>
        <w:t>Prunus avium</w:t>
      </w:r>
      <w:r w:rsidRPr="00983BF8">
        <w:rPr>
          <w:rFonts w:cs="Arial"/>
          <w:spacing w:val="1"/>
          <w:lang w:val="en-GB"/>
        </w:rPr>
        <w:t xml:space="preserve"> L.</w:t>
      </w:r>
    </w:p>
    <w:p w:rsidR="00983BF8" w:rsidRPr="00983BF8" w:rsidRDefault="00983BF8" w:rsidP="00983BF8">
      <w:pPr>
        <w:widowControl w:val="0"/>
        <w:numPr>
          <w:ilvl w:val="0"/>
          <w:numId w:val="19"/>
        </w:numPr>
        <w:tabs>
          <w:tab w:val="left" w:pos="9781"/>
        </w:tabs>
        <w:spacing w:before="120" w:line="360" w:lineRule="auto"/>
        <w:ind w:right="-23"/>
        <w:jc w:val="left"/>
        <w:rPr>
          <w:rFonts w:cs="Arial"/>
          <w:spacing w:val="1"/>
          <w:lang w:val="en-GB"/>
        </w:rPr>
      </w:pPr>
      <w:r w:rsidRPr="00983BF8">
        <w:rPr>
          <w:rFonts w:cs="Arial"/>
          <w:spacing w:val="1"/>
          <w:lang w:val="es-ES"/>
        </w:rPr>
        <w:t>‘</w:t>
      </w:r>
      <w:r w:rsidRPr="00983BF8">
        <w:rPr>
          <w:rFonts w:cs="Arial"/>
          <w:b/>
          <w:spacing w:val="1"/>
          <w:lang w:val="es-ES"/>
        </w:rPr>
        <w:t>Flamengo</w:t>
      </w:r>
      <w:r w:rsidRPr="00983BF8">
        <w:rPr>
          <w:rFonts w:cs="Arial"/>
          <w:spacing w:val="1"/>
          <w:lang w:val="es-ES"/>
        </w:rPr>
        <w:t xml:space="preserve">’ </w:t>
      </w:r>
      <w:r w:rsidRPr="00983BF8">
        <w:rPr>
          <w:rFonts w:cs="Arial"/>
          <w:i/>
          <w:spacing w:val="1"/>
          <w:lang w:val="es-ES"/>
        </w:rPr>
        <w:t>Prunus armeniaca</w:t>
      </w:r>
      <w:r w:rsidRPr="00983BF8">
        <w:rPr>
          <w:rFonts w:cs="Arial"/>
          <w:spacing w:val="1"/>
          <w:lang w:val="es-ES"/>
        </w:rPr>
        <w:t xml:space="preserve"> L. &lt;&gt; '</w:t>
      </w:r>
      <w:r w:rsidRPr="00983BF8">
        <w:rPr>
          <w:rFonts w:cs="Arial"/>
          <w:b/>
          <w:spacing w:val="1"/>
          <w:lang w:val="es-ES"/>
        </w:rPr>
        <w:t>Flamingo</w:t>
      </w:r>
      <w:r w:rsidRPr="00983BF8">
        <w:rPr>
          <w:rFonts w:cs="Arial"/>
          <w:spacing w:val="1"/>
          <w:lang w:val="es-ES"/>
        </w:rPr>
        <w:t xml:space="preserve">' </w:t>
      </w:r>
      <w:r w:rsidRPr="00983BF8">
        <w:rPr>
          <w:rFonts w:cs="Arial"/>
          <w:i/>
          <w:spacing w:val="1"/>
          <w:lang w:val="es-ES"/>
        </w:rPr>
        <w:t>Prunus persica (</w:t>
      </w:r>
      <w:r w:rsidRPr="00983BF8">
        <w:rPr>
          <w:rFonts w:cs="Arial"/>
          <w:spacing w:val="1"/>
          <w:lang w:val="es-ES"/>
        </w:rPr>
        <w:t xml:space="preserve">L.) </w:t>
      </w:r>
      <w:r w:rsidRPr="00983BF8">
        <w:rPr>
          <w:rFonts w:cs="Arial"/>
          <w:spacing w:val="1"/>
          <w:lang w:val="en-GB"/>
        </w:rPr>
        <w:t>Batsch</w:t>
      </w:r>
    </w:p>
    <w:p w:rsidR="00983BF8" w:rsidRPr="00983BF8" w:rsidRDefault="00983BF8" w:rsidP="00983BF8">
      <w:pPr>
        <w:widowControl w:val="0"/>
        <w:numPr>
          <w:ilvl w:val="0"/>
          <w:numId w:val="19"/>
        </w:numPr>
        <w:tabs>
          <w:tab w:val="left" w:pos="9781"/>
        </w:tabs>
        <w:spacing w:before="120" w:line="360" w:lineRule="auto"/>
        <w:ind w:right="-23"/>
        <w:jc w:val="left"/>
        <w:rPr>
          <w:rFonts w:cs="Arial"/>
          <w:spacing w:val="1"/>
          <w:lang w:val="en-GB"/>
        </w:rPr>
      </w:pPr>
      <w:r w:rsidRPr="00983BF8">
        <w:rPr>
          <w:rFonts w:cs="Arial"/>
          <w:spacing w:val="1"/>
          <w:lang w:val="en-GB"/>
        </w:rPr>
        <w:t>'</w:t>
      </w:r>
      <w:r w:rsidRPr="00983BF8">
        <w:rPr>
          <w:rFonts w:cs="Arial"/>
          <w:b/>
          <w:spacing w:val="1"/>
          <w:lang w:val="en-GB"/>
        </w:rPr>
        <w:t>Aventinus'</w:t>
      </w:r>
      <w:r w:rsidRPr="00983BF8">
        <w:rPr>
          <w:rFonts w:cs="Arial"/>
          <w:spacing w:val="1"/>
          <w:lang w:val="en-GB"/>
        </w:rPr>
        <w:t xml:space="preserve"> </w:t>
      </w:r>
      <w:r w:rsidRPr="00983BF8">
        <w:rPr>
          <w:rFonts w:cs="Arial"/>
          <w:i/>
          <w:spacing w:val="1"/>
          <w:lang w:val="en-GB"/>
        </w:rPr>
        <w:t>Triticum aestivum</w:t>
      </w:r>
      <w:r w:rsidRPr="00983BF8">
        <w:rPr>
          <w:rFonts w:cs="Arial"/>
          <w:spacing w:val="1"/>
          <w:lang w:val="en-GB"/>
        </w:rPr>
        <w:t xml:space="preserve"> L. subsp. </w:t>
      </w:r>
      <w:r w:rsidRPr="00983BF8">
        <w:rPr>
          <w:rFonts w:cs="Arial"/>
          <w:i/>
          <w:spacing w:val="1"/>
          <w:lang w:val="en-GB"/>
        </w:rPr>
        <w:t xml:space="preserve">aestivum </w:t>
      </w:r>
      <w:r w:rsidRPr="00983BF8">
        <w:rPr>
          <w:rFonts w:cs="Arial"/>
          <w:spacing w:val="1"/>
          <w:lang w:val="en-GB"/>
        </w:rPr>
        <w:t xml:space="preserve">&lt;&gt; </w:t>
      </w:r>
      <w:r w:rsidRPr="00983BF8">
        <w:rPr>
          <w:rFonts w:cs="Arial"/>
          <w:b/>
          <w:spacing w:val="1"/>
          <w:lang w:val="en-GB"/>
        </w:rPr>
        <w:t>'Aventino</w:t>
      </w:r>
      <w:r w:rsidRPr="00983BF8">
        <w:rPr>
          <w:rFonts w:cs="Arial"/>
          <w:spacing w:val="1"/>
          <w:lang w:val="en-GB"/>
        </w:rPr>
        <w:t xml:space="preserve">' </w:t>
      </w:r>
      <w:r w:rsidRPr="00983BF8">
        <w:rPr>
          <w:rFonts w:cs="Arial"/>
          <w:i/>
          <w:spacing w:val="1"/>
          <w:lang w:val="en-GB"/>
        </w:rPr>
        <w:t>Secale cereale</w:t>
      </w:r>
      <w:r w:rsidRPr="00983BF8">
        <w:rPr>
          <w:rFonts w:cs="Arial"/>
          <w:spacing w:val="1"/>
          <w:lang w:val="en-GB"/>
        </w:rPr>
        <w:t xml:space="preserve"> L.</w:t>
      </w:r>
    </w:p>
    <w:p w:rsidR="00983BF8" w:rsidRPr="00983BF8" w:rsidRDefault="00983BF8" w:rsidP="00983BF8">
      <w:pPr>
        <w:widowControl w:val="0"/>
        <w:numPr>
          <w:ilvl w:val="0"/>
          <w:numId w:val="19"/>
        </w:numPr>
        <w:tabs>
          <w:tab w:val="left" w:pos="9781"/>
        </w:tabs>
        <w:spacing w:before="120" w:line="360" w:lineRule="auto"/>
        <w:ind w:right="-23"/>
        <w:jc w:val="left"/>
        <w:rPr>
          <w:rFonts w:cs="Arial"/>
          <w:spacing w:val="1"/>
          <w:lang w:val="en-GB"/>
        </w:rPr>
      </w:pPr>
      <w:r w:rsidRPr="00983BF8">
        <w:rPr>
          <w:rFonts w:cs="Arial"/>
          <w:b/>
          <w:spacing w:val="1"/>
          <w:lang w:val="en-GB"/>
        </w:rPr>
        <w:t>'SY Leonardo'</w:t>
      </w:r>
      <w:r w:rsidRPr="00983BF8">
        <w:rPr>
          <w:rFonts w:cs="Arial"/>
          <w:spacing w:val="1"/>
          <w:lang w:val="en-GB"/>
        </w:rPr>
        <w:t xml:space="preserve"> </w:t>
      </w:r>
      <w:r w:rsidRPr="00983BF8">
        <w:rPr>
          <w:rFonts w:cs="Arial"/>
          <w:i/>
          <w:spacing w:val="1"/>
          <w:lang w:val="en-GB"/>
        </w:rPr>
        <w:t>Triticum durum</w:t>
      </w:r>
      <w:r w:rsidRPr="00983BF8">
        <w:rPr>
          <w:rFonts w:cs="Arial"/>
          <w:spacing w:val="1"/>
          <w:lang w:val="en-GB"/>
        </w:rPr>
        <w:t xml:space="preserve"> Desf. &lt;&gt; '</w:t>
      </w:r>
      <w:r w:rsidRPr="00983BF8">
        <w:rPr>
          <w:rFonts w:cs="Arial"/>
          <w:b/>
          <w:spacing w:val="1"/>
          <w:lang w:val="en-GB"/>
        </w:rPr>
        <w:t>Leonhard</w:t>
      </w:r>
      <w:r w:rsidRPr="00983BF8">
        <w:rPr>
          <w:rFonts w:cs="Arial"/>
          <w:spacing w:val="1"/>
          <w:lang w:val="en-GB"/>
        </w:rPr>
        <w:t xml:space="preserve">' </w:t>
      </w:r>
      <w:r w:rsidRPr="00983BF8">
        <w:rPr>
          <w:rFonts w:cs="Arial"/>
          <w:i/>
          <w:spacing w:val="1"/>
          <w:lang w:val="en-GB"/>
        </w:rPr>
        <w:t>Triticum aestivum</w:t>
      </w:r>
      <w:r w:rsidRPr="00983BF8">
        <w:rPr>
          <w:rFonts w:cs="Arial"/>
          <w:spacing w:val="1"/>
          <w:lang w:val="en-GB"/>
        </w:rPr>
        <w:t xml:space="preserve"> L.</w:t>
      </w:r>
    </w:p>
    <w:p w:rsidR="00983BF8" w:rsidRPr="00983BF8" w:rsidRDefault="00983BF8" w:rsidP="00983BF8">
      <w:pPr>
        <w:widowControl w:val="0"/>
        <w:tabs>
          <w:tab w:val="left" w:pos="9781"/>
        </w:tabs>
        <w:spacing w:before="240" w:line="359" w:lineRule="auto"/>
        <w:ind w:left="616" w:right="-20"/>
        <w:rPr>
          <w:rFonts w:cs="Arial"/>
          <w:spacing w:val="1"/>
          <w:lang w:val="en-GB"/>
        </w:rPr>
      </w:pPr>
      <w:r w:rsidRPr="00983BF8">
        <w:rPr>
          <w:rFonts w:cs="Arial"/>
          <w:spacing w:val="1"/>
          <w:lang w:val="en-GB"/>
        </w:rPr>
        <w:t>However, it is important to note that such situations are always considered individually, using a case-by-case approach. The difference in species should be considered as additional criteria, after the visual, phonetic and conceptual evaluation.</w:t>
      </w:r>
    </w:p>
    <w:p w:rsidR="00983BF8" w:rsidRPr="00983BF8" w:rsidRDefault="00983BF8" w:rsidP="00983BF8">
      <w:pPr>
        <w:spacing w:after="120"/>
        <w:jc w:val="left"/>
        <w:rPr>
          <w:rFonts w:eastAsia="Cambria" w:cs="Arial"/>
          <w:lang w:val="en-GB"/>
        </w:rPr>
      </w:pPr>
    </w:p>
    <w:p w:rsidR="00983BF8" w:rsidRPr="00983BF8" w:rsidRDefault="00983BF8" w:rsidP="00983BF8">
      <w:pPr>
        <w:spacing w:after="120"/>
        <w:ind w:left="360"/>
        <w:jc w:val="left"/>
        <w:rPr>
          <w:rFonts w:eastAsia="Cambria" w:cs="Arial"/>
        </w:rPr>
      </w:pPr>
      <w:r w:rsidRPr="00983BF8">
        <w:rPr>
          <w:rFonts w:eastAsia="Cambria" w:cs="Arial"/>
        </w:rPr>
        <w:t xml:space="preserve">d) CPVO comments and practices on the ways to </w:t>
      </w:r>
      <w:r w:rsidRPr="00983BF8">
        <w:rPr>
          <w:rFonts w:eastAsia="Cambria" w:cs="Arial"/>
          <w:lang w:eastAsia="ja-JP"/>
        </w:rPr>
        <w:t xml:space="preserve">use a </w:t>
      </w:r>
      <w:r w:rsidRPr="00983BF8">
        <w:rPr>
          <w:rFonts w:eastAsia="Cambria" w:cs="Arial"/>
        </w:rPr>
        <w:t>denomination similarity search tool</w:t>
      </w:r>
      <w:r w:rsidRPr="00983BF8">
        <w:rPr>
          <w:rFonts w:eastAsia="Cambria" w:cs="Arial"/>
          <w:lang w:eastAsia="ja-JP"/>
        </w:rPr>
        <w:t>.</w:t>
      </w:r>
    </w:p>
    <w:p w:rsidR="00983BF8" w:rsidRPr="00983BF8" w:rsidRDefault="00983BF8" w:rsidP="00983BF8">
      <w:pPr>
        <w:widowControl w:val="0"/>
        <w:tabs>
          <w:tab w:val="left" w:pos="9781"/>
        </w:tabs>
        <w:spacing w:before="240" w:line="359" w:lineRule="auto"/>
        <w:ind w:left="567" w:right="-20"/>
        <w:rPr>
          <w:rFonts w:cs="Arial"/>
          <w:spacing w:val="1"/>
          <w:lang w:val="en-GB"/>
        </w:rPr>
      </w:pPr>
      <w:r w:rsidRPr="00983BF8">
        <w:rPr>
          <w:rFonts w:cs="Arial"/>
          <w:spacing w:val="1"/>
          <w:lang w:val="en-GB"/>
        </w:rPr>
        <w:t>The CPVO is systematically using the Variety Finder, which is a first step to check the similarity criteria. The algorithm selects a set of potentially similar denominations based on the visual similarity, consisting in a minimum number of letters in common between the denomination tested and the denominations selected. The selection also integrates few basic phonetic features that allow selecting denominations that are visually not highly similar but are phonetically identical or could be considered as phonetically too close.</w:t>
      </w:r>
    </w:p>
    <w:p w:rsidR="00983BF8" w:rsidRPr="00983BF8" w:rsidRDefault="00983BF8" w:rsidP="00983BF8">
      <w:pPr>
        <w:widowControl w:val="0"/>
        <w:tabs>
          <w:tab w:val="left" w:pos="9781"/>
        </w:tabs>
        <w:spacing w:before="240" w:line="359" w:lineRule="auto"/>
        <w:ind w:left="567" w:right="-20"/>
        <w:rPr>
          <w:rFonts w:cs="Arial"/>
          <w:spacing w:val="1"/>
          <w:lang w:val="en-GB"/>
        </w:rPr>
      </w:pPr>
      <w:r w:rsidRPr="00983BF8">
        <w:rPr>
          <w:rFonts w:cs="Arial"/>
          <w:spacing w:val="1"/>
          <w:lang w:val="en-GB"/>
        </w:rPr>
        <w:lastRenderedPageBreak/>
        <w:t>The accuracy of analysis is dependent upon the reliability of the information and the level of details of data linked to varieties appearing in the Variety Finder. It involves therefore a proactive approach in the data collection, a systematic quality control of data collected, a good cooperation with the contributors to the database and does not prevent examiners to check other registers in order to further investigate or to contact the relevant national authorities in case of doubt or need for additional information.</w:t>
      </w:r>
    </w:p>
    <w:p w:rsidR="00983BF8" w:rsidRPr="00983BF8" w:rsidRDefault="00983BF8" w:rsidP="00983BF8">
      <w:pPr>
        <w:widowControl w:val="0"/>
        <w:tabs>
          <w:tab w:val="left" w:pos="9781"/>
        </w:tabs>
        <w:spacing w:before="240" w:line="359" w:lineRule="auto"/>
        <w:ind w:left="567" w:right="-20"/>
        <w:rPr>
          <w:rFonts w:cs="Arial"/>
          <w:spacing w:val="1"/>
          <w:lang w:val="en-GB"/>
        </w:rPr>
      </w:pPr>
      <w:r w:rsidRPr="00983BF8">
        <w:rPr>
          <w:rFonts w:cs="Arial"/>
          <w:spacing w:val="1"/>
          <w:lang w:val="en-GB"/>
        </w:rPr>
        <w:t xml:space="preserve">It should be borne in mind that the use of a similarity search tool is a preliminary step in the process of the overall assessment, which is left up to the examiner. </w:t>
      </w:r>
    </w:p>
    <w:p w:rsidR="00EA4900" w:rsidRDefault="00EA4900" w:rsidP="00EA4900">
      <w:pPr>
        <w:rPr>
          <w:lang w:val="en-AU"/>
        </w:rPr>
      </w:pPr>
    </w:p>
    <w:p w:rsidR="00EA4900" w:rsidRDefault="00EA4900" w:rsidP="00EA4900">
      <w:pPr>
        <w:rPr>
          <w:lang w:val="en-AU"/>
        </w:rPr>
      </w:pPr>
    </w:p>
    <w:p w:rsidR="00EA4900" w:rsidRDefault="00EA4900" w:rsidP="00EA4900">
      <w:pPr>
        <w:jc w:val="right"/>
        <w:rPr>
          <w:lang w:val="en-AU"/>
        </w:rPr>
      </w:pPr>
      <w:r>
        <w:rPr>
          <w:lang w:val="en-AU"/>
        </w:rPr>
        <w:t>[Annex III follows]</w:t>
      </w:r>
    </w:p>
    <w:p w:rsidR="00EA4900" w:rsidRDefault="00EA4900" w:rsidP="00EA4900">
      <w:pPr>
        <w:rPr>
          <w:lang w:val="en-AU"/>
        </w:rPr>
      </w:pPr>
    </w:p>
    <w:p w:rsidR="00EA4900" w:rsidRDefault="00EA4900" w:rsidP="00EA4900">
      <w:pPr>
        <w:jc w:val="right"/>
        <w:rPr>
          <w:lang w:val="en-AU"/>
        </w:rPr>
        <w:sectPr w:rsidR="00EA4900" w:rsidSect="00AC709C">
          <w:headerReference w:type="default" r:id="rId24"/>
          <w:headerReference w:type="first" r:id="rId25"/>
          <w:pgSz w:w="11907" w:h="16840" w:code="9"/>
          <w:pgMar w:top="510" w:right="1134" w:bottom="1134" w:left="1134" w:header="510" w:footer="680" w:gutter="0"/>
          <w:pgNumType w:start="1"/>
          <w:cols w:space="720"/>
          <w:titlePg/>
        </w:sectPr>
      </w:pPr>
    </w:p>
    <w:p w:rsidR="00EA4900" w:rsidRPr="00B44DAA" w:rsidRDefault="00EA4900" w:rsidP="00EA4900">
      <w:pPr>
        <w:jc w:val="center"/>
      </w:pPr>
    </w:p>
    <w:p w:rsidR="00EA4900" w:rsidRPr="00B44DAA" w:rsidRDefault="00EA4900" w:rsidP="00EA4900"/>
    <w:p w:rsidR="00EA4900" w:rsidRDefault="00021152" w:rsidP="00EA4900">
      <w:pPr>
        <w:jc w:val="center"/>
        <w:rPr>
          <w:lang w:eastAsia="ja-JP"/>
        </w:rPr>
      </w:pPr>
      <w:r w:rsidRPr="00021152">
        <w:rPr>
          <w:lang w:eastAsia="ja-JP"/>
        </w:rPr>
        <w:t>RESPONSE FROM FRANCE TO UPOV CIRCULAR E</w:t>
      </w:r>
      <w:r w:rsidRPr="00021152">
        <w:rPr>
          <w:lang w:eastAsia="ja-JP"/>
        </w:rPr>
        <w:noBreakHyphen/>
        <w:t>18/064</w:t>
      </w:r>
    </w:p>
    <w:p w:rsidR="00EA4900" w:rsidRPr="00021152" w:rsidRDefault="00EA4900" w:rsidP="00EA4900"/>
    <w:p w:rsidR="00983BF8" w:rsidRDefault="00983BF8" w:rsidP="00EA4900"/>
    <w:p w:rsidR="00EA4900" w:rsidRDefault="00EA4900" w:rsidP="00EA4900">
      <w:r>
        <w:t>Madam,</w:t>
      </w:r>
    </w:p>
    <w:p w:rsidR="00EA4900" w:rsidRDefault="00EA4900" w:rsidP="00EA4900">
      <w:r>
        <w:t>Sir,</w:t>
      </w:r>
    </w:p>
    <w:p w:rsidR="00EA4900" w:rsidRDefault="00EA4900" w:rsidP="00EA4900"/>
    <w:p w:rsidR="00983BF8" w:rsidRPr="00983BF8" w:rsidRDefault="00983BF8" w:rsidP="00983BF8">
      <w:pPr>
        <w:jc w:val="left"/>
        <w:rPr>
          <w:rFonts w:eastAsia="MS Mincho" w:cs="Arial"/>
          <w:lang w:val="en-GB" w:eastAsia="ja-JP"/>
        </w:rPr>
      </w:pPr>
      <w:r w:rsidRPr="00983BF8">
        <w:rPr>
          <w:rFonts w:eastAsia="MS Mincho" w:cs="Arial"/>
          <w:lang w:val="en-GB" w:eastAsia="ja-JP"/>
        </w:rPr>
        <w:t>Dear all,</w:t>
      </w:r>
    </w:p>
    <w:p w:rsidR="00983BF8" w:rsidRPr="00983BF8" w:rsidRDefault="00983BF8" w:rsidP="00983BF8">
      <w:pPr>
        <w:jc w:val="left"/>
        <w:rPr>
          <w:rFonts w:eastAsia="MS Mincho" w:cs="Arial"/>
          <w:lang w:val="en-GB" w:eastAsia="ja-JP"/>
        </w:rPr>
      </w:pPr>
    </w:p>
    <w:p w:rsidR="00983BF8" w:rsidRPr="00983BF8" w:rsidRDefault="00983BF8" w:rsidP="00983BF8">
      <w:pPr>
        <w:jc w:val="left"/>
        <w:rPr>
          <w:rFonts w:eastAsia="MS Mincho" w:cs="Arial"/>
          <w:lang w:val="en-GB" w:eastAsia="ja-JP"/>
        </w:rPr>
      </w:pPr>
      <w:r w:rsidRPr="00983BF8">
        <w:rPr>
          <w:rFonts w:eastAsia="MS Mincho" w:cs="Arial"/>
          <w:lang w:val="en-GB" w:eastAsia="ja-JP"/>
        </w:rPr>
        <w:t>We are pleased to give our feedback on the different questions regarding the denomination.</w:t>
      </w:r>
    </w:p>
    <w:p w:rsidR="00983BF8" w:rsidRPr="00983BF8" w:rsidRDefault="00983BF8" w:rsidP="00983BF8">
      <w:pPr>
        <w:jc w:val="left"/>
        <w:rPr>
          <w:rFonts w:eastAsia="MS Mincho" w:cs="Arial"/>
          <w:lang w:val="en-GB" w:eastAsia="ja-JP"/>
        </w:rPr>
      </w:pPr>
    </w:p>
    <w:p w:rsidR="00983BF8" w:rsidRPr="00983BF8" w:rsidRDefault="00983BF8" w:rsidP="00983BF8">
      <w:pPr>
        <w:spacing w:after="120"/>
        <w:ind w:left="720" w:hanging="436"/>
        <w:contextualSpacing/>
        <w:jc w:val="left"/>
        <w:rPr>
          <w:rFonts w:eastAsia="MS Mincho" w:cs="Arial"/>
          <w:lang w:eastAsia="ja-JP"/>
        </w:rPr>
      </w:pPr>
      <w:r w:rsidRPr="00983BF8">
        <w:rPr>
          <w:rFonts w:eastAsia="MS Mincho" w:cs="Arial"/>
          <w:lang w:val="en-GB" w:eastAsia="ja-JP"/>
        </w:rPr>
        <w:t>(a)</w:t>
      </w:r>
      <w:r w:rsidRPr="00983BF8">
        <w:rPr>
          <w:rFonts w:eastAsia="MS Mincho" w:cs="Arial"/>
          <w:sz w:val="14"/>
          <w:szCs w:val="14"/>
          <w:lang w:val="en-GB" w:eastAsia="ja-JP"/>
        </w:rPr>
        <w:t xml:space="preserve"> </w:t>
      </w:r>
      <w:r w:rsidRPr="00983BF8">
        <w:rPr>
          <w:rFonts w:eastAsia="MS Mincho" w:cs="Arial"/>
          <w:lang w:eastAsia="ja-JP"/>
        </w:rPr>
        <w:t>confusion phonetically but not visually;</w:t>
      </w:r>
    </w:p>
    <w:p w:rsidR="00983BF8" w:rsidRPr="00983BF8" w:rsidRDefault="00983BF8" w:rsidP="00983BF8">
      <w:pPr>
        <w:spacing w:after="120"/>
        <w:jc w:val="left"/>
        <w:rPr>
          <w:rFonts w:eastAsia="MS Mincho" w:cs="Arial"/>
          <w:lang w:val="en-GB" w:eastAsia="ja-JP"/>
        </w:rPr>
      </w:pPr>
      <w:r w:rsidRPr="00983BF8">
        <w:rPr>
          <w:rFonts w:eastAsia="MS Mincho" w:cs="Arial"/>
          <w:lang w:val="en-GB" w:eastAsia="ja-JP"/>
        </w:rPr>
        <w:t>Indeed, there is possible confusion involving the following letters:</w:t>
      </w:r>
    </w:p>
    <w:p w:rsidR="00983BF8" w:rsidRPr="00983BF8" w:rsidRDefault="00983BF8" w:rsidP="00983BF8">
      <w:pPr>
        <w:spacing w:after="120"/>
        <w:jc w:val="left"/>
        <w:rPr>
          <w:rFonts w:eastAsia="MS Mincho" w:cs="Arial"/>
          <w:lang w:val="en-GB" w:eastAsia="ja-JP"/>
        </w:rPr>
      </w:pPr>
      <w:r w:rsidRPr="00983BF8">
        <w:rPr>
          <w:rFonts w:eastAsia="MS Mincho" w:cs="Arial"/>
          <w:lang w:val="fr-CH" w:eastAsia="ja-JP"/>
        </w:rPr>
        <w:t xml:space="preserve">C, Q, K. =&gt; Paqou/Pacou/Pakou. </w:t>
      </w:r>
      <w:r w:rsidRPr="00983BF8">
        <w:rPr>
          <w:rFonts w:eastAsia="MS Mincho" w:cs="Arial"/>
          <w:lang w:val="en-GB" w:eastAsia="ja-JP"/>
        </w:rPr>
        <w:t>Visually different but 100% identical on their pronunciation.</w:t>
      </w:r>
    </w:p>
    <w:p w:rsidR="00983BF8" w:rsidRPr="00983BF8" w:rsidRDefault="00983BF8" w:rsidP="00983BF8">
      <w:pPr>
        <w:spacing w:after="120"/>
        <w:jc w:val="left"/>
        <w:rPr>
          <w:rFonts w:eastAsia="MS Mincho" w:cs="Arial"/>
          <w:lang w:val="fr-FR" w:eastAsia="ja-JP"/>
        </w:rPr>
      </w:pPr>
      <w:r w:rsidRPr="00983BF8">
        <w:rPr>
          <w:rFonts w:eastAsia="MS Mincho" w:cs="Arial"/>
          <w:lang w:val="fr-FR" w:eastAsia="ja-JP"/>
        </w:rPr>
        <w:t>PH, F =&gt; Philip/ Filip</w:t>
      </w:r>
    </w:p>
    <w:p w:rsidR="00983BF8" w:rsidRPr="00983BF8" w:rsidRDefault="00983BF8" w:rsidP="00983BF8">
      <w:pPr>
        <w:spacing w:after="120"/>
        <w:jc w:val="left"/>
        <w:rPr>
          <w:rFonts w:eastAsia="MS Mincho" w:cs="Arial"/>
          <w:lang w:val="fr-FR" w:eastAsia="ja-JP"/>
        </w:rPr>
      </w:pPr>
      <w:r w:rsidRPr="00983BF8">
        <w:rPr>
          <w:rFonts w:eastAsia="MS Mincho" w:cs="Arial"/>
          <w:lang w:val="fr-FR" w:eastAsia="ja-JP"/>
        </w:rPr>
        <w:t>GE, JE =&gt; Poge/Poje</w:t>
      </w:r>
    </w:p>
    <w:p w:rsidR="00983BF8" w:rsidRPr="00983BF8" w:rsidRDefault="00983BF8" w:rsidP="00983BF8">
      <w:pPr>
        <w:spacing w:after="120"/>
        <w:jc w:val="left"/>
        <w:rPr>
          <w:rFonts w:eastAsia="MS Mincho" w:cs="Arial"/>
          <w:lang w:val="en-GB" w:eastAsia="ja-JP"/>
        </w:rPr>
      </w:pPr>
      <w:r w:rsidRPr="00983BF8">
        <w:rPr>
          <w:rFonts w:eastAsia="MS Mincho" w:cs="Arial"/>
          <w:lang w:val="en-GB" w:eastAsia="ja-JP"/>
        </w:rPr>
        <w:t>Silent letter such as H =&gt; Helena, Elena</w:t>
      </w:r>
    </w:p>
    <w:p w:rsidR="00983BF8" w:rsidRPr="00983BF8" w:rsidRDefault="00983BF8" w:rsidP="00983BF8">
      <w:pPr>
        <w:spacing w:after="120"/>
        <w:jc w:val="left"/>
        <w:rPr>
          <w:rFonts w:eastAsia="MS Mincho" w:cs="Arial"/>
          <w:lang w:val="en-GB" w:eastAsia="ja-JP"/>
        </w:rPr>
      </w:pPr>
    </w:p>
    <w:p w:rsidR="00983BF8" w:rsidRPr="00983BF8" w:rsidRDefault="00983BF8" w:rsidP="00983BF8">
      <w:pPr>
        <w:spacing w:after="120"/>
        <w:ind w:left="720" w:hanging="436"/>
        <w:contextualSpacing/>
        <w:jc w:val="left"/>
        <w:rPr>
          <w:rFonts w:eastAsia="MS Mincho" w:cs="Arial"/>
          <w:lang w:eastAsia="ja-JP"/>
        </w:rPr>
      </w:pPr>
      <w:r w:rsidRPr="00983BF8">
        <w:rPr>
          <w:rFonts w:eastAsia="MS Mincho" w:cs="Arial"/>
          <w:lang w:val="en-GB" w:eastAsia="ja-JP"/>
        </w:rPr>
        <w:t>(b)</w:t>
      </w:r>
      <w:r w:rsidRPr="00983BF8">
        <w:rPr>
          <w:rFonts w:eastAsia="MS Mincho" w:cs="Arial"/>
          <w:sz w:val="14"/>
          <w:szCs w:val="14"/>
          <w:lang w:val="en-GB" w:eastAsia="ja-JP"/>
        </w:rPr>
        <w:t xml:space="preserve"> </w:t>
      </w:r>
      <w:r w:rsidRPr="00983BF8">
        <w:rPr>
          <w:rFonts w:eastAsia="MS Mincho" w:cs="Arial"/>
          <w:lang w:eastAsia="ja-JP"/>
        </w:rPr>
        <w:t>practices to identify the breeder;</w:t>
      </w:r>
    </w:p>
    <w:p w:rsidR="00983BF8" w:rsidRPr="00983BF8" w:rsidRDefault="00983BF8" w:rsidP="00983BF8">
      <w:pPr>
        <w:spacing w:before="120" w:after="120"/>
        <w:rPr>
          <w:rFonts w:eastAsia="MS Mincho" w:cs="Arial"/>
          <w:lang w:val="en-GB" w:eastAsia="ja-JP"/>
        </w:rPr>
      </w:pPr>
      <w:r w:rsidRPr="00983BF8">
        <w:rPr>
          <w:rFonts w:eastAsia="MS Mincho" w:cs="Arial"/>
          <w:lang w:val="en-GB" w:eastAsia="ja-JP"/>
        </w:rPr>
        <w:t>Practices of breeders:</w:t>
      </w:r>
    </w:p>
    <w:p w:rsidR="00983BF8" w:rsidRPr="00983BF8" w:rsidRDefault="00983BF8" w:rsidP="00983BF8">
      <w:pPr>
        <w:spacing w:before="120" w:after="120"/>
        <w:ind w:left="1080" w:hanging="720"/>
        <w:contextualSpacing/>
        <w:rPr>
          <w:rFonts w:eastAsia="MS Mincho" w:cs="Arial"/>
          <w:lang w:eastAsia="ja-JP"/>
        </w:rPr>
      </w:pPr>
      <w:r w:rsidRPr="00983BF8">
        <w:rPr>
          <w:rFonts w:eastAsia="MS Mincho" w:cs="Arial"/>
          <w:lang w:val="en-GB" w:eastAsia="ja-JP"/>
        </w:rPr>
        <w:t>i)</w:t>
      </w:r>
      <w:r w:rsidRPr="00983BF8">
        <w:rPr>
          <w:rFonts w:eastAsia="MS Mincho" w:cs="Arial"/>
          <w:sz w:val="14"/>
          <w:szCs w:val="14"/>
          <w:lang w:val="en-GB" w:eastAsia="ja-JP"/>
        </w:rPr>
        <w:t xml:space="preserve"> </w:t>
      </w:r>
      <w:r w:rsidRPr="00983BF8">
        <w:rPr>
          <w:rFonts w:eastAsia="MS Mincho" w:cs="Arial"/>
          <w:lang w:eastAsia="ja-JP"/>
        </w:rPr>
        <w:t xml:space="preserve">a </w:t>
      </w:r>
      <w:r w:rsidRPr="00983BF8">
        <w:rPr>
          <w:rFonts w:eastAsia="MS Mincho" w:cs="Arial"/>
          <w:b/>
          <w:bCs/>
          <w:lang w:eastAsia="ja-JP"/>
        </w:rPr>
        <w:t xml:space="preserve">prefix </w:t>
      </w:r>
      <w:r w:rsidRPr="00983BF8">
        <w:rPr>
          <w:rFonts w:eastAsia="MS Mincho" w:cs="Arial"/>
          <w:lang w:eastAsia="ja-JP"/>
        </w:rPr>
        <w:t xml:space="preserve">allowing the identification of the identity of the breeder. </w:t>
      </w:r>
    </w:p>
    <w:p w:rsidR="00983BF8" w:rsidRPr="00983BF8" w:rsidRDefault="00983BF8" w:rsidP="00983BF8">
      <w:pPr>
        <w:spacing w:before="120" w:after="120"/>
        <w:ind w:left="1080"/>
        <w:contextualSpacing/>
        <w:rPr>
          <w:rFonts w:eastAsia="MS Mincho" w:cs="Arial"/>
          <w:lang w:val="en-GB" w:eastAsia="ja-JP"/>
        </w:rPr>
      </w:pPr>
      <w:r w:rsidRPr="00983BF8">
        <w:rPr>
          <w:rFonts w:eastAsia="MS Mincho" w:cs="Arial"/>
          <w:lang w:val="en-GB" w:eastAsia="ja-JP"/>
        </w:rPr>
        <w:t>Example : KWS-…, RGT-…, BAR-…,</w:t>
      </w:r>
    </w:p>
    <w:p w:rsidR="00983BF8" w:rsidRPr="00983BF8" w:rsidRDefault="00983BF8" w:rsidP="00983BF8">
      <w:pPr>
        <w:spacing w:before="120" w:after="120"/>
        <w:ind w:left="1080"/>
        <w:contextualSpacing/>
        <w:rPr>
          <w:rFonts w:eastAsia="MS Mincho" w:cs="Arial"/>
          <w:lang w:val="en-GB" w:eastAsia="ja-JP"/>
        </w:rPr>
      </w:pPr>
    </w:p>
    <w:p w:rsidR="00983BF8" w:rsidRPr="00983BF8" w:rsidRDefault="00983BF8" w:rsidP="00983BF8">
      <w:pPr>
        <w:spacing w:before="120" w:after="120"/>
        <w:ind w:left="1080" w:hanging="720"/>
        <w:contextualSpacing/>
        <w:rPr>
          <w:rFonts w:eastAsia="MS Mincho" w:cs="Arial"/>
          <w:lang w:eastAsia="ja-JP"/>
        </w:rPr>
      </w:pPr>
      <w:r w:rsidRPr="00983BF8">
        <w:rPr>
          <w:rFonts w:eastAsia="MS Mincho" w:cs="Arial"/>
          <w:lang w:val="en-GB" w:eastAsia="ja-JP"/>
        </w:rPr>
        <w:t>ii)</w:t>
      </w:r>
      <w:r w:rsidRPr="00983BF8">
        <w:rPr>
          <w:rFonts w:eastAsia="MS Mincho" w:cs="Arial"/>
          <w:sz w:val="14"/>
          <w:szCs w:val="14"/>
          <w:lang w:val="en-GB" w:eastAsia="ja-JP"/>
        </w:rPr>
        <w:t xml:space="preserve"> </w:t>
      </w:r>
      <w:r w:rsidRPr="00983BF8">
        <w:rPr>
          <w:rFonts w:eastAsia="MS Mincho" w:cs="Arial"/>
          <w:lang w:eastAsia="ja-JP"/>
        </w:rPr>
        <w:t xml:space="preserve">a </w:t>
      </w:r>
      <w:r w:rsidRPr="00983BF8">
        <w:rPr>
          <w:rFonts w:eastAsia="MS Mincho" w:cs="Arial"/>
          <w:b/>
          <w:bCs/>
          <w:lang w:eastAsia="ja-JP"/>
        </w:rPr>
        <w:t>part of word</w:t>
      </w:r>
      <w:r w:rsidRPr="00983BF8">
        <w:rPr>
          <w:rFonts w:eastAsia="MS Mincho" w:cs="Arial"/>
          <w:lang w:eastAsia="ja-JP"/>
        </w:rPr>
        <w:t xml:space="preserve"> to identify a series.</w:t>
      </w:r>
    </w:p>
    <w:p w:rsidR="00983BF8" w:rsidRPr="00983BF8" w:rsidRDefault="00983BF8" w:rsidP="00983BF8">
      <w:pPr>
        <w:spacing w:before="120" w:after="120"/>
        <w:ind w:left="1440"/>
        <w:contextualSpacing/>
        <w:rPr>
          <w:rFonts w:eastAsia="MS Mincho" w:cs="Arial"/>
          <w:lang w:val="en-GB" w:eastAsia="ja-JP"/>
        </w:rPr>
      </w:pPr>
    </w:p>
    <w:p w:rsidR="00983BF8" w:rsidRPr="00983BF8" w:rsidRDefault="00983BF8" w:rsidP="00983BF8">
      <w:pPr>
        <w:spacing w:before="120" w:after="120"/>
        <w:ind w:left="1080" w:hanging="720"/>
        <w:contextualSpacing/>
        <w:rPr>
          <w:rFonts w:eastAsia="MS Mincho" w:cs="Arial"/>
          <w:lang w:eastAsia="ja-JP"/>
        </w:rPr>
      </w:pPr>
      <w:r w:rsidRPr="00983BF8">
        <w:rPr>
          <w:rFonts w:eastAsia="MS Mincho" w:cs="Arial"/>
          <w:lang w:val="en-GB" w:eastAsia="ja-JP"/>
        </w:rPr>
        <w:t>iii)</w:t>
      </w:r>
      <w:r w:rsidRPr="00983BF8">
        <w:rPr>
          <w:rFonts w:eastAsia="MS Mincho" w:cs="Arial"/>
          <w:sz w:val="14"/>
          <w:szCs w:val="14"/>
          <w:lang w:val="en-GB" w:eastAsia="ja-JP"/>
        </w:rPr>
        <w:t xml:space="preserve"> </w:t>
      </w:r>
      <w:r w:rsidRPr="00983BF8">
        <w:rPr>
          <w:rFonts w:eastAsia="MS Mincho" w:cs="Arial"/>
          <w:lang w:eastAsia="ja-JP"/>
        </w:rPr>
        <w:t xml:space="preserve">A </w:t>
      </w:r>
      <w:r w:rsidRPr="00983BF8">
        <w:rPr>
          <w:rFonts w:eastAsia="MS Mincho" w:cs="Arial"/>
          <w:b/>
          <w:bCs/>
          <w:lang w:eastAsia="ja-JP"/>
        </w:rPr>
        <w:t>topic</w:t>
      </w:r>
    </w:p>
    <w:p w:rsidR="00983BF8" w:rsidRPr="00983BF8" w:rsidRDefault="00983BF8" w:rsidP="00983BF8">
      <w:pPr>
        <w:spacing w:before="120" w:after="120"/>
        <w:ind w:left="1080"/>
        <w:contextualSpacing/>
        <w:rPr>
          <w:rFonts w:eastAsia="MS Mincho" w:cs="Arial"/>
          <w:lang w:val="en-GB" w:eastAsia="ja-JP"/>
        </w:rPr>
      </w:pPr>
      <w:r w:rsidRPr="00983BF8">
        <w:rPr>
          <w:rFonts w:eastAsia="MS Mincho" w:cs="Arial"/>
          <w:lang w:val="en-GB" w:eastAsia="ja-JP"/>
        </w:rPr>
        <w:t>Example : topic bird, topic musician, …</w:t>
      </w:r>
    </w:p>
    <w:p w:rsidR="00983BF8" w:rsidRPr="00983BF8" w:rsidRDefault="00983BF8" w:rsidP="00983BF8">
      <w:pPr>
        <w:spacing w:after="120"/>
        <w:jc w:val="left"/>
        <w:rPr>
          <w:rFonts w:eastAsia="MS Mincho" w:cs="Arial"/>
          <w:lang w:val="en-GB" w:eastAsia="ja-JP"/>
        </w:rPr>
      </w:pPr>
    </w:p>
    <w:p w:rsidR="00983BF8" w:rsidRPr="00983BF8" w:rsidRDefault="00983BF8" w:rsidP="00983BF8">
      <w:pPr>
        <w:spacing w:after="120"/>
        <w:ind w:left="720" w:hanging="436"/>
        <w:contextualSpacing/>
        <w:jc w:val="left"/>
        <w:rPr>
          <w:rFonts w:eastAsia="MS Mincho" w:cs="Arial"/>
          <w:lang w:eastAsia="ja-JP"/>
        </w:rPr>
      </w:pPr>
      <w:r w:rsidRPr="00983BF8">
        <w:rPr>
          <w:rFonts w:eastAsia="MS Mincho" w:cs="Arial"/>
          <w:lang w:val="en-GB" w:eastAsia="ja-JP"/>
        </w:rPr>
        <w:t>(c)</w:t>
      </w:r>
      <w:r w:rsidRPr="00983BF8">
        <w:rPr>
          <w:rFonts w:eastAsia="MS Mincho" w:cs="Arial"/>
          <w:sz w:val="14"/>
          <w:szCs w:val="14"/>
          <w:lang w:val="en-GB" w:eastAsia="ja-JP"/>
        </w:rPr>
        <w:t xml:space="preserve"> </w:t>
      </w:r>
      <w:r w:rsidRPr="00983BF8">
        <w:rPr>
          <w:rFonts w:eastAsia="MS Mincho" w:cs="Arial"/>
          <w:lang w:eastAsia="ja-JP"/>
        </w:rPr>
        <w:t>denomination classes;</w:t>
      </w:r>
    </w:p>
    <w:p w:rsidR="00983BF8" w:rsidRPr="00983BF8" w:rsidRDefault="00983BF8" w:rsidP="00983BF8">
      <w:pPr>
        <w:jc w:val="left"/>
        <w:rPr>
          <w:rFonts w:eastAsia="MS Mincho" w:cs="Arial"/>
          <w:lang w:val="en-GB" w:eastAsia="ja-JP"/>
        </w:rPr>
      </w:pPr>
      <w:r w:rsidRPr="00983BF8">
        <w:rPr>
          <w:rFonts w:eastAsia="MS Mincho" w:cs="Arial"/>
          <w:lang w:val="en-GB" w:eastAsia="ja-JP"/>
        </w:rPr>
        <w:t xml:space="preserve">c1 - We are in favour to bring some modification regarding </w:t>
      </w:r>
      <w:r w:rsidRPr="00983BF8">
        <w:rPr>
          <w:rFonts w:eastAsia="MS Mincho" w:cs="Arial"/>
          <w:b/>
          <w:bCs/>
          <w:lang w:val="en-GB" w:eastAsia="ja-JP"/>
        </w:rPr>
        <w:t>class 205</w:t>
      </w:r>
      <w:r w:rsidRPr="00983BF8">
        <w:rPr>
          <w:rFonts w:eastAsia="MS Mincho" w:cs="Arial"/>
          <w:lang w:val="en-GB" w:eastAsia="ja-JP"/>
        </w:rPr>
        <w:t xml:space="preserve">. We propose </w:t>
      </w:r>
      <w:r w:rsidRPr="00983BF8">
        <w:rPr>
          <w:rFonts w:eastAsia="MS Mincho" w:cs="Arial"/>
          <w:b/>
          <w:bCs/>
          <w:lang w:val="en-GB" w:eastAsia="ja-JP"/>
        </w:rPr>
        <w:t>to split</w:t>
      </w:r>
      <w:r w:rsidRPr="00983BF8">
        <w:rPr>
          <w:rFonts w:eastAsia="MS Mincho" w:cs="Arial"/>
          <w:lang w:val="en-GB" w:eastAsia="ja-JP"/>
        </w:rPr>
        <w:t xml:space="preserve"> the current class 205 (Cichorium and Lactuca) into two new classes :</w:t>
      </w:r>
    </w:p>
    <w:p w:rsidR="00983BF8" w:rsidRPr="00983BF8" w:rsidRDefault="00983BF8" w:rsidP="00983BF8">
      <w:pPr>
        <w:jc w:val="left"/>
        <w:rPr>
          <w:rFonts w:eastAsia="MS Mincho" w:cs="Arial"/>
          <w:lang w:val="en-GB" w:eastAsia="ja-JP"/>
        </w:rPr>
      </w:pPr>
    </w:p>
    <w:p w:rsidR="00983BF8" w:rsidRPr="00983BF8" w:rsidRDefault="00983BF8" w:rsidP="00983BF8">
      <w:pPr>
        <w:numPr>
          <w:ilvl w:val="0"/>
          <w:numId w:val="20"/>
        </w:numPr>
        <w:jc w:val="left"/>
        <w:rPr>
          <w:rFonts w:cs="Arial"/>
          <w:lang w:val="fr-FR" w:eastAsia="ja-JP"/>
        </w:rPr>
      </w:pPr>
      <w:r w:rsidRPr="00983BF8">
        <w:rPr>
          <w:rFonts w:cs="Arial"/>
          <w:lang w:val="fr-FR" w:eastAsia="ja-JP"/>
        </w:rPr>
        <w:t>Classe : Lactuca – Cichorium endivia (frisée et scarole), Cichorium intybus var foliosum (endive/witloof et les chicorées italiennes)</w:t>
      </w:r>
    </w:p>
    <w:p w:rsidR="00983BF8" w:rsidRPr="00983BF8" w:rsidRDefault="00983BF8" w:rsidP="00983BF8">
      <w:pPr>
        <w:numPr>
          <w:ilvl w:val="0"/>
          <w:numId w:val="20"/>
        </w:numPr>
        <w:jc w:val="left"/>
        <w:rPr>
          <w:rFonts w:eastAsia="MS Mincho" w:cs="Arial"/>
          <w:lang w:val="fr-CH" w:eastAsia="ja-JP"/>
        </w:rPr>
      </w:pPr>
      <w:r w:rsidRPr="00983BF8">
        <w:rPr>
          <w:rFonts w:eastAsia="MS Mincho" w:cs="Arial"/>
          <w:lang w:val="fr-CH" w:eastAsia="ja-JP"/>
        </w:rPr>
        <w:t>Classe : C. intybus var sativum (chicorée industrielle )</w:t>
      </w:r>
    </w:p>
    <w:p w:rsidR="00983BF8" w:rsidRPr="00983BF8" w:rsidRDefault="00983BF8" w:rsidP="00983BF8">
      <w:pPr>
        <w:jc w:val="left"/>
        <w:rPr>
          <w:rFonts w:eastAsia="MS Mincho" w:cs="Arial"/>
          <w:lang w:val="fr-FR" w:eastAsia="ja-JP"/>
        </w:rPr>
      </w:pPr>
    </w:p>
    <w:p w:rsidR="00983BF8" w:rsidRPr="00983BF8" w:rsidRDefault="00983BF8" w:rsidP="00983BF8">
      <w:pPr>
        <w:jc w:val="left"/>
        <w:rPr>
          <w:rFonts w:eastAsia="MS Mincho" w:cs="Arial"/>
          <w:lang w:val="en-GB" w:eastAsia="ja-JP"/>
        </w:rPr>
      </w:pPr>
      <w:r w:rsidRPr="00983BF8">
        <w:rPr>
          <w:rFonts w:eastAsia="MS Mincho" w:cs="Arial"/>
          <w:lang w:val="en-GB" w:eastAsia="ja-JP"/>
        </w:rPr>
        <w:t>We propose a segmentation regarding the use of these species. One class includes salad-use species; the second class is dedicated to root usage.</w:t>
      </w:r>
    </w:p>
    <w:p w:rsidR="00983BF8" w:rsidRDefault="00983BF8">
      <w:pPr>
        <w:jc w:val="left"/>
        <w:rPr>
          <w:rFonts w:eastAsia="MS Mincho" w:cs="Arial"/>
          <w:lang w:val="en-GB" w:eastAsia="ja-JP"/>
        </w:rPr>
      </w:pPr>
      <w:r>
        <w:rPr>
          <w:rFonts w:eastAsia="MS Mincho" w:cs="Arial"/>
          <w:lang w:val="en-GB" w:eastAsia="ja-JP"/>
        </w:rPr>
        <w:br w:type="page"/>
      </w:r>
    </w:p>
    <w:p w:rsidR="00983BF8" w:rsidRPr="00983BF8" w:rsidRDefault="00983BF8" w:rsidP="00983BF8">
      <w:pPr>
        <w:spacing w:after="120"/>
        <w:jc w:val="left"/>
        <w:rPr>
          <w:rFonts w:eastAsia="MS Mincho" w:cs="Arial"/>
          <w:lang w:val="en-GB" w:eastAsia="ja-JP"/>
        </w:rPr>
      </w:pPr>
    </w:p>
    <w:p w:rsidR="00983BF8" w:rsidRPr="00983BF8" w:rsidRDefault="00983BF8" w:rsidP="00983BF8">
      <w:pPr>
        <w:spacing w:after="120"/>
        <w:jc w:val="left"/>
        <w:rPr>
          <w:rFonts w:eastAsia="MS Mincho" w:cs="Arial"/>
          <w:lang w:val="en-GB" w:eastAsia="ja-JP"/>
        </w:rPr>
      </w:pPr>
      <w:r w:rsidRPr="00983BF8">
        <w:rPr>
          <w:rFonts w:eastAsia="MS Mincho" w:cs="Arial"/>
          <w:lang w:val="en-GB" w:eastAsia="ja-JP"/>
        </w:rPr>
        <w:t xml:space="preserve">c2 - </w:t>
      </w:r>
      <w:r w:rsidRPr="00983BF8">
        <w:rPr>
          <w:rFonts w:eastAsia="MS Mincho" w:cs="Arial"/>
          <w:b/>
          <w:bCs/>
          <w:lang w:val="en-GB" w:eastAsia="ja-JP"/>
        </w:rPr>
        <w:t>Be careful</w:t>
      </w:r>
      <w:r w:rsidRPr="00983BF8">
        <w:rPr>
          <w:rFonts w:eastAsia="MS Mincho" w:cs="Arial"/>
          <w:lang w:val="en-GB" w:eastAsia="ja-JP"/>
        </w:rPr>
        <w:t xml:space="preserve">: In a previous e-mail dated from 02 August 2017, we proposed the split of the prunus (as below). We do </w:t>
      </w:r>
      <w:r w:rsidRPr="00983BF8">
        <w:rPr>
          <w:rFonts w:eastAsia="MS Mincho" w:cs="Arial"/>
          <w:b/>
          <w:bCs/>
          <w:u w:val="single"/>
          <w:lang w:val="en-GB" w:eastAsia="ja-JP"/>
        </w:rPr>
        <w:t>NOT</w:t>
      </w:r>
      <w:r w:rsidRPr="00983BF8">
        <w:rPr>
          <w:rFonts w:eastAsia="MS Mincho" w:cs="Arial"/>
          <w:lang w:val="en-GB" w:eastAsia="ja-JP"/>
        </w:rPr>
        <w:t xml:space="preserve"> anymore support the idea. In the meantime, we receive the position of our expert. Therefore, we propose no change regarding prunus species.</w:t>
      </w:r>
    </w:p>
    <w:p w:rsidR="00983BF8" w:rsidRPr="00983BF8" w:rsidRDefault="00983BF8" w:rsidP="00983BF8">
      <w:pPr>
        <w:spacing w:after="120"/>
        <w:jc w:val="left"/>
        <w:rPr>
          <w:rFonts w:eastAsia="MS Mincho" w:cs="Arial"/>
          <w:lang w:val="en-GB" w:eastAsia="ja-JP"/>
        </w:rPr>
      </w:pPr>
      <w:r w:rsidRPr="00983BF8">
        <w:rPr>
          <w:rFonts w:eastAsia="MS Mincho" w:cs="Arial"/>
          <w:noProof/>
        </w:rPr>
        <w:drawing>
          <wp:anchor distT="0" distB="0" distL="114300" distR="114300" simplePos="0" relativeHeight="251667456" behindDoc="0" locked="0" layoutInCell="1" allowOverlap="1" wp14:anchorId="4E6327BE" wp14:editId="4CF88A86">
            <wp:simplePos x="0" y="0"/>
            <wp:positionH relativeFrom="column">
              <wp:posOffset>-110490</wp:posOffset>
            </wp:positionH>
            <wp:positionV relativeFrom="paragraph">
              <wp:posOffset>20320</wp:posOffset>
            </wp:positionV>
            <wp:extent cx="5966460" cy="3314700"/>
            <wp:effectExtent l="0" t="0" r="0" b="0"/>
            <wp:wrapNone/>
            <wp:docPr id="16" name="Connecteur droi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necteur droit 3"/>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66460" cy="3314700"/>
                    </a:xfrm>
                    <a:prstGeom prst="rect">
                      <a:avLst/>
                    </a:prstGeom>
                    <a:noFill/>
                  </pic:spPr>
                </pic:pic>
              </a:graphicData>
            </a:graphic>
            <wp14:sizeRelH relativeFrom="page">
              <wp14:pctWidth>0</wp14:pctWidth>
            </wp14:sizeRelH>
            <wp14:sizeRelV relativeFrom="page">
              <wp14:pctHeight>0</wp14:pctHeight>
            </wp14:sizeRelV>
          </wp:anchor>
        </w:drawing>
      </w:r>
      <w:r w:rsidRPr="00983BF8">
        <w:rPr>
          <w:rFonts w:eastAsia="MS Mincho" w:cs="Arial"/>
          <w:noProof/>
        </w:rPr>
        <w:drawing>
          <wp:anchor distT="0" distB="0" distL="114300" distR="114300" simplePos="0" relativeHeight="251666432" behindDoc="0" locked="0" layoutInCell="1" allowOverlap="1" wp14:anchorId="1CB6E493" wp14:editId="2F6B9C97">
            <wp:simplePos x="0" y="0"/>
            <wp:positionH relativeFrom="column">
              <wp:posOffset>-110491</wp:posOffset>
            </wp:positionH>
            <wp:positionV relativeFrom="paragraph">
              <wp:posOffset>1588</wp:posOffset>
            </wp:positionV>
            <wp:extent cx="5967413" cy="3333750"/>
            <wp:effectExtent l="0" t="0" r="0" b="0"/>
            <wp:wrapNone/>
            <wp:docPr id="15" name="Connecteur droi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necteur droit 2"/>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67413" cy="3333750"/>
                    </a:xfrm>
                    <a:prstGeom prst="rect">
                      <a:avLst/>
                    </a:prstGeom>
                    <a:noFill/>
                  </pic:spPr>
                </pic:pic>
              </a:graphicData>
            </a:graphic>
            <wp14:sizeRelH relativeFrom="page">
              <wp14:pctWidth>0</wp14:pctWidth>
            </wp14:sizeRelH>
            <wp14:sizeRelV relativeFrom="page">
              <wp14:pctHeight>0</wp14:pctHeight>
            </wp14:sizeRelV>
          </wp:anchor>
        </w:drawing>
      </w:r>
      <w:r w:rsidRPr="00983BF8">
        <w:rPr>
          <w:rFonts w:eastAsia="MS Mincho" w:cs="Arial"/>
          <w:noProof/>
        </w:rPr>
        <w:drawing>
          <wp:inline distT="0" distB="0" distL="0" distR="0" wp14:anchorId="161A72DD" wp14:editId="0FB556AA">
            <wp:extent cx="5943600" cy="3333750"/>
            <wp:effectExtent l="0" t="0" r="0" b="0"/>
            <wp:docPr id="17" name="Image 1" descr="cid:image004.png@01D4138E.1845A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4.png@01D4138E.1845AC1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943600" cy="3333750"/>
                    </a:xfrm>
                    <a:prstGeom prst="rect">
                      <a:avLst/>
                    </a:prstGeom>
                    <a:noFill/>
                    <a:ln>
                      <a:noFill/>
                    </a:ln>
                  </pic:spPr>
                </pic:pic>
              </a:graphicData>
            </a:graphic>
          </wp:inline>
        </w:drawing>
      </w:r>
    </w:p>
    <w:p w:rsidR="00983BF8" w:rsidRPr="00983BF8" w:rsidRDefault="00983BF8" w:rsidP="00983BF8">
      <w:pPr>
        <w:spacing w:after="120"/>
        <w:jc w:val="left"/>
        <w:rPr>
          <w:rFonts w:eastAsia="MS Mincho" w:cs="Arial"/>
          <w:lang w:val="en-GB" w:eastAsia="ja-JP"/>
        </w:rPr>
      </w:pPr>
    </w:p>
    <w:p w:rsidR="00983BF8" w:rsidRPr="00983BF8" w:rsidRDefault="00983BF8" w:rsidP="00983BF8">
      <w:pPr>
        <w:spacing w:after="120"/>
        <w:ind w:left="720"/>
        <w:contextualSpacing/>
        <w:jc w:val="left"/>
        <w:rPr>
          <w:rFonts w:eastAsia="MS Mincho" w:cs="Arial"/>
          <w:lang w:val="en-GB" w:eastAsia="ja-JP"/>
        </w:rPr>
      </w:pPr>
    </w:p>
    <w:p w:rsidR="00983BF8" w:rsidRPr="00983BF8" w:rsidRDefault="00983BF8" w:rsidP="00983BF8">
      <w:pPr>
        <w:spacing w:after="120"/>
        <w:ind w:left="720" w:hanging="436"/>
        <w:contextualSpacing/>
        <w:jc w:val="left"/>
        <w:rPr>
          <w:rFonts w:eastAsia="MS Mincho" w:cs="Arial"/>
          <w:lang w:eastAsia="ja-JP"/>
        </w:rPr>
      </w:pPr>
      <w:r w:rsidRPr="00983BF8">
        <w:rPr>
          <w:rFonts w:eastAsia="MS Mincho" w:cs="Arial"/>
          <w:lang w:val="en-GB" w:eastAsia="ja-JP"/>
        </w:rPr>
        <w:t>(d)</w:t>
      </w:r>
      <w:r w:rsidRPr="00983BF8">
        <w:rPr>
          <w:rFonts w:eastAsia="MS Mincho" w:cs="Arial"/>
          <w:sz w:val="14"/>
          <w:szCs w:val="14"/>
          <w:lang w:val="en-GB" w:eastAsia="ja-JP"/>
        </w:rPr>
        <w:t xml:space="preserve"> </w:t>
      </w:r>
      <w:r w:rsidRPr="00983BF8">
        <w:rPr>
          <w:rFonts w:eastAsia="MS Mincho" w:cs="Arial"/>
          <w:lang w:eastAsia="ja-JP"/>
        </w:rPr>
        <w:t>ways to use a UPOV denomination similarity search tool.</w:t>
      </w:r>
    </w:p>
    <w:p w:rsidR="00983BF8" w:rsidRDefault="00983BF8" w:rsidP="00983BF8">
      <w:pPr>
        <w:jc w:val="left"/>
        <w:rPr>
          <w:rFonts w:eastAsia="MS Mincho" w:cs="Arial"/>
          <w:lang w:val="en-GB" w:eastAsia="ja-JP"/>
        </w:rPr>
      </w:pPr>
    </w:p>
    <w:p w:rsidR="00983BF8" w:rsidRPr="00983BF8" w:rsidRDefault="00983BF8" w:rsidP="00983BF8">
      <w:pPr>
        <w:jc w:val="left"/>
        <w:rPr>
          <w:rFonts w:eastAsia="MS Mincho" w:cs="Arial"/>
          <w:lang w:val="en-GB" w:eastAsia="ja-JP"/>
        </w:rPr>
      </w:pPr>
      <w:r w:rsidRPr="00983BF8">
        <w:rPr>
          <w:rFonts w:eastAsia="MS Mincho" w:cs="Arial"/>
          <w:lang w:val="en-GB" w:eastAsia="ja-JP"/>
        </w:rPr>
        <w:t xml:space="preserve">We have no specific comment on this question. </w:t>
      </w:r>
    </w:p>
    <w:p w:rsidR="00983BF8" w:rsidRPr="00983BF8" w:rsidRDefault="00983BF8" w:rsidP="00983BF8">
      <w:pPr>
        <w:jc w:val="left"/>
        <w:rPr>
          <w:rFonts w:eastAsia="MS Mincho" w:cs="Arial"/>
          <w:lang w:val="en-GB" w:eastAsia="ja-JP"/>
        </w:rPr>
      </w:pPr>
    </w:p>
    <w:p w:rsidR="00EA4900" w:rsidRDefault="00EA4900" w:rsidP="00EA4900">
      <w:r>
        <w:t>[…]</w:t>
      </w:r>
    </w:p>
    <w:p w:rsidR="00EA4900" w:rsidRDefault="00EA4900" w:rsidP="00EA4900"/>
    <w:p w:rsidR="00EA4900" w:rsidRDefault="00EA4900" w:rsidP="00EA4900">
      <w:pPr>
        <w:jc w:val="right"/>
      </w:pPr>
      <w:r>
        <w:t>[Annex IV follows]</w:t>
      </w:r>
    </w:p>
    <w:p w:rsidR="00EA4900" w:rsidRDefault="00EA4900" w:rsidP="00EA4900">
      <w:pPr>
        <w:jc w:val="right"/>
        <w:sectPr w:rsidR="00EA4900" w:rsidSect="00E27D83">
          <w:headerReference w:type="default" r:id="rId30"/>
          <w:headerReference w:type="first" r:id="rId31"/>
          <w:pgSz w:w="11907" w:h="16840" w:code="9"/>
          <w:pgMar w:top="510" w:right="1134" w:bottom="1134" w:left="1134" w:header="510" w:footer="624" w:gutter="0"/>
          <w:pgNumType w:start="1"/>
          <w:cols w:space="720"/>
          <w:titlePg/>
        </w:sectPr>
      </w:pPr>
    </w:p>
    <w:p w:rsidR="00EA4900" w:rsidRPr="00B44DAA" w:rsidRDefault="00EA4900" w:rsidP="00EA4900"/>
    <w:p w:rsidR="00EA4900" w:rsidRDefault="00021152" w:rsidP="00EA4900">
      <w:pPr>
        <w:jc w:val="center"/>
        <w:rPr>
          <w:lang w:eastAsia="ja-JP"/>
        </w:rPr>
      </w:pPr>
      <w:r w:rsidRPr="00021152">
        <w:rPr>
          <w:lang w:eastAsia="ja-JP"/>
        </w:rPr>
        <w:t>RESPONSE FROM JAPAN TO UPOV CIRCULAR E</w:t>
      </w:r>
      <w:r>
        <w:rPr>
          <w:lang w:eastAsia="ja-JP"/>
        </w:rPr>
        <w:t>-</w:t>
      </w:r>
      <w:r w:rsidRPr="00021152">
        <w:rPr>
          <w:lang w:eastAsia="ja-JP"/>
        </w:rPr>
        <w:t>18/064</w:t>
      </w:r>
    </w:p>
    <w:p w:rsidR="00231136" w:rsidRPr="000F1873" w:rsidRDefault="00231136" w:rsidP="00EA4900">
      <w:pPr>
        <w:spacing w:before="120" w:after="120"/>
      </w:pPr>
    </w:p>
    <w:p w:rsidR="00231136" w:rsidRPr="000F1873" w:rsidRDefault="00231136" w:rsidP="00EA4900">
      <w:pPr>
        <w:spacing w:before="120" w:after="120"/>
      </w:pPr>
    </w:p>
    <w:p w:rsidR="00231136" w:rsidRPr="00231136" w:rsidRDefault="00231136" w:rsidP="00231136">
      <w:pPr>
        <w:spacing w:before="120" w:after="120"/>
      </w:pPr>
      <w:r w:rsidRPr="00231136">
        <w:t>We would like to provide a comment about “(b) practices to identify the breeder” as follows.</w:t>
      </w:r>
    </w:p>
    <w:p w:rsidR="00231136" w:rsidRPr="00231136" w:rsidRDefault="00231136" w:rsidP="00231136">
      <w:pPr>
        <w:spacing w:before="120" w:after="120"/>
      </w:pPr>
      <w:r w:rsidRPr="00231136">
        <w:t>In the case of Japan, we had been implemented the practices to the identity of the breeder at the examination of the denomination in order to avoid misleading or confusion for the user of the variety based on the 2.3.4 Identity of the breeder, INF/12/5. ‘The variety denomination should not mislead or cause confusion concerning the identity of the breeder’.</w:t>
      </w:r>
    </w:p>
    <w:p w:rsidR="00231136" w:rsidRPr="00231136" w:rsidRDefault="00231136" w:rsidP="00231136">
      <w:pPr>
        <w:spacing w:before="120" w:after="120"/>
      </w:pPr>
    </w:p>
    <w:p w:rsidR="00231136" w:rsidRPr="00231136" w:rsidRDefault="00231136" w:rsidP="00231136">
      <w:pPr>
        <w:spacing w:before="120" w:after="120"/>
      </w:pPr>
      <w:r w:rsidRPr="00231136">
        <w:t>It is considered preferable to exclude the denomination which make cause misleading or</w:t>
      </w:r>
      <w:r>
        <w:t xml:space="preserve"> </w:t>
      </w:r>
      <w:r w:rsidRPr="00231136">
        <w:t>confusion to the other breeder as much as possible if their prefix have sufficient distinguishability and several varieties registered by the denomination with the same prefix.</w:t>
      </w:r>
    </w:p>
    <w:p w:rsidR="00231136" w:rsidRDefault="00231136" w:rsidP="00231136"/>
    <w:p w:rsidR="00231136" w:rsidRDefault="00231136" w:rsidP="00231136">
      <w:r>
        <w:t>[…]</w:t>
      </w:r>
    </w:p>
    <w:p w:rsidR="00EA4900" w:rsidRPr="000F1873" w:rsidRDefault="00EA4900" w:rsidP="00EA4900"/>
    <w:p w:rsidR="00EA4900" w:rsidRPr="000F1873" w:rsidRDefault="00EA4900" w:rsidP="00EA4900"/>
    <w:p w:rsidR="00EA4900" w:rsidRPr="000F1873" w:rsidRDefault="00EA4900" w:rsidP="00EA4900"/>
    <w:p w:rsidR="00EA4900" w:rsidRDefault="00EA4900" w:rsidP="00EA4900">
      <w:pPr>
        <w:jc w:val="right"/>
        <w:sectPr w:rsidR="00EA4900" w:rsidSect="00E27D83">
          <w:headerReference w:type="default" r:id="rId32"/>
          <w:headerReference w:type="first" r:id="rId33"/>
          <w:pgSz w:w="11907" w:h="16840" w:code="9"/>
          <w:pgMar w:top="510" w:right="1134" w:bottom="851" w:left="1134" w:header="510" w:footer="624" w:gutter="0"/>
          <w:pgNumType w:start="1"/>
          <w:cols w:space="720"/>
          <w:titlePg/>
        </w:sectPr>
      </w:pPr>
      <w:r>
        <w:t>[Annex V follows]</w:t>
      </w:r>
    </w:p>
    <w:p w:rsidR="00EA4900" w:rsidRPr="00B44DAA" w:rsidRDefault="00EA4900" w:rsidP="00EA4900"/>
    <w:p w:rsidR="00EA4900" w:rsidRPr="00B44DAA" w:rsidRDefault="00EA4900" w:rsidP="00EA4900">
      <w:pPr>
        <w:jc w:val="center"/>
      </w:pPr>
    </w:p>
    <w:p w:rsidR="00EA4900" w:rsidRDefault="00021152" w:rsidP="00EA4900">
      <w:pPr>
        <w:jc w:val="center"/>
        <w:rPr>
          <w:lang w:eastAsia="ja-JP"/>
        </w:rPr>
      </w:pPr>
      <w:r w:rsidRPr="00021152">
        <w:rPr>
          <w:lang w:eastAsia="ja-JP"/>
        </w:rPr>
        <w:t>RESPONSE FROM NEW ZEALAND TO UPOV CIRCULAR E</w:t>
      </w:r>
      <w:r>
        <w:rPr>
          <w:lang w:eastAsia="ja-JP"/>
        </w:rPr>
        <w:t>-</w:t>
      </w:r>
      <w:r w:rsidRPr="00021152">
        <w:rPr>
          <w:lang w:eastAsia="ja-JP"/>
        </w:rPr>
        <w:t>18/064</w:t>
      </w:r>
    </w:p>
    <w:p w:rsidR="00EA4900" w:rsidRDefault="00EA4900" w:rsidP="00EA4900"/>
    <w:p w:rsidR="00EA4900" w:rsidRDefault="00EA4900" w:rsidP="00EA4900"/>
    <w:p w:rsidR="00AB588B" w:rsidRPr="00AB588B" w:rsidRDefault="00AB588B" w:rsidP="00AB588B">
      <w:pPr>
        <w:ind w:left="360"/>
        <w:contextualSpacing/>
        <w:jc w:val="left"/>
        <w:rPr>
          <w:rFonts w:eastAsia="MS Mincho" w:cs="Arial"/>
          <w:lang w:val="en-NZ" w:eastAsia="ja-JP"/>
        </w:rPr>
      </w:pPr>
      <w:r w:rsidRPr="00AB588B">
        <w:rPr>
          <w:rFonts w:eastAsia="MS Mincho" w:cs="Arial"/>
          <w:lang w:val="en-NZ" w:eastAsia="ja-JP"/>
        </w:rPr>
        <w:t>In response to C</w:t>
      </w:r>
      <w:r w:rsidR="00DF548A">
        <w:rPr>
          <w:rFonts w:eastAsia="MS Mincho" w:cs="Arial"/>
          <w:lang w:val="en-NZ" w:eastAsia="ja-JP"/>
        </w:rPr>
        <w:t>i</w:t>
      </w:r>
      <w:r w:rsidRPr="00AB588B">
        <w:rPr>
          <w:rFonts w:eastAsia="MS Mincho" w:cs="Arial"/>
          <w:lang w:val="en-NZ" w:eastAsia="ja-JP"/>
        </w:rPr>
        <w:t xml:space="preserve">rcular E-18/604 WGDEN/5 </w:t>
      </w:r>
    </w:p>
    <w:p w:rsidR="00AB588B" w:rsidRPr="00AB588B" w:rsidRDefault="00AB588B" w:rsidP="00AB588B">
      <w:pPr>
        <w:ind w:left="720"/>
        <w:contextualSpacing/>
        <w:rPr>
          <w:rFonts w:eastAsia="MS Mincho" w:cs="Arial"/>
          <w:lang w:val="en-NZ" w:eastAsia="ja-JP"/>
        </w:rPr>
      </w:pPr>
    </w:p>
    <w:p w:rsidR="00AB588B" w:rsidRPr="00AB588B" w:rsidRDefault="00AB588B" w:rsidP="00AB588B">
      <w:pPr>
        <w:numPr>
          <w:ilvl w:val="0"/>
          <w:numId w:val="22"/>
        </w:numPr>
        <w:contextualSpacing/>
        <w:jc w:val="left"/>
        <w:rPr>
          <w:rFonts w:eastAsia="MS Mincho" w:cs="Arial"/>
          <w:lang w:val="en-NZ" w:eastAsia="ja-JP"/>
        </w:rPr>
      </w:pPr>
      <w:r w:rsidRPr="00AB588B">
        <w:rPr>
          <w:rFonts w:eastAsia="MS Mincho" w:cs="Arial"/>
          <w:lang w:val="en-NZ" w:eastAsia="ja-JP"/>
        </w:rPr>
        <w:t>Proposal to amend Denomination Classes</w:t>
      </w:r>
    </w:p>
    <w:p w:rsidR="00AB588B" w:rsidRPr="00AB588B" w:rsidRDefault="00AB588B" w:rsidP="00AB588B">
      <w:pPr>
        <w:jc w:val="left"/>
        <w:rPr>
          <w:rFonts w:eastAsia="MS Mincho" w:cs="Arial"/>
          <w:lang w:val="en-NZ" w:eastAsia="ja-JP"/>
        </w:rPr>
      </w:pPr>
    </w:p>
    <w:p w:rsidR="00AB588B" w:rsidRPr="00AB588B" w:rsidRDefault="00AB588B" w:rsidP="00AB588B">
      <w:pPr>
        <w:ind w:left="360"/>
        <w:jc w:val="left"/>
        <w:rPr>
          <w:rFonts w:eastAsia="MS Mincho" w:cs="Arial"/>
          <w:lang w:val="en-NZ" w:eastAsia="ja-JP"/>
        </w:rPr>
      </w:pPr>
      <w:r w:rsidRPr="00AB588B">
        <w:rPr>
          <w:rFonts w:eastAsia="MS Mincho" w:cs="Arial"/>
          <w:lang w:val="en-NZ" w:eastAsia="ja-JP"/>
        </w:rPr>
        <w:t>Varieties of fungal endophytes belonging to the genus Epichloe (formerly Neotyphodium) with UPOV Codes EPICH and NEOTY can only exist in a host grass species. Commercial sale of these varieties also require the sale of the host grass seed, which could be of a protected variety. For this reason it is not desirable for the denomination of a fungal endophyte variety to be the same or very similar to the denomination of a possible host variety.</w:t>
      </w:r>
    </w:p>
    <w:p w:rsidR="00AB588B" w:rsidRPr="00AB588B" w:rsidRDefault="00AB588B" w:rsidP="00AB588B">
      <w:pPr>
        <w:ind w:left="360"/>
        <w:jc w:val="left"/>
        <w:rPr>
          <w:rFonts w:eastAsia="MS Mincho" w:cs="Arial"/>
          <w:lang w:val="en-NZ" w:eastAsia="ja-JP"/>
        </w:rPr>
      </w:pPr>
    </w:p>
    <w:p w:rsidR="00AB588B" w:rsidRPr="00AB588B" w:rsidRDefault="00AB588B" w:rsidP="00AB588B">
      <w:pPr>
        <w:ind w:left="360"/>
        <w:jc w:val="left"/>
        <w:rPr>
          <w:rFonts w:eastAsia="MS Mincho" w:cs="Arial"/>
          <w:lang w:val="en-NZ" w:eastAsia="ja-JP"/>
        </w:rPr>
      </w:pPr>
      <w:r w:rsidRPr="00AB588B">
        <w:rPr>
          <w:rFonts w:eastAsia="MS Mincho" w:cs="Arial"/>
          <w:lang w:val="en-NZ" w:eastAsia="ja-JP"/>
        </w:rPr>
        <w:t>We propose that EPICH and NEOTY be added to Class 203 (Agrostis, Dactylis, Festuca, Festulolium, Lolium, Phalaris, Phleum and Poa.)</w:t>
      </w:r>
    </w:p>
    <w:p w:rsidR="00AB588B" w:rsidRPr="00AB588B" w:rsidRDefault="00AB588B" w:rsidP="00AB588B">
      <w:pPr>
        <w:ind w:left="360"/>
        <w:jc w:val="left"/>
        <w:rPr>
          <w:rFonts w:eastAsia="MS Mincho" w:cs="Arial"/>
          <w:lang w:val="en-NZ" w:eastAsia="ja-JP"/>
        </w:rPr>
      </w:pPr>
    </w:p>
    <w:p w:rsidR="00AB588B" w:rsidRPr="00AB588B" w:rsidRDefault="00AB588B" w:rsidP="00AB588B">
      <w:pPr>
        <w:numPr>
          <w:ilvl w:val="0"/>
          <w:numId w:val="22"/>
        </w:numPr>
        <w:contextualSpacing/>
        <w:jc w:val="left"/>
        <w:rPr>
          <w:rFonts w:eastAsia="MS Mincho" w:cs="Arial"/>
          <w:lang w:val="en-NZ" w:eastAsia="ja-JP"/>
        </w:rPr>
      </w:pPr>
      <w:r w:rsidRPr="00AB588B">
        <w:rPr>
          <w:rFonts w:eastAsia="MS Mincho" w:cs="Arial"/>
          <w:lang w:val="en-NZ" w:eastAsia="ja-JP"/>
        </w:rPr>
        <w:t>Practices to identify the breeder</w:t>
      </w:r>
    </w:p>
    <w:p w:rsidR="00AB588B" w:rsidRPr="00AB588B" w:rsidRDefault="00AB588B" w:rsidP="00AB588B">
      <w:pPr>
        <w:ind w:left="1080"/>
        <w:contextualSpacing/>
        <w:rPr>
          <w:rFonts w:eastAsia="MS Mincho" w:cs="Arial"/>
          <w:lang w:val="en-NZ" w:eastAsia="ja-JP"/>
        </w:rPr>
      </w:pPr>
    </w:p>
    <w:p w:rsidR="00AB588B" w:rsidRPr="00AB588B" w:rsidRDefault="00AB588B" w:rsidP="00AB588B">
      <w:pPr>
        <w:ind w:left="1080"/>
        <w:contextualSpacing/>
        <w:rPr>
          <w:rFonts w:eastAsia="MS Mincho" w:cs="Arial"/>
          <w:lang w:val="en-NZ" w:eastAsia="ja-JP"/>
        </w:rPr>
      </w:pPr>
      <w:r w:rsidRPr="00AB588B">
        <w:rPr>
          <w:rFonts w:eastAsia="MS Mincho" w:cs="Arial"/>
          <w:lang w:val="en-NZ" w:eastAsia="ja-JP"/>
        </w:rPr>
        <w:t>The breeders practice of identifying themselves using a prefix, suffix or code as part of a denomination is well established. There are many existing examples.</w:t>
      </w:r>
    </w:p>
    <w:p w:rsidR="00AB588B" w:rsidRPr="00AB588B" w:rsidRDefault="00AB588B" w:rsidP="00AB588B">
      <w:pPr>
        <w:ind w:left="1080"/>
        <w:contextualSpacing/>
        <w:rPr>
          <w:rFonts w:eastAsia="MS Mincho" w:cs="Arial"/>
          <w:lang w:val="en-NZ" w:eastAsia="ja-JP"/>
        </w:rPr>
      </w:pPr>
      <w:r w:rsidRPr="00AB588B">
        <w:rPr>
          <w:rFonts w:eastAsia="MS Mincho" w:cs="Arial"/>
          <w:lang w:val="en-NZ" w:eastAsia="ja-JP"/>
        </w:rPr>
        <w:t>Rose `Dicgrow’ Dickson Roses</w:t>
      </w:r>
    </w:p>
    <w:p w:rsidR="00AB588B" w:rsidRPr="00AB588B" w:rsidRDefault="00AB588B" w:rsidP="00AB588B">
      <w:pPr>
        <w:ind w:left="1080"/>
        <w:contextualSpacing/>
        <w:rPr>
          <w:rFonts w:eastAsia="MS Mincho" w:cs="Arial"/>
          <w:lang w:val="en-NZ" w:eastAsia="ja-JP"/>
        </w:rPr>
      </w:pPr>
      <w:r w:rsidRPr="00AB588B">
        <w:rPr>
          <w:rFonts w:eastAsia="MS Mincho" w:cs="Arial"/>
          <w:lang w:val="en-NZ" w:eastAsia="ja-JP"/>
        </w:rPr>
        <w:t>Alstroemeria `Zantrice’ Van Zanten Plants</w:t>
      </w:r>
    </w:p>
    <w:p w:rsidR="00AB588B" w:rsidRPr="00AB588B" w:rsidRDefault="00AB588B" w:rsidP="00AB588B">
      <w:pPr>
        <w:ind w:left="1080"/>
        <w:contextualSpacing/>
        <w:rPr>
          <w:rFonts w:eastAsia="MS Mincho" w:cs="Arial"/>
          <w:lang w:val="en-NZ" w:eastAsia="ja-JP"/>
        </w:rPr>
      </w:pPr>
      <w:r w:rsidRPr="00AB588B">
        <w:rPr>
          <w:rFonts w:eastAsia="MS Mincho" w:cs="Arial"/>
          <w:lang w:val="en-NZ" w:eastAsia="ja-JP"/>
        </w:rPr>
        <w:t>Strawberry `Drisstrawsixteen’ Driscolls Inc.</w:t>
      </w:r>
    </w:p>
    <w:p w:rsidR="00AB588B" w:rsidRPr="00AB588B" w:rsidRDefault="00AB588B" w:rsidP="00AB588B">
      <w:pPr>
        <w:ind w:left="1080"/>
        <w:contextualSpacing/>
        <w:rPr>
          <w:rFonts w:eastAsia="MS Mincho" w:cs="Arial"/>
          <w:lang w:val="en-NZ" w:eastAsia="ja-JP"/>
        </w:rPr>
      </w:pPr>
      <w:r w:rsidRPr="00AB588B">
        <w:rPr>
          <w:rFonts w:eastAsia="MS Mincho" w:cs="Arial"/>
          <w:lang w:val="en-NZ" w:eastAsia="ja-JP"/>
        </w:rPr>
        <w:t>Potato `Crop34’ NZ Institute for Plant and Food Research Ltd.</w:t>
      </w:r>
    </w:p>
    <w:p w:rsidR="00AB588B" w:rsidRPr="00AB588B" w:rsidRDefault="00AB588B" w:rsidP="00AB588B">
      <w:pPr>
        <w:ind w:left="1080"/>
        <w:contextualSpacing/>
        <w:rPr>
          <w:rFonts w:eastAsia="MS Mincho" w:cs="Arial"/>
          <w:lang w:val="en-NZ" w:eastAsia="ja-JP"/>
        </w:rPr>
      </w:pPr>
    </w:p>
    <w:p w:rsidR="00AB588B" w:rsidRPr="00AB588B" w:rsidRDefault="00AB588B" w:rsidP="00AB588B">
      <w:pPr>
        <w:ind w:left="1080"/>
        <w:contextualSpacing/>
        <w:rPr>
          <w:rFonts w:eastAsia="MS Mincho" w:cs="Arial"/>
          <w:lang w:val="en-NZ" w:eastAsia="ja-JP"/>
        </w:rPr>
      </w:pPr>
      <w:r w:rsidRPr="00AB588B">
        <w:rPr>
          <w:rFonts w:eastAsia="MS Mincho" w:cs="Arial"/>
          <w:lang w:val="en-NZ" w:eastAsia="ja-JP"/>
        </w:rPr>
        <w:t>The above practice generally consists of understandable or pronounceable words. In recent years there has been a change with the increasing frequency of letter and number combinations.</w:t>
      </w:r>
    </w:p>
    <w:p w:rsidR="00AB588B" w:rsidRPr="00AB588B" w:rsidRDefault="00AB588B" w:rsidP="00AB588B">
      <w:pPr>
        <w:ind w:left="1080"/>
        <w:contextualSpacing/>
        <w:rPr>
          <w:rFonts w:eastAsia="MS Mincho" w:cs="Arial"/>
          <w:lang w:val="en-NZ" w:eastAsia="ja-JP"/>
        </w:rPr>
      </w:pPr>
    </w:p>
    <w:p w:rsidR="00AB588B" w:rsidRPr="00AB588B" w:rsidRDefault="00AB588B" w:rsidP="00AB588B">
      <w:pPr>
        <w:ind w:left="1080"/>
        <w:contextualSpacing/>
        <w:rPr>
          <w:rFonts w:eastAsia="MS Mincho" w:cs="Arial"/>
          <w:lang w:val="en-NZ" w:eastAsia="ja-JP"/>
        </w:rPr>
      </w:pPr>
      <w:r w:rsidRPr="00AB588B">
        <w:rPr>
          <w:rFonts w:eastAsia="MS Mincho" w:cs="Arial"/>
          <w:lang w:val="en-NZ" w:eastAsia="ja-JP"/>
        </w:rPr>
        <w:t xml:space="preserve">Apple `MINNB42’ University of Minnesota </w:t>
      </w:r>
    </w:p>
    <w:p w:rsidR="00AB588B" w:rsidRPr="00AB588B" w:rsidRDefault="00AB588B" w:rsidP="00AB588B">
      <w:pPr>
        <w:ind w:left="1080"/>
        <w:contextualSpacing/>
        <w:rPr>
          <w:rFonts w:eastAsia="MS Mincho" w:cs="Arial"/>
          <w:lang w:val="en-NZ" w:eastAsia="ja-JP"/>
        </w:rPr>
      </w:pPr>
      <w:r w:rsidRPr="00AB588B">
        <w:rPr>
          <w:rFonts w:eastAsia="MS Mincho" w:cs="Arial"/>
          <w:lang w:val="en-NZ" w:eastAsia="ja-JP"/>
        </w:rPr>
        <w:t>Blueberry `ZF06-179’ Conrad Pyle Company</w:t>
      </w:r>
    </w:p>
    <w:p w:rsidR="00AB588B" w:rsidRPr="00AB588B" w:rsidRDefault="00AB588B" w:rsidP="00AB588B">
      <w:pPr>
        <w:ind w:left="1080"/>
        <w:contextualSpacing/>
        <w:rPr>
          <w:rFonts w:eastAsia="MS Mincho" w:cs="Arial"/>
          <w:lang w:val="en-NZ" w:eastAsia="ja-JP"/>
        </w:rPr>
      </w:pPr>
      <w:r w:rsidRPr="00AB588B">
        <w:rPr>
          <w:rFonts w:eastAsia="MS Mincho" w:cs="Arial"/>
          <w:lang w:val="en-NZ" w:eastAsia="ja-JP"/>
        </w:rPr>
        <w:t xml:space="preserve">Blackberry `APF-45’ University of Arkansas </w:t>
      </w:r>
    </w:p>
    <w:p w:rsidR="00AB588B" w:rsidRPr="00AB588B" w:rsidRDefault="00AB588B" w:rsidP="000F1873">
      <w:pPr>
        <w:ind w:left="873" w:firstLine="207"/>
        <w:jc w:val="left"/>
        <w:rPr>
          <w:rFonts w:eastAsia="MS Mincho" w:cs="Arial"/>
          <w:lang w:val="en-NZ" w:eastAsia="ja-JP"/>
        </w:rPr>
      </w:pPr>
      <w:r w:rsidRPr="00AB588B">
        <w:rPr>
          <w:rFonts w:eastAsia="MS Mincho" w:cs="Arial"/>
          <w:lang w:val="en-NZ" w:eastAsia="ja-JP"/>
        </w:rPr>
        <w:t>Cocksfoot `LE12-90’ INIA</w:t>
      </w:r>
    </w:p>
    <w:p w:rsidR="00AB588B" w:rsidRPr="00AB588B" w:rsidRDefault="00AB588B" w:rsidP="00AB588B">
      <w:pPr>
        <w:ind w:left="360"/>
        <w:jc w:val="left"/>
        <w:rPr>
          <w:rFonts w:eastAsia="MS Mincho" w:cs="Arial"/>
          <w:lang w:val="en-NZ" w:eastAsia="ja-JP"/>
        </w:rPr>
      </w:pPr>
    </w:p>
    <w:p w:rsidR="00AB588B" w:rsidRPr="00AB588B" w:rsidRDefault="00AB588B" w:rsidP="00AB588B">
      <w:pPr>
        <w:ind w:left="360"/>
        <w:jc w:val="left"/>
        <w:rPr>
          <w:rFonts w:eastAsia="MS Mincho" w:cs="Arial"/>
          <w:lang w:val="en-NZ" w:eastAsia="ja-JP"/>
        </w:rPr>
      </w:pPr>
      <w:r w:rsidRPr="00AB588B">
        <w:rPr>
          <w:rFonts w:eastAsia="MS Mincho" w:cs="Arial"/>
          <w:lang w:val="en-NZ" w:eastAsia="ja-JP"/>
        </w:rPr>
        <w:t xml:space="preserve">The above varieties identify the breeder/owner but in a different way to previous denominations of this type. A denomination of the letter and number combination type is often similar to other denominations. Providing such a recognisable series is clearly from the same breeder, similar denominations can be acceptable. </w:t>
      </w:r>
    </w:p>
    <w:p w:rsidR="00EA4900" w:rsidRDefault="00EA4900" w:rsidP="00EA4900">
      <w:pPr>
        <w:rPr>
          <w:rFonts w:cs="Arial"/>
        </w:rPr>
      </w:pPr>
    </w:p>
    <w:p w:rsidR="00AB588B" w:rsidRDefault="00AB588B" w:rsidP="00AB588B">
      <w:r>
        <w:t>[…]</w:t>
      </w:r>
    </w:p>
    <w:p w:rsidR="00AB588B" w:rsidRDefault="00AB588B" w:rsidP="00EA4900">
      <w:pPr>
        <w:rPr>
          <w:rFonts w:cs="Arial"/>
        </w:rPr>
      </w:pPr>
    </w:p>
    <w:p w:rsidR="00AB588B" w:rsidRDefault="00AB588B" w:rsidP="00EA4900">
      <w:pPr>
        <w:rPr>
          <w:rFonts w:cs="Arial"/>
        </w:rPr>
      </w:pPr>
    </w:p>
    <w:p w:rsidR="00AB588B" w:rsidRDefault="00AB588B" w:rsidP="00EA4900">
      <w:pPr>
        <w:rPr>
          <w:rFonts w:cs="Arial"/>
        </w:rPr>
      </w:pPr>
    </w:p>
    <w:p w:rsidR="00EA4900" w:rsidRDefault="00EA4900" w:rsidP="00EA4900">
      <w:pPr>
        <w:jc w:val="right"/>
        <w:rPr>
          <w:rFonts w:cs="Arial"/>
        </w:rPr>
        <w:sectPr w:rsidR="00EA4900" w:rsidSect="00E27D83">
          <w:headerReference w:type="first" r:id="rId34"/>
          <w:pgSz w:w="11907" w:h="16840" w:code="9"/>
          <w:pgMar w:top="510" w:right="1134" w:bottom="851" w:left="1134" w:header="510" w:footer="624" w:gutter="0"/>
          <w:pgNumType w:start="1"/>
          <w:cols w:space="720"/>
          <w:titlePg/>
        </w:sectPr>
      </w:pPr>
      <w:r>
        <w:rPr>
          <w:rFonts w:cs="Arial"/>
        </w:rPr>
        <w:t>[Annex VI follows]</w:t>
      </w:r>
    </w:p>
    <w:p w:rsidR="00EA4900" w:rsidRPr="00B44DAA" w:rsidRDefault="00EA4900" w:rsidP="00EA4900"/>
    <w:p w:rsidR="00EA4900" w:rsidRDefault="00021152" w:rsidP="00EA4900">
      <w:pPr>
        <w:jc w:val="center"/>
        <w:rPr>
          <w:lang w:eastAsia="ja-JP"/>
        </w:rPr>
      </w:pPr>
      <w:r w:rsidRPr="00021152">
        <w:rPr>
          <w:lang w:eastAsia="ja-JP"/>
        </w:rPr>
        <w:t>RESPONSE FROM ESA/ISF TO UPOV CIRCULAR E</w:t>
      </w:r>
      <w:r w:rsidRPr="00021152">
        <w:rPr>
          <w:lang w:eastAsia="ja-JP"/>
        </w:rPr>
        <w:noBreakHyphen/>
        <w:t>18/065</w:t>
      </w:r>
    </w:p>
    <w:p w:rsidR="00EA4900" w:rsidRDefault="00EA4900" w:rsidP="00EA4900"/>
    <w:p w:rsidR="00DF548A" w:rsidRDefault="00DF548A" w:rsidP="00DF548A">
      <w:pPr>
        <w:jc w:val="left"/>
        <w:rPr>
          <w:rFonts w:eastAsia="MS Mincho" w:cs="Arial"/>
          <w:lang w:val="en-GB" w:eastAsia="ja-JP"/>
        </w:rPr>
      </w:pPr>
    </w:p>
    <w:p w:rsidR="00D641AB" w:rsidRPr="00D641AB" w:rsidRDefault="00D641AB" w:rsidP="00D641AB">
      <w:pPr>
        <w:jc w:val="left"/>
        <w:rPr>
          <w:rFonts w:eastAsia="MS Mincho" w:cs="Arial"/>
          <w:lang w:val="en-GB" w:eastAsia="ja-JP"/>
        </w:rPr>
      </w:pPr>
      <w:r w:rsidRPr="00D641AB">
        <w:rPr>
          <w:rFonts w:eastAsia="MS Mincho" w:cs="Arial"/>
          <w:lang w:val="en-GB" w:eastAsia="ja-JP"/>
        </w:rPr>
        <w:t>1.</w:t>
      </w:r>
      <w:r>
        <w:rPr>
          <w:rFonts w:eastAsia="MS Mincho" w:cs="Arial"/>
          <w:lang w:val="en-GB" w:eastAsia="ja-JP"/>
        </w:rPr>
        <w:t xml:space="preserve"> </w:t>
      </w:r>
      <w:r w:rsidRPr="00D641AB">
        <w:rPr>
          <w:rFonts w:eastAsia="MS Mincho" w:cs="Arial"/>
          <w:lang w:val="en-GB" w:eastAsia="ja-JP"/>
        </w:rPr>
        <w:t xml:space="preserve"> </w:t>
      </w:r>
      <w:r>
        <w:rPr>
          <w:rFonts w:eastAsia="MS Mincho" w:cs="Arial"/>
          <w:lang w:val="en-GB" w:eastAsia="ja-JP"/>
        </w:rPr>
        <w:t xml:space="preserve">   </w:t>
      </w:r>
      <w:r w:rsidRPr="00D641AB">
        <w:rPr>
          <w:rFonts w:eastAsia="MS Mincho" w:cs="Arial"/>
          <w:lang w:val="en-GB" w:eastAsia="ja-JP"/>
        </w:rPr>
        <w:t xml:space="preserve">The first column 'relevance' is very much appreciated. If 0.00 is scored, then the name is 100 % similar. It would be however very helpful if this could be further fine-tuned, by making conclusions. </w:t>
      </w:r>
      <w:r>
        <w:rPr>
          <w:rFonts w:eastAsia="MS Mincho" w:cs="Arial"/>
          <w:lang w:val="en-GB" w:eastAsia="ja-JP"/>
        </w:rPr>
        <w:t xml:space="preserve"> </w:t>
      </w:r>
      <w:r w:rsidRPr="00D641AB">
        <w:rPr>
          <w:rFonts w:eastAsia="MS Mincho" w:cs="Arial"/>
          <w:lang w:val="en-GB" w:eastAsia="ja-JP"/>
        </w:rPr>
        <w:t xml:space="preserve">This could improve harmonization. </w:t>
      </w:r>
      <w:r w:rsidR="00431410">
        <w:rPr>
          <w:rFonts w:eastAsia="MS Mincho" w:cs="Arial"/>
          <w:lang w:val="en-GB" w:eastAsia="ja-JP"/>
        </w:rPr>
        <w:t xml:space="preserve"> </w:t>
      </w:r>
      <w:r w:rsidRPr="00D641AB">
        <w:rPr>
          <w:rFonts w:eastAsia="MS Mincho" w:cs="Arial"/>
          <w:lang w:val="en-GB" w:eastAsia="ja-JP"/>
        </w:rPr>
        <w:t xml:space="preserve">If the score is 0.00, the conclusion to be displayed would then obviously be "rejected" or "too similar". </w:t>
      </w:r>
      <w:r w:rsidR="00431410">
        <w:rPr>
          <w:rFonts w:eastAsia="MS Mincho" w:cs="Arial"/>
          <w:lang w:val="en-GB" w:eastAsia="ja-JP"/>
        </w:rPr>
        <w:t xml:space="preserve"> </w:t>
      </w:r>
      <w:r w:rsidRPr="00D641AB">
        <w:rPr>
          <w:rFonts w:eastAsia="MS Mincho" w:cs="Arial"/>
          <w:lang w:val="en-GB" w:eastAsia="ja-JP"/>
        </w:rPr>
        <w:t xml:space="preserve">Other scores could be mentioning clearly "approved" or "sufficiently distinct". </w:t>
      </w:r>
      <w:r w:rsidR="00431410">
        <w:rPr>
          <w:rFonts w:eastAsia="MS Mincho" w:cs="Arial"/>
          <w:lang w:val="en-GB" w:eastAsia="ja-JP"/>
        </w:rPr>
        <w:t xml:space="preserve"> </w:t>
      </w:r>
      <w:r w:rsidRPr="00D641AB">
        <w:rPr>
          <w:rFonts w:eastAsia="MS Mincho" w:cs="Arial"/>
          <w:lang w:val="en-GB" w:eastAsia="ja-JP"/>
        </w:rPr>
        <w:t>For the in-between or less clear situations there could be a conclusion such as "doubtful".</w:t>
      </w:r>
      <w:r w:rsidR="00431410">
        <w:rPr>
          <w:rFonts w:eastAsia="MS Mincho" w:cs="Arial"/>
          <w:lang w:val="en-GB" w:eastAsia="ja-JP"/>
        </w:rPr>
        <w:t xml:space="preserve"> </w:t>
      </w:r>
      <w:r w:rsidRPr="00D641AB">
        <w:rPr>
          <w:rFonts w:eastAsia="MS Mincho" w:cs="Arial"/>
          <w:lang w:val="en-GB" w:eastAsia="ja-JP"/>
        </w:rPr>
        <w:t xml:space="preserve"> We think that this could be useful, unless the group "doubtful" is too large - because even then harmonization is still difficult. </w:t>
      </w:r>
      <w:r w:rsidR="00431410">
        <w:rPr>
          <w:rFonts w:eastAsia="MS Mincho" w:cs="Arial"/>
          <w:lang w:val="en-GB" w:eastAsia="ja-JP"/>
        </w:rPr>
        <w:t xml:space="preserve"> </w:t>
      </w:r>
      <w:r w:rsidRPr="00D641AB">
        <w:rPr>
          <w:rFonts w:eastAsia="MS Mincho" w:cs="Arial"/>
          <w:lang w:val="en-GB" w:eastAsia="ja-JP"/>
        </w:rPr>
        <w:t xml:space="preserve">The criteria will be based on the outcome of the Explanatory Notes. </w:t>
      </w:r>
    </w:p>
    <w:p w:rsidR="00D641AB" w:rsidRDefault="00D641AB" w:rsidP="00D641AB">
      <w:pPr>
        <w:jc w:val="left"/>
        <w:rPr>
          <w:rFonts w:eastAsia="MS Mincho" w:cs="Arial"/>
          <w:lang w:val="en-GB" w:eastAsia="ja-JP"/>
        </w:rPr>
      </w:pPr>
    </w:p>
    <w:p w:rsidR="00D641AB" w:rsidRDefault="00D641AB" w:rsidP="00D641AB">
      <w:pPr>
        <w:jc w:val="left"/>
        <w:rPr>
          <w:rFonts w:eastAsia="MS Mincho" w:cs="Arial"/>
          <w:lang w:val="en-GB" w:eastAsia="ja-JP"/>
        </w:rPr>
      </w:pPr>
      <w:r w:rsidRPr="00D641AB">
        <w:rPr>
          <w:rFonts w:eastAsia="MS Mincho" w:cs="Arial"/>
          <w:lang w:val="en-GB" w:eastAsia="ja-JP"/>
        </w:rPr>
        <w:t>(Screenshot of the test results currently displayed by the PLUTO database)</w:t>
      </w:r>
    </w:p>
    <w:p w:rsidR="00D641AB" w:rsidRDefault="00D641AB" w:rsidP="00D641AB">
      <w:pPr>
        <w:jc w:val="left"/>
        <w:rPr>
          <w:rFonts w:eastAsia="MS Mincho" w:cs="Arial"/>
          <w:lang w:val="en-GB" w:eastAsia="ja-JP"/>
        </w:rPr>
      </w:pPr>
    </w:p>
    <w:p w:rsidR="00DF548A" w:rsidRDefault="00431410" w:rsidP="00DF548A">
      <w:pPr>
        <w:jc w:val="left"/>
        <w:rPr>
          <w:rFonts w:eastAsia="MS Mincho" w:cs="Arial"/>
          <w:lang w:val="en-GB" w:eastAsia="ja-JP"/>
        </w:rPr>
      </w:pPr>
      <w:r>
        <w:rPr>
          <w:rFonts w:eastAsia="MS Mincho" w:cs="Arial"/>
          <w:noProof/>
        </w:rPr>
        <w:drawing>
          <wp:inline distT="0" distB="0" distL="0" distR="0" wp14:anchorId="3151F595">
            <wp:extent cx="6139180" cy="18713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39180" cy="1871345"/>
                    </a:xfrm>
                    <a:prstGeom prst="rect">
                      <a:avLst/>
                    </a:prstGeom>
                    <a:noFill/>
                  </pic:spPr>
                </pic:pic>
              </a:graphicData>
            </a:graphic>
          </wp:inline>
        </w:drawing>
      </w:r>
    </w:p>
    <w:p w:rsidR="00DF548A" w:rsidRDefault="00DF548A" w:rsidP="00DF548A">
      <w:pPr>
        <w:jc w:val="left"/>
        <w:rPr>
          <w:rFonts w:eastAsia="MS Mincho" w:cs="Arial"/>
          <w:lang w:val="en-GB" w:eastAsia="ja-JP"/>
        </w:rPr>
      </w:pPr>
    </w:p>
    <w:p w:rsidR="00431410" w:rsidRDefault="00431410" w:rsidP="00DF548A">
      <w:pPr>
        <w:jc w:val="left"/>
        <w:rPr>
          <w:rFonts w:eastAsia="MS Mincho" w:cs="Arial"/>
          <w:lang w:val="en-GB" w:eastAsia="ja-JP"/>
        </w:rPr>
      </w:pPr>
    </w:p>
    <w:p w:rsidR="00431410" w:rsidRPr="00431410" w:rsidRDefault="00431410" w:rsidP="00431410">
      <w:pPr>
        <w:jc w:val="left"/>
        <w:rPr>
          <w:rFonts w:eastAsia="MS Mincho" w:cs="Arial"/>
          <w:lang w:val="en-GB" w:eastAsia="ja-JP"/>
        </w:rPr>
      </w:pPr>
      <w:r w:rsidRPr="00431410">
        <w:rPr>
          <w:rFonts w:eastAsia="MS Mincho" w:cs="Arial"/>
          <w:lang w:val="en-GB" w:eastAsia="ja-JP"/>
        </w:rPr>
        <w:t xml:space="preserve">2. </w:t>
      </w:r>
      <w:r>
        <w:rPr>
          <w:rFonts w:eastAsia="MS Mincho" w:cs="Arial"/>
          <w:lang w:val="en-GB" w:eastAsia="ja-JP"/>
        </w:rPr>
        <w:t xml:space="preserve">    </w:t>
      </w:r>
      <w:r w:rsidRPr="00431410">
        <w:rPr>
          <w:rFonts w:eastAsia="MS Mincho" w:cs="Arial"/>
          <w:lang w:val="en-GB" w:eastAsia="ja-JP"/>
        </w:rPr>
        <w:t xml:space="preserve">It would be very efficient to add the following columns to the view of the test results (so to the screen above): </w:t>
      </w:r>
    </w:p>
    <w:p w:rsidR="00DF548A" w:rsidRPr="00431410" w:rsidRDefault="00431410" w:rsidP="00431410">
      <w:pPr>
        <w:jc w:val="left"/>
        <w:rPr>
          <w:rFonts w:eastAsia="MS Mincho" w:cs="Arial"/>
          <w:lang w:val="en-GB" w:eastAsia="ja-JP"/>
        </w:rPr>
      </w:pPr>
      <w:r w:rsidRPr="00431410">
        <w:rPr>
          <w:rFonts w:eastAsia="MS Mincho" w:cs="Arial"/>
          <w:lang w:val="en-GB" w:eastAsia="ja-JP"/>
        </w:rPr>
        <w:t>•</w:t>
      </w:r>
      <w:r w:rsidRPr="00431410">
        <w:rPr>
          <w:rFonts w:eastAsia="MS Mincho" w:cs="Arial"/>
          <w:lang w:val="en-GB" w:eastAsia="ja-JP"/>
        </w:rPr>
        <w:tab/>
        <w:t>Status &amp; date of application ('end type' &amp; 'end date' already exist in the PLUTO database, but we would like them to be shown on the front page of the test results. Now one only sees them when one clicks on the result in the view, see screenshot below)</w:t>
      </w:r>
    </w:p>
    <w:p w:rsidR="00EA4900" w:rsidRDefault="00EA4900" w:rsidP="00EA4900">
      <w:pPr>
        <w:rPr>
          <w:rFonts w:cs="Arial"/>
          <w:lang w:val="en-GB"/>
        </w:rPr>
      </w:pPr>
    </w:p>
    <w:p w:rsidR="00431410" w:rsidRDefault="00431410" w:rsidP="00431410">
      <w:pPr>
        <w:jc w:val="center"/>
        <w:rPr>
          <w:rFonts w:cs="Arial"/>
          <w:lang w:val="en-GB"/>
        </w:rPr>
      </w:pPr>
      <w:r>
        <w:rPr>
          <w:rFonts w:cs="Arial"/>
          <w:noProof/>
        </w:rPr>
        <w:drawing>
          <wp:inline distT="0" distB="0" distL="0" distR="0" wp14:anchorId="47D3B342">
            <wp:extent cx="1682750" cy="24022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82750" cy="2402205"/>
                    </a:xfrm>
                    <a:prstGeom prst="rect">
                      <a:avLst/>
                    </a:prstGeom>
                    <a:noFill/>
                  </pic:spPr>
                </pic:pic>
              </a:graphicData>
            </a:graphic>
          </wp:inline>
        </w:drawing>
      </w:r>
    </w:p>
    <w:p w:rsidR="00431410" w:rsidRDefault="00431410" w:rsidP="00431410">
      <w:pPr>
        <w:jc w:val="center"/>
        <w:rPr>
          <w:rFonts w:cs="Arial"/>
          <w:lang w:val="en-GB"/>
        </w:rPr>
      </w:pPr>
    </w:p>
    <w:p w:rsidR="00431410" w:rsidRPr="00431410" w:rsidRDefault="00431410" w:rsidP="00431410">
      <w:pPr>
        <w:jc w:val="left"/>
        <w:rPr>
          <w:rFonts w:cs="Arial"/>
          <w:lang w:val="en-GB"/>
        </w:rPr>
      </w:pPr>
      <w:r w:rsidRPr="00431410">
        <w:rPr>
          <w:rFonts w:cs="Arial"/>
          <w:lang w:val="en-GB"/>
        </w:rPr>
        <w:t>•</w:t>
      </w:r>
      <w:r w:rsidRPr="00431410">
        <w:rPr>
          <w:rFonts w:cs="Arial"/>
          <w:lang w:val="en-GB"/>
        </w:rPr>
        <w:tab/>
        <w:t>Status denomination (could be that the denomination has been withdrawn and replaced, so never used) - we are not sure whether they are part of the of the PLUTO database yet, but could be taken over</w:t>
      </w:r>
      <w:r>
        <w:rPr>
          <w:rFonts w:cs="Arial"/>
          <w:lang w:val="en-GB"/>
        </w:rPr>
        <w:t xml:space="preserve"> </w:t>
      </w:r>
      <w:r w:rsidRPr="00431410">
        <w:rPr>
          <w:rFonts w:cs="Arial"/>
          <w:lang w:val="en-GB"/>
        </w:rPr>
        <w:t xml:space="preserve">from the CPVO database, at least from EU. In the screenshot above, there is a special chapter Denominations, but it looks like open text fields. </w:t>
      </w:r>
    </w:p>
    <w:p w:rsidR="00431410" w:rsidRPr="00431410" w:rsidRDefault="00431410" w:rsidP="00431410">
      <w:pPr>
        <w:jc w:val="left"/>
        <w:rPr>
          <w:rFonts w:cs="Arial"/>
          <w:lang w:val="en-GB"/>
        </w:rPr>
      </w:pPr>
      <w:r w:rsidRPr="00431410">
        <w:rPr>
          <w:rFonts w:cs="Arial"/>
          <w:lang w:val="en-GB"/>
        </w:rPr>
        <w:t>•</w:t>
      </w:r>
      <w:r w:rsidRPr="00431410">
        <w:rPr>
          <w:rFonts w:cs="Arial"/>
          <w:lang w:val="en-GB"/>
        </w:rPr>
        <w:tab/>
        <w:t xml:space="preserve">For us, these columns are more relevant than UPOV Code, Var. Den. class. We would like to keep 'Botanical name', because of the discussion on re-use of names. </w:t>
      </w:r>
    </w:p>
    <w:p w:rsidR="00431410" w:rsidRDefault="00431410" w:rsidP="00431410">
      <w:pPr>
        <w:jc w:val="left"/>
        <w:rPr>
          <w:rFonts w:cs="Arial"/>
          <w:lang w:val="en-GB"/>
        </w:rPr>
      </w:pPr>
      <w:r w:rsidRPr="00431410">
        <w:rPr>
          <w:rFonts w:cs="Arial"/>
          <w:lang w:val="en-GB"/>
        </w:rPr>
        <w:t>•</w:t>
      </w:r>
      <w:r w:rsidRPr="00431410">
        <w:rPr>
          <w:rFonts w:cs="Arial"/>
          <w:lang w:val="en-GB"/>
        </w:rPr>
        <w:tab/>
        <w:t>When results have a common breeder's reference, show one and have a drop-down menu to show the rest, if needed - this shortens the list considerably, which makes it easier to evaluate.</w:t>
      </w:r>
    </w:p>
    <w:p w:rsidR="00431410" w:rsidRPr="00431410" w:rsidRDefault="00431410" w:rsidP="00EA4900">
      <w:pPr>
        <w:rPr>
          <w:rFonts w:cs="Arial"/>
          <w:lang w:val="en-GB"/>
        </w:rPr>
      </w:pPr>
    </w:p>
    <w:p w:rsidR="00EA4900" w:rsidRDefault="00EA4900" w:rsidP="00EA4900">
      <w:pPr>
        <w:rPr>
          <w:rFonts w:cs="Arial"/>
        </w:rPr>
      </w:pPr>
    </w:p>
    <w:p w:rsidR="00EA4900" w:rsidRPr="001D641F" w:rsidRDefault="00EA4900" w:rsidP="00EA4900">
      <w:pPr>
        <w:rPr>
          <w:rFonts w:cs="Arial"/>
        </w:rPr>
      </w:pPr>
    </w:p>
    <w:p w:rsidR="00EA4900" w:rsidRDefault="00EA4900" w:rsidP="00EA4900">
      <w:pPr>
        <w:jc w:val="right"/>
      </w:pPr>
      <w:r>
        <w:t>[Annex VII follows]</w:t>
      </w:r>
    </w:p>
    <w:p w:rsidR="00EA4900" w:rsidRDefault="00EA4900" w:rsidP="00EA4900">
      <w:pPr>
        <w:sectPr w:rsidR="00EA4900" w:rsidSect="00E27D83">
          <w:headerReference w:type="default" r:id="rId37"/>
          <w:headerReference w:type="first" r:id="rId38"/>
          <w:pgSz w:w="11907" w:h="16840" w:code="9"/>
          <w:pgMar w:top="510" w:right="1134" w:bottom="851" w:left="1134" w:header="510" w:footer="624" w:gutter="0"/>
          <w:pgNumType w:start="1"/>
          <w:cols w:space="720"/>
          <w:titlePg/>
        </w:sectPr>
      </w:pPr>
    </w:p>
    <w:p w:rsidR="00EA4900" w:rsidRPr="00B44DAA" w:rsidRDefault="00EA4900" w:rsidP="00EA4900">
      <w:pPr>
        <w:jc w:val="center"/>
      </w:pPr>
    </w:p>
    <w:p w:rsidR="00EA4900" w:rsidRDefault="006A03F3" w:rsidP="00EA4900">
      <w:pPr>
        <w:jc w:val="center"/>
        <w:rPr>
          <w:lang w:eastAsia="ja-JP"/>
        </w:rPr>
      </w:pPr>
      <w:r w:rsidRPr="006A03F3">
        <w:rPr>
          <w:lang w:eastAsia="ja-JP"/>
        </w:rPr>
        <w:t xml:space="preserve">CONTRIBUTION FROM BRAZIL </w:t>
      </w:r>
      <w:r w:rsidR="00C74A1A">
        <w:rPr>
          <w:lang w:eastAsia="ja-JP"/>
        </w:rPr>
        <w:t xml:space="preserve">ON </w:t>
      </w:r>
      <w:r w:rsidR="00C74A1A" w:rsidRPr="00C74A1A">
        <w:rPr>
          <w:lang w:eastAsia="ja-JP"/>
        </w:rPr>
        <w:t xml:space="preserve">ITS GUIDANCE ON </w:t>
      </w:r>
      <w:r w:rsidRPr="006A03F3">
        <w:rPr>
          <w:lang w:eastAsia="ja-JP"/>
        </w:rPr>
        <w:t>THE CASES WHICH COULD CAUSE CONFUSION PHONETICALLY BUT NOT VISUALLY</w:t>
      </w:r>
    </w:p>
    <w:p w:rsidR="00EA4900" w:rsidRDefault="00EA4900" w:rsidP="00EA4900"/>
    <w:p w:rsidR="0023034C" w:rsidRDefault="0023034C" w:rsidP="00EA4900"/>
    <w:p w:rsidR="0023034C" w:rsidRPr="0023034C" w:rsidRDefault="0023034C" w:rsidP="0023034C">
      <w:pPr>
        <w:jc w:val="left"/>
        <w:rPr>
          <w:rFonts w:eastAsia="MS Mincho" w:cs="Arial"/>
        </w:rPr>
      </w:pPr>
      <w:r w:rsidRPr="0023034C">
        <w:rPr>
          <w:rFonts w:eastAsia="MS Mincho" w:cs="Arial"/>
        </w:rPr>
        <w:t>Find below the part of our internal guidance on the requested matter:</w:t>
      </w:r>
    </w:p>
    <w:p w:rsidR="0023034C" w:rsidRPr="0023034C" w:rsidRDefault="0023034C" w:rsidP="0023034C">
      <w:pPr>
        <w:jc w:val="left"/>
        <w:rPr>
          <w:rFonts w:eastAsia="MS Mincho" w:cs="Arial"/>
        </w:rPr>
      </w:pPr>
    </w:p>
    <w:p w:rsidR="0023034C" w:rsidRPr="0023034C" w:rsidRDefault="0023034C" w:rsidP="0023034C">
      <w:pPr>
        <w:jc w:val="left"/>
        <w:rPr>
          <w:rFonts w:eastAsia="MS Mincho" w:cs="Arial"/>
        </w:rPr>
      </w:pPr>
      <w:r w:rsidRPr="0023034C">
        <w:rPr>
          <w:rFonts w:eastAsia="MS Mincho" w:cs="Arial"/>
        </w:rPr>
        <w:t>“In order to analyze whether a denomination would be misleading in relation to the identity of the variety, the following should be considered:</w:t>
      </w:r>
    </w:p>
    <w:p w:rsidR="0023034C" w:rsidRPr="0023034C" w:rsidRDefault="0023034C" w:rsidP="0023034C">
      <w:pPr>
        <w:jc w:val="left"/>
        <w:rPr>
          <w:rFonts w:eastAsia="MS Mincho" w:cs="Arial"/>
        </w:rPr>
      </w:pPr>
    </w:p>
    <w:p w:rsidR="0023034C" w:rsidRPr="0023034C" w:rsidRDefault="0023034C" w:rsidP="0023034C">
      <w:pPr>
        <w:ind w:left="1080" w:hanging="720"/>
        <w:contextualSpacing/>
        <w:rPr>
          <w:rFonts w:eastAsia="MS Mincho" w:cs="Arial"/>
        </w:rPr>
      </w:pPr>
      <w:r w:rsidRPr="0023034C">
        <w:rPr>
          <w:rFonts w:eastAsia="MS Mincho" w:cs="Arial"/>
        </w:rPr>
        <w:t xml:space="preserve">(i)                  </w:t>
      </w:r>
      <w:r w:rsidRPr="0023034C">
        <w:rPr>
          <w:rFonts w:eastAsia="MS Mincho" w:cs="Arial"/>
          <w:u w:val="single"/>
        </w:rPr>
        <w:t>Denominations containing only words</w:t>
      </w:r>
      <w:r w:rsidRPr="0023034C">
        <w:rPr>
          <w:rFonts w:eastAsia="MS Mincho" w:cs="Arial"/>
        </w:rPr>
        <w:t>: the difference in only one letter (or sound of a letter) must be considered as liable to cause confusion. Example (1): Denominations "Manuela" and "Manuele", should be considered liable to cause confusion, as they contain only 1 phonetic and written difference. Example (2): Denominations "Manuela" and "Emanuele" should not be considered as liable to cause confusion, as they contain more than 1 phonetic and written difference. Example (3): Denominations "Manuela" and "Mannuelle", should be considered liable to cause confusion, because they contain only 1 phonetic difference.</w:t>
      </w:r>
    </w:p>
    <w:p w:rsidR="0023034C" w:rsidRPr="0023034C" w:rsidRDefault="0023034C" w:rsidP="0023034C">
      <w:pPr>
        <w:ind w:left="1080" w:hanging="720"/>
        <w:contextualSpacing/>
        <w:rPr>
          <w:rFonts w:eastAsia="MS Mincho" w:cs="Arial"/>
        </w:rPr>
      </w:pPr>
      <w:r w:rsidRPr="0023034C">
        <w:rPr>
          <w:rFonts w:eastAsia="MS Mincho" w:cs="Arial"/>
        </w:rPr>
        <w:t xml:space="preserve">(ii)                </w:t>
      </w:r>
      <w:r w:rsidRPr="0023034C">
        <w:rPr>
          <w:rFonts w:eastAsia="MS Mincho" w:cs="Arial"/>
          <w:u w:val="single"/>
        </w:rPr>
        <w:t>Denominations in the form of letters, without forming words</w:t>
      </w:r>
      <w:r w:rsidRPr="0023034C">
        <w:rPr>
          <w:rFonts w:eastAsia="MS Mincho" w:cs="Arial"/>
        </w:rPr>
        <w:t>: the difference in only one letter should not be considered as liable to cause confusion. Example: Designations "ABCDEF" and "ABCDEE" should not be considered as liable to cause confusion.</w:t>
      </w:r>
    </w:p>
    <w:p w:rsidR="0023034C" w:rsidRPr="0023034C" w:rsidRDefault="0023034C" w:rsidP="0023034C">
      <w:pPr>
        <w:ind w:left="1080" w:hanging="720"/>
        <w:contextualSpacing/>
        <w:rPr>
          <w:rFonts w:eastAsia="MS Mincho" w:cs="Arial"/>
        </w:rPr>
      </w:pPr>
      <w:r w:rsidRPr="0023034C">
        <w:rPr>
          <w:rFonts w:eastAsia="MS Mincho" w:cs="Arial"/>
        </w:rPr>
        <w:t xml:space="preserve">(iii)              </w:t>
      </w:r>
      <w:r w:rsidRPr="0023034C">
        <w:rPr>
          <w:rFonts w:eastAsia="MS Mincho" w:cs="Arial"/>
          <w:u w:val="single"/>
        </w:rPr>
        <w:t>Denominations in the form of numbers</w:t>
      </w:r>
      <w:r w:rsidRPr="0023034C">
        <w:rPr>
          <w:rFonts w:eastAsia="MS Mincho" w:cs="Arial"/>
        </w:rPr>
        <w:t>: the difference in only one number should not be considered as liable to cause confusion. Example: Denominations "12345" and "12346" are not to be considered liable to cause confusion. OBS: Remember that this is an exceptional situation (as in the case of inbred lines), since, in general, denominations are not accepted only in the form of numbers.</w:t>
      </w:r>
    </w:p>
    <w:p w:rsidR="0023034C" w:rsidRPr="0023034C" w:rsidRDefault="0023034C" w:rsidP="0023034C">
      <w:pPr>
        <w:ind w:left="1080" w:hanging="720"/>
        <w:contextualSpacing/>
        <w:rPr>
          <w:rFonts w:eastAsia="MS Mincho" w:cs="Arial"/>
        </w:rPr>
      </w:pPr>
      <w:r w:rsidRPr="0023034C">
        <w:rPr>
          <w:rFonts w:eastAsia="MS Mincho" w:cs="Arial"/>
        </w:rPr>
        <w:t xml:space="preserve">(iv)              </w:t>
      </w:r>
      <w:r w:rsidRPr="0023034C">
        <w:rPr>
          <w:rFonts w:eastAsia="MS Mincho" w:cs="Arial"/>
          <w:u w:val="single"/>
        </w:rPr>
        <w:t>Alphanumeric denominations</w:t>
      </w:r>
      <w:r w:rsidRPr="0023034C">
        <w:rPr>
          <w:rFonts w:eastAsia="MS Mincho" w:cs="Arial"/>
        </w:rPr>
        <w:t>: the difference in only one letter or only one number should not be considered as liable to cause confusion. Example (1): Denominations "XY123Z4" and "XY123W4" should not be considered liable to cause confusion. Example (2): Denominations "XY123Z4" and "XY123Z5" should not be considered liable to cause confusion.</w:t>
      </w:r>
    </w:p>
    <w:p w:rsidR="0023034C" w:rsidRPr="0023034C" w:rsidRDefault="0023034C" w:rsidP="0023034C">
      <w:pPr>
        <w:ind w:left="1080" w:hanging="720"/>
        <w:contextualSpacing/>
        <w:rPr>
          <w:rFonts w:eastAsia="MS Mincho" w:cs="Arial"/>
        </w:rPr>
      </w:pPr>
      <w:r w:rsidRPr="0023034C">
        <w:rPr>
          <w:rFonts w:eastAsia="MS Mincho" w:cs="Arial"/>
        </w:rPr>
        <w:t xml:space="preserve">(v)                </w:t>
      </w:r>
      <w:r w:rsidRPr="0023034C">
        <w:rPr>
          <w:rFonts w:eastAsia="MS Mincho" w:cs="Arial"/>
          <w:u w:val="single"/>
        </w:rPr>
        <w:t>Denominations containing Prefixes or Suffixes</w:t>
      </w:r>
      <w:r w:rsidRPr="0023034C">
        <w:rPr>
          <w:rFonts w:eastAsia="MS Mincho" w:cs="Arial"/>
        </w:rPr>
        <w:t xml:space="preserve">: </w:t>
      </w:r>
    </w:p>
    <w:p w:rsidR="0023034C" w:rsidRPr="0023034C" w:rsidRDefault="0023034C" w:rsidP="0023034C">
      <w:pPr>
        <w:numPr>
          <w:ilvl w:val="1"/>
          <w:numId w:val="23"/>
        </w:numPr>
        <w:jc w:val="left"/>
        <w:rPr>
          <w:rFonts w:cs="Arial"/>
        </w:rPr>
      </w:pPr>
      <w:r w:rsidRPr="0023034C">
        <w:rPr>
          <w:rFonts w:cs="Arial"/>
          <w:u w:val="single"/>
        </w:rPr>
        <w:t>Prefix + word(s) or Word(s) + suffix</w:t>
      </w:r>
      <w:r w:rsidRPr="0023034C">
        <w:rPr>
          <w:rFonts w:cs="Arial"/>
        </w:rPr>
        <w:t xml:space="preserve">: Differences only in the word(s), might be treated as in (i) (Example: “ABC Manuela” and “ABC Manuele”, should be considered liable to cause confusion; Denominations "ABC Manuela" and "ABC Emanuele" should not be considered as liable to cause confusion). Differences only in the suffix or prefix, should be considered liable to cause confusion (Example: “ABC Manuela” and “XYZ Manuela”, should be considered liable to cause confusion). Differences in both, only one letter different in the word should not be considered as liable to cause confusion (Example: Denominations "ABC Manuela" and "XYZ Manuele", should not be considered liable to cause confusion); </w:t>
      </w:r>
    </w:p>
    <w:p w:rsidR="0023034C" w:rsidRPr="0023034C" w:rsidRDefault="0023034C" w:rsidP="0023034C">
      <w:pPr>
        <w:numPr>
          <w:ilvl w:val="1"/>
          <w:numId w:val="23"/>
        </w:numPr>
        <w:jc w:val="left"/>
        <w:rPr>
          <w:rFonts w:cs="Arial"/>
        </w:rPr>
      </w:pPr>
      <w:r w:rsidRPr="0023034C">
        <w:rPr>
          <w:rFonts w:cs="Arial"/>
          <w:u w:val="single"/>
        </w:rPr>
        <w:t>Prefix + numbers or numbers + suffix</w:t>
      </w:r>
      <w:r w:rsidRPr="0023034C">
        <w:rPr>
          <w:rFonts w:cs="Arial"/>
        </w:rPr>
        <w:t>: Denominations with 1 difference, whether in the prefix/suffix or in the number should not be considered as liable to cause confusion. Example (1): Denominations “ABC1” and “ABC2”  should not be considered as liable to cause confusion. Example (2):  Denominations “ABZ1” and “ABZ2”  should not be considered as liable to cause confusion;</w:t>
      </w:r>
    </w:p>
    <w:p w:rsidR="0023034C" w:rsidRPr="0023034C" w:rsidRDefault="0023034C" w:rsidP="0023034C">
      <w:pPr>
        <w:numPr>
          <w:ilvl w:val="1"/>
          <w:numId w:val="23"/>
        </w:numPr>
        <w:jc w:val="left"/>
        <w:rPr>
          <w:rFonts w:cs="Arial"/>
        </w:rPr>
      </w:pPr>
      <w:r w:rsidRPr="0023034C">
        <w:rPr>
          <w:rFonts w:cs="Arial"/>
          <w:u w:val="single"/>
        </w:rPr>
        <w:t>Prefix + letters or Letters + suffix</w:t>
      </w:r>
      <w:r w:rsidRPr="0023034C">
        <w:rPr>
          <w:rFonts w:cs="Arial"/>
        </w:rPr>
        <w:t>: Denominations with 1 difference, whether in the prefix/suffix or in the letter should not be considered as liable to cause confusion. Example (1): Denominations “ABC XYZ” and “ABC YZW”  should not be considered as liable to cause confusion. Example (2):  Denominations “NA33 ASF” and “NA30 ASF”  should not be considered as liable to cause confusion.”</w:t>
      </w:r>
    </w:p>
    <w:p w:rsidR="00EA4900" w:rsidRDefault="00EA4900" w:rsidP="00EA4900"/>
    <w:p w:rsidR="0023034C" w:rsidRDefault="0023034C" w:rsidP="0023034C">
      <w:r>
        <w:t>[…]</w:t>
      </w:r>
    </w:p>
    <w:p w:rsidR="0023034C" w:rsidRDefault="0023034C" w:rsidP="00EA4900"/>
    <w:p w:rsidR="0023034C" w:rsidRDefault="0023034C" w:rsidP="00EA4900"/>
    <w:p w:rsidR="0023034C" w:rsidRDefault="0023034C" w:rsidP="00EA4900"/>
    <w:p w:rsidR="00EA4900" w:rsidRDefault="00EA4900" w:rsidP="00EA4900">
      <w:pPr>
        <w:jc w:val="right"/>
      </w:pPr>
      <w:r>
        <w:t>[Annex VIII follows]</w:t>
      </w:r>
    </w:p>
    <w:p w:rsidR="00EA4900" w:rsidRDefault="00EA4900" w:rsidP="00EA4900">
      <w:pPr>
        <w:jc w:val="right"/>
        <w:sectPr w:rsidR="00EA4900" w:rsidSect="00E27D83">
          <w:headerReference w:type="first" r:id="rId39"/>
          <w:pgSz w:w="11907" w:h="16840" w:code="9"/>
          <w:pgMar w:top="510" w:right="1134" w:bottom="851" w:left="1134" w:header="510" w:footer="624" w:gutter="0"/>
          <w:pgNumType w:start="1"/>
          <w:cols w:space="720"/>
          <w:titlePg/>
        </w:sectPr>
      </w:pPr>
    </w:p>
    <w:p w:rsidR="00EA4900" w:rsidRPr="00B44DAA" w:rsidRDefault="00EA4900" w:rsidP="00EA4900"/>
    <w:p w:rsidR="00EA4900" w:rsidRDefault="006A03F3" w:rsidP="00EA4900">
      <w:pPr>
        <w:jc w:val="center"/>
        <w:rPr>
          <w:lang w:eastAsia="ja-JP"/>
        </w:rPr>
      </w:pPr>
      <w:r w:rsidRPr="006A03F3">
        <w:rPr>
          <w:lang w:eastAsia="ja-JP"/>
        </w:rPr>
        <w:t>CONTRIBUTION FROM NEW ZEALAND FOR A POSSIBLE WAY FORWARD WHERE SEVERAL DENOMINATIONS FOR THE SAME VARIETY EXISTED</w:t>
      </w:r>
    </w:p>
    <w:p w:rsidR="00EA4900" w:rsidRDefault="00EA4900" w:rsidP="00EA4900">
      <w:pPr>
        <w:rPr>
          <w:noProof/>
        </w:rPr>
      </w:pPr>
    </w:p>
    <w:p w:rsidR="008B32C6" w:rsidRDefault="008B32C6" w:rsidP="00EA4900"/>
    <w:p w:rsidR="008B32C6" w:rsidRPr="008B32C6" w:rsidRDefault="008B32C6" w:rsidP="008B32C6">
      <w:pPr>
        <w:spacing w:after="200" w:line="276" w:lineRule="auto"/>
        <w:jc w:val="left"/>
        <w:rPr>
          <w:rFonts w:eastAsiaTheme="minorHAnsi" w:cs="Arial"/>
          <w:lang w:val="en-NZ"/>
        </w:rPr>
      </w:pPr>
      <w:r w:rsidRPr="008B32C6">
        <w:rPr>
          <w:rFonts w:eastAsiaTheme="minorHAnsi" w:cs="Arial"/>
          <w:lang w:val="en-NZ"/>
        </w:rPr>
        <w:t>Proposal for:</w:t>
      </w:r>
    </w:p>
    <w:p w:rsidR="008B32C6" w:rsidRPr="008B32C6" w:rsidRDefault="008B32C6" w:rsidP="008B32C6">
      <w:pPr>
        <w:autoSpaceDE w:val="0"/>
        <w:autoSpaceDN w:val="0"/>
        <w:ind w:left="567"/>
        <w:contextualSpacing/>
        <w:rPr>
          <w:rFonts w:eastAsiaTheme="minorHAnsi" w:cs="Arial"/>
          <w:lang w:eastAsia="en-NZ"/>
        </w:rPr>
      </w:pPr>
      <w:r w:rsidRPr="008B32C6">
        <w:rPr>
          <w:rFonts w:eastAsiaTheme="minorHAnsi" w:cs="Arial"/>
          <w:sz w:val="18"/>
          <w:szCs w:val="18"/>
          <w:lang w:eastAsia="ja-JP"/>
        </w:rPr>
        <w:t>“</w:t>
      </w:r>
      <w:r w:rsidRPr="008B32C6">
        <w:rPr>
          <w:rFonts w:eastAsiaTheme="minorHAnsi" w:cs="Arial"/>
          <w:sz w:val="18"/>
          <w:szCs w:val="18"/>
          <w:u w:val="single"/>
          <w:lang w:eastAsia="ja-JP"/>
        </w:rPr>
        <w:t>Paragraph 5 [Same denomination in all members of the Union]</w:t>
      </w:r>
    </w:p>
    <w:p w:rsidR="008B32C6" w:rsidRPr="008B32C6" w:rsidRDefault="008B32C6" w:rsidP="008B32C6">
      <w:pPr>
        <w:autoSpaceDE w:val="0"/>
        <w:autoSpaceDN w:val="0"/>
        <w:ind w:left="567"/>
        <w:contextualSpacing/>
        <w:rPr>
          <w:rFonts w:eastAsiaTheme="minorHAnsi" w:cs="Arial"/>
          <w:lang w:eastAsia="en-NZ"/>
        </w:rPr>
      </w:pPr>
      <w:r w:rsidRPr="008B32C6">
        <w:rPr>
          <w:rFonts w:eastAsiaTheme="minorHAnsi" w:cs="Arial"/>
          <w:sz w:val="18"/>
          <w:szCs w:val="18"/>
          <w:lang w:eastAsia="ja-JP"/>
        </w:rPr>
        <w:t> </w:t>
      </w:r>
    </w:p>
    <w:p w:rsidR="008B32C6" w:rsidRPr="008B32C6" w:rsidRDefault="008B32C6" w:rsidP="008B32C6">
      <w:pPr>
        <w:autoSpaceDE w:val="0"/>
        <w:autoSpaceDN w:val="0"/>
        <w:ind w:left="567"/>
        <w:contextualSpacing/>
        <w:rPr>
          <w:rFonts w:eastAsiaTheme="minorHAnsi" w:cs="Arial"/>
          <w:lang w:eastAsia="en-NZ"/>
        </w:rPr>
      </w:pPr>
      <w:r w:rsidRPr="008B32C6">
        <w:rPr>
          <w:rFonts w:eastAsiaTheme="minorHAnsi" w:cs="Arial"/>
          <w:sz w:val="18"/>
          <w:szCs w:val="18"/>
          <w:lang w:eastAsia="ja-JP"/>
        </w:rPr>
        <w:t>“[…]</w:t>
      </w:r>
    </w:p>
    <w:p w:rsidR="008B32C6" w:rsidRPr="008B32C6" w:rsidRDefault="008B32C6" w:rsidP="008B32C6">
      <w:pPr>
        <w:autoSpaceDE w:val="0"/>
        <w:autoSpaceDN w:val="0"/>
        <w:ind w:left="567"/>
        <w:contextualSpacing/>
        <w:rPr>
          <w:rFonts w:eastAsiaTheme="minorHAnsi" w:cs="Arial"/>
          <w:lang w:eastAsia="en-NZ"/>
        </w:rPr>
      </w:pPr>
      <w:r w:rsidRPr="008B32C6">
        <w:rPr>
          <w:rFonts w:eastAsiaTheme="minorHAnsi" w:cs="Arial"/>
          <w:sz w:val="18"/>
          <w:szCs w:val="18"/>
          <w:lang w:eastAsia="ja-JP"/>
        </w:rPr>
        <w:t> </w:t>
      </w:r>
    </w:p>
    <w:p w:rsidR="008B32C6" w:rsidRPr="008B32C6" w:rsidRDefault="008B32C6" w:rsidP="008B32C6">
      <w:pPr>
        <w:autoSpaceDE w:val="0"/>
        <w:autoSpaceDN w:val="0"/>
        <w:ind w:left="567" w:right="482"/>
        <w:contextualSpacing/>
        <w:rPr>
          <w:rFonts w:eastAsiaTheme="minorHAnsi" w:cs="Arial"/>
          <w:lang w:eastAsia="en-NZ"/>
        </w:rPr>
      </w:pPr>
      <w:r w:rsidRPr="008B32C6">
        <w:rPr>
          <w:rFonts w:eastAsiaTheme="minorHAnsi" w:cs="Arial"/>
          <w:sz w:val="18"/>
          <w:szCs w:val="18"/>
          <w:lang w:eastAsia="ja-JP"/>
        </w:rPr>
        <w:t>“24.      The WG-DEN noted the proposal from New Zealand to provide guidance for a possible way forward where several denominations for the same variety existed and agreed that New Zealand should prepare a proposal for the fifth meeting of the WG DEN, to address the above situation.”</w:t>
      </w:r>
    </w:p>
    <w:p w:rsidR="008B32C6" w:rsidRPr="008B32C6" w:rsidRDefault="008B32C6" w:rsidP="008B32C6">
      <w:pPr>
        <w:autoSpaceDE w:val="0"/>
        <w:autoSpaceDN w:val="0"/>
        <w:contextualSpacing/>
        <w:rPr>
          <w:rFonts w:eastAsiaTheme="minorHAnsi" w:cs="Arial"/>
          <w:lang w:eastAsia="en-NZ"/>
        </w:rPr>
      </w:pPr>
      <w:r w:rsidRPr="008B32C6">
        <w:rPr>
          <w:rFonts w:eastAsiaTheme="minorHAnsi" w:cs="Arial"/>
          <w:lang w:eastAsia="ja-JP"/>
        </w:rPr>
        <w:t> </w:t>
      </w:r>
    </w:p>
    <w:p w:rsidR="008B32C6" w:rsidRDefault="008B32C6" w:rsidP="008B32C6">
      <w:pPr>
        <w:spacing w:after="200" w:line="276" w:lineRule="auto"/>
        <w:jc w:val="left"/>
        <w:rPr>
          <w:rFonts w:eastAsiaTheme="minorHAnsi" w:cs="Arial"/>
          <w:b/>
        </w:rPr>
      </w:pPr>
    </w:p>
    <w:p w:rsidR="008B32C6" w:rsidRPr="008B32C6" w:rsidRDefault="008B32C6" w:rsidP="008B32C6">
      <w:pPr>
        <w:spacing w:after="200" w:line="276" w:lineRule="auto"/>
        <w:jc w:val="left"/>
        <w:rPr>
          <w:rFonts w:eastAsiaTheme="minorHAnsi" w:cs="Arial"/>
          <w:b/>
        </w:rPr>
      </w:pPr>
      <w:r w:rsidRPr="008B32C6">
        <w:rPr>
          <w:rFonts w:eastAsiaTheme="minorHAnsi" w:cs="Arial"/>
          <w:b/>
        </w:rPr>
        <w:t>Background</w:t>
      </w:r>
    </w:p>
    <w:p w:rsidR="008B32C6" w:rsidRPr="008B32C6" w:rsidRDefault="008B32C6" w:rsidP="008B32C6">
      <w:pPr>
        <w:spacing w:after="200" w:line="276" w:lineRule="auto"/>
        <w:jc w:val="left"/>
        <w:rPr>
          <w:rFonts w:eastAsiaTheme="minorHAnsi" w:cs="Arial"/>
        </w:rPr>
      </w:pPr>
      <w:r w:rsidRPr="008B32C6">
        <w:rPr>
          <w:rFonts w:eastAsiaTheme="minorHAnsi" w:cs="Arial"/>
        </w:rPr>
        <w:t>Article 20(5) of the UPOV Convention provides for the same denomination in all Contracting Parties, a primary principle for international harmonization. Two denominations for a single variety should be very much the exception and not the rule, but unfortunately this is not the case. Examples have been provided in earlier submissions. The reasons for not having a single denomination are many and varied and it is not the purpose of this proposal to begin discussion on this.  The objective for this proposal is to provide guidance for when a territory receives an application for a variety that already has more than one denomination and to aim for the majority of protecting territories to have a common denomination.  It should be recognised that any guidance provided for varieties with more than one denomination goes against the overall principle of Article 20(5).</w:t>
      </w:r>
    </w:p>
    <w:p w:rsidR="008B32C6" w:rsidRDefault="008B32C6" w:rsidP="008B32C6">
      <w:pPr>
        <w:spacing w:after="200" w:line="276" w:lineRule="auto"/>
        <w:jc w:val="left"/>
        <w:rPr>
          <w:rFonts w:eastAsiaTheme="minorHAnsi" w:cs="Arial"/>
          <w:b/>
        </w:rPr>
      </w:pPr>
    </w:p>
    <w:p w:rsidR="008B32C6" w:rsidRPr="008B32C6" w:rsidRDefault="008B32C6" w:rsidP="008B32C6">
      <w:pPr>
        <w:spacing w:after="200" w:line="276" w:lineRule="auto"/>
        <w:jc w:val="left"/>
        <w:rPr>
          <w:rFonts w:eastAsiaTheme="minorHAnsi" w:cs="Arial"/>
          <w:b/>
        </w:rPr>
      </w:pPr>
      <w:r w:rsidRPr="008B32C6">
        <w:rPr>
          <w:rFonts w:eastAsiaTheme="minorHAnsi" w:cs="Arial"/>
          <w:b/>
        </w:rPr>
        <w:t>Options</w:t>
      </w:r>
    </w:p>
    <w:p w:rsidR="008B32C6" w:rsidRPr="008B32C6" w:rsidRDefault="008B32C6" w:rsidP="008B32C6">
      <w:pPr>
        <w:spacing w:after="200" w:line="276" w:lineRule="auto"/>
        <w:jc w:val="left"/>
        <w:rPr>
          <w:rFonts w:eastAsiaTheme="minorHAnsi" w:cs="Arial"/>
        </w:rPr>
      </w:pPr>
      <w:r w:rsidRPr="008B32C6">
        <w:rPr>
          <w:rFonts w:eastAsiaTheme="minorHAnsi" w:cs="Arial"/>
        </w:rPr>
        <w:t>1. Follow the guidance in Paragraph 5 of the UPOV Recommendations for Variety Denominations where the denomination approved in the first protecting territory is approved by all subsequent protecting territories. This option has an element of consistency with Article 20(5) and maintains the essence of a single denomination per variety.  The protecting territory which considered the denomination to be unsuitable will be the only exception to the overall principle and all other protecting territories give priority to the obligation under Paragraph 5.</w:t>
      </w:r>
    </w:p>
    <w:p w:rsidR="008B32C6" w:rsidRPr="008B32C6" w:rsidRDefault="008B32C6" w:rsidP="008B32C6">
      <w:pPr>
        <w:spacing w:after="200" w:line="276" w:lineRule="auto"/>
        <w:jc w:val="left"/>
        <w:rPr>
          <w:rFonts w:eastAsiaTheme="minorHAnsi" w:cs="Arial"/>
        </w:rPr>
      </w:pPr>
      <w:r w:rsidRPr="008B32C6">
        <w:rPr>
          <w:rFonts w:eastAsiaTheme="minorHAnsi" w:cs="Arial"/>
        </w:rPr>
        <w:t xml:space="preserve">2. A protecting territory may be required to give consideration to regional harmonisation and the denomination used in neighbouring states. For this reason it may not be possible to approve the denomination in the first protecting territory and the second denomination approved by a neighbouring state may require approval.  This situation leads to the second denomination having the greatest usage. Such an approach is not consistent with Article 20(5), however it does provide to restrict the number of denominations to two and does achieve a type of harmonisation where the majority of protecting territories have the same denomination.  </w:t>
      </w:r>
    </w:p>
    <w:p w:rsidR="008B32C6" w:rsidRDefault="008B32C6" w:rsidP="008B32C6">
      <w:pPr>
        <w:spacing w:after="200" w:line="276" w:lineRule="auto"/>
        <w:jc w:val="left"/>
        <w:rPr>
          <w:rFonts w:eastAsiaTheme="minorHAnsi" w:cs="Arial"/>
          <w:b/>
        </w:rPr>
      </w:pPr>
    </w:p>
    <w:p w:rsidR="008B32C6" w:rsidRPr="008B32C6" w:rsidRDefault="008B32C6" w:rsidP="008B32C6">
      <w:pPr>
        <w:spacing w:after="200" w:line="276" w:lineRule="auto"/>
        <w:jc w:val="left"/>
        <w:rPr>
          <w:rFonts w:eastAsiaTheme="minorHAnsi" w:cs="Arial"/>
          <w:b/>
        </w:rPr>
      </w:pPr>
      <w:r w:rsidRPr="008B32C6">
        <w:rPr>
          <w:rFonts w:eastAsiaTheme="minorHAnsi" w:cs="Arial"/>
          <w:b/>
        </w:rPr>
        <w:t>Summary</w:t>
      </w:r>
    </w:p>
    <w:p w:rsidR="008B32C6" w:rsidRPr="008B32C6" w:rsidRDefault="008B32C6" w:rsidP="008B32C6">
      <w:pPr>
        <w:spacing w:after="200" w:line="276" w:lineRule="auto"/>
        <w:jc w:val="left"/>
        <w:rPr>
          <w:rFonts w:eastAsiaTheme="minorHAnsi" w:cs="Arial"/>
        </w:rPr>
      </w:pPr>
      <w:r w:rsidRPr="008B32C6">
        <w:rPr>
          <w:rFonts w:eastAsiaTheme="minorHAnsi" w:cs="Arial"/>
        </w:rPr>
        <w:t>For varieties with more than a single denomination the following applies:</w:t>
      </w:r>
    </w:p>
    <w:p w:rsidR="008B32C6" w:rsidRPr="008B32C6" w:rsidRDefault="008B32C6" w:rsidP="008B32C6">
      <w:pPr>
        <w:numPr>
          <w:ilvl w:val="0"/>
          <w:numId w:val="24"/>
        </w:numPr>
        <w:spacing w:after="200" w:line="276" w:lineRule="auto"/>
        <w:contextualSpacing/>
        <w:jc w:val="left"/>
        <w:rPr>
          <w:rFonts w:eastAsiaTheme="minorHAnsi" w:cs="Arial"/>
          <w:lang w:eastAsia="en-NZ"/>
        </w:rPr>
      </w:pPr>
      <w:r w:rsidRPr="008B32C6">
        <w:rPr>
          <w:rFonts w:eastAsiaTheme="minorHAnsi" w:cs="Arial"/>
          <w:lang w:eastAsia="en-NZ"/>
        </w:rPr>
        <w:t xml:space="preserve">The first variety denomination approved should be given priority by subsequent protecting territories in accordance with Option 1.  </w:t>
      </w:r>
    </w:p>
    <w:p w:rsidR="008B32C6" w:rsidRPr="008B32C6" w:rsidRDefault="008B32C6" w:rsidP="008B32C6">
      <w:pPr>
        <w:numPr>
          <w:ilvl w:val="0"/>
          <w:numId w:val="24"/>
        </w:numPr>
        <w:spacing w:after="200" w:line="276" w:lineRule="auto"/>
        <w:contextualSpacing/>
        <w:jc w:val="left"/>
        <w:rPr>
          <w:rFonts w:eastAsiaTheme="minorHAnsi" w:cs="Arial"/>
          <w:lang w:eastAsia="en-NZ"/>
        </w:rPr>
      </w:pPr>
      <w:r w:rsidRPr="008B32C6">
        <w:rPr>
          <w:rFonts w:eastAsiaTheme="minorHAnsi" w:cs="Arial"/>
          <w:lang w:eastAsia="en-NZ"/>
        </w:rPr>
        <w:t>Where Option 1 is not possible, Option 2 provides the possibility of the second denomination approved to be used by the majority of protecting territories.</w:t>
      </w:r>
    </w:p>
    <w:p w:rsidR="008B32C6" w:rsidRDefault="008B32C6" w:rsidP="00EA4900"/>
    <w:p w:rsidR="00050E16" w:rsidRPr="00C5280D" w:rsidRDefault="00EA4900" w:rsidP="008B32C6">
      <w:pPr>
        <w:jc w:val="right"/>
      </w:pPr>
      <w:r>
        <w:t>[End of Annex VIII and of document]</w:t>
      </w:r>
    </w:p>
    <w:sectPr w:rsidR="00050E16" w:rsidRPr="00C5280D" w:rsidSect="00EA4900">
      <w:headerReference w:type="default" r:id="rId40"/>
      <w:headerReference w:type="first" r:id="rId4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9DA" w:rsidRDefault="009629DA" w:rsidP="006655D3">
      <w:r>
        <w:separator/>
      </w:r>
    </w:p>
    <w:p w:rsidR="009629DA" w:rsidRDefault="009629DA" w:rsidP="006655D3"/>
  </w:endnote>
  <w:endnote w:type="continuationSeparator" w:id="0">
    <w:p w:rsidR="009629DA" w:rsidRDefault="009629DA" w:rsidP="006655D3">
      <w:r>
        <w:separator/>
      </w:r>
    </w:p>
    <w:p w:rsidR="009629DA" w:rsidRPr="00294751" w:rsidRDefault="009629DA">
      <w:pPr>
        <w:pStyle w:val="Footer"/>
        <w:spacing w:after="60"/>
        <w:rPr>
          <w:sz w:val="18"/>
          <w:lang w:val="fr-FR"/>
        </w:rPr>
      </w:pPr>
      <w:r w:rsidRPr="00294751">
        <w:rPr>
          <w:sz w:val="18"/>
          <w:lang w:val="fr-FR"/>
        </w:rPr>
        <w:t>[Suite de la note de la page précédente]</w:t>
      </w:r>
    </w:p>
    <w:p w:rsidR="009629DA" w:rsidRPr="00294751" w:rsidRDefault="009629DA" w:rsidP="006655D3">
      <w:pPr>
        <w:rPr>
          <w:lang w:val="fr-FR"/>
        </w:rPr>
      </w:pPr>
    </w:p>
    <w:p w:rsidR="009629DA" w:rsidRPr="00294751" w:rsidRDefault="009629DA" w:rsidP="006655D3">
      <w:pPr>
        <w:rPr>
          <w:lang w:val="fr-FR"/>
        </w:rPr>
      </w:pPr>
    </w:p>
  </w:endnote>
  <w:endnote w:type="continuationNotice" w:id="1">
    <w:p w:rsidR="009629DA" w:rsidRPr="00294751" w:rsidRDefault="009629DA" w:rsidP="006655D3">
      <w:pPr>
        <w:rPr>
          <w:lang w:val="fr-FR"/>
        </w:rPr>
      </w:pPr>
      <w:r w:rsidRPr="00294751">
        <w:rPr>
          <w:lang w:val="fr-FR"/>
        </w:rPr>
        <w:t>[Suite de la note page suivante]</w:t>
      </w:r>
    </w:p>
    <w:p w:rsidR="009629DA" w:rsidRPr="00294751" w:rsidRDefault="009629DA" w:rsidP="006655D3">
      <w:pPr>
        <w:rPr>
          <w:lang w:val="fr-FR"/>
        </w:rPr>
      </w:pPr>
    </w:p>
    <w:p w:rsidR="009629DA" w:rsidRPr="00294751" w:rsidRDefault="009629DA" w:rsidP="006655D3">
      <w:pPr>
        <w:rPr>
          <w:lang w:val="fr-FR"/>
        </w:rPr>
      </w:pPr>
    </w:p>
  </w:endnote>
  <w:endnote w:id="2">
    <w:p w:rsidR="009629DA" w:rsidRDefault="009629DA" w:rsidP="006A3091">
      <w:pPr>
        <w:pStyle w:val="EndnoteText"/>
      </w:pPr>
      <w:r>
        <w:rPr>
          <w:rStyle w:val="EndnoteReference"/>
        </w:rPr>
        <w:endnoteRef/>
      </w:r>
      <w:r>
        <w:tab/>
      </w:r>
      <w:r w:rsidRPr="00B15F67">
        <w:rPr>
          <w:rFonts w:hint="eastAsia"/>
        </w:rPr>
        <w:t xml:space="preserve">See document </w:t>
      </w:r>
      <w:hyperlink r:id="rId1" w:history="1">
        <w:r w:rsidRPr="00B15F67">
          <w:rPr>
            <w:rStyle w:val="Hyperlink"/>
            <w:rFonts w:hint="eastAsia"/>
          </w:rPr>
          <w:t>UPOV/WG-DEN/</w:t>
        </w:r>
        <w:r w:rsidRPr="00B15F67">
          <w:rPr>
            <w:rStyle w:val="Hyperlink"/>
          </w:rPr>
          <w:t>3</w:t>
        </w:r>
        <w:r w:rsidRPr="00B15F67">
          <w:rPr>
            <w:rStyle w:val="Hyperlink"/>
            <w:rFonts w:hint="eastAsia"/>
          </w:rPr>
          <w:t>/</w:t>
        </w:r>
        <w:r w:rsidRPr="00B15F67">
          <w:rPr>
            <w:rStyle w:val="Hyperlink"/>
          </w:rPr>
          <w:t>3</w:t>
        </w:r>
      </w:hyperlink>
      <w:r w:rsidRPr="00B15F67">
        <w:rPr>
          <w:rFonts w:hint="eastAsia"/>
        </w:rPr>
        <w:t xml:space="preserve"> </w:t>
      </w:r>
      <w:r w:rsidRPr="00B15F67">
        <w:t>“</w:t>
      </w:r>
      <w:r w:rsidRPr="00B15F67">
        <w:rPr>
          <w:rFonts w:hint="eastAsia"/>
        </w:rPr>
        <w:t>Report</w:t>
      </w:r>
      <w:r w:rsidRPr="00B15F67">
        <w:t>”</w:t>
      </w:r>
      <w:r w:rsidRPr="00B15F67">
        <w:rPr>
          <w:rFonts w:hint="eastAsia"/>
        </w:rPr>
        <w:t xml:space="preserve">, paragraph </w:t>
      </w:r>
      <w:r w:rsidRPr="00B15F67">
        <w:t>1</w:t>
      </w:r>
      <w:r w:rsidRPr="00B15F67">
        <w:rPr>
          <w:rFonts w:hint="eastAsia"/>
        </w:rPr>
        <w:t>9</w:t>
      </w:r>
      <w:r w:rsidRPr="00B15F67">
        <w:t>.</w:t>
      </w:r>
    </w:p>
  </w:endnote>
  <w:endnote w:id="3">
    <w:p w:rsidR="009629DA" w:rsidRDefault="009629DA" w:rsidP="006A3091">
      <w:pPr>
        <w:pStyle w:val="EndnoteText"/>
      </w:pPr>
      <w:r>
        <w:rPr>
          <w:rStyle w:val="EndnoteReference"/>
        </w:rPr>
        <w:endnoteRef/>
      </w:r>
      <w:r>
        <w:tab/>
      </w:r>
      <w:r w:rsidRPr="00B15F67">
        <w:t xml:space="preserve">See document </w:t>
      </w:r>
      <w:hyperlink r:id="rId2" w:history="1">
        <w:r w:rsidRPr="00AF4AF9">
          <w:rPr>
            <w:rStyle w:val="Hyperlink"/>
          </w:rPr>
          <w:t>UPOV/WG-DEN/4/3</w:t>
        </w:r>
      </w:hyperlink>
      <w:r w:rsidRPr="00B15F67">
        <w:t xml:space="preserve"> “Report”, paragraph 7.</w:t>
      </w:r>
    </w:p>
  </w:endnote>
  <w:endnote w:id="4">
    <w:p w:rsidR="009629DA" w:rsidRDefault="009629DA" w:rsidP="006A3091">
      <w:pPr>
        <w:pStyle w:val="EndnoteText"/>
      </w:pPr>
      <w:r>
        <w:rPr>
          <w:rStyle w:val="EndnoteReference"/>
        </w:rPr>
        <w:endnoteRef/>
      </w:r>
      <w:r>
        <w:tab/>
      </w:r>
      <w:r w:rsidRPr="00B15F67">
        <w:t xml:space="preserve">See document </w:t>
      </w:r>
      <w:hyperlink r:id="rId3" w:history="1">
        <w:r w:rsidRPr="00AF4AF9">
          <w:rPr>
            <w:rStyle w:val="Hyperlink"/>
          </w:rPr>
          <w:t>UPOV/WG-DEN/4/3</w:t>
        </w:r>
      </w:hyperlink>
      <w:r w:rsidRPr="00B15F67">
        <w:t xml:space="preserve"> “Report”, paragraph 8.</w:t>
      </w:r>
    </w:p>
  </w:endnote>
  <w:endnote w:id="5">
    <w:p w:rsidR="009629DA" w:rsidRDefault="009629DA" w:rsidP="006A3091">
      <w:pPr>
        <w:pStyle w:val="EndnoteText"/>
      </w:pPr>
      <w:r>
        <w:rPr>
          <w:rStyle w:val="EndnoteReference"/>
        </w:rPr>
        <w:endnoteRef/>
      </w:r>
      <w:r>
        <w:tab/>
      </w:r>
      <w:r w:rsidRPr="00177B06">
        <w:t xml:space="preserve">Proposal by the European Union (CPVO) in reply to UPOV circular E-15/276 of December 3, 2015 (see document </w:t>
      </w:r>
      <w:hyperlink r:id="rId4" w:history="1">
        <w:r w:rsidRPr="00686FDB">
          <w:rPr>
            <w:rStyle w:val="Hyperlink"/>
          </w:rPr>
          <w:t>CAJ/72/9</w:t>
        </w:r>
      </w:hyperlink>
      <w:r w:rsidRPr="00177B06">
        <w:t xml:space="preserve"> “Report”, paragraph 23 (d))</w:t>
      </w:r>
      <w:r>
        <w:t>.</w:t>
      </w:r>
    </w:p>
  </w:endnote>
  <w:endnote w:id="6">
    <w:p w:rsidR="009629DA" w:rsidRDefault="009629DA">
      <w:pPr>
        <w:pStyle w:val="EndnoteText"/>
      </w:pPr>
      <w:r>
        <w:rPr>
          <w:rStyle w:val="EndnoteReference"/>
        </w:rPr>
        <w:endnoteRef/>
      </w:r>
      <w:r>
        <w:tab/>
      </w:r>
      <w:r w:rsidRPr="00177B06">
        <w:t xml:space="preserve">See document </w:t>
      </w:r>
      <w:hyperlink r:id="rId5" w:history="1">
        <w:r w:rsidRPr="00C04C22">
          <w:rPr>
            <w:rStyle w:val="Hyperlink"/>
            <w:rFonts w:hint="eastAsia"/>
            <w:lang w:eastAsia="ja-JP"/>
          </w:rPr>
          <w:t>UPOV/WG-DEN/1/6</w:t>
        </w:r>
      </w:hyperlink>
      <w:r w:rsidRPr="00177B06">
        <w:t xml:space="preserve"> “Report”, paragraph 7.</w:t>
      </w:r>
    </w:p>
  </w:endnote>
  <w:endnote w:id="7">
    <w:p w:rsidR="009629DA" w:rsidRDefault="009629DA">
      <w:pPr>
        <w:pStyle w:val="EndnoteText"/>
      </w:pPr>
      <w:r>
        <w:rPr>
          <w:rStyle w:val="EndnoteReference"/>
        </w:rPr>
        <w:endnoteRef/>
      </w:r>
      <w:r>
        <w:tab/>
      </w:r>
      <w:r w:rsidRPr="00177B06">
        <w:t xml:space="preserve">Proposal by New Zealand in reply to UPOV circular E-15/276 of December 3, 2015 (see document </w:t>
      </w:r>
      <w:hyperlink r:id="rId6" w:history="1">
        <w:r w:rsidRPr="00686FDB">
          <w:rPr>
            <w:rStyle w:val="Hyperlink"/>
          </w:rPr>
          <w:t>CAJ/72/9</w:t>
        </w:r>
      </w:hyperlink>
      <w:r w:rsidRPr="00177B06">
        <w:t xml:space="preserve"> “Report”, paragraph 23 (d))</w:t>
      </w:r>
      <w:r>
        <w:t>.</w:t>
      </w:r>
    </w:p>
  </w:endnote>
  <w:endnote w:id="8">
    <w:p w:rsidR="009629DA" w:rsidRDefault="009629DA">
      <w:pPr>
        <w:pStyle w:val="EndnoteText"/>
      </w:pPr>
      <w:r>
        <w:rPr>
          <w:rStyle w:val="EndnoteReference"/>
        </w:rPr>
        <w:endnoteRef/>
      </w:r>
      <w:r>
        <w:tab/>
      </w:r>
      <w:r w:rsidRPr="00177B06">
        <w:t xml:space="preserve">See document </w:t>
      </w:r>
      <w:hyperlink r:id="rId7" w:history="1">
        <w:r w:rsidRPr="00C04C22">
          <w:rPr>
            <w:rStyle w:val="Hyperlink"/>
            <w:rFonts w:hint="eastAsia"/>
            <w:lang w:eastAsia="ja-JP"/>
          </w:rPr>
          <w:t>UPOV/WG-DEN/1/6</w:t>
        </w:r>
      </w:hyperlink>
      <w:r w:rsidRPr="00177B06">
        <w:t xml:space="preserve"> “Report”, paragraph 9.</w:t>
      </w:r>
    </w:p>
  </w:endnote>
  <w:endnote w:id="9">
    <w:p w:rsidR="009629DA" w:rsidRDefault="009629DA">
      <w:pPr>
        <w:pStyle w:val="EndnoteText"/>
      </w:pPr>
      <w:r>
        <w:rPr>
          <w:rStyle w:val="EndnoteReference"/>
        </w:rPr>
        <w:endnoteRef/>
      </w:r>
      <w:r>
        <w:tab/>
      </w:r>
      <w:r w:rsidRPr="00177B06">
        <w:t xml:space="preserve">See document </w:t>
      </w:r>
      <w:hyperlink r:id="rId8" w:history="1">
        <w:r w:rsidRPr="00C04C22">
          <w:rPr>
            <w:rStyle w:val="Hyperlink"/>
            <w:rFonts w:hint="eastAsia"/>
            <w:lang w:eastAsia="ja-JP"/>
          </w:rPr>
          <w:t>UPOV/WG-DEN/1/6</w:t>
        </w:r>
      </w:hyperlink>
      <w:r w:rsidRPr="00177B06">
        <w:t xml:space="preserve"> “Report”, paragraph 15.</w:t>
      </w:r>
    </w:p>
  </w:endnote>
  <w:endnote w:id="10">
    <w:p w:rsidR="009629DA" w:rsidRPr="00C04C22" w:rsidRDefault="009629DA" w:rsidP="009E7079">
      <w:pPr>
        <w:spacing w:before="60"/>
        <w:ind w:left="284" w:hanging="284"/>
        <w:rPr>
          <w:sz w:val="18"/>
        </w:rPr>
      </w:pPr>
      <w:r w:rsidRPr="00C04C22">
        <w:rPr>
          <w:rStyle w:val="EndnoteReference"/>
          <w:sz w:val="18"/>
        </w:rPr>
        <w:endnoteRef/>
      </w:r>
      <w:r>
        <w:rPr>
          <w:sz w:val="18"/>
        </w:rPr>
        <w:tab/>
      </w:r>
      <w:r w:rsidRPr="007D618E">
        <w:rPr>
          <w:sz w:val="18"/>
        </w:rPr>
        <w:t xml:space="preserve">See document </w:t>
      </w:r>
      <w:hyperlink r:id="rId9" w:history="1">
        <w:r w:rsidRPr="00AF4AF9">
          <w:rPr>
            <w:rStyle w:val="Hyperlink"/>
            <w:sz w:val="18"/>
          </w:rPr>
          <w:t>UPOV/WG-DEN/4/</w:t>
        </w:r>
        <w:r w:rsidRPr="00AF4AF9">
          <w:rPr>
            <w:rStyle w:val="Hyperlink"/>
            <w:sz w:val="18"/>
            <w:lang w:eastAsia="ja-JP"/>
          </w:rPr>
          <w:t>3</w:t>
        </w:r>
      </w:hyperlink>
      <w:r w:rsidRPr="007D618E">
        <w:rPr>
          <w:sz w:val="18"/>
        </w:rPr>
        <w:t xml:space="preserve"> “Report”, paragraph </w:t>
      </w:r>
      <w:r>
        <w:rPr>
          <w:sz w:val="18"/>
        </w:rPr>
        <w:t>12</w:t>
      </w:r>
      <w:r w:rsidRPr="00C04C22">
        <w:rPr>
          <w:sz w:val="18"/>
          <w:lang w:eastAsia="ja-JP"/>
        </w:rPr>
        <w:t>.</w:t>
      </w:r>
    </w:p>
  </w:endnote>
  <w:endnote w:id="11">
    <w:p w:rsidR="009629DA" w:rsidRDefault="009629DA">
      <w:pPr>
        <w:pStyle w:val="EndnoteText"/>
      </w:pPr>
      <w:r>
        <w:rPr>
          <w:rStyle w:val="EndnoteReference"/>
        </w:rPr>
        <w:endnoteRef/>
      </w:r>
      <w:r>
        <w:tab/>
      </w:r>
      <w:r w:rsidRPr="00177B06">
        <w:t xml:space="preserve">Proposal by WG-DST at its second meeting held in Geneva, on June 9, 2015 (see document </w:t>
      </w:r>
      <w:hyperlink r:id="rId10" w:history="1">
        <w:r w:rsidRPr="00686FDB">
          <w:rPr>
            <w:rStyle w:val="Hyperlink"/>
          </w:rPr>
          <w:t>CAJ/72/9</w:t>
        </w:r>
      </w:hyperlink>
      <w:r w:rsidRPr="00177B06">
        <w:t xml:space="preserve"> “Report”, paragraph 23 (d))</w:t>
      </w:r>
      <w:r>
        <w:t>.</w:t>
      </w:r>
    </w:p>
  </w:endnote>
  <w:endnote w:id="12">
    <w:p w:rsidR="005F50A8" w:rsidRDefault="005F50A8">
      <w:pPr>
        <w:pStyle w:val="EndnoteText"/>
      </w:pPr>
      <w:r>
        <w:rPr>
          <w:rStyle w:val="EndnoteReference"/>
        </w:rPr>
        <w:endnoteRef/>
      </w:r>
      <w:r>
        <w:tab/>
      </w:r>
      <w:r w:rsidRPr="00177B06">
        <w:t xml:space="preserve">See document </w:t>
      </w:r>
      <w:hyperlink r:id="rId11" w:history="1">
        <w:r w:rsidRPr="00C04C22">
          <w:rPr>
            <w:rStyle w:val="Hyperlink"/>
            <w:rFonts w:hint="eastAsia"/>
            <w:lang w:eastAsia="ja-JP"/>
          </w:rPr>
          <w:t>UPOV/WG-DEN/1/6</w:t>
        </w:r>
      </w:hyperlink>
      <w:r w:rsidRPr="00177B06">
        <w:t xml:space="preserve"> “Report”, paragraph 17.</w:t>
      </w:r>
    </w:p>
  </w:endnote>
  <w:endnote w:id="13">
    <w:p w:rsidR="005F50A8" w:rsidRDefault="005F50A8">
      <w:pPr>
        <w:pStyle w:val="EndnoteText"/>
      </w:pPr>
      <w:r>
        <w:rPr>
          <w:rStyle w:val="EndnoteReference"/>
        </w:rPr>
        <w:endnoteRef/>
      </w:r>
      <w:r>
        <w:tab/>
      </w:r>
      <w:r w:rsidRPr="00B15F67">
        <w:t xml:space="preserve">See document </w:t>
      </w:r>
      <w:hyperlink r:id="rId12" w:history="1">
        <w:r w:rsidRPr="00AF4AF9">
          <w:rPr>
            <w:rStyle w:val="Hyperlink"/>
          </w:rPr>
          <w:t>UPOV/WG-DEN/4/3</w:t>
        </w:r>
      </w:hyperlink>
      <w:r w:rsidRPr="00B15F67">
        <w:t xml:space="preserve"> “Report”, paragraph 13.</w:t>
      </w:r>
    </w:p>
  </w:endnote>
  <w:endnote w:id="14">
    <w:p w:rsidR="00B37D73" w:rsidRDefault="00B37D73">
      <w:pPr>
        <w:pStyle w:val="EndnoteText"/>
      </w:pPr>
      <w:r>
        <w:rPr>
          <w:rStyle w:val="EndnoteReference"/>
        </w:rPr>
        <w:endnoteRef/>
      </w:r>
      <w:r>
        <w:tab/>
      </w:r>
      <w:r w:rsidRPr="00177B06">
        <w:t xml:space="preserve">See document </w:t>
      </w:r>
      <w:hyperlink r:id="rId13" w:history="1">
        <w:r w:rsidRPr="00C04C22">
          <w:rPr>
            <w:rStyle w:val="Hyperlink"/>
            <w:rFonts w:hint="eastAsia"/>
            <w:lang w:eastAsia="ja-JP"/>
          </w:rPr>
          <w:t>UPOV/WG-DEN/1/6</w:t>
        </w:r>
      </w:hyperlink>
      <w:r w:rsidRPr="00177B06">
        <w:t xml:space="preserve"> “Report”, paragraphs 18 and 19.</w:t>
      </w:r>
    </w:p>
  </w:endnote>
  <w:endnote w:id="15">
    <w:p w:rsidR="00B37D73" w:rsidRDefault="00B37D73">
      <w:pPr>
        <w:pStyle w:val="EndnoteText"/>
      </w:pPr>
      <w:r>
        <w:rPr>
          <w:rStyle w:val="EndnoteReference"/>
        </w:rPr>
        <w:endnoteRef/>
      </w:r>
      <w:r>
        <w:tab/>
      </w:r>
      <w:r w:rsidRPr="00177B06">
        <w:t xml:space="preserve">See document </w:t>
      </w:r>
      <w:hyperlink r:id="rId14" w:history="1">
        <w:r w:rsidRPr="00177B06">
          <w:rPr>
            <w:rStyle w:val="Hyperlink"/>
          </w:rPr>
          <w:t>UPOV/WG-DEN/1/4</w:t>
        </w:r>
      </w:hyperlink>
      <w:r w:rsidRPr="00177B06">
        <w:t xml:space="preserve"> “Expansion of the content of PLUTO Database”.</w:t>
      </w:r>
    </w:p>
  </w:endnote>
  <w:endnote w:id="16">
    <w:p w:rsidR="00B37D73" w:rsidRDefault="00B37D73">
      <w:pPr>
        <w:pStyle w:val="EndnoteText"/>
      </w:pPr>
      <w:r>
        <w:rPr>
          <w:rStyle w:val="EndnoteReference"/>
        </w:rPr>
        <w:endnoteRef/>
      </w:r>
      <w:r>
        <w:tab/>
      </w:r>
      <w:r w:rsidRPr="00177B06">
        <w:t xml:space="preserve">See document </w:t>
      </w:r>
      <w:hyperlink r:id="rId15" w:history="1">
        <w:r w:rsidRPr="00C04C22">
          <w:rPr>
            <w:rStyle w:val="Hyperlink"/>
            <w:rFonts w:hint="eastAsia"/>
            <w:lang w:eastAsia="ja-JP"/>
          </w:rPr>
          <w:t>UPOV/WG-DEN/1/6</w:t>
        </w:r>
      </w:hyperlink>
      <w:r w:rsidRPr="00177B06">
        <w:t xml:space="preserve"> “Report”, paragraph 27.</w:t>
      </w:r>
    </w:p>
  </w:endnote>
  <w:endnote w:id="17">
    <w:p w:rsidR="00B37D73" w:rsidRDefault="00B37D73">
      <w:pPr>
        <w:pStyle w:val="EndnoteText"/>
      </w:pPr>
      <w:r>
        <w:rPr>
          <w:rStyle w:val="EndnoteReference"/>
        </w:rPr>
        <w:endnoteRef/>
      </w:r>
      <w:r>
        <w:tab/>
      </w:r>
      <w:r w:rsidRPr="00177B06">
        <w:t xml:space="preserve">See document </w:t>
      </w:r>
      <w:hyperlink r:id="rId16" w:history="1">
        <w:r w:rsidRPr="00C04C22">
          <w:rPr>
            <w:rStyle w:val="Hyperlink"/>
            <w:rFonts w:hint="eastAsia"/>
            <w:lang w:eastAsia="ja-JP"/>
          </w:rPr>
          <w:t>UPOV/WG-DEN/1/6</w:t>
        </w:r>
      </w:hyperlink>
      <w:r w:rsidRPr="00177B06">
        <w:t xml:space="preserve"> “Report”, paragraph 32.</w:t>
      </w:r>
    </w:p>
  </w:endnote>
  <w:endnote w:id="18">
    <w:p w:rsidR="00B37D73" w:rsidRDefault="00B37D73">
      <w:pPr>
        <w:pStyle w:val="EndnoteText"/>
      </w:pPr>
      <w:r>
        <w:rPr>
          <w:rStyle w:val="EndnoteReference"/>
        </w:rPr>
        <w:endnoteRef/>
      </w:r>
      <w:r>
        <w:tab/>
      </w:r>
      <w:r w:rsidRPr="00177B06">
        <w:t xml:space="preserve">See document </w:t>
      </w:r>
      <w:hyperlink r:id="rId17" w:history="1">
        <w:r w:rsidRPr="00C04C22">
          <w:rPr>
            <w:rStyle w:val="Hyperlink"/>
            <w:rFonts w:hint="eastAsia"/>
            <w:lang w:eastAsia="ja-JP"/>
          </w:rPr>
          <w:t>UPOV/WG-DEN/1/6</w:t>
        </w:r>
      </w:hyperlink>
      <w:r w:rsidRPr="00177B06">
        <w:t xml:space="preserve"> “Report”, paragraph 22.</w:t>
      </w:r>
    </w:p>
  </w:endnote>
  <w:endnote w:id="19">
    <w:p w:rsidR="001B68A3" w:rsidRDefault="001B68A3">
      <w:pPr>
        <w:pStyle w:val="EndnoteText"/>
      </w:pPr>
      <w:r>
        <w:rPr>
          <w:rStyle w:val="EndnoteReference"/>
        </w:rPr>
        <w:endnoteRef/>
      </w:r>
      <w:r>
        <w:tab/>
      </w:r>
      <w:r w:rsidRPr="006757D3">
        <w:rPr>
          <w:rFonts w:hint="eastAsia"/>
        </w:rPr>
        <w:t xml:space="preserve">See document </w:t>
      </w:r>
      <w:hyperlink r:id="rId18" w:history="1">
        <w:r w:rsidRPr="006757D3">
          <w:rPr>
            <w:rStyle w:val="Hyperlink"/>
            <w:rFonts w:hint="eastAsia"/>
          </w:rPr>
          <w:t>UPOV/WG-DEN/</w:t>
        </w:r>
        <w:r w:rsidRPr="006757D3">
          <w:rPr>
            <w:rStyle w:val="Hyperlink"/>
          </w:rPr>
          <w:t>3</w:t>
        </w:r>
        <w:r w:rsidRPr="006757D3">
          <w:rPr>
            <w:rStyle w:val="Hyperlink"/>
            <w:rFonts w:hint="eastAsia"/>
          </w:rPr>
          <w:t>/</w:t>
        </w:r>
        <w:r w:rsidRPr="006757D3">
          <w:rPr>
            <w:rStyle w:val="Hyperlink"/>
          </w:rPr>
          <w:t>3</w:t>
        </w:r>
      </w:hyperlink>
      <w:r w:rsidRPr="006757D3">
        <w:rPr>
          <w:rFonts w:hint="eastAsia"/>
        </w:rPr>
        <w:t xml:space="preserve"> </w:t>
      </w:r>
      <w:r w:rsidRPr="006757D3">
        <w:t>“</w:t>
      </w:r>
      <w:r w:rsidRPr="006757D3">
        <w:rPr>
          <w:rFonts w:hint="eastAsia"/>
        </w:rPr>
        <w:t>Report</w:t>
      </w:r>
      <w:r w:rsidRPr="006757D3">
        <w:t>”</w:t>
      </w:r>
      <w:r w:rsidRPr="006757D3">
        <w:rPr>
          <w:rFonts w:hint="eastAsia"/>
        </w:rPr>
        <w:t xml:space="preserve">, paragraph </w:t>
      </w:r>
      <w:r w:rsidRPr="006757D3">
        <w:t>8.</w:t>
      </w:r>
    </w:p>
  </w:endnote>
  <w:endnote w:id="20">
    <w:p w:rsidR="001B68A3" w:rsidRPr="001B68A3" w:rsidRDefault="001B68A3" w:rsidP="001B68A3">
      <w:pPr>
        <w:pStyle w:val="EndnoteText"/>
      </w:pPr>
      <w:r>
        <w:rPr>
          <w:rStyle w:val="EndnoteReference"/>
        </w:rPr>
        <w:endnoteRef/>
      </w:r>
      <w:r>
        <w:tab/>
      </w:r>
      <w:r w:rsidRPr="001B68A3">
        <w:t>ICNCP Rules:</w:t>
      </w:r>
    </w:p>
    <w:p w:rsidR="001B68A3" w:rsidRPr="008A5DEF" w:rsidRDefault="001B68A3" w:rsidP="008A5DEF">
      <w:pPr>
        <w:pStyle w:val="ListParagraph"/>
        <w:spacing w:before="60"/>
        <w:ind w:left="284"/>
        <w:contextualSpacing w:val="0"/>
        <w:rPr>
          <w:sz w:val="18"/>
        </w:rPr>
      </w:pPr>
      <w:r>
        <w:rPr>
          <w:sz w:val="18"/>
        </w:rPr>
        <w:t>“</w:t>
      </w:r>
      <w:r w:rsidRPr="006757D3">
        <w:rPr>
          <w:sz w:val="18"/>
        </w:rPr>
        <w:t>An International Cultivar Registration Authority may only accept re-use of a cultivar, Group or grex epithet if that authority is satisfied that the original cultivar, Group, or grex (a) is no longer in cultivation, and (b) has ceased to exist as breeding material, and (c) may not be found in a gene or seed bank, and (d) is not a known component in the pedigree of other cultivars, Groups, or grexes, and (e) the name has rarely been used in publications, and (f) re-use is unlikely to cause confusion.</w:t>
      </w:r>
      <w:r>
        <w:rPr>
          <w:sz w:val="18"/>
        </w:rPr>
        <w:t xml:space="preserve">” (see </w:t>
      </w:r>
      <w:r w:rsidRPr="006757D3">
        <w:rPr>
          <w:sz w:val="18"/>
          <w:szCs w:val="18"/>
        </w:rPr>
        <w:t>International Code of Nomenclature for Cultivated Plants (ICNCP), (10</w:t>
      </w:r>
      <w:r w:rsidRPr="001B68A3">
        <w:rPr>
          <w:sz w:val="18"/>
          <w:szCs w:val="18"/>
          <w:vertAlign w:val="superscript"/>
        </w:rPr>
        <w:t>th</w:t>
      </w:r>
      <w:r>
        <w:rPr>
          <w:sz w:val="18"/>
          <w:szCs w:val="18"/>
        </w:rPr>
        <w:t> </w:t>
      </w:r>
      <w:r w:rsidRPr="006757D3">
        <w:rPr>
          <w:sz w:val="18"/>
          <w:szCs w:val="18"/>
        </w:rPr>
        <w:t>edition), Article 30.2</w:t>
      </w:r>
      <w:r>
        <w:rPr>
          <w:sz w:val="18"/>
        </w:rPr>
        <w:t>)</w:t>
      </w:r>
    </w:p>
  </w:endnote>
  <w:endnote w:id="21">
    <w:p w:rsidR="008A5DEF" w:rsidRDefault="008A5DEF">
      <w:pPr>
        <w:pStyle w:val="EndnoteText"/>
      </w:pPr>
      <w:r>
        <w:rPr>
          <w:rStyle w:val="EndnoteReference"/>
        </w:rPr>
        <w:endnoteRef/>
      </w:r>
      <w:r>
        <w:tab/>
      </w:r>
      <w:r w:rsidRPr="006757D3">
        <w:rPr>
          <w:rFonts w:hint="eastAsia"/>
        </w:rPr>
        <w:t xml:space="preserve">See document </w:t>
      </w:r>
      <w:hyperlink r:id="rId19" w:history="1">
        <w:r w:rsidRPr="006757D3">
          <w:rPr>
            <w:rStyle w:val="Hyperlink"/>
            <w:rFonts w:hint="eastAsia"/>
          </w:rPr>
          <w:t>UPOV/WG-DEN/</w:t>
        </w:r>
        <w:r w:rsidRPr="006757D3">
          <w:rPr>
            <w:rStyle w:val="Hyperlink"/>
          </w:rPr>
          <w:t>3</w:t>
        </w:r>
        <w:r w:rsidRPr="006757D3">
          <w:rPr>
            <w:rStyle w:val="Hyperlink"/>
            <w:rFonts w:hint="eastAsia"/>
          </w:rPr>
          <w:t>/</w:t>
        </w:r>
        <w:r w:rsidRPr="006757D3">
          <w:rPr>
            <w:rStyle w:val="Hyperlink"/>
          </w:rPr>
          <w:t>3</w:t>
        </w:r>
      </w:hyperlink>
      <w:r w:rsidRPr="006757D3">
        <w:rPr>
          <w:rFonts w:hint="eastAsia"/>
        </w:rPr>
        <w:t xml:space="preserve"> </w:t>
      </w:r>
      <w:r w:rsidRPr="006757D3">
        <w:t>“</w:t>
      </w:r>
      <w:r w:rsidRPr="006757D3">
        <w:rPr>
          <w:rFonts w:hint="eastAsia"/>
        </w:rPr>
        <w:t>Report</w:t>
      </w:r>
      <w:r w:rsidRPr="006757D3">
        <w:t>”</w:t>
      </w:r>
      <w:r w:rsidRPr="006757D3">
        <w:rPr>
          <w:rFonts w:hint="eastAsia"/>
        </w:rPr>
        <w:t xml:space="preserve">, paragraph </w:t>
      </w:r>
      <w:r>
        <w:t>9</w:t>
      </w:r>
      <w:r w:rsidRPr="006757D3">
        <w:t>.</w:t>
      </w:r>
    </w:p>
  </w:endnote>
  <w:endnote w:id="22">
    <w:p w:rsidR="008A5DEF" w:rsidRDefault="008A5DEF">
      <w:pPr>
        <w:pStyle w:val="EndnoteText"/>
      </w:pPr>
      <w:r>
        <w:rPr>
          <w:rStyle w:val="EndnoteReference"/>
        </w:rPr>
        <w:endnoteRef/>
      </w:r>
      <w:r>
        <w:tab/>
      </w:r>
      <w:r w:rsidRPr="00177B06">
        <w:t xml:space="preserve">See document </w:t>
      </w:r>
      <w:hyperlink r:id="rId20" w:history="1">
        <w:r w:rsidRPr="00C04C22">
          <w:rPr>
            <w:rStyle w:val="Hyperlink"/>
            <w:rFonts w:hint="eastAsia"/>
            <w:lang w:eastAsia="ja-JP"/>
          </w:rPr>
          <w:t>UPOV/WG-DEN/1/6</w:t>
        </w:r>
      </w:hyperlink>
      <w:r w:rsidRPr="00177B06">
        <w:t xml:space="preserve"> “Report”, paragraphs 33 and 34.</w:t>
      </w:r>
    </w:p>
  </w:endnote>
  <w:endnote w:id="23">
    <w:p w:rsidR="008A5DEF" w:rsidRDefault="008A5DEF">
      <w:pPr>
        <w:pStyle w:val="EndnoteText"/>
      </w:pPr>
      <w:r>
        <w:rPr>
          <w:rStyle w:val="EndnoteReference"/>
        </w:rPr>
        <w:endnoteRef/>
      </w:r>
      <w:r>
        <w:tab/>
      </w:r>
      <w:r w:rsidRPr="00177B06">
        <w:t xml:space="preserve">See document </w:t>
      </w:r>
      <w:hyperlink r:id="rId21" w:history="1">
        <w:r w:rsidRPr="00C04C22">
          <w:rPr>
            <w:rStyle w:val="Hyperlink"/>
            <w:rFonts w:hint="eastAsia"/>
            <w:lang w:eastAsia="ja-JP"/>
          </w:rPr>
          <w:t>UPOV/WG-DEN/1/6</w:t>
        </w:r>
      </w:hyperlink>
      <w:r w:rsidRPr="00177B06">
        <w:t xml:space="preserve"> “Report”, paragraph 37.</w:t>
      </w:r>
    </w:p>
  </w:endnote>
  <w:endnote w:id="24">
    <w:p w:rsidR="00AF4AF9" w:rsidRDefault="00AF4AF9">
      <w:pPr>
        <w:pStyle w:val="EndnoteText"/>
      </w:pPr>
      <w:r>
        <w:rPr>
          <w:rStyle w:val="EndnoteReference"/>
        </w:rPr>
        <w:endnoteRef/>
      </w:r>
      <w:r>
        <w:tab/>
      </w:r>
      <w:r w:rsidRPr="006757D3">
        <w:rPr>
          <w:rFonts w:hint="eastAsia"/>
        </w:rPr>
        <w:t xml:space="preserve">See document </w:t>
      </w:r>
      <w:hyperlink r:id="rId22" w:history="1">
        <w:r w:rsidRPr="00AF4AF9">
          <w:rPr>
            <w:rStyle w:val="Hyperlink"/>
          </w:rPr>
          <w:t>UPOV/WG-DEN/4/3</w:t>
        </w:r>
      </w:hyperlink>
      <w:r w:rsidRPr="006757D3">
        <w:t xml:space="preserve"> “Report”, paragraph 22.</w:t>
      </w:r>
    </w:p>
  </w:endnote>
  <w:endnote w:id="25">
    <w:p w:rsidR="008A5DEF" w:rsidRDefault="008A5DEF">
      <w:pPr>
        <w:pStyle w:val="EndnoteText"/>
      </w:pPr>
      <w:r>
        <w:rPr>
          <w:rStyle w:val="EndnoteReference"/>
        </w:rPr>
        <w:endnoteRef/>
      </w:r>
      <w:r>
        <w:tab/>
      </w:r>
      <w:r w:rsidRPr="00177B06">
        <w:t>Proposal by CAJ-AG based on an initial proposal by ESA of June 25, 2014 and submit</w:t>
      </w:r>
      <w:r>
        <w:t>ted by ESA in the reply to UPOV </w:t>
      </w:r>
      <w:r w:rsidRPr="00177B06">
        <w:t xml:space="preserve">Circular E-15/276 of December 3, 2015 (see document </w:t>
      </w:r>
      <w:hyperlink r:id="rId23" w:history="1">
        <w:r w:rsidRPr="00686FDB">
          <w:rPr>
            <w:rStyle w:val="Hyperlink"/>
          </w:rPr>
          <w:t>CAJ/72/9</w:t>
        </w:r>
      </w:hyperlink>
      <w:r w:rsidRPr="00177B06">
        <w:t xml:space="preserve"> “Report”, paragraph 23(d))</w:t>
      </w:r>
      <w:r>
        <w:t>.</w:t>
      </w:r>
    </w:p>
  </w:endnote>
  <w:endnote w:id="26">
    <w:p w:rsidR="00856D87" w:rsidRDefault="00856D87">
      <w:pPr>
        <w:pStyle w:val="EndnoteText"/>
      </w:pPr>
      <w:r>
        <w:rPr>
          <w:rStyle w:val="EndnoteReference"/>
        </w:rPr>
        <w:endnoteRef/>
      </w:r>
      <w:r>
        <w:tab/>
      </w:r>
      <w:r w:rsidRPr="00BD622C">
        <w:rPr>
          <w:rFonts w:hint="eastAsia"/>
        </w:rPr>
        <w:t xml:space="preserve">See document </w:t>
      </w:r>
      <w:hyperlink r:id="rId24" w:history="1">
        <w:r w:rsidRPr="00AF4AF9">
          <w:rPr>
            <w:rStyle w:val="Hyperlink"/>
          </w:rPr>
          <w:t>UPOV/WG-DEN/4/3</w:t>
        </w:r>
      </w:hyperlink>
      <w:r w:rsidRPr="00BD622C">
        <w:rPr>
          <w:rFonts w:hint="eastAsia"/>
        </w:rPr>
        <w:t xml:space="preserve"> </w:t>
      </w:r>
      <w:r w:rsidRPr="00BD622C">
        <w:t>“</w:t>
      </w:r>
      <w:r w:rsidRPr="00BD622C">
        <w:rPr>
          <w:rFonts w:hint="eastAsia"/>
        </w:rPr>
        <w:t>Report</w:t>
      </w:r>
      <w:r w:rsidRPr="00BD622C">
        <w:t>”</w:t>
      </w:r>
      <w:r w:rsidRPr="00BD622C">
        <w:rPr>
          <w:rFonts w:hint="eastAsia"/>
        </w:rPr>
        <w:t xml:space="preserve">, paragraph </w:t>
      </w:r>
      <w:r w:rsidRPr="00BD622C">
        <w:t>2</w:t>
      </w:r>
      <w:r w:rsidRPr="00BD622C">
        <w:rPr>
          <w:rFonts w:hint="eastAsia"/>
        </w:rPr>
        <w:t>5</w:t>
      </w:r>
      <w:r w:rsidRPr="00BD622C">
        <w:t>.</w:t>
      </w:r>
    </w:p>
  </w:endnote>
  <w:endnote w:id="27">
    <w:p w:rsidR="00856D87" w:rsidRDefault="00856D87">
      <w:pPr>
        <w:pStyle w:val="EndnoteText"/>
      </w:pPr>
      <w:r>
        <w:rPr>
          <w:rStyle w:val="EndnoteReference"/>
        </w:rPr>
        <w:endnoteRef/>
      </w:r>
      <w:r>
        <w:tab/>
      </w:r>
      <w:r w:rsidRPr="00177B06">
        <w:t xml:space="preserve">See document </w:t>
      </w:r>
      <w:hyperlink r:id="rId25" w:history="1">
        <w:r w:rsidRPr="00C04C22">
          <w:rPr>
            <w:rStyle w:val="Hyperlink"/>
            <w:rFonts w:hint="eastAsia"/>
            <w:lang w:eastAsia="ja-JP"/>
          </w:rPr>
          <w:t>UPOV/WG-DEN/1/6</w:t>
        </w:r>
      </w:hyperlink>
      <w:r w:rsidRPr="00177B06">
        <w:t xml:space="preserve"> “Report”, paragraph 45.</w:t>
      </w:r>
    </w:p>
  </w:endnote>
  <w:endnote w:id="28">
    <w:p w:rsidR="00856D87" w:rsidRDefault="00856D87">
      <w:pPr>
        <w:pStyle w:val="EndnoteText"/>
      </w:pPr>
      <w:r>
        <w:rPr>
          <w:rStyle w:val="EndnoteReference"/>
        </w:rPr>
        <w:endnoteRef/>
      </w:r>
      <w:r>
        <w:tab/>
      </w:r>
      <w:r w:rsidRPr="00177B06">
        <w:t>In reply to UPOV Circular E-15/276 of December 3, 2015, ESA made the following comment on a proposed text for Section 7.2(c) made by APBREBES to the CAJ-AG on October 24, 2014:</w:t>
      </w:r>
    </w:p>
    <w:p w:rsidR="00856D87" w:rsidRPr="00856D87" w:rsidRDefault="00856D87" w:rsidP="00856D87">
      <w:pPr>
        <w:spacing w:before="60"/>
        <w:ind w:left="567" w:right="283"/>
        <w:rPr>
          <w:sz w:val="16"/>
        </w:rPr>
      </w:pPr>
      <w:r w:rsidRPr="00856D87">
        <w:rPr>
          <w:sz w:val="16"/>
        </w:rPr>
        <w:t xml:space="preserve">“Under point 7.2 (c) a proposal from </w:t>
      </w:r>
      <w:r w:rsidRPr="00856D87">
        <w:rPr>
          <w:sz w:val="16"/>
        </w:rPr>
        <w:t xml:space="preserve">APBREBES </w:t>
      </w:r>
      <w:r w:rsidRPr="00856D87">
        <w:rPr>
          <w:sz w:val="16"/>
        </w:rPr>
        <w:t>has been inserted. In general, we believe that the scenario described by point 7.2(c) would be very seldom since points (a) and (b) already cover the scenarios in which normally a breeder would request a change of the denomination. Further on, we do not fully understand whether the last sentence of the proposal (starting with “If the denomination is changed…”) refers only to a change under point (c) or would also apply to points (a) and (b). If this would be the case, we would like to point out that it would not be possible to continue to mention the old name next to the new name since under (a) this would still constitute an infringement of the trademark and under (b) the breeder would certainly not want to continue mentioning a name next to the new name which may be offensive for example.”</w:t>
      </w:r>
    </w:p>
    <w:p w:rsidR="00856D87" w:rsidRDefault="00856D87">
      <w:pPr>
        <w:pStyle w:val="EndnoteText"/>
      </w:pPr>
      <w:r w:rsidRPr="00177B06">
        <w:t xml:space="preserve">The proposed text by APBREBES was not retained in the version adopted by the Council in October 29, 2015. </w:t>
      </w:r>
      <w:r>
        <w:t xml:space="preserve"> </w:t>
      </w:r>
      <w:r w:rsidRPr="00177B06">
        <w:t>Therefore, the above comment made by ESA is not relevant for the present text of Section 7.2(c).</w:t>
      </w:r>
    </w:p>
  </w:endnote>
  <w:endnote w:id="29">
    <w:p w:rsidR="00856D87" w:rsidRDefault="00856D87">
      <w:pPr>
        <w:pStyle w:val="EndnoteText"/>
      </w:pPr>
      <w:r>
        <w:rPr>
          <w:rStyle w:val="EndnoteReference"/>
        </w:rPr>
        <w:endnoteRef/>
      </w:r>
      <w:r>
        <w:tab/>
      </w:r>
      <w:r w:rsidRPr="00177B06">
        <w:t xml:space="preserve">See document </w:t>
      </w:r>
      <w:hyperlink r:id="rId26" w:history="1">
        <w:r w:rsidRPr="00C04C22">
          <w:rPr>
            <w:rStyle w:val="Hyperlink"/>
            <w:rFonts w:hint="eastAsia"/>
            <w:lang w:eastAsia="ja-JP"/>
          </w:rPr>
          <w:t>UPOV/WG-DEN/1/6</w:t>
        </w:r>
      </w:hyperlink>
      <w:r w:rsidRPr="00177B06">
        <w:t xml:space="preserve"> “Report”, paragraphs 47 and 48.</w:t>
      </w:r>
    </w:p>
    <w:p w:rsidR="00FA1D1F" w:rsidRPr="00FA1D1F" w:rsidRDefault="00FA1D1F">
      <w:pPr>
        <w:pStyle w:val="EndnoteText"/>
        <w:rPr>
          <w:sz w:val="20"/>
        </w:rPr>
      </w:pPr>
    </w:p>
    <w:p w:rsidR="00FA1D1F" w:rsidRPr="00FA1D1F" w:rsidRDefault="00FA1D1F" w:rsidP="00FA1D1F">
      <w:pPr>
        <w:pStyle w:val="EndnoteText"/>
        <w:jc w:val="right"/>
        <w:rPr>
          <w:sz w:val="20"/>
        </w:rPr>
      </w:pPr>
      <w:r w:rsidRPr="00FA1D1F">
        <w:rPr>
          <w:sz w:val="20"/>
        </w:rPr>
        <w:t>[Annex II follows]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9DA" w:rsidRDefault="009629DA" w:rsidP="006655D3">
      <w:r>
        <w:separator/>
      </w:r>
    </w:p>
  </w:footnote>
  <w:footnote w:type="continuationSeparator" w:id="0">
    <w:p w:rsidR="009629DA" w:rsidRDefault="009629DA" w:rsidP="006655D3">
      <w:r>
        <w:separator/>
      </w:r>
    </w:p>
  </w:footnote>
  <w:footnote w:type="continuationNotice" w:id="1">
    <w:p w:rsidR="009629DA" w:rsidRPr="00AB530F" w:rsidRDefault="009629DA" w:rsidP="00AB530F">
      <w:pPr>
        <w:pStyle w:val="Footer"/>
      </w:pPr>
    </w:p>
  </w:footnote>
  <w:footnote w:id="2">
    <w:p w:rsidR="009629DA" w:rsidRDefault="009629DA" w:rsidP="006A3091">
      <w:pPr>
        <w:pStyle w:val="FootnoteText"/>
      </w:pPr>
      <w:r>
        <w:rPr>
          <w:rStyle w:val="FootnoteReference"/>
        </w:rPr>
        <w:footnoteRef/>
      </w:r>
      <w:r>
        <w:tab/>
        <w:t>“Member of the Union” means a State party to the 1961Convention/1972 Act, the 1978 Act or a State or intergovernmental organization party to the 1991 Act (Article 1(xi) of the 1991 Act).</w:t>
      </w:r>
    </w:p>
  </w:footnote>
  <w:footnote w:id="3">
    <w:p w:rsidR="009629DA" w:rsidRDefault="009629DA" w:rsidP="006A3091">
      <w:pPr>
        <w:pStyle w:val="FootnoteText"/>
      </w:pPr>
      <w:r>
        <w:rPr>
          <w:rStyle w:val="FootnoteReference"/>
        </w:rPr>
        <w:footnoteRef/>
      </w:r>
      <w:r>
        <w:tab/>
        <w:t>The “authority” means the authority entrusted with the task of granting breeders’ rights (Article 30(1)(ii) of the 1991 Act and Article 30(1)(b) of the 1978 Act and 1961 Convention).</w:t>
      </w:r>
    </w:p>
  </w:footnote>
  <w:footnote w:id="4">
    <w:p w:rsidR="009629DA" w:rsidRDefault="009629DA" w:rsidP="006A3091">
      <w:pPr>
        <w:pStyle w:val="FootnoteText"/>
        <w:rPr>
          <w:rStyle w:val="FootnoteTextChar"/>
        </w:rPr>
      </w:pPr>
      <w:r>
        <w:rPr>
          <w:rStyle w:val="FootnoteReference"/>
        </w:rPr>
        <w:footnoteRef/>
      </w:r>
      <w:r>
        <w:t xml:space="preserve"> </w:t>
      </w:r>
      <w:r>
        <w:tab/>
      </w:r>
      <w:r w:rsidRPr="00DE1471">
        <w:rPr>
          <w:rStyle w:val="FootnoteTextChar"/>
        </w:rPr>
        <w:t>WIPO Publication No 489 “WIPO Intellectual Property Handbook</w:t>
      </w:r>
    </w:p>
    <w:p w:rsidR="009629DA" w:rsidRPr="00DE1471" w:rsidRDefault="009629DA" w:rsidP="006A3091">
      <w:pPr>
        <w:pStyle w:val="FootnoteText"/>
        <w:rPr>
          <w:rStyle w:val="FootnoteTextChar"/>
        </w:rPr>
      </w:pPr>
      <w:r w:rsidRPr="00DE1471">
        <w:rPr>
          <w:rStyle w:val="FootnoteTextChar"/>
        </w:rPr>
        <w:br/>
      </w:r>
      <w:r w:rsidRPr="00DE1471">
        <w:rPr>
          <w:rStyle w:val="FootnoteTextChar"/>
          <w:u w:val="single"/>
        </w:rPr>
        <w:t>Proper Use of Trademarks</w:t>
      </w:r>
    </w:p>
    <w:p w:rsidR="009629DA" w:rsidRPr="00DE1471" w:rsidRDefault="009629DA" w:rsidP="006A3091">
      <w:pPr>
        <w:pStyle w:val="FootnoteText"/>
      </w:pPr>
      <w:r w:rsidRPr="00DE1471">
        <w:t>“2.397</w:t>
      </w:r>
      <w:r w:rsidRPr="00DE1471">
        <w:tab/>
        <w:t>Non-use can lead to the loss of trademark rights.  Improper use can have the same result, however.  A mark may become liable for removal from the Register if the registered owner has provoked or tolerated its transformation into a generic name for one or more of the goods or services in respect of which the mark is registered, so that, in trade circles and in the eyes of the appropriate consumers and of the public in general, its significance as a mark has been lost.</w:t>
      </w:r>
    </w:p>
    <w:p w:rsidR="009629DA" w:rsidRPr="00DE1471" w:rsidRDefault="009629DA" w:rsidP="006A3091">
      <w:pPr>
        <w:pStyle w:val="FootnoteText"/>
      </w:pPr>
      <w:r w:rsidRPr="00DE1471">
        <w:t>2.398</w:t>
      </w:r>
      <w:r w:rsidRPr="00DE1471">
        <w:tab/>
        <w:t>Basically, two things can cause genericness:  namely, improper use by the owner, provoking transformation of the mark into a generic term, and improper use by third parties that is tolerated by the owner.  […]</w:t>
      </w:r>
    </w:p>
    <w:p w:rsidR="009629DA" w:rsidRPr="00DE1471" w:rsidRDefault="009629DA" w:rsidP="006A3091">
      <w:pPr>
        <w:pStyle w:val="FootnoteText"/>
      </w:pPr>
      <w:r w:rsidRPr="00DE1471">
        <w:t>2.400</w:t>
      </w:r>
      <w:r w:rsidRPr="00DE1471">
        <w:tab/>
        <w:t>The basic rule is that the trademark should not be used as, or instead of, the product designation.  [...]</w:t>
      </w:r>
    </w:p>
    <w:p w:rsidR="009629DA" w:rsidRPr="00DE1471" w:rsidRDefault="009629DA" w:rsidP="006A3091">
      <w:pPr>
        <w:pStyle w:val="FootnoteText"/>
      </w:pPr>
      <w:r w:rsidRPr="00DE1471">
        <w:t>2.404</w:t>
      </w:r>
      <w:r w:rsidRPr="00DE1471">
        <w:tab/>
        <w:t>However, it is not enough just to follow these rules:  the trademark owner must also ensure that third parties and the public do not misuse his mark.  It is specifically important that the trademark should not be used as or instead of the product description in dictionaries, official publications, journals, etc.”</w:t>
      </w:r>
    </w:p>
  </w:footnote>
  <w:footnote w:id="5">
    <w:p w:rsidR="009629DA" w:rsidRDefault="009629DA" w:rsidP="006A3091">
      <w:pPr>
        <w:pStyle w:val="FootnoteText"/>
      </w:pPr>
      <w:r>
        <w:rPr>
          <w:rStyle w:val="FootnoteReference"/>
        </w:rPr>
        <w:footnoteRef/>
      </w:r>
      <w:r>
        <w:t xml:space="preserve"> </w:t>
      </w:r>
      <w:r>
        <w:tab/>
        <w:t>Article 20(2) of the 1991 Act refers to “plant species” and Article 13(2) of the 1978 Act and 1961 Convention refers to “botanical species”;  the divergence in terminology does not contain any difference in substance.</w:t>
      </w:r>
    </w:p>
  </w:footnote>
  <w:footnote w:id="6">
    <w:p w:rsidR="009629DA" w:rsidRDefault="009629DA" w:rsidP="006A3091">
      <w:pPr>
        <w:pStyle w:val="FootnoteText"/>
      </w:pPr>
      <w:r>
        <w:rPr>
          <w:rStyle w:val="FootnoteReference"/>
        </w:rPr>
        <w:footnoteRef/>
      </w:r>
      <w:r>
        <w:t xml:space="preserve"> </w:t>
      </w:r>
      <w:r>
        <w:tab/>
      </w:r>
      <w:r w:rsidRPr="0042091F">
        <w:t>Nice Agreement concerning the International Classification of Goods and Services for the Purposes of the Registration of Marks, of June 15, 1957, as revised in Stockholm on July 14, 1967, and Geneva on May 13, 1977, and amended on September 28, 1979.</w:t>
      </w:r>
    </w:p>
  </w:footnote>
  <w:footnote w:id="7">
    <w:p w:rsidR="009629DA" w:rsidRDefault="009629DA" w:rsidP="006A3091">
      <w:pPr>
        <w:pStyle w:val="FootnoteText"/>
      </w:pPr>
      <w:r>
        <w:rPr>
          <w:rStyle w:val="FootnoteReference"/>
        </w:rPr>
        <w:footnoteRef/>
      </w:r>
      <w:r>
        <w:t xml:space="preserve"> </w:t>
      </w:r>
      <w:r>
        <w:tab/>
        <w:t>Well-known marks are protected by the Paris Convention for the Protection of Industrial Property (Article 6</w:t>
      </w:r>
      <w:r>
        <w:rPr>
          <w:i/>
        </w:rPr>
        <w:t>bis</w:t>
      </w:r>
      <w:r>
        <w:t>) and the Agreement on Trade-</w:t>
      </w:r>
      <w:r w:rsidRPr="00DE1471">
        <w:t>Related</w:t>
      </w:r>
      <w:r>
        <w:t xml:space="preserve"> Aspects on Intellectual Property Rights (Article 16.2 and 3 of the TRIPS Agreement).  See also the 1999 WIPO Joint Recommendation Concerning Provisions on the Protection of Well-known Marks.</w:t>
      </w:r>
    </w:p>
  </w:footnote>
  <w:footnote w:id="8">
    <w:p w:rsidR="009629DA" w:rsidRDefault="009629DA" w:rsidP="006A3091">
      <w:pPr>
        <w:pStyle w:val="FootnoteText"/>
      </w:pPr>
      <w:r>
        <w:rPr>
          <w:rStyle w:val="FootnoteReference"/>
        </w:rPr>
        <w:footnoteRef/>
      </w:r>
      <w:r>
        <w:t xml:space="preserve"> </w:t>
      </w:r>
      <w:r>
        <w:tab/>
        <w:t>Article 8 of the Paris Convention.</w:t>
      </w:r>
    </w:p>
  </w:footnote>
  <w:footnote w:id="9">
    <w:p w:rsidR="009629DA" w:rsidRDefault="009629DA" w:rsidP="006A3091">
      <w:pPr>
        <w:pStyle w:val="FootnoteText"/>
      </w:pPr>
      <w:r>
        <w:rPr>
          <w:rStyle w:val="FootnoteReference"/>
        </w:rPr>
        <w:footnoteRef/>
      </w:r>
      <w:r>
        <w:t xml:space="preserve"> </w:t>
      </w:r>
      <w:r>
        <w:tab/>
        <w:t xml:space="preserve">This </w:t>
      </w:r>
      <w:r w:rsidRPr="00DE1471">
        <w:t>recommendation</w:t>
      </w:r>
      <w:r>
        <w:t xml:space="preserve"> includes names and abbreviations notified pursuant to Article 6</w:t>
      </w:r>
      <w:r>
        <w:rPr>
          <w:i/>
        </w:rPr>
        <w:t>ter</w:t>
      </w:r>
      <w:r>
        <w:t xml:space="preserve"> of the Paris Convention.</w:t>
      </w:r>
    </w:p>
  </w:footnote>
  <w:footnote w:id="10">
    <w:p w:rsidR="009629DA" w:rsidRDefault="009629DA" w:rsidP="006A3091">
      <w:pPr>
        <w:pStyle w:val="FootnoteText"/>
      </w:pPr>
      <w:r>
        <w:rPr>
          <w:rStyle w:val="FootnoteReference"/>
        </w:rPr>
        <w:footnoteRef/>
      </w:r>
      <w:r>
        <w:t xml:space="preserve"> </w:t>
      </w:r>
      <w:r>
        <w:tab/>
        <w:t>Articles 22 to 24 of the TRIPS Agreement provide for an obligation for WTO Members to protect geographical indications;  the Lisbon Agreement for the Protection of Appellations of Origin and Their International Registration sets up international registration procedures for appellations of origin in the States party to that Agreement.</w:t>
      </w:r>
    </w:p>
  </w:footnote>
  <w:footnote w:id="11">
    <w:p w:rsidR="009629DA" w:rsidRPr="00917B01" w:rsidRDefault="009629DA" w:rsidP="006A3091">
      <w:pPr>
        <w:pStyle w:val="FootnoteText"/>
      </w:pPr>
      <w:r w:rsidRPr="00917B01">
        <w:t xml:space="preserve">* </w:t>
      </w:r>
      <w:r w:rsidRPr="00917B01">
        <w:tab/>
        <w:t>Classes 203 and 204 are not solely established on the basis of closely related species.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DA" w:rsidRPr="00C5280D" w:rsidRDefault="009629DA" w:rsidP="00E27D83">
    <w:pPr>
      <w:pStyle w:val="Header"/>
      <w:rPr>
        <w:rStyle w:val="PageNumber"/>
        <w:lang w:val="en-US"/>
      </w:rPr>
    </w:pPr>
    <w:r>
      <w:rPr>
        <w:rStyle w:val="PageNumber"/>
        <w:lang w:val="en-US"/>
      </w:rPr>
      <w:t>UPOV/WG-DEN/5/2</w:t>
    </w:r>
  </w:p>
  <w:p w:rsidR="009629DA" w:rsidRPr="00C5280D" w:rsidRDefault="009629DA" w:rsidP="00E27D83">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D27BA">
      <w:rPr>
        <w:rStyle w:val="PageNumber"/>
        <w:noProof/>
        <w:lang w:val="en-US"/>
      </w:rPr>
      <w:t>2</w:t>
    </w:r>
    <w:r w:rsidRPr="00C5280D">
      <w:rPr>
        <w:rStyle w:val="PageNumber"/>
        <w:lang w:val="en-US"/>
      </w:rPr>
      <w:fldChar w:fldCharType="end"/>
    </w:r>
  </w:p>
  <w:p w:rsidR="009629DA" w:rsidRPr="00C5280D" w:rsidRDefault="009629DA" w:rsidP="00E27D8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DA" w:rsidRPr="00B44DAA" w:rsidRDefault="009629DA" w:rsidP="00EA4900">
    <w:pPr>
      <w:jc w:val="center"/>
    </w:pPr>
    <w:r>
      <w:t>UPOV/WG-DEN/5</w:t>
    </w:r>
    <w:r w:rsidRPr="00B44DAA">
      <w:t>/2</w:t>
    </w:r>
  </w:p>
  <w:p w:rsidR="009629DA" w:rsidRPr="00B44DAA" w:rsidRDefault="009629DA" w:rsidP="00EA4900">
    <w:pPr>
      <w:jc w:val="center"/>
    </w:pPr>
  </w:p>
  <w:p w:rsidR="009629DA" w:rsidRPr="00EA4900" w:rsidRDefault="009629DA" w:rsidP="00EA4900">
    <w:pPr>
      <w:jc w:val="center"/>
    </w:pPr>
    <w:r w:rsidRPr="00B44DAA">
      <w:t xml:space="preserve">ANNEX </w:t>
    </w:r>
    <w:r>
      <w:t>IV</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DA" w:rsidRPr="00B44DAA" w:rsidRDefault="009629DA" w:rsidP="00EA4900">
    <w:pPr>
      <w:jc w:val="center"/>
    </w:pPr>
    <w:r>
      <w:t>UPOV/WG-DEN/5</w:t>
    </w:r>
    <w:r w:rsidRPr="00B44DAA">
      <w:t>/2</w:t>
    </w:r>
  </w:p>
  <w:p w:rsidR="009629DA" w:rsidRPr="00B44DAA" w:rsidRDefault="009629DA" w:rsidP="00EA4900">
    <w:pPr>
      <w:jc w:val="center"/>
    </w:pPr>
  </w:p>
  <w:p w:rsidR="009629DA" w:rsidRPr="00EA4900" w:rsidRDefault="009629DA" w:rsidP="00EA4900">
    <w:pPr>
      <w:jc w:val="center"/>
    </w:pPr>
    <w:r w:rsidRPr="00B44DAA">
      <w:t xml:space="preserve">ANNEX </w:t>
    </w:r>
    <w:r>
      <w:t>V</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DA" w:rsidRDefault="009629DA">
    <w:pPr>
      <w:pStyle w:val="Header"/>
    </w:pPr>
    <w:r>
      <w:t>UPOV/WG-DEN/5/2</w:t>
    </w:r>
  </w:p>
  <w:p w:rsidR="009629DA" w:rsidRDefault="009629DA">
    <w:pPr>
      <w:pStyle w:val="Header"/>
      <w:rPr>
        <w:noProof/>
      </w:rPr>
    </w:pPr>
    <w:r>
      <w:t xml:space="preserve">Annex VI, page </w:t>
    </w:r>
    <w:r>
      <w:fldChar w:fldCharType="begin"/>
    </w:r>
    <w:r>
      <w:instrText xml:space="preserve"> PAGE   \* MERGEFORMAT </w:instrText>
    </w:r>
    <w:r>
      <w:fldChar w:fldCharType="separate"/>
    </w:r>
    <w:r>
      <w:rPr>
        <w:noProof/>
      </w:rPr>
      <w:t>2</w:t>
    </w:r>
    <w:r>
      <w:rPr>
        <w:noProof/>
      </w:rPr>
      <w:fldChar w:fldCharType="end"/>
    </w:r>
  </w:p>
  <w:p w:rsidR="009629DA" w:rsidRDefault="009629D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DA" w:rsidRPr="00B44DAA" w:rsidRDefault="009629DA" w:rsidP="00EA4900">
    <w:pPr>
      <w:jc w:val="center"/>
    </w:pPr>
    <w:r>
      <w:t>UPOV/WG-DEN/5</w:t>
    </w:r>
    <w:r w:rsidRPr="00B44DAA">
      <w:t>/2</w:t>
    </w:r>
  </w:p>
  <w:p w:rsidR="009629DA" w:rsidRPr="00B44DAA" w:rsidRDefault="009629DA" w:rsidP="00EA4900">
    <w:pPr>
      <w:jc w:val="center"/>
    </w:pPr>
  </w:p>
  <w:p w:rsidR="009629DA" w:rsidRPr="00EA4900" w:rsidRDefault="009629DA" w:rsidP="00EA4900">
    <w:pPr>
      <w:jc w:val="center"/>
    </w:pPr>
    <w:r w:rsidRPr="00B44DAA">
      <w:t xml:space="preserve">ANNEX </w:t>
    </w:r>
    <w:r>
      <w:t>VI</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DA" w:rsidRPr="00B44DAA" w:rsidRDefault="009629DA" w:rsidP="00EA4900">
    <w:pPr>
      <w:jc w:val="center"/>
    </w:pPr>
    <w:r>
      <w:t>UPOV/WG-DEN/5</w:t>
    </w:r>
    <w:r w:rsidRPr="00B44DAA">
      <w:t>/2</w:t>
    </w:r>
  </w:p>
  <w:p w:rsidR="009629DA" w:rsidRPr="00B44DAA" w:rsidRDefault="009629DA" w:rsidP="00EA4900">
    <w:pPr>
      <w:jc w:val="center"/>
    </w:pPr>
  </w:p>
  <w:p w:rsidR="009629DA" w:rsidRPr="00EA4900" w:rsidRDefault="009629DA" w:rsidP="00EA4900">
    <w:pPr>
      <w:jc w:val="center"/>
    </w:pPr>
    <w:r w:rsidRPr="00B44DAA">
      <w:t xml:space="preserve">ANNEX </w:t>
    </w:r>
    <w:r>
      <w:t>VII</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DA" w:rsidRPr="00C5280D" w:rsidRDefault="009629DA" w:rsidP="00EB048E">
    <w:pPr>
      <w:pStyle w:val="Header"/>
      <w:rPr>
        <w:rStyle w:val="PageNumber"/>
        <w:lang w:val="en-US"/>
      </w:rPr>
    </w:pPr>
    <w:r>
      <w:rPr>
        <w:rStyle w:val="PageNumber"/>
        <w:lang w:val="en-US"/>
      </w:rPr>
      <w:t>UPOV/WG-DEN/5/2</w:t>
    </w:r>
  </w:p>
  <w:p w:rsidR="009629DA" w:rsidRPr="00C5280D" w:rsidRDefault="009629DA" w:rsidP="00EB048E">
    <w:pPr>
      <w:pStyle w:val="Header"/>
      <w:rPr>
        <w:lang w:val="en-US"/>
      </w:rPr>
    </w:pPr>
    <w:r>
      <w:rPr>
        <w:lang w:val="en-US"/>
      </w:rPr>
      <w:t xml:space="preserve">Annex VIII,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D2ABF">
      <w:rPr>
        <w:rStyle w:val="PageNumber"/>
        <w:noProof/>
        <w:lang w:val="en-US"/>
      </w:rPr>
      <w:t>2</w:t>
    </w:r>
    <w:r w:rsidRPr="00C5280D">
      <w:rPr>
        <w:rStyle w:val="PageNumber"/>
        <w:lang w:val="en-US"/>
      </w:rPr>
      <w:fldChar w:fldCharType="end"/>
    </w:r>
  </w:p>
  <w:p w:rsidR="009629DA" w:rsidRPr="00C5280D" w:rsidRDefault="009629DA" w:rsidP="006655D3"/>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DA" w:rsidRPr="00B44DAA" w:rsidRDefault="009629DA" w:rsidP="00EA4900">
    <w:pPr>
      <w:jc w:val="center"/>
    </w:pPr>
    <w:r>
      <w:t>UPOV/WG-DEN/5</w:t>
    </w:r>
    <w:r w:rsidRPr="00B44DAA">
      <w:t>/2</w:t>
    </w:r>
  </w:p>
  <w:p w:rsidR="009629DA" w:rsidRPr="00B44DAA" w:rsidRDefault="009629DA" w:rsidP="00EA4900">
    <w:pPr>
      <w:jc w:val="center"/>
    </w:pPr>
  </w:p>
  <w:p w:rsidR="009629DA" w:rsidRPr="00EA4900" w:rsidRDefault="009629DA" w:rsidP="00EA4900">
    <w:pPr>
      <w:jc w:val="center"/>
    </w:pPr>
    <w:r w:rsidRPr="00B44DAA">
      <w:t xml:space="preserve">ANNEX </w:t>
    </w:r>
    <w:r>
      <w:t>VIII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DA" w:rsidRPr="00E27D83" w:rsidRDefault="009629DA" w:rsidP="00E27D83">
    <w:pPr>
      <w:pStyle w:val="Header"/>
      <w:jc w:val="both"/>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ABF" w:rsidRPr="00C5280D" w:rsidRDefault="00FD2ABF" w:rsidP="00E27D83">
    <w:pPr>
      <w:pStyle w:val="Header"/>
      <w:rPr>
        <w:rStyle w:val="PageNumber"/>
        <w:lang w:val="en-US"/>
      </w:rPr>
    </w:pPr>
    <w:r>
      <w:rPr>
        <w:rStyle w:val="PageNumber"/>
        <w:lang w:val="en-US"/>
      </w:rPr>
      <w:t>UPOV/WG-DEN/5/2</w:t>
    </w:r>
  </w:p>
  <w:p w:rsidR="00FD2ABF" w:rsidRPr="00C5280D" w:rsidRDefault="00FD2ABF" w:rsidP="00E27D83">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D27BA">
      <w:rPr>
        <w:rStyle w:val="PageNumber"/>
        <w:noProof/>
        <w:lang w:val="en-US"/>
      </w:rPr>
      <w:t>38</w:t>
    </w:r>
    <w:r w:rsidRPr="00C5280D">
      <w:rPr>
        <w:rStyle w:val="PageNumber"/>
        <w:lang w:val="en-US"/>
      </w:rPr>
      <w:fldChar w:fldCharType="end"/>
    </w:r>
  </w:p>
  <w:p w:rsidR="00FD2ABF" w:rsidRPr="00C5280D" w:rsidRDefault="00FD2ABF" w:rsidP="00E27D8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DA" w:rsidRPr="00B44DAA" w:rsidRDefault="009629DA" w:rsidP="00EA4900">
    <w:pPr>
      <w:jc w:val="center"/>
    </w:pPr>
    <w:r>
      <w:t>UPOV/WG-DEN/5</w:t>
    </w:r>
    <w:r w:rsidRPr="00B44DAA">
      <w:t>/2</w:t>
    </w:r>
  </w:p>
  <w:p w:rsidR="009629DA" w:rsidRPr="00B44DAA" w:rsidRDefault="009629DA" w:rsidP="00EA4900">
    <w:pPr>
      <w:jc w:val="center"/>
    </w:pPr>
  </w:p>
  <w:p w:rsidR="009629DA" w:rsidRDefault="00FD2ABF" w:rsidP="00EA4900">
    <w:pPr>
      <w:jc w:val="center"/>
    </w:pPr>
    <w:r>
      <w:t>ANNEX I</w:t>
    </w:r>
  </w:p>
  <w:p w:rsidR="00FD2ABF" w:rsidRDefault="00FD2ABF" w:rsidP="00EA4900">
    <w:pPr>
      <w:jc w:val="center"/>
    </w:pPr>
  </w:p>
  <w:p w:rsidR="00FD2ABF" w:rsidRPr="004438FF" w:rsidRDefault="00FD2ABF" w:rsidP="00EA4900">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DA" w:rsidRPr="00FA1D1F" w:rsidRDefault="009629DA">
    <w:pPr>
      <w:pStyle w:val="Header"/>
      <w:rPr>
        <w:lang w:val="en-US"/>
      </w:rPr>
    </w:pPr>
    <w:r w:rsidRPr="00FA1D1F">
      <w:rPr>
        <w:lang w:val="en-US"/>
      </w:rPr>
      <w:t>UPOV/WG-DEN/5/2</w:t>
    </w:r>
  </w:p>
  <w:p w:rsidR="009629DA" w:rsidRPr="00FA1D1F" w:rsidRDefault="009629DA">
    <w:pPr>
      <w:pStyle w:val="Header"/>
      <w:rPr>
        <w:noProof/>
        <w:lang w:val="en-US"/>
      </w:rPr>
    </w:pPr>
    <w:r w:rsidRPr="00FA1D1F">
      <w:rPr>
        <w:lang w:val="en-US"/>
      </w:rPr>
      <w:t xml:space="preserve">Annex II, page </w:t>
    </w:r>
    <w:r w:rsidRPr="00FA1D1F">
      <w:rPr>
        <w:lang w:val="en-US"/>
      </w:rPr>
      <w:fldChar w:fldCharType="begin"/>
    </w:r>
    <w:r w:rsidRPr="00FA1D1F">
      <w:rPr>
        <w:lang w:val="en-US"/>
      </w:rPr>
      <w:instrText xml:space="preserve"> PAGE   \* MERGEFORMAT </w:instrText>
    </w:r>
    <w:r w:rsidRPr="00FA1D1F">
      <w:rPr>
        <w:lang w:val="en-US"/>
      </w:rPr>
      <w:fldChar w:fldCharType="separate"/>
    </w:r>
    <w:r w:rsidR="008D27BA">
      <w:rPr>
        <w:noProof/>
        <w:lang w:val="en-US"/>
      </w:rPr>
      <w:t>5</w:t>
    </w:r>
    <w:r w:rsidRPr="00FA1D1F">
      <w:rPr>
        <w:noProof/>
        <w:lang w:val="en-US"/>
      </w:rPr>
      <w:fldChar w:fldCharType="end"/>
    </w:r>
  </w:p>
  <w:p w:rsidR="009629DA" w:rsidRPr="00FA1D1F" w:rsidRDefault="009629DA">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1F" w:rsidRPr="00B44DAA" w:rsidRDefault="00FA1D1F" w:rsidP="00EA4900">
    <w:pPr>
      <w:jc w:val="center"/>
    </w:pPr>
    <w:r>
      <w:t>UPOV/WG-DEN/5</w:t>
    </w:r>
    <w:r w:rsidRPr="00B44DAA">
      <w:t>/2</w:t>
    </w:r>
  </w:p>
  <w:p w:rsidR="00FA1D1F" w:rsidRPr="00B44DAA" w:rsidRDefault="00FA1D1F" w:rsidP="00EA4900">
    <w:pPr>
      <w:jc w:val="center"/>
    </w:pPr>
  </w:p>
  <w:p w:rsidR="00FA1D1F" w:rsidRPr="004438FF" w:rsidRDefault="00FA1D1F" w:rsidP="00EA4900">
    <w:pPr>
      <w:jc w:val="center"/>
    </w:pPr>
    <w:r w:rsidRPr="00B44DAA">
      <w:t>ANNEX II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DA" w:rsidRDefault="009629DA">
    <w:pPr>
      <w:pStyle w:val="Header"/>
    </w:pPr>
    <w:r>
      <w:t>UPOV/WG-DEN/5/2</w:t>
    </w:r>
  </w:p>
  <w:p w:rsidR="009629DA" w:rsidRDefault="009629DA">
    <w:pPr>
      <w:pStyle w:val="Header"/>
      <w:rPr>
        <w:noProof/>
      </w:rPr>
    </w:pPr>
    <w:r>
      <w:t xml:space="preserve">Annex III, page </w:t>
    </w:r>
    <w:r>
      <w:fldChar w:fldCharType="begin"/>
    </w:r>
    <w:r>
      <w:instrText xml:space="preserve"> PAGE   \* MERGEFORMAT </w:instrText>
    </w:r>
    <w:r>
      <w:fldChar w:fldCharType="separate"/>
    </w:r>
    <w:r w:rsidR="008D27BA">
      <w:rPr>
        <w:noProof/>
      </w:rPr>
      <w:t>2</w:t>
    </w:r>
    <w:r>
      <w:rPr>
        <w:noProof/>
      </w:rPr>
      <w:fldChar w:fldCharType="end"/>
    </w:r>
  </w:p>
  <w:p w:rsidR="009629DA" w:rsidRDefault="009629D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DA" w:rsidRPr="00B44DAA" w:rsidRDefault="009629DA" w:rsidP="00EA4900">
    <w:pPr>
      <w:jc w:val="center"/>
    </w:pPr>
    <w:r>
      <w:t>UPOV/WG-DEN/5</w:t>
    </w:r>
    <w:r w:rsidRPr="00B44DAA">
      <w:t>/2</w:t>
    </w:r>
  </w:p>
  <w:p w:rsidR="009629DA" w:rsidRPr="00B44DAA" w:rsidRDefault="009629DA" w:rsidP="00EA4900">
    <w:pPr>
      <w:jc w:val="center"/>
    </w:pPr>
  </w:p>
  <w:p w:rsidR="009629DA" w:rsidRPr="00EA4900" w:rsidRDefault="009629DA" w:rsidP="00EA4900">
    <w:pPr>
      <w:jc w:val="center"/>
    </w:pPr>
    <w:r w:rsidRPr="00B44DAA">
      <w:t xml:space="preserve">ANNEX </w:t>
    </w:r>
    <w:r>
      <w:t>I</w:t>
    </w:r>
    <w:r w:rsidRPr="00B44DAA">
      <w:t>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DA" w:rsidRDefault="009629DA">
    <w:pPr>
      <w:pStyle w:val="Header"/>
    </w:pPr>
    <w:r>
      <w:t>UPOV/WG-DEN/5/2</w:t>
    </w:r>
  </w:p>
  <w:p w:rsidR="009629DA" w:rsidRDefault="009629DA">
    <w:pPr>
      <w:pStyle w:val="Header"/>
      <w:rPr>
        <w:noProof/>
      </w:rPr>
    </w:pPr>
    <w:r>
      <w:t xml:space="preserve">Annex IV, page </w:t>
    </w:r>
    <w:r>
      <w:fldChar w:fldCharType="begin"/>
    </w:r>
    <w:r>
      <w:instrText xml:space="preserve"> PAGE   \* MERGEFORMAT </w:instrText>
    </w:r>
    <w:r>
      <w:fldChar w:fldCharType="separate"/>
    </w:r>
    <w:r>
      <w:rPr>
        <w:noProof/>
      </w:rPr>
      <w:t>2</w:t>
    </w:r>
    <w:r>
      <w:rPr>
        <w:noProof/>
      </w:rPr>
      <w:fldChar w:fldCharType="end"/>
    </w:r>
  </w:p>
  <w:p w:rsidR="009629DA" w:rsidRDefault="00962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F62"/>
    <w:multiLevelType w:val="hybridMultilevel"/>
    <w:tmpl w:val="2D5A20B0"/>
    <w:lvl w:ilvl="0" w:tplc="59268072">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DF1B47"/>
    <w:multiLevelType w:val="hybridMultilevel"/>
    <w:tmpl w:val="6B0ACC5A"/>
    <w:lvl w:ilvl="0" w:tplc="37A88172">
      <w:start w:val="1"/>
      <w:numFmt w:val="lowerRoman"/>
      <w:lvlText w:val="(%1)"/>
      <w:lvlJc w:val="right"/>
      <w:pPr>
        <w:ind w:left="1080" w:hanging="720"/>
      </w:pPr>
      <w:rPr>
        <w:rFonts w:cs="Times New Roman" w:hint="default"/>
        <w:color w:val="auto"/>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84D36"/>
    <w:multiLevelType w:val="hybridMultilevel"/>
    <w:tmpl w:val="6C5EEC7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32286B68"/>
    <w:multiLevelType w:val="multilevel"/>
    <w:tmpl w:val="A0B846A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4F3656"/>
    <w:multiLevelType w:val="hybridMultilevel"/>
    <w:tmpl w:val="B9BAC386"/>
    <w:lvl w:ilvl="0" w:tplc="DC78806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4349A"/>
    <w:multiLevelType w:val="hybridMultilevel"/>
    <w:tmpl w:val="91C81CAC"/>
    <w:lvl w:ilvl="0" w:tplc="29585ED4">
      <w:start w:val="1"/>
      <w:numFmt w:val="bullet"/>
      <w:lvlText w:val=""/>
      <w:lvlJc w:val="left"/>
      <w:pPr>
        <w:ind w:left="1287" w:hanging="360"/>
      </w:pPr>
      <w:rPr>
        <w:rFonts w:ascii="Symbol" w:hAnsi="Symbol" w:hint="default"/>
        <w:color w:val="92D05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C1359A0"/>
    <w:multiLevelType w:val="multilevel"/>
    <w:tmpl w:val="3C54B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B65C08"/>
    <w:multiLevelType w:val="multilevel"/>
    <w:tmpl w:val="A0B846A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4F3C82"/>
    <w:multiLevelType w:val="hybridMultilevel"/>
    <w:tmpl w:val="121890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5947A2"/>
    <w:multiLevelType w:val="multilevel"/>
    <w:tmpl w:val="A0B846A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BB1BCE"/>
    <w:multiLevelType w:val="hybridMultilevel"/>
    <w:tmpl w:val="E3ACD892"/>
    <w:lvl w:ilvl="0" w:tplc="37A88172">
      <w:start w:val="1"/>
      <w:numFmt w:val="lowerRoman"/>
      <w:lvlText w:val="(%1)"/>
      <w:lvlJc w:val="right"/>
      <w:pPr>
        <w:ind w:left="720" w:hanging="360"/>
      </w:pPr>
      <w:rPr>
        <w:rFonts w:cs="Times New Roman" w:hint="default"/>
        <w:color w:val="auto"/>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0816FA"/>
    <w:multiLevelType w:val="hybridMultilevel"/>
    <w:tmpl w:val="7426633A"/>
    <w:lvl w:ilvl="0" w:tplc="EA4AC8F4">
      <w:start w:val="1"/>
      <w:numFmt w:val="lowerLetter"/>
      <w:lvlText w:val="%1"/>
      <w:lvlJc w:val="left"/>
      <w:pPr>
        <w:ind w:left="720" w:hanging="360"/>
      </w:pPr>
      <w:rPr>
        <w:rFonts w:ascii="Arial" w:hAnsi="Arial" w:hint="default"/>
        <w:b w:val="0"/>
        <w:i w:val="0"/>
        <w:color w:val="auto"/>
        <w:sz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5AA113CE"/>
    <w:multiLevelType w:val="hybridMultilevel"/>
    <w:tmpl w:val="C34A73D6"/>
    <w:lvl w:ilvl="0" w:tplc="F6F01A3C">
      <w:start w:val="1"/>
      <w:numFmt w:val="low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15" w15:restartNumberingAfterBreak="0">
    <w:nsid w:val="5B550871"/>
    <w:multiLevelType w:val="hybridMultilevel"/>
    <w:tmpl w:val="3F8095E2"/>
    <w:lvl w:ilvl="0" w:tplc="CAA48802">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D2474CA"/>
    <w:multiLevelType w:val="multilevel"/>
    <w:tmpl w:val="A0B846A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E1349E"/>
    <w:multiLevelType w:val="hybridMultilevel"/>
    <w:tmpl w:val="98F45B0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35B6F3E"/>
    <w:multiLevelType w:val="hybridMultilevel"/>
    <w:tmpl w:val="D898C260"/>
    <w:lvl w:ilvl="0" w:tplc="6C6854E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D63938"/>
    <w:multiLevelType w:val="hybridMultilevel"/>
    <w:tmpl w:val="739EE136"/>
    <w:lvl w:ilvl="0" w:tplc="B0C60F8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DE7032C"/>
    <w:multiLevelType w:val="multilevel"/>
    <w:tmpl w:val="A54E0E26"/>
    <w:lvl w:ilvl="0">
      <w:start w:val="5"/>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1" w15:restartNumberingAfterBreak="0">
    <w:nsid w:val="71A6464E"/>
    <w:multiLevelType w:val="hybridMultilevel"/>
    <w:tmpl w:val="36D6F8FA"/>
    <w:lvl w:ilvl="0" w:tplc="3B407E96">
      <w:start w:val="1"/>
      <w:numFmt w:val="decimal"/>
      <w:lvlText w:val="%1)"/>
      <w:lvlJc w:val="left"/>
      <w:pPr>
        <w:ind w:left="1080" w:hanging="360"/>
      </w:pPr>
      <w:rPr>
        <w:b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2" w15:restartNumberingAfterBreak="0">
    <w:nsid w:val="793A7A7C"/>
    <w:multiLevelType w:val="hybridMultilevel"/>
    <w:tmpl w:val="60CAB4C0"/>
    <w:lvl w:ilvl="0" w:tplc="ABA8C88C">
      <w:start w:val="1"/>
      <w:numFmt w:val="bullet"/>
      <w:lvlText w:val=""/>
      <w:lvlJc w:val="left"/>
      <w:pPr>
        <w:ind w:left="1287" w:hanging="360"/>
      </w:pPr>
      <w:rPr>
        <w:rFonts w:ascii="Symbol" w:hAnsi="Symbol" w:hint="default"/>
        <w:spacing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7C995F7F"/>
    <w:multiLevelType w:val="multilevel"/>
    <w:tmpl w:val="A0B846A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5"/>
  </w:num>
  <w:num w:numId="3">
    <w:abstractNumId w:val="11"/>
  </w:num>
  <w:num w:numId="4">
    <w:abstractNumId w:val="1"/>
  </w:num>
  <w:num w:numId="5">
    <w:abstractNumId w:val="13"/>
  </w:num>
  <w:num w:numId="6">
    <w:abstractNumId w:val="10"/>
  </w:num>
  <w:num w:numId="7">
    <w:abstractNumId w:val="1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0"/>
  </w:num>
  <w:num w:numId="12">
    <w:abstractNumId w:val="4"/>
  </w:num>
  <w:num w:numId="13">
    <w:abstractNumId w:val="18"/>
  </w:num>
  <w:num w:numId="14">
    <w:abstractNumId w:val="9"/>
  </w:num>
  <w:num w:numId="15">
    <w:abstractNumId w:val="8"/>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7"/>
  </w:num>
  <w:num w:numId="19">
    <w:abstractNumId w:val="5"/>
  </w:num>
  <w:num w:numId="20">
    <w:abstractNumId w:val="6"/>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00"/>
    <w:rsid w:val="00010CF3"/>
    <w:rsid w:val="00011E27"/>
    <w:rsid w:val="00012BB5"/>
    <w:rsid w:val="000148BC"/>
    <w:rsid w:val="00015497"/>
    <w:rsid w:val="00021152"/>
    <w:rsid w:val="00024AB8"/>
    <w:rsid w:val="00030854"/>
    <w:rsid w:val="00036028"/>
    <w:rsid w:val="00044642"/>
    <w:rsid w:val="000446B9"/>
    <w:rsid w:val="00047E21"/>
    <w:rsid w:val="00050E16"/>
    <w:rsid w:val="00085505"/>
    <w:rsid w:val="00085CFA"/>
    <w:rsid w:val="000A1621"/>
    <w:rsid w:val="000C4E25"/>
    <w:rsid w:val="000C7021"/>
    <w:rsid w:val="000D4B81"/>
    <w:rsid w:val="000D6BBC"/>
    <w:rsid w:val="000D7780"/>
    <w:rsid w:val="000E636A"/>
    <w:rsid w:val="000F0E01"/>
    <w:rsid w:val="000F1873"/>
    <w:rsid w:val="000F2F11"/>
    <w:rsid w:val="00105929"/>
    <w:rsid w:val="00110C36"/>
    <w:rsid w:val="001131D5"/>
    <w:rsid w:val="00140026"/>
    <w:rsid w:val="00141DB8"/>
    <w:rsid w:val="00143F9B"/>
    <w:rsid w:val="00146438"/>
    <w:rsid w:val="00165B6A"/>
    <w:rsid w:val="00172084"/>
    <w:rsid w:val="0017474A"/>
    <w:rsid w:val="001758C6"/>
    <w:rsid w:val="00182B99"/>
    <w:rsid w:val="001A694C"/>
    <w:rsid w:val="001B68A3"/>
    <w:rsid w:val="001C1525"/>
    <w:rsid w:val="002040C1"/>
    <w:rsid w:val="0021332C"/>
    <w:rsid w:val="00213982"/>
    <w:rsid w:val="002164E6"/>
    <w:rsid w:val="0023034C"/>
    <w:rsid w:val="00231136"/>
    <w:rsid w:val="002328DD"/>
    <w:rsid w:val="0024416D"/>
    <w:rsid w:val="0024772D"/>
    <w:rsid w:val="00271911"/>
    <w:rsid w:val="002800A0"/>
    <w:rsid w:val="002801B3"/>
    <w:rsid w:val="00281060"/>
    <w:rsid w:val="002940E8"/>
    <w:rsid w:val="00294751"/>
    <w:rsid w:val="002A6E50"/>
    <w:rsid w:val="002B4298"/>
    <w:rsid w:val="002C256A"/>
    <w:rsid w:val="002D2BB5"/>
    <w:rsid w:val="002F4EDD"/>
    <w:rsid w:val="003004AA"/>
    <w:rsid w:val="00305A7F"/>
    <w:rsid w:val="003152FE"/>
    <w:rsid w:val="00327436"/>
    <w:rsid w:val="00333811"/>
    <w:rsid w:val="00344BD6"/>
    <w:rsid w:val="0035528D"/>
    <w:rsid w:val="00360C86"/>
    <w:rsid w:val="00361821"/>
    <w:rsid w:val="00361E9E"/>
    <w:rsid w:val="0037577C"/>
    <w:rsid w:val="003A3F92"/>
    <w:rsid w:val="003A5B25"/>
    <w:rsid w:val="003B1F10"/>
    <w:rsid w:val="003C7FBE"/>
    <w:rsid w:val="003D227C"/>
    <w:rsid w:val="003D2B4D"/>
    <w:rsid w:val="003F5254"/>
    <w:rsid w:val="00422032"/>
    <w:rsid w:val="00425D14"/>
    <w:rsid w:val="00431410"/>
    <w:rsid w:val="00444A88"/>
    <w:rsid w:val="00452AF2"/>
    <w:rsid w:val="00457502"/>
    <w:rsid w:val="0046271E"/>
    <w:rsid w:val="00474DA4"/>
    <w:rsid w:val="00476B4D"/>
    <w:rsid w:val="004805FA"/>
    <w:rsid w:val="00486FA5"/>
    <w:rsid w:val="004935D2"/>
    <w:rsid w:val="004957C0"/>
    <w:rsid w:val="004A0FEE"/>
    <w:rsid w:val="004B1215"/>
    <w:rsid w:val="004D047D"/>
    <w:rsid w:val="004E7B99"/>
    <w:rsid w:val="004F1E9E"/>
    <w:rsid w:val="004F305A"/>
    <w:rsid w:val="00506162"/>
    <w:rsid w:val="00512164"/>
    <w:rsid w:val="0051478C"/>
    <w:rsid w:val="00520297"/>
    <w:rsid w:val="005254FA"/>
    <w:rsid w:val="005338F9"/>
    <w:rsid w:val="0054281C"/>
    <w:rsid w:val="00544581"/>
    <w:rsid w:val="0055268D"/>
    <w:rsid w:val="00557AC8"/>
    <w:rsid w:val="00567AED"/>
    <w:rsid w:val="00576BE4"/>
    <w:rsid w:val="005A400A"/>
    <w:rsid w:val="005B58CF"/>
    <w:rsid w:val="005D6518"/>
    <w:rsid w:val="005E7BAF"/>
    <w:rsid w:val="005F50A8"/>
    <w:rsid w:val="005F7B92"/>
    <w:rsid w:val="00612379"/>
    <w:rsid w:val="00613BB7"/>
    <w:rsid w:val="006153B6"/>
    <w:rsid w:val="0061555F"/>
    <w:rsid w:val="00634B44"/>
    <w:rsid w:val="00636CA6"/>
    <w:rsid w:val="00641200"/>
    <w:rsid w:val="00645CA8"/>
    <w:rsid w:val="00647B47"/>
    <w:rsid w:val="006655D3"/>
    <w:rsid w:val="00666DA5"/>
    <w:rsid w:val="00667404"/>
    <w:rsid w:val="006727D7"/>
    <w:rsid w:val="006757D3"/>
    <w:rsid w:val="00687EB4"/>
    <w:rsid w:val="00695C56"/>
    <w:rsid w:val="006A03F3"/>
    <w:rsid w:val="006A3091"/>
    <w:rsid w:val="006A5CDE"/>
    <w:rsid w:val="006A644A"/>
    <w:rsid w:val="006B17D2"/>
    <w:rsid w:val="006B484B"/>
    <w:rsid w:val="006C224E"/>
    <w:rsid w:val="006C38C8"/>
    <w:rsid w:val="006D780A"/>
    <w:rsid w:val="0071271E"/>
    <w:rsid w:val="00716B5A"/>
    <w:rsid w:val="00732DEC"/>
    <w:rsid w:val="00735BD5"/>
    <w:rsid w:val="00736125"/>
    <w:rsid w:val="00747CE4"/>
    <w:rsid w:val="00751613"/>
    <w:rsid w:val="007556F6"/>
    <w:rsid w:val="00760EEF"/>
    <w:rsid w:val="00777EE5"/>
    <w:rsid w:val="00784836"/>
    <w:rsid w:val="0079023E"/>
    <w:rsid w:val="007A2854"/>
    <w:rsid w:val="007C1D92"/>
    <w:rsid w:val="007C4CB9"/>
    <w:rsid w:val="007D0B9D"/>
    <w:rsid w:val="007D19B0"/>
    <w:rsid w:val="007F498F"/>
    <w:rsid w:val="008018F7"/>
    <w:rsid w:val="0080443E"/>
    <w:rsid w:val="0080679D"/>
    <w:rsid w:val="008108B0"/>
    <w:rsid w:val="00811B20"/>
    <w:rsid w:val="008211B5"/>
    <w:rsid w:val="0082296E"/>
    <w:rsid w:val="00824099"/>
    <w:rsid w:val="00846D7C"/>
    <w:rsid w:val="00856D87"/>
    <w:rsid w:val="00867AC1"/>
    <w:rsid w:val="00890DF8"/>
    <w:rsid w:val="00895BA4"/>
    <w:rsid w:val="008A5DEF"/>
    <w:rsid w:val="008A743F"/>
    <w:rsid w:val="008B32C6"/>
    <w:rsid w:val="008C0970"/>
    <w:rsid w:val="008C3987"/>
    <w:rsid w:val="008D0BC5"/>
    <w:rsid w:val="008D27BA"/>
    <w:rsid w:val="008D2CF7"/>
    <w:rsid w:val="008D71A2"/>
    <w:rsid w:val="00900C26"/>
    <w:rsid w:val="0090197F"/>
    <w:rsid w:val="00903264"/>
    <w:rsid w:val="00906DDC"/>
    <w:rsid w:val="00934E09"/>
    <w:rsid w:val="00936253"/>
    <w:rsid w:val="0093727A"/>
    <w:rsid w:val="00937C39"/>
    <w:rsid w:val="00940D46"/>
    <w:rsid w:val="00952DD4"/>
    <w:rsid w:val="009629DA"/>
    <w:rsid w:val="00965AE7"/>
    <w:rsid w:val="00970FED"/>
    <w:rsid w:val="009754CE"/>
    <w:rsid w:val="00983BF8"/>
    <w:rsid w:val="00992D82"/>
    <w:rsid w:val="00995642"/>
    <w:rsid w:val="00997029"/>
    <w:rsid w:val="009A7339"/>
    <w:rsid w:val="009B440E"/>
    <w:rsid w:val="009C2197"/>
    <w:rsid w:val="009D690D"/>
    <w:rsid w:val="009E65B6"/>
    <w:rsid w:val="009E7079"/>
    <w:rsid w:val="009F77CF"/>
    <w:rsid w:val="00A07FC0"/>
    <w:rsid w:val="00A24C10"/>
    <w:rsid w:val="00A33150"/>
    <w:rsid w:val="00A343C4"/>
    <w:rsid w:val="00A42AC3"/>
    <w:rsid w:val="00A430CF"/>
    <w:rsid w:val="00A53DAC"/>
    <w:rsid w:val="00A54309"/>
    <w:rsid w:val="00A5430D"/>
    <w:rsid w:val="00A716AA"/>
    <w:rsid w:val="00A84A8B"/>
    <w:rsid w:val="00AB2B93"/>
    <w:rsid w:val="00AB530F"/>
    <w:rsid w:val="00AB588B"/>
    <w:rsid w:val="00AB7E5B"/>
    <w:rsid w:val="00AC2883"/>
    <w:rsid w:val="00AC709C"/>
    <w:rsid w:val="00AE0EF1"/>
    <w:rsid w:val="00AE2937"/>
    <w:rsid w:val="00AF4AF9"/>
    <w:rsid w:val="00B07301"/>
    <w:rsid w:val="00B11F3E"/>
    <w:rsid w:val="00B15F67"/>
    <w:rsid w:val="00B224DE"/>
    <w:rsid w:val="00B22AD2"/>
    <w:rsid w:val="00B324D4"/>
    <w:rsid w:val="00B37D73"/>
    <w:rsid w:val="00B46575"/>
    <w:rsid w:val="00B55E68"/>
    <w:rsid w:val="00B57F80"/>
    <w:rsid w:val="00B61777"/>
    <w:rsid w:val="00B67675"/>
    <w:rsid w:val="00B84BBD"/>
    <w:rsid w:val="00B95D38"/>
    <w:rsid w:val="00BA43FB"/>
    <w:rsid w:val="00BC127D"/>
    <w:rsid w:val="00BC1FE6"/>
    <w:rsid w:val="00BC42BE"/>
    <w:rsid w:val="00BC755C"/>
    <w:rsid w:val="00BD622C"/>
    <w:rsid w:val="00C061B6"/>
    <w:rsid w:val="00C2446C"/>
    <w:rsid w:val="00C36AE5"/>
    <w:rsid w:val="00C41F17"/>
    <w:rsid w:val="00C527FA"/>
    <w:rsid w:val="00C5280D"/>
    <w:rsid w:val="00C52CB6"/>
    <w:rsid w:val="00C53EB3"/>
    <w:rsid w:val="00C544AE"/>
    <w:rsid w:val="00C5791C"/>
    <w:rsid w:val="00C66290"/>
    <w:rsid w:val="00C72B7A"/>
    <w:rsid w:val="00C74A1A"/>
    <w:rsid w:val="00C91276"/>
    <w:rsid w:val="00C973F2"/>
    <w:rsid w:val="00CA304C"/>
    <w:rsid w:val="00CA774A"/>
    <w:rsid w:val="00CB22EE"/>
    <w:rsid w:val="00CB36D3"/>
    <w:rsid w:val="00CC11B0"/>
    <w:rsid w:val="00CC2841"/>
    <w:rsid w:val="00CC2FEC"/>
    <w:rsid w:val="00CF1330"/>
    <w:rsid w:val="00CF7E36"/>
    <w:rsid w:val="00D122CA"/>
    <w:rsid w:val="00D3708D"/>
    <w:rsid w:val="00D40426"/>
    <w:rsid w:val="00D57C96"/>
    <w:rsid w:val="00D57D18"/>
    <w:rsid w:val="00D641AB"/>
    <w:rsid w:val="00D91203"/>
    <w:rsid w:val="00D95174"/>
    <w:rsid w:val="00DA07F5"/>
    <w:rsid w:val="00DA4973"/>
    <w:rsid w:val="00DA6F36"/>
    <w:rsid w:val="00DB596E"/>
    <w:rsid w:val="00DB7773"/>
    <w:rsid w:val="00DC00EA"/>
    <w:rsid w:val="00DC3802"/>
    <w:rsid w:val="00DD2A40"/>
    <w:rsid w:val="00DD6B8C"/>
    <w:rsid w:val="00DF548A"/>
    <w:rsid w:val="00E07D87"/>
    <w:rsid w:val="00E12BF5"/>
    <w:rsid w:val="00E27D83"/>
    <w:rsid w:val="00E32F7E"/>
    <w:rsid w:val="00E36E4B"/>
    <w:rsid w:val="00E43B13"/>
    <w:rsid w:val="00E523D6"/>
    <w:rsid w:val="00E5267B"/>
    <w:rsid w:val="00E63C0E"/>
    <w:rsid w:val="00E71FEA"/>
    <w:rsid w:val="00E72D49"/>
    <w:rsid w:val="00E7593C"/>
    <w:rsid w:val="00E7678A"/>
    <w:rsid w:val="00E935F1"/>
    <w:rsid w:val="00E9387A"/>
    <w:rsid w:val="00E94A81"/>
    <w:rsid w:val="00EA1FFB"/>
    <w:rsid w:val="00EA4900"/>
    <w:rsid w:val="00EB048E"/>
    <w:rsid w:val="00EB183B"/>
    <w:rsid w:val="00EB4E9C"/>
    <w:rsid w:val="00EE34DF"/>
    <w:rsid w:val="00EE3590"/>
    <w:rsid w:val="00EF2F89"/>
    <w:rsid w:val="00EF6589"/>
    <w:rsid w:val="00F03E98"/>
    <w:rsid w:val="00F05AD5"/>
    <w:rsid w:val="00F1237A"/>
    <w:rsid w:val="00F2028E"/>
    <w:rsid w:val="00F22CBD"/>
    <w:rsid w:val="00F272F1"/>
    <w:rsid w:val="00F45372"/>
    <w:rsid w:val="00F560F7"/>
    <w:rsid w:val="00F6334D"/>
    <w:rsid w:val="00F63599"/>
    <w:rsid w:val="00F63F09"/>
    <w:rsid w:val="00F8485C"/>
    <w:rsid w:val="00F87250"/>
    <w:rsid w:val="00FA1D1F"/>
    <w:rsid w:val="00FA49AB"/>
    <w:rsid w:val="00FB12DA"/>
    <w:rsid w:val="00FB3605"/>
    <w:rsid w:val="00FD2ABF"/>
    <w:rsid w:val="00FD35D0"/>
    <w:rsid w:val="00FE102F"/>
    <w:rsid w:val="00FE39C7"/>
    <w:rsid w:val="00FE49B7"/>
    <w:rsid w:val="00FE5270"/>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DE1439"/>
  <w15:docId w15:val="{0688D70D-9821-4205-8C2A-E18739B0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EA4900"/>
    <w:pPr>
      <w:outlineLvl w:val="5"/>
    </w:pPr>
    <w:rPr>
      <w:lang w:val="es-ES_tradnl"/>
    </w:rPr>
  </w:style>
  <w:style w:type="paragraph" w:styleId="Heading7">
    <w:name w:val="heading 7"/>
    <w:basedOn w:val="Normal"/>
    <w:next w:val="Normal"/>
    <w:link w:val="Heading7Char"/>
    <w:qFormat/>
    <w:rsid w:val="00EA4900"/>
    <w:pPr>
      <w:spacing w:before="240" w:after="60"/>
      <w:outlineLvl w:val="6"/>
    </w:pPr>
    <w:rPr>
      <w:szCs w:val="24"/>
    </w:rPr>
  </w:style>
  <w:style w:type="paragraph" w:styleId="Heading8">
    <w:name w:val="heading 8"/>
    <w:basedOn w:val="Normal"/>
    <w:next w:val="Normal"/>
    <w:link w:val="Heading8Char"/>
    <w:qFormat/>
    <w:rsid w:val="00EA4900"/>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6A3091"/>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6A3091"/>
    <w:pPr>
      <w:tabs>
        <w:tab w:val="left" w:pos="284"/>
      </w:tabs>
      <w:spacing w:before="60"/>
    </w:pPr>
    <w:rPr>
      <w:sz w:val="18"/>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EA4900"/>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EA4900"/>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EA4900"/>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EA4900"/>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rsid w:val="00EA4900"/>
    <w:pPr>
      <w:tabs>
        <w:tab w:val="right" w:leader="dot" w:pos="9639"/>
      </w:tabs>
      <w:ind w:left="567" w:right="851" w:firstLine="284"/>
      <w:jc w:val="both"/>
    </w:pPr>
    <w:rPr>
      <w:rFonts w:ascii="Arial" w:eastAsiaTheme="minorEastAsia" w:hAnsi="Arial"/>
      <w:sz w:val="16"/>
      <w:lang w:val="fr-FR" w:eastAsia="ja-JP"/>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EA4900"/>
    <w:rPr>
      <w:rFonts w:ascii="Arial" w:hAnsi="Arial"/>
      <w:lang w:val="es-ES_tradnl"/>
    </w:rPr>
  </w:style>
  <w:style w:type="character" w:customStyle="1" w:styleId="Heading7Char">
    <w:name w:val="Heading 7 Char"/>
    <w:basedOn w:val="DefaultParagraphFont"/>
    <w:link w:val="Heading7"/>
    <w:rsid w:val="00EA4900"/>
    <w:rPr>
      <w:rFonts w:ascii="Arial" w:hAnsi="Arial"/>
      <w:szCs w:val="24"/>
    </w:rPr>
  </w:style>
  <w:style w:type="character" w:customStyle="1" w:styleId="Heading8Char">
    <w:name w:val="Heading 8 Char"/>
    <w:basedOn w:val="DefaultParagraphFont"/>
    <w:link w:val="Heading8"/>
    <w:rsid w:val="00EA4900"/>
    <w:rPr>
      <w:rFonts w:ascii="Arial" w:hAnsi="Arial"/>
      <w:u w:val="single"/>
    </w:rPr>
  </w:style>
  <w:style w:type="paragraph" w:styleId="NormalWeb">
    <w:name w:val="Normal (Web)"/>
    <w:basedOn w:val="Normal"/>
    <w:uiPriority w:val="99"/>
    <w:rsid w:val="00EA4900"/>
    <w:pPr>
      <w:spacing w:before="100" w:beforeAutospacing="1" w:after="100" w:afterAutospacing="1"/>
      <w:jc w:val="left"/>
    </w:pPr>
    <w:rPr>
      <w:szCs w:val="24"/>
    </w:rPr>
  </w:style>
  <w:style w:type="paragraph" w:customStyle="1" w:styleId="pdflink">
    <w:name w:val="pdflink"/>
    <w:basedOn w:val="Normal"/>
    <w:next w:val="Normal"/>
    <w:rsid w:val="00EA4900"/>
    <w:rPr>
      <w:color w:val="800000"/>
      <w:u w:val="words"/>
    </w:rPr>
  </w:style>
  <w:style w:type="paragraph" w:customStyle="1" w:styleId="Draft">
    <w:name w:val="Draft"/>
    <w:basedOn w:val="Normal"/>
    <w:next w:val="preparedby"/>
    <w:rsid w:val="00EA4900"/>
    <w:pPr>
      <w:spacing w:before="720" w:after="480"/>
      <w:jc w:val="center"/>
    </w:pPr>
    <w:rPr>
      <w:caps/>
      <w:sz w:val="28"/>
    </w:rPr>
  </w:style>
  <w:style w:type="paragraph" w:customStyle="1" w:styleId="quote1">
    <w:name w:val="quote1"/>
    <w:basedOn w:val="Normal"/>
    <w:semiHidden/>
    <w:rsid w:val="00EA4900"/>
    <w:pPr>
      <w:ind w:left="567" w:right="565" w:firstLine="567"/>
    </w:pPr>
    <w:rPr>
      <w:snapToGrid w:val="0"/>
      <w:sz w:val="22"/>
      <w:szCs w:val="22"/>
    </w:rPr>
  </w:style>
  <w:style w:type="paragraph" w:customStyle="1" w:styleId="tqparabox">
    <w:name w:val="tqparabox"/>
    <w:basedOn w:val="Normal"/>
    <w:rsid w:val="00EA4900"/>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EA4900"/>
    <w:pPr>
      <w:ind w:left="1200"/>
    </w:pPr>
    <w:rPr>
      <w:rFonts w:eastAsiaTheme="minorEastAsia"/>
      <w:lang w:eastAsia="ja-JP"/>
    </w:rPr>
  </w:style>
  <w:style w:type="paragraph" w:styleId="BodyTextIndent">
    <w:name w:val="Body Text Indent"/>
    <w:basedOn w:val="Normal"/>
    <w:link w:val="BodyTextIndentChar"/>
    <w:rsid w:val="00EA4900"/>
    <w:pPr>
      <w:ind w:left="567"/>
    </w:pPr>
    <w:rPr>
      <w:lang w:val="es-ES_tradnl"/>
    </w:rPr>
  </w:style>
  <w:style w:type="character" w:customStyle="1" w:styleId="BodyTextIndentChar">
    <w:name w:val="Body Text Indent Char"/>
    <w:basedOn w:val="DefaultParagraphFont"/>
    <w:link w:val="BodyTextIndent"/>
    <w:rsid w:val="00EA4900"/>
    <w:rPr>
      <w:rFonts w:ascii="Arial" w:hAnsi="Arial"/>
      <w:lang w:val="es-ES_tradnl"/>
    </w:rPr>
  </w:style>
  <w:style w:type="paragraph" w:customStyle="1" w:styleId="twpcheck">
    <w:name w:val="twpcheck"/>
    <w:basedOn w:val="Normal"/>
    <w:rsid w:val="00EA4900"/>
    <w:pPr>
      <w:spacing w:before="80" w:after="80"/>
      <w:jc w:val="left"/>
    </w:pPr>
    <w:rPr>
      <w:snapToGrid w:val="0"/>
      <w:sz w:val="16"/>
      <w:szCs w:val="16"/>
    </w:rPr>
  </w:style>
  <w:style w:type="paragraph" w:customStyle="1" w:styleId="DecisionInvitingPara">
    <w:name w:val="Decision Inviting Para."/>
    <w:basedOn w:val="Normal"/>
    <w:rsid w:val="00EA4900"/>
    <w:pPr>
      <w:ind w:left="4536"/>
    </w:pPr>
    <w:rPr>
      <w:i/>
      <w:lang w:val="es-ES_tradnl"/>
    </w:rPr>
  </w:style>
  <w:style w:type="paragraph" w:customStyle="1" w:styleId="Enttepair">
    <w:name w:val="Entête_pair"/>
    <w:basedOn w:val="Normal"/>
    <w:next w:val="Normal"/>
    <w:rsid w:val="00EA4900"/>
    <w:pPr>
      <w:pBdr>
        <w:bottom w:val="single" w:sz="4" w:space="1" w:color="auto"/>
      </w:pBdr>
      <w:jc w:val="left"/>
    </w:pPr>
    <w:rPr>
      <w:szCs w:val="24"/>
    </w:rPr>
  </w:style>
  <w:style w:type="paragraph" w:customStyle="1" w:styleId="Entteimpair">
    <w:name w:val="Entête_impair"/>
    <w:basedOn w:val="Normal"/>
    <w:next w:val="Normal"/>
    <w:rsid w:val="00EA4900"/>
    <w:pPr>
      <w:pBdr>
        <w:bottom w:val="single" w:sz="4" w:space="1" w:color="auto"/>
      </w:pBdr>
      <w:jc w:val="right"/>
    </w:pPr>
  </w:style>
  <w:style w:type="table" w:styleId="TableGrid">
    <w:name w:val="Table Grid"/>
    <w:basedOn w:val="TableNormal"/>
    <w:uiPriority w:val="59"/>
    <w:rsid w:val="00EA490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EA4900"/>
  </w:style>
  <w:style w:type="character" w:customStyle="1" w:styleId="E-mailSignatureChar">
    <w:name w:val="E-mail Signature Char"/>
    <w:basedOn w:val="DefaultParagraphFont"/>
    <w:link w:val="E-mailSignature"/>
    <w:rsid w:val="00EA4900"/>
    <w:rPr>
      <w:rFonts w:ascii="Arial" w:hAnsi="Arial"/>
    </w:rPr>
  </w:style>
  <w:style w:type="character" w:styleId="Emphasis">
    <w:name w:val="Emphasis"/>
    <w:basedOn w:val="DefaultParagraphFont"/>
    <w:qFormat/>
    <w:rsid w:val="00EA4900"/>
    <w:rPr>
      <w:i/>
      <w:iCs/>
    </w:rPr>
  </w:style>
  <w:style w:type="paragraph" w:styleId="EnvelopeAddress">
    <w:name w:val="envelope address"/>
    <w:basedOn w:val="Normal"/>
    <w:rsid w:val="00EA4900"/>
    <w:pPr>
      <w:framePr w:w="7920" w:h="1980" w:hRule="exact" w:hSpace="180" w:wrap="auto" w:hAnchor="page" w:xAlign="center" w:yAlign="bottom"/>
      <w:ind w:left="2880"/>
    </w:pPr>
    <w:rPr>
      <w:szCs w:val="24"/>
    </w:rPr>
  </w:style>
  <w:style w:type="paragraph" w:styleId="EnvelopeReturn">
    <w:name w:val="envelope return"/>
    <w:basedOn w:val="Normal"/>
    <w:rsid w:val="00EA4900"/>
  </w:style>
  <w:style w:type="character" w:styleId="HTMLAcronym">
    <w:name w:val="HTML Acronym"/>
    <w:basedOn w:val="DefaultParagraphFont"/>
    <w:rsid w:val="00EA4900"/>
  </w:style>
  <w:style w:type="paragraph" w:styleId="HTMLAddress">
    <w:name w:val="HTML Address"/>
    <w:basedOn w:val="Normal"/>
    <w:link w:val="HTMLAddressChar"/>
    <w:rsid w:val="00EA4900"/>
    <w:rPr>
      <w:i/>
      <w:iCs/>
    </w:rPr>
  </w:style>
  <w:style w:type="character" w:customStyle="1" w:styleId="HTMLAddressChar">
    <w:name w:val="HTML Address Char"/>
    <w:basedOn w:val="DefaultParagraphFont"/>
    <w:link w:val="HTMLAddress"/>
    <w:rsid w:val="00EA4900"/>
    <w:rPr>
      <w:rFonts w:ascii="Arial" w:hAnsi="Arial"/>
      <w:i/>
      <w:iCs/>
    </w:rPr>
  </w:style>
  <w:style w:type="character" w:styleId="HTMLCite">
    <w:name w:val="HTML Cite"/>
    <w:basedOn w:val="DefaultParagraphFont"/>
    <w:rsid w:val="00EA4900"/>
    <w:rPr>
      <w:i/>
      <w:iCs/>
    </w:rPr>
  </w:style>
  <w:style w:type="character" w:styleId="HTMLCode">
    <w:name w:val="HTML Code"/>
    <w:basedOn w:val="DefaultParagraphFont"/>
    <w:rsid w:val="00EA4900"/>
    <w:rPr>
      <w:rFonts w:ascii="Courier New" w:hAnsi="Courier New" w:cs="Courier New"/>
      <w:sz w:val="20"/>
      <w:szCs w:val="20"/>
    </w:rPr>
  </w:style>
  <w:style w:type="character" w:styleId="HTMLDefinition">
    <w:name w:val="HTML Definition"/>
    <w:basedOn w:val="DefaultParagraphFont"/>
    <w:rsid w:val="00EA4900"/>
    <w:rPr>
      <w:i/>
      <w:iCs/>
    </w:rPr>
  </w:style>
  <w:style w:type="character" w:styleId="HTMLKeyboard">
    <w:name w:val="HTML Keyboard"/>
    <w:basedOn w:val="DefaultParagraphFont"/>
    <w:rsid w:val="00EA4900"/>
    <w:rPr>
      <w:rFonts w:ascii="Courier New" w:hAnsi="Courier New" w:cs="Courier New"/>
      <w:sz w:val="20"/>
      <w:szCs w:val="20"/>
    </w:rPr>
  </w:style>
  <w:style w:type="paragraph" w:styleId="HTMLPreformatted">
    <w:name w:val="HTML Preformatted"/>
    <w:basedOn w:val="Normal"/>
    <w:link w:val="HTMLPreformattedChar"/>
    <w:rsid w:val="00EA4900"/>
    <w:rPr>
      <w:rFonts w:ascii="Courier New" w:hAnsi="Courier New" w:cs="Courier New"/>
    </w:rPr>
  </w:style>
  <w:style w:type="character" w:customStyle="1" w:styleId="HTMLPreformattedChar">
    <w:name w:val="HTML Preformatted Char"/>
    <w:basedOn w:val="DefaultParagraphFont"/>
    <w:link w:val="HTMLPreformatted"/>
    <w:rsid w:val="00EA4900"/>
    <w:rPr>
      <w:rFonts w:ascii="Courier New" w:hAnsi="Courier New" w:cs="Courier New"/>
    </w:rPr>
  </w:style>
  <w:style w:type="character" w:styleId="HTMLSample">
    <w:name w:val="HTML Sample"/>
    <w:basedOn w:val="DefaultParagraphFont"/>
    <w:rsid w:val="00EA4900"/>
    <w:rPr>
      <w:rFonts w:ascii="Courier New" w:hAnsi="Courier New" w:cs="Courier New"/>
    </w:rPr>
  </w:style>
  <w:style w:type="character" w:styleId="HTMLTypewriter">
    <w:name w:val="HTML Typewriter"/>
    <w:basedOn w:val="DefaultParagraphFont"/>
    <w:rsid w:val="00EA4900"/>
    <w:rPr>
      <w:rFonts w:ascii="Courier New" w:hAnsi="Courier New" w:cs="Courier New"/>
      <w:sz w:val="20"/>
      <w:szCs w:val="20"/>
    </w:rPr>
  </w:style>
  <w:style w:type="character" w:styleId="HTMLVariable">
    <w:name w:val="HTML Variable"/>
    <w:basedOn w:val="DefaultParagraphFont"/>
    <w:rsid w:val="00EA4900"/>
    <w:rPr>
      <w:i/>
      <w:iCs/>
    </w:rPr>
  </w:style>
  <w:style w:type="character" w:styleId="LineNumber">
    <w:name w:val="line number"/>
    <w:basedOn w:val="DefaultParagraphFont"/>
    <w:rsid w:val="00EA4900"/>
  </w:style>
  <w:style w:type="paragraph" w:styleId="List">
    <w:name w:val="List"/>
    <w:basedOn w:val="Normal"/>
    <w:rsid w:val="00EA4900"/>
    <w:pPr>
      <w:ind w:left="360" w:hanging="360"/>
    </w:pPr>
  </w:style>
  <w:style w:type="paragraph" w:styleId="List2">
    <w:name w:val="List 2"/>
    <w:basedOn w:val="Normal"/>
    <w:rsid w:val="00EA4900"/>
    <w:pPr>
      <w:ind w:left="720" w:hanging="360"/>
    </w:pPr>
  </w:style>
  <w:style w:type="paragraph" w:styleId="List3">
    <w:name w:val="List 3"/>
    <w:basedOn w:val="Normal"/>
    <w:rsid w:val="00EA4900"/>
    <w:pPr>
      <w:ind w:left="1080" w:hanging="360"/>
    </w:pPr>
  </w:style>
  <w:style w:type="paragraph" w:styleId="List4">
    <w:name w:val="List 4"/>
    <w:basedOn w:val="Normal"/>
    <w:rsid w:val="00EA4900"/>
    <w:pPr>
      <w:ind w:left="1440" w:hanging="360"/>
    </w:pPr>
  </w:style>
  <w:style w:type="paragraph" w:styleId="List5">
    <w:name w:val="List 5"/>
    <w:basedOn w:val="Normal"/>
    <w:rsid w:val="00EA4900"/>
    <w:pPr>
      <w:ind w:left="1800" w:hanging="360"/>
    </w:pPr>
  </w:style>
  <w:style w:type="paragraph" w:styleId="ListBullet">
    <w:name w:val="List Bullet"/>
    <w:basedOn w:val="Normal"/>
    <w:autoRedefine/>
    <w:rsid w:val="00EA4900"/>
    <w:pPr>
      <w:tabs>
        <w:tab w:val="num" w:pos="360"/>
      </w:tabs>
      <w:ind w:left="360" w:hanging="360"/>
    </w:pPr>
    <w:rPr>
      <w:bCs/>
      <w:szCs w:val="24"/>
      <w:lang w:val="es-ES" w:eastAsia="zh-CN"/>
    </w:rPr>
  </w:style>
  <w:style w:type="paragraph" w:styleId="ListBullet2">
    <w:name w:val="List Bullet 2"/>
    <w:basedOn w:val="Normal"/>
    <w:rsid w:val="00EA4900"/>
    <w:pPr>
      <w:tabs>
        <w:tab w:val="num" w:pos="720"/>
      </w:tabs>
      <w:ind w:left="720" w:hanging="360"/>
    </w:pPr>
  </w:style>
  <w:style w:type="paragraph" w:styleId="ListBullet3">
    <w:name w:val="List Bullet 3"/>
    <w:basedOn w:val="Normal"/>
    <w:rsid w:val="00EA4900"/>
    <w:pPr>
      <w:tabs>
        <w:tab w:val="num" w:pos="1080"/>
      </w:tabs>
      <w:ind w:left="1080" w:hanging="360"/>
    </w:pPr>
  </w:style>
  <w:style w:type="paragraph" w:styleId="ListBullet4">
    <w:name w:val="List Bullet 4"/>
    <w:basedOn w:val="Normal"/>
    <w:rsid w:val="00EA4900"/>
    <w:pPr>
      <w:tabs>
        <w:tab w:val="num" w:pos="1440"/>
      </w:tabs>
      <w:ind w:left="1440" w:hanging="360"/>
    </w:pPr>
  </w:style>
  <w:style w:type="paragraph" w:styleId="ListBullet5">
    <w:name w:val="List Bullet 5"/>
    <w:basedOn w:val="Normal"/>
    <w:rsid w:val="00EA4900"/>
    <w:pPr>
      <w:tabs>
        <w:tab w:val="num" w:pos="1800"/>
      </w:tabs>
      <w:ind w:left="1800" w:hanging="360"/>
    </w:pPr>
  </w:style>
  <w:style w:type="paragraph" w:styleId="ListContinue">
    <w:name w:val="List Continue"/>
    <w:basedOn w:val="Normal"/>
    <w:rsid w:val="00EA4900"/>
    <w:pPr>
      <w:spacing w:after="120"/>
      <w:ind w:left="360"/>
    </w:pPr>
  </w:style>
  <w:style w:type="paragraph" w:styleId="ListContinue2">
    <w:name w:val="List Continue 2"/>
    <w:basedOn w:val="Normal"/>
    <w:rsid w:val="00EA4900"/>
    <w:pPr>
      <w:spacing w:after="120"/>
      <w:ind w:left="720"/>
    </w:pPr>
  </w:style>
  <w:style w:type="paragraph" w:styleId="ListContinue3">
    <w:name w:val="List Continue 3"/>
    <w:basedOn w:val="Normal"/>
    <w:rsid w:val="00EA4900"/>
    <w:pPr>
      <w:spacing w:after="120"/>
      <w:ind w:left="1080"/>
    </w:pPr>
  </w:style>
  <w:style w:type="paragraph" w:styleId="ListContinue4">
    <w:name w:val="List Continue 4"/>
    <w:basedOn w:val="Normal"/>
    <w:rsid w:val="00EA4900"/>
    <w:pPr>
      <w:spacing w:after="120"/>
      <w:ind w:left="1440"/>
    </w:pPr>
  </w:style>
  <w:style w:type="paragraph" w:styleId="ListContinue5">
    <w:name w:val="List Continue 5"/>
    <w:basedOn w:val="Normal"/>
    <w:rsid w:val="00EA4900"/>
    <w:pPr>
      <w:spacing w:after="120"/>
      <w:ind w:left="1800"/>
    </w:pPr>
  </w:style>
  <w:style w:type="paragraph" w:styleId="ListNumber">
    <w:name w:val="List Number"/>
    <w:basedOn w:val="Normal"/>
    <w:rsid w:val="00EA4900"/>
    <w:pPr>
      <w:tabs>
        <w:tab w:val="num" w:pos="360"/>
      </w:tabs>
      <w:ind w:left="360" w:hanging="360"/>
    </w:pPr>
  </w:style>
  <w:style w:type="paragraph" w:styleId="ListNumber2">
    <w:name w:val="List Number 2"/>
    <w:basedOn w:val="Normal"/>
    <w:rsid w:val="00EA4900"/>
    <w:pPr>
      <w:tabs>
        <w:tab w:val="num" w:pos="720"/>
      </w:tabs>
      <w:ind w:left="720" w:hanging="360"/>
    </w:pPr>
  </w:style>
  <w:style w:type="paragraph" w:styleId="ListNumber3">
    <w:name w:val="List Number 3"/>
    <w:basedOn w:val="Normal"/>
    <w:rsid w:val="00EA4900"/>
    <w:pPr>
      <w:tabs>
        <w:tab w:val="num" w:pos="1080"/>
      </w:tabs>
      <w:ind w:left="1080" w:hanging="360"/>
    </w:pPr>
  </w:style>
  <w:style w:type="paragraph" w:styleId="ListNumber4">
    <w:name w:val="List Number 4"/>
    <w:basedOn w:val="Normal"/>
    <w:rsid w:val="00EA4900"/>
    <w:pPr>
      <w:tabs>
        <w:tab w:val="num" w:pos="1440"/>
      </w:tabs>
      <w:ind w:left="1440" w:hanging="360"/>
    </w:pPr>
  </w:style>
  <w:style w:type="paragraph" w:styleId="ListNumber5">
    <w:name w:val="List Number 5"/>
    <w:basedOn w:val="Normal"/>
    <w:rsid w:val="00EA4900"/>
    <w:pPr>
      <w:tabs>
        <w:tab w:val="num" w:pos="1800"/>
      </w:tabs>
      <w:ind w:left="1800" w:hanging="360"/>
    </w:pPr>
  </w:style>
  <w:style w:type="paragraph" w:styleId="MessageHeader">
    <w:name w:val="Message Header"/>
    <w:basedOn w:val="Normal"/>
    <w:link w:val="MessageHeaderChar"/>
    <w:rsid w:val="00EA490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EA4900"/>
    <w:rPr>
      <w:rFonts w:ascii="Arial" w:hAnsi="Arial"/>
      <w:szCs w:val="24"/>
      <w:shd w:val="pct20" w:color="auto" w:fill="auto"/>
    </w:rPr>
  </w:style>
  <w:style w:type="paragraph" w:styleId="NoteHeading">
    <w:name w:val="Note Heading"/>
    <w:basedOn w:val="Normal"/>
    <w:next w:val="Normal"/>
    <w:link w:val="NoteHeadingChar"/>
    <w:rsid w:val="00EA4900"/>
  </w:style>
  <w:style w:type="character" w:customStyle="1" w:styleId="NoteHeadingChar">
    <w:name w:val="Note Heading Char"/>
    <w:basedOn w:val="DefaultParagraphFont"/>
    <w:link w:val="NoteHeading"/>
    <w:rsid w:val="00EA4900"/>
    <w:rPr>
      <w:rFonts w:ascii="Arial" w:hAnsi="Arial"/>
    </w:rPr>
  </w:style>
  <w:style w:type="paragraph" w:styleId="Salutation">
    <w:name w:val="Salutation"/>
    <w:basedOn w:val="Normal"/>
    <w:next w:val="Normal"/>
    <w:link w:val="SalutationChar"/>
    <w:rsid w:val="00EA4900"/>
  </w:style>
  <w:style w:type="character" w:customStyle="1" w:styleId="SalutationChar">
    <w:name w:val="Salutation Char"/>
    <w:basedOn w:val="DefaultParagraphFont"/>
    <w:link w:val="Salutation"/>
    <w:rsid w:val="00EA4900"/>
    <w:rPr>
      <w:rFonts w:ascii="Arial" w:hAnsi="Arial"/>
    </w:rPr>
  </w:style>
  <w:style w:type="character" w:styleId="Strong">
    <w:name w:val="Strong"/>
    <w:basedOn w:val="DefaultParagraphFont"/>
    <w:uiPriority w:val="22"/>
    <w:qFormat/>
    <w:rsid w:val="00EA4900"/>
    <w:rPr>
      <w:b/>
      <w:bCs/>
    </w:rPr>
  </w:style>
  <w:style w:type="paragraph" w:styleId="Subtitle">
    <w:name w:val="Subtitle"/>
    <w:basedOn w:val="Normal"/>
    <w:link w:val="SubtitleChar"/>
    <w:qFormat/>
    <w:rsid w:val="00EA4900"/>
    <w:pPr>
      <w:spacing w:after="60"/>
      <w:jc w:val="center"/>
      <w:outlineLvl w:val="1"/>
    </w:pPr>
    <w:rPr>
      <w:szCs w:val="24"/>
    </w:rPr>
  </w:style>
  <w:style w:type="character" w:customStyle="1" w:styleId="SubtitleChar">
    <w:name w:val="Subtitle Char"/>
    <w:basedOn w:val="DefaultParagraphFont"/>
    <w:link w:val="Subtitle"/>
    <w:rsid w:val="00EA4900"/>
    <w:rPr>
      <w:rFonts w:ascii="Arial" w:hAnsi="Arial"/>
      <w:szCs w:val="24"/>
    </w:rPr>
  </w:style>
  <w:style w:type="table" w:styleId="Table3Deffects1">
    <w:name w:val="Table 3D effects 1"/>
    <w:basedOn w:val="TableNormal"/>
    <w:rsid w:val="00EA4900"/>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4900"/>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4900"/>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A4900"/>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4900"/>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4900"/>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4900"/>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4900"/>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4900"/>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4900"/>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4900"/>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4900"/>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4900"/>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4900"/>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4900"/>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4900"/>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4900"/>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A490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4900"/>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4900"/>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4900"/>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4900"/>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4900"/>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4900"/>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4900"/>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4900"/>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4900"/>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4900"/>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4900"/>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490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4900"/>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4900"/>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4900"/>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A490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4900"/>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4900"/>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4900"/>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4900"/>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900"/>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90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A4900"/>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4900"/>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4900"/>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EA4900"/>
    <w:pPr>
      <w:ind w:left="1440"/>
    </w:pPr>
  </w:style>
  <w:style w:type="paragraph" w:styleId="TOC8">
    <w:name w:val="toc 8"/>
    <w:basedOn w:val="Normal"/>
    <w:next w:val="Normal"/>
    <w:autoRedefine/>
    <w:rsid w:val="00EA4900"/>
    <w:pPr>
      <w:ind w:left="1680"/>
    </w:pPr>
  </w:style>
  <w:style w:type="paragraph" w:styleId="TOC9">
    <w:name w:val="toc 9"/>
    <w:basedOn w:val="Normal"/>
    <w:next w:val="Normal"/>
    <w:autoRedefine/>
    <w:rsid w:val="00EA4900"/>
    <w:pPr>
      <w:ind w:left="1920"/>
    </w:pPr>
  </w:style>
  <w:style w:type="character" w:styleId="FollowedHyperlink">
    <w:name w:val="FollowedHyperlink"/>
    <w:basedOn w:val="DefaultParagraphFont"/>
    <w:rsid w:val="00EA4900"/>
    <w:rPr>
      <w:color w:val="606420"/>
      <w:u w:val="single"/>
    </w:rPr>
  </w:style>
  <w:style w:type="paragraph" w:styleId="BlockText">
    <w:name w:val="Block Text"/>
    <w:basedOn w:val="Normal"/>
    <w:rsid w:val="00EA4900"/>
    <w:pPr>
      <w:ind w:left="567" w:right="566"/>
    </w:pPr>
    <w:rPr>
      <w:sz w:val="22"/>
    </w:rPr>
  </w:style>
  <w:style w:type="paragraph" w:styleId="Caption">
    <w:name w:val="caption"/>
    <w:basedOn w:val="Normal"/>
    <w:next w:val="Normal"/>
    <w:qFormat/>
    <w:rsid w:val="00EA490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EA4900"/>
    <w:rPr>
      <w:sz w:val="22"/>
      <w:lang w:val="es-ES_tradnl"/>
    </w:rPr>
  </w:style>
  <w:style w:type="character" w:customStyle="1" w:styleId="CommentTextChar">
    <w:name w:val="Comment Text Char"/>
    <w:basedOn w:val="DefaultParagraphFont"/>
    <w:link w:val="CommentText"/>
    <w:rsid w:val="00EA4900"/>
    <w:rPr>
      <w:rFonts w:ascii="Arial" w:hAnsi="Arial"/>
      <w:sz w:val="22"/>
      <w:lang w:val="es-ES_tradnl"/>
    </w:rPr>
  </w:style>
  <w:style w:type="paragraph" w:customStyle="1" w:styleId="Committee">
    <w:name w:val="Committee"/>
    <w:basedOn w:val="Title"/>
    <w:rsid w:val="00EA4900"/>
    <w:rPr>
      <w:caps w:val="0"/>
      <w:lang w:val="es-ES_tradnl"/>
    </w:rPr>
  </w:style>
  <w:style w:type="paragraph" w:customStyle="1" w:styleId="n">
    <w:name w:val="n"/>
    <w:basedOn w:val="Header"/>
    <w:rsid w:val="00EA4900"/>
  </w:style>
  <w:style w:type="paragraph" w:customStyle="1" w:styleId="TitleofSection">
    <w:name w:val="Title of Section"/>
    <w:basedOn w:val="TitleofDoc"/>
    <w:rsid w:val="00EA4900"/>
    <w:pPr>
      <w:spacing w:before="120" w:after="120"/>
    </w:pPr>
    <w:rPr>
      <w:b/>
      <w:caps w:val="0"/>
      <w:lang w:val="es-ES_tradnl" w:eastAsia="de-DE"/>
    </w:rPr>
  </w:style>
  <w:style w:type="paragraph" w:customStyle="1" w:styleId="TOCAnnex">
    <w:name w:val="TOC Annex"/>
    <w:basedOn w:val="Normal"/>
    <w:rsid w:val="00EA490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EA4900"/>
    <w:pPr>
      <w:jc w:val="center"/>
    </w:pPr>
    <w:rPr>
      <w:b/>
      <w:caps/>
      <w:szCs w:val="24"/>
    </w:rPr>
  </w:style>
  <w:style w:type="paragraph" w:customStyle="1" w:styleId="Notetoarticle">
    <w:name w:val="Note to article"/>
    <w:basedOn w:val="Normal"/>
    <w:semiHidden/>
    <w:rsid w:val="00EA4900"/>
  </w:style>
  <w:style w:type="paragraph" w:styleId="PlainText">
    <w:name w:val="Plain Text"/>
    <w:basedOn w:val="Normal"/>
    <w:link w:val="PlainTextChar"/>
    <w:rsid w:val="00EA4900"/>
    <w:rPr>
      <w:rFonts w:ascii="Courier New" w:hAnsi="Courier New" w:cs="Courier New"/>
      <w:lang w:eastAsia="fr-FR"/>
    </w:rPr>
  </w:style>
  <w:style w:type="character" w:customStyle="1" w:styleId="PlainTextChar">
    <w:name w:val="Plain Text Char"/>
    <w:basedOn w:val="DefaultParagraphFont"/>
    <w:link w:val="PlainText"/>
    <w:rsid w:val="00EA4900"/>
    <w:rPr>
      <w:rFonts w:ascii="Courier New" w:hAnsi="Courier New" w:cs="Courier New"/>
      <w:lang w:eastAsia="fr-FR"/>
    </w:rPr>
  </w:style>
  <w:style w:type="character" w:customStyle="1" w:styleId="plcountryChar">
    <w:name w:val="plcountry Char"/>
    <w:basedOn w:val="DefaultParagraphFont"/>
    <w:link w:val="plcountry"/>
    <w:rsid w:val="00EA4900"/>
    <w:rPr>
      <w:rFonts w:ascii="Arial" w:hAnsi="Arial"/>
      <w:caps/>
      <w:noProof/>
      <w:snapToGrid w:val="0"/>
      <w:u w:val="single"/>
    </w:rPr>
  </w:style>
  <w:style w:type="character" w:customStyle="1" w:styleId="pldetailsChar">
    <w:name w:val="pldetails Char"/>
    <w:link w:val="pldetails"/>
    <w:locked/>
    <w:rsid w:val="00EA4900"/>
    <w:rPr>
      <w:rFonts w:ascii="Arial" w:hAnsi="Arial"/>
      <w:noProof/>
      <w:snapToGrid w:val="0"/>
    </w:rPr>
  </w:style>
  <w:style w:type="character" w:customStyle="1" w:styleId="BodyTextChar">
    <w:name w:val="Body Text Char"/>
    <w:basedOn w:val="DefaultParagraphFont"/>
    <w:link w:val="BodyText"/>
    <w:rsid w:val="00EA4900"/>
    <w:rPr>
      <w:rFonts w:ascii="Arial" w:hAnsi="Arial"/>
    </w:rPr>
  </w:style>
  <w:style w:type="paragraph" w:customStyle="1" w:styleId="Inf6Titre4">
    <w:name w:val="Inf6_Titre4"/>
    <w:basedOn w:val="Normal"/>
    <w:next w:val="Normal"/>
    <w:rsid w:val="00EA4900"/>
    <w:pPr>
      <w:spacing w:after="360"/>
      <w:jc w:val="center"/>
    </w:pPr>
    <w:rPr>
      <w:rFonts w:cs="Arial"/>
      <w:caps/>
    </w:rPr>
  </w:style>
  <w:style w:type="paragraph" w:customStyle="1" w:styleId="Inf6Titre1">
    <w:name w:val="Inf6_Titre1"/>
    <w:basedOn w:val="Heading1"/>
    <w:next w:val="Normal"/>
    <w:rsid w:val="00EA4900"/>
    <w:pPr>
      <w:ind w:firstLine="284"/>
      <w:jc w:val="center"/>
    </w:pPr>
    <w:rPr>
      <w:b/>
    </w:rPr>
  </w:style>
  <w:style w:type="paragraph" w:customStyle="1" w:styleId="Inf6Titre2">
    <w:name w:val="Inf6_Titre2"/>
    <w:basedOn w:val="Inf6Titre1"/>
    <w:next w:val="Normal"/>
    <w:rsid w:val="00EA4900"/>
    <w:pPr>
      <w:spacing w:after="360" w:line="360" w:lineRule="auto"/>
      <w:ind w:firstLine="0"/>
    </w:pPr>
    <w:rPr>
      <w:rFonts w:cs="Arial"/>
      <w:b w:val="0"/>
    </w:rPr>
  </w:style>
  <w:style w:type="paragraph" w:customStyle="1" w:styleId="Inf6Titre3">
    <w:name w:val="Inf6_Titre3"/>
    <w:basedOn w:val="Inf6Titre2"/>
    <w:next w:val="Normal"/>
    <w:rsid w:val="00EA4900"/>
    <w:pPr>
      <w:keepNext w:val="0"/>
      <w:spacing w:after="240" w:line="240" w:lineRule="auto"/>
    </w:pPr>
    <w:rPr>
      <w:b/>
      <w:caps w:val="0"/>
    </w:rPr>
  </w:style>
  <w:style w:type="paragraph" w:styleId="ListParagraph">
    <w:name w:val="List Paragraph"/>
    <w:basedOn w:val="Normal"/>
    <w:uiPriority w:val="34"/>
    <w:qFormat/>
    <w:rsid w:val="00EA4900"/>
    <w:pPr>
      <w:ind w:left="720"/>
      <w:contextualSpacing/>
    </w:pPr>
    <w:rPr>
      <w:rFonts w:eastAsiaTheme="minorEastAsia"/>
    </w:rPr>
  </w:style>
  <w:style w:type="paragraph" w:styleId="NoSpacing">
    <w:name w:val="No Spacing"/>
    <w:uiPriority w:val="1"/>
    <w:qFormat/>
    <w:rsid w:val="00EA4900"/>
    <w:pPr>
      <w:jc w:val="both"/>
    </w:pPr>
    <w:rPr>
      <w:rFonts w:ascii="Arial" w:eastAsiaTheme="minorEastAsia" w:hAnsi="Arial"/>
    </w:rPr>
  </w:style>
  <w:style w:type="character" w:customStyle="1" w:styleId="FootnoteTextChar">
    <w:name w:val="Footnote Text Char"/>
    <w:basedOn w:val="DefaultParagraphFont"/>
    <w:link w:val="FootnoteText"/>
    <w:rsid w:val="006A3091"/>
    <w:rPr>
      <w:rFonts w:ascii="Arial" w:hAnsi="Arial"/>
      <w:sz w:val="16"/>
    </w:rPr>
  </w:style>
  <w:style w:type="character" w:customStyle="1" w:styleId="EndnoteTextChar">
    <w:name w:val="Endnote Text Char"/>
    <w:basedOn w:val="DefaultParagraphFont"/>
    <w:link w:val="EndnoteText"/>
    <w:rsid w:val="006A3091"/>
    <w:rPr>
      <w:rFonts w:ascii="Arial" w:hAnsi="Arial"/>
      <w:sz w:val="18"/>
    </w:rPr>
  </w:style>
  <w:style w:type="paragraph" w:customStyle="1" w:styleId="Style1">
    <w:name w:val="Style1"/>
    <w:basedOn w:val="Normal"/>
    <w:rsid w:val="00EA4900"/>
    <w:pPr>
      <w:tabs>
        <w:tab w:val="decimal" w:pos="907"/>
        <w:tab w:val="left" w:pos="1077"/>
      </w:tabs>
    </w:pPr>
    <w:rPr>
      <w:rFonts w:eastAsia="MS Mincho"/>
      <w:szCs w:val="24"/>
      <w:lang w:eastAsia="ja-JP"/>
    </w:rPr>
  </w:style>
  <w:style w:type="paragraph" w:customStyle="1" w:styleId="BasistekstNaktuinbouw">
    <w:name w:val="Basistekst Naktuinbouw"/>
    <w:basedOn w:val="Normal"/>
    <w:qFormat/>
    <w:rsid w:val="00EA4900"/>
    <w:pPr>
      <w:spacing w:line="240" w:lineRule="atLeast"/>
      <w:jc w:val="left"/>
    </w:pPr>
    <w:rPr>
      <w:rFonts w:cs="Maiandra GD"/>
      <w:color w:val="000000" w:themeColor="text1"/>
      <w:szCs w:val="18"/>
      <w:lang w:val="nl-NL" w:eastAsia="nl-NL"/>
    </w:rPr>
  </w:style>
  <w:style w:type="table" w:customStyle="1" w:styleId="TableGrid10">
    <w:name w:val="Table Grid1"/>
    <w:basedOn w:val="TableNormal"/>
    <w:next w:val="TableGrid"/>
    <w:uiPriority w:val="39"/>
    <w:rsid w:val="00983BF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4A0FEE"/>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32614">
      <w:bodyDiv w:val="1"/>
      <w:marLeft w:val="0"/>
      <w:marRight w:val="0"/>
      <w:marTop w:val="0"/>
      <w:marBottom w:val="0"/>
      <w:divBdr>
        <w:top w:val="none" w:sz="0" w:space="0" w:color="auto"/>
        <w:left w:val="none" w:sz="0" w:space="0" w:color="auto"/>
        <w:bottom w:val="none" w:sz="0" w:space="0" w:color="auto"/>
        <w:right w:val="none" w:sz="0" w:space="0" w:color="auto"/>
      </w:divBdr>
    </w:div>
    <w:div w:id="573514735">
      <w:bodyDiv w:val="1"/>
      <w:marLeft w:val="0"/>
      <w:marRight w:val="0"/>
      <w:marTop w:val="0"/>
      <w:marBottom w:val="0"/>
      <w:divBdr>
        <w:top w:val="none" w:sz="0" w:space="0" w:color="auto"/>
        <w:left w:val="none" w:sz="0" w:space="0" w:color="auto"/>
        <w:bottom w:val="none" w:sz="0" w:space="0" w:color="auto"/>
        <w:right w:val="none" w:sz="0" w:space="0" w:color="auto"/>
      </w:divBdr>
    </w:div>
    <w:div w:id="1320697717">
      <w:bodyDiv w:val="1"/>
      <w:marLeft w:val="0"/>
      <w:marRight w:val="0"/>
      <w:marTop w:val="0"/>
      <w:marBottom w:val="0"/>
      <w:divBdr>
        <w:top w:val="none" w:sz="0" w:space="0" w:color="auto"/>
        <w:left w:val="none" w:sz="0" w:space="0" w:color="auto"/>
        <w:bottom w:val="none" w:sz="0" w:space="0" w:color="auto"/>
        <w:right w:val="none" w:sz="0" w:space="0" w:color="auto"/>
      </w:divBdr>
    </w:div>
    <w:div w:id="1549760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pov.int/edocs/mdocs/upov/en/upov_wg_den_4/upov_wg_den_4_2.pdf" TargetMode="External"/><Relationship Id="rId18" Type="http://schemas.openxmlformats.org/officeDocument/2006/relationships/image" Target="media/image2.png"/><Relationship Id="rId26" Type="http://schemas.openxmlformats.org/officeDocument/2006/relationships/image" Target="media/image6.png"/><Relationship Id="rId39" Type="http://schemas.openxmlformats.org/officeDocument/2006/relationships/header" Target="header14.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pov.int/edocs/mdocs/upov/en/upov_wg_den_3/upov_wg_den_3_3.pdf" TargetMode="External"/><Relationship Id="rId20" Type="http://schemas.openxmlformats.org/officeDocument/2006/relationships/header" Target="header3.xml"/><Relationship Id="rId29" Type="http://schemas.openxmlformats.org/officeDocument/2006/relationships/image" Target="cid:image004.png@01D4138E.1845AC10" TargetMode="Externa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yperlink" Target="http://www.upov.int/edocs/mdocs/upov/en/upov_wg_den_4/upov_wg_den_4_2.pdf" TargetMode="External"/><Relationship Id="rId23" Type="http://schemas.openxmlformats.org/officeDocument/2006/relationships/image" Target="media/image5.png"/><Relationship Id="rId28" Type="http://schemas.openxmlformats.org/officeDocument/2006/relationships/image" Target="media/image8.png"/><Relationship Id="rId36" Type="http://schemas.openxmlformats.org/officeDocument/2006/relationships/image" Target="media/image10.png"/><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upov.int/pluto/en/" TargetMode="External"/><Relationship Id="rId14" Type="http://schemas.openxmlformats.org/officeDocument/2006/relationships/hyperlink" Target="http://www.upov.int/edocs/mdocs/upov/en/upov_wg_den_4/upov_wg_den_4_2.pdf" TargetMode="Externa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header" Target="header7.xml"/><Relationship Id="rId35" Type="http://schemas.openxmlformats.org/officeDocument/2006/relationships/image" Target="media/image9.pn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upov.int/edocs/mdocs/upov/en/upov_wg_den_4/upov_wg_den_4_2.pdf" TargetMode="External"/><Relationship Id="rId17" Type="http://schemas.openxmlformats.org/officeDocument/2006/relationships/hyperlink" Target="http://www.upov.int/pluto/en/" TargetMode="Externa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eader" Target="header13.xml"/></Relationships>
</file>

<file path=word/_rels/endnotes.xml.rels><?xml version="1.0" encoding="UTF-8" standalone="yes"?>
<Relationships xmlns="http://schemas.openxmlformats.org/package/2006/relationships"><Relationship Id="rId8" Type="http://schemas.openxmlformats.org/officeDocument/2006/relationships/hyperlink" Target="http://www.upov.int/edocs/mdocs/upov/en/upov_wg_den_1/upov_wg_den_1_6.pdf" TargetMode="External"/><Relationship Id="rId13" Type="http://schemas.openxmlformats.org/officeDocument/2006/relationships/hyperlink" Target="http://www.upov.int/edocs/mdocs/upov/en/upov_wg_den_1/upov_wg_den_1_6.pdf" TargetMode="External"/><Relationship Id="rId18" Type="http://schemas.openxmlformats.org/officeDocument/2006/relationships/hyperlink" Target="http://www.upov.int/edocs/mdocs/upov/en/upov_wg_den_3/upov_wg_den_3_3.pdf" TargetMode="External"/><Relationship Id="rId26" Type="http://schemas.openxmlformats.org/officeDocument/2006/relationships/hyperlink" Target="http://www.upov.int/edocs/mdocs/upov/en/upov_wg_den_1/upov_wg_den_1_6.pdf" TargetMode="External"/><Relationship Id="rId3" Type="http://schemas.openxmlformats.org/officeDocument/2006/relationships/hyperlink" Target="http://www.upov.int/edocs/mdocs/upov/en/upov_wg_den_4/upov_wg_den_4_3.pdf" TargetMode="External"/><Relationship Id="rId21" Type="http://schemas.openxmlformats.org/officeDocument/2006/relationships/hyperlink" Target="http://www.upov.int/edocs/mdocs/upov/en/upov_wg_den_1/upov_wg_den_1_6.pdf" TargetMode="External"/><Relationship Id="rId7" Type="http://schemas.openxmlformats.org/officeDocument/2006/relationships/hyperlink" Target="http://www.upov.int/edocs/mdocs/upov/en/upov_wg_den_1/upov_wg_den_1_6.pdf" TargetMode="External"/><Relationship Id="rId12" Type="http://schemas.openxmlformats.org/officeDocument/2006/relationships/hyperlink" Target="http://www.upov.int/edocs/mdocs/upov/en/upov_wg_den_4/upov_wg_den_4_3.pdf" TargetMode="External"/><Relationship Id="rId17" Type="http://schemas.openxmlformats.org/officeDocument/2006/relationships/hyperlink" Target="http://www.upov.int/edocs/mdocs/upov/en/upov_wg_den_1/upov_wg_den_1_6.pdf" TargetMode="External"/><Relationship Id="rId25" Type="http://schemas.openxmlformats.org/officeDocument/2006/relationships/hyperlink" Target="http://www.upov.int/edocs/mdocs/upov/en/upov_wg_den_1/upov_wg_den_1_6.pdf" TargetMode="External"/><Relationship Id="rId2" Type="http://schemas.openxmlformats.org/officeDocument/2006/relationships/hyperlink" Target="http://www.upov.int/edocs/mdocs/upov/en/upov_wg_den_4/upov_wg_den_4_3.pdf" TargetMode="External"/><Relationship Id="rId16" Type="http://schemas.openxmlformats.org/officeDocument/2006/relationships/hyperlink" Target="http://www.upov.int/edocs/mdocs/upov/en/upov_wg_den_1/upov_wg_den_1_6.pdf" TargetMode="External"/><Relationship Id="rId20" Type="http://schemas.openxmlformats.org/officeDocument/2006/relationships/hyperlink" Target="http://www.upov.int/edocs/mdocs/upov/en/upov_wg_den_1/upov_wg_den_1_6.pdf" TargetMode="External"/><Relationship Id="rId1" Type="http://schemas.openxmlformats.org/officeDocument/2006/relationships/hyperlink" Target="http://www.upov.int/edocs/mdocs/upov/en/upov_wg_den_3/upov_wg_den_3_3.pdf" TargetMode="External"/><Relationship Id="rId6" Type="http://schemas.openxmlformats.org/officeDocument/2006/relationships/hyperlink" Target="http://www.upov.int/meetings/en/details.jsp?meeting_id=37027" TargetMode="External"/><Relationship Id="rId11" Type="http://schemas.openxmlformats.org/officeDocument/2006/relationships/hyperlink" Target="http://www.upov.int/edocs/mdocs/upov/en/upov_wg_den_1/upov_wg_den_1_6.pdf" TargetMode="External"/><Relationship Id="rId24" Type="http://schemas.openxmlformats.org/officeDocument/2006/relationships/hyperlink" Target="http://www.upov.int/edocs/mdocs/upov/en/upov_wg_den_4/upov_wg_den_4_3.pdf" TargetMode="External"/><Relationship Id="rId5" Type="http://schemas.openxmlformats.org/officeDocument/2006/relationships/hyperlink" Target="http://www.upov.int/edocs/mdocs/upov/en/upov_wg_den_1/upov_wg_den_1_6.pdf" TargetMode="External"/><Relationship Id="rId15" Type="http://schemas.openxmlformats.org/officeDocument/2006/relationships/hyperlink" Target="http://www.upov.int/edocs/mdocs/upov/en/upov_wg_den_1/upov_wg_den_1_6.pdf" TargetMode="External"/><Relationship Id="rId23" Type="http://schemas.openxmlformats.org/officeDocument/2006/relationships/hyperlink" Target="http://www.upov.int/meetings/en/details.jsp?meeting_id=37027" TargetMode="External"/><Relationship Id="rId10" Type="http://schemas.openxmlformats.org/officeDocument/2006/relationships/hyperlink" Target="http://www.upov.int/meetings/en/details.jsp?meeting_id=37027" TargetMode="External"/><Relationship Id="rId19" Type="http://schemas.openxmlformats.org/officeDocument/2006/relationships/hyperlink" Target="http://www.upov.int/edocs/mdocs/upov/en/upov_wg_den_3/upov_wg_den_3_3.pdf" TargetMode="External"/><Relationship Id="rId4" Type="http://schemas.openxmlformats.org/officeDocument/2006/relationships/hyperlink" Target="http://www.upov.int/meetings/en/details.jsp?meeting_id=37027" TargetMode="External"/><Relationship Id="rId9" Type="http://schemas.openxmlformats.org/officeDocument/2006/relationships/hyperlink" Target="http://www.upov.int/edocs/mdocs/upov/en/upov_wg_den_4/upov_wg_den_4_3.pdf" TargetMode="External"/><Relationship Id="rId14" Type="http://schemas.openxmlformats.org/officeDocument/2006/relationships/hyperlink" Target="http://www.upov.int/meetings/en/details.jsp?meeting_id=38784" TargetMode="External"/><Relationship Id="rId22" Type="http://schemas.openxmlformats.org/officeDocument/2006/relationships/hyperlink" Target="http://www.upov.int/edocs/mdocs/upov/en/upov_wg_den_4/upov_wg_den_4_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Tom\Kasumi%20san\test%20formatting\we-den\wg_den_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C9E99-3A4F-4A9A-81C5-26401D3A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wg_den_5_EN.dotx</Template>
  <TotalTime>92</TotalTime>
  <Pages>54</Pages>
  <Words>17870</Words>
  <Characters>101861</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UPOV/WG-DEN/5/2</vt:lpstr>
    </vt:vector>
  </TitlesOfParts>
  <Company>UPOV</Company>
  <LinksUpToDate>false</LinksUpToDate>
  <CharactersWithSpaces>119493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UPOV/WG-DEN/5/2</dc:title>
  <dc:creator>FALQUET Kasumi</dc:creator>
  <cp:lastModifiedBy>SANCHEZ VIZCAINO GOMEZ Rosa Maria</cp:lastModifiedBy>
  <cp:revision>19</cp:revision>
  <cp:lastPrinted>2018-10-04T17:26:00Z</cp:lastPrinted>
  <dcterms:created xsi:type="dcterms:W3CDTF">2018-10-04T15:18:00Z</dcterms:created>
  <dcterms:modified xsi:type="dcterms:W3CDTF">2018-10-04T17:26:00Z</dcterms:modified>
</cp:coreProperties>
</file>