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67B1A" w:rsidRPr="00815738" w:rsidTr="00BA1CCE">
        <w:tc>
          <w:tcPr>
            <w:tcW w:w="6522" w:type="dxa"/>
          </w:tcPr>
          <w:p w:rsidR="00D67B1A" w:rsidRPr="00AC2883" w:rsidRDefault="00D67B1A" w:rsidP="00BA1CCE">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67B1A" w:rsidRPr="007C1D92" w:rsidRDefault="00D67B1A" w:rsidP="00BA1CCE">
            <w:pPr>
              <w:pStyle w:val="Lettrine"/>
            </w:pPr>
            <w:r w:rsidRPr="00172084">
              <w:t>E</w:t>
            </w:r>
          </w:p>
        </w:tc>
      </w:tr>
      <w:tr w:rsidR="00D67B1A" w:rsidRPr="00DA4973" w:rsidTr="00BA1CCE">
        <w:trPr>
          <w:trHeight w:val="219"/>
        </w:trPr>
        <w:tc>
          <w:tcPr>
            <w:tcW w:w="6522" w:type="dxa"/>
          </w:tcPr>
          <w:p w:rsidR="00D67B1A" w:rsidRPr="00B844B0" w:rsidRDefault="00D67B1A" w:rsidP="00BA1CCE">
            <w:pPr>
              <w:pStyle w:val="upove"/>
              <w:rPr>
                <w:lang w:val="en-US"/>
              </w:rPr>
            </w:pPr>
            <w:r w:rsidRPr="00B844B0">
              <w:rPr>
                <w:lang w:val="en-US"/>
              </w:rPr>
              <w:t>International Union for the Protection of New Varieties of Plants</w:t>
            </w:r>
          </w:p>
        </w:tc>
        <w:tc>
          <w:tcPr>
            <w:tcW w:w="3117" w:type="dxa"/>
          </w:tcPr>
          <w:p w:rsidR="00D67B1A" w:rsidRPr="00DA4973" w:rsidRDefault="00D67B1A" w:rsidP="00BA1CCE"/>
        </w:tc>
      </w:tr>
    </w:tbl>
    <w:p w:rsidR="00D67B1A" w:rsidRDefault="00D67B1A" w:rsidP="00BA1CCE"/>
    <w:p w:rsidR="00D67B1A" w:rsidRPr="00365DC1" w:rsidRDefault="00D67B1A" w:rsidP="00BA1CC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67B1A" w:rsidRPr="00C5280D" w:rsidTr="00BA1CCE">
        <w:tc>
          <w:tcPr>
            <w:tcW w:w="6512" w:type="dxa"/>
          </w:tcPr>
          <w:p w:rsidR="00D67B1A" w:rsidRPr="00B844B0" w:rsidRDefault="00D67B1A" w:rsidP="00BA1CCE">
            <w:pPr>
              <w:pStyle w:val="Sessiontc"/>
              <w:spacing w:line="240" w:lineRule="auto"/>
              <w:rPr>
                <w:lang w:val="en-US"/>
              </w:rPr>
            </w:pPr>
            <w:r w:rsidRPr="00B844B0">
              <w:rPr>
                <w:lang w:val="en-US"/>
              </w:rPr>
              <w:t>Working Group on Variety Denominations</w:t>
            </w:r>
          </w:p>
          <w:p w:rsidR="00D67B1A" w:rsidRPr="00B844B0" w:rsidRDefault="00D67B1A" w:rsidP="00BA1CCE">
            <w:pPr>
              <w:pStyle w:val="Sessiontcplacedate"/>
              <w:rPr>
                <w:sz w:val="22"/>
                <w:lang w:val="en-US"/>
              </w:rPr>
            </w:pPr>
            <w:r w:rsidRPr="00B844B0">
              <w:rPr>
                <w:lang w:val="en-US"/>
              </w:rPr>
              <w:t>Fourth Meeting</w:t>
            </w:r>
            <w:r w:rsidRPr="00B844B0">
              <w:rPr>
                <w:lang w:val="en-US"/>
              </w:rPr>
              <w:br/>
              <w:t>Geneva, October 27, 2017</w:t>
            </w:r>
          </w:p>
        </w:tc>
        <w:tc>
          <w:tcPr>
            <w:tcW w:w="3127" w:type="dxa"/>
          </w:tcPr>
          <w:p w:rsidR="00D67B1A" w:rsidRPr="003C7FBE" w:rsidRDefault="00D67B1A" w:rsidP="00BA1CCE">
            <w:pPr>
              <w:pStyle w:val="Doccode"/>
              <w:spacing w:before="40"/>
            </w:pPr>
            <w:r>
              <w:t>UPOV/WG-DEN</w:t>
            </w:r>
            <w:r w:rsidRPr="00AC2883">
              <w:t>/</w:t>
            </w:r>
            <w:r>
              <w:t>4</w:t>
            </w:r>
            <w:r w:rsidRPr="00AC2883">
              <w:t>/</w:t>
            </w:r>
            <w:r>
              <w:t>2</w:t>
            </w:r>
          </w:p>
          <w:p w:rsidR="00D67B1A" w:rsidRPr="00B844B0" w:rsidRDefault="00D67B1A" w:rsidP="00BA1CCE">
            <w:pPr>
              <w:pStyle w:val="Docoriginal"/>
              <w:rPr>
                <w:lang w:val="en-US"/>
              </w:rPr>
            </w:pPr>
            <w:r w:rsidRPr="00B844B0">
              <w:rPr>
                <w:lang w:val="en-US"/>
              </w:rPr>
              <w:t>Original:</w:t>
            </w:r>
            <w:r w:rsidRPr="00B844B0">
              <w:rPr>
                <w:b w:val="0"/>
                <w:spacing w:val="0"/>
                <w:lang w:val="en-US"/>
              </w:rPr>
              <w:t xml:space="preserve">  English</w:t>
            </w:r>
          </w:p>
          <w:p w:rsidR="00D67B1A" w:rsidRPr="00B844B0" w:rsidRDefault="00D67B1A" w:rsidP="00BA1CCE">
            <w:pPr>
              <w:pStyle w:val="Docoriginal"/>
              <w:rPr>
                <w:lang w:val="en-US"/>
              </w:rPr>
            </w:pPr>
            <w:r w:rsidRPr="00B844B0">
              <w:rPr>
                <w:lang w:val="en-US"/>
              </w:rPr>
              <w:t>Date:</w:t>
            </w:r>
            <w:r w:rsidRPr="00B844B0">
              <w:rPr>
                <w:b w:val="0"/>
                <w:spacing w:val="0"/>
                <w:lang w:val="en-US"/>
              </w:rPr>
              <w:t xml:space="preserve">  September </w:t>
            </w:r>
            <w:r w:rsidR="00B844B0" w:rsidRPr="00B844B0">
              <w:rPr>
                <w:b w:val="0"/>
                <w:spacing w:val="0"/>
                <w:lang w:val="en-US"/>
              </w:rPr>
              <w:t>29</w:t>
            </w:r>
            <w:r w:rsidRPr="00B844B0">
              <w:rPr>
                <w:b w:val="0"/>
                <w:spacing w:val="0"/>
                <w:lang w:val="en-US"/>
              </w:rPr>
              <w:t>, 2017</w:t>
            </w:r>
          </w:p>
        </w:tc>
      </w:tr>
    </w:tbl>
    <w:p w:rsidR="00D67B1A" w:rsidRPr="00B844B0" w:rsidRDefault="00D67B1A" w:rsidP="00BA1CCE">
      <w:pPr>
        <w:pStyle w:val="Titleofdoc0"/>
        <w:rPr>
          <w:lang w:val="en-US"/>
        </w:rPr>
      </w:pPr>
      <w:bookmarkStart w:id="0" w:name="TitleOfDoc"/>
      <w:bookmarkEnd w:id="0"/>
      <w:r w:rsidRPr="00B844B0">
        <w:rPr>
          <w:lang w:val="en-US"/>
        </w:rPr>
        <w:t>Revision of document UPOV/INF/12/5 “Explanatory Notes on Variety Denominations under the UPOV Convention”</w:t>
      </w:r>
    </w:p>
    <w:p w:rsidR="00D67B1A" w:rsidRPr="006A644A" w:rsidRDefault="00D67B1A" w:rsidP="00BA1CCE">
      <w:pPr>
        <w:pStyle w:val="preparedby0"/>
        <w:jc w:val="left"/>
      </w:pPr>
      <w:bookmarkStart w:id="1" w:name="Prepared"/>
      <w:bookmarkEnd w:id="1"/>
      <w:r w:rsidRPr="000C4E25">
        <w:t>Document prepared by the Office of the Union</w:t>
      </w:r>
    </w:p>
    <w:p w:rsidR="00D67B1A" w:rsidRPr="006A644A" w:rsidRDefault="00D67B1A" w:rsidP="00BA1CCE">
      <w:pPr>
        <w:pStyle w:val="Disclaimer"/>
      </w:pPr>
      <w:r w:rsidRPr="006A644A">
        <w:t>Disclaimer:  this document does not represent UPOV policies or guidance</w:t>
      </w:r>
    </w:p>
    <w:p w:rsidR="00D67B1A" w:rsidRPr="000C3905" w:rsidRDefault="00D67B1A" w:rsidP="00BA1CCE">
      <w:pPr>
        <w:pStyle w:val="Heading1"/>
        <w:rPr>
          <w:lang w:eastAsia="ja-JP"/>
        </w:rPr>
      </w:pPr>
      <w:bookmarkStart w:id="2" w:name="_Toc494448020"/>
      <w:r w:rsidRPr="000C3905">
        <w:t>Executive summary</w:t>
      </w:r>
      <w:bookmarkEnd w:id="2"/>
    </w:p>
    <w:p w:rsidR="00D67B1A" w:rsidRPr="000C3905" w:rsidRDefault="00D67B1A" w:rsidP="00BA1CCE">
      <w:pPr>
        <w:rPr>
          <w:snapToGrid w:val="0"/>
          <w:highlight w:val="cyan"/>
          <w:lang w:eastAsia="ja-JP"/>
        </w:rPr>
      </w:pPr>
    </w:p>
    <w:p w:rsidR="00D67B1A" w:rsidRPr="000C3905" w:rsidRDefault="00D67B1A" w:rsidP="00BA1CCE">
      <w:pPr>
        <w:rPr>
          <w:rFonts w:cs="Arial"/>
          <w:lang w:eastAsia="ja-JP"/>
        </w:rPr>
      </w:pPr>
      <w:r w:rsidRPr="000C3905">
        <w:rPr>
          <w:rFonts w:cs="Arial"/>
        </w:rPr>
        <w:fldChar w:fldCharType="begin"/>
      </w:r>
      <w:r w:rsidRPr="000C3905">
        <w:rPr>
          <w:rFonts w:cs="Arial"/>
        </w:rPr>
        <w:instrText xml:space="preserve"> AUTONUM  </w:instrText>
      </w:r>
      <w:r w:rsidRPr="000C3905">
        <w:rPr>
          <w:rFonts w:cs="Arial"/>
        </w:rPr>
        <w:fldChar w:fldCharType="end"/>
      </w:r>
      <w:r w:rsidRPr="000C3905">
        <w:rPr>
          <w:rFonts w:cs="Arial"/>
          <w:lang w:eastAsia="ja-JP"/>
        </w:rPr>
        <w:tab/>
      </w:r>
      <w:r w:rsidRPr="000C3905">
        <w:rPr>
          <w:rFonts w:cs="Arial"/>
        </w:rPr>
        <w:t xml:space="preserve">The purpose of this document is </w:t>
      </w:r>
      <w:r w:rsidRPr="000C3905">
        <w:t xml:space="preserve">to provide background information to assist the </w:t>
      </w:r>
      <w:r w:rsidRPr="000C3905">
        <w:rPr>
          <w:snapToGrid w:val="0"/>
        </w:rPr>
        <w:t xml:space="preserve">Working Group on Variety Denominations (WG-DEN) </w:t>
      </w:r>
      <w:r w:rsidRPr="000C3905">
        <w:t>in its consideration of</w:t>
      </w:r>
      <w:r w:rsidRPr="000C3905">
        <w:rPr>
          <w:rFonts w:cs="Arial"/>
        </w:rPr>
        <w:t xml:space="preserve"> the proposals for </w:t>
      </w:r>
      <w:r w:rsidRPr="000C3905">
        <w:rPr>
          <w:rFonts w:cs="Arial"/>
          <w:lang w:eastAsia="ja-JP"/>
        </w:rPr>
        <w:t xml:space="preserve">a </w:t>
      </w:r>
      <w:r w:rsidRPr="000C3905">
        <w:rPr>
          <w:rFonts w:cs="Arial"/>
        </w:rPr>
        <w:t>revision of document UPOV/INF/12/5 “Explanatory Notes on Variety Denominations under the UPOV Convention”</w:t>
      </w:r>
      <w:r>
        <w:rPr>
          <w:rFonts w:cs="Arial"/>
        </w:rPr>
        <w:t xml:space="preserve">, as presented in document </w:t>
      </w:r>
      <w:r w:rsidRPr="000C3905">
        <w:rPr>
          <w:lang w:eastAsia="ja-JP"/>
        </w:rPr>
        <w:t>UPOV/INF/12/</w:t>
      </w:r>
      <w:r>
        <w:rPr>
          <w:lang w:eastAsia="ja-JP"/>
        </w:rPr>
        <w:t>6 Draft 4</w:t>
      </w:r>
      <w:r w:rsidRPr="000C3905">
        <w:rPr>
          <w:rFonts w:cs="Arial"/>
        </w:rPr>
        <w:t>.</w:t>
      </w:r>
    </w:p>
    <w:p w:rsidR="00D67B1A" w:rsidRPr="000C3905" w:rsidRDefault="00D67B1A" w:rsidP="00BA1CCE">
      <w:pPr>
        <w:rPr>
          <w:rFonts w:cs="Arial"/>
          <w:lang w:eastAsia="ja-JP"/>
        </w:rPr>
      </w:pPr>
    </w:p>
    <w:p w:rsidR="00D67B1A" w:rsidRPr="000C3905" w:rsidRDefault="00D67B1A" w:rsidP="00BA1CCE">
      <w:pPr>
        <w:rPr>
          <w:iCs/>
          <w:spacing w:val="-4"/>
        </w:rPr>
      </w:pPr>
      <w:r w:rsidRPr="000C3905">
        <w:fldChar w:fldCharType="begin"/>
      </w:r>
      <w:r w:rsidRPr="000C3905">
        <w:instrText xml:space="preserve"> AUTONUM  </w:instrText>
      </w:r>
      <w:r w:rsidRPr="000C3905">
        <w:fldChar w:fldCharType="end"/>
      </w:r>
      <w:r w:rsidRPr="000C3905">
        <w:tab/>
      </w:r>
      <w:r w:rsidRPr="000C3905">
        <w:rPr>
          <w:iCs/>
          <w:spacing w:val="-4"/>
        </w:rPr>
        <w:t xml:space="preserve">The WG-DEN is invited to: </w:t>
      </w:r>
    </w:p>
    <w:p w:rsidR="00D67B1A" w:rsidRPr="000C3905" w:rsidRDefault="00D67B1A" w:rsidP="00BA1CCE">
      <w:pPr>
        <w:rPr>
          <w:iCs/>
          <w:spacing w:val="-4"/>
        </w:rPr>
      </w:pPr>
    </w:p>
    <w:p w:rsidR="00D67B1A" w:rsidRPr="00881C6A" w:rsidRDefault="00D67B1A" w:rsidP="00BA1CCE">
      <w:pPr>
        <w:ind w:firstLine="567"/>
        <w:jc w:val="left"/>
        <w:rPr>
          <w:iCs/>
          <w:spacing w:val="-4"/>
        </w:rPr>
      </w:pPr>
      <w:r w:rsidRPr="00881C6A">
        <w:rPr>
          <w:iCs/>
          <w:spacing w:val="-4"/>
        </w:rPr>
        <w:t>(a)</w:t>
      </w:r>
      <w:r w:rsidRPr="00881C6A">
        <w:rPr>
          <w:iCs/>
          <w:spacing w:val="-4"/>
        </w:rPr>
        <w:tab/>
        <w:t xml:space="preserve">note the matters agreed by the WG-DEN at its </w:t>
      </w:r>
      <w:r>
        <w:rPr>
          <w:iCs/>
          <w:spacing w:val="-4"/>
        </w:rPr>
        <w:t>third</w:t>
      </w:r>
      <w:r w:rsidRPr="00881C6A">
        <w:rPr>
          <w:iCs/>
          <w:spacing w:val="-4"/>
        </w:rPr>
        <w:t xml:space="preserve"> meeting, as reported in paragraph </w:t>
      </w:r>
      <w:r w:rsidRPr="00A14981">
        <w:rPr>
          <w:iCs/>
          <w:spacing w:val="-4"/>
        </w:rPr>
        <w:t>6</w:t>
      </w:r>
      <w:r w:rsidRPr="00881C6A">
        <w:rPr>
          <w:iCs/>
          <w:spacing w:val="-4"/>
        </w:rPr>
        <w:t xml:space="preserve"> of this document;</w:t>
      </w:r>
      <w:r>
        <w:rPr>
          <w:iCs/>
          <w:spacing w:val="-4"/>
        </w:rPr>
        <w:t xml:space="preserve"> </w:t>
      </w:r>
      <w:r w:rsidRPr="00881C6A">
        <w:rPr>
          <w:iCs/>
          <w:spacing w:val="-4"/>
        </w:rPr>
        <w:t xml:space="preserve"> and</w:t>
      </w:r>
    </w:p>
    <w:p w:rsidR="00D67B1A" w:rsidRPr="00881C6A" w:rsidRDefault="00D67B1A" w:rsidP="00BA1CCE">
      <w:pPr>
        <w:ind w:firstLine="567"/>
        <w:jc w:val="left"/>
        <w:rPr>
          <w:iCs/>
          <w:spacing w:val="-4"/>
        </w:rPr>
      </w:pPr>
    </w:p>
    <w:p w:rsidR="00D67B1A" w:rsidRDefault="00D67B1A" w:rsidP="00BA1CCE">
      <w:pPr>
        <w:ind w:firstLine="567"/>
        <w:jc w:val="left"/>
        <w:rPr>
          <w:iCs/>
          <w:spacing w:val="-4"/>
        </w:rPr>
      </w:pPr>
      <w:r w:rsidRPr="00881C6A">
        <w:rPr>
          <w:iCs/>
          <w:spacing w:val="-4"/>
        </w:rPr>
        <w:t>(b)</w:t>
      </w:r>
      <w:r w:rsidRPr="00881C6A">
        <w:rPr>
          <w:iCs/>
          <w:spacing w:val="-4"/>
        </w:rPr>
        <w:tab/>
        <w:t xml:space="preserve">consider document UPOV/INF/12/6 Draft </w:t>
      </w:r>
      <w:r>
        <w:rPr>
          <w:iCs/>
          <w:spacing w:val="-4"/>
        </w:rPr>
        <w:t>4</w:t>
      </w:r>
      <w:r w:rsidRPr="00881C6A">
        <w:rPr>
          <w:iCs/>
          <w:spacing w:val="-4"/>
        </w:rPr>
        <w:t xml:space="preserve">, as set out in paragraph </w:t>
      </w:r>
      <w:r>
        <w:rPr>
          <w:iCs/>
          <w:spacing w:val="-4"/>
        </w:rPr>
        <w:t>9</w:t>
      </w:r>
      <w:r w:rsidRPr="00881C6A">
        <w:rPr>
          <w:iCs/>
          <w:spacing w:val="-4"/>
        </w:rPr>
        <w:t xml:space="preserve"> of this document.</w:t>
      </w:r>
    </w:p>
    <w:p w:rsidR="00D67B1A" w:rsidRPr="000C3905" w:rsidRDefault="00D67B1A" w:rsidP="00BA1CCE">
      <w:pPr>
        <w:ind w:firstLine="567"/>
        <w:jc w:val="left"/>
        <w:rPr>
          <w:rFonts w:cs="Arial"/>
          <w:snapToGrid w:val="0"/>
          <w:lang w:eastAsia="ja-JP"/>
        </w:rPr>
      </w:pPr>
    </w:p>
    <w:p w:rsidR="00D67B1A" w:rsidRPr="000C3905" w:rsidRDefault="00D67B1A" w:rsidP="00D67B1A">
      <w:pPr>
        <w:keepNext/>
        <w:spacing w:after="120" w:line="360" w:lineRule="auto"/>
        <w:rPr>
          <w:rFonts w:cs="Arial"/>
          <w:snapToGrid w:val="0"/>
          <w:sz w:val="18"/>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The structure of this document is as follows:</w:t>
      </w:r>
    </w:p>
    <w:p w:rsidR="00910790" w:rsidRDefault="00D67B1A">
      <w:pPr>
        <w:pStyle w:val="TOC1"/>
        <w:rPr>
          <w:rFonts w:asciiTheme="minorHAnsi" w:eastAsiaTheme="minorEastAsia" w:hAnsiTheme="minorHAnsi" w:cstheme="minorBidi"/>
          <w:bCs w:val="0"/>
          <w:caps w:val="0"/>
          <w:sz w:val="22"/>
          <w:szCs w:val="22"/>
        </w:rPr>
      </w:pPr>
      <w:r w:rsidRPr="000C3905">
        <w:rPr>
          <w:noProof w:val="0"/>
          <w:snapToGrid w:val="0"/>
          <w:sz w:val="14"/>
        </w:rPr>
        <w:fldChar w:fldCharType="begin"/>
      </w:r>
      <w:r w:rsidRPr="000C3905">
        <w:rPr>
          <w:snapToGrid w:val="0"/>
          <w:sz w:val="14"/>
        </w:rPr>
        <w:instrText xml:space="preserve"> TOC \o "1-3" \h \z \u </w:instrText>
      </w:r>
      <w:r w:rsidRPr="000C3905">
        <w:rPr>
          <w:noProof w:val="0"/>
          <w:snapToGrid w:val="0"/>
          <w:sz w:val="14"/>
        </w:rPr>
        <w:fldChar w:fldCharType="separate"/>
      </w:r>
      <w:hyperlink w:anchor="_Toc494448020" w:history="1">
        <w:r w:rsidR="00910790" w:rsidRPr="00F27D88">
          <w:rPr>
            <w:rStyle w:val="Hyperlink"/>
          </w:rPr>
          <w:t>Executive summary</w:t>
        </w:r>
        <w:r w:rsidR="00910790">
          <w:rPr>
            <w:webHidden/>
          </w:rPr>
          <w:tab/>
        </w:r>
        <w:r w:rsidR="00910790">
          <w:rPr>
            <w:webHidden/>
          </w:rPr>
          <w:fldChar w:fldCharType="begin"/>
        </w:r>
        <w:r w:rsidR="00910790">
          <w:rPr>
            <w:webHidden/>
          </w:rPr>
          <w:instrText xml:space="preserve"> PAGEREF _Toc494448020 \h </w:instrText>
        </w:r>
        <w:r w:rsidR="00910790">
          <w:rPr>
            <w:webHidden/>
          </w:rPr>
        </w:r>
        <w:r w:rsidR="00910790">
          <w:rPr>
            <w:webHidden/>
          </w:rPr>
          <w:fldChar w:fldCharType="separate"/>
        </w:r>
        <w:r w:rsidR="002C1322">
          <w:rPr>
            <w:webHidden/>
          </w:rPr>
          <w:t>1</w:t>
        </w:r>
        <w:r w:rsidR="00910790">
          <w:rPr>
            <w:webHidden/>
          </w:rPr>
          <w:fldChar w:fldCharType="end"/>
        </w:r>
      </w:hyperlink>
    </w:p>
    <w:p w:rsidR="00910790" w:rsidRDefault="0005220E">
      <w:pPr>
        <w:pStyle w:val="TOC1"/>
        <w:rPr>
          <w:rFonts w:asciiTheme="minorHAnsi" w:eastAsiaTheme="minorEastAsia" w:hAnsiTheme="minorHAnsi" w:cstheme="minorBidi"/>
          <w:bCs w:val="0"/>
          <w:caps w:val="0"/>
          <w:sz w:val="22"/>
          <w:szCs w:val="22"/>
        </w:rPr>
      </w:pPr>
      <w:hyperlink w:anchor="_Toc494448021" w:history="1">
        <w:r w:rsidR="00910790" w:rsidRPr="00F27D88">
          <w:rPr>
            <w:rStyle w:val="Hyperlink"/>
            <w:lang w:eastAsia="ja-JP"/>
          </w:rPr>
          <w:t>Background</w:t>
        </w:r>
        <w:r w:rsidR="00910790">
          <w:rPr>
            <w:webHidden/>
          </w:rPr>
          <w:tab/>
        </w:r>
        <w:r w:rsidR="00910790">
          <w:rPr>
            <w:webHidden/>
          </w:rPr>
          <w:fldChar w:fldCharType="begin"/>
        </w:r>
        <w:r w:rsidR="00910790">
          <w:rPr>
            <w:webHidden/>
          </w:rPr>
          <w:instrText xml:space="preserve"> PAGEREF _Toc494448021 \h </w:instrText>
        </w:r>
        <w:r w:rsidR="00910790">
          <w:rPr>
            <w:webHidden/>
          </w:rPr>
        </w:r>
        <w:r w:rsidR="00910790">
          <w:rPr>
            <w:webHidden/>
          </w:rPr>
          <w:fldChar w:fldCharType="separate"/>
        </w:r>
        <w:r w:rsidR="002C1322">
          <w:rPr>
            <w:webHidden/>
          </w:rPr>
          <w:t>2</w:t>
        </w:r>
        <w:r w:rsidR="00910790">
          <w:rPr>
            <w:webHidden/>
          </w:rPr>
          <w:fldChar w:fldCharType="end"/>
        </w:r>
      </w:hyperlink>
    </w:p>
    <w:p w:rsidR="00910790" w:rsidRDefault="0005220E">
      <w:pPr>
        <w:pStyle w:val="TOC1"/>
        <w:rPr>
          <w:rFonts w:asciiTheme="minorHAnsi" w:eastAsiaTheme="minorEastAsia" w:hAnsiTheme="minorHAnsi" w:cstheme="minorBidi"/>
          <w:bCs w:val="0"/>
          <w:caps w:val="0"/>
          <w:sz w:val="22"/>
          <w:szCs w:val="22"/>
        </w:rPr>
      </w:pPr>
      <w:hyperlink w:anchor="_Toc494448022" w:history="1">
        <w:r w:rsidR="00910790" w:rsidRPr="00F27D88">
          <w:rPr>
            <w:rStyle w:val="Hyperlink"/>
            <w:snapToGrid w:val="0"/>
            <w:lang w:eastAsia="ja-JP"/>
          </w:rPr>
          <w:t>Developments BY the WG-DEN, at its third meeting</w:t>
        </w:r>
        <w:r w:rsidR="00910790">
          <w:rPr>
            <w:webHidden/>
          </w:rPr>
          <w:tab/>
        </w:r>
        <w:r w:rsidR="00910790">
          <w:rPr>
            <w:webHidden/>
          </w:rPr>
          <w:fldChar w:fldCharType="begin"/>
        </w:r>
        <w:r w:rsidR="00910790">
          <w:rPr>
            <w:webHidden/>
          </w:rPr>
          <w:instrText xml:space="preserve"> PAGEREF _Toc494448022 \h </w:instrText>
        </w:r>
        <w:r w:rsidR="00910790">
          <w:rPr>
            <w:webHidden/>
          </w:rPr>
        </w:r>
        <w:r w:rsidR="00910790">
          <w:rPr>
            <w:webHidden/>
          </w:rPr>
          <w:fldChar w:fldCharType="separate"/>
        </w:r>
        <w:r w:rsidR="002C1322">
          <w:rPr>
            <w:webHidden/>
          </w:rPr>
          <w:t>2</w:t>
        </w:r>
        <w:r w:rsidR="00910790">
          <w:rPr>
            <w:webHidden/>
          </w:rPr>
          <w:fldChar w:fldCharType="end"/>
        </w:r>
      </w:hyperlink>
    </w:p>
    <w:p w:rsidR="00910790" w:rsidRDefault="0005220E">
      <w:pPr>
        <w:pStyle w:val="TOC1"/>
        <w:rPr>
          <w:rFonts w:asciiTheme="minorHAnsi" w:eastAsiaTheme="minorEastAsia" w:hAnsiTheme="minorHAnsi" w:cstheme="minorBidi"/>
          <w:bCs w:val="0"/>
          <w:caps w:val="0"/>
          <w:sz w:val="22"/>
          <w:szCs w:val="22"/>
        </w:rPr>
      </w:pPr>
      <w:hyperlink w:anchor="_Toc494448023" w:history="1">
        <w:r w:rsidR="00910790" w:rsidRPr="00F27D88">
          <w:rPr>
            <w:rStyle w:val="Hyperlink"/>
            <w:lang w:eastAsia="ja-JP"/>
          </w:rPr>
          <w:t>MATTERS FOR CONSIDERATION BY THE WG-DEN AT ITS fourth MEETING</w:t>
        </w:r>
        <w:r w:rsidR="00910790">
          <w:rPr>
            <w:webHidden/>
          </w:rPr>
          <w:tab/>
        </w:r>
        <w:r w:rsidR="00910790">
          <w:rPr>
            <w:webHidden/>
          </w:rPr>
          <w:fldChar w:fldCharType="begin"/>
        </w:r>
        <w:r w:rsidR="00910790">
          <w:rPr>
            <w:webHidden/>
          </w:rPr>
          <w:instrText xml:space="preserve"> PAGEREF _Toc494448023 \h </w:instrText>
        </w:r>
        <w:r w:rsidR="00910790">
          <w:rPr>
            <w:webHidden/>
          </w:rPr>
        </w:r>
        <w:r w:rsidR="00910790">
          <w:rPr>
            <w:webHidden/>
          </w:rPr>
          <w:fldChar w:fldCharType="separate"/>
        </w:r>
        <w:r w:rsidR="002C1322">
          <w:rPr>
            <w:webHidden/>
          </w:rPr>
          <w:t>3</w:t>
        </w:r>
        <w:r w:rsidR="00910790">
          <w:rPr>
            <w:webHidden/>
          </w:rPr>
          <w:fldChar w:fldCharType="end"/>
        </w:r>
      </w:hyperlink>
    </w:p>
    <w:p w:rsidR="00D67B1A" w:rsidRPr="00D67B1A" w:rsidRDefault="00D67B1A" w:rsidP="001E696E">
      <w:pPr>
        <w:spacing w:before="120" w:after="60"/>
        <w:ind w:left="1134" w:right="1134" w:hanging="1134"/>
        <w:rPr>
          <w:snapToGrid w:val="0"/>
          <w:sz w:val="18"/>
          <w:szCs w:val="18"/>
        </w:rPr>
      </w:pPr>
      <w:r w:rsidRPr="000C3905">
        <w:rPr>
          <w:noProof/>
          <w:snapToGrid w:val="0"/>
          <w:sz w:val="16"/>
        </w:rPr>
        <w:fldChar w:fldCharType="end"/>
      </w:r>
      <w:r w:rsidRPr="00D67B1A">
        <w:rPr>
          <w:spacing w:val="-2"/>
          <w:sz w:val="18"/>
          <w:szCs w:val="18"/>
        </w:rPr>
        <w:t>ANNEX</w:t>
      </w:r>
      <w:r w:rsidRPr="00D67B1A">
        <w:rPr>
          <w:color w:val="000000"/>
          <w:sz w:val="18"/>
          <w:szCs w:val="18"/>
        </w:rPr>
        <w:t xml:space="preserve"> I</w:t>
      </w:r>
      <w:r w:rsidRPr="00D67B1A">
        <w:rPr>
          <w:color w:val="000000"/>
          <w:sz w:val="18"/>
          <w:szCs w:val="18"/>
        </w:rPr>
        <w:tab/>
      </w:r>
      <w:r w:rsidRPr="00D67B1A">
        <w:rPr>
          <w:sz w:val="18"/>
          <w:lang w:eastAsia="ja-JP"/>
        </w:rPr>
        <w:t>A COMPILATION OF ALL COMMENTS RECEIVED AND DISCUSSED AT WG-DEN MEETINGS AND OTHER RELEVANT MEETINGS, IN RELATION TO THE TEXT OF DOCUMENT UPOV/INF/12/5</w:t>
      </w:r>
      <w:r w:rsidR="0007691B">
        <w:rPr>
          <w:sz w:val="18"/>
          <w:lang w:eastAsia="ja-JP"/>
        </w:rPr>
        <w:t xml:space="preserve"> UP TO MARCH 2017</w:t>
      </w:r>
    </w:p>
    <w:p w:rsidR="001E696E" w:rsidRPr="001E696E" w:rsidRDefault="001E696E" w:rsidP="001E696E">
      <w:pPr>
        <w:tabs>
          <w:tab w:val="left" w:pos="709"/>
          <w:tab w:val="left" w:pos="1418"/>
        </w:tabs>
        <w:autoSpaceDE w:val="0"/>
        <w:autoSpaceDN w:val="0"/>
        <w:adjustRightInd w:val="0"/>
        <w:spacing w:before="120"/>
        <w:ind w:left="1134" w:hanging="1134"/>
        <w:rPr>
          <w:sz w:val="18"/>
          <w:lang w:eastAsia="ja-JP"/>
        </w:rPr>
      </w:pPr>
      <w:r w:rsidRPr="001E696E">
        <w:rPr>
          <w:sz w:val="18"/>
          <w:lang w:eastAsia="ja-JP"/>
        </w:rPr>
        <w:t>ANNEX II</w:t>
      </w:r>
      <w:r w:rsidRPr="001E696E">
        <w:rPr>
          <w:sz w:val="18"/>
          <w:lang w:eastAsia="ja-JP"/>
        </w:rPr>
        <w:tab/>
        <w:t>RESPONSE FROM AUSTRALIA TO UPOV CIRCULAR E</w:t>
      </w:r>
      <w:r w:rsidRPr="001E696E">
        <w:rPr>
          <w:sz w:val="18"/>
          <w:lang w:eastAsia="ja-JP"/>
        </w:rPr>
        <w:noBreakHyphen/>
        <w:t>17/135</w:t>
      </w:r>
    </w:p>
    <w:p w:rsidR="001E696E" w:rsidRPr="001E696E" w:rsidRDefault="001E696E" w:rsidP="001E696E">
      <w:pPr>
        <w:tabs>
          <w:tab w:val="left" w:pos="709"/>
        </w:tabs>
        <w:autoSpaceDE w:val="0"/>
        <w:autoSpaceDN w:val="0"/>
        <w:adjustRightInd w:val="0"/>
        <w:spacing w:before="120"/>
        <w:ind w:left="1134" w:hanging="1134"/>
        <w:rPr>
          <w:sz w:val="18"/>
          <w:lang w:eastAsia="ja-JP"/>
        </w:rPr>
      </w:pPr>
      <w:r w:rsidRPr="001E696E">
        <w:rPr>
          <w:sz w:val="18"/>
          <w:lang w:eastAsia="ja-JP"/>
        </w:rPr>
        <w:t>ANNEX III</w:t>
      </w:r>
      <w:r w:rsidRPr="001E696E">
        <w:rPr>
          <w:sz w:val="18"/>
          <w:lang w:eastAsia="ja-JP"/>
        </w:rPr>
        <w:tab/>
        <w:t>RESPONSE FROM THE EUROPEAN UNION (CPVO) TO UPOV CIRCULAR E</w:t>
      </w:r>
      <w:r w:rsidRPr="001E696E">
        <w:rPr>
          <w:sz w:val="18"/>
          <w:lang w:eastAsia="ja-JP"/>
        </w:rPr>
        <w:noBreakHyphen/>
        <w:t>17/135</w:t>
      </w:r>
    </w:p>
    <w:p w:rsidR="001E696E" w:rsidRPr="001E696E" w:rsidRDefault="001E696E" w:rsidP="001E696E">
      <w:pPr>
        <w:tabs>
          <w:tab w:val="left" w:pos="709"/>
        </w:tabs>
        <w:autoSpaceDE w:val="0"/>
        <w:autoSpaceDN w:val="0"/>
        <w:adjustRightInd w:val="0"/>
        <w:spacing w:before="120"/>
        <w:ind w:left="1134" w:hanging="1134"/>
        <w:rPr>
          <w:sz w:val="18"/>
          <w:lang w:eastAsia="ja-JP"/>
        </w:rPr>
      </w:pPr>
      <w:r w:rsidRPr="001E696E">
        <w:rPr>
          <w:sz w:val="18"/>
          <w:lang w:eastAsia="ja-JP"/>
        </w:rPr>
        <w:t>ANNEX IV</w:t>
      </w:r>
      <w:r w:rsidRPr="001E696E">
        <w:rPr>
          <w:sz w:val="18"/>
          <w:lang w:eastAsia="ja-JP"/>
        </w:rPr>
        <w:tab/>
        <w:t>RESPONSE FROM FRANCE TO UPOV CIRCULAR E</w:t>
      </w:r>
      <w:r w:rsidRPr="001E696E">
        <w:rPr>
          <w:sz w:val="18"/>
          <w:lang w:eastAsia="ja-JP"/>
        </w:rPr>
        <w:noBreakHyphen/>
        <w:t>17/135</w:t>
      </w:r>
    </w:p>
    <w:p w:rsidR="001E696E" w:rsidRPr="001E696E" w:rsidRDefault="001E696E" w:rsidP="001E696E">
      <w:pPr>
        <w:tabs>
          <w:tab w:val="left" w:pos="709"/>
        </w:tabs>
        <w:autoSpaceDE w:val="0"/>
        <w:autoSpaceDN w:val="0"/>
        <w:adjustRightInd w:val="0"/>
        <w:spacing w:before="120"/>
        <w:ind w:left="1134" w:hanging="1134"/>
        <w:rPr>
          <w:sz w:val="18"/>
          <w:lang w:eastAsia="ja-JP"/>
        </w:rPr>
      </w:pPr>
      <w:r w:rsidRPr="001E696E">
        <w:rPr>
          <w:sz w:val="18"/>
          <w:lang w:eastAsia="ja-JP"/>
        </w:rPr>
        <w:t>ANNEX V</w:t>
      </w:r>
      <w:r w:rsidRPr="001E696E">
        <w:rPr>
          <w:sz w:val="18"/>
          <w:lang w:eastAsia="ja-JP"/>
        </w:rPr>
        <w:tab/>
        <w:t>RESPONSE FROM THE NETHERLANDS TO UPOV CIRCULAR E</w:t>
      </w:r>
      <w:r w:rsidRPr="001E696E">
        <w:rPr>
          <w:sz w:val="18"/>
          <w:lang w:eastAsia="ja-JP"/>
        </w:rPr>
        <w:noBreakHyphen/>
        <w:t>17/135</w:t>
      </w:r>
    </w:p>
    <w:p w:rsidR="001E696E" w:rsidRPr="001E696E" w:rsidRDefault="001E696E" w:rsidP="001E696E">
      <w:pPr>
        <w:tabs>
          <w:tab w:val="left" w:pos="709"/>
        </w:tabs>
        <w:autoSpaceDE w:val="0"/>
        <w:autoSpaceDN w:val="0"/>
        <w:adjustRightInd w:val="0"/>
        <w:spacing w:before="120"/>
        <w:ind w:left="1134" w:hanging="1134"/>
        <w:rPr>
          <w:sz w:val="18"/>
          <w:lang w:eastAsia="ja-JP"/>
        </w:rPr>
      </w:pPr>
      <w:r w:rsidRPr="001E696E">
        <w:rPr>
          <w:sz w:val="18"/>
          <w:lang w:eastAsia="ja-JP"/>
        </w:rPr>
        <w:t>ANNEX VI</w:t>
      </w:r>
      <w:r w:rsidRPr="001E696E">
        <w:rPr>
          <w:sz w:val="18"/>
          <w:lang w:eastAsia="ja-JP"/>
        </w:rPr>
        <w:tab/>
        <w:t>RESPONSE FROM NEW ZEALAND TO UPOV CIRCULAR E</w:t>
      </w:r>
      <w:r w:rsidRPr="001E696E">
        <w:rPr>
          <w:sz w:val="18"/>
          <w:lang w:eastAsia="ja-JP"/>
        </w:rPr>
        <w:noBreakHyphen/>
        <w:t>17/135</w:t>
      </w:r>
    </w:p>
    <w:p w:rsidR="001E696E" w:rsidRPr="001E696E" w:rsidRDefault="001E696E" w:rsidP="001E696E">
      <w:pPr>
        <w:tabs>
          <w:tab w:val="left" w:pos="709"/>
          <w:tab w:val="left" w:pos="1560"/>
        </w:tabs>
        <w:autoSpaceDE w:val="0"/>
        <w:autoSpaceDN w:val="0"/>
        <w:adjustRightInd w:val="0"/>
        <w:spacing w:before="120"/>
        <w:ind w:left="1134" w:hanging="1134"/>
        <w:rPr>
          <w:sz w:val="18"/>
          <w:lang w:eastAsia="ja-JP"/>
        </w:rPr>
      </w:pPr>
      <w:r w:rsidRPr="001E696E">
        <w:rPr>
          <w:sz w:val="18"/>
          <w:lang w:eastAsia="ja-JP"/>
        </w:rPr>
        <w:t>ANNEX VII</w:t>
      </w:r>
      <w:r w:rsidRPr="001E696E">
        <w:rPr>
          <w:sz w:val="18"/>
          <w:lang w:eastAsia="ja-JP"/>
        </w:rPr>
        <w:tab/>
        <w:t>RESPONSE FROM SOUTH AFRICA TO UPOV CIRCULAR E</w:t>
      </w:r>
      <w:r w:rsidRPr="001E696E">
        <w:rPr>
          <w:sz w:val="18"/>
          <w:lang w:eastAsia="ja-JP"/>
        </w:rPr>
        <w:noBreakHyphen/>
        <w:t>17/135</w:t>
      </w:r>
    </w:p>
    <w:p w:rsidR="001E696E" w:rsidRPr="001E696E" w:rsidRDefault="001E696E" w:rsidP="001E696E">
      <w:pPr>
        <w:tabs>
          <w:tab w:val="left" w:pos="709"/>
          <w:tab w:val="left" w:pos="1560"/>
        </w:tabs>
        <w:autoSpaceDE w:val="0"/>
        <w:autoSpaceDN w:val="0"/>
        <w:adjustRightInd w:val="0"/>
        <w:spacing w:before="120"/>
        <w:ind w:left="1134" w:hanging="1134"/>
        <w:rPr>
          <w:sz w:val="18"/>
          <w:lang w:eastAsia="ja-JP"/>
        </w:rPr>
      </w:pPr>
      <w:r w:rsidRPr="001E696E">
        <w:rPr>
          <w:sz w:val="18"/>
          <w:lang w:eastAsia="ja-JP"/>
        </w:rPr>
        <w:t>ANNEX VIII</w:t>
      </w:r>
      <w:r w:rsidRPr="001E696E">
        <w:rPr>
          <w:sz w:val="18"/>
          <w:lang w:eastAsia="ja-JP"/>
        </w:rPr>
        <w:tab/>
        <w:t>RESPONSE FROM ESA/ISF TO UPOV CIRCULAR E</w:t>
      </w:r>
      <w:r w:rsidRPr="001E696E">
        <w:rPr>
          <w:sz w:val="18"/>
          <w:lang w:eastAsia="ja-JP"/>
        </w:rPr>
        <w:noBreakHyphen/>
        <w:t>17/136</w:t>
      </w:r>
    </w:p>
    <w:p w:rsidR="00D67B1A" w:rsidRDefault="00D67B1A" w:rsidP="00BA1CCE">
      <w:pPr>
        <w:ind w:left="1560" w:hanging="993"/>
        <w:rPr>
          <w:noProof/>
          <w:snapToGrid w:val="0"/>
          <w:sz w:val="16"/>
        </w:rPr>
      </w:pPr>
    </w:p>
    <w:p w:rsidR="00D67B1A" w:rsidRPr="000C3905" w:rsidRDefault="00D67B1A" w:rsidP="00BA1CCE">
      <w:pPr>
        <w:ind w:left="1560" w:hanging="993"/>
        <w:rPr>
          <w:noProof/>
          <w:snapToGrid w:val="0"/>
          <w:sz w:val="18"/>
          <w:lang w:eastAsia="ja-JP"/>
        </w:rPr>
      </w:pPr>
    </w:p>
    <w:p w:rsidR="00D67B1A" w:rsidRPr="000C3905" w:rsidRDefault="00D67B1A" w:rsidP="00BA1CCE">
      <w:pPr>
        <w:keepNext/>
        <w:jc w:val="left"/>
        <w:rPr>
          <w:rFonts w:cs="Arial"/>
          <w:color w:val="000000"/>
        </w:rPr>
      </w:pPr>
      <w:r w:rsidRPr="000C3905">
        <w:fldChar w:fldCharType="begin"/>
      </w:r>
      <w:r w:rsidRPr="000C3905">
        <w:instrText xml:space="preserve"> AUTONUM  </w:instrText>
      </w:r>
      <w:r w:rsidRPr="000C3905">
        <w:fldChar w:fldCharType="end"/>
      </w:r>
      <w:r w:rsidRPr="000C3905">
        <w:tab/>
      </w:r>
      <w:r w:rsidRPr="000C3905">
        <w:rPr>
          <w:rFonts w:cs="Arial"/>
          <w:color w:val="000000"/>
        </w:rPr>
        <w:t>The following abbreviations are used in this document:</w:t>
      </w:r>
    </w:p>
    <w:p w:rsidR="00D67B1A" w:rsidRPr="000C3905" w:rsidRDefault="00D67B1A" w:rsidP="00BA1CCE">
      <w:pPr>
        <w:keepNext/>
        <w:rPr>
          <w:rFonts w:cs="Arial"/>
          <w:color w:val="000000"/>
        </w:rPr>
      </w:pPr>
    </w:p>
    <w:p w:rsidR="00D67B1A" w:rsidRPr="000C3905" w:rsidRDefault="00D67B1A" w:rsidP="00BA1CCE">
      <w:pPr>
        <w:keepNext/>
        <w:ind w:left="567"/>
        <w:rPr>
          <w:rFonts w:cs="Arial"/>
          <w:snapToGrid w:val="0"/>
        </w:rPr>
      </w:pPr>
      <w:r w:rsidRPr="000C3905">
        <w:rPr>
          <w:rFonts w:cs="Arial"/>
          <w:snapToGrid w:val="0"/>
          <w:color w:val="000000"/>
        </w:rPr>
        <w:t xml:space="preserve">CAJ:  </w:t>
      </w:r>
      <w:r w:rsidRPr="000C3905">
        <w:rPr>
          <w:rFonts w:cs="Arial"/>
          <w:snapToGrid w:val="0"/>
          <w:color w:val="000000"/>
          <w:lang w:eastAsia="ja-JP"/>
        </w:rPr>
        <w:tab/>
      </w:r>
      <w:r w:rsidRPr="000C3905">
        <w:rPr>
          <w:rFonts w:cs="Arial"/>
          <w:snapToGrid w:val="0"/>
          <w:color w:val="000000"/>
          <w:lang w:eastAsia="ja-JP"/>
        </w:rPr>
        <w:tab/>
      </w:r>
      <w:r w:rsidRPr="000C3905">
        <w:rPr>
          <w:rFonts w:cs="Arial"/>
          <w:snapToGrid w:val="0"/>
          <w:color w:val="000000"/>
        </w:rPr>
        <w:t xml:space="preserve">Administrative and Legal Committee </w:t>
      </w:r>
    </w:p>
    <w:p w:rsidR="00D67B1A" w:rsidRPr="000C3905" w:rsidRDefault="00D67B1A" w:rsidP="00BA1CCE">
      <w:pPr>
        <w:keepNext/>
        <w:ind w:left="567"/>
        <w:rPr>
          <w:rFonts w:cs="Arial"/>
          <w:snapToGrid w:val="0"/>
        </w:rPr>
      </w:pPr>
      <w:r w:rsidRPr="000C3905">
        <w:rPr>
          <w:rFonts w:cs="Arial"/>
          <w:snapToGrid w:val="0"/>
        </w:rPr>
        <w:t xml:space="preserve">CAJ-AG:  </w:t>
      </w:r>
      <w:r w:rsidRPr="000C3905">
        <w:rPr>
          <w:rFonts w:cs="Arial"/>
          <w:snapToGrid w:val="0"/>
          <w:lang w:eastAsia="ja-JP"/>
        </w:rPr>
        <w:tab/>
      </w:r>
      <w:r w:rsidRPr="000C3905">
        <w:rPr>
          <w:rFonts w:cs="Arial"/>
          <w:snapToGrid w:val="0"/>
        </w:rPr>
        <w:t xml:space="preserve">Administrative and Legal Committee Advisory Group </w:t>
      </w:r>
    </w:p>
    <w:p w:rsidR="00D67B1A" w:rsidRPr="000C3905" w:rsidRDefault="00D67B1A" w:rsidP="00BA1CCE">
      <w:pPr>
        <w:ind w:left="567"/>
        <w:rPr>
          <w:snapToGrid w:val="0"/>
          <w:lang w:eastAsia="ja-JP"/>
        </w:rPr>
      </w:pPr>
      <w:r w:rsidRPr="000C3905">
        <w:rPr>
          <w:snapToGrid w:val="0"/>
          <w:lang w:eastAsia="ja-JP"/>
        </w:rPr>
        <w:t>WG-DST:</w:t>
      </w:r>
      <w:r w:rsidRPr="000C3905">
        <w:rPr>
          <w:snapToGrid w:val="0"/>
          <w:lang w:eastAsia="ja-JP"/>
        </w:rPr>
        <w:tab/>
      </w:r>
      <w:r w:rsidRPr="000C3905">
        <w:rPr>
          <w:rFonts w:cs="Arial"/>
        </w:rPr>
        <w:t>Working Group for the Development of a UPOV Denomination Similarity Search Tool</w:t>
      </w:r>
    </w:p>
    <w:p w:rsidR="00D67B1A" w:rsidRPr="000C3905" w:rsidRDefault="00D67B1A" w:rsidP="00D67B1A">
      <w:pPr>
        <w:spacing w:after="720"/>
        <w:ind w:left="567"/>
        <w:rPr>
          <w:snapToGrid w:val="0"/>
          <w:lang w:eastAsia="ja-JP"/>
        </w:rPr>
      </w:pPr>
      <w:r w:rsidRPr="000C3905">
        <w:rPr>
          <w:snapToGrid w:val="0"/>
          <w:lang w:eastAsia="ja-JP"/>
        </w:rPr>
        <w:t>WG-DEN:</w:t>
      </w:r>
      <w:r w:rsidRPr="000C3905">
        <w:rPr>
          <w:snapToGrid w:val="0"/>
          <w:lang w:eastAsia="ja-JP"/>
        </w:rPr>
        <w:tab/>
        <w:t>Working Group on Variety Denominations</w:t>
      </w:r>
    </w:p>
    <w:p w:rsidR="00D67B1A" w:rsidRPr="000C3905" w:rsidRDefault="00D67B1A" w:rsidP="00BA1CCE">
      <w:pPr>
        <w:pStyle w:val="Heading1"/>
        <w:rPr>
          <w:lang w:eastAsia="ja-JP"/>
        </w:rPr>
      </w:pPr>
      <w:bookmarkStart w:id="3" w:name="_Toc494448021"/>
      <w:r w:rsidRPr="000C3905">
        <w:rPr>
          <w:lang w:eastAsia="ja-JP"/>
        </w:rPr>
        <w:lastRenderedPageBreak/>
        <w:t>Background</w:t>
      </w:r>
      <w:bookmarkEnd w:id="3"/>
    </w:p>
    <w:p w:rsidR="00D67B1A" w:rsidRPr="000C3905" w:rsidRDefault="00D67B1A" w:rsidP="00BA1CCE">
      <w:pPr>
        <w:keepNext/>
        <w:rPr>
          <w:lang w:eastAsia="ja-JP"/>
        </w:rPr>
      </w:pPr>
    </w:p>
    <w:p w:rsidR="00D67B1A" w:rsidRPr="000C3905" w:rsidRDefault="00D67B1A" w:rsidP="00BA1CCE">
      <w:pPr>
        <w:rPr>
          <w:rFonts w:cs="Arial"/>
          <w:snapToGrid w:val="0"/>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The background to this matter is provided in document UPOV/WG-DEN/</w:t>
      </w:r>
      <w:r>
        <w:rPr>
          <w:rFonts w:cs="Arial"/>
          <w:snapToGrid w:val="0"/>
          <w:lang w:eastAsia="ja-JP"/>
        </w:rPr>
        <w:t>3</w:t>
      </w:r>
      <w:r w:rsidRPr="000C3905">
        <w:rPr>
          <w:rFonts w:cs="Arial"/>
          <w:snapToGrid w:val="0"/>
          <w:lang w:eastAsia="ja-JP"/>
        </w:rPr>
        <w:t>/2 “Revision of document UPOV/INF/12/5 ‘Explanatory Notes on Variety Denominations under the UPOV Convention’”.</w:t>
      </w:r>
    </w:p>
    <w:p w:rsidR="00D67B1A" w:rsidRPr="000C3905" w:rsidRDefault="00D67B1A" w:rsidP="00BA1CCE">
      <w:pPr>
        <w:jc w:val="left"/>
        <w:rPr>
          <w:rFonts w:cs="Arial"/>
          <w:snapToGrid w:val="0"/>
          <w:lang w:eastAsia="ja-JP"/>
        </w:rPr>
      </w:pPr>
    </w:p>
    <w:p w:rsidR="00D67B1A" w:rsidRDefault="00D67B1A" w:rsidP="00BA1CCE">
      <w:pPr>
        <w:jc w:val="left"/>
        <w:rPr>
          <w:caps/>
          <w:snapToGrid w:val="0"/>
          <w:lang w:eastAsia="ja-JP"/>
        </w:rPr>
      </w:pPr>
    </w:p>
    <w:p w:rsidR="00D67B1A" w:rsidRPr="000C3905" w:rsidRDefault="00D67B1A" w:rsidP="00BA1CCE">
      <w:pPr>
        <w:jc w:val="left"/>
        <w:rPr>
          <w:caps/>
          <w:snapToGrid w:val="0"/>
          <w:lang w:eastAsia="ja-JP"/>
        </w:rPr>
      </w:pPr>
    </w:p>
    <w:p w:rsidR="00D67B1A" w:rsidRPr="000C3905" w:rsidRDefault="00D67B1A" w:rsidP="00BA1CCE">
      <w:pPr>
        <w:pStyle w:val="Heading1"/>
        <w:rPr>
          <w:lang w:eastAsia="ja-JP"/>
        </w:rPr>
      </w:pPr>
      <w:bookmarkStart w:id="4" w:name="_Toc494448022"/>
      <w:r w:rsidRPr="000C3905">
        <w:rPr>
          <w:snapToGrid w:val="0"/>
          <w:lang w:eastAsia="ja-JP"/>
        </w:rPr>
        <w:t xml:space="preserve">Developments </w:t>
      </w:r>
      <w:r>
        <w:rPr>
          <w:snapToGrid w:val="0"/>
          <w:lang w:eastAsia="ja-JP"/>
        </w:rPr>
        <w:t xml:space="preserve">BY </w:t>
      </w:r>
      <w:r w:rsidRPr="000C3905">
        <w:rPr>
          <w:snapToGrid w:val="0"/>
          <w:lang w:eastAsia="ja-JP"/>
        </w:rPr>
        <w:t xml:space="preserve">the WG-DEN, at its </w:t>
      </w:r>
      <w:r>
        <w:rPr>
          <w:snapToGrid w:val="0"/>
          <w:lang w:eastAsia="ja-JP"/>
        </w:rPr>
        <w:t>third</w:t>
      </w:r>
      <w:r w:rsidRPr="000C3905">
        <w:rPr>
          <w:snapToGrid w:val="0"/>
          <w:lang w:eastAsia="ja-JP"/>
        </w:rPr>
        <w:t xml:space="preserve"> meeting</w:t>
      </w:r>
      <w:bookmarkEnd w:id="4"/>
    </w:p>
    <w:p w:rsidR="00D67B1A" w:rsidRPr="000C3905" w:rsidRDefault="00D67B1A" w:rsidP="00BA1CCE">
      <w:pPr>
        <w:keepNext/>
        <w:rPr>
          <w:lang w:eastAsia="ja-JP"/>
        </w:rPr>
      </w:pPr>
    </w:p>
    <w:p w:rsidR="00D67B1A" w:rsidRPr="000C3905" w:rsidRDefault="00D67B1A" w:rsidP="00BA1CCE">
      <w:pPr>
        <w:rPr>
          <w:rFonts w:cs="Arial"/>
          <w:snapToGrid w:val="0"/>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 xml:space="preserve">The WG-DEN, at its </w:t>
      </w:r>
      <w:r>
        <w:rPr>
          <w:rFonts w:cs="Arial"/>
          <w:snapToGrid w:val="0"/>
          <w:lang w:eastAsia="ja-JP"/>
        </w:rPr>
        <w:t>third</w:t>
      </w:r>
      <w:r w:rsidRPr="000C3905">
        <w:rPr>
          <w:rFonts w:cs="Arial"/>
          <w:snapToGrid w:val="0"/>
          <w:lang w:eastAsia="ja-JP"/>
        </w:rPr>
        <w:t xml:space="preserve"> meeting, held in Geneva, on </w:t>
      </w:r>
      <w:r>
        <w:rPr>
          <w:rFonts w:cs="Arial"/>
          <w:snapToGrid w:val="0"/>
          <w:lang w:eastAsia="ja-JP"/>
        </w:rPr>
        <w:t>March</w:t>
      </w:r>
      <w:r w:rsidRPr="000C3905">
        <w:rPr>
          <w:rFonts w:cs="Arial"/>
          <w:snapToGrid w:val="0"/>
          <w:lang w:eastAsia="ja-JP"/>
        </w:rPr>
        <w:t xml:space="preserve"> 2</w:t>
      </w:r>
      <w:r>
        <w:rPr>
          <w:rFonts w:cs="Arial"/>
          <w:snapToGrid w:val="0"/>
          <w:lang w:eastAsia="ja-JP"/>
        </w:rPr>
        <w:t>1</w:t>
      </w:r>
      <w:r w:rsidRPr="000C3905">
        <w:rPr>
          <w:rFonts w:cs="Arial"/>
          <w:snapToGrid w:val="0"/>
          <w:lang w:eastAsia="ja-JP"/>
        </w:rPr>
        <w:t>, 201</w:t>
      </w:r>
      <w:r>
        <w:rPr>
          <w:rFonts w:cs="Arial"/>
          <w:snapToGrid w:val="0"/>
          <w:lang w:eastAsia="ja-JP"/>
        </w:rPr>
        <w:t>7</w:t>
      </w:r>
      <w:r w:rsidRPr="000C3905">
        <w:rPr>
          <w:rFonts w:cs="Arial"/>
          <w:snapToGrid w:val="0"/>
          <w:lang w:eastAsia="ja-JP"/>
        </w:rPr>
        <w:t xml:space="preserve">, considered document UPOV/INF/12/6 Draft </w:t>
      </w:r>
      <w:r>
        <w:rPr>
          <w:rFonts w:cs="Arial"/>
          <w:snapToGrid w:val="0"/>
          <w:lang w:eastAsia="ja-JP"/>
        </w:rPr>
        <w:t>3</w:t>
      </w:r>
      <w:r w:rsidRPr="000C3905">
        <w:rPr>
          <w:rFonts w:cs="Arial"/>
          <w:snapToGrid w:val="0"/>
          <w:lang w:eastAsia="ja-JP"/>
        </w:rPr>
        <w:t xml:space="preserve"> and agreed the following with regard to a possible revision of document UPOV/INF/12/5:</w:t>
      </w:r>
    </w:p>
    <w:p w:rsidR="00D67B1A" w:rsidRPr="00667054" w:rsidRDefault="00D67B1A" w:rsidP="00BA1CCE">
      <w:pPr>
        <w:keepNext/>
        <w:ind w:firstLine="540"/>
        <w:rPr>
          <w:rFonts w:cs="Arial"/>
          <w:snapToGrid w:val="0"/>
          <w:highlight w:val="yellow"/>
          <w:lang w:eastAsia="ja-JP"/>
        </w:rPr>
      </w:pPr>
    </w:p>
    <w:p w:rsidR="00D67B1A" w:rsidRPr="00667054" w:rsidRDefault="00D67B1A" w:rsidP="00BA1CCE">
      <w:pPr>
        <w:keepNext/>
        <w:ind w:firstLine="540"/>
        <w:rPr>
          <w:szCs w:val="24"/>
          <w:highlight w:val="yellow"/>
          <w:lang w:eastAsia="ja-JP"/>
        </w:rPr>
      </w:pPr>
      <w:r w:rsidRPr="008E2F13">
        <w:rPr>
          <w:rFonts w:cs="Arial"/>
          <w:snapToGrid w:val="0"/>
          <w:lang w:eastAsia="ja-JP"/>
        </w:rPr>
        <w:t>(</w:t>
      </w:r>
      <w:r>
        <w:rPr>
          <w:rFonts w:cs="Arial"/>
          <w:snapToGrid w:val="0"/>
          <w:lang w:eastAsia="ja-JP"/>
        </w:rPr>
        <w:t>a</w:t>
      </w:r>
      <w:r w:rsidRPr="008E2F13">
        <w:rPr>
          <w:rFonts w:cs="Arial"/>
          <w:snapToGrid w:val="0"/>
          <w:lang w:eastAsia="ja-JP"/>
        </w:rPr>
        <w:t>)</w:t>
      </w:r>
      <w:r w:rsidRPr="008E2F13">
        <w:rPr>
          <w:rFonts w:cs="Arial"/>
          <w:snapToGrid w:val="0"/>
          <w:lang w:eastAsia="ja-JP"/>
        </w:rPr>
        <w:tab/>
        <w:t xml:space="preserve">Section 2.3, </w:t>
      </w:r>
      <w:r w:rsidRPr="00A02CB3">
        <w:t>conceptual criteria in the UPOV guidance might not be suitable due to the difficulties for the harmonized implementation of the conceptual aspect at the international level</w:t>
      </w:r>
      <w:r w:rsidRPr="008E2F13">
        <w:rPr>
          <w:szCs w:val="24"/>
          <w:lang w:eastAsia="ja-JP"/>
        </w:rPr>
        <w:t>;</w:t>
      </w:r>
      <w:r>
        <w:rPr>
          <w:szCs w:val="24"/>
          <w:lang w:eastAsia="ja-JP"/>
        </w:rPr>
        <w:t xml:space="preserve"> and</w:t>
      </w:r>
    </w:p>
    <w:p w:rsidR="00D67B1A" w:rsidRPr="000C3905" w:rsidRDefault="00D67B1A" w:rsidP="00BA1CCE">
      <w:pPr>
        <w:rPr>
          <w:snapToGrid w:val="0"/>
          <w:lang w:eastAsia="ja-JP"/>
        </w:rPr>
      </w:pPr>
    </w:p>
    <w:p w:rsidR="00D67B1A" w:rsidRPr="00667054" w:rsidRDefault="00D67B1A" w:rsidP="00BA1CCE">
      <w:pPr>
        <w:pStyle w:val="ListParagraph"/>
        <w:autoSpaceDE w:val="0"/>
        <w:autoSpaceDN w:val="0"/>
        <w:adjustRightInd w:val="0"/>
        <w:ind w:left="0" w:firstLine="567"/>
        <w:contextualSpacing w:val="0"/>
        <w:rPr>
          <w:highlight w:val="yellow"/>
          <w:lang w:eastAsia="ja-JP"/>
        </w:rPr>
      </w:pPr>
      <w:r w:rsidRPr="00AB2B07">
        <w:rPr>
          <w:rFonts w:cs="Arial"/>
          <w:snapToGrid w:val="0"/>
          <w:lang w:eastAsia="ja-JP"/>
        </w:rPr>
        <w:t>(</w:t>
      </w:r>
      <w:r>
        <w:rPr>
          <w:rFonts w:cs="Arial"/>
          <w:snapToGrid w:val="0"/>
          <w:lang w:eastAsia="ja-JP"/>
        </w:rPr>
        <w:t>b</w:t>
      </w:r>
      <w:r w:rsidRPr="00AB2B07">
        <w:rPr>
          <w:rFonts w:cs="Arial"/>
          <w:snapToGrid w:val="0"/>
          <w:lang w:eastAsia="ja-JP"/>
        </w:rPr>
        <w:t>)</w:t>
      </w:r>
      <w:r w:rsidRPr="00AB2B07">
        <w:rPr>
          <w:rFonts w:cs="Arial"/>
          <w:snapToGrid w:val="0"/>
          <w:lang w:eastAsia="ja-JP"/>
        </w:rPr>
        <w:tab/>
        <w:t xml:space="preserve">Section 2.4, </w:t>
      </w:r>
      <w:r w:rsidRPr="00A02CB3">
        <w:t>the term “variety” related to the definition of variety as defined in Article 1(vi) of the 1991 Act of the UPOV Convention and, in particular the term “variety” was wider than protectable variety</w:t>
      </w:r>
      <w:r>
        <w:rPr>
          <w:szCs w:val="24"/>
          <w:lang w:eastAsia="ja-JP"/>
        </w:rPr>
        <w:t xml:space="preserve">. </w:t>
      </w:r>
    </w:p>
    <w:p w:rsidR="00D67B1A" w:rsidRPr="000C3905" w:rsidRDefault="00D67B1A" w:rsidP="00D67B1A">
      <w:pPr>
        <w:rPr>
          <w:snapToGrid w:val="0"/>
          <w:lang w:eastAsia="ja-JP"/>
        </w:rPr>
      </w:pPr>
    </w:p>
    <w:p w:rsidR="00D67B1A" w:rsidRPr="000C3905" w:rsidRDefault="00D67B1A" w:rsidP="00BA1CCE">
      <w:pPr>
        <w:keepNext/>
        <w:rPr>
          <w:rFonts w:cs="Arial"/>
          <w:snapToGrid w:val="0"/>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 xml:space="preserve">The WG-DEN agreed to consider the following items at its </w:t>
      </w:r>
      <w:r>
        <w:rPr>
          <w:rFonts w:cs="Arial"/>
          <w:snapToGrid w:val="0"/>
          <w:lang w:eastAsia="ja-JP"/>
        </w:rPr>
        <w:t>fourth</w:t>
      </w:r>
      <w:r w:rsidRPr="000C3905">
        <w:rPr>
          <w:rFonts w:cs="Arial"/>
          <w:snapToGrid w:val="0"/>
          <w:lang w:eastAsia="ja-JP"/>
        </w:rPr>
        <w:t xml:space="preserve"> meeting:</w:t>
      </w:r>
    </w:p>
    <w:p w:rsidR="00D67B1A" w:rsidRPr="000C3905" w:rsidRDefault="00D67B1A" w:rsidP="00BA1CCE">
      <w:pPr>
        <w:keepNext/>
        <w:rPr>
          <w:rFonts w:cs="Arial"/>
          <w:snapToGrid w:val="0"/>
          <w:lang w:eastAsia="ja-JP"/>
        </w:rPr>
      </w:pPr>
    </w:p>
    <w:p w:rsidR="00D67B1A" w:rsidRDefault="00D67B1A" w:rsidP="00BA1CCE">
      <w:pPr>
        <w:keepNext/>
        <w:ind w:firstLine="540"/>
      </w:pPr>
      <w:r w:rsidRPr="00B52F23">
        <w:rPr>
          <w:rFonts w:cs="Arial"/>
          <w:snapToGrid w:val="0"/>
          <w:lang w:eastAsia="ja-JP"/>
        </w:rPr>
        <w:t>(a)</w:t>
      </w:r>
      <w:r w:rsidRPr="00B52F23">
        <w:rPr>
          <w:rFonts w:cs="Arial"/>
          <w:snapToGrid w:val="0"/>
          <w:lang w:eastAsia="ja-JP"/>
        </w:rPr>
        <w:tab/>
      </w:r>
      <w:r w:rsidRPr="00B52F23">
        <w:t xml:space="preserve">The WG-DEN agreed to </w:t>
      </w:r>
      <w:r>
        <w:t xml:space="preserve">issue a circular in order to </w:t>
      </w:r>
      <w:r w:rsidRPr="00B52F23">
        <w:t>explore the frequency that UPOV members were faced with existing denominations that did not meet their own criteria and the frequency that synonyms were created as a result.  In addition, the WG-DEN agreed to issue a circular to users on whether the current practices created problems</w:t>
      </w:r>
      <w:r>
        <w:t>;</w:t>
      </w:r>
    </w:p>
    <w:p w:rsidR="00D67B1A" w:rsidRPr="00B52F23" w:rsidRDefault="00D67B1A" w:rsidP="00BA1CCE">
      <w:pPr>
        <w:keepNext/>
        <w:ind w:firstLine="540"/>
        <w:rPr>
          <w:rFonts w:cs="Arial"/>
          <w:snapToGrid w:val="0"/>
          <w:lang w:eastAsia="ja-JP"/>
        </w:rPr>
      </w:pPr>
    </w:p>
    <w:p w:rsidR="00D67B1A" w:rsidRPr="00667054" w:rsidRDefault="00D67B1A" w:rsidP="00BA1CCE">
      <w:pPr>
        <w:pStyle w:val="ListParagraph"/>
        <w:autoSpaceDE w:val="0"/>
        <w:autoSpaceDN w:val="0"/>
        <w:adjustRightInd w:val="0"/>
        <w:ind w:left="0" w:firstLine="567"/>
        <w:contextualSpacing w:val="0"/>
        <w:rPr>
          <w:highlight w:val="yellow"/>
          <w:lang w:eastAsia="ja-JP"/>
        </w:rPr>
      </w:pPr>
      <w:r w:rsidRPr="001910B9">
        <w:rPr>
          <w:lang w:eastAsia="ja-JP"/>
        </w:rPr>
        <w:t>(</w:t>
      </w:r>
      <w:r>
        <w:rPr>
          <w:lang w:eastAsia="ja-JP"/>
        </w:rPr>
        <w:t>b</w:t>
      </w:r>
      <w:r w:rsidRPr="001910B9">
        <w:rPr>
          <w:lang w:eastAsia="ja-JP"/>
        </w:rPr>
        <w:t>)</w:t>
      </w:r>
      <w:r w:rsidRPr="001910B9">
        <w:rPr>
          <w:lang w:eastAsia="ja-JP"/>
        </w:rPr>
        <w:tab/>
        <w:t>Section 2.3.3 (c)</w:t>
      </w:r>
      <w:r>
        <w:rPr>
          <w:lang w:eastAsia="ja-JP"/>
        </w:rPr>
        <w:t>,</w:t>
      </w:r>
      <w:r w:rsidRPr="001910B9">
        <w:rPr>
          <w:lang w:eastAsia="ja-JP"/>
        </w:rPr>
        <w:t xml:space="preserve"> </w:t>
      </w:r>
      <w:r>
        <w:rPr>
          <w:lang w:eastAsia="ja-JP"/>
        </w:rPr>
        <w:t xml:space="preserve">the </w:t>
      </w:r>
      <w:r w:rsidRPr="003947ED">
        <w:t xml:space="preserve">WG-DEN </w:t>
      </w:r>
      <w:r>
        <w:t>concluded</w:t>
      </w:r>
      <w:r w:rsidRPr="003947ED">
        <w:t xml:space="preserve"> that</w:t>
      </w:r>
      <w:r>
        <w:t>, at that time,</w:t>
      </w:r>
      <w:r w:rsidRPr="003947ED">
        <w:t xml:space="preserve"> there was no </w:t>
      </w:r>
      <w:r>
        <w:t>agreement</w:t>
      </w:r>
      <w:r w:rsidRPr="003947ED">
        <w:t xml:space="preserve"> to change the c</w:t>
      </w:r>
      <w:r>
        <w:t>urrent wording of Section 2.3.3</w:t>
      </w:r>
      <w:r w:rsidRPr="003947ED">
        <w:t xml:space="preserve">(c), but before </w:t>
      </w:r>
      <w:r>
        <w:t xml:space="preserve">finally </w:t>
      </w:r>
      <w:r w:rsidRPr="003947ED">
        <w:t>concluding on that matter the WG-DEN requested members of the</w:t>
      </w:r>
      <w:r>
        <w:t xml:space="preserve"> </w:t>
      </w:r>
      <w:r w:rsidRPr="003947ED">
        <w:t>WG-DEN to provide examples/guidance in the implementation of the following element of Section 2.3.3</w:t>
      </w:r>
      <w:r>
        <w:t>(c) “</w:t>
      </w:r>
      <w:r w:rsidRPr="0008321E">
        <w:t xml:space="preserve">In some limited cases an exception may be acceptable, for example a variety which was never commercialized, </w:t>
      </w:r>
      <w:r w:rsidRPr="00A02CB3">
        <w:t>or was only commercialized in a limited way for a very short time”</w:t>
      </w:r>
      <w:r>
        <w:t xml:space="preserve"> and the WG-DEN agreed to send a circular for that purpose</w:t>
      </w:r>
      <w:r w:rsidRPr="001910B9">
        <w:rPr>
          <w:lang w:eastAsia="ja-JP"/>
        </w:rPr>
        <w:t>;</w:t>
      </w:r>
    </w:p>
    <w:p w:rsidR="00D67B1A" w:rsidRPr="00667054" w:rsidRDefault="00D67B1A" w:rsidP="00BA1CCE">
      <w:pPr>
        <w:pStyle w:val="ListParagraph"/>
        <w:autoSpaceDE w:val="0"/>
        <w:autoSpaceDN w:val="0"/>
        <w:adjustRightInd w:val="0"/>
        <w:ind w:left="0" w:firstLine="567"/>
        <w:contextualSpacing w:val="0"/>
        <w:rPr>
          <w:highlight w:val="yellow"/>
          <w:lang w:eastAsia="ja-JP"/>
        </w:rPr>
      </w:pPr>
    </w:p>
    <w:p w:rsidR="00D67B1A" w:rsidRPr="00667054" w:rsidRDefault="00D67B1A" w:rsidP="00BA1CCE">
      <w:pPr>
        <w:pStyle w:val="ListParagraph"/>
        <w:autoSpaceDE w:val="0"/>
        <w:autoSpaceDN w:val="0"/>
        <w:adjustRightInd w:val="0"/>
        <w:ind w:left="0" w:firstLine="567"/>
        <w:contextualSpacing w:val="0"/>
        <w:rPr>
          <w:szCs w:val="24"/>
          <w:highlight w:val="yellow"/>
          <w:lang w:eastAsia="ja-JP"/>
        </w:rPr>
      </w:pPr>
      <w:r w:rsidRPr="001910B9">
        <w:rPr>
          <w:lang w:eastAsia="ja-JP"/>
        </w:rPr>
        <w:t>(</w:t>
      </w:r>
      <w:r>
        <w:rPr>
          <w:lang w:eastAsia="ja-JP"/>
        </w:rPr>
        <w:t>c</w:t>
      </w:r>
      <w:r w:rsidRPr="001910B9">
        <w:rPr>
          <w:lang w:eastAsia="ja-JP"/>
        </w:rPr>
        <w:t>)</w:t>
      </w:r>
      <w:r w:rsidRPr="001910B9">
        <w:rPr>
          <w:lang w:eastAsia="ja-JP"/>
        </w:rPr>
        <w:tab/>
        <w:t xml:space="preserve">Section 2.3.4 “Identity of the breeder”, </w:t>
      </w:r>
      <w:r>
        <w:rPr>
          <w:lang w:eastAsia="ja-JP"/>
        </w:rPr>
        <w:t>t</w:t>
      </w:r>
      <w:r w:rsidRPr="00A02CB3">
        <w:rPr>
          <w:lang w:eastAsia="ja-JP"/>
        </w:rPr>
        <w:t xml:space="preserve">he </w:t>
      </w:r>
      <w:r w:rsidRPr="00A02CB3">
        <w:t>WG-DEN agreed to reflect further on whether PVP Offices should seek to have a role in recognizing breeders practices in naming varieties (e.g. prefixes, themes) or whether that should be left to other mechanisms (e.g. trademarks)</w:t>
      </w:r>
      <w:r>
        <w:t xml:space="preserve">. It was also agreed that the Office of the Union should send a circular inviting </w:t>
      </w:r>
      <w:r w:rsidRPr="00A02CB3">
        <w:t>comments on that matter</w:t>
      </w:r>
      <w:r w:rsidRPr="001910B9">
        <w:rPr>
          <w:lang w:eastAsia="ja-JP"/>
        </w:rPr>
        <w:t>;</w:t>
      </w:r>
    </w:p>
    <w:p w:rsidR="00D67B1A" w:rsidRPr="00667054" w:rsidRDefault="00D67B1A" w:rsidP="00BA1CCE">
      <w:pPr>
        <w:pStyle w:val="ListParagraph"/>
        <w:autoSpaceDE w:val="0"/>
        <w:autoSpaceDN w:val="0"/>
        <w:adjustRightInd w:val="0"/>
        <w:ind w:left="0" w:firstLine="567"/>
        <w:contextualSpacing w:val="0"/>
        <w:rPr>
          <w:szCs w:val="24"/>
          <w:highlight w:val="yellow"/>
          <w:lang w:eastAsia="ja-JP"/>
        </w:rPr>
      </w:pPr>
    </w:p>
    <w:p w:rsidR="00D67B1A" w:rsidRPr="00667054" w:rsidRDefault="00D67B1A" w:rsidP="00BA1CCE">
      <w:pPr>
        <w:rPr>
          <w:highlight w:val="yellow"/>
        </w:rPr>
      </w:pPr>
      <w:r w:rsidRPr="00821A8E">
        <w:rPr>
          <w:lang w:eastAsia="ja-JP"/>
        </w:rPr>
        <w:tab/>
        <w:t>(</w:t>
      </w:r>
      <w:r>
        <w:rPr>
          <w:lang w:eastAsia="ja-JP"/>
        </w:rPr>
        <w:t>d</w:t>
      </w:r>
      <w:r w:rsidRPr="00821A8E">
        <w:rPr>
          <w:lang w:eastAsia="ja-JP"/>
        </w:rPr>
        <w:t>)</w:t>
      </w:r>
      <w:r w:rsidRPr="00821A8E">
        <w:rPr>
          <w:lang w:eastAsia="ja-JP"/>
        </w:rPr>
        <w:tab/>
      </w:r>
      <w:r w:rsidRPr="00821A8E">
        <w:t>Section 2.5 “Variety denomination classes: a variety denomination should not be used more than once in the same class”</w:t>
      </w:r>
      <w:r w:rsidRPr="00821A8E">
        <w:rPr>
          <w:lang w:eastAsia="ja-JP"/>
        </w:rPr>
        <w:t>, the WG-DEN noted that</w:t>
      </w:r>
      <w:r w:rsidRPr="00A02CB3">
        <w:t>, for some UPOV members, the acceptability of similar denominations varied according to class.  For example, in the case of a class following the general rule (one genus/one class) a similar denomination might be accepted for a different species within the same genus.  The WG-DEN agreed that UPOV members should be invited to provide information on such approaches</w:t>
      </w:r>
      <w:r>
        <w:t xml:space="preserve"> by means of the circular to be issued</w:t>
      </w:r>
      <w:r w:rsidRPr="00821A8E">
        <w:rPr>
          <w:lang w:eastAsia="ja-JP"/>
        </w:rPr>
        <w:t>;</w:t>
      </w:r>
      <w:r>
        <w:rPr>
          <w:lang w:eastAsia="ja-JP"/>
        </w:rPr>
        <w:t xml:space="preserve"> and</w:t>
      </w:r>
    </w:p>
    <w:p w:rsidR="00D67B1A" w:rsidRPr="00667054" w:rsidRDefault="00D67B1A" w:rsidP="00BA1CCE">
      <w:pPr>
        <w:pStyle w:val="Heading3"/>
        <w:rPr>
          <w:highlight w:val="yellow"/>
        </w:rPr>
      </w:pPr>
    </w:p>
    <w:p w:rsidR="00D67B1A" w:rsidRPr="00667054" w:rsidRDefault="00D67B1A" w:rsidP="00BA1CCE">
      <w:pPr>
        <w:pStyle w:val="NoSpacing"/>
        <w:ind w:firstLine="562"/>
        <w:rPr>
          <w:highlight w:val="yellow"/>
          <w:lang w:eastAsia="ja-JP"/>
        </w:rPr>
      </w:pPr>
      <w:r w:rsidRPr="00821A8E">
        <w:t>(</w:t>
      </w:r>
      <w:r>
        <w:t>e</w:t>
      </w:r>
      <w:r w:rsidRPr="00821A8E">
        <w:t>)</w:t>
      </w:r>
      <w:r w:rsidRPr="00821A8E">
        <w:tab/>
        <w:t>Paragraph 4 [Prior rights of third persons]</w:t>
      </w:r>
      <w:r w:rsidRPr="00821A8E">
        <w:rPr>
          <w:lang w:eastAsia="ja-JP"/>
        </w:rPr>
        <w:t xml:space="preserve">, </w:t>
      </w:r>
      <w:r>
        <w:rPr>
          <w:lang w:eastAsia="ja-JP"/>
        </w:rPr>
        <w:t>t</w:t>
      </w:r>
      <w:r w:rsidRPr="00A02CB3">
        <w:rPr>
          <w:szCs w:val="24"/>
          <w:lang w:eastAsia="ja-JP"/>
        </w:rPr>
        <w:t xml:space="preserve">he WG-DEN agreed to propose additional text to explain that, 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 </w:t>
      </w:r>
      <w:r>
        <w:rPr>
          <w:szCs w:val="24"/>
          <w:lang w:eastAsia="ja-JP"/>
        </w:rPr>
        <w:t xml:space="preserve"> This matter will be considered under Section 1.2</w:t>
      </w:r>
      <w:r>
        <w:rPr>
          <w:lang w:eastAsia="ja-JP"/>
        </w:rPr>
        <w:t>.</w:t>
      </w:r>
    </w:p>
    <w:p w:rsidR="00D67B1A" w:rsidRDefault="00D67B1A" w:rsidP="00BA1CCE">
      <w:pPr>
        <w:pStyle w:val="ListParagraph"/>
        <w:autoSpaceDE w:val="0"/>
        <w:autoSpaceDN w:val="0"/>
        <w:adjustRightInd w:val="0"/>
        <w:ind w:left="0"/>
        <w:contextualSpacing w:val="0"/>
        <w:rPr>
          <w:lang w:eastAsia="ja-JP"/>
        </w:rPr>
      </w:pPr>
    </w:p>
    <w:p w:rsidR="00D67B1A" w:rsidRPr="000C3905" w:rsidRDefault="00D67B1A" w:rsidP="00BA1CCE">
      <w:pPr>
        <w:pStyle w:val="ListParagraph"/>
        <w:autoSpaceDE w:val="0"/>
        <w:autoSpaceDN w:val="0"/>
        <w:adjustRightInd w:val="0"/>
        <w:ind w:left="0"/>
        <w:contextualSpacing w:val="0"/>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UPOV Circular E</w:t>
      </w:r>
      <w:r>
        <w:rPr>
          <w:lang w:eastAsia="ja-JP"/>
        </w:rPr>
        <w:noBreakHyphen/>
        <w:t>17/135 and UPOV Circular E</w:t>
      </w:r>
      <w:r>
        <w:rPr>
          <w:lang w:eastAsia="ja-JP"/>
        </w:rPr>
        <w:noBreakHyphen/>
        <w:t>17/136</w:t>
      </w:r>
      <w:r w:rsidR="0007691B">
        <w:rPr>
          <w:lang w:eastAsia="ja-JP"/>
        </w:rPr>
        <w:t xml:space="preserve">, both </w:t>
      </w:r>
      <w:r>
        <w:rPr>
          <w:lang w:eastAsia="ja-JP"/>
        </w:rPr>
        <w:t>of July 26, 2017, were issued to members and observers of the WG-DEN</w:t>
      </w:r>
      <w:r w:rsidR="0007691B">
        <w:rPr>
          <w:lang w:eastAsia="ja-JP"/>
        </w:rPr>
        <w:t>,</w:t>
      </w:r>
      <w:r>
        <w:rPr>
          <w:lang w:eastAsia="ja-JP"/>
        </w:rPr>
        <w:t xml:space="preserve"> respectively</w:t>
      </w:r>
      <w:r w:rsidR="0007691B">
        <w:rPr>
          <w:lang w:eastAsia="ja-JP"/>
        </w:rPr>
        <w:t>, on the above basis</w:t>
      </w:r>
      <w:r>
        <w:rPr>
          <w:lang w:eastAsia="ja-JP"/>
        </w:rPr>
        <w:t>.</w:t>
      </w:r>
    </w:p>
    <w:p w:rsidR="00D67B1A" w:rsidRDefault="00D67B1A" w:rsidP="00BA1CCE">
      <w:pPr>
        <w:pStyle w:val="ListParagraph"/>
        <w:autoSpaceDE w:val="0"/>
        <w:autoSpaceDN w:val="0"/>
        <w:adjustRightInd w:val="0"/>
        <w:ind w:left="0"/>
        <w:contextualSpacing w:val="0"/>
        <w:rPr>
          <w:lang w:eastAsia="ja-JP"/>
        </w:rPr>
      </w:pPr>
    </w:p>
    <w:p w:rsidR="00DF496A" w:rsidRDefault="00DF496A" w:rsidP="00BA1CCE">
      <w:pPr>
        <w:pStyle w:val="ListParagraph"/>
        <w:autoSpaceDE w:val="0"/>
        <w:autoSpaceDN w:val="0"/>
        <w:adjustRightInd w:val="0"/>
        <w:ind w:left="0"/>
        <w:contextualSpacing w:val="0"/>
        <w:rPr>
          <w:lang w:eastAsia="ja-JP"/>
        </w:rPr>
      </w:pPr>
    </w:p>
    <w:p w:rsidR="00D67B1A" w:rsidRPr="000C3905" w:rsidRDefault="00D67B1A" w:rsidP="00BA1CCE">
      <w:pPr>
        <w:pStyle w:val="ListParagraph"/>
        <w:autoSpaceDE w:val="0"/>
        <w:autoSpaceDN w:val="0"/>
        <w:adjustRightInd w:val="0"/>
        <w:ind w:left="0"/>
        <w:contextualSpacing w:val="0"/>
        <w:rPr>
          <w:lang w:eastAsia="ja-JP"/>
        </w:rPr>
      </w:pPr>
    </w:p>
    <w:p w:rsidR="00D67B1A" w:rsidRPr="000C3905" w:rsidRDefault="00D67B1A" w:rsidP="00BA1CCE">
      <w:pPr>
        <w:pStyle w:val="Heading1"/>
        <w:rPr>
          <w:lang w:eastAsia="ja-JP"/>
        </w:rPr>
      </w:pPr>
      <w:bookmarkStart w:id="5" w:name="_Toc494448023"/>
      <w:r w:rsidRPr="000C3905">
        <w:rPr>
          <w:lang w:eastAsia="ja-JP"/>
        </w:rPr>
        <w:lastRenderedPageBreak/>
        <w:t xml:space="preserve">MATTERS FOR CONSIDERATION BY THE WG-DEN AT ITS </w:t>
      </w:r>
      <w:r>
        <w:rPr>
          <w:lang w:eastAsia="ja-JP"/>
        </w:rPr>
        <w:t>fourth</w:t>
      </w:r>
      <w:r w:rsidRPr="000C3905">
        <w:rPr>
          <w:lang w:eastAsia="ja-JP"/>
        </w:rPr>
        <w:t xml:space="preserve"> MEETING</w:t>
      </w:r>
      <w:bookmarkEnd w:id="5"/>
    </w:p>
    <w:p w:rsidR="00D67B1A" w:rsidRPr="000C3905" w:rsidRDefault="00D67B1A" w:rsidP="00DF496A">
      <w:pPr>
        <w:pStyle w:val="ListParagraph"/>
        <w:keepNext/>
        <w:autoSpaceDE w:val="0"/>
        <w:autoSpaceDN w:val="0"/>
        <w:adjustRightInd w:val="0"/>
        <w:ind w:left="0"/>
        <w:contextualSpacing w:val="0"/>
        <w:rPr>
          <w:lang w:eastAsia="ja-JP"/>
        </w:rPr>
      </w:pPr>
    </w:p>
    <w:p w:rsidR="00D67B1A" w:rsidRPr="000C3905" w:rsidRDefault="00D67B1A" w:rsidP="00DF496A">
      <w:pPr>
        <w:pStyle w:val="ListParagraph"/>
        <w:keepNext/>
        <w:autoSpaceDE w:val="0"/>
        <w:autoSpaceDN w:val="0"/>
        <w:adjustRightInd w:val="0"/>
        <w:ind w:left="0"/>
        <w:contextualSpacing w:val="0"/>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Document </w:t>
      </w:r>
      <w:r w:rsidRPr="000C3905">
        <w:rPr>
          <w:lang w:eastAsia="ja-JP"/>
        </w:rPr>
        <w:t>UPOV/INF/12/</w:t>
      </w:r>
      <w:r>
        <w:rPr>
          <w:lang w:eastAsia="ja-JP"/>
        </w:rPr>
        <w:t xml:space="preserve">6 Draft 4 </w:t>
      </w:r>
      <w:r w:rsidRPr="000C3905">
        <w:rPr>
          <w:lang w:eastAsia="ja-JP"/>
        </w:rPr>
        <w:t xml:space="preserve">incorporates </w:t>
      </w:r>
      <w:r>
        <w:rPr>
          <w:lang w:eastAsia="ja-JP"/>
        </w:rPr>
        <w:t xml:space="preserve">the proposals that have been agreed by the </w:t>
      </w:r>
      <w:r w:rsidRPr="000C3905">
        <w:rPr>
          <w:lang w:eastAsia="ja-JP"/>
        </w:rPr>
        <w:t>WG-DEN</w:t>
      </w:r>
      <w:r>
        <w:rPr>
          <w:lang w:eastAsia="ja-JP"/>
        </w:rPr>
        <w:t xml:space="preserve"> or have been agreed to be considered further</w:t>
      </w:r>
      <w:r w:rsidRPr="000C3905">
        <w:rPr>
          <w:lang w:eastAsia="ja-JP"/>
        </w:rPr>
        <w:t>.</w:t>
      </w:r>
    </w:p>
    <w:p w:rsidR="00D67B1A" w:rsidRDefault="00D67B1A" w:rsidP="00DF496A">
      <w:pPr>
        <w:pStyle w:val="ListParagraph"/>
        <w:keepNext/>
        <w:autoSpaceDE w:val="0"/>
        <w:autoSpaceDN w:val="0"/>
        <w:adjustRightInd w:val="0"/>
        <w:ind w:left="0"/>
        <w:contextualSpacing w:val="0"/>
        <w:rPr>
          <w:lang w:eastAsia="ja-JP"/>
        </w:rPr>
      </w:pPr>
    </w:p>
    <w:p w:rsidR="00D67B1A" w:rsidRDefault="00D67B1A" w:rsidP="00DF496A">
      <w:pPr>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 xml:space="preserve">Annex I to this document provides a compilation of all </w:t>
      </w:r>
      <w:r w:rsidRPr="000C3905">
        <w:rPr>
          <w:lang w:eastAsia="ja-JP"/>
        </w:rPr>
        <w:t xml:space="preserve">comments </w:t>
      </w:r>
      <w:r>
        <w:rPr>
          <w:lang w:eastAsia="ja-JP"/>
        </w:rPr>
        <w:t xml:space="preserve">that have been received and discussed at </w:t>
      </w:r>
      <w:r w:rsidRPr="000C3905">
        <w:rPr>
          <w:lang w:eastAsia="ja-JP"/>
        </w:rPr>
        <w:t>WG-DEN meeting</w:t>
      </w:r>
      <w:r>
        <w:rPr>
          <w:lang w:eastAsia="ja-JP"/>
        </w:rPr>
        <w:t xml:space="preserve">s and other relevant meetings, in relation to the text of document </w:t>
      </w:r>
      <w:r w:rsidRPr="000C3905">
        <w:rPr>
          <w:lang w:eastAsia="ja-JP"/>
        </w:rPr>
        <w:t>UPOV/INF/12/</w:t>
      </w:r>
      <w:r>
        <w:rPr>
          <w:lang w:eastAsia="ja-JP"/>
        </w:rPr>
        <w:t>5, as background information</w:t>
      </w:r>
      <w:r w:rsidR="0007691B">
        <w:rPr>
          <w:lang w:eastAsia="ja-JP"/>
        </w:rPr>
        <w:t xml:space="preserve"> up to March 2017 (third meeting of the WG-DEN)</w:t>
      </w:r>
      <w:r>
        <w:rPr>
          <w:lang w:eastAsia="ja-JP"/>
        </w:rPr>
        <w:t>.</w:t>
      </w:r>
    </w:p>
    <w:p w:rsidR="00B844B0" w:rsidRPr="000C3905" w:rsidRDefault="00B844B0" w:rsidP="00DF496A">
      <w:pPr>
        <w:rPr>
          <w:lang w:eastAsia="ja-JP"/>
        </w:rPr>
      </w:pPr>
    </w:p>
    <w:p w:rsidR="00D67B1A" w:rsidRDefault="00D67B1A" w:rsidP="00BA1CCE">
      <w:pPr>
        <w:pStyle w:val="ListParagraph"/>
        <w:autoSpaceDE w:val="0"/>
        <w:autoSpaceDN w:val="0"/>
        <w:adjustRightInd w:val="0"/>
        <w:ind w:left="0"/>
        <w:contextualSpacing w:val="0"/>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Contributions from members and observers of the WG-DEN in response to UPOV Circular E</w:t>
      </w:r>
      <w:r>
        <w:rPr>
          <w:lang w:eastAsia="ja-JP"/>
        </w:rPr>
        <w:noBreakHyphen/>
        <w:t>17/135 and UPOV Circular E</w:t>
      </w:r>
      <w:r>
        <w:rPr>
          <w:lang w:eastAsia="ja-JP"/>
        </w:rPr>
        <w:noBreakHyphen/>
        <w:t xml:space="preserve">17/136 are reproduced in </w:t>
      </w:r>
      <w:r w:rsidR="00B844B0">
        <w:rPr>
          <w:lang w:eastAsia="ja-JP"/>
        </w:rPr>
        <w:t>the A</w:t>
      </w:r>
      <w:r>
        <w:rPr>
          <w:lang w:eastAsia="ja-JP"/>
        </w:rPr>
        <w:t>nnexes to this document as follows:</w:t>
      </w:r>
    </w:p>
    <w:p w:rsidR="00D67B1A" w:rsidRDefault="00D67B1A" w:rsidP="00BA1CCE">
      <w:pPr>
        <w:pStyle w:val="ListParagraph"/>
        <w:autoSpaceDE w:val="0"/>
        <w:autoSpaceDN w:val="0"/>
        <w:adjustRightInd w:val="0"/>
        <w:ind w:left="0"/>
        <w:contextualSpacing w:val="0"/>
        <w:rPr>
          <w:lang w:eastAsia="ja-JP"/>
        </w:rPr>
      </w:pPr>
    </w:p>
    <w:p w:rsidR="00D67B1A" w:rsidRPr="000D7A7F" w:rsidRDefault="00D67B1A" w:rsidP="00BB7312">
      <w:pPr>
        <w:pStyle w:val="ListParagraph"/>
        <w:numPr>
          <w:ilvl w:val="0"/>
          <w:numId w:val="1"/>
        </w:numPr>
        <w:tabs>
          <w:tab w:val="left" w:pos="709"/>
          <w:tab w:val="left" w:pos="1418"/>
        </w:tabs>
        <w:autoSpaceDE w:val="0"/>
        <w:autoSpaceDN w:val="0"/>
        <w:adjustRightInd w:val="0"/>
        <w:ind w:left="1862" w:hanging="1371"/>
        <w:contextualSpacing w:val="0"/>
        <w:rPr>
          <w:lang w:eastAsia="ja-JP"/>
        </w:rPr>
      </w:pPr>
      <w:r w:rsidRPr="000D7A7F">
        <w:rPr>
          <w:lang w:eastAsia="ja-JP"/>
        </w:rPr>
        <w:t>Annex II</w:t>
      </w:r>
      <w:r>
        <w:rPr>
          <w:lang w:eastAsia="ja-JP"/>
        </w:rPr>
        <w:tab/>
      </w:r>
      <w:r w:rsidR="005F1D3D">
        <w:rPr>
          <w:lang w:eastAsia="ja-JP"/>
        </w:rPr>
        <w:t xml:space="preserve">Response </w:t>
      </w:r>
      <w:r>
        <w:rPr>
          <w:lang w:eastAsia="ja-JP"/>
        </w:rPr>
        <w:t xml:space="preserve">from Australia to </w:t>
      </w:r>
      <w:r w:rsidR="001E696E">
        <w:rPr>
          <w:lang w:eastAsia="ja-JP"/>
        </w:rPr>
        <w:t>UPOV circular</w:t>
      </w:r>
      <w:r w:rsidR="005F1D3D">
        <w:rPr>
          <w:lang w:eastAsia="ja-JP"/>
        </w:rPr>
        <w:t xml:space="preserve"> </w:t>
      </w:r>
      <w:r>
        <w:rPr>
          <w:lang w:eastAsia="ja-JP"/>
        </w:rPr>
        <w:t>E</w:t>
      </w:r>
      <w:r>
        <w:rPr>
          <w:lang w:eastAsia="ja-JP"/>
        </w:rPr>
        <w:noBreakHyphen/>
        <w:t>17/135</w:t>
      </w:r>
    </w:p>
    <w:p w:rsidR="00D67B1A" w:rsidRPr="00BA4A51" w:rsidRDefault="00D67B1A" w:rsidP="00BB7312">
      <w:pPr>
        <w:pStyle w:val="ListParagraph"/>
        <w:numPr>
          <w:ilvl w:val="0"/>
          <w:numId w:val="1"/>
        </w:numPr>
        <w:tabs>
          <w:tab w:val="left" w:pos="709"/>
        </w:tabs>
        <w:autoSpaceDE w:val="0"/>
        <w:autoSpaceDN w:val="0"/>
        <w:adjustRightInd w:val="0"/>
        <w:ind w:left="1862" w:hanging="1371"/>
        <w:contextualSpacing w:val="0"/>
        <w:rPr>
          <w:lang w:eastAsia="ja-JP"/>
        </w:rPr>
      </w:pPr>
      <w:r w:rsidRPr="00BA4A51">
        <w:rPr>
          <w:lang w:eastAsia="ja-JP"/>
        </w:rPr>
        <w:t>Annex III</w:t>
      </w:r>
      <w:r>
        <w:rPr>
          <w:lang w:eastAsia="ja-JP"/>
        </w:rPr>
        <w:tab/>
      </w:r>
      <w:r w:rsidR="005F1D3D">
        <w:rPr>
          <w:lang w:eastAsia="ja-JP"/>
        </w:rPr>
        <w:t>Response</w:t>
      </w:r>
      <w:r>
        <w:rPr>
          <w:lang w:eastAsia="ja-JP"/>
        </w:rPr>
        <w:t xml:space="preserve"> from the European Union (CPVO) to </w:t>
      </w:r>
      <w:r w:rsidR="001E696E">
        <w:rPr>
          <w:lang w:eastAsia="ja-JP"/>
        </w:rPr>
        <w:t>UPOV circular</w:t>
      </w:r>
      <w:r>
        <w:rPr>
          <w:lang w:eastAsia="ja-JP"/>
        </w:rPr>
        <w:t xml:space="preserve"> E</w:t>
      </w:r>
      <w:r>
        <w:rPr>
          <w:lang w:eastAsia="ja-JP"/>
        </w:rPr>
        <w:noBreakHyphen/>
        <w:t>17/135</w:t>
      </w:r>
    </w:p>
    <w:p w:rsidR="00D67B1A" w:rsidRPr="00BA4A51" w:rsidRDefault="00D67B1A" w:rsidP="00BB7312">
      <w:pPr>
        <w:pStyle w:val="ListParagraph"/>
        <w:numPr>
          <w:ilvl w:val="0"/>
          <w:numId w:val="1"/>
        </w:numPr>
        <w:tabs>
          <w:tab w:val="left" w:pos="709"/>
        </w:tabs>
        <w:autoSpaceDE w:val="0"/>
        <w:autoSpaceDN w:val="0"/>
        <w:adjustRightInd w:val="0"/>
        <w:ind w:left="1862" w:hanging="1371"/>
        <w:contextualSpacing w:val="0"/>
        <w:rPr>
          <w:lang w:eastAsia="ja-JP"/>
        </w:rPr>
      </w:pPr>
      <w:r w:rsidRPr="00BA4A51">
        <w:rPr>
          <w:lang w:eastAsia="ja-JP"/>
        </w:rPr>
        <w:t>Annex IV</w:t>
      </w:r>
      <w:r w:rsidRPr="00BA4A51">
        <w:rPr>
          <w:lang w:eastAsia="ja-JP"/>
        </w:rPr>
        <w:tab/>
      </w:r>
      <w:r w:rsidR="005F1D3D">
        <w:rPr>
          <w:lang w:eastAsia="ja-JP"/>
        </w:rPr>
        <w:t>Response</w:t>
      </w:r>
      <w:r>
        <w:rPr>
          <w:lang w:eastAsia="ja-JP"/>
        </w:rPr>
        <w:t xml:space="preserve"> from France to </w:t>
      </w:r>
      <w:r w:rsidR="001E696E">
        <w:rPr>
          <w:lang w:eastAsia="ja-JP"/>
        </w:rPr>
        <w:t>UPOV circular</w:t>
      </w:r>
      <w:r>
        <w:rPr>
          <w:lang w:eastAsia="ja-JP"/>
        </w:rPr>
        <w:t xml:space="preserve"> E</w:t>
      </w:r>
      <w:r>
        <w:rPr>
          <w:lang w:eastAsia="ja-JP"/>
        </w:rPr>
        <w:noBreakHyphen/>
        <w:t>17/135</w:t>
      </w:r>
    </w:p>
    <w:p w:rsidR="00D67B1A" w:rsidRPr="00BA4A51" w:rsidRDefault="00D67B1A" w:rsidP="00BB7312">
      <w:pPr>
        <w:pStyle w:val="ListParagraph"/>
        <w:numPr>
          <w:ilvl w:val="0"/>
          <w:numId w:val="1"/>
        </w:numPr>
        <w:tabs>
          <w:tab w:val="left" w:pos="709"/>
        </w:tabs>
        <w:autoSpaceDE w:val="0"/>
        <w:autoSpaceDN w:val="0"/>
        <w:adjustRightInd w:val="0"/>
        <w:ind w:left="1862" w:hanging="1371"/>
        <w:contextualSpacing w:val="0"/>
        <w:rPr>
          <w:lang w:eastAsia="ja-JP"/>
        </w:rPr>
      </w:pPr>
      <w:r w:rsidRPr="00BA4A51">
        <w:rPr>
          <w:lang w:eastAsia="ja-JP"/>
        </w:rPr>
        <w:t>Annex V</w:t>
      </w:r>
      <w:r w:rsidRPr="00BA4A51">
        <w:rPr>
          <w:lang w:eastAsia="ja-JP"/>
        </w:rPr>
        <w:tab/>
      </w:r>
      <w:r w:rsidR="005F1D3D">
        <w:rPr>
          <w:lang w:eastAsia="ja-JP"/>
        </w:rPr>
        <w:t>Response</w:t>
      </w:r>
      <w:r>
        <w:rPr>
          <w:lang w:eastAsia="ja-JP"/>
        </w:rPr>
        <w:t xml:space="preserve"> from the Netherlands to </w:t>
      </w:r>
      <w:r w:rsidR="001E696E">
        <w:rPr>
          <w:lang w:eastAsia="ja-JP"/>
        </w:rPr>
        <w:t>UPOV circular</w:t>
      </w:r>
      <w:r>
        <w:rPr>
          <w:lang w:eastAsia="ja-JP"/>
        </w:rPr>
        <w:t xml:space="preserve"> E</w:t>
      </w:r>
      <w:r>
        <w:rPr>
          <w:lang w:eastAsia="ja-JP"/>
        </w:rPr>
        <w:noBreakHyphen/>
        <w:t>17/135</w:t>
      </w:r>
    </w:p>
    <w:p w:rsidR="00D67B1A" w:rsidRPr="00BA4A51" w:rsidRDefault="00D67B1A" w:rsidP="00BB7312">
      <w:pPr>
        <w:pStyle w:val="ListParagraph"/>
        <w:numPr>
          <w:ilvl w:val="0"/>
          <w:numId w:val="1"/>
        </w:numPr>
        <w:tabs>
          <w:tab w:val="left" w:pos="709"/>
        </w:tabs>
        <w:autoSpaceDE w:val="0"/>
        <w:autoSpaceDN w:val="0"/>
        <w:adjustRightInd w:val="0"/>
        <w:ind w:left="1862" w:hanging="1371"/>
        <w:contextualSpacing w:val="0"/>
        <w:rPr>
          <w:lang w:eastAsia="ja-JP"/>
        </w:rPr>
      </w:pPr>
      <w:r w:rsidRPr="00BA4A51">
        <w:rPr>
          <w:lang w:eastAsia="ja-JP"/>
        </w:rPr>
        <w:t>Annex VI</w:t>
      </w:r>
      <w:r w:rsidRPr="00BA4A51">
        <w:rPr>
          <w:lang w:eastAsia="ja-JP"/>
        </w:rPr>
        <w:tab/>
      </w:r>
      <w:r w:rsidR="005F1D3D">
        <w:rPr>
          <w:lang w:eastAsia="ja-JP"/>
        </w:rPr>
        <w:t>Response</w:t>
      </w:r>
      <w:r>
        <w:rPr>
          <w:lang w:eastAsia="ja-JP"/>
        </w:rPr>
        <w:t xml:space="preserve"> from New Zealand to </w:t>
      </w:r>
      <w:r w:rsidR="001E696E">
        <w:rPr>
          <w:lang w:eastAsia="ja-JP"/>
        </w:rPr>
        <w:t>UPOV circular</w:t>
      </w:r>
      <w:r>
        <w:rPr>
          <w:lang w:eastAsia="ja-JP"/>
        </w:rPr>
        <w:t xml:space="preserve"> E</w:t>
      </w:r>
      <w:r>
        <w:rPr>
          <w:lang w:eastAsia="ja-JP"/>
        </w:rPr>
        <w:noBreakHyphen/>
        <w:t>17/135</w:t>
      </w:r>
    </w:p>
    <w:p w:rsidR="00D67B1A" w:rsidRPr="00BA4A51" w:rsidRDefault="00D67B1A" w:rsidP="00BB7312">
      <w:pPr>
        <w:pStyle w:val="ListParagraph"/>
        <w:numPr>
          <w:ilvl w:val="0"/>
          <w:numId w:val="1"/>
        </w:numPr>
        <w:tabs>
          <w:tab w:val="left" w:pos="709"/>
          <w:tab w:val="left" w:pos="1560"/>
        </w:tabs>
        <w:autoSpaceDE w:val="0"/>
        <w:autoSpaceDN w:val="0"/>
        <w:adjustRightInd w:val="0"/>
        <w:ind w:left="1862" w:hanging="1371"/>
        <w:contextualSpacing w:val="0"/>
        <w:rPr>
          <w:lang w:eastAsia="ja-JP"/>
        </w:rPr>
      </w:pPr>
      <w:r w:rsidRPr="00BA4A51">
        <w:rPr>
          <w:lang w:eastAsia="ja-JP"/>
        </w:rPr>
        <w:t>Annex VII</w:t>
      </w:r>
      <w:r w:rsidRPr="00BA4A51">
        <w:rPr>
          <w:lang w:eastAsia="ja-JP"/>
        </w:rPr>
        <w:tab/>
      </w:r>
      <w:r w:rsidR="005F1D3D">
        <w:rPr>
          <w:lang w:eastAsia="ja-JP"/>
        </w:rPr>
        <w:t>Response</w:t>
      </w:r>
      <w:r>
        <w:rPr>
          <w:lang w:eastAsia="ja-JP"/>
        </w:rPr>
        <w:t xml:space="preserve"> from South Africa to </w:t>
      </w:r>
      <w:r w:rsidR="001E696E">
        <w:rPr>
          <w:lang w:eastAsia="ja-JP"/>
        </w:rPr>
        <w:t>UPOV circular</w:t>
      </w:r>
      <w:r>
        <w:rPr>
          <w:lang w:eastAsia="ja-JP"/>
        </w:rPr>
        <w:t xml:space="preserve"> E</w:t>
      </w:r>
      <w:r>
        <w:rPr>
          <w:lang w:eastAsia="ja-JP"/>
        </w:rPr>
        <w:noBreakHyphen/>
        <w:t>17/135</w:t>
      </w:r>
    </w:p>
    <w:p w:rsidR="00D67B1A" w:rsidRPr="00BA4A51" w:rsidRDefault="00D67B1A" w:rsidP="00BB7312">
      <w:pPr>
        <w:pStyle w:val="ListParagraph"/>
        <w:numPr>
          <w:ilvl w:val="0"/>
          <w:numId w:val="1"/>
        </w:numPr>
        <w:tabs>
          <w:tab w:val="left" w:pos="709"/>
          <w:tab w:val="left" w:pos="1560"/>
        </w:tabs>
        <w:autoSpaceDE w:val="0"/>
        <w:autoSpaceDN w:val="0"/>
        <w:adjustRightInd w:val="0"/>
        <w:ind w:left="1862" w:hanging="1371"/>
        <w:contextualSpacing w:val="0"/>
        <w:rPr>
          <w:lang w:eastAsia="ja-JP"/>
        </w:rPr>
      </w:pPr>
      <w:r w:rsidRPr="00BA4A51">
        <w:rPr>
          <w:lang w:eastAsia="ja-JP"/>
        </w:rPr>
        <w:t>Annex VIII</w:t>
      </w:r>
      <w:r w:rsidRPr="00BA4A51">
        <w:rPr>
          <w:lang w:eastAsia="ja-JP"/>
        </w:rPr>
        <w:tab/>
      </w:r>
      <w:r w:rsidR="005F1D3D">
        <w:rPr>
          <w:lang w:eastAsia="ja-JP"/>
        </w:rPr>
        <w:t>Response</w:t>
      </w:r>
      <w:r>
        <w:rPr>
          <w:lang w:eastAsia="ja-JP"/>
        </w:rPr>
        <w:t xml:space="preserve"> from ESA/ISF to </w:t>
      </w:r>
      <w:r w:rsidR="001E696E">
        <w:rPr>
          <w:lang w:eastAsia="ja-JP"/>
        </w:rPr>
        <w:t>UPOV circular</w:t>
      </w:r>
      <w:r>
        <w:rPr>
          <w:lang w:eastAsia="ja-JP"/>
        </w:rPr>
        <w:t xml:space="preserve"> E</w:t>
      </w:r>
      <w:r>
        <w:rPr>
          <w:lang w:eastAsia="ja-JP"/>
        </w:rPr>
        <w:noBreakHyphen/>
        <w:t>17/136</w:t>
      </w:r>
      <w:r w:rsidR="001E696E">
        <w:rPr>
          <w:lang w:eastAsia="ja-JP"/>
        </w:rPr>
        <w:t>.</w:t>
      </w:r>
    </w:p>
    <w:p w:rsidR="00D67B1A" w:rsidRPr="000D7A7F" w:rsidRDefault="00D67B1A" w:rsidP="00BA1CCE">
      <w:pPr>
        <w:pStyle w:val="ListParagraph"/>
        <w:autoSpaceDE w:val="0"/>
        <w:autoSpaceDN w:val="0"/>
        <w:adjustRightInd w:val="0"/>
        <w:ind w:left="0"/>
        <w:contextualSpacing w:val="0"/>
        <w:rPr>
          <w:lang w:eastAsia="ja-JP"/>
        </w:rPr>
      </w:pPr>
    </w:p>
    <w:p w:rsidR="00D67B1A" w:rsidRPr="000C3905" w:rsidRDefault="00D67B1A" w:rsidP="00BA1CCE">
      <w:pPr>
        <w:pStyle w:val="ListParagraph"/>
        <w:autoSpaceDE w:val="0"/>
        <w:autoSpaceDN w:val="0"/>
        <w:adjustRightInd w:val="0"/>
        <w:ind w:left="0"/>
        <w:contextualSpacing w:val="0"/>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Pr>
          <w:lang w:eastAsia="ja-JP"/>
        </w:rPr>
        <w:t>With regard to Section 2.3.4 “Identity of the breeder”</w:t>
      </w:r>
      <w:r w:rsidR="005F1D3D">
        <w:rPr>
          <w:lang w:eastAsia="ja-JP"/>
        </w:rPr>
        <w:t>,</w:t>
      </w:r>
      <w:r>
        <w:rPr>
          <w:lang w:eastAsia="ja-JP"/>
        </w:rPr>
        <w:t xml:space="preserve"> as recalled in paragraph 7, t</w:t>
      </w:r>
      <w:r w:rsidRPr="00A02CB3">
        <w:rPr>
          <w:lang w:eastAsia="ja-JP"/>
        </w:rPr>
        <w:t xml:space="preserve">he </w:t>
      </w:r>
      <w:r w:rsidRPr="00A02CB3">
        <w:t>WG-DEN</w:t>
      </w:r>
      <w:r>
        <w:t>, at its third meeting,</w:t>
      </w:r>
      <w:r w:rsidRPr="00A02CB3">
        <w:t xml:space="preserve"> agreed to reflect further on whether PVP Offices should seek to have a role in recognizing breeders practices in naming varieties (e.g. prefixes, themes) or whether that should be left to other mechanisms (e.g. trademarks). </w:t>
      </w:r>
      <w:r>
        <w:t xml:space="preserve">In order to assist the WG-DEN in its consideration of this matter, trademark experts from </w:t>
      </w:r>
      <w:r w:rsidRPr="009A1428">
        <w:rPr>
          <w:lang w:eastAsia="ja-JP"/>
        </w:rPr>
        <w:t xml:space="preserve">WIPO </w:t>
      </w:r>
      <w:r>
        <w:rPr>
          <w:lang w:eastAsia="ja-JP"/>
        </w:rPr>
        <w:t xml:space="preserve">have been invited to make a presentation </w:t>
      </w:r>
      <w:r w:rsidRPr="009A1428">
        <w:rPr>
          <w:lang w:eastAsia="ja-JP"/>
        </w:rPr>
        <w:t xml:space="preserve">on </w:t>
      </w:r>
      <w:r>
        <w:rPr>
          <w:lang w:eastAsia="ja-JP"/>
        </w:rPr>
        <w:t xml:space="preserve">the protection offered by </w:t>
      </w:r>
      <w:r w:rsidRPr="009A1428">
        <w:rPr>
          <w:lang w:eastAsia="ja-JP"/>
        </w:rPr>
        <w:t>trademark</w:t>
      </w:r>
      <w:r>
        <w:rPr>
          <w:lang w:eastAsia="ja-JP"/>
        </w:rPr>
        <w:t>s at the fourth meeting of the WG-DEN</w:t>
      </w:r>
      <w:r w:rsidRPr="009A1428">
        <w:rPr>
          <w:lang w:eastAsia="ja-JP"/>
        </w:rPr>
        <w:t>.</w:t>
      </w:r>
    </w:p>
    <w:p w:rsidR="00D67B1A" w:rsidRDefault="00D67B1A" w:rsidP="00BA1CCE">
      <w:pPr>
        <w:pStyle w:val="ListParagraph"/>
        <w:autoSpaceDE w:val="0"/>
        <w:autoSpaceDN w:val="0"/>
        <w:adjustRightInd w:val="0"/>
        <w:ind w:left="0"/>
        <w:contextualSpacing w:val="0"/>
        <w:rPr>
          <w:lang w:eastAsia="ja-JP"/>
        </w:rPr>
      </w:pPr>
    </w:p>
    <w:p w:rsidR="00D67B1A" w:rsidRDefault="00D67B1A" w:rsidP="00BA1CCE">
      <w:pPr>
        <w:pStyle w:val="ListParagraph"/>
        <w:autoSpaceDE w:val="0"/>
        <w:autoSpaceDN w:val="0"/>
        <w:adjustRightInd w:val="0"/>
        <w:ind w:left="0"/>
        <w:contextualSpacing w:val="0"/>
        <w:rPr>
          <w:lang w:eastAsia="ja-JP"/>
        </w:rPr>
      </w:pPr>
      <w:r w:rsidRPr="000C3905">
        <w:rPr>
          <w:lang w:eastAsia="ja-JP"/>
        </w:rPr>
        <w:fldChar w:fldCharType="begin"/>
      </w:r>
      <w:r w:rsidRPr="000C3905">
        <w:rPr>
          <w:lang w:eastAsia="ja-JP"/>
        </w:rPr>
        <w:instrText xml:space="preserve"> AUTONUM  </w:instrText>
      </w:r>
      <w:r w:rsidRPr="000C3905">
        <w:rPr>
          <w:lang w:eastAsia="ja-JP"/>
        </w:rPr>
        <w:fldChar w:fldCharType="end"/>
      </w:r>
      <w:r w:rsidRPr="000C3905">
        <w:rPr>
          <w:lang w:eastAsia="ja-JP"/>
        </w:rPr>
        <w:tab/>
      </w:r>
      <w:r w:rsidR="00B844B0">
        <w:rPr>
          <w:lang w:eastAsia="ja-JP"/>
        </w:rPr>
        <w:t>The WG-DEN</w:t>
      </w:r>
      <w:r w:rsidR="00B844B0" w:rsidRPr="00B844B0">
        <w:rPr>
          <w:lang w:eastAsia="ja-JP"/>
        </w:rPr>
        <w:t xml:space="preserve"> agreed </w:t>
      </w:r>
      <w:r w:rsidR="00B844B0">
        <w:rPr>
          <w:lang w:eastAsia="ja-JP"/>
        </w:rPr>
        <w:t xml:space="preserve">at its third meeting </w:t>
      </w:r>
      <w:r w:rsidR="00B844B0" w:rsidRPr="00B844B0">
        <w:rPr>
          <w:lang w:eastAsia="ja-JP"/>
        </w:rPr>
        <w:t>that the Office of the Union should investigate the background that led to the adoption in the Convention of the principle “Ident</w:t>
      </w:r>
      <w:r w:rsidR="002C1322">
        <w:rPr>
          <w:lang w:eastAsia="ja-JP"/>
        </w:rPr>
        <w:t>ity of the breeder” at the 1961 </w:t>
      </w:r>
      <w:r w:rsidR="00B844B0" w:rsidRPr="00B844B0">
        <w:rPr>
          <w:lang w:eastAsia="ja-JP"/>
        </w:rPr>
        <w:t>Diplomatic Conference</w:t>
      </w:r>
      <w:r w:rsidR="00B844B0">
        <w:rPr>
          <w:lang w:eastAsia="ja-JP"/>
        </w:rPr>
        <w:t xml:space="preserve"> (see document UPOV/WG</w:t>
      </w:r>
      <w:r w:rsidR="00B844B0">
        <w:rPr>
          <w:lang w:eastAsia="ja-JP"/>
        </w:rPr>
        <w:noBreakHyphen/>
        <w:t>DEN/3/3 “Re</w:t>
      </w:r>
      <w:r w:rsidR="002C1322">
        <w:rPr>
          <w:lang w:eastAsia="ja-JP"/>
        </w:rPr>
        <w:t xml:space="preserve">port”, paragraph 9). The </w:t>
      </w:r>
      <w:r w:rsidR="007A10FD">
        <w:rPr>
          <w:lang w:eastAsia="ja-JP"/>
        </w:rPr>
        <w:t xml:space="preserve">preparatory work </w:t>
      </w:r>
      <w:r w:rsidR="002C1322">
        <w:rPr>
          <w:lang w:eastAsia="ja-JP"/>
        </w:rPr>
        <w:t>contained in Publication 316 “</w:t>
      </w:r>
      <w:r w:rsidR="002C1322" w:rsidRPr="002C1322">
        <w:rPr>
          <w:lang w:eastAsia="ja-JP"/>
        </w:rPr>
        <w:t xml:space="preserve">Records of the </w:t>
      </w:r>
      <w:r w:rsidR="002C1322">
        <w:rPr>
          <w:lang w:eastAsia="ja-JP"/>
        </w:rPr>
        <w:t xml:space="preserve">International Conferences </w:t>
      </w:r>
      <w:r w:rsidR="002C1322" w:rsidRPr="002C1322">
        <w:rPr>
          <w:lang w:eastAsia="ja-JP"/>
        </w:rPr>
        <w:t xml:space="preserve">for the Protection of New Varieties of Plants </w:t>
      </w:r>
      <w:r w:rsidR="002C1322" w:rsidRPr="002C1322">
        <w:t>1957-1961 1972</w:t>
      </w:r>
      <w:r w:rsidR="002C1322">
        <w:t>”</w:t>
      </w:r>
      <w:r w:rsidR="002C1322">
        <w:rPr>
          <w:lang w:eastAsia="ja-JP"/>
        </w:rPr>
        <w:t xml:space="preserve"> (French only available at </w:t>
      </w:r>
      <w:hyperlink r:id="rId10" w:history="1">
        <w:r w:rsidR="007A10FD" w:rsidRPr="009E3E76">
          <w:rPr>
            <w:rStyle w:val="Hyperlink"/>
            <w:lang w:eastAsia="ja-JP"/>
          </w:rPr>
          <w:t>http://www.upov.int/edocs/pubdocs/fr/upov_pub_316.pdf</w:t>
        </w:r>
      </w:hyperlink>
      <w:r w:rsidR="002C1322">
        <w:rPr>
          <w:lang w:eastAsia="ja-JP"/>
        </w:rPr>
        <w:t>) did not provide the background to the</w:t>
      </w:r>
      <w:r w:rsidR="002C1322" w:rsidRPr="00B844B0">
        <w:rPr>
          <w:lang w:eastAsia="ja-JP"/>
        </w:rPr>
        <w:t xml:space="preserve"> principle “Ident</w:t>
      </w:r>
      <w:r w:rsidR="002C1322">
        <w:rPr>
          <w:lang w:eastAsia="ja-JP"/>
        </w:rPr>
        <w:t>ity of the breeder” contained in the Convention.</w:t>
      </w:r>
    </w:p>
    <w:p w:rsidR="007A10FD" w:rsidRDefault="007A10FD" w:rsidP="00BA1CCE">
      <w:pPr>
        <w:pStyle w:val="ListParagraph"/>
        <w:autoSpaceDE w:val="0"/>
        <w:autoSpaceDN w:val="0"/>
        <w:adjustRightInd w:val="0"/>
        <w:ind w:left="0"/>
        <w:contextualSpacing w:val="0"/>
        <w:rPr>
          <w:lang w:eastAsia="ja-JP"/>
        </w:rPr>
      </w:pPr>
    </w:p>
    <w:p w:rsidR="00B844B0" w:rsidRPr="002C1322" w:rsidRDefault="00B844B0" w:rsidP="00BA1CCE">
      <w:pPr>
        <w:pStyle w:val="ListParagraph"/>
        <w:autoSpaceDE w:val="0"/>
        <w:autoSpaceDN w:val="0"/>
        <w:adjustRightInd w:val="0"/>
        <w:ind w:left="0"/>
        <w:contextualSpacing w:val="0"/>
        <w:rPr>
          <w:lang w:eastAsia="ja-JP"/>
        </w:rPr>
      </w:pPr>
    </w:p>
    <w:p w:rsidR="00D67B1A" w:rsidRPr="00B844B0" w:rsidRDefault="00D67B1A" w:rsidP="00BA1CCE">
      <w:pPr>
        <w:pStyle w:val="DecisionParagraphs"/>
        <w:keepLines/>
        <w:rPr>
          <w:iCs/>
          <w:spacing w:val="-4"/>
          <w:lang w:val="en-US"/>
        </w:rPr>
      </w:pPr>
      <w:r w:rsidRPr="000C3905">
        <w:fldChar w:fldCharType="begin"/>
      </w:r>
      <w:r w:rsidRPr="00B844B0">
        <w:rPr>
          <w:lang w:val="en-US"/>
        </w:rPr>
        <w:instrText xml:space="preserve"> AUTONUM  </w:instrText>
      </w:r>
      <w:r w:rsidRPr="000C3905">
        <w:fldChar w:fldCharType="end"/>
      </w:r>
      <w:r w:rsidRPr="00B844B0">
        <w:rPr>
          <w:lang w:val="en-US"/>
        </w:rPr>
        <w:tab/>
      </w:r>
      <w:r w:rsidRPr="00B844B0">
        <w:rPr>
          <w:iCs/>
          <w:spacing w:val="-4"/>
          <w:lang w:val="en-US"/>
        </w:rPr>
        <w:t xml:space="preserve">The WG-DEN is invited to: </w:t>
      </w:r>
    </w:p>
    <w:p w:rsidR="00D67B1A" w:rsidRPr="00B844B0" w:rsidRDefault="00D67B1A" w:rsidP="00BA1CCE">
      <w:pPr>
        <w:pStyle w:val="DecisionParagraphs"/>
        <w:keepLines/>
        <w:rPr>
          <w:iCs/>
          <w:spacing w:val="-4"/>
          <w:lang w:val="en-US" w:eastAsia="ja-JP"/>
        </w:rPr>
      </w:pPr>
    </w:p>
    <w:p w:rsidR="00D67B1A" w:rsidRPr="00B844B0" w:rsidRDefault="00D67B1A" w:rsidP="00BA1CCE">
      <w:pPr>
        <w:pStyle w:val="DecisionParagraphs"/>
        <w:keepLines/>
        <w:tabs>
          <w:tab w:val="left" w:pos="5940"/>
        </w:tabs>
        <w:rPr>
          <w:iCs/>
          <w:spacing w:val="-4"/>
          <w:lang w:val="en-US" w:eastAsia="ja-JP"/>
        </w:rPr>
      </w:pPr>
      <w:r w:rsidRPr="00B844B0">
        <w:rPr>
          <w:iCs/>
          <w:spacing w:val="-4"/>
          <w:lang w:val="en-US" w:eastAsia="ja-JP"/>
        </w:rPr>
        <w:tab/>
        <w:t>(a)</w:t>
      </w:r>
      <w:r w:rsidRPr="00B844B0">
        <w:rPr>
          <w:iCs/>
          <w:spacing w:val="-4"/>
          <w:lang w:val="en-US" w:eastAsia="ja-JP"/>
        </w:rPr>
        <w:tab/>
        <w:t>note the matters agreed by the WG-DEN at its third meeting, a</w:t>
      </w:r>
      <w:r w:rsidR="00B844B0">
        <w:rPr>
          <w:iCs/>
          <w:spacing w:val="-4"/>
          <w:lang w:val="en-US" w:eastAsia="ja-JP"/>
        </w:rPr>
        <w:t>s reported in paragraph 6 of thi</w:t>
      </w:r>
      <w:r w:rsidRPr="00B844B0">
        <w:rPr>
          <w:iCs/>
          <w:spacing w:val="-4"/>
          <w:lang w:val="en-US" w:eastAsia="ja-JP"/>
        </w:rPr>
        <w:t>s document; and</w:t>
      </w:r>
    </w:p>
    <w:p w:rsidR="00D67B1A" w:rsidRPr="00B844B0" w:rsidRDefault="00D67B1A" w:rsidP="00BA1CCE">
      <w:pPr>
        <w:pStyle w:val="DecisionParagraphs"/>
        <w:keepLines/>
        <w:tabs>
          <w:tab w:val="left" w:pos="5940"/>
        </w:tabs>
        <w:rPr>
          <w:iCs/>
          <w:spacing w:val="-4"/>
          <w:lang w:val="en-US" w:eastAsia="ja-JP"/>
        </w:rPr>
      </w:pPr>
    </w:p>
    <w:p w:rsidR="00D67B1A" w:rsidRPr="00B844B0" w:rsidRDefault="00D67B1A" w:rsidP="00BA1CCE">
      <w:pPr>
        <w:pStyle w:val="DecisionParagraphs"/>
        <w:keepLines/>
        <w:tabs>
          <w:tab w:val="left" w:pos="5940"/>
        </w:tabs>
        <w:rPr>
          <w:iCs/>
          <w:spacing w:val="-4"/>
          <w:lang w:val="en-US" w:eastAsia="ja-JP"/>
        </w:rPr>
      </w:pPr>
      <w:r w:rsidRPr="00B844B0">
        <w:rPr>
          <w:iCs/>
          <w:spacing w:val="-4"/>
          <w:lang w:val="en-US" w:eastAsia="ja-JP"/>
        </w:rPr>
        <w:tab/>
        <w:t>(b)</w:t>
      </w:r>
      <w:r w:rsidRPr="00B844B0">
        <w:rPr>
          <w:iCs/>
          <w:spacing w:val="-4"/>
          <w:lang w:val="en-US" w:eastAsia="ja-JP"/>
        </w:rPr>
        <w:tab/>
        <w:t>consider document UPOV/INF/12/6 Draft 4, as set out in paragraph 9 of this document.</w:t>
      </w:r>
    </w:p>
    <w:p w:rsidR="00D67B1A" w:rsidRPr="00B844B0" w:rsidRDefault="00D67B1A" w:rsidP="00BA1CCE">
      <w:pPr>
        <w:pStyle w:val="DecisionParagraphs"/>
        <w:tabs>
          <w:tab w:val="left" w:pos="5490"/>
          <w:tab w:val="left" w:pos="5940"/>
        </w:tabs>
        <w:ind w:left="0"/>
        <w:jc w:val="right"/>
        <w:rPr>
          <w:rFonts w:cs="Arial"/>
          <w:i w:val="0"/>
          <w:lang w:val="en-US" w:eastAsia="ja-JP"/>
        </w:rPr>
      </w:pPr>
    </w:p>
    <w:p w:rsidR="005F1D3D" w:rsidRPr="00B844B0" w:rsidRDefault="005F1D3D" w:rsidP="00BA1CCE">
      <w:pPr>
        <w:pStyle w:val="DecisionParagraphs"/>
        <w:tabs>
          <w:tab w:val="left" w:pos="5490"/>
          <w:tab w:val="left" w:pos="5940"/>
        </w:tabs>
        <w:ind w:left="0"/>
        <w:jc w:val="right"/>
        <w:rPr>
          <w:rFonts w:cs="Arial"/>
          <w:i w:val="0"/>
          <w:lang w:val="en-US" w:eastAsia="ja-JP"/>
        </w:rPr>
      </w:pPr>
    </w:p>
    <w:p w:rsidR="005F1D3D" w:rsidRPr="00B844B0" w:rsidRDefault="005F1D3D" w:rsidP="00BA1CCE">
      <w:pPr>
        <w:pStyle w:val="DecisionParagraphs"/>
        <w:tabs>
          <w:tab w:val="left" w:pos="5490"/>
          <w:tab w:val="left" w:pos="5940"/>
        </w:tabs>
        <w:ind w:left="0"/>
        <w:jc w:val="right"/>
        <w:rPr>
          <w:rFonts w:cs="Arial"/>
          <w:i w:val="0"/>
          <w:lang w:val="en-US" w:eastAsia="ja-JP"/>
        </w:rPr>
      </w:pPr>
    </w:p>
    <w:p w:rsidR="00D67B1A" w:rsidRPr="00B844B0" w:rsidRDefault="00D67B1A" w:rsidP="00BA1CCE">
      <w:pPr>
        <w:pStyle w:val="DecisionParagraphs"/>
        <w:tabs>
          <w:tab w:val="left" w:pos="5490"/>
          <w:tab w:val="left" w:pos="5940"/>
        </w:tabs>
        <w:ind w:left="0"/>
        <w:jc w:val="right"/>
        <w:rPr>
          <w:lang w:val="en-US"/>
        </w:rPr>
      </w:pPr>
      <w:r w:rsidRPr="00B844B0">
        <w:rPr>
          <w:rFonts w:cs="Arial"/>
          <w:i w:val="0"/>
          <w:lang w:val="en-US" w:eastAsia="ja-JP"/>
        </w:rPr>
        <w:t>[Annexes follow]</w:t>
      </w:r>
    </w:p>
    <w:p w:rsidR="00BB7312" w:rsidRDefault="00BB7312" w:rsidP="007E7836">
      <w:pPr>
        <w:sectPr w:rsidR="00BB7312" w:rsidSect="00BA1CCE">
          <w:headerReference w:type="default" r:id="rId11"/>
          <w:pgSz w:w="11907" w:h="16840" w:code="9"/>
          <w:pgMar w:top="510" w:right="1134" w:bottom="1134" w:left="1134" w:header="510" w:footer="624" w:gutter="0"/>
          <w:cols w:space="720"/>
          <w:titlePg/>
        </w:sectPr>
      </w:pPr>
    </w:p>
    <w:p w:rsidR="00BB7312" w:rsidRPr="0065452F" w:rsidRDefault="00BB7312" w:rsidP="00BA1CCE">
      <w:pPr>
        <w:jc w:val="center"/>
      </w:pPr>
      <w:r w:rsidRPr="0065452F">
        <w:t>UPOV/WG-DEN/4/2</w:t>
      </w:r>
    </w:p>
    <w:p w:rsidR="00BB7312" w:rsidRPr="0065452F" w:rsidRDefault="00BB7312" w:rsidP="00BA1CCE">
      <w:pPr>
        <w:jc w:val="center"/>
      </w:pPr>
    </w:p>
    <w:p w:rsidR="00BB7312" w:rsidRPr="0065452F" w:rsidRDefault="00BB7312" w:rsidP="00BA1CCE">
      <w:pPr>
        <w:jc w:val="center"/>
      </w:pPr>
      <w:r w:rsidRPr="0065452F">
        <w:t>ANNEX I</w:t>
      </w:r>
    </w:p>
    <w:p w:rsidR="00BB7312" w:rsidRPr="0065452F" w:rsidRDefault="00BB7312" w:rsidP="00BA1CCE">
      <w:pPr>
        <w:jc w:val="center"/>
      </w:pPr>
    </w:p>
    <w:p w:rsidR="00BB7312" w:rsidRPr="0065452F" w:rsidRDefault="00BB7312" w:rsidP="00BA1CCE">
      <w:pPr>
        <w:jc w:val="center"/>
      </w:pPr>
    </w:p>
    <w:p w:rsidR="00BB7312" w:rsidRPr="00BB7312" w:rsidRDefault="00BB7312" w:rsidP="00BA1CCE">
      <w:pPr>
        <w:pStyle w:val="Doccode"/>
        <w:jc w:val="center"/>
        <w:rPr>
          <w:b w:val="0"/>
          <w:spacing w:val="0"/>
          <w:sz w:val="20"/>
        </w:rPr>
      </w:pPr>
      <w:r w:rsidRPr="00BB7312">
        <w:rPr>
          <w:b w:val="0"/>
          <w:spacing w:val="0"/>
          <w:sz w:val="20"/>
        </w:rPr>
        <w:t xml:space="preserve">COMPILATION OF ALL COMMENTS RECEIVED AND DISCUSSED AT WG-DEN MEETINGS </w:t>
      </w:r>
      <w:r>
        <w:rPr>
          <w:b w:val="0"/>
          <w:spacing w:val="0"/>
          <w:sz w:val="20"/>
        </w:rPr>
        <w:t>AND OTHER RELEVANT MEETINGS, IN RELATION TO THE TEXT OF DOCUMENT UPOV/INF/12/5</w:t>
      </w:r>
    </w:p>
    <w:p w:rsidR="00BB7312" w:rsidRPr="0065452F" w:rsidRDefault="00BB7312" w:rsidP="00BA1CCE">
      <w:pPr>
        <w:pStyle w:val="Disclaimer"/>
        <w:spacing w:after="1200"/>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9243"/>
      </w:tblGrid>
      <w:tr w:rsidR="00BB7312" w:rsidRPr="00B02E86" w:rsidTr="00BA1CCE">
        <w:trPr>
          <w:cantSplit/>
          <w:jc w:val="center"/>
        </w:trPr>
        <w:tc>
          <w:tcPr>
            <w:tcW w:w="9243" w:type="dxa"/>
            <w:shd w:val="clear" w:color="auto" w:fill="E6E6E6"/>
          </w:tcPr>
          <w:p w:rsidR="00BB7312" w:rsidRPr="00B02E86" w:rsidRDefault="00BB7312" w:rsidP="00BA1CCE">
            <w:pPr>
              <w:jc w:val="center"/>
              <w:rPr>
                <w:rFonts w:cs="Arial"/>
                <w:szCs w:val="22"/>
                <w:u w:val="single"/>
              </w:rPr>
            </w:pPr>
            <w:r w:rsidRPr="00B02E86">
              <w:rPr>
                <w:rFonts w:cs="Arial"/>
                <w:szCs w:val="22"/>
                <w:u w:val="single"/>
              </w:rPr>
              <w:t>Note</w:t>
            </w:r>
          </w:p>
          <w:p w:rsidR="00BB7312" w:rsidRPr="00B02E86" w:rsidRDefault="00BB7312" w:rsidP="00BA1CCE">
            <w:pPr>
              <w:rPr>
                <w:rFonts w:cs="Arial"/>
                <w:szCs w:val="22"/>
              </w:rPr>
            </w:pPr>
          </w:p>
          <w:p w:rsidR="00BB7312" w:rsidRPr="00B02E86" w:rsidRDefault="00BB7312" w:rsidP="00BA1CCE">
            <w:pPr>
              <w:rPr>
                <w:rFonts w:cs="Arial"/>
                <w:szCs w:val="22"/>
              </w:rPr>
            </w:pPr>
            <w:r w:rsidRPr="00B02E86">
              <w:rPr>
                <w:rFonts w:cs="Arial"/>
                <w:b/>
                <w:szCs w:val="22"/>
              </w:rPr>
              <w:t>Footnotes</w:t>
            </w:r>
            <w:r w:rsidRPr="00B02E86">
              <w:rPr>
                <w:rFonts w:cs="Arial"/>
                <w:szCs w:val="22"/>
              </w:rPr>
              <w:t xml:space="preserve"> will be retained in published document.</w:t>
            </w:r>
          </w:p>
          <w:p w:rsidR="00BB7312" w:rsidRPr="00B02E86" w:rsidRDefault="00BB7312" w:rsidP="00BA1CCE">
            <w:pPr>
              <w:rPr>
                <w:rFonts w:cs="Arial"/>
                <w:szCs w:val="22"/>
              </w:rPr>
            </w:pPr>
          </w:p>
          <w:p w:rsidR="00BB7312" w:rsidRPr="00B02E86" w:rsidRDefault="00BB7312" w:rsidP="00BA1CCE">
            <w:pPr>
              <w:rPr>
                <w:rFonts w:cs="Arial"/>
                <w:szCs w:val="18"/>
                <w:lang w:eastAsia="ja-JP"/>
              </w:rPr>
            </w:pPr>
            <w:r w:rsidRPr="00B02E86">
              <w:rPr>
                <w:rFonts w:cs="Arial"/>
                <w:b/>
                <w:szCs w:val="18"/>
              </w:rPr>
              <w:t>Endnotes</w:t>
            </w:r>
            <w:r w:rsidRPr="00B02E86">
              <w:rPr>
                <w:rFonts w:cs="Arial"/>
                <w:szCs w:val="18"/>
              </w:rPr>
              <w:t xml:space="preserve"> </w:t>
            </w:r>
            <w:r w:rsidRPr="00B02E86">
              <w:rPr>
                <w:rFonts w:cs="Arial" w:hint="eastAsia"/>
                <w:szCs w:val="18"/>
                <w:lang w:eastAsia="ja-JP"/>
              </w:rPr>
              <w:t>are</w:t>
            </w:r>
            <w:r w:rsidRPr="00B02E86">
              <w:rPr>
                <w:rFonts w:cs="Arial"/>
                <w:szCs w:val="18"/>
              </w:rPr>
              <w:t xml:space="preserve"> background information</w:t>
            </w:r>
          </w:p>
          <w:p w:rsidR="00BB7312" w:rsidRPr="00B02E86" w:rsidRDefault="00BB7312" w:rsidP="00BA1CCE">
            <w:pPr>
              <w:rPr>
                <w:rFonts w:cs="Arial"/>
                <w:szCs w:val="18"/>
                <w:lang w:eastAsia="ja-JP"/>
              </w:rPr>
            </w:pPr>
          </w:p>
          <w:p w:rsidR="00BB7312" w:rsidRPr="00B02E86" w:rsidRDefault="00BB7312" w:rsidP="00BA1CCE">
            <w:pPr>
              <w:rPr>
                <w:rFonts w:cs="Arial"/>
                <w:szCs w:val="18"/>
                <w:lang w:eastAsia="ja-JP"/>
              </w:rPr>
            </w:pPr>
          </w:p>
          <w:p w:rsidR="00BB7312" w:rsidRPr="00B02E86" w:rsidRDefault="00BB7312" w:rsidP="00BA1CCE">
            <w:pPr>
              <w:rPr>
                <w:rFonts w:cs="Arial"/>
                <w:szCs w:val="18"/>
                <w:lang w:eastAsia="ja-JP"/>
              </w:rPr>
            </w:pPr>
            <w:r w:rsidRPr="00B02E86">
              <w:rPr>
                <w:rFonts w:cs="Arial" w:hint="eastAsia"/>
                <w:b/>
                <w:szCs w:val="18"/>
                <w:lang w:eastAsia="ja-JP"/>
              </w:rPr>
              <w:t xml:space="preserve">Text </w:t>
            </w:r>
            <w:r w:rsidRPr="00B02E86">
              <w:rPr>
                <w:rFonts w:cs="Arial" w:hint="eastAsia"/>
                <w:szCs w:val="18"/>
                <w:lang w:eastAsia="ja-JP"/>
              </w:rPr>
              <w:t>proposed in relation to document UPOV/INF/12/5</w:t>
            </w:r>
            <w:r w:rsidRPr="00B02E86">
              <w:rPr>
                <w:rFonts w:cs="Arial"/>
                <w:szCs w:val="18"/>
                <w:lang w:eastAsia="ja-JP"/>
              </w:rPr>
              <w:t>:</w:t>
            </w:r>
          </w:p>
          <w:p w:rsidR="00BB7312" w:rsidRPr="00B02E86" w:rsidRDefault="00BB7312" w:rsidP="00BA1CCE">
            <w:pPr>
              <w:tabs>
                <w:tab w:val="left" w:pos="227"/>
              </w:tabs>
              <w:rPr>
                <w:rFonts w:cs="Arial"/>
                <w:szCs w:val="18"/>
                <w:lang w:eastAsia="ja-JP"/>
              </w:rPr>
            </w:pPr>
            <w:r w:rsidRPr="00B02E86">
              <w:rPr>
                <w:rFonts w:cs="Arial"/>
                <w:szCs w:val="18"/>
                <w:lang w:eastAsia="ja-JP"/>
              </w:rPr>
              <w:tab/>
            </w:r>
            <w:r w:rsidRPr="00B02E86">
              <w:rPr>
                <w:rFonts w:cs="Arial" w:hint="eastAsia"/>
                <w:szCs w:val="18"/>
                <w:lang w:eastAsia="ja-JP"/>
              </w:rPr>
              <w:t xml:space="preserve">to </w:t>
            </w:r>
            <w:r w:rsidRPr="00B02E86">
              <w:rPr>
                <w:rFonts w:cs="Arial" w:hint="eastAsia"/>
                <w:b/>
                <w:szCs w:val="18"/>
                <w:lang w:eastAsia="ja-JP"/>
              </w:rPr>
              <w:t>add</w:t>
            </w:r>
            <w:r w:rsidRPr="00B02E86">
              <w:rPr>
                <w:rFonts w:cs="Arial" w:hint="eastAsia"/>
                <w:szCs w:val="18"/>
                <w:lang w:eastAsia="ja-JP"/>
              </w:rPr>
              <w:t xml:space="preserve"> as </w:t>
            </w:r>
            <w:r w:rsidRPr="00B02E86">
              <w:rPr>
                <w:rFonts w:cs="Arial" w:hint="eastAsia"/>
                <w:szCs w:val="18"/>
                <w:u w:val="single"/>
                <w:lang w:eastAsia="ja-JP"/>
              </w:rPr>
              <w:t>underlined</w:t>
            </w:r>
            <w:r w:rsidRPr="00B02E86">
              <w:rPr>
                <w:rFonts w:cs="Arial"/>
                <w:szCs w:val="18"/>
                <w:lang w:eastAsia="ja-JP"/>
              </w:rPr>
              <w:t xml:space="preserve">; </w:t>
            </w:r>
            <w:r w:rsidRPr="00B02E86">
              <w:rPr>
                <w:rFonts w:cs="Arial" w:hint="eastAsia"/>
                <w:szCs w:val="18"/>
                <w:lang w:eastAsia="ja-JP"/>
              </w:rPr>
              <w:t xml:space="preserve"> </w:t>
            </w:r>
            <w:r w:rsidRPr="00B02E86">
              <w:rPr>
                <w:rFonts w:cs="Arial"/>
                <w:szCs w:val="18"/>
                <w:lang w:eastAsia="ja-JP"/>
              </w:rPr>
              <w:t xml:space="preserve"> </w:t>
            </w:r>
            <w:r w:rsidRPr="00B02E86">
              <w:rPr>
                <w:rFonts w:cs="Arial" w:hint="eastAsia"/>
                <w:szCs w:val="18"/>
                <w:lang w:eastAsia="ja-JP"/>
              </w:rPr>
              <w:t xml:space="preserve">to </w:t>
            </w:r>
            <w:r w:rsidRPr="00B02E86">
              <w:rPr>
                <w:rFonts w:cs="Arial" w:hint="eastAsia"/>
                <w:b/>
                <w:szCs w:val="18"/>
                <w:lang w:eastAsia="ja-JP"/>
              </w:rPr>
              <w:t>delete</w:t>
            </w:r>
            <w:r w:rsidRPr="00B02E86">
              <w:rPr>
                <w:rFonts w:cs="Arial" w:hint="eastAsia"/>
                <w:szCs w:val="18"/>
                <w:lang w:eastAsia="ja-JP"/>
              </w:rPr>
              <w:t xml:space="preserve"> as </w:t>
            </w:r>
            <w:r w:rsidRPr="00B02E86">
              <w:rPr>
                <w:rFonts w:cs="Arial" w:hint="eastAsia"/>
                <w:strike/>
                <w:szCs w:val="18"/>
                <w:lang w:eastAsia="ja-JP"/>
              </w:rPr>
              <w:t>strikethrough</w:t>
            </w:r>
            <w:r w:rsidRPr="00B02E86">
              <w:rPr>
                <w:rFonts w:cs="Arial" w:hint="eastAsia"/>
                <w:szCs w:val="18"/>
                <w:lang w:eastAsia="ja-JP"/>
              </w:rPr>
              <w:t>.</w:t>
            </w:r>
          </w:p>
          <w:p w:rsidR="00BB7312" w:rsidRPr="00B02E86" w:rsidRDefault="00BB7312" w:rsidP="00BA1CCE">
            <w:pPr>
              <w:tabs>
                <w:tab w:val="left" w:pos="227"/>
              </w:tabs>
              <w:rPr>
                <w:rFonts w:cs="Arial"/>
                <w:b/>
                <w:szCs w:val="18"/>
                <w:lang w:eastAsia="ja-JP"/>
              </w:rPr>
            </w:pPr>
          </w:p>
          <w:p w:rsidR="00BB7312" w:rsidRPr="00B02E86" w:rsidRDefault="00BB7312" w:rsidP="00BA1CCE">
            <w:pPr>
              <w:rPr>
                <w:rFonts w:cs="Arial"/>
                <w:szCs w:val="18"/>
                <w:lang w:eastAsia="ja-JP"/>
              </w:rPr>
            </w:pPr>
            <w:r w:rsidRPr="00B02E86">
              <w:rPr>
                <w:rFonts w:cs="Arial" w:hint="eastAsia"/>
                <w:b/>
                <w:szCs w:val="18"/>
                <w:lang w:eastAsia="ja-JP"/>
              </w:rPr>
              <w:t>Text</w:t>
            </w:r>
            <w:r w:rsidRPr="00B02E86">
              <w:rPr>
                <w:rFonts w:cs="Arial" w:hint="eastAsia"/>
                <w:szCs w:val="18"/>
                <w:lang w:eastAsia="ja-JP"/>
              </w:rPr>
              <w:t xml:space="preserve"> agreed by the WG-DEN, at its </w:t>
            </w:r>
            <w:r w:rsidRPr="00B02E86">
              <w:rPr>
                <w:rFonts w:cs="Arial"/>
                <w:szCs w:val="18"/>
                <w:lang w:eastAsia="ja-JP"/>
              </w:rPr>
              <w:t>third</w:t>
            </w:r>
            <w:r w:rsidRPr="00B02E86">
              <w:rPr>
                <w:rFonts w:cs="Arial" w:hint="eastAsia"/>
                <w:szCs w:val="18"/>
                <w:lang w:eastAsia="ja-JP"/>
              </w:rPr>
              <w:t xml:space="preserve"> meeting</w:t>
            </w:r>
            <w:r w:rsidRPr="00B02E86">
              <w:rPr>
                <w:rFonts w:cs="Arial"/>
                <w:szCs w:val="18"/>
                <w:lang w:eastAsia="ja-JP"/>
              </w:rPr>
              <w:t>:</w:t>
            </w:r>
          </w:p>
          <w:p w:rsidR="00BB7312" w:rsidRPr="00B02E86" w:rsidRDefault="00BB7312" w:rsidP="00BA1CCE">
            <w:pPr>
              <w:tabs>
                <w:tab w:val="left" w:pos="227"/>
              </w:tabs>
              <w:rPr>
                <w:rFonts w:cs="Arial"/>
                <w:szCs w:val="18"/>
                <w:lang w:eastAsia="ja-JP"/>
              </w:rPr>
            </w:pPr>
            <w:r w:rsidRPr="00B02E86">
              <w:rPr>
                <w:rFonts w:cs="Arial"/>
                <w:szCs w:val="18"/>
                <w:lang w:eastAsia="ja-JP"/>
              </w:rPr>
              <w:tab/>
            </w:r>
            <w:r w:rsidRPr="00B02E86">
              <w:rPr>
                <w:rFonts w:cs="Arial" w:hint="eastAsia"/>
                <w:szCs w:val="18"/>
                <w:lang w:eastAsia="ja-JP"/>
              </w:rPr>
              <w:t xml:space="preserve">to </w:t>
            </w:r>
            <w:r w:rsidRPr="00B02E86">
              <w:rPr>
                <w:rFonts w:cs="Arial" w:hint="eastAsia"/>
                <w:b/>
                <w:szCs w:val="18"/>
                <w:lang w:eastAsia="ja-JP"/>
              </w:rPr>
              <w:t>add</w:t>
            </w:r>
            <w:r w:rsidRPr="00B02E86">
              <w:rPr>
                <w:rFonts w:cs="Arial" w:hint="eastAsia"/>
                <w:szCs w:val="18"/>
                <w:lang w:eastAsia="ja-JP"/>
              </w:rPr>
              <w:t xml:space="preserve"> as </w:t>
            </w:r>
            <w:r w:rsidRPr="00B02E86">
              <w:rPr>
                <w:rFonts w:cs="Arial" w:hint="eastAsia"/>
                <w:szCs w:val="18"/>
                <w:highlight w:val="yellow"/>
                <w:u w:val="single"/>
                <w:lang w:eastAsia="ja-JP"/>
              </w:rPr>
              <w:t>underlined</w:t>
            </w:r>
            <w:r w:rsidRPr="00B02E86">
              <w:rPr>
                <w:rFonts w:cs="Arial"/>
                <w:szCs w:val="18"/>
                <w:lang w:eastAsia="ja-JP"/>
              </w:rPr>
              <w:t xml:space="preserve">; </w:t>
            </w:r>
            <w:r w:rsidRPr="00B02E86">
              <w:rPr>
                <w:rFonts w:cs="Arial" w:hint="eastAsia"/>
                <w:szCs w:val="18"/>
                <w:lang w:eastAsia="ja-JP"/>
              </w:rPr>
              <w:t xml:space="preserve"> </w:t>
            </w:r>
            <w:r w:rsidRPr="00B02E86">
              <w:rPr>
                <w:rFonts w:cs="Arial"/>
                <w:szCs w:val="18"/>
                <w:lang w:eastAsia="ja-JP"/>
              </w:rPr>
              <w:t xml:space="preserve"> </w:t>
            </w:r>
            <w:r w:rsidRPr="00B02E86">
              <w:rPr>
                <w:rFonts w:cs="Arial" w:hint="eastAsia"/>
                <w:szCs w:val="18"/>
                <w:lang w:eastAsia="ja-JP"/>
              </w:rPr>
              <w:t xml:space="preserve">to </w:t>
            </w:r>
            <w:r w:rsidRPr="00B02E86">
              <w:rPr>
                <w:rFonts w:cs="Arial" w:hint="eastAsia"/>
                <w:b/>
                <w:szCs w:val="18"/>
                <w:lang w:eastAsia="ja-JP"/>
              </w:rPr>
              <w:t>delete</w:t>
            </w:r>
            <w:r w:rsidRPr="00B02E86">
              <w:rPr>
                <w:rFonts w:cs="Arial" w:hint="eastAsia"/>
                <w:szCs w:val="18"/>
                <w:lang w:eastAsia="ja-JP"/>
              </w:rPr>
              <w:t xml:space="preserve"> as </w:t>
            </w:r>
            <w:r w:rsidRPr="00B02E86">
              <w:rPr>
                <w:rFonts w:cs="Arial" w:hint="eastAsia"/>
                <w:strike/>
                <w:szCs w:val="18"/>
                <w:highlight w:val="yellow"/>
                <w:lang w:eastAsia="ja-JP"/>
              </w:rPr>
              <w:t>strikethrough yellow highlighted</w:t>
            </w:r>
          </w:p>
          <w:p w:rsidR="00BB7312" w:rsidRPr="00B02E86" w:rsidRDefault="00BB7312" w:rsidP="00BA1CCE">
            <w:pPr>
              <w:rPr>
                <w:rFonts w:cs="Arial"/>
                <w:b/>
                <w:szCs w:val="18"/>
                <w:lang w:eastAsia="ja-JP"/>
              </w:rPr>
            </w:pPr>
          </w:p>
          <w:p w:rsidR="00BB7312" w:rsidRPr="00B02E86" w:rsidRDefault="00BB7312" w:rsidP="00BA1CCE">
            <w:pPr>
              <w:rPr>
                <w:rFonts w:cs="Arial"/>
                <w:szCs w:val="18"/>
                <w:lang w:eastAsia="ja-JP"/>
              </w:rPr>
            </w:pPr>
            <w:r w:rsidRPr="00B02E86">
              <w:rPr>
                <w:rFonts w:cs="Arial" w:hint="eastAsia"/>
                <w:b/>
                <w:szCs w:val="18"/>
                <w:lang w:eastAsia="ja-JP"/>
              </w:rPr>
              <w:t>Text in boxes</w:t>
            </w:r>
            <w:r w:rsidRPr="00B02E86">
              <w:rPr>
                <w:rFonts w:cs="Arial" w:hint="eastAsia"/>
                <w:szCs w:val="18"/>
                <w:lang w:eastAsia="ja-JP"/>
              </w:rPr>
              <w:t>:</w:t>
            </w:r>
          </w:p>
          <w:p w:rsidR="00BB7312" w:rsidRPr="00B02E86" w:rsidRDefault="00BB7312" w:rsidP="00BA1CCE">
            <w:pPr>
              <w:ind w:left="227" w:hanging="227"/>
              <w:rPr>
                <w:rFonts w:cs="Arial"/>
                <w:szCs w:val="18"/>
                <w:lang w:eastAsia="ja-JP"/>
              </w:rPr>
            </w:pPr>
            <w:r w:rsidRPr="00B02E86">
              <w:rPr>
                <w:rFonts w:cs="Arial" w:hint="eastAsia"/>
                <w:szCs w:val="18"/>
                <w:lang w:eastAsia="ja-JP"/>
              </w:rPr>
              <w:t>-</w:t>
            </w:r>
            <w:r w:rsidRPr="00B02E86">
              <w:rPr>
                <w:rFonts w:cs="Arial"/>
                <w:szCs w:val="18"/>
                <w:lang w:eastAsia="ja-JP"/>
              </w:rPr>
              <w:tab/>
            </w:r>
            <w:r w:rsidRPr="00B02E86">
              <w:rPr>
                <w:rFonts w:cs="Arial" w:hint="eastAsia"/>
                <w:szCs w:val="18"/>
                <w:lang w:eastAsia="ja-JP"/>
              </w:rPr>
              <w:t>Proposals at CAJ and CAJ-AG</w:t>
            </w:r>
            <w:r w:rsidRPr="00B02E86">
              <w:rPr>
                <w:rFonts w:cs="Arial"/>
                <w:szCs w:val="18"/>
                <w:lang w:eastAsia="ja-JP"/>
              </w:rPr>
              <w:t xml:space="preserve">: </w:t>
            </w:r>
            <w:r w:rsidRPr="00B02E86">
              <w:rPr>
                <w:rFonts w:cs="Arial" w:hint="eastAsia"/>
                <w:szCs w:val="18"/>
                <w:lang w:eastAsia="ja-JP"/>
              </w:rPr>
              <w:t xml:space="preserve"> </w:t>
            </w:r>
            <w:r w:rsidRPr="00B02E86">
              <w:rPr>
                <w:rFonts w:cs="Arial"/>
                <w:szCs w:val="18"/>
                <w:highlight w:val="lightGray"/>
                <w:lang w:eastAsia="ja-JP"/>
              </w:rPr>
              <w:t>grey highlighted</w:t>
            </w:r>
          </w:p>
          <w:p w:rsidR="00BB7312" w:rsidRPr="00B02E86" w:rsidRDefault="00BB7312" w:rsidP="00BA1CCE">
            <w:pPr>
              <w:ind w:left="227" w:hanging="227"/>
              <w:rPr>
                <w:rFonts w:cs="Arial"/>
                <w:szCs w:val="18"/>
                <w:lang w:eastAsia="ja-JP"/>
              </w:rPr>
            </w:pPr>
            <w:r w:rsidRPr="00B02E86">
              <w:rPr>
                <w:rFonts w:cs="Arial" w:hint="eastAsia"/>
                <w:szCs w:val="18"/>
                <w:lang w:eastAsia="ja-JP"/>
              </w:rPr>
              <w:t>-</w:t>
            </w:r>
            <w:r w:rsidRPr="00B02E86">
              <w:rPr>
                <w:rFonts w:cs="Arial"/>
                <w:szCs w:val="18"/>
                <w:lang w:eastAsia="ja-JP"/>
              </w:rPr>
              <w:tab/>
            </w:r>
            <w:r w:rsidRPr="00B02E86">
              <w:rPr>
                <w:rFonts w:cs="Arial" w:hint="eastAsia"/>
                <w:szCs w:val="18"/>
                <w:lang w:eastAsia="ja-JP"/>
              </w:rPr>
              <w:t>Proposals at WG-DST</w:t>
            </w:r>
            <w:r w:rsidRPr="00B02E86">
              <w:rPr>
                <w:rFonts w:cs="Arial"/>
                <w:szCs w:val="18"/>
                <w:lang w:eastAsia="ja-JP"/>
              </w:rPr>
              <w:t>:</w:t>
            </w:r>
            <w:r w:rsidRPr="00B02E86">
              <w:rPr>
                <w:rFonts w:cs="Arial" w:hint="eastAsia"/>
                <w:szCs w:val="18"/>
                <w:lang w:eastAsia="ja-JP"/>
              </w:rPr>
              <w:t xml:space="preserve"> </w:t>
            </w:r>
            <w:r w:rsidRPr="00B02E86">
              <w:rPr>
                <w:rFonts w:cs="Arial"/>
                <w:szCs w:val="18"/>
                <w:highlight w:val="lightGray"/>
                <w:lang w:eastAsia="ja-JP"/>
              </w:rPr>
              <w:t>grey highlighted</w:t>
            </w:r>
          </w:p>
          <w:p w:rsidR="00BB7312" w:rsidRPr="00B02E86" w:rsidRDefault="00BB7312" w:rsidP="00BA1CCE">
            <w:pPr>
              <w:ind w:left="227" w:hanging="227"/>
              <w:rPr>
                <w:rFonts w:cs="Arial"/>
                <w:szCs w:val="18"/>
                <w:lang w:eastAsia="ja-JP"/>
              </w:rPr>
            </w:pPr>
            <w:r w:rsidRPr="00B02E86">
              <w:rPr>
                <w:rFonts w:cs="Arial" w:hint="eastAsia"/>
                <w:szCs w:val="18"/>
                <w:lang w:eastAsia="ja-JP"/>
              </w:rPr>
              <w:t>-</w:t>
            </w:r>
            <w:r w:rsidRPr="00B02E86">
              <w:rPr>
                <w:rFonts w:cs="Arial"/>
                <w:szCs w:val="18"/>
                <w:lang w:eastAsia="ja-JP"/>
              </w:rPr>
              <w:tab/>
            </w:r>
            <w:r w:rsidRPr="00B02E86">
              <w:rPr>
                <w:rFonts w:cs="Arial" w:hint="eastAsia"/>
                <w:szCs w:val="18"/>
                <w:lang w:eastAsia="ja-JP"/>
              </w:rPr>
              <w:t xml:space="preserve">Proposals at WG-DEN, at its first </w:t>
            </w:r>
            <w:r w:rsidRPr="00B02E86">
              <w:rPr>
                <w:rFonts w:cs="Arial"/>
                <w:szCs w:val="18"/>
                <w:lang w:eastAsia="ja-JP"/>
              </w:rPr>
              <w:t xml:space="preserve">and second </w:t>
            </w:r>
            <w:r w:rsidRPr="00B02E86">
              <w:rPr>
                <w:rFonts w:cs="Arial" w:hint="eastAsia"/>
                <w:szCs w:val="18"/>
                <w:lang w:eastAsia="ja-JP"/>
              </w:rPr>
              <w:t>meet</w:t>
            </w:r>
            <w:r>
              <w:rPr>
                <w:rFonts w:cs="Arial" w:hint="eastAsia"/>
                <w:szCs w:val="18"/>
                <w:lang w:eastAsia="ja-JP"/>
              </w:rPr>
              <w:t>ing, and UPOV Circular E-16/088</w:t>
            </w:r>
            <w:r>
              <w:rPr>
                <w:rFonts w:cs="Arial"/>
                <w:szCs w:val="18"/>
                <w:lang w:eastAsia="ja-JP"/>
              </w:rPr>
              <w:br/>
            </w:r>
            <w:r w:rsidRPr="00B02E86">
              <w:rPr>
                <w:rFonts w:cs="Arial" w:hint="eastAsia"/>
                <w:szCs w:val="18"/>
                <w:lang w:eastAsia="ja-JP"/>
              </w:rPr>
              <w:t>of April 13, 2016</w:t>
            </w:r>
            <w:r w:rsidRPr="00B02E86">
              <w:rPr>
                <w:rFonts w:cs="Arial"/>
                <w:szCs w:val="18"/>
                <w:lang w:eastAsia="ja-JP"/>
              </w:rPr>
              <w:t xml:space="preserve">: </w:t>
            </w:r>
            <w:r w:rsidRPr="00B02E86">
              <w:rPr>
                <w:rFonts w:cs="Arial" w:hint="eastAsia"/>
                <w:szCs w:val="18"/>
                <w:lang w:eastAsia="ja-JP"/>
              </w:rPr>
              <w:t xml:space="preserve"> </w:t>
            </w:r>
            <w:r w:rsidRPr="00B02E86">
              <w:rPr>
                <w:rFonts w:cs="Arial"/>
                <w:szCs w:val="18"/>
                <w:highlight w:val="lightGray"/>
                <w:shd w:val="clear" w:color="auto" w:fill="F2F2F2" w:themeFill="background1" w:themeFillShade="F2"/>
                <w:lang w:eastAsia="ja-JP"/>
              </w:rPr>
              <w:t>grey highlighted</w:t>
            </w:r>
          </w:p>
          <w:p w:rsidR="00BB7312" w:rsidRPr="00B02E86" w:rsidRDefault="00BB7312" w:rsidP="00BA1CCE">
            <w:pPr>
              <w:ind w:left="227" w:hanging="227"/>
              <w:rPr>
                <w:rFonts w:cs="Arial"/>
                <w:szCs w:val="18"/>
                <w:lang w:eastAsia="ja-JP"/>
              </w:rPr>
            </w:pPr>
            <w:r w:rsidRPr="00B02E86">
              <w:rPr>
                <w:rFonts w:cs="Arial" w:hint="eastAsia"/>
                <w:szCs w:val="18"/>
                <w:lang w:eastAsia="ja-JP"/>
              </w:rPr>
              <w:t>-</w:t>
            </w:r>
            <w:r w:rsidRPr="00B02E86">
              <w:rPr>
                <w:rFonts w:cs="Arial"/>
                <w:szCs w:val="18"/>
                <w:lang w:eastAsia="ja-JP"/>
              </w:rPr>
              <w:tab/>
            </w:r>
            <w:r w:rsidRPr="00B02E86">
              <w:rPr>
                <w:rFonts w:cs="Arial" w:hint="eastAsia"/>
                <w:szCs w:val="18"/>
                <w:lang w:eastAsia="ja-JP"/>
              </w:rPr>
              <w:t xml:space="preserve">Information provided for consideration at the WG-DEN, at its </w:t>
            </w:r>
            <w:r w:rsidRPr="00B02E86">
              <w:rPr>
                <w:rFonts w:cs="Arial"/>
                <w:szCs w:val="18"/>
                <w:lang w:eastAsia="ja-JP"/>
              </w:rPr>
              <w:t>third</w:t>
            </w:r>
            <w:r w:rsidRPr="00B02E86">
              <w:rPr>
                <w:rFonts w:cs="Arial" w:hint="eastAsia"/>
                <w:szCs w:val="18"/>
                <w:lang w:eastAsia="ja-JP"/>
              </w:rPr>
              <w:t xml:space="preserve"> meeting</w:t>
            </w:r>
            <w:r w:rsidRPr="00B02E86">
              <w:rPr>
                <w:rFonts w:cs="Arial"/>
                <w:szCs w:val="18"/>
                <w:lang w:eastAsia="ja-JP"/>
              </w:rPr>
              <w:t xml:space="preserve">: </w:t>
            </w:r>
            <w:r w:rsidRPr="00B02E86">
              <w:rPr>
                <w:rFonts w:cs="Arial" w:hint="eastAsia"/>
                <w:szCs w:val="18"/>
                <w:lang w:eastAsia="ja-JP"/>
              </w:rPr>
              <w:t xml:space="preserve"> </w:t>
            </w:r>
            <w:r w:rsidRPr="00B02E86">
              <w:rPr>
                <w:rFonts w:cs="Arial"/>
                <w:szCs w:val="18"/>
                <w:highlight w:val="lightGray"/>
                <w:shd w:val="clear" w:color="auto" w:fill="F2F2F2" w:themeFill="background1" w:themeFillShade="F2"/>
                <w:lang w:eastAsia="ja-JP"/>
              </w:rPr>
              <w:t>grey highlighted</w:t>
            </w:r>
          </w:p>
          <w:p w:rsidR="00BB7312" w:rsidRPr="00B02E86" w:rsidRDefault="00BB7312" w:rsidP="00BA1CCE">
            <w:pPr>
              <w:ind w:left="227" w:hanging="227"/>
              <w:rPr>
                <w:rFonts w:cs="Arial"/>
                <w:b/>
                <w:szCs w:val="18"/>
                <w:lang w:eastAsia="ja-JP"/>
              </w:rPr>
            </w:pPr>
            <w:r w:rsidRPr="00B02E86">
              <w:rPr>
                <w:rFonts w:cs="Arial" w:hint="eastAsia"/>
                <w:szCs w:val="18"/>
                <w:lang w:eastAsia="ja-JP"/>
              </w:rPr>
              <w:t>-</w:t>
            </w:r>
            <w:r w:rsidRPr="00B02E86">
              <w:rPr>
                <w:rFonts w:cs="Arial"/>
                <w:szCs w:val="18"/>
                <w:lang w:eastAsia="ja-JP"/>
              </w:rPr>
              <w:tab/>
            </w:r>
            <w:r w:rsidRPr="00B02E86">
              <w:rPr>
                <w:rFonts w:cs="Arial" w:hint="eastAsia"/>
                <w:szCs w:val="18"/>
                <w:lang w:eastAsia="ja-JP"/>
              </w:rPr>
              <w:t xml:space="preserve">Proposals at WG-DEN, at its </w:t>
            </w:r>
            <w:r w:rsidRPr="00B02E86">
              <w:rPr>
                <w:rFonts w:cs="Arial"/>
                <w:szCs w:val="18"/>
                <w:lang w:eastAsia="ja-JP"/>
              </w:rPr>
              <w:t>third</w:t>
            </w:r>
            <w:r w:rsidRPr="00B02E86">
              <w:rPr>
                <w:rFonts w:cs="Arial" w:hint="eastAsia"/>
                <w:szCs w:val="18"/>
                <w:lang w:eastAsia="ja-JP"/>
              </w:rPr>
              <w:t xml:space="preserve"> meeting</w:t>
            </w:r>
            <w:r w:rsidRPr="00B02E86">
              <w:rPr>
                <w:rFonts w:cs="Arial"/>
                <w:szCs w:val="18"/>
                <w:lang w:eastAsia="ja-JP"/>
              </w:rPr>
              <w:t>:</w:t>
            </w:r>
            <w:r w:rsidRPr="00B02E86">
              <w:rPr>
                <w:rFonts w:cs="Arial" w:hint="eastAsia"/>
                <w:szCs w:val="18"/>
                <w:lang w:eastAsia="ja-JP"/>
              </w:rPr>
              <w:t xml:space="preserve"> </w:t>
            </w:r>
            <w:r w:rsidRPr="00B02E86">
              <w:rPr>
                <w:rFonts w:cs="Arial"/>
                <w:szCs w:val="18"/>
                <w:lang w:eastAsia="ja-JP"/>
              </w:rPr>
              <w:t xml:space="preserve"> </w:t>
            </w:r>
            <w:r w:rsidRPr="00B02E86">
              <w:rPr>
                <w:rFonts w:cs="Arial" w:hint="eastAsia"/>
                <w:szCs w:val="18"/>
                <w:highlight w:val="yellow"/>
                <w:lang w:eastAsia="ja-JP"/>
              </w:rPr>
              <w:t>yellow highlighted</w:t>
            </w:r>
          </w:p>
          <w:p w:rsidR="00BB7312" w:rsidRPr="00B02E86" w:rsidRDefault="00BB7312" w:rsidP="00BA1CCE">
            <w:pPr>
              <w:rPr>
                <w:rFonts w:cs="Arial"/>
                <w:szCs w:val="18"/>
              </w:rPr>
            </w:pPr>
          </w:p>
        </w:tc>
      </w:tr>
    </w:tbl>
    <w:p w:rsidR="00BB7312" w:rsidRDefault="00BB7312" w:rsidP="00BA1CCE">
      <w:pPr>
        <w:rPr>
          <w:snapToGrid w:val="0"/>
        </w:rPr>
      </w:pPr>
    </w:p>
    <w:p w:rsidR="00BB7312" w:rsidRDefault="00BB7312" w:rsidP="00BA1CCE">
      <w:pPr>
        <w:rPr>
          <w:snapToGrid w:val="0"/>
        </w:rPr>
      </w:pPr>
    </w:p>
    <w:p w:rsidR="00BB7312" w:rsidRDefault="00BB7312">
      <w:pPr>
        <w:jc w:val="left"/>
        <w:rPr>
          <w:snapToGrid w:val="0"/>
        </w:rPr>
      </w:pPr>
      <w:r>
        <w:rPr>
          <w:snapToGrid w:val="0"/>
        </w:rPr>
        <w:br w:type="page"/>
      </w:r>
    </w:p>
    <w:p w:rsidR="00BB7312" w:rsidRPr="00407B23" w:rsidRDefault="00BB7312" w:rsidP="00BA1CCE">
      <w:pPr>
        <w:jc w:val="center"/>
      </w:pPr>
      <w:r w:rsidRPr="00407B23">
        <w:t>EXPLANATORY NOTES ON VARIETY DENOMINATIONS</w:t>
      </w:r>
    </w:p>
    <w:p w:rsidR="00BB7312" w:rsidRPr="00407B23" w:rsidRDefault="00BB7312" w:rsidP="00BA1CCE">
      <w:pPr>
        <w:jc w:val="center"/>
      </w:pPr>
      <w:r w:rsidRPr="00407B23">
        <w:t>UNDER THE UPOV CONVENTION</w:t>
      </w:r>
    </w:p>
    <w:p w:rsidR="00BB7312" w:rsidRPr="00407B23" w:rsidRDefault="00BB7312" w:rsidP="00BA1CCE"/>
    <w:p w:rsidR="00BB7312" w:rsidRPr="00407B23" w:rsidRDefault="00BB7312" w:rsidP="00BA1CCE">
      <w:pPr>
        <w:jc w:val="center"/>
        <w:rPr>
          <w:i/>
        </w:rPr>
      </w:pPr>
      <w:r w:rsidRPr="00407B23">
        <w:rPr>
          <w:i/>
        </w:rPr>
        <w:t>Preamble</w:t>
      </w:r>
    </w:p>
    <w:p w:rsidR="00BB7312" w:rsidRPr="00407B23" w:rsidRDefault="00BB7312" w:rsidP="00BA1CCE"/>
    <w:p w:rsidR="00BB7312" w:rsidRPr="00407B23" w:rsidRDefault="00BB7312" w:rsidP="00BA1CCE">
      <w:r w:rsidRPr="00407B23">
        <w:t>1.</w:t>
      </w:r>
      <w:r w:rsidRPr="00407B23">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BB7312" w:rsidRPr="00407B23" w:rsidRDefault="00BB7312" w:rsidP="00BA1CCE"/>
    <w:p w:rsidR="00BB7312" w:rsidRPr="00407B23" w:rsidRDefault="00BB7312" w:rsidP="00BA1CCE">
      <w:r w:rsidRPr="00407B23">
        <w:t>2.</w:t>
      </w:r>
      <w:r w:rsidRPr="00407B23">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BB7312" w:rsidRPr="00407B23" w:rsidRDefault="00BB7312" w:rsidP="00BA1CCE"/>
    <w:p w:rsidR="00BB7312" w:rsidRDefault="00BB7312" w:rsidP="00BA1CCE">
      <w:r w:rsidRPr="00407B23">
        <w:t>3.</w:t>
      </w:r>
      <w:r w:rsidRPr="00407B23">
        <w:tab/>
        <w:t>The Council emphasizes that the main purpose of these Explanatory Notes is to ensure that, as far as possible, protected varieties are designated in all members of the Union</w:t>
      </w:r>
      <w:r w:rsidRPr="00407B23">
        <w:rPr>
          <w:rStyle w:val="FootnoteReference"/>
        </w:rPr>
        <w:footnoteReference w:id="1"/>
      </w:r>
      <w:r w:rsidRPr="00407B23">
        <w:t xml:space="preserve">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BB7312" w:rsidRPr="00407B23"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Default="00BB7312" w:rsidP="00BA1CCE">
            <w:pPr>
              <w:rPr>
                <w:sz w:val="18"/>
                <w:szCs w:val="18"/>
                <w:highlight w:val="yellow"/>
                <w:lang w:eastAsia="ja-JP"/>
              </w:rPr>
            </w:pPr>
            <w:r w:rsidRPr="00A6693C">
              <w:rPr>
                <w:rFonts w:hint="eastAsia"/>
                <w:color w:val="000000"/>
                <w:sz w:val="18"/>
                <w:szCs w:val="18"/>
                <w:highlight w:val="yellow"/>
                <w:u w:val="single"/>
                <w:lang w:eastAsia="ja-JP"/>
              </w:rPr>
              <w:t>T</w:t>
            </w:r>
            <w:r w:rsidRPr="00A6693C">
              <w:rPr>
                <w:color w:val="000000"/>
                <w:sz w:val="18"/>
                <w:szCs w:val="18"/>
                <w:highlight w:val="yellow"/>
                <w:u w:val="single"/>
              </w:rPr>
              <w:t xml:space="preserve">he </w:t>
            </w:r>
            <w:r w:rsidRPr="00A6693C">
              <w:rPr>
                <w:rFonts w:hint="eastAsia"/>
                <w:color w:val="000000"/>
                <w:sz w:val="18"/>
                <w:szCs w:val="18"/>
                <w:highlight w:val="yellow"/>
                <w:u w:val="single"/>
                <w:lang w:eastAsia="ja-JP"/>
              </w:rPr>
              <w:t>WG-DEN</w:t>
            </w:r>
            <w:r w:rsidRPr="00A6693C">
              <w:rPr>
                <w:color w:val="000000"/>
                <w:sz w:val="18"/>
                <w:szCs w:val="18"/>
                <w:highlight w:val="yellow"/>
                <w:u w:val="single"/>
                <w:lang w:eastAsia="ja-JP"/>
              </w:rPr>
              <w:t>, at its third meeting,</w:t>
            </w:r>
            <w:r w:rsidRPr="00D167DE">
              <w:rPr>
                <w:rFonts w:hint="eastAsia"/>
                <w:color w:val="000000"/>
                <w:sz w:val="18"/>
                <w:szCs w:val="18"/>
                <w:highlight w:val="lightGray"/>
                <w:u w:val="single"/>
                <w:lang w:eastAsia="ja-JP"/>
              </w:rPr>
              <w:t xml:space="preserve"> </w:t>
            </w:r>
          </w:p>
          <w:p w:rsidR="00BB7312" w:rsidRPr="005E542B" w:rsidRDefault="00BB7312" w:rsidP="00BA1CCE">
            <w:pPr>
              <w:rPr>
                <w:sz w:val="18"/>
                <w:szCs w:val="18"/>
                <w:highlight w:val="yellow"/>
                <w:lang w:eastAsia="ja-JP"/>
              </w:rPr>
            </w:pPr>
          </w:p>
          <w:p w:rsidR="00BB7312" w:rsidRPr="00A6693C" w:rsidRDefault="00BB7312" w:rsidP="00BA1CCE">
            <w:pPr>
              <w:rPr>
                <w:sz w:val="18"/>
                <w:szCs w:val="18"/>
              </w:rPr>
            </w:pPr>
            <w:r w:rsidRPr="00A6693C">
              <w:rPr>
                <w:sz w:val="18"/>
                <w:szCs w:val="18"/>
                <w:highlight w:val="yellow"/>
              </w:rPr>
              <w:t>The WG-DEN agreed to issue a circular in order to explore the frequency that UPOV members were faced with existing denominations that did not meet their own criteria and the frequency that synonyms were created as a result.  In addition, the WG-DEN agreed to issue a circular to users on whether the current practices created problems.</w:t>
            </w:r>
          </w:p>
          <w:p w:rsidR="00BB7312" w:rsidRPr="005F2452" w:rsidRDefault="00BB7312" w:rsidP="00BA1CCE">
            <w:pPr>
              <w:rPr>
                <w:sz w:val="18"/>
                <w:szCs w:val="18"/>
              </w:rPr>
            </w:pPr>
          </w:p>
        </w:tc>
      </w:tr>
    </w:tbl>
    <w:p w:rsidR="00BB7312" w:rsidRPr="00407B23" w:rsidRDefault="00BB7312" w:rsidP="00BA1CCE"/>
    <w:p w:rsidR="00BB7312" w:rsidRPr="00407B23" w:rsidRDefault="00BB7312" w:rsidP="00BA1CCE">
      <w:r w:rsidRPr="00407B23">
        <w:t>4.</w:t>
      </w:r>
      <w:r w:rsidRPr="00407B23">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BB7312" w:rsidRPr="00407B23" w:rsidRDefault="00BB7312" w:rsidP="00BA1CCE"/>
    <w:p w:rsidR="00BB7312" w:rsidRPr="00407B23" w:rsidRDefault="00BB7312" w:rsidP="00BA1CCE">
      <w:r w:rsidRPr="00407B23">
        <w:t>5.</w:t>
      </w:r>
      <w:r w:rsidRPr="00407B23">
        <w:tab/>
        <w:t>The Council considers that the adoption of such Explanatory Notes for the uniform interpretation and application of the provisions on variety denominations will be of assistance not only to the authorities</w:t>
      </w:r>
      <w:r w:rsidRPr="00407B23">
        <w:rPr>
          <w:rStyle w:val="FootnoteReference"/>
        </w:rPr>
        <w:footnoteReference w:id="2"/>
      </w:r>
      <w:r w:rsidRPr="00407B23">
        <w:t xml:space="preserve"> of members of the Union but also to breeders in their selection of variety denominations.</w:t>
      </w:r>
    </w:p>
    <w:p w:rsidR="00BB7312" w:rsidRPr="00407B23" w:rsidRDefault="00BB7312" w:rsidP="00BA1CCE"/>
    <w:p w:rsidR="00BB7312" w:rsidRPr="00407B23" w:rsidRDefault="00BB7312" w:rsidP="00BA1CCE">
      <w:r w:rsidRPr="00407B23">
        <w:t>6.</w:t>
      </w:r>
      <w:r w:rsidRPr="00407B23">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BB7312" w:rsidRPr="00407B23" w:rsidRDefault="00BB7312" w:rsidP="00BA1CCE"/>
    <w:p w:rsidR="00BB7312" w:rsidRPr="00407B23" w:rsidRDefault="00BB7312" w:rsidP="00BA1CCE">
      <w:pPr>
        <w:tabs>
          <w:tab w:val="right" w:pos="1134"/>
          <w:tab w:val="left" w:pos="1418"/>
        </w:tabs>
      </w:pPr>
      <w:r w:rsidRPr="00407B23">
        <w:tab/>
        <w:t>(i)</w:t>
      </w:r>
      <w:r w:rsidRPr="00407B23">
        <w:tab/>
        <w:t xml:space="preserve">base their decisions on the suitability of proposed variety denominations on these Explanatory Notes; </w:t>
      </w:r>
    </w:p>
    <w:p w:rsidR="00BB7312" w:rsidRPr="00407B23" w:rsidRDefault="00BB7312" w:rsidP="00BA1CCE">
      <w:pPr>
        <w:tabs>
          <w:tab w:val="right" w:pos="1134"/>
          <w:tab w:val="left" w:pos="1418"/>
        </w:tabs>
      </w:pPr>
    </w:p>
    <w:p w:rsidR="00BB7312" w:rsidRPr="00407B23" w:rsidRDefault="00BB7312" w:rsidP="00BA1CCE">
      <w:pPr>
        <w:tabs>
          <w:tab w:val="right" w:pos="1134"/>
          <w:tab w:val="left" w:pos="1418"/>
        </w:tabs>
      </w:pPr>
      <w:r w:rsidRPr="00407B23">
        <w:tab/>
        <w:t>(ii)</w:t>
      </w:r>
      <w:r w:rsidRPr="00407B23">
        <w:tab/>
        <w:t xml:space="preserve">take into account the guidance in these Explanatory Notes concerning the procedure for assessing the suitability of proposed variety denominations and the exchange of information; </w:t>
      </w:r>
    </w:p>
    <w:p w:rsidR="00BB7312" w:rsidRPr="00407B23" w:rsidRDefault="00BB7312" w:rsidP="00BA1CCE">
      <w:pPr>
        <w:tabs>
          <w:tab w:val="right" w:pos="1134"/>
          <w:tab w:val="left" w:pos="1418"/>
        </w:tabs>
      </w:pPr>
    </w:p>
    <w:p w:rsidR="00BB7312" w:rsidRPr="00407B23" w:rsidRDefault="00BB7312" w:rsidP="00BA1CCE">
      <w:pPr>
        <w:tabs>
          <w:tab w:val="right" w:pos="1134"/>
          <w:tab w:val="left" w:pos="1418"/>
        </w:tabs>
      </w:pPr>
      <w:r w:rsidRPr="00407B23">
        <w:tab/>
        <w:t>(iii)</w:t>
      </w:r>
      <w:r w:rsidRPr="00407B23">
        <w:tab/>
        <w:t xml:space="preserve">provide comprehensive information concerning these Explanatory Notes, to assist breeders when selecting variety denominations. </w:t>
      </w:r>
    </w:p>
    <w:p w:rsidR="00BB7312" w:rsidRPr="00407B23" w:rsidRDefault="00BB7312" w:rsidP="00BA1CCE"/>
    <w:p w:rsidR="00BB7312" w:rsidRPr="00407B23" w:rsidRDefault="00BB7312" w:rsidP="00BA1CCE">
      <w:r w:rsidRPr="00407B23">
        <w:t xml:space="preserve">Prior guidance on this matter, provided by the </w:t>
      </w:r>
      <w:r>
        <w:t>“</w:t>
      </w:r>
      <w:r w:rsidRPr="00407B23">
        <w:t>Explanatory Notes on Variety Denominations under the UPOV Con</w:t>
      </w:r>
      <w:r>
        <w:t>vention” (document UPOV/INF/12/3</w:t>
      </w:r>
      <w:r w:rsidRPr="00407B23">
        <w:t>), is superseded by these Explanatory Notes.</w:t>
      </w:r>
    </w:p>
    <w:tbl>
      <w:tblPr>
        <w:tblW w:w="0" w:type="auto"/>
        <w:jc w:val="center"/>
        <w:tblLook w:val="0000" w:firstRow="0" w:lastRow="0" w:firstColumn="0" w:lastColumn="0" w:noHBand="0" w:noVBand="0"/>
      </w:tblPr>
      <w:tblGrid>
        <w:gridCol w:w="9287"/>
      </w:tblGrid>
      <w:tr w:rsidR="00BB7312" w:rsidRPr="00407B23" w:rsidTr="00BA1CCE">
        <w:trPr>
          <w:jc w:val="center"/>
        </w:trPr>
        <w:tc>
          <w:tcPr>
            <w:tcW w:w="9287" w:type="dxa"/>
            <w:tcBorders>
              <w:top w:val="single" w:sz="4" w:space="0" w:color="auto"/>
              <w:left w:val="single" w:sz="4" w:space="0" w:color="auto"/>
              <w:bottom w:val="single" w:sz="4" w:space="0" w:color="auto"/>
              <w:right w:val="single" w:sz="4" w:space="0" w:color="auto"/>
            </w:tcBorders>
          </w:tcPr>
          <w:p w:rsidR="00BB7312" w:rsidRPr="00407B23" w:rsidRDefault="00BB7312" w:rsidP="00BA1CCE">
            <w:pPr>
              <w:pStyle w:val="Style1"/>
              <w:pageBreakBefore/>
              <w:spacing w:before="240"/>
              <w:jc w:val="center"/>
              <w:rPr>
                <w:b/>
              </w:rPr>
            </w:pPr>
            <w:r w:rsidRPr="00407B23">
              <w:rPr>
                <w:b/>
              </w:rPr>
              <w:t xml:space="preserve">EXPLANATORY NOTES ON VARIETY DENOMINATIONS </w:t>
            </w:r>
            <w:r w:rsidRPr="00407B23">
              <w:rPr>
                <w:b/>
              </w:rPr>
              <w:br/>
              <w:t>UNDER THE UPOV CONVENTION</w:t>
            </w:r>
          </w:p>
          <w:p w:rsidR="00BB7312" w:rsidRPr="00407B23" w:rsidRDefault="00BB7312" w:rsidP="00BA1CCE">
            <w:pPr>
              <w:pStyle w:val="Style1"/>
              <w:pageBreakBefore/>
              <w:jc w:val="center"/>
            </w:pPr>
          </w:p>
          <w:p w:rsidR="00BB7312" w:rsidRPr="00407B23" w:rsidRDefault="00BB7312" w:rsidP="00BA1CCE">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BB7312" w:rsidRPr="00407B23" w:rsidRDefault="00BB7312" w:rsidP="00BA1CCE">
      <w:pPr>
        <w:pStyle w:val="Style1"/>
        <w:tabs>
          <w:tab w:val="clear" w:pos="907"/>
          <w:tab w:val="clear" w:pos="1077"/>
        </w:tabs>
        <w:rPr>
          <w:highlight w:val="yellow"/>
        </w:rPr>
      </w:pPr>
    </w:p>
    <w:p w:rsidR="00BB7312" w:rsidRPr="00407B23" w:rsidRDefault="00BB7312" w:rsidP="00BA1CCE">
      <w:pPr>
        <w:rPr>
          <w:i/>
        </w:rPr>
      </w:pPr>
    </w:p>
    <w:p w:rsidR="00BB7312" w:rsidRPr="00407B23" w:rsidRDefault="00BB7312" w:rsidP="00BA1CCE">
      <w:pPr>
        <w:jc w:val="center"/>
        <w:rPr>
          <w:b/>
        </w:rPr>
      </w:pPr>
      <w:r w:rsidRPr="00407B23">
        <w:rPr>
          <w:b/>
        </w:rPr>
        <w:t>Paragraph 1</w:t>
      </w:r>
    </w:p>
    <w:p w:rsidR="00BB7312" w:rsidRPr="00407B23" w:rsidRDefault="00BB7312" w:rsidP="00BA1CCE">
      <w:pPr>
        <w:jc w:val="center"/>
      </w:pPr>
      <w:r w:rsidRPr="00407B23">
        <w:t>(Paragraphs 1 and 3 of Article 13 of the 1961 Convention)</w:t>
      </w:r>
    </w:p>
    <w:p w:rsidR="00BB7312" w:rsidRPr="00407B23" w:rsidRDefault="00BB7312" w:rsidP="00BA1CCE"/>
    <w:p w:rsidR="00BB7312" w:rsidRPr="00407B23" w:rsidRDefault="00BB7312" w:rsidP="00BA1CCE">
      <w:pPr>
        <w:ind w:firstLine="567"/>
        <w:rPr>
          <w:b/>
        </w:rPr>
      </w:pPr>
      <w:r w:rsidRPr="00407B23">
        <w:rPr>
          <w:b/>
        </w:rPr>
        <w:t>[</w:t>
      </w:r>
      <w:r w:rsidRPr="00407B23">
        <w:rPr>
          <w:b/>
          <w:i/>
        </w:rPr>
        <w:t>Designation of varieties by denominations;  use of the denomination</w:t>
      </w:r>
      <w:r w:rsidRPr="00407B23">
        <w:rPr>
          <w:b/>
        </w:rPr>
        <w:t xml:space="preserve">]  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BB7312" w:rsidRPr="00407B23" w:rsidRDefault="00BB7312" w:rsidP="00BA1CCE">
      <w:pPr>
        <w:rPr>
          <w:b/>
        </w:rPr>
      </w:pPr>
    </w:p>
    <w:p w:rsidR="00BB7312" w:rsidRPr="00407B23" w:rsidRDefault="00BB7312" w:rsidP="00BA1CCE">
      <w:pPr>
        <w:rPr>
          <w:i/>
        </w:rPr>
      </w:pPr>
      <w:r w:rsidRPr="00407B23">
        <w:rPr>
          <w:i/>
        </w:rPr>
        <w:t>Explanatory Notes – Paragraph (1)</w:t>
      </w:r>
    </w:p>
    <w:p w:rsidR="00BB7312" w:rsidRPr="00407B23" w:rsidRDefault="00BB7312" w:rsidP="00BA1CCE"/>
    <w:p w:rsidR="00BB7312" w:rsidRPr="00407B23" w:rsidRDefault="00BB7312" w:rsidP="00BA1CCE">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BB7312" w:rsidRPr="00407B23" w:rsidRDefault="00BB7312" w:rsidP="00BA1CCE">
      <w:pPr>
        <w:widowControl w:val="0"/>
        <w:tabs>
          <w:tab w:val="left" w:pos="567"/>
        </w:tabs>
      </w:pPr>
    </w:p>
    <w:p w:rsidR="00BB7312" w:rsidRPr="00407B23" w:rsidRDefault="00BB7312" w:rsidP="00BA1CCE">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3"/>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Default="00BB7312" w:rsidP="00BA1CCE"/>
          <w:p w:rsidR="00BB7312" w:rsidRPr="005E542B" w:rsidRDefault="00BB7312" w:rsidP="00BA1CCE">
            <w:pPr>
              <w:shd w:val="clear" w:color="auto" w:fill="D9D9D9" w:themeFill="background1" w:themeFillShade="D9"/>
              <w:rPr>
                <w:color w:val="000000"/>
                <w:sz w:val="18"/>
                <w:szCs w:val="18"/>
                <w:highlight w:val="yellow"/>
                <w:u w:val="single"/>
                <w:lang w:eastAsia="ja-JP"/>
              </w:rPr>
            </w:pPr>
            <w:r w:rsidRPr="00C93901">
              <w:rPr>
                <w:rFonts w:hint="eastAsia"/>
                <w:color w:val="000000"/>
                <w:sz w:val="18"/>
                <w:szCs w:val="18"/>
                <w:highlight w:val="lightGray"/>
                <w:u w:val="single"/>
                <w:lang w:eastAsia="ja-JP"/>
              </w:rPr>
              <w:t>T</w:t>
            </w:r>
            <w:r w:rsidRPr="00C93901">
              <w:rPr>
                <w:color w:val="000000"/>
                <w:sz w:val="18"/>
                <w:szCs w:val="18"/>
                <w:highlight w:val="lightGray"/>
                <w:u w:val="single"/>
              </w:rPr>
              <w:t xml:space="preserve">he </w:t>
            </w:r>
            <w:r w:rsidRPr="00C93901">
              <w:rPr>
                <w:rFonts w:hint="eastAsia"/>
                <w:color w:val="000000"/>
                <w:sz w:val="18"/>
                <w:szCs w:val="18"/>
                <w:highlight w:val="lightGray"/>
                <w:u w:val="single"/>
                <w:lang w:eastAsia="ja-JP"/>
              </w:rPr>
              <w:t>WG-DEN</w:t>
            </w:r>
            <w:r>
              <w:rPr>
                <w:color w:val="000000"/>
                <w:sz w:val="18"/>
                <w:szCs w:val="18"/>
                <w:highlight w:val="lightGray"/>
                <w:u w:val="single"/>
                <w:lang w:eastAsia="ja-JP"/>
              </w:rPr>
              <w:t>, at its second meeting,</w:t>
            </w:r>
            <w:r w:rsidRPr="00C93901">
              <w:rPr>
                <w:rFonts w:hint="eastAsia"/>
                <w:color w:val="000000"/>
                <w:sz w:val="18"/>
                <w:szCs w:val="18"/>
                <w:highlight w:val="lightGray"/>
                <w:u w:val="single"/>
                <w:lang w:eastAsia="ja-JP"/>
              </w:rPr>
              <w:t xml:space="preserve"> agreed to consider the </w:t>
            </w:r>
            <w:r w:rsidRPr="00C93901">
              <w:rPr>
                <w:color w:val="000000"/>
                <w:sz w:val="18"/>
                <w:szCs w:val="18"/>
                <w:highlight w:val="lightGray"/>
                <w:u w:val="single"/>
                <w:lang w:eastAsia="ja-JP"/>
              </w:rPr>
              <w:t>following</w:t>
            </w:r>
            <w:r w:rsidRPr="00C93901">
              <w:rPr>
                <w:rFonts w:hint="eastAsia"/>
                <w:color w:val="000000"/>
                <w:sz w:val="18"/>
                <w:szCs w:val="18"/>
                <w:highlight w:val="lightGray"/>
                <w:u w:val="single"/>
                <w:lang w:eastAsia="ja-JP"/>
              </w:rPr>
              <w:t xml:space="preserve"> proposal at its third meeting</w:t>
            </w:r>
            <w:r w:rsidRPr="005E542B">
              <w:rPr>
                <w:rFonts w:hint="eastAsia"/>
                <w:color w:val="000000"/>
                <w:sz w:val="18"/>
                <w:szCs w:val="18"/>
                <w:highlight w:val="yellow"/>
                <w:u w:val="single"/>
                <w:lang w:eastAsia="ja-JP"/>
              </w:rPr>
              <w:t xml:space="preserve"> </w:t>
            </w:r>
          </w:p>
          <w:p w:rsidR="00BB7312" w:rsidRPr="005E542B" w:rsidRDefault="00BB7312" w:rsidP="00BA1CCE">
            <w:pPr>
              <w:shd w:val="clear" w:color="auto" w:fill="D9D9D9" w:themeFill="background1" w:themeFillShade="D9"/>
              <w:rPr>
                <w:color w:val="000000"/>
                <w:sz w:val="18"/>
                <w:szCs w:val="18"/>
                <w:highlight w:val="yellow"/>
                <w:u w:val="single"/>
              </w:rPr>
            </w:pPr>
          </w:p>
          <w:p w:rsidR="00BB7312" w:rsidRPr="00932960" w:rsidRDefault="00BB7312" w:rsidP="00BA1CCE">
            <w:pPr>
              <w:shd w:val="clear" w:color="auto" w:fill="D9D9D9" w:themeFill="background1" w:themeFillShade="D9"/>
              <w:rPr>
                <w:color w:val="000000"/>
                <w:sz w:val="18"/>
                <w:szCs w:val="18"/>
                <w:lang w:eastAsia="ja-JP"/>
              </w:rPr>
            </w:pPr>
            <w:r w:rsidRPr="00C93901">
              <w:rPr>
                <w:rFonts w:hint="eastAsia"/>
                <w:color w:val="000000"/>
                <w:sz w:val="18"/>
                <w:szCs w:val="18"/>
                <w:highlight w:val="lightGray"/>
                <w:lang w:eastAsia="ja-JP"/>
              </w:rPr>
              <w:t>I</w:t>
            </w:r>
            <w:r w:rsidRPr="00C93901">
              <w:rPr>
                <w:color w:val="000000"/>
                <w:sz w:val="18"/>
                <w:szCs w:val="18"/>
                <w:highlight w:val="lightGray"/>
                <w:lang w:eastAsia="ja-JP"/>
              </w:rPr>
              <w:t>f an authority did allow a denomination to be registered when the breeder of the variety was also the holder of a trademark that was identical to the variety denomination, the authority should inform the breeder of the obligation to allow the use of the denomination in connection with the variety, even after the expiration of the breeder’s right.</w:t>
            </w:r>
          </w:p>
          <w:p w:rsidR="00BB7312" w:rsidRDefault="00BB7312" w:rsidP="00BA1CCE"/>
        </w:tc>
      </w:tr>
    </w:tbl>
    <w:p w:rsidR="00BB7312" w:rsidRPr="00407B23"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Default="00BB7312" w:rsidP="00BA1CCE"/>
          <w:p w:rsidR="00BB7312" w:rsidRPr="005E542B" w:rsidRDefault="00BB7312" w:rsidP="00BA1CCE">
            <w:pPr>
              <w:shd w:val="clear" w:color="auto" w:fill="D9D9D9" w:themeFill="background1" w:themeFillShade="D9"/>
              <w:rPr>
                <w:color w:val="000000"/>
                <w:sz w:val="18"/>
                <w:szCs w:val="18"/>
                <w:highlight w:val="yellow"/>
                <w:u w:val="single"/>
                <w:lang w:eastAsia="ja-JP"/>
              </w:rPr>
            </w:pPr>
            <w:r>
              <w:rPr>
                <w:color w:val="000000"/>
                <w:sz w:val="18"/>
                <w:szCs w:val="18"/>
                <w:highlight w:val="yellow"/>
                <w:u w:val="single"/>
                <w:lang w:eastAsia="ja-JP"/>
              </w:rPr>
              <w:t>T</w:t>
            </w:r>
            <w:r w:rsidRPr="00E11A9C">
              <w:rPr>
                <w:color w:val="000000"/>
                <w:sz w:val="18"/>
                <w:szCs w:val="18"/>
                <w:highlight w:val="yellow"/>
                <w:u w:val="single"/>
              </w:rPr>
              <w:t xml:space="preserve">he </w:t>
            </w:r>
            <w:r w:rsidRPr="00E11A9C">
              <w:rPr>
                <w:rFonts w:hint="eastAsia"/>
                <w:color w:val="000000"/>
                <w:sz w:val="18"/>
                <w:szCs w:val="18"/>
                <w:highlight w:val="yellow"/>
                <w:u w:val="single"/>
                <w:lang w:eastAsia="ja-JP"/>
              </w:rPr>
              <w:t>WG-DEN</w:t>
            </w:r>
            <w:r w:rsidRPr="00E11A9C">
              <w:rPr>
                <w:color w:val="000000"/>
                <w:sz w:val="18"/>
                <w:szCs w:val="18"/>
                <w:highlight w:val="yellow"/>
                <w:u w:val="single"/>
                <w:lang w:eastAsia="ja-JP"/>
              </w:rPr>
              <w:t>, at its third meeting</w:t>
            </w:r>
            <w:r>
              <w:rPr>
                <w:color w:val="000000"/>
                <w:sz w:val="18"/>
                <w:szCs w:val="18"/>
                <w:highlight w:val="yellow"/>
                <w:u w:val="single"/>
                <w:lang w:eastAsia="ja-JP"/>
              </w:rPr>
              <w:t>, agreed</w:t>
            </w:r>
            <w:r w:rsidRPr="005E542B">
              <w:rPr>
                <w:rFonts w:hint="eastAsia"/>
                <w:color w:val="000000"/>
                <w:sz w:val="18"/>
                <w:szCs w:val="18"/>
                <w:highlight w:val="yellow"/>
                <w:u w:val="single"/>
                <w:lang w:eastAsia="ja-JP"/>
              </w:rPr>
              <w:t xml:space="preserve"> </w:t>
            </w:r>
          </w:p>
          <w:p w:rsidR="00BB7312" w:rsidRPr="005E542B" w:rsidRDefault="00BB7312" w:rsidP="00BA1CCE">
            <w:pPr>
              <w:shd w:val="clear" w:color="auto" w:fill="D9D9D9" w:themeFill="background1" w:themeFillShade="D9"/>
              <w:rPr>
                <w:color w:val="000000"/>
                <w:sz w:val="18"/>
                <w:szCs w:val="18"/>
                <w:highlight w:val="yellow"/>
                <w:u w:val="single"/>
              </w:rPr>
            </w:pPr>
          </w:p>
          <w:p w:rsidR="00BB7312" w:rsidRDefault="00BB7312" w:rsidP="00BA1CCE">
            <w:pPr>
              <w:rPr>
                <w:color w:val="000000"/>
                <w:sz w:val="18"/>
                <w:szCs w:val="18"/>
                <w:lang w:eastAsia="ja-JP"/>
              </w:rPr>
            </w:pPr>
            <w:r>
              <w:rPr>
                <w:color w:val="000000"/>
                <w:sz w:val="18"/>
                <w:szCs w:val="18"/>
                <w:highlight w:val="yellow"/>
                <w:lang w:eastAsia="ja-JP"/>
              </w:rPr>
              <w:t>T</w:t>
            </w:r>
            <w:r w:rsidRPr="00E11A9C">
              <w:rPr>
                <w:color w:val="000000"/>
                <w:sz w:val="18"/>
                <w:szCs w:val="18"/>
                <w:highlight w:val="yellow"/>
                <w:lang w:eastAsia="ja-JP"/>
              </w:rPr>
              <w:t xml:space="preserve">o propose additional text to explain that, 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 </w:t>
            </w:r>
          </w:p>
          <w:p w:rsidR="00BB7312" w:rsidRDefault="00BB7312" w:rsidP="00BA1CCE"/>
        </w:tc>
      </w:tr>
    </w:tbl>
    <w:p w:rsidR="00BB7312" w:rsidRDefault="00BB7312" w:rsidP="00BA1CCE">
      <w:pPr>
        <w:keepNext/>
        <w:jc w:val="center"/>
        <w:rPr>
          <w:b/>
        </w:rPr>
      </w:pPr>
    </w:p>
    <w:p w:rsidR="00BB7312" w:rsidRDefault="00BB7312" w:rsidP="00BA1CCE">
      <w:pPr>
        <w:keepNext/>
        <w:jc w:val="center"/>
        <w:rPr>
          <w:b/>
        </w:rPr>
      </w:pPr>
    </w:p>
    <w:p w:rsidR="00BB7312" w:rsidRPr="00407B23" w:rsidRDefault="00BB7312" w:rsidP="00BA1CCE">
      <w:pPr>
        <w:keepNext/>
        <w:jc w:val="center"/>
        <w:rPr>
          <w:b/>
        </w:rPr>
      </w:pPr>
      <w:r w:rsidRPr="00407B23">
        <w:rPr>
          <w:b/>
        </w:rPr>
        <w:t>Paragraph 2</w:t>
      </w:r>
    </w:p>
    <w:p w:rsidR="00BB7312" w:rsidRPr="00407B23" w:rsidRDefault="00BB7312" w:rsidP="00BA1CCE">
      <w:pPr>
        <w:keepNext/>
        <w:jc w:val="center"/>
        <w:rPr>
          <w:b/>
        </w:rPr>
      </w:pPr>
    </w:p>
    <w:p w:rsidR="00BB7312" w:rsidRPr="00407B23" w:rsidRDefault="00BB7312" w:rsidP="00BA1CCE">
      <w:pPr>
        <w:ind w:firstLine="567"/>
        <w:rPr>
          <w:b/>
        </w:rPr>
      </w:pPr>
      <w:r w:rsidRPr="00407B23">
        <w:rPr>
          <w:b/>
        </w:rPr>
        <w:t>[</w:t>
      </w:r>
      <w:r w:rsidRPr="00407B23">
        <w:rPr>
          <w:b/>
          <w:i/>
        </w:rPr>
        <w:t>Characteristics of the denomination</w:t>
      </w:r>
      <w:r w:rsidRPr="00407B23">
        <w:rPr>
          <w:b/>
        </w:rPr>
        <w:t>]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BB7312" w:rsidRPr="00407B23" w:rsidRDefault="00BB7312" w:rsidP="00BA1CCE"/>
    <w:p w:rsidR="00BB7312" w:rsidRPr="00407B23" w:rsidRDefault="00BB7312" w:rsidP="00BA1CCE">
      <w:pPr>
        <w:rPr>
          <w:i/>
        </w:rPr>
      </w:pPr>
      <w:r w:rsidRPr="00407B23">
        <w:rPr>
          <w:i/>
        </w:rPr>
        <w:t>Explanatory Notes – Paragraph (2)</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Pr="005F2452" w:rsidRDefault="00BB7312" w:rsidP="00BA1CCE">
            <w:pPr>
              <w:rPr>
                <w:color w:val="000000"/>
                <w:sz w:val="18"/>
                <w:szCs w:val="18"/>
                <w:u w:val="single"/>
              </w:rPr>
            </w:pPr>
            <w:r>
              <w:rPr>
                <w:color w:val="000000"/>
                <w:sz w:val="18"/>
                <w:szCs w:val="18"/>
                <w:u w:val="single"/>
              </w:rPr>
              <w:t xml:space="preserve">General comment </w:t>
            </w:r>
            <w:r w:rsidRPr="005F2452">
              <w:rPr>
                <w:color w:val="000000"/>
                <w:sz w:val="18"/>
                <w:szCs w:val="18"/>
                <w:u w:val="single"/>
              </w:rPr>
              <w:t xml:space="preserve">by </w:t>
            </w:r>
            <w:r>
              <w:rPr>
                <w:color w:val="000000"/>
                <w:sz w:val="18"/>
                <w:szCs w:val="18"/>
                <w:u w:val="single"/>
              </w:rPr>
              <w:t xml:space="preserve">the </w:t>
            </w:r>
            <w:r w:rsidRPr="005F2452">
              <w:rPr>
                <w:color w:val="000000"/>
                <w:sz w:val="18"/>
                <w:szCs w:val="18"/>
                <w:u w:val="single"/>
              </w:rPr>
              <w:t>European Union (CPVO)</w:t>
            </w:r>
            <w:r w:rsidR="00FC3A91">
              <w:rPr>
                <w:color w:val="000000"/>
                <w:sz w:val="18"/>
                <w:szCs w:val="18"/>
                <w:vertAlign w:val="superscript"/>
              </w:rPr>
              <w:t>a</w:t>
            </w:r>
          </w:p>
          <w:p w:rsidR="00BB7312" w:rsidRPr="005F2452" w:rsidRDefault="00BB7312" w:rsidP="00BA1CCE">
            <w:pPr>
              <w:rPr>
                <w:color w:val="000000"/>
                <w:sz w:val="18"/>
                <w:szCs w:val="18"/>
                <w:u w:val="single"/>
              </w:rPr>
            </w:pPr>
          </w:p>
          <w:p w:rsidR="00BB7312" w:rsidRPr="005F2452" w:rsidRDefault="00BB7312" w:rsidP="00BA1CCE">
            <w:pPr>
              <w:rPr>
                <w:sz w:val="18"/>
                <w:szCs w:val="18"/>
              </w:rPr>
            </w:pPr>
            <w:r w:rsidRPr="005F2452">
              <w:rPr>
                <w:sz w:val="18"/>
                <w:szCs w:val="18"/>
              </w:rPr>
              <w:t>Articles 3,</w:t>
            </w:r>
            <w:r>
              <w:rPr>
                <w:sz w:val="18"/>
                <w:szCs w:val="18"/>
              </w:rPr>
              <w:t xml:space="preserve"> </w:t>
            </w:r>
            <w:r w:rsidRPr="005F2452">
              <w:rPr>
                <w:sz w:val="18"/>
                <w:szCs w:val="18"/>
              </w:rPr>
              <w:t>4 and 7 of the CPVO Guidelines on variety denominations provide some more detailed guidance on this subject</w:t>
            </w:r>
            <w:r>
              <w:rPr>
                <w:sz w:val="18"/>
                <w:szCs w:val="18"/>
              </w:rPr>
              <w:t>.</w:t>
            </w:r>
          </w:p>
          <w:p w:rsidR="00BB7312" w:rsidRPr="005F2452"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Pr="00A42B98" w:rsidRDefault="00BB7312" w:rsidP="00BA1CCE">
            <w:pPr>
              <w:tabs>
                <w:tab w:val="left" w:pos="567"/>
              </w:tabs>
              <w:rPr>
                <w:sz w:val="18"/>
                <w:szCs w:val="18"/>
                <w:lang w:eastAsia="ja-JP"/>
              </w:rPr>
            </w:pPr>
            <w:r w:rsidRPr="00A42B98">
              <w:rPr>
                <w:sz w:val="18"/>
                <w:szCs w:val="18"/>
                <w:u w:val="single"/>
              </w:rPr>
              <w:t>Agreed by the WG-DEN</w:t>
            </w:r>
            <w:r w:rsidRPr="00A42B98">
              <w:rPr>
                <w:rFonts w:hint="eastAsia"/>
                <w:sz w:val="18"/>
                <w:szCs w:val="18"/>
                <w:u w:val="single"/>
                <w:lang w:eastAsia="ja-JP"/>
              </w:rPr>
              <w:t>, at its first meeting</w:t>
            </w:r>
            <w:r w:rsidR="00FC3A91" w:rsidRPr="00FC3A91">
              <w:rPr>
                <w:sz w:val="18"/>
                <w:szCs w:val="18"/>
                <w:vertAlign w:val="superscript"/>
                <w:lang w:eastAsia="ja-JP"/>
              </w:rPr>
              <w:t>b</w:t>
            </w:r>
          </w:p>
          <w:p w:rsidR="00BB7312" w:rsidRPr="00A42B98" w:rsidRDefault="00BB7312" w:rsidP="00BA1CCE">
            <w:pPr>
              <w:rPr>
                <w:sz w:val="18"/>
                <w:szCs w:val="18"/>
              </w:rPr>
            </w:pPr>
          </w:p>
          <w:p w:rsidR="00BB7312" w:rsidRPr="006E7801" w:rsidRDefault="00BB7312" w:rsidP="00BA1CCE">
            <w:pPr>
              <w:rPr>
                <w:sz w:val="16"/>
                <w:szCs w:val="18"/>
              </w:rPr>
            </w:pPr>
            <w:r w:rsidRPr="00A42B98">
              <w:rPr>
                <w:rFonts w:hint="eastAsia"/>
                <w:sz w:val="18"/>
                <w:szCs w:val="18"/>
                <w:lang w:eastAsia="ja-JP"/>
              </w:rPr>
              <w:t>T</w:t>
            </w:r>
            <w:r w:rsidRPr="00A42B98">
              <w:rPr>
                <w:rFonts w:hint="eastAsia"/>
                <w:sz w:val="18"/>
                <w:lang w:eastAsia="ja-JP"/>
              </w:rPr>
              <w:t>here are four categories of denominations</w:t>
            </w:r>
            <w:r w:rsidRPr="00A42B98">
              <w:rPr>
                <w:sz w:val="18"/>
                <w:lang w:eastAsia="ja-JP"/>
              </w:rPr>
              <w:t xml:space="preserve">: </w:t>
            </w:r>
            <w:r w:rsidRPr="00A42B98">
              <w:rPr>
                <w:rFonts w:hint="eastAsia"/>
                <w:sz w:val="18"/>
                <w:lang w:eastAsia="ja-JP"/>
              </w:rPr>
              <w:t xml:space="preserve"> </w:t>
            </w:r>
            <w:r w:rsidRPr="00A42B98">
              <w:rPr>
                <w:sz w:val="18"/>
                <w:lang w:eastAsia="ja-JP"/>
              </w:rPr>
              <w:t>pronounceable</w:t>
            </w:r>
            <w:r w:rsidRPr="00A42B98">
              <w:rPr>
                <w:rFonts w:hint="eastAsia"/>
                <w:sz w:val="18"/>
                <w:lang w:eastAsia="ja-JP"/>
              </w:rPr>
              <w:t xml:space="preserve"> words</w:t>
            </w:r>
            <w:r w:rsidRPr="00A42B98">
              <w:rPr>
                <w:sz w:val="18"/>
                <w:lang w:eastAsia="ja-JP"/>
              </w:rPr>
              <w:t xml:space="preserve">; </w:t>
            </w:r>
            <w:r w:rsidRPr="00A42B98">
              <w:rPr>
                <w:rFonts w:hint="eastAsia"/>
                <w:sz w:val="18"/>
                <w:lang w:eastAsia="ja-JP"/>
              </w:rPr>
              <w:t xml:space="preserve">letters only (not in the form of </w:t>
            </w:r>
            <w:r w:rsidRPr="00A42B98">
              <w:rPr>
                <w:sz w:val="18"/>
                <w:lang w:eastAsia="ja-JP"/>
              </w:rPr>
              <w:t>pronounceable</w:t>
            </w:r>
            <w:r w:rsidRPr="00A42B98">
              <w:rPr>
                <w:rFonts w:hint="eastAsia"/>
                <w:sz w:val="18"/>
                <w:lang w:eastAsia="ja-JP"/>
              </w:rPr>
              <w:t xml:space="preserve"> words)</w:t>
            </w:r>
            <w:r w:rsidRPr="00A42B98">
              <w:rPr>
                <w:sz w:val="18"/>
                <w:lang w:eastAsia="ja-JP"/>
              </w:rPr>
              <w:t>;</w:t>
            </w:r>
            <w:r w:rsidRPr="00A42B98">
              <w:rPr>
                <w:rFonts w:hint="eastAsia"/>
                <w:sz w:val="18"/>
                <w:lang w:eastAsia="ja-JP"/>
              </w:rPr>
              <w:t xml:space="preserve"> letters and figures</w:t>
            </w:r>
            <w:r w:rsidRPr="00A42B98">
              <w:rPr>
                <w:sz w:val="18"/>
                <w:lang w:eastAsia="ja-JP"/>
              </w:rPr>
              <w:t xml:space="preserve">; </w:t>
            </w:r>
            <w:r w:rsidRPr="00A42B98">
              <w:rPr>
                <w:rFonts w:hint="eastAsia"/>
                <w:sz w:val="18"/>
                <w:lang w:eastAsia="ja-JP"/>
              </w:rPr>
              <w:t>and figures only.</w:t>
            </w:r>
          </w:p>
          <w:p w:rsidR="00BB7312" w:rsidRPr="005F2452"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Pr="005E542B" w:rsidRDefault="00BB7312" w:rsidP="00BA1CCE">
            <w:pPr>
              <w:tabs>
                <w:tab w:val="left" w:pos="567"/>
              </w:tabs>
              <w:rPr>
                <w:sz w:val="18"/>
                <w:szCs w:val="18"/>
                <w:highlight w:val="yellow"/>
                <w:lang w:eastAsia="ja-JP"/>
              </w:rPr>
            </w:pPr>
            <w:r w:rsidRPr="00DB3DD4">
              <w:rPr>
                <w:rFonts w:hint="eastAsia"/>
                <w:color w:val="000000"/>
                <w:sz w:val="18"/>
                <w:szCs w:val="18"/>
                <w:highlight w:val="lightGray"/>
                <w:u w:val="single"/>
                <w:lang w:eastAsia="ja-JP"/>
              </w:rPr>
              <w:t>T</w:t>
            </w:r>
            <w:r w:rsidRPr="00DB3DD4">
              <w:rPr>
                <w:color w:val="000000"/>
                <w:sz w:val="18"/>
                <w:szCs w:val="18"/>
                <w:highlight w:val="lightGray"/>
                <w:u w:val="single"/>
              </w:rPr>
              <w:t xml:space="preserve">he </w:t>
            </w:r>
            <w:r w:rsidRPr="00DB3DD4">
              <w:rPr>
                <w:rFonts w:hint="eastAsia"/>
                <w:color w:val="000000"/>
                <w:sz w:val="18"/>
                <w:szCs w:val="18"/>
                <w:highlight w:val="lightGray"/>
                <w:u w:val="single"/>
                <w:lang w:eastAsia="ja-JP"/>
              </w:rPr>
              <w:t>WG-DEN</w:t>
            </w:r>
            <w:r w:rsidRPr="00DB3DD4">
              <w:rPr>
                <w:color w:val="000000"/>
                <w:sz w:val="18"/>
                <w:szCs w:val="18"/>
                <w:highlight w:val="lightGray"/>
                <w:u w:val="single"/>
                <w:lang w:eastAsia="ja-JP"/>
              </w:rPr>
              <w:t>, at its second meeting,</w:t>
            </w:r>
            <w:r w:rsidRPr="00DB3DD4">
              <w:rPr>
                <w:rFonts w:hint="eastAsia"/>
                <w:color w:val="000000"/>
                <w:sz w:val="18"/>
                <w:szCs w:val="18"/>
                <w:highlight w:val="lightGray"/>
                <w:u w:val="single"/>
                <w:lang w:eastAsia="ja-JP"/>
              </w:rPr>
              <w:t xml:space="preserve"> agreed to consider the </w:t>
            </w:r>
            <w:r w:rsidRPr="00DB3DD4">
              <w:rPr>
                <w:color w:val="000000"/>
                <w:sz w:val="18"/>
                <w:szCs w:val="18"/>
                <w:highlight w:val="lightGray"/>
                <w:u w:val="single"/>
                <w:lang w:eastAsia="ja-JP"/>
              </w:rPr>
              <w:t>following</w:t>
            </w:r>
            <w:r w:rsidRPr="00DB3DD4">
              <w:rPr>
                <w:rFonts w:hint="eastAsia"/>
                <w:color w:val="000000"/>
                <w:sz w:val="18"/>
                <w:szCs w:val="18"/>
                <w:highlight w:val="lightGray"/>
                <w:u w:val="single"/>
                <w:lang w:eastAsia="ja-JP"/>
              </w:rPr>
              <w:t xml:space="preserve"> proposal at its third meeting</w:t>
            </w:r>
          </w:p>
          <w:p w:rsidR="00BB7312" w:rsidRPr="005E542B" w:rsidRDefault="00BB7312" w:rsidP="00BA1CCE">
            <w:pPr>
              <w:rPr>
                <w:sz w:val="18"/>
                <w:szCs w:val="18"/>
                <w:highlight w:val="yellow"/>
              </w:rPr>
            </w:pPr>
          </w:p>
          <w:p w:rsidR="00BB7312" w:rsidRPr="006E7801" w:rsidRDefault="00BB7312" w:rsidP="00BA1CCE">
            <w:pPr>
              <w:rPr>
                <w:sz w:val="16"/>
                <w:szCs w:val="18"/>
              </w:rPr>
            </w:pPr>
            <w:r w:rsidRPr="00DB3DD4">
              <w:rPr>
                <w:rFonts w:hint="eastAsia"/>
                <w:sz w:val="18"/>
                <w:highlight w:val="lightGray"/>
                <w:lang w:eastAsia="ja-JP"/>
              </w:rPr>
              <w:t>T</w:t>
            </w:r>
            <w:r w:rsidRPr="00DB3DD4">
              <w:rPr>
                <w:sz w:val="18"/>
                <w:highlight w:val="lightGray"/>
                <w:lang w:eastAsia="ja-JP"/>
              </w:rPr>
              <w:t>he definition of “words” and the four categories of denominations: pronounceable words; letters only (not in the form of pronounceable words); letters and figures; and figures only</w:t>
            </w:r>
            <w:r w:rsidRPr="00DB3DD4">
              <w:rPr>
                <w:rFonts w:hint="eastAsia"/>
                <w:sz w:val="18"/>
                <w:highlight w:val="lightGray"/>
                <w:lang w:eastAsia="ja-JP"/>
              </w:rPr>
              <w:t>.</w:t>
            </w:r>
          </w:p>
          <w:p w:rsidR="00BB7312" w:rsidRPr="005F2452" w:rsidRDefault="00BB7312" w:rsidP="00BA1CCE">
            <w:pPr>
              <w:rPr>
                <w:sz w:val="18"/>
                <w:szCs w:val="18"/>
              </w:rPr>
            </w:pPr>
          </w:p>
        </w:tc>
      </w:tr>
    </w:tbl>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Default="00BB7312" w:rsidP="00BA1CCE">
            <w:pPr>
              <w:rPr>
                <w:sz w:val="18"/>
                <w:szCs w:val="18"/>
                <w:highlight w:val="yellow"/>
                <w:lang w:eastAsia="ja-JP"/>
              </w:rPr>
            </w:pPr>
            <w:r w:rsidRPr="00A6693C">
              <w:rPr>
                <w:rFonts w:hint="eastAsia"/>
                <w:color w:val="000000"/>
                <w:sz w:val="18"/>
                <w:szCs w:val="18"/>
                <w:highlight w:val="yellow"/>
                <w:u w:val="single"/>
                <w:lang w:eastAsia="ja-JP"/>
              </w:rPr>
              <w:t>T</w:t>
            </w:r>
            <w:r w:rsidRPr="00A6693C">
              <w:rPr>
                <w:color w:val="000000"/>
                <w:sz w:val="18"/>
                <w:szCs w:val="18"/>
                <w:highlight w:val="yellow"/>
                <w:u w:val="single"/>
              </w:rPr>
              <w:t xml:space="preserve">he </w:t>
            </w:r>
            <w:r w:rsidRPr="00A6693C">
              <w:rPr>
                <w:rFonts w:hint="eastAsia"/>
                <w:color w:val="000000"/>
                <w:sz w:val="18"/>
                <w:szCs w:val="18"/>
                <w:highlight w:val="yellow"/>
                <w:u w:val="single"/>
                <w:lang w:eastAsia="ja-JP"/>
              </w:rPr>
              <w:t>WG-DEN</w:t>
            </w:r>
            <w:r w:rsidRPr="00A6693C">
              <w:rPr>
                <w:color w:val="000000"/>
                <w:sz w:val="18"/>
                <w:szCs w:val="18"/>
                <w:highlight w:val="yellow"/>
                <w:u w:val="single"/>
                <w:lang w:eastAsia="ja-JP"/>
              </w:rPr>
              <w:t>, at its third meeting,</w:t>
            </w:r>
            <w:r w:rsidRPr="00D167DE">
              <w:rPr>
                <w:rFonts w:hint="eastAsia"/>
                <w:color w:val="000000"/>
                <w:sz w:val="18"/>
                <w:szCs w:val="18"/>
                <w:highlight w:val="lightGray"/>
                <w:u w:val="single"/>
                <w:lang w:eastAsia="ja-JP"/>
              </w:rPr>
              <w:t xml:space="preserve"> </w:t>
            </w:r>
          </w:p>
          <w:p w:rsidR="00BB7312" w:rsidRPr="005E542B" w:rsidRDefault="00BB7312" w:rsidP="00BA1CCE">
            <w:pPr>
              <w:rPr>
                <w:sz w:val="18"/>
                <w:szCs w:val="18"/>
                <w:highlight w:val="yellow"/>
                <w:lang w:eastAsia="ja-JP"/>
              </w:rPr>
            </w:pPr>
          </w:p>
          <w:p w:rsidR="00BB7312" w:rsidRDefault="00BB7312" w:rsidP="00BA1CCE">
            <w:pPr>
              <w:rPr>
                <w:sz w:val="18"/>
                <w:lang w:eastAsia="ja-JP"/>
              </w:rPr>
            </w:pPr>
            <w:r w:rsidRPr="00A6693C">
              <w:rPr>
                <w:sz w:val="18"/>
                <w:highlight w:val="yellow"/>
                <w:lang w:eastAsia="ja-JP"/>
              </w:rPr>
              <w:t>noted that there were some significant differences in the detailed criteria for variety denomination suitability between UPOV members and that it might be difficult to achieve complete harmonization.  The WG-DEN noted that such differences in criteria would not lead to the creation of a synonym if authorities accepted the denomination that was submitted and registered with the first application, even if the denomination would not have met the criteria in their territory.</w:t>
            </w:r>
          </w:p>
          <w:p w:rsidR="00BB7312" w:rsidRPr="005F2452" w:rsidRDefault="00BB7312" w:rsidP="00BA1CCE">
            <w:pPr>
              <w:rPr>
                <w:sz w:val="18"/>
                <w:szCs w:val="18"/>
              </w:rPr>
            </w:pPr>
          </w:p>
        </w:tc>
      </w:tr>
    </w:tbl>
    <w:p w:rsidR="00BB7312" w:rsidRDefault="00BB7312" w:rsidP="00BA1CCE">
      <w:pPr>
        <w:rPr>
          <w:lang w:eastAsia="ja-JP"/>
        </w:rPr>
      </w:pPr>
    </w:p>
    <w:p w:rsidR="00BB7312" w:rsidRDefault="00BB7312" w:rsidP="00BA1CCE">
      <w:pPr>
        <w:rPr>
          <w:lang w:eastAsia="ja-JP"/>
        </w:rPr>
      </w:pPr>
    </w:p>
    <w:p w:rsidR="00BB7312" w:rsidRPr="00407B23" w:rsidRDefault="00BB7312" w:rsidP="00BA1CCE">
      <w:pPr>
        <w:rPr>
          <w:i/>
        </w:rPr>
      </w:pPr>
      <w:r w:rsidRPr="00407B23">
        <w:rPr>
          <w:i/>
        </w:rPr>
        <w:t>2.1</w:t>
      </w:r>
      <w:r w:rsidRPr="00407B23">
        <w:rPr>
          <w:i/>
        </w:rPr>
        <w:tab/>
        <w:t>Identification</w:t>
      </w:r>
    </w:p>
    <w:p w:rsidR="00BB7312" w:rsidRPr="00407B23" w:rsidRDefault="00BB7312" w:rsidP="00BA1CCE"/>
    <w:p w:rsidR="00BB7312" w:rsidRDefault="00BB7312" w:rsidP="00BA1CCE">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BB7312" w:rsidRDefault="00BB7312" w:rsidP="00BA1CCE">
      <w:pPr>
        <w:tabs>
          <w:tab w:val="left" w:pos="567"/>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3101A8" w:rsidRDefault="00BB7312" w:rsidP="00BA1CCE">
            <w:pPr>
              <w:tabs>
                <w:tab w:val="left" w:pos="567"/>
              </w:tabs>
              <w:rPr>
                <w:sz w:val="18"/>
                <w:szCs w:val="18"/>
              </w:rPr>
            </w:pPr>
          </w:p>
          <w:p w:rsidR="00BB7312" w:rsidRPr="00C46A71" w:rsidRDefault="00BB7312" w:rsidP="00BA1CCE">
            <w:pPr>
              <w:tabs>
                <w:tab w:val="left" w:pos="567"/>
              </w:tabs>
              <w:rPr>
                <w:color w:val="000000"/>
                <w:sz w:val="18"/>
                <w:szCs w:val="18"/>
                <w:u w:val="single"/>
                <w:lang w:eastAsia="ja-JP"/>
              </w:rPr>
            </w:pPr>
            <w:r w:rsidRPr="00C46A71">
              <w:rPr>
                <w:color w:val="000000"/>
                <w:sz w:val="18"/>
                <w:szCs w:val="18"/>
                <w:u w:val="single"/>
              </w:rPr>
              <w:t xml:space="preserve">Proposal by </w:t>
            </w:r>
            <w:r>
              <w:rPr>
                <w:color w:val="000000"/>
                <w:sz w:val="18"/>
                <w:szCs w:val="18"/>
                <w:u w:val="single"/>
              </w:rPr>
              <w:t xml:space="preserve">the </w:t>
            </w:r>
            <w:r w:rsidRPr="00C46A71">
              <w:rPr>
                <w:color w:val="000000"/>
                <w:sz w:val="18"/>
                <w:szCs w:val="18"/>
                <w:u w:val="single"/>
              </w:rPr>
              <w:t>European Union (CPVO)</w:t>
            </w:r>
            <w:r w:rsidRPr="00395671">
              <w:rPr>
                <w:rFonts w:hint="eastAsia"/>
                <w:color w:val="000000"/>
                <w:sz w:val="18"/>
                <w:szCs w:val="18"/>
                <w:vertAlign w:val="superscript"/>
                <w:lang w:eastAsia="ja-JP"/>
              </w:rPr>
              <w:t>a</w:t>
            </w:r>
          </w:p>
          <w:p w:rsidR="00BB7312" w:rsidRPr="003101A8" w:rsidRDefault="00BB7312" w:rsidP="00BA1CCE">
            <w:pPr>
              <w:tabs>
                <w:tab w:val="left" w:pos="567"/>
              </w:tabs>
              <w:rPr>
                <w:sz w:val="18"/>
                <w:szCs w:val="18"/>
              </w:rPr>
            </w:pPr>
          </w:p>
          <w:p w:rsidR="00BB7312" w:rsidRPr="00C46A71" w:rsidRDefault="00BB7312" w:rsidP="00BA1CCE">
            <w:pPr>
              <w:tabs>
                <w:tab w:val="left" w:pos="567"/>
              </w:tabs>
              <w:rPr>
                <w:sz w:val="18"/>
                <w:szCs w:val="18"/>
              </w:rPr>
            </w:pPr>
            <w:r w:rsidRPr="00C46A71">
              <w:rPr>
                <w:sz w:val="18"/>
                <w:szCs w:val="18"/>
              </w:rPr>
              <w:t>It would be important to mention the difference between fancy names and codes</w:t>
            </w:r>
            <w:r>
              <w:rPr>
                <w:sz w:val="18"/>
                <w:szCs w:val="18"/>
              </w:rPr>
              <w:t>.</w:t>
            </w:r>
          </w:p>
          <w:p w:rsidR="00BB7312" w:rsidRPr="003101A8" w:rsidRDefault="00BB7312" w:rsidP="00BA1CCE">
            <w:pPr>
              <w:tabs>
                <w:tab w:val="left" w:pos="567"/>
              </w:tabs>
              <w:rPr>
                <w:sz w:val="18"/>
                <w:szCs w:val="18"/>
              </w:rPr>
            </w:pPr>
          </w:p>
        </w:tc>
      </w:tr>
    </w:tbl>
    <w:p w:rsidR="00BB7312" w:rsidRDefault="00BB7312" w:rsidP="00BA1CCE">
      <w:pPr>
        <w:tabs>
          <w:tab w:val="left" w:pos="567"/>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AB5F07" w:rsidRDefault="00BB7312" w:rsidP="00BA1CCE">
            <w:pPr>
              <w:tabs>
                <w:tab w:val="left" w:pos="567"/>
              </w:tabs>
              <w:rPr>
                <w:sz w:val="18"/>
                <w:szCs w:val="18"/>
              </w:rPr>
            </w:pPr>
          </w:p>
          <w:p w:rsidR="00BB7312" w:rsidRPr="00AB5F07" w:rsidRDefault="00BB7312" w:rsidP="00BA1CCE">
            <w:pPr>
              <w:tabs>
                <w:tab w:val="left" w:pos="567"/>
              </w:tabs>
              <w:rPr>
                <w:sz w:val="18"/>
                <w:szCs w:val="18"/>
              </w:rPr>
            </w:pPr>
            <w:r w:rsidRPr="00AB5F07">
              <w:rPr>
                <w:sz w:val="18"/>
                <w:szCs w:val="18"/>
                <w:u w:val="single"/>
              </w:rPr>
              <w:t>Proposal by New Zealand</w:t>
            </w:r>
            <w:r w:rsidR="00FC3A91" w:rsidRPr="00FC3A91">
              <w:rPr>
                <w:sz w:val="18"/>
                <w:szCs w:val="18"/>
                <w:vertAlign w:val="superscript"/>
              </w:rPr>
              <w:t>c</w:t>
            </w:r>
          </w:p>
          <w:p w:rsidR="00BB7312" w:rsidRPr="00AB5F07" w:rsidRDefault="00BB7312" w:rsidP="00BA1CCE">
            <w:pPr>
              <w:tabs>
                <w:tab w:val="left" w:pos="567"/>
              </w:tabs>
              <w:rPr>
                <w:sz w:val="18"/>
                <w:szCs w:val="18"/>
              </w:rPr>
            </w:pPr>
          </w:p>
          <w:p w:rsidR="00BB7312" w:rsidRPr="00AB5F07" w:rsidRDefault="00BB7312" w:rsidP="00BA1CCE">
            <w:pPr>
              <w:tabs>
                <w:tab w:val="left" w:pos="567"/>
              </w:tabs>
              <w:rPr>
                <w:sz w:val="18"/>
                <w:szCs w:val="18"/>
              </w:rPr>
            </w:pPr>
            <w:r w:rsidRPr="00AB5F07">
              <w:rPr>
                <w:sz w:val="18"/>
                <w:szCs w:val="18"/>
              </w:rPr>
              <w:t>Section 2.1 proposed examples: Identification now includes the use of Genus or species prefixes Agapanthus ‘Agapetite’, Lavender ‘Lavang12’.</w:t>
            </w:r>
          </w:p>
          <w:p w:rsidR="00BB7312" w:rsidRPr="00AB5F07" w:rsidRDefault="00BB7312" w:rsidP="00BA1CCE">
            <w:pPr>
              <w:tabs>
                <w:tab w:val="left" w:pos="567"/>
              </w:tabs>
              <w:rPr>
                <w:sz w:val="18"/>
                <w:szCs w:val="18"/>
              </w:rPr>
            </w:pPr>
          </w:p>
        </w:tc>
      </w:tr>
    </w:tbl>
    <w:p w:rsidR="00BB7312" w:rsidRDefault="00BB7312" w:rsidP="00BA1CCE"/>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Default="00BB7312" w:rsidP="00BA1CCE">
            <w:pPr>
              <w:rPr>
                <w:sz w:val="18"/>
                <w:szCs w:val="18"/>
                <w:highlight w:val="yellow"/>
                <w:lang w:eastAsia="ja-JP"/>
              </w:rPr>
            </w:pPr>
            <w:r w:rsidRPr="00D167DE">
              <w:rPr>
                <w:rFonts w:hint="eastAsia"/>
                <w:color w:val="000000"/>
                <w:sz w:val="18"/>
                <w:szCs w:val="18"/>
                <w:highlight w:val="lightGray"/>
                <w:u w:val="single"/>
                <w:lang w:eastAsia="ja-JP"/>
              </w:rPr>
              <w:t>T</w:t>
            </w:r>
            <w:r w:rsidRPr="00D167DE">
              <w:rPr>
                <w:color w:val="000000"/>
                <w:sz w:val="18"/>
                <w:szCs w:val="18"/>
                <w:highlight w:val="lightGray"/>
                <w:u w:val="single"/>
              </w:rPr>
              <w:t xml:space="preserve">he </w:t>
            </w:r>
            <w:r w:rsidRPr="00D167DE">
              <w:rPr>
                <w:rFonts w:hint="eastAsia"/>
                <w:color w:val="000000"/>
                <w:sz w:val="18"/>
                <w:szCs w:val="18"/>
                <w:highlight w:val="lightGray"/>
                <w:u w:val="single"/>
                <w:lang w:eastAsia="ja-JP"/>
              </w:rPr>
              <w:t>WG-DEN</w:t>
            </w:r>
            <w:r>
              <w:rPr>
                <w:color w:val="000000"/>
                <w:sz w:val="18"/>
                <w:szCs w:val="18"/>
                <w:highlight w:val="lightGray"/>
                <w:u w:val="single"/>
                <w:lang w:eastAsia="ja-JP"/>
              </w:rPr>
              <w:t>, at its second meeting,</w:t>
            </w:r>
            <w:r w:rsidRPr="00D167DE">
              <w:rPr>
                <w:rFonts w:hint="eastAsia"/>
                <w:color w:val="000000"/>
                <w:sz w:val="18"/>
                <w:szCs w:val="18"/>
                <w:highlight w:val="lightGray"/>
                <w:u w:val="single"/>
                <w:lang w:eastAsia="ja-JP"/>
              </w:rPr>
              <w:t xml:space="preserve"> agreed to consider the </w:t>
            </w:r>
            <w:r w:rsidRPr="00D167DE">
              <w:rPr>
                <w:color w:val="000000"/>
                <w:sz w:val="18"/>
                <w:szCs w:val="18"/>
                <w:highlight w:val="lightGray"/>
                <w:u w:val="single"/>
                <w:lang w:eastAsia="ja-JP"/>
              </w:rPr>
              <w:t>following</w:t>
            </w:r>
            <w:r w:rsidRPr="00D167DE">
              <w:rPr>
                <w:rFonts w:hint="eastAsia"/>
                <w:color w:val="000000"/>
                <w:sz w:val="18"/>
                <w:szCs w:val="18"/>
                <w:highlight w:val="lightGray"/>
                <w:u w:val="single"/>
                <w:lang w:eastAsia="ja-JP"/>
              </w:rPr>
              <w:t xml:space="preserve"> proposal at its third meeting</w:t>
            </w:r>
            <w:r w:rsidRPr="005E542B">
              <w:rPr>
                <w:sz w:val="18"/>
                <w:szCs w:val="18"/>
                <w:highlight w:val="yellow"/>
              </w:rPr>
              <w:t xml:space="preserve"> </w:t>
            </w:r>
          </w:p>
          <w:p w:rsidR="00BB7312" w:rsidRPr="005E542B" w:rsidRDefault="00BB7312" w:rsidP="00BA1CCE">
            <w:pPr>
              <w:rPr>
                <w:sz w:val="18"/>
                <w:szCs w:val="18"/>
                <w:highlight w:val="yellow"/>
                <w:lang w:eastAsia="ja-JP"/>
              </w:rPr>
            </w:pPr>
          </w:p>
          <w:p w:rsidR="00BB7312" w:rsidRPr="006E7801" w:rsidRDefault="00BB7312" w:rsidP="00BA1CCE">
            <w:pPr>
              <w:rPr>
                <w:sz w:val="16"/>
                <w:szCs w:val="18"/>
              </w:rPr>
            </w:pPr>
            <w:r w:rsidRPr="00D167DE">
              <w:rPr>
                <w:rFonts w:hint="eastAsia"/>
                <w:sz w:val="18"/>
                <w:highlight w:val="lightGray"/>
                <w:lang w:eastAsia="ja-JP"/>
              </w:rPr>
              <w:t>T</w:t>
            </w:r>
            <w:r w:rsidRPr="00D167DE">
              <w:rPr>
                <w:sz w:val="18"/>
                <w:highlight w:val="lightGray"/>
                <w:lang w:eastAsia="ja-JP"/>
              </w:rPr>
              <w:t>he WG-DEN noted that some members considered two elements on Section 2.3.1 “Characteristics of the variety”, (a) the denomination should not convey the impression that the variety has a particular characteristics which in reality it does not have; and (b) the denomination should not refer to specific characteristics in such a way that the impression is created that only the variety possesses them, whereas in fact other varieties or species in question also have or may have the same characteristics, with Section 2.1</w:t>
            </w:r>
          </w:p>
          <w:p w:rsidR="00BB7312" w:rsidRPr="005F2452" w:rsidRDefault="00BB7312" w:rsidP="00BA1CCE">
            <w:pPr>
              <w:rPr>
                <w:sz w:val="18"/>
                <w:szCs w:val="18"/>
              </w:rPr>
            </w:pPr>
          </w:p>
        </w:tc>
      </w:tr>
    </w:tbl>
    <w:p w:rsidR="00BB7312" w:rsidRDefault="00BB7312" w:rsidP="00BA1CCE">
      <w:pPr>
        <w:rPr>
          <w:lang w:eastAsia="ja-JP"/>
        </w:rPr>
      </w:pPr>
    </w:p>
    <w:p w:rsidR="00BB7312" w:rsidRDefault="00BB7312" w:rsidP="00BA1CCE">
      <w:pPr>
        <w:tabs>
          <w:tab w:val="left" w:pos="567"/>
        </w:tabs>
        <w:rPr>
          <w:lang w:eastAsia="ja-JP"/>
        </w:rPr>
      </w:pPr>
    </w:p>
    <w:p w:rsidR="00BB7312" w:rsidRPr="00407B23" w:rsidRDefault="00BB7312" w:rsidP="00BA1CCE">
      <w:pPr>
        <w:rPr>
          <w:i/>
        </w:rPr>
      </w:pPr>
      <w:r w:rsidRPr="00407B23">
        <w:rPr>
          <w:i/>
        </w:rPr>
        <w:t>2.2.</w:t>
      </w:r>
      <w:r w:rsidRPr="00407B23">
        <w:rPr>
          <w:i/>
        </w:rPr>
        <w:tab/>
        <w:t>Solely of figures</w:t>
      </w:r>
    </w:p>
    <w:p w:rsidR="00BB7312" w:rsidRPr="00407B23" w:rsidRDefault="00BB7312" w:rsidP="00BA1CCE">
      <w:pPr>
        <w:rPr>
          <w:i/>
        </w:rPr>
      </w:pPr>
    </w:p>
    <w:p w:rsidR="00BB7312" w:rsidRPr="00407B23" w:rsidRDefault="00BB7312" w:rsidP="00BA1CCE">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BB7312" w:rsidRPr="00407B23" w:rsidRDefault="00BB7312" w:rsidP="00BA1CCE"/>
    <w:p w:rsidR="00BB7312" w:rsidRPr="00407B23" w:rsidRDefault="00BB7312" w:rsidP="00BA1CCE">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BB7312" w:rsidRPr="00407B23" w:rsidRDefault="00BB7312" w:rsidP="00BA1CCE"/>
    <w:p w:rsidR="00BB7312" w:rsidRPr="00407B23" w:rsidRDefault="00BB7312" w:rsidP="00BA1CCE">
      <w:pPr>
        <w:ind w:firstLine="567"/>
      </w:pPr>
      <w:r w:rsidRPr="00407B23">
        <w:t xml:space="preserve">(a)  </w:t>
      </w:r>
      <w:r w:rsidRPr="00407B23">
        <w:tab/>
        <w:t>for varieties used within a limited circle of specialists, the established practice should reflect that specialist circle (e.g. inbred lines);</w:t>
      </w:r>
    </w:p>
    <w:p w:rsidR="00BB7312" w:rsidRPr="00407B23" w:rsidRDefault="00BB7312" w:rsidP="00BA1CCE">
      <w:pPr>
        <w:ind w:firstLine="567"/>
      </w:pPr>
    </w:p>
    <w:p w:rsidR="00BB7312" w:rsidRPr="00407B23" w:rsidRDefault="00BB7312" w:rsidP="00BA1CCE">
      <w:pPr>
        <w:ind w:firstLine="567"/>
        <w:rPr>
          <w:color w:val="000000"/>
          <w:lang w:eastAsia="ja-JP"/>
        </w:rPr>
      </w:pPr>
      <w:r w:rsidRPr="00407B23">
        <w:rPr>
          <w:color w:val="000000"/>
        </w:rPr>
        <w:t xml:space="preserve">(b)  </w:t>
      </w:r>
      <w:r w:rsidRPr="00407B23">
        <w:rPr>
          <w:color w:val="000000"/>
        </w:rPr>
        <w:tab/>
        <w:t>accepted market practices for particular variety types (e.g. hybrid</w:t>
      </w:r>
      <w:r>
        <w:rPr>
          <w:color w:val="000000"/>
        </w:rPr>
        <w:t xml:space="preserve">s) and particular </w:t>
      </w:r>
      <w:r w:rsidRPr="00A42B98">
        <w:rPr>
          <w:rFonts w:hint="eastAsia"/>
          <w:color w:val="000000"/>
          <w:u w:val="single"/>
          <w:lang w:eastAsia="ja-JP"/>
        </w:rPr>
        <w:t>genera</w:t>
      </w:r>
      <w:r w:rsidR="00FC3A91" w:rsidRPr="00FC3A91">
        <w:rPr>
          <w:color w:val="000000"/>
          <w:vertAlign w:val="superscript"/>
          <w:lang w:eastAsia="ja-JP"/>
        </w:rPr>
        <w:t>d</w:t>
      </w:r>
      <w:r w:rsidRPr="00A42B98">
        <w:rPr>
          <w:rFonts w:hint="eastAsia"/>
          <w:color w:val="000000"/>
          <w:lang w:eastAsia="ja-JP"/>
        </w:rPr>
        <w:t>/</w:t>
      </w:r>
      <w:r w:rsidRPr="00A42B98">
        <w:rPr>
          <w:color w:val="000000"/>
        </w:rPr>
        <w:t>species</w:t>
      </w:r>
      <w:r>
        <w:rPr>
          <w:color w:val="000000"/>
        </w:rPr>
        <w:t xml:space="preserve"> (e.g. Medicago, Helianthus)</w:t>
      </w:r>
      <w:r>
        <w:rPr>
          <w:rFonts w:hint="eastAsia"/>
          <w:color w:val="000000"/>
          <w:lang w:eastAsia="ja-JP"/>
        </w:rPr>
        <w:t>;</w:t>
      </w:r>
    </w:p>
    <w:p w:rsidR="00BB7312" w:rsidRDefault="00BB7312" w:rsidP="00BA1CCE">
      <w:pPr>
        <w:rPr>
          <w:color w:val="000000"/>
          <w:lang w:eastAsia="ja-JP"/>
        </w:rPr>
      </w:pPr>
    </w:p>
    <w:p w:rsidR="00BB7312" w:rsidRDefault="00BB7312" w:rsidP="00BA1CCE">
      <w:pPr>
        <w:ind w:firstLine="567"/>
        <w:rPr>
          <w:color w:val="000000"/>
          <w:lang w:eastAsia="ja-JP"/>
        </w:rPr>
      </w:pPr>
      <w:r w:rsidRPr="005E542B">
        <w:rPr>
          <w:color w:val="000000"/>
          <w:lang w:eastAsia="ja-JP"/>
        </w:rPr>
        <w:t>(c)</w:t>
      </w:r>
      <w:r w:rsidRPr="005E542B">
        <w:rPr>
          <w:color w:val="000000"/>
          <w:lang w:eastAsia="ja-JP"/>
        </w:rPr>
        <w:tab/>
        <w:t>“established practice” is determined to be when registration has been accepted for one species or group, so that it can be used in other species which have not yet registered any variety whose denomination consists solely of figures.</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Pr="005E542B" w:rsidRDefault="00BB7312" w:rsidP="00BA1CCE">
            <w:pPr>
              <w:tabs>
                <w:tab w:val="left" w:pos="567"/>
              </w:tabs>
              <w:rPr>
                <w:sz w:val="18"/>
                <w:szCs w:val="18"/>
                <w:highlight w:val="yellow"/>
                <w:lang w:eastAsia="ja-JP"/>
              </w:rPr>
            </w:pPr>
            <w:r w:rsidRPr="00DE2536">
              <w:rPr>
                <w:rFonts w:hint="eastAsia"/>
                <w:color w:val="000000"/>
                <w:sz w:val="18"/>
                <w:szCs w:val="18"/>
                <w:highlight w:val="lightGray"/>
                <w:u w:val="single"/>
                <w:lang w:eastAsia="ja-JP"/>
              </w:rPr>
              <w:t xml:space="preserve">Agreed </w:t>
            </w:r>
            <w:r w:rsidRPr="00DE2536">
              <w:rPr>
                <w:sz w:val="18"/>
                <w:szCs w:val="18"/>
                <w:highlight w:val="lightGray"/>
                <w:u w:val="single"/>
              </w:rPr>
              <w:t>by the WG-DEN</w:t>
            </w:r>
            <w:r w:rsidRPr="00DE2536">
              <w:rPr>
                <w:rFonts w:hint="eastAsia"/>
                <w:sz w:val="18"/>
                <w:szCs w:val="18"/>
                <w:highlight w:val="lightGray"/>
                <w:u w:val="single"/>
                <w:lang w:eastAsia="ja-JP"/>
              </w:rPr>
              <w:t>, at its second meeting</w:t>
            </w:r>
          </w:p>
          <w:p w:rsidR="00BB7312" w:rsidRPr="005E542B" w:rsidRDefault="00BB7312" w:rsidP="00BA1CCE">
            <w:pPr>
              <w:rPr>
                <w:sz w:val="18"/>
                <w:szCs w:val="18"/>
                <w:highlight w:val="yellow"/>
              </w:rPr>
            </w:pPr>
          </w:p>
          <w:p w:rsidR="00BB7312" w:rsidRDefault="00BB7312" w:rsidP="00BA1CCE">
            <w:pPr>
              <w:rPr>
                <w:sz w:val="18"/>
                <w:lang w:eastAsia="ja-JP"/>
              </w:rPr>
            </w:pPr>
            <w:r w:rsidRPr="00DE2536">
              <w:rPr>
                <w:rFonts w:hint="eastAsia"/>
                <w:sz w:val="18"/>
                <w:highlight w:val="lightGray"/>
                <w:lang w:eastAsia="ja-JP"/>
              </w:rPr>
              <w:t>T</w:t>
            </w:r>
            <w:r w:rsidRPr="00DE2536">
              <w:rPr>
                <w:sz w:val="18"/>
                <w:highlight w:val="lightGray"/>
                <w:lang w:eastAsia="ja-JP"/>
              </w:rPr>
              <w:t>he current text could eventually allow the use of a denomination consisting solely of figures in all denomination classes, and agreed that the current text was appropriate, on that basis.</w:t>
            </w:r>
          </w:p>
          <w:p w:rsidR="00BB7312" w:rsidRPr="005F2452" w:rsidRDefault="00BB7312" w:rsidP="00BA1CCE">
            <w:pPr>
              <w:rPr>
                <w:sz w:val="18"/>
                <w:szCs w:val="18"/>
              </w:rPr>
            </w:pPr>
          </w:p>
        </w:tc>
      </w:tr>
    </w:tbl>
    <w:p w:rsidR="00BB7312" w:rsidRDefault="00BB7312" w:rsidP="00BA1CCE">
      <w:pPr>
        <w:rPr>
          <w:lang w:eastAsia="ja-JP"/>
        </w:rPr>
      </w:pPr>
    </w:p>
    <w:p w:rsidR="00BB7312" w:rsidRDefault="00BB7312" w:rsidP="00BA1CCE">
      <w:pPr>
        <w:ind w:firstLine="567"/>
        <w:rPr>
          <w:color w:val="000000"/>
          <w:u w:val="single"/>
          <w:lang w:eastAsia="ja-JP"/>
        </w:rPr>
      </w:pPr>
    </w:p>
    <w:p w:rsidR="00BB7312" w:rsidRPr="00407B23" w:rsidRDefault="00BB7312" w:rsidP="00BA1CCE">
      <w:pPr>
        <w:keepNext/>
        <w:rPr>
          <w:i/>
        </w:rPr>
      </w:pPr>
      <w:r w:rsidRPr="00407B23">
        <w:rPr>
          <w:i/>
        </w:rPr>
        <w:t>2.3.</w:t>
      </w:r>
      <w:r w:rsidRPr="00407B23">
        <w:rPr>
          <w:i/>
        </w:rPr>
        <w:tab/>
        <w:t>Liable to mislead or to cause confusion</w:t>
      </w:r>
    </w:p>
    <w:p w:rsidR="00BB7312" w:rsidRPr="00407B23" w:rsidRDefault="00BB7312" w:rsidP="00BA1CCE">
      <w:pPr>
        <w:keepNext/>
        <w:rPr>
          <w:i/>
        </w:rPr>
      </w:pPr>
    </w:p>
    <w:p w:rsidR="00BB7312" w:rsidRDefault="00BB7312" w:rsidP="00BA1CCE">
      <w:r w:rsidRPr="00407B23">
        <w:t>Paragraph (2) states that the denomination must not be liable to “mislead or to cause confusion concerning the characteristics, value or identity of the variety or the identity of the breeder.”  These aspects are considered below:</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3101A8" w:rsidRDefault="00BB7312" w:rsidP="00BA1CCE">
            <w:pPr>
              <w:rPr>
                <w:sz w:val="18"/>
                <w:szCs w:val="18"/>
              </w:rPr>
            </w:pPr>
          </w:p>
          <w:p w:rsidR="00BB7312" w:rsidRPr="003101A8" w:rsidRDefault="00BB7312" w:rsidP="00BA1CCE">
            <w:pPr>
              <w:tabs>
                <w:tab w:val="left" w:pos="567"/>
              </w:tabs>
              <w:rPr>
                <w:color w:val="000000"/>
                <w:sz w:val="18"/>
                <w:szCs w:val="18"/>
                <w:u w:val="single"/>
              </w:rPr>
            </w:pPr>
            <w:r w:rsidRPr="003101A8">
              <w:rPr>
                <w:color w:val="000000"/>
                <w:sz w:val="18"/>
                <w:szCs w:val="18"/>
                <w:u w:val="single"/>
              </w:rPr>
              <w:t xml:space="preserve">Proposal by </w:t>
            </w:r>
            <w:r>
              <w:rPr>
                <w:color w:val="000000"/>
                <w:sz w:val="18"/>
                <w:szCs w:val="18"/>
                <w:u w:val="single"/>
              </w:rPr>
              <w:t xml:space="preserve">the </w:t>
            </w:r>
            <w:r w:rsidRPr="003101A8">
              <w:rPr>
                <w:color w:val="000000"/>
                <w:sz w:val="18"/>
                <w:szCs w:val="18"/>
                <w:u w:val="single"/>
              </w:rPr>
              <w:t>European Union (CPVO)</w:t>
            </w:r>
            <w:r w:rsidRPr="00395671">
              <w:rPr>
                <w:rFonts w:hint="eastAsia"/>
                <w:color w:val="000000"/>
                <w:sz w:val="18"/>
                <w:szCs w:val="18"/>
                <w:vertAlign w:val="superscript"/>
                <w:lang w:eastAsia="ja-JP"/>
              </w:rPr>
              <w:t>a</w:t>
            </w:r>
          </w:p>
          <w:p w:rsidR="00BB7312" w:rsidRPr="003101A8" w:rsidRDefault="00BB7312" w:rsidP="00BA1CCE">
            <w:pPr>
              <w:rPr>
                <w:sz w:val="18"/>
                <w:szCs w:val="18"/>
              </w:rPr>
            </w:pPr>
          </w:p>
          <w:p w:rsidR="00BB7312" w:rsidRPr="003101A8" w:rsidRDefault="00BB7312" w:rsidP="00BA1CCE">
            <w:pPr>
              <w:rPr>
                <w:sz w:val="18"/>
                <w:szCs w:val="18"/>
              </w:rPr>
            </w:pPr>
            <w:r w:rsidRPr="003101A8">
              <w:rPr>
                <w:sz w:val="18"/>
                <w:szCs w:val="18"/>
              </w:rPr>
              <w:t xml:space="preserve">In the draft proposal prepared by the CPVO for the revision of its own guidelines on VDs, we propose 3 criteria for assessment of similarity between VDs: </w:t>
            </w:r>
            <w:r>
              <w:rPr>
                <w:sz w:val="18"/>
                <w:szCs w:val="18"/>
              </w:rPr>
              <w:t xml:space="preserve"> </w:t>
            </w:r>
            <w:r w:rsidRPr="003101A8">
              <w:rPr>
                <w:sz w:val="18"/>
                <w:szCs w:val="18"/>
              </w:rPr>
              <w:t xml:space="preserve">visual, phonetic and conceptual; such criteria are especially considered for the assessment of similarity between trademark. </w:t>
            </w:r>
            <w:r>
              <w:rPr>
                <w:sz w:val="18"/>
                <w:szCs w:val="18"/>
              </w:rPr>
              <w:t xml:space="preserve"> </w:t>
            </w:r>
            <w:r w:rsidRPr="003101A8">
              <w:rPr>
                <w:sz w:val="18"/>
                <w:szCs w:val="18"/>
              </w:rPr>
              <w:t>We considered that the problematic is very similar in this other IP system and that this approach is the outcome of a huge experience with many court cases and judgements.</w:t>
            </w:r>
          </w:p>
          <w:p w:rsidR="00BB7312" w:rsidRPr="003101A8"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3101A8" w:rsidRDefault="00BB7312" w:rsidP="00BA1CCE">
            <w:pPr>
              <w:rPr>
                <w:sz w:val="18"/>
                <w:szCs w:val="18"/>
              </w:rPr>
            </w:pPr>
          </w:p>
          <w:p w:rsidR="00BB7312" w:rsidRPr="00DF496A" w:rsidRDefault="00BB7312" w:rsidP="00BA1CCE">
            <w:pPr>
              <w:tabs>
                <w:tab w:val="left" w:pos="567"/>
              </w:tabs>
              <w:rPr>
                <w:color w:val="000000"/>
                <w:sz w:val="18"/>
                <w:szCs w:val="18"/>
              </w:rPr>
            </w:pPr>
            <w:r w:rsidRPr="003101A8">
              <w:rPr>
                <w:color w:val="000000"/>
                <w:sz w:val="18"/>
                <w:szCs w:val="18"/>
                <w:u w:val="single"/>
              </w:rPr>
              <w:t xml:space="preserve">Proposal by </w:t>
            </w:r>
            <w:r>
              <w:rPr>
                <w:color w:val="000000"/>
                <w:sz w:val="18"/>
                <w:szCs w:val="18"/>
                <w:u w:val="single"/>
              </w:rPr>
              <w:t xml:space="preserve">the </w:t>
            </w:r>
            <w:r w:rsidRPr="003101A8">
              <w:rPr>
                <w:color w:val="000000"/>
                <w:sz w:val="18"/>
                <w:szCs w:val="18"/>
                <w:u w:val="single"/>
              </w:rPr>
              <w:t>European Union (CPVO)</w:t>
            </w:r>
            <w:r w:rsidR="00DF496A" w:rsidRPr="00DF496A">
              <w:rPr>
                <w:color w:val="000000"/>
                <w:sz w:val="18"/>
                <w:szCs w:val="18"/>
                <w:vertAlign w:val="superscript"/>
              </w:rPr>
              <w:t>a</w:t>
            </w:r>
          </w:p>
          <w:p w:rsidR="00BB7312" w:rsidRPr="00D81DF5" w:rsidRDefault="00BB7312" w:rsidP="00BA1CCE">
            <w:pPr>
              <w:rPr>
                <w:spacing w:val="-2"/>
                <w:sz w:val="18"/>
                <w:szCs w:val="18"/>
              </w:rPr>
            </w:pPr>
          </w:p>
          <w:p w:rsidR="00BB7312" w:rsidRPr="003101A8" w:rsidRDefault="00BB7312" w:rsidP="00BA1CCE">
            <w:pPr>
              <w:rPr>
                <w:sz w:val="18"/>
                <w:szCs w:val="18"/>
              </w:rPr>
            </w:pPr>
            <w:r w:rsidRPr="00D81DF5">
              <w:rPr>
                <w:spacing w:val="-2"/>
                <w:sz w:val="18"/>
                <w:szCs w:val="18"/>
              </w:rPr>
              <w:t>To include a section providing guidance on the assessment of similarity of variety denominations consisting of “first names”.</w:t>
            </w:r>
          </w:p>
          <w:p w:rsidR="00BB7312" w:rsidRPr="003101A8"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3101A8" w:rsidRDefault="00BB7312" w:rsidP="00BA1CCE">
            <w:pPr>
              <w:rPr>
                <w:sz w:val="18"/>
                <w:szCs w:val="18"/>
              </w:rPr>
            </w:pPr>
          </w:p>
          <w:p w:rsidR="00BB7312" w:rsidRDefault="00BB7312" w:rsidP="00BA1CCE">
            <w:pPr>
              <w:rPr>
                <w:spacing w:val="-2"/>
                <w:sz w:val="18"/>
                <w:szCs w:val="18"/>
                <w:lang w:eastAsia="ja-JP"/>
              </w:rPr>
            </w:pPr>
            <w:r w:rsidRPr="006117C0">
              <w:rPr>
                <w:rFonts w:hint="eastAsia"/>
                <w:color w:val="000000"/>
                <w:sz w:val="18"/>
                <w:szCs w:val="18"/>
                <w:highlight w:val="lightGray"/>
                <w:u w:val="single"/>
                <w:lang w:eastAsia="ja-JP"/>
              </w:rPr>
              <w:t>T</w:t>
            </w:r>
            <w:r w:rsidRPr="006117C0">
              <w:rPr>
                <w:color w:val="000000"/>
                <w:sz w:val="18"/>
                <w:szCs w:val="18"/>
                <w:highlight w:val="lightGray"/>
                <w:u w:val="single"/>
              </w:rPr>
              <w:t xml:space="preserve">he </w:t>
            </w:r>
            <w:r w:rsidRPr="006117C0">
              <w:rPr>
                <w:rFonts w:hint="eastAsia"/>
                <w:color w:val="000000"/>
                <w:sz w:val="18"/>
                <w:szCs w:val="18"/>
                <w:highlight w:val="lightGray"/>
                <w:u w:val="single"/>
                <w:lang w:eastAsia="ja-JP"/>
              </w:rPr>
              <w:t>WG-DEN</w:t>
            </w:r>
            <w:r>
              <w:rPr>
                <w:color w:val="000000"/>
                <w:sz w:val="18"/>
                <w:szCs w:val="18"/>
                <w:highlight w:val="lightGray"/>
                <w:u w:val="single"/>
                <w:lang w:eastAsia="ja-JP"/>
              </w:rPr>
              <w:t>, at its second meeting,</w:t>
            </w:r>
            <w:r w:rsidRPr="006117C0">
              <w:rPr>
                <w:rFonts w:hint="eastAsia"/>
                <w:color w:val="000000"/>
                <w:sz w:val="18"/>
                <w:szCs w:val="18"/>
                <w:highlight w:val="lightGray"/>
                <w:u w:val="single"/>
                <w:lang w:eastAsia="ja-JP"/>
              </w:rPr>
              <w:t xml:space="preserve"> agreed to consider the </w:t>
            </w:r>
            <w:r w:rsidRPr="006117C0">
              <w:rPr>
                <w:color w:val="000000"/>
                <w:sz w:val="18"/>
                <w:szCs w:val="18"/>
                <w:highlight w:val="lightGray"/>
                <w:u w:val="single"/>
                <w:lang w:eastAsia="ja-JP"/>
              </w:rPr>
              <w:t>following</w:t>
            </w:r>
            <w:r w:rsidRPr="006117C0">
              <w:rPr>
                <w:rFonts w:hint="eastAsia"/>
                <w:color w:val="000000"/>
                <w:sz w:val="18"/>
                <w:szCs w:val="18"/>
                <w:highlight w:val="lightGray"/>
                <w:u w:val="single"/>
                <w:lang w:eastAsia="ja-JP"/>
              </w:rPr>
              <w:t xml:space="preserve"> proposal at its third meeting</w:t>
            </w:r>
            <w:r w:rsidRPr="00D81DF5">
              <w:rPr>
                <w:spacing w:val="-2"/>
                <w:sz w:val="18"/>
                <w:szCs w:val="18"/>
              </w:rPr>
              <w:t xml:space="preserve"> </w:t>
            </w:r>
          </w:p>
          <w:p w:rsidR="00BB7312" w:rsidRPr="00D81DF5" w:rsidRDefault="00BB7312" w:rsidP="00BA1CCE">
            <w:pPr>
              <w:rPr>
                <w:spacing w:val="-2"/>
                <w:sz w:val="18"/>
                <w:szCs w:val="18"/>
                <w:lang w:eastAsia="ja-JP"/>
              </w:rPr>
            </w:pPr>
          </w:p>
          <w:p w:rsidR="00BB7312" w:rsidRPr="003101A8" w:rsidRDefault="00BB7312" w:rsidP="00BA1CCE">
            <w:pPr>
              <w:rPr>
                <w:sz w:val="18"/>
                <w:szCs w:val="18"/>
              </w:rPr>
            </w:pPr>
            <w:r w:rsidRPr="006117C0">
              <w:rPr>
                <w:rFonts w:hint="eastAsia"/>
                <w:spacing w:val="-2"/>
                <w:sz w:val="18"/>
                <w:szCs w:val="18"/>
                <w:highlight w:val="lightGray"/>
                <w:lang w:eastAsia="ja-JP"/>
              </w:rPr>
              <w:t>Concerning t</w:t>
            </w:r>
            <w:r w:rsidRPr="006117C0">
              <w:rPr>
                <w:spacing w:val="-2"/>
                <w:sz w:val="18"/>
                <w:szCs w:val="18"/>
                <w:highlight w:val="lightGray"/>
              </w:rPr>
              <w:t>hree aspects: visual; phonetic; and conceptual, it was noted that introducing a conceptual aspect would necessitate consideration of linguistic and cultural aspects, which could potentially increase the risk of synonyms because, for example, differences in conceptual meanings could be linked to specific understandings in different languages that would not be understood in other languages, and it was agreed to consider whether it would be appropriate to introduce the conceptual aspect with information to be provided by CPVO.</w:t>
            </w:r>
          </w:p>
          <w:p w:rsidR="00BB7312" w:rsidRDefault="00BB7312" w:rsidP="00BA1CCE"/>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3101A8" w:rsidRDefault="00BB7312" w:rsidP="00BA1CCE">
            <w:pPr>
              <w:rPr>
                <w:sz w:val="18"/>
                <w:szCs w:val="18"/>
              </w:rPr>
            </w:pPr>
          </w:p>
          <w:p w:rsidR="00BB7312" w:rsidRDefault="00BB7312" w:rsidP="00BA1CCE">
            <w:pPr>
              <w:rPr>
                <w:spacing w:val="-2"/>
                <w:sz w:val="18"/>
                <w:szCs w:val="18"/>
                <w:lang w:eastAsia="ja-JP"/>
              </w:rPr>
            </w:pPr>
            <w:r w:rsidRPr="006117C0">
              <w:rPr>
                <w:rFonts w:hint="eastAsia"/>
                <w:color w:val="000000"/>
                <w:sz w:val="18"/>
                <w:szCs w:val="18"/>
                <w:highlight w:val="lightGray"/>
                <w:u w:val="single"/>
                <w:lang w:eastAsia="ja-JP"/>
              </w:rPr>
              <w:t>T</w:t>
            </w:r>
            <w:r w:rsidRPr="006117C0">
              <w:rPr>
                <w:color w:val="000000"/>
                <w:sz w:val="18"/>
                <w:szCs w:val="18"/>
                <w:highlight w:val="lightGray"/>
                <w:u w:val="single"/>
              </w:rPr>
              <w:t xml:space="preserve">he </w:t>
            </w:r>
            <w:r w:rsidRPr="006117C0">
              <w:rPr>
                <w:rFonts w:hint="eastAsia"/>
                <w:color w:val="000000"/>
                <w:sz w:val="18"/>
                <w:szCs w:val="18"/>
                <w:highlight w:val="lightGray"/>
                <w:u w:val="single"/>
                <w:lang w:eastAsia="ja-JP"/>
              </w:rPr>
              <w:t xml:space="preserve">WG-DEN agreed to consider the </w:t>
            </w:r>
            <w:r w:rsidRPr="006117C0">
              <w:rPr>
                <w:color w:val="000000"/>
                <w:sz w:val="18"/>
                <w:szCs w:val="18"/>
                <w:highlight w:val="lightGray"/>
                <w:u w:val="single"/>
                <w:lang w:eastAsia="ja-JP"/>
              </w:rPr>
              <w:t>following</w:t>
            </w:r>
            <w:r w:rsidRPr="006117C0">
              <w:rPr>
                <w:rFonts w:hint="eastAsia"/>
                <w:color w:val="000000"/>
                <w:sz w:val="18"/>
                <w:szCs w:val="18"/>
                <w:highlight w:val="lightGray"/>
                <w:u w:val="single"/>
                <w:lang w:eastAsia="ja-JP"/>
              </w:rPr>
              <w:t xml:space="preserve"> proposal at its third meeting</w:t>
            </w:r>
            <w:r w:rsidRPr="00D81DF5">
              <w:rPr>
                <w:spacing w:val="-2"/>
                <w:sz w:val="18"/>
                <w:szCs w:val="18"/>
              </w:rPr>
              <w:t xml:space="preserve"> </w:t>
            </w:r>
          </w:p>
          <w:p w:rsidR="00BB7312" w:rsidRPr="00D81DF5" w:rsidRDefault="00BB7312" w:rsidP="00BA1CCE">
            <w:pPr>
              <w:rPr>
                <w:spacing w:val="-2"/>
                <w:sz w:val="18"/>
                <w:szCs w:val="18"/>
                <w:lang w:eastAsia="ja-JP"/>
              </w:rPr>
            </w:pPr>
          </w:p>
          <w:p w:rsidR="00BB7312" w:rsidRPr="003101A8" w:rsidRDefault="00BB7312" w:rsidP="00BA1CCE">
            <w:pPr>
              <w:rPr>
                <w:sz w:val="18"/>
                <w:szCs w:val="18"/>
              </w:rPr>
            </w:pPr>
            <w:r w:rsidRPr="006117C0">
              <w:rPr>
                <w:spacing w:val="-2"/>
                <w:sz w:val="18"/>
                <w:szCs w:val="18"/>
                <w:highlight w:val="lightGray"/>
                <w:lang w:eastAsia="ja-JP"/>
              </w:rPr>
              <w:t>“</w:t>
            </w:r>
            <w:r w:rsidRPr="006117C0">
              <w:rPr>
                <w:rFonts w:hint="eastAsia"/>
                <w:spacing w:val="-2"/>
                <w:sz w:val="18"/>
                <w:szCs w:val="18"/>
                <w:highlight w:val="lightGray"/>
                <w:lang w:eastAsia="ja-JP"/>
              </w:rPr>
              <w:t>F</w:t>
            </w:r>
            <w:r w:rsidRPr="006117C0">
              <w:rPr>
                <w:spacing w:val="-2"/>
                <w:sz w:val="18"/>
                <w:szCs w:val="18"/>
                <w:highlight w:val="lightGray"/>
                <w:lang w:eastAsia="ja-JP"/>
              </w:rPr>
              <w:t xml:space="preserve">irst names” </w:t>
            </w:r>
            <w:r w:rsidRPr="006117C0">
              <w:rPr>
                <w:rFonts w:hint="eastAsia"/>
                <w:spacing w:val="-2"/>
                <w:sz w:val="18"/>
                <w:szCs w:val="18"/>
                <w:highlight w:val="lightGray"/>
                <w:lang w:eastAsia="ja-JP"/>
              </w:rPr>
              <w:t xml:space="preserve">to </w:t>
            </w:r>
            <w:r w:rsidRPr="006117C0">
              <w:rPr>
                <w:spacing w:val="-2"/>
                <w:sz w:val="18"/>
                <w:szCs w:val="18"/>
                <w:highlight w:val="lightGray"/>
                <w:lang w:eastAsia="ja-JP"/>
              </w:rPr>
              <w:t>be considered based on the information provided by the CPVO on its consideration on “first names” under the explanation of the conceptual differences</w:t>
            </w:r>
            <w:r w:rsidRPr="006117C0">
              <w:rPr>
                <w:spacing w:val="-2"/>
                <w:sz w:val="18"/>
                <w:szCs w:val="18"/>
                <w:highlight w:val="lightGray"/>
              </w:rPr>
              <w:t>.</w:t>
            </w:r>
          </w:p>
          <w:p w:rsidR="00BB7312" w:rsidRDefault="00BB7312" w:rsidP="00BA1CCE"/>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3101A8" w:rsidRDefault="00BB7312" w:rsidP="00BA1CCE">
            <w:pPr>
              <w:rPr>
                <w:sz w:val="18"/>
                <w:szCs w:val="18"/>
              </w:rPr>
            </w:pPr>
          </w:p>
          <w:p w:rsidR="00BB7312" w:rsidRDefault="00BB7312" w:rsidP="00BA1CCE">
            <w:pPr>
              <w:rPr>
                <w:spacing w:val="-2"/>
                <w:sz w:val="18"/>
                <w:szCs w:val="18"/>
                <w:lang w:eastAsia="ja-JP"/>
              </w:rPr>
            </w:pPr>
            <w:r w:rsidRPr="001264D1">
              <w:rPr>
                <w:color w:val="000000"/>
                <w:sz w:val="18"/>
                <w:szCs w:val="18"/>
                <w:highlight w:val="yellow"/>
                <w:u w:val="single"/>
                <w:lang w:eastAsia="ja-JP"/>
              </w:rPr>
              <w:t>Concluded by t</w:t>
            </w:r>
            <w:r w:rsidRPr="001264D1">
              <w:rPr>
                <w:color w:val="000000"/>
                <w:sz w:val="18"/>
                <w:szCs w:val="18"/>
                <w:highlight w:val="yellow"/>
                <w:u w:val="single"/>
              </w:rPr>
              <w:t xml:space="preserve">he </w:t>
            </w:r>
            <w:r w:rsidRPr="001264D1">
              <w:rPr>
                <w:rFonts w:hint="eastAsia"/>
                <w:color w:val="000000"/>
                <w:sz w:val="18"/>
                <w:szCs w:val="18"/>
                <w:highlight w:val="yellow"/>
                <w:u w:val="single"/>
                <w:lang w:eastAsia="ja-JP"/>
              </w:rPr>
              <w:t>WG-DEN</w:t>
            </w:r>
            <w:r w:rsidRPr="001264D1">
              <w:rPr>
                <w:color w:val="000000"/>
                <w:sz w:val="18"/>
                <w:szCs w:val="18"/>
                <w:highlight w:val="yellow"/>
                <w:u w:val="single"/>
                <w:lang w:eastAsia="ja-JP"/>
              </w:rPr>
              <w:t xml:space="preserve">, at its third </w:t>
            </w:r>
            <w:r w:rsidRPr="001264D1">
              <w:rPr>
                <w:rFonts w:hint="eastAsia"/>
                <w:color w:val="000000"/>
                <w:sz w:val="18"/>
                <w:szCs w:val="18"/>
                <w:highlight w:val="yellow"/>
                <w:u w:val="single"/>
                <w:lang w:eastAsia="ja-JP"/>
              </w:rPr>
              <w:t>meeting</w:t>
            </w:r>
            <w:r w:rsidRPr="00D81DF5">
              <w:rPr>
                <w:spacing w:val="-2"/>
                <w:sz w:val="18"/>
                <w:szCs w:val="18"/>
              </w:rPr>
              <w:t xml:space="preserve"> </w:t>
            </w:r>
          </w:p>
          <w:p w:rsidR="00BB7312" w:rsidRPr="00D81DF5" w:rsidRDefault="00BB7312" w:rsidP="00BA1CCE">
            <w:pPr>
              <w:rPr>
                <w:spacing w:val="-2"/>
                <w:sz w:val="18"/>
                <w:szCs w:val="18"/>
                <w:lang w:eastAsia="ja-JP"/>
              </w:rPr>
            </w:pPr>
          </w:p>
          <w:p w:rsidR="00BB7312" w:rsidRPr="003101A8" w:rsidRDefault="00BB7312" w:rsidP="00BA1CCE">
            <w:pPr>
              <w:rPr>
                <w:sz w:val="18"/>
                <w:szCs w:val="18"/>
              </w:rPr>
            </w:pPr>
            <w:r>
              <w:rPr>
                <w:spacing w:val="-2"/>
                <w:sz w:val="18"/>
                <w:szCs w:val="18"/>
                <w:highlight w:val="yellow"/>
                <w:lang w:eastAsia="ja-JP"/>
              </w:rPr>
              <w:t>C</w:t>
            </w:r>
            <w:r w:rsidRPr="001264D1">
              <w:rPr>
                <w:spacing w:val="-2"/>
                <w:sz w:val="18"/>
                <w:szCs w:val="18"/>
                <w:highlight w:val="yellow"/>
                <w:lang w:eastAsia="ja-JP"/>
              </w:rPr>
              <w:t>onceptual criteria in the UPOV guidance might not be suitable due to the difficulties for the harmonized implementation of the conceptual aspect at the international level.</w:t>
            </w:r>
          </w:p>
          <w:p w:rsidR="00BB7312" w:rsidRDefault="00BB7312" w:rsidP="00BA1CCE"/>
        </w:tc>
      </w:tr>
    </w:tbl>
    <w:p w:rsidR="00BB7312" w:rsidRDefault="00BB7312" w:rsidP="00BA1CCE"/>
    <w:p w:rsidR="00BB7312" w:rsidRDefault="00BB7312" w:rsidP="00BA1CCE"/>
    <w:p w:rsidR="00BB7312" w:rsidRPr="00407B23" w:rsidRDefault="00BB7312" w:rsidP="00BA1CCE">
      <w:r w:rsidRPr="00407B23">
        <w:t>2.3.1</w:t>
      </w:r>
      <w:r w:rsidRPr="00407B23">
        <w:tab/>
        <w:t>Characteristics of the variety</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Default="00BB7312" w:rsidP="00BA1CCE"/>
          <w:p w:rsidR="00BB7312" w:rsidRDefault="00BB7312" w:rsidP="00BA1CCE">
            <w:pPr>
              <w:shd w:val="clear" w:color="auto" w:fill="D9D9D9" w:themeFill="background1" w:themeFillShade="D9"/>
              <w:rPr>
                <w:color w:val="000000"/>
                <w:sz w:val="18"/>
                <w:szCs w:val="18"/>
                <w:u w:val="single"/>
              </w:rPr>
            </w:pPr>
            <w:r w:rsidRPr="00C46A71">
              <w:rPr>
                <w:color w:val="000000"/>
                <w:sz w:val="18"/>
                <w:szCs w:val="18"/>
                <w:u w:val="single"/>
              </w:rPr>
              <w:t xml:space="preserve">Proposal by </w:t>
            </w:r>
            <w:r>
              <w:rPr>
                <w:color w:val="000000"/>
                <w:sz w:val="18"/>
                <w:szCs w:val="18"/>
                <w:u w:val="single"/>
              </w:rPr>
              <w:t xml:space="preserve">the </w:t>
            </w:r>
            <w:r w:rsidRPr="00C46A71">
              <w:rPr>
                <w:color w:val="000000"/>
                <w:sz w:val="18"/>
                <w:szCs w:val="18"/>
                <w:u w:val="single"/>
              </w:rPr>
              <w:t>European Union (CPVO)</w:t>
            </w:r>
            <w:r w:rsidR="00DF496A" w:rsidRPr="00DF496A">
              <w:rPr>
                <w:color w:val="000000"/>
                <w:sz w:val="18"/>
                <w:szCs w:val="18"/>
                <w:vertAlign w:val="superscript"/>
              </w:rPr>
              <w:t>a</w:t>
            </w:r>
          </w:p>
          <w:p w:rsidR="00BB7312" w:rsidRDefault="00BB7312" w:rsidP="00BA1CCE">
            <w:pPr>
              <w:shd w:val="clear" w:color="auto" w:fill="D9D9D9" w:themeFill="background1" w:themeFillShade="D9"/>
              <w:rPr>
                <w:color w:val="000000"/>
                <w:sz w:val="18"/>
                <w:szCs w:val="18"/>
                <w:u w:val="single"/>
              </w:rPr>
            </w:pPr>
          </w:p>
          <w:p w:rsidR="00BB7312" w:rsidRPr="00932960" w:rsidRDefault="00BB7312" w:rsidP="00BA1CCE">
            <w:pPr>
              <w:shd w:val="clear" w:color="auto" w:fill="D9D9D9" w:themeFill="background1" w:themeFillShade="D9"/>
              <w:rPr>
                <w:color w:val="000000"/>
                <w:sz w:val="18"/>
                <w:szCs w:val="18"/>
              </w:rPr>
            </w:pPr>
            <w:r>
              <w:rPr>
                <w:color w:val="000000"/>
                <w:sz w:val="18"/>
                <w:szCs w:val="18"/>
              </w:rPr>
              <w:t>Section 2.3.1 to provide more detailed guidance and provide clear examples of suitable and non-suitable proposals for VDs.</w:t>
            </w:r>
          </w:p>
          <w:p w:rsidR="00BB7312" w:rsidRDefault="00BB7312" w:rsidP="00BA1CCE"/>
        </w:tc>
      </w:tr>
    </w:tbl>
    <w:p w:rsidR="00BB7312" w:rsidRPr="00407B23" w:rsidRDefault="00BB7312" w:rsidP="00BA1CCE"/>
    <w:p w:rsidR="00BB7312" w:rsidRPr="00407B23" w:rsidRDefault="00BB7312" w:rsidP="00BA1CCE">
      <w:r w:rsidRPr="00407B23">
        <w:t>The denomination should not:</w:t>
      </w:r>
    </w:p>
    <w:p w:rsidR="00BB7312" w:rsidRPr="00407B23" w:rsidRDefault="00BB7312" w:rsidP="00BA1CCE"/>
    <w:p w:rsidR="00BB7312" w:rsidRPr="005E542B" w:rsidRDefault="00BB7312" w:rsidP="00BA1CCE">
      <w:pPr>
        <w:ind w:firstLine="567"/>
      </w:pPr>
      <w:r w:rsidRPr="005E542B">
        <w:t>(a)</w:t>
      </w:r>
      <w:r w:rsidRPr="005E542B">
        <w:tab/>
        <w:t xml:space="preserve">convey the impression that the variety has particular characteristics which, in reality, it does not have; </w:t>
      </w:r>
    </w:p>
    <w:p w:rsidR="00BB7312" w:rsidRPr="005E542B" w:rsidRDefault="00BB7312" w:rsidP="00BA1CCE">
      <w:pPr>
        <w:ind w:firstLine="567"/>
      </w:pPr>
    </w:p>
    <w:p w:rsidR="00BB7312" w:rsidRPr="00407B23" w:rsidRDefault="00BB7312" w:rsidP="00BA1CCE">
      <w:pPr>
        <w:ind w:left="567"/>
      </w:pPr>
      <w:r w:rsidRPr="005E542B">
        <w:rPr>
          <w:i/>
        </w:rPr>
        <w:t>Example:</w:t>
      </w:r>
      <w:r w:rsidRPr="005E542B">
        <w:t xml:space="preserve">  a variety denomination “dwarf” for a variety which is of normal height, when a dwarfness trait exists within the species, but is not possessed by the variety.</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3101A8" w:rsidRDefault="00BB7312" w:rsidP="00BA1CCE">
            <w:pPr>
              <w:rPr>
                <w:sz w:val="18"/>
                <w:szCs w:val="18"/>
              </w:rPr>
            </w:pPr>
          </w:p>
          <w:p w:rsidR="00BB7312" w:rsidRPr="005E542B" w:rsidRDefault="00BB7312" w:rsidP="00BA1CCE">
            <w:pPr>
              <w:tabs>
                <w:tab w:val="left" w:pos="567"/>
              </w:tabs>
              <w:rPr>
                <w:sz w:val="18"/>
                <w:szCs w:val="18"/>
                <w:highlight w:val="yellow"/>
                <w:lang w:eastAsia="ja-JP"/>
              </w:rPr>
            </w:pPr>
            <w:r w:rsidRPr="00AF1815">
              <w:rPr>
                <w:rFonts w:hint="eastAsia"/>
                <w:color w:val="000000"/>
                <w:sz w:val="18"/>
                <w:szCs w:val="18"/>
                <w:highlight w:val="lightGray"/>
                <w:u w:val="single"/>
                <w:lang w:eastAsia="ja-JP"/>
              </w:rPr>
              <w:t xml:space="preserve">Agreed </w:t>
            </w:r>
            <w:r w:rsidRPr="00AF1815">
              <w:rPr>
                <w:sz w:val="18"/>
                <w:szCs w:val="18"/>
                <w:highlight w:val="lightGray"/>
                <w:u w:val="single"/>
              </w:rPr>
              <w:t>by the WG-DEN</w:t>
            </w:r>
            <w:r w:rsidRPr="00AF1815">
              <w:rPr>
                <w:rFonts w:hint="eastAsia"/>
                <w:sz w:val="18"/>
                <w:szCs w:val="18"/>
                <w:highlight w:val="lightGray"/>
                <w:u w:val="single"/>
                <w:lang w:eastAsia="ja-JP"/>
              </w:rPr>
              <w:t>, at its second meeting</w:t>
            </w:r>
          </w:p>
          <w:p w:rsidR="00BB7312" w:rsidRPr="00D81DF5" w:rsidRDefault="00BB7312" w:rsidP="00BA1CCE">
            <w:pPr>
              <w:rPr>
                <w:spacing w:val="-2"/>
                <w:sz w:val="18"/>
                <w:szCs w:val="18"/>
              </w:rPr>
            </w:pPr>
          </w:p>
          <w:p w:rsidR="00BB7312" w:rsidRDefault="00BB7312" w:rsidP="00BA1CCE">
            <w:pPr>
              <w:rPr>
                <w:spacing w:val="-2"/>
                <w:sz w:val="18"/>
                <w:szCs w:val="18"/>
                <w:lang w:eastAsia="ja-JP"/>
              </w:rPr>
            </w:pPr>
            <w:r w:rsidRPr="00AF1815">
              <w:rPr>
                <w:rFonts w:hint="eastAsia"/>
                <w:spacing w:val="-2"/>
                <w:sz w:val="18"/>
                <w:szCs w:val="18"/>
                <w:highlight w:val="lightGray"/>
                <w:lang w:eastAsia="ja-JP"/>
              </w:rPr>
              <w:t>T</w:t>
            </w:r>
            <w:r w:rsidRPr="00AF1815">
              <w:rPr>
                <w:spacing w:val="-2"/>
                <w:sz w:val="18"/>
                <w:szCs w:val="18"/>
                <w:highlight w:val="lightGray"/>
                <w:lang w:eastAsia="ja-JP"/>
              </w:rPr>
              <w:t>he example in the section provided clear guidance</w:t>
            </w:r>
            <w:r w:rsidRPr="00AF1815">
              <w:rPr>
                <w:rFonts w:hint="eastAsia"/>
                <w:spacing w:val="-2"/>
                <w:sz w:val="18"/>
                <w:szCs w:val="18"/>
                <w:highlight w:val="lightGray"/>
                <w:lang w:eastAsia="ja-JP"/>
              </w:rPr>
              <w:t>.</w:t>
            </w:r>
          </w:p>
          <w:p w:rsidR="00BB7312" w:rsidRDefault="00BB7312" w:rsidP="00BA1CCE">
            <w:r w:rsidRPr="005E542B">
              <w:rPr>
                <w:spacing w:val="-2"/>
                <w:sz w:val="18"/>
                <w:szCs w:val="18"/>
                <w:lang w:eastAsia="ja-JP"/>
              </w:rPr>
              <w:t xml:space="preserve"> </w:t>
            </w:r>
          </w:p>
        </w:tc>
      </w:tr>
    </w:tbl>
    <w:p w:rsidR="00BB7312" w:rsidRPr="00AF1815" w:rsidRDefault="00BB7312" w:rsidP="00BA1CCE">
      <w:pPr>
        <w:rPr>
          <w:lang w:eastAsia="ja-JP"/>
        </w:rPr>
      </w:pPr>
    </w:p>
    <w:p w:rsidR="00BB7312" w:rsidRPr="00AF1815" w:rsidRDefault="00BB7312" w:rsidP="00BA1CCE">
      <w:pPr>
        <w:ind w:firstLine="567"/>
        <w:rPr>
          <w:strike/>
          <w:color w:val="000000"/>
        </w:rPr>
      </w:pPr>
      <w:r w:rsidRPr="00AF1815">
        <w:rPr>
          <w:strike/>
          <w:color w:val="000000"/>
        </w:rPr>
        <w:t>(b)</w:t>
      </w:r>
      <w:r w:rsidRPr="00AF1815">
        <w:rPr>
          <w:strike/>
          <w:color w:val="000000"/>
        </w:rPr>
        <w:tab/>
        <w:t>refer to specific characteristics of the variety in such a way</w:t>
      </w:r>
      <w:r w:rsidRPr="00AF1815">
        <w:rPr>
          <w:b/>
          <w:strike/>
          <w:color w:val="000000"/>
        </w:rPr>
        <w:t xml:space="preserve"> </w:t>
      </w:r>
      <w:r w:rsidRPr="00AF1815">
        <w:rPr>
          <w:strike/>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BB7312" w:rsidRPr="00AF1815" w:rsidRDefault="00BB7312" w:rsidP="00BA1CCE">
      <w:pPr>
        <w:ind w:firstLine="567"/>
        <w:rPr>
          <w:strike/>
          <w:color w:val="000000"/>
          <w:u w:val="single"/>
        </w:rPr>
      </w:pPr>
    </w:p>
    <w:p w:rsidR="00BB7312" w:rsidRPr="00AF1815" w:rsidRDefault="00BB7312" w:rsidP="00BA1CCE">
      <w:pPr>
        <w:ind w:firstLine="567"/>
        <w:jc w:val="left"/>
        <w:rPr>
          <w:strike/>
          <w:color w:val="000000"/>
          <w:u w:val="single"/>
        </w:rPr>
      </w:pPr>
      <w:r w:rsidRPr="00AF1815">
        <w:rPr>
          <w:i/>
          <w:strike/>
        </w:rPr>
        <w:t>Example 1</w:t>
      </w:r>
      <w:r w:rsidRPr="00AF1815">
        <w:rPr>
          <w:strike/>
        </w:rPr>
        <w:t>:  “Sweet” for a fruit variety;</w:t>
      </w:r>
      <w:r w:rsidRPr="00AF1815">
        <w:rPr>
          <w:strike/>
        </w:rPr>
        <w:br/>
      </w:r>
    </w:p>
    <w:p w:rsidR="00BB7312" w:rsidRDefault="00BB7312" w:rsidP="00BA1CCE">
      <w:pPr>
        <w:ind w:firstLine="567"/>
        <w:jc w:val="left"/>
        <w:rPr>
          <w:lang w:eastAsia="ja-JP"/>
        </w:rPr>
      </w:pPr>
      <w:r w:rsidRPr="00AF1815">
        <w:rPr>
          <w:i/>
          <w:strike/>
        </w:rPr>
        <w:t>Example 2</w:t>
      </w:r>
      <w:r w:rsidRPr="00AF1815">
        <w:rPr>
          <w:strike/>
        </w:rPr>
        <w:t>:  “Large white” for a variety of chrysanthemum.</w:t>
      </w:r>
      <w:r w:rsidRPr="00407B23">
        <w:br/>
      </w:r>
    </w:p>
    <w:p w:rsidR="00BB7312" w:rsidRPr="00AF1815" w:rsidRDefault="00BB7312" w:rsidP="00BA1CCE">
      <w:pPr>
        <w:rPr>
          <w:lang w:eastAsia="ja-JP"/>
        </w:rPr>
      </w:pPr>
      <w:r w:rsidRPr="00AF1815">
        <w:rPr>
          <w:rFonts w:hint="eastAsia"/>
          <w:lang w:eastAsia="ja-JP"/>
        </w:rPr>
        <w:t>[agreed to delete by</w:t>
      </w:r>
      <w:r w:rsidRPr="00AF1815">
        <w:rPr>
          <w:lang w:eastAsia="ja-JP"/>
        </w:rPr>
        <w:t xml:space="preserve"> the</w:t>
      </w:r>
      <w:r w:rsidRPr="00AF1815">
        <w:rPr>
          <w:rFonts w:hint="eastAsia"/>
          <w:lang w:eastAsia="ja-JP"/>
        </w:rPr>
        <w:t xml:space="preserve"> WG-DEN, at its second meeting]</w:t>
      </w:r>
    </w:p>
    <w:p w:rsidR="00BB7312" w:rsidRDefault="00BB7312" w:rsidP="00BA1CCE">
      <w:pPr>
        <w:ind w:firstLine="567"/>
        <w:jc w:val="left"/>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922DA9" w:rsidRDefault="00BB7312" w:rsidP="00BA1CCE">
            <w:pPr>
              <w:rPr>
                <w:sz w:val="18"/>
                <w:szCs w:val="18"/>
              </w:rPr>
            </w:pPr>
          </w:p>
          <w:p w:rsidR="00BB7312" w:rsidRPr="00AF1815" w:rsidRDefault="00BB7312" w:rsidP="00BA1CCE">
            <w:pPr>
              <w:tabs>
                <w:tab w:val="left" w:pos="567"/>
              </w:tabs>
              <w:rPr>
                <w:sz w:val="18"/>
                <w:szCs w:val="18"/>
                <w:highlight w:val="lightGray"/>
                <w:lang w:eastAsia="ja-JP"/>
              </w:rPr>
            </w:pPr>
            <w:r w:rsidRPr="00AF1815">
              <w:rPr>
                <w:rFonts w:hint="eastAsia"/>
                <w:color w:val="000000"/>
                <w:sz w:val="18"/>
                <w:szCs w:val="18"/>
                <w:highlight w:val="lightGray"/>
                <w:u w:val="single"/>
                <w:lang w:eastAsia="ja-JP"/>
              </w:rPr>
              <w:t>T</w:t>
            </w:r>
            <w:r w:rsidRPr="00AF1815">
              <w:rPr>
                <w:color w:val="000000"/>
                <w:sz w:val="18"/>
                <w:szCs w:val="18"/>
                <w:highlight w:val="lightGray"/>
                <w:u w:val="single"/>
              </w:rPr>
              <w:t xml:space="preserve">he </w:t>
            </w:r>
            <w:r w:rsidRPr="00AF1815">
              <w:rPr>
                <w:rFonts w:hint="eastAsia"/>
                <w:color w:val="000000"/>
                <w:sz w:val="18"/>
                <w:szCs w:val="18"/>
                <w:highlight w:val="lightGray"/>
                <w:u w:val="single"/>
                <w:lang w:eastAsia="ja-JP"/>
              </w:rPr>
              <w:t xml:space="preserve">WG-DEN agreed the </w:t>
            </w:r>
            <w:r w:rsidRPr="00AF1815">
              <w:rPr>
                <w:color w:val="000000"/>
                <w:sz w:val="18"/>
                <w:szCs w:val="18"/>
                <w:highlight w:val="lightGray"/>
                <w:u w:val="single"/>
                <w:lang w:eastAsia="ja-JP"/>
              </w:rPr>
              <w:t>following</w:t>
            </w:r>
            <w:r w:rsidRPr="00AF1815">
              <w:rPr>
                <w:rFonts w:hint="eastAsia"/>
                <w:color w:val="000000"/>
                <w:sz w:val="18"/>
                <w:szCs w:val="18"/>
                <w:highlight w:val="lightGray"/>
                <w:u w:val="single"/>
                <w:lang w:eastAsia="ja-JP"/>
              </w:rPr>
              <w:t>s, at its second meeting</w:t>
            </w:r>
          </w:p>
          <w:p w:rsidR="00BB7312" w:rsidRPr="005E542B" w:rsidRDefault="00BB7312" w:rsidP="00BA1CCE">
            <w:pPr>
              <w:rPr>
                <w:sz w:val="18"/>
                <w:szCs w:val="18"/>
                <w:highlight w:val="yellow"/>
                <w:lang w:eastAsia="ja-JP"/>
              </w:rPr>
            </w:pPr>
          </w:p>
          <w:p w:rsidR="00BB7312" w:rsidRPr="005E542B" w:rsidRDefault="00BB7312" w:rsidP="00BA1CCE">
            <w:pPr>
              <w:rPr>
                <w:sz w:val="16"/>
                <w:szCs w:val="18"/>
                <w:lang w:eastAsia="ja-JP"/>
              </w:rPr>
            </w:pPr>
            <w:r w:rsidRPr="00AF1815">
              <w:rPr>
                <w:sz w:val="18"/>
                <w:highlight w:val="lightGray"/>
                <w:lang w:eastAsia="ja-JP"/>
              </w:rPr>
              <w:t xml:space="preserve">To propose to delete the current text in Section 2.3.1(b) and </w:t>
            </w:r>
            <w:r w:rsidRPr="00AF1815">
              <w:rPr>
                <w:rFonts w:hint="eastAsia"/>
                <w:sz w:val="18"/>
                <w:highlight w:val="lightGray"/>
                <w:lang w:eastAsia="ja-JP"/>
              </w:rPr>
              <w:t>to consider</w:t>
            </w:r>
            <w:r w:rsidRPr="00AF1815">
              <w:rPr>
                <w:sz w:val="18"/>
                <w:highlight w:val="lightGray"/>
                <w:lang w:eastAsia="ja-JP"/>
              </w:rPr>
              <w:t xml:space="preserve"> alternative guidance</w:t>
            </w:r>
            <w:r w:rsidRPr="00AF1815">
              <w:rPr>
                <w:rFonts w:hint="eastAsia"/>
                <w:sz w:val="18"/>
                <w:highlight w:val="lightGray"/>
                <w:lang w:eastAsia="ja-JP"/>
              </w:rPr>
              <w:t xml:space="preserve"> to be provided by the CPVO, at its third meeting</w:t>
            </w:r>
            <w:r w:rsidRPr="00AF1815">
              <w:rPr>
                <w:sz w:val="18"/>
                <w:highlight w:val="lightGray"/>
                <w:lang w:eastAsia="ja-JP"/>
              </w:rPr>
              <w:t>.</w:t>
            </w:r>
          </w:p>
          <w:p w:rsidR="00BB7312" w:rsidRPr="00922DA9" w:rsidRDefault="00BB7312" w:rsidP="00BA1CCE">
            <w:pPr>
              <w:rPr>
                <w:sz w:val="18"/>
                <w:szCs w:val="18"/>
              </w:rPr>
            </w:pPr>
          </w:p>
        </w:tc>
      </w:tr>
    </w:tbl>
    <w:p w:rsidR="00BB7312" w:rsidRDefault="00BB7312" w:rsidP="00BA1CCE">
      <w:pPr>
        <w:jc w:val="left"/>
        <w:rPr>
          <w:lang w:eastAsia="ja-JP"/>
        </w:rPr>
      </w:pPr>
    </w:p>
    <w:p w:rsidR="00BB7312" w:rsidRPr="005E542B" w:rsidRDefault="00BB7312" w:rsidP="00BA1CCE">
      <w:pPr>
        <w:keepNext/>
        <w:ind w:firstLine="567"/>
        <w:rPr>
          <w:strike/>
        </w:rPr>
      </w:pPr>
      <w:r w:rsidRPr="005E542B">
        <w:rPr>
          <w:strike/>
        </w:rPr>
        <w:t>(c)</w:t>
      </w:r>
      <w:r w:rsidRPr="005E542B">
        <w:rPr>
          <w:strike/>
        </w:rPr>
        <w:tab/>
        <w:t>convey the impression that the variety is derived from, or related to, another variety when that is not, in fact, the case;</w:t>
      </w:r>
    </w:p>
    <w:p w:rsidR="00BB7312" w:rsidRPr="005E542B" w:rsidRDefault="00BB7312" w:rsidP="00BA1CCE">
      <w:pPr>
        <w:keepNext/>
        <w:ind w:firstLine="567"/>
        <w:rPr>
          <w:strike/>
        </w:rPr>
      </w:pPr>
    </w:p>
    <w:p w:rsidR="00BB7312" w:rsidRDefault="00BB7312" w:rsidP="00BA1CCE">
      <w:pPr>
        <w:ind w:left="567"/>
        <w:rPr>
          <w:strike/>
          <w:lang w:eastAsia="ja-JP"/>
        </w:rPr>
      </w:pPr>
      <w:r w:rsidRPr="005E542B">
        <w:rPr>
          <w:i/>
          <w:strike/>
        </w:rPr>
        <w:t>Example:</w:t>
      </w:r>
      <w:r w:rsidRPr="005E542B">
        <w:rPr>
          <w:strike/>
        </w:rPr>
        <w:t xml:space="preserve">  a denomination which is similar to that of another variety of the same species or closely related species, e.g. “Southern cross 1”; “Southern cross 2”; etc., giving the impression that these </w:t>
      </w:r>
    </w:p>
    <w:p w:rsidR="00BB7312" w:rsidRPr="00634EB1" w:rsidRDefault="00BB7312" w:rsidP="00BA1CCE">
      <w:pPr>
        <w:ind w:left="567"/>
        <w:rPr>
          <w:strike/>
          <w:lang w:eastAsia="ja-JP"/>
        </w:rPr>
      </w:pPr>
      <w:r w:rsidRPr="005E542B">
        <w:rPr>
          <w:strike/>
        </w:rPr>
        <w:t>varieties are a series of related varieties with similar characteristics, when, in fact, this is not the case</w:t>
      </w:r>
      <w:r w:rsidR="00FC3A91" w:rsidRPr="00FC3A91">
        <w:rPr>
          <w:vertAlign w:val="superscript"/>
        </w:rPr>
        <w:t>e</w:t>
      </w:r>
    </w:p>
    <w:p w:rsidR="00BB7312" w:rsidRDefault="00BB7312" w:rsidP="00BA1CCE">
      <w:pPr>
        <w:rPr>
          <w:lang w:eastAsia="ja-JP"/>
        </w:rPr>
      </w:pPr>
    </w:p>
    <w:p w:rsidR="00BB7312" w:rsidRDefault="00BB7312" w:rsidP="00BA1CCE">
      <w:pPr>
        <w:jc w:val="left"/>
        <w:rPr>
          <w:lang w:eastAsia="ja-JP"/>
        </w:rPr>
      </w:pPr>
      <w:r>
        <w:rPr>
          <w:rFonts w:hint="eastAsia"/>
          <w:lang w:eastAsia="ja-JP"/>
        </w:rPr>
        <w:t xml:space="preserve">[agreed to delete by </w:t>
      </w:r>
      <w:r>
        <w:rPr>
          <w:lang w:eastAsia="ja-JP"/>
        </w:rPr>
        <w:t xml:space="preserve">the </w:t>
      </w:r>
      <w:r>
        <w:rPr>
          <w:rFonts w:hint="eastAsia"/>
          <w:lang w:eastAsia="ja-JP"/>
        </w:rPr>
        <w:t>WG-DEN, at its first meeting]</w:t>
      </w:r>
    </w:p>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374C3C" w:rsidRDefault="00BB7312" w:rsidP="00BA1CCE">
            <w:pPr>
              <w:rPr>
                <w:sz w:val="18"/>
                <w:szCs w:val="18"/>
                <w:highlight w:val="yellow"/>
              </w:rPr>
            </w:pPr>
          </w:p>
          <w:p w:rsidR="00BB7312" w:rsidRPr="00374C3C" w:rsidRDefault="00BB7312" w:rsidP="00BA1CCE">
            <w:pPr>
              <w:tabs>
                <w:tab w:val="left" w:pos="567"/>
              </w:tabs>
              <w:rPr>
                <w:sz w:val="18"/>
                <w:szCs w:val="18"/>
                <w:highlight w:val="yellow"/>
                <w:lang w:eastAsia="ja-JP"/>
              </w:rPr>
            </w:pPr>
            <w:r w:rsidRPr="00AF1815">
              <w:rPr>
                <w:rFonts w:hint="eastAsia"/>
                <w:color w:val="000000"/>
                <w:sz w:val="18"/>
                <w:szCs w:val="18"/>
                <w:highlight w:val="lightGray"/>
                <w:u w:val="single"/>
                <w:lang w:eastAsia="ja-JP"/>
              </w:rPr>
              <w:t>T</w:t>
            </w:r>
            <w:r w:rsidRPr="00AF1815">
              <w:rPr>
                <w:color w:val="000000"/>
                <w:sz w:val="18"/>
                <w:szCs w:val="18"/>
                <w:highlight w:val="lightGray"/>
                <w:u w:val="single"/>
              </w:rPr>
              <w:t xml:space="preserve">he </w:t>
            </w:r>
            <w:r w:rsidRPr="00AF1815">
              <w:rPr>
                <w:rFonts w:hint="eastAsia"/>
                <w:color w:val="000000"/>
                <w:sz w:val="18"/>
                <w:szCs w:val="18"/>
                <w:highlight w:val="lightGray"/>
                <w:u w:val="single"/>
                <w:lang w:eastAsia="ja-JP"/>
              </w:rPr>
              <w:t>WG-DEN</w:t>
            </w:r>
            <w:r w:rsidRPr="00AF1815">
              <w:rPr>
                <w:color w:val="000000"/>
                <w:sz w:val="18"/>
                <w:szCs w:val="18"/>
                <w:highlight w:val="lightGray"/>
                <w:u w:val="single"/>
                <w:lang w:eastAsia="ja-JP"/>
              </w:rPr>
              <w:t>, at its second meeting,</w:t>
            </w:r>
            <w:r w:rsidRPr="00AF1815">
              <w:rPr>
                <w:rFonts w:hint="eastAsia"/>
                <w:color w:val="000000"/>
                <w:sz w:val="18"/>
                <w:szCs w:val="18"/>
                <w:highlight w:val="lightGray"/>
                <w:u w:val="single"/>
                <w:lang w:eastAsia="ja-JP"/>
              </w:rPr>
              <w:t xml:space="preserve"> agreed to consider the </w:t>
            </w:r>
            <w:r w:rsidRPr="00AF1815">
              <w:rPr>
                <w:color w:val="000000"/>
                <w:sz w:val="18"/>
                <w:szCs w:val="18"/>
                <w:highlight w:val="lightGray"/>
                <w:u w:val="single"/>
                <w:lang w:eastAsia="ja-JP"/>
              </w:rPr>
              <w:t>following</w:t>
            </w:r>
            <w:r w:rsidRPr="00AF1815">
              <w:rPr>
                <w:rFonts w:hint="eastAsia"/>
                <w:color w:val="000000"/>
                <w:sz w:val="18"/>
                <w:szCs w:val="18"/>
                <w:highlight w:val="lightGray"/>
                <w:u w:val="single"/>
                <w:lang w:eastAsia="ja-JP"/>
              </w:rPr>
              <w:t xml:space="preserve"> proposal at its third meeting</w:t>
            </w:r>
          </w:p>
          <w:p w:rsidR="00BB7312" w:rsidRPr="00374C3C" w:rsidRDefault="00BB7312" w:rsidP="00BA1CCE">
            <w:pPr>
              <w:rPr>
                <w:spacing w:val="-2"/>
                <w:sz w:val="18"/>
                <w:szCs w:val="18"/>
                <w:highlight w:val="yellow"/>
              </w:rPr>
            </w:pPr>
          </w:p>
          <w:p w:rsidR="00BB7312" w:rsidRPr="00374C3C" w:rsidRDefault="00BB7312" w:rsidP="00BA1CCE">
            <w:pPr>
              <w:rPr>
                <w:spacing w:val="-2"/>
                <w:sz w:val="18"/>
                <w:szCs w:val="18"/>
                <w:highlight w:val="yellow"/>
                <w:lang w:eastAsia="ja-JP"/>
              </w:rPr>
            </w:pPr>
            <w:r w:rsidRPr="00AF1815">
              <w:rPr>
                <w:rFonts w:hint="eastAsia"/>
                <w:spacing w:val="-2"/>
                <w:sz w:val="18"/>
                <w:szCs w:val="18"/>
                <w:highlight w:val="lightGray"/>
                <w:lang w:eastAsia="ja-JP"/>
              </w:rPr>
              <w:t>T</w:t>
            </w:r>
            <w:r w:rsidRPr="00AF1815">
              <w:rPr>
                <w:spacing w:val="-2"/>
                <w:sz w:val="18"/>
                <w:szCs w:val="18"/>
                <w:highlight w:val="lightGray"/>
                <w:lang w:eastAsia="ja-JP"/>
              </w:rPr>
              <w:t>o consider two elements together, botanical relationship of varieties and confusion in relation to the identity of the breeder, to cover refusal of following cases:</w:t>
            </w:r>
          </w:p>
          <w:p w:rsidR="00BB7312" w:rsidRPr="00AF1815" w:rsidRDefault="00BB7312" w:rsidP="00BA1CCE">
            <w:pPr>
              <w:rPr>
                <w:spacing w:val="-2"/>
                <w:sz w:val="18"/>
                <w:szCs w:val="18"/>
                <w:lang w:eastAsia="ja-JP"/>
              </w:rPr>
            </w:pPr>
          </w:p>
          <w:p w:rsidR="00BB7312" w:rsidRPr="00AF1815" w:rsidRDefault="00BB7312" w:rsidP="00BB7312">
            <w:pPr>
              <w:pStyle w:val="ListParagraph"/>
              <w:numPr>
                <w:ilvl w:val="0"/>
                <w:numId w:val="6"/>
              </w:numPr>
              <w:tabs>
                <w:tab w:val="left" w:pos="851"/>
              </w:tabs>
              <w:ind w:left="0" w:firstLine="567"/>
              <w:rPr>
                <w:spacing w:val="-2"/>
                <w:sz w:val="18"/>
                <w:szCs w:val="18"/>
                <w:highlight w:val="lightGray"/>
                <w:lang w:eastAsia="ja-JP"/>
              </w:rPr>
            </w:pPr>
            <w:r w:rsidRPr="00AF1815">
              <w:rPr>
                <w:spacing w:val="-2"/>
                <w:sz w:val="18"/>
                <w:szCs w:val="18"/>
                <w:highlight w:val="lightGray"/>
                <w:lang w:eastAsia="ja-JP"/>
              </w:rPr>
              <w:t xml:space="preserve">a variety denomination “Dannys Royal Gala” even if it had little botanical relation with variety denomination “Royal Gala”;  and </w:t>
            </w:r>
          </w:p>
          <w:p w:rsidR="00BB7312" w:rsidRPr="00374C3C" w:rsidRDefault="00BB7312" w:rsidP="00BA1CCE">
            <w:pPr>
              <w:tabs>
                <w:tab w:val="left" w:pos="851"/>
              </w:tabs>
              <w:ind w:firstLine="567"/>
              <w:rPr>
                <w:spacing w:val="-2"/>
                <w:sz w:val="18"/>
                <w:szCs w:val="18"/>
                <w:highlight w:val="yellow"/>
                <w:lang w:eastAsia="ja-JP"/>
              </w:rPr>
            </w:pPr>
          </w:p>
          <w:p w:rsidR="00BB7312" w:rsidRPr="00AF1815" w:rsidRDefault="00BB7312" w:rsidP="00BB7312">
            <w:pPr>
              <w:pStyle w:val="ListParagraph"/>
              <w:numPr>
                <w:ilvl w:val="0"/>
                <w:numId w:val="6"/>
              </w:numPr>
              <w:tabs>
                <w:tab w:val="left" w:pos="851"/>
              </w:tabs>
              <w:ind w:left="0" w:firstLine="567"/>
              <w:rPr>
                <w:spacing w:val="-2"/>
                <w:sz w:val="18"/>
                <w:szCs w:val="18"/>
                <w:highlight w:val="lightGray"/>
                <w:lang w:eastAsia="ja-JP"/>
              </w:rPr>
            </w:pPr>
            <w:r w:rsidRPr="00AF1815">
              <w:rPr>
                <w:spacing w:val="-2"/>
                <w:sz w:val="18"/>
                <w:szCs w:val="18"/>
                <w:highlight w:val="lightGray"/>
                <w:lang w:eastAsia="ja-JP"/>
              </w:rPr>
              <w:t>a breeder submitting a type of variety denomination, which resulted in a copy of another  breeders well known practice.  For instance, the practice of a breeder that proposes denominations consisting of names of mountains</w:t>
            </w:r>
            <w:r w:rsidRPr="00AF1815">
              <w:rPr>
                <w:rFonts w:hint="eastAsia"/>
                <w:spacing w:val="-2"/>
                <w:sz w:val="18"/>
                <w:szCs w:val="18"/>
                <w:highlight w:val="lightGray"/>
                <w:lang w:eastAsia="ja-JP"/>
              </w:rPr>
              <w:t>.</w:t>
            </w:r>
          </w:p>
          <w:p w:rsidR="00BB7312" w:rsidRPr="00374C3C" w:rsidRDefault="00BB7312" w:rsidP="00BA1CCE">
            <w:pPr>
              <w:rPr>
                <w:highlight w:val="yellow"/>
              </w:rPr>
            </w:pPr>
          </w:p>
        </w:tc>
      </w:tr>
    </w:tbl>
    <w:p w:rsidR="00BB7312" w:rsidRDefault="00BB7312" w:rsidP="00BA1CCE">
      <w:pPr>
        <w:jc w:val="left"/>
        <w:rPr>
          <w:lang w:eastAsia="ja-JP"/>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922DA9" w:rsidRDefault="00BB7312" w:rsidP="00BA1CCE">
            <w:pPr>
              <w:rPr>
                <w:sz w:val="18"/>
                <w:szCs w:val="18"/>
              </w:rPr>
            </w:pPr>
          </w:p>
          <w:p w:rsidR="00BB7312" w:rsidRPr="00E86FF7" w:rsidRDefault="00BB7312" w:rsidP="00BA1CCE">
            <w:pPr>
              <w:tabs>
                <w:tab w:val="left" w:pos="567"/>
              </w:tabs>
              <w:rPr>
                <w:sz w:val="18"/>
                <w:szCs w:val="18"/>
                <w:lang w:eastAsia="ja-JP"/>
              </w:rPr>
            </w:pPr>
            <w:r w:rsidRPr="00E86FF7">
              <w:rPr>
                <w:color w:val="000000"/>
                <w:sz w:val="18"/>
                <w:szCs w:val="18"/>
                <w:u w:val="single"/>
                <w:lang w:eastAsia="ja-JP"/>
              </w:rPr>
              <w:t>Proposed to add by the</w:t>
            </w:r>
            <w:r w:rsidRPr="00E86FF7">
              <w:rPr>
                <w:color w:val="000000"/>
                <w:sz w:val="18"/>
                <w:szCs w:val="18"/>
                <w:u w:val="single"/>
              </w:rPr>
              <w:t xml:space="preserve"> </w:t>
            </w:r>
            <w:r w:rsidRPr="00E86FF7">
              <w:rPr>
                <w:rFonts w:hint="eastAsia"/>
                <w:color w:val="000000"/>
                <w:sz w:val="18"/>
                <w:szCs w:val="18"/>
                <w:u w:val="single"/>
                <w:lang w:eastAsia="ja-JP"/>
              </w:rPr>
              <w:t>WG-D</w:t>
            </w:r>
            <w:r w:rsidRPr="00E86FF7">
              <w:rPr>
                <w:color w:val="000000"/>
                <w:sz w:val="18"/>
                <w:szCs w:val="18"/>
                <w:u w:val="single"/>
                <w:lang w:eastAsia="ja-JP"/>
              </w:rPr>
              <w:t>ST,</w:t>
            </w:r>
            <w:r w:rsidRPr="00E86FF7">
              <w:rPr>
                <w:rFonts w:hint="eastAsia"/>
                <w:color w:val="000000"/>
                <w:sz w:val="18"/>
                <w:szCs w:val="18"/>
                <w:u w:val="single"/>
                <w:lang w:eastAsia="ja-JP"/>
              </w:rPr>
              <w:t xml:space="preserve"> at its second meeting</w:t>
            </w:r>
          </w:p>
          <w:p w:rsidR="00BB7312" w:rsidRPr="00E86FF7" w:rsidRDefault="00BB7312" w:rsidP="00BA1CCE">
            <w:pPr>
              <w:rPr>
                <w:sz w:val="18"/>
                <w:szCs w:val="18"/>
                <w:lang w:eastAsia="ja-JP"/>
              </w:rPr>
            </w:pPr>
          </w:p>
          <w:p w:rsidR="00BB7312" w:rsidRPr="00E86FF7" w:rsidRDefault="00BB7312" w:rsidP="00BA1CCE">
            <w:pPr>
              <w:ind w:firstLine="540"/>
              <w:rPr>
                <w:sz w:val="18"/>
                <w:szCs w:val="18"/>
                <w:lang w:eastAsia="ja-JP"/>
              </w:rPr>
            </w:pPr>
            <w:r w:rsidRPr="00E86FF7">
              <w:rPr>
                <w:rFonts w:hint="eastAsia"/>
                <w:sz w:val="18"/>
                <w:szCs w:val="18"/>
                <w:lang w:eastAsia="ja-JP"/>
              </w:rPr>
              <w:t>(d)</w:t>
            </w:r>
            <w:r w:rsidRPr="00E86FF7">
              <w:rPr>
                <w:rFonts w:hint="eastAsia"/>
                <w:sz w:val="18"/>
                <w:szCs w:val="18"/>
                <w:lang w:eastAsia="ja-JP"/>
              </w:rPr>
              <w:tab/>
            </w:r>
            <w:r w:rsidRPr="00E86FF7">
              <w:rPr>
                <w:sz w:val="18"/>
                <w:szCs w:val="18"/>
                <w:lang w:eastAsia="ja-JP"/>
              </w:rPr>
              <w:t>contain the botanical or common name of the genus to which that variety belongs.  The identity of the denomination and that of the genus to which it belongs could become unclear and confusing.</w:t>
            </w:r>
          </w:p>
          <w:p w:rsidR="00BB7312" w:rsidRPr="00E86FF7" w:rsidRDefault="00BB7312" w:rsidP="00BA1CCE">
            <w:pPr>
              <w:rPr>
                <w:sz w:val="18"/>
                <w:szCs w:val="18"/>
                <w:lang w:eastAsia="ja-JP"/>
              </w:rPr>
            </w:pPr>
          </w:p>
          <w:p w:rsidR="00BB7312" w:rsidRPr="006351E2" w:rsidRDefault="00BB7312" w:rsidP="00BA1CCE">
            <w:pPr>
              <w:ind w:left="540"/>
              <w:rPr>
                <w:sz w:val="18"/>
                <w:szCs w:val="18"/>
                <w:lang w:eastAsia="ja-JP"/>
              </w:rPr>
            </w:pPr>
            <w:r w:rsidRPr="00E86FF7">
              <w:rPr>
                <w:sz w:val="18"/>
                <w:szCs w:val="18"/>
                <w:lang w:eastAsia="ja-JP"/>
              </w:rPr>
              <w:t>Example in section 2.3.1 (d): Carex variety “Sedge”.  Carex is the botanical name of the genus, for which the common name is sedge.</w:t>
            </w:r>
            <w:r w:rsidR="00FC3A91" w:rsidRPr="00FC3A91">
              <w:rPr>
                <w:sz w:val="18"/>
                <w:szCs w:val="18"/>
                <w:vertAlign w:val="superscript"/>
                <w:lang w:eastAsia="ja-JP"/>
              </w:rPr>
              <w:t>f</w:t>
            </w:r>
          </w:p>
          <w:p w:rsidR="00BB7312" w:rsidRPr="00922DA9" w:rsidRDefault="00BB7312" w:rsidP="00BA1CCE">
            <w:pPr>
              <w:rPr>
                <w:sz w:val="18"/>
                <w:szCs w:val="18"/>
              </w:rPr>
            </w:pPr>
          </w:p>
        </w:tc>
      </w:tr>
    </w:tbl>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B343D1" w:rsidRDefault="00BB7312" w:rsidP="00BA1CCE">
            <w:pPr>
              <w:rPr>
                <w:sz w:val="18"/>
                <w:szCs w:val="18"/>
              </w:rPr>
            </w:pPr>
          </w:p>
          <w:p w:rsidR="00BB7312" w:rsidRPr="005E542B" w:rsidRDefault="00BB7312" w:rsidP="00BA1CCE">
            <w:pPr>
              <w:rPr>
                <w:sz w:val="18"/>
                <w:szCs w:val="18"/>
                <w:u w:val="single"/>
              </w:rPr>
            </w:pPr>
            <w:r w:rsidRPr="005E542B">
              <w:rPr>
                <w:sz w:val="18"/>
                <w:szCs w:val="18"/>
                <w:u w:val="single"/>
              </w:rPr>
              <w:t>Agreed by the WG-DEN</w:t>
            </w:r>
            <w:r w:rsidRPr="005E542B">
              <w:rPr>
                <w:rFonts w:hint="eastAsia"/>
                <w:sz w:val="18"/>
                <w:szCs w:val="18"/>
                <w:u w:val="single"/>
                <w:lang w:eastAsia="ja-JP"/>
              </w:rPr>
              <w:t>, at its first meeting</w:t>
            </w:r>
            <w:r w:rsidR="00FC3A91" w:rsidRPr="00FC3A91">
              <w:rPr>
                <w:sz w:val="18"/>
                <w:szCs w:val="18"/>
                <w:vertAlign w:val="superscript"/>
                <w:lang w:eastAsia="ja-JP"/>
              </w:rPr>
              <w:t>g</w:t>
            </w:r>
          </w:p>
          <w:p w:rsidR="00BB7312" w:rsidRPr="005E542B" w:rsidRDefault="00BB7312" w:rsidP="00BA1CCE">
            <w:pPr>
              <w:rPr>
                <w:sz w:val="18"/>
                <w:szCs w:val="18"/>
                <w:u w:val="single"/>
              </w:rPr>
            </w:pPr>
          </w:p>
          <w:p w:rsidR="00BB7312" w:rsidRPr="005E542B" w:rsidRDefault="00BB7312" w:rsidP="00BA1CCE">
            <w:pPr>
              <w:rPr>
                <w:sz w:val="18"/>
                <w:szCs w:val="18"/>
              </w:rPr>
            </w:pPr>
            <w:r w:rsidRPr="005E542B">
              <w:rPr>
                <w:sz w:val="18"/>
                <w:szCs w:val="18"/>
              </w:rPr>
              <w:t>To consider the following issues with regard to confusion concerning the use of botanical and common names in relation to denominations at the second meeting of the WG-DEN:</w:t>
            </w:r>
          </w:p>
          <w:p w:rsidR="00BB7312" w:rsidRPr="005E542B" w:rsidRDefault="00BB7312" w:rsidP="00BA1CCE">
            <w:pPr>
              <w:rPr>
                <w:sz w:val="18"/>
                <w:szCs w:val="18"/>
              </w:rPr>
            </w:pPr>
          </w:p>
          <w:p w:rsidR="00BB7312" w:rsidRPr="005E542B" w:rsidRDefault="00BB7312" w:rsidP="00BB7312">
            <w:pPr>
              <w:pStyle w:val="ListParagraph"/>
              <w:numPr>
                <w:ilvl w:val="0"/>
                <w:numId w:val="3"/>
              </w:numPr>
              <w:tabs>
                <w:tab w:val="left" w:pos="881"/>
              </w:tabs>
              <w:ind w:left="0" w:firstLine="567"/>
              <w:rPr>
                <w:spacing w:val="-2"/>
                <w:sz w:val="18"/>
                <w:szCs w:val="18"/>
              </w:rPr>
            </w:pPr>
            <w:r w:rsidRPr="005E542B">
              <w:rPr>
                <w:spacing w:val="-2"/>
                <w:sz w:val="18"/>
                <w:szCs w:val="18"/>
              </w:rPr>
              <w:t>to consider the guidance of the International Code for the Nomenclature of Cultivated Plants (ICNCP) of the International Commission for the Nomenclature of Cultivated Plants of the International Union for Biological Sciences (IUBS Commission) on the use of botanical and common names with a view to exploring greater harmonization</w:t>
            </w:r>
            <w:r w:rsidRPr="005E542B">
              <w:rPr>
                <w:rFonts w:hint="eastAsia"/>
                <w:spacing w:val="-2"/>
                <w:sz w:val="18"/>
                <w:szCs w:val="18"/>
                <w:lang w:eastAsia="ja-JP"/>
              </w:rPr>
              <w:t xml:space="preserve"> (see below)</w:t>
            </w:r>
            <w:r w:rsidRPr="005E542B">
              <w:rPr>
                <w:spacing w:val="-2"/>
                <w:sz w:val="18"/>
                <w:szCs w:val="18"/>
              </w:rPr>
              <w:t>;</w:t>
            </w:r>
          </w:p>
          <w:p w:rsidR="00BB7312" w:rsidRPr="005E542B" w:rsidRDefault="00BB7312" w:rsidP="00BA1CCE">
            <w:pPr>
              <w:ind w:firstLine="567"/>
              <w:rPr>
                <w:sz w:val="18"/>
                <w:szCs w:val="18"/>
              </w:rPr>
            </w:pPr>
          </w:p>
          <w:p w:rsidR="00BB7312" w:rsidRPr="005E542B" w:rsidRDefault="00BB7312" w:rsidP="00BB7312">
            <w:pPr>
              <w:pStyle w:val="ListParagraph"/>
              <w:numPr>
                <w:ilvl w:val="0"/>
                <w:numId w:val="3"/>
              </w:numPr>
              <w:tabs>
                <w:tab w:val="left" w:pos="881"/>
              </w:tabs>
              <w:ind w:left="0" w:firstLine="567"/>
              <w:rPr>
                <w:sz w:val="18"/>
                <w:szCs w:val="18"/>
              </w:rPr>
            </w:pPr>
            <w:r w:rsidRPr="005E542B">
              <w:rPr>
                <w:sz w:val="18"/>
                <w:szCs w:val="18"/>
              </w:rPr>
              <w:t>whether to refuse the use of all botanical names and only accept certain common names that had a wider meaning;</w:t>
            </w:r>
          </w:p>
          <w:p w:rsidR="00BB7312" w:rsidRPr="005E542B" w:rsidRDefault="00BB7312" w:rsidP="00BA1CCE">
            <w:pPr>
              <w:ind w:firstLine="567"/>
              <w:rPr>
                <w:sz w:val="18"/>
                <w:szCs w:val="18"/>
              </w:rPr>
            </w:pPr>
          </w:p>
          <w:p w:rsidR="00BB7312" w:rsidRPr="005E542B" w:rsidRDefault="00BB7312" w:rsidP="00BB7312">
            <w:pPr>
              <w:pStyle w:val="ListParagraph"/>
              <w:numPr>
                <w:ilvl w:val="0"/>
                <w:numId w:val="3"/>
              </w:numPr>
              <w:tabs>
                <w:tab w:val="left" w:pos="881"/>
              </w:tabs>
              <w:ind w:left="0" w:firstLine="567"/>
              <w:rPr>
                <w:sz w:val="18"/>
                <w:szCs w:val="18"/>
              </w:rPr>
            </w:pPr>
            <w:r w:rsidRPr="005E542B">
              <w:rPr>
                <w:sz w:val="18"/>
                <w:szCs w:val="18"/>
              </w:rPr>
              <w:t>whether to broaden the guidance proposed by the WG-DST in new paragraph (d) to cover the use of any genus/species name that was covered by the same variety denomination class or was in the same crop category;</w:t>
            </w:r>
          </w:p>
          <w:p w:rsidR="00BB7312" w:rsidRPr="005E542B" w:rsidRDefault="00BB7312" w:rsidP="00BA1CCE">
            <w:pPr>
              <w:ind w:firstLine="567"/>
              <w:rPr>
                <w:sz w:val="18"/>
                <w:szCs w:val="18"/>
              </w:rPr>
            </w:pPr>
          </w:p>
          <w:p w:rsidR="00BB7312" w:rsidRPr="005E542B" w:rsidRDefault="00BB7312" w:rsidP="00BB7312">
            <w:pPr>
              <w:pStyle w:val="ListParagraph"/>
              <w:numPr>
                <w:ilvl w:val="0"/>
                <w:numId w:val="3"/>
              </w:numPr>
              <w:tabs>
                <w:tab w:val="left" w:pos="881"/>
              </w:tabs>
              <w:ind w:left="0" w:firstLine="567"/>
              <w:rPr>
                <w:sz w:val="18"/>
                <w:szCs w:val="18"/>
              </w:rPr>
            </w:pPr>
            <w:r w:rsidRPr="005E542B">
              <w:rPr>
                <w:sz w:val="18"/>
                <w:szCs w:val="18"/>
              </w:rPr>
              <w:t>whether to provide guidance on the use of part of the genus/species name or a slightly changed version of the genus/species name in a variety denomination;  and</w:t>
            </w:r>
          </w:p>
          <w:p w:rsidR="00BB7312" w:rsidRPr="005E542B" w:rsidRDefault="00BB7312" w:rsidP="00BA1CCE">
            <w:pPr>
              <w:ind w:firstLine="567"/>
              <w:rPr>
                <w:sz w:val="18"/>
                <w:szCs w:val="18"/>
              </w:rPr>
            </w:pPr>
          </w:p>
          <w:p w:rsidR="00BB7312" w:rsidRPr="005E542B" w:rsidRDefault="00BB7312" w:rsidP="00BB7312">
            <w:pPr>
              <w:pStyle w:val="ListParagraph"/>
              <w:numPr>
                <w:ilvl w:val="0"/>
                <w:numId w:val="3"/>
              </w:numPr>
              <w:tabs>
                <w:tab w:val="left" w:pos="881"/>
              </w:tabs>
              <w:ind w:left="0" w:firstLine="567"/>
              <w:rPr>
                <w:sz w:val="18"/>
                <w:szCs w:val="18"/>
              </w:rPr>
            </w:pPr>
            <w:r w:rsidRPr="005E542B">
              <w:rPr>
                <w:sz w:val="18"/>
                <w:szCs w:val="18"/>
              </w:rPr>
              <w:t>whether to consider all languages of UPOV members in relation to common names of the genus to which a variety belongs.</w:t>
            </w:r>
          </w:p>
          <w:p w:rsidR="00BB7312" w:rsidRPr="00B343D1" w:rsidRDefault="00BB7312" w:rsidP="00BA1CCE">
            <w:pPr>
              <w:rPr>
                <w:sz w:val="18"/>
                <w:szCs w:val="18"/>
              </w:rPr>
            </w:pPr>
          </w:p>
        </w:tc>
      </w:tr>
    </w:tbl>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5E542B" w:rsidRDefault="00BB7312" w:rsidP="00BA1CCE">
            <w:pPr>
              <w:rPr>
                <w:sz w:val="18"/>
                <w:szCs w:val="18"/>
                <w:u w:val="single"/>
                <w:lang w:eastAsia="ja-JP"/>
              </w:rPr>
            </w:pPr>
            <w:r w:rsidRPr="005E542B">
              <w:rPr>
                <w:sz w:val="18"/>
                <w:szCs w:val="18"/>
                <w:u w:val="single"/>
              </w:rPr>
              <w:t>Proposal by France</w:t>
            </w:r>
            <w:r w:rsidRPr="005E542B">
              <w:rPr>
                <w:rFonts w:hint="eastAsia"/>
                <w:sz w:val="18"/>
                <w:szCs w:val="18"/>
                <w:u w:val="single"/>
                <w:lang w:eastAsia="ja-JP"/>
              </w:rPr>
              <w:t xml:space="preserve"> submitted in conjunction with other proposals for </w:t>
            </w:r>
            <w:r w:rsidRPr="005E542B">
              <w:rPr>
                <w:sz w:val="18"/>
                <w:szCs w:val="18"/>
                <w:u w:val="single"/>
                <w:lang w:eastAsia="ja-JP"/>
              </w:rPr>
              <w:t>UPOV Circular E-16/088 of April 13, 2016</w:t>
            </w:r>
          </w:p>
          <w:p w:rsidR="00BB7312" w:rsidRPr="005E542B" w:rsidRDefault="00BB7312" w:rsidP="00BA1CCE">
            <w:pPr>
              <w:rPr>
                <w:sz w:val="18"/>
                <w:szCs w:val="18"/>
                <w:u w:val="single"/>
              </w:rPr>
            </w:pPr>
          </w:p>
          <w:p w:rsidR="00BB7312" w:rsidRPr="00395671" w:rsidRDefault="00BB7312" w:rsidP="00BA1CCE">
            <w:pPr>
              <w:rPr>
                <w:spacing w:val="-2"/>
                <w:sz w:val="18"/>
                <w:szCs w:val="18"/>
              </w:rPr>
            </w:pPr>
            <w:r w:rsidRPr="005E542B">
              <w:rPr>
                <w:spacing w:val="-2"/>
                <w:sz w:val="18"/>
                <w:szCs w:val="18"/>
              </w:rPr>
              <w:t>We think it should be avoided if it may mislead concerning the identity of the variety, or if it prevents users from identifying the variety amongst others. Latin or common names of the species/genera which the variety belongs (as such, or with an evocating word) should not be the only word of the denomination. Example of non-acceptable denominations because preventing from identifying the variety: ‘Lolius’ for a Lolium perenne variety, ‘Sunflow’ for a sunflower variety.  On the contrary, a denomination proposal ‘Pineapple’ or ‘Cherry’ for a tomato variety may be suitable, provided that it does not cause any confusion concerning the characteristics of the variety. In our opinion, the notion of “crop sector” used in the EU to authorize botanical name used as denomination as soon as it belongs to another crop sector that the one concerned by the variety works quite well (e.g. a botanical name of an ornamental species for a denomination of an agricultural variety).</w:t>
            </w:r>
          </w:p>
          <w:p w:rsidR="00BB7312" w:rsidRPr="0047703B" w:rsidRDefault="00BB7312" w:rsidP="00BA1CCE">
            <w:pPr>
              <w:rPr>
                <w:sz w:val="18"/>
                <w:szCs w:val="18"/>
              </w:rPr>
            </w:pPr>
          </w:p>
        </w:tc>
      </w:tr>
    </w:tbl>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F2452" w:rsidRDefault="00BB7312" w:rsidP="00BA1CCE">
            <w:pPr>
              <w:rPr>
                <w:sz w:val="18"/>
                <w:szCs w:val="18"/>
              </w:rPr>
            </w:pPr>
          </w:p>
          <w:p w:rsidR="00BB7312" w:rsidRPr="005E542B" w:rsidRDefault="00BB7312" w:rsidP="00BA1CCE">
            <w:pPr>
              <w:rPr>
                <w:color w:val="000000"/>
                <w:sz w:val="18"/>
                <w:szCs w:val="18"/>
                <w:u w:val="single"/>
              </w:rPr>
            </w:pPr>
            <w:r w:rsidRPr="005E542B">
              <w:rPr>
                <w:rFonts w:hint="eastAsia"/>
                <w:color w:val="000000"/>
                <w:sz w:val="18"/>
                <w:szCs w:val="18"/>
                <w:u w:val="single"/>
                <w:lang w:eastAsia="ja-JP"/>
              </w:rPr>
              <w:t>Extract from ICNCP provided by CPVO</w:t>
            </w:r>
          </w:p>
          <w:p w:rsidR="00BB7312" w:rsidRPr="005E542B" w:rsidRDefault="00BB7312" w:rsidP="00BA1CCE">
            <w:pPr>
              <w:tabs>
                <w:tab w:val="left" w:pos="380"/>
              </w:tabs>
              <w:rPr>
                <w:color w:val="000000"/>
                <w:sz w:val="18"/>
                <w:szCs w:val="18"/>
                <w:u w:val="single"/>
                <w:lang w:eastAsia="ja-JP"/>
              </w:rPr>
            </w:pPr>
          </w:p>
          <w:p w:rsidR="00BB7312" w:rsidRPr="005E542B" w:rsidRDefault="00BB7312" w:rsidP="00BA1CCE">
            <w:pPr>
              <w:tabs>
                <w:tab w:val="left" w:pos="380"/>
              </w:tabs>
              <w:rPr>
                <w:color w:val="000000"/>
                <w:sz w:val="18"/>
                <w:szCs w:val="18"/>
                <w:lang w:eastAsia="ja-JP"/>
              </w:rPr>
            </w:pPr>
            <w:r w:rsidRPr="005E542B">
              <w:rPr>
                <w:color w:val="000000"/>
                <w:sz w:val="18"/>
                <w:szCs w:val="18"/>
                <w:lang w:eastAsia="ja-JP"/>
              </w:rPr>
              <w:t>21.20. Except where linguistic custom demands, a name is not established if on or after 1 January 1996 its cultivar epithet contains the Latin or common name(s) of the genus to which it is assigned.</w:t>
            </w:r>
          </w:p>
          <w:p w:rsidR="00BB7312" w:rsidRPr="002371C8" w:rsidRDefault="00BB7312" w:rsidP="00BA1CCE">
            <w:pPr>
              <w:tabs>
                <w:tab w:val="left" w:pos="380"/>
              </w:tabs>
              <w:rPr>
                <w:color w:val="000000"/>
                <w:sz w:val="16"/>
                <w:szCs w:val="18"/>
                <w:lang w:eastAsia="ja-JP"/>
              </w:rPr>
            </w:pPr>
          </w:p>
          <w:p w:rsidR="00BB7312" w:rsidRPr="005E542B" w:rsidRDefault="00BB7312" w:rsidP="00BA1CCE">
            <w:pPr>
              <w:tabs>
                <w:tab w:val="left" w:pos="380"/>
              </w:tabs>
              <w:rPr>
                <w:color w:val="000000"/>
                <w:sz w:val="18"/>
                <w:szCs w:val="18"/>
                <w:lang w:eastAsia="ja-JP"/>
              </w:rPr>
            </w:pPr>
            <w:r w:rsidRPr="005E542B">
              <w:rPr>
                <w:color w:val="000000"/>
                <w:sz w:val="18"/>
                <w:szCs w:val="18"/>
                <w:lang w:eastAsia="ja-JP"/>
              </w:rPr>
              <w:t>Ex. 33. Castanea ‘Pale Chestnut’, Gladiolus ‘Pink Gladiolus’, Narcissus ‘Davis Daff’, Narcissus ‘Granny’s Daffodil’, Paeonia ‘Sussex Peony’, Phlox ‘Phlox of Sheep’, and Rhododendron ‘Rhododendron Mad’ may not be established.</w:t>
            </w:r>
          </w:p>
          <w:p w:rsidR="00BB7312" w:rsidRPr="002371C8" w:rsidRDefault="00BB7312" w:rsidP="00BA1CCE">
            <w:pPr>
              <w:tabs>
                <w:tab w:val="left" w:pos="380"/>
              </w:tabs>
              <w:rPr>
                <w:color w:val="000000"/>
                <w:sz w:val="14"/>
                <w:szCs w:val="18"/>
                <w:lang w:eastAsia="ja-JP"/>
              </w:rPr>
            </w:pPr>
          </w:p>
          <w:p w:rsidR="00BB7312" w:rsidRPr="005E542B" w:rsidRDefault="00BB7312" w:rsidP="00BA1CCE">
            <w:pPr>
              <w:tabs>
                <w:tab w:val="left" w:pos="380"/>
              </w:tabs>
              <w:rPr>
                <w:color w:val="000000"/>
                <w:sz w:val="18"/>
                <w:szCs w:val="18"/>
                <w:lang w:eastAsia="ja-JP"/>
              </w:rPr>
            </w:pPr>
            <w:r w:rsidRPr="005E542B">
              <w:rPr>
                <w:color w:val="000000"/>
                <w:sz w:val="18"/>
                <w:szCs w:val="18"/>
                <w:lang w:eastAsia="ja-JP"/>
              </w:rPr>
              <w:t>Ex. 34. Dianthus ‘Rupert’s Pink’ is established; “pink” is not the common name for all plants in the genus Dianthus.</w:t>
            </w:r>
          </w:p>
          <w:p w:rsidR="00BB7312" w:rsidRPr="005E542B" w:rsidRDefault="00BB7312" w:rsidP="00BA1CCE">
            <w:pPr>
              <w:tabs>
                <w:tab w:val="left" w:pos="380"/>
              </w:tabs>
              <w:rPr>
                <w:color w:val="000000"/>
                <w:sz w:val="18"/>
                <w:szCs w:val="18"/>
                <w:lang w:eastAsia="ja-JP"/>
              </w:rPr>
            </w:pPr>
            <w:r w:rsidRPr="005E542B">
              <w:rPr>
                <w:color w:val="000000"/>
                <w:sz w:val="18"/>
                <w:szCs w:val="18"/>
                <w:lang w:eastAsia="ja-JP"/>
              </w:rPr>
              <w:t>Ex. 35. Prunus ‘Sato-zakura’ is established; “zakura” is the Japanese word for flowering cherries, rather than a name for the whole genus.</w:t>
            </w:r>
          </w:p>
          <w:p w:rsidR="00BB7312" w:rsidRPr="002371C8" w:rsidRDefault="00BB7312" w:rsidP="00BA1CCE">
            <w:pPr>
              <w:tabs>
                <w:tab w:val="left" w:pos="380"/>
              </w:tabs>
              <w:rPr>
                <w:color w:val="000000"/>
                <w:sz w:val="14"/>
                <w:szCs w:val="18"/>
                <w:lang w:eastAsia="ja-JP"/>
              </w:rPr>
            </w:pPr>
          </w:p>
          <w:p w:rsidR="00BB7312" w:rsidRPr="005E542B" w:rsidRDefault="00BB7312" w:rsidP="00BA1CCE">
            <w:pPr>
              <w:tabs>
                <w:tab w:val="left" w:pos="380"/>
              </w:tabs>
              <w:rPr>
                <w:color w:val="000000"/>
                <w:sz w:val="18"/>
                <w:szCs w:val="18"/>
                <w:lang w:eastAsia="ja-JP"/>
              </w:rPr>
            </w:pPr>
            <w:r w:rsidRPr="005E542B">
              <w:rPr>
                <w:color w:val="000000"/>
                <w:sz w:val="18"/>
                <w:szCs w:val="18"/>
                <w:lang w:eastAsia="ja-JP"/>
              </w:rPr>
              <w:t>Ex. 36. Pyrus bretschneideri ‘Ya Li’ contains the word “li”, which is the Chinese common name for the genus Pyrus. According to Chinese linguistic custom, “li” is inseparable from “ya”, and its inclusion in the cultivar epithet is therefore necessary and acceptable.</w:t>
            </w:r>
          </w:p>
          <w:p w:rsidR="00BB7312" w:rsidRPr="002371C8" w:rsidRDefault="00BB7312" w:rsidP="00BA1CCE">
            <w:pPr>
              <w:tabs>
                <w:tab w:val="left" w:pos="380"/>
              </w:tabs>
              <w:rPr>
                <w:color w:val="000000"/>
                <w:sz w:val="14"/>
                <w:szCs w:val="18"/>
                <w:lang w:eastAsia="ja-JP"/>
              </w:rPr>
            </w:pPr>
          </w:p>
          <w:p w:rsidR="00BB7312" w:rsidRPr="005E542B" w:rsidRDefault="00BB7312" w:rsidP="00BA1CCE">
            <w:pPr>
              <w:tabs>
                <w:tab w:val="left" w:pos="380"/>
              </w:tabs>
              <w:rPr>
                <w:color w:val="000000"/>
                <w:sz w:val="18"/>
                <w:szCs w:val="18"/>
                <w:lang w:eastAsia="ja-JP"/>
              </w:rPr>
            </w:pPr>
            <w:r w:rsidRPr="005E542B">
              <w:rPr>
                <w:color w:val="000000"/>
                <w:sz w:val="18"/>
                <w:szCs w:val="18"/>
                <w:lang w:eastAsia="ja-JP"/>
              </w:rPr>
              <w:t>21.22. A name is not established if on or after 1 January 1959 its cultivar epithet is the name of a genus or the common name of a species or other denomination class if use of such epithets might lead to confusion.</w:t>
            </w:r>
          </w:p>
          <w:p w:rsidR="00BB7312" w:rsidRPr="002371C8" w:rsidRDefault="00BB7312" w:rsidP="00BA1CCE">
            <w:pPr>
              <w:tabs>
                <w:tab w:val="left" w:pos="380"/>
              </w:tabs>
              <w:rPr>
                <w:color w:val="000000"/>
                <w:sz w:val="14"/>
                <w:szCs w:val="18"/>
                <w:lang w:eastAsia="ja-JP"/>
              </w:rPr>
            </w:pPr>
          </w:p>
          <w:p w:rsidR="00BB7312" w:rsidRPr="005E542B" w:rsidRDefault="00BB7312" w:rsidP="00BA1CCE">
            <w:pPr>
              <w:tabs>
                <w:tab w:val="left" w:pos="380"/>
              </w:tabs>
              <w:rPr>
                <w:color w:val="000000"/>
                <w:sz w:val="18"/>
                <w:szCs w:val="18"/>
                <w:lang w:eastAsia="ja-JP"/>
              </w:rPr>
            </w:pPr>
            <w:r w:rsidRPr="005E542B">
              <w:rPr>
                <w:color w:val="000000"/>
                <w:sz w:val="18"/>
                <w:szCs w:val="18"/>
                <w:lang w:eastAsia="ja-JP"/>
              </w:rPr>
              <w:t>Ex. 39. The names Erica ‘Calluna’ and snowdrop ‘Snowflake’ may not be established since, by referring to them in the market place as ‘Calluna’ heather and ‘Snowflake’ snowdrop respectively, people might be confused. However names such as ash ‘Veronica’, Dianthus ‘Victoria’, Lilium ‘Erica’, Magnolia ‘Daphne’, and Rhododendron ‘Calypso’ would all be acceptable since, although the epithets are names of genera, they are unlikely to cause confusion if written ‘Veronica’ ash, ‘Victoria’ Dianthus, ‘Erica’ Lilium, ‘Daphne’ Magnolia, and ‘Calypso’ Rhododendron respectively.</w:t>
            </w:r>
          </w:p>
          <w:p w:rsidR="00BB7312" w:rsidRPr="002371C8" w:rsidRDefault="00BB7312" w:rsidP="00BA1CCE">
            <w:pPr>
              <w:tabs>
                <w:tab w:val="left" w:pos="380"/>
              </w:tabs>
              <w:rPr>
                <w:color w:val="000000"/>
                <w:sz w:val="14"/>
                <w:szCs w:val="18"/>
                <w:lang w:eastAsia="ja-JP"/>
              </w:rPr>
            </w:pPr>
          </w:p>
          <w:p w:rsidR="00BB7312" w:rsidRPr="005E542B" w:rsidRDefault="00BB7312" w:rsidP="00BA1CCE">
            <w:pPr>
              <w:tabs>
                <w:tab w:val="left" w:pos="380"/>
              </w:tabs>
              <w:rPr>
                <w:color w:val="000000"/>
                <w:sz w:val="18"/>
                <w:szCs w:val="18"/>
                <w:lang w:eastAsia="ja-JP"/>
              </w:rPr>
            </w:pPr>
            <w:r w:rsidRPr="005E542B">
              <w:rPr>
                <w:color w:val="000000"/>
                <w:sz w:val="18"/>
                <w:szCs w:val="18"/>
                <w:lang w:eastAsia="ja-JP"/>
              </w:rPr>
              <w:t>Ex. 40. Calluna ‘Heather’, Geranium ‘Herb Robert’, and Silene ‘Jupiterbloem’ could not be established since “heather” is the English common name for the genus Calluna, “herb robert” is an English common name for Geranium robertianum, and “jupiterbloem” is a Dutch common name for Silene flos-jovis.</w:t>
            </w:r>
          </w:p>
          <w:p w:rsidR="00BB7312" w:rsidRPr="002371C8" w:rsidRDefault="00BB7312" w:rsidP="00BA1CCE">
            <w:pPr>
              <w:tabs>
                <w:tab w:val="left" w:pos="380"/>
              </w:tabs>
              <w:rPr>
                <w:color w:val="000000"/>
                <w:sz w:val="14"/>
                <w:szCs w:val="18"/>
                <w:lang w:eastAsia="ja-JP"/>
              </w:rPr>
            </w:pPr>
          </w:p>
          <w:p w:rsidR="00BB7312" w:rsidRPr="005E542B" w:rsidRDefault="00BB7312" w:rsidP="00BA1CCE">
            <w:pPr>
              <w:tabs>
                <w:tab w:val="left" w:pos="380"/>
              </w:tabs>
              <w:rPr>
                <w:color w:val="000000"/>
                <w:sz w:val="18"/>
                <w:szCs w:val="18"/>
                <w:lang w:eastAsia="ja-JP"/>
              </w:rPr>
            </w:pPr>
            <w:r w:rsidRPr="005E542B">
              <w:rPr>
                <w:color w:val="000000"/>
                <w:sz w:val="18"/>
                <w:szCs w:val="18"/>
                <w:lang w:eastAsia="ja-JP"/>
              </w:rPr>
              <w:t>Ex. 41. The names of the plum cultivars ‘Apricot’ and ‘Peach’, or Prunus domestica ‘Apricot’ and Prunus domestica ‘Peach’ (Hogg, 1866), published well before 1959, can be considered established names.</w:t>
            </w:r>
          </w:p>
          <w:p w:rsidR="00BB7312" w:rsidRPr="002371C8" w:rsidRDefault="00BB7312" w:rsidP="00BA1CCE">
            <w:pPr>
              <w:tabs>
                <w:tab w:val="left" w:pos="380"/>
              </w:tabs>
              <w:rPr>
                <w:color w:val="000000"/>
                <w:sz w:val="14"/>
                <w:szCs w:val="18"/>
                <w:lang w:eastAsia="ja-JP"/>
              </w:rPr>
            </w:pPr>
          </w:p>
          <w:p w:rsidR="00BB7312" w:rsidRPr="005E542B" w:rsidRDefault="00BB7312" w:rsidP="00BA1CCE">
            <w:pPr>
              <w:tabs>
                <w:tab w:val="left" w:pos="380"/>
              </w:tabs>
              <w:rPr>
                <w:color w:val="000000"/>
                <w:sz w:val="18"/>
                <w:szCs w:val="18"/>
                <w:lang w:eastAsia="ja-JP"/>
              </w:rPr>
            </w:pPr>
            <w:r w:rsidRPr="005E542B">
              <w:rPr>
                <w:color w:val="000000"/>
                <w:sz w:val="18"/>
                <w:szCs w:val="18"/>
                <w:lang w:eastAsia="ja-JP"/>
              </w:rPr>
              <w:t xml:space="preserve">Ex. 42. Dahlia ‘Northwest Cosmos’ (named after the American baseball/football team), Dianthus ‘Giulia Viola’, and Rhododendron ‘Nancy Stipa’ are established names. </w:t>
            </w:r>
          </w:p>
          <w:p w:rsidR="00BB7312" w:rsidRPr="002371C8" w:rsidRDefault="00BB7312" w:rsidP="00BA1CCE">
            <w:pPr>
              <w:tabs>
                <w:tab w:val="left" w:pos="380"/>
              </w:tabs>
              <w:rPr>
                <w:color w:val="000000"/>
                <w:sz w:val="14"/>
                <w:szCs w:val="18"/>
                <w:lang w:eastAsia="ja-JP"/>
              </w:rPr>
            </w:pPr>
          </w:p>
          <w:p w:rsidR="00BB7312" w:rsidRPr="005F2452" w:rsidRDefault="00BB7312" w:rsidP="00BA1CCE">
            <w:pPr>
              <w:tabs>
                <w:tab w:val="left" w:pos="380"/>
              </w:tabs>
              <w:rPr>
                <w:color w:val="000000"/>
                <w:sz w:val="18"/>
                <w:szCs w:val="18"/>
                <w:u w:val="single"/>
                <w:lang w:eastAsia="ja-JP"/>
              </w:rPr>
            </w:pPr>
            <w:r w:rsidRPr="005E542B">
              <w:rPr>
                <w:color w:val="000000"/>
                <w:sz w:val="18"/>
                <w:szCs w:val="18"/>
                <w:lang w:eastAsia="ja-JP"/>
              </w:rPr>
              <w:t>Ex. 43. Lilium ‘Henri’ is acceptable even though there is a Lilium henryi; Clematis ‘Florida Blue’ is acceptable even though there is a Clematis florida (“Florida” only forms part of the cultivar epithet and is a place name).</w:t>
            </w:r>
          </w:p>
          <w:p w:rsidR="00BB7312" w:rsidRPr="005F2452" w:rsidRDefault="00BB7312" w:rsidP="00BA1CCE">
            <w:pPr>
              <w:rPr>
                <w:sz w:val="18"/>
                <w:szCs w:val="18"/>
              </w:rPr>
            </w:pPr>
          </w:p>
        </w:tc>
      </w:tr>
    </w:tbl>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3101A8" w:rsidRDefault="00BB7312" w:rsidP="00BA1CCE">
            <w:pPr>
              <w:rPr>
                <w:sz w:val="18"/>
                <w:szCs w:val="18"/>
              </w:rPr>
            </w:pPr>
          </w:p>
          <w:p w:rsidR="00BB7312" w:rsidRPr="00906C00" w:rsidRDefault="00BB7312" w:rsidP="00BA1CCE">
            <w:pPr>
              <w:tabs>
                <w:tab w:val="left" w:pos="567"/>
              </w:tabs>
              <w:rPr>
                <w:sz w:val="18"/>
                <w:szCs w:val="18"/>
                <w:highlight w:val="lightGray"/>
                <w:lang w:eastAsia="ja-JP"/>
              </w:rPr>
            </w:pPr>
            <w:r w:rsidRPr="00906C00">
              <w:rPr>
                <w:rFonts w:hint="eastAsia"/>
                <w:color w:val="000000"/>
                <w:sz w:val="18"/>
                <w:szCs w:val="18"/>
                <w:highlight w:val="lightGray"/>
                <w:u w:val="single"/>
                <w:lang w:eastAsia="ja-JP"/>
              </w:rPr>
              <w:t xml:space="preserve">Agreed </w:t>
            </w:r>
            <w:r w:rsidRPr="00906C00">
              <w:rPr>
                <w:sz w:val="18"/>
                <w:szCs w:val="18"/>
                <w:highlight w:val="lightGray"/>
                <w:u w:val="single"/>
              </w:rPr>
              <w:t>by the WG-DEN</w:t>
            </w:r>
            <w:r w:rsidRPr="00906C00">
              <w:rPr>
                <w:rFonts w:hint="eastAsia"/>
                <w:sz w:val="18"/>
                <w:szCs w:val="18"/>
                <w:highlight w:val="lightGray"/>
                <w:u w:val="single"/>
                <w:lang w:eastAsia="ja-JP"/>
              </w:rPr>
              <w:t>, at its second meeting</w:t>
            </w:r>
          </w:p>
          <w:p w:rsidR="00BB7312" w:rsidRPr="005E542B" w:rsidRDefault="00BB7312" w:rsidP="00BA1CCE">
            <w:pPr>
              <w:rPr>
                <w:spacing w:val="-2"/>
                <w:sz w:val="18"/>
                <w:szCs w:val="18"/>
                <w:highlight w:val="yellow"/>
              </w:rPr>
            </w:pPr>
          </w:p>
          <w:p w:rsidR="00BB7312" w:rsidRDefault="00BB7312" w:rsidP="00BA1CCE">
            <w:pPr>
              <w:rPr>
                <w:spacing w:val="-2"/>
                <w:sz w:val="18"/>
                <w:szCs w:val="18"/>
                <w:lang w:eastAsia="ja-JP"/>
              </w:rPr>
            </w:pPr>
            <w:r w:rsidRPr="00906C00">
              <w:rPr>
                <w:rFonts w:hint="eastAsia"/>
                <w:spacing w:val="-2"/>
                <w:sz w:val="18"/>
                <w:szCs w:val="18"/>
                <w:highlight w:val="lightGray"/>
                <w:lang w:eastAsia="ja-JP"/>
              </w:rPr>
              <w:t>T</w:t>
            </w:r>
            <w:r w:rsidRPr="00906C00">
              <w:rPr>
                <w:spacing w:val="-2"/>
                <w:sz w:val="18"/>
                <w:szCs w:val="18"/>
                <w:highlight w:val="lightGray"/>
                <w:lang w:eastAsia="ja-JP"/>
              </w:rPr>
              <w:t>he use of any botanical name as a variety denomination was unsuitable except for certain common names that had a wider meaning and for which there was no likelihood of confusion</w:t>
            </w:r>
            <w:r w:rsidRPr="00906C00">
              <w:rPr>
                <w:rFonts w:hint="eastAsia"/>
                <w:spacing w:val="-2"/>
                <w:sz w:val="18"/>
                <w:szCs w:val="18"/>
                <w:highlight w:val="lightGray"/>
                <w:lang w:eastAsia="ja-JP"/>
              </w:rPr>
              <w:t>.</w:t>
            </w:r>
            <w:r w:rsidRPr="005E542B">
              <w:rPr>
                <w:spacing w:val="-2"/>
                <w:sz w:val="18"/>
                <w:szCs w:val="18"/>
                <w:lang w:eastAsia="ja-JP"/>
              </w:rPr>
              <w:t xml:space="preserve"> </w:t>
            </w:r>
          </w:p>
          <w:p w:rsidR="00BB7312" w:rsidRDefault="00BB7312" w:rsidP="00BA1CCE"/>
        </w:tc>
      </w:tr>
    </w:tbl>
    <w:p w:rsidR="00BB7312" w:rsidRDefault="00BB7312" w:rsidP="00BA1CCE">
      <w:pPr>
        <w:rPr>
          <w:lang w:eastAsia="ja-JP"/>
        </w:rPr>
      </w:pPr>
    </w:p>
    <w:p w:rsidR="00BB7312" w:rsidRDefault="00BB7312" w:rsidP="00BA1CCE">
      <w:pPr>
        <w:jc w:val="left"/>
      </w:pPr>
    </w:p>
    <w:p w:rsidR="00BB7312" w:rsidRPr="00407B23" w:rsidRDefault="00BB7312" w:rsidP="00BA1CCE">
      <w:r w:rsidRPr="00407B23">
        <w:t>2.3.2</w:t>
      </w:r>
      <w:r w:rsidRPr="00407B23">
        <w:tab/>
        <w:t>Value of the variety</w:t>
      </w:r>
    </w:p>
    <w:p w:rsidR="00BB7312" w:rsidRPr="00407B23" w:rsidRDefault="00BB7312" w:rsidP="00BA1CCE"/>
    <w:p w:rsidR="00BB7312" w:rsidRPr="00407B23" w:rsidRDefault="00BB7312" w:rsidP="00BA1CCE">
      <w:r w:rsidRPr="00407B23">
        <w:t xml:space="preserve">The denomination should not consist of, or contain, comparative or superlative designations. </w:t>
      </w:r>
    </w:p>
    <w:p w:rsidR="00BB7312" w:rsidRPr="00407B23" w:rsidRDefault="00BB7312" w:rsidP="00BA1CCE">
      <w:pPr>
        <w:ind w:firstLine="567"/>
      </w:pPr>
    </w:p>
    <w:p w:rsidR="00BB7312" w:rsidRPr="00407B23" w:rsidRDefault="00BB7312" w:rsidP="00BA1CCE">
      <w:pPr>
        <w:ind w:left="567"/>
      </w:pPr>
      <w:r w:rsidRPr="00407B23">
        <w:rPr>
          <w:i/>
        </w:rPr>
        <w:t>Example:</w:t>
      </w:r>
      <w:r w:rsidRPr="00407B23">
        <w:t xml:space="preserve">  a denomination which includes terms such as “Best”, “Superior”, “Sweeter”. </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F2452" w:rsidRDefault="00BB7312" w:rsidP="00BA1CCE">
            <w:pPr>
              <w:rPr>
                <w:sz w:val="18"/>
                <w:szCs w:val="18"/>
              </w:rPr>
            </w:pPr>
          </w:p>
          <w:p w:rsidR="00BB7312" w:rsidRPr="005F2452" w:rsidRDefault="00BB7312" w:rsidP="00BA1CCE">
            <w:pPr>
              <w:rPr>
                <w:color w:val="000000"/>
                <w:sz w:val="18"/>
                <w:szCs w:val="18"/>
                <w:u w:val="single"/>
              </w:rPr>
            </w:pPr>
            <w:r w:rsidRPr="005F2452">
              <w:rPr>
                <w:color w:val="000000"/>
                <w:sz w:val="18"/>
                <w:szCs w:val="18"/>
                <w:u w:val="single"/>
              </w:rPr>
              <w:t xml:space="preserve">Proposal by </w:t>
            </w:r>
            <w:r>
              <w:rPr>
                <w:color w:val="000000"/>
                <w:sz w:val="18"/>
                <w:szCs w:val="18"/>
                <w:u w:val="single"/>
              </w:rPr>
              <w:t xml:space="preserve">the </w:t>
            </w:r>
            <w:r w:rsidRPr="005F2452">
              <w:rPr>
                <w:color w:val="000000"/>
                <w:sz w:val="18"/>
                <w:szCs w:val="18"/>
                <w:u w:val="single"/>
              </w:rPr>
              <w:t>European Union (CPVO)</w:t>
            </w:r>
            <w:r w:rsidR="00DF496A" w:rsidRPr="00DF496A">
              <w:rPr>
                <w:color w:val="000000"/>
                <w:sz w:val="18"/>
                <w:szCs w:val="18"/>
                <w:vertAlign w:val="superscript"/>
              </w:rPr>
              <w:t>a</w:t>
            </w:r>
            <w:r w:rsidR="00DF496A" w:rsidRPr="005F2452">
              <w:rPr>
                <w:color w:val="000000"/>
                <w:sz w:val="18"/>
                <w:szCs w:val="18"/>
                <w:u w:val="single"/>
              </w:rPr>
              <w:t xml:space="preserve"> </w:t>
            </w:r>
          </w:p>
          <w:p w:rsidR="00BB7312" w:rsidRPr="005F2452" w:rsidRDefault="00BB7312" w:rsidP="00BA1CCE">
            <w:pPr>
              <w:tabs>
                <w:tab w:val="left" w:pos="380"/>
              </w:tabs>
              <w:rPr>
                <w:color w:val="000000"/>
                <w:sz w:val="18"/>
                <w:szCs w:val="18"/>
                <w:u w:val="single"/>
              </w:rPr>
            </w:pPr>
          </w:p>
          <w:p w:rsidR="00BB7312" w:rsidRPr="005F2452" w:rsidRDefault="00BB7312" w:rsidP="00BA1CCE">
            <w:pPr>
              <w:rPr>
                <w:sz w:val="18"/>
                <w:szCs w:val="18"/>
              </w:rPr>
            </w:pPr>
            <w:r w:rsidRPr="005F2452">
              <w:rPr>
                <w:sz w:val="18"/>
                <w:szCs w:val="18"/>
              </w:rPr>
              <w:t>More detaile</w:t>
            </w:r>
            <w:r>
              <w:rPr>
                <w:sz w:val="18"/>
                <w:szCs w:val="18"/>
              </w:rPr>
              <w:t>d guidance and examples in the S</w:t>
            </w:r>
            <w:r w:rsidRPr="005F2452">
              <w:rPr>
                <w:sz w:val="18"/>
                <w:szCs w:val="18"/>
              </w:rPr>
              <w:t>ection 2.3.2 dealing with the value of the variety.</w:t>
            </w:r>
          </w:p>
          <w:p w:rsidR="00BB7312" w:rsidRPr="005F2452"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47703B" w:rsidRDefault="00BB7312" w:rsidP="00BA1CCE">
            <w:pPr>
              <w:rPr>
                <w:sz w:val="18"/>
                <w:szCs w:val="18"/>
              </w:rPr>
            </w:pPr>
            <w:r w:rsidRPr="0047703B">
              <w:rPr>
                <w:sz w:val="18"/>
                <w:szCs w:val="18"/>
                <w:u w:val="single"/>
              </w:rPr>
              <w:t>Proposal by New Zealand</w:t>
            </w:r>
            <w:r w:rsidR="00DF496A" w:rsidRPr="00DF496A">
              <w:rPr>
                <w:sz w:val="18"/>
                <w:szCs w:val="18"/>
                <w:vertAlign w:val="superscript"/>
              </w:rPr>
              <w:t>c</w:t>
            </w:r>
          </w:p>
          <w:p w:rsidR="00BB7312" w:rsidRPr="0047703B" w:rsidRDefault="00BB7312" w:rsidP="00BA1CCE">
            <w:pPr>
              <w:rPr>
                <w:sz w:val="18"/>
                <w:szCs w:val="18"/>
              </w:rPr>
            </w:pPr>
          </w:p>
          <w:p w:rsidR="00BB7312" w:rsidRDefault="00BB7312" w:rsidP="00BA1CCE">
            <w:pPr>
              <w:rPr>
                <w:sz w:val="18"/>
                <w:szCs w:val="18"/>
              </w:rPr>
            </w:pPr>
            <w:r>
              <w:rPr>
                <w:sz w:val="18"/>
                <w:szCs w:val="18"/>
              </w:rPr>
              <w:t xml:space="preserve">Section 2.3.2:  the current guidance is too simplified.  It should not be enough </w:t>
            </w:r>
            <w:r w:rsidRPr="00E47B6B">
              <w:rPr>
                <w:sz w:val="18"/>
                <w:szCs w:val="18"/>
                <w:u w:val="single"/>
              </w:rPr>
              <w:t>just to include</w:t>
            </w:r>
            <w:r>
              <w:rPr>
                <w:sz w:val="18"/>
                <w:szCs w:val="18"/>
              </w:rPr>
              <w:t xml:space="preserve"> superlatives or comparatives, a more complete evaluation should be used considering the whole context and presence and position of other words in the denomination.  ‘Pink Supreme’, ‘Best Wishes’ and ‘Lake Superior’ contain superlatives but viewed as a whole, may be acceptable denominations.</w:t>
            </w:r>
          </w:p>
          <w:p w:rsidR="00BB7312" w:rsidRPr="0047703B" w:rsidRDefault="00BB7312" w:rsidP="00BA1CCE">
            <w:pPr>
              <w:rPr>
                <w:sz w:val="18"/>
                <w:szCs w:val="18"/>
              </w:rPr>
            </w:pPr>
          </w:p>
        </w:tc>
      </w:tr>
    </w:tbl>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B343D1" w:rsidRDefault="00BB7312" w:rsidP="00BA1CCE">
            <w:pPr>
              <w:rPr>
                <w:sz w:val="18"/>
                <w:szCs w:val="18"/>
              </w:rPr>
            </w:pPr>
          </w:p>
          <w:p w:rsidR="00BB7312" w:rsidRPr="005E542B" w:rsidRDefault="00BB7312" w:rsidP="00BA1CCE">
            <w:pPr>
              <w:rPr>
                <w:sz w:val="18"/>
                <w:szCs w:val="18"/>
                <w:u w:val="single"/>
              </w:rPr>
            </w:pPr>
            <w:r w:rsidRPr="005E542B">
              <w:rPr>
                <w:sz w:val="18"/>
                <w:szCs w:val="18"/>
                <w:u w:val="single"/>
              </w:rPr>
              <w:t>Agreed by the WG-DEN</w:t>
            </w:r>
            <w:r w:rsidRPr="005E542B">
              <w:rPr>
                <w:rFonts w:hint="eastAsia"/>
                <w:sz w:val="18"/>
                <w:szCs w:val="18"/>
                <w:u w:val="single"/>
                <w:lang w:eastAsia="ja-JP"/>
              </w:rPr>
              <w:t>, at its first meeting</w:t>
            </w:r>
            <w:r w:rsidR="00FC3A91" w:rsidRPr="00FC3A91">
              <w:rPr>
                <w:sz w:val="18"/>
                <w:szCs w:val="18"/>
                <w:vertAlign w:val="superscript"/>
                <w:lang w:eastAsia="ja-JP"/>
              </w:rPr>
              <w:t>h</w:t>
            </w:r>
          </w:p>
          <w:p w:rsidR="00BB7312" w:rsidRPr="005E542B" w:rsidRDefault="00BB7312" w:rsidP="00BA1CCE">
            <w:pPr>
              <w:rPr>
                <w:sz w:val="16"/>
                <w:szCs w:val="18"/>
                <w:u w:val="single"/>
              </w:rPr>
            </w:pPr>
          </w:p>
          <w:p w:rsidR="00BB7312" w:rsidRPr="005E542B" w:rsidRDefault="00BB7312" w:rsidP="00BA1CCE">
            <w:pPr>
              <w:ind w:left="567" w:hanging="567"/>
              <w:rPr>
                <w:sz w:val="18"/>
                <w:szCs w:val="18"/>
              </w:rPr>
            </w:pPr>
            <w:r w:rsidRPr="005E542B">
              <w:rPr>
                <w:sz w:val="18"/>
                <w:szCs w:val="18"/>
              </w:rPr>
              <w:t>-</w:t>
            </w:r>
            <w:r w:rsidRPr="005E542B">
              <w:rPr>
                <w:sz w:val="18"/>
                <w:szCs w:val="18"/>
              </w:rPr>
              <w:tab/>
              <w:t>Superlatives and comparatives should only be unacceptable if they misled or caused confusion concerning the characteristics of the variety.</w:t>
            </w:r>
          </w:p>
          <w:p w:rsidR="00BB7312" w:rsidRPr="005E542B" w:rsidRDefault="00BB7312" w:rsidP="00BA1CCE">
            <w:pPr>
              <w:rPr>
                <w:sz w:val="16"/>
                <w:szCs w:val="18"/>
              </w:rPr>
            </w:pPr>
          </w:p>
          <w:p w:rsidR="00BB7312" w:rsidRPr="005E542B" w:rsidRDefault="00BB7312" w:rsidP="00BA1CCE">
            <w:pPr>
              <w:ind w:left="567" w:hanging="567"/>
              <w:rPr>
                <w:sz w:val="18"/>
                <w:szCs w:val="18"/>
              </w:rPr>
            </w:pPr>
            <w:r w:rsidRPr="005E542B">
              <w:rPr>
                <w:sz w:val="18"/>
                <w:szCs w:val="18"/>
              </w:rPr>
              <w:t>-</w:t>
            </w:r>
            <w:r w:rsidRPr="005E542B">
              <w:rPr>
                <w:sz w:val="18"/>
                <w:szCs w:val="18"/>
              </w:rPr>
              <w:tab/>
              <w:t>Examples of acceptable and unacceptable use of superlatives and comparatives should be provided in document UPOV/INF/12.</w:t>
            </w:r>
          </w:p>
          <w:p w:rsidR="00BB7312" w:rsidRPr="005E542B" w:rsidRDefault="00BB7312" w:rsidP="00BA1CCE">
            <w:pPr>
              <w:ind w:left="567" w:hanging="567"/>
              <w:rPr>
                <w:sz w:val="18"/>
                <w:szCs w:val="18"/>
                <w:lang w:eastAsia="ja-JP"/>
              </w:rPr>
            </w:pPr>
          </w:p>
          <w:p w:rsidR="00BB7312" w:rsidRPr="005E542B" w:rsidRDefault="00BB7312" w:rsidP="00BA1CCE">
            <w:pPr>
              <w:ind w:left="567" w:hanging="567"/>
              <w:rPr>
                <w:sz w:val="18"/>
                <w:szCs w:val="18"/>
                <w:lang w:eastAsia="ja-JP"/>
              </w:rPr>
            </w:pPr>
          </w:p>
          <w:p w:rsidR="00BB7312" w:rsidRPr="005E542B" w:rsidRDefault="00BB7312" w:rsidP="00BA1CCE">
            <w:pPr>
              <w:rPr>
                <w:sz w:val="18"/>
                <w:szCs w:val="18"/>
                <w:lang w:eastAsia="ja-JP"/>
              </w:rPr>
            </w:pPr>
            <w:r w:rsidRPr="005E542B">
              <w:rPr>
                <w:sz w:val="18"/>
                <w:szCs w:val="18"/>
                <w:lang w:eastAsia="ja-JP"/>
              </w:rPr>
              <w:t>UPOV Circular E-16/088 of April 13, 2016</w:t>
            </w:r>
            <w:r w:rsidRPr="005E542B">
              <w:rPr>
                <w:rFonts w:hint="eastAsia"/>
                <w:sz w:val="18"/>
                <w:szCs w:val="18"/>
                <w:lang w:eastAsia="ja-JP"/>
              </w:rPr>
              <w:t xml:space="preserve">, </w:t>
            </w:r>
            <w:r w:rsidRPr="005E542B">
              <w:rPr>
                <w:sz w:val="18"/>
                <w:szCs w:val="18"/>
                <w:lang w:eastAsia="ja-JP"/>
              </w:rPr>
              <w:t>invite</w:t>
            </w:r>
            <w:r w:rsidRPr="005E542B">
              <w:rPr>
                <w:rFonts w:hint="eastAsia"/>
                <w:sz w:val="18"/>
                <w:szCs w:val="18"/>
                <w:lang w:eastAsia="ja-JP"/>
              </w:rPr>
              <w:t>d</w:t>
            </w:r>
            <w:r w:rsidRPr="005E542B">
              <w:rPr>
                <w:sz w:val="18"/>
                <w:szCs w:val="18"/>
                <w:lang w:eastAsia="ja-JP"/>
              </w:rPr>
              <w:t xml:space="preserve"> members of the WG</w:t>
            </w:r>
            <w:r w:rsidRPr="005E542B">
              <w:rPr>
                <w:rFonts w:hint="eastAsia"/>
                <w:sz w:val="18"/>
                <w:szCs w:val="18"/>
                <w:lang w:eastAsia="ja-JP"/>
              </w:rPr>
              <w:t>-</w:t>
            </w:r>
            <w:r w:rsidRPr="005E542B">
              <w:rPr>
                <w:sz w:val="18"/>
                <w:szCs w:val="18"/>
                <w:lang w:eastAsia="ja-JP"/>
              </w:rPr>
              <w:t>DEN to submit examples of acceptable and unacceptable use of superlatives and comparatives</w:t>
            </w:r>
            <w:r w:rsidRPr="005E542B">
              <w:rPr>
                <w:rFonts w:hint="eastAsia"/>
                <w:sz w:val="18"/>
                <w:szCs w:val="18"/>
                <w:lang w:eastAsia="ja-JP"/>
              </w:rPr>
              <w:t>, and received proposals as follows</w:t>
            </w:r>
            <w:r w:rsidRPr="005E542B">
              <w:rPr>
                <w:sz w:val="18"/>
                <w:szCs w:val="18"/>
                <w:lang w:eastAsia="ja-JP"/>
              </w:rPr>
              <w:t>:</w:t>
            </w:r>
          </w:p>
          <w:p w:rsidR="00BB7312" w:rsidRPr="005E542B" w:rsidRDefault="00BB7312" w:rsidP="00BA1CCE">
            <w:pPr>
              <w:spacing w:line="360" w:lineRule="auto"/>
              <w:ind w:left="567" w:hanging="567"/>
              <w:rPr>
                <w:sz w:val="18"/>
                <w:szCs w:val="18"/>
                <w:lang w:eastAsia="ja-JP"/>
              </w:rPr>
            </w:pPr>
          </w:p>
          <w:p w:rsidR="00BB7312" w:rsidRPr="005E542B" w:rsidRDefault="00BB7312" w:rsidP="00BA1CCE">
            <w:pPr>
              <w:rPr>
                <w:sz w:val="18"/>
                <w:szCs w:val="18"/>
                <w:lang w:eastAsia="ja-JP"/>
              </w:rPr>
            </w:pPr>
            <w:r w:rsidRPr="005E542B">
              <w:rPr>
                <w:sz w:val="18"/>
                <w:szCs w:val="18"/>
                <w:u w:val="single"/>
              </w:rPr>
              <w:t>Proposal by France</w:t>
            </w:r>
          </w:p>
          <w:p w:rsidR="00BB7312" w:rsidRPr="005E542B" w:rsidRDefault="00BB7312" w:rsidP="00BA1CCE">
            <w:pPr>
              <w:rPr>
                <w:sz w:val="16"/>
                <w:szCs w:val="18"/>
              </w:rPr>
            </w:pPr>
          </w:p>
          <w:p w:rsidR="00BB7312" w:rsidRPr="005E542B" w:rsidRDefault="00BB7312" w:rsidP="00BA1CCE">
            <w:pPr>
              <w:rPr>
                <w:sz w:val="18"/>
                <w:szCs w:val="18"/>
              </w:rPr>
            </w:pPr>
            <w:r w:rsidRPr="005E542B">
              <w:rPr>
                <w:sz w:val="18"/>
                <w:szCs w:val="18"/>
              </w:rPr>
              <w:t>In general we do not accept denominations including this type of terms, provided that (specially for superlative terms) it has not been proved by the competent authority and may thus be misleading. Examples: ‘EXCELSIOR’, ‘EXCELLIUM’.</w:t>
            </w:r>
          </w:p>
          <w:p w:rsidR="00BB7312" w:rsidRPr="005E542B" w:rsidRDefault="00BB7312" w:rsidP="00BA1CCE">
            <w:pPr>
              <w:spacing w:line="360" w:lineRule="auto"/>
              <w:ind w:left="567" w:hanging="567"/>
              <w:rPr>
                <w:sz w:val="18"/>
                <w:szCs w:val="18"/>
                <w:lang w:eastAsia="ja-JP"/>
              </w:rPr>
            </w:pPr>
          </w:p>
          <w:p w:rsidR="00BB7312" w:rsidRPr="005E542B" w:rsidRDefault="00BB7312" w:rsidP="00BA1CCE">
            <w:pPr>
              <w:rPr>
                <w:sz w:val="18"/>
                <w:szCs w:val="18"/>
                <w:lang w:eastAsia="ja-JP"/>
              </w:rPr>
            </w:pPr>
            <w:r w:rsidRPr="005E542B">
              <w:rPr>
                <w:sz w:val="18"/>
                <w:szCs w:val="18"/>
                <w:u w:val="single"/>
              </w:rPr>
              <w:t>Proposal by the Netherlands</w:t>
            </w:r>
          </w:p>
          <w:p w:rsidR="00BB7312" w:rsidRPr="005E542B" w:rsidRDefault="00BB7312" w:rsidP="00BA1CCE">
            <w:pPr>
              <w:rPr>
                <w:sz w:val="16"/>
                <w:szCs w:val="18"/>
              </w:rPr>
            </w:pPr>
          </w:p>
          <w:p w:rsidR="00BB7312" w:rsidRPr="005E542B" w:rsidRDefault="00BB7312" w:rsidP="00BA1CCE">
            <w:pPr>
              <w:rPr>
                <w:sz w:val="18"/>
                <w:szCs w:val="18"/>
              </w:rPr>
            </w:pPr>
            <w:r w:rsidRPr="005E542B">
              <w:rPr>
                <w:sz w:val="18"/>
                <w:szCs w:val="18"/>
              </w:rPr>
              <w:t>Acceptable are:</w:t>
            </w:r>
          </w:p>
          <w:p w:rsidR="00BB7312" w:rsidRPr="005E542B" w:rsidRDefault="00BB7312" w:rsidP="00BA1CCE">
            <w:pPr>
              <w:rPr>
                <w:sz w:val="18"/>
                <w:szCs w:val="18"/>
              </w:rPr>
            </w:pPr>
            <w:r w:rsidRPr="005E542B">
              <w:rPr>
                <w:sz w:val="18"/>
                <w:szCs w:val="18"/>
              </w:rPr>
              <w:t>•</w:t>
            </w:r>
            <w:r w:rsidRPr="005E542B">
              <w:rPr>
                <w:sz w:val="18"/>
                <w:szCs w:val="18"/>
              </w:rPr>
              <w:tab/>
              <w:t>‘Excellent’, ‘Brilliant Taste’.</w:t>
            </w:r>
          </w:p>
          <w:p w:rsidR="00BB7312" w:rsidRPr="005E542B" w:rsidRDefault="00BB7312" w:rsidP="00BA1CCE">
            <w:pPr>
              <w:rPr>
                <w:sz w:val="16"/>
                <w:szCs w:val="18"/>
              </w:rPr>
            </w:pPr>
          </w:p>
          <w:p w:rsidR="00BB7312" w:rsidRPr="005E542B" w:rsidRDefault="00BB7312" w:rsidP="00BA1CCE">
            <w:pPr>
              <w:rPr>
                <w:sz w:val="18"/>
                <w:szCs w:val="18"/>
              </w:rPr>
            </w:pPr>
            <w:r w:rsidRPr="005E542B">
              <w:rPr>
                <w:sz w:val="18"/>
                <w:szCs w:val="18"/>
              </w:rPr>
              <w:t>Unacceptable are:</w:t>
            </w:r>
          </w:p>
          <w:p w:rsidR="00BB7312" w:rsidRPr="005E542B" w:rsidRDefault="00BB7312" w:rsidP="00BA1CCE">
            <w:pPr>
              <w:rPr>
                <w:sz w:val="18"/>
                <w:szCs w:val="18"/>
              </w:rPr>
            </w:pPr>
            <w:r w:rsidRPr="005E542B">
              <w:rPr>
                <w:sz w:val="18"/>
                <w:szCs w:val="18"/>
              </w:rPr>
              <w:t>•</w:t>
            </w:r>
            <w:r w:rsidRPr="005E542B">
              <w:rPr>
                <w:sz w:val="18"/>
                <w:szCs w:val="18"/>
              </w:rPr>
              <w:tab/>
              <w:t xml:space="preserve"> ‘Longest of All’, ‘Best Ever’, ‘Germany’s Best’.</w:t>
            </w:r>
          </w:p>
          <w:p w:rsidR="00BB7312" w:rsidRPr="005E542B" w:rsidRDefault="00BB7312" w:rsidP="00BA1CCE">
            <w:pPr>
              <w:spacing w:line="360" w:lineRule="auto"/>
              <w:ind w:left="567" w:hanging="567"/>
              <w:rPr>
                <w:sz w:val="18"/>
                <w:szCs w:val="18"/>
                <w:lang w:eastAsia="ja-JP"/>
              </w:rPr>
            </w:pPr>
          </w:p>
          <w:p w:rsidR="00BB7312" w:rsidRPr="005E542B" w:rsidRDefault="00BB7312" w:rsidP="00BA1CCE">
            <w:pPr>
              <w:rPr>
                <w:sz w:val="18"/>
                <w:szCs w:val="18"/>
                <w:lang w:eastAsia="ja-JP"/>
              </w:rPr>
            </w:pPr>
            <w:r w:rsidRPr="005E542B">
              <w:rPr>
                <w:sz w:val="18"/>
                <w:szCs w:val="18"/>
                <w:u w:val="single"/>
              </w:rPr>
              <w:t>Proposal by New Zealand</w:t>
            </w:r>
          </w:p>
          <w:p w:rsidR="00BB7312" w:rsidRPr="005E542B" w:rsidRDefault="00BB7312" w:rsidP="00BA1CCE">
            <w:pPr>
              <w:rPr>
                <w:sz w:val="16"/>
                <w:szCs w:val="18"/>
              </w:rPr>
            </w:pPr>
          </w:p>
          <w:p w:rsidR="00BB7312" w:rsidRPr="005E542B" w:rsidRDefault="00BB7312" w:rsidP="00BA1CCE">
            <w:pPr>
              <w:tabs>
                <w:tab w:val="left" w:pos="2567"/>
              </w:tabs>
              <w:rPr>
                <w:sz w:val="18"/>
                <w:szCs w:val="18"/>
              </w:rPr>
            </w:pPr>
            <w:r w:rsidRPr="005E542B">
              <w:rPr>
                <w:i/>
                <w:sz w:val="18"/>
                <w:szCs w:val="18"/>
              </w:rPr>
              <w:t xml:space="preserve">Trachelium </w:t>
            </w:r>
            <w:r w:rsidRPr="005E542B">
              <w:rPr>
                <w:sz w:val="18"/>
                <w:szCs w:val="18"/>
              </w:rPr>
              <w:t xml:space="preserve"> ‘Lake Superior’</w:t>
            </w:r>
            <w:r w:rsidRPr="005E542B">
              <w:rPr>
                <w:sz w:val="18"/>
                <w:szCs w:val="18"/>
              </w:rPr>
              <w:tab/>
              <w:t>The use of superior has no connection with value or worth.  Acceptable.</w:t>
            </w:r>
          </w:p>
          <w:p w:rsidR="00BB7312" w:rsidRPr="005E542B" w:rsidRDefault="00BB7312" w:rsidP="00BA1CCE">
            <w:pPr>
              <w:tabs>
                <w:tab w:val="left" w:pos="2567"/>
              </w:tabs>
              <w:rPr>
                <w:sz w:val="16"/>
                <w:szCs w:val="18"/>
              </w:rPr>
            </w:pPr>
          </w:p>
          <w:p w:rsidR="00BB7312" w:rsidRPr="005E542B" w:rsidRDefault="00BB7312" w:rsidP="00BA1CCE">
            <w:pPr>
              <w:tabs>
                <w:tab w:val="left" w:pos="2567"/>
              </w:tabs>
              <w:rPr>
                <w:sz w:val="18"/>
                <w:szCs w:val="18"/>
              </w:rPr>
            </w:pPr>
            <w:r w:rsidRPr="005E542B">
              <w:rPr>
                <w:i/>
                <w:sz w:val="18"/>
                <w:szCs w:val="18"/>
              </w:rPr>
              <w:t>Clematis</w:t>
            </w:r>
            <w:r w:rsidRPr="005E542B">
              <w:rPr>
                <w:sz w:val="18"/>
                <w:szCs w:val="18"/>
              </w:rPr>
              <w:t xml:space="preserve"> ‘Best Wishes’ </w:t>
            </w:r>
            <w:r w:rsidRPr="005E542B">
              <w:rPr>
                <w:sz w:val="18"/>
                <w:szCs w:val="18"/>
              </w:rPr>
              <w:tab/>
              <w:t>Best has no connection with value, worth.  Acceptable.</w:t>
            </w:r>
          </w:p>
          <w:p w:rsidR="00BB7312" w:rsidRPr="005E542B" w:rsidRDefault="00BB7312" w:rsidP="00BA1CCE">
            <w:pPr>
              <w:tabs>
                <w:tab w:val="left" w:pos="2567"/>
              </w:tabs>
              <w:rPr>
                <w:sz w:val="16"/>
                <w:szCs w:val="18"/>
              </w:rPr>
            </w:pPr>
          </w:p>
          <w:p w:rsidR="00BB7312" w:rsidRPr="005E542B" w:rsidRDefault="00BB7312" w:rsidP="00BA1CCE">
            <w:pPr>
              <w:tabs>
                <w:tab w:val="left" w:pos="2567"/>
              </w:tabs>
              <w:rPr>
                <w:sz w:val="18"/>
                <w:szCs w:val="18"/>
              </w:rPr>
            </w:pPr>
            <w:r w:rsidRPr="005E542B">
              <w:rPr>
                <w:sz w:val="18"/>
                <w:szCs w:val="18"/>
              </w:rPr>
              <w:t>The superlative ‘Supreme’ has been accepted in denominations, ‘Regal Supreme’, ‘Pink Supreme’, ‘Thai Supreme’ but note that the word order appears to significant because there are very few, if any, denominations where use of ‘Supreme’ is acceptable when used first ‘Supreme XXX’.</w:t>
            </w:r>
          </w:p>
          <w:p w:rsidR="00BB7312" w:rsidRPr="005E542B" w:rsidRDefault="00BB7312" w:rsidP="00BA1CCE">
            <w:pPr>
              <w:tabs>
                <w:tab w:val="left" w:pos="2567"/>
              </w:tabs>
              <w:rPr>
                <w:sz w:val="16"/>
                <w:szCs w:val="18"/>
              </w:rPr>
            </w:pPr>
          </w:p>
          <w:p w:rsidR="00BB7312" w:rsidRPr="005E542B" w:rsidRDefault="00BB7312" w:rsidP="00BA1CCE">
            <w:pPr>
              <w:tabs>
                <w:tab w:val="left" w:pos="2567"/>
              </w:tabs>
              <w:rPr>
                <w:sz w:val="18"/>
                <w:szCs w:val="18"/>
              </w:rPr>
            </w:pPr>
            <w:r w:rsidRPr="005E542B">
              <w:rPr>
                <w:i/>
                <w:sz w:val="18"/>
                <w:szCs w:val="18"/>
              </w:rPr>
              <w:t>Dahlia</w:t>
            </w:r>
            <w:r w:rsidRPr="005E542B">
              <w:rPr>
                <w:sz w:val="18"/>
                <w:szCs w:val="18"/>
              </w:rPr>
              <w:t xml:space="preserve"> ‘Best Bet’   </w:t>
            </w:r>
            <w:r w:rsidRPr="005E542B">
              <w:rPr>
                <w:sz w:val="18"/>
                <w:szCs w:val="18"/>
              </w:rPr>
              <w:tab/>
              <w:t>A colloquial term in New Zealand for “the best”, “guaranteed”. Not acceptable</w:t>
            </w:r>
          </w:p>
          <w:p w:rsidR="00BB7312" w:rsidRPr="005E542B" w:rsidRDefault="00BB7312" w:rsidP="00BA1CCE">
            <w:pPr>
              <w:tabs>
                <w:tab w:val="left" w:pos="2567"/>
              </w:tabs>
              <w:rPr>
                <w:sz w:val="16"/>
                <w:szCs w:val="18"/>
              </w:rPr>
            </w:pPr>
          </w:p>
          <w:p w:rsidR="00BB7312" w:rsidRDefault="00BB7312" w:rsidP="00BA1CCE">
            <w:pPr>
              <w:tabs>
                <w:tab w:val="left" w:pos="2567"/>
              </w:tabs>
              <w:rPr>
                <w:sz w:val="18"/>
                <w:szCs w:val="18"/>
                <w:lang w:eastAsia="ja-JP"/>
              </w:rPr>
            </w:pPr>
            <w:r w:rsidRPr="005E542B">
              <w:rPr>
                <w:i/>
                <w:sz w:val="18"/>
                <w:szCs w:val="18"/>
              </w:rPr>
              <w:t>Magnolia</w:t>
            </w:r>
            <w:r w:rsidRPr="005E542B">
              <w:rPr>
                <w:sz w:val="18"/>
                <w:szCs w:val="18"/>
              </w:rPr>
              <w:t xml:space="preserve"> ‘Best Purple’</w:t>
            </w:r>
            <w:r w:rsidRPr="005E542B">
              <w:rPr>
                <w:sz w:val="18"/>
                <w:szCs w:val="18"/>
              </w:rPr>
              <w:tab/>
              <w:t>Implies the best purple Magnolia. Not acceptable.</w:t>
            </w:r>
          </w:p>
          <w:p w:rsidR="00BB7312" w:rsidRPr="00B343D1" w:rsidRDefault="00BB7312" w:rsidP="00BA1CCE">
            <w:pPr>
              <w:ind w:left="567" w:hanging="567"/>
              <w:rPr>
                <w:sz w:val="18"/>
                <w:szCs w:val="18"/>
                <w:lang w:eastAsia="ja-JP"/>
              </w:rPr>
            </w:pPr>
          </w:p>
        </w:tc>
      </w:tr>
    </w:tbl>
    <w:p w:rsidR="00BB7312" w:rsidRDefault="00BB7312" w:rsidP="00BA1CCE">
      <w:pPr>
        <w:ind w:firstLine="567"/>
        <w:jc w:val="left"/>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922DA9" w:rsidRDefault="00BB7312" w:rsidP="00BA1CCE">
            <w:pPr>
              <w:rPr>
                <w:sz w:val="18"/>
                <w:szCs w:val="18"/>
              </w:rPr>
            </w:pPr>
          </w:p>
          <w:p w:rsidR="00BB7312" w:rsidRPr="007B4E56" w:rsidRDefault="00BB7312" w:rsidP="00BA1CCE">
            <w:pPr>
              <w:tabs>
                <w:tab w:val="left" w:pos="567"/>
              </w:tabs>
              <w:rPr>
                <w:sz w:val="18"/>
                <w:szCs w:val="18"/>
                <w:highlight w:val="lightGray"/>
                <w:lang w:eastAsia="ja-JP"/>
              </w:rPr>
            </w:pPr>
            <w:r w:rsidRPr="007B4E56">
              <w:rPr>
                <w:rFonts w:hint="eastAsia"/>
                <w:color w:val="000000"/>
                <w:sz w:val="18"/>
                <w:szCs w:val="18"/>
                <w:highlight w:val="lightGray"/>
                <w:u w:val="single"/>
                <w:lang w:eastAsia="ja-JP"/>
              </w:rPr>
              <w:t>T</w:t>
            </w:r>
            <w:r w:rsidRPr="007B4E56">
              <w:rPr>
                <w:color w:val="000000"/>
                <w:sz w:val="18"/>
                <w:szCs w:val="18"/>
                <w:highlight w:val="lightGray"/>
                <w:u w:val="single"/>
              </w:rPr>
              <w:t xml:space="preserve">he </w:t>
            </w:r>
            <w:r w:rsidRPr="007B4E56">
              <w:rPr>
                <w:rFonts w:hint="eastAsia"/>
                <w:color w:val="000000"/>
                <w:sz w:val="18"/>
                <w:szCs w:val="18"/>
                <w:highlight w:val="lightGray"/>
                <w:u w:val="single"/>
                <w:lang w:eastAsia="ja-JP"/>
              </w:rPr>
              <w:t>WG-DEN</w:t>
            </w:r>
            <w:r w:rsidRPr="007B4E56">
              <w:rPr>
                <w:color w:val="000000"/>
                <w:sz w:val="18"/>
                <w:szCs w:val="18"/>
                <w:highlight w:val="lightGray"/>
                <w:u w:val="single"/>
                <w:lang w:eastAsia="ja-JP"/>
              </w:rPr>
              <w:t>, at its second meeting,</w:t>
            </w:r>
            <w:r w:rsidRPr="007B4E56">
              <w:rPr>
                <w:rFonts w:hint="eastAsia"/>
                <w:color w:val="000000"/>
                <w:sz w:val="18"/>
                <w:szCs w:val="18"/>
                <w:highlight w:val="lightGray"/>
                <w:u w:val="single"/>
                <w:lang w:eastAsia="ja-JP"/>
              </w:rPr>
              <w:t xml:space="preserve"> agreed to consider the </w:t>
            </w:r>
            <w:r w:rsidRPr="007B4E56">
              <w:rPr>
                <w:color w:val="000000"/>
                <w:sz w:val="18"/>
                <w:szCs w:val="18"/>
                <w:highlight w:val="lightGray"/>
                <w:u w:val="single"/>
                <w:lang w:eastAsia="ja-JP"/>
              </w:rPr>
              <w:t>following</w:t>
            </w:r>
            <w:r w:rsidRPr="007B4E56">
              <w:rPr>
                <w:rFonts w:hint="eastAsia"/>
                <w:color w:val="000000"/>
                <w:sz w:val="18"/>
                <w:szCs w:val="18"/>
                <w:highlight w:val="lightGray"/>
                <w:u w:val="single"/>
                <w:lang w:eastAsia="ja-JP"/>
              </w:rPr>
              <w:t xml:space="preserve"> proposal at its third meeting</w:t>
            </w:r>
          </w:p>
          <w:p w:rsidR="00BB7312" w:rsidRPr="005E542B" w:rsidRDefault="00BB7312" w:rsidP="00BA1CCE">
            <w:pPr>
              <w:rPr>
                <w:sz w:val="18"/>
                <w:szCs w:val="18"/>
                <w:highlight w:val="yellow"/>
                <w:lang w:eastAsia="ja-JP"/>
              </w:rPr>
            </w:pPr>
          </w:p>
          <w:p w:rsidR="00BB7312" w:rsidRPr="005E542B" w:rsidRDefault="00BB7312" w:rsidP="00BA1CCE">
            <w:pPr>
              <w:rPr>
                <w:sz w:val="16"/>
                <w:szCs w:val="18"/>
                <w:lang w:eastAsia="ja-JP"/>
              </w:rPr>
            </w:pPr>
            <w:r w:rsidRPr="007B4E56">
              <w:rPr>
                <w:sz w:val="18"/>
                <w:highlight w:val="lightGray"/>
                <w:lang w:eastAsia="ja-JP"/>
              </w:rPr>
              <w:t xml:space="preserve">To </w:t>
            </w:r>
            <w:r w:rsidRPr="007B4E56">
              <w:rPr>
                <w:rFonts w:hint="eastAsia"/>
                <w:sz w:val="18"/>
                <w:highlight w:val="lightGray"/>
                <w:lang w:eastAsia="ja-JP"/>
              </w:rPr>
              <w:t xml:space="preserve">consider </w:t>
            </w:r>
            <w:r w:rsidRPr="007B4E56">
              <w:rPr>
                <w:sz w:val="18"/>
                <w:highlight w:val="lightGray"/>
                <w:lang w:eastAsia="ja-JP"/>
              </w:rPr>
              <w:t>examples of acceptable and unacceptable uses of superlatives and comparatives.</w:t>
            </w:r>
          </w:p>
          <w:p w:rsidR="00BB7312" w:rsidRPr="00922DA9" w:rsidRDefault="00BB7312" w:rsidP="00BA1CCE">
            <w:pPr>
              <w:rPr>
                <w:sz w:val="18"/>
                <w:szCs w:val="18"/>
              </w:rPr>
            </w:pPr>
          </w:p>
        </w:tc>
      </w:tr>
    </w:tbl>
    <w:p w:rsidR="00BB7312" w:rsidRDefault="00BB7312" w:rsidP="00BA1CCE">
      <w:pPr>
        <w:jc w:val="left"/>
      </w:pPr>
    </w:p>
    <w:p w:rsidR="00BB7312" w:rsidRDefault="00BB7312" w:rsidP="00BA1CCE">
      <w:pPr>
        <w:jc w:val="left"/>
      </w:pPr>
    </w:p>
    <w:p w:rsidR="00BB7312" w:rsidRPr="00407B23" w:rsidRDefault="00BB7312" w:rsidP="00BA1CCE">
      <w:pPr>
        <w:keepNext/>
        <w:keepLines/>
      </w:pPr>
      <w:r w:rsidRPr="00407B23">
        <w:t>2.3.3</w:t>
      </w:r>
      <w:r w:rsidRPr="00407B23">
        <w:tab/>
        <w:t>Identity of the variety</w:t>
      </w:r>
    </w:p>
    <w:p w:rsidR="00BB7312" w:rsidRPr="00407B23" w:rsidRDefault="00BB7312" w:rsidP="00BA1CCE">
      <w:pPr>
        <w:keepNext/>
        <w:keepLines/>
      </w:pPr>
    </w:p>
    <w:p w:rsidR="00BB7312" w:rsidRPr="00407B23" w:rsidRDefault="00BB7312" w:rsidP="00BB7312">
      <w:pPr>
        <w:keepNext/>
        <w:spacing w:after="240"/>
      </w:pPr>
      <w:r w:rsidRPr="00407B23">
        <w:tab/>
        <w:t>(a)</w:t>
      </w:r>
      <w:r w:rsidRPr="00407B23">
        <w:tab/>
        <w:t xml:space="preserve">As a general recommendation, a difference of only one letter or one number may be considered to be liable to mislead or cause confusion concerning the identity of the variety, except where the: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296117" w:rsidRDefault="00BB7312" w:rsidP="00BA1CCE">
            <w:pPr>
              <w:rPr>
                <w:sz w:val="18"/>
                <w:szCs w:val="18"/>
              </w:rPr>
            </w:pPr>
          </w:p>
          <w:p w:rsidR="00BB7312" w:rsidRDefault="00BB7312" w:rsidP="00BA1CCE">
            <w:pPr>
              <w:rPr>
                <w:color w:val="000000"/>
                <w:sz w:val="18"/>
                <w:szCs w:val="18"/>
                <w:u w:val="single"/>
              </w:rPr>
            </w:pPr>
            <w:r w:rsidRPr="00AA4B3B">
              <w:rPr>
                <w:color w:val="000000"/>
                <w:sz w:val="18"/>
                <w:szCs w:val="18"/>
                <w:u w:val="single"/>
              </w:rPr>
              <w:t>Proposal by WG-DST</w:t>
            </w:r>
            <w:r>
              <w:rPr>
                <w:color w:val="000000"/>
                <w:sz w:val="18"/>
                <w:szCs w:val="18"/>
                <w:vertAlign w:val="superscript"/>
              </w:rPr>
              <w:t>j</w:t>
            </w:r>
          </w:p>
          <w:p w:rsidR="00BB7312" w:rsidRPr="00395671" w:rsidRDefault="00BB7312" w:rsidP="00BA1CCE">
            <w:pPr>
              <w:rPr>
                <w:color w:val="000000"/>
                <w:sz w:val="16"/>
                <w:szCs w:val="18"/>
                <w:u w:val="single"/>
              </w:rPr>
            </w:pPr>
          </w:p>
          <w:p w:rsidR="00BB7312" w:rsidRDefault="00BB7312" w:rsidP="00BA1CCE">
            <w:pPr>
              <w:rPr>
                <w:color w:val="000000"/>
                <w:sz w:val="18"/>
                <w:szCs w:val="18"/>
              </w:rPr>
            </w:pPr>
            <w:r>
              <w:rPr>
                <w:color w:val="000000"/>
                <w:sz w:val="18"/>
                <w:szCs w:val="18"/>
              </w:rPr>
              <w:t xml:space="preserve">Section 2.3.3 (a): to differentiate </w:t>
            </w:r>
            <w:r w:rsidRPr="00234D9F">
              <w:rPr>
                <w:color w:val="000000"/>
                <w:sz w:val="18"/>
                <w:szCs w:val="18"/>
              </w:rPr>
              <w:t>between letters in the form of words and other cases</w:t>
            </w:r>
            <w:r>
              <w:rPr>
                <w:color w:val="000000"/>
                <w:sz w:val="18"/>
                <w:szCs w:val="18"/>
              </w:rPr>
              <w:t xml:space="preserve"> as follows:</w:t>
            </w:r>
          </w:p>
          <w:p w:rsidR="00BB7312" w:rsidRPr="00395671" w:rsidRDefault="00BB7312" w:rsidP="00BA1CCE">
            <w:pPr>
              <w:rPr>
                <w:color w:val="000000"/>
                <w:sz w:val="16"/>
                <w:szCs w:val="18"/>
              </w:rPr>
            </w:pPr>
          </w:p>
          <w:p w:rsidR="00BB7312" w:rsidRPr="00234D9F" w:rsidRDefault="00BB7312" w:rsidP="00BA1CCE">
            <w:pPr>
              <w:rPr>
                <w:color w:val="000000"/>
                <w:sz w:val="18"/>
                <w:szCs w:val="18"/>
              </w:rPr>
            </w:pPr>
            <w:r w:rsidRPr="00234D9F">
              <w:rPr>
                <w:color w:val="000000"/>
                <w:sz w:val="18"/>
                <w:szCs w:val="18"/>
              </w:rPr>
              <w:t>(i)</w:t>
            </w:r>
            <w:r w:rsidRPr="00234D9F">
              <w:rPr>
                <w:color w:val="000000"/>
                <w:sz w:val="18"/>
                <w:szCs w:val="18"/>
              </w:rPr>
              <w:tab/>
              <w:t>in the case of denominations consisting of letters not in the form of words, a difference of a single letter should be regarded as a clear difference, with examples to be provided;</w:t>
            </w:r>
          </w:p>
          <w:p w:rsidR="00BB7312" w:rsidRPr="00395671" w:rsidRDefault="00BB7312" w:rsidP="00BA1CCE">
            <w:pPr>
              <w:rPr>
                <w:color w:val="000000"/>
                <w:sz w:val="16"/>
                <w:szCs w:val="18"/>
              </w:rPr>
            </w:pPr>
          </w:p>
          <w:p w:rsidR="00BB7312" w:rsidRPr="00234D9F" w:rsidRDefault="00BB7312" w:rsidP="00BA1CCE">
            <w:pPr>
              <w:rPr>
                <w:color w:val="000000"/>
                <w:sz w:val="18"/>
                <w:szCs w:val="18"/>
              </w:rPr>
            </w:pPr>
            <w:r w:rsidRPr="00234D9F">
              <w:rPr>
                <w:color w:val="000000"/>
                <w:sz w:val="18"/>
                <w:szCs w:val="18"/>
              </w:rPr>
              <w:t xml:space="preserve">(ii) </w:t>
            </w:r>
            <w:r w:rsidRPr="00234D9F">
              <w:rPr>
                <w:color w:val="000000"/>
                <w:sz w:val="18"/>
                <w:szCs w:val="18"/>
              </w:rPr>
              <w:tab/>
              <w:t>in the case of denominations consisting of figures, a difference of a single figure should be regarded as a clear difference, with examples to be provided; and</w:t>
            </w:r>
          </w:p>
          <w:p w:rsidR="00BB7312" w:rsidRPr="00395671" w:rsidRDefault="00BB7312" w:rsidP="00BA1CCE">
            <w:pPr>
              <w:rPr>
                <w:color w:val="000000"/>
                <w:sz w:val="16"/>
                <w:szCs w:val="18"/>
              </w:rPr>
            </w:pPr>
          </w:p>
          <w:p w:rsidR="00BB7312" w:rsidRPr="00234D9F" w:rsidRDefault="00BB7312" w:rsidP="00BA1CCE">
            <w:pPr>
              <w:rPr>
                <w:color w:val="000000"/>
                <w:sz w:val="18"/>
                <w:szCs w:val="18"/>
              </w:rPr>
            </w:pPr>
            <w:r w:rsidRPr="00234D9F">
              <w:rPr>
                <w:color w:val="000000"/>
                <w:sz w:val="18"/>
                <w:szCs w:val="18"/>
              </w:rPr>
              <w:t xml:space="preserve">(iii) </w:t>
            </w:r>
            <w:r w:rsidRPr="00234D9F">
              <w:rPr>
                <w:color w:val="000000"/>
                <w:sz w:val="18"/>
                <w:szCs w:val="18"/>
              </w:rPr>
              <w:tab/>
              <w:t>in the case of denominations consisting of figures and letters, not in the form of words, one letter or figure difference should be regarded as clear difference, with examples to be provided</w:t>
            </w:r>
            <w:r>
              <w:rPr>
                <w:color w:val="000000"/>
                <w:sz w:val="18"/>
                <w:szCs w:val="18"/>
              </w:rPr>
              <w:t>.</w:t>
            </w:r>
          </w:p>
          <w:p w:rsidR="00BB7312" w:rsidRPr="00234D9F"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47703B" w:rsidRDefault="00BB7312" w:rsidP="00BA1CCE">
            <w:pPr>
              <w:shd w:val="clear" w:color="auto" w:fill="D9D9D9" w:themeFill="background1" w:themeFillShade="D9"/>
              <w:rPr>
                <w:sz w:val="18"/>
                <w:szCs w:val="18"/>
              </w:rPr>
            </w:pPr>
            <w:r w:rsidRPr="0047703B">
              <w:rPr>
                <w:sz w:val="18"/>
                <w:szCs w:val="18"/>
                <w:u w:val="single"/>
              </w:rPr>
              <w:t>Proposal by New Zealand</w:t>
            </w:r>
            <w:r w:rsidR="00DF496A" w:rsidRPr="00DF496A">
              <w:rPr>
                <w:sz w:val="18"/>
                <w:szCs w:val="18"/>
                <w:vertAlign w:val="superscript"/>
              </w:rPr>
              <w:t>c</w:t>
            </w:r>
          </w:p>
          <w:p w:rsidR="00BB7312" w:rsidRPr="0047703B" w:rsidRDefault="00BB7312" w:rsidP="00BA1CCE">
            <w:pPr>
              <w:shd w:val="clear" w:color="auto" w:fill="D9D9D9" w:themeFill="background1" w:themeFillShade="D9"/>
              <w:rPr>
                <w:sz w:val="18"/>
                <w:szCs w:val="18"/>
              </w:rPr>
            </w:pPr>
          </w:p>
          <w:p w:rsidR="00BB7312" w:rsidRDefault="00BB7312" w:rsidP="00BA1CCE">
            <w:pPr>
              <w:shd w:val="clear" w:color="auto" w:fill="D9D9D9" w:themeFill="background1" w:themeFillShade="D9"/>
              <w:rPr>
                <w:sz w:val="18"/>
                <w:szCs w:val="18"/>
              </w:rPr>
            </w:pPr>
            <w:r>
              <w:rPr>
                <w:sz w:val="18"/>
                <w:szCs w:val="18"/>
              </w:rPr>
              <w:t>Section 2.3.3 (a):  the same guidance should apply to alpha numeric combination denominations as it does to all other denominations containing letters and numbers.</w:t>
            </w:r>
          </w:p>
          <w:p w:rsidR="00BB7312" w:rsidRPr="0047703B"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D7C20" w:rsidRDefault="00BB7312" w:rsidP="00BA1CCE">
            <w:pPr>
              <w:rPr>
                <w:sz w:val="18"/>
                <w:szCs w:val="18"/>
              </w:rPr>
            </w:pPr>
          </w:p>
          <w:p w:rsidR="00BB7312" w:rsidRPr="005D7C20" w:rsidRDefault="00BB7312" w:rsidP="00BA1CCE">
            <w:pPr>
              <w:rPr>
                <w:sz w:val="18"/>
                <w:szCs w:val="18"/>
                <w:u w:val="single"/>
              </w:rPr>
            </w:pPr>
            <w:r w:rsidRPr="005D7C20">
              <w:rPr>
                <w:sz w:val="18"/>
                <w:szCs w:val="18"/>
                <w:u w:val="single"/>
              </w:rPr>
              <w:t>Proposal by ESA/ISF</w:t>
            </w:r>
            <w:r>
              <w:rPr>
                <w:sz w:val="18"/>
                <w:szCs w:val="18"/>
                <w:vertAlign w:val="superscript"/>
              </w:rPr>
              <w:t>k</w:t>
            </w:r>
          </w:p>
          <w:p w:rsidR="00BB7312" w:rsidRPr="005D7C20" w:rsidRDefault="00BB7312" w:rsidP="00BA1CCE">
            <w:pPr>
              <w:rPr>
                <w:sz w:val="18"/>
                <w:szCs w:val="18"/>
              </w:rPr>
            </w:pPr>
          </w:p>
          <w:p w:rsidR="00BB7312" w:rsidRPr="005D7C20" w:rsidRDefault="00BB7312" w:rsidP="00BA1CCE">
            <w:pPr>
              <w:rPr>
                <w:sz w:val="18"/>
                <w:szCs w:val="18"/>
              </w:rPr>
            </w:pPr>
            <w:r>
              <w:rPr>
                <w:sz w:val="18"/>
                <w:szCs w:val="18"/>
              </w:rPr>
              <w:t xml:space="preserve">Section 2.3.3 </w:t>
            </w:r>
            <w:r w:rsidRPr="00A6443F">
              <w:rPr>
                <w:strike/>
                <w:sz w:val="18"/>
                <w:szCs w:val="18"/>
              </w:rPr>
              <w:t>(b)</w:t>
            </w:r>
            <w:r w:rsidRPr="00A6443F">
              <w:rPr>
                <w:sz w:val="18"/>
                <w:szCs w:val="18"/>
              </w:rPr>
              <w:t xml:space="preserve"> </w:t>
            </w:r>
            <w:r w:rsidRPr="00A6443F">
              <w:rPr>
                <w:sz w:val="18"/>
                <w:szCs w:val="18"/>
                <w:u w:val="single"/>
              </w:rPr>
              <w:t>(a)</w:t>
            </w:r>
            <w:r w:rsidRPr="00CC5743">
              <w:rPr>
                <w:sz w:val="18"/>
                <w:szCs w:val="18"/>
              </w:rPr>
              <w:t>:</w:t>
            </w:r>
            <w:r>
              <w:rPr>
                <w:sz w:val="18"/>
                <w:szCs w:val="18"/>
              </w:rPr>
              <w:t xml:space="preserve">  propose to simplify and thereby improve the readability of the first line of the sentence in the following way: “For denominations consisting solely of letters, as a general recommendation…”.</w:t>
            </w:r>
          </w:p>
          <w:p w:rsidR="00BB7312" w:rsidRPr="005D7C20" w:rsidRDefault="00BB7312" w:rsidP="00BA1CCE">
            <w:pPr>
              <w:rPr>
                <w:sz w:val="18"/>
                <w:szCs w:val="18"/>
              </w:rPr>
            </w:pPr>
          </w:p>
        </w:tc>
      </w:tr>
    </w:tbl>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RPr="00C04C22" w:rsidTr="00BA1CCE">
        <w:trPr>
          <w:cantSplit/>
        </w:trPr>
        <w:tc>
          <w:tcPr>
            <w:tcW w:w="9855" w:type="dxa"/>
            <w:shd w:val="clear" w:color="auto" w:fill="D9D9D9" w:themeFill="background1" w:themeFillShade="D9"/>
          </w:tcPr>
          <w:p w:rsidR="00BB7312" w:rsidRPr="002371C8" w:rsidRDefault="00BB7312" w:rsidP="00BA1CCE">
            <w:pPr>
              <w:rPr>
                <w:sz w:val="18"/>
                <w:szCs w:val="18"/>
              </w:rPr>
            </w:pPr>
          </w:p>
          <w:p w:rsidR="00BB7312" w:rsidRPr="002371C8" w:rsidRDefault="00BB7312" w:rsidP="00BA1CCE">
            <w:pPr>
              <w:tabs>
                <w:tab w:val="left" w:pos="567"/>
              </w:tabs>
              <w:rPr>
                <w:sz w:val="18"/>
                <w:szCs w:val="18"/>
                <w:highlight w:val="yellow"/>
                <w:lang w:eastAsia="ja-JP"/>
              </w:rPr>
            </w:pPr>
            <w:r w:rsidRPr="00E60C07">
              <w:rPr>
                <w:rFonts w:hint="eastAsia"/>
                <w:color w:val="000000"/>
                <w:sz w:val="18"/>
                <w:szCs w:val="18"/>
                <w:highlight w:val="lightGray"/>
                <w:u w:val="single"/>
                <w:lang w:eastAsia="ja-JP"/>
              </w:rPr>
              <w:t>T</w:t>
            </w:r>
            <w:r w:rsidRPr="00E60C07">
              <w:rPr>
                <w:color w:val="000000"/>
                <w:sz w:val="18"/>
                <w:szCs w:val="18"/>
                <w:highlight w:val="lightGray"/>
                <w:u w:val="single"/>
              </w:rPr>
              <w:t xml:space="preserve">he </w:t>
            </w:r>
            <w:r w:rsidRPr="00E60C07">
              <w:rPr>
                <w:rFonts w:hint="eastAsia"/>
                <w:color w:val="000000"/>
                <w:sz w:val="18"/>
                <w:szCs w:val="18"/>
                <w:highlight w:val="lightGray"/>
                <w:u w:val="single"/>
                <w:lang w:eastAsia="ja-JP"/>
              </w:rPr>
              <w:t>WG-DEN</w:t>
            </w:r>
            <w:r w:rsidRPr="00E60C07">
              <w:rPr>
                <w:color w:val="000000"/>
                <w:sz w:val="18"/>
                <w:szCs w:val="18"/>
                <w:highlight w:val="lightGray"/>
                <w:u w:val="single"/>
                <w:lang w:eastAsia="ja-JP"/>
              </w:rPr>
              <w:t>, at its second meeting,</w:t>
            </w:r>
            <w:r w:rsidRPr="00E60C07">
              <w:rPr>
                <w:rFonts w:hint="eastAsia"/>
                <w:color w:val="000000"/>
                <w:sz w:val="18"/>
                <w:szCs w:val="18"/>
                <w:highlight w:val="lightGray"/>
                <w:u w:val="single"/>
                <w:lang w:eastAsia="ja-JP"/>
              </w:rPr>
              <w:t xml:space="preserve"> agreed to consider the </w:t>
            </w:r>
            <w:r w:rsidRPr="00E60C07">
              <w:rPr>
                <w:color w:val="000000"/>
                <w:sz w:val="18"/>
                <w:szCs w:val="18"/>
                <w:highlight w:val="lightGray"/>
                <w:u w:val="single"/>
                <w:lang w:eastAsia="ja-JP"/>
              </w:rPr>
              <w:t>following</w:t>
            </w:r>
            <w:r w:rsidRPr="00E60C07">
              <w:rPr>
                <w:rFonts w:hint="eastAsia"/>
                <w:color w:val="000000"/>
                <w:sz w:val="18"/>
                <w:szCs w:val="18"/>
                <w:highlight w:val="lightGray"/>
                <w:u w:val="single"/>
                <w:lang w:eastAsia="ja-JP"/>
              </w:rPr>
              <w:t xml:space="preserve"> proposal at its third meeting</w:t>
            </w:r>
          </w:p>
          <w:p w:rsidR="00BB7312" w:rsidRPr="002371C8" w:rsidRDefault="00BB7312" w:rsidP="00BA1CCE">
            <w:pPr>
              <w:rPr>
                <w:spacing w:val="-2"/>
                <w:sz w:val="18"/>
                <w:szCs w:val="18"/>
                <w:highlight w:val="yellow"/>
              </w:rPr>
            </w:pPr>
          </w:p>
          <w:p w:rsidR="00BB7312" w:rsidRPr="002371C8" w:rsidRDefault="00BB7312" w:rsidP="00BA1CCE">
            <w:pPr>
              <w:rPr>
                <w:spacing w:val="-2"/>
                <w:sz w:val="18"/>
                <w:szCs w:val="18"/>
                <w:lang w:eastAsia="ja-JP"/>
              </w:rPr>
            </w:pPr>
            <w:r w:rsidRPr="00E60C07">
              <w:rPr>
                <w:spacing w:val="-2"/>
                <w:sz w:val="18"/>
                <w:szCs w:val="18"/>
                <w:highlight w:val="lightGray"/>
                <w:lang w:eastAsia="ja-JP"/>
              </w:rPr>
              <w:t>Possible exceptions to Section 2.3.3 (a)</w:t>
            </w:r>
            <w:r w:rsidRPr="00E60C07">
              <w:rPr>
                <w:rFonts w:hint="eastAsia"/>
                <w:spacing w:val="-2"/>
                <w:sz w:val="18"/>
                <w:szCs w:val="18"/>
                <w:highlight w:val="lightGray"/>
                <w:lang w:eastAsia="ja-JP"/>
              </w:rPr>
              <w:t>.</w:t>
            </w:r>
          </w:p>
          <w:p w:rsidR="00BB7312" w:rsidRPr="002371C8" w:rsidRDefault="00BB7312" w:rsidP="00BA1CCE"/>
        </w:tc>
      </w:tr>
    </w:tbl>
    <w:p w:rsidR="00BB7312" w:rsidRPr="00C04C2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2371C8" w:rsidRDefault="00BB7312" w:rsidP="00BA1CCE">
            <w:pPr>
              <w:rPr>
                <w:sz w:val="18"/>
                <w:szCs w:val="18"/>
                <w:highlight w:val="yellow"/>
              </w:rPr>
            </w:pPr>
          </w:p>
          <w:p w:rsidR="00BB7312" w:rsidRPr="00E60C07" w:rsidRDefault="00BB7312" w:rsidP="00BA1CCE">
            <w:pPr>
              <w:tabs>
                <w:tab w:val="left" w:pos="567"/>
              </w:tabs>
              <w:rPr>
                <w:sz w:val="18"/>
                <w:szCs w:val="18"/>
                <w:highlight w:val="lightGray"/>
                <w:lang w:eastAsia="ja-JP"/>
              </w:rPr>
            </w:pPr>
            <w:r w:rsidRPr="00E60C07">
              <w:rPr>
                <w:rFonts w:hint="eastAsia"/>
                <w:color w:val="000000"/>
                <w:sz w:val="18"/>
                <w:szCs w:val="18"/>
                <w:highlight w:val="lightGray"/>
                <w:u w:val="single"/>
                <w:lang w:eastAsia="ja-JP"/>
              </w:rPr>
              <w:t xml:space="preserve">Agreed </w:t>
            </w:r>
            <w:r w:rsidRPr="00E60C07">
              <w:rPr>
                <w:sz w:val="18"/>
                <w:szCs w:val="18"/>
                <w:highlight w:val="lightGray"/>
                <w:u w:val="single"/>
              </w:rPr>
              <w:t>by the WG-DEN</w:t>
            </w:r>
            <w:r w:rsidRPr="00E60C07">
              <w:rPr>
                <w:rFonts w:hint="eastAsia"/>
                <w:sz w:val="18"/>
                <w:szCs w:val="18"/>
                <w:highlight w:val="lightGray"/>
                <w:u w:val="single"/>
                <w:lang w:eastAsia="ja-JP"/>
              </w:rPr>
              <w:t>, at its second meeting</w:t>
            </w:r>
          </w:p>
          <w:p w:rsidR="00BB7312" w:rsidRPr="002371C8" w:rsidRDefault="00BB7312" w:rsidP="00BA1CCE">
            <w:pPr>
              <w:rPr>
                <w:spacing w:val="-2"/>
                <w:sz w:val="18"/>
                <w:szCs w:val="18"/>
                <w:highlight w:val="yellow"/>
              </w:rPr>
            </w:pPr>
          </w:p>
          <w:p w:rsidR="00BB7312" w:rsidRPr="00E60C07" w:rsidRDefault="00BB7312" w:rsidP="00BA1CCE">
            <w:pPr>
              <w:rPr>
                <w:spacing w:val="-2"/>
                <w:sz w:val="18"/>
                <w:szCs w:val="18"/>
                <w:highlight w:val="lightGray"/>
                <w:lang w:eastAsia="ja-JP"/>
              </w:rPr>
            </w:pPr>
            <w:r w:rsidRPr="00E60C07">
              <w:rPr>
                <w:rFonts w:hint="eastAsia"/>
                <w:spacing w:val="-2"/>
                <w:sz w:val="18"/>
                <w:szCs w:val="18"/>
                <w:highlight w:val="lightGray"/>
                <w:lang w:eastAsia="ja-JP"/>
              </w:rPr>
              <w:t>T</w:t>
            </w:r>
            <w:r w:rsidRPr="00E60C07">
              <w:rPr>
                <w:spacing w:val="-2"/>
                <w:sz w:val="18"/>
                <w:szCs w:val="18"/>
                <w:highlight w:val="lightGray"/>
                <w:lang w:eastAsia="ja-JP"/>
              </w:rPr>
              <w:t>he proposal that for all categories of denominations including pronounceable words, a difference of one letter or one figure should not be considered to be liable to mislead and cause confusion concerning the identity of the variety should not be pursued</w:t>
            </w:r>
            <w:r w:rsidRPr="00E60C07">
              <w:rPr>
                <w:rFonts w:hint="eastAsia"/>
                <w:spacing w:val="-2"/>
                <w:sz w:val="18"/>
                <w:szCs w:val="18"/>
                <w:highlight w:val="lightGray"/>
                <w:lang w:eastAsia="ja-JP"/>
              </w:rPr>
              <w:t>.</w:t>
            </w:r>
          </w:p>
          <w:p w:rsidR="00BB7312" w:rsidRPr="002371C8" w:rsidRDefault="00BB7312" w:rsidP="00BA1CCE">
            <w:pPr>
              <w:rPr>
                <w:highlight w:val="yellow"/>
              </w:rPr>
            </w:pPr>
          </w:p>
        </w:tc>
      </w:tr>
    </w:tbl>
    <w:p w:rsidR="00BB7312" w:rsidRDefault="00BB7312" w:rsidP="00BA1CCE">
      <w:pPr>
        <w:rPr>
          <w:lang w:eastAsia="ja-JP"/>
        </w:rPr>
      </w:pPr>
    </w:p>
    <w:p w:rsidR="00BB7312" w:rsidRDefault="00BB7312">
      <w:pPr>
        <w:jc w:val="left"/>
      </w:pPr>
    </w:p>
    <w:p w:rsidR="00BB7312" w:rsidRPr="00C04C22" w:rsidRDefault="00BB7312" w:rsidP="00BA1CCE">
      <w:pPr>
        <w:keepNext/>
        <w:tabs>
          <w:tab w:val="right" w:pos="1134"/>
          <w:tab w:val="left" w:pos="1418"/>
        </w:tabs>
      </w:pPr>
      <w:r w:rsidRPr="00407B23">
        <w:tab/>
      </w:r>
      <w:r w:rsidRPr="00C04C22">
        <w:t>(i)</w:t>
      </w:r>
      <w:r w:rsidRPr="00C04C22">
        <w:tab/>
        <w:t>difference of one letter provides for a clear visual or phonetic difference, e.g. if it concerns a letter at the beginning of a word:</w:t>
      </w:r>
    </w:p>
    <w:p w:rsidR="00BB7312" w:rsidRPr="00C04C22" w:rsidRDefault="00BB7312" w:rsidP="00BA1CCE">
      <w:pPr>
        <w:keepNext/>
      </w:pPr>
    </w:p>
    <w:p w:rsidR="00BB7312" w:rsidRPr="00C04C22" w:rsidRDefault="00BB7312" w:rsidP="00BA1CCE">
      <w:pPr>
        <w:ind w:left="567"/>
        <w:rPr>
          <w:color w:val="000000"/>
        </w:rPr>
      </w:pPr>
      <w:r w:rsidRPr="00C04C22">
        <w:rPr>
          <w:i/>
          <w:color w:val="000000"/>
        </w:rPr>
        <w:t>Example 1:</w:t>
      </w:r>
      <w:r w:rsidRPr="00C04C22">
        <w:rPr>
          <w:color w:val="000000"/>
        </w:rPr>
        <w:t xml:space="preserve">  in the English language, ‘</w:t>
      </w:r>
      <w:r w:rsidRPr="00C04C22">
        <w:rPr>
          <w:color w:val="000000"/>
          <w:u w:val="single"/>
        </w:rPr>
        <w:t>H</w:t>
      </w:r>
      <w:r w:rsidRPr="00C04C22">
        <w:rPr>
          <w:color w:val="000000"/>
        </w:rPr>
        <w:t>arry’ and ‘</w:t>
      </w:r>
      <w:r w:rsidRPr="00C04C22">
        <w:rPr>
          <w:color w:val="000000"/>
          <w:u w:val="single"/>
        </w:rPr>
        <w:t>L</w:t>
      </w:r>
      <w:r w:rsidRPr="00C04C22">
        <w:rPr>
          <w:color w:val="000000"/>
        </w:rPr>
        <w:t>arry’ would not cause confusion;  However, ‘Bo</w:t>
      </w:r>
      <w:r w:rsidRPr="00C04C22">
        <w:rPr>
          <w:color w:val="000000"/>
          <w:u w:val="single"/>
        </w:rPr>
        <w:t>ugh’</w:t>
      </w:r>
      <w:r w:rsidRPr="00C04C22">
        <w:rPr>
          <w:color w:val="000000"/>
        </w:rPr>
        <w:t xml:space="preserve"> and ‘Bo</w:t>
      </w:r>
      <w:r w:rsidRPr="00C04C22">
        <w:rPr>
          <w:color w:val="000000"/>
          <w:u w:val="single"/>
        </w:rPr>
        <w:t>w</w:t>
      </w:r>
      <w:r w:rsidRPr="00C04C22">
        <w:rPr>
          <w:color w:val="000000"/>
        </w:rPr>
        <w:t>’ might cause confusion (in phonetic terms);</w:t>
      </w:r>
    </w:p>
    <w:p w:rsidR="00BB7312" w:rsidRPr="00F96023" w:rsidRDefault="00BB7312" w:rsidP="00BA1CCE">
      <w:pPr>
        <w:spacing w:before="120"/>
        <w:ind w:left="567"/>
      </w:pPr>
      <w:r w:rsidRPr="00C04C22">
        <w:rPr>
          <w:i/>
          <w:strike/>
        </w:rPr>
        <w:t xml:space="preserve">Example 2: </w:t>
      </w:r>
      <w:r w:rsidRPr="00C04C22">
        <w:rPr>
          <w:strike/>
        </w:rPr>
        <w:t xml:space="preserve"> in the Japanese and Korean languages there is no difference between “L” and “R” sounds, thus “</w:t>
      </w:r>
      <w:r w:rsidRPr="00C04C22">
        <w:rPr>
          <w:strike/>
          <w:u w:val="single"/>
        </w:rPr>
        <w:t>L</w:t>
      </w:r>
      <w:r w:rsidRPr="00C04C22">
        <w:rPr>
          <w:strike/>
        </w:rPr>
        <w:t>ion” and “</w:t>
      </w:r>
      <w:r w:rsidRPr="00C04C22">
        <w:rPr>
          <w:strike/>
          <w:u w:val="single"/>
        </w:rPr>
        <w:t>R</w:t>
      </w:r>
      <w:r w:rsidRPr="00C04C22">
        <w:rPr>
          <w:strike/>
        </w:rPr>
        <w:t>aion” are exactly the same although these are distinguishable for English mother tongue speakers</w:t>
      </w:r>
      <w:r w:rsidRPr="00C04C22">
        <w:t>;</w:t>
      </w:r>
      <w:r w:rsidRPr="00C04C22">
        <w:rPr>
          <w:vertAlign w:val="superscript"/>
        </w:rPr>
        <w:t>l</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D7C20" w:rsidRDefault="00BB7312" w:rsidP="00BA1CCE">
            <w:pPr>
              <w:rPr>
                <w:sz w:val="18"/>
                <w:szCs w:val="18"/>
              </w:rPr>
            </w:pPr>
          </w:p>
          <w:p w:rsidR="00BB7312" w:rsidRPr="005D7C20" w:rsidRDefault="00BB7312" w:rsidP="00BA1CCE">
            <w:pPr>
              <w:rPr>
                <w:sz w:val="18"/>
                <w:szCs w:val="18"/>
                <w:u w:val="single"/>
              </w:rPr>
            </w:pPr>
            <w:r w:rsidRPr="005D7C20">
              <w:rPr>
                <w:sz w:val="18"/>
                <w:szCs w:val="18"/>
                <w:u w:val="single"/>
              </w:rPr>
              <w:t>Proposal by ESA/ISF</w:t>
            </w:r>
            <w:r>
              <w:rPr>
                <w:sz w:val="18"/>
                <w:szCs w:val="18"/>
                <w:vertAlign w:val="superscript"/>
              </w:rPr>
              <w:t>k</w:t>
            </w:r>
          </w:p>
          <w:p w:rsidR="00BB7312" w:rsidRPr="005D7C20" w:rsidRDefault="00BB7312" w:rsidP="00BA1CCE">
            <w:pPr>
              <w:rPr>
                <w:sz w:val="18"/>
                <w:szCs w:val="18"/>
              </w:rPr>
            </w:pPr>
          </w:p>
          <w:p w:rsidR="00BB7312" w:rsidRDefault="00BB7312" w:rsidP="00BA1CCE">
            <w:pPr>
              <w:rPr>
                <w:sz w:val="18"/>
                <w:szCs w:val="18"/>
              </w:rPr>
            </w:pPr>
            <w:r>
              <w:rPr>
                <w:sz w:val="18"/>
                <w:szCs w:val="18"/>
              </w:rPr>
              <w:t xml:space="preserve">Section 2.3.3 </w:t>
            </w:r>
            <w:r w:rsidRPr="00A6443F">
              <w:rPr>
                <w:strike/>
                <w:sz w:val="18"/>
                <w:szCs w:val="18"/>
              </w:rPr>
              <w:t>(b) (iii)</w:t>
            </w:r>
            <w:r w:rsidRPr="00A6443F">
              <w:rPr>
                <w:sz w:val="18"/>
                <w:szCs w:val="18"/>
              </w:rPr>
              <w:t xml:space="preserve"> </w:t>
            </w:r>
            <w:r>
              <w:rPr>
                <w:sz w:val="18"/>
                <w:szCs w:val="18"/>
                <w:u w:val="single"/>
              </w:rPr>
              <w:t xml:space="preserve">(a) </w:t>
            </w:r>
            <w:r w:rsidRPr="00A6443F">
              <w:rPr>
                <w:sz w:val="18"/>
                <w:szCs w:val="18"/>
                <w:u w:val="single"/>
              </w:rPr>
              <w:t>(i)</w:t>
            </w:r>
            <w:r>
              <w:rPr>
                <w:sz w:val="18"/>
                <w:szCs w:val="18"/>
              </w:rPr>
              <w:t>:  refers to a case where a difference of one letter at the beginning  may not provide a clear visual and phonetic difference.  The example given in the first bullet however does not have a difference of one letter in the beginning but of two letters and is therefore somewhat confusing.</w:t>
            </w:r>
          </w:p>
          <w:p w:rsidR="00BB7312" w:rsidRPr="005D7C20" w:rsidRDefault="00BB7312" w:rsidP="00BA1CCE">
            <w:pPr>
              <w:rPr>
                <w:sz w:val="18"/>
                <w:szCs w:val="18"/>
              </w:rPr>
            </w:pPr>
          </w:p>
        </w:tc>
      </w:tr>
    </w:tbl>
    <w:p w:rsidR="00BB7312" w:rsidRDefault="00BB7312" w:rsidP="00BA1CCE">
      <w:pPr>
        <w:ind w:right="566"/>
        <w:rPr>
          <w:lang w:eastAsia="ja-JP"/>
        </w:rPr>
      </w:pPr>
    </w:p>
    <w:tbl>
      <w:tblPr>
        <w:tblW w:w="0" w:type="auto"/>
        <w:tblBorders>
          <w:top w:val="single" w:sz="4" w:space="0" w:color="auto"/>
          <w:left w:val="single" w:sz="4" w:space="0" w:color="auto"/>
          <w:bottom w:val="single" w:sz="4" w:space="0" w:color="auto"/>
          <w:right w:val="single" w:sz="4" w:space="0" w:color="auto"/>
        </w:tblBorders>
        <w:shd w:val="clear" w:color="auto" w:fill="95B3D7" w:themeFill="accent1" w:themeFillTint="99"/>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D7C20" w:rsidRDefault="00BB7312" w:rsidP="00BA1CCE">
            <w:pPr>
              <w:rPr>
                <w:sz w:val="18"/>
                <w:szCs w:val="18"/>
              </w:rPr>
            </w:pPr>
          </w:p>
          <w:p w:rsidR="00BB7312" w:rsidRPr="00C04C22" w:rsidRDefault="00BB7312" w:rsidP="00BA1CCE">
            <w:pPr>
              <w:rPr>
                <w:sz w:val="18"/>
                <w:szCs w:val="18"/>
                <w:u w:val="single"/>
              </w:rPr>
            </w:pPr>
            <w:r w:rsidRPr="00C04C22">
              <w:rPr>
                <w:sz w:val="18"/>
                <w:szCs w:val="18"/>
                <w:u w:val="single"/>
              </w:rPr>
              <w:t>Agreed by the WG-DEN</w:t>
            </w:r>
            <w:r w:rsidR="00FC3A91" w:rsidRPr="00FC3A91">
              <w:rPr>
                <w:sz w:val="18"/>
                <w:szCs w:val="18"/>
                <w:vertAlign w:val="superscript"/>
              </w:rPr>
              <w:t>i</w:t>
            </w:r>
          </w:p>
          <w:p w:rsidR="00BB7312" w:rsidRPr="00C04C22" w:rsidRDefault="00BB7312" w:rsidP="00BA1CCE">
            <w:pPr>
              <w:rPr>
                <w:sz w:val="18"/>
                <w:szCs w:val="18"/>
              </w:rPr>
            </w:pPr>
          </w:p>
          <w:p w:rsidR="00BB7312" w:rsidRPr="00C04C22" w:rsidRDefault="00BB7312" w:rsidP="00BA1CCE">
            <w:pPr>
              <w:rPr>
                <w:sz w:val="18"/>
                <w:szCs w:val="18"/>
              </w:rPr>
            </w:pPr>
            <w:r w:rsidRPr="00C04C22">
              <w:rPr>
                <w:sz w:val="18"/>
                <w:szCs w:val="18"/>
              </w:rPr>
              <w:t>To add “Helena” and “Elena” as an example of a clear visual difference that may not provide a clear phonetic difference in a language other than English (in Spanish).</w:t>
            </w:r>
          </w:p>
          <w:p w:rsidR="00BB7312" w:rsidRPr="00C04C22" w:rsidRDefault="00BB7312" w:rsidP="00BA1CCE">
            <w:pPr>
              <w:rPr>
                <w:sz w:val="18"/>
                <w:szCs w:val="18"/>
              </w:rPr>
            </w:pPr>
          </w:p>
          <w:p w:rsidR="00BB7312" w:rsidRDefault="00BB7312" w:rsidP="00BA1CCE">
            <w:pPr>
              <w:rPr>
                <w:sz w:val="18"/>
                <w:szCs w:val="18"/>
              </w:rPr>
            </w:pPr>
            <w:r w:rsidRPr="00C04C22">
              <w:rPr>
                <w:sz w:val="18"/>
                <w:szCs w:val="18"/>
              </w:rPr>
              <w:t>To consider the example of “Bow” and “Bough” at the second meeting.</w:t>
            </w:r>
          </w:p>
          <w:p w:rsidR="00BB7312" w:rsidRPr="005D7C20" w:rsidRDefault="00BB7312" w:rsidP="00BA1CCE">
            <w:pPr>
              <w:rPr>
                <w:sz w:val="18"/>
                <w:szCs w:val="18"/>
              </w:rPr>
            </w:pPr>
          </w:p>
        </w:tc>
      </w:tr>
    </w:tbl>
    <w:p w:rsidR="00BB7312" w:rsidRDefault="00BB7312" w:rsidP="00BA1CCE">
      <w:pPr>
        <w:ind w:right="566"/>
        <w:rPr>
          <w:lang w:eastAsia="ja-JP"/>
        </w:rPr>
      </w:pPr>
    </w:p>
    <w:p w:rsidR="00BB7312" w:rsidRPr="00407B23" w:rsidRDefault="00BB7312" w:rsidP="00BA1CCE">
      <w:pPr>
        <w:tabs>
          <w:tab w:val="right" w:pos="1134"/>
          <w:tab w:val="left" w:pos="1418"/>
        </w:tabs>
      </w:pPr>
      <w:r w:rsidRPr="00407B23">
        <w:tab/>
        <w:t>(ii)</w:t>
      </w:r>
      <w:r w:rsidRPr="00407B23">
        <w:tab/>
        <w:t>denominations consist of a combination of letters and figures;</w:t>
      </w:r>
    </w:p>
    <w:p w:rsidR="00BB7312" w:rsidRDefault="00BB7312" w:rsidP="00BA1CCE">
      <w:pPr>
        <w:tabs>
          <w:tab w:val="right" w:pos="1134"/>
          <w:tab w:val="left" w:pos="1418"/>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47703B" w:rsidRDefault="00BB7312" w:rsidP="00BA1CCE">
            <w:pPr>
              <w:rPr>
                <w:sz w:val="18"/>
                <w:szCs w:val="18"/>
              </w:rPr>
            </w:pPr>
            <w:r w:rsidRPr="0047703B">
              <w:rPr>
                <w:sz w:val="18"/>
                <w:szCs w:val="18"/>
                <w:u w:val="single"/>
              </w:rPr>
              <w:t>Proposal by New Zealand</w:t>
            </w:r>
            <w:r w:rsidR="00DF496A" w:rsidRPr="00DF496A">
              <w:rPr>
                <w:sz w:val="18"/>
                <w:szCs w:val="18"/>
                <w:vertAlign w:val="superscript"/>
              </w:rPr>
              <w:t>c</w:t>
            </w:r>
          </w:p>
          <w:p w:rsidR="00BB7312" w:rsidRPr="0047703B" w:rsidRDefault="00BB7312" w:rsidP="00BA1CCE">
            <w:pPr>
              <w:rPr>
                <w:sz w:val="18"/>
                <w:szCs w:val="18"/>
              </w:rPr>
            </w:pPr>
          </w:p>
          <w:p w:rsidR="00BB7312" w:rsidRDefault="00BB7312" w:rsidP="00BA1CCE">
            <w:pPr>
              <w:rPr>
                <w:sz w:val="18"/>
                <w:szCs w:val="18"/>
              </w:rPr>
            </w:pPr>
            <w:r>
              <w:rPr>
                <w:sz w:val="18"/>
                <w:szCs w:val="18"/>
              </w:rPr>
              <w:t>Section 2.3.3 (a) (ii):  consider whether this exemption should continue from the general recommendation.</w:t>
            </w:r>
          </w:p>
          <w:p w:rsidR="00BB7312" w:rsidRPr="0047703B" w:rsidRDefault="00BB7312" w:rsidP="00BA1CCE">
            <w:pPr>
              <w:rPr>
                <w:sz w:val="18"/>
                <w:szCs w:val="18"/>
              </w:rPr>
            </w:pPr>
          </w:p>
        </w:tc>
      </w:tr>
    </w:tbl>
    <w:p w:rsidR="00BB7312" w:rsidRPr="00407B23" w:rsidRDefault="00BB7312" w:rsidP="00BA1CCE">
      <w:pPr>
        <w:tabs>
          <w:tab w:val="right" w:pos="1134"/>
          <w:tab w:val="left" w:pos="1418"/>
        </w:tabs>
      </w:pPr>
    </w:p>
    <w:p w:rsidR="00BB7312" w:rsidRPr="00407B23" w:rsidRDefault="00BB7312" w:rsidP="00BA1CCE">
      <w:pPr>
        <w:tabs>
          <w:tab w:val="right" w:pos="1134"/>
          <w:tab w:val="left" w:pos="1418"/>
        </w:tabs>
      </w:pPr>
      <w:r w:rsidRPr="00407B23">
        <w:tab/>
        <w:t>(iii)</w:t>
      </w:r>
      <w:r w:rsidRPr="00407B23">
        <w:tab/>
        <w:t>denominations consist “solely of figures”.</w:t>
      </w:r>
    </w:p>
    <w:p w:rsidR="00BB7312" w:rsidRPr="00407B23" w:rsidRDefault="00BB7312" w:rsidP="00BA1CCE"/>
    <w:p w:rsidR="00BB7312" w:rsidRDefault="00BB7312" w:rsidP="00BA1CCE">
      <w:pPr>
        <w:keepNext/>
      </w:pPr>
      <w:r w:rsidRPr="00407B23">
        <w:tab/>
        <w:t>(b)</w:t>
      </w:r>
      <w:r w:rsidRPr="00407B23">
        <w:tab/>
        <w:t>The use of a denomination which is similar to that used for a variety of another species or genera in the same denomination class (see section 2.5) may cause confusion.</w:t>
      </w:r>
    </w:p>
    <w:p w:rsidR="00BB7312" w:rsidRPr="00407B23" w:rsidRDefault="00BB7312" w:rsidP="00BA1CCE"/>
    <w:p w:rsidR="00BB7312" w:rsidRPr="00407B23" w:rsidRDefault="00BB7312" w:rsidP="00BA1CCE">
      <w:pPr>
        <w:spacing w:line="240" w:lineRule="atLeast"/>
        <w:ind w:firstLine="567"/>
      </w:pPr>
      <w:r w:rsidRPr="00407B23">
        <w:t>(c)</w:t>
      </w:r>
      <w:r w:rsidRPr="00407B23">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A442B5" w:rsidRDefault="00BB7312" w:rsidP="00BA1CCE">
            <w:pPr>
              <w:rPr>
                <w:color w:val="000000"/>
                <w:sz w:val="18"/>
                <w:szCs w:val="18"/>
                <w:u w:val="single"/>
              </w:rPr>
            </w:pPr>
          </w:p>
          <w:p w:rsidR="00BB7312" w:rsidRPr="00A442B5" w:rsidRDefault="00BB7312" w:rsidP="00BA1CCE">
            <w:pPr>
              <w:rPr>
                <w:color w:val="000000"/>
                <w:sz w:val="18"/>
                <w:szCs w:val="18"/>
                <w:u w:val="single"/>
              </w:rPr>
            </w:pPr>
            <w:r w:rsidRPr="00A442B5">
              <w:rPr>
                <w:color w:val="000000"/>
                <w:sz w:val="18"/>
                <w:szCs w:val="18"/>
                <w:u w:val="single"/>
              </w:rPr>
              <w:t>Proposal by WG-DST</w:t>
            </w:r>
            <w:r>
              <w:rPr>
                <w:color w:val="000000"/>
                <w:sz w:val="18"/>
                <w:szCs w:val="18"/>
                <w:vertAlign w:val="superscript"/>
              </w:rPr>
              <w:t>j</w:t>
            </w:r>
          </w:p>
          <w:p w:rsidR="00BB7312" w:rsidRPr="00A442B5" w:rsidRDefault="00BB7312" w:rsidP="00BA1CCE">
            <w:pPr>
              <w:rPr>
                <w:color w:val="000000"/>
                <w:sz w:val="18"/>
                <w:szCs w:val="18"/>
                <w:u w:val="single"/>
              </w:rPr>
            </w:pPr>
          </w:p>
          <w:p w:rsidR="00BB7312" w:rsidRDefault="00BB7312" w:rsidP="00BA1CCE">
            <w:pPr>
              <w:rPr>
                <w:sz w:val="18"/>
                <w:szCs w:val="18"/>
              </w:rPr>
            </w:pPr>
            <w:r>
              <w:rPr>
                <w:sz w:val="18"/>
                <w:szCs w:val="18"/>
              </w:rPr>
              <w:t>New section 2.3.3 (d):  t</w:t>
            </w:r>
            <w:r w:rsidRPr="00A442B5">
              <w:rPr>
                <w:sz w:val="18"/>
                <w:szCs w:val="18"/>
              </w:rPr>
              <w:t>o recommend that consideration be given to avoiding re-use of denominations in all cases.  However, it clarified that it would be important to consider only denominations of varieties (i.e. plant groupings that meet the definition of variety in Article 1 (vi) of the 1991 Act) and, in addition, to expand the content of PLUTO database to include all varieties, including those that had not been, or were no longer, registered/protected.</w:t>
            </w:r>
            <w:r w:rsidR="00FC3A91" w:rsidRPr="00FC3A91">
              <w:rPr>
                <w:sz w:val="18"/>
                <w:szCs w:val="18"/>
                <w:vertAlign w:val="superscript"/>
              </w:rPr>
              <w:t>j</w:t>
            </w:r>
          </w:p>
          <w:p w:rsidR="00BB7312" w:rsidRPr="00A442B5"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F2452" w:rsidRDefault="00BB7312" w:rsidP="00BA1CCE">
            <w:pPr>
              <w:rPr>
                <w:sz w:val="18"/>
                <w:szCs w:val="18"/>
              </w:rPr>
            </w:pPr>
          </w:p>
          <w:p w:rsidR="00BB7312" w:rsidRPr="005F2452" w:rsidRDefault="00BB7312" w:rsidP="00BA1CCE">
            <w:pPr>
              <w:rPr>
                <w:color w:val="000000"/>
                <w:sz w:val="18"/>
                <w:szCs w:val="18"/>
                <w:u w:val="single"/>
              </w:rPr>
            </w:pPr>
            <w:r w:rsidRPr="005F2452">
              <w:rPr>
                <w:color w:val="000000"/>
                <w:sz w:val="18"/>
                <w:szCs w:val="18"/>
                <w:u w:val="single"/>
              </w:rPr>
              <w:t xml:space="preserve">Proposal by </w:t>
            </w:r>
            <w:r>
              <w:rPr>
                <w:color w:val="000000"/>
                <w:sz w:val="18"/>
                <w:szCs w:val="18"/>
                <w:u w:val="single"/>
              </w:rPr>
              <w:t xml:space="preserve">the </w:t>
            </w:r>
            <w:r w:rsidRPr="005F2452">
              <w:rPr>
                <w:color w:val="000000"/>
                <w:sz w:val="18"/>
                <w:szCs w:val="18"/>
                <w:u w:val="single"/>
              </w:rPr>
              <w:t>European Union (CPVO)</w:t>
            </w:r>
            <w:r w:rsidR="00DF496A" w:rsidRPr="00DF496A">
              <w:rPr>
                <w:sz w:val="18"/>
                <w:szCs w:val="18"/>
                <w:vertAlign w:val="superscript"/>
              </w:rPr>
              <w:t>a</w:t>
            </w:r>
          </w:p>
          <w:p w:rsidR="00BB7312" w:rsidRPr="005F2452" w:rsidRDefault="00BB7312" w:rsidP="00BA1CCE">
            <w:pPr>
              <w:rPr>
                <w:color w:val="000000"/>
                <w:sz w:val="18"/>
                <w:szCs w:val="18"/>
                <w:u w:val="single"/>
              </w:rPr>
            </w:pPr>
          </w:p>
          <w:p w:rsidR="00BB7312" w:rsidRPr="005F2452" w:rsidRDefault="00BB7312" w:rsidP="00BA1CCE">
            <w:pPr>
              <w:rPr>
                <w:sz w:val="18"/>
                <w:szCs w:val="18"/>
              </w:rPr>
            </w:pPr>
            <w:r w:rsidRPr="005F2452">
              <w:rPr>
                <w:sz w:val="18"/>
                <w:szCs w:val="18"/>
              </w:rPr>
              <w:t>To make clear in section 2.3.3 dealing with the identity of the variety, that the re-use of the same or a similar VDs is possible under certain conditions, especially when an earlier variety has disappeared.</w:t>
            </w:r>
          </w:p>
          <w:p w:rsidR="00BB7312" w:rsidRPr="005F2452"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47703B" w:rsidRDefault="00BB7312" w:rsidP="00BA1CCE">
            <w:pPr>
              <w:rPr>
                <w:sz w:val="18"/>
                <w:szCs w:val="18"/>
              </w:rPr>
            </w:pPr>
            <w:r w:rsidRPr="0047703B">
              <w:rPr>
                <w:sz w:val="18"/>
                <w:szCs w:val="18"/>
                <w:u w:val="single"/>
              </w:rPr>
              <w:t>Proposal by New Zealand</w:t>
            </w:r>
            <w:r w:rsidR="00DF496A" w:rsidRPr="00DF496A">
              <w:rPr>
                <w:sz w:val="18"/>
                <w:szCs w:val="18"/>
                <w:vertAlign w:val="superscript"/>
              </w:rPr>
              <w:t>c</w:t>
            </w:r>
          </w:p>
          <w:p w:rsidR="00BB7312" w:rsidRDefault="00BB7312" w:rsidP="00BA1CCE">
            <w:pPr>
              <w:rPr>
                <w:sz w:val="18"/>
                <w:szCs w:val="18"/>
              </w:rPr>
            </w:pPr>
          </w:p>
          <w:p w:rsidR="00BB7312" w:rsidRDefault="00BB7312" w:rsidP="00BA1CCE">
            <w:pPr>
              <w:rPr>
                <w:sz w:val="18"/>
                <w:szCs w:val="18"/>
              </w:rPr>
            </w:pPr>
            <w:r>
              <w:rPr>
                <w:sz w:val="18"/>
                <w:szCs w:val="18"/>
              </w:rPr>
              <w:t>New section 2.3.3 (d):  to re-use of denominations should be possible for genera that require ongoing maintenance, such as annual seed crops.  It may be possible to sufficiently establish that a variety no longer exists.  For vegetatively propagated species it may be much more difficult to adequately establish that a variety no longer exists.  The re-use of denominations should not be entirely ruled out.</w:t>
            </w:r>
          </w:p>
          <w:p w:rsidR="00BB7312" w:rsidRPr="0047703B"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D7C20" w:rsidRDefault="00BB7312" w:rsidP="00BA1CCE">
            <w:pPr>
              <w:rPr>
                <w:sz w:val="18"/>
                <w:szCs w:val="18"/>
              </w:rPr>
            </w:pPr>
          </w:p>
          <w:p w:rsidR="00BB7312" w:rsidRPr="005D7C20" w:rsidRDefault="00BB7312" w:rsidP="00BA1CCE">
            <w:pPr>
              <w:rPr>
                <w:sz w:val="18"/>
                <w:szCs w:val="18"/>
                <w:u w:val="single"/>
              </w:rPr>
            </w:pPr>
            <w:r w:rsidRPr="005D7C20">
              <w:rPr>
                <w:sz w:val="18"/>
                <w:szCs w:val="18"/>
                <w:u w:val="single"/>
              </w:rPr>
              <w:t>Proposal by ESA/ISF</w:t>
            </w:r>
            <w:r>
              <w:rPr>
                <w:sz w:val="18"/>
                <w:szCs w:val="18"/>
                <w:vertAlign w:val="superscript"/>
              </w:rPr>
              <w:t>k</w:t>
            </w:r>
          </w:p>
          <w:p w:rsidR="00BB7312" w:rsidRPr="005D7C20" w:rsidRDefault="00BB7312" w:rsidP="00BA1CCE">
            <w:pPr>
              <w:rPr>
                <w:sz w:val="18"/>
                <w:szCs w:val="18"/>
              </w:rPr>
            </w:pPr>
          </w:p>
          <w:p w:rsidR="00BB7312" w:rsidRDefault="00BB7312" w:rsidP="00BA1CCE">
            <w:pPr>
              <w:rPr>
                <w:sz w:val="18"/>
                <w:szCs w:val="18"/>
              </w:rPr>
            </w:pPr>
            <w:r>
              <w:rPr>
                <w:sz w:val="18"/>
                <w:szCs w:val="18"/>
              </w:rPr>
              <w:t>Section: 2.3.3 (d):  propose to mention 10 years as an example of suitable period.  This is what is indicated in the CPVO guidelines on variety denominations.</w:t>
            </w:r>
          </w:p>
          <w:p w:rsidR="00BB7312" w:rsidRPr="005D7C20"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5D7C20" w:rsidRDefault="00BB7312" w:rsidP="00BA1CCE">
            <w:pPr>
              <w:rPr>
                <w:sz w:val="18"/>
                <w:szCs w:val="18"/>
                <w:u w:val="single"/>
              </w:rPr>
            </w:pPr>
            <w:r w:rsidRPr="005D7C20">
              <w:rPr>
                <w:sz w:val="18"/>
                <w:szCs w:val="18"/>
                <w:u w:val="single"/>
              </w:rPr>
              <w:t>Proposal by ESA/ISF</w:t>
            </w:r>
            <w:r>
              <w:rPr>
                <w:sz w:val="18"/>
                <w:szCs w:val="18"/>
                <w:vertAlign w:val="superscript"/>
              </w:rPr>
              <w:t>k</w:t>
            </w:r>
          </w:p>
          <w:p w:rsidR="00BB7312" w:rsidRDefault="00BB7312" w:rsidP="00BA1CCE">
            <w:pPr>
              <w:rPr>
                <w:sz w:val="18"/>
                <w:szCs w:val="18"/>
              </w:rPr>
            </w:pPr>
          </w:p>
          <w:p w:rsidR="00BB7312" w:rsidRDefault="00BB7312" w:rsidP="00BA1CCE">
            <w:pPr>
              <w:rPr>
                <w:sz w:val="18"/>
                <w:szCs w:val="18"/>
              </w:rPr>
            </w:pPr>
            <w:r>
              <w:rPr>
                <w:sz w:val="18"/>
                <w:szCs w:val="18"/>
              </w:rPr>
              <w:t>WG-DST has proposed to include all varieties in PLUTO, also those which had not been or were no longer registered/ protected.  We understand that this may cover varieties that may have been marketed under a “test-marketing regime” prior to registration.  Breeders would like to be able to re-use names which have not yet been registered and not yet been marketed.  These are rare cases but still too restrictive rules are not favored.  As outlined also above, we propose to allow re-use of denominations after a period of 10 years.</w:t>
            </w:r>
          </w:p>
          <w:p w:rsidR="00BB7312" w:rsidRPr="0047703B"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C04C22" w:rsidRDefault="00BB7312" w:rsidP="00BA1CCE">
            <w:pPr>
              <w:rPr>
                <w:sz w:val="18"/>
                <w:szCs w:val="18"/>
                <w:u w:val="single"/>
              </w:rPr>
            </w:pPr>
            <w:r w:rsidRPr="00C04C22">
              <w:rPr>
                <w:sz w:val="18"/>
                <w:szCs w:val="18"/>
                <w:u w:val="single"/>
              </w:rPr>
              <w:t>Agreed by the WG-DEN</w:t>
            </w:r>
            <w:r w:rsidR="00FC3A91" w:rsidRPr="00FC3A91">
              <w:rPr>
                <w:sz w:val="18"/>
                <w:szCs w:val="18"/>
                <w:vertAlign w:val="superscript"/>
              </w:rPr>
              <w:t>k</w:t>
            </w:r>
          </w:p>
          <w:p w:rsidR="00BB7312" w:rsidRPr="00C04C22" w:rsidRDefault="00BB7312" w:rsidP="00BA1CCE">
            <w:pPr>
              <w:rPr>
                <w:sz w:val="18"/>
                <w:szCs w:val="18"/>
              </w:rPr>
            </w:pPr>
          </w:p>
          <w:p w:rsidR="00BB7312" w:rsidRPr="00C04C22" w:rsidRDefault="00BB7312" w:rsidP="00BA1CCE">
            <w:pPr>
              <w:tabs>
                <w:tab w:val="left" w:pos="301"/>
                <w:tab w:val="left" w:pos="689"/>
              </w:tabs>
              <w:rPr>
                <w:sz w:val="18"/>
                <w:szCs w:val="18"/>
              </w:rPr>
            </w:pPr>
            <w:r w:rsidRPr="00C04C22">
              <w:rPr>
                <w:sz w:val="18"/>
                <w:szCs w:val="18"/>
              </w:rPr>
              <w:tab/>
              <w:t>(a)</w:t>
            </w:r>
            <w:r w:rsidRPr="00C04C22">
              <w:rPr>
                <w:sz w:val="18"/>
                <w:szCs w:val="18"/>
              </w:rPr>
              <w:tab/>
              <w:t>to clarify that the guidance only concerned the re-use of denominations in the same denomination class;</w:t>
            </w:r>
          </w:p>
          <w:p w:rsidR="00BB7312" w:rsidRPr="00C04C22" w:rsidRDefault="00BB7312" w:rsidP="00BA1CCE">
            <w:pPr>
              <w:tabs>
                <w:tab w:val="left" w:pos="301"/>
                <w:tab w:val="left" w:pos="689"/>
              </w:tabs>
              <w:rPr>
                <w:sz w:val="18"/>
                <w:szCs w:val="18"/>
              </w:rPr>
            </w:pPr>
          </w:p>
          <w:p w:rsidR="00BB7312" w:rsidRPr="00C04C22" w:rsidRDefault="00BB7312" w:rsidP="00BA1CCE">
            <w:pPr>
              <w:tabs>
                <w:tab w:val="left" w:pos="301"/>
                <w:tab w:val="left" w:pos="689"/>
              </w:tabs>
              <w:rPr>
                <w:sz w:val="18"/>
                <w:szCs w:val="18"/>
              </w:rPr>
            </w:pPr>
            <w:r w:rsidRPr="00C04C22">
              <w:rPr>
                <w:sz w:val="18"/>
                <w:szCs w:val="18"/>
              </w:rPr>
              <w:tab/>
              <w:t>(b)</w:t>
            </w:r>
            <w:r w:rsidRPr="00C04C22">
              <w:rPr>
                <w:sz w:val="18"/>
                <w:szCs w:val="18"/>
              </w:rPr>
              <w:tab/>
              <w:t xml:space="preserve">to consider, at its second meeting, whether a time period of 10 years after the variety was no longer commercialized was appropriate for international guidance, given: </w:t>
            </w:r>
          </w:p>
          <w:p w:rsidR="00BB7312" w:rsidRPr="00C04C22" w:rsidRDefault="00BB7312" w:rsidP="00BA1CCE">
            <w:pPr>
              <w:rPr>
                <w:sz w:val="18"/>
                <w:szCs w:val="18"/>
              </w:rPr>
            </w:pPr>
          </w:p>
          <w:p w:rsidR="00BB7312" w:rsidRPr="00C04C22" w:rsidRDefault="00BB7312" w:rsidP="00BB7312">
            <w:pPr>
              <w:pStyle w:val="ListParagraph"/>
              <w:numPr>
                <w:ilvl w:val="0"/>
                <w:numId w:val="4"/>
              </w:numPr>
              <w:ind w:left="993" w:hanging="284"/>
              <w:rPr>
                <w:sz w:val="18"/>
                <w:szCs w:val="18"/>
              </w:rPr>
            </w:pPr>
            <w:r w:rsidRPr="00C04C22">
              <w:rPr>
                <w:sz w:val="18"/>
                <w:szCs w:val="18"/>
              </w:rPr>
              <w:t xml:space="preserve">the difficulty of obtaining information on commercialization in different territories, </w:t>
            </w:r>
          </w:p>
          <w:p w:rsidR="00BB7312" w:rsidRPr="00C04C22" w:rsidRDefault="00BB7312" w:rsidP="00BA1CCE">
            <w:pPr>
              <w:ind w:left="993" w:hanging="284"/>
              <w:rPr>
                <w:sz w:val="18"/>
                <w:szCs w:val="18"/>
              </w:rPr>
            </w:pPr>
          </w:p>
          <w:p w:rsidR="00BB7312" w:rsidRPr="00C04C22" w:rsidRDefault="00BB7312" w:rsidP="00BB7312">
            <w:pPr>
              <w:pStyle w:val="ListParagraph"/>
              <w:numPr>
                <w:ilvl w:val="0"/>
                <w:numId w:val="4"/>
              </w:numPr>
              <w:ind w:left="993" w:hanging="284"/>
              <w:rPr>
                <w:sz w:val="18"/>
                <w:szCs w:val="18"/>
              </w:rPr>
            </w:pPr>
            <w:r w:rsidRPr="00C04C22">
              <w:rPr>
                <w:sz w:val="18"/>
                <w:szCs w:val="18"/>
              </w:rPr>
              <w:t>the presence of varieties in genebanks, and</w:t>
            </w:r>
          </w:p>
          <w:p w:rsidR="00BB7312" w:rsidRPr="00C04C22" w:rsidRDefault="00BB7312" w:rsidP="00BA1CCE">
            <w:pPr>
              <w:ind w:left="993" w:hanging="284"/>
              <w:rPr>
                <w:sz w:val="18"/>
                <w:szCs w:val="18"/>
              </w:rPr>
            </w:pPr>
          </w:p>
          <w:p w:rsidR="00BB7312" w:rsidRPr="00C04C22" w:rsidRDefault="00BB7312" w:rsidP="00BB7312">
            <w:pPr>
              <w:pStyle w:val="ListParagraph"/>
              <w:numPr>
                <w:ilvl w:val="0"/>
                <w:numId w:val="4"/>
              </w:numPr>
              <w:ind w:left="993" w:hanging="284"/>
              <w:rPr>
                <w:sz w:val="18"/>
                <w:szCs w:val="18"/>
              </w:rPr>
            </w:pPr>
            <w:r w:rsidRPr="00C04C22">
              <w:rPr>
                <w:sz w:val="18"/>
                <w:szCs w:val="18"/>
              </w:rPr>
              <w:t>that farmers would probably remember varieties over a considerably longer time than 10 years.</w:t>
            </w:r>
          </w:p>
          <w:p w:rsidR="00BB7312" w:rsidRPr="0047703B" w:rsidRDefault="00BB7312" w:rsidP="00BA1CCE">
            <w:pPr>
              <w:rPr>
                <w:sz w:val="18"/>
                <w:szCs w:val="18"/>
              </w:rPr>
            </w:pPr>
          </w:p>
        </w:tc>
      </w:tr>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Default="00BB7312" w:rsidP="00BA1CCE">
            <w:pPr>
              <w:rPr>
                <w:sz w:val="18"/>
                <w:szCs w:val="18"/>
                <w:highlight w:val="yellow"/>
                <w:lang w:eastAsia="ja-JP"/>
              </w:rPr>
            </w:pPr>
            <w:r>
              <w:rPr>
                <w:color w:val="000000"/>
                <w:sz w:val="18"/>
                <w:szCs w:val="18"/>
                <w:highlight w:val="yellow"/>
                <w:u w:val="single"/>
                <w:lang w:eastAsia="ja-JP"/>
              </w:rPr>
              <w:t xml:space="preserve">Concluded by </w:t>
            </w:r>
            <w:r w:rsidRPr="00A6693C">
              <w:rPr>
                <w:rFonts w:hint="eastAsia"/>
                <w:color w:val="000000"/>
                <w:sz w:val="18"/>
                <w:szCs w:val="18"/>
                <w:highlight w:val="yellow"/>
                <w:u w:val="single"/>
                <w:lang w:eastAsia="ja-JP"/>
              </w:rPr>
              <w:t>WG-DEN</w:t>
            </w:r>
            <w:r w:rsidRPr="00A6693C">
              <w:rPr>
                <w:color w:val="000000"/>
                <w:sz w:val="18"/>
                <w:szCs w:val="18"/>
                <w:highlight w:val="yellow"/>
                <w:u w:val="single"/>
                <w:lang w:eastAsia="ja-JP"/>
              </w:rPr>
              <w:t>, at its third meeting,</w:t>
            </w:r>
            <w:r w:rsidRPr="00D167DE">
              <w:rPr>
                <w:rFonts w:hint="eastAsia"/>
                <w:color w:val="000000"/>
                <w:sz w:val="18"/>
                <w:szCs w:val="18"/>
                <w:highlight w:val="lightGray"/>
                <w:u w:val="single"/>
                <w:lang w:eastAsia="ja-JP"/>
              </w:rPr>
              <w:t xml:space="preserve"> </w:t>
            </w:r>
          </w:p>
          <w:p w:rsidR="00BB7312" w:rsidRPr="005E542B" w:rsidRDefault="00BB7312" w:rsidP="00BA1CCE">
            <w:pPr>
              <w:rPr>
                <w:sz w:val="18"/>
                <w:szCs w:val="18"/>
                <w:highlight w:val="yellow"/>
                <w:lang w:eastAsia="ja-JP"/>
              </w:rPr>
            </w:pPr>
          </w:p>
          <w:p w:rsidR="00BB7312" w:rsidRDefault="00BB7312" w:rsidP="00BA1CCE">
            <w:pPr>
              <w:rPr>
                <w:sz w:val="18"/>
                <w:lang w:eastAsia="ja-JP"/>
              </w:rPr>
            </w:pPr>
            <w:r w:rsidRPr="00E60C07">
              <w:rPr>
                <w:sz w:val="18"/>
                <w:highlight w:val="yellow"/>
                <w:lang w:eastAsia="ja-JP"/>
              </w:rPr>
              <w:t>at that time, there was no agreement to change the current wording of Section 2.3.3(c), but before finally concluding on that matter the WG-DEN requested members of the WG</w:t>
            </w:r>
            <w:r w:rsidR="0005220E">
              <w:rPr>
                <w:sz w:val="18"/>
                <w:highlight w:val="yellow"/>
                <w:lang w:eastAsia="ja-JP"/>
              </w:rPr>
              <w:t>-</w:t>
            </w:r>
            <w:bookmarkStart w:id="6" w:name="_GoBack"/>
            <w:bookmarkEnd w:id="6"/>
            <w:r w:rsidRPr="00E60C07">
              <w:rPr>
                <w:sz w:val="18"/>
                <w:highlight w:val="yellow"/>
                <w:lang w:eastAsia="ja-JP"/>
              </w:rPr>
              <w:t>DEN to provide examples/guidance in the implementation of the following element of Section 2.3.3(c) “In some limited cases an exception may be acceptable, for example a variety which was never commercialized, or was only commercialized in a limited way for a very short time” and the WG-DEN agreed to send a circular for that purpose.</w:t>
            </w:r>
          </w:p>
          <w:p w:rsidR="00BB7312" w:rsidRPr="005F2452" w:rsidRDefault="00BB7312" w:rsidP="00BA1CCE">
            <w:pPr>
              <w:rPr>
                <w:sz w:val="18"/>
                <w:szCs w:val="18"/>
              </w:rPr>
            </w:pPr>
          </w:p>
        </w:tc>
      </w:tr>
    </w:tbl>
    <w:p w:rsidR="00BB7312" w:rsidRDefault="00BB7312" w:rsidP="00BA1CCE"/>
    <w:p w:rsidR="00BB7312" w:rsidRDefault="00BB7312" w:rsidP="00BA1CCE"/>
    <w:p w:rsidR="00BB7312" w:rsidRPr="00407B23" w:rsidRDefault="00BB7312" w:rsidP="00BA1CCE">
      <w:pPr>
        <w:keepNext/>
      </w:pPr>
      <w:r w:rsidRPr="00407B23">
        <w:t>2.3.4</w:t>
      </w:r>
      <w:r w:rsidRPr="00407B23">
        <w:tab/>
        <w:t>Identity of the breeder</w:t>
      </w:r>
    </w:p>
    <w:p w:rsidR="00BB7312" w:rsidRPr="00407B23" w:rsidRDefault="00BB7312" w:rsidP="00BA1CCE">
      <w:pPr>
        <w:keepNext/>
      </w:pPr>
    </w:p>
    <w:p w:rsidR="00BB7312" w:rsidRPr="00407B23" w:rsidRDefault="00BB7312" w:rsidP="00BA1CCE">
      <w:pPr>
        <w:keepNext/>
      </w:pPr>
      <w:r w:rsidRPr="00407B23">
        <w:t>The variety denomination should not mislead or cause confusion concerning the identity of the breeder.</w:t>
      </w:r>
    </w:p>
    <w:p w:rsidR="00BB7312" w:rsidRDefault="00BB7312" w:rsidP="00BA1CCE">
      <w:pPr>
        <w:keepNex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47703B" w:rsidRDefault="00BB7312" w:rsidP="00BA1CCE">
            <w:pPr>
              <w:rPr>
                <w:sz w:val="18"/>
                <w:szCs w:val="18"/>
              </w:rPr>
            </w:pPr>
            <w:r w:rsidRPr="0047703B">
              <w:rPr>
                <w:sz w:val="18"/>
                <w:szCs w:val="18"/>
                <w:u w:val="single"/>
              </w:rPr>
              <w:t>Proposal by New Zealand</w:t>
            </w:r>
            <w:r w:rsidR="00DF496A" w:rsidRPr="00DF496A">
              <w:rPr>
                <w:sz w:val="18"/>
                <w:szCs w:val="18"/>
                <w:vertAlign w:val="superscript"/>
              </w:rPr>
              <w:t>c</w:t>
            </w:r>
          </w:p>
          <w:p w:rsidR="00BB7312" w:rsidRPr="0047703B" w:rsidRDefault="00BB7312" w:rsidP="00BA1CCE">
            <w:pPr>
              <w:rPr>
                <w:sz w:val="18"/>
                <w:szCs w:val="18"/>
              </w:rPr>
            </w:pPr>
          </w:p>
          <w:p w:rsidR="00BB7312" w:rsidRDefault="00BB7312" w:rsidP="00BA1CCE">
            <w:pPr>
              <w:rPr>
                <w:sz w:val="18"/>
                <w:szCs w:val="18"/>
              </w:rPr>
            </w:pPr>
            <w:r>
              <w:rPr>
                <w:sz w:val="18"/>
                <w:szCs w:val="18"/>
              </w:rPr>
              <w:t>Section 2.3.4 examples:  the identity of the breeder is often shown using prefixes of various kinds Apple ‘Scired’, Apple ‘Scifresh’, Rose ‘Macrexy’, Rose ‘Macgenev’.</w:t>
            </w:r>
          </w:p>
          <w:p w:rsidR="00BB7312" w:rsidRPr="0047703B" w:rsidRDefault="00BB7312" w:rsidP="00BA1CCE">
            <w:pPr>
              <w:rPr>
                <w:sz w:val="18"/>
                <w:szCs w:val="18"/>
              </w:rPr>
            </w:pPr>
          </w:p>
        </w:tc>
      </w:tr>
    </w:tbl>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Default="00BB7312" w:rsidP="00BA1CCE">
            <w:pPr>
              <w:rPr>
                <w:sz w:val="18"/>
                <w:szCs w:val="18"/>
                <w:lang w:eastAsia="ja-JP"/>
              </w:rPr>
            </w:pPr>
          </w:p>
          <w:p w:rsidR="00BB7312" w:rsidRPr="00C04C22" w:rsidRDefault="00BB7312" w:rsidP="00BA1CCE">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members of the WG</w:t>
            </w:r>
            <w:r w:rsidRPr="00C04C22">
              <w:rPr>
                <w:rFonts w:hint="eastAsia"/>
                <w:sz w:val="18"/>
                <w:szCs w:val="18"/>
                <w:lang w:eastAsia="ja-JP"/>
              </w:rPr>
              <w:t>-</w:t>
            </w:r>
            <w:r w:rsidRPr="00C04C22">
              <w:rPr>
                <w:sz w:val="18"/>
                <w:szCs w:val="18"/>
                <w:lang w:eastAsia="ja-JP"/>
              </w:rPr>
              <w:t>DEN to provide examples and information on the use of prefixes to identify the breeder and issues that could arise</w:t>
            </w:r>
            <w:r w:rsidRPr="00C04C22">
              <w:rPr>
                <w:rFonts w:hint="eastAsia"/>
                <w:sz w:val="18"/>
                <w:szCs w:val="18"/>
                <w:lang w:eastAsia="ja-JP"/>
              </w:rPr>
              <w:t>, and received proposals as follows:</w:t>
            </w:r>
          </w:p>
          <w:p w:rsidR="00BB7312" w:rsidRPr="00C04C22" w:rsidRDefault="00BB7312" w:rsidP="00BA1CCE">
            <w:pPr>
              <w:spacing w:line="360" w:lineRule="auto"/>
              <w:rPr>
                <w:sz w:val="18"/>
                <w:szCs w:val="18"/>
                <w:lang w:eastAsia="ja-JP"/>
              </w:rPr>
            </w:pPr>
          </w:p>
          <w:p w:rsidR="00BB7312" w:rsidRPr="00C04C22" w:rsidRDefault="00BB7312" w:rsidP="00BA1CCE">
            <w:pPr>
              <w:rPr>
                <w:sz w:val="18"/>
                <w:szCs w:val="18"/>
                <w:lang w:eastAsia="ja-JP"/>
              </w:rPr>
            </w:pPr>
            <w:r w:rsidRPr="00C04C22">
              <w:rPr>
                <w:sz w:val="18"/>
                <w:szCs w:val="18"/>
                <w:u w:val="single"/>
              </w:rPr>
              <w:t>Proposal by France</w:t>
            </w:r>
          </w:p>
          <w:p w:rsidR="00BB7312" w:rsidRPr="00C04C22" w:rsidRDefault="00BB7312" w:rsidP="00BA1CCE">
            <w:pPr>
              <w:rPr>
                <w:sz w:val="18"/>
                <w:szCs w:val="18"/>
              </w:rPr>
            </w:pPr>
          </w:p>
          <w:p w:rsidR="00BB7312" w:rsidRPr="00C04C22" w:rsidRDefault="00BB7312" w:rsidP="00BA1CCE">
            <w:pPr>
              <w:rPr>
                <w:sz w:val="18"/>
                <w:szCs w:val="18"/>
              </w:rPr>
            </w:pPr>
            <w:r w:rsidRPr="00C04C22">
              <w:rPr>
                <w:sz w:val="18"/>
                <w:szCs w:val="18"/>
              </w:rPr>
              <w:t>France considers breeder as defined by the Art 1 of the UPOV Convention.  Furthermore, as licensees may be different depending on the geographical areas concerned and may change depending on commercial strategy of companies and timeframe, we strongly support the necessity to stick to the following principle: a breeder’s identifier in a denomination should only refer to the original breeder or breeding company.  The use of breeder’s identifier in a denomination is not compulsory, but when used, it should not be misleading regarding identity of the breeder sensus stricto.  Example: ‘ABC’ is the prefix commonly used by breeding company A, while ‘DEF’ is the one used by the breeding company D.   For a said crop, A company gives some licenses to D company; for the consistency of D portfolio, A company propose ‘DEF Mano’ for one of the varieties bred by ABC and licensed to D company.  From our point of view, this proposal is not acceptable because cause confusion regarding breeder’s identity.</w:t>
            </w:r>
          </w:p>
          <w:p w:rsidR="00BB7312" w:rsidRPr="00C04C22" w:rsidRDefault="00BB7312" w:rsidP="00BA1CCE">
            <w:pPr>
              <w:spacing w:line="360" w:lineRule="auto"/>
              <w:rPr>
                <w:sz w:val="18"/>
                <w:szCs w:val="18"/>
                <w:lang w:eastAsia="ja-JP"/>
              </w:rPr>
            </w:pPr>
          </w:p>
          <w:p w:rsidR="00BB7312" w:rsidRPr="00C04C22" w:rsidRDefault="00BB7312" w:rsidP="00BA1CCE">
            <w:pPr>
              <w:rPr>
                <w:sz w:val="18"/>
                <w:szCs w:val="18"/>
                <w:u w:val="single"/>
                <w:lang w:eastAsia="ja-JP"/>
              </w:rPr>
            </w:pPr>
            <w:r w:rsidRPr="00C04C22">
              <w:rPr>
                <w:sz w:val="18"/>
                <w:szCs w:val="18"/>
                <w:u w:val="single"/>
              </w:rPr>
              <w:t>Proposal by the Netherlands</w:t>
            </w:r>
          </w:p>
          <w:p w:rsidR="00BB7312" w:rsidRPr="00C04C22" w:rsidRDefault="00BB7312" w:rsidP="00BA1CCE">
            <w:pPr>
              <w:rPr>
                <w:sz w:val="18"/>
                <w:szCs w:val="18"/>
              </w:rPr>
            </w:pPr>
          </w:p>
          <w:p w:rsidR="00BB7312" w:rsidRPr="00C04C22" w:rsidRDefault="00BB7312" w:rsidP="00BA1CCE">
            <w:pPr>
              <w:rPr>
                <w:sz w:val="18"/>
                <w:szCs w:val="18"/>
              </w:rPr>
            </w:pPr>
            <w:r w:rsidRPr="00C04C22">
              <w:rPr>
                <w:sz w:val="18"/>
                <w:szCs w:val="18"/>
              </w:rPr>
              <w:t>The German Rose breeder Kordes has ‘KOR’ as the prefix for their varieties; e.g. ‘Korbin’, ‘Korgazell’ &amp; ‘Korkuma’.  It would be misleading if other Rose breeders would use the same prefix.</w:t>
            </w:r>
          </w:p>
          <w:p w:rsidR="00BB7312" w:rsidRPr="00C04C22" w:rsidRDefault="00BB7312" w:rsidP="00BA1CCE">
            <w:pPr>
              <w:spacing w:line="360" w:lineRule="auto"/>
              <w:rPr>
                <w:sz w:val="18"/>
                <w:szCs w:val="18"/>
                <w:lang w:eastAsia="ja-JP"/>
              </w:rPr>
            </w:pPr>
          </w:p>
          <w:p w:rsidR="00BB7312" w:rsidRPr="00C04C22" w:rsidRDefault="00BB7312" w:rsidP="00BA1CCE">
            <w:pPr>
              <w:rPr>
                <w:sz w:val="18"/>
                <w:szCs w:val="18"/>
                <w:u w:val="single"/>
                <w:lang w:eastAsia="ja-JP"/>
              </w:rPr>
            </w:pPr>
            <w:r w:rsidRPr="00C04C22">
              <w:rPr>
                <w:sz w:val="18"/>
                <w:szCs w:val="18"/>
                <w:u w:val="single"/>
              </w:rPr>
              <w:t>Proposal by New Zealand</w:t>
            </w:r>
          </w:p>
          <w:p w:rsidR="00BB7312" w:rsidRPr="00C04C22" w:rsidRDefault="00BB7312" w:rsidP="00BA1CCE">
            <w:pPr>
              <w:rPr>
                <w:sz w:val="18"/>
                <w:szCs w:val="18"/>
              </w:rPr>
            </w:pPr>
          </w:p>
          <w:p w:rsidR="00BB7312" w:rsidRPr="00C04C22" w:rsidRDefault="00BB7312" w:rsidP="00BA1CCE">
            <w:pPr>
              <w:ind w:left="1701" w:hanging="1701"/>
              <w:rPr>
                <w:sz w:val="18"/>
                <w:szCs w:val="18"/>
              </w:rPr>
            </w:pPr>
            <w:r w:rsidRPr="00C04C22">
              <w:rPr>
                <w:i/>
                <w:sz w:val="18"/>
                <w:szCs w:val="18"/>
              </w:rPr>
              <w:t>Eucomis</w:t>
            </w:r>
            <w:r w:rsidRPr="00C04C22">
              <w:rPr>
                <w:sz w:val="18"/>
                <w:szCs w:val="18"/>
              </w:rPr>
              <w:t xml:space="preserve">  ‘Eudun1’</w:t>
            </w:r>
            <w:r w:rsidRPr="00C04C22">
              <w:rPr>
                <w:sz w:val="18"/>
                <w:szCs w:val="18"/>
              </w:rPr>
              <w:tab/>
              <w:t>The breeder of this variety is the first to use the prefix ‘Eu’, indicating the genus of the variety.  Does this also indicate the breeder?</w:t>
            </w:r>
          </w:p>
          <w:p w:rsidR="00BB7312" w:rsidRPr="00C04C22" w:rsidRDefault="00BB7312" w:rsidP="00BA1CCE">
            <w:pPr>
              <w:rPr>
                <w:sz w:val="18"/>
                <w:szCs w:val="18"/>
              </w:rPr>
            </w:pPr>
          </w:p>
          <w:p w:rsidR="00BB7312" w:rsidRPr="00C04C22" w:rsidRDefault="00BB7312" w:rsidP="00BA1CCE">
            <w:pPr>
              <w:rPr>
                <w:sz w:val="18"/>
                <w:szCs w:val="18"/>
              </w:rPr>
            </w:pPr>
            <w:r w:rsidRPr="00C04C22">
              <w:rPr>
                <w:sz w:val="18"/>
                <w:szCs w:val="18"/>
              </w:rPr>
              <w:t xml:space="preserve">Other examples  </w:t>
            </w:r>
            <w:r w:rsidRPr="00C04C22">
              <w:rPr>
                <w:i/>
                <w:sz w:val="18"/>
                <w:szCs w:val="18"/>
              </w:rPr>
              <w:t>Agapanthus</w:t>
            </w:r>
            <w:r w:rsidRPr="00C04C22">
              <w:rPr>
                <w:sz w:val="18"/>
                <w:szCs w:val="18"/>
              </w:rPr>
              <w:t xml:space="preserve"> ‘Agapetite’,  </w:t>
            </w:r>
            <w:r w:rsidRPr="00C04C22">
              <w:rPr>
                <w:i/>
                <w:sz w:val="18"/>
                <w:szCs w:val="18"/>
              </w:rPr>
              <w:t>Carex</w:t>
            </w:r>
            <w:r w:rsidRPr="00C04C22">
              <w:rPr>
                <w:sz w:val="18"/>
                <w:szCs w:val="18"/>
              </w:rPr>
              <w:t xml:space="preserve"> ‘Carfit01’, </w:t>
            </w:r>
            <w:r w:rsidRPr="00C04C22">
              <w:rPr>
                <w:i/>
                <w:sz w:val="18"/>
                <w:szCs w:val="18"/>
              </w:rPr>
              <w:t>Westringia</w:t>
            </w:r>
            <w:r w:rsidRPr="00C04C22">
              <w:rPr>
                <w:sz w:val="18"/>
                <w:szCs w:val="18"/>
              </w:rPr>
              <w:t xml:space="preserve"> ‘WES08’ </w:t>
            </w:r>
          </w:p>
          <w:p w:rsidR="00BB7312" w:rsidRPr="00C04C22" w:rsidRDefault="00BB7312" w:rsidP="00BA1CCE">
            <w:pPr>
              <w:rPr>
                <w:sz w:val="18"/>
                <w:szCs w:val="18"/>
              </w:rPr>
            </w:pPr>
          </w:p>
          <w:p w:rsidR="00BB7312" w:rsidRDefault="00BB7312" w:rsidP="00BA1CCE">
            <w:pPr>
              <w:rPr>
                <w:sz w:val="18"/>
                <w:szCs w:val="18"/>
                <w:lang w:eastAsia="ja-JP"/>
              </w:rPr>
            </w:pPr>
            <w:r w:rsidRPr="00C04C22">
              <w:rPr>
                <w:sz w:val="18"/>
                <w:szCs w:val="18"/>
              </w:rPr>
              <w:t>If a breeder is the first to use a genus prefix to identify their varieties, could this prevent other breeders of that genus from using the genus prefix?</w:t>
            </w:r>
          </w:p>
          <w:p w:rsidR="00BB7312" w:rsidRPr="0047703B" w:rsidRDefault="00BB7312" w:rsidP="00BA1CCE">
            <w:pPr>
              <w:rPr>
                <w:sz w:val="18"/>
                <w:szCs w:val="18"/>
                <w:lang w:eastAsia="ja-JP"/>
              </w:rPr>
            </w:pPr>
          </w:p>
        </w:tc>
      </w:tr>
    </w:tbl>
    <w:p w:rsidR="00BB7312" w:rsidRDefault="00BB7312" w:rsidP="00BA1CCE">
      <w:pPr>
        <w:spacing w:line="360" w:lineRule="auto"/>
        <w:rPr>
          <w:sz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Default="00BB7312" w:rsidP="00BA1CCE">
            <w:pPr>
              <w:rPr>
                <w:sz w:val="18"/>
                <w:szCs w:val="18"/>
                <w:highlight w:val="yellow"/>
                <w:lang w:eastAsia="ja-JP"/>
              </w:rPr>
            </w:pPr>
            <w:r w:rsidRPr="00A6693C">
              <w:rPr>
                <w:rFonts w:hint="eastAsia"/>
                <w:color w:val="000000"/>
                <w:sz w:val="18"/>
                <w:szCs w:val="18"/>
                <w:highlight w:val="yellow"/>
                <w:u w:val="single"/>
                <w:lang w:eastAsia="ja-JP"/>
              </w:rPr>
              <w:t>T</w:t>
            </w:r>
            <w:r w:rsidRPr="00A6693C">
              <w:rPr>
                <w:color w:val="000000"/>
                <w:sz w:val="18"/>
                <w:szCs w:val="18"/>
                <w:highlight w:val="yellow"/>
                <w:u w:val="single"/>
              </w:rPr>
              <w:t xml:space="preserve">he </w:t>
            </w:r>
            <w:r w:rsidRPr="00A6693C">
              <w:rPr>
                <w:rFonts w:hint="eastAsia"/>
                <w:color w:val="000000"/>
                <w:sz w:val="18"/>
                <w:szCs w:val="18"/>
                <w:highlight w:val="yellow"/>
                <w:u w:val="single"/>
                <w:lang w:eastAsia="ja-JP"/>
              </w:rPr>
              <w:t>WG-DEN</w:t>
            </w:r>
            <w:r w:rsidRPr="00A6693C">
              <w:rPr>
                <w:color w:val="000000"/>
                <w:sz w:val="18"/>
                <w:szCs w:val="18"/>
                <w:highlight w:val="yellow"/>
                <w:u w:val="single"/>
                <w:lang w:eastAsia="ja-JP"/>
              </w:rPr>
              <w:t>, at its third meeting,</w:t>
            </w:r>
            <w:r>
              <w:rPr>
                <w:color w:val="000000"/>
                <w:sz w:val="18"/>
                <w:szCs w:val="18"/>
                <w:highlight w:val="yellow"/>
                <w:u w:val="single"/>
                <w:lang w:eastAsia="ja-JP"/>
              </w:rPr>
              <w:t xml:space="preserve"> agreed</w:t>
            </w:r>
            <w:r w:rsidRPr="00D167DE">
              <w:rPr>
                <w:rFonts w:hint="eastAsia"/>
                <w:color w:val="000000"/>
                <w:sz w:val="18"/>
                <w:szCs w:val="18"/>
                <w:highlight w:val="lightGray"/>
                <w:u w:val="single"/>
                <w:lang w:eastAsia="ja-JP"/>
              </w:rPr>
              <w:t xml:space="preserve"> </w:t>
            </w:r>
          </w:p>
          <w:p w:rsidR="00BB7312" w:rsidRPr="005E542B" w:rsidRDefault="00BB7312" w:rsidP="00BA1CCE">
            <w:pPr>
              <w:rPr>
                <w:sz w:val="18"/>
                <w:szCs w:val="18"/>
                <w:highlight w:val="yellow"/>
                <w:lang w:eastAsia="ja-JP"/>
              </w:rPr>
            </w:pPr>
          </w:p>
          <w:p w:rsidR="00BB7312" w:rsidRDefault="00BB7312" w:rsidP="00BA1CCE">
            <w:pPr>
              <w:rPr>
                <w:sz w:val="18"/>
                <w:lang w:eastAsia="ja-JP"/>
              </w:rPr>
            </w:pPr>
            <w:r>
              <w:rPr>
                <w:sz w:val="18"/>
                <w:highlight w:val="yellow"/>
                <w:lang w:eastAsia="ja-JP"/>
              </w:rPr>
              <w:t>T</w:t>
            </w:r>
            <w:r w:rsidRPr="00731865">
              <w:rPr>
                <w:sz w:val="18"/>
                <w:highlight w:val="yellow"/>
                <w:lang w:eastAsia="ja-JP"/>
              </w:rPr>
              <w:t>o reflect further on whether PVP Offices should seek to have a role in recognizing breeders practices in naming varieties (e.g. prefixes, themes) or whether that should be left to other mechanisms (e.g. trademarks). It was agreed that the Office of the Union should send a circular inviting comments on that matter. It was also agreed that the Office of the Union should investigate the background that led to the adoption in the Convention of the principle in Section 2.3.4 “Identity of the breeder” at the 1961 Diplomatic Conference.</w:t>
            </w:r>
          </w:p>
          <w:p w:rsidR="00BB7312" w:rsidRPr="005F2452" w:rsidRDefault="00BB7312" w:rsidP="00BA1CCE">
            <w:pPr>
              <w:rPr>
                <w:sz w:val="18"/>
                <w:szCs w:val="18"/>
              </w:rPr>
            </w:pPr>
          </w:p>
        </w:tc>
      </w:tr>
    </w:tbl>
    <w:p w:rsidR="00BB7312" w:rsidRPr="00395671" w:rsidRDefault="00BB7312" w:rsidP="00BA1CCE">
      <w:pPr>
        <w:spacing w:line="360" w:lineRule="auto"/>
        <w:rPr>
          <w:sz w:val="18"/>
        </w:rPr>
      </w:pPr>
    </w:p>
    <w:p w:rsidR="00BB7312" w:rsidRPr="00407B23" w:rsidRDefault="00BB7312" w:rsidP="00BA1CCE">
      <w:pPr>
        <w:keepNext/>
        <w:ind w:left="567" w:hanging="567"/>
        <w:rPr>
          <w:i/>
        </w:rPr>
      </w:pPr>
      <w:r w:rsidRPr="00407B23">
        <w:rPr>
          <w:i/>
        </w:rPr>
        <w:t>2.4.</w:t>
      </w:r>
      <w:r w:rsidRPr="00407B23">
        <w:rPr>
          <w:i/>
        </w:rPr>
        <w:tab/>
        <w:t>Different from an existing variety of the same plant species or of a closely related species</w:t>
      </w:r>
    </w:p>
    <w:p w:rsidR="00BB7312" w:rsidRPr="00407B23" w:rsidRDefault="00BB7312" w:rsidP="00BA1CCE">
      <w:pPr>
        <w:keepNext/>
      </w:pPr>
    </w:p>
    <w:p w:rsidR="00BB7312" w:rsidRPr="00407B23" w:rsidRDefault="00BB7312" w:rsidP="00BA1CCE">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4"/>
      </w:r>
      <w:r w:rsidRPr="00407B23">
        <w:t xml:space="preserve">. </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D7C20" w:rsidRDefault="00BB7312" w:rsidP="00BA1CCE">
            <w:pPr>
              <w:rPr>
                <w:sz w:val="18"/>
                <w:szCs w:val="18"/>
              </w:rPr>
            </w:pPr>
          </w:p>
          <w:p w:rsidR="00BB7312" w:rsidRPr="005D7C20" w:rsidRDefault="00BB7312" w:rsidP="00BA1CCE">
            <w:pPr>
              <w:rPr>
                <w:sz w:val="18"/>
                <w:szCs w:val="18"/>
                <w:u w:val="single"/>
              </w:rPr>
            </w:pPr>
            <w:r w:rsidRPr="005D7C20">
              <w:rPr>
                <w:sz w:val="18"/>
                <w:szCs w:val="18"/>
                <w:u w:val="single"/>
              </w:rPr>
              <w:t>Proposal by ESA/ISF</w:t>
            </w:r>
            <w:r>
              <w:rPr>
                <w:sz w:val="18"/>
                <w:szCs w:val="18"/>
                <w:vertAlign w:val="superscript"/>
              </w:rPr>
              <w:t>k</w:t>
            </w:r>
          </w:p>
          <w:p w:rsidR="00BB7312" w:rsidRPr="005D7C20" w:rsidRDefault="00BB7312" w:rsidP="00BA1CCE">
            <w:pPr>
              <w:rPr>
                <w:sz w:val="18"/>
                <w:szCs w:val="18"/>
              </w:rPr>
            </w:pPr>
          </w:p>
          <w:p w:rsidR="00BB7312" w:rsidRDefault="00BB7312" w:rsidP="00BA1CCE">
            <w:pPr>
              <w:rPr>
                <w:sz w:val="18"/>
                <w:szCs w:val="18"/>
              </w:rPr>
            </w:pPr>
            <w:r>
              <w:rPr>
                <w:sz w:val="18"/>
                <w:szCs w:val="18"/>
              </w:rPr>
              <w:t>Section 2.4 is intended to provide guidance on what it means that the denomination has to be different from any other denomination designating an existing variety of the same plant species or of a closely related species.  We propose to also specify here that this does not only refer to denominations used for protected varieties but also denominations registered under national variety registration laws.</w:t>
            </w:r>
          </w:p>
          <w:p w:rsidR="00BB7312" w:rsidRPr="005D7C20" w:rsidRDefault="00BB7312" w:rsidP="00BA1CCE">
            <w:pPr>
              <w:rPr>
                <w:sz w:val="18"/>
                <w:szCs w:val="18"/>
              </w:rPr>
            </w:pPr>
          </w:p>
        </w:tc>
      </w:tr>
    </w:tbl>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D7C20" w:rsidRDefault="00BB7312" w:rsidP="00BA1CCE">
            <w:pPr>
              <w:rPr>
                <w:sz w:val="18"/>
                <w:szCs w:val="18"/>
              </w:rPr>
            </w:pPr>
          </w:p>
          <w:p w:rsidR="00BB7312" w:rsidRPr="00C04C22" w:rsidRDefault="00BB7312" w:rsidP="00BA1CCE">
            <w:pPr>
              <w:rPr>
                <w:sz w:val="18"/>
                <w:szCs w:val="18"/>
                <w:u w:val="single"/>
              </w:rPr>
            </w:pPr>
            <w:r w:rsidRPr="00C04C22">
              <w:rPr>
                <w:sz w:val="18"/>
                <w:szCs w:val="18"/>
                <w:u w:val="single"/>
              </w:rPr>
              <w:t>Agreed by the WG-DEN</w:t>
            </w:r>
            <w:r w:rsidR="00FC3A91" w:rsidRPr="00FC3A91">
              <w:rPr>
                <w:sz w:val="18"/>
                <w:szCs w:val="18"/>
                <w:vertAlign w:val="superscript"/>
              </w:rPr>
              <w:t>l</w:t>
            </w:r>
          </w:p>
          <w:p w:rsidR="00BB7312" w:rsidRPr="00C04C22" w:rsidRDefault="00BB7312" w:rsidP="00BA1CCE">
            <w:pPr>
              <w:rPr>
                <w:sz w:val="18"/>
                <w:szCs w:val="18"/>
              </w:rPr>
            </w:pPr>
          </w:p>
          <w:p w:rsidR="00BB7312" w:rsidRDefault="00BB7312" w:rsidP="00BA1CCE">
            <w:pPr>
              <w:rPr>
                <w:sz w:val="18"/>
                <w:szCs w:val="18"/>
              </w:rPr>
            </w:pPr>
            <w:r w:rsidRPr="00C04C22">
              <w:rPr>
                <w:sz w:val="18"/>
                <w:szCs w:val="18"/>
              </w:rPr>
              <w:t>The term “variety” related to the definition of variety as defined in Article 1 (vi) of the 1991 Act of the UPOV Convention.</w:t>
            </w:r>
          </w:p>
          <w:p w:rsidR="00BB7312" w:rsidRPr="005D7C20" w:rsidRDefault="00BB7312" w:rsidP="00BA1CCE">
            <w:pPr>
              <w:rPr>
                <w:sz w:val="18"/>
                <w:szCs w:val="18"/>
              </w:rPr>
            </w:pPr>
          </w:p>
        </w:tc>
      </w:tr>
    </w:tbl>
    <w:p w:rsidR="00BB7312" w:rsidRDefault="00BB7312" w:rsidP="00BA1CCE">
      <w:pPr>
        <w:spacing w:before="240"/>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Default="00BB7312" w:rsidP="00BA1CCE">
            <w:pPr>
              <w:rPr>
                <w:sz w:val="18"/>
                <w:szCs w:val="18"/>
                <w:highlight w:val="yellow"/>
                <w:lang w:eastAsia="ja-JP"/>
              </w:rPr>
            </w:pPr>
            <w:r>
              <w:rPr>
                <w:color w:val="000000"/>
                <w:sz w:val="18"/>
                <w:szCs w:val="18"/>
                <w:highlight w:val="yellow"/>
                <w:u w:val="single"/>
                <w:lang w:eastAsia="ja-JP"/>
              </w:rPr>
              <w:t>Agreed by t</w:t>
            </w:r>
            <w:r w:rsidRPr="00A6693C">
              <w:rPr>
                <w:color w:val="000000"/>
                <w:sz w:val="18"/>
                <w:szCs w:val="18"/>
                <w:highlight w:val="yellow"/>
                <w:u w:val="single"/>
              </w:rPr>
              <w:t xml:space="preserve">he </w:t>
            </w:r>
            <w:r w:rsidRPr="00A6693C">
              <w:rPr>
                <w:rFonts w:hint="eastAsia"/>
                <w:color w:val="000000"/>
                <w:sz w:val="18"/>
                <w:szCs w:val="18"/>
                <w:highlight w:val="yellow"/>
                <w:u w:val="single"/>
                <w:lang w:eastAsia="ja-JP"/>
              </w:rPr>
              <w:t>WG-DEN</w:t>
            </w:r>
            <w:r w:rsidRPr="00A6693C">
              <w:rPr>
                <w:color w:val="000000"/>
                <w:sz w:val="18"/>
                <w:szCs w:val="18"/>
                <w:highlight w:val="yellow"/>
                <w:u w:val="single"/>
                <w:lang w:eastAsia="ja-JP"/>
              </w:rPr>
              <w:t>, at its third meeting</w:t>
            </w:r>
            <w:r w:rsidRPr="00D167DE">
              <w:rPr>
                <w:rFonts w:hint="eastAsia"/>
                <w:color w:val="000000"/>
                <w:sz w:val="18"/>
                <w:szCs w:val="18"/>
                <w:highlight w:val="lightGray"/>
                <w:u w:val="single"/>
                <w:lang w:eastAsia="ja-JP"/>
              </w:rPr>
              <w:t xml:space="preserve"> </w:t>
            </w:r>
          </w:p>
          <w:p w:rsidR="00BB7312" w:rsidRPr="005E542B" w:rsidRDefault="00BB7312" w:rsidP="00BA1CCE">
            <w:pPr>
              <w:rPr>
                <w:sz w:val="18"/>
                <w:szCs w:val="18"/>
                <w:highlight w:val="yellow"/>
                <w:lang w:eastAsia="ja-JP"/>
              </w:rPr>
            </w:pPr>
          </w:p>
          <w:p w:rsidR="00BB7312" w:rsidRDefault="00BB7312" w:rsidP="00BA1CCE">
            <w:pPr>
              <w:rPr>
                <w:sz w:val="18"/>
                <w:lang w:eastAsia="ja-JP"/>
              </w:rPr>
            </w:pPr>
            <w:r>
              <w:rPr>
                <w:sz w:val="18"/>
                <w:highlight w:val="yellow"/>
                <w:lang w:eastAsia="ja-JP"/>
              </w:rPr>
              <w:t>T</w:t>
            </w:r>
            <w:r w:rsidRPr="00497148">
              <w:rPr>
                <w:sz w:val="18"/>
                <w:highlight w:val="yellow"/>
                <w:lang w:eastAsia="ja-JP"/>
              </w:rPr>
              <w:t>he term “variety” related to the definition of variety as defined in Article 1(vi) of the 1991 Act of the UPOV Convention and, in particular the term “variety” was wider than protectable variety. The WG-DEN noted that the role of PLUTO in that matter would be considered under a separate agenda item.</w:t>
            </w:r>
          </w:p>
          <w:p w:rsidR="00BB7312" w:rsidRPr="005F2452" w:rsidRDefault="00BB7312" w:rsidP="00BA1CCE">
            <w:pPr>
              <w:rPr>
                <w:sz w:val="18"/>
                <w:szCs w:val="18"/>
              </w:rPr>
            </w:pPr>
          </w:p>
        </w:tc>
      </w:tr>
    </w:tbl>
    <w:p w:rsidR="00BB7312" w:rsidRDefault="00BB7312" w:rsidP="00BA1CCE">
      <w:pPr>
        <w:spacing w:before="240"/>
      </w:pPr>
    </w:p>
    <w:p w:rsidR="00BB7312" w:rsidRPr="00407B23" w:rsidRDefault="00BB7312" w:rsidP="00BA1CCE">
      <w:pPr>
        <w:spacing w:before="240"/>
      </w:pPr>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2.3.3(c)), the denomination of an old variety could, in principle, be registered for a new variety.</w:t>
      </w:r>
    </w:p>
    <w:p w:rsidR="00BB7312" w:rsidRPr="00407B23" w:rsidRDefault="00BB7312" w:rsidP="00BA1CCE">
      <w:pPr>
        <w:spacing w:line="360" w:lineRule="auto"/>
      </w:pPr>
    </w:p>
    <w:p w:rsidR="00BB7312" w:rsidRPr="00407B23" w:rsidRDefault="00BB7312" w:rsidP="00BA1CCE">
      <w:pPr>
        <w:keepNext/>
        <w:spacing w:line="240" w:lineRule="atLeast"/>
        <w:ind w:left="567" w:hanging="567"/>
        <w:rPr>
          <w:i/>
        </w:rPr>
      </w:pPr>
      <w:r w:rsidRPr="00407B23">
        <w:rPr>
          <w:i/>
        </w:rPr>
        <w:t>2.5.</w:t>
      </w:r>
      <w:r w:rsidRPr="00407B23">
        <w:rPr>
          <w:i/>
        </w:rPr>
        <w:tab/>
        <w:t>Variety denomination classes:  a variety denomination should not be used more than once in the same class</w:t>
      </w:r>
    </w:p>
    <w:p w:rsidR="00BB7312" w:rsidRDefault="00BB7312" w:rsidP="00BA1CCE">
      <w:pPr>
        <w:keepNex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Pr="005F2452" w:rsidRDefault="00BB7312" w:rsidP="00BA1CCE">
            <w:pPr>
              <w:rPr>
                <w:color w:val="000000"/>
                <w:sz w:val="18"/>
                <w:szCs w:val="18"/>
                <w:u w:val="single"/>
              </w:rPr>
            </w:pPr>
            <w:r w:rsidRPr="005F2452">
              <w:rPr>
                <w:color w:val="000000"/>
                <w:sz w:val="18"/>
                <w:szCs w:val="18"/>
                <w:u w:val="single"/>
              </w:rPr>
              <w:t xml:space="preserve">Proposal by </w:t>
            </w:r>
            <w:r>
              <w:rPr>
                <w:color w:val="000000"/>
                <w:sz w:val="18"/>
                <w:szCs w:val="18"/>
                <w:u w:val="single"/>
              </w:rPr>
              <w:t xml:space="preserve">the </w:t>
            </w:r>
            <w:r w:rsidRPr="005F2452">
              <w:rPr>
                <w:color w:val="000000"/>
                <w:sz w:val="18"/>
                <w:szCs w:val="18"/>
                <w:u w:val="single"/>
              </w:rPr>
              <w:t>European Union (CPVO)</w:t>
            </w:r>
            <w:r w:rsidR="00DF496A" w:rsidRPr="00DF496A">
              <w:rPr>
                <w:sz w:val="18"/>
                <w:szCs w:val="18"/>
                <w:vertAlign w:val="superscript"/>
              </w:rPr>
              <w:t>a</w:t>
            </w:r>
          </w:p>
          <w:p w:rsidR="00BB7312" w:rsidRPr="005F2452" w:rsidRDefault="00BB7312" w:rsidP="00BA1CCE">
            <w:pPr>
              <w:rPr>
                <w:color w:val="000000"/>
                <w:sz w:val="18"/>
                <w:szCs w:val="18"/>
                <w:u w:val="single"/>
              </w:rPr>
            </w:pPr>
          </w:p>
          <w:p w:rsidR="00BB7312" w:rsidRPr="005F2452" w:rsidRDefault="00BB7312" w:rsidP="00BA1CCE">
            <w:pPr>
              <w:rPr>
                <w:sz w:val="18"/>
                <w:szCs w:val="18"/>
              </w:rPr>
            </w:pPr>
            <w:r>
              <w:rPr>
                <w:sz w:val="18"/>
                <w:szCs w:val="18"/>
              </w:rPr>
              <w:t>To make clear in S</w:t>
            </w:r>
            <w:r w:rsidRPr="005F2452">
              <w:rPr>
                <w:sz w:val="18"/>
                <w:szCs w:val="18"/>
              </w:rPr>
              <w:t xml:space="preserve">ection 2.5 dealing with variety denomination classes, in cases of UPOV classes containing more than one genus, that the situation where the genera are different is taken into account with a more lenient approach in respect of the similarity between VDs used for varieties belonging to different genera. </w:t>
            </w:r>
            <w:r>
              <w:rPr>
                <w:sz w:val="18"/>
                <w:szCs w:val="18"/>
              </w:rPr>
              <w:t xml:space="preserve"> </w:t>
            </w:r>
            <w:r w:rsidRPr="005F2452">
              <w:rPr>
                <w:sz w:val="18"/>
                <w:szCs w:val="18"/>
              </w:rPr>
              <w:t>This could also apply, in certain cases, to different species within a genus.</w:t>
            </w:r>
          </w:p>
          <w:p w:rsidR="00BB7312" w:rsidRPr="005F2452" w:rsidRDefault="00BB7312" w:rsidP="00BA1CCE">
            <w:pPr>
              <w:rPr>
                <w:sz w:val="18"/>
                <w:szCs w:val="18"/>
              </w:rPr>
            </w:pPr>
          </w:p>
        </w:tc>
      </w:tr>
    </w:tbl>
    <w:p w:rsidR="00BB7312" w:rsidRDefault="00BB7312" w:rsidP="00BA1CCE">
      <w:pPr>
        <w:rPr>
          <w:lang w:eastAsia="ja-JP"/>
        </w:rPr>
      </w:pPr>
    </w:p>
    <w:p w:rsidR="00BB7312" w:rsidRPr="00407B23" w:rsidRDefault="00BB7312" w:rsidP="00BA1CCE">
      <w:pPr>
        <w:spacing w:line="240" w:lineRule="atLeast"/>
      </w:pPr>
      <w:r w:rsidRPr="00407B23">
        <w:t>2.5.1</w:t>
      </w:r>
      <w:r w:rsidRPr="00407B23">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47703B" w:rsidRDefault="00BB7312" w:rsidP="00BA1CCE">
            <w:pPr>
              <w:rPr>
                <w:sz w:val="18"/>
                <w:szCs w:val="18"/>
              </w:rPr>
            </w:pPr>
            <w:r w:rsidRPr="0047703B">
              <w:rPr>
                <w:sz w:val="18"/>
                <w:szCs w:val="18"/>
                <w:u w:val="single"/>
              </w:rPr>
              <w:t>Proposal by New Zealand</w:t>
            </w:r>
            <w:r w:rsidR="00DF496A" w:rsidRPr="00DF496A">
              <w:rPr>
                <w:sz w:val="18"/>
                <w:szCs w:val="18"/>
                <w:vertAlign w:val="superscript"/>
              </w:rPr>
              <w:t>c</w:t>
            </w:r>
          </w:p>
          <w:p w:rsidR="00BB7312" w:rsidRPr="0047703B" w:rsidRDefault="00BB7312" w:rsidP="00BA1CCE">
            <w:pPr>
              <w:rPr>
                <w:sz w:val="18"/>
                <w:szCs w:val="18"/>
              </w:rPr>
            </w:pPr>
          </w:p>
          <w:p w:rsidR="00BB7312" w:rsidRDefault="00BB7312" w:rsidP="00BA1CCE">
            <w:pPr>
              <w:rPr>
                <w:sz w:val="18"/>
                <w:szCs w:val="18"/>
              </w:rPr>
            </w:pPr>
            <w:r>
              <w:rPr>
                <w:sz w:val="18"/>
                <w:szCs w:val="18"/>
              </w:rPr>
              <w:t>Section 2.5.1 additional sentence proposed:</w:t>
            </w:r>
          </w:p>
          <w:p w:rsidR="00BB7312" w:rsidRDefault="00BB7312" w:rsidP="00BA1CCE">
            <w:pPr>
              <w:rPr>
                <w:sz w:val="18"/>
                <w:szCs w:val="18"/>
              </w:rPr>
            </w:pPr>
          </w:p>
          <w:p w:rsidR="00BB7312" w:rsidRDefault="00BB7312" w:rsidP="00BA1CCE">
            <w:pPr>
              <w:rPr>
                <w:sz w:val="18"/>
                <w:szCs w:val="18"/>
              </w:rPr>
            </w:pPr>
            <w:r>
              <w:rPr>
                <w:sz w:val="18"/>
                <w:szCs w:val="18"/>
              </w:rPr>
              <w:t>For certain genera (e.g. Prunus) there may be sufficient botanical difference between species within the genus to permit the same denomination to exist in the same genus (class).  A cherry variety is generally considered not likely to be confused with an apricot variety.</w:t>
            </w:r>
          </w:p>
          <w:p w:rsidR="00BB7312" w:rsidRPr="0047703B" w:rsidRDefault="00BB7312" w:rsidP="00BA1CCE">
            <w:pPr>
              <w:rPr>
                <w:sz w:val="18"/>
                <w:szCs w:val="18"/>
              </w:rPr>
            </w:pPr>
          </w:p>
        </w:tc>
      </w:tr>
    </w:tbl>
    <w:p w:rsidR="00BB7312" w:rsidRDefault="00BB7312" w:rsidP="00BA1CCE">
      <w:pPr>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D7C20" w:rsidRDefault="00BB7312" w:rsidP="00BA1CCE">
            <w:pPr>
              <w:rPr>
                <w:sz w:val="18"/>
                <w:szCs w:val="18"/>
              </w:rPr>
            </w:pPr>
          </w:p>
          <w:p w:rsidR="00BB7312" w:rsidRPr="00C04C22" w:rsidRDefault="00BB7312" w:rsidP="00BA1CCE">
            <w:pPr>
              <w:rPr>
                <w:sz w:val="18"/>
                <w:szCs w:val="18"/>
                <w:u w:val="single"/>
              </w:rPr>
            </w:pPr>
            <w:r w:rsidRPr="00C04C22">
              <w:rPr>
                <w:sz w:val="18"/>
                <w:szCs w:val="18"/>
                <w:u w:val="single"/>
              </w:rPr>
              <w:t>Agreed by the WG-DEN</w:t>
            </w:r>
            <w:r w:rsidR="00FC3A91" w:rsidRPr="00FC3A91">
              <w:rPr>
                <w:sz w:val="18"/>
                <w:szCs w:val="18"/>
                <w:vertAlign w:val="superscript"/>
              </w:rPr>
              <w:t>m</w:t>
            </w:r>
          </w:p>
          <w:p w:rsidR="00BB7312" w:rsidRPr="00C04C22" w:rsidRDefault="00BB7312" w:rsidP="00BA1CCE">
            <w:pPr>
              <w:rPr>
                <w:sz w:val="18"/>
                <w:szCs w:val="18"/>
              </w:rPr>
            </w:pPr>
          </w:p>
          <w:p w:rsidR="00BB7312" w:rsidRPr="00C04C22" w:rsidRDefault="00BB7312" w:rsidP="00BA1CCE">
            <w:pPr>
              <w:rPr>
                <w:sz w:val="18"/>
                <w:szCs w:val="18"/>
              </w:rPr>
            </w:pPr>
            <w:r w:rsidRPr="00C04C22">
              <w:rPr>
                <w:sz w:val="18"/>
                <w:szCs w:val="18"/>
              </w:rPr>
              <w:t>The guidance concerning denominations belonging to the same denomination class should be the same, irrespective of whether the denomination class followed the general rule or was one of the exceptional classes.</w:t>
            </w:r>
          </w:p>
          <w:p w:rsidR="00BB7312" w:rsidRPr="00C04C22" w:rsidRDefault="00BB7312" w:rsidP="00BA1CCE">
            <w:pPr>
              <w:rPr>
                <w:sz w:val="18"/>
                <w:szCs w:val="18"/>
              </w:rPr>
            </w:pPr>
          </w:p>
          <w:p w:rsidR="00BB7312" w:rsidRPr="00C04C22" w:rsidRDefault="00BB7312" w:rsidP="00BA1CCE">
            <w:pPr>
              <w:rPr>
                <w:sz w:val="18"/>
                <w:szCs w:val="18"/>
                <w:lang w:eastAsia="ja-JP"/>
              </w:rPr>
            </w:pPr>
            <w:r w:rsidRPr="00C04C22">
              <w:rPr>
                <w:sz w:val="18"/>
                <w:szCs w:val="18"/>
              </w:rPr>
              <w:t>The list of denomination classes in document UPOV/INF/12 Annex I “List of Classes” might be need to be reviewed to better reflect current practices of members of the Union.</w:t>
            </w:r>
          </w:p>
          <w:p w:rsidR="00BB7312" w:rsidRPr="00C04C22" w:rsidRDefault="00BB7312" w:rsidP="00BA1CCE">
            <w:pPr>
              <w:rPr>
                <w:sz w:val="18"/>
                <w:szCs w:val="18"/>
                <w:lang w:eastAsia="ja-JP"/>
              </w:rPr>
            </w:pPr>
          </w:p>
          <w:p w:rsidR="00BB7312" w:rsidRPr="00C04C22" w:rsidRDefault="00BB7312" w:rsidP="00BA1CCE">
            <w:pPr>
              <w:rPr>
                <w:sz w:val="18"/>
                <w:szCs w:val="18"/>
                <w:lang w:eastAsia="ja-JP"/>
              </w:rPr>
            </w:pPr>
          </w:p>
          <w:p w:rsidR="00BB7312" w:rsidRPr="00C04C22" w:rsidRDefault="00BB7312" w:rsidP="00BA1CCE">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members of the WG</w:t>
            </w:r>
            <w:r w:rsidRPr="00C04C22">
              <w:rPr>
                <w:rFonts w:hint="eastAsia"/>
                <w:sz w:val="18"/>
                <w:szCs w:val="18"/>
                <w:lang w:eastAsia="ja-JP"/>
              </w:rPr>
              <w:t>-</w:t>
            </w:r>
            <w:r w:rsidRPr="00C04C22">
              <w:rPr>
                <w:sz w:val="18"/>
                <w:szCs w:val="18"/>
                <w:lang w:eastAsia="ja-JP"/>
              </w:rPr>
              <w:t>DEN to make proposals concerning a possible revision of the variety denomination classes</w:t>
            </w:r>
            <w:r w:rsidRPr="00C04C22">
              <w:rPr>
                <w:rFonts w:hint="eastAsia"/>
                <w:sz w:val="18"/>
                <w:szCs w:val="18"/>
                <w:lang w:eastAsia="ja-JP"/>
              </w:rPr>
              <w:t>, and received proposals as follows</w:t>
            </w:r>
            <w:r w:rsidRPr="00C04C22">
              <w:rPr>
                <w:sz w:val="18"/>
                <w:szCs w:val="18"/>
                <w:lang w:eastAsia="ja-JP"/>
              </w:rPr>
              <w:t>:</w:t>
            </w:r>
          </w:p>
          <w:p w:rsidR="00BB7312" w:rsidRPr="00C04C22" w:rsidRDefault="00BB7312" w:rsidP="00BA1CCE">
            <w:pPr>
              <w:spacing w:line="360" w:lineRule="auto"/>
              <w:rPr>
                <w:sz w:val="18"/>
                <w:szCs w:val="18"/>
                <w:lang w:eastAsia="ja-JP"/>
              </w:rPr>
            </w:pPr>
          </w:p>
          <w:p w:rsidR="00BB7312" w:rsidRPr="00C04C22" w:rsidRDefault="00BB7312" w:rsidP="00BA1CCE">
            <w:pPr>
              <w:rPr>
                <w:sz w:val="18"/>
                <w:szCs w:val="18"/>
                <w:u w:val="single"/>
                <w:lang w:eastAsia="ja-JP"/>
              </w:rPr>
            </w:pPr>
            <w:r w:rsidRPr="00C04C22">
              <w:rPr>
                <w:sz w:val="18"/>
                <w:szCs w:val="18"/>
                <w:u w:val="single"/>
              </w:rPr>
              <w:t>Proposal by the Netherlands</w:t>
            </w:r>
          </w:p>
          <w:p w:rsidR="00BB7312" w:rsidRPr="00C04C22" w:rsidRDefault="00BB7312" w:rsidP="00BA1CCE">
            <w:pPr>
              <w:rPr>
                <w:sz w:val="18"/>
                <w:szCs w:val="18"/>
              </w:rPr>
            </w:pPr>
          </w:p>
          <w:p w:rsidR="00BB7312" w:rsidRPr="00C04C22" w:rsidRDefault="00BB7312" w:rsidP="00BA1CCE">
            <w:pPr>
              <w:rPr>
                <w:sz w:val="18"/>
                <w:szCs w:val="18"/>
              </w:rPr>
            </w:pPr>
            <w:r w:rsidRPr="00C04C22">
              <w:rPr>
                <w:sz w:val="18"/>
                <w:szCs w:val="18"/>
              </w:rPr>
              <w:t>For harmonization we suggest to follow the denomination classes of the International Code of Nomenclature for Cultivated Plants (ICNCP); see appendix V ICNCP.  If wished Naktuinbouw can make a comparison and a list of relevant additions.</w:t>
            </w:r>
            <w:r w:rsidRPr="00C04C22">
              <w:rPr>
                <w:rFonts w:hint="eastAsia"/>
                <w:sz w:val="18"/>
                <w:szCs w:val="18"/>
                <w:lang w:eastAsia="ja-JP"/>
              </w:rPr>
              <w:t xml:space="preserve">  A copy of appendix V of the ICNCP is </w:t>
            </w:r>
            <w:r w:rsidRPr="00C04C22">
              <w:rPr>
                <w:sz w:val="18"/>
                <w:szCs w:val="18"/>
                <w:lang w:eastAsia="ja-JP"/>
              </w:rPr>
              <w:t>attached</w:t>
            </w:r>
            <w:r w:rsidRPr="00C04C22">
              <w:rPr>
                <w:rFonts w:hint="eastAsia"/>
                <w:sz w:val="18"/>
                <w:szCs w:val="18"/>
                <w:lang w:eastAsia="ja-JP"/>
              </w:rPr>
              <w:t xml:space="preserve"> as Annex III to this document. </w:t>
            </w:r>
          </w:p>
          <w:p w:rsidR="00BB7312" w:rsidRPr="00C04C22" w:rsidRDefault="00BB7312" w:rsidP="00BA1CCE">
            <w:pPr>
              <w:spacing w:line="360" w:lineRule="auto"/>
              <w:rPr>
                <w:sz w:val="18"/>
                <w:szCs w:val="18"/>
                <w:lang w:eastAsia="ja-JP"/>
              </w:rPr>
            </w:pPr>
          </w:p>
          <w:p w:rsidR="00BB7312" w:rsidRPr="00C04C22" w:rsidRDefault="00BB7312" w:rsidP="00BA1CCE">
            <w:pPr>
              <w:rPr>
                <w:sz w:val="18"/>
                <w:szCs w:val="18"/>
                <w:u w:val="single"/>
                <w:lang w:eastAsia="ja-JP"/>
              </w:rPr>
            </w:pPr>
            <w:r w:rsidRPr="00C04C22">
              <w:rPr>
                <w:sz w:val="18"/>
                <w:szCs w:val="18"/>
                <w:u w:val="single"/>
              </w:rPr>
              <w:t>Proposal by New Zealand</w:t>
            </w:r>
          </w:p>
          <w:p w:rsidR="00BB7312" w:rsidRPr="00C04C22" w:rsidRDefault="00BB7312" w:rsidP="00BA1CCE">
            <w:pPr>
              <w:rPr>
                <w:sz w:val="18"/>
                <w:szCs w:val="18"/>
              </w:rPr>
            </w:pPr>
          </w:p>
          <w:p w:rsidR="00BB7312" w:rsidRPr="00C04C22" w:rsidRDefault="00BB7312" w:rsidP="00BA1CCE">
            <w:pPr>
              <w:rPr>
                <w:sz w:val="18"/>
                <w:szCs w:val="18"/>
              </w:rPr>
            </w:pPr>
            <w:r w:rsidRPr="00C04C22">
              <w:rPr>
                <w:sz w:val="18"/>
                <w:szCs w:val="18"/>
              </w:rPr>
              <w:t xml:space="preserve">There currently exist more than one </w:t>
            </w:r>
            <w:r w:rsidRPr="00C04C22">
              <w:rPr>
                <w:i/>
                <w:sz w:val="18"/>
                <w:szCs w:val="18"/>
              </w:rPr>
              <w:t>Prunus</w:t>
            </w:r>
            <w:r w:rsidRPr="00C04C22">
              <w:rPr>
                <w:sz w:val="18"/>
                <w:szCs w:val="18"/>
              </w:rPr>
              <w:t xml:space="preserve"> variety with the same denomination because there exists clear species divisions within the genus;  plum, peach, apricot, cherry.  Should there be classes within Prunus?</w:t>
            </w:r>
          </w:p>
          <w:p w:rsidR="00BB7312" w:rsidRPr="00C04C22" w:rsidRDefault="00BB7312" w:rsidP="00BA1CCE">
            <w:pPr>
              <w:ind w:left="1701" w:hanging="1701"/>
              <w:rPr>
                <w:sz w:val="18"/>
                <w:szCs w:val="18"/>
              </w:rPr>
            </w:pPr>
          </w:p>
          <w:p w:rsidR="00BB7312" w:rsidRDefault="00BB7312" w:rsidP="00BA1CCE">
            <w:pPr>
              <w:rPr>
                <w:sz w:val="18"/>
                <w:szCs w:val="18"/>
              </w:rPr>
            </w:pPr>
            <w:r w:rsidRPr="00C04C22">
              <w:rPr>
                <w:sz w:val="18"/>
                <w:szCs w:val="18"/>
              </w:rPr>
              <w:t xml:space="preserve">In a similar way, should there be classes within </w:t>
            </w:r>
            <w:r w:rsidRPr="00C04C22">
              <w:rPr>
                <w:i/>
                <w:sz w:val="18"/>
                <w:szCs w:val="18"/>
              </w:rPr>
              <w:t>Rubus</w:t>
            </w:r>
            <w:r w:rsidRPr="00C04C22">
              <w:rPr>
                <w:sz w:val="18"/>
                <w:szCs w:val="18"/>
              </w:rPr>
              <w:t>; blackberry, raspberry, hybrid berry?</w:t>
            </w:r>
          </w:p>
          <w:p w:rsidR="00BB7312" w:rsidRPr="005D7C20" w:rsidRDefault="00BB7312" w:rsidP="00BA1CCE">
            <w:pPr>
              <w:rPr>
                <w:sz w:val="18"/>
                <w:szCs w:val="18"/>
              </w:rPr>
            </w:pPr>
          </w:p>
        </w:tc>
      </w:tr>
    </w:tbl>
    <w:p w:rsidR="00BB7312" w:rsidRDefault="00BB7312" w:rsidP="00BA1CCE">
      <w:pPr>
        <w:rPr>
          <w:rFonts w:cs="Arial"/>
          <w:snapToGrid w:val="0"/>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F2452" w:rsidRDefault="00BB7312" w:rsidP="00BA1CCE">
            <w:pPr>
              <w:rPr>
                <w:sz w:val="18"/>
                <w:szCs w:val="18"/>
              </w:rPr>
            </w:pPr>
          </w:p>
          <w:p w:rsidR="00BB7312" w:rsidRDefault="00BB7312" w:rsidP="00BA1CCE">
            <w:pPr>
              <w:rPr>
                <w:sz w:val="18"/>
                <w:szCs w:val="18"/>
                <w:highlight w:val="yellow"/>
                <w:lang w:eastAsia="ja-JP"/>
              </w:rPr>
            </w:pPr>
            <w:r w:rsidRPr="00A6693C">
              <w:rPr>
                <w:rFonts w:hint="eastAsia"/>
                <w:color w:val="000000"/>
                <w:sz w:val="18"/>
                <w:szCs w:val="18"/>
                <w:highlight w:val="yellow"/>
                <w:u w:val="single"/>
                <w:lang w:eastAsia="ja-JP"/>
              </w:rPr>
              <w:t>T</w:t>
            </w:r>
            <w:r w:rsidRPr="00A6693C">
              <w:rPr>
                <w:color w:val="000000"/>
                <w:sz w:val="18"/>
                <w:szCs w:val="18"/>
                <w:highlight w:val="yellow"/>
                <w:u w:val="single"/>
              </w:rPr>
              <w:t xml:space="preserve">he </w:t>
            </w:r>
            <w:r w:rsidRPr="00A6693C">
              <w:rPr>
                <w:rFonts w:hint="eastAsia"/>
                <w:color w:val="000000"/>
                <w:sz w:val="18"/>
                <w:szCs w:val="18"/>
                <w:highlight w:val="yellow"/>
                <w:u w:val="single"/>
                <w:lang w:eastAsia="ja-JP"/>
              </w:rPr>
              <w:t>WG-DEN</w:t>
            </w:r>
            <w:r w:rsidRPr="00A6693C">
              <w:rPr>
                <w:color w:val="000000"/>
                <w:sz w:val="18"/>
                <w:szCs w:val="18"/>
                <w:highlight w:val="yellow"/>
                <w:u w:val="single"/>
                <w:lang w:eastAsia="ja-JP"/>
              </w:rPr>
              <w:t>, at its third meeting</w:t>
            </w:r>
            <w:r>
              <w:rPr>
                <w:color w:val="000000"/>
                <w:sz w:val="18"/>
                <w:szCs w:val="18"/>
                <w:highlight w:val="yellow"/>
                <w:u w:val="single"/>
                <w:lang w:eastAsia="ja-JP"/>
              </w:rPr>
              <w:t>, noted that</w:t>
            </w:r>
            <w:r w:rsidRPr="00D167DE">
              <w:rPr>
                <w:rFonts w:hint="eastAsia"/>
                <w:color w:val="000000"/>
                <w:sz w:val="18"/>
                <w:szCs w:val="18"/>
                <w:highlight w:val="lightGray"/>
                <w:u w:val="single"/>
                <w:lang w:eastAsia="ja-JP"/>
              </w:rPr>
              <w:t xml:space="preserve"> </w:t>
            </w:r>
          </w:p>
          <w:p w:rsidR="00BB7312" w:rsidRPr="005E542B" w:rsidRDefault="00BB7312" w:rsidP="00BA1CCE">
            <w:pPr>
              <w:rPr>
                <w:sz w:val="18"/>
                <w:szCs w:val="18"/>
                <w:highlight w:val="yellow"/>
                <w:lang w:eastAsia="ja-JP"/>
              </w:rPr>
            </w:pPr>
          </w:p>
          <w:p w:rsidR="00BB7312" w:rsidRDefault="00BB7312" w:rsidP="00BA1CCE">
            <w:pPr>
              <w:rPr>
                <w:rFonts w:eastAsiaTheme="minorEastAsia"/>
              </w:rPr>
            </w:pPr>
            <w:r>
              <w:rPr>
                <w:sz w:val="18"/>
                <w:highlight w:val="yellow"/>
                <w:lang w:eastAsia="ja-JP"/>
              </w:rPr>
              <w:t>T</w:t>
            </w:r>
            <w:r w:rsidRPr="00766714">
              <w:rPr>
                <w:sz w:val="18"/>
                <w:highlight w:val="yellow"/>
                <w:lang w:eastAsia="ja-JP"/>
              </w:rPr>
              <w:t>here had been no proposals to amend the list of classes in document UPOV/INF/12.</w:t>
            </w:r>
            <w:r w:rsidRPr="00CA2573">
              <w:rPr>
                <w:rFonts w:eastAsiaTheme="minorEastAsia"/>
              </w:rPr>
              <w:t xml:space="preserve"> </w:t>
            </w:r>
          </w:p>
          <w:p w:rsidR="00BB7312" w:rsidRDefault="00BB7312" w:rsidP="00BA1CCE">
            <w:pPr>
              <w:rPr>
                <w:sz w:val="18"/>
                <w:highlight w:val="yellow"/>
                <w:lang w:eastAsia="ja-JP"/>
              </w:rPr>
            </w:pPr>
          </w:p>
          <w:p w:rsidR="00BB7312" w:rsidRDefault="00BB7312" w:rsidP="00BA1CCE">
            <w:pPr>
              <w:rPr>
                <w:rFonts w:eastAsiaTheme="minorEastAsia"/>
              </w:rPr>
            </w:pPr>
            <w:r>
              <w:rPr>
                <w:sz w:val="18"/>
                <w:highlight w:val="yellow"/>
                <w:lang w:eastAsia="ja-JP"/>
              </w:rPr>
              <w:t>T</w:t>
            </w:r>
            <w:r w:rsidRPr="00CA2573">
              <w:rPr>
                <w:sz w:val="18"/>
                <w:highlight w:val="yellow"/>
                <w:lang w:eastAsia="ja-JP"/>
              </w:rPr>
              <w:t>he changes in the list of classes in the ninth edition of the International Code of the Nomenclature for Cultivated Plants (ICNCP) of March 2016.  It noted that there was agreement on the general rule for denomination classes (one genus/one class) between UPOV and the International Commission for the Nomenclature for Cultivated Plants (IUBS Commission) but there was a wide divergence on the exceptional classes. The WG-DEN agreed that UPOV should explain its exceptional classes to the IUBS Commission with a view to achieving greater harmonization in the tenth edition of the ICNCP.</w:t>
            </w:r>
            <w:r w:rsidRPr="00CA2573">
              <w:rPr>
                <w:rFonts w:eastAsiaTheme="minorEastAsia"/>
              </w:rPr>
              <w:t xml:space="preserve"> </w:t>
            </w:r>
          </w:p>
          <w:p w:rsidR="00BB7312" w:rsidRDefault="00BB7312" w:rsidP="00BA1CCE">
            <w:pPr>
              <w:rPr>
                <w:rFonts w:eastAsiaTheme="minorEastAsia"/>
              </w:rPr>
            </w:pPr>
          </w:p>
          <w:p w:rsidR="00BB7312" w:rsidRDefault="00BB7312" w:rsidP="00BA1CCE">
            <w:pPr>
              <w:rPr>
                <w:sz w:val="18"/>
                <w:lang w:eastAsia="ja-JP"/>
              </w:rPr>
            </w:pPr>
            <w:r>
              <w:rPr>
                <w:sz w:val="18"/>
                <w:highlight w:val="yellow"/>
                <w:lang w:eastAsia="ja-JP"/>
              </w:rPr>
              <w:t>F</w:t>
            </w:r>
            <w:r w:rsidRPr="00CA2573">
              <w:rPr>
                <w:sz w:val="18"/>
                <w:highlight w:val="yellow"/>
                <w:lang w:eastAsia="ja-JP"/>
              </w:rPr>
              <w:t>or some UPOV members, the acceptability of similar denominations varied according to class.  For example, in the case of a class following the general rule (one genus/one class) a similar denomination might be accepted for a different species within the same genus.  The WG-DEN agreed that UPOV members should be invited to provide information on such approaches by means of the circular to be issued.</w:t>
            </w:r>
          </w:p>
          <w:p w:rsidR="00BB7312" w:rsidRPr="005F2452" w:rsidRDefault="00BB7312" w:rsidP="00BA1CCE">
            <w:pPr>
              <w:rPr>
                <w:sz w:val="18"/>
                <w:szCs w:val="18"/>
              </w:rPr>
            </w:pPr>
          </w:p>
        </w:tc>
      </w:tr>
    </w:tbl>
    <w:p w:rsidR="00BB7312" w:rsidRDefault="00BB7312" w:rsidP="00BB7312"/>
    <w:p w:rsidR="00BB7312" w:rsidRDefault="00BB7312" w:rsidP="00BB7312"/>
    <w:p w:rsidR="00BB7312" w:rsidRPr="00407B23" w:rsidRDefault="00BB7312" w:rsidP="00BA1CCE">
      <w:pPr>
        <w:keepNext/>
        <w:spacing w:line="240" w:lineRule="atLeast"/>
      </w:pPr>
      <w:r w:rsidRPr="00407B23">
        <w:t>2.5.2</w:t>
      </w:r>
      <w:r w:rsidRPr="00407B23">
        <w:tab/>
        <w:t xml:space="preserve">The variety denomination classes are as follows:  </w:t>
      </w:r>
    </w:p>
    <w:p w:rsidR="00BB7312" w:rsidRPr="00407B23" w:rsidRDefault="00BB7312" w:rsidP="00BA1CCE">
      <w:pPr>
        <w:keepNext/>
      </w:pPr>
    </w:p>
    <w:p w:rsidR="00BB7312" w:rsidRPr="00DE1471" w:rsidRDefault="00BB7312" w:rsidP="00BA1CCE">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BB7312" w:rsidRPr="00DE1471" w:rsidRDefault="00BB7312" w:rsidP="00BA1CCE">
      <w:pPr>
        <w:pStyle w:val="BodyTextIndent"/>
        <w:ind w:left="0"/>
        <w:rPr>
          <w:lang w:val="en-US"/>
        </w:rPr>
      </w:pPr>
    </w:p>
    <w:p w:rsidR="00BB7312" w:rsidRPr="00DE1471" w:rsidRDefault="00BB7312" w:rsidP="00BA1CCE">
      <w:pPr>
        <w:pStyle w:val="BodyTextIndent"/>
        <w:ind w:left="0" w:firstLine="567"/>
        <w:rPr>
          <w:lang w:val="en-US"/>
        </w:rPr>
      </w:pPr>
      <w:r w:rsidRPr="00DE1471">
        <w:rPr>
          <w:lang w:val="en-US"/>
        </w:rPr>
        <w:t>(b)</w:t>
      </w:r>
      <w:r w:rsidRPr="00DE1471">
        <w:rPr>
          <w:lang w:val="en-US"/>
        </w:rPr>
        <w:tab/>
        <w:t xml:space="preserve">Exceptions to the General Rule (list of classes):  </w:t>
      </w:r>
    </w:p>
    <w:p w:rsidR="00BB7312" w:rsidRPr="00DE1471" w:rsidRDefault="00BB7312" w:rsidP="00BA1CCE">
      <w:pPr>
        <w:pStyle w:val="BodyTextIndent"/>
        <w:ind w:left="0"/>
        <w:rPr>
          <w:lang w:val="en-US"/>
        </w:rPr>
      </w:pPr>
    </w:p>
    <w:p w:rsidR="00BB7312" w:rsidRPr="00DE1471" w:rsidRDefault="00BB7312" w:rsidP="00BA1CCE">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BB7312" w:rsidRPr="0044165F" w:rsidRDefault="00BB7312" w:rsidP="00BA1CCE">
      <w:pPr>
        <w:pStyle w:val="BodyTextIndent"/>
        <w:tabs>
          <w:tab w:val="right" w:pos="1134"/>
          <w:tab w:val="left" w:pos="1418"/>
        </w:tabs>
        <w:ind w:left="0"/>
        <w:rPr>
          <w:sz w:val="16"/>
          <w:lang w:val="en-US"/>
        </w:rPr>
      </w:pPr>
    </w:p>
    <w:p w:rsidR="00BB7312" w:rsidRPr="00DE1471" w:rsidRDefault="00BB7312" w:rsidP="00BA1CCE">
      <w:pPr>
        <w:pStyle w:val="Header"/>
        <w:tabs>
          <w:tab w:val="right" w:pos="1134"/>
          <w:tab w:val="left" w:pos="1418"/>
        </w:tabs>
        <w:spacing w:after="240"/>
        <w:jc w:val="left"/>
        <w:rPr>
          <w:lang w:val="en-US"/>
        </w:rPr>
      </w:pPr>
      <w:r w:rsidRPr="00DE1471">
        <w:rPr>
          <w:lang w:val="en-US"/>
        </w:rPr>
        <w:tab/>
        <w:t>(ii)</w:t>
      </w:r>
      <w:r w:rsidRPr="00DE1471">
        <w:rPr>
          <w:lang w:val="en-US"/>
        </w:rPr>
        <w:tab/>
        <w:t>classes encompassing more than one genus:  List of classes in Annex I:  Part II.</w:t>
      </w:r>
    </w:p>
    <w:p w:rsidR="00BB7312" w:rsidRPr="00407B23" w:rsidRDefault="00BB7312" w:rsidP="00BA1CCE">
      <w:pPr>
        <w:rPr>
          <w:color w:val="000000"/>
          <w:u w:val="single"/>
        </w:rPr>
      </w:pPr>
      <w:r w:rsidRPr="00407B23">
        <w:t>2.5.3</w:t>
      </w:r>
      <w:r w:rsidRPr="00407B23">
        <w:tab/>
      </w:r>
      <w:r w:rsidRPr="00407B23">
        <w:rPr>
          <w:color w:val="000000"/>
        </w:rPr>
        <w:t>It is recommended that th</w:t>
      </w:r>
      <w:r>
        <w:rPr>
          <w:color w:val="000000"/>
        </w:rPr>
        <w:t>e UPOV Plant Variety Database (“</w:t>
      </w:r>
      <w:r w:rsidRPr="004A4F36">
        <w:rPr>
          <w:rFonts w:hint="eastAsia"/>
          <w:color w:val="000000"/>
          <w:u w:val="single"/>
          <w:lang w:eastAsia="ja-JP"/>
        </w:rPr>
        <w:t>PLUTO database</w:t>
      </w:r>
      <w:r>
        <w:rPr>
          <w:rFonts w:hint="eastAsia"/>
          <w:color w:val="000000"/>
          <w:lang w:eastAsia="ja-JP"/>
        </w:rPr>
        <w:t xml:space="preserve"> </w:t>
      </w:r>
      <w:r w:rsidRPr="004A4F36">
        <w:rPr>
          <w:strike/>
          <w:color w:val="000000"/>
        </w:rPr>
        <w:t>UPOV-ROM</w:t>
      </w:r>
      <w:r>
        <w:rPr>
          <w:color w:val="000000"/>
        </w:rPr>
        <w:t>”)</w:t>
      </w:r>
      <w:r w:rsidRPr="00407B23">
        <w:rPr>
          <w:color w:val="000000"/>
        </w:rPr>
        <w:t xml:space="preserve"> used in the process to check if, in the territory of any member of the Union, the proposed denomination is different from denominations of existing varieties of the same genus or, if appropriate, variety denomination class (see Annex I).  Attention is drawn to the “General Notice and Disclaimer” of </w:t>
      </w:r>
      <w:r>
        <w:rPr>
          <w:color w:val="000000"/>
        </w:rPr>
        <w:t>the UPOV-ROM</w:t>
      </w:r>
      <w:r w:rsidRPr="00407B23">
        <w:rPr>
          <w:color w:val="000000"/>
        </w:rPr>
        <w:t xml:space="preserve"> to ensure that the information contained in the </w:t>
      </w:r>
      <w:r>
        <w:rPr>
          <w:color w:val="000000"/>
        </w:rPr>
        <w:t>UPOV-ROM</w:t>
      </w:r>
      <w:r w:rsidRPr="00407B23">
        <w:rPr>
          <w:color w:val="000000"/>
        </w:rPr>
        <w:t xml:space="preserve"> is considered in an appropriate way.</w:t>
      </w:r>
    </w:p>
    <w:p w:rsidR="00BB7312" w:rsidRDefault="00BB7312" w:rsidP="00BA1CCE">
      <w:pPr>
        <w:rPr>
          <w:b/>
          <w:lang w:eastAsia="ja-JP"/>
        </w:rPr>
      </w:pPr>
    </w:p>
    <w:p w:rsidR="00BB7312" w:rsidRDefault="00BB7312" w:rsidP="00BA1CCE">
      <w:pPr>
        <w:jc w:val="left"/>
        <w:rPr>
          <w:b/>
          <w:lang w:eastAsia="ja-JP"/>
        </w:rPr>
      </w:pPr>
    </w:p>
    <w:p w:rsidR="00BB7312" w:rsidRPr="00407B23" w:rsidRDefault="00BB7312" w:rsidP="00BA1CCE">
      <w:pPr>
        <w:keepNext/>
        <w:jc w:val="center"/>
        <w:rPr>
          <w:b/>
        </w:rPr>
      </w:pPr>
      <w:r w:rsidRPr="00407B23">
        <w:rPr>
          <w:b/>
        </w:rPr>
        <w:t>Paragraph 3</w:t>
      </w:r>
    </w:p>
    <w:p w:rsidR="00BB7312" w:rsidRPr="00407B23" w:rsidRDefault="00BB7312" w:rsidP="00BA1CCE">
      <w:pPr>
        <w:keepNext/>
        <w:jc w:val="center"/>
      </w:pPr>
      <w:r w:rsidRPr="00407B23">
        <w:t>(Paragraph 4 of Article 13 of the 1961 Convention)</w:t>
      </w:r>
    </w:p>
    <w:p w:rsidR="00BB7312" w:rsidRPr="00407B23" w:rsidRDefault="00BB7312" w:rsidP="00BA1CCE">
      <w:pPr>
        <w:keepNext/>
      </w:pPr>
    </w:p>
    <w:p w:rsidR="00BB7312" w:rsidRPr="00407B23" w:rsidRDefault="00BB7312" w:rsidP="00BA1CCE">
      <w:pPr>
        <w:keepLines/>
        <w:rPr>
          <w:b/>
        </w:rPr>
      </w:pPr>
      <w:r w:rsidRPr="00407B23">
        <w:rPr>
          <w:b/>
        </w:rPr>
        <w:tab/>
        <w:t>[</w:t>
      </w:r>
      <w:r w:rsidRPr="00407B23">
        <w:rPr>
          <w:b/>
          <w:i/>
        </w:rPr>
        <w:t>Registration of the denomination</w:t>
      </w:r>
      <w:r w:rsidRPr="00407B23">
        <w:rPr>
          <w:b/>
        </w:rPr>
        <w:t>]  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BB7312" w:rsidRPr="00407B23" w:rsidRDefault="00BB7312" w:rsidP="00BA1CCE">
      <w:pPr>
        <w:rPr>
          <w:b/>
        </w:rPr>
      </w:pPr>
    </w:p>
    <w:p w:rsidR="00BB7312" w:rsidRPr="00407B23" w:rsidRDefault="00BB7312" w:rsidP="00BA1CCE">
      <w:pPr>
        <w:rPr>
          <w:i/>
        </w:rPr>
      </w:pPr>
      <w:r w:rsidRPr="00407B23">
        <w:rPr>
          <w:i/>
        </w:rPr>
        <w:t>Explanatory Notes – Paragraph</w:t>
      </w:r>
      <w:r w:rsidRPr="00407B23">
        <w:t> </w:t>
      </w:r>
      <w:r w:rsidRPr="00407B23">
        <w:rPr>
          <w:i/>
        </w:rPr>
        <w:t>(3)</w:t>
      </w:r>
    </w:p>
    <w:p w:rsidR="00BB7312" w:rsidRPr="00407B23" w:rsidRDefault="00BB7312" w:rsidP="00BA1CCE"/>
    <w:p w:rsidR="00BB7312" w:rsidRPr="00407B23" w:rsidRDefault="00BB7312" w:rsidP="00BA1CCE">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BB7312" w:rsidRPr="00407B23" w:rsidRDefault="00BB7312" w:rsidP="00BA1CCE"/>
    <w:p w:rsidR="00BB7312" w:rsidRPr="00407B23" w:rsidRDefault="00BB7312" w:rsidP="00BA1CCE">
      <w:r w:rsidRPr="00407B23">
        <w:t>3.2</w:t>
      </w:r>
      <w:r w:rsidRPr="00407B23">
        <w:tab/>
        <w:t>In the event of prior rights (paragraph (4)) or other grounds for refusal, any interested person may file an objection to the registration.  The authorities of the other members of the Union may submit observations (see Explanatory Notes of paragraph (6)).</w:t>
      </w:r>
    </w:p>
    <w:p w:rsidR="00BB7312" w:rsidRPr="00407B23" w:rsidRDefault="00BB7312" w:rsidP="00BA1CCE"/>
    <w:p w:rsidR="00BB7312" w:rsidRPr="00407B23" w:rsidRDefault="00BB7312" w:rsidP="00BA1CCE">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BB7312" w:rsidRPr="00407B23" w:rsidRDefault="00BB7312" w:rsidP="00BA1CCE"/>
    <w:p w:rsidR="00BB7312" w:rsidRPr="00407B23" w:rsidRDefault="00BB7312" w:rsidP="00BA1CCE">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c>
          <w:tcPr>
            <w:tcW w:w="9855" w:type="dxa"/>
            <w:shd w:val="clear" w:color="auto" w:fill="D9D9D9" w:themeFill="background1" w:themeFillShade="D9"/>
          </w:tcPr>
          <w:p w:rsidR="00BB7312" w:rsidRPr="005D7C20" w:rsidRDefault="00BB7312" w:rsidP="00BA1CCE">
            <w:pPr>
              <w:rPr>
                <w:sz w:val="18"/>
                <w:szCs w:val="18"/>
              </w:rPr>
            </w:pPr>
          </w:p>
          <w:p w:rsidR="00BB7312" w:rsidRPr="005D7C20" w:rsidRDefault="00BB7312" w:rsidP="00BA1CCE">
            <w:pPr>
              <w:rPr>
                <w:sz w:val="18"/>
                <w:szCs w:val="18"/>
                <w:u w:val="single"/>
              </w:rPr>
            </w:pPr>
            <w:r w:rsidRPr="005D7C20">
              <w:rPr>
                <w:sz w:val="18"/>
                <w:szCs w:val="18"/>
                <w:u w:val="single"/>
              </w:rPr>
              <w:t>Proposal by ESA/ISF</w:t>
            </w:r>
            <w:r>
              <w:rPr>
                <w:sz w:val="18"/>
                <w:szCs w:val="18"/>
                <w:vertAlign w:val="superscript"/>
              </w:rPr>
              <w:t>k</w:t>
            </w:r>
          </w:p>
          <w:p w:rsidR="00BB7312" w:rsidRPr="0042091F" w:rsidRDefault="00BB7312" w:rsidP="00BA1CCE">
            <w:pPr>
              <w:rPr>
                <w:sz w:val="14"/>
                <w:szCs w:val="18"/>
              </w:rPr>
            </w:pPr>
          </w:p>
          <w:p w:rsidR="00BB7312" w:rsidRDefault="00BB7312" w:rsidP="00BA1CCE">
            <w:pPr>
              <w:rPr>
                <w:sz w:val="18"/>
                <w:szCs w:val="18"/>
              </w:rPr>
            </w:pPr>
            <w:r>
              <w:rPr>
                <w:sz w:val="18"/>
                <w:szCs w:val="18"/>
              </w:rPr>
              <w:t>Paragraph 3</w:t>
            </w:r>
          </w:p>
          <w:p w:rsidR="00BB7312" w:rsidRPr="0042091F" w:rsidRDefault="00BB7312" w:rsidP="00BA1CCE">
            <w:pPr>
              <w:rPr>
                <w:sz w:val="14"/>
                <w:szCs w:val="18"/>
              </w:rPr>
            </w:pPr>
          </w:p>
          <w:p w:rsidR="00BB7312" w:rsidRDefault="00BB7312" w:rsidP="00BA1CCE">
            <w:pPr>
              <w:rPr>
                <w:sz w:val="18"/>
                <w:szCs w:val="18"/>
              </w:rPr>
            </w:pPr>
            <w:r>
              <w:rPr>
                <w:sz w:val="18"/>
                <w:szCs w:val="18"/>
              </w:rPr>
              <w:t>In the introductory text it is stated that “</w:t>
            </w:r>
            <w:r w:rsidRPr="00474EF5">
              <w:rPr>
                <w:i/>
                <w:sz w:val="18"/>
                <w:szCs w:val="18"/>
              </w:rPr>
              <w:t>the authority shall refuse to register it and shall require the breeder to propose another denomination with a prescribed period</w:t>
            </w:r>
            <w:r>
              <w:rPr>
                <w:sz w:val="18"/>
                <w:szCs w:val="18"/>
              </w:rPr>
              <w:t>”.  The words “prescribed period” indeed appear in Article 20(3) of the UPOV Convention but in practice the breeder may propose a new denomination at any time before the grant.  In order to avoid confusion it would be useful to clarify that the “</w:t>
            </w:r>
            <w:r w:rsidRPr="00474EF5">
              <w:rPr>
                <w:i/>
                <w:sz w:val="18"/>
                <w:szCs w:val="18"/>
              </w:rPr>
              <w:t>prescribed period</w:t>
            </w:r>
            <w:r>
              <w:rPr>
                <w:sz w:val="18"/>
                <w:szCs w:val="18"/>
              </w:rPr>
              <w:t>” basically refers to before grant.</w:t>
            </w:r>
          </w:p>
          <w:p w:rsidR="00BB7312" w:rsidRPr="005D7C20" w:rsidRDefault="00BB7312" w:rsidP="00BA1CCE">
            <w:pPr>
              <w:rPr>
                <w:sz w:val="18"/>
                <w:szCs w:val="18"/>
              </w:rPr>
            </w:pPr>
          </w:p>
        </w:tc>
      </w:tr>
    </w:tbl>
    <w:p w:rsidR="00BB7312" w:rsidRDefault="00BB7312" w:rsidP="00BA1CCE">
      <w:pPr>
        <w:rPr>
          <w:highlight w:val="yellow"/>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D7C20" w:rsidRDefault="00BB7312" w:rsidP="00BA1CCE">
            <w:pPr>
              <w:rPr>
                <w:sz w:val="18"/>
                <w:szCs w:val="18"/>
              </w:rPr>
            </w:pPr>
          </w:p>
          <w:p w:rsidR="00BB7312" w:rsidRPr="00C04C22" w:rsidRDefault="00BB7312" w:rsidP="00BA1CCE">
            <w:pPr>
              <w:rPr>
                <w:sz w:val="18"/>
                <w:szCs w:val="18"/>
                <w:u w:val="single"/>
              </w:rPr>
            </w:pPr>
            <w:r w:rsidRPr="00C04C22">
              <w:rPr>
                <w:sz w:val="18"/>
                <w:szCs w:val="18"/>
                <w:u w:val="single"/>
              </w:rPr>
              <w:t>Agreed by the WG-DEN</w:t>
            </w:r>
            <w:r w:rsidR="00FC3A91" w:rsidRPr="00FC3A91">
              <w:rPr>
                <w:sz w:val="18"/>
                <w:szCs w:val="18"/>
                <w:vertAlign w:val="superscript"/>
              </w:rPr>
              <w:t>n</w:t>
            </w:r>
          </w:p>
          <w:p w:rsidR="00BB7312" w:rsidRPr="00C04C22" w:rsidRDefault="00BB7312" w:rsidP="00BA1CCE">
            <w:pPr>
              <w:rPr>
                <w:sz w:val="18"/>
                <w:szCs w:val="18"/>
              </w:rPr>
            </w:pPr>
          </w:p>
          <w:p w:rsidR="00BB7312" w:rsidRDefault="00BB7312" w:rsidP="00BA1CCE">
            <w:pPr>
              <w:rPr>
                <w:sz w:val="18"/>
                <w:szCs w:val="18"/>
              </w:rPr>
            </w:pPr>
            <w:r w:rsidRPr="00C04C22">
              <w:rPr>
                <w:sz w:val="18"/>
                <w:szCs w:val="18"/>
              </w:rPr>
              <w:t>Not to change the current text of the explanatory note.</w:t>
            </w:r>
          </w:p>
          <w:p w:rsidR="00BB7312" w:rsidRPr="005D7C20" w:rsidRDefault="00BB7312" w:rsidP="00BA1CCE">
            <w:pPr>
              <w:rPr>
                <w:sz w:val="18"/>
                <w:szCs w:val="18"/>
              </w:rPr>
            </w:pPr>
          </w:p>
        </w:tc>
      </w:tr>
    </w:tbl>
    <w:p w:rsidR="00BB7312" w:rsidRDefault="00BB7312" w:rsidP="00BA1CCE">
      <w:pPr>
        <w:rPr>
          <w:lang w:eastAsia="ja-JP"/>
        </w:rPr>
      </w:pPr>
    </w:p>
    <w:p w:rsidR="00BB7312" w:rsidRDefault="00BB7312" w:rsidP="00BA1CCE">
      <w:pPr>
        <w:rPr>
          <w:lang w:eastAsia="ja-JP"/>
        </w:rPr>
      </w:pPr>
    </w:p>
    <w:p w:rsidR="00BB7312" w:rsidRDefault="00BB7312" w:rsidP="00BA1CCE">
      <w:pPr>
        <w:rPr>
          <w:lang w:eastAsia="ja-JP"/>
        </w:rPr>
      </w:pPr>
    </w:p>
    <w:p w:rsidR="00BB7312" w:rsidRDefault="00BB7312" w:rsidP="00BA1CCE">
      <w:pPr>
        <w:jc w:val="left"/>
        <w:rPr>
          <w:b/>
        </w:rPr>
      </w:pPr>
      <w:r>
        <w:rPr>
          <w:b/>
        </w:rPr>
        <w:br w:type="page"/>
      </w:r>
    </w:p>
    <w:p w:rsidR="00BB7312" w:rsidRPr="00407B23" w:rsidRDefault="00BB7312" w:rsidP="00BA1CCE">
      <w:pPr>
        <w:keepNext/>
        <w:jc w:val="center"/>
        <w:rPr>
          <w:b/>
        </w:rPr>
      </w:pPr>
      <w:r w:rsidRPr="00407B23">
        <w:rPr>
          <w:b/>
        </w:rPr>
        <w:t>Paragraph 4</w:t>
      </w:r>
    </w:p>
    <w:p w:rsidR="00BB7312" w:rsidRPr="00407B23" w:rsidRDefault="00BB7312" w:rsidP="00BA1CCE">
      <w:pPr>
        <w:keepNext/>
        <w:jc w:val="center"/>
      </w:pPr>
      <w:r w:rsidRPr="00407B23">
        <w:t>(Paragraph 10 of Article 13 of the 1961 Convention)</w:t>
      </w:r>
    </w:p>
    <w:p w:rsidR="00BB7312" w:rsidRPr="00407B23" w:rsidRDefault="00BB7312" w:rsidP="00BA1CCE">
      <w:pPr>
        <w:keepNext/>
      </w:pPr>
    </w:p>
    <w:p w:rsidR="00BB7312" w:rsidRPr="00407B23" w:rsidRDefault="00BB7312" w:rsidP="00BA1CCE">
      <w:pPr>
        <w:keepLines/>
        <w:rPr>
          <w:b/>
        </w:rPr>
      </w:pPr>
      <w:r w:rsidRPr="00407B23">
        <w:rPr>
          <w:b/>
        </w:rPr>
        <w:tab/>
        <w:t>[</w:t>
      </w:r>
      <w:r w:rsidRPr="00407B23">
        <w:rPr>
          <w:b/>
          <w:i/>
        </w:rPr>
        <w:t>Prior rights of third persons</w:t>
      </w:r>
      <w:r w:rsidRPr="00407B23">
        <w:rPr>
          <w:b/>
        </w:rPr>
        <w:t>]  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BB7312" w:rsidRPr="00407B23" w:rsidRDefault="00BB7312" w:rsidP="00BA1CCE"/>
    <w:p w:rsidR="00BB7312" w:rsidRPr="00407B23" w:rsidRDefault="00BB7312" w:rsidP="00BA1CCE">
      <w:pPr>
        <w:rPr>
          <w:i/>
        </w:rPr>
      </w:pPr>
      <w:r w:rsidRPr="00407B23">
        <w:rPr>
          <w:i/>
        </w:rPr>
        <w:t>Explanatory Notes – Paragraph (4)</w:t>
      </w:r>
    </w:p>
    <w:p w:rsidR="00BB7312" w:rsidRPr="00407B23" w:rsidRDefault="00BB7312" w:rsidP="00BA1CCE"/>
    <w:p w:rsidR="00BB7312" w:rsidRPr="00407B23" w:rsidRDefault="00BB7312" w:rsidP="00BA1CCE">
      <w:r w:rsidRPr="00407B23">
        <w:t>4.</w:t>
      </w:r>
      <w:r w:rsidRPr="00407B23">
        <w:tab/>
        <w:t>In deciding on the suitability of the proposed denomination and examining objections and observations in relation to prior rights of third persons, the following are intended to assist authorities.</w:t>
      </w:r>
    </w:p>
    <w:p w:rsidR="00BB7312" w:rsidRPr="00407B23" w:rsidRDefault="00BB7312" w:rsidP="00BA1CCE">
      <w:pPr>
        <w:ind w:firstLine="567"/>
      </w:pPr>
    </w:p>
    <w:p w:rsidR="00BB7312" w:rsidRPr="000C67D4" w:rsidRDefault="00BB7312" w:rsidP="00BB7312">
      <w:pPr>
        <w:pStyle w:val="ListParagraph"/>
        <w:numPr>
          <w:ilvl w:val="0"/>
          <w:numId w:val="2"/>
        </w:numPr>
        <w:ind w:left="1134" w:hanging="567"/>
        <w:rPr>
          <w:color w:val="000000"/>
        </w:rPr>
      </w:pPr>
      <w:r w:rsidRPr="00407B23">
        <w:t>An authority should not accept a variety denomination if a prior r</w:t>
      </w:r>
      <w:r>
        <w:t>ight, the exercise of which may</w:t>
      </w:r>
    </w:p>
    <w:p w:rsidR="00BB7312" w:rsidRPr="000C67D4" w:rsidRDefault="00BB7312" w:rsidP="00BA1CCE">
      <w:pPr>
        <w:tabs>
          <w:tab w:val="left" w:pos="567"/>
        </w:tabs>
        <w:rPr>
          <w:color w:val="000000"/>
        </w:rPr>
      </w:pPr>
      <w:r w:rsidRPr="00407B23">
        <w:t xml:space="preserve">prevent the use of the proposed denomination, has already been granted to a </w:t>
      </w:r>
      <w:r w:rsidRPr="000C67D4">
        <w:t xml:space="preserve">third party under plant breeder’s right law, trademark law or any other intellectual property legislation.  </w:t>
      </w:r>
      <w:r w:rsidRPr="00407B23">
        <w:t>It is the responsibility of the title holder of a prior right to assert his rights through the available objection or court procedures.  However, authorities are encouraged to make prior searches in relevant publications (e.g. official gazettes) and databases (e.g. </w:t>
      </w:r>
      <w:r w:rsidRPr="00815B9D">
        <w:rPr>
          <w:color w:val="000000"/>
        </w:rPr>
        <w:t>UPOV-ROM)</w:t>
      </w:r>
      <w:r w:rsidRPr="00407B23">
        <w:t xml:space="preserve"> to identify prior rights for variety denominations.  They may also make searches in other registers, such as trademark registers, before accepting a variety denomination.</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953AB" w:rsidRDefault="00BB7312" w:rsidP="00BA1CCE">
            <w:pPr>
              <w:rPr>
                <w:sz w:val="18"/>
                <w:szCs w:val="18"/>
              </w:rPr>
            </w:pPr>
          </w:p>
          <w:p w:rsidR="00BB7312" w:rsidRDefault="00BB7312" w:rsidP="00BA1CCE">
            <w:pPr>
              <w:rPr>
                <w:color w:val="000000"/>
                <w:sz w:val="18"/>
                <w:szCs w:val="18"/>
                <w:u w:val="single"/>
              </w:rPr>
            </w:pPr>
            <w:r>
              <w:rPr>
                <w:color w:val="000000"/>
                <w:sz w:val="18"/>
                <w:szCs w:val="18"/>
                <w:u w:val="single"/>
              </w:rPr>
              <w:t>Proposal by CAJ</w:t>
            </w:r>
            <w:r w:rsidRPr="005F5B46">
              <w:rPr>
                <w:color w:val="000000"/>
                <w:sz w:val="18"/>
                <w:szCs w:val="18"/>
                <w:u w:val="single"/>
              </w:rPr>
              <w:t>-AG</w:t>
            </w:r>
            <w:r w:rsidR="00FC3A91" w:rsidRPr="00FC3A91">
              <w:rPr>
                <w:color w:val="000000"/>
                <w:sz w:val="18"/>
                <w:szCs w:val="18"/>
                <w:vertAlign w:val="superscript"/>
              </w:rPr>
              <w:t>o</w:t>
            </w:r>
          </w:p>
          <w:p w:rsidR="00BB7312" w:rsidRDefault="00BB7312" w:rsidP="00BA1CCE">
            <w:pPr>
              <w:rPr>
                <w:color w:val="000000"/>
                <w:sz w:val="18"/>
                <w:szCs w:val="18"/>
                <w:u w:val="single"/>
              </w:rPr>
            </w:pPr>
          </w:p>
          <w:p w:rsidR="00BB7312" w:rsidRPr="00BA5EEC" w:rsidRDefault="00BB7312" w:rsidP="00BA1CCE">
            <w:pPr>
              <w:rPr>
                <w:snapToGrid w:val="0"/>
                <w:sz w:val="18"/>
                <w:szCs w:val="18"/>
              </w:rPr>
            </w:pPr>
            <w:r w:rsidRPr="00BA5EEC">
              <w:rPr>
                <w:snapToGrid w:val="0"/>
                <w:sz w:val="18"/>
                <w:szCs w:val="18"/>
              </w:rPr>
              <w:t>To modify 4(a) as follows:</w:t>
            </w:r>
          </w:p>
          <w:p w:rsidR="00BB7312" w:rsidRPr="00BA5EEC" w:rsidRDefault="00BB7312" w:rsidP="00BA1CCE">
            <w:pPr>
              <w:rPr>
                <w:snapToGrid w:val="0"/>
                <w:sz w:val="18"/>
                <w:szCs w:val="18"/>
              </w:rPr>
            </w:pPr>
          </w:p>
          <w:p w:rsidR="00BB7312" w:rsidRDefault="00BB7312" w:rsidP="00BA1CCE">
            <w:pPr>
              <w:rPr>
                <w:sz w:val="18"/>
                <w:szCs w:val="18"/>
              </w:rPr>
            </w:pPr>
            <w:r w:rsidRPr="00BA5EEC">
              <w:rPr>
                <w:sz w:val="18"/>
                <w:szCs w:val="18"/>
              </w:rPr>
              <w:t>“(a)</w:t>
            </w:r>
            <w:r w:rsidRPr="00BA5EEC">
              <w:rPr>
                <w:sz w:val="18"/>
                <w:szCs w:val="18"/>
              </w:rPr>
              <w:tab/>
              <w:t xml:space="preserve">An authority should not accept a variety denomination if </w:t>
            </w:r>
            <w:r w:rsidRPr="00BA5EEC">
              <w:rPr>
                <w:strike/>
                <w:sz w:val="18"/>
                <w:szCs w:val="18"/>
              </w:rPr>
              <w:t>a</w:t>
            </w:r>
            <w:r w:rsidRPr="00BA5EEC">
              <w:rPr>
                <w:sz w:val="18"/>
                <w:szCs w:val="18"/>
              </w:rPr>
              <w:t xml:space="preserve"> </w:t>
            </w:r>
            <w:r w:rsidRPr="00BA5EEC">
              <w:rPr>
                <w:sz w:val="18"/>
                <w:szCs w:val="18"/>
                <w:u w:val="single"/>
              </w:rPr>
              <w:t>there is an existing</w:t>
            </w:r>
            <w:r w:rsidRPr="00BA5EEC">
              <w:rPr>
                <w:sz w:val="18"/>
                <w:szCs w:val="18"/>
              </w:rPr>
              <w:t xml:space="preserve"> prior right, the exercise of which may prevent the use of the proposed denomination</w:t>
            </w:r>
            <w:r w:rsidRPr="00BA5EEC">
              <w:rPr>
                <w:strike/>
                <w:sz w:val="18"/>
                <w:szCs w:val="18"/>
              </w:rPr>
              <w:t>, has already been granted to a third party</w:t>
            </w:r>
            <w:r w:rsidRPr="00BA5EEC">
              <w:rPr>
                <w:sz w:val="18"/>
                <w:szCs w:val="18"/>
              </w:rPr>
              <w:t xml:space="preserve"> </w:t>
            </w:r>
            <w:r w:rsidRPr="00BA5EEC">
              <w:rPr>
                <w:strike/>
                <w:sz w:val="18"/>
                <w:szCs w:val="18"/>
              </w:rPr>
              <w:t>under plant breeder’s right law, trademark law or any other intellectual property legislation.</w:t>
            </w:r>
            <w:r w:rsidRPr="00BA5EEC">
              <w:rPr>
                <w:sz w:val="18"/>
                <w:szCs w:val="18"/>
              </w:rPr>
              <w:t xml:space="preserve"> </w:t>
            </w:r>
            <w:r>
              <w:rPr>
                <w:sz w:val="18"/>
                <w:szCs w:val="18"/>
              </w:rPr>
              <w:t xml:space="preserve"> </w:t>
            </w:r>
            <w:r w:rsidRPr="00BA5EEC">
              <w:rPr>
                <w:sz w:val="18"/>
                <w:szCs w:val="18"/>
              </w:rPr>
              <w:t xml:space="preserve">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2" w:history="1">
              <w:r w:rsidRPr="00BA5EEC">
                <w:rPr>
                  <w:rStyle w:val="Hyperlink"/>
                  <w:sz w:val="18"/>
                  <w:szCs w:val="18"/>
                </w:rPr>
                <w:t>http://www.upov.int/pluto/en/</w:t>
              </w:r>
            </w:hyperlink>
            <w:r w:rsidRPr="00BA5EEC">
              <w:rPr>
                <w:sz w:val="18"/>
                <w:szCs w:val="18"/>
              </w:rPr>
              <w:t>) to identify prior rights for variety denominations.  They may also make searches in other registers, such as trademark registers, before accepting a variety denomination.”</w:t>
            </w:r>
          </w:p>
          <w:p w:rsidR="00BB7312" w:rsidRPr="004953AB"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05301B" w:rsidRDefault="00BB7312" w:rsidP="00BA1CCE">
            <w:pPr>
              <w:rPr>
                <w:sz w:val="18"/>
                <w:szCs w:val="18"/>
              </w:rPr>
            </w:pPr>
          </w:p>
          <w:p w:rsidR="00BB7312" w:rsidRPr="0005301B" w:rsidRDefault="00BB7312" w:rsidP="00BA1CCE">
            <w:pPr>
              <w:rPr>
                <w:color w:val="000000"/>
                <w:sz w:val="18"/>
                <w:szCs w:val="18"/>
                <w:u w:val="single"/>
              </w:rPr>
            </w:pPr>
            <w:r w:rsidRPr="0005301B">
              <w:rPr>
                <w:color w:val="000000"/>
                <w:sz w:val="18"/>
                <w:szCs w:val="18"/>
                <w:u w:val="single"/>
              </w:rPr>
              <w:t xml:space="preserve">Proposal by </w:t>
            </w:r>
            <w:r>
              <w:rPr>
                <w:color w:val="000000"/>
                <w:sz w:val="18"/>
                <w:szCs w:val="18"/>
                <w:u w:val="single"/>
              </w:rPr>
              <w:t xml:space="preserve">the </w:t>
            </w:r>
            <w:r w:rsidRPr="0005301B">
              <w:rPr>
                <w:color w:val="000000"/>
                <w:sz w:val="18"/>
                <w:szCs w:val="18"/>
                <w:u w:val="single"/>
              </w:rPr>
              <w:t>European Union (CPVO)</w:t>
            </w:r>
            <w:r w:rsidR="00DF496A" w:rsidRPr="00DF496A">
              <w:rPr>
                <w:sz w:val="18"/>
                <w:szCs w:val="18"/>
                <w:vertAlign w:val="superscript"/>
              </w:rPr>
              <w:t>a</w:t>
            </w:r>
          </w:p>
          <w:p w:rsidR="00BB7312" w:rsidRPr="0005301B" w:rsidRDefault="00BB7312" w:rsidP="00BA1CCE">
            <w:pPr>
              <w:rPr>
                <w:color w:val="000000"/>
                <w:sz w:val="18"/>
                <w:szCs w:val="18"/>
                <w:u w:val="single"/>
              </w:rPr>
            </w:pPr>
          </w:p>
          <w:p w:rsidR="00BB7312" w:rsidRPr="0005301B" w:rsidRDefault="00BB7312" w:rsidP="00BA1CCE">
            <w:pPr>
              <w:rPr>
                <w:sz w:val="18"/>
                <w:szCs w:val="18"/>
              </w:rPr>
            </w:pPr>
            <w:r>
              <w:rPr>
                <w:sz w:val="18"/>
                <w:szCs w:val="18"/>
              </w:rPr>
              <w:t>It is stated that an authority should not accept a variety denomination if it exists already a prior right.  In the opinion of the CPVO this paragraph should allow also other approaches, in the case of the CPVO, the office doesn’t refuse ex officio a proposal for VD in case of existence of an identical prior right (trade mark).  In such cases the CPVO informs the applicant about a situation of identity with a prior right (trade mark) and refuses the proposal only in case of formal objection by the owner of the prior right (trade mark).</w:t>
            </w:r>
          </w:p>
          <w:p w:rsidR="00BB7312" w:rsidRPr="0005301B" w:rsidRDefault="00BB7312" w:rsidP="00BA1CCE">
            <w:pPr>
              <w:rPr>
                <w:sz w:val="18"/>
                <w:szCs w:val="18"/>
              </w:rPr>
            </w:pPr>
          </w:p>
        </w:tc>
      </w:tr>
    </w:tbl>
    <w:p w:rsidR="00BB7312" w:rsidRPr="00407B23"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5D7C20" w:rsidRDefault="00BB7312" w:rsidP="00BA1CCE">
            <w:pPr>
              <w:rPr>
                <w:sz w:val="18"/>
                <w:szCs w:val="18"/>
              </w:rPr>
            </w:pPr>
          </w:p>
          <w:p w:rsidR="00BB7312" w:rsidRPr="00C04C22" w:rsidRDefault="00BB7312" w:rsidP="00BA1CCE">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members of the WG</w:t>
            </w:r>
            <w:r w:rsidRPr="00C04C22">
              <w:rPr>
                <w:rFonts w:hint="eastAsia"/>
                <w:sz w:val="18"/>
                <w:szCs w:val="18"/>
                <w:lang w:eastAsia="ja-JP"/>
              </w:rPr>
              <w:t>-</w:t>
            </w:r>
            <w:r w:rsidRPr="00C04C22">
              <w:rPr>
                <w:sz w:val="18"/>
                <w:szCs w:val="18"/>
                <w:lang w:eastAsia="ja-JP"/>
              </w:rPr>
              <w:t>DEN to submit comments/proposals on Section 4(a), in relation to their practices concerning searches and measures concerning prior rights</w:t>
            </w:r>
            <w:r w:rsidRPr="00C04C22">
              <w:rPr>
                <w:rFonts w:hint="eastAsia"/>
                <w:sz w:val="18"/>
                <w:szCs w:val="18"/>
                <w:lang w:eastAsia="ja-JP"/>
              </w:rPr>
              <w:t>, and received proposals as follows</w:t>
            </w:r>
            <w:r w:rsidRPr="00C04C22">
              <w:rPr>
                <w:sz w:val="18"/>
                <w:szCs w:val="18"/>
                <w:lang w:eastAsia="ja-JP"/>
              </w:rPr>
              <w:t>:</w:t>
            </w:r>
          </w:p>
          <w:p w:rsidR="00BB7312" w:rsidRPr="00C04C22" w:rsidRDefault="00BB7312" w:rsidP="00BA1CCE">
            <w:pPr>
              <w:spacing w:line="360" w:lineRule="auto"/>
              <w:rPr>
                <w:sz w:val="18"/>
                <w:szCs w:val="18"/>
                <w:u w:val="single"/>
                <w:lang w:eastAsia="ja-JP"/>
              </w:rPr>
            </w:pPr>
          </w:p>
          <w:p w:rsidR="00BB7312" w:rsidRPr="00C04C22" w:rsidRDefault="00BB7312" w:rsidP="00BA1CCE">
            <w:pPr>
              <w:rPr>
                <w:sz w:val="18"/>
                <w:szCs w:val="18"/>
                <w:u w:val="single"/>
                <w:lang w:eastAsia="ja-JP"/>
              </w:rPr>
            </w:pPr>
            <w:r w:rsidRPr="00C04C22">
              <w:rPr>
                <w:sz w:val="18"/>
                <w:szCs w:val="18"/>
                <w:u w:val="single"/>
              </w:rPr>
              <w:t>Proposal by France</w:t>
            </w:r>
          </w:p>
          <w:p w:rsidR="00BB7312" w:rsidRPr="00C04C22" w:rsidRDefault="00BB7312" w:rsidP="00BA1CCE">
            <w:pPr>
              <w:rPr>
                <w:sz w:val="18"/>
                <w:szCs w:val="18"/>
              </w:rPr>
            </w:pPr>
          </w:p>
          <w:p w:rsidR="00BB7312" w:rsidRPr="00C04C22" w:rsidRDefault="00BB7312" w:rsidP="00BA1CCE">
            <w:pPr>
              <w:rPr>
                <w:sz w:val="18"/>
                <w:szCs w:val="18"/>
              </w:rPr>
            </w:pPr>
            <w:r w:rsidRPr="00C04C22">
              <w:rPr>
                <w:sz w:val="18"/>
                <w:szCs w:val="18"/>
              </w:rPr>
              <w:t>National Office for Plant Breeder’s Rights (INOV) applies the following approach: assuming that a prior right of a third party may prevent users or PBR holder to use the denomination, we may not accept denomination identical to a trade mark on common products.  A limited waiver may lead us to accept this denomination. For national listing purposes, a slightly different approach is followed, in line with Community Plant Variety Office’s (CPVO) one:  in case of denomination proposal identical to a third person trade mark, applicant is informed of risk of confusion and likelihood of infringement, and therefore invited to take a conclusion whether to go on with this proposal or to propose another denomination.</w:t>
            </w:r>
          </w:p>
          <w:p w:rsidR="00BB7312" w:rsidRPr="00C04C22" w:rsidRDefault="00BB7312" w:rsidP="00BA1CCE">
            <w:pPr>
              <w:spacing w:line="360" w:lineRule="auto"/>
              <w:rPr>
                <w:sz w:val="18"/>
                <w:szCs w:val="18"/>
                <w:lang w:eastAsia="ja-JP"/>
              </w:rPr>
            </w:pPr>
          </w:p>
          <w:p w:rsidR="00BB7312" w:rsidRPr="00C04C22" w:rsidRDefault="00BB7312" w:rsidP="00BA1CCE">
            <w:pPr>
              <w:rPr>
                <w:sz w:val="18"/>
                <w:szCs w:val="18"/>
                <w:u w:val="single"/>
                <w:lang w:eastAsia="ja-JP"/>
              </w:rPr>
            </w:pPr>
            <w:r w:rsidRPr="00C04C22">
              <w:rPr>
                <w:sz w:val="18"/>
                <w:szCs w:val="18"/>
                <w:u w:val="single"/>
              </w:rPr>
              <w:t>Proposal by the Netherlands</w:t>
            </w:r>
          </w:p>
          <w:p w:rsidR="00BB7312" w:rsidRPr="00C04C22" w:rsidRDefault="00BB7312" w:rsidP="00BA1CCE">
            <w:pPr>
              <w:rPr>
                <w:sz w:val="18"/>
                <w:szCs w:val="18"/>
              </w:rPr>
            </w:pPr>
          </w:p>
          <w:p w:rsidR="00BB7312" w:rsidRPr="00C04C22" w:rsidRDefault="00BB7312" w:rsidP="00BA1CCE">
            <w:pPr>
              <w:rPr>
                <w:sz w:val="18"/>
                <w:szCs w:val="18"/>
              </w:rPr>
            </w:pPr>
            <w:r w:rsidRPr="00C04C22">
              <w:rPr>
                <w:sz w:val="18"/>
                <w:szCs w:val="18"/>
              </w:rPr>
              <w:t>It often happens that a new variety denomination already registered by a trademark office in in class 31, but the trademark is not in use for the crop concerned. E.g. ‘Grand Bleu’ is a registered trademark since 1999 (WIPO 719128).  In practice it is in use for Caryopteris ×clandonensis ‘Inoveris’. When a Hydrangea breeder wants to use it as a variety denomination for Hydrangea macrophylla, he should be able to use it when the trademark owner has no objection.</w:t>
            </w:r>
          </w:p>
          <w:p w:rsidR="00BB7312" w:rsidRPr="00C04C22" w:rsidRDefault="00BB7312" w:rsidP="00BA1CCE">
            <w:pPr>
              <w:spacing w:line="360" w:lineRule="auto"/>
              <w:rPr>
                <w:sz w:val="18"/>
                <w:szCs w:val="18"/>
                <w:lang w:eastAsia="ja-JP"/>
              </w:rPr>
            </w:pPr>
          </w:p>
          <w:p w:rsidR="00BB7312" w:rsidRPr="00C04C22" w:rsidRDefault="00BB7312" w:rsidP="00BA1CCE">
            <w:pPr>
              <w:rPr>
                <w:sz w:val="18"/>
                <w:szCs w:val="18"/>
                <w:u w:val="single"/>
                <w:lang w:eastAsia="ja-JP"/>
              </w:rPr>
            </w:pPr>
            <w:r w:rsidRPr="00C04C22">
              <w:rPr>
                <w:sz w:val="18"/>
                <w:szCs w:val="18"/>
                <w:u w:val="single"/>
              </w:rPr>
              <w:t>Proposal by New Zealand</w:t>
            </w:r>
          </w:p>
          <w:p w:rsidR="00BB7312" w:rsidRPr="00C04C22" w:rsidRDefault="00BB7312" w:rsidP="00BA1CCE">
            <w:pPr>
              <w:rPr>
                <w:sz w:val="18"/>
                <w:szCs w:val="18"/>
              </w:rPr>
            </w:pPr>
          </w:p>
          <w:p w:rsidR="00BB7312" w:rsidRPr="00504D1D" w:rsidRDefault="00BB7312" w:rsidP="00BA1CCE">
            <w:pPr>
              <w:rPr>
                <w:sz w:val="18"/>
                <w:szCs w:val="18"/>
              </w:rPr>
            </w:pPr>
            <w:r w:rsidRPr="00C04C22">
              <w:rPr>
                <w:sz w:val="18"/>
                <w:szCs w:val="18"/>
              </w:rPr>
              <w:t>It is routine to search the NZ trade mark register Class 31 as part of the denomination examination.  The search is made using a proprietary similarity search tool called ACSEPTO. If there is a conflict between a mark and the proposed denomination, the applicant is notified and given time to decide their position.  When the Class 31 mark is in a goods or service category that differs from denomination usage, the denomination may be accepted.  For example, the denomination of a milling wheat variety may conflict with a Class 31 mark used to sell live animals or animal food. The denomination may be accepted because the two are unlikely to cross over in the market place.  It is also advisable for the denomination proposer to communicate with the mark holder and if the applicant advises that the mark holder has no objection to the usage of the denomination, the proposed denomination may also be accepted.</w:t>
            </w:r>
          </w:p>
          <w:p w:rsidR="00BB7312" w:rsidRPr="001D48B5" w:rsidRDefault="00BB7312" w:rsidP="00BA1CCE">
            <w:pPr>
              <w:rPr>
                <w:lang w:eastAsia="ja-JP"/>
              </w:rPr>
            </w:pPr>
          </w:p>
        </w:tc>
      </w:tr>
    </w:tbl>
    <w:p w:rsidR="00BB7312" w:rsidRDefault="00BB7312" w:rsidP="00BA1CCE"/>
    <w:p w:rsidR="00BB7312" w:rsidRPr="00407B23" w:rsidRDefault="00BB7312" w:rsidP="00BA1CCE">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BB7312" w:rsidRPr="00407B23" w:rsidRDefault="00BB7312" w:rsidP="00BA1CCE">
      <w:pPr>
        <w:ind w:firstLine="567"/>
      </w:pPr>
    </w:p>
    <w:p w:rsidR="00BB7312" w:rsidRPr="00407B23" w:rsidRDefault="00BB7312" w:rsidP="00BA1CCE">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BB7312" w:rsidRPr="00407B23" w:rsidRDefault="00BB7312" w:rsidP="00BA1CCE">
      <w:pPr>
        <w:ind w:firstLine="567"/>
      </w:pPr>
    </w:p>
    <w:p w:rsidR="00BB7312" w:rsidRPr="00407B23" w:rsidRDefault="00BB7312" w:rsidP="00BA1CCE">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BB7312" w:rsidRPr="00407B23" w:rsidRDefault="00BB7312" w:rsidP="00BA1CCE"/>
    <w:p w:rsidR="00BB7312" w:rsidRPr="00407B23" w:rsidRDefault="00BB7312" w:rsidP="00BA1CCE">
      <w:pPr>
        <w:ind w:firstLine="567"/>
      </w:pPr>
      <w:r w:rsidRPr="00407B23">
        <w:t>(e)</w:t>
      </w:r>
      <w:r w:rsidRPr="00407B23">
        <w:tab/>
        <w:t>The following items provide some guidance on what might constitute a “prior right”, the exercise of which may prevent the use of the proposed denomination:</w:t>
      </w:r>
    </w:p>
    <w:p w:rsidR="00BB7312" w:rsidRPr="00407B23" w:rsidRDefault="00BB7312" w:rsidP="00BA1CCE">
      <w:pPr>
        <w:ind w:left="567" w:firstLine="567"/>
      </w:pPr>
    </w:p>
    <w:p w:rsidR="00BB7312" w:rsidRPr="00407B23" w:rsidRDefault="00BB7312" w:rsidP="00BA1CCE">
      <w:pPr>
        <w:tabs>
          <w:tab w:val="right" w:pos="1134"/>
          <w:tab w:val="left" w:pos="1418"/>
        </w:tabs>
      </w:pPr>
      <w:r w:rsidRPr="00407B23">
        <w:t xml:space="preserve">  </w:t>
      </w: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5"/>
      </w:r>
      <w:r w:rsidRPr="00407B23">
        <w:t xml:space="preserve">,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responsible for trademark registration, or </w:t>
      </w:r>
      <w:r w:rsidRPr="00C04C22">
        <w:t xml:space="preserve">judgments from a competent court.  In cases of mere similarity or small likelihood of </w:t>
      </w:r>
      <w:r w:rsidRPr="00C04C22">
        <w:rPr>
          <w:strike/>
        </w:rPr>
        <w:t>association</w:t>
      </w:r>
      <w:r w:rsidRPr="00C04C22">
        <w:t xml:space="preserve"> </w:t>
      </w:r>
      <w:r w:rsidRPr="00C04C22">
        <w:rPr>
          <w:rFonts w:hint="eastAsia"/>
          <w:u w:val="single"/>
          <w:lang w:eastAsia="ja-JP"/>
        </w:rPr>
        <w:t>confusion</w:t>
      </w:r>
      <w:r w:rsidRPr="00C04C22">
        <w:rPr>
          <w:rFonts w:hint="eastAsia"/>
          <w:lang w:eastAsia="ja-JP"/>
        </w:rPr>
        <w:t xml:space="preserve"> </w:t>
      </w:r>
      <w:r w:rsidRPr="00C04C22">
        <w:t>by</w:t>
      </w:r>
      <w:r w:rsidRPr="00407B23">
        <w:t xml:space="preserve"> users, waivers granted to breeders by prior trademark right holde</w:t>
      </w:r>
      <w:r>
        <w:t>rs could be a suitable solution;</w:t>
      </w:r>
    </w:p>
    <w:p w:rsidR="00BB7312" w:rsidRPr="00407B23" w:rsidRDefault="00BB7312" w:rsidP="00BA1CCE"/>
    <w:p w:rsidR="00BB7312" w:rsidRPr="00407B23" w:rsidRDefault="00BB7312" w:rsidP="00BA1CCE">
      <w:pPr>
        <w:tabs>
          <w:tab w:val="right" w:pos="1134"/>
          <w:tab w:val="left" w:pos="1418"/>
        </w:tabs>
      </w:pPr>
      <w:r w:rsidRPr="00407B23">
        <w:tab/>
        <w:t>(ii)</w:t>
      </w:r>
      <w:r w:rsidRPr="00407B23">
        <w:tab/>
        <w:t>If the proposed denomination is identical with or similar to a well-known mark, it may be unsuitable, even if the well-known mark applies to goods other than those ap</w:t>
      </w:r>
      <w:r>
        <w:t>pearing in Class 31 of the Nice </w:t>
      </w:r>
      <w:r w:rsidRPr="00407B23">
        <w:t>Classification</w:t>
      </w:r>
      <w:r>
        <w:t>;</w:t>
      </w:r>
      <w:r w:rsidRPr="00407B23">
        <w:rPr>
          <w:rStyle w:val="FootnoteReference"/>
        </w:rPr>
        <w:footnoteReference w:id="6"/>
      </w:r>
    </w:p>
    <w:p w:rsidR="00BB7312" w:rsidRPr="00407B23" w:rsidRDefault="00BB7312" w:rsidP="00BA1CCE">
      <w:pPr>
        <w:tabs>
          <w:tab w:val="right" w:pos="1134"/>
        </w:tabs>
      </w:pPr>
    </w:p>
    <w:p w:rsidR="00BB7312" w:rsidRPr="00407B23" w:rsidRDefault="00BB7312" w:rsidP="00BA1CCE">
      <w:pPr>
        <w:tabs>
          <w:tab w:val="right" w:pos="1134"/>
          <w:tab w:val="left" w:pos="1418"/>
        </w:tabs>
      </w:pPr>
      <w:r w:rsidRPr="00407B23">
        <w:tab/>
        <w:t>(iii)</w:t>
      </w:r>
      <w:r w:rsidRPr="00407B23">
        <w:tab/>
        <w:t>Prior rights might also concern trade names</w:t>
      </w:r>
      <w:r w:rsidRPr="00407B23">
        <w:rPr>
          <w:rStyle w:val="FootnoteReference"/>
        </w:rPr>
        <w:footnoteReference w:id="7"/>
      </w:r>
      <w:r w:rsidRPr="00407B23">
        <w:t xml:space="preserve"> and names of famous persons;</w:t>
      </w:r>
    </w:p>
    <w:p w:rsidR="00BB7312" w:rsidRPr="00407B23" w:rsidRDefault="00BB7312" w:rsidP="00BA1CCE">
      <w:pPr>
        <w:tabs>
          <w:tab w:val="right" w:pos="1134"/>
        </w:tabs>
      </w:pPr>
    </w:p>
    <w:p w:rsidR="00BB7312" w:rsidRPr="00407B23" w:rsidRDefault="00BB7312" w:rsidP="00BA1CCE">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t>;</w:t>
      </w:r>
      <w:r w:rsidRPr="00407B23">
        <w:rPr>
          <w:rStyle w:val="FootnoteReference"/>
        </w:rPr>
        <w:footnoteReference w:id="8"/>
      </w:r>
    </w:p>
    <w:p w:rsidR="00BB7312" w:rsidRPr="00407B23" w:rsidRDefault="00BB7312" w:rsidP="00BA1CCE">
      <w:pPr>
        <w:ind w:firstLine="1134"/>
      </w:pPr>
    </w:p>
    <w:p w:rsidR="00BB7312" w:rsidRPr="00407B23" w:rsidRDefault="00BB7312" w:rsidP="00BA1CCE">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t>;</w:t>
      </w:r>
      <w:r w:rsidRPr="00407B23">
        <w:rPr>
          <w:rStyle w:val="FootnoteReference"/>
        </w:rPr>
        <w:footnoteReference w:id="9"/>
      </w:r>
    </w:p>
    <w:p w:rsidR="00BB7312" w:rsidRPr="00407B23" w:rsidRDefault="00BB7312" w:rsidP="00BA1CCE">
      <w:pPr>
        <w:tabs>
          <w:tab w:val="right" w:pos="1134"/>
        </w:tabs>
      </w:pPr>
    </w:p>
    <w:p w:rsidR="00BB7312" w:rsidRPr="00407B23" w:rsidRDefault="00BB7312" w:rsidP="00BA1CCE">
      <w:pPr>
        <w:tabs>
          <w:tab w:val="right" w:pos="1134"/>
          <w:tab w:val="left" w:pos="1418"/>
        </w:tabs>
      </w:pPr>
      <w:r w:rsidRPr="00407B23">
        <w:tab/>
        <w:t>(vi)</w:t>
      </w:r>
      <w:r w:rsidRPr="00407B23">
        <w:tab/>
        <w:t>In certain cases, prior rights in geographical names (e.g. names of cities or States) may exist;  however, there is no general rule on these cases and assessment should be based on the probatory material presented on a case-by-case basis.</w:t>
      </w:r>
    </w:p>
    <w:p w:rsidR="00BB7312" w:rsidRPr="00407B23" w:rsidRDefault="00BB7312" w:rsidP="00BA1CCE">
      <w:pPr>
        <w:jc w:val="center"/>
      </w:pPr>
    </w:p>
    <w:p w:rsidR="00BB7312" w:rsidRPr="00407B23" w:rsidRDefault="00BB7312" w:rsidP="00BA1CCE">
      <w:pPr>
        <w:jc w:val="center"/>
      </w:pPr>
    </w:p>
    <w:p w:rsidR="00BB7312" w:rsidRDefault="00BB7312" w:rsidP="00BA1CCE">
      <w:pPr>
        <w:jc w:val="left"/>
        <w:rPr>
          <w:b/>
        </w:rPr>
      </w:pPr>
      <w:r>
        <w:rPr>
          <w:b/>
        </w:rPr>
        <w:br w:type="page"/>
      </w:r>
    </w:p>
    <w:p w:rsidR="00BB7312" w:rsidRPr="00407B23" w:rsidRDefault="00BB7312" w:rsidP="00BA1CCE">
      <w:pPr>
        <w:keepNext/>
        <w:keepLines/>
        <w:jc w:val="center"/>
        <w:rPr>
          <w:b/>
        </w:rPr>
      </w:pPr>
      <w:r w:rsidRPr="00407B23">
        <w:rPr>
          <w:b/>
        </w:rPr>
        <w:t>Paragraph 5</w:t>
      </w:r>
    </w:p>
    <w:p w:rsidR="00BB7312" w:rsidRPr="00407B23" w:rsidRDefault="00BB7312" w:rsidP="00BA1CCE">
      <w:pPr>
        <w:keepNext/>
        <w:keepLines/>
        <w:ind w:firstLine="567"/>
      </w:pPr>
    </w:p>
    <w:p w:rsidR="00BB7312" w:rsidRPr="00407B23" w:rsidRDefault="00BB7312" w:rsidP="00BA1CCE">
      <w:pPr>
        <w:keepNext/>
        <w:ind w:firstLine="567"/>
        <w:rPr>
          <w:b/>
        </w:rPr>
      </w:pPr>
      <w:r w:rsidRPr="00407B23">
        <w:rPr>
          <w:b/>
        </w:rPr>
        <w:t>[</w:t>
      </w:r>
      <w:r w:rsidRPr="00407B23">
        <w:rPr>
          <w:b/>
          <w:i/>
        </w:rPr>
        <w:t>Same denomination in all members of the Union</w:t>
      </w:r>
      <w:r w:rsidRPr="00407B23">
        <w:rPr>
          <w:b/>
        </w:rPr>
        <w:t xml:space="preserve">]  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BB7312" w:rsidRPr="00407B23" w:rsidRDefault="00BB7312" w:rsidP="00BA1CCE">
      <w:pPr>
        <w:keepNext/>
        <w:rPr>
          <w:i/>
        </w:rPr>
      </w:pPr>
    </w:p>
    <w:p w:rsidR="00BB7312" w:rsidRPr="00407B23" w:rsidRDefault="00BB7312" w:rsidP="00BA1CCE">
      <w:r w:rsidRPr="00407B23">
        <w:rPr>
          <w:i/>
        </w:rPr>
        <w:t>Explanatory Notes – Paragraph (5)</w:t>
      </w:r>
      <w:r w:rsidRPr="00407B23">
        <w:t xml:space="preserve"> </w:t>
      </w:r>
    </w:p>
    <w:p w:rsidR="00BB7312" w:rsidRPr="00407B23" w:rsidRDefault="00BB7312" w:rsidP="00BA1CCE"/>
    <w:p w:rsidR="00BB7312" w:rsidRPr="00407B23" w:rsidRDefault="00BB7312" w:rsidP="00BA1CCE">
      <w:r w:rsidRPr="00407B23">
        <w:t>5.1</w:t>
      </w:r>
      <w:r w:rsidRPr="00407B23">
        <w:tab/>
        <w:t xml:space="preserve">This provision reflects the importance of a single variety denomination for the effective operation of the UPOV system.  </w:t>
      </w:r>
    </w:p>
    <w:p w:rsidR="00BB7312" w:rsidRPr="00407B23" w:rsidRDefault="00BB7312" w:rsidP="00BA1CCE"/>
    <w:p w:rsidR="00BB7312" w:rsidRPr="00407B23" w:rsidRDefault="00BB7312" w:rsidP="00BA1CCE">
      <w:r w:rsidRPr="00407B23">
        <w:t>5.2</w:t>
      </w:r>
      <w:r w:rsidRPr="00407B23">
        <w:tab/>
      </w:r>
      <w:r w:rsidRPr="00407B23">
        <w:rPr>
          <w:i/>
        </w:rPr>
        <w:t>Paragraph</w:t>
      </w:r>
      <w:r w:rsidRPr="00407B23">
        <w:t> (5) provides clear directions both for breeders and authorities:</w:t>
      </w:r>
    </w:p>
    <w:p w:rsidR="00BB7312" w:rsidRPr="00407B23" w:rsidRDefault="00BB7312" w:rsidP="00BA1CCE"/>
    <w:p w:rsidR="00BB7312" w:rsidRPr="00407B23" w:rsidRDefault="00BB7312" w:rsidP="00BA1CCE">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BB7312" w:rsidRPr="00407B23" w:rsidRDefault="00BB7312" w:rsidP="00BA1CCE"/>
    <w:p w:rsidR="00BB7312" w:rsidRPr="00407B23" w:rsidRDefault="00BB7312" w:rsidP="00BA1CCE">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p>
    <w:p w:rsidR="00BB7312" w:rsidRDefault="00BB7312" w:rsidP="00BA1CCE">
      <w:pPr>
        <w:ind w:firstLine="567"/>
        <w:rPr>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Default="00BB7312" w:rsidP="00BA1CCE">
            <w:pPr>
              <w:rPr>
                <w:sz w:val="18"/>
                <w:szCs w:val="18"/>
                <w:lang w:eastAsia="ja-JP"/>
              </w:rPr>
            </w:pPr>
          </w:p>
          <w:p w:rsidR="00BB7312" w:rsidRPr="00C04C22" w:rsidRDefault="00BB7312" w:rsidP="00BA1CCE">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New Zealand and other members of the WG-DEN to provide information of cases in which the denomination accepted in the first application was not the denomination used by other authorities when a different denomination was accepted by a second authority</w:t>
            </w:r>
            <w:r w:rsidRPr="00C04C22">
              <w:rPr>
                <w:rFonts w:hint="eastAsia"/>
                <w:sz w:val="18"/>
                <w:szCs w:val="18"/>
                <w:lang w:eastAsia="ja-JP"/>
              </w:rPr>
              <w:t>, and received proposals as follows;</w:t>
            </w:r>
          </w:p>
          <w:p w:rsidR="00BB7312" w:rsidRPr="00C04C22" w:rsidRDefault="00BB7312" w:rsidP="00BA1CCE">
            <w:pPr>
              <w:spacing w:line="360" w:lineRule="auto"/>
              <w:rPr>
                <w:sz w:val="18"/>
                <w:szCs w:val="18"/>
                <w:lang w:eastAsia="ja-JP"/>
              </w:rPr>
            </w:pPr>
          </w:p>
          <w:p w:rsidR="00BB7312" w:rsidRPr="00C04C22" w:rsidRDefault="00BB7312" w:rsidP="00BA1CCE">
            <w:pPr>
              <w:rPr>
                <w:sz w:val="18"/>
                <w:szCs w:val="18"/>
                <w:u w:val="single"/>
                <w:lang w:eastAsia="ja-JP"/>
              </w:rPr>
            </w:pPr>
            <w:r w:rsidRPr="00C04C22">
              <w:rPr>
                <w:sz w:val="18"/>
                <w:szCs w:val="18"/>
                <w:u w:val="single"/>
              </w:rPr>
              <w:t>Proposal by France</w:t>
            </w:r>
          </w:p>
          <w:p w:rsidR="00BB7312" w:rsidRPr="00C04C22" w:rsidRDefault="00BB7312" w:rsidP="00BA1CCE">
            <w:pPr>
              <w:rPr>
                <w:sz w:val="18"/>
                <w:szCs w:val="18"/>
              </w:rPr>
            </w:pPr>
          </w:p>
          <w:p w:rsidR="00BB7312" w:rsidRPr="00C04C22" w:rsidRDefault="00BB7312" w:rsidP="00BA1CCE">
            <w:pPr>
              <w:rPr>
                <w:sz w:val="18"/>
                <w:szCs w:val="18"/>
              </w:rPr>
            </w:pPr>
            <w:r w:rsidRPr="00C04C22">
              <w:rPr>
                <w:sz w:val="18"/>
                <w:szCs w:val="18"/>
              </w:rPr>
              <w:t>We are in the opinion that necessity of synonyms should be limited to very specific cases (i.e. already existing variety of the same UPOV class with the same denomination registered/listed in UPOV Member territory or very clear non-acceptable denomination).  Following this statement, it is necessary to act for a more harmonized guidance for denomination evaluation, and for a Pluto updating with national/regional consolidated data as soon as possible.</w:t>
            </w:r>
          </w:p>
          <w:p w:rsidR="00BB7312" w:rsidRPr="00C04C22" w:rsidRDefault="00BB7312" w:rsidP="00BA1CCE">
            <w:pPr>
              <w:spacing w:line="360" w:lineRule="auto"/>
              <w:rPr>
                <w:sz w:val="18"/>
                <w:szCs w:val="18"/>
                <w:lang w:eastAsia="ja-JP"/>
              </w:rPr>
            </w:pPr>
          </w:p>
          <w:p w:rsidR="00BB7312" w:rsidRDefault="00BB7312" w:rsidP="00BA1CCE">
            <w:pPr>
              <w:rPr>
                <w:sz w:val="18"/>
                <w:szCs w:val="18"/>
                <w:lang w:eastAsia="ja-JP"/>
              </w:rPr>
            </w:pPr>
            <w:r w:rsidRPr="00C04C22">
              <w:rPr>
                <w:rFonts w:hint="eastAsia"/>
                <w:sz w:val="18"/>
                <w:szCs w:val="18"/>
                <w:u w:val="single"/>
                <w:lang w:eastAsia="ja-JP"/>
              </w:rPr>
              <w:t>Examples provided by Netherlands and New Zealand</w:t>
            </w:r>
          </w:p>
          <w:p w:rsidR="00BB7312" w:rsidRPr="005D7C20" w:rsidRDefault="00BB7312" w:rsidP="00BA1CCE">
            <w:pPr>
              <w:rPr>
                <w:sz w:val="18"/>
                <w:szCs w:val="18"/>
                <w:lang w:eastAsia="ja-JP"/>
              </w:rPr>
            </w:pPr>
          </w:p>
        </w:tc>
      </w:tr>
    </w:tbl>
    <w:p w:rsidR="00BB7312" w:rsidRDefault="00BB7312" w:rsidP="00BA1CCE">
      <w:pPr>
        <w:rPr>
          <w:rFonts w:cs="Arial"/>
          <w:snapToGrid w:val="0"/>
          <w:lang w:eastAsia="ja-JP"/>
        </w:rPr>
      </w:pPr>
    </w:p>
    <w:p w:rsidR="00BB7312" w:rsidRPr="00407B23" w:rsidRDefault="00BB7312" w:rsidP="00BA1CCE">
      <w:r w:rsidRPr="00407B23">
        <w:tab/>
        <w:t>(c)</w:t>
      </w:r>
      <w:r w:rsidRPr="00407B23">
        <w:tab/>
        <w:t>Due to different alphabetic scripts or systems of writing, it may be necessary to transliterate</w:t>
      </w:r>
      <w:r w:rsidRPr="00407B23">
        <w:rPr>
          <w:rStyle w:val="EndnoteReferenc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BB7312" w:rsidRPr="00407B23" w:rsidRDefault="00BB7312" w:rsidP="00BA1CCE"/>
    <w:p w:rsidR="00BB7312" w:rsidRPr="00407B23" w:rsidRDefault="00BB7312" w:rsidP="00BA1CCE">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BB7312" w:rsidRPr="00407B23" w:rsidRDefault="00BB7312" w:rsidP="00BA1CCE"/>
    <w:p w:rsidR="00BB7312" w:rsidRPr="00407B23" w:rsidRDefault="00BB7312" w:rsidP="00BA1CCE">
      <w:pPr>
        <w:ind w:firstLine="567"/>
      </w:pPr>
      <w:r w:rsidRPr="00407B23">
        <w:t xml:space="preserve">(a)  </w:t>
      </w:r>
      <w:r w:rsidRPr="00407B23">
        <w:tab/>
        <w:t>it does not conform to the provisions in paragraphs (2) and (4); or</w:t>
      </w:r>
    </w:p>
    <w:p w:rsidR="00BB7312" w:rsidRPr="00407B23" w:rsidRDefault="00BB7312" w:rsidP="00BA1CCE">
      <w:pPr>
        <w:ind w:firstLine="567"/>
      </w:pPr>
    </w:p>
    <w:p w:rsidR="00BB7312" w:rsidRPr="00407B23" w:rsidRDefault="00BB7312" w:rsidP="00BA1CCE">
      <w:pPr>
        <w:ind w:firstLine="567"/>
      </w:pPr>
      <w:r w:rsidRPr="00407B23">
        <w:t xml:space="preserve">(b)  </w:t>
      </w:r>
      <w:r w:rsidRPr="00407B23">
        <w:tab/>
        <w:t>it is contrary to public policy.</w:t>
      </w:r>
    </w:p>
    <w:p w:rsidR="00BB7312" w:rsidRPr="00407B23" w:rsidRDefault="00BB7312" w:rsidP="00BA1CCE">
      <w:pPr>
        <w:ind w:firstLine="567"/>
      </w:pPr>
    </w:p>
    <w:p w:rsidR="00BB7312" w:rsidRPr="00407B23" w:rsidRDefault="00BB7312" w:rsidP="00BA1CCE">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BB7312" w:rsidRDefault="00BB7312" w:rsidP="00BA1CCE"/>
    <w:p w:rsidR="00BB7312" w:rsidRPr="00407B23" w:rsidRDefault="00BB7312" w:rsidP="00BA1CCE">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UPOV Plant Variety Database.  Members of the Union may also choose to provide customized variety denomination checking services.  Members of the Union are encouraged to use the UPOV website to provide information on, and links to, such resources. </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47703B" w:rsidRDefault="00BB7312" w:rsidP="00BA1CCE">
            <w:pPr>
              <w:rPr>
                <w:sz w:val="18"/>
                <w:szCs w:val="18"/>
                <w:lang w:eastAsia="ja-JP"/>
              </w:rPr>
            </w:pPr>
            <w:r w:rsidRPr="0047703B">
              <w:rPr>
                <w:sz w:val="18"/>
                <w:szCs w:val="18"/>
                <w:u w:val="single"/>
              </w:rPr>
              <w:t>Proposal by New Zealand</w:t>
            </w:r>
            <w:r w:rsidRPr="007323A2">
              <w:rPr>
                <w:rFonts w:hint="eastAsia"/>
                <w:sz w:val="18"/>
                <w:szCs w:val="18"/>
                <w:vertAlign w:val="superscript"/>
                <w:lang w:eastAsia="ja-JP"/>
              </w:rPr>
              <w:t>c</w:t>
            </w:r>
          </w:p>
          <w:p w:rsidR="00BB7312" w:rsidRPr="0047703B" w:rsidRDefault="00BB7312" w:rsidP="00BA1CCE">
            <w:pPr>
              <w:rPr>
                <w:sz w:val="18"/>
                <w:szCs w:val="18"/>
              </w:rPr>
            </w:pPr>
          </w:p>
          <w:p w:rsidR="00BB7312" w:rsidRDefault="00BB7312" w:rsidP="00BA1CCE">
            <w:pPr>
              <w:rPr>
                <w:sz w:val="18"/>
                <w:szCs w:val="18"/>
              </w:rPr>
            </w:pPr>
            <w:r>
              <w:rPr>
                <w:sz w:val="18"/>
                <w:szCs w:val="18"/>
              </w:rPr>
              <w:t>Paragraph 5</w:t>
            </w:r>
          </w:p>
          <w:p w:rsidR="00BB7312" w:rsidRDefault="00BB7312" w:rsidP="00BA1CCE">
            <w:pPr>
              <w:rPr>
                <w:sz w:val="18"/>
                <w:szCs w:val="18"/>
              </w:rPr>
            </w:pPr>
          </w:p>
          <w:p w:rsidR="00BB7312" w:rsidRDefault="00BB7312" w:rsidP="00BA1CCE">
            <w:pPr>
              <w:rPr>
                <w:sz w:val="18"/>
                <w:szCs w:val="18"/>
              </w:rPr>
            </w:pPr>
            <w:r>
              <w:rPr>
                <w:sz w:val="18"/>
                <w:szCs w:val="18"/>
              </w:rPr>
              <w:t>The principle of one denomination per variety worldwide should not be diminished however it could be helpful to provide guidance for an approved approach where two denominations exist.  Such guidance goes against Article 20(5), the principle of a single denomination, but unfortunately this does occur all too frequently.  Should an authority following a number of other denomination proposals or approvals for earlier foreign applications, accept the first approved denomination or accept the most common denomination?</w:t>
            </w:r>
          </w:p>
          <w:p w:rsidR="00BB7312" w:rsidRPr="0047703B" w:rsidRDefault="00BB7312" w:rsidP="00BA1CCE">
            <w:pPr>
              <w:rPr>
                <w:sz w:val="18"/>
                <w:szCs w:val="18"/>
              </w:rPr>
            </w:pPr>
          </w:p>
        </w:tc>
      </w:tr>
    </w:tbl>
    <w:p w:rsidR="00BB7312" w:rsidRPr="00407B23" w:rsidRDefault="00BB7312" w:rsidP="00BA1CCE">
      <w:pPr>
        <w:rPr>
          <w:b/>
        </w:rPr>
      </w:pPr>
    </w:p>
    <w:p w:rsidR="00BB7312" w:rsidRPr="00407B23" w:rsidRDefault="00BB7312" w:rsidP="00BA1CCE"/>
    <w:p w:rsidR="00BB7312" w:rsidRDefault="00BB7312" w:rsidP="00BA1CCE">
      <w:pPr>
        <w:jc w:val="left"/>
        <w:rPr>
          <w:b/>
        </w:rPr>
      </w:pPr>
    </w:p>
    <w:p w:rsidR="00BB7312" w:rsidRDefault="00BB7312" w:rsidP="00BA1CCE">
      <w:pPr>
        <w:jc w:val="left"/>
        <w:rPr>
          <w:b/>
        </w:rPr>
      </w:pPr>
      <w:r>
        <w:rPr>
          <w:b/>
        </w:rPr>
        <w:br w:type="page"/>
      </w:r>
    </w:p>
    <w:p w:rsidR="00BB7312" w:rsidRPr="00407B23" w:rsidRDefault="00BB7312" w:rsidP="00BA1CCE">
      <w:pPr>
        <w:jc w:val="center"/>
        <w:rPr>
          <w:b/>
        </w:rPr>
      </w:pPr>
      <w:r w:rsidRPr="00407B23">
        <w:rPr>
          <w:b/>
        </w:rPr>
        <w:t>Paragraph 6</w:t>
      </w:r>
    </w:p>
    <w:p w:rsidR="00BB7312" w:rsidRPr="00407B23" w:rsidRDefault="00BB7312" w:rsidP="00BA1CCE"/>
    <w:p w:rsidR="00BB7312" w:rsidRPr="00407B23" w:rsidRDefault="00BB7312" w:rsidP="00BA1CCE">
      <w:pPr>
        <w:rPr>
          <w:b/>
        </w:rPr>
      </w:pPr>
      <w:r w:rsidRPr="00407B23">
        <w:tab/>
      </w:r>
      <w:r w:rsidRPr="00407B23">
        <w:rPr>
          <w:b/>
        </w:rPr>
        <w:t>[</w:t>
      </w:r>
      <w:r w:rsidRPr="00407B23">
        <w:rPr>
          <w:b/>
          <w:i/>
        </w:rPr>
        <w:t>Information among the authorities of members of the Union</w:t>
      </w:r>
      <w:r w:rsidRPr="00407B23">
        <w:rPr>
          <w:b/>
        </w:rPr>
        <w:t>]  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BB7312" w:rsidRPr="00407B23" w:rsidRDefault="00BB7312" w:rsidP="00BA1CCE"/>
    <w:p w:rsidR="00BB7312" w:rsidRPr="00407B23" w:rsidRDefault="00BB7312" w:rsidP="00BA1CCE">
      <w:pPr>
        <w:rPr>
          <w:i/>
        </w:rPr>
      </w:pPr>
      <w:r w:rsidRPr="00407B23">
        <w:rPr>
          <w:i/>
        </w:rPr>
        <w:t>Explanatory Notes – Paragraph (6)</w:t>
      </w:r>
    </w:p>
    <w:p w:rsidR="00BB7312" w:rsidRPr="00407B23" w:rsidRDefault="00BB7312" w:rsidP="00BA1CCE"/>
    <w:p w:rsidR="00BB7312" w:rsidRPr="00407B23" w:rsidRDefault="00BB7312" w:rsidP="00BA1CCE">
      <w:r w:rsidRPr="00407B23">
        <w:t>6.1</w:t>
      </w:r>
      <w:r w:rsidRPr="00407B23">
        <w:tab/>
        <w:t xml:space="preserve">Provisions of paragraph (6) indicate the importance of cooperation and exchange of information among authorities.  </w:t>
      </w:r>
    </w:p>
    <w:p w:rsidR="00BB7312" w:rsidRPr="00407B23" w:rsidRDefault="00BB7312" w:rsidP="00BA1CCE"/>
    <w:p w:rsidR="00BB7312" w:rsidRPr="00407B23" w:rsidRDefault="00BB7312" w:rsidP="00BA1CCE">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UPOV Plant Variety Database is an important mechanism by which to maximize the availability of information for members of the Union concerning variety denominations in a practical form.  </w:t>
      </w:r>
    </w:p>
    <w:p w:rsidR="00BB7312" w:rsidRPr="00407B23" w:rsidRDefault="00BB7312" w:rsidP="00BA1CCE"/>
    <w:p w:rsidR="00BB7312" w:rsidRPr="00407B23" w:rsidRDefault="00BB7312" w:rsidP="00BA1CCE">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BB7312" w:rsidRPr="00407B23" w:rsidRDefault="00BB7312" w:rsidP="00BA1CCE"/>
    <w:p w:rsidR="00BB7312" w:rsidRPr="00407B23" w:rsidRDefault="00BB7312" w:rsidP="00BA1CCE">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BB7312" w:rsidRPr="00407B23" w:rsidRDefault="00BB7312" w:rsidP="00BA1CCE"/>
    <w:p w:rsidR="00BB7312" w:rsidRPr="00407B23" w:rsidRDefault="00BB7312" w:rsidP="00BA1CCE">
      <w:r w:rsidRPr="00407B23">
        <w:t>6.5</w:t>
      </w:r>
      <w:r w:rsidRPr="00407B23">
        <w:tab/>
        <w:t xml:space="preserve">It is recommended that a communication of the final decision be addressed to any authority which has transmitted an observation. </w:t>
      </w:r>
    </w:p>
    <w:p w:rsidR="00BB7312" w:rsidRPr="00407B23" w:rsidRDefault="00BB7312" w:rsidP="00BA1CCE"/>
    <w:p w:rsidR="00BB7312" w:rsidRPr="00407B23" w:rsidRDefault="00BB7312" w:rsidP="00BA1CCE">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BB7312" w:rsidRPr="00407B23" w:rsidRDefault="00BB7312" w:rsidP="00BA1CCE"/>
    <w:p w:rsidR="00BB7312" w:rsidRPr="00407B23" w:rsidRDefault="00BB7312" w:rsidP="00BA1CCE">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47703B" w:rsidRDefault="00BB7312" w:rsidP="00BA1CCE">
            <w:pPr>
              <w:rPr>
                <w:sz w:val="18"/>
                <w:szCs w:val="18"/>
              </w:rPr>
            </w:pPr>
            <w:r w:rsidRPr="0047703B">
              <w:rPr>
                <w:sz w:val="18"/>
                <w:szCs w:val="18"/>
                <w:u w:val="single"/>
              </w:rPr>
              <w:t>Proposal by New Zealand</w:t>
            </w:r>
            <w:r w:rsidRPr="007323A2">
              <w:rPr>
                <w:rFonts w:hint="eastAsia"/>
                <w:sz w:val="18"/>
                <w:szCs w:val="18"/>
                <w:vertAlign w:val="superscript"/>
                <w:lang w:eastAsia="ja-JP"/>
              </w:rPr>
              <w:t>c</w:t>
            </w:r>
          </w:p>
          <w:p w:rsidR="00BB7312" w:rsidRPr="0047703B" w:rsidRDefault="00BB7312" w:rsidP="00BA1CCE">
            <w:pPr>
              <w:rPr>
                <w:sz w:val="18"/>
                <w:szCs w:val="18"/>
              </w:rPr>
            </w:pPr>
          </w:p>
          <w:p w:rsidR="00BB7312" w:rsidRDefault="00BB7312" w:rsidP="00BA1CCE">
            <w:pPr>
              <w:rPr>
                <w:sz w:val="18"/>
                <w:szCs w:val="18"/>
                <w:lang w:eastAsia="ja-JP"/>
              </w:rPr>
            </w:pPr>
            <w:r>
              <w:rPr>
                <w:sz w:val="18"/>
                <w:szCs w:val="18"/>
              </w:rPr>
              <w:t>Paragraph 6</w:t>
            </w:r>
          </w:p>
          <w:p w:rsidR="00BB7312" w:rsidRDefault="00BB7312" w:rsidP="00BA1CCE">
            <w:pPr>
              <w:rPr>
                <w:sz w:val="18"/>
                <w:szCs w:val="18"/>
                <w:lang w:eastAsia="ja-JP"/>
              </w:rPr>
            </w:pPr>
          </w:p>
          <w:p w:rsidR="00BB7312" w:rsidRDefault="00BB7312" w:rsidP="00BA1CCE">
            <w:pPr>
              <w:rPr>
                <w:sz w:val="18"/>
                <w:szCs w:val="18"/>
              </w:rPr>
            </w:pPr>
            <w:r>
              <w:rPr>
                <w:sz w:val="18"/>
                <w:szCs w:val="18"/>
              </w:rPr>
              <w:t>The current explanatory notes are correct in a broad sense with cooperation and exchange of information still of importance, but do not reflect current operational practice for many authorities.  PLUTO and in the future similarity search tools are now the key resources and not structured observation or notification between authorities.  Journals and Gazette remain important for legal publication requirements however their role in informing about denominations between authorities has decreased.</w:t>
            </w:r>
          </w:p>
          <w:p w:rsidR="00BB7312" w:rsidRPr="0047703B"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RPr="0047703B"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C04C22" w:rsidRDefault="00BB7312" w:rsidP="00BA1CCE">
            <w:pPr>
              <w:rPr>
                <w:sz w:val="18"/>
                <w:szCs w:val="18"/>
              </w:rPr>
            </w:pPr>
            <w:r w:rsidRPr="00C04C22">
              <w:rPr>
                <w:sz w:val="18"/>
                <w:szCs w:val="18"/>
                <w:u w:val="single"/>
              </w:rPr>
              <w:t>Agreed by the WG-DEN</w:t>
            </w:r>
            <w:r w:rsidR="00FC3A91" w:rsidRPr="00FC3A91">
              <w:rPr>
                <w:sz w:val="18"/>
                <w:szCs w:val="18"/>
                <w:vertAlign w:val="superscript"/>
              </w:rPr>
              <w:t>p</w:t>
            </w:r>
          </w:p>
          <w:p w:rsidR="00BB7312" w:rsidRPr="00C04C22" w:rsidRDefault="00BB7312" w:rsidP="00BA1CCE">
            <w:pPr>
              <w:rPr>
                <w:sz w:val="18"/>
                <w:szCs w:val="18"/>
              </w:rPr>
            </w:pPr>
          </w:p>
          <w:p w:rsidR="00BB7312" w:rsidRPr="00C04C22" w:rsidRDefault="00BB7312" w:rsidP="00BA1CCE">
            <w:pPr>
              <w:rPr>
                <w:sz w:val="18"/>
                <w:szCs w:val="18"/>
                <w:lang w:eastAsia="ja-JP"/>
              </w:rPr>
            </w:pPr>
            <w:r w:rsidRPr="00C04C22">
              <w:rPr>
                <w:sz w:val="18"/>
                <w:szCs w:val="18"/>
              </w:rPr>
              <w:t>The document UPOV/INF/12 should be amended to encourage members of the Union to contribute data to the PLUTO database in accordance with the guidance provided in document UPOV/INF/15 “Guidance for Members of UPOV”.</w:t>
            </w:r>
          </w:p>
          <w:p w:rsidR="00BB7312" w:rsidRPr="00C04C22" w:rsidRDefault="00BB7312" w:rsidP="00BA1CCE">
            <w:pPr>
              <w:rPr>
                <w:sz w:val="18"/>
                <w:szCs w:val="18"/>
                <w:lang w:eastAsia="ja-JP"/>
              </w:rPr>
            </w:pPr>
          </w:p>
          <w:p w:rsidR="00BB7312" w:rsidRPr="00C04C22" w:rsidRDefault="00BB7312" w:rsidP="00BA1CCE">
            <w:pPr>
              <w:rPr>
                <w:sz w:val="18"/>
                <w:szCs w:val="18"/>
                <w:lang w:eastAsia="ja-JP"/>
              </w:rPr>
            </w:pPr>
          </w:p>
          <w:p w:rsidR="00BB7312" w:rsidRPr="00C04C22" w:rsidRDefault="00BB7312" w:rsidP="00BA1CCE">
            <w:pPr>
              <w:rPr>
                <w:sz w:val="18"/>
                <w:szCs w:val="18"/>
                <w:lang w:eastAsia="ja-JP"/>
              </w:rPr>
            </w:pPr>
            <w:r w:rsidRPr="00C04C22">
              <w:rPr>
                <w:rFonts w:hint="eastAsia"/>
                <w:sz w:val="18"/>
                <w:szCs w:val="18"/>
                <w:lang w:eastAsia="ja-JP"/>
              </w:rPr>
              <w:t xml:space="preserve">Quote from document UPOV/INF/15 </w:t>
            </w:r>
            <w:r w:rsidRPr="00C04C22">
              <w:rPr>
                <w:sz w:val="18"/>
                <w:szCs w:val="18"/>
              </w:rPr>
              <w:t>“Guidance for Members of UPOV”</w:t>
            </w:r>
          </w:p>
          <w:p w:rsidR="00BB7312" w:rsidRPr="00C04C22" w:rsidRDefault="00BB7312" w:rsidP="00BA1CCE">
            <w:pPr>
              <w:ind w:left="450"/>
              <w:rPr>
                <w:sz w:val="18"/>
                <w:szCs w:val="18"/>
                <w:lang w:eastAsia="ja-JP"/>
              </w:rPr>
            </w:pPr>
          </w:p>
          <w:p w:rsidR="00BB7312" w:rsidRPr="00C04C22" w:rsidRDefault="00BB7312" w:rsidP="00BA1CCE">
            <w:pPr>
              <w:ind w:left="450"/>
              <w:rPr>
                <w:i/>
                <w:sz w:val="18"/>
                <w:szCs w:val="18"/>
                <w:lang w:eastAsia="ja-JP"/>
              </w:rPr>
            </w:pPr>
            <w:r w:rsidRPr="00C04C22">
              <w:rPr>
                <w:i/>
                <w:sz w:val="18"/>
                <w:szCs w:val="18"/>
                <w:lang w:eastAsia="ja-JP"/>
              </w:rPr>
              <w:t>“Variety Denominations (PLUTO database)</w:t>
            </w:r>
          </w:p>
          <w:p w:rsidR="00BB7312" w:rsidRPr="00C04C22" w:rsidRDefault="00BB7312" w:rsidP="00BA1CCE">
            <w:pPr>
              <w:ind w:left="450"/>
              <w:rPr>
                <w:i/>
                <w:sz w:val="18"/>
                <w:szCs w:val="18"/>
                <w:lang w:eastAsia="ja-JP"/>
              </w:rPr>
            </w:pPr>
          </w:p>
          <w:p w:rsidR="00BB7312" w:rsidRPr="00C04C22" w:rsidRDefault="00BB7312" w:rsidP="00BA1CCE">
            <w:pPr>
              <w:ind w:left="450"/>
              <w:rPr>
                <w:sz w:val="18"/>
                <w:szCs w:val="18"/>
                <w:lang w:eastAsia="ja-JP"/>
              </w:rPr>
            </w:pPr>
            <w:r w:rsidRPr="00C04C22">
              <w:rPr>
                <w:sz w:val="18"/>
                <w:szCs w:val="18"/>
                <w:lang w:eastAsia="ja-JP"/>
              </w:rPr>
              <w:t>24. The contribution of data by members of the Union to the PLUTO Plant Variety Database provides support in particular for the examination of variety denominations.</w:t>
            </w:r>
          </w:p>
          <w:p w:rsidR="00BB7312" w:rsidRPr="00C04C22" w:rsidRDefault="00BB7312" w:rsidP="00BA1CCE">
            <w:pPr>
              <w:ind w:left="450"/>
              <w:rPr>
                <w:sz w:val="18"/>
                <w:szCs w:val="18"/>
                <w:lang w:eastAsia="ja-JP"/>
              </w:rPr>
            </w:pPr>
          </w:p>
          <w:p w:rsidR="00BB7312" w:rsidRDefault="00BB7312" w:rsidP="00BA1CCE">
            <w:pPr>
              <w:ind w:left="450"/>
              <w:rPr>
                <w:sz w:val="18"/>
                <w:szCs w:val="18"/>
                <w:lang w:eastAsia="ja-JP"/>
              </w:rPr>
            </w:pPr>
            <w:r w:rsidRPr="00C04C22">
              <w:rPr>
                <w:sz w:val="18"/>
                <w:szCs w:val="18"/>
                <w:lang w:eastAsia="ja-JP"/>
              </w:rPr>
              <w:t>25. 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BB7312" w:rsidRPr="0047703B" w:rsidRDefault="00BB7312" w:rsidP="00BA1CCE">
            <w:pPr>
              <w:rPr>
                <w:sz w:val="18"/>
                <w:szCs w:val="18"/>
                <w:lang w:eastAsia="ja-JP"/>
              </w:rPr>
            </w:pPr>
          </w:p>
        </w:tc>
      </w:tr>
    </w:tbl>
    <w:p w:rsidR="00BB7312" w:rsidRPr="00407B23" w:rsidRDefault="00BB7312" w:rsidP="00BA1CCE"/>
    <w:p w:rsidR="00BB7312" w:rsidRDefault="00BB7312" w:rsidP="00BA1CCE">
      <w:pPr>
        <w:jc w:val="left"/>
        <w:rPr>
          <w:b/>
        </w:rPr>
      </w:pPr>
    </w:p>
    <w:p w:rsidR="00BB7312" w:rsidRDefault="00BB7312" w:rsidP="00BA1CCE">
      <w:pPr>
        <w:jc w:val="left"/>
        <w:rPr>
          <w:b/>
        </w:rPr>
      </w:pPr>
      <w:r>
        <w:rPr>
          <w:b/>
        </w:rPr>
        <w:br w:type="page"/>
      </w:r>
    </w:p>
    <w:p w:rsidR="00BB7312" w:rsidRPr="00294914" w:rsidRDefault="00BB7312" w:rsidP="00BA1CCE">
      <w:pPr>
        <w:keepNext/>
        <w:jc w:val="center"/>
        <w:rPr>
          <w:b/>
        </w:rPr>
      </w:pPr>
      <w:r w:rsidRPr="00294914">
        <w:rPr>
          <w:b/>
        </w:rPr>
        <w:t>Paragraph 7</w:t>
      </w:r>
    </w:p>
    <w:p w:rsidR="00BB7312" w:rsidRPr="00294914" w:rsidRDefault="00BB7312" w:rsidP="00BA1CCE">
      <w:pPr>
        <w:keepNext/>
        <w:rPr>
          <w:b/>
        </w:rPr>
      </w:pPr>
    </w:p>
    <w:p w:rsidR="00BB7312" w:rsidRPr="00294914" w:rsidRDefault="00BB7312" w:rsidP="00BA1CCE">
      <w:pPr>
        <w:rPr>
          <w:b/>
        </w:rPr>
      </w:pPr>
      <w:r w:rsidRPr="00294914">
        <w:rPr>
          <w:b/>
        </w:rPr>
        <w:tab/>
        <w:t>[</w:t>
      </w:r>
      <w:r w:rsidRPr="00294914">
        <w:rPr>
          <w:b/>
          <w:i/>
        </w:rPr>
        <w:t>Obligation to use the denomination</w:t>
      </w:r>
      <w:r w:rsidRPr="00294914">
        <w:rPr>
          <w:b/>
        </w:rPr>
        <w:t>]  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BB7312" w:rsidRPr="00294914" w:rsidRDefault="00BB7312" w:rsidP="00BA1CCE"/>
    <w:p w:rsidR="00BB7312" w:rsidRPr="00294914" w:rsidRDefault="00BB7312" w:rsidP="00BA1CCE">
      <w:pPr>
        <w:rPr>
          <w:i/>
        </w:rPr>
      </w:pPr>
      <w:r w:rsidRPr="00294914">
        <w:rPr>
          <w:i/>
        </w:rPr>
        <w:t>Explanatory Note – Paragraph (7)</w:t>
      </w:r>
    </w:p>
    <w:p w:rsidR="00BB7312" w:rsidRPr="00294914" w:rsidRDefault="00BB7312" w:rsidP="00BA1CCE"/>
    <w:p w:rsidR="00BB7312" w:rsidRPr="00795648" w:rsidRDefault="00BB7312" w:rsidP="00BA1CCE">
      <w:r w:rsidRPr="00795648">
        <w:t>7.1</w:t>
      </w:r>
      <w:r w:rsidRPr="00795648">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BB7312" w:rsidRPr="00795648" w:rsidRDefault="00BB7312" w:rsidP="00BA1CCE"/>
    <w:p w:rsidR="00BB7312" w:rsidRPr="00294914" w:rsidRDefault="00BB7312" w:rsidP="00BA1CCE">
      <w:r w:rsidRPr="00795648">
        <w:t>7.2</w:t>
      </w:r>
      <w:r w:rsidRPr="00795648">
        <w:tab/>
        <w:t>The following items provide guidance in relation to changes of registered variety denominations:</w:t>
      </w:r>
    </w:p>
    <w:p w:rsidR="00BB7312" w:rsidRPr="00294914" w:rsidRDefault="00BB7312" w:rsidP="00BA1CCE"/>
    <w:p w:rsidR="00BB7312" w:rsidRPr="00294914" w:rsidRDefault="00BB7312" w:rsidP="00BA1CCE">
      <w:pPr>
        <w:ind w:firstLine="567"/>
      </w:pPr>
      <w:r w:rsidRPr="00294914">
        <w:t>(a)</w:t>
      </w:r>
      <w:r w:rsidRPr="00294914">
        <w:tab/>
        <w:t xml:space="preserve">The UPOV Convention requires a change of the registered denomination where the denomination of the variety is cancelled after the grant of the right.  The competent authority should cancel a variety denomination if: </w:t>
      </w:r>
    </w:p>
    <w:p w:rsidR="00BB7312" w:rsidRPr="00294914" w:rsidRDefault="00BB7312" w:rsidP="00BA1CCE">
      <w:pPr>
        <w:pStyle w:val="ListParagraph"/>
      </w:pPr>
    </w:p>
    <w:p w:rsidR="00BB7312" w:rsidRPr="00294914" w:rsidRDefault="00BB7312" w:rsidP="00BB7312">
      <w:pPr>
        <w:pStyle w:val="ListParagraph"/>
        <w:numPr>
          <w:ilvl w:val="0"/>
          <w:numId w:val="5"/>
        </w:numPr>
        <w:tabs>
          <w:tab w:val="left" w:pos="1418"/>
        </w:tabs>
        <w:ind w:left="0" w:firstLine="1134"/>
      </w:pPr>
      <w:r w:rsidRPr="00294914">
        <w:t xml:space="preserve">by reason of a prior right, the use of the denomination of a variety is forbidden to a person who, in accordance with the provisions of paragraph (7), is obliged to use it (see paragraph (4) “Prior rights of third persons”); </w:t>
      </w:r>
    </w:p>
    <w:p w:rsidR="00BB7312" w:rsidRPr="00294914" w:rsidRDefault="00BB7312" w:rsidP="00BA1CCE">
      <w:pPr>
        <w:tabs>
          <w:tab w:val="left" w:pos="1418"/>
        </w:tabs>
        <w:ind w:firstLine="1134"/>
      </w:pPr>
    </w:p>
    <w:p w:rsidR="00BB7312" w:rsidRPr="00294914" w:rsidRDefault="00BB7312" w:rsidP="00BB7312">
      <w:pPr>
        <w:pStyle w:val="ListParagraph"/>
        <w:numPr>
          <w:ilvl w:val="0"/>
          <w:numId w:val="5"/>
        </w:numPr>
        <w:tabs>
          <w:tab w:val="left" w:pos="1418"/>
        </w:tabs>
        <w:ind w:left="0" w:firstLine="1134"/>
      </w:pPr>
      <w:r w:rsidRPr="00294914">
        <w:t xml:space="preserve">the denomination is unsuitable because it is contrary to the provisions in paragraph (2) “Characteristics of the denomination”; </w:t>
      </w:r>
    </w:p>
    <w:p w:rsidR="00BB7312" w:rsidRPr="00294914" w:rsidRDefault="00BB7312" w:rsidP="00BA1CCE">
      <w:pPr>
        <w:pStyle w:val="ListParagraph"/>
        <w:ind w:left="1854"/>
      </w:pPr>
    </w:p>
    <w:p w:rsidR="00BB7312" w:rsidRPr="00294914" w:rsidRDefault="00BB7312" w:rsidP="00BA1CCE">
      <w:pPr>
        <w:ind w:firstLine="567"/>
      </w:pPr>
      <w:r w:rsidRPr="00294914">
        <w:t>(b)</w:t>
      </w:r>
      <w:r w:rsidRPr="00294914">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BB7312" w:rsidRPr="00294914" w:rsidRDefault="00BB7312" w:rsidP="00BA1CCE"/>
    <w:p w:rsidR="00BB7312" w:rsidRPr="00294914" w:rsidRDefault="00BB7312" w:rsidP="00BA1CCE">
      <w:pPr>
        <w:ind w:firstLine="567"/>
      </w:pPr>
      <w:r w:rsidRPr="00294914">
        <w:t>(c)</w:t>
      </w:r>
      <w:r w:rsidRPr="00294914">
        <w:tab/>
        <w:t>In general, subject to (a) and (b) above, it would not be appropriate for the authority to change a registered denomination following a request by the breeder.</w:t>
      </w:r>
      <w:r w:rsidR="00FC3A91" w:rsidRPr="00FC3A91">
        <w:rPr>
          <w:vertAlign w:val="superscript"/>
        </w:rPr>
        <w:t>q</w:t>
      </w:r>
    </w:p>
    <w:p w:rsidR="00BB7312" w:rsidRPr="00294914" w:rsidRDefault="00BB7312" w:rsidP="00BA1CCE"/>
    <w:p w:rsidR="00BB7312" w:rsidRPr="00407B23" w:rsidRDefault="00BB7312" w:rsidP="00BA1CCE"/>
    <w:p w:rsidR="00BB7312" w:rsidRDefault="00BB7312" w:rsidP="00BA1CCE">
      <w:pPr>
        <w:jc w:val="left"/>
        <w:rPr>
          <w:b/>
        </w:rPr>
      </w:pPr>
      <w:r>
        <w:rPr>
          <w:b/>
        </w:rPr>
        <w:br w:type="page"/>
      </w:r>
    </w:p>
    <w:p w:rsidR="00BB7312" w:rsidRPr="00407B23" w:rsidRDefault="00BB7312" w:rsidP="00BA1CCE">
      <w:pPr>
        <w:jc w:val="center"/>
        <w:rPr>
          <w:b/>
        </w:rPr>
      </w:pPr>
      <w:r w:rsidRPr="00407B23">
        <w:rPr>
          <w:b/>
        </w:rPr>
        <w:t>Paragraph 8</w:t>
      </w:r>
    </w:p>
    <w:p w:rsidR="00BB7312" w:rsidRPr="00407B23" w:rsidRDefault="00BB7312" w:rsidP="00BA1CCE"/>
    <w:p w:rsidR="00BB7312" w:rsidRPr="00407B23" w:rsidRDefault="00BB7312" w:rsidP="00BA1CCE">
      <w:pPr>
        <w:rPr>
          <w:b/>
        </w:rPr>
      </w:pPr>
      <w:r w:rsidRPr="00407B23">
        <w:tab/>
      </w:r>
      <w:r w:rsidRPr="00407B23">
        <w:rPr>
          <w:b/>
        </w:rPr>
        <w:t>[</w:t>
      </w:r>
      <w:r w:rsidRPr="00407B23">
        <w:rPr>
          <w:b/>
          <w:i/>
        </w:rPr>
        <w:t>Indications used in association with denominations</w:t>
      </w:r>
      <w:r w:rsidRPr="00407B23">
        <w:rPr>
          <w:b/>
        </w:rPr>
        <w:t>]  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BB7312" w:rsidRPr="00407B23" w:rsidRDefault="00BB7312" w:rsidP="00BA1CCE"/>
    <w:p w:rsidR="00BB7312" w:rsidRDefault="00BB7312" w:rsidP="00BA1CCE">
      <w:r w:rsidRPr="00407B23">
        <w:tab/>
        <w:t>This provision is self-explanatory.</w:t>
      </w:r>
    </w:p>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Tr="00BA1CCE">
        <w:trPr>
          <w:cantSplit/>
        </w:trPr>
        <w:tc>
          <w:tcPr>
            <w:tcW w:w="9855" w:type="dxa"/>
            <w:shd w:val="clear" w:color="auto" w:fill="D9D9D9" w:themeFill="background1" w:themeFillShade="D9"/>
          </w:tcPr>
          <w:p w:rsidR="00BB7312" w:rsidRPr="0047703B" w:rsidRDefault="00BB7312" w:rsidP="00BA1CCE">
            <w:pPr>
              <w:rPr>
                <w:sz w:val="18"/>
                <w:szCs w:val="18"/>
              </w:rPr>
            </w:pPr>
          </w:p>
          <w:p w:rsidR="00BB7312" w:rsidRPr="0047703B" w:rsidRDefault="00BB7312" w:rsidP="00BA1CCE">
            <w:pPr>
              <w:rPr>
                <w:sz w:val="18"/>
                <w:szCs w:val="18"/>
              </w:rPr>
            </w:pPr>
            <w:r w:rsidRPr="0047703B">
              <w:rPr>
                <w:sz w:val="18"/>
                <w:szCs w:val="18"/>
                <w:u w:val="single"/>
              </w:rPr>
              <w:t>Proposal by New Zealand</w:t>
            </w:r>
            <w:r w:rsidRPr="007323A2">
              <w:rPr>
                <w:rFonts w:hint="eastAsia"/>
                <w:sz w:val="18"/>
                <w:szCs w:val="18"/>
                <w:vertAlign w:val="superscript"/>
                <w:lang w:eastAsia="ja-JP"/>
              </w:rPr>
              <w:t>c</w:t>
            </w:r>
          </w:p>
          <w:p w:rsidR="00BB7312" w:rsidRPr="0047703B" w:rsidRDefault="00BB7312" w:rsidP="00BA1CCE">
            <w:pPr>
              <w:rPr>
                <w:sz w:val="18"/>
                <w:szCs w:val="18"/>
              </w:rPr>
            </w:pPr>
          </w:p>
          <w:p w:rsidR="00BB7312" w:rsidRDefault="00BB7312" w:rsidP="00BA1CCE">
            <w:pPr>
              <w:rPr>
                <w:sz w:val="18"/>
                <w:szCs w:val="18"/>
              </w:rPr>
            </w:pPr>
            <w:r>
              <w:rPr>
                <w:sz w:val="18"/>
                <w:szCs w:val="18"/>
              </w:rPr>
              <w:t>Paragraph 8</w:t>
            </w:r>
          </w:p>
          <w:p w:rsidR="00BB7312" w:rsidRDefault="00BB7312" w:rsidP="00BA1CCE">
            <w:pPr>
              <w:rPr>
                <w:sz w:val="18"/>
                <w:szCs w:val="18"/>
              </w:rPr>
            </w:pPr>
          </w:p>
          <w:p w:rsidR="00BB7312" w:rsidRDefault="00BB7312" w:rsidP="00BA1CCE">
            <w:pPr>
              <w:rPr>
                <w:sz w:val="18"/>
                <w:szCs w:val="18"/>
              </w:rPr>
            </w:pPr>
            <w:r>
              <w:rPr>
                <w:sz w:val="18"/>
                <w:szCs w:val="18"/>
              </w:rPr>
              <w:t>Explanatory notes could be helpful because commercial synonyms often become the effective variety identifier.  Commercial synonyms, other than registered trademarks, have no legal standing and are not covered by UPOV guidance, but there are many examples where protected varieties effectively have two names, but only one being the approved denomination.  UPOV guidance should resemble practical reality and further elaboration should be considered.</w:t>
            </w:r>
          </w:p>
          <w:p w:rsidR="00BB7312" w:rsidRPr="0047703B" w:rsidRDefault="00BB7312" w:rsidP="00BA1CCE">
            <w:pPr>
              <w:rPr>
                <w:sz w:val="18"/>
                <w:szCs w:val="18"/>
              </w:rPr>
            </w:pPr>
          </w:p>
        </w:tc>
      </w:tr>
    </w:tbl>
    <w:p w:rsidR="00BB7312" w:rsidRDefault="00BB7312" w:rsidP="00BA1CC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B7312" w:rsidRPr="00494FFB" w:rsidTr="00BA1CCE">
        <w:trPr>
          <w:cantSplit/>
        </w:trPr>
        <w:tc>
          <w:tcPr>
            <w:tcW w:w="9855" w:type="dxa"/>
            <w:shd w:val="clear" w:color="auto" w:fill="D9D9D9" w:themeFill="background1" w:themeFillShade="D9"/>
          </w:tcPr>
          <w:p w:rsidR="00BB7312" w:rsidRPr="00C04C22" w:rsidRDefault="00BB7312" w:rsidP="00BA1CCE">
            <w:pPr>
              <w:rPr>
                <w:sz w:val="18"/>
                <w:szCs w:val="18"/>
                <w:u w:val="single"/>
                <w:lang w:eastAsia="ja-JP"/>
              </w:rPr>
            </w:pPr>
          </w:p>
          <w:p w:rsidR="00BB7312" w:rsidRPr="00C04C22" w:rsidRDefault="00BB7312" w:rsidP="00BA1CCE">
            <w:pPr>
              <w:rPr>
                <w:sz w:val="18"/>
                <w:szCs w:val="18"/>
              </w:rPr>
            </w:pPr>
            <w:r w:rsidRPr="00C04C22">
              <w:rPr>
                <w:sz w:val="18"/>
                <w:szCs w:val="18"/>
                <w:u w:val="single"/>
              </w:rPr>
              <w:t>Agreed by the WG-DEN</w:t>
            </w:r>
            <w:r w:rsidR="00FC3A91" w:rsidRPr="00FC3A91">
              <w:rPr>
                <w:sz w:val="18"/>
                <w:szCs w:val="18"/>
                <w:vertAlign w:val="superscript"/>
              </w:rPr>
              <w:t>r</w:t>
            </w:r>
          </w:p>
          <w:p w:rsidR="00BB7312" w:rsidRPr="00C04C22" w:rsidRDefault="00BB7312" w:rsidP="00BA1CCE">
            <w:pPr>
              <w:rPr>
                <w:sz w:val="18"/>
                <w:szCs w:val="18"/>
                <w:u w:val="single"/>
                <w:lang w:eastAsia="ja-JP"/>
              </w:rPr>
            </w:pPr>
          </w:p>
          <w:p w:rsidR="00BB7312" w:rsidRPr="00C04C22" w:rsidRDefault="00BB7312" w:rsidP="00BA1CCE">
            <w:pPr>
              <w:rPr>
                <w:sz w:val="18"/>
                <w:szCs w:val="18"/>
                <w:lang w:eastAsia="ja-JP"/>
              </w:rPr>
            </w:pPr>
            <w:r w:rsidRPr="00C04C22">
              <w:rPr>
                <w:rFonts w:hint="eastAsia"/>
                <w:sz w:val="18"/>
                <w:szCs w:val="18"/>
                <w:lang w:eastAsia="ja-JP"/>
              </w:rPr>
              <w:t>T</w:t>
            </w:r>
            <w:r w:rsidRPr="00C04C22">
              <w:rPr>
                <w:sz w:val="18"/>
                <w:szCs w:val="18"/>
                <w:lang w:eastAsia="ja-JP"/>
              </w:rPr>
              <w:t>o investigate the reasons that breeders used names other than variety denominations with a view to considering whether a change to document UPOV/INF/12 could reduce such practices.</w:t>
            </w:r>
          </w:p>
          <w:p w:rsidR="00BB7312" w:rsidRPr="00C04C22" w:rsidRDefault="00BB7312" w:rsidP="00BA1CCE">
            <w:pPr>
              <w:rPr>
                <w:sz w:val="18"/>
                <w:szCs w:val="18"/>
                <w:u w:val="single"/>
                <w:lang w:eastAsia="ja-JP"/>
              </w:rPr>
            </w:pPr>
          </w:p>
          <w:p w:rsidR="00BB7312" w:rsidRPr="00C04C22" w:rsidRDefault="00BB7312" w:rsidP="00BA1CCE">
            <w:pPr>
              <w:rPr>
                <w:sz w:val="18"/>
                <w:szCs w:val="18"/>
                <w:u w:val="single"/>
                <w:lang w:eastAsia="ja-JP"/>
              </w:rPr>
            </w:pPr>
          </w:p>
          <w:p w:rsidR="00BB7312" w:rsidRPr="00C04C22" w:rsidRDefault="00BB7312" w:rsidP="00BA1CCE">
            <w:pPr>
              <w:rPr>
                <w:sz w:val="18"/>
                <w:szCs w:val="18"/>
                <w:u w:val="single"/>
                <w:lang w:eastAsia="ja-JP"/>
              </w:rPr>
            </w:pPr>
            <w:r w:rsidRPr="00C04C22">
              <w:rPr>
                <w:rFonts w:hint="eastAsia"/>
                <w:sz w:val="18"/>
                <w:szCs w:val="18"/>
                <w:u w:val="single"/>
                <w:lang w:eastAsia="ja-JP"/>
              </w:rPr>
              <w:t>Reasons provided</w:t>
            </w:r>
            <w:r w:rsidRPr="00C04C22">
              <w:rPr>
                <w:sz w:val="18"/>
                <w:szCs w:val="18"/>
                <w:u w:val="single"/>
              </w:rPr>
              <w:t xml:space="preserve"> by </w:t>
            </w:r>
            <w:r w:rsidRPr="00C04C22">
              <w:rPr>
                <w:rFonts w:hint="eastAsia"/>
                <w:sz w:val="18"/>
                <w:szCs w:val="18"/>
                <w:u w:val="single"/>
                <w:lang w:eastAsia="ja-JP"/>
              </w:rPr>
              <w:t xml:space="preserve">Netherlands submitted in conjunction with other proposals for </w:t>
            </w:r>
            <w:r w:rsidRPr="00C04C22">
              <w:rPr>
                <w:sz w:val="18"/>
                <w:szCs w:val="18"/>
                <w:u w:val="single"/>
                <w:lang w:eastAsia="ja-JP"/>
              </w:rPr>
              <w:t>UPOV Circular E-16/088 of April 13, 2016</w:t>
            </w:r>
          </w:p>
          <w:p w:rsidR="00BB7312" w:rsidRPr="00494FFB" w:rsidRDefault="00BB7312" w:rsidP="00BA1CCE">
            <w:pPr>
              <w:rPr>
                <w:sz w:val="18"/>
                <w:szCs w:val="18"/>
              </w:rPr>
            </w:pPr>
          </w:p>
        </w:tc>
      </w:tr>
    </w:tbl>
    <w:p w:rsidR="00BB7312" w:rsidRDefault="00BB7312" w:rsidP="00BA1CCE"/>
    <w:p w:rsidR="00BB7312" w:rsidRPr="00407B23" w:rsidRDefault="00BB7312" w:rsidP="00BA1CCE">
      <w:pPr>
        <w:jc w:val="right"/>
      </w:pPr>
    </w:p>
    <w:p w:rsidR="00BB7312" w:rsidRPr="00407B23" w:rsidRDefault="00BB7312" w:rsidP="00BA1CCE">
      <w:pPr>
        <w:jc w:val="right"/>
      </w:pPr>
    </w:p>
    <w:p w:rsidR="00BB7312" w:rsidRPr="00407B23" w:rsidRDefault="00BB7312" w:rsidP="00BA1CCE"/>
    <w:p w:rsidR="00BB7312" w:rsidRPr="00407B23" w:rsidRDefault="00BB7312" w:rsidP="00BA1CCE">
      <w:pPr>
        <w:jc w:val="right"/>
        <w:sectPr w:rsidR="00BB7312" w:rsidRPr="00407B23" w:rsidSect="00BA1CCE">
          <w:headerReference w:type="default" r:id="rId13"/>
          <w:footerReference w:type="first" r:id="rId14"/>
          <w:endnotePr>
            <w:numFmt w:val="lowerLetter"/>
          </w:endnotePr>
          <w:pgSz w:w="11907" w:h="16840" w:code="9"/>
          <w:pgMar w:top="510" w:right="1134" w:bottom="1134" w:left="1134" w:header="510" w:footer="624" w:gutter="0"/>
          <w:cols w:space="720"/>
          <w:titlePg/>
        </w:sectPr>
      </w:pPr>
    </w:p>
    <w:p w:rsidR="00BB7312" w:rsidRDefault="00BB7312" w:rsidP="00BA1CCE">
      <w:pPr>
        <w:jc w:val="center"/>
      </w:pPr>
    </w:p>
    <w:p w:rsidR="00BB7312" w:rsidRPr="00527219" w:rsidRDefault="00BB7312" w:rsidP="00BA1CCE">
      <w:pPr>
        <w:jc w:val="center"/>
      </w:pPr>
      <w:r>
        <w:t>UPOV/INF/12/6 Draft 4</w:t>
      </w:r>
    </w:p>
    <w:p w:rsidR="00BB7312" w:rsidRDefault="00BB7312" w:rsidP="00BA1CCE">
      <w:pPr>
        <w:jc w:val="center"/>
      </w:pPr>
    </w:p>
    <w:p w:rsidR="00BB7312" w:rsidRPr="00527219" w:rsidRDefault="00BB7312" w:rsidP="00BA1CCE">
      <w:pPr>
        <w:jc w:val="center"/>
      </w:pPr>
      <w:r w:rsidRPr="00527219">
        <w:t>ANNEX I</w:t>
      </w:r>
    </w:p>
    <w:p w:rsidR="00BB7312" w:rsidRPr="00527219" w:rsidRDefault="00BB7312" w:rsidP="00BA1CCE">
      <w:pPr>
        <w:jc w:val="center"/>
      </w:pPr>
    </w:p>
    <w:p w:rsidR="00BB7312" w:rsidRPr="00DE1471" w:rsidRDefault="00BB7312" w:rsidP="00BA1CCE">
      <w:pPr>
        <w:spacing w:line="240" w:lineRule="atLeast"/>
        <w:jc w:val="center"/>
        <w:rPr>
          <w:u w:val="single"/>
        </w:rPr>
      </w:pPr>
      <w:r w:rsidRPr="00DE1471">
        <w:rPr>
          <w:u w:val="single"/>
        </w:rPr>
        <w:t xml:space="preserve">UPOV Variety Denomination Classes:  </w:t>
      </w:r>
      <w:r w:rsidRPr="00DE1471">
        <w:rPr>
          <w:u w:val="single"/>
        </w:rPr>
        <w:br/>
        <w:t>A Variety Denomination Should not be Used More than Once in the Same Class</w:t>
      </w:r>
    </w:p>
    <w:p w:rsidR="00BB7312" w:rsidRPr="00407B23" w:rsidRDefault="00BB7312" w:rsidP="00BA1CCE">
      <w:pPr>
        <w:spacing w:line="240" w:lineRule="atLeast"/>
        <w:rPr>
          <w:b/>
        </w:rPr>
      </w:pPr>
    </w:p>
    <w:p w:rsidR="00BB7312" w:rsidRPr="00407B23" w:rsidRDefault="00BB7312" w:rsidP="00BA1CCE">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BB7312" w:rsidRPr="00407B23" w:rsidRDefault="00BB7312" w:rsidP="00BA1CCE">
      <w:pPr>
        <w:spacing w:line="240" w:lineRule="atLeast"/>
      </w:pPr>
    </w:p>
    <w:p w:rsidR="00BB7312" w:rsidRPr="00407B23" w:rsidRDefault="00BB7312" w:rsidP="00BA1CCE">
      <w:pPr>
        <w:spacing w:line="240" w:lineRule="atLeast"/>
      </w:pPr>
      <w:r w:rsidRPr="00407B23">
        <w:t xml:space="preserve">The variety denomination classes are as follows:  </w:t>
      </w:r>
    </w:p>
    <w:p w:rsidR="00BB7312" w:rsidRPr="00407B23" w:rsidRDefault="00BB7312" w:rsidP="00BA1CCE">
      <w:pPr>
        <w:spacing w:line="240" w:lineRule="atLeast"/>
      </w:pPr>
    </w:p>
    <w:p w:rsidR="00BB7312" w:rsidRPr="00DE1471" w:rsidRDefault="00BB7312" w:rsidP="00BA1CCE">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BB7312" w:rsidRPr="00DE1471" w:rsidRDefault="00BB7312" w:rsidP="00BA1CCE">
      <w:pPr>
        <w:pStyle w:val="BodyTextIndent"/>
        <w:ind w:left="0"/>
        <w:rPr>
          <w:lang w:val="en-US"/>
        </w:rPr>
      </w:pPr>
    </w:p>
    <w:p w:rsidR="00BB7312" w:rsidRPr="00DE1471" w:rsidRDefault="00BB7312" w:rsidP="00BA1CCE">
      <w:pPr>
        <w:pStyle w:val="BodyTextIndent"/>
        <w:ind w:left="0" w:firstLine="567"/>
        <w:rPr>
          <w:lang w:val="en-US"/>
        </w:rPr>
      </w:pPr>
      <w:r w:rsidRPr="00DE1471">
        <w:rPr>
          <w:lang w:val="en-US"/>
        </w:rPr>
        <w:t>(b)</w:t>
      </w:r>
      <w:r w:rsidRPr="00DE1471">
        <w:rPr>
          <w:lang w:val="en-US"/>
        </w:rPr>
        <w:tab/>
        <w:t xml:space="preserve">Exceptions to the General Rule (list of classes):  </w:t>
      </w:r>
    </w:p>
    <w:p w:rsidR="00BB7312" w:rsidRPr="00DE1471" w:rsidRDefault="00BB7312" w:rsidP="00BA1CCE">
      <w:pPr>
        <w:pStyle w:val="BodyTextIndent"/>
        <w:tabs>
          <w:tab w:val="right" w:pos="1134"/>
        </w:tabs>
        <w:ind w:left="0"/>
        <w:rPr>
          <w:lang w:val="en-US"/>
        </w:rPr>
      </w:pPr>
    </w:p>
    <w:p w:rsidR="00BB7312" w:rsidRPr="00407B23" w:rsidRDefault="00BB7312" w:rsidP="00BA1CCE">
      <w:pPr>
        <w:tabs>
          <w:tab w:val="right" w:pos="1134"/>
          <w:tab w:val="left" w:pos="1418"/>
        </w:tabs>
      </w:pPr>
      <w:r w:rsidRPr="00407B23">
        <w:tab/>
        <w:t>(i)</w:t>
      </w:r>
      <w:r w:rsidRPr="00407B23">
        <w:tab/>
        <w:t xml:space="preserve">classes within a genus:  List of classes in this Annex:  Part I;  </w:t>
      </w:r>
    </w:p>
    <w:p w:rsidR="00BB7312" w:rsidRPr="00407B23" w:rsidRDefault="00BB7312" w:rsidP="00BA1CCE">
      <w:pPr>
        <w:tabs>
          <w:tab w:val="right" w:pos="1134"/>
          <w:tab w:val="left" w:pos="1418"/>
        </w:tabs>
      </w:pPr>
    </w:p>
    <w:p w:rsidR="00BB7312" w:rsidRPr="00407B23" w:rsidRDefault="00BB7312" w:rsidP="00BA1CCE">
      <w:pPr>
        <w:tabs>
          <w:tab w:val="right" w:pos="1134"/>
          <w:tab w:val="left" w:pos="1418"/>
        </w:tabs>
      </w:pPr>
      <w:r w:rsidRPr="00407B23">
        <w:tab/>
        <w:t>(ii)</w:t>
      </w:r>
      <w:r w:rsidRPr="00407B23">
        <w:tab/>
        <w:t>classes encompassing more than one genus:  List of classes in this Annex:  Part II.</w:t>
      </w:r>
    </w:p>
    <w:p w:rsidR="00BB7312" w:rsidRDefault="00BB7312" w:rsidP="00BA1CCE">
      <w:pPr>
        <w:pStyle w:val="BodyTextIndent"/>
        <w:ind w:left="0"/>
        <w:rPr>
          <w:lang w:val="en-US"/>
        </w:rPr>
      </w:pPr>
    </w:p>
    <w:p w:rsidR="00BB7312" w:rsidRPr="00DE1471" w:rsidRDefault="00BB7312" w:rsidP="00BA1CCE">
      <w:pPr>
        <w:pStyle w:val="BodyTextIndent"/>
        <w:ind w:left="0"/>
        <w:rPr>
          <w:lang w:val="en-US"/>
        </w:rPr>
      </w:pPr>
    </w:p>
    <w:p w:rsidR="00BB7312" w:rsidRPr="00407B23" w:rsidRDefault="00BB7312" w:rsidP="00BA1CCE">
      <w:pPr>
        <w:jc w:val="center"/>
      </w:pPr>
      <w:r w:rsidRPr="00407B23">
        <w:t>LIST OF CLASSES</w:t>
      </w:r>
    </w:p>
    <w:p w:rsidR="00BB7312" w:rsidRPr="00DE1471" w:rsidRDefault="00BB7312" w:rsidP="00BA1CCE">
      <w:pPr>
        <w:rPr>
          <w:u w:val="single"/>
        </w:rPr>
      </w:pPr>
    </w:p>
    <w:p w:rsidR="00BB7312" w:rsidRPr="00DE1471" w:rsidRDefault="00BB7312" w:rsidP="00BA1CCE">
      <w:pPr>
        <w:pStyle w:val="Heading8"/>
      </w:pPr>
      <w:r w:rsidRPr="00DE1471">
        <w:t>Part I</w:t>
      </w:r>
    </w:p>
    <w:p w:rsidR="00BB7312" w:rsidRPr="00DE1471" w:rsidRDefault="00BB7312" w:rsidP="00BA1CCE">
      <w:pPr>
        <w:pStyle w:val="EndnoteText"/>
      </w:pPr>
    </w:p>
    <w:p w:rsidR="00BB7312" w:rsidRPr="00DE1471" w:rsidRDefault="00BB7312" w:rsidP="00BA1CCE">
      <w:pPr>
        <w:jc w:val="center"/>
        <w:rPr>
          <w:i/>
        </w:rPr>
      </w:pPr>
      <w:r w:rsidRPr="00DE1471">
        <w:rPr>
          <w:i/>
        </w:rPr>
        <w:t>Classes within a genus</w:t>
      </w:r>
    </w:p>
    <w:p w:rsidR="00BB7312" w:rsidRDefault="00BB7312" w:rsidP="00BA1CCE">
      <w:pPr>
        <w:pStyle w:val="Style1"/>
        <w:tabs>
          <w:tab w:val="clear" w:pos="907"/>
          <w:tab w:val="clear" w:pos="1077"/>
        </w:tabs>
        <w:rPr>
          <w:szCs w:val="20"/>
        </w:rPr>
      </w:pPr>
    </w:p>
    <w:p w:rsidR="00BB7312" w:rsidRPr="00DE1471" w:rsidRDefault="00BB7312" w:rsidP="00BA1CCE">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BB7312" w:rsidRPr="00A6443F" w:rsidTr="00BA1CCE">
        <w:trPr>
          <w:cantSplit/>
          <w:tblHeader/>
        </w:trPr>
        <w:tc>
          <w:tcPr>
            <w:tcW w:w="1418" w:type="dxa"/>
            <w:shd w:val="clear" w:color="auto" w:fill="D9D9D9" w:themeFill="background1" w:themeFillShade="D9"/>
            <w:vAlign w:val="center"/>
          </w:tcPr>
          <w:p w:rsidR="00BB7312" w:rsidRPr="00A6443F" w:rsidRDefault="00BB7312" w:rsidP="00BA1CCE">
            <w:pPr>
              <w:spacing w:before="40" w:after="60"/>
              <w:jc w:val="left"/>
              <w:rPr>
                <w:sz w:val="18"/>
                <w:u w:val="single"/>
              </w:rPr>
            </w:pPr>
          </w:p>
        </w:tc>
        <w:tc>
          <w:tcPr>
            <w:tcW w:w="5670" w:type="dxa"/>
            <w:shd w:val="clear" w:color="auto" w:fill="D9D9D9" w:themeFill="background1" w:themeFillShade="D9"/>
            <w:vAlign w:val="center"/>
          </w:tcPr>
          <w:p w:rsidR="00BB7312" w:rsidRPr="00A6443F" w:rsidRDefault="00BB7312" w:rsidP="00BA1CCE">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BB7312" w:rsidRPr="00A6443F" w:rsidRDefault="00BB7312" w:rsidP="00BA1CCE">
            <w:pPr>
              <w:spacing w:before="40" w:after="60"/>
              <w:jc w:val="center"/>
              <w:rPr>
                <w:sz w:val="18"/>
                <w:u w:val="single"/>
              </w:rPr>
            </w:pPr>
            <w:r w:rsidRPr="00A6443F">
              <w:rPr>
                <w:sz w:val="18"/>
                <w:u w:val="single"/>
              </w:rPr>
              <w:t>UPOV codes</w:t>
            </w:r>
          </w:p>
        </w:tc>
      </w:tr>
      <w:tr w:rsidR="00BB7312" w:rsidRPr="00A6443F" w:rsidTr="00BA1CCE">
        <w:trPr>
          <w:cantSplit/>
          <w:tblHeader/>
        </w:trPr>
        <w:tc>
          <w:tcPr>
            <w:tcW w:w="1418" w:type="dxa"/>
            <w:tcBorders>
              <w:left w:val="nil"/>
              <w:right w:val="nil"/>
            </w:tcBorders>
          </w:tcPr>
          <w:p w:rsidR="00BB7312" w:rsidRPr="00A6443F" w:rsidRDefault="00BB7312" w:rsidP="00BA1CCE">
            <w:pPr>
              <w:jc w:val="left"/>
              <w:rPr>
                <w:sz w:val="18"/>
              </w:rPr>
            </w:pPr>
          </w:p>
        </w:tc>
        <w:tc>
          <w:tcPr>
            <w:tcW w:w="5670" w:type="dxa"/>
            <w:tcBorders>
              <w:left w:val="nil"/>
              <w:right w:val="nil"/>
            </w:tcBorders>
          </w:tcPr>
          <w:p w:rsidR="00BB7312" w:rsidRPr="00A6443F" w:rsidRDefault="00BB7312" w:rsidP="00BA1CCE">
            <w:pPr>
              <w:jc w:val="left"/>
              <w:rPr>
                <w:sz w:val="18"/>
              </w:rPr>
            </w:pPr>
          </w:p>
        </w:tc>
        <w:tc>
          <w:tcPr>
            <w:tcW w:w="2551" w:type="dxa"/>
            <w:tcBorders>
              <w:left w:val="nil"/>
              <w:right w:val="nil"/>
            </w:tcBorders>
          </w:tcPr>
          <w:p w:rsidR="00BB7312" w:rsidRPr="00A6443F" w:rsidRDefault="00BB7312" w:rsidP="00BA1CCE">
            <w:pPr>
              <w:jc w:val="left"/>
              <w:rPr>
                <w:sz w:val="18"/>
              </w:rPr>
            </w:pPr>
          </w:p>
        </w:tc>
      </w:tr>
      <w:tr w:rsidR="00BB7312" w:rsidRPr="00A6443F" w:rsidTr="00BA1CCE">
        <w:trPr>
          <w:cantSplit/>
        </w:trPr>
        <w:tc>
          <w:tcPr>
            <w:tcW w:w="1418" w:type="dxa"/>
          </w:tcPr>
          <w:p w:rsidR="00BB7312" w:rsidRPr="00A6443F" w:rsidRDefault="00BB7312" w:rsidP="00BA1CCE">
            <w:pPr>
              <w:spacing w:before="40" w:after="40"/>
              <w:jc w:val="left"/>
              <w:rPr>
                <w:sz w:val="18"/>
              </w:rPr>
            </w:pPr>
            <w:r w:rsidRPr="00A6443F">
              <w:rPr>
                <w:sz w:val="18"/>
              </w:rPr>
              <w:t>Class 1.1</w:t>
            </w:r>
          </w:p>
        </w:tc>
        <w:tc>
          <w:tcPr>
            <w:tcW w:w="5670" w:type="dxa"/>
          </w:tcPr>
          <w:p w:rsidR="00BB7312" w:rsidRPr="00A6443F" w:rsidRDefault="00BB7312" w:rsidP="00BA1CCE">
            <w:pPr>
              <w:spacing w:before="40" w:after="40"/>
              <w:jc w:val="left"/>
              <w:rPr>
                <w:sz w:val="18"/>
              </w:rPr>
            </w:pPr>
            <w:r w:rsidRPr="00A6443F">
              <w:rPr>
                <w:sz w:val="18"/>
              </w:rPr>
              <w:t>Brassica oleracea</w:t>
            </w:r>
          </w:p>
        </w:tc>
        <w:tc>
          <w:tcPr>
            <w:tcW w:w="2551" w:type="dxa"/>
          </w:tcPr>
          <w:p w:rsidR="00BB7312" w:rsidRPr="00A6443F" w:rsidRDefault="00BB7312" w:rsidP="00BA1CCE">
            <w:pPr>
              <w:spacing w:before="40" w:after="40"/>
              <w:jc w:val="left"/>
              <w:rPr>
                <w:sz w:val="18"/>
              </w:rPr>
            </w:pPr>
            <w:r w:rsidRPr="00A6443F">
              <w:rPr>
                <w:sz w:val="18"/>
              </w:rPr>
              <w:t>BRASS_OLE</w:t>
            </w:r>
          </w:p>
        </w:tc>
      </w:tr>
      <w:tr w:rsidR="00BB7312" w:rsidRPr="00A6443F" w:rsidTr="00BA1CCE">
        <w:trPr>
          <w:cantSplit/>
        </w:trPr>
        <w:tc>
          <w:tcPr>
            <w:tcW w:w="1418" w:type="dxa"/>
            <w:tcBorders>
              <w:bottom w:val="nil"/>
            </w:tcBorders>
          </w:tcPr>
          <w:p w:rsidR="00BB7312" w:rsidRPr="00A6443F" w:rsidRDefault="00BB7312" w:rsidP="00BA1CCE">
            <w:pPr>
              <w:spacing w:before="40" w:after="40"/>
              <w:jc w:val="left"/>
              <w:rPr>
                <w:sz w:val="18"/>
              </w:rPr>
            </w:pPr>
            <w:r w:rsidRPr="00A6443F">
              <w:rPr>
                <w:sz w:val="18"/>
              </w:rPr>
              <w:t>Class 1.2</w:t>
            </w:r>
          </w:p>
        </w:tc>
        <w:tc>
          <w:tcPr>
            <w:tcW w:w="5670" w:type="dxa"/>
            <w:tcBorders>
              <w:bottom w:val="nil"/>
            </w:tcBorders>
          </w:tcPr>
          <w:p w:rsidR="00BB7312" w:rsidRPr="00A6443F" w:rsidRDefault="00BB7312" w:rsidP="00BA1CCE">
            <w:pPr>
              <w:spacing w:before="40" w:after="40"/>
              <w:jc w:val="left"/>
              <w:rPr>
                <w:sz w:val="18"/>
              </w:rPr>
            </w:pPr>
            <w:r w:rsidRPr="00A6443F">
              <w:rPr>
                <w:sz w:val="18"/>
              </w:rPr>
              <w:t>Brassica other than Brassica oleracea</w:t>
            </w:r>
          </w:p>
        </w:tc>
        <w:tc>
          <w:tcPr>
            <w:tcW w:w="2551" w:type="dxa"/>
            <w:tcBorders>
              <w:bottom w:val="nil"/>
            </w:tcBorders>
          </w:tcPr>
          <w:p w:rsidR="00BB7312" w:rsidRPr="00A6443F" w:rsidRDefault="00BB7312" w:rsidP="00BA1CCE">
            <w:pPr>
              <w:spacing w:before="40" w:after="40"/>
              <w:jc w:val="left"/>
              <w:rPr>
                <w:sz w:val="18"/>
              </w:rPr>
            </w:pPr>
            <w:r w:rsidRPr="00A6443F">
              <w:rPr>
                <w:sz w:val="18"/>
              </w:rPr>
              <w:t>other than BRASS_OLE</w:t>
            </w:r>
          </w:p>
        </w:tc>
      </w:tr>
      <w:tr w:rsidR="00BB7312" w:rsidRPr="00A6443F" w:rsidTr="00BA1CCE">
        <w:trPr>
          <w:cantSplit/>
        </w:trPr>
        <w:tc>
          <w:tcPr>
            <w:tcW w:w="1418" w:type="dxa"/>
            <w:tcBorders>
              <w:left w:val="nil"/>
              <w:right w:val="nil"/>
            </w:tcBorders>
          </w:tcPr>
          <w:p w:rsidR="00BB7312" w:rsidRPr="00A6443F" w:rsidRDefault="00BB7312" w:rsidP="00BA1CCE">
            <w:pPr>
              <w:jc w:val="left"/>
              <w:rPr>
                <w:sz w:val="18"/>
              </w:rPr>
            </w:pPr>
          </w:p>
        </w:tc>
        <w:tc>
          <w:tcPr>
            <w:tcW w:w="5670" w:type="dxa"/>
            <w:tcBorders>
              <w:left w:val="nil"/>
              <w:right w:val="nil"/>
            </w:tcBorders>
          </w:tcPr>
          <w:p w:rsidR="00BB7312" w:rsidRPr="00A6443F" w:rsidRDefault="00BB7312" w:rsidP="00BA1CCE">
            <w:pPr>
              <w:jc w:val="left"/>
              <w:rPr>
                <w:sz w:val="18"/>
              </w:rPr>
            </w:pPr>
          </w:p>
        </w:tc>
        <w:tc>
          <w:tcPr>
            <w:tcW w:w="2551" w:type="dxa"/>
            <w:tcBorders>
              <w:left w:val="nil"/>
              <w:right w:val="nil"/>
            </w:tcBorders>
          </w:tcPr>
          <w:p w:rsidR="00BB7312" w:rsidRPr="00A6443F" w:rsidRDefault="00BB7312" w:rsidP="00BA1CCE">
            <w:pPr>
              <w:jc w:val="left"/>
              <w:rPr>
                <w:sz w:val="18"/>
              </w:rPr>
            </w:pPr>
          </w:p>
        </w:tc>
      </w:tr>
      <w:tr w:rsidR="00BB7312" w:rsidRPr="00B844B0" w:rsidTr="00BA1CCE">
        <w:trPr>
          <w:cantSplit/>
        </w:trPr>
        <w:tc>
          <w:tcPr>
            <w:tcW w:w="1418" w:type="dxa"/>
          </w:tcPr>
          <w:p w:rsidR="00BB7312" w:rsidRPr="00A6443F" w:rsidRDefault="00BB7312" w:rsidP="00BA1CCE">
            <w:pPr>
              <w:spacing w:before="40" w:after="40"/>
              <w:jc w:val="left"/>
              <w:rPr>
                <w:sz w:val="18"/>
              </w:rPr>
            </w:pPr>
            <w:r w:rsidRPr="00A6443F">
              <w:rPr>
                <w:sz w:val="18"/>
              </w:rPr>
              <w:t>Class 2.1</w:t>
            </w:r>
          </w:p>
        </w:tc>
        <w:tc>
          <w:tcPr>
            <w:tcW w:w="5670" w:type="dxa"/>
          </w:tcPr>
          <w:p w:rsidR="00BB7312" w:rsidRPr="00A6443F" w:rsidRDefault="00BB7312" w:rsidP="00BA1CCE">
            <w:pPr>
              <w:spacing w:before="40" w:after="40"/>
              <w:jc w:val="left"/>
              <w:rPr>
                <w:sz w:val="18"/>
                <w:lang w:val="es-ES"/>
              </w:rPr>
            </w:pPr>
            <w:r w:rsidRPr="00A6443F">
              <w:rPr>
                <w:sz w:val="18"/>
                <w:lang w:val="es-ES"/>
              </w:rPr>
              <w:t xml:space="preserve">Beta vulgaris L. var. alba DC., </w:t>
            </w:r>
            <w:r w:rsidRPr="00A6443F">
              <w:rPr>
                <w:sz w:val="18"/>
                <w:lang w:val="es-ES"/>
              </w:rPr>
              <w:br/>
              <w:t>Beta vulgaris L. var. altissima</w:t>
            </w:r>
          </w:p>
        </w:tc>
        <w:tc>
          <w:tcPr>
            <w:tcW w:w="2551" w:type="dxa"/>
          </w:tcPr>
          <w:p w:rsidR="00BB7312" w:rsidRPr="00A6443F" w:rsidRDefault="00BB7312" w:rsidP="00BA1CCE">
            <w:pPr>
              <w:spacing w:before="40" w:after="40"/>
              <w:jc w:val="left"/>
              <w:rPr>
                <w:sz w:val="18"/>
                <w:lang w:val="nl-NL"/>
              </w:rPr>
            </w:pPr>
            <w:r w:rsidRPr="00A6443F">
              <w:rPr>
                <w:sz w:val="18"/>
                <w:lang w:val="nl-NL"/>
              </w:rPr>
              <w:t>BETAA_VUL_GVA;  BETAA_VUL_GVS</w:t>
            </w:r>
          </w:p>
        </w:tc>
      </w:tr>
      <w:tr w:rsidR="00BB7312" w:rsidRPr="00B844B0" w:rsidTr="00BA1CCE">
        <w:trPr>
          <w:cantSplit/>
        </w:trPr>
        <w:tc>
          <w:tcPr>
            <w:tcW w:w="1418" w:type="dxa"/>
          </w:tcPr>
          <w:p w:rsidR="00BB7312" w:rsidRPr="00A6443F" w:rsidRDefault="00BB7312" w:rsidP="00BA1CCE">
            <w:pPr>
              <w:spacing w:before="40" w:after="40"/>
              <w:jc w:val="left"/>
              <w:rPr>
                <w:sz w:val="18"/>
              </w:rPr>
            </w:pPr>
            <w:r w:rsidRPr="00A6443F">
              <w:rPr>
                <w:sz w:val="18"/>
              </w:rPr>
              <w:t>Class 2.2</w:t>
            </w:r>
          </w:p>
        </w:tc>
        <w:tc>
          <w:tcPr>
            <w:tcW w:w="5670" w:type="dxa"/>
          </w:tcPr>
          <w:p w:rsidR="00BB7312" w:rsidRPr="00A6443F" w:rsidRDefault="00BB7312" w:rsidP="00BA1CCE">
            <w:pPr>
              <w:spacing w:before="40" w:after="40"/>
              <w:jc w:val="left"/>
              <w:rPr>
                <w:sz w:val="18"/>
                <w:lang w:val="es-ES"/>
              </w:rPr>
            </w:pPr>
            <w:r w:rsidRPr="00A6443F">
              <w:rPr>
                <w:sz w:val="18"/>
                <w:lang w:val="es-ES"/>
              </w:rPr>
              <w:t>Beta vulgaris ssp. vulgaris var. conditiva Alef. (syn.:  B. vulgaris L. var. rubra L.), B. vulgaris L. var. cicla L., B. vulgaris L. ssp. vulgaris var. vulgaris</w:t>
            </w:r>
          </w:p>
        </w:tc>
        <w:tc>
          <w:tcPr>
            <w:tcW w:w="2551" w:type="dxa"/>
          </w:tcPr>
          <w:p w:rsidR="00BB7312" w:rsidRPr="00A6443F" w:rsidRDefault="00BB7312" w:rsidP="00BA1CCE">
            <w:pPr>
              <w:spacing w:before="40" w:after="40"/>
              <w:jc w:val="left"/>
              <w:rPr>
                <w:sz w:val="18"/>
                <w:lang w:val="nl-NL"/>
              </w:rPr>
            </w:pPr>
            <w:r w:rsidRPr="00A6443F">
              <w:rPr>
                <w:sz w:val="18"/>
                <w:lang w:val="nl-NL"/>
              </w:rPr>
              <w:t>BETAA_VUL_GVC; BETAA_VUL_GVF</w:t>
            </w:r>
          </w:p>
        </w:tc>
      </w:tr>
      <w:tr w:rsidR="00BB7312" w:rsidRPr="00A6443F" w:rsidTr="00BA1CCE">
        <w:trPr>
          <w:cantSplit/>
        </w:trPr>
        <w:tc>
          <w:tcPr>
            <w:tcW w:w="1418" w:type="dxa"/>
            <w:tcBorders>
              <w:bottom w:val="nil"/>
            </w:tcBorders>
          </w:tcPr>
          <w:p w:rsidR="00BB7312" w:rsidRPr="00A6443F" w:rsidRDefault="00BB7312" w:rsidP="00BA1CCE">
            <w:pPr>
              <w:spacing w:before="40" w:after="40"/>
              <w:jc w:val="left"/>
              <w:rPr>
                <w:sz w:val="18"/>
              </w:rPr>
            </w:pPr>
            <w:r w:rsidRPr="00A6443F">
              <w:rPr>
                <w:sz w:val="18"/>
              </w:rPr>
              <w:t>Class 2.3</w:t>
            </w:r>
          </w:p>
        </w:tc>
        <w:tc>
          <w:tcPr>
            <w:tcW w:w="5670" w:type="dxa"/>
            <w:tcBorders>
              <w:bottom w:val="nil"/>
            </w:tcBorders>
          </w:tcPr>
          <w:p w:rsidR="00BB7312" w:rsidRPr="00A6443F" w:rsidRDefault="00BB7312" w:rsidP="00BA1CCE">
            <w:pPr>
              <w:spacing w:before="40" w:after="40"/>
              <w:jc w:val="left"/>
              <w:rPr>
                <w:sz w:val="18"/>
              </w:rPr>
            </w:pPr>
            <w:r w:rsidRPr="00A6443F">
              <w:rPr>
                <w:sz w:val="18"/>
              </w:rPr>
              <w:t>Beta other than classes 2.1 and 2.2.</w:t>
            </w:r>
          </w:p>
        </w:tc>
        <w:tc>
          <w:tcPr>
            <w:tcW w:w="2551" w:type="dxa"/>
            <w:tcBorders>
              <w:bottom w:val="nil"/>
            </w:tcBorders>
          </w:tcPr>
          <w:p w:rsidR="00BB7312" w:rsidRPr="00A6443F" w:rsidRDefault="00BB7312" w:rsidP="00BA1CCE">
            <w:pPr>
              <w:spacing w:before="40" w:after="40"/>
              <w:jc w:val="left"/>
              <w:rPr>
                <w:sz w:val="18"/>
              </w:rPr>
            </w:pPr>
            <w:r w:rsidRPr="00A6443F">
              <w:rPr>
                <w:sz w:val="18"/>
              </w:rPr>
              <w:t>other than classes 2.1</w:t>
            </w:r>
            <w:r w:rsidRPr="00A6443F">
              <w:rPr>
                <w:sz w:val="18"/>
              </w:rPr>
              <w:br/>
              <w:t>and 2.2</w:t>
            </w:r>
          </w:p>
        </w:tc>
      </w:tr>
      <w:tr w:rsidR="00BB7312" w:rsidRPr="00A6443F" w:rsidTr="00BA1CCE">
        <w:trPr>
          <w:cantSplit/>
        </w:trPr>
        <w:tc>
          <w:tcPr>
            <w:tcW w:w="1418" w:type="dxa"/>
            <w:tcBorders>
              <w:left w:val="nil"/>
              <w:bottom w:val="nil"/>
              <w:right w:val="nil"/>
            </w:tcBorders>
          </w:tcPr>
          <w:p w:rsidR="00BB7312" w:rsidRPr="00A6443F" w:rsidRDefault="00BB7312" w:rsidP="00BA1CCE">
            <w:pPr>
              <w:jc w:val="left"/>
              <w:rPr>
                <w:sz w:val="18"/>
              </w:rPr>
            </w:pPr>
          </w:p>
        </w:tc>
        <w:tc>
          <w:tcPr>
            <w:tcW w:w="5670" w:type="dxa"/>
            <w:tcBorders>
              <w:left w:val="nil"/>
              <w:bottom w:val="nil"/>
              <w:right w:val="nil"/>
            </w:tcBorders>
          </w:tcPr>
          <w:p w:rsidR="00BB7312" w:rsidRPr="00A6443F" w:rsidRDefault="00BB7312" w:rsidP="00BA1CCE">
            <w:pPr>
              <w:jc w:val="left"/>
              <w:rPr>
                <w:sz w:val="18"/>
              </w:rPr>
            </w:pPr>
          </w:p>
        </w:tc>
        <w:tc>
          <w:tcPr>
            <w:tcW w:w="2551" w:type="dxa"/>
            <w:tcBorders>
              <w:left w:val="nil"/>
              <w:bottom w:val="nil"/>
              <w:right w:val="nil"/>
            </w:tcBorders>
          </w:tcPr>
          <w:p w:rsidR="00BB7312" w:rsidRPr="00A6443F" w:rsidRDefault="00BB7312" w:rsidP="00BA1CCE">
            <w:pPr>
              <w:jc w:val="left"/>
              <w:rPr>
                <w:sz w:val="18"/>
              </w:rPr>
            </w:pPr>
          </w:p>
        </w:tc>
      </w:tr>
      <w:tr w:rsidR="00BB7312" w:rsidRPr="00A6443F" w:rsidTr="00BA1CCE">
        <w:trPr>
          <w:cantSplit/>
        </w:trPr>
        <w:tc>
          <w:tcPr>
            <w:tcW w:w="1418" w:type="dxa"/>
            <w:tcBorders>
              <w:top w:val="single" w:sz="4" w:space="0" w:color="auto"/>
            </w:tcBorders>
          </w:tcPr>
          <w:p w:rsidR="00BB7312" w:rsidRPr="00A6443F" w:rsidRDefault="00BB7312" w:rsidP="00BA1CCE">
            <w:pPr>
              <w:spacing w:before="40" w:after="40"/>
              <w:jc w:val="left"/>
              <w:rPr>
                <w:sz w:val="18"/>
              </w:rPr>
            </w:pPr>
            <w:r w:rsidRPr="00A6443F">
              <w:rPr>
                <w:sz w:val="18"/>
              </w:rPr>
              <w:t>Class 3.1</w:t>
            </w:r>
          </w:p>
        </w:tc>
        <w:tc>
          <w:tcPr>
            <w:tcW w:w="5670" w:type="dxa"/>
            <w:tcBorders>
              <w:top w:val="single" w:sz="4" w:space="0" w:color="auto"/>
            </w:tcBorders>
          </w:tcPr>
          <w:p w:rsidR="00BB7312" w:rsidRPr="00A6443F" w:rsidRDefault="00BB7312" w:rsidP="00BA1CCE">
            <w:pPr>
              <w:spacing w:before="40" w:after="40"/>
              <w:jc w:val="left"/>
              <w:rPr>
                <w:sz w:val="18"/>
              </w:rPr>
            </w:pPr>
            <w:r w:rsidRPr="00A6443F">
              <w:rPr>
                <w:sz w:val="18"/>
              </w:rPr>
              <w:t>Cucumis sativus</w:t>
            </w:r>
          </w:p>
        </w:tc>
        <w:tc>
          <w:tcPr>
            <w:tcW w:w="2551" w:type="dxa"/>
            <w:tcBorders>
              <w:top w:val="single" w:sz="4" w:space="0" w:color="auto"/>
            </w:tcBorders>
          </w:tcPr>
          <w:p w:rsidR="00BB7312" w:rsidRPr="00A6443F" w:rsidRDefault="00BB7312" w:rsidP="00BA1CCE">
            <w:pPr>
              <w:spacing w:before="40" w:after="40"/>
              <w:jc w:val="left"/>
              <w:rPr>
                <w:sz w:val="18"/>
              </w:rPr>
            </w:pPr>
            <w:r w:rsidRPr="00A6443F">
              <w:rPr>
                <w:sz w:val="18"/>
              </w:rPr>
              <w:t>CUCUM_SAT</w:t>
            </w:r>
          </w:p>
        </w:tc>
      </w:tr>
      <w:tr w:rsidR="00BB7312" w:rsidRPr="00A6443F" w:rsidTr="00BA1CCE">
        <w:trPr>
          <w:cantSplit/>
        </w:trPr>
        <w:tc>
          <w:tcPr>
            <w:tcW w:w="1418" w:type="dxa"/>
          </w:tcPr>
          <w:p w:rsidR="00BB7312" w:rsidRPr="00A6443F" w:rsidRDefault="00BB7312" w:rsidP="00BA1CCE">
            <w:pPr>
              <w:spacing w:before="40" w:after="40"/>
              <w:jc w:val="left"/>
              <w:rPr>
                <w:sz w:val="18"/>
              </w:rPr>
            </w:pPr>
            <w:r w:rsidRPr="00A6443F">
              <w:rPr>
                <w:sz w:val="18"/>
              </w:rPr>
              <w:t>Class 3.2</w:t>
            </w:r>
          </w:p>
        </w:tc>
        <w:tc>
          <w:tcPr>
            <w:tcW w:w="5670" w:type="dxa"/>
          </w:tcPr>
          <w:p w:rsidR="00BB7312" w:rsidRPr="00A6443F" w:rsidRDefault="00BB7312" w:rsidP="00BA1CCE">
            <w:pPr>
              <w:spacing w:before="40" w:after="40"/>
              <w:jc w:val="left"/>
              <w:rPr>
                <w:sz w:val="18"/>
              </w:rPr>
            </w:pPr>
            <w:r w:rsidRPr="00A6443F">
              <w:rPr>
                <w:sz w:val="18"/>
              </w:rPr>
              <w:t>Cucumis melo</w:t>
            </w:r>
          </w:p>
        </w:tc>
        <w:tc>
          <w:tcPr>
            <w:tcW w:w="2551" w:type="dxa"/>
          </w:tcPr>
          <w:p w:rsidR="00BB7312" w:rsidRPr="00A6443F" w:rsidRDefault="00BB7312" w:rsidP="00BA1CCE">
            <w:pPr>
              <w:spacing w:before="40" w:after="40"/>
              <w:jc w:val="left"/>
              <w:rPr>
                <w:sz w:val="18"/>
              </w:rPr>
            </w:pPr>
            <w:r w:rsidRPr="00A6443F">
              <w:rPr>
                <w:sz w:val="18"/>
              </w:rPr>
              <w:t>CUCUM_MEL</w:t>
            </w:r>
          </w:p>
        </w:tc>
      </w:tr>
      <w:tr w:rsidR="00BB7312" w:rsidRPr="00A6443F" w:rsidTr="00BA1CCE">
        <w:trPr>
          <w:cantSplit/>
        </w:trPr>
        <w:tc>
          <w:tcPr>
            <w:tcW w:w="1418" w:type="dxa"/>
          </w:tcPr>
          <w:p w:rsidR="00BB7312" w:rsidRPr="00A6443F" w:rsidRDefault="00BB7312" w:rsidP="00BA1CCE">
            <w:pPr>
              <w:spacing w:before="40" w:after="40"/>
              <w:jc w:val="left"/>
              <w:rPr>
                <w:sz w:val="18"/>
              </w:rPr>
            </w:pPr>
            <w:r w:rsidRPr="00A6443F">
              <w:rPr>
                <w:sz w:val="18"/>
              </w:rPr>
              <w:t>Class 3.3</w:t>
            </w:r>
          </w:p>
        </w:tc>
        <w:tc>
          <w:tcPr>
            <w:tcW w:w="5670" w:type="dxa"/>
          </w:tcPr>
          <w:p w:rsidR="00BB7312" w:rsidRPr="00A6443F" w:rsidRDefault="00BB7312" w:rsidP="00BA1CCE">
            <w:pPr>
              <w:spacing w:before="40" w:after="40"/>
              <w:jc w:val="left"/>
              <w:rPr>
                <w:sz w:val="18"/>
              </w:rPr>
            </w:pPr>
            <w:r w:rsidRPr="00A6443F">
              <w:rPr>
                <w:sz w:val="18"/>
              </w:rPr>
              <w:t>Cucumis other than classes 3.1 and 3.2</w:t>
            </w:r>
          </w:p>
        </w:tc>
        <w:tc>
          <w:tcPr>
            <w:tcW w:w="2551" w:type="dxa"/>
          </w:tcPr>
          <w:p w:rsidR="00BB7312" w:rsidRPr="00A6443F" w:rsidRDefault="00BB7312" w:rsidP="00BA1CCE">
            <w:pPr>
              <w:spacing w:before="40" w:after="40"/>
              <w:jc w:val="left"/>
              <w:rPr>
                <w:sz w:val="18"/>
              </w:rPr>
            </w:pPr>
            <w:r w:rsidRPr="00A6443F">
              <w:rPr>
                <w:sz w:val="18"/>
              </w:rPr>
              <w:t>other than classes 3.1</w:t>
            </w:r>
            <w:r w:rsidRPr="00A6443F">
              <w:rPr>
                <w:sz w:val="18"/>
              </w:rPr>
              <w:br/>
              <w:t>and 3.2</w:t>
            </w:r>
          </w:p>
        </w:tc>
      </w:tr>
      <w:tr w:rsidR="00BB7312" w:rsidRPr="00A6443F" w:rsidTr="00BA1CCE">
        <w:trPr>
          <w:cantSplit/>
        </w:trPr>
        <w:tc>
          <w:tcPr>
            <w:tcW w:w="1418" w:type="dxa"/>
            <w:tcBorders>
              <w:left w:val="nil"/>
              <w:bottom w:val="nil"/>
              <w:right w:val="nil"/>
            </w:tcBorders>
          </w:tcPr>
          <w:p w:rsidR="00BB7312" w:rsidRPr="00A6443F" w:rsidRDefault="00BB7312" w:rsidP="00BA1CCE">
            <w:pPr>
              <w:jc w:val="left"/>
              <w:rPr>
                <w:sz w:val="18"/>
              </w:rPr>
            </w:pPr>
          </w:p>
        </w:tc>
        <w:tc>
          <w:tcPr>
            <w:tcW w:w="5670" w:type="dxa"/>
            <w:tcBorders>
              <w:left w:val="nil"/>
              <w:bottom w:val="nil"/>
              <w:right w:val="nil"/>
            </w:tcBorders>
          </w:tcPr>
          <w:p w:rsidR="00BB7312" w:rsidRPr="00A6443F" w:rsidRDefault="00BB7312" w:rsidP="00BA1CCE">
            <w:pPr>
              <w:jc w:val="left"/>
              <w:rPr>
                <w:sz w:val="18"/>
              </w:rPr>
            </w:pPr>
          </w:p>
        </w:tc>
        <w:tc>
          <w:tcPr>
            <w:tcW w:w="2551" w:type="dxa"/>
            <w:tcBorders>
              <w:left w:val="nil"/>
              <w:bottom w:val="nil"/>
              <w:right w:val="nil"/>
            </w:tcBorders>
          </w:tcPr>
          <w:p w:rsidR="00BB7312" w:rsidRPr="00A6443F" w:rsidRDefault="00BB7312" w:rsidP="00BA1CCE">
            <w:pPr>
              <w:jc w:val="left"/>
              <w:rPr>
                <w:sz w:val="18"/>
              </w:rPr>
            </w:pPr>
          </w:p>
        </w:tc>
      </w:tr>
      <w:tr w:rsidR="00BB7312" w:rsidRPr="00A6443F" w:rsidTr="00BA1CCE">
        <w:trPr>
          <w:cantSplit/>
        </w:trPr>
        <w:tc>
          <w:tcPr>
            <w:tcW w:w="1418" w:type="dxa"/>
            <w:tcBorders>
              <w:top w:val="single" w:sz="4" w:space="0" w:color="auto"/>
              <w:left w:val="single" w:sz="4" w:space="0" w:color="auto"/>
              <w:bottom w:val="single" w:sz="4" w:space="0" w:color="auto"/>
            </w:tcBorders>
          </w:tcPr>
          <w:p w:rsidR="00BB7312" w:rsidRPr="00A6443F" w:rsidRDefault="00BB7312" w:rsidP="00BA1CCE">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BB7312" w:rsidRPr="00A6443F" w:rsidRDefault="00BB7312" w:rsidP="00BA1CCE">
            <w:pPr>
              <w:keepNext/>
              <w:spacing w:before="40" w:after="40"/>
              <w:rPr>
                <w:color w:val="000000"/>
                <w:sz w:val="18"/>
              </w:rPr>
            </w:pPr>
            <w:r w:rsidRPr="00A6443F">
              <w:rPr>
                <w:color w:val="000000"/>
                <w:sz w:val="18"/>
              </w:rPr>
              <w:t>Solanum tuberosum L.</w:t>
            </w:r>
          </w:p>
        </w:tc>
        <w:tc>
          <w:tcPr>
            <w:tcW w:w="2551" w:type="dxa"/>
            <w:tcBorders>
              <w:top w:val="single" w:sz="4" w:space="0" w:color="auto"/>
              <w:bottom w:val="single" w:sz="4" w:space="0" w:color="auto"/>
            </w:tcBorders>
          </w:tcPr>
          <w:p w:rsidR="00BB7312" w:rsidRPr="00A6443F" w:rsidRDefault="00BB7312" w:rsidP="00BA1CCE">
            <w:pPr>
              <w:keepNext/>
              <w:spacing w:before="40" w:after="40"/>
              <w:rPr>
                <w:color w:val="000000"/>
                <w:sz w:val="18"/>
              </w:rPr>
            </w:pPr>
            <w:r w:rsidRPr="00A6443F">
              <w:rPr>
                <w:color w:val="000000"/>
                <w:sz w:val="18"/>
              </w:rPr>
              <w:t>SOLAN_TUB</w:t>
            </w:r>
          </w:p>
        </w:tc>
      </w:tr>
      <w:tr w:rsidR="00BB7312" w:rsidRPr="00A6443F" w:rsidTr="00BA1CCE">
        <w:trPr>
          <w:cantSplit/>
        </w:trPr>
        <w:tc>
          <w:tcPr>
            <w:tcW w:w="1418" w:type="dxa"/>
            <w:tcBorders>
              <w:top w:val="single"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rPr>
                <w:color w:val="000000"/>
                <w:sz w:val="18"/>
              </w:rPr>
            </w:pPr>
          </w:p>
        </w:tc>
      </w:tr>
      <w:tr w:rsidR="00BB7312" w:rsidRPr="00A6443F" w:rsidTr="00BA1CCE">
        <w:trPr>
          <w:cantSplit/>
        </w:trPr>
        <w:tc>
          <w:tcPr>
            <w:tcW w:w="1418"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ind w:left="340" w:hanging="170"/>
              <w:jc w:val="left"/>
              <w:rPr>
                <w:iCs/>
                <w:color w:val="000000"/>
                <w:sz w:val="18"/>
              </w:rPr>
            </w:pPr>
            <w:r w:rsidRPr="00A6443F">
              <w:rPr>
                <w:iCs/>
                <w:color w:val="000000"/>
                <w:sz w:val="18"/>
              </w:rPr>
              <w:t>Solanum lycopersicum L.</w:t>
            </w:r>
            <w:r w:rsidRPr="00A6443F">
              <w:rPr>
                <w:color w:val="000000"/>
                <w:sz w:val="18"/>
              </w:rPr>
              <w:t xml:space="preserve"> </w:t>
            </w:r>
            <w:r w:rsidRPr="00A6443F">
              <w:rPr>
                <w:iCs/>
                <w:strike/>
                <w:color w:val="000000"/>
                <w:sz w:val="18"/>
              </w:rPr>
              <w:br/>
            </w:r>
            <w:r w:rsidRPr="00A6443F">
              <w:rPr>
                <w:iCs/>
                <w:color w:val="000000"/>
                <w:sz w:val="18"/>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rPr>
                <w:color w:val="000000"/>
                <w:sz w:val="18"/>
              </w:rPr>
            </w:pPr>
            <w:bookmarkStart w:id="7" w:name="OLE_LINK1"/>
            <w:bookmarkStart w:id="8" w:name="OLE_LINK2"/>
            <w:r w:rsidRPr="00A6443F">
              <w:rPr>
                <w:color w:val="000000"/>
                <w:sz w:val="18"/>
              </w:rPr>
              <w:t>SOLAN_</w:t>
            </w:r>
            <w:bookmarkEnd w:id="7"/>
            <w:bookmarkEnd w:id="8"/>
            <w:r w:rsidRPr="00A6443F">
              <w:rPr>
                <w:color w:val="000000"/>
                <w:sz w:val="18"/>
              </w:rPr>
              <w:t>LYC</w:t>
            </w:r>
          </w:p>
        </w:tc>
      </w:tr>
      <w:tr w:rsidR="00BB7312" w:rsidRPr="00A6443F" w:rsidTr="00BA1CCE">
        <w:trPr>
          <w:cantSplit/>
        </w:trPr>
        <w:tc>
          <w:tcPr>
            <w:tcW w:w="1418"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ind w:left="340" w:hanging="170"/>
              <w:jc w:val="left"/>
              <w:rPr>
                <w:iCs/>
                <w:color w:val="000000"/>
                <w:sz w:val="18"/>
                <w:lang w:val="en-GB"/>
              </w:rPr>
            </w:pPr>
            <w:r w:rsidRPr="00A6443F">
              <w:rPr>
                <w:sz w:val="18"/>
                <w:lang w:val="en-GB"/>
              </w:rPr>
              <w:t xml:space="preserve">Solanum cheesmaniae (L. Ridley) Fosberg </w:t>
            </w:r>
            <w:r w:rsidRPr="00A6443F">
              <w:rPr>
                <w:sz w:val="18"/>
                <w:lang w:val="en-GB"/>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rPr>
                <w:color w:val="000000"/>
                <w:sz w:val="18"/>
              </w:rPr>
            </w:pPr>
            <w:r w:rsidRPr="00A6443F">
              <w:rPr>
                <w:color w:val="000000"/>
                <w:sz w:val="18"/>
              </w:rPr>
              <w:t>SOLAN_CHE</w:t>
            </w:r>
          </w:p>
        </w:tc>
      </w:tr>
      <w:tr w:rsidR="00BB7312" w:rsidRPr="00A6443F" w:rsidTr="00BA1CCE">
        <w:trPr>
          <w:cantSplit/>
        </w:trPr>
        <w:tc>
          <w:tcPr>
            <w:tcW w:w="1418"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keepNext/>
              <w:spacing w:before="40" w:after="40"/>
              <w:rPr>
                <w:color w:val="000000"/>
                <w:sz w:val="18"/>
              </w:rPr>
            </w:pPr>
            <w:r w:rsidRPr="00A6443F">
              <w:rPr>
                <w:color w:val="000000"/>
                <w:sz w:val="18"/>
              </w:rPr>
              <w:t>SOLAN_CHI</w:t>
            </w:r>
          </w:p>
        </w:tc>
      </w:tr>
      <w:tr w:rsidR="00BB7312" w:rsidRPr="00A6443F" w:rsidTr="00BA1CCE">
        <w:trPr>
          <w:cantSplit/>
        </w:trPr>
        <w:tc>
          <w:tcPr>
            <w:tcW w:w="1418"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ind w:left="340" w:hanging="170"/>
              <w:jc w:val="left"/>
              <w:rPr>
                <w:iCs/>
                <w:color w:val="000000"/>
                <w:sz w:val="18"/>
                <w:lang w:val="nl-BE"/>
              </w:rPr>
            </w:pPr>
            <w:r w:rsidRPr="00A6443F">
              <w:rPr>
                <w:sz w:val="18"/>
                <w:lang w:val="en-GB"/>
              </w:rPr>
              <w:t xml:space="preserve">Solanum chmielewskii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r w:rsidRPr="00A6443F">
              <w:rPr>
                <w:color w:val="000000"/>
                <w:sz w:val="18"/>
              </w:rPr>
              <w:t>SOLAN_CHM</w:t>
            </w:r>
          </w:p>
        </w:tc>
      </w:tr>
      <w:tr w:rsidR="00BB7312" w:rsidRPr="00A6443F" w:rsidTr="00BA1CCE">
        <w:trPr>
          <w:cantSplit/>
        </w:trPr>
        <w:tc>
          <w:tcPr>
            <w:tcW w:w="1418"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ind w:left="340" w:hanging="170"/>
              <w:jc w:val="left"/>
              <w:rPr>
                <w:sz w:val="18"/>
              </w:rPr>
            </w:pPr>
            <w:r w:rsidRPr="00A6443F">
              <w:rPr>
                <w:sz w:val="18"/>
              </w:rPr>
              <w:t>Solanum galapagense S.C. Darwin &amp; Peralta</w:t>
            </w:r>
            <w:r w:rsidRPr="00A6443F">
              <w:rPr>
                <w:sz w:val="18"/>
              </w:rPr>
              <w:br/>
              <w:t>(Lycopersicon cheesmaniae f. minor (Hook. f.) C. H. Müll.)</w:t>
            </w:r>
            <w:r w:rsidRPr="00A6443F">
              <w:rPr>
                <w:sz w:val="18"/>
              </w:rPr>
              <w:br/>
              <w:t>(Lycopersicon cheesmaniae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r w:rsidRPr="00A6443F">
              <w:rPr>
                <w:color w:val="000000"/>
                <w:sz w:val="18"/>
              </w:rPr>
              <w:t>SOLAN_GAL</w:t>
            </w:r>
          </w:p>
        </w:tc>
      </w:tr>
      <w:tr w:rsidR="00BB7312" w:rsidRPr="00A6443F" w:rsidTr="00BA1CCE">
        <w:trPr>
          <w:cantSplit/>
        </w:trPr>
        <w:tc>
          <w:tcPr>
            <w:tcW w:w="1418"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ind w:left="340" w:hanging="170"/>
              <w:jc w:val="left"/>
              <w:rPr>
                <w:sz w:val="18"/>
              </w:rPr>
            </w:pPr>
            <w:r w:rsidRPr="00A6443F">
              <w:rPr>
                <w:sz w:val="18"/>
              </w:rPr>
              <w:t>Solanum habrochaites S. Knapp &amp; D.M. Spooner</w:t>
            </w:r>
            <w:r w:rsidRPr="00A6443F">
              <w:rPr>
                <w:sz w:val="18"/>
              </w:rPr>
              <w:br/>
              <w:t>(Lycopersicon agrimoniifolium Dunal)</w:t>
            </w:r>
            <w:r w:rsidRPr="00A6443F">
              <w:rPr>
                <w:sz w:val="18"/>
              </w:rPr>
              <w:br/>
              <w:t>(Lycopersicon hirsutum Dunal)</w:t>
            </w:r>
            <w:r w:rsidRPr="00A6443F">
              <w:rPr>
                <w:sz w:val="18"/>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r w:rsidRPr="00A6443F">
              <w:rPr>
                <w:color w:val="000000"/>
                <w:sz w:val="18"/>
              </w:rPr>
              <w:t>SOLAN_HAB</w:t>
            </w:r>
          </w:p>
        </w:tc>
      </w:tr>
      <w:tr w:rsidR="00BB7312" w:rsidRPr="00A6443F" w:rsidTr="00BA1CCE">
        <w:trPr>
          <w:cantSplit/>
        </w:trPr>
        <w:tc>
          <w:tcPr>
            <w:tcW w:w="1418"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ind w:left="340" w:hanging="170"/>
              <w:jc w:val="left"/>
              <w:rPr>
                <w:sz w:val="18"/>
                <w:lang w:val="fr-FR"/>
              </w:rPr>
            </w:pPr>
            <w:r w:rsidRPr="00A6443F">
              <w:rPr>
                <w:sz w:val="18"/>
                <w:lang w:val="fr-FR"/>
              </w:rPr>
              <w:t>Solanum pennellii Correll</w:t>
            </w:r>
            <w:r w:rsidRPr="00A6443F">
              <w:rPr>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lang w:val="fr-FR"/>
              </w:rPr>
            </w:pPr>
            <w:r w:rsidRPr="00A6443F">
              <w:rPr>
                <w:color w:val="000000"/>
                <w:sz w:val="18"/>
              </w:rPr>
              <w:t>SOLAN_PEN</w:t>
            </w:r>
          </w:p>
        </w:tc>
      </w:tr>
      <w:tr w:rsidR="00BB7312" w:rsidRPr="00A6443F" w:rsidTr="00BA1CCE">
        <w:trPr>
          <w:cantSplit/>
        </w:trPr>
        <w:tc>
          <w:tcPr>
            <w:tcW w:w="1418"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r w:rsidRPr="00A6443F">
              <w:rPr>
                <w:color w:val="000000"/>
                <w:sz w:val="18"/>
              </w:rPr>
              <w:t>SOLAN_PER</w:t>
            </w:r>
          </w:p>
        </w:tc>
      </w:tr>
      <w:tr w:rsidR="00BB7312" w:rsidRPr="00A6443F" w:rsidTr="00BA1CCE">
        <w:trPr>
          <w:cantSplit/>
        </w:trPr>
        <w:tc>
          <w:tcPr>
            <w:tcW w:w="1418"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ind w:left="340" w:hanging="170"/>
              <w:jc w:val="left"/>
              <w:rPr>
                <w:sz w:val="18"/>
              </w:rPr>
            </w:pPr>
            <w:r w:rsidRPr="00B844B0">
              <w:rPr>
                <w:sz w:val="18"/>
              </w:rPr>
              <w:t>Solanum pimpinellifolium L.</w:t>
            </w:r>
            <w:r w:rsidRPr="00B844B0">
              <w:rPr>
                <w:sz w:val="18"/>
              </w:rPr>
              <w:br/>
              <w:t xml:space="preserve">(Lycopersicon pimpinellifolium (L.) </w:t>
            </w:r>
            <w:r w:rsidRPr="00A6443F">
              <w:rPr>
                <w:sz w:val="18"/>
              </w:rPr>
              <w:t>Mill.)</w:t>
            </w:r>
            <w:r w:rsidRPr="00A6443F">
              <w:rPr>
                <w:sz w:val="18"/>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BB7312" w:rsidRPr="00A6443F" w:rsidRDefault="00BB7312" w:rsidP="00BA1CCE">
            <w:pPr>
              <w:spacing w:before="40" w:after="40"/>
              <w:rPr>
                <w:color w:val="000000"/>
                <w:sz w:val="18"/>
              </w:rPr>
            </w:pPr>
            <w:r w:rsidRPr="00A6443F">
              <w:rPr>
                <w:color w:val="000000"/>
                <w:sz w:val="18"/>
              </w:rPr>
              <w:t>SOLAN_PIM</w:t>
            </w:r>
          </w:p>
        </w:tc>
      </w:tr>
      <w:tr w:rsidR="00BB7312" w:rsidRPr="00A6443F" w:rsidTr="00BA1CCE">
        <w:trPr>
          <w:cantSplit/>
        </w:trPr>
        <w:tc>
          <w:tcPr>
            <w:tcW w:w="1418" w:type="dxa"/>
            <w:tcBorders>
              <w:top w:val="dotted" w:sz="4" w:space="0" w:color="auto"/>
              <w:left w:val="single" w:sz="4" w:space="0" w:color="auto"/>
              <w:bottom w:val="single" w:sz="4" w:space="0" w:color="auto"/>
              <w:right w:val="single" w:sz="4" w:space="0" w:color="auto"/>
            </w:tcBorders>
          </w:tcPr>
          <w:p w:rsidR="00BB7312" w:rsidRPr="00A6443F" w:rsidRDefault="00BB7312" w:rsidP="00BA1CCE">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BB7312" w:rsidRPr="00A6443F" w:rsidRDefault="00BB7312" w:rsidP="00BA1CCE">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BB7312" w:rsidRPr="00A6443F" w:rsidRDefault="00BB7312" w:rsidP="00BA1CCE">
            <w:pPr>
              <w:spacing w:before="40" w:after="40"/>
              <w:rPr>
                <w:color w:val="000000"/>
                <w:sz w:val="18"/>
              </w:rPr>
            </w:pPr>
          </w:p>
        </w:tc>
      </w:tr>
      <w:tr w:rsidR="00BB7312" w:rsidRPr="00A6443F" w:rsidTr="00BA1CCE">
        <w:trPr>
          <w:cantSplit/>
        </w:trPr>
        <w:tc>
          <w:tcPr>
            <w:tcW w:w="1418" w:type="dxa"/>
            <w:tcBorders>
              <w:top w:val="single" w:sz="4" w:space="0" w:color="auto"/>
              <w:left w:val="single" w:sz="4" w:space="0" w:color="auto"/>
              <w:bottom w:val="single" w:sz="4" w:space="0" w:color="auto"/>
              <w:right w:val="single" w:sz="4" w:space="0" w:color="auto"/>
            </w:tcBorders>
          </w:tcPr>
          <w:p w:rsidR="00BB7312" w:rsidRPr="00A6443F" w:rsidRDefault="00BB7312" w:rsidP="00BA1CCE">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BB7312" w:rsidRPr="00A6443F" w:rsidRDefault="00BB7312" w:rsidP="00BA1CCE">
            <w:pPr>
              <w:spacing w:before="40" w:after="40"/>
              <w:jc w:val="left"/>
              <w:rPr>
                <w:color w:val="000000"/>
                <w:sz w:val="18"/>
              </w:rPr>
            </w:pPr>
            <w:r w:rsidRPr="00A6443F">
              <w:rPr>
                <w:iCs/>
                <w:color w:val="000000"/>
                <w:sz w:val="18"/>
              </w:rPr>
              <w:t xml:space="preserve">Solanum melongena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BB7312" w:rsidRPr="00A6443F" w:rsidRDefault="00BB7312" w:rsidP="00BA1CCE">
            <w:pPr>
              <w:spacing w:before="40" w:after="40"/>
              <w:jc w:val="left"/>
              <w:rPr>
                <w:color w:val="000000"/>
                <w:sz w:val="18"/>
              </w:rPr>
            </w:pPr>
            <w:r w:rsidRPr="00A6443F">
              <w:rPr>
                <w:color w:val="000000"/>
                <w:sz w:val="18"/>
              </w:rPr>
              <w:t>SOLAN_MEL</w:t>
            </w:r>
          </w:p>
        </w:tc>
      </w:tr>
      <w:tr w:rsidR="00BB7312" w:rsidRPr="00A6443F" w:rsidTr="00BA1CCE">
        <w:trPr>
          <w:cantSplit/>
        </w:trPr>
        <w:tc>
          <w:tcPr>
            <w:tcW w:w="1418" w:type="dxa"/>
            <w:tcBorders>
              <w:top w:val="single" w:sz="4" w:space="0" w:color="auto"/>
              <w:left w:val="single" w:sz="4" w:space="0" w:color="auto"/>
              <w:bottom w:val="single" w:sz="4" w:space="0" w:color="auto"/>
              <w:right w:val="single" w:sz="4" w:space="0" w:color="auto"/>
            </w:tcBorders>
          </w:tcPr>
          <w:p w:rsidR="00BB7312" w:rsidRPr="00A6443F" w:rsidRDefault="00BB7312" w:rsidP="00BA1CCE">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BB7312" w:rsidRPr="00A6443F" w:rsidRDefault="00BB7312" w:rsidP="00BA1CCE">
            <w:pPr>
              <w:spacing w:before="40" w:after="40"/>
              <w:jc w:val="left"/>
              <w:rPr>
                <w:color w:val="000000"/>
                <w:sz w:val="18"/>
              </w:rPr>
            </w:pPr>
            <w:r w:rsidRPr="00A6443F">
              <w:rPr>
                <w:color w:val="000000"/>
                <w:sz w:val="18"/>
              </w:rPr>
              <w:t>Solanum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BB7312" w:rsidRPr="00A6443F" w:rsidRDefault="00BB7312" w:rsidP="00BA1CCE">
            <w:pPr>
              <w:spacing w:before="40" w:after="40"/>
              <w:jc w:val="left"/>
              <w:rPr>
                <w:color w:val="000000"/>
                <w:sz w:val="18"/>
              </w:rPr>
            </w:pPr>
            <w:r w:rsidRPr="00A6443F">
              <w:rPr>
                <w:color w:val="000000"/>
                <w:sz w:val="18"/>
              </w:rPr>
              <w:t>other than classes 4.1, 4.2 and 4.3</w:t>
            </w:r>
          </w:p>
        </w:tc>
      </w:tr>
    </w:tbl>
    <w:p w:rsidR="00BB7312" w:rsidRDefault="00BB7312" w:rsidP="00BA1CCE"/>
    <w:p w:rsidR="00BB7312" w:rsidRPr="00407B23" w:rsidRDefault="00BB7312" w:rsidP="00BA1CCE"/>
    <w:p w:rsidR="00BB7312" w:rsidRPr="00407B23" w:rsidRDefault="00BB7312" w:rsidP="00BA1CCE">
      <w:pPr>
        <w:jc w:val="center"/>
      </w:pPr>
      <w:r w:rsidRPr="00407B23">
        <w:br w:type="page"/>
        <w:t>LIST OF CLASSES (Continuation)</w:t>
      </w:r>
    </w:p>
    <w:p w:rsidR="00BB7312" w:rsidRPr="00407B23" w:rsidRDefault="00BB7312" w:rsidP="00BA1CCE"/>
    <w:p w:rsidR="00BB7312" w:rsidRPr="00407B23" w:rsidRDefault="00BB7312" w:rsidP="00BA1CCE">
      <w:pPr>
        <w:keepNext/>
        <w:jc w:val="center"/>
        <w:rPr>
          <w:u w:val="single"/>
        </w:rPr>
      </w:pPr>
      <w:r w:rsidRPr="00407B23">
        <w:rPr>
          <w:u w:val="single"/>
        </w:rPr>
        <w:t>Part II</w:t>
      </w:r>
    </w:p>
    <w:p w:rsidR="00BB7312" w:rsidRPr="00407B23" w:rsidRDefault="00BB7312" w:rsidP="00BA1CCE"/>
    <w:p w:rsidR="00BB7312" w:rsidRDefault="00BB7312" w:rsidP="00BA1CCE">
      <w:pPr>
        <w:jc w:val="center"/>
        <w:rPr>
          <w:i/>
        </w:rPr>
      </w:pPr>
      <w:r w:rsidRPr="00407B23">
        <w:rPr>
          <w:i/>
        </w:rPr>
        <w:t>Classes encompassing more than one genus</w:t>
      </w:r>
      <w:r w:rsidRPr="00407B23">
        <w:rPr>
          <w:i/>
        </w:rPr>
        <w:br/>
      </w:r>
    </w:p>
    <w:p w:rsidR="00BB7312" w:rsidRPr="00407B23" w:rsidRDefault="00BB7312" w:rsidP="00BA1CCE">
      <w:pPr>
        <w:jc w:val="center"/>
        <w:rPr>
          <w:i/>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677"/>
        <w:gridCol w:w="3830"/>
      </w:tblGrid>
      <w:tr w:rsidR="00BB7312" w:rsidRPr="00A6443F" w:rsidTr="00BA1CCE">
        <w:trPr>
          <w:cantSplit/>
          <w:tblHeader/>
        </w:trPr>
        <w:tc>
          <w:tcPr>
            <w:tcW w:w="1277" w:type="dxa"/>
            <w:shd w:val="clear" w:color="auto" w:fill="D9D9D9" w:themeFill="background1" w:themeFillShade="D9"/>
            <w:vAlign w:val="center"/>
          </w:tcPr>
          <w:p w:rsidR="00BB7312" w:rsidRPr="00A6443F" w:rsidRDefault="00BB7312" w:rsidP="00BA1CCE">
            <w:pPr>
              <w:spacing w:before="40" w:after="40"/>
              <w:jc w:val="left"/>
              <w:rPr>
                <w:sz w:val="18"/>
                <w:szCs w:val="18"/>
                <w:u w:val="single"/>
              </w:rPr>
            </w:pPr>
          </w:p>
        </w:tc>
        <w:tc>
          <w:tcPr>
            <w:tcW w:w="4677" w:type="dxa"/>
            <w:shd w:val="clear" w:color="auto" w:fill="D9D9D9" w:themeFill="background1" w:themeFillShade="D9"/>
            <w:vAlign w:val="center"/>
          </w:tcPr>
          <w:p w:rsidR="00BB7312" w:rsidRPr="00A6443F" w:rsidRDefault="00BB7312" w:rsidP="00BA1CCE">
            <w:pPr>
              <w:spacing w:before="40" w:after="40"/>
              <w:jc w:val="center"/>
              <w:rPr>
                <w:sz w:val="18"/>
                <w:szCs w:val="18"/>
                <w:u w:val="single"/>
              </w:rPr>
            </w:pPr>
            <w:r w:rsidRPr="00A6443F">
              <w:rPr>
                <w:sz w:val="18"/>
                <w:szCs w:val="18"/>
                <w:u w:val="single"/>
              </w:rPr>
              <w:t>Botanical names</w:t>
            </w:r>
          </w:p>
        </w:tc>
        <w:tc>
          <w:tcPr>
            <w:tcW w:w="3830" w:type="dxa"/>
            <w:shd w:val="clear" w:color="auto" w:fill="D9D9D9" w:themeFill="background1" w:themeFillShade="D9"/>
            <w:vAlign w:val="center"/>
          </w:tcPr>
          <w:p w:rsidR="00BB7312" w:rsidRPr="00A6443F" w:rsidRDefault="00BB7312" w:rsidP="00BA1CCE">
            <w:pPr>
              <w:spacing w:before="40" w:after="40"/>
              <w:jc w:val="center"/>
              <w:rPr>
                <w:sz w:val="18"/>
                <w:szCs w:val="18"/>
                <w:u w:val="single"/>
              </w:rPr>
            </w:pPr>
            <w:r w:rsidRPr="00A6443F">
              <w:rPr>
                <w:sz w:val="18"/>
                <w:szCs w:val="18"/>
                <w:u w:val="single"/>
              </w:rPr>
              <w:t>UPOV codes</w:t>
            </w:r>
          </w:p>
        </w:tc>
      </w:tr>
      <w:tr w:rsidR="00BB7312" w:rsidRPr="00A6443F" w:rsidTr="00BA1CCE">
        <w:trPr>
          <w:cantSplit/>
          <w:tblHeader/>
        </w:trPr>
        <w:tc>
          <w:tcPr>
            <w:tcW w:w="1277" w:type="dxa"/>
            <w:tcBorders>
              <w:top w:val="nil"/>
              <w:left w:val="nil"/>
              <w:bottom w:val="nil"/>
              <w:right w:val="nil"/>
            </w:tcBorders>
          </w:tcPr>
          <w:p w:rsidR="00BB7312" w:rsidRPr="00A6443F" w:rsidRDefault="00BB7312" w:rsidP="00BA1CCE">
            <w:pPr>
              <w:keepNext/>
              <w:spacing w:before="40" w:after="40"/>
              <w:jc w:val="left"/>
              <w:rPr>
                <w:sz w:val="10"/>
                <w:szCs w:val="18"/>
              </w:rPr>
            </w:pPr>
          </w:p>
        </w:tc>
        <w:tc>
          <w:tcPr>
            <w:tcW w:w="4677" w:type="dxa"/>
            <w:tcBorders>
              <w:top w:val="nil"/>
              <w:left w:val="nil"/>
              <w:bottom w:val="nil"/>
              <w:right w:val="nil"/>
            </w:tcBorders>
          </w:tcPr>
          <w:p w:rsidR="00BB7312" w:rsidRPr="00A6443F" w:rsidRDefault="00BB7312" w:rsidP="00BA1CCE">
            <w:pPr>
              <w:keepNext/>
              <w:spacing w:before="40" w:after="40"/>
              <w:jc w:val="left"/>
              <w:rPr>
                <w:sz w:val="10"/>
                <w:szCs w:val="18"/>
              </w:rPr>
            </w:pPr>
          </w:p>
        </w:tc>
        <w:tc>
          <w:tcPr>
            <w:tcW w:w="3830" w:type="dxa"/>
            <w:tcBorders>
              <w:top w:val="nil"/>
              <w:left w:val="nil"/>
              <w:bottom w:val="nil"/>
              <w:right w:val="nil"/>
            </w:tcBorders>
          </w:tcPr>
          <w:p w:rsidR="00BB7312" w:rsidRPr="00A6443F" w:rsidRDefault="00BB7312" w:rsidP="00BA1CCE">
            <w:pPr>
              <w:keepNext/>
              <w:spacing w:before="40" w:after="40"/>
              <w:jc w:val="left"/>
              <w:rPr>
                <w:sz w:val="10"/>
                <w:szCs w:val="18"/>
              </w:rPr>
            </w:pPr>
          </w:p>
        </w:tc>
      </w:tr>
      <w:tr w:rsidR="00BB7312" w:rsidRPr="00A6443F" w:rsidTr="00BA1CCE">
        <w:trPr>
          <w:cantSplit/>
        </w:trPr>
        <w:tc>
          <w:tcPr>
            <w:tcW w:w="1277" w:type="dxa"/>
            <w:tcBorders>
              <w:top w:val="single" w:sz="4" w:space="0" w:color="auto"/>
            </w:tcBorders>
          </w:tcPr>
          <w:p w:rsidR="00BB7312" w:rsidRPr="00A6443F" w:rsidRDefault="00BB7312" w:rsidP="00BA1CCE">
            <w:pPr>
              <w:spacing w:before="40" w:after="40"/>
              <w:jc w:val="left"/>
              <w:rPr>
                <w:sz w:val="18"/>
                <w:szCs w:val="18"/>
              </w:rPr>
            </w:pPr>
            <w:r w:rsidRPr="00A6443F">
              <w:rPr>
                <w:sz w:val="18"/>
                <w:szCs w:val="18"/>
              </w:rPr>
              <w:t>Class 201</w:t>
            </w:r>
          </w:p>
        </w:tc>
        <w:tc>
          <w:tcPr>
            <w:tcW w:w="4677" w:type="dxa"/>
            <w:tcBorders>
              <w:top w:val="single" w:sz="4" w:space="0" w:color="auto"/>
            </w:tcBorders>
          </w:tcPr>
          <w:p w:rsidR="00BB7312" w:rsidRPr="00A6443F" w:rsidRDefault="00BB7312" w:rsidP="00BA1CCE">
            <w:pPr>
              <w:keepNext/>
              <w:spacing w:before="40" w:after="40"/>
              <w:jc w:val="left"/>
              <w:rPr>
                <w:sz w:val="18"/>
                <w:szCs w:val="18"/>
              </w:rPr>
            </w:pPr>
            <w:r w:rsidRPr="00A6443F">
              <w:rPr>
                <w:sz w:val="18"/>
                <w:szCs w:val="18"/>
              </w:rPr>
              <w:t>Secale, Triticale</w:t>
            </w:r>
            <w:r w:rsidRPr="00A6443F">
              <w:rPr>
                <w:iCs/>
                <w:sz w:val="18"/>
                <w:szCs w:val="18"/>
              </w:rPr>
              <w:t xml:space="preserve">, </w:t>
            </w:r>
            <w:r w:rsidRPr="00A6443F">
              <w:rPr>
                <w:sz w:val="18"/>
                <w:szCs w:val="18"/>
              </w:rPr>
              <w:t>Triticum</w:t>
            </w:r>
          </w:p>
        </w:tc>
        <w:tc>
          <w:tcPr>
            <w:tcW w:w="3830" w:type="dxa"/>
            <w:tcBorders>
              <w:top w:val="single" w:sz="4" w:space="0" w:color="auto"/>
            </w:tcBorders>
          </w:tcPr>
          <w:p w:rsidR="00BB7312" w:rsidRPr="00A6443F" w:rsidRDefault="00BB7312" w:rsidP="00BA1CCE">
            <w:pPr>
              <w:keepNext/>
              <w:spacing w:before="40" w:after="40"/>
              <w:jc w:val="left"/>
              <w:rPr>
                <w:sz w:val="18"/>
                <w:szCs w:val="18"/>
              </w:rPr>
            </w:pPr>
            <w:r w:rsidRPr="00A6443F">
              <w:rPr>
                <w:sz w:val="18"/>
                <w:szCs w:val="18"/>
              </w:rPr>
              <w:t>SECAL;  TRITL;  TRITI</w:t>
            </w:r>
          </w:p>
        </w:tc>
      </w:tr>
      <w:tr w:rsidR="00BB7312" w:rsidRPr="00A6443F" w:rsidTr="00BA1CCE">
        <w:trPr>
          <w:cantSplit/>
        </w:trPr>
        <w:tc>
          <w:tcPr>
            <w:tcW w:w="1277" w:type="dxa"/>
          </w:tcPr>
          <w:p w:rsidR="00BB7312" w:rsidRPr="00A6443F" w:rsidRDefault="00BB7312" w:rsidP="00BA1CCE">
            <w:pPr>
              <w:spacing w:before="40" w:after="40"/>
              <w:jc w:val="left"/>
              <w:rPr>
                <w:sz w:val="18"/>
                <w:szCs w:val="18"/>
              </w:rPr>
            </w:pPr>
            <w:r w:rsidRPr="00A6443F">
              <w:rPr>
                <w:sz w:val="18"/>
                <w:szCs w:val="18"/>
              </w:rPr>
              <w:t>Class 202</w:t>
            </w:r>
          </w:p>
        </w:tc>
        <w:tc>
          <w:tcPr>
            <w:tcW w:w="4677" w:type="dxa"/>
          </w:tcPr>
          <w:p w:rsidR="00BB7312" w:rsidRPr="00A6443F" w:rsidRDefault="00BB7312" w:rsidP="00BA1CCE">
            <w:pPr>
              <w:keepNext/>
              <w:spacing w:before="40" w:after="40"/>
              <w:jc w:val="left"/>
              <w:rPr>
                <w:sz w:val="18"/>
                <w:szCs w:val="18"/>
              </w:rPr>
            </w:pPr>
            <w:r w:rsidRPr="00A6443F">
              <w:rPr>
                <w:iCs/>
                <w:sz w:val="18"/>
                <w:szCs w:val="18"/>
              </w:rPr>
              <w:t xml:space="preserve">Megathyrsus, </w:t>
            </w:r>
            <w:r w:rsidRPr="00A6443F">
              <w:rPr>
                <w:sz w:val="18"/>
                <w:szCs w:val="18"/>
              </w:rPr>
              <w:t xml:space="preserve">Panicum, Setaria, </w:t>
            </w:r>
            <w:r w:rsidRPr="00A6443F">
              <w:rPr>
                <w:iCs/>
                <w:sz w:val="18"/>
                <w:szCs w:val="18"/>
              </w:rPr>
              <w:t>Steinchisma</w:t>
            </w:r>
          </w:p>
        </w:tc>
        <w:tc>
          <w:tcPr>
            <w:tcW w:w="3830" w:type="dxa"/>
          </w:tcPr>
          <w:p w:rsidR="00BB7312" w:rsidRPr="00A6443F" w:rsidRDefault="00BB7312" w:rsidP="00BA1CCE">
            <w:pPr>
              <w:keepNext/>
              <w:spacing w:before="40" w:after="40"/>
              <w:jc w:val="left"/>
              <w:rPr>
                <w:sz w:val="18"/>
                <w:szCs w:val="18"/>
              </w:rPr>
            </w:pPr>
            <w:r w:rsidRPr="00A6443F">
              <w:rPr>
                <w:sz w:val="18"/>
                <w:szCs w:val="18"/>
              </w:rPr>
              <w:t>MEGAT;  PANIC;  SETAR;  STEIN</w:t>
            </w:r>
          </w:p>
        </w:tc>
      </w:tr>
      <w:tr w:rsidR="00BB7312" w:rsidRPr="00C028E4" w:rsidTr="00BA1CCE">
        <w:trPr>
          <w:cantSplit/>
        </w:trPr>
        <w:tc>
          <w:tcPr>
            <w:tcW w:w="1277" w:type="dxa"/>
          </w:tcPr>
          <w:p w:rsidR="00BB7312" w:rsidRPr="00A6443F" w:rsidRDefault="00BB7312" w:rsidP="00BA1CCE">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10"/>
              <w:t>*</w:t>
            </w:r>
          </w:p>
        </w:tc>
        <w:tc>
          <w:tcPr>
            <w:tcW w:w="4677" w:type="dxa"/>
          </w:tcPr>
          <w:p w:rsidR="00BB7312" w:rsidRPr="00A6443F" w:rsidRDefault="00BB7312" w:rsidP="00BA1CCE">
            <w:pPr>
              <w:keepNext/>
              <w:spacing w:before="40" w:after="40"/>
              <w:jc w:val="left"/>
              <w:rPr>
                <w:sz w:val="18"/>
                <w:szCs w:val="18"/>
              </w:rPr>
            </w:pPr>
            <w:r w:rsidRPr="00A6443F">
              <w:rPr>
                <w:sz w:val="18"/>
                <w:szCs w:val="18"/>
              </w:rPr>
              <w:t>Agrostis, Dactylis, Festuca, Festulolium, Lolium, Phalaris, Phleum and Poa</w:t>
            </w:r>
          </w:p>
        </w:tc>
        <w:tc>
          <w:tcPr>
            <w:tcW w:w="3830" w:type="dxa"/>
          </w:tcPr>
          <w:p w:rsidR="00BB7312" w:rsidRPr="00B844B0" w:rsidRDefault="00BB7312" w:rsidP="00BA1CCE">
            <w:pPr>
              <w:keepNext/>
              <w:spacing w:before="40" w:after="40"/>
              <w:jc w:val="left"/>
              <w:rPr>
                <w:sz w:val="18"/>
                <w:szCs w:val="18"/>
              </w:rPr>
            </w:pPr>
            <w:r w:rsidRPr="00B844B0">
              <w:rPr>
                <w:sz w:val="18"/>
                <w:szCs w:val="18"/>
              </w:rPr>
              <w:t xml:space="preserve">AGROS;  DCTLS;  FESTU;  FESTL;  LOLIU;  PHALR;  PHLEU;  POAAA </w:t>
            </w:r>
          </w:p>
        </w:tc>
      </w:tr>
      <w:tr w:rsidR="00BB7312" w:rsidRPr="00A6443F" w:rsidTr="00BA1CCE">
        <w:trPr>
          <w:cantSplit/>
        </w:trPr>
        <w:tc>
          <w:tcPr>
            <w:tcW w:w="1277" w:type="dxa"/>
          </w:tcPr>
          <w:p w:rsidR="00BB7312" w:rsidRPr="00A6443F" w:rsidRDefault="00BB7312" w:rsidP="00BA1CCE">
            <w:pPr>
              <w:spacing w:before="40" w:after="40"/>
              <w:jc w:val="left"/>
              <w:rPr>
                <w:sz w:val="18"/>
                <w:szCs w:val="18"/>
              </w:rPr>
            </w:pPr>
            <w:r w:rsidRPr="00A6443F">
              <w:rPr>
                <w:sz w:val="18"/>
                <w:szCs w:val="18"/>
              </w:rPr>
              <w:t>Class 204</w:t>
            </w:r>
            <w:r w:rsidRPr="00A6443F">
              <w:rPr>
                <w:sz w:val="18"/>
                <w:szCs w:val="18"/>
                <w:vertAlign w:val="superscript"/>
              </w:rPr>
              <w:t>*</w:t>
            </w:r>
          </w:p>
        </w:tc>
        <w:tc>
          <w:tcPr>
            <w:tcW w:w="4677" w:type="dxa"/>
          </w:tcPr>
          <w:p w:rsidR="00BB7312" w:rsidRPr="00A6443F" w:rsidRDefault="00BB7312" w:rsidP="00BA1CCE">
            <w:pPr>
              <w:keepNext/>
              <w:spacing w:before="40" w:after="40"/>
              <w:jc w:val="left"/>
              <w:rPr>
                <w:sz w:val="18"/>
                <w:szCs w:val="18"/>
              </w:rPr>
            </w:pPr>
            <w:r w:rsidRPr="00A6443F">
              <w:rPr>
                <w:sz w:val="18"/>
                <w:szCs w:val="18"/>
              </w:rPr>
              <w:t>Lotus, Medicago, Ornithopus, Onobrychis, Trifolium</w:t>
            </w:r>
          </w:p>
        </w:tc>
        <w:tc>
          <w:tcPr>
            <w:tcW w:w="3830" w:type="dxa"/>
          </w:tcPr>
          <w:p w:rsidR="00BB7312" w:rsidRPr="00A6443F" w:rsidRDefault="00BB7312" w:rsidP="00BA1CCE">
            <w:pPr>
              <w:keepNext/>
              <w:spacing w:before="40" w:after="40"/>
              <w:jc w:val="left"/>
              <w:rPr>
                <w:sz w:val="18"/>
                <w:szCs w:val="18"/>
              </w:rPr>
            </w:pPr>
            <w:r w:rsidRPr="00A6443F">
              <w:rPr>
                <w:sz w:val="18"/>
                <w:szCs w:val="18"/>
              </w:rPr>
              <w:t>LOTUS;  MEDIC;  ORNTP;  ONOBR;  TRFOL</w:t>
            </w:r>
          </w:p>
        </w:tc>
      </w:tr>
      <w:tr w:rsidR="00BB7312" w:rsidRPr="00A6443F" w:rsidTr="00BA1CCE">
        <w:trPr>
          <w:cantSplit/>
        </w:trPr>
        <w:tc>
          <w:tcPr>
            <w:tcW w:w="1277" w:type="dxa"/>
          </w:tcPr>
          <w:p w:rsidR="00BB7312" w:rsidRPr="00A6443F" w:rsidRDefault="00BB7312" w:rsidP="00BA1CCE">
            <w:pPr>
              <w:spacing w:before="40" w:after="40"/>
              <w:jc w:val="left"/>
              <w:rPr>
                <w:sz w:val="18"/>
                <w:szCs w:val="18"/>
              </w:rPr>
            </w:pPr>
            <w:r w:rsidRPr="00A6443F">
              <w:rPr>
                <w:sz w:val="18"/>
                <w:szCs w:val="18"/>
              </w:rPr>
              <w:t>Class 205</w:t>
            </w:r>
          </w:p>
        </w:tc>
        <w:tc>
          <w:tcPr>
            <w:tcW w:w="4677" w:type="dxa"/>
          </w:tcPr>
          <w:p w:rsidR="00BB7312" w:rsidRPr="00A6443F" w:rsidRDefault="00BB7312" w:rsidP="00BA1CCE">
            <w:pPr>
              <w:keepNext/>
              <w:spacing w:before="40" w:after="40"/>
              <w:jc w:val="left"/>
              <w:rPr>
                <w:sz w:val="18"/>
                <w:szCs w:val="18"/>
              </w:rPr>
            </w:pPr>
            <w:r w:rsidRPr="00A6443F">
              <w:rPr>
                <w:sz w:val="18"/>
                <w:szCs w:val="18"/>
              </w:rPr>
              <w:t xml:space="preserve">Cichorium, Lactuca </w:t>
            </w:r>
          </w:p>
        </w:tc>
        <w:tc>
          <w:tcPr>
            <w:tcW w:w="3830" w:type="dxa"/>
          </w:tcPr>
          <w:p w:rsidR="00BB7312" w:rsidRPr="00A6443F" w:rsidRDefault="00BB7312" w:rsidP="00BA1CCE">
            <w:pPr>
              <w:keepNext/>
              <w:spacing w:before="40" w:after="40"/>
              <w:jc w:val="left"/>
              <w:rPr>
                <w:sz w:val="18"/>
                <w:szCs w:val="18"/>
              </w:rPr>
            </w:pPr>
            <w:r w:rsidRPr="00A6443F">
              <w:rPr>
                <w:sz w:val="18"/>
                <w:szCs w:val="18"/>
              </w:rPr>
              <w:t>CICHO;  LACTU</w:t>
            </w:r>
          </w:p>
        </w:tc>
      </w:tr>
      <w:tr w:rsidR="00BB7312" w:rsidRPr="00A6443F" w:rsidTr="00BA1CCE">
        <w:trPr>
          <w:cantSplit/>
        </w:trPr>
        <w:tc>
          <w:tcPr>
            <w:tcW w:w="1277" w:type="dxa"/>
          </w:tcPr>
          <w:p w:rsidR="00BB7312" w:rsidRPr="00A6443F" w:rsidRDefault="00BB7312" w:rsidP="00BA1CCE">
            <w:pPr>
              <w:spacing w:before="40" w:after="40"/>
              <w:jc w:val="left"/>
              <w:rPr>
                <w:sz w:val="18"/>
                <w:szCs w:val="18"/>
              </w:rPr>
            </w:pPr>
            <w:r w:rsidRPr="00A6443F">
              <w:rPr>
                <w:sz w:val="18"/>
                <w:szCs w:val="18"/>
              </w:rPr>
              <w:t>Class 206</w:t>
            </w:r>
          </w:p>
        </w:tc>
        <w:tc>
          <w:tcPr>
            <w:tcW w:w="4677" w:type="dxa"/>
          </w:tcPr>
          <w:p w:rsidR="00BB7312" w:rsidRPr="00A6443F" w:rsidRDefault="00BB7312" w:rsidP="00BA1CCE">
            <w:pPr>
              <w:keepNext/>
              <w:spacing w:before="40" w:after="40"/>
              <w:jc w:val="left"/>
              <w:rPr>
                <w:sz w:val="18"/>
                <w:szCs w:val="18"/>
              </w:rPr>
            </w:pPr>
            <w:r w:rsidRPr="00A6443F">
              <w:rPr>
                <w:sz w:val="18"/>
                <w:szCs w:val="18"/>
              </w:rPr>
              <w:t>Petunia and Calibrachoa</w:t>
            </w:r>
          </w:p>
        </w:tc>
        <w:tc>
          <w:tcPr>
            <w:tcW w:w="3830" w:type="dxa"/>
          </w:tcPr>
          <w:p w:rsidR="00BB7312" w:rsidRPr="00A6443F" w:rsidRDefault="00BB7312" w:rsidP="00BA1CCE">
            <w:pPr>
              <w:keepNext/>
              <w:spacing w:before="40" w:after="40"/>
              <w:jc w:val="left"/>
              <w:rPr>
                <w:sz w:val="18"/>
                <w:szCs w:val="18"/>
              </w:rPr>
            </w:pPr>
            <w:r w:rsidRPr="00A6443F">
              <w:rPr>
                <w:sz w:val="18"/>
                <w:szCs w:val="18"/>
              </w:rPr>
              <w:t>PETUN;  CALIB</w:t>
            </w:r>
          </w:p>
        </w:tc>
      </w:tr>
      <w:tr w:rsidR="00BB7312" w:rsidRPr="00A6443F" w:rsidTr="00BA1CCE">
        <w:trPr>
          <w:cantSplit/>
        </w:trPr>
        <w:tc>
          <w:tcPr>
            <w:tcW w:w="1277" w:type="dxa"/>
          </w:tcPr>
          <w:p w:rsidR="00BB7312" w:rsidRPr="00A6443F" w:rsidRDefault="00BB7312" w:rsidP="00BA1CCE">
            <w:pPr>
              <w:spacing w:before="40" w:after="40"/>
              <w:jc w:val="left"/>
              <w:rPr>
                <w:sz w:val="18"/>
                <w:szCs w:val="18"/>
              </w:rPr>
            </w:pPr>
            <w:r w:rsidRPr="00A6443F">
              <w:rPr>
                <w:sz w:val="18"/>
                <w:szCs w:val="18"/>
              </w:rPr>
              <w:t>Class 207</w:t>
            </w:r>
          </w:p>
        </w:tc>
        <w:tc>
          <w:tcPr>
            <w:tcW w:w="4677" w:type="dxa"/>
          </w:tcPr>
          <w:p w:rsidR="00BB7312" w:rsidRPr="00A6443F" w:rsidRDefault="00BB7312" w:rsidP="00BA1CCE">
            <w:pPr>
              <w:keepNext/>
              <w:spacing w:before="40" w:after="40"/>
              <w:jc w:val="left"/>
              <w:rPr>
                <w:sz w:val="18"/>
                <w:szCs w:val="18"/>
              </w:rPr>
            </w:pPr>
            <w:r w:rsidRPr="00A6443F">
              <w:rPr>
                <w:sz w:val="18"/>
                <w:szCs w:val="18"/>
              </w:rPr>
              <w:t>Chrysanthemum and Ajania</w:t>
            </w:r>
          </w:p>
        </w:tc>
        <w:tc>
          <w:tcPr>
            <w:tcW w:w="3830" w:type="dxa"/>
          </w:tcPr>
          <w:p w:rsidR="00BB7312" w:rsidRPr="00A6443F" w:rsidRDefault="00BB7312" w:rsidP="00BA1CCE">
            <w:pPr>
              <w:keepNext/>
              <w:spacing w:before="40" w:after="40"/>
              <w:jc w:val="left"/>
              <w:rPr>
                <w:sz w:val="18"/>
                <w:szCs w:val="18"/>
              </w:rPr>
            </w:pPr>
            <w:r w:rsidRPr="00A6443F">
              <w:rPr>
                <w:sz w:val="18"/>
                <w:szCs w:val="18"/>
              </w:rPr>
              <w:t>CHRYS;  AJANI</w:t>
            </w:r>
          </w:p>
        </w:tc>
      </w:tr>
      <w:tr w:rsidR="00BB7312" w:rsidRPr="00A6443F" w:rsidTr="00BA1CCE">
        <w:trPr>
          <w:cantSplit/>
        </w:trPr>
        <w:tc>
          <w:tcPr>
            <w:tcW w:w="1277" w:type="dxa"/>
          </w:tcPr>
          <w:p w:rsidR="00BB7312" w:rsidRPr="00A6443F" w:rsidRDefault="00BB7312" w:rsidP="00BA1CCE">
            <w:pPr>
              <w:spacing w:before="40" w:after="40"/>
              <w:jc w:val="left"/>
              <w:rPr>
                <w:sz w:val="18"/>
                <w:szCs w:val="18"/>
              </w:rPr>
            </w:pPr>
            <w:r w:rsidRPr="00A6443F">
              <w:rPr>
                <w:sz w:val="18"/>
                <w:szCs w:val="18"/>
              </w:rPr>
              <w:t>Class 208</w:t>
            </w:r>
          </w:p>
        </w:tc>
        <w:tc>
          <w:tcPr>
            <w:tcW w:w="4677" w:type="dxa"/>
          </w:tcPr>
          <w:p w:rsidR="00BB7312" w:rsidRPr="00A6443F" w:rsidRDefault="00BB7312" w:rsidP="00BA1CCE">
            <w:pPr>
              <w:keepNext/>
              <w:spacing w:before="40" w:after="40"/>
              <w:jc w:val="left"/>
              <w:rPr>
                <w:sz w:val="18"/>
                <w:szCs w:val="18"/>
              </w:rPr>
            </w:pPr>
            <w:r w:rsidRPr="00A6443F">
              <w:rPr>
                <w:sz w:val="18"/>
                <w:szCs w:val="18"/>
              </w:rPr>
              <w:t>(Statice) Goniolimon, Limonium, Psylliostachys</w:t>
            </w:r>
          </w:p>
        </w:tc>
        <w:tc>
          <w:tcPr>
            <w:tcW w:w="3830" w:type="dxa"/>
          </w:tcPr>
          <w:p w:rsidR="00BB7312" w:rsidRPr="00A6443F" w:rsidRDefault="00BB7312" w:rsidP="00BA1CCE">
            <w:pPr>
              <w:keepNext/>
              <w:spacing w:before="40" w:after="40"/>
              <w:jc w:val="left"/>
              <w:rPr>
                <w:sz w:val="18"/>
                <w:szCs w:val="18"/>
              </w:rPr>
            </w:pPr>
            <w:r w:rsidRPr="00A6443F">
              <w:rPr>
                <w:sz w:val="18"/>
                <w:szCs w:val="18"/>
              </w:rPr>
              <w:t>GONIO;  LIMON;  PSYLL</w:t>
            </w:r>
          </w:p>
        </w:tc>
      </w:tr>
      <w:tr w:rsidR="00BB7312" w:rsidRPr="00A6443F" w:rsidTr="00BA1CCE">
        <w:trPr>
          <w:cantSplit/>
        </w:trPr>
        <w:tc>
          <w:tcPr>
            <w:tcW w:w="1277" w:type="dxa"/>
          </w:tcPr>
          <w:p w:rsidR="00BB7312" w:rsidRPr="00A6443F" w:rsidRDefault="00BB7312" w:rsidP="00BA1CCE">
            <w:pPr>
              <w:spacing w:before="40" w:after="40"/>
              <w:jc w:val="left"/>
              <w:rPr>
                <w:sz w:val="18"/>
                <w:szCs w:val="18"/>
              </w:rPr>
            </w:pPr>
            <w:r w:rsidRPr="00A6443F">
              <w:rPr>
                <w:sz w:val="18"/>
                <w:szCs w:val="18"/>
              </w:rPr>
              <w:t>Class 209</w:t>
            </w:r>
          </w:p>
        </w:tc>
        <w:tc>
          <w:tcPr>
            <w:tcW w:w="4677" w:type="dxa"/>
          </w:tcPr>
          <w:p w:rsidR="00BB7312" w:rsidRPr="00A6443F" w:rsidRDefault="00BB7312" w:rsidP="00BA1CCE">
            <w:pPr>
              <w:keepNext/>
              <w:spacing w:before="40" w:after="40"/>
              <w:jc w:val="left"/>
              <w:rPr>
                <w:sz w:val="18"/>
                <w:szCs w:val="18"/>
              </w:rPr>
            </w:pPr>
            <w:r w:rsidRPr="00A6443F">
              <w:rPr>
                <w:sz w:val="18"/>
                <w:szCs w:val="18"/>
              </w:rPr>
              <w:t>(Waxflower) Chamelaucium, Verticordia</w:t>
            </w:r>
          </w:p>
        </w:tc>
        <w:tc>
          <w:tcPr>
            <w:tcW w:w="3830" w:type="dxa"/>
          </w:tcPr>
          <w:p w:rsidR="00BB7312" w:rsidRPr="00A6443F" w:rsidRDefault="00BB7312" w:rsidP="00BA1CCE">
            <w:pPr>
              <w:keepNext/>
              <w:spacing w:before="40" w:after="40"/>
              <w:jc w:val="left"/>
              <w:rPr>
                <w:sz w:val="18"/>
                <w:szCs w:val="18"/>
              </w:rPr>
            </w:pPr>
            <w:r w:rsidRPr="00A6443F">
              <w:rPr>
                <w:sz w:val="18"/>
                <w:szCs w:val="18"/>
              </w:rPr>
              <w:t>CHMLC;  VERTI;  VECHM</w:t>
            </w:r>
          </w:p>
        </w:tc>
      </w:tr>
      <w:tr w:rsidR="00BB7312" w:rsidRPr="00A6443F" w:rsidTr="00BA1CCE">
        <w:trPr>
          <w:cantSplit/>
        </w:trPr>
        <w:tc>
          <w:tcPr>
            <w:tcW w:w="1277" w:type="dxa"/>
          </w:tcPr>
          <w:p w:rsidR="00BB7312" w:rsidRPr="00A6443F" w:rsidRDefault="00BB7312" w:rsidP="00BA1CCE">
            <w:pPr>
              <w:spacing w:before="40" w:after="40"/>
              <w:jc w:val="left"/>
              <w:rPr>
                <w:sz w:val="18"/>
                <w:szCs w:val="18"/>
              </w:rPr>
            </w:pPr>
            <w:r w:rsidRPr="00A6443F">
              <w:rPr>
                <w:sz w:val="18"/>
                <w:szCs w:val="18"/>
              </w:rPr>
              <w:t>Class 210</w:t>
            </w:r>
          </w:p>
        </w:tc>
        <w:tc>
          <w:tcPr>
            <w:tcW w:w="4677" w:type="dxa"/>
          </w:tcPr>
          <w:p w:rsidR="00BB7312" w:rsidRPr="00A6443F" w:rsidRDefault="00BB7312" w:rsidP="00BA1CCE">
            <w:pPr>
              <w:keepNext/>
              <w:spacing w:before="40" w:after="40"/>
              <w:jc w:val="left"/>
              <w:rPr>
                <w:sz w:val="18"/>
                <w:szCs w:val="18"/>
              </w:rPr>
            </w:pPr>
            <w:r w:rsidRPr="00A6443F">
              <w:rPr>
                <w:sz w:val="18"/>
                <w:szCs w:val="18"/>
              </w:rPr>
              <w:t>Jamesbrittania and Sutera</w:t>
            </w:r>
          </w:p>
        </w:tc>
        <w:tc>
          <w:tcPr>
            <w:tcW w:w="3830" w:type="dxa"/>
          </w:tcPr>
          <w:p w:rsidR="00BB7312" w:rsidRPr="00A6443F" w:rsidRDefault="00BB7312" w:rsidP="00BA1CCE">
            <w:pPr>
              <w:keepNext/>
              <w:spacing w:before="40" w:after="40"/>
              <w:jc w:val="left"/>
              <w:rPr>
                <w:sz w:val="18"/>
                <w:szCs w:val="18"/>
              </w:rPr>
            </w:pPr>
            <w:r w:rsidRPr="00A6443F">
              <w:rPr>
                <w:sz w:val="18"/>
                <w:szCs w:val="18"/>
              </w:rPr>
              <w:t>JAMES; SUTER</w:t>
            </w:r>
          </w:p>
        </w:tc>
      </w:tr>
      <w:tr w:rsidR="00BB7312" w:rsidRPr="00A6443F" w:rsidTr="00BA1CCE">
        <w:trPr>
          <w:cantSplit/>
        </w:trPr>
        <w:tc>
          <w:tcPr>
            <w:tcW w:w="1277" w:type="dxa"/>
          </w:tcPr>
          <w:p w:rsidR="00BB7312" w:rsidRPr="00A6443F" w:rsidRDefault="00BB7312" w:rsidP="00BA1CCE">
            <w:pPr>
              <w:spacing w:before="40" w:after="40"/>
              <w:ind w:left="567" w:right="113" w:hanging="567"/>
              <w:jc w:val="left"/>
              <w:rPr>
                <w:sz w:val="18"/>
                <w:szCs w:val="18"/>
              </w:rPr>
            </w:pPr>
            <w:r w:rsidRPr="00A6443F">
              <w:rPr>
                <w:sz w:val="18"/>
                <w:szCs w:val="18"/>
              </w:rPr>
              <w:t>Class 211</w:t>
            </w:r>
          </w:p>
        </w:tc>
        <w:tc>
          <w:tcPr>
            <w:tcW w:w="4677" w:type="dxa"/>
          </w:tcPr>
          <w:p w:rsidR="00BB7312" w:rsidRPr="00A6443F" w:rsidRDefault="00BB7312" w:rsidP="00BA1CCE">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r w:rsidRPr="00A6443F">
              <w:rPr>
                <w:snapToGrid w:val="0"/>
                <w:color w:val="000000"/>
                <w:sz w:val="18"/>
                <w:szCs w:val="18"/>
              </w:rPr>
              <w:t xml:space="preserve">Agaricus  </w:t>
            </w:r>
            <w:r w:rsidRPr="00A6443F">
              <w:rPr>
                <w:snapToGrid w:val="0"/>
                <w:color w:val="000000"/>
                <w:sz w:val="18"/>
                <w:szCs w:val="18"/>
              </w:rPr>
              <w:br/>
              <w:t xml:space="preserve">Agrocybe </w:t>
            </w:r>
            <w:r w:rsidRPr="00A6443F">
              <w:rPr>
                <w:snapToGrid w:val="0"/>
                <w:color w:val="000000"/>
                <w:sz w:val="18"/>
                <w:szCs w:val="18"/>
              </w:rPr>
              <w:br/>
              <w:t xml:space="preserve">Auricularia </w:t>
            </w:r>
            <w:r w:rsidRPr="00A6443F">
              <w:rPr>
                <w:snapToGrid w:val="0"/>
                <w:color w:val="000000"/>
                <w:sz w:val="18"/>
                <w:szCs w:val="18"/>
              </w:rPr>
              <w:br/>
              <w:t xml:space="preserve">Dictyophora </w:t>
            </w:r>
            <w:r w:rsidRPr="00A6443F">
              <w:rPr>
                <w:snapToGrid w:val="0"/>
                <w:color w:val="000000"/>
                <w:sz w:val="18"/>
                <w:szCs w:val="18"/>
              </w:rPr>
              <w:br/>
              <w:t xml:space="preserve">Flammulina </w:t>
            </w:r>
            <w:r w:rsidRPr="00A6443F">
              <w:rPr>
                <w:snapToGrid w:val="0"/>
                <w:color w:val="000000"/>
                <w:sz w:val="18"/>
                <w:szCs w:val="18"/>
              </w:rPr>
              <w:br/>
              <w:t xml:space="preserve">Ganoderma </w:t>
            </w:r>
            <w:r w:rsidRPr="00A6443F">
              <w:rPr>
                <w:snapToGrid w:val="0"/>
                <w:color w:val="000000"/>
                <w:sz w:val="18"/>
                <w:szCs w:val="18"/>
              </w:rPr>
              <w:br/>
              <w:t xml:space="preserve">Grifola </w:t>
            </w:r>
            <w:r w:rsidRPr="00A6443F">
              <w:rPr>
                <w:snapToGrid w:val="0"/>
                <w:color w:val="000000"/>
                <w:sz w:val="18"/>
                <w:szCs w:val="18"/>
              </w:rPr>
              <w:br/>
              <w:t xml:space="preserve">Hericium </w:t>
            </w:r>
            <w:r w:rsidRPr="00A6443F">
              <w:rPr>
                <w:snapToGrid w:val="0"/>
                <w:color w:val="000000"/>
                <w:sz w:val="18"/>
                <w:szCs w:val="18"/>
              </w:rPr>
              <w:br/>
              <w:t xml:space="preserve">Hypsizigus </w:t>
            </w:r>
            <w:r w:rsidRPr="00A6443F">
              <w:rPr>
                <w:snapToGrid w:val="0"/>
                <w:color w:val="000000"/>
                <w:sz w:val="18"/>
                <w:szCs w:val="18"/>
              </w:rPr>
              <w:br/>
              <w:t xml:space="preserve">Lentinula </w:t>
            </w:r>
            <w:r w:rsidRPr="00A6443F">
              <w:rPr>
                <w:snapToGrid w:val="0"/>
                <w:color w:val="000000"/>
                <w:sz w:val="18"/>
                <w:szCs w:val="18"/>
              </w:rPr>
              <w:br/>
              <w:t xml:space="preserve">Lepista </w:t>
            </w:r>
            <w:r w:rsidRPr="00A6443F">
              <w:rPr>
                <w:snapToGrid w:val="0"/>
                <w:color w:val="000000"/>
                <w:sz w:val="18"/>
                <w:szCs w:val="18"/>
              </w:rPr>
              <w:br/>
              <w:t xml:space="preserve">Lyophyllum </w:t>
            </w:r>
            <w:r w:rsidRPr="00A6443F">
              <w:rPr>
                <w:snapToGrid w:val="0"/>
                <w:color w:val="000000"/>
                <w:sz w:val="18"/>
                <w:szCs w:val="18"/>
              </w:rPr>
              <w:br/>
              <w:t xml:space="preserve">Meripilus </w:t>
            </w:r>
            <w:r w:rsidRPr="00A6443F">
              <w:rPr>
                <w:snapToGrid w:val="0"/>
                <w:color w:val="000000"/>
                <w:sz w:val="18"/>
                <w:szCs w:val="18"/>
              </w:rPr>
              <w:br/>
              <w:t xml:space="preserve">Mycoleptodonoides </w:t>
            </w:r>
            <w:r w:rsidRPr="00A6443F">
              <w:rPr>
                <w:snapToGrid w:val="0"/>
                <w:color w:val="000000"/>
                <w:sz w:val="18"/>
                <w:szCs w:val="18"/>
              </w:rPr>
              <w:br/>
              <w:t xml:space="preserve">Naematoloma </w:t>
            </w:r>
            <w:r w:rsidRPr="00A6443F">
              <w:rPr>
                <w:snapToGrid w:val="0"/>
                <w:color w:val="000000"/>
                <w:sz w:val="18"/>
                <w:szCs w:val="18"/>
              </w:rPr>
              <w:br/>
              <w:t>Panellus</w:t>
            </w:r>
            <w:r w:rsidRPr="00A6443F">
              <w:rPr>
                <w:snapToGrid w:val="0"/>
                <w:color w:val="000000"/>
                <w:sz w:val="18"/>
                <w:szCs w:val="18"/>
              </w:rPr>
              <w:br/>
              <w:t xml:space="preserve">Pholiota </w:t>
            </w:r>
            <w:r w:rsidRPr="00A6443F">
              <w:rPr>
                <w:snapToGrid w:val="0"/>
                <w:color w:val="000000"/>
                <w:sz w:val="18"/>
                <w:szCs w:val="18"/>
              </w:rPr>
              <w:br/>
              <w:t xml:space="preserve">Pleurotus </w:t>
            </w:r>
            <w:r w:rsidRPr="00A6443F">
              <w:rPr>
                <w:snapToGrid w:val="0"/>
                <w:color w:val="000000"/>
                <w:sz w:val="18"/>
                <w:szCs w:val="18"/>
              </w:rPr>
              <w:br/>
              <w:t xml:space="preserve">Polyporus </w:t>
            </w:r>
            <w:r w:rsidRPr="00A6443F">
              <w:rPr>
                <w:snapToGrid w:val="0"/>
                <w:color w:val="000000"/>
                <w:sz w:val="18"/>
                <w:szCs w:val="18"/>
              </w:rPr>
              <w:br/>
              <w:t xml:space="preserve">Sparassis </w:t>
            </w:r>
            <w:r w:rsidRPr="00A6443F">
              <w:rPr>
                <w:snapToGrid w:val="0"/>
                <w:color w:val="000000"/>
                <w:sz w:val="18"/>
                <w:szCs w:val="18"/>
              </w:rPr>
              <w:br/>
              <w:t xml:space="preserve">Tricholoma </w:t>
            </w:r>
          </w:p>
        </w:tc>
        <w:tc>
          <w:tcPr>
            <w:tcW w:w="3830" w:type="dxa"/>
          </w:tcPr>
          <w:p w:rsidR="00BB7312" w:rsidRPr="00A6443F" w:rsidRDefault="00BB7312" w:rsidP="00BA1CCE">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BB7312" w:rsidRPr="00A6443F" w:rsidTr="00BA1CCE">
        <w:trPr>
          <w:cantSplit/>
        </w:trPr>
        <w:tc>
          <w:tcPr>
            <w:tcW w:w="1277" w:type="dxa"/>
          </w:tcPr>
          <w:p w:rsidR="00BB7312" w:rsidRPr="00A6443F" w:rsidRDefault="00BB7312" w:rsidP="00BA1CCE">
            <w:pPr>
              <w:spacing w:before="40" w:after="40"/>
              <w:ind w:left="567" w:right="113" w:hanging="567"/>
              <w:jc w:val="left"/>
              <w:rPr>
                <w:sz w:val="18"/>
                <w:szCs w:val="18"/>
              </w:rPr>
            </w:pPr>
            <w:r w:rsidRPr="00A6443F">
              <w:rPr>
                <w:snapToGrid w:val="0"/>
                <w:sz w:val="18"/>
                <w:szCs w:val="18"/>
              </w:rPr>
              <w:t>Class 212</w:t>
            </w:r>
          </w:p>
        </w:tc>
        <w:tc>
          <w:tcPr>
            <w:tcW w:w="4677" w:type="dxa"/>
          </w:tcPr>
          <w:p w:rsidR="00BB7312" w:rsidRPr="00A6443F" w:rsidRDefault="00BB7312" w:rsidP="00BA1CCE">
            <w:pPr>
              <w:tabs>
                <w:tab w:val="left" w:pos="6373"/>
                <w:tab w:val="left" w:pos="9066"/>
              </w:tabs>
              <w:spacing w:before="40" w:after="40"/>
              <w:ind w:left="301" w:right="113" w:hanging="301"/>
              <w:jc w:val="left"/>
              <w:rPr>
                <w:sz w:val="18"/>
                <w:szCs w:val="18"/>
              </w:rPr>
            </w:pPr>
            <w:r w:rsidRPr="00A6443F">
              <w:rPr>
                <w:sz w:val="18"/>
                <w:szCs w:val="18"/>
              </w:rPr>
              <w:t>Verbena L. and Glandularia J. F. Gmel.</w:t>
            </w:r>
          </w:p>
        </w:tc>
        <w:tc>
          <w:tcPr>
            <w:tcW w:w="3830" w:type="dxa"/>
          </w:tcPr>
          <w:p w:rsidR="00BB7312" w:rsidRPr="00A6443F" w:rsidRDefault="00BB7312" w:rsidP="00BA1CCE">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BB7312" w:rsidRPr="00A6443F" w:rsidTr="00BA1CCE">
        <w:tblPrEx>
          <w:tblCellMar>
            <w:left w:w="56" w:type="dxa"/>
            <w:right w:w="56" w:type="dxa"/>
          </w:tblCellMar>
        </w:tblPrEx>
        <w:trPr>
          <w:cantSplit/>
        </w:trPr>
        <w:tc>
          <w:tcPr>
            <w:tcW w:w="1277" w:type="dxa"/>
            <w:tcBorders>
              <w:top w:val="single" w:sz="4" w:space="0" w:color="auto"/>
              <w:left w:val="single" w:sz="4" w:space="0" w:color="auto"/>
              <w:bottom w:val="nil"/>
              <w:right w:val="single" w:sz="4" w:space="0" w:color="auto"/>
            </w:tcBorders>
            <w:shd w:val="clear" w:color="auto" w:fill="auto"/>
          </w:tcPr>
          <w:p w:rsidR="00BB7312" w:rsidRPr="00A6443F" w:rsidRDefault="00BB7312" w:rsidP="00BA1CCE">
            <w:pPr>
              <w:spacing w:before="40"/>
              <w:ind w:left="301" w:right="113" w:hanging="301"/>
              <w:jc w:val="left"/>
              <w:rPr>
                <w:sz w:val="18"/>
                <w:szCs w:val="18"/>
              </w:rPr>
            </w:pPr>
            <w:r w:rsidRPr="00A6443F">
              <w:rPr>
                <w:sz w:val="18"/>
                <w:szCs w:val="18"/>
              </w:rPr>
              <w:t>Class 213</w:t>
            </w:r>
          </w:p>
        </w:tc>
        <w:tc>
          <w:tcPr>
            <w:tcW w:w="4677" w:type="dxa"/>
            <w:tcBorders>
              <w:top w:val="single" w:sz="4" w:space="0" w:color="auto"/>
              <w:left w:val="single" w:sz="4" w:space="0" w:color="auto"/>
              <w:bottom w:val="nil"/>
              <w:right w:val="single" w:sz="4" w:space="0" w:color="auto"/>
            </w:tcBorders>
            <w:shd w:val="clear" w:color="auto" w:fill="auto"/>
          </w:tcPr>
          <w:p w:rsidR="00BB7312" w:rsidRPr="00A6443F" w:rsidRDefault="00BB7312" w:rsidP="00BA1CCE">
            <w:pPr>
              <w:spacing w:before="40"/>
              <w:ind w:left="301" w:right="113" w:hanging="301"/>
              <w:jc w:val="left"/>
              <w:rPr>
                <w:color w:val="000000"/>
                <w:sz w:val="18"/>
                <w:szCs w:val="18"/>
              </w:rPr>
            </w:pPr>
            <w:r w:rsidRPr="00A6443F">
              <w:rPr>
                <w:color w:val="000000"/>
                <w:sz w:val="18"/>
                <w:szCs w:val="18"/>
              </w:rPr>
              <w:t>Eupatorium L.</w:t>
            </w:r>
          </w:p>
        </w:tc>
        <w:tc>
          <w:tcPr>
            <w:tcW w:w="3830" w:type="dxa"/>
            <w:tcBorders>
              <w:top w:val="single" w:sz="4" w:space="0" w:color="auto"/>
              <w:left w:val="single" w:sz="4" w:space="0" w:color="auto"/>
              <w:bottom w:val="nil"/>
              <w:right w:val="single" w:sz="4" w:space="0" w:color="auto"/>
            </w:tcBorders>
            <w:shd w:val="clear" w:color="auto" w:fill="auto"/>
          </w:tcPr>
          <w:p w:rsidR="00BB7312" w:rsidRPr="00A6443F" w:rsidRDefault="00BB7312" w:rsidP="00BA1CCE">
            <w:pPr>
              <w:spacing w:before="40"/>
              <w:ind w:left="301" w:right="113" w:hanging="301"/>
              <w:jc w:val="left"/>
              <w:rPr>
                <w:sz w:val="18"/>
                <w:szCs w:val="18"/>
              </w:rPr>
            </w:pPr>
            <w:r w:rsidRPr="00A6443F">
              <w:rPr>
                <w:sz w:val="18"/>
                <w:szCs w:val="18"/>
              </w:rPr>
              <w:t>EUPAT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ind w:firstLine="305"/>
              <w:jc w:val="left"/>
              <w:rPr>
                <w:color w:val="000000"/>
                <w:sz w:val="18"/>
                <w:szCs w:val="18"/>
              </w:rPr>
            </w:pPr>
            <w:r w:rsidRPr="00A6443F">
              <w:rPr>
                <w:color w:val="000000"/>
                <w:sz w:val="18"/>
                <w:szCs w:val="18"/>
              </w:rPr>
              <w:t>Acanthostyles R. M. King &amp; H. Rob.</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r w:rsidRPr="00A6443F">
              <w:rPr>
                <w:sz w:val="18"/>
                <w:szCs w:val="18"/>
              </w:rPr>
              <w: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ind w:firstLine="305"/>
              <w:jc w:val="left"/>
              <w:rPr>
                <w:color w:val="000000"/>
                <w:sz w:val="18"/>
                <w:szCs w:val="18"/>
              </w:rPr>
            </w:pPr>
            <w:r w:rsidRPr="00A6443F">
              <w:rPr>
                <w:iCs/>
                <w:color w:val="000000"/>
                <w:sz w:val="18"/>
                <w:szCs w:val="18"/>
              </w:rPr>
              <w:t>Ageratina Spach</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r w:rsidRPr="00A6443F">
              <w:rPr>
                <w:sz w:val="18"/>
                <w:szCs w:val="18"/>
              </w:rPr>
              <w:t>AGERT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ind w:firstLine="305"/>
              <w:jc w:val="left"/>
              <w:rPr>
                <w:color w:val="000000"/>
                <w:sz w:val="18"/>
                <w:szCs w:val="18"/>
              </w:rPr>
            </w:pPr>
            <w:r w:rsidRPr="00A6443F">
              <w:rPr>
                <w:sz w:val="18"/>
                <w:szCs w:val="18"/>
              </w:rPr>
              <w:t>Asplundianthus R. M. King &amp; H. Rob.</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r w:rsidRPr="00A6443F">
              <w:rPr>
                <w:sz w:val="18"/>
                <w:szCs w:val="18"/>
              </w:rPr>
              <w: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ind w:firstLine="305"/>
              <w:jc w:val="left"/>
              <w:rPr>
                <w:color w:val="000000"/>
                <w:sz w:val="18"/>
                <w:szCs w:val="18"/>
              </w:rPr>
            </w:pPr>
            <w:r w:rsidRPr="00A6443F">
              <w:rPr>
                <w:sz w:val="18"/>
                <w:szCs w:val="18"/>
              </w:rPr>
              <w:t>Bartlettina R. M. King &amp; H. Rob.</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r w:rsidRPr="00A6443F">
              <w:rPr>
                <w:sz w:val="18"/>
                <w:szCs w:val="18"/>
              </w:rPr>
              <w: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ind w:firstLine="305"/>
              <w:jc w:val="left"/>
              <w:rPr>
                <w:color w:val="000000"/>
                <w:sz w:val="18"/>
                <w:szCs w:val="18"/>
              </w:rPr>
            </w:pPr>
            <w:r w:rsidRPr="00A6443F">
              <w:rPr>
                <w:sz w:val="18"/>
                <w:szCs w:val="18"/>
              </w:rPr>
              <w:t>Campuloclinium DC.</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r w:rsidRPr="00A6443F">
              <w:rPr>
                <w:sz w:val="18"/>
                <w:szCs w:val="18"/>
              </w:rPr>
              <w: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ind w:firstLine="305"/>
              <w:jc w:val="left"/>
              <w:rPr>
                <w:color w:val="000000"/>
                <w:sz w:val="18"/>
                <w:szCs w:val="18"/>
              </w:rPr>
            </w:pPr>
            <w:r w:rsidRPr="00A6443F">
              <w:rPr>
                <w:sz w:val="18"/>
                <w:szCs w:val="18"/>
              </w:rPr>
              <w:t>Chromolaena DC.</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r w:rsidRPr="00A6443F">
              <w:rPr>
                <w:sz w:val="18"/>
                <w:szCs w:val="18"/>
              </w:rPr>
              <w: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ind w:firstLine="305"/>
              <w:jc w:val="left"/>
              <w:rPr>
                <w:color w:val="000000"/>
                <w:sz w:val="18"/>
                <w:szCs w:val="18"/>
              </w:rPr>
            </w:pPr>
            <w:r w:rsidRPr="00A6443F">
              <w:rPr>
                <w:sz w:val="18"/>
                <w:szCs w:val="18"/>
              </w:rPr>
              <w:t>Conoclinium DC.</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r w:rsidRPr="00A6443F">
              <w:rPr>
                <w:sz w:val="18"/>
                <w:szCs w:val="18"/>
              </w:rPr>
              <w: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ind w:firstLine="305"/>
              <w:jc w:val="left"/>
              <w:rPr>
                <w:color w:val="000000"/>
                <w:sz w:val="18"/>
                <w:szCs w:val="18"/>
              </w:rPr>
            </w:pPr>
            <w:r w:rsidRPr="00A6443F">
              <w:rPr>
                <w:sz w:val="18"/>
                <w:szCs w:val="18"/>
              </w:rPr>
              <w:t>Cronquistianthus R. M. King &amp; H. Rob.</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r w:rsidRPr="00A6443F">
              <w:rPr>
                <w:sz w:val="18"/>
                <w:szCs w:val="18"/>
              </w:rPr>
              <w: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ind w:firstLine="305"/>
              <w:jc w:val="left"/>
              <w:rPr>
                <w:color w:val="000000"/>
                <w:sz w:val="18"/>
                <w:szCs w:val="18"/>
              </w:rPr>
            </w:pPr>
            <w:r w:rsidRPr="00A6443F">
              <w:rPr>
                <w:iCs/>
                <w:color w:val="000000"/>
                <w:sz w:val="18"/>
                <w:szCs w:val="18"/>
              </w:rPr>
              <w:t>Eutrochium Raf.</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keepNext/>
              <w:spacing w:before="10" w:after="10"/>
              <w:jc w:val="left"/>
              <w:rPr>
                <w:sz w:val="18"/>
                <w:szCs w:val="18"/>
              </w:rPr>
            </w:pPr>
            <w:r w:rsidRPr="00A6443F">
              <w:rPr>
                <w:sz w:val="18"/>
                <w:szCs w:val="18"/>
              </w:rPr>
              <w:t>EUTRO</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spacing w:before="10" w:after="10"/>
              <w:ind w:firstLine="305"/>
              <w:jc w:val="left"/>
              <w:rPr>
                <w:color w:val="000000"/>
                <w:sz w:val="18"/>
                <w:szCs w:val="18"/>
              </w:rPr>
            </w:pPr>
            <w:r w:rsidRPr="00A6443F">
              <w:rPr>
                <w:sz w:val="18"/>
                <w:szCs w:val="18"/>
              </w:rPr>
              <w:t>Fleischmannia Sch. Bip.</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spacing w:before="10" w:after="10"/>
              <w:jc w:val="left"/>
              <w:rPr>
                <w:sz w:val="18"/>
                <w:szCs w:val="18"/>
              </w:rPr>
            </w:pPr>
            <w:r w:rsidRPr="00A6443F">
              <w:rPr>
                <w:sz w:val="18"/>
                <w:szCs w:val="18"/>
              </w:rPr>
              <w: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BB7312" w:rsidRPr="00A6443F" w:rsidRDefault="00BB7312" w:rsidP="00BA1CCE">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BB7312" w:rsidRPr="00A6443F" w:rsidRDefault="00BB7312" w:rsidP="00BA1CCE">
            <w:pPr>
              <w:spacing w:before="10" w:after="10"/>
              <w:ind w:firstLine="305"/>
              <w:jc w:val="left"/>
              <w:rPr>
                <w:sz w:val="18"/>
                <w:szCs w:val="18"/>
              </w:rPr>
            </w:pPr>
            <w:r w:rsidRPr="00A6443F">
              <w:rPr>
                <w:sz w:val="18"/>
                <w:szCs w:val="18"/>
              </w:rPr>
              <w:t>Praxelis Cass.</w:t>
            </w:r>
          </w:p>
        </w:tc>
        <w:tc>
          <w:tcPr>
            <w:tcW w:w="3830" w:type="dxa"/>
            <w:tcBorders>
              <w:top w:val="nil"/>
              <w:left w:val="single" w:sz="4" w:space="0" w:color="auto"/>
              <w:bottom w:val="nil"/>
              <w:right w:val="single" w:sz="4" w:space="0" w:color="auto"/>
            </w:tcBorders>
            <w:shd w:val="clear" w:color="auto" w:fill="auto"/>
          </w:tcPr>
          <w:p w:rsidR="00BB7312" w:rsidRPr="00A6443F" w:rsidRDefault="00BB7312" w:rsidP="00BA1CCE">
            <w:pPr>
              <w:spacing w:before="10" w:after="10"/>
              <w:jc w:val="left"/>
              <w:rPr>
                <w:sz w:val="18"/>
                <w:szCs w:val="18"/>
              </w:rPr>
            </w:pPr>
            <w:r w:rsidRPr="00A6443F">
              <w:rPr>
                <w:sz w:val="18"/>
                <w:szCs w:val="18"/>
              </w:rPr>
              <w:t>-</w:t>
            </w:r>
          </w:p>
        </w:tc>
      </w:tr>
      <w:tr w:rsidR="00BB7312" w:rsidRPr="00A6443F" w:rsidTr="00BA1CCE">
        <w:tblPrEx>
          <w:tblCellMar>
            <w:left w:w="56" w:type="dxa"/>
            <w:right w:w="56" w:type="dxa"/>
          </w:tblCellMar>
        </w:tblPrEx>
        <w:trPr>
          <w:cantSplit/>
        </w:trPr>
        <w:tc>
          <w:tcPr>
            <w:tcW w:w="1277" w:type="dxa"/>
            <w:tcBorders>
              <w:top w:val="nil"/>
              <w:left w:val="single" w:sz="4" w:space="0" w:color="auto"/>
              <w:bottom w:val="single" w:sz="4" w:space="0" w:color="auto"/>
              <w:right w:val="single" w:sz="4" w:space="0" w:color="auto"/>
            </w:tcBorders>
            <w:shd w:val="clear" w:color="auto" w:fill="auto"/>
          </w:tcPr>
          <w:p w:rsidR="00BB7312" w:rsidRPr="00A6443F" w:rsidRDefault="00BB7312" w:rsidP="00BA1CCE">
            <w:pPr>
              <w:spacing w:before="10" w:after="10"/>
              <w:jc w:val="left"/>
              <w:rPr>
                <w:sz w:val="18"/>
                <w:szCs w:val="18"/>
              </w:rPr>
            </w:pPr>
          </w:p>
        </w:tc>
        <w:tc>
          <w:tcPr>
            <w:tcW w:w="4677" w:type="dxa"/>
            <w:tcBorders>
              <w:top w:val="nil"/>
              <w:left w:val="single" w:sz="4" w:space="0" w:color="auto"/>
              <w:bottom w:val="single" w:sz="4" w:space="0" w:color="auto"/>
              <w:right w:val="single" w:sz="4" w:space="0" w:color="auto"/>
            </w:tcBorders>
            <w:shd w:val="clear" w:color="auto" w:fill="auto"/>
          </w:tcPr>
          <w:p w:rsidR="00BB7312" w:rsidRPr="00A6443F" w:rsidRDefault="00BB7312" w:rsidP="00BA1CCE">
            <w:pPr>
              <w:spacing w:before="10" w:after="10"/>
              <w:ind w:firstLine="305"/>
              <w:jc w:val="left"/>
              <w:rPr>
                <w:color w:val="000000"/>
                <w:sz w:val="18"/>
                <w:szCs w:val="18"/>
              </w:rPr>
            </w:pPr>
            <w:r w:rsidRPr="00A6443F">
              <w:rPr>
                <w:rFonts w:cs="Arial"/>
                <w:sz w:val="18"/>
                <w:szCs w:val="18"/>
              </w:rPr>
              <w:t>Viereckia R. M. King &amp; H. Rob.</w:t>
            </w:r>
          </w:p>
        </w:tc>
        <w:tc>
          <w:tcPr>
            <w:tcW w:w="3830" w:type="dxa"/>
            <w:tcBorders>
              <w:top w:val="nil"/>
              <w:left w:val="single" w:sz="4" w:space="0" w:color="auto"/>
              <w:bottom w:val="single" w:sz="4" w:space="0" w:color="auto"/>
              <w:right w:val="single" w:sz="4" w:space="0" w:color="auto"/>
            </w:tcBorders>
            <w:shd w:val="clear" w:color="auto" w:fill="auto"/>
          </w:tcPr>
          <w:p w:rsidR="00BB7312" w:rsidRPr="00A6443F" w:rsidRDefault="00BB7312" w:rsidP="00BA1CCE">
            <w:pPr>
              <w:spacing w:before="10" w:after="10"/>
              <w:jc w:val="left"/>
              <w:rPr>
                <w:sz w:val="18"/>
                <w:szCs w:val="18"/>
              </w:rPr>
            </w:pPr>
            <w:r w:rsidRPr="00A6443F">
              <w:rPr>
                <w:sz w:val="18"/>
                <w:szCs w:val="18"/>
              </w:rPr>
              <w:t>-</w:t>
            </w:r>
          </w:p>
        </w:tc>
      </w:tr>
    </w:tbl>
    <w:p w:rsidR="00BB7312" w:rsidRDefault="00BB7312" w:rsidP="00BA1CCE">
      <w:pPr>
        <w:jc w:val="right"/>
      </w:pPr>
      <w:r>
        <w:rPr>
          <w:rFonts w:cs="Arial"/>
          <w:noProof/>
        </w:rPr>
        <mc:AlternateContent>
          <mc:Choice Requires="wps">
            <w:drawing>
              <wp:anchor distT="0" distB="0" distL="114300" distR="114300" simplePos="0" relativeHeight="251659264" behindDoc="0" locked="0" layoutInCell="0" allowOverlap="1" wp14:anchorId="2602195D" wp14:editId="3993DA0E">
                <wp:simplePos x="0" y="0"/>
                <wp:positionH relativeFrom="column">
                  <wp:posOffset>4294505</wp:posOffset>
                </wp:positionH>
                <wp:positionV relativeFrom="paragraph">
                  <wp:posOffset>215900</wp:posOffset>
                </wp:positionV>
                <wp:extent cx="192087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4B0" w:rsidRPr="009929A5" w:rsidRDefault="00B844B0">
                            <w:pPr>
                              <w:ind w:right="53"/>
                              <w:jc w:val="right"/>
                              <w:rPr>
                                <w:rFonts w:cs="Arial"/>
                              </w:rPr>
                            </w:pPr>
                            <w:r w:rsidRPr="009929A5">
                              <w:rPr>
                                <w:rFonts w:cs="Arial"/>
                              </w:rPr>
                              <w:t>[</w:t>
                            </w:r>
                            <w: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L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B/qFgergIAAKkFAAAOAAAA&#10;AAAAAAAAAAAAAC4CAABkcnMvZTJvRG9jLnhtbFBLAQItABQABgAIAAAAIQCpT1xC3wAAAAkBAAAP&#10;AAAAAAAAAAAAAAAAAAgFAABkcnMvZG93bnJldi54bWxQSwUGAAAAAAQABADzAAAAFAYAAAAA&#10;" o:allowincell="f" filled="f" stroked="f">
                <v:textbox inset="0,0,0,0">
                  <w:txbxContent>
                    <w:p w:rsidR="00B844B0" w:rsidRPr="009929A5" w:rsidRDefault="00B844B0">
                      <w:pPr>
                        <w:ind w:right="53"/>
                        <w:jc w:val="right"/>
                        <w:rPr>
                          <w:rFonts w:cs="Arial"/>
                        </w:rPr>
                      </w:pPr>
                      <w:r w:rsidRPr="009929A5">
                        <w:rPr>
                          <w:rFonts w:cs="Arial"/>
                        </w:rPr>
                        <w:t>[</w:t>
                      </w:r>
                      <w:r>
                        <w:t>Annex II follows]</w:t>
                      </w:r>
                    </w:p>
                  </w:txbxContent>
                </v:textbox>
              </v:shape>
            </w:pict>
          </mc:Fallback>
        </mc:AlternateContent>
      </w:r>
    </w:p>
    <w:p w:rsidR="00BB7312" w:rsidRPr="00407B23" w:rsidRDefault="00BB7312" w:rsidP="00BA1CCE">
      <w:pPr>
        <w:jc w:val="right"/>
        <w:sectPr w:rsidR="00BB7312" w:rsidRPr="00407B23" w:rsidSect="00BA1CCE">
          <w:headerReference w:type="first" r:id="rId15"/>
          <w:footerReference w:type="first" r:id="rId16"/>
          <w:pgSz w:w="11907" w:h="16840" w:code="9"/>
          <w:pgMar w:top="510" w:right="1134" w:bottom="1134" w:left="1134" w:header="510" w:footer="113" w:gutter="0"/>
          <w:cols w:space="720"/>
        </w:sectPr>
      </w:pPr>
    </w:p>
    <w:p w:rsidR="00BB7312" w:rsidRDefault="00BB7312" w:rsidP="00BA1CCE">
      <w:pPr>
        <w:jc w:val="center"/>
      </w:pPr>
    </w:p>
    <w:p w:rsidR="00BB7312" w:rsidRPr="00527219" w:rsidRDefault="00BB7312" w:rsidP="00BA1CCE">
      <w:pPr>
        <w:jc w:val="center"/>
      </w:pPr>
      <w:r>
        <w:t>UPOV/INF/12/6 Draft 4</w:t>
      </w:r>
    </w:p>
    <w:p w:rsidR="00BB7312" w:rsidRDefault="00BB7312" w:rsidP="00BA1CCE">
      <w:pPr>
        <w:jc w:val="center"/>
      </w:pPr>
    </w:p>
    <w:p w:rsidR="00BB7312" w:rsidRDefault="00BB7312" w:rsidP="00BA1CCE">
      <w:pPr>
        <w:jc w:val="center"/>
      </w:pPr>
      <w:r>
        <w:t>ANNEX II</w:t>
      </w:r>
    </w:p>
    <w:p w:rsidR="00BB7312" w:rsidRDefault="00BB7312" w:rsidP="00BA1CCE">
      <w:pPr>
        <w:jc w:val="center"/>
      </w:pPr>
    </w:p>
    <w:p w:rsidR="00BB7312" w:rsidRPr="00407B23" w:rsidRDefault="00BB7312" w:rsidP="00BA1CCE">
      <w:pPr>
        <w:jc w:val="center"/>
        <w:rPr>
          <w:u w:val="single"/>
        </w:rPr>
      </w:pPr>
      <w:r w:rsidRPr="00407B23">
        <w:rPr>
          <w:u w:val="single"/>
        </w:rPr>
        <w:t>Model Form for Observations on Proposed Variety Denominations Submitted</w:t>
      </w:r>
    </w:p>
    <w:p w:rsidR="00BB7312" w:rsidRPr="00407B23" w:rsidRDefault="00BB7312" w:rsidP="00BA1CCE">
      <w:pPr>
        <w:jc w:val="center"/>
        <w:rPr>
          <w:u w:val="single"/>
        </w:rPr>
      </w:pPr>
      <w:r w:rsidRPr="00407B23">
        <w:rPr>
          <w:u w:val="single"/>
        </w:rPr>
        <w:t>to Another Member of the Union</w:t>
      </w:r>
    </w:p>
    <w:p w:rsidR="00BB7312" w:rsidRPr="00407B23" w:rsidRDefault="00BB7312" w:rsidP="00BA1CCE"/>
    <w:p w:rsidR="00BB7312" w:rsidRPr="00407B23" w:rsidRDefault="00BB7312" w:rsidP="00BA1CCE">
      <w:r w:rsidRPr="00407B23">
        <w:t>From:</w:t>
      </w:r>
    </w:p>
    <w:p w:rsidR="00BB7312" w:rsidRPr="00407B23" w:rsidRDefault="00BB7312" w:rsidP="00BA1CCE">
      <w:pPr>
        <w:tabs>
          <w:tab w:val="right" w:leader="underscore" w:pos="9639"/>
        </w:tabs>
        <w:ind w:left="4678"/>
        <w:jc w:val="center"/>
      </w:pPr>
      <w:r w:rsidRPr="00407B23">
        <w:tab/>
      </w:r>
    </w:p>
    <w:p w:rsidR="00BB7312" w:rsidRPr="00407B23" w:rsidRDefault="00BB7312" w:rsidP="00BA1CCE">
      <w:pPr>
        <w:tabs>
          <w:tab w:val="left" w:pos="4678"/>
          <w:tab w:val="right" w:leader="underscore" w:pos="9072"/>
        </w:tabs>
        <w:ind w:left="4678"/>
        <w:jc w:val="center"/>
      </w:pPr>
      <w:r w:rsidRPr="00407B23">
        <w:t>Your ref.</w:t>
      </w:r>
    </w:p>
    <w:p w:rsidR="00BB7312" w:rsidRPr="00407B23" w:rsidRDefault="00BB7312" w:rsidP="00BA1CCE">
      <w:pPr>
        <w:tabs>
          <w:tab w:val="left" w:pos="4678"/>
          <w:tab w:val="right" w:leader="underscore" w:pos="9639"/>
        </w:tabs>
        <w:ind w:left="4678"/>
        <w:jc w:val="center"/>
      </w:pPr>
      <w:r w:rsidRPr="00407B23">
        <w:tab/>
      </w:r>
    </w:p>
    <w:p w:rsidR="00BB7312" w:rsidRPr="00407B23" w:rsidRDefault="00BB7312" w:rsidP="00BA1CCE">
      <w:pPr>
        <w:tabs>
          <w:tab w:val="left" w:pos="4678"/>
          <w:tab w:val="right" w:leader="underscore" w:pos="9072"/>
        </w:tabs>
        <w:ind w:left="4678"/>
        <w:jc w:val="center"/>
      </w:pPr>
      <w:r w:rsidRPr="00407B23">
        <w:t>Our ref.</w:t>
      </w:r>
    </w:p>
    <w:p w:rsidR="00BB7312" w:rsidRPr="00407B23" w:rsidRDefault="00BB7312" w:rsidP="00BA1CCE"/>
    <w:p w:rsidR="00BB7312" w:rsidRPr="00407B23" w:rsidRDefault="00BB7312" w:rsidP="00BA1CCE"/>
    <w:p w:rsidR="00BB7312" w:rsidRPr="00407B23" w:rsidRDefault="00BB7312" w:rsidP="00BA1CCE">
      <w:pPr>
        <w:jc w:val="center"/>
        <w:rPr>
          <w:b/>
        </w:rPr>
      </w:pPr>
      <w:r w:rsidRPr="00407B23">
        <w:rPr>
          <w:b/>
        </w:rPr>
        <w:t>Observations on a Submitted Variety Denomination</w:t>
      </w:r>
    </w:p>
    <w:p w:rsidR="00BB7312" w:rsidRPr="00407B23" w:rsidRDefault="00BB7312" w:rsidP="00BA1CCE">
      <w:pPr>
        <w:jc w:val="center"/>
        <w:rPr>
          <w:b/>
        </w:rPr>
      </w:pPr>
    </w:p>
    <w:p w:rsidR="00BB7312" w:rsidRPr="00407B23" w:rsidRDefault="00BB7312" w:rsidP="00BA1CCE">
      <w:r w:rsidRPr="00407B23">
        <w:t xml:space="preserve">To:  </w:t>
      </w:r>
    </w:p>
    <w:p w:rsidR="00BB7312" w:rsidRPr="00407B23" w:rsidRDefault="00BB7312" w:rsidP="00BA1CCE"/>
    <w:p w:rsidR="00BB7312" w:rsidRPr="00407B23" w:rsidRDefault="00BB7312" w:rsidP="00BA1CCE"/>
    <w:p w:rsidR="00BB7312" w:rsidRPr="00407B23" w:rsidRDefault="00BB7312" w:rsidP="00BA1CCE">
      <w:pPr>
        <w:tabs>
          <w:tab w:val="right" w:leader="underscore" w:pos="9639"/>
        </w:tabs>
      </w:pPr>
      <w:r w:rsidRPr="00407B23">
        <w:t xml:space="preserve">Submitted Variety Denomination:  </w:t>
      </w:r>
      <w:r w:rsidRPr="00407B23">
        <w:tab/>
      </w:r>
    </w:p>
    <w:p w:rsidR="00BB7312" w:rsidRPr="00407B23" w:rsidRDefault="00BB7312" w:rsidP="00BA1CCE">
      <w:pPr>
        <w:tabs>
          <w:tab w:val="right" w:leader="underscore" w:pos="9072"/>
        </w:tabs>
      </w:pPr>
    </w:p>
    <w:p w:rsidR="00BB7312" w:rsidRPr="00407B23" w:rsidRDefault="00BB7312" w:rsidP="00BA1CCE">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BB7312" w:rsidRPr="00407B23" w:rsidRDefault="00BB7312" w:rsidP="00BA1CCE">
      <w:pPr>
        <w:tabs>
          <w:tab w:val="right" w:leader="underscore" w:pos="9072"/>
        </w:tabs>
      </w:pPr>
    </w:p>
    <w:p w:rsidR="00BB7312" w:rsidRPr="00407B23" w:rsidRDefault="00BB7312" w:rsidP="00BA1CCE">
      <w:pPr>
        <w:tabs>
          <w:tab w:val="right" w:leader="underscore" w:pos="9639"/>
        </w:tabs>
      </w:pPr>
      <w:r w:rsidRPr="00407B23">
        <w:t xml:space="preserve">Gazette:  </w:t>
      </w:r>
      <w:r w:rsidRPr="00407B23">
        <w:tab/>
      </w:r>
    </w:p>
    <w:p w:rsidR="00BB7312" w:rsidRPr="00407B23" w:rsidRDefault="00BB7312" w:rsidP="00BA1CCE">
      <w:pPr>
        <w:tabs>
          <w:tab w:val="right" w:leader="underscore" w:pos="9072"/>
        </w:tabs>
        <w:jc w:val="center"/>
      </w:pPr>
      <w:r w:rsidRPr="00407B23">
        <w:t>(number/year)</w:t>
      </w:r>
    </w:p>
    <w:p w:rsidR="00BB7312" w:rsidRPr="00407B23" w:rsidRDefault="00BB7312" w:rsidP="00BA1CCE">
      <w:pPr>
        <w:tabs>
          <w:tab w:val="right" w:leader="underscore" w:pos="9072"/>
        </w:tabs>
      </w:pPr>
    </w:p>
    <w:p w:rsidR="00BB7312" w:rsidRPr="00407B23" w:rsidRDefault="00BB7312" w:rsidP="00BA1CCE">
      <w:pPr>
        <w:tabs>
          <w:tab w:val="right" w:leader="underscore" w:pos="9639"/>
        </w:tabs>
      </w:pPr>
      <w:r w:rsidRPr="00407B23">
        <w:t xml:space="preserve">Applicant:  </w:t>
      </w:r>
      <w:r w:rsidRPr="00407B23">
        <w:tab/>
      </w:r>
    </w:p>
    <w:p w:rsidR="00BB7312" w:rsidRPr="00407B23" w:rsidRDefault="00BB7312" w:rsidP="00BA1CCE">
      <w:pPr>
        <w:tabs>
          <w:tab w:val="right" w:leader="underscore" w:pos="9072"/>
        </w:tabs>
      </w:pPr>
    </w:p>
    <w:p w:rsidR="00BB7312" w:rsidRPr="00407B23" w:rsidRDefault="00BB7312" w:rsidP="00BA1CCE">
      <w:pPr>
        <w:tabs>
          <w:tab w:val="right" w:leader="underscore" w:pos="9639"/>
        </w:tabs>
      </w:pPr>
      <w:r w:rsidRPr="00407B23">
        <w:t xml:space="preserve">Observations: </w:t>
      </w:r>
      <w:r w:rsidRPr="00407B23">
        <w:tab/>
      </w:r>
      <w:r w:rsidRPr="00407B23">
        <w:tab/>
      </w:r>
    </w:p>
    <w:p w:rsidR="00BB7312" w:rsidRPr="00407B23" w:rsidRDefault="00BB7312" w:rsidP="00BA1CCE">
      <w:pPr>
        <w:tabs>
          <w:tab w:val="right" w:leader="underscore" w:pos="9072"/>
        </w:tabs>
      </w:pPr>
    </w:p>
    <w:p w:rsidR="00BB7312" w:rsidRPr="00407B23" w:rsidRDefault="00BB7312" w:rsidP="00BA1CCE">
      <w:pPr>
        <w:tabs>
          <w:tab w:val="right" w:leader="underscore" w:pos="9639"/>
        </w:tabs>
      </w:pPr>
      <w:r w:rsidRPr="00407B23">
        <w:tab/>
      </w:r>
    </w:p>
    <w:p w:rsidR="00BB7312" w:rsidRPr="00407B23" w:rsidRDefault="00BB7312" w:rsidP="00BA1CCE">
      <w:pPr>
        <w:tabs>
          <w:tab w:val="right" w:leader="underscore" w:pos="9072"/>
        </w:tabs>
      </w:pPr>
    </w:p>
    <w:p w:rsidR="00BB7312" w:rsidRPr="00407B23" w:rsidRDefault="00BB7312" w:rsidP="00BA1CCE">
      <w:pPr>
        <w:tabs>
          <w:tab w:val="right" w:leader="underscore" w:pos="9639"/>
        </w:tabs>
      </w:pPr>
      <w:r w:rsidRPr="00407B23">
        <w:tab/>
      </w:r>
    </w:p>
    <w:p w:rsidR="00BB7312" w:rsidRPr="00407B23" w:rsidRDefault="00BB7312" w:rsidP="00BA1CCE">
      <w:pPr>
        <w:tabs>
          <w:tab w:val="right" w:leader="underscore" w:pos="9072"/>
        </w:tabs>
      </w:pPr>
    </w:p>
    <w:p w:rsidR="00BB7312" w:rsidRPr="00407B23" w:rsidRDefault="00BB7312" w:rsidP="00BA1CCE">
      <w:pPr>
        <w:tabs>
          <w:tab w:val="right" w:leader="underscore" w:pos="9639"/>
        </w:tabs>
      </w:pPr>
      <w:r w:rsidRPr="00407B23">
        <w:tab/>
      </w:r>
    </w:p>
    <w:p w:rsidR="00BB7312" w:rsidRPr="00407B23" w:rsidRDefault="00BB7312" w:rsidP="00BA1CCE">
      <w:pPr>
        <w:tabs>
          <w:tab w:val="right" w:leader="underscore" w:pos="9072"/>
        </w:tabs>
      </w:pPr>
    </w:p>
    <w:p w:rsidR="00BB7312" w:rsidRPr="00407B23" w:rsidRDefault="00BB7312" w:rsidP="00BA1CCE">
      <w:pPr>
        <w:pStyle w:val="BodyText"/>
        <w:tabs>
          <w:tab w:val="right" w:leader="underscore" w:pos="9072"/>
        </w:tabs>
      </w:pPr>
      <w:r w:rsidRPr="00407B23">
        <w:t>If the observations refer to a trademark or another right, name and ad</w:t>
      </w:r>
      <w:r>
        <w:t>dress of the holder thereof (if </w:t>
      </w:r>
      <w:r w:rsidRPr="00407B23">
        <w:t>possible):</w:t>
      </w:r>
    </w:p>
    <w:p w:rsidR="00BB7312" w:rsidRPr="00407B23" w:rsidRDefault="00BB7312" w:rsidP="00BA1CCE">
      <w:pPr>
        <w:tabs>
          <w:tab w:val="right" w:leader="underscore" w:pos="9639"/>
        </w:tabs>
        <w:ind w:right="-568"/>
      </w:pPr>
      <w:r w:rsidRPr="00407B23">
        <w:tab/>
      </w:r>
    </w:p>
    <w:p w:rsidR="00BB7312" w:rsidRPr="00407B23" w:rsidRDefault="00BB7312" w:rsidP="00BA1CCE">
      <w:pPr>
        <w:tabs>
          <w:tab w:val="right" w:leader="underscore" w:pos="9072"/>
          <w:tab w:val="left" w:pos="10773"/>
        </w:tabs>
        <w:ind w:right="-1"/>
      </w:pPr>
    </w:p>
    <w:p w:rsidR="00BB7312" w:rsidRPr="00407B23" w:rsidRDefault="00BB7312" w:rsidP="00BA1CCE">
      <w:pPr>
        <w:pStyle w:val="BodyText"/>
        <w:tabs>
          <w:tab w:val="right" w:leader="underscore" w:pos="9639"/>
        </w:tabs>
      </w:pPr>
      <w:r w:rsidRPr="00407B23">
        <w:tab/>
      </w:r>
    </w:p>
    <w:p w:rsidR="00BB7312" w:rsidRPr="00407B23" w:rsidRDefault="00BB7312" w:rsidP="00BA1CCE">
      <w:pPr>
        <w:tabs>
          <w:tab w:val="right" w:leader="underscore" w:pos="9072"/>
          <w:tab w:val="left" w:pos="10773"/>
        </w:tabs>
        <w:ind w:right="-1"/>
      </w:pPr>
    </w:p>
    <w:p w:rsidR="00BB7312" w:rsidRPr="00407B23" w:rsidRDefault="00BB7312" w:rsidP="00BA1CCE">
      <w:pPr>
        <w:tabs>
          <w:tab w:val="right" w:leader="underscore" w:pos="9639"/>
        </w:tabs>
        <w:ind w:right="-568"/>
      </w:pPr>
      <w:r w:rsidRPr="00407B23">
        <w:tab/>
      </w:r>
    </w:p>
    <w:p w:rsidR="00BB7312" w:rsidRPr="00407B23" w:rsidRDefault="00BB7312" w:rsidP="00BA1CCE">
      <w:pPr>
        <w:tabs>
          <w:tab w:val="right" w:leader="underscore" w:pos="9639"/>
        </w:tabs>
      </w:pPr>
    </w:p>
    <w:p w:rsidR="00BB7312" w:rsidRPr="00407B23" w:rsidRDefault="00BB7312" w:rsidP="00BA1CCE">
      <w:pPr>
        <w:tabs>
          <w:tab w:val="right" w:leader="underscore" w:pos="9072"/>
        </w:tabs>
        <w:jc w:val="center"/>
      </w:pPr>
      <w:r w:rsidRPr="00407B23">
        <w:t>Copies sent to the authorities of the other members of the Union</w:t>
      </w:r>
    </w:p>
    <w:p w:rsidR="00BB7312" w:rsidRPr="00407B23" w:rsidRDefault="00BB7312" w:rsidP="00BA1CCE">
      <w:pPr>
        <w:tabs>
          <w:tab w:val="right" w:leader="underscore" w:pos="9072"/>
        </w:tabs>
      </w:pPr>
    </w:p>
    <w:p w:rsidR="00BB7312" w:rsidRPr="00407B23" w:rsidRDefault="00BB7312" w:rsidP="00BA1CCE">
      <w:pPr>
        <w:tabs>
          <w:tab w:val="right" w:leader="underscore" w:pos="9072"/>
        </w:tabs>
      </w:pPr>
    </w:p>
    <w:p w:rsidR="00BB7312" w:rsidRPr="00407B23" w:rsidRDefault="00BB7312" w:rsidP="00BA1CCE">
      <w:pPr>
        <w:tabs>
          <w:tab w:val="right" w:leader="underscore" w:pos="9072"/>
        </w:tabs>
      </w:pPr>
    </w:p>
    <w:p w:rsidR="00BB7312" w:rsidRPr="00407B23" w:rsidRDefault="00BB7312" w:rsidP="00BA1CCE">
      <w:pPr>
        <w:tabs>
          <w:tab w:val="right" w:leader="underscore" w:pos="3828"/>
          <w:tab w:val="left" w:pos="4253"/>
          <w:tab w:val="right" w:leader="underscore" w:pos="9639"/>
        </w:tabs>
      </w:pPr>
      <w:r w:rsidRPr="00407B23">
        <w:t xml:space="preserve">Date: </w:t>
      </w:r>
      <w:r w:rsidRPr="00407B23">
        <w:tab/>
      </w:r>
      <w:r w:rsidRPr="00407B23">
        <w:tab/>
        <w:t>Signature:</w:t>
      </w:r>
      <w:r w:rsidRPr="00407B23">
        <w:tab/>
      </w:r>
      <w:r w:rsidRPr="00407B23">
        <w:tab/>
      </w:r>
    </w:p>
    <w:p w:rsidR="00BB7312" w:rsidRPr="00DE1471" w:rsidRDefault="00BB7312" w:rsidP="00BA1CCE">
      <w:pPr>
        <w:pStyle w:val="Header"/>
        <w:tabs>
          <w:tab w:val="right" w:leader="underscore" w:pos="9072"/>
        </w:tabs>
        <w:rPr>
          <w:lang w:val="en-US"/>
        </w:rPr>
      </w:pPr>
    </w:p>
    <w:p w:rsidR="00BB7312" w:rsidRDefault="00BB7312" w:rsidP="00BA1CCE">
      <w:pPr>
        <w:pStyle w:val="Header"/>
        <w:tabs>
          <w:tab w:val="right" w:leader="underscore" w:pos="9072"/>
        </w:tabs>
        <w:rPr>
          <w:lang w:val="en-US"/>
        </w:rPr>
      </w:pPr>
    </w:p>
    <w:p w:rsidR="00BB7312" w:rsidRPr="00DE1471" w:rsidRDefault="00BB7312" w:rsidP="00BA1CCE">
      <w:pPr>
        <w:pStyle w:val="Header"/>
        <w:tabs>
          <w:tab w:val="right" w:leader="underscore" w:pos="9072"/>
        </w:tabs>
        <w:rPr>
          <w:lang w:val="en-US"/>
        </w:rPr>
      </w:pPr>
    </w:p>
    <w:p w:rsidR="00BB7312" w:rsidRPr="00407B23" w:rsidRDefault="00BB7312" w:rsidP="00BA1CCE">
      <w:pPr>
        <w:jc w:val="right"/>
      </w:pPr>
    </w:p>
    <w:p w:rsidR="00BB7312" w:rsidRPr="00407B23" w:rsidRDefault="00BB7312" w:rsidP="00BA1CCE">
      <w:pPr>
        <w:jc w:val="center"/>
        <w:sectPr w:rsidR="00BB7312" w:rsidRPr="00407B23" w:rsidSect="00BA1CCE">
          <w:headerReference w:type="first" r:id="rId17"/>
          <w:pgSz w:w="11907" w:h="16840" w:code="9"/>
          <w:pgMar w:top="510" w:right="1134" w:bottom="1134" w:left="1134" w:header="510" w:footer="113" w:gutter="0"/>
          <w:cols w:space="720"/>
        </w:sectPr>
      </w:pPr>
    </w:p>
    <w:p w:rsidR="00BB7312" w:rsidRPr="00407B23" w:rsidRDefault="00BB7312" w:rsidP="00BA1CCE">
      <w:pPr>
        <w:jc w:val="center"/>
        <w:rPr>
          <w:u w:val="single"/>
        </w:rPr>
      </w:pPr>
      <w:r w:rsidRPr="00407B23">
        <w:rPr>
          <w:u w:val="single"/>
        </w:rPr>
        <w:t>Model Reply to Observations on Proposed Variety Denominations</w:t>
      </w:r>
      <w:r w:rsidRPr="00407B23">
        <w:rPr>
          <w:u w:val="single"/>
        </w:rPr>
        <w:br/>
        <w:t>Submitted to Another Member of the Union</w:t>
      </w:r>
    </w:p>
    <w:p w:rsidR="00BB7312" w:rsidRPr="00DE1471" w:rsidRDefault="00BB7312" w:rsidP="00BA1CCE">
      <w:pPr>
        <w:pStyle w:val="Header"/>
        <w:rPr>
          <w:u w:val="single"/>
          <w:lang w:val="en-US"/>
        </w:rPr>
      </w:pPr>
    </w:p>
    <w:p w:rsidR="00BB7312" w:rsidRPr="00407B23" w:rsidRDefault="00BB7312" w:rsidP="00BA1CCE">
      <w:r w:rsidRPr="00407B23">
        <w:t>From:</w:t>
      </w:r>
    </w:p>
    <w:p w:rsidR="00BB7312" w:rsidRPr="00407B23" w:rsidRDefault="00BB7312" w:rsidP="00BA1CCE">
      <w:pPr>
        <w:tabs>
          <w:tab w:val="left" w:pos="4678"/>
          <w:tab w:val="right" w:leader="underscore" w:pos="9639"/>
        </w:tabs>
        <w:ind w:left="4678"/>
        <w:jc w:val="center"/>
      </w:pPr>
      <w:r w:rsidRPr="00407B23">
        <w:tab/>
      </w:r>
    </w:p>
    <w:p w:rsidR="00BB7312" w:rsidRPr="00407B23" w:rsidRDefault="00BB7312" w:rsidP="00BA1CCE">
      <w:pPr>
        <w:tabs>
          <w:tab w:val="left" w:pos="4678"/>
          <w:tab w:val="right" w:leader="underscore" w:pos="9072"/>
        </w:tabs>
        <w:ind w:left="4678"/>
        <w:jc w:val="center"/>
      </w:pPr>
      <w:r w:rsidRPr="00407B23">
        <w:t>Your ref.</w:t>
      </w:r>
    </w:p>
    <w:p w:rsidR="00BB7312" w:rsidRPr="00407B23" w:rsidRDefault="00BB7312" w:rsidP="00BA1CCE">
      <w:pPr>
        <w:tabs>
          <w:tab w:val="left" w:pos="4678"/>
          <w:tab w:val="right" w:leader="underscore" w:pos="9639"/>
        </w:tabs>
        <w:ind w:left="4678"/>
        <w:jc w:val="center"/>
      </w:pPr>
      <w:r w:rsidRPr="00407B23">
        <w:tab/>
      </w:r>
    </w:p>
    <w:p w:rsidR="00BB7312" w:rsidRPr="00407B23" w:rsidRDefault="00BB7312" w:rsidP="00BA1CCE">
      <w:pPr>
        <w:tabs>
          <w:tab w:val="left" w:pos="4678"/>
          <w:tab w:val="right" w:leader="underscore" w:pos="9639"/>
        </w:tabs>
        <w:ind w:left="4678"/>
        <w:jc w:val="center"/>
      </w:pPr>
      <w:r w:rsidRPr="00407B23">
        <w:t>Our ref.</w:t>
      </w:r>
    </w:p>
    <w:p w:rsidR="00BB7312" w:rsidRPr="00407B23" w:rsidRDefault="00BB7312" w:rsidP="00BA1CCE"/>
    <w:p w:rsidR="00BB7312" w:rsidRPr="00407B23" w:rsidRDefault="00BB7312" w:rsidP="00BA1CCE"/>
    <w:p w:rsidR="00BB7312" w:rsidRPr="00407B23" w:rsidRDefault="00BB7312" w:rsidP="00BA1CCE">
      <w:pPr>
        <w:jc w:val="center"/>
        <w:rPr>
          <w:b/>
          <w:bCs/>
        </w:rPr>
      </w:pPr>
      <w:r w:rsidRPr="00407B23">
        <w:rPr>
          <w:b/>
          <w:bCs/>
        </w:rPr>
        <w:t>Reply to Observations on a Submitted Variety Denomination</w:t>
      </w:r>
    </w:p>
    <w:p w:rsidR="00BB7312" w:rsidRPr="00407B23" w:rsidRDefault="00BB7312" w:rsidP="00BA1CCE">
      <w:pPr>
        <w:jc w:val="center"/>
        <w:rPr>
          <w:b/>
        </w:rPr>
      </w:pPr>
    </w:p>
    <w:p w:rsidR="00BB7312" w:rsidRPr="00407B23" w:rsidRDefault="00BB7312" w:rsidP="00BA1CCE">
      <w:r w:rsidRPr="00407B23">
        <w:t>To:</w:t>
      </w:r>
    </w:p>
    <w:p w:rsidR="00BB7312" w:rsidRPr="00407B23" w:rsidRDefault="00BB7312" w:rsidP="00BA1CCE"/>
    <w:p w:rsidR="00BB7312" w:rsidRPr="00407B23" w:rsidRDefault="00BB7312" w:rsidP="00BA1CCE">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BB7312" w:rsidRPr="00407B23" w:rsidRDefault="00BB7312" w:rsidP="00BA1CCE"/>
    <w:p w:rsidR="00BB7312" w:rsidRPr="00407B23" w:rsidRDefault="00BB7312" w:rsidP="00BA1CCE">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BB7312" w:rsidRPr="00407B23" w:rsidRDefault="00BB7312" w:rsidP="00BA1CCE">
      <w:pPr>
        <w:ind w:left="851" w:hanging="851"/>
        <w:rPr>
          <w:sz w:val="16"/>
        </w:rPr>
      </w:pPr>
    </w:p>
    <w:p w:rsidR="00BB7312" w:rsidRPr="00407B23" w:rsidRDefault="00BB7312" w:rsidP="00BA1CCE">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BB7312" w:rsidRPr="00407B23" w:rsidRDefault="00BB7312" w:rsidP="00BA1CCE">
      <w:pPr>
        <w:rPr>
          <w:sz w:val="16"/>
        </w:rPr>
      </w:pPr>
    </w:p>
    <w:p w:rsidR="00BB7312" w:rsidRPr="00407B23" w:rsidRDefault="00BB7312" w:rsidP="00BA1CCE">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BB7312" w:rsidRPr="00407B23" w:rsidRDefault="00BB7312" w:rsidP="00BA1CCE">
      <w:pPr>
        <w:rPr>
          <w:sz w:val="16"/>
        </w:rPr>
      </w:pPr>
    </w:p>
    <w:p w:rsidR="00BB7312" w:rsidRPr="00407B23" w:rsidRDefault="00BB7312" w:rsidP="00BA1CCE">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BB7312" w:rsidRPr="00407B23" w:rsidRDefault="00BB7312" w:rsidP="00BA1CCE">
      <w:pPr>
        <w:tabs>
          <w:tab w:val="left" w:pos="851"/>
        </w:tabs>
        <w:ind w:left="851" w:hanging="851"/>
        <w:rPr>
          <w:sz w:val="16"/>
        </w:rPr>
      </w:pPr>
    </w:p>
    <w:p w:rsidR="00BB7312" w:rsidRPr="00407B23" w:rsidRDefault="00BB7312" w:rsidP="00BA1CCE">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BB7312" w:rsidRPr="00407B23" w:rsidRDefault="00BB7312" w:rsidP="00BA1CCE">
      <w:pPr>
        <w:rPr>
          <w:sz w:val="16"/>
        </w:rPr>
      </w:pPr>
    </w:p>
    <w:p w:rsidR="00BB7312" w:rsidRPr="00407B23" w:rsidRDefault="00BB7312" w:rsidP="00BA1CCE">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BB7312" w:rsidRPr="00407B23" w:rsidRDefault="00BB7312" w:rsidP="00BA1CCE">
      <w:pPr>
        <w:rPr>
          <w:sz w:val="16"/>
        </w:rPr>
      </w:pPr>
    </w:p>
    <w:p w:rsidR="00BB7312" w:rsidRPr="00407B23" w:rsidRDefault="00BB7312" w:rsidP="00BA1CCE">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BB7312" w:rsidRPr="00407B23" w:rsidRDefault="00BB7312" w:rsidP="00BA1CCE">
      <w:pPr>
        <w:rPr>
          <w:sz w:val="16"/>
        </w:rPr>
      </w:pPr>
    </w:p>
    <w:p w:rsidR="00BB7312" w:rsidRPr="00407B23" w:rsidRDefault="00BB7312" w:rsidP="00BA1CCE">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BB7312" w:rsidRPr="00407B23" w:rsidRDefault="00BB7312" w:rsidP="00BA1CCE">
      <w:pPr>
        <w:rPr>
          <w:sz w:val="16"/>
        </w:rPr>
      </w:pPr>
    </w:p>
    <w:p w:rsidR="00BB7312" w:rsidRPr="00407B23" w:rsidRDefault="00BB7312" w:rsidP="00BA1CCE">
      <w:pPr>
        <w:tabs>
          <w:tab w:val="left" w:pos="392"/>
          <w:tab w:val="left" w:pos="851"/>
        </w:tabs>
        <w:ind w:left="851" w:hanging="851"/>
      </w:pPr>
      <w:r w:rsidRPr="00407B23">
        <w:t>9.</w:t>
      </w:r>
      <w:r w:rsidRPr="00407B23">
        <w:rPr>
          <w:sz w:val="40"/>
        </w:rPr>
        <w:tab/>
        <w:t>□</w:t>
      </w:r>
      <w:r w:rsidRPr="00407B23">
        <w:rPr>
          <w:sz w:val="40"/>
        </w:rPr>
        <w:tab/>
      </w:r>
      <w:r w:rsidRPr="00407B23">
        <w:t>Other</w:t>
      </w:r>
    </w:p>
    <w:p w:rsidR="00BB7312" w:rsidRPr="00407B23" w:rsidRDefault="00BB7312" w:rsidP="00BA1CCE"/>
    <w:p w:rsidR="00BB7312" w:rsidRPr="00407B23" w:rsidRDefault="00BB7312" w:rsidP="00BA1CCE">
      <w:pPr>
        <w:tabs>
          <w:tab w:val="right" w:leader="underscore" w:pos="9072"/>
        </w:tabs>
        <w:jc w:val="center"/>
      </w:pPr>
      <w:r w:rsidRPr="00407B23">
        <w:t>Copies sent to the authorities of the other members of the Union</w:t>
      </w:r>
    </w:p>
    <w:p w:rsidR="00BB7312" w:rsidRPr="00407B23" w:rsidRDefault="00BB7312" w:rsidP="00BA1CCE">
      <w:pPr>
        <w:tabs>
          <w:tab w:val="right" w:leader="underscore" w:pos="9072"/>
        </w:tabs>
      </w:pPr>
    </w:p>
    <w:p w:rsidR="00BB7312" w:rsidRPr="00407B23" w:rsidRDefault="00BB7312" w:rsidP="00BA1CCE">
      <w:pPr>
        <w:tabs>
          <w:tab w:val="right" w:leader="underscore" w:pos="9072"/>
        </w:tabs>
      </w:pPr>
    </w:p>
    <w:p w:rsidR="00BB7312" w:rsidRPr="00407B23" w:rsidRDefault="00BB7312" w:rsidP="00BA1CCE">
      <w:pPr>
        <w:tabs>
          <w:tab w:val="right" w:leader="underscore" w:pos="9072"/>
        </w:tabs>
      </w:pPr>
    </w:p>
    <w:p w:rsidR="00BB7312" w:rsidRPr="00407B23" w:rsidRDefault="00BB7312" w:rsidP="00BA1CCE">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BB7312" w:rsidRPr="00DE1471" w:rsidRDefault="00BB7312" w:rsidP="00BA1CCE">
      <w:pPr>
        <w:pStyle w:val="Header"/>
        <w:tabs>
          <w:tab w:val="right" w:leader="underscore" w:pos="9072"/>
        </w:tabs>
        <w:rPr>
          <w:lang w:val="en-US"/>
        </w:rPr>
      </w:pPr>
    </w:p>
    <w:p w:rsidR="00BB7312" w:rsidRDefault="00BB7312" w:rsidP="00BA1CCE">
      <w:pPr>
        <w:jc w:val="right"/>
      </w:pPr>
    </w:p>
    <w:p w:rsidR="00BB7312" w:rsidRDefault="00BB7312" w:rsidP="00BA1CCE">
      <w:pPr>
        <w:jc w:val="right"/>
      </w:pPr>
    </w:p>
    <w:p w:rsidR="00BB7312" w:rsidRDefault="00BB7312" w:rsidP="00BA1CCE">
      <w:pPr>
        <w:jc w:val="right"/>
      </w:pPr>
    </w:p>
    <w:p w:rsidR="00BB7312" w:rsidRDefault="00BB7312" w:rsidP="00BA1CCE">
      <w:pPr>
        <w:jc w:val="right"/>
        <w:rPr>
          <w:lang w:eastAsia="ja-JP"/>
        </w:rPr>
      </w:pPr>
      <w:r w:rsidRPr="00407B23">
        <w:sym w:font="Symbol" w:char="F05B"/>
      </w:r>
      <w:r w:rsidRPr="00407B23">
        <w:t>Annex III follows</w:t>
      </w:r>
      <w:r w:rsidRPr="00407B23">
        <w:sym w:font="Symbol" w:char="F05D"/>
      </w:r>
    </w:p>
    <w:p w:rsidR="00BB7312" w:rsidRDefault="00BB7312" w:rsidP="00BA1CCE">
      <w:pPr>
        <w:jc w:val="right"/>
        <w:rPr>
          <w:lang w:eastAsia="ja-JP"/>
        </w:rPr>
        <w:sectPr w:rsidR="00BB7312" w:rsidSect="00BA1CCE">
          <w:headerReference w:type="even" r:id="rId18"/>
          <w:headerReference w:type="first" r:id="rId19"/>
          <w:pgSz w:w="11907" w:h="16840" w:code="9"/>
          <w:pgMar w:top="510" w:right="1134" w:bottom="1134" w:left="1134" w:header="510" w:footer="624" w:gutter="0"/>
          <w:cols w:space="720"/>
        </w:sectPr>
      </w:pPr>
    </w:p>
    <w:p w:rsidR="00BB7312" w:rsidRDefault="00BB7312" w:rsidP="00BA1CCE">
      <w:pPr>
        <w:jc w:val="center"/>
        <w:rPr>
          <w:lang w:eastAsia="ja-JP"/>
        </w:rPr>
      </w:pPr>
      <w:r>
        <w:t>UPOV/INF/12/6 Draft 4</w:t>
      </w:r>
    </w:p>
    <w:p w:rsidR="00BB7312" w:rsidRDefault="00BB7312" w:rsidP="00BA1CCE">
      <w:pPr>
        <w:jc w:val="center"/>
        <w:rPr>
          <w:lang w:eastAsia="ja-JP"/>
        </w:rPr>
      </w:pPr>
      <w:r>
        <w:t>ANNEX III</w:t>
      </w:r>
    </w:p>
    <w:p w:rsidR="00BB7312" w:rsidRDefault="00BB7312" w:rsidP="00BA1CCE">
      <w:pPr>
        <w:jc w:val="center"/>
      </w:pPr>
    </w:p>
    <w:p w:rsidR="00BB7312" w:rsidRPr="00B844B0" w:rsidRDefault="00BB7312" w:rsidP="00BA1CCE">
      <w:pPr>
        <w:pStyle w:val="DecisionParagraphs"/>
        <w:keepLines/>
        <w:tabs>
          <w:tab w:val="left" w:pos="5490"/>
          <w:tab w:val="left" w:pos="5940"/>
        </w:tabs>
        <w:ind w:left="0"/>
        <w:jc w:val="center"/>
        <w:rPr>
          <w:rFonts w:cs="Arial"/>
          <w:i w:val="0"/>
          <w:lang w:val="en-US" w:eastAsia="ja-JP"/>
        </w:rPr>
      </w:pPr>
      <w:r w:rsidRPr="00B844B0">
        <w:rPr>
          <w:rFonts w:cs="Arial"/>
          <w:i w:val="0"/>
          <w:lang w:val="en-US" w:eastAsia="ja-JP"/>
        </w:rPr>
        <w:t>INTERNATIONAL CODE OF NOMENCLATURE FOR CULTIVATED PLANTS (ICNCP)</w:t>
      </w:r>
    </w:p>
    <w:p w:rsidR="00BB7312" w:rsidRPr="00B844B0" w:rsidRDefault="00BB7312" w:rsidP="00BA1CCE">
      <w:pPr>
        <w:pStyle w:val="DecisionParagraphs"/>
        <w:keepLines/>
        <w:tabs>
          <w:tab w:val="left" w:pos="5490"/>
          <w:tab w:val="left" w:pos="5940"/>
        </w:tabs>
        <w:ind w:left="0"/>
        <w:jc w:val="center"/>
        <w:rPr>
          <w:rFonts w:eastAsia="MS Mincho" w:cs="Arial"/>
          <w:i w:val="0"/>
          <w:lang w:val="en-US" w:eastAsia="ja-JP"/>
        </w:rPr>
      </w:pPr>
      <w:r w:rsidRPr="00B844B0">
        <w:rPr>
          <w:rFonts w:cs="Arial"/>
          <w:i w:val="0"/>
          <w:lang w:val="en-US" w:eastAsia="ja-JP"/>
        </w:rPr>
        <w:t>APPENDIX V SPECIAL DENOMINATION CLASSES</w:t>
      </w:r>
      <w:r w:rsidRPr="00B844B0">
        <w:rPr>
          <w:rFonts w:eastAsia="MS Mincho" w:cs="Arial" w:hint="eastAsia"/>
          <w:i w:val="0"/>
          <w:lang w:val="en-US" w:eastAsia="ja-JP"/>
        </w:rPr>
        <w:t xml:space="preserve"> (8</w:t>
      </w:r>
      <w:r w:rsidRPr="00B844B0">
        <w:rPr>
          <w:rFonts w:eastAsia="MS Mincho" w:cs="Arial" w:hint="eastAsia"/>
          <w:i w:val="0"/>
          <w:vertAlign w:val="superscript"/>
          <w:lang w:val="en-US" w:eastAsia="ja-JP"/>
        </w:rPr>
        <w:t xml:space="preserve">TH </w:t>
      </w:r>
      <w:r w:rsidRPr="00B844B0">
        <w:rPr>
          <w:rFonts w:eastAsia="MS Mincho" w:cs="Arial" w:hint="eastAsia"/>
          <w:i w:val="0"/>
          <w:lang w:val="en-US" w:eastAsia="ja-JP"/>
        </w:rPr>
        <w:t>EDITION)</w:t>
      </w:r>
    </w:p>
    <w:p w:rsidR="00BB7312" w:rsidRPr="00B844B0" w:rsidRDefault="00BB7312" w:rsidP="00BA1CCE">
      <w:pPr>
        <w:pStyle w:val="DecisionParagraphs"/>
        <w:keepLines/>
        <w:tabs>
          <w:tab w:val="left" w:pos="5490"/>
          <w:tab w:val="left" w:pos="5940"/>
        </w:tabs>
        <w:ind w:left="0"/>
        <w:jc w:val="center"/>
        <w:rPr>
          <w:rFonts w:eastAsia="MS Mincho" w:cs="Arial"/>
          <w:i w:val="0"/>
          <w:lang w:val="en-US" w:eastAsia="ja-JP"/>
        </w:rPr>
      </w:pPr>
      <w:r w:rsidRPr="00B844B0">
        <w:rPr>
          <w:rFonts w:eastAsia="MS Mincho" w:cs="Arial" w:hint="eastAsia"/>
          <w:i w:val="0"/>
          <w:lang w:val="en-US" w:eastAsia="ja-JP"/>
        </w:rPr>
        <w:t>[This Annex is not a part of document UPOV/INF/12/5]</w:t>
      </w:r>
    </w:p>
    <w:p w:rsidR="00BB7312" w:rsidRDefault="00BB7312" w:rsidP="00BA1CCE">
      <w:pPr>
        <w:pStyle w:val="DecisionParagraphs"/>
        <w:keepLines/>
        <w:tabs>
          <w:tab w:val="left" w:pos="5490"/>
          <w:tab w:val="left" w:pos="5940"/>
        </w:tabs>
        <w:ind w:left="0"/>
        <w:jc w:val="center"/>
        <w:rPr>
          <w:rFonts w:eastAsia="MS Mincho" w:cs="Arial"/>
          <w:i w:val="0"/>
          <w:lang w:eastAsia="ja-JP"/>
        </w:rPr>
      </w:pPr>
      <w:r>
        <w:rPr>
          <w:noProof/>
          <w:lang w:val="en-US"/>
        </w:rPr>
        <w:drawing>
          <wp:inline distT="0" distB="0" distL="0" distR="0" wp14:anchorId="7E181E69" wp14:editId="7E538AD1">
            <wp:extent cx="5484367" cy="83848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91155" cy="8395252"/>
                    </a:xfrm>
                    <a:prstGeom prst="rect">
                      <a:avLst/>
                    </a:prstGeom>
                  </pic:spPr>
                </pic:pic>
              </a:graphicData>
            </a:graphic>
          </wp:inline>
        </w:drawing>
      </w:r>
    </w:p>
    <w:p w:rsidR="00BB7312" w:rsidRPr="000D0F12" w:rsidRDefault="00BB7312" w:rsidP="00BA1CCE">
      <w:pPr>
        <w:pStyle w:val="DecisionParagraphs"/>
        <w:keepLines/>
        <w:tabs>
          <w:tab w:val="left" w:pos="5490"/>
          <w:tab w:val="left" w:pos="5940"/>
        </w:tabs>
        <w:ind w:left="0"/>
        <w:jc w:val="center"/>
        <w:rPr>
          <w:rFonts w:eastAsia="MS Mincho" w:cs="Arial"/>
          <w:i w:val="0"/>
          <w:lang w:eastAsia="ja-JP"/>
        </w:rPr>
      </w:pPr>
    </w:p>
    <w:p w:rsidR="00BB7312" w:rsidRPr="000D0F12" w:rsidRDefault="00BB7312" w:rsidP="00BA1CCE">
      <w:pPr>
        <w:pStyle w:val="DecisionParagraphs"/>
        <w:keepLines/>
        <w:tabs>
          <w:tab w:val="left" w:pos="5490"/>
          <w:tab w:val="left" w:pos="5940"/>
        </w:tabs>
        <w:ind w:left="0"/>
        <w:jc w:val="center"/>
        <w:rPr>
          <w:rFonts w:eastAsia="MS Mincho" w:cs="Arial"/>
          <w:i w:val="0"/>
          <w:lang w:eastAsia="ja-JP"/>
        </w:rPr>
      </w:pPr>
      <w:r>
        <w:rPr>
          <w:noProof/>
          <w:lang w:val="en-US"/>
        </w:rPr>
        <w:drawing>
          <wp:inline distT="0" distB="0" distL="0" distR="0" wp14:anchorId="66016AAF" wp14:editId="5F66B807">
            <wp:extent cx="5733461" cy="492001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3596" cy="4920134"/>
                    </a:xfrm>
                    <a:prstGeom prst="rect">
                      <a:avLst/>
                    </a:prstGeom>
                  </pic:spPr>
                </pic:pic>
              </a:graphicData>
            </a:graphic>
          </wp:inline>
        </w:drawing>
      </w:r>
    </w:p>
    <w:p w:rsidR="00BB7312" w:rsidRDefault="00BB7312" w:rsidP="00BA1CCE">
      <w:pPr>
        <w:jc w:val="right"/>
        <w:rPr>
          <w:lang w:eastAsia="ja-JP"/>
        </w:rPr>
      </w:pPr>
    </w:p>
    <w:p w:rsidR="00BB7312" w:rsidRDefault="00BB7312" w:rsidP="00BA1CCE">
      <w:pPr>
        <w:jc w:val="right"/>
        <w:rPr>
          <w:lang w:eastAsia="ja-JP"/>
        </w:rPr>
      </w:pPr>
    </w:p>
    <w:p w:rsidR="00BB7312" w:rsidRDefault="00BB7312" w:rsidP="00BA1CCE">
      <w:pPr>
        <w:jc w:val="left"/>
        <w:rPr>
          <w:rFonts w:cs="Arial"/>
        </w:rPr>
        <w:sectPr w:rsidR="00BB7312" w:rsidSect="00BA1CCE">
          <w:headerReference w:type="first" r:id="rId22"/>
          <w:pgSz w:w="11907" w:h="16840" w:code="9"/>
          <w:pgMar w:top="510" w:right="1134" w:bottom="851" w:left="1134" w:header="510" w:footer="624" w:gutter="0"/>
          <w:cols w:space="720"/>
        </w:sectPr>
      </w:pPr>
    </w:p>
    <w:p w:rsidR="00BB7312" w:rsidRDefault="00BB7312">
      <w:pPr>
        <w:jc w:val="left"/>
      </w:pPr>
    </w:p>
    <w:p w:rsidR="00BB7312" w:rsidRDefault="00BB7312">
      <w:pPr>
        <w:jc w:val="left"/>
      </w:pPr>
    </w:p>
    <w:p w:rsidR="00BB7312" w:rsidRDefault="00BB7312" w:rsidP="00BA1CCE">
      <w:pPr>
        <w:jc w:val="center"/>
        <w:rPr>
          <w:lang w:eastAsia="ja-JP"/>
        </w:rPr>
      </w:pPr>
      <w:r>
        <w:t>UPOV/INF/12/6 Draft 4</w:t>
      </w:r>
    </w:p>
    <w:p w:rsidR="00BB7312" w:rsidRDefault="00BB7312" w:rsidP="00BA1CCE">
      <w:pPr>
        <w:jc w:val="center"/>
        <w:rPr>
          <w:lang w:eastAsia="ja-JP"/>
        </w:rPr>
      </w:pPr>
      <w:r>
        <w:t>ENDNOTES</w:t>
      </w:r>
    </w:p>
    <w:p w:rsidR="00BB7312" w:rsidRDefault="00BB7312" w:rsidP="00BA1CCE">
      <w:pPr>
        <w:jc w:val="left"/>
      </w:pPr>
    </w:p>
    <w:p w:rsidR="00686FDB" w:rsidRPr="00C5280D" w:rsidRDefault="00686FDB" w:rsidP="00BA1CCE">
      <w:pPr>
        <w:jc w:val="left"/>
      </w:pPr>
      <w:r>
        <w:t>________________________________</w:t>
      </w:r>
    </w:p>
    <w:p w:rsidR="00177B06" w:rsidRPr="00177B06" w:rsidRDefault="00177B06" w:rsidP="00686FDB">
      <w:pPr>
        <w:pStyle w:val="ListParagraph"/>
        <w:numPr>
          <w:ilvl w:val="0"/>
          <w:numId w:val="7"/>
        </w:numPr>
        <w:spacing w:before="120"/>
        <w:ind w:left="567" w:hanging="573"/>
        <w:contextualSpacing w:val="0"/>
        <w:rPr>
          <w:sz w:val="18"/>
        </w:rPr>
      </w:pPr>
      <w:r w:rsidRPr="00177B06">
        <w:rPr>
          <w:sz w:val="18"/>
        </w:rPr>
        <w:t xml:space="preserve">Proposal by the European Union (CPVO) in reply to UPOV circular E-15/276 of December 3, 2015 (see document </w:t>
      </w:r>
      <w:hyperlink r:id="rId23" w:history="1">
        <w:r w:rsidR="00686FDB" w:rsidRPr="00686FDB">
          <w:rPr>
            <w:rStyle w:val="Hyperlink"/>
            <w:sz w:val="18"/>
          </w:rPr>
          <w:t>CAJ/72/9</w:t>
        </w:r>
      </w:hyperlink>
      <w:r w:rsidRPr="00177B06">
        <w:rPr>
          <w:sz w:val="18"/>
        </w:rPr>
        <w:t xml:space="preserve"> “Report”, paragraph 23 (d))</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24" w:history="1">
        <w:r w:rsidRPr="00C04C22">
          <w:rPr>
            <w:rStyle w:val="Hyperlink"/>
            <w:rFonts w:hint="eastAsia"/>
            <w:sz w:val="18"/>
            <w:lang w:eastAsia="ja-JP"/>
          </w:rPr>
          <w:t>UPOV/WG-DEN/1/6</w:t>
        </w:r>
      </w:hyperlink>
      <w:r w:rsidRPr="00177B06">
        <w:rPr>
          <w:sz w:val="18"/>
        </w:rPr>
        <w:t xml:space="preserve"> “Report”, paragraph 7.</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Proposal by New Zealand in reply to UPOV circular E-15/276 of December 3, 2015 (see document </w:t>
      </w:r>
      <w:hyperlink r:id="rId25" w:history="1">
        <w:r w:rsidRPr="00686FDB">
          <w:rPr>
            <w:rStyle w:val="Hyperlink"/>
            <w:sz w:val="18"/>
          </w:rPr>
          <w:t>CAJ/72/9</w:t>
        </w:r>
      </w:hyperlink>
      <w:r w:rsidRPr="00177B06">
        <w:rPr>
          <w:sz w:val="18"/>
        </w:rPr>
        <w:t xml:space="preserve"> “Report”, paragraph 23 (d))</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26" w:history="1">
        <w:r w:rsidRPr="00C04C22">
          <w:rPr>
            <w:rStyle w:val="Hyperlink"/>
            <w:rFonts w:hint="eastAsia"/>
            <w:sz w:val="18"/>
            <w:lang w:eastAsia="ja-JP"/>
          </w:rPr>
          <w:t>UPOV/WG-DEN/1/6</w:t>
        </w:r>
      </w:hyperlink>
      <w:r w:rsidRPr="00177B06">
        <w:rPr>
          <w:sz w:val="18"/>
        </w:rPr>
        <w:t xml:space="preserve"> “Report”, paragraph 9.</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27" w:history="1">
        <w:r w:rsidRPr="00C04C22">
          <w:rPr>
            <w:rStyle w:val="Hyperlink"/>
            <w:rFonts w:hint="eastAsia"/>
            <w:sz w:val="18"/>
            <w:lang w:eastAsia="ja-JP"/>
          </w:rPr>
          <w:t>UPOV/WG-DEN/1/6</w:t>
        </w:r>
      </w:hyperlink>
      <w:r w:rsidRPr="00177B06">
        <w:rPr>
          <w:sz w:val="18"/>
        </w:rPr>
        <w:t xml:space="preserve"> “Report”, paragraph 15.</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Proposal by WG-DST at its second meeting held in Geneva, on June 9, 2015 (see document </w:t>
      </w:r>
      <w:hyperlink r:id="rId28" w:history="1">
        <w:r w:rsidRPr="00686FDB">
          <w:rPr>
            <w:rStyle w:val="Hyperlink"/>
            <w:sz w:val="18"/>
          </w:rPr>
          <w:t>CAJ/72/9</w:t>
        </w:r>
      </w:hyperlink>
      <w:r w:rsidRPr="00177B06">
        <w:rPr>
          <w:sz w:val="18"/>
        </w:rPr>
        <w:t xml:space="preserve"> “Report”, paragraph 23 (d))</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29" w:history="1">
        <w:r w:rsidRPr="00C04C22">
          <w:rPr>
            <w:rStyle w:val="Hyperlink"/>
            <w:rFonts w:hint="eastAsia"/>
            <w:sz w:val="18"/>
            <w:lang w:eastAsia="ja-JP"/>
          </w:rPr>
          <w:t>UPOV/WG-DEN/1/6</w:t>
        </w:r>
      </w:hyperlink>
      <w:r w:rsidRPr="00177B06">
        <w:rPr>
          <w:sz w:val="18"/>
        </w:rPr>
        <w:t xml:space="preserve"> “Report”, paragraph 17.</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30" w:history="1">
        <w:r w:rsidRPr="00C04C22">
          <w:rPr>
            <w:rStyle w:val="Hyperlink"/>
            <w:rFonts w:hint="eastAsia"/>
            <w:sz w:val="18"/>
            <w:lang w:eastAsia="ja-JP"/>
          </w:rPr>
          <w:t>UPOV/WG-DEN/1/6</w:t>
        </w:r>
      </w:hyperlink>
      <w:r w:rsidRPr="00177B06">
        <w:rPr>
          <w:sz w:val="18"/>
        </w:rPr>
        <w:t xml:space="preserve"> “Report”, paragraphs 18 and 19.</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31" w:history="1">
        <w:r w:rsidRPr="00C04C22">
          <w:rPr>
            <w:rStyle w:val="Hyperlink"/>
            <w:rFonts w:hint="eastAsia"/>
            <w:sz w:val="18"/>
            <w:lang w:eastAsia="ja-JP"/>
          </w:rPr>
          <w:t>UPOV/WG-DEN/1/6</w:t>
        </w:r>
      </w:hyperlink>
      <w:r w:rsidRPr="00177B06">
        <w:rPr>
          <w:sz w:val="18"/>
        </w:rPr>
        <w:t xml:space="preserve"> “Report”, paragraph 22.</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32" w:history="1">
        <w:r w:rsidRPr="00177B06">
          <w:rPr>
            <w:rStyle w:val="Hyperlink"/>
            <w:sz w:val="18"/>
          </w:rPr>
          <w:t>UPOV/WG-DEN/1/4</w:t>
        </w:r>
      </w:hyperlink>
      <w:r w:rsidRPr="00177B06">
        <w:rPr>
          <w:sz w:val="18"/>
        </w:rPr>
        <w:t xml:space="preserve"> “Expansion of the content of PLUTO Database”.</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33" w:history="1">
        <w:r w:rsidRPr="00C04C22">
          <w:rPr>
            <w:rStyle w:val="Hyperlink"/>
            <w:rFonts w:hint="eastAsia"/>
            <w:sz w:val="18"/>
            <w:lang w:eastAsia="ja-JP"/>
          </w:rPr>
          <w:t>UPOV/WG-DEN/1/6</w:t>
        </w:r>
      </w:hyperlink>
      <w:r w:rsidRPr="00177B06">
        <w:rPr>
          <w:sz w:val="18"/>
        </w:rPr>
        <w:t xml:space="preserve"> “Report”, paragraph 27.</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34" w:history="1">
        <w:r w:rsidRPr="00C04C22">
          <w:rPr>
            <w:rStyle w:val="Hyperlink"/>
            <w:rFonts w:hint="eastAsia"/>
            <w:sz w:val="18"/>
            <w:lang w:eastAsia="ja-JP"/>
          </w:rPr>
          <w:t>UPOV/WG-DEN/1/6</w:t>
        </w:r>
      </w:hyperlink>
      <w:r w:rsidRPr="00177B06">
        <w:rPr>
          <w:sz w:val="18"/>
        </w:rPr>
        <w:t xml:space="preserve"> “Report”, paragraph 32.</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35" w:history="1">
        <w:r w:rsidRPr="00C04C22">
          <w:rPr>
            <w:rStyle w:val="Hyperlink"/>
            <w:rFonts w:hint="eastAsia"/>
            <w:sz w:val="18"/>
            <w:lang w:eastAsia="ja-JP"/>
          </w:rPr>
          <w:t>UPOV/WG-DEN/1/6</w:t>
        </w:r>
      </w:hyperlink>
      <w:r w:rsidRPr="00177B06">
        <w:rPr>
          <w:sz w:val="18"/>
        </w:rPr>
        <w:t xml:space="preserve"> “Report”, paragraphs 33 and 34.</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36" w:history="1">
        <w:r w:rsidRPr="00C04C22">
          <w:rPr>
            <w:rStyle w:val="Hyperlink"/>
            <w:rFonts w:hint="eastAsia"/>
            <w:sz w:val="18"/>
            <w:lang w:eastAsia="ja-JP"/>
          </w:rPr>
          <w:t>UPOV/WG-DEN/1/6</w:t>
        </w:r>
      </w:hyperlink>
      <w:r w:rsidRPr="00177B06">
        <w:rPr>
          <w:sz w:val="18"/>
        </w:rPr>
        <w:t xml:space="preserve"> “Report”, paragraph 37.</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Proposal by CAJ-AG based on an initial proposal by ESA of June 25, 2014 and submitted by ESA in the reply to UPOV Circular E-15/276 of December 3, 2015 (see document </w:t>
      </w:r>
      <w:hyperlink r:id="rId37" w:history="1">
        <w:r w:rsidR="00686FDB" w:rsidRPr="00686FDB">
          <w:rPr>
            <w:rStyle w:val="Hyperlink"/>
            <w:sz w:val="18"/>
          </w:rPr>
          <w:t>CAJ/72/9</w:t>
        </w:r>
      </w:hyperlink>
      <w:r w:rsidRPr="00177B06">
        <w:rPr>
          <w:sz w:val="18"/>
        </w:rPr>
        <w:t xml:space="preserve"> “Report”, paragraph 23(d))</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38" w:history="1">
        <w:r w:rsidRPr="00C04C22">
          <w:rPr>
            <w:rStyle w:val="Hyperlink"/>
            <w:rFonts w:hint="eastAsia"/>
            <w:sz w:val="18"/>
            <w:lang w:eastAsia="ja-JP"/>
          </w:rPr>
          <w:t>UPOV/WG-DEN/1/6</w:t>
        </w:r>
      </w:hyperlink>
      <w:r w:rsidRPr="00177B06">
        <w:rPr>
          <w:sz w:val="18"/>
        </w:rPr>
        <w:t xml:space="preserve"> “Report”, paragraph 45.</w:t>
      </w:r>
    </w:p>
    <w:p w:rsidR="00177B06" w:rsidRPr="00177B06" w:rsidRDefault="00177B06" w:rsidP="00177B06">
      <w:pPr>
        <w:pStyle w:val="ListParagraph"/>
        <w:numPr>
          <w:ilvl w:val="0"/>
          <w:numId w:val="7"/>
        </w:numPr>
        <w:spacing w:before="60"/>
        <w:ind w:left="567" w:hanging="570"/>
        <w:contextualSpacing w:val="0"/>
        <w:rPr>
          <w:sz w:val="18"/>
        </w:rPr>
      </w:pPr>
      <w:r w:rsidRPr="00177B06">
        <w:rPr>
          <w:sz w:val="18"/>
        </w:rPr>
        <w:t>In reply to UPOV Circular E-15/276 of December 3, 2015, ESA made the following comment on a proposed text for Section 7.2(c) made by APBREBES to the CAJ-AG on October 24, 2014:</w:t>
      </w:r>
    </w:p>
    <w:p w:rsidR="00177B06" w:rsidRPr="00177B06" w:rsidRDefault="00177B06" w:rsidP="00177B06">
      <w:pPr>
        <w:spacing w:before="60"/>
        <w:ind w:left="1134" w:right="567"/>
        <w:rPr>
          <w:sz w:val="18"/>
        </w:rPr>
      </w:pPr>
      <w:r w:rsidRPr="00177B06">
        <w:rPr>
          <w:sz w:val="18"/>
        </w:rPr>
        <w:t>“Under point 7.2 (c) a proposal from Apbrebes has been inserted. In general, we believe that the scenario described by point 7.2(c) would be very seldom since points (a) and (b) already cover the scenarios in which normally a breeder would request a change of the denomination. Further on, we do not fully understand whether the last sentence of the proposal (starting with “If the denomination is changed…”) refers only to a change under point (c) or would also apply to points (a) and (b). If this would be the case, we would like to point out that it would not be possible to continue to mention the old name next to the new name since under (a) this would still constitute an infringement of the trademark and under (b) the breeder would certainly not want to continue mentioning a name next to the new name which may be offensive for example.”</w:t>
      </w:r>
    </w:p>
    <w:p w:rsidR="00177B06" w:rsidRPr="00177B06" w:rsidRDefault="00177B06" w:rsidP="00177B06">
      <w:pPr>
        <w:spacing w:before="60"/>
        <w:ind w:left="567"/>
        <w:rPr>
          <w:sz w:val="18"/>
        </w:rPr>
      </w:pPr>
      <w:r w:rsidRPr="00177B06">
        <w:rPr>
          <w:sz w:val="18"/>
        </w:rPr>
        <w:t>The proposed text by APBREBES was not retained in the version adopted by the Council in October 29, 2015. Therefore, the above comment made by ESA is not relevant for the present text of Section 7.2(c).</w:t>
      </w:r>
    </w:p>
    <w:p w:rsidR="00BB7312" w:rsidRPr="00177B06" w:rsidRDefault="00177B06" w:rsidP="00177B06">
      <w:pPr>
        <w:pStyle w:val="ListParagraph"/>
        <w:numPr>
          <w:ilvl w:val="0"/>
          <w:numId w:val="7"/>
        </w:numPr>
        <w:spacing w:before="60"/>
        <w:ind w:left="567" w:hanging="570"/>
        <w:contextualSpacing w:val="0"/>
        <w:rPr>
          <w:sz w:val="18"/>
        </w:rPr>
      </w:pPr>
      <w:r w:rsidRPr="00177B06">
        <w:rPr>
          <w:sz w:val="18"/>
        </w:rPr>
        <w:t xml:space="preserve">See document </w:t>
      </w:r>
      <w:hyperlink r:id="rId39" w:history="1">
        <w:r w:rsidR="00686FDB" w:rsidRPr="00C04C22">
          <w:rPr>
            <w:rStyle w:val="Hyperlink"/>
            <w:rFonts w:hint="eastAsia"/>
            <w:sz w:val="18"/>
            <w:lang w:eastAsia="ja-JP"/>
          </w:rPr>
          <w:t>UPOV/WG-DEN/1/6</w:t>
        </w:r>
      </w:hyperlink>
      <w:r w:rsidRPr="00177B06">
        <w:rPr>
          <w:sz w:val="18"/>
        </w:rPr>
        <w:t xml:space="preserve"> “Report”, paragraphs 47 and 48.</w:t>
      </w:r>
    </w:p>
    <w:p w:rsidR="00F15E56" w:rsidRDefault="00F15E56" w:rsidP="00177B06">
      <w:pPr>
        <w:ind w:left="567" w:hanging="570"/>
        <w:rPr>
          <w:sz w:val="18"/>
        </w:rPr>
      </w:pPr>
    </w:p>
    <w:p w:rsidR="00686FDB" w:rsidRDefault="00686FDB" w:rsidP="00686FDB"/>
    <w:p w:rsidR="00686FDB" w:rsidRDefault="00686FDB" w:rsidP="00686FDB"/>
    <w:p w:rsidR="00686FDB" w:rsidRDefault="00686FDB" w:rsidP="00686FDB">
      <w:pPr>
        <w:jc w:val="right"/>
      </w:pPr>
      <w:r>
        <w:t>[Annex II follows]</w:t>
      </w:r>
    </w:p>
    <w:p w:rsidR="00686FDB" w:rsidRDefault="00686FDB" w:rsidP="00686FDB">
      <w:pPr>
        <w:sectPr w:rsidR="00686FDB" w:rsidSect="00BA1CCE">
          <w:headerReference w:type="first" r:id="rId40"/>
          <w:pgSz w:w="11907" w:h="16840" w:code="9"/>
          <w:pgMar w:top="510" w:right="1134" w:bottom="1134" w:left="1134" w:header="510" w:footer="680" w:gutter="0"/>
          <w:cols w:space="720"/>
        </w:sectPr>
      </w:pPr>
    </w:p>
    <w:p w:rsidR="00686FDB" w:rsidRPr="00B44DAA" w:rsidRDefault="00686FDB" w:rsidP="00B844B0">
      <w:pPr>
        <w:jc w:val="center"/>
      </w:pPr>
      <w:r w:rsidRPr="00B44DAA">
        <w:t>UPOV/WG-DEN/4/2</w:t>
      </w:r>
    </w:p>
    <w:p w:rsidR="00686FDB" w:rsidRPr="00B44DAA" w:rsidRDefault="00686FDB" w:rsidP="00B844B0">
      <w:pPr>
        <w:jc w:val="center"/>
      </w:pPr>
    </w:p>
    <w:p w:rsidR="00686FDB" w:rsidRPr="00B44DAA" w:rsidRDefault="00686FDB" w:rsidP="00B844B0">
      <w:pPr>
        <w:jc w:val="center"/>
      </w:pPr>
      <w:r w:rsidRPr="00B44DAA">
        <w:t>ANNEX II</w:t>
      </w:r>
    </w:p>
    <w:p w:rsidR="00686FDB" w:rsidRPr="00B44DAA" w:rsidRDefault="00686FDB" w:rsidP="00B844B0">
      <w:pPr>
        <w:jc w:val="center"/>
      </w:pPr>
    </w:p>
    <w:p w:rsidR="00686FDB" w:rsidRPr="00B44DAA" w:rsidRDefault="00686FDB" w:rsidP="00B844B0">
      <w:pPr>
        <w:jc w:val="center"/>
      </w:pPr>
    </w:p>
    <w:p w:rsidR="00686FDB" w:rsidRDefault="00686FDB" w:rsidP="00B844B0">
      <w:pPr>
        <w:jc w:val="center"/>
        <w:rPr>
          <w:lang w:eastAsia="ja-JP"/>
        </w:rPr>
      </w:pPr>
      <w:r w:rsidRPr="00B44DAA">
        <w:rPr>
          <w:lang w:eastAsia="ja-JP"/>
        </w:rPr>
        <w:t>RESPONSE FROM AUSTRALIA TO UPOV CIRCULAR E</w:t>
      </w:r>
      <w:r w:rsidRPr="00B44DAA">
        <w:rPr>
          <w:lang w:eastAsia="ja-JP"/>
        </w:rPr>
        <w:noBreakHyphen/>
        <w:t>17/135</w:t>
      </w:r>
    </w:p>
    <w:p w:rsidR="00686FDB" w:rsidRDefault="00686FDB" w:rsidP="00B844B0">
      <w:pPr>
        <w:jc w:val="center"/>
        <w:rPr>
          <w:lang w:eastAsia="ja-JP"/>
        </w:rPr>
      </w:pPr>
    </w:p>
    <w:p w:rsidR="00686FDB" w:rsidRDefault="00686FDB" w:rsidP="00B844B0">
      <w:pPr>
        <w:rPr>
          <w:lang w:val="en-AU"/>
        </w:rPr>
      </w:pPr>
      <w:r>
        <w:rPr>
          <w:lang w:val="en-AU"/>
        </w:rPr>
        <w:t>Dear Sir/Madam</w:t>
      </w:r>
    </w:p>
    <w:p w:rsidR="00686FDB" w:rsidRDefault="00686FDB" w:rsidP="00B844B0">
      <w:pPr>
        <w:rPr>
          <w:lang w:val="en-AU"/>
        </w:rPr>
      </w:pPr>
    </w:p>
    <w:p w:rsidR="00686FDB" w:rsidRDefault="00686FDB" w:rsidP="00B844B0">
      <w:pPr>
        <w:rPr>
          <w:lang w:val="en-AU"/>
        </w:rPr>
      </w:pPr>
      <w:r>
        <w:rPr>
          <w:lang w:val="en-AU"/>
        </w:rPr>
        <w:t>Please see the response below from Australia:</w:t>
      </w:r>
    </w:p>
    <w:p w:rsidR="00686FDB" w:rsidRDefault="00686FDB" w:rsidP="00B844B0">
      <w:pPr>
        <w:rPr>
          <w:lang w:val="en-AU"/>
        </w:rPr>
      </w:pPr>
    </w:p>
    <w:p w:rsidR="00686FDB" w:rsidRDefault="00686FDB" w:rsidP="00686FDB">
      <w:pPr>
        <w:pStyle w:val="ListParagraph"/>
        <w:numPr>
          <w:ilvl w:val="0"/>
          <w:numId w:val="8"/>
        </w:numPr>
        <w:ind w:left="426" w:hanging="284"/>
        <w:jc w:val="left"/>
        <w:rPr>
          <w:lang w:val="en-AU"/>
        </w:rPr>
      </w:pPr>
      <w:r>
        <w:rPr>
          <w:b/>
          <w:bCs/>
          <w:lang w:val="en-AU"/>
        </w:rPr>
        <w:t>Examples of re-use of denomination:</w:t>
      </w:r>
      <w:r>
        <w:rPr>
          <w:lang w:val="en-AU"/>
        </w:rPr>
        <w:t xml:space="preserve"> In Australia we allowed to reuse a denomination ‘Kiora’ in wheat. The original application (Application No: 2011/209) was withdrawn by the applicant and the variety has never been commercialised. We accepted another application from the same applicant under the same name ‘Kiora’ ( Application No: 2014/102). The re-use of the denomination was accepted under the following conditions of Article 30.1 of ICNCP, 2009. These conditions are, that the variety: </w:t>
      </w:r>
    </w:p>
    <w:p w:rsidR="00686FDB" w:rsidRDefault="00686FDB" w:rsidP="00B844B0">
      <w:pPr>
        <w:pStyle w:val="ListParagraph"/>
        <w:rPr>
          <w:lang w:val="en-AU"/>
        </w:rPr>
      </w:pPr>
    </w:p>
    <w:p w:rsidR="00686FDB" w:rsidRDefault="00686FDB" w:rsidP="00686FDB">
      <w:pPr>
        <w:pStyle w:val="ListParagraph"/>
        <w:numPr>
          <w:ilvl w:val="0"/>
          <w:numId w:val="9"/>
        </w:numPr>
        <w:jc w:val="left"/>
        <w:rPr>
          <w:lang w:val="en-AU"/>
        </w:rPr>
      </w:pPr>
      <w:r>
        <w:rPr>
          <w:lang w:val="en-AU"/>
        </w:rPr>
        <w:t>is no longer under cultivation, and</w:t>
      </w:r>
    </w:p>
    <w:p w:rsidR="00686FDB" w:rsidRDefault="00686FDB" w:rsidP="00686FDB">
      <w:pPr>
        <w:pStyle w:val="ListParagraph"/>
        <w:numPr>
          <w:ilvl w:val="0"/>
          <w:numId w:val="9"/>
        </w:numPr>
        <w:jc w:val="left"/>
        <w:rPr>
          <w:lang w:val="en-AU"/>
        </w:rPr>
      </w:pPr>
      <w:r>
        <w:rPr>
          <w:lang w:val="en-AU"/>
        </w:rPr>
        <w:t>has ceased to exist as a breeding material, and</w:t>
      </w:r>
    </w:p>
    <w:p w:rsidR="00686FDB" w:rsidRDefault="00686FDB" w:rsidP="00686FDB">
      <w:pPr>
        <w:pStyle w:val="ListParagraph"/>
        <w:numPr>
          <w:ilvl w:val="0"/>
          <w:numId w:val="9"/>
        </w:numPr>
        <w:jc w:val="left"/>
        <w:rPr>
          <w:lang w:val="en-AU"/>
        </w:rPr>
      </w:pPr>
      <w:r>
        <w:rPr>
          <w:lang w:val="en-AU"/>
        </w:rPr>
        <w:t>may not be found in any gene bank or seed bank, and</w:t>
      </w:r>
    </w:p>
    <w:p w:rsidR="00686FDB" w:rsidRDefault="00686FDB" w:rsidP="00686FDB">
      <w:pPr>
        <w:pStyle w:val="ListParagraph"/>
        <w:numPr>
          <w:ilvl w:val="0"/>
          <w:numId w:val="9"/>
        </w:numPr>
        <w:jc w:val="left"/>
        <w:rPr>
          <w:lang w:val="en-AU"/>
        </w:rPr>
      </w:pPr>
      <w:r>
        <w:rPr>
          <w:lang w:val="en-AU"/>
        </w:rPr>
        <w:t>is not a known component in the pedigree of other cultivar, and</w:t>
      </w:r>
    </w:p>
    <w:p w:rsidR="00686FDB" w:rsidRDefault="00686FDB" w:rsidP="00686FDB">
      <w:pPr>
        <w:pStyle w:val="ListParagraph"/>
        <w:numPr>
          <w:ilvl w:val="0"/>
          <w:numId w:val="9"/>
        </w:numPr>
        <w:jc w:val="left"/>
        <w:rPr>
          <w:lang w:val="en-AU"/>
        </w:rPr>
      </w:pPr>
      <w:r>
        <w:rPr>
          <w:lang w:val="en-AU"/>
        </w:rPr>
        <w:t>the name has been rarely used in publication, and</w:t>
      </w:r>
    </w:p>
    <w:p w:rsidR="00686FDB" w:rsidRDefault="00686FDB" w:rsidP="00686FDB">
      <w:pPr>
        <w:pStyle w:val="ListParagraph"/>
        <w:numPr>
          <w:ilvl w:val="0"/>
          <w:numId w:val="9"/>
        </w:numPr>
        <w:jc w:val="left"/>
        <w:rPr>
          <w:lang w:val="en-AU"/>
        </w:rPr>
      </w:pPr>
      <w:r>
        <w:rPr>
          <w:lang w:val="en-AU"/>
        </w:rPr>
        <w:t>the re-use is unlikely to cause confusion.</w:t>
      </w:r>
    </w:p>
    <w:p w:rsidR="00686FDB" w:rsidRPr="000E1355" w:rsidRDefault="00686FDB" w:rsidP="00B844B0">
      <w:pPr>
        <w:rPr>
          <w:sz w:val="14"/>
          <w:lang w:val="en-AU"/>
        </w:rPr>
      </w:pPr>
    </w:p>
    <w:p w:rsidR="00686FDB" w:rsidRDefault="00686FDB" w:rsidP="00B844B0">
      <w:pPr>
        <w:ind w:left="426"/>
        <w:rPr>
          <w:lang w:val="en-AU"/>
        </w:rPr>
      </w:pPr>
      <w:r>
        <w:rPr>
          <w:lang w:val="en-AU"/>
        </w:rPr>
        <w:t>There is another example in waxflower (</w:t>
      </w:r>
      <w:r>
        <w:rPr>
          <w:i/>
          <w:iCs/>
          <w:lang w:val="en-AU"/>
        </w:rPr>
        <w:t>Chamelaucium</w:t>
      </w:r>
      <w:r>
        <w:rPr>
          <w:lang w:val="en-AU"/>
        </w:rPr>
        <w:t xml:space="preserve">). We had allowed the re-use of the denomination ‘Ruby's Delight’ (Application No: 2009/124 and Application No: 2016/235) under the same condition. Please note that the re-use of a denomination is extremely rare and can only be permitted on a case by case basis under the conditions listed above. </w:t>
      </w:r>
    </w:p>
    <w:p w:rsidR="00686FDB" w:rsidRDefault="00686FDB" w:rsidP="00B844B0">
      <w:pPr>
        <w:rPr>
          <w:lang w:val="en-AU"/>
        </w:rPr>
      </w:pPr>
    </w:p>
    <w:p w:rsidR="00686FDB" w:rsidRDefault="00686FDB" w:rsidP="00686FDB">
      <w:pPr>
        <w:pStyle w:val="ListParagraph"/>
        <w:numPr>
          <w:ilvl w:val="0"/>
          <w:numId w:val="8"/>
        </w:numPr>
        <w:ind w:left="426" w:hanging="284"/>
        <w:jc w:val="left"/>
        <w:rPr>
          <w:lang w:val="en-AU"/>
        </w:rPr>
      </w:pPr>
      <w:r>
        <w:rPr>
          <w:b/>
          <w:bCs/>
          <w:lang w:val="en-AU"/>
        </w:rPr>
        <w:t xml:space="preserve">Role in recognising Breeder’s practice in naming varieties: </w:t>
      </w:r>
      <w:r>
        <w:rPr>
          <w:lang w:val="en-AU"/>
        </w:rPr>
        <w:t xml:space="preserve">We generally recognise breeder’s </w:t>
      </w:r>
      <w:r w:rsidRPr="000E1355">
        <w:rPr>
          <w:spacing w:val="-2"/>
          <w:lang w:val="en-AU"/>
        </w:rPr>
        <w:t xml:space="preserve">practice in naming varieties, however, that practice must also comply with section 27 of the Australian Plant Breeder’s Rights Act 1994 ( the Act). Issues, such as conflict with trademark or likely to deceive or cause confusion (e.g. confusion with the identity of the breeder) are considered on their individual merits. </w:t>
      </w:r>
    </w:p>
    <w:p w:rsidR="00686FDB" w:rsidRDefault="00686FDB" w:rsidP="00B844B0">
      <w:pPr>
        <w:ind w:left="720"/>
        <w:rPr>
          <w:lang w:val="en-AU"/>
        </w:rPr>
      </w:pPr>
    </w:p>
    <w:p w:rsidR="00686FDB" w:rsidRDefault="00686FDB" w:rsidP="00686FDB">
      <w:pPr>
        <w:pStyle w:val="ListParagraph"/>
        <w:numPr>
          <w:ilvl w:val="0"/>
          <w:numId w:val="8"/>
        </w:numPr>
        <w:ind w:left="426" w:hanging="284"/>
        <w:jc w:val="left"/>
        <w:rPr>
          <w:b/>
          <w:bCs/>
          <w:lang w:val="en-AU"/>
        </w:rPr>
      </w:pPr>
      <w:r>
        <w:rPr>
          <w:b/>
          <w:bCs/>
        </w:rPr>
        <w:t xml:space="preserve">Provide examples and criteria for differences in the acceptability of similar denominations according to class: </w:t>
      </w:r>
      <w:r>
        <w:t>We strictly adhere to the general rule of UPOV ( one genus one class) plus the exception to the general rule (list of denomination classes). We do not go to species level unless it is listed as an exception to the general rule.</w:t>
      </w:r>
    </w:p>
    <w:p w:rsidR="00686FDB" w:rsidRDefault="00686FDB" w:rsidP="00B844B0">
      <w:pPr>
        <w:pStyle w:val="ListParagraph"/>
        <w:rPr>
          <w:b/>
          <w:bCs/>
          <w:lang w:val="en-AU"/>
        </w:rPr>
      </w:pPr>
    </w:p>
    <w:p w:rsidR="00686FDB" w:rsidRDefault="00686FDB" w:rsidP="00686FDB">
      <w:pPr>
        <w:pStyle w:val="ListParagraph"/>
        <w:numPr>
          <w:ilvl w:val="0"/>
          <w:numId w:val="8"/>
        </w:numPr>
        <w:spacing w:after="120"/>
        <w:ind w:left="426" w:hanging="284"/>
        <w:jc w:val="left"/>
        <w:rPr>
          <w:b/>
          <w:bCs/>
        </w:rPr>
      </w:pPr>
      <w:r>
        <w:rPr>
          <w:b/>
          <w:bCs/>
        </w:rPr>
        <w:t>Provide the number of denominations, in the past 12 months, that had previously been accepted by another member of the Union that did not meet the criteria for acceptance in your territory and, of those, the number that:</w:t>
      </w:r>
    </w:p>
    <w:p w:rsidR="00686FDB" w:rsidRDefault="00686FDB" w:rsidP="00686FDB">
      <w:pPr>
        <w:pStyle w:val="ListParagraph"/>
        <w:numPr>
          <w:ilvl w:val="1"/>
          <w:numId w:val="8"/>
        </w:numPr>
        <w:spacing w:after="120"/>
        <w:ind w:left="709" w:hanging="283"/>
        <w:jc w:val="left"/>
      </w:pPr>
      <w:r>
        <w:t>were accepted in your territory despite the fact that they did not meet the criteria for acceptance in your territory - Nil.</w:t>
      </w:r>
    </w:p>
    <w:p w:rsidR="00686FDB" w:rsidRPr="000E1355" w:rsidRDefault="00686FDB" w:rsidP="00686FDB">
      <w:pPr>
        <w:pStyle w:val="ListParagraph"/>
        <w:numPr>
          <w:ilvl w:val="1"/>
          <w:numId w:val="8"/>
        </w:numPr>
        <w:spacing w:after="120"/>
        <w:ind w:left="709" w:hanging="283"/>
        <w:jc w:val="left"/>
        <w:rPr>
          <w:spacing w:val="-2"/>
        </w:rPr>
      </w:pPr>
      <w:r w:rsidRPr="000E1355">
        <w:rPr>
          <w:spacing w:val="-2"/>
        </w:rPr>
        <w:t xml:space="preserve">were rejected in your territory because they did not meet the criteria for acceptance in your territory – 7 </w:t>
      </w:r>
    </w:p>
    <w:p w:rsidR="00686FDB" w:rsidRDefault="00686FDB" w:rsidP="00B844B0">
      <w:pPr>
        <w:pStyle w:val="ListParagraph"/>
        <w:rPr>
          <w:b/>
          <w:bCs/>
          <w:lang w:val="en-AU"/>
        </w:rPr>
      </w:pPr>
    </w:p>
    <w:p w:rsidR="00686FDB" w:rsidRDefault="00686FDB" w:rsidP="00B844B0">
      <w:pPr>
        <w:pStyle w:val="ListParagraph"/>
        <w:rPr>
          <w:lang w:val="en-AU"/>
        </w:rPr>
      </w:pPr>
      <w:r>
        <w:rPr>
          <w:lang w:val="en-AU"/>
        </w:rPr>
        <w:t>I hope this satisfy your query.</w:t>
      </w:r>
    </w:p>
    <w:p w:rsidR="00686FDB" w:rsidRDefault="00686FDB" w:rsidP="00B844B0">
      <w:pPr>
        <w:pStyle w:val="ListParagraph"/>
        <w:rPr>
          <w:lang w:val="en-AU"/>
        </w:rPr>
      </w:pPr>
    </w:p>
    <w:p w:rsidR="00686FDB" w:rsidRDefault="00686FDB" w:rsidP="00B844B0">
      <w:pPr>
        <w:pStyle w:val="ListParagraph"/>
        <w:rPr>
          <w:lang w:val="en-AU"/>
        </w:rPr>
      </w:pPr>
      <w:r>
        <w:rPr>
          <w:lang w:val="en-AU"/>
        </w:rPr>
        <w:t xml:space="preserve">Thanking you </w:t>
      </w:r>
    </w:p>
    <w:p w:rsidR="00686FDB" w:rsidRDefault="00686FDB" w:rsidP="00B844B0">
      <w:pPr>
        <w:rPr>
          <w:lang w:val="en-AU"/>
        </w:rPr>
      </w:pPr>
    </w:p>
    <w:p w:rsidR="00686FDB" w:rsidRDefault="00686FDB" w:rsidP="00B844B0">
      <w:pPr>
        <w:rPr>
          <w:b/>
          <w:bCs/>
        </w:rPr>
      </w:pPr>
      <w:r>
        <w:rPr>
          <w:b/>
          <w:bCs/>
        </w:rPr>
        <w:t>Tanvir Hossain</w:t>
      </w:r>
    </w:p>
    <w:p w:rsidR="00686FDB" w:rsidRDefault="00686FDB" w:rsidP="00B844B0">
      <w:pPr>
        <w:rPr>
          <w:color w:val="1F497D"/>
          <w:sz w:val="22"/>
          <w:szCs w:val="22"/>
          <w:lang w:val="en-AU"/>
        </w:rPr>
      </w:pPr>
      <w:r>
        <w:rPr>
          <w:color w:val="1F497D"/>
          <w:sz w:val="22"/>
          <w:szCs w:val="22"/>
          <w:lang w:val="en-AU"/>
        </w:rPr>
        <w:t>Chief of PBR (A/g)</w:t>
      </w:r>
    </w:p>
    <w:p w:rsidR="00686FDB" w:rsidRDefault="00686FDB" w:rsidP="00B844B0">
      <w:pPr>
        <w:rPr>
          <w:color w:val="1F497D"/>
          <w:sz w:val="22"/>
          <w:szCs w:val="22"/>
          <w:lang w:val="en-AU"/>
        </w:rPr>
      </w:pPr>
      <w:r>
        <w:rPr>
          <w:color w:val="1F497D"/>
          <w:sz w:val="22"/>
          <w:szCs w:val="22"/>
          <w:lang w:val="en-AU"/>
        </w:rPr>
        <w:t>Plant Breeder’s Rights</w:t>
      </w:r>
    </w:p>
    <w:p w:rsidR="00686FDB" w:rsidRDefault="00686FDB" w:rsidP="00B844B0">
      <w:pPr>
        <w:rPr>
          <w:color w:val="1F497D"/>
          <w:sz w:val="22"/>
          <w:szCs w:val="22"/>
          <w:lang w:val="en-AU"/>
        </w:rPr>
      </w:pPr>
      <w:r>
        <w:rPr>
          <w:color w:val="1F497D"/>
          <w:sz w:val="22"/>
          <w:szCs w:val="22"/>
          <w:lang w:val="en-AU"/>
        </w:rPr>
        <w:t>IP Australia</w:t>
      </w:r>
    </w:p>
    <w:p w:rsidR="00686FDB" w:rsidRDefault="00686FDB" w:rsidP="00B844B0">
      <w:pPr>
        <w:rPr>
          <w:lang w:val="en-AU"/>
        </w:rPr>
      </w:pPr>
    </w:p>
    <w:p w:rsidR="00686FDB" w:rsidRDefault="00686FDB" w:rsidP="00B844B0">
      <w:pPr>
        <w:rPr>
          <w:lang w:val="en-AU"/>
        </w:rPr>
      </w:pPr>
      <w:r>
        <w:rPr>
          <w:noProof/>
        </w:rPr>
        <w:drawing>
          <wp:inline distT="0" distB="0" distL="0" distR="0" wp14:anchorId="4BB3BEAA" wp14:editId="49A64D4F">
            <wp:extent cx="1371600" cy="266700"/>
            <wp:effectExtent l="0" t="0" r="0" b="0"/>
            <wp:docPr id="5" name="Picture 5" descr="cid:image001.png@01D32D80.0C5EA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1.png@01D32D80.0C5EA77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rsidR="00686FDB" w:rsidRPr="00B844B0" w:rsidRDefault="00686FDB" w:rsidP="00B844B0">
      <w:pPr>
        <w:rPr>
          <w:lang w:val="es-ES"/>
        </w:rPr>
      </w:pPr>
      <w:r w:rsidRPr="00B844B0">
        <w:rPr>
          <w:lang w:val="es-ES"/>
        </w:rPr>
        <w:t xml:space="preserve">P 02 6283 7984 | M 0430 658 142 | E </w:t>
      </w:r>
      <w:hyperlink r:id="rId43" w:history="1">
        <w:r w:rsidRPr="00B844B0">
          <w:rPr>
            <w:rStyle w:val="Hyperlink"/>
            <w:lang w:val="es-ES"/>
          </w:rPr>
          <w:t>tanvir.hossain@ipaustralia.gov.au</w:t>
        </w:r>
      </w:hyperlink>
    </w:p>
    <w:p w:rsidR="00686FDB" w:rsidRDefault="00686FDB" w:rsidP="00B844B0">
      <w:r>
        <w:rPr>
          <w:lang w:val="en-AU"/>
        </w:rPr>
        <w:t xml:space="preserve">Visit us at </w:t>
      </w:r>
      <w:hyperlink r:id="rId44" w:history="1">
        <w:r>
          <w:rPr>
            <w:rStyle w:val="Hyperlink"/>
          </w:rPr>
          <w:t>http://www.ipaustralia.gov.au</w:t>
        </w:r>
      </w:hyperlink>
    </w:p>
    <w:p w:rsidR="00686FDB" w:rsidRDefault="00686FDB" w:rsidP="00B844B0">
      <w:pPr>
        <w:rPr>
          <w:lang w:val="en-AU"/>
        </w:rPr>
      </w:pPr>
    </w:p>
    <w:p w:rsidR="00686FDB" w:rsidRDefault="00686FDB" w:rsidP="00B844B0">
      <w:pPr>
        <w:rPr>
          <w:lang w:val="en-AU"/>
        </w:rPr>
      </w:pPr>
    </w:p>
    <w:p w:rsidR="00686FDB" w:rsidRDefault="00686FDB" w:rsidP="00686FDB">
      <w:pPr>
        <w:jc w:val="right"/>
        <w:rPr>
          <w:lang w:val="en-AU"/>
        </w:rPr>
      </w:pPr>
      <w:r>
        <w:rPr>
          <w:lang w:val="en-AU"/>
        </w:rPr>
        <w:t>[Annex III follows]</w:t>
      </w:r>
    </w:p>
    <w:p w:rsidR="00686FDB" w:rsidRDefault="00686FDB" w:rsidP="00686FDB">
      <w:pPr>
        <w:rPr>
          <w:lang w:val="en-AU"/>
        </w:rPr>
      </w:pPr>
    </w:p>
    <w:p w:rsidR="00686FDB" w:rsidRDefault="00686FDB" w:rsidP="00686FDB">
      <w:pPr>
        <w:jc w:val="right"/>
        <w:rPr>
          <w:lang w:val="en-AU"/>
        </w:rPr>
        <w:sectPr w:rsidR="00686FDB" w:rsidSect="00B844B0">
          <w:headerReference w:type="default" r:id="rId45"/>
          <w:pgSz w:w="11907" w:h="16840" w:code="9"/>
          <w:pgMar w:top="510" w:right="1134" w:bottom="1134" w:left="1134" w:header="510" w:footer="680" w:gutter="0"/>
          <w:cols w:space="720"/>
          <w:titlePg/>
        </w:sectPr>
      </w:pPr>
    </w:p>
    <w:p w:rsidR="00686FDB" w:rsidRPr="00B44DAA" w:rsidRDefault="00686FDB" w:rsidP="00B844B0">
      <w:pPr>
        <w:jc w:val="center"/>
      </w:pPr>
      <w:r w:rsidRPr="00B44DAA">
        <w:t>UPOV/WG-DEN/4/2</w:t>
      </w:r>
    </w:p>
    <w:p w:rsidR="00686FDB" w:rsidRPr="00B44DAA" w:rsidRDefault="00686FDB" w:rsidP="00B844B0">
      <w:pPr>
        <w:jc w:val="center"/>
      </w:pPr>
    </w:p>
    <w:p w:rsidR="00686FDB" w:rsidRPr="00B44DAA" w:rsidRDefault="00686FDB" w:rsidP="00B844B0">
      <w:pPr>
        <w:jc w:val="center"/>
      </w:pPr>
      <w:r w:rsidRPr="00B44DAA">
        <w:t xml:space="preserve">ANNEX </w:t>
      </w:r>
      <w:r>
        <w:t>I</w:t>
      </w:r>
      <w:r w:rsidRPr="00B44DAA">
        <w:t>II</w:t>
      </w:r>
    </w:p>
    <w:p w:rsidR="00686FDB" w:rsidRPr="00B44DAA" w:rsidRDefault="00686FDB" w:rsidP="00B844B0">
      <w:pPr>
        <w:jc w:val="center"/>
      </w:pPr>
    </w:p>
    <w:p w:rsidR="00686FDB" w:rsidRPr="00B44DAA" w:rsidRDefault="00686FDB" w:rsidP="00B844B0">
      <w:pPr>
        <w:jc w:val="center"/>
      </w:pPr>
    </w:p>
    <w:p w:rsidR="00686FDB" w:rsidRDefault="00686FDB" w:rsidP="00B844B0">
      <w:pPr>
        <w:jc w:val="center"/>
        <w:rPr>
          <w:lang w:eastAsia="ja-JP"/>
        </w:rPr>
      </w:pPr>
      <w:r w:rsidRPr="00B44DAA">
        <w:rPr>
          <w:lang w:eastAsia="ja-JP"/>
        </w:rPr>
        <w:t xml:space="preserve">RESPONSE FROM </w:t>
      </w:r>
      <w:r>
        <w:rPr>
          <w:lang w:eastAsia="ja-JP"/>
        </w:rPr>
        <w:t xml:space="preserve">THE EUROPEAN UNION </w:t>
      </w:r>
      <w:r w:rsidRPr="00B44DAA">
        <w:rPr>
          <w:lang w:eastAsia="ja-JP"/>
        </w:rPr>
        <w:t>TO UPOV CIRCULAR E</w:t>
      </w:r>
      <w:r w:rsidRPr="00B44DAA">
        <w:rPr>
          <w:lang w:eastAsia="ja-JP"/>
        </w:rPr>
        <w:noBreakHyphen/>
        <w:t>17/135</w:t>
      </w:r>
    </w:p>
    <w:p w:rsidR="00686FDB" w:rsidRDefault="00686FDB" w:rsidP="00B844B0">
      <w:pPr>
        <w:rPr>
          <w:lang w:val="en-AU"/>
        </w:rPr>
      </w:pPr>
    </w:p>
    <w:p w:rsidR="00686FDB" w:rsidRDefault="00686FDB" w:rsidP="00B844B0">
      <w:pPr>
        <w:spacing w:after="240"/>
        <w:rPr>
          <w:lang w:val="en-GB"/>
        </w:rPr>
      </w:pPr>
      <w:r>
        <w:rPr>
          <w:b/>
          <w:bCs/>
          <w:lang w:val="fr-FR"/>
        </w:rPr>
        <w:t>Bénédicte Legrand</w:t>
      </w:r>
      <w:r>
        <w:rPr>
          <w:b/>
          <w:bCs/>
          <w:lang w:val="fr-FR"/>
        </w:rPr>
        <w:br/>
      </w:r>
      <w:r w:rsidRPr="00B844B0">
        <w:rPr>
          <w:lang w:val="fr-CH"/>
        </w:rPr>
        <w:t>Denomination expert</w:t>
      </w:r>
      <w:r w:rsidRPr="00B844B0">
        <w:rPr>
          <w:lang w:val="fr-CH"/>
        </w:rPr>
        <w:br/>
        <w:t>Community Plant Variety Office (CPVO)</w:t>
      </w:r>
      <w:r w:rsidRPr="00B844B0">
        <w:rPr>
          <w:lang w:val="fr-CH"/>
        </w:rPr>
        <w:br/>
        <w:t>Office Communautaire des Variétés Végétales (OCVV)</w:t>
      </w:r>
      <w:r w:rsidRPr="00B844B0">
        <w:rPr>
          <w:lang w:val="fr-CH"/>
        </w:rPr>
        <w:br/>
        <w:t>3 boulevard Maréchal Foch • CS 10121</w:t>
      </w:r>
      <w:r w:rsidRPr="00B844B0">
        <w:rPr>
          <w:lang w:val="fr-CH"/>
        </w:rPr>
        <w:br/>
        <w:t>49101 ANGERS CEDEX 2 • France</w:t>
      </w:r>
      <w:r w:rsidRPr="00B844B0">
        <w:rPr>
          <w:lang w:val="fr-CH"/>
        </w:rPr>
        <w:br/>
        <w:t xml:space="preserve">Tel. </w:t>
      </w:r>
      <w:r>
        <w:t>+33 (0)2 41 25 64 66 • Fax +33 (0)2 41 25 64 10</w:t>
      </w:r>
      <w:r>
        <w:br/>
      </w:r>
      <w:hyperlink r:id="rId46" w:history="1">
        <w:r>
          <w:rPr>
            <w:rStyle w:val="Hyperlink"/>
            <w:sz w:val="18"/>
            <w:szCs w:val="18"/>
            <w:lang w:val="fr-FR"/>
          </w:rPr>
          <w:t>legrand@cpvo.europa.eu</w:t>
        </w:r>
      </w:hyperlink>
      <w:r>
        <w:rPr>
          <w:lang w:val="fr-FR"/>
        </w:rPr>
        <w:t xml:space="preserve"> • </w:t>
      </w:r>
      <w:hyperlink r:id="rId47" w:history="1">
        <w:r>
          <w:rPr>
            <w:rStyle w:val="Hyperlink"/>
            <w:sz w:val="18"/>
            <w:szCs w:val="18"/>
            <w:lang w:val="fr-FR"/>
          </w:rPr>
          <w:t>cpvo.europa.eu</w:t>
        </w:r>
      </w:hyperlink>
    </w:p>
    <w:p w:rsidR="00686FDB" w:rsidRDefault="00686FDB" w:rsidP="00B844B0">
      <w:pPr>
        <w:spacing w:after="240"/>
      </w:pPr>
      <w:r>
        <w:rPr>
          <w:noProof/>
        </w:rPr>
        <w:drawing>
          <wp:inline distT="0" distB="0" distL="0" distR="0">
            <wp:extent cx="1676400" cy="523875"/>
            <wp:effectExtent l="0" t="0" r="0" b="9525"/>
            <wp:docPr id="8" name="Picture 8" descr="Description: Description: LogoCPVO_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CPVO_BI"/>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1676400" cy="523875"/>
                    </a:xfrm>
                    <a:prstGeom prst="rect">
                      <a:avLst/>
                    </a:prstGeom>
                    <a:noFill/>
                    <a:ln>
                      <a:noFill/>
                    </a:ln>
                  </pic:spPr>
                </pic:pic>
              </a:graphicData>
            </a:graphic>
          </wp:inline>
        </w:drawing>
      </w:r>
    </w:p>
    <w:p w:rsidR="00686FDB" w:rsidRDefault="00686FDB" w:rsidP="00B844B0">
      <w:pPr>
        <w:spacing w:after="240"/>
      </w:pPr>
    </w:p>
    <w:p w:rsidR="00686FDB" w:rsidRDefault="00686FDB" w:rsidP="00B844B0"/>
    <w:p w:rsidR="00686FDB" w:rsidRDefault="00686FDB" w:rsidP="00B844B0"/>
    <w:p w:rsidR="00686FDB" w:rsidRDefault="00686FDB" w:rsidP="00B01F68">
      <w:r>
        <w:rPr>
          <w:b/>
          <w:bCs/>
        </w:rPr>
        <w:t>From:</w:t>
      </w:r>
      <w:r>
        <w:t xml:space="preserve"> mail, Upov [</w:t>
      </w:r>
      <w:hyperlink r:id="rId50" w:history="1">
        <w:r>
          <w:rPr>
            <w:rStyle w:val="Hyperlink"/>
          </w:rPr>
          <w:t>mailto:upov.mail@upov.int</w:t>
        </w:r>
      </w:hyperlink>
      <w:r>
        <w:t xml:space="preserve">] </w:t>
      </w:r>
      <w:r>
        <w:br/>
      </w:r>
      <w:r>
        <w:rPr>
          <w:b/>
          <w:bCs/>
        </w:rPr>
        <w:t>Sent:</w:t>
      </w:r>
      <w:r>
        <w:t xml:space="preserve"> mercredi 26 juillet 2017 13:59</w:t>
      </w:r>
      <w:r>
        <w:br/>
      </w:r>
      <w:r>
        <w:rPr>
          <w:b/>
          <w:bCs/>
        </w:rPr>
        <w:t>To:</w:t>
      </w:r>
      <w:r>
        <w:t xml:space="preserve"> mail, Upov </w:t>
      </w:r>
      <w:r>
        <w:br/>
      </w:r>
      <w:r>
        <w:rPr>
          <w:b/>
          <w:bCs/>
        </w:rPr>
        <w:t>Subject:</w:t>
      </w:r>
      <w:r>
        <w:t xml:space="preserve"> UPOV Circular E-17/135 - Request for information by September 15, 2017</w:t>
      </w:r>
    </w:p>
    <w:p w:rsidR="00686FDB" w:rsidRDefault="00686FDB" w:rsidP="00B01F68"/>
    <w:p w:rsidR="00686FDB" w:rsidRDefault="00686FDB" w:rsidP="00B01F68">
      <w:r>
        <w:t>Circular E-17/135 July 26, 2017</w:t>
      </w:r>
    </w:p>
    <w:p w:rsidR="00686FDB" w:rsidRDefault="00686FDB" w:rsidP="00B01F68"/>
    <w:p w:rsidR="00686FDB" w:rsidRDefault="00686FDB" w:rsidP="00B01F68">
      <w:r>
        <w:t xml:space="preserve">Distribution: WG-DEN members </w:t>
      </w:r>
    </w:p>
    <w:p w:rsidR="00686FDB" w:rsidRDefault="00686FDB" w:rsidP="00B844B0"/>
    <w:p w:rsidR="00686FDB" w:rsidRDefault="00686FDB" w:rsidP="00B844B0"/>
    <w:p w:rsidR="00686FDB" w:rsidRDefault="00686FDB" w:rsidP="00B844B0"/>
    <w:p w:rsidR="00686FDB" w:rsidRDefault="00686FDB" w:rsidP="00B844B0">
      <w:r>
        <w:t>Madam,</w:t>
      </w:r>
    </w:p>
    <w:p w:rsidR="00686FDB" w:rsidRDefault="00686FDB" w:rsidP="00B844B0">
      <w:r>
        <w:t>Sir,</w:t>
      </w:r>
    </w:p>
    <w:p w:rsidR="00686FDB" w:rsidRDefault="00686FDB" w:rsidP="00B844B0"/>
    <w:p w:rsidR="00686FDB" w:rsidRDefault="00686FDB" w:rsidP="00B844B0">
      <w:r>
        <w:t xml:space="preserve">The purpose of this circular is to invite members of the Working Group on Variety Denominations (WG-DEN), </w:t>
      </w:r>
      <w:r>
        <w:rPr>
          <w:b/>
          <w:bCs/>
        </w:rPr>
        <w:t>by September 15, 2017</w:t>
      </w:r>
      <w:r>
        <w:t>, to:</w:t>
      </w:r>
    </w:p>
    <w:p w:rsidR="00686FDB" w:rsidRDefault="00686FDB" w:rsidP="00B844B0"/>
    <w:p w:rsidR="00686FDB" w:rsidRDefault="00686FDB" w:rsidP="00B844B0">
      <w:pPr>
        <w:pStyle w:val="ListParagraph"/>
        <w:spacing w:after="120"/>
        <w:ind w:left="851" w:hanging="567"/>
        <w:rPr>
          <w:color w:val="1F497D"/>
        </w:rPr>
      </w:pPr>
      <w:r>
        <w:t>(a)</w:t>
      </w:r>
      <w:r>
        <w:rPr>
          <w:sz w:val="14"/>
          <w:szCs w:val="14"/>
        </w:rPr>
        <w:t xml:space="preserve"> </w:t>
      </w:r>
      <w:r>
        <w:t>provide examples of allowing the re-use of denominations (see information concerning document UPOV/INF/12/6 Draft 3, Section 2.3.3(c) below);</w:t>
      </w:r>
    </w:p>
    <w:p w:rsidR="00686FDB" w:rsidRDefault="00686FDB" w:rsidP="00B844B0">
      <w:pPr>
        <w:pStyle w:val="ListParagraph"/>
        <w:ind w:left="0"/>
      </w:pPr>
    </w:p>
    <w:p w:rsidR="00686FDB" w:rsidRDefault="00686FDB" w:rsidP="00B844B0">
      <w:pPr>
        <w:pStyle w:val="ListParagraph"/>
        <w:ind w:left="851"/>
      </w:pPr>
      <w:r>
        <w:rPr>
          <w:i/>
          <w:iCs/>
        </w:rPr>
        <w:t>“In those cases, a suitable period of time after discontinued commercialization of the variety would be required before the re-use of the denomination in order to avoid causing confusion in relation to the identity and/or the characteristics of the variety</w:t>
      </w:r>
      <w:r>
        <w:t xml:space="preserve">” Unless there are exceptional circumstances, the Office applies the rule of the 10-year waiting period. This rule is regarded as meeting the recommendation concerning the ‘suitable period of time’ and is applicable to both identical and similar variety denominations. </w:t>
      </w:r>
    </w:p>
    <w:p w:rsidR="00686FDB" w:rsidRDefault="00686FDB" w:rsidP="00B844B0">
      <w:pPr>
        <w:spacing w:after="120"/>
      </w:pPr>
    </w:p>
    <w:p w:rsidR="00686FDB" w:rsidRDefault="00686FDB" w:rsidP="00B844B0">
      <w:pPr>
        <w:pStyle w:val="ListParagraph"/>
        <w:spacing w:after="120"/>
        <w:ind w:left="851" w:hanging="567"/>
        <w:rPr>
          <w:color w:val="1F497D"/>
        </w:rPr>
      </w:pPr>
      <w:r>
        <w:t>(b)</w:t>
      </w:r>
      <w:r>
        <w:rPr>
          <w:sz w:val="14"/>
          <w:szCs w:val="14"/>
        </w:rPr>
        <w:t xml:space="preserve"> </w:t>
      </w:r>
      <w:r>
        <w:t>comment on whether PVP Offices should have a role in recognizing breeders practices in naming varieties (e.g. prefixes, themes) or whether that should be left to other mechanisms (e.g. trademarks) (see information concerning document UPOV/INF/12/6 Draft 3, Section 2.3.4 below)</w:t>
      </w:r>
    </w:p>
    <w:p w:rsidR="00686FDB" w:rsidRDefault="00686FDB" w:rsidP="00B844B0">
      <w:pPr>
        <w:pStyle w:val="ListParagraph"/>
        <w:ind w:left="0"/>
      </w:pPr>
    </w:p>
    <w:p w:rsidR="00686FDB" w:rsidRDefault="00686FDB" w:rsidP="00B844B0">
      <w:pPr>
        <w:spacing w:after="120"/>
        <w:ind w:left="851"/>
        <w:rPr>
          <w:color w:val="1F497D"/>
        </w:rPr>
      </w:pPr>
      <w:r>
        <w:t>The Art. 2. already makes reference to the recognition of practices “</w:t>
      </w:r>
      <w:r>
        <w:rPr>
          <w:i/>
          <w:iCs/>
        </w:rPr>
        <w:t>It may not consist solely of figures except where this is an established practice for designating varieties</w:t>
      </w:r>
      <w:r>
        <w:t xml:space="preserve">”. </w:t>
      </w:r>
      <w:r>
        <w:rPr>
          <w:color w:val="1F497D"/>
        </w:rPr>
        <w:t>Therefore, the</w:t>
      </w:r>
      <w:r>
        <w:t xml:space="preserve"> </w:t>
      </w:r>
      <w:r>
        <w:rPr>
          <w:color w:val="1F497D"/>
        </w:rPr>
        <w:t>practice cannot be ignored. This is also in the interest of breeders in case such practices (e.g. prefix, suffix, company identifiers, series identifiers etc.) is a clear indication on the identity of the variety and/or the breeder.</w:t>
      </w:r>
    </w:p>
    <w:p w:rsidR="00686FDB" w:rsidRDefault="00686FDB" w:rsidP="00686FDB">
      <w:pPr>
        <w:keepNext/>
        <w:ind w:left="851"/>
        <w:rPr>
          <w:b/>
          <w:bCs/>
        </w:rPr>
      </w:pPr>
      <w:r>
        <w:rPr>
          <w:b/>
          <w:bCs/>
        </w:rPr>
        <w:t xml:space="preserve">Examples: </w:t>
      </w:r>
    </w:p>
    <w:p w:rsidR="00686FDB" w:rsidRDefault="00686FDB" w:rsidP="00686FDB">
      <w:pPr>
        <w:pStyle w:val="ListParagraph"/>
        <w:keepNext/>
        <w:ind w:left="1418" w:hanging="282"/>
      </w:pPr>
      <w:r>
        <w:rPr>
          <w:rFonts w:ascii="Symbol" w:hAnsi="Symbol"/>
          <w:color w:val="203864"/>
          <w:sz w:val="18"/>
          <w:szCs w:val="18"/>
        </w:rPr>
        <w:t></w:t>
      </w:r>
      <w:r>
        <w:rPr>
          <w:rFonts w:ascii="Symbol" w:hAnsi="Symbol"/>
          <w:color w:val="203864"/>
          <w:sz w:val="14"/>
          <w:szCs w:val="14"/>
        </w:rPr>
        <w:t></w:t>
      </w:r>
      <w:r>
        <w:t xml:space="preserve">The use of company acronyms or company identifiers in variety denominations: </w:t>
      </w:r>
    </w:p>
    <w:p w:rsidR="00686FDB" w:rsidRDefault="00686FDB" w:rsidP="00B844B0">
      <w:pPr>
        <w:pStyle w:val="ListParagraph"/>
        <w:ind w:left="1418"/>
      </w:pPr>
      <w:r>
        <w:t>‘</w:t>
      </w:r>
      <w:r>
        <w:rPr>
          <w:b/>
          <w:bCs/>
        </w:rPr>
        <w:t xml:space="preserve">KWS’, ‘SY’, ‘RGT’, ‘ES’, ‘DK’ </w:t>
      </w:r>
      <w:r>
        <w:t>respectively identify ‘Klein Wanzlebener Saatzucht’, ‘Syngenta’, RAGT, Euralis Semences, Monsanto (common practice).</w:t>
      </w:r>
      <w:r>
        <w:rPr>
          <w:i/>
          <w:iCs/>
        </w:rPr>
        <w:t xml:space="preserve"> </w:t>
      </w:r>
    </w:p>
    <w:p w:rsidR="00686FDB" w:rsidRDefault="00686FDB" w:rsidP="00B844B0">
      <w:pPr>
        <w:pStyle w:val="ListParagraph"/>
        <w:ind w:left="1418"/>
      </w:pPr>
      <w:r>
        <w:t>These company identifiers cannot be used in the denominations of varieties of which they are not the breeder, the title holder or their successor in title. ‘</w:t>
      </w:r>
      <w:r>
        <w:rPr>
          <w:b/>
          <w:bCs/>
        </w:rPr>
        <w:t>KWS Jocker’</w:t>
      </w:r>
      <w:r>
        <w:t xml:space="preserve"> is not suitable if Syngenta is the Breeder of the variety.</w:t>
      </w:r>
    </w:p>
    <w:p w:rsidR="00686FDB" w:rsidRDefault="00686FDB" w:rsidP="00B844B0">
      <w:pPr>
        <w:pStyle w:val="ListParagraph"/>
        <w:ind w:left="1418" w:hanging="282"/>
      </w:pPr>
    </w:p>
    <w:p w:rsidR="00686FDB" w:rsidRDefault="00686FDB" w:rsidP="00B844B0">
      <w:pPr>
        <w:pStyle w:val="ListParagraph"/>
        <w:ind w:left="1418" w:hanging="282"/>
      </w:pPr>
      <w:r>
        <w:t>·</w:t>
      </w:r>
      <w:r>
        <w:rPr>
          <w:rFonts w:ascii="Symbol" w:hAnsi="Symbol"/>
          <w:color w:val="203864"/>
          <w:sz w:val="14"/>
          <w:szCs w:val="14"/>
        </w:rPr>
        <w:t></w:t>
      </w:r>
      <w:r>
        <w:t>‘</w:t>
      </w:r>
      <w:r>
        <w:rPr>
          <w:b/>
          <w:bCs/>
        </w:rPr>
        <w:t>Mel</w:t>
      </w:r>
      <w:r>
        <w:t xml:space="preserve">bravo’ Lolium perenne L. </w:t>
      </w:r>
    </w:p>
    <w:p w:rsidR="00686FDB" w:rsidRDefault="00686FDB" w:rsidP="00B844B0">
      <w:pPr>
        <w:pStyle w:val="ListParagraph"/>
        <w:ind w:left="1418"/>
      </w:pPr>
      <w:r>
        <w:t>‘MEL’ is an identifier commonly used by ILVO plant Genetica en Veredeling (common practice).</w:t>
      </w:r>
    </w:p>
    <w:p w:rsidR="00686FDB" w:rsidRDefault="00686FDB" w:rsidP="00B844B0">
      <w:pPr>
        <w:pStyle w:val="ListParagraph"/>
        <w:ind w:left="1418"/>
      </w:pPr>
      <w:r>
        <w:t>A variety of the same species ‘Bravo’ already exists. A company using a denomination identical or similar to an existing one and just adding its company or series identifier might take an unfair profit of well-known denominations established in the market. The proposal was refused.</w:t>
      </w:r>
    </w:p>
    <w:p w:rsidR="00686FDB" w:rsidRDefault="00686FDB" w:rsidP="00B844B0">
      <w:pPr>
        <w:pStyle w:val="ListParagraph"/>
        <w:ind w:left="1418" w:hanging="282"/>
      </w:pPr>
    </w:p>
    <w:p w:rsidR="00686FDB" w:rsidRDefault="00686FDB" w:rsidP="00B844B0">
      <w:pPr>
        <w:pStyle w:val="ListParagraph"/>
        <w:ind w:left="1418" w:hanging="282"/>
      </w:pPr>
      <w:r>
        <w:t>·</w:t>
      </w:r>
      <w:r>
        <w:rPr>
          <w:rFonts w:ascii="Symbol" w:hAnsi="Symbol"/>
          <w:color w:val="203864"/>
          <w:sz w:val="14"/>
          <w:szCs w:val="14"/>
        </w:rPr>
        <w:t></w:t>
      </w:r>
      <w:r>
        <w:t>‘</w:t>
      </w:r>
      <w:r>
        <w:rPr>
          <w:b/>
          <w:bCs/>
        </w:rPr>
        <w:t>5232674</w:t>
      </w:r>
      <w:r>
        <w:t xml:space="preserve">’ Spinacia oleracea L. </w:t>
      </w:r>
    </w:p>
    <w:p w:rsidR="00686FDB" w:rsidRDefault="00686FDB" w:rsidP="00B844B0">
      <w:pPr>
        <w:pStyle w:val="ListParagraph"/>
        <w:ind w:left="1418"/>
      </w:pPr>
      <w:r>
        <w:t>The proposal concerns a spinach variety which is a parental line. The use of numbers for parental lines is of common practice. The proposal was accepted.</w:t>
      </w:r>
    </w:p>
    <w:p w:rsidR="00686FDB" w:rsidRDefault="00686FDB" w:rsidP="00B844B0">
      <w:pPr>
        <w:pStyle w:val="ListParagraph"/>
        <w:ind w:left="1418" w:hanging="282"/>
      </w:pPr>
    </w:p>
    <w:p w:rsidR="00686FDB" w:rsidRDefault="00686FDB" w:rsidP="00B844B0">
      <w:pPr>
        <w:pStyle w:val="ListParagraph"/>
        <w:ind w:left="1418" w:hanging="282"/>
      </w:pPr>
      <w:r>
        <w:t>·</w:t>
      </w:r>
      <w:r>
        <w:rPr>
          <w:rFonts w:ascii="Symbol" w:hAnsi="Symbol"/>
          <w:color w:val="203864"/>
          <w:sz w:val="14"/>
          <w:szCs w:val="14"/>
          <w:lang w:val="fr-FR"/>
        </w:rPr>
        <w:t></w:t>
      </w:r>
      <w:r>
        <w:t>‘Petra</w:t>
      </w:r>
      <w:r>
        <w:rPr>
          <w:b/>
          <w:bCs/>
        </w:rPr>
        <w:t>dur</w:t>
      </w:r>
      <w:r>
        <w:t xml:space="preserve">’ Triticum durum Desf. </w:t>
      </w:r>
    </w:p>
    <w:p w:rsidR="00686FDB" w:rsidRDefault="00686FDB" w:rsidP="00B844B0">
      <w:pPr>
        <w:pStyle w:val="ListParagraph"/>
        <w:ind w:left="1418"/>
      </w:pPr>
      <w:r>
        <w:t>The suffix ‘dur’ is commonly used by breeders to identify Triticum durum varieties (common practice).</w:t>
      </w:r>
    </w:p>
    <w:p w:rsidR="00686FDB" w:rsidRDefault="00686FDB" w:rsidP="00B844B0">
      <w:pPr>
        <w:pStyle w:val="ListParagraph"/>
        <w:ind w:left="1418"/>
      </w:pPr>
      <w:r>
        <w:t>A variety of the same species ‘Petra’ already exists.</w:t>
      </w:r>
    </w:p>
    <w:p w:rsidR="00686FDB" w:rsidRDefault="00686FDB" w:rsidP="00B844B0">
      <w:pPr>
        <w:pStyle w:val="ListParagraph"/>
        <w:ind w:left="1418"/>
      </w:pPr>
      <w:r>
        <w:t>A company using a denomination identical or similar to an existing one and just adding a generic suffix might take an unfair profit of well-known denominations established in the market. The proposal was refused.</w:t>
      </w:r>
    </w:p>
    <w:p w:rsidR="00686FDB" w:rsidRDefault="00686FDB" w:rsidP="00B844B0">
      <w:pPr>
        <w:pStyle w:val="ListParagraph"/>
        <w:ind w:left="851"/>
      </w:pPr>
    </w:p>
    <w:p w:rsidR="00686FDB" w:rsidRDefault="00686FDB" w:rsidP="00B844B0">
      <w:pPr>
        <w:pStyle w:val="ListParagraph"/>
        <w:spacing w:after="120"/>
        <w:ind w:left="851" w:hanging="567"/>
        <w:rPr>
          <w:color w:val="1F497D"/>
        </w:rPr>
      </w:pPr>
      <w:r>
        <w:t>(c)</w:t>
      </w:r>
      <w:r>
        <w:rPr>
          <w:sz w:val="14"/>
          <w:szCs w:val="14"/>
        </w:rPr>
        <w:t xml:space="preserve"> </w:t>
      </w:r>
      <w:r>
        <w:t>provide examples and criteria for differences in the acceptability of similar denominations according to class (e.g. in the case of a class following the general rule (one genus/one class), accepting a similar denomination for a variety of a different species within the same genus that would not be accepted for the same species) (see information concerning document UPOV/INF/12/6 Draft 3, Section 2.5 below)</w:t>
      </w:r>
    </w:p>
    <w:p w:rsidR="00686FDB" w:rsidRDefault="00686FDB" w:rsidP="00B844B0">
      <w:pPr>
        <w:pStyle w:val="ListParagraph"/>
        <w:spacing w:after="120"/>
        <w:ind w:left="851"/>
        <w:rPr>
          <w:color w:val="1F497D"/>
        </w:rPr>
      </w:pPr>
    </w:p>
    <w:p w:rsidR="00686FDB" w:rsidRDefault="00686FDB" w:rsidP="00B844B0">
      <w:pPr>
        <w:pStyle w:val="ListParagraph"/>
        <w:ind w:left="1496" w:hanging="360"/>
      </w:pPr>
      <w:r>
        <w:rPr>
          <w:rFonts w:ascii="Symbol" w:hAnsi="Symbol"/>
          <w:color w:val="203864"/>
          <w:sz w:val="18"/>
          <w:szCs w:val="18"/>
        </w:rPr>
        <w:t></w:t>
      </w:r>
      <w:r>
        <w:rPr>
          <w:rFonts w:ascii="Symbol" w:hAnsi="Symbol"/>
          <w:color w:val="203864"/>
          <w:sz w:val="14"/>
          <w:szCs w:val="14"/>
        </w:rPr>
        <w:t></w:t>
      </w:r>
      <w:r w:rsidRPr="00B844B0">
        <w:rPr>
          <w:lang w:val="es-ES"/>
        </w:rPr>
        <w:t>'</w:t>
      </w:r>
      <w:r w:rsidRPr="00B844B0">
        <w:rPr>
          <w:b/>
          <w:bCs/>
          <w:lang w:val="es-ES"/>
        </w:rPr>
        <w:t>Flamengo</w:t>
      </w:r>
      <w:r w:rsidRPr="00B844B0">
        <w:rPr>
          <w:lang w:val="es-ES"/>
        </w:rPr>
        <w:t>' Prunus armeniaca L. &lt;&gt; ‘</w:t>
      </w:r>
      <w:r w:rsidRPr="00B844B0">
        <w:rPr>
          <w:b/>
          <w:bCs/>
          <w:lang w:val="es-ES"/>
        </w:rPr>
        <w:t>Flamingo</w:t>
      </w:r>
      <w:r w:rsidRPr="00B844B0">
        <w:rPr>
          <w:lang w:val="es-ES"/>
        </w:rPr>
        <w:t xml:space="preserve">’ Prunus persica (L.) </w:t>
      </w:r>
      <w:r>
        <w:t>Batsch</w:t>
      </w:r>
    </w:p>
    <w:p w:rsidR="00686FDB" w:rsidRDefault="00686FDB" w:rsidP="00B844B0">
      <w:pPr>
        <w:pStyle w:val="ListParagraph"/>
        <w:ind w:left="1496"/>
      </w:pPr>
      <w:r>
        <w:t>The denomination was accepted considering that:</w:t>
      </w:r>
    </w:p>
    <w:p w:rsidR="00686FDB" w:rsidRDefault="00686FDB" w:rsidP="00B844B0">
      <w:pPr>
        <w:pStyle w:val="ListParagraph"/>
        <w:ind w:left="1996"/>
      </w:pPr>
      <w:r>
        <w:t>- There is no risk of confusion not for the end user and certainly not for professionals, as 'Flamengo' is an apricot variety, whereas 'Flamingo' is a peach variety;</w:t>
      </w:r>
    </w:p>
    <w:p w:rsidR="00686FDB" w:rsidRDefault="00686FDB" w:rsidP="00B844B0">
      <w:pPr>
        <w:pStyle w:val="ListParagraph"/>
        <w:ind w:left="1996"/>
      </w:pPr>
      <w:r>
        <w:t>- The applicant does not export his variety in the three countries where 'Flamingo' is registered exclusively;</w:t>
      </w:r>
    </w:p>
    <w:p w:rsidR="00686FDB" w:rsidRDefault="00686FDB" w:rsidP="00B844B0">
      <w:pPr>
        <w:pStyle w:val="ListParagraph"/>
        <w:ind w:left="1996"/>
      </w:pPr>
      <w:r>
        <w:t>- Subsequently the variety has been commercialized with this denomination amongst arboriculturists and nurserymen for more than three years;</w:t>
      </w:r>
    </w:p>
    <w:p w:rsidR="00686FDB" w:rsidRDefault="00686FDB" w:rsidP="00B844B0">
      <w:pPr>
        <w:pStyle w:val="ListParagraph"/>
        <w:ind w:left="1996"/>
      </w:pPr>
      <w:r>
        <w:t>- A change in name would lead to confusion for at least some of them.</w:t>
      </w:r>
    </w:p>
    <w:p w:rsidR="00686FDB" w:rsidRDefault="00686FDB" w:rsidP="00B844B0">
      <w:pPr>
        <w:pStyle w:val="ListParagraph"/>
        <w:ind w:left="1996"/>
      </w:pPr>
    </w:p>
    <w:p w:rsidR="00686FDB" w:rsidRPr="00B844B0" w:rsidRDefault="00686FDB" w:rsidP="00B844B0">
      <w:pPr>
        <w:pStyle w:val="ListParagraph"/>
        <w:ind w:left="1496" w:hanging="360"/>
        <w:rPr>
          <w:lang w:val="es-ES"/>
        </w:rPr>
      </w:pPr>
      <w:r w:rsidRPr="00B844B0">
        <w:rPr>
          <w:lang w:val="es-ES"/>
        </w:rPr>
        <w:t>·</w:t>
      </w:r>
      <w:r>
        <w:rPr>
          <w:rFonts w:ascii="Symbol" w:hAnsi="Symbol"/>
          <w:color w:val="203864"/>
          <w:sz w:val="14"/>
          <w:szCs w:val="14"/>
        </w:rPr>
        <w:t></w:t>
      </w:r>
      <w:r w:rsidRPr="00B844B0">
        <w:rPr>
          <w:b/>
          <w:bCs/>
          <w:lang w:val="es-ES"/>
        </w:rPr>
        <w:t>'Amibla</w:t>
      </w:r>
      <w:r w:rsidRPr="00B844B0">
        <w:rPr>
          <w:lang w:val="es-ES"/>
        </w:rPr>
        <w:t>' Festuca glauca Vill. &lt;&gt; ‘</w:t>
      </w:r>
      <w:r w:rsidRPr="00B844B0">
        <w:rPr>
          <w:b/>
          <w:bCs/>
          <w:lang w:val="es-ES"/>
        </w:rPr>
        <w:t>Amila</w:t>
      </w:r>
      <w:r w:rsidRPr="00B844B0">
        <w:rPr>
          <w:lang w:val="es-ES"/>
        </w:rPr>
        <w:t>’ Dactylis glomerata L.</w:t>
      </w:r>
    </w:p>
    <w:p w:rsidR="00686FDB" w:rsidRDefault="00686FDB" w:rsidP="00B844B0">
      <w:pPr>
        <w:pStyle w:val="ListParagraph"/>
        <w:ind w:left="1496"/>
      </w:pPr>
      <w:r>
        <w:t>The denomination was accepted considering that:</w:t>
      </w:r>
    </w:p>
    <w:p w:rsidR="00686FDB" w:rsidRDefault="00686FDB" w:rsidP="00B844B0">
      <w:pPr>
        <w:pStyle w:val="ListParagraph"/>
        <w:ind w:left="1496"/>
      </w:pPr>
      <w:r>
        <w:t>Despite a certain level of visual and phonetic similarity, the two varieties are of different species belonging to different genera which limits the risk of confusion between the two varieties.</w:t>
      </w:r>
    </w:p>
    <w:p w:rsidR="00686FDB" w:rsidRDefault="00686FDB" w:rsidP="00B844B0">
      <w:pPr>
        <w:pStyle w:val="ListParagraph"/>
        <w:ind w:left="1996"/>
      </w:pPr>
    </w:p>
    <w:p w:rsidR="00686FDB" w:rsidRDefault="00686FDB" w:rsidP="00B844B0">
      <w:pPr>
        <w:pStyle w:val="ListParagraph"/>
        <w:ind w:left="1496" w:hanging="360"/>
      </w:pPr>
      <w:r>
        <w:t>·</w:t>
      </w:r>
      <w:r>
        <w:rPr>
          <w:rFonts w:ascii="Symbol" w:hAnsi="Symbol"/>
          <w:color w:val="203864"/>
          <w:sz w:val="14"/>
          <w:szCs w:val="14"/>
        </w:rPr>
        <w:t></w:t>
      </w:r>
      <w:r w:rsidRPr="00B844B0">
        <w:rPr>
          <w:b/>
          <w:bCs/>
        </w:rPr>
        <w:t>'Monlori'</w:t>
      </w:r>
      <w:r w:rsidRPr="00B844B0">
        <w:t xml:space="preserve"> Prunus persica (L.) </w:t>
      </w:r>
      <w:r>
        <w:t>Batsch &lt;&gt; '</w:t>
      </w:r>
      <w:r>
        <w:rPr>
          <w:b/>
          <w:bCs/>
        </w:rPr>
        <w:t>Lory</w:t>
      </w:r>
      <w:r>
        <w:t xml:space="preserve">' Prunus avium L. </w:t>
      </w:r>
    </w:p>
    <w:p w:rsidR="00686FDB" w:rsidRDefault="00686FDB" w:rsidP="00B844B0">
      <w:pPr>
        <w:pStyle w:val="ListParagraph"/>
        <w:ind w:left="1496"/>
      </w:pPr>
      <w:r>
        <w:t>The denomination was accepted considering that:</w:t>
      </w:r>
    </w:p>
    <w:p w:rsidR="00686FDB" w:rsidRDefault="00686FDB" w:rsidP="00B844B0">
      <w:pPr>
        <w:pStyle w:val="ListParagraph"/>
        <w:ind w:left="2127" w:hanging="142"/>
      </w:pPr>
      <w:r>
        <w:t>-</w:t>
      </w:r>
      <w:r>
        <w:rPr>
          <w:sz w:val="14"/>
          <w:szCs w:val="14"/>
        </w:rPr>
        <w:t xml:space="preserve"> </w:t>
      </w:r>
      <w:r>
        <w:t>'Mon' is a series identifier of the breeder René Monteux-Caillet (Moniron, Monlir, Monroi, Monabri, Monnoir, Mondoré, Mongros..)</w:t>
      </w:r>
    </w:p>
    <w:p w:rsidR="00686FDB" w:rsidRDefault="00686FDB" w:rsidP="00B844B0">
      <w:pPr>
        <w:pStyle w:val="ListParagraph"/>
        <w:ind w:left="2127" w:hanging="142"/>
      </w:pPr>
      <w:r>
        <w:t>-</w:t>
      </w:r>
      <w:r>
        <w:rPr>
          <w:sz w:val="14"/>
          <w:szCs w:val="14"/>
        </w:rPr>
        <w:t xml:space="preserve"> </w:t>
      </w:r>
      <w:r>
        <w:t xml:space="preserve">The series identifiers are removed in the assessment of the similarity. </w:t>
      </w:r>
    </w:p>
    <w:p w:rsidR="00686FDB" w:rsidRDefault="00686FDB" w:rsidP="00B844B0">
      <w:pPr>
        <w:pStyle w:val="ListParagraph"/>
        <w:ind w:left="2127" w:hanging="142"/>
      </w:pPr>
      <w:r>
        <w:t>-</w:t>
      </w:r>
      <w:r>
        <w:rPr>
          <w:sz w:val="14"/>
          <w:szCs w:val="14"/>
        </w:rPr>
        <w:t xml:space="preserve"> </w:t>
      </w:r>
      <w:r>
        <w:t>‘Lori’ and ‘Lory’ are short words: this makes the different letter visually more prominent, despite the phonetic similarity in the majority of the EU languages.</w:t>
      </w:r>
    </w:p>
    <w:p w:rsidR="00686FDB" w:rsidRDefault="00686FDB" w:rsidP="00B844B0">
      <w:pPr>
        <w:pStyle w:val="ListParagraph"/>
        <w:ind w:left="2127" w:hanging="142"/>
      </w:pPr>
      <w:r>
        <w:t>-</w:t>
      </w:r>
      <w:r>
        <w:rPr>
          <w:sz w:val="14"/>
          <w:szCs w:val="14"/>
        </w:rPr>
        <w:t xml:space="preserve"> </w:t>
      </w:r>
      <w:r>
        <w:t>The fact that the varieties are of two different species limits the risk of confusion between the two varieties.</w:t>
      </w:r>
    </w:p>
    <w:p w:rsidR="00686FDB" w:rsidRDefault="00686FDB" w:rsidP="00B844B0"/>
    <w:p w:rsidR="00686FDB" w:rsidRPr="00B844B0" w:rsidRDefault="00686FDB" w:rsidP="00686FDB">
      <w:pPr>
        <w:pStyle w:val="ListParagraph"/>
        <w:keepNext/>
        <w:ind w:left="1496" w:hanging="360"/>
        <w:rPr>
          <w:lang w:val="es-ES"/>
        </w:rPr>
      </w:pPr>
      <w:r w:rsidRPr="00B844B0">
        <w:rPr>
          <w:lang w:val="es-ES"/>
        </w:rPr>
        <w:t>·</w:t>
      </w:r>
      <w:r>
        <w:rPr>
          <w:rFonts w:ascii="Symbol" w:hAnsi="Symbol"/>
          <w:color w:val="203864"/>
          <w:sz w:val="14"/>
          <w:szCs w:val="14"/>
        </w:rPr>
        <w:t></w:t>
      </w:r>
      <w:r w:rsidRPr="00B844B0">
        <w:rPr>
          <w:b/>
          <w:bCs/>
          <w:lang w:val="es-ES"/>
        </w:rPr>
        <w:t>'Camilie'</w:t>
      </w:r>
      <w:r w:rsidRPr="00B844B0">
        <w:rPr>
          <w:lang w:val="es-ES"/>
        </w:rPr>
        <w:t xml:space="preserve"> Cichorium endivia L. &lt;&gt;‘</w:t>
      </w:r>
      <w:r w:rsidRPr="00B844B0">
        <w:rPr>
          <w:b/>
          <w:bCs/>
          <w:lang w:val="es-ES"/>
        </w:rPr>
        <w:t>Camila</w:t>
      </w:r>
      <w:r w:rsidRPr="00B844B0">
        <w:rPr>
          <w:lang w:val="es-ES"/>
        </w:rPr>
        <w:t>’ Lactuca sativa L.</w:t>
      </w:r>
    </w:p>
    <w:p w:rsidR="00686FDB" w:rsidRDefault="00686FDB" w:rsidP="00686FDB">
      <w:pPr>
        <w:pStyle w:val="ListParagraph"/>
        <w:keepNext/>
        <w:ind w:left="1496"/>
      </w:pPr>
      <w:r>
        <w:t>The denomination was accepted considering that:</w:t>
      </w:r>
    </w:p>
    <w:p w:rsidR="00686FDB" w:rsidRDefault="00686FDB" w:rsidP="00B844B0">
      <w:pPr>
        <w:pStyle w:val="ListParagraph"/>
        <w:ind w:left="1496"/>
      </w:pPr>
      <w:r>
        <w:t>Although the denomination ‘Camilie’</w:t>
      </w:r>
      <w:r>
        <w:rPr>
          <w:b/>
          <w:bCs/>
        </w:rPr>
        <w:t xml:space="preserve"> </w:t>
      </w:r>
      <w:r>
        <w:t xml:space="preserve">is visually sufficiently distinct from 'Camila', it is considered as phonetically and conceptually close. </w:t>
      </w:r>
    </w:p>
    <w:p w:rsidR="00686FDB" w:rsidRDefault="00686FDB" w:rsidP="00B844B0">
      <w:pPr>
        <w:pStyle w:val="ListParagraph"/>
        <w:ind w:left="1496"/>
      </w:pPr>
      <w:r>
        <w:t>However, as the two varieties belongs to different species, the risk of confusion between the denominations is low.</w:t>
      </w:r>
    </w:p>
    <w:p w:rsidR="00686FDB" w:rsidRDefault="00686FDB" w:rsidP="00B844B0">
      <w:pPr>
        <w:spacing w:after="120"/>
      </w:pPr>
    </w:p>
    <w:p w:rsidR="00686FDB" w:rsidRDefault="00686FDB" w:rsidP="00B844B0">
      <w:pPr>
        <w:pStyle w:val="ListParagraph"/>
        <w:spacing w:after="120"/>
        <w:ind w:left="851" w:hanging="567"/>
      </w:pPr>
      <w:r>
        <w:t>(d)</w:t>
      </w:r>
      <w:r>
        <w:rPr>
          <w:sz w:val="14"/>
          <w:szCs w:val="14"/>
        </w:rPr>
        <w:t xml:space="preserve"> </w:t>
      </w:r>
      <w:r>
        <w:t>provide the number of denominations, in the past 12 months, that had previously been accepted by another member of the Union that did not meet the criteria for acceptance in your territory and, of those, the number that:</w:t>
      </w:r>
    </w:p>
    <w:p w:rsidR="00686FDB" w:rsidRDefault="00686FDB" w:rsidP="00B844B0">
      <w:pPr>
        <w:pStyle w:val="ListParagraph"/>
        <w:spacing w:after="120"/>
        <w:ind w:left="1276" w:hanging="425"/>
        <w:rPr>
          <w:color w:val="1F497D"/>
        </w:rPr>
      </w:pPr>
      <w:r>
        <w:rPr>
          <w:color w:val="1F497D"/>
        </w:rPr>
        <w:t>(i)</w:t>
      </w:r>
      <w:r>
        <w:rPr>
          <w:color w:val="1F497D"/>
          <w:sz w:val="14"/>
          <w:szCs w:val="14"/>
        </w:rPr>
        <w:t xml:space="preserve"> </w:t>
      </w:r>
      <w:r>
        <w:t>were accepted in your territory despite the fact that they did not meet the criteria for acceptance in your territory</w:t>
      </w:r>
    </w:p>
    <w:p w:rsidR="00686FDB" w:rsidRDefault="00686FDB" w:rsidP="00B844B0">
      <w:pPr>
        <w:pStyle w:val="ListParagraph"/>
        <w:spacing w:after="120"/>
        <w:ind w:left="1276"/>
        <w:rPr>
          <w:color w:val="1F497D"/>
        </w:rPr>
      </w:pPr>
    </w:p>
    <w:p w:rsidR="00686FDB" w:rsidRDefault="00686FDB" w:rsidP="00B844B0">
      <w:pPr>
        <w:pStyle w:val="ListParagraph"/>
        <w:spacing w:after="120"/>
        <w:ind w:left="1276"/>
      </w:pPr>
      <w:r>
        <w:t>Only one case in 2016: ‘Conpitto’ for a Pittosporum tenuifolium Gaertn. (2014/1900) accepted by the Office although ‘Pitto’ is part of the common species name.</w:t>
      </w:r>
    </w:p>
    <w:p w:rsidR="00686FDB" w:rsidRDefault="00686FDB" w:rsidP="00B844B0">
      <w:pPr>
        <w:pStyle w:val="ListParagraph"/>
        <w:spacing w:after="120"/>
        <w:ind w:left="1276"/>
      </w:pPr>
    </w:p>
    <w:p w:rsidR="00686FDB" w:rsidRDefault="00686FDB" w:rsidP="00B844B0">
      <w:pPr>
        <w:pStyle w:val="ListParagraph"/>
        <w:spacing w:after="120"/>
        <w:ind w:left="1276" w:hanging="425"/>
      </w:pPr>
      <w:r>
        <w:t>(ii)</w:t>
      </w:r>
      <w:r>
        <w:rPr>
          <w:sz w:val="14"/>
          <w:szCs w:val="14"/>
        </w:rPr>
        <w:t xml:space="preserve"> </w:t>
      </w:r>
      <w:r>
        <w:t>were rejected in your territory because they did not meet the criteria for acceptance in your territory</w:t>
      </w:r>
    </w:p>
    <w:p w:rsidR="00686FDB" w:rsidRDefault="00686FDB" w:rsidP="00B844B0">
      <w:pPr>
        <w:pStyle w:val="ListParagraph"/>
        <w:ind w:left="284"/>
      </w:pPr>
      <w:r>
        <w:t>(see information concerning document UPOV/INF/12/6 Draft 3, paragraph 5 below)</w:t>
      </w:r>
    </w:p>
    <w:p w:rsidR="00686FDB" w:rsidRDefault="00686FDB" w:rsidP="00B844B0">
      <w:pPr>
        <w:pStyle w:val="ListParagraph"/>
        <w:ind w:left="0"/>
      </w:pPr>
    </w:p>
    <w:p w:rsidR="00686FDB" w:rsidRDefault="00686FDB" w:rsidP="00B844B0">
      <w:pPr>
        <w:ind w:left="1276"/>
      </w:pPr>
      <w:r>
        <w:t>The Office refused 17 denominations in 2016 and 6 denominations in 2017 (period 01/01 to 24/8) that were accepted in other procedures (not necessarily PBR) leading to the creation of synonyms.</w:t>
      </w:r>
    </w:p>
    <w:p w:rsidR="00686FDB" w:rsidRDefault="00686FDB" w:rsidP="00B844B0">
      <w:pPr>
        <w:ind w:left="1276"/>
      </w:pPr>
      <w:r>
        <w:t>The Office also refused 19 denomination proposals in 2016 and 5 in 2017 (period 01/01 to 24/8) because the varieties were registered in other countries under a different denomination and asking for that denomination, avoided the creation of 19 synonyms.</w:t>
      </w:r>
    </w:p>
    <w:p w:rsidR="00686FDB" w:rsidRDefault="00686FDB" w:rsidP="00B844B0"/>
    <w:p w:rsidR="00686FDB" w:rsidRDefault="00686FDB" w:rsidP="00B844B0">
      <w:r>
        <w:t>[…]</w:t>
      </w:r>
    </w:p>
    <w:p w:rsidR="00686FDB" w:rsidRDefault="00686FDB" w:rsidP="00B844B0"/>
    <w:p w:rsidR="00686FDB" w:rsidRDefault="00686FDB" w:rsidP="00B844B0">
      <w:pPr>
        <w:jc w:val="right"/>
      </w:pPr>
      <w:r>
        <w:t>[Annex IV follows]</w:t>
      </w:r>
    </w:p>
    <w:p w:rsidR="00686FDB" w:rsidRDefault="00686FDB" w:rsidP="00B844B0">
      <w:pPr>
        <w:jc w:val="right"/>
        <w:sectPr w:rsidR="00686FDB" w:rsidSect="00B844B0">
          <w:headerReference w:type="default" r:id="rId51"/>
          <w:headerReference w:type="first" r:id="rId52"/>
          <w:pgSz w:w="11907" w:h="16840" w:code="9"/>
          <w:pgMar w:top="510" w:right="1134" w:bottom="1134" w:left="1134" w:header="510" w:footer="624" w:gutter="0"/>
          <w:pgNumType w:start="1"/>
          <w:cols w:space="720"/>
          <w:titlePg/>
        </w:sectPr>
      </w:pPr>
    </w:p>
    <w:p w:rsidR="00686FDB" w:rsidRPr="00B44DAA" w:rsidRDefault="00686FDB" w:rsidP="00B844B0">
      <w:pPr>
        <w:jc w:val="center"/>
      </w:pPr>
      <w:r w:rsidRPr="00B44DAA">
        <w:t>UPOV/WG-DEN/4/2</w:t>
      </w:r>
    </w:p>
    <w:p w:rsidR="00686FDB" w:rsidRPr="00B44DAA" w:rsidRDefault="00686FDB" w:rsidP="00B844B0">
      <w:pPr>
        <w:jc w:val="center"/>
      </w:pPr>
    </w:p>
    <w:p w:rsidR="00686FDB" w:rsidRPr="00B44DAA" w:rsidRDefault="00686FDB" w:rsidP="00B844B0">
      <w:pPr>
        <w:jc w:val="center"/>
      </w:pPr>
      <w:r w:rsidRPr="00B44DAA">
        <w:t xml:space="preserve">ANNEX </w:t>
      </w:r>
      <w:r>
        <w:t>IV</w:t>
      </w:r>
    </w:p>
    <w:p w:rsidR="00686FDB" w:rsidRPr="00B44DAA" w:rsidRDefault="00686FDB" w:rsidP="00B844B0">
      <w:pPr>
        <w:jc w:val="center"/>
      </w:pPr>
    </w:p>
    <w:p w:rsidR="00686FDB" w:rsidRPr="00B44DAA" w:rsidRDefault="00686FDB" w:rsidP="00B844B0">
      <w:pPr>
        <w:jc w:val="center"/>
      </w:pPr>
    </w:p>
    <w:p w:rsidR="00686FDB" w:rsidRDefault="00686FDB" w:rsidP="00B844B0">
      <w:pPr>
        <w:jc w:val="center"/>
        <w:rPr>
          <w:lang w:eastAsia="ja-JP"/>
        </w:rPr>
      </w:pPr>
      <w:r w:rsidRPr="00B44DAA">
        <w:rPr>
          <w:lang w:eastAsia="ja-JP"/>
        </w:rPr>
        <w:t xml:space="preserve">RESPONSE FROM </w:t>
      </w:r>
      <w:r>
        <w:rPr>
          <w:lang w:eastAsia="ja-JP"/>
        </w:rPr>
        <w:t xml:space="preserve">FRANCE </w:t>
      </w:r>
      <w:r w:rsidRPr="00B44DAA">
        <w:rPr>
          <w:lang w:eastAsia="ja-JP"/>
        </w:rPr>
        <w:t>TO UPOV CIRCULAR E</w:t>
      </w:r>
      <w:r w:rsidRPr="00B44DAA">
        <w:rPr>
          <w:lang w:eastAsia="ja-JP"/>
        </w:rPr>
        <w:noBreakHyphen/>
        <w:t>17/135</w:t>
      </w:r>
    </w:p>
    <w:p w:rsidR="00686FDB" w:rsidRDefault="00686FDB" w:rsidP="00B844B0"/>
    <w:p w:rsidR="00686FDB" w:rsidRPr="006A77BD" w:rsidRDefault="00686FDB" w:rsidP="00686FDB">
      <w:pPr>
        <w:pStyle w:val="ListParagraph"/>
        <w:numPr>
          <w:ilvl w:val="0"/>
          <w:numId w:val="10"/>
        </w:numPr>
        <w:shd w:val="clear" w:color="auto" w:fill="E5DFEC" w:themeFill="accent4" w:themeFillTint="33"/>
        <w:spacing w:after="120"/>
      </w:pPr>
      <w:r w:rsidRPr="00DA1873">
        <w:t xml:space="preserve">provide examples of </w:t>
      </w:r>
      <w:r w:rsidRPr="00DA1873">
        <w:rPr>
          <w:b/>
        </w:rPr>
        <w:t>allowing the re-use of denominations</w:t>
      </w:r>
      <w:r w:rsidRPr="00DA1873">
        <w:t xml:space="preserve"> </w:t>
      </w:r>
    </w:p>
    <w:p w:rsidR="00686FDB" w:rsidRPr="003D05ED" w:rsidRDefault="00686FDB" w:rsidP="00B844B0">
      <w:pPr>
        <w:pStyle w:val="EndnoteText"/>
        <w:rPr>
          <w:color w:val="76923C" w:themeColor="accent3" w:themeShade="BF"/>
          <w:sz w:val="18"/>
          <w:szCs w:val="18"/>
          <w:lang w:val="fr-FR" w:eastAsia="ja-JP"/>
        </w:rPr>
      </w:pPr>
      <w:r w:rsidRPr="003D05ED">
        <w:rPr>
          <w:color w:val="76923C" w:themeColor="accent3" w:themeShade="BF"/>
          <w:sz w:val="24"/>
          <w:szCs w:val="24"/>
          <w:lang w:val="fr-FR" w:eastAsia="ja-JP"/>
        </w:rPr>
        <w:sym w:font="Wingdings" w:char="F04A"/>
      </w:r>
      <w:r w:rsidRPr="003D05ED">
        <w:rPr>
          <w:color w:val="76923C" w:themeColor="accent3" w:themeShade="BF"/>
          <w:sz w:val="24"/>
          <w:szCs w:val="24"/>
          <w:lang w:val="fr-FR" w:eastAsia="ja-JP"/>
        </w:rPr>
        <w:t xml:space="preserve"> : </w:t>
      </w:r>
      <w:r w:rsidRPr="003D05ED">
        <w:rPr>
          <w:color w:val="76923C" w:themeColor="accent3" w:themeShade="BF"/>
          <w:sz w:val="18"/>
          <w:szCs w:val="18"/>
          <w:lang w:val="fr-FR" w:eastAsia="ja-JP"/>
        </w:rPr>
        <w:t>dénomination réutilisable à l’identique</w:t>
      </w:r>
    </w:p>
    <w:p w:rsidR="00686FDB" w:rsidRPr="001D2408" w:rsidRDefault="00686FDB" w:rsidP="00B844B0">
      <w:pPr>
        <w:pStyle w:val="EndnoteText"/>
        <w:rPr>
          <w:sz w:val="18"/>
          <w:szCs w:val="18"/>
          <w:lang w:val="fr-FR" w:eastAsia="ja-JP"/>
        </w:rPr>
      </w:pPr>
      <w:r w:rsidRPr="001D2408">
        <w:rPr>
          <w:color w:val="0070C0"/>
          <w:sz w:val="24"/>
          <w:szCs w:val="24"/>
          <w:lang w:val="fr-FR" w:eastAsia="ja-JP"/>
        </w:rPr>
        <w:sym w:font="Wingdings" w:char="F04B"/>
      </w:r>
      <w:r>
        <w:rPr>
          <w:color w:val="0070C0"/>
          <w:sz w:val="24"/>
          <w:szCs w:val="24"/>
          <w:lang w:val="fr-FR" w:eastAsia="ja-JP"/>
        </w:rPr>
        <w:t xml:space="preserve"> : </w:t>
      </w:r>
      <w:r w:rsidRPr="001D2408">
        <w:rPr>
          <w:color w:val="0070C0"/>
          <w:sz w:val="18"/>
          <w:szCs w:val="18"/>
          <w:lang w:val="fr-FR" w:eastAsia="ja-JP"/>
        </w:rPr>
        <w:t>dénomination réutilisable à l’identique sous-conditions</w:t>
      </w:r>
    </w:p>
    <w:p w:rsidR="00686FDB" w:rsidRPr="001D2408" w:rsidRDefault="00686FDB" w:rsidP="00B844B0">
      <w:pPr>
        <w:rPr>
          <w:sz w:val="24"/>
          <w:szCs w:val="24"/>
          <w:lang w:val="fr-FR"/>
        </w:rPr>
      </w:pPr>
      <w:r w:rsidRPr="001D2408">
        <w:rPr>
          <w:color w:val="FF0000"/>
          <w:sz w:val="24"/>
          <w:szCs w:val="24"/>
          <w:lang w:val="fr-FR" w:eastAsia="ja-JP"/>
        </w:rPr>
        <w:sym w:font="Wingdings" w:char="F04C"/>
      </w:r>
      <w:r>
        <w:rPr>
          <w:color w:val="FF0000"/>
          <w:sz w:val="24"/>
          <w:szCs w:val="24"/>
          <w:lang w:val="fr-FR" w:eastAsia="ja-JP"/>
        </w:rPr>
        <w:t xml:space="preserve"> : </w:t>
      </w:r>
      <w:r w:rsidRPr="001D2408">
        <w:rPr>
          <w:color w:val="FF0000"/>
          <w:sz w:val="18"/>
          <w:szCs w:val="18"/>
          <w:lang w:val="fr-FR" w:eastAsia="ja-JP"/>
        </w:rPr>
        <w:t>dénomination non-réutilisable à l’identique</w:t>
      </w:r>
    </w:p>
    <w:p w:rsidR="00686FDB" w:rsidRPr="001D2408" w:rsidRDefault="00686FDB" w:rsidP="00B844B0">
      <w:pPr>
        <w:pStyle w:val="EndnoteText"/>
        <w:rPr>
          <w:sz w:val="18"/>
          <w:lang w:val="fr-FR" w:eastAsia="ja-JP"/>
        </w:rPr>
      </w:pPr>
    </w:p>
    <w:tbl>
      <w:tblPr>
        <w:tblStyle w:val="TableGrid"/>
        <w:tblW w:w="10885" w:type="dxa"/>
        <w:jc w:val="center"/>
        <w:tblInd w:w="-206" w:type="dxa"/>
        <w:tblLook w:val="04A0" w:firstRow="1" w:lastRow="0" w:firstColumn="1" w:lastColumn="0" w:noHBand="0" w:noVBand="1"/>
      </w:tblPr>
      <w:tblGrid>
        <w:gridCol w:w="1190"/>
        <w:gridCol w:w="1504"/>
        <w:gridCol w:w="3969"/>
        <w:gridCol w:w="4222"/>
      </w:tblGrid>
      <w:tr w:rsidR="00686FDB" w:rsidRPr="00B844B0" w:rsidTr="00B844B0">
        <w:trPr>
          <w:jc w:val="center"/>
        </w:trPr>
        <w:tc>
          <w:tcPr>
            <w:tcW w:w="1190" w:type="dxa"/>
          </w:tcPr>
          <w:p w:rsidR="00686FDB" w:rsidRPr="003D05ED" w:rsidRDefault="00686FDB" w:rsidP="00B844B0">
            <w:pPr>
              <w:pStyle w:val="EndnoteText"/>
              <w:spacing w:before="120" w:after="120"/>
              <w:ind w:left="0" w:firstLine="0"/>
              <w:jc w:val="center"/>
              <w:rPr>
                <w:b/>
                <w:sz w:val="18"/>
                <w:szCs w:val="18"/>
                <w:lang w:val="fr-FR" w:eastAsia="ja-JP"/>
              </w:rPr>
            </w:pPr>
            <w:r w:rsidRPr="003D05ED">
              <w:rPr>
                <w:b/>
                <w:sz w:val="18"/>
                <w:szCs w:val="18"/>
                <w:lang w:val="fr-FR" w:eastAsia="ja-JP"/>
              </w:rPr>
              <w:t>Cas de figures</w:t>
            </w:r>
          </w:p>
        </w:tc>
        <w:tc>
          <w:tcPr>
            <w:tcW w:w="1504" w:type="dxa"/>
          </w:tcPr>
          <w:p w:rsidR="00686FDB" w:rsidRPr="003D05ED" w:rsidRDefault="00686FDB" w:rsidP="00B844B0">
            <w:pPr>
              <w:pStyle w:val="EndnoteText"/>
              <w:spacing w:before="120" w:after="120"/>
              <w:ind w:left="0" w:firstLine="0"/>
              <w:jc w:val="center"/>
              <w:rPr>
                <w:b/>
                <w:i/>
                <w:sz w:val="18"/>
                <w:szCs w:val="18"/>
                <w:lang w:val="fr-FR" w:eastAsia="ja-JP"/>
              </w:rPr>
            </w:pPr>
            <w:r w:rsidRPr="003D05ED">
              <w:rPr>
                <w:b/>
                <w:i/>
                <w:sz w:val="18"/>
                <w:szCs w:val="18"/>
                <w:lang w:val="fr-FR" w:eastAsia="ja-JP"/>
              </w:rPr>
              <w:t>Signification</w:t>
            </w:r>
          </w:p>
        </w:tc>
        <w:tc>
          <w:tcPr>
            <w:tcW w:w="3969" w:type="dxa"/>
          </w:tcPr>
          <w:p w:rsidR="00686FDB" w:rsidRPr="003D05ED" w:rsidRDefault="00686FDB" w:rsidP="00B844B0">
            <w:pPr>
              <w:pStyle w:val="EndnoteText"/>
              <w:spacing w:before="120" w:after="120"/>
              <w:ind w:left="0" w:firstLine="0"/>
              <w:jc w:val="center"/>
              <w:rPr>
                <w:b/>
                <w:sz w:val="18"/>
                <w:szCs w:val="18"/>
                <w:lang w:val="fr-FR" w:eastAsia="ja-JP"/>
              </w:rPr>
            </w:pPr>
            <w:r w:rsidRPr="003D05ED">
              <w:rPr>
                <w:b/>
                <w:sz w:val="18"/>
                <w:szCs w:val="18"/>
                <w:lang w:val="fr-FR" w:eastAsia="ja-JP"/>
              </w:rPr>
              <w:t>Pratiques actuelles du GEVES et de l’INOV</w:t>
            </w:r>
          </w:p>
        </w:tc>
        <w:tc>
          <w:tcPr>
            <w:tcW w:w="4222" w:type="dxa"/>
          </w:tcPr>
          <w:p w:rsidR="00686FDB" w:rsidRPr="003D05ED" w:rsidRDefault="00686FDB" w:rsidP="00B844B0">
            <w:pPr>
              <w:pStyle w:val="EndnoteText"/>
              <w:spacing w:before="120" w:after="120"/>
              <w:ind w:left="0" w:firstLine="0"/>
              <w:jc w:val="center"/>
              <w:rPr>
                <w:b/>
                <w:sz w:val="18"/>
                <w:szCs w:val="18"/>
                <w:lang w:val="fr-FR" w:eastAsia="ja-JP"/>
              </w:rPr>
            </w:pPr>
            <w:r w:rsidRPr="003D05ED">
              <w:rPr>
                <w:b/>
                <w:color w:val="365F91" w:themeColor="accent1" w:themeShade="BF"/>
                <w:sz w:val="18"/>
                <w:szCs w:val="18"/>
                <w:lang w:val="fr-FR" w:eastAsia="ja-JP"/>
              </w:rPr>
              <w:t>Pratiques futures envisagées par le GEVES et l’INOV</w:t>
            </w:r>
          </w:p>
        </w:tc>
      </w:tr>
      <w:tr w:rsidR="00686FDB" w:rsidRPr="00B844B0" w:rsidTr="00B844B0">
        <w:trPr>
          <w:jc w:val="center"/>
        </w:trPr>
        <w:tc>
          <w:tcPr>
            <w:tcW w:w="1190" w:type="dxa"/>
          </w:tcPr>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 xml:space="preserve">La variété </w:t>
            </w:r>
            <w:r w:rsidRPr="003D05ED">
              <w:rPr>
                <w:b/>
                <w:sz w:val="18"/>
                <w:szCs w:val="18"/>
                <w:lang w:val="fr-FR" w:eastAsia="ja-JP"/>
              </w:rPr>
              <w:t>n</w:t>
            </w:r>
            <w:r w:rsidRPr="003D05ED">
              <w:rPr>
                <w:sz w:val="18"/>
                <w:szCs w:val="18"/>
                <w:lang w:val="fr-FR" w:eastAsia="ja-JP"/>
              </w:rPr>
              <w:t xml:space="preserve">’est </w:t>
            </w:r>
            <w:r w:rsidRPr="003D05ED">
              <w:rPr>
                <w:b/>
                <w:sz w:val="18"/>
                <w:szCs w:val="18"/>
                <w:lang w:val="fr-FR" w:eastAsia="ja-JP"/>
              </w:rPr>
              <w:t>plus</w:t>
            </w:r>
            <w:r w:rsidRPr="003D05ED">
              <w:rPr>
                <w:sz w:val="18"/>
                <w:szCs w:val="18"/>
                <w:lang w:val="fr-FR" w:eastAsia="ja-JP"/>
              </w:rPr>
              <w:t xml:space="preserve"> protégée</w:t>
            </w:r>
          </w:p>
          <w:p w:rsidR="00686FDB" w:rsidRPr="003D05ED" w:rsidRDefault="00686FDB" w:rsidP="00B844B0">
            <w:pPr>
              <w:pStyle w:val="EndnoteText"/>
              <w:spacing w:before="120" w:after="120"/>
              <w:ind w:left="0" w:firstLine="0"/>
              <w:jc w:val="left"/>
              <w:rPr>
                <w:sz w:val="18"/>
                <w:szCs w:val="18"/>
                <w:lang w:val="fr-FR" w:eastAsia="ja-JP"/>
              </w:rPr>
            </w:pPr>
          </w:p>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(protection)</w:t>
            </w:r>
          </w:p>
        </w:tc>
        <w:tc>
          <w:tcPr>
            <w:tcW w:w="1504" w:type="dxa"/>
          </w:tcPr>
          <w:p w:rsidR="00686FDB" w:rsidRPr="003D05ED" w:rsidRDefault="00686FDB" w:rsidP="00B844B0">
            <w:pPr>
              <w:pStyle w:val="EndnoteText"/>
              <w:spacing w:before="120" w:after="120"/>
              <w:ind w:left="0" w:firstLine="0"/>
              <w:jc w:val="left"/>
              <w:rPr>
                <w:i/>
                <w:sz w:val="18"/>
                <w:szCs w:val="18"/>
                <w:lang w:val="fr-FR" w:eastAsia="ja-JP"/>
              </w:rPr>
            </w:pPr>
            <w:r w:rsidRPr="003D05ED">
              <w:rPr>
                <w:i/>
                <w:sz w:val="18"/>
                <w:szCs w:val="18"/>
                <w:lang w:val="fr-FR" w:eastAsia="ja-JP"/>
              </w:rPr>
              <w:t>La variété a été protégée ; elle ne l’est plus.</w:t>
            </w:r>
          </w:p>
          <w:p w:rsidR="00686FDB" w:rsidRPr="003D05ED" w:rsidRDefault="00686FDB" w:rsidP="00B844B0">
            <w:pPr>
              <w:pStyle w:val="EndnoteText"/>
              <w:spacing w:before="120" w:after="120"/>
              <w:ind w:left="0" w:firstLine="0"/>
              <w:jc w:val="left"/>
              <w:rPr>
                <w:i/>
                <w:sz w:val="18"/>
                <w:szCs w:val="18"/>
                <w:lang w:val="fr-FR" w:eastAsia="ja-JP"/>
              </w:rPr>
            </w:pPr>
            <w:r w:rsidRPr="003D05ED">
              <w:rPr>
                <w:i/>
                <w:sz w:val="18"/>
                <w:szCs w:val="18"/>
                <w:lang w:val="fr-FR" w:eastAsia="ja-JP"/>
              </w:rPr>
              <w:t>= abandon de la protection ou fin de droits</w:t>
            </w:r>
          </w:p>
        </w:tc>
        <w:tc>
          <w:tcPr>
            <w:tcW w:w="3969" w:type="dxa"/>
          </w:tcPr>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 xml:space="preserve">La dénomination est réutilisable sous-réserve du respect de la règle des 10 ans de l’OCVV. </w:t>
            </w:r>
          </w:p>
          <w:p w:rsidR="00686FDB" w:rsidRPr="003D05ED" w:rsidRDefault="00686FDB" w:rsidP="00B844B0">
            <w:pPr>
              <w:pStyle w:val="EndnoteText"/>
              <w:spacing w:before="120" w:after="120"/>
              <w:ind w:left="0" w:firstLine="0"/>
              <w:jc w:val="center"/>
              <w:rPr>
                <w:color w:val="0070C0"/>
                <w:sz w:val="40"/>
                <w:szCs w:val="40"/>
                <w:lang w:val="fr-FR" w:eastAsia="ja-JP"/>
              </w:rPr>
            </w:pPr>
            <w:r w:rsidRPr="003D05ED">
              <w:rPr>
                <w:color w:val="0070C0"/>
                <w:sz w:val="40"/>
                <w:szCs w:val="40"/>
                <w:lang w:val="fr-FR" w:eastAsia="ja-JP"/>
              </w:rPr>
              <w:sym w:font="Wingdings" w:char="F04B"/>
            </w:r>
          </w:p>
          <w:p w:rsidR="00686FDB" w:rsidRPr="003D05ED" w:rsidRDefault="00686FDB" w:rsidP="00B844B0">
            <w:pPr>
              <w:pStyle w:val="EndnoteText"/>
              <w:spacing w:before="120" w:after="120"/>
              <w:ind w:left="0" w:firstLine="0"/>
              <w:rPr>
                <w:sz w:val="18"/>
                <w:szCs w:val="18"/>
                <w:lang w:val="fr-FR" w:eastAsia="ja-JP"/>
              </w:rPr>
            </w:pPr>
          </w:p>
        </w:tc>
        <w:tc>
          <w:tcPr>
            <w:tcW w:w="4222" w:type="dxa"/>
          </w:tcPr>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La dénomination n’est pas disponible et ne peut donc pas être réutilisée.</w:t>
            </w:r>
          </w:p>
          <w:p w:rsidR="00686FDB" w:rsidRPr="003D05ED" w:rsidRDefault="00686FDB" w:rsidP="00B844B0">
            <w:pPr>
              <w:pStyle w:val="EndnoteText"/>
              <w:spacing w:before="120" w:after="120"/>
              <w:ind w:left="0" w:firstLine="0"/>
              <w:jc w:val="center"/>
              <w:rPr>
                <w:color w:val="FF0000"/>
                <w:sz w:val="40"/>
                <w:szCs w:val="40"/>
                <w:lang w:val="fr-FR" w:eastAsia="ja-JP"/>
              </w:rPr>
            </w:pPr>
            <w:r w:rsidRPr="003D05ED">
              <w:rPr>
                <w:color w:val="FF0000"/>
                <w:sz w:val="40"/>
                <w:szCs w:val="40"/>
                <w:lang w:val="fr-FR" w:eastAsia="ja-JP"/>
              </w:rPr>
              <w:sym w:font="Wingdings" w:char="F04C"/>
            </w:r>
          </w:p>
          <w:p w:rsidR="00686FDB" w:rsidRPr="003D05ED" w:rsidRDefault="00686FDB" w:rsidP="00B844B0">
            <w:pPr>
              <w:pStyle w:val="EndnoteText"/>
              <w:spacing w:before="120" w:after="120"/>
              <w:ind w:left="0" w:firstLine="0"/>
              <w:rPr>
                <w:i/>
                <w:sz w:val="18"/>
                <w:szCs w:val="18"/>
                <w:lang w:val="fr-FR" w:eastAsia="ja-JP"/>
              </w:rPr>
            </w:pPr>
            <w:r w:rsidRPr="003D05ED">
              <w:rPr>
                <w:i/>
                <w:sz w:val="18"/>
                <w:szCs w:val="18"/>
                <w:lang w:val="fr-FR" w:eastAsia="ja-JP"/>
              </w:rPr>
              <w:t>Expl : Avec la règle des 10 ans, la variété est considérée comme ne plus exister. C’est bien là le problème. Il convient toujours de prendre en compte l’existence « physique » des vieilles variétés, des variétés présentes dans les collections de référence et dans les réseaux de ressources phytogénétiques.</w:t>
            </w:r>
          </w:p>
        </w:tc>
      </w:tr>
      <w:tr w:rsidR="00686FDB" w:rsidRPr="00B844B0" w:rsidTr="00B844B0">
        <w:trPr>
          <w:jc w:val="center"/>
        </w:trPr>
        <w:tc>
          <w:tcPr>
            <w:tcW w:w="1190" w:type="dxa"/>
          </w:tcPr>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 xml:space="preserve">La variété </w:t>
            </w:r>
            <w:r w:rsidRPr="003D05ED">
              <w:rPr>
                <w:b/>
                <w:sz w:val="18"/>
                <w:szCs w:val="18"/>
                <w:lang w:val="fr-FR" w:eastAsia="ja-JP"/>
              </w:rPr>
              <w:t>n</w:t>
            </w:r>
            <w:r w:rsidRPr="003D05ED">
              <w:rPr>
                <w:sz w:val="18"/>
                <w:szCs w:val="18"/>
                <w:lang w:val="fr-FR" w:eastAsia="ja-JP"/>
              </w:rPr>
              <w:t xml:space="preserve">’est </w:t>
            </w:r>
            <w:r w:rsidRPr="003D05ED">
              <w:rPr>
                <w:b/>
                <w:sz w:val="18"/>
                <w:szCs w:val="18"/>
                <w:lang w:val="fr-FR" w:eastAsia="ja-JP"/>
              </w:rPr>
              <w:t>plus</w:t>
            </w:r>
            <w:r w:rsidRPr="003D05ED">
              <w:rPr>
                <w:sz w:val="18"/>
                <w:szCs w:val="18"/>
                <w:lang w:val="fr-FR" w:eastAsia="ja-JP"/>
              </w:rPr>
              <w:t xml:space="preserve"> inscrite</w:t>
            </w:r>
          </w:p>
          <w:p w:rsidR="00686FDB" w:rsidRPr="003D05ED" w:rsidRDefault="00686FDB" w:rsidP="00B844B0">
            <w:pPr>
              <w:pStyle w:val="EndnoteText"/>
              <w:spacing w:before="120" w:after="120"/>
              <w:ind w:left="0" w:firstLine="0"/>
              <w:jc w:val="left"/>
              <w:rPr>
                <w:sz w:val="18"/>
                <w:szCs w:val="18"/>
                <w:lang w:val="fr-FR" w:eastAsia="ja-JP"/>
              </w:rPr>
            </w:pPr>
          </w:p>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(catalogue)</w:t>
            </w:r>
          </w:p>
        </w:tc>
        <w:tc>
          <w:tcPr>
            <w:tcW w:w="1504" w:type="dxa"/>
          </w:tcPr>
          <w:p w:rsidR="00686FDB" w:rsidRPr="003D05ED" w:rsidRDefault="00686FDB" w:rsidP="00B844B0">
            <w:pPr>
              <w:pStyle w:val="EndnoteText"/>
              <w:spacing w:before="120" w:after="120"/>
              <w:ind w:left="0" w:firstLine="0"/>
              <w:jc w:val="left"/>
              <w:rPr>
                <w:i/>
                <w:sz w:val="18"/>
                <w:szCs w:val="18"/>
                <w:lang w:val="fr-FR" w:eastAsia="ja-JP"/>
              </w:rPr>
            </w:pPr>
            <w:r w:rsidRPr="003D05ED">
              <w:rPr>
                <w:i/>
                <w:sz w:val="18"/>
                <w:szCs w:val="18"/>
                <w:lang w:val="fr-FR" w:eastAsia="ja-JP"/>
              </w:rPr>
              <w:t>La variété a fait l’objet d’une inscription au catalogue ; elle ne l’est plus.</w:t>
            </w:r>
          </w:p>
          <w:p w:rsidR="00686FDB" w:rsidRPr="003D05ED" w:rsidRDefault="00686FDB" w:rsidP="00B844B0">
            <w:pPr>
              <w:pStyle w:val="EndnoteText"/>
              <w:spacing w:before="120" w:after="120"/>
              <w:ind w:left="0" w:firstLine="0"/>
              <w:jc w:val="left"/>
              <w:rPr>
                <w:i/>
                <w:sz w:val="18"/>
                <w:szCs w:val="18"/>
                <w:lang w:val="fr-FR" w:eastAsia="ja-JP"/>
              </w:rPr>
            </w:pPr>
            <w:r w:rsidRPr="003D05ED">
              <w:rPr>
                <w:i/>
                <w:sz w:val="18"/>
                <w:szCs w:val="18"/>
                <w:lang w:val="fr-FR" w:eastAsia="ja-JP"/>
              </w:rPr>
              <w:t>= radiation du catalogue</w:t>
            </w:r>
          </w:p>
        </w:tc>
        <w:tc>
          <w:tcPr>
            <w:tcW w:w="3969" w:type="dxa"/>
          </w:tcPr>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La dénomination est réutilisable sous-réserve du respect de la règle des 10 ans de l’OCVV.</w:t>
            </w:r>
          </w:p>
          <w:p w:rsidR="00686FDB" w:rsidRPr="003D05ED" w:rsidRDefault="00686FDB" w:rsidP="00B844B0">
            <w:pPr>
              <w:pStyle w:val="EndnoteText"/>
              <w:spacing w:before="120" w:after="120"/>
              <w:ind w:left="0" w:firstLine="0"/>
              <w:jc w:val="center"/>
              <w:rPr>
                <w:sz w:val="40"/>
                <w:szCs w:val="40"/>
                <w:lang w:val="fr-FR" w:eastAsia="ja-JP"/>
              </w:rPr>
            </w:pPr>
            <w:r w:rsidRPr="003D05ED">
              <w:rPr>
                <w:color w:val="0070C0"/>
                <w:sz w:val="40"/>
                <w:szCs w:val="40"/>
                <w:lang w:val="fr-FR" w:eastAsia="ja-JP"/>
              </w:rPr>
              <w:sym w:font="Wingdings" w:char="F04B"/>
            </w:r>
          </w:p>
        </w:tc>
        <w:tc>
          <w:tcPr>
            <w:tcW w:w="4222" w:type="dxa"/>
          </w:tcPr>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La dénomination n’est pas disponible et ne peut donc pas être réutilisée.</w:t>
            </w:r>
          </w:p>
          <w:p w:rsidR="00686FDB" w:rsidRPr="003D05ED" w:rsidRDefault="00686FDB" w:rsidP="00B844B0">
            <w:pPr>
              <w:pStyle w:val="EndnoteText"/>
              <w:spacing w:before="120" w:after="120"/>
              <w:ind w:left="0" w:firstLine="0"/>
              <w:jc w:val="center"/>
              <w:rPr>
                <w:color w:val="FF0000"/>
                <w:sz w:val="40"/>
                <w:szCs w:val="40"/>
                <w:lang w:val="fr-FR" w:eastAsia="ja-JP"/>
              </w:rPr>
            </w:pPr>
            <w:r w:rsidRPr="003D05ED">
              <w:rPr>
                <w:color w:val="FF0000"/>
                <w:sz w:val="40"/>
                <w:szCs w:val="40"/>
                <w:lang w:val="fr-FR" w:eastAsia="ja-JP"/>
              </w:rPr>
              <w:sym w:font="Wingdings" w:char="F04C"/>
            </w:r>
          </w:p>
          <w:p w:rsidR="00686FDB" w:rsidRPr="003D05ED" w:rsidRDefault="00686FDB" w:rsidP="00B844B0">
            <w:pPr>
              <w:pStyle w:val="EndnoteText"/>
              <w:spacing w:before="120" w:after="120"/>
              <w:ind w:left="0" w:firstLine="0"/>
              <w:rPr>
                <w:sz w:val="18"/>
                <w:szCs w:val="18"/>
                <w:lang w:val="fr-FR" w:eastAsia="ja-JP"/>
              </w:rPr>
            </w:pPr>
            <w:r w:rsidRPr="003D05ED">
              <w:rPr>
                <w:i/>
                <w:sz w:val="18"/>
                <w:szCs w:val="18"/>
                <w:lang w:val="fr-FR" w:eastAsia="ja-JP"/>
              </w:rPr>
              <w:t>Expl : Avec la règle des 10 ans, la variété est considérée comme ne plus exister. C’est bien là le problème. Il convient toujours de prendre en compte l’existence « physique » des vieilles variétés, des variétés présentes dans les collections de référence et dans les réseaux de ressources phytogénétiques.</w:t>
            </w:r>
          </w:p>
        </w:tc>
      </w:tr>
      <w:tr w:rsidR="00686FDB" w:rsidRPr="00B844B0" w:rsidTr="00B844B0">
        <w:trPr>
          <w:jc w:val="center"/>
        </w:trPr>
        <w:tc>
          <w:tcPr>
            <w:tcW w:w="1190" w:type="dxa"/>
          </w:tcPr>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 xml:space="preserve">La variété </w:t>
            </w:r>
            <w:r w:rsidRPr="003D05ED">
              <w:rPr>
                <w:b/>
                <w:sz w:val="18"/>
                <w:szCs w:val="18"/>
                <w:lang w:val="fr-FR" w:eastAsia="ja-JP"/>
              </w:rPr>
              <w:t>n</w:t>
            </w:r>
            <w:r w:rsidRPr="003D05ED">
              <w:rPr>
                <w:sz w:val="18"/>
                <w:szCs w:val="18"/>
                <w:lang w:val="fr-FR" w:eastAsia="ja-JP"/>
              </w:rPr>
              <w:t xml:space="preserve">’est </w:t>
            </w:r>
            <w:r w:rsidRPr="003D05ED">
              <w:rPr>
                <w:b/>
                <w:sz w:val="18"/>
                <w:szCs w:val="18"/>
                <w:lang w:val="fr-FR" w:eastAsia="ja-JP"/>
              </w:rPr>
              <w:t>pas</w:t>
            </w:r>
            <w:r w:rsidRPr="003D05ED">
              <w:rPr>
                <w:sz w:val="18"/>
                <w:szCs w:val="18"/>
                <w:lang w:val="fr-FR" w:eastAsia="ja-JP"/>
              </w:rPr>
              <w:t xml:space="preserve"> protégée</w:t>
            </w:r>
          </w:p>
          <w:p w:rsidR="00686FDB" w:rsidRPr="003D05ED" w:rsidRDefault="00686FDB" w:rsidP="00B844B0">
            <w:pPr>
              <w:pStyle w:val="EndnoteText"/>
              <w:spacing w:before="120" w:after="120"/>
              <w:ind w:left="0" w:firstLine="0"/>
              <w:jc w:val="left"/>
              <w:rPr>
                <w:sz w:val="18"/>
                <w:szCs w:val="18"/>
                <w:lang w:val="fr-FR" w:eastAsia="ja-JP"/>
              </w:rPr>
            </w:pPr>
          </w:p>
          <w:p w:rsidR="00686FDB" w:rsidRPr="003D05ED" w:rsidRDefault="00686FDB" w:rsidP="00B844B0">
            <w:pPr>
              <w:pStyle w:val="EndnoteText"/>
              <w:spacing w:before="120" w:after="120"/>
              <w:ind w:left="0" w:firstLine="0"/>
              <w:jc w:val="left"/>
              <w:rPr>
                <w:sz w:val="18"/>
                <w:szCs w:val="18"/>
                <w:lang w:val="fr-FR" w:eastAsia="ja-JP"/>
              </w:rPr>
            </w:pPr>
          </w:p>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(protection)</w:t>
            </w:r>
          </w:p>
        </w:tc>
        <w:tc>
          <w:tcPr>
            <w:tcW w:w="1504" w:type="dxa"/>
          </w:tcPr>
          <w:p w:rsidR="00686FDB" w:rsidRPr="003D05ED" w:rsidRDefault="00686FDB" w:rsidP="00B844B0">
            <w:pPr>
              <w:pStyle w:val="EndnoteText"/>
              <w:spacing w:before="120" w:after="120"/>
              <w:ind w:left="0" w:firstLine="0"/>
              <w:jc w:val="left"/>
              <w:rPr>
                <w:i/>
                <w:sz w:val="18"/>
                <w:szCs w:val="18"/>
                <w:lang w:val="fr-FR" w:eastAsia="ja-JP"/>
              </w:rPr>
            </w:pPr>
            <w:r w:rsidRPr="003D05ED">
              <w:rPr>
                <w:i/>
                <w:sz w:val="18"/>
                <w:szCs w:val="18"/>
                <w:lang w:val="fr-FR" w:eastAsia="ja-JP"/>
              </w:rPr>
              <w:t>La variété a fait l’objet d’une demande de protection mais la procédure n’a pas abouti.</w:t>
            </w:r>
          </w:p>
          <w:p w:rsidR="00686FDB" w:rsidRPr="003D05ED" w:rsidRDefault="00686FDB" w:rsidP="00B844B0">
            <w:pPr>
              <w:pStyle w:val="EndnoteText"/>
              <w:spacing w:before="120" w:after="120"/>
              <w:ind w:left="0" w:firstLine="0"/>
              <w:jc w:val="left"/>
              <w:rPr>
                <w:i/>
                <w:sz w:val="18"/>
                <w:szCs w:val="18"/>
                <w:lang w:val="fr-FR" w:eastAsia="ja-JP"/>
              </w:rPr>
            </w:pPr>
            <w:r w:rsidRPr="003D05ED">
              <w:rPr>
                <w:i/>
                <w:sz w:val="18"/>
                <w:szCs w:val="18"/>
                <w:lang w:val="fr-FR" w:eastAsia="ja-JP"/>
              </w:rPr>
              <w:t>= retrait en cours de procédure</w:t>
            </w:r>
          </w:p>
        </w:tc>
        <w:tc>
          <w:tcPr>
            <w:tcW w:w="3969" w:type="dxa"/>
          </w:tcPr>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 xml:space="preserve">La dénomination est réutilisable immédiatement </w:t>
            </w:r>
            <w:r w:rsidRPr="003D05ED">
              <w:rPr>
                <w:i/>
                <w:sz w:val="18"/>
                <w:szCs w:val="18"/>
                <w:lang w:val="fr-FR" w:eastAsia="ja-JP"/>
              </w:rPr>
              <w:t>(pas de règle des 10 ans)</w:t>
            </w:r>
            <w:r w:rsidRPr="003D05ED">
              <w:rPr>
                <w:sz w:val="18"/>
                <w:szCs w:val="18"/>
                <w:lang w:val="fr-FR" w:eastAsia="ja-JP"/>
              </w:rPr>
              <w:t xml:space="preserve"> car l’on suppose qu’il n’y a pas eu de commercialisation. </w:t>
            </w:r>
          </w:p>
          <w:p w:rsidR="00686FDB" w:rsidRPr="003D05ED" w:rsidRDefault="00686FDB" w:rsidP="00B844B0">
            <w:pPr>
              <w:pStyle w:val="EndnoteText"/>
              <w:spacing w:before="120" w:after="120"/>
              <w:ind w:left="0" w:firstLine="0"/>
              <w:jc w:val="center"/>
              <w:rPr>
                <w:sz w:val="40"/>
                <w:szCs w:val="40"/>
                <w:lang w:val="fr-FR" w:eastAsia="ja-JP"/>
              </w:rPr>
            </w:pPr>
            <w:r w:rsidRPr="003D05ED">
              <w:rPr>
                <w:color w:val="76923C" w:themeColor="accent3" w:themeShade="BF"/>
                <w:sz w:val="40"/>
                <w:szCs w:val="40"/>
                <w:lang w:val="fr-FR" w:eastAsia="ja-JP"/>
              </w:rPr>
              <w:sym w:font="Wingdings" w:char="F04A"/>
            </w:r>
          </w:p>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 xml:space="preserve">Mais comment en être certaines ? </w:t>
            </w:r>
          </w:p>
        </w:tc>
        <w:tc>
          <w:tcPr>
            <w:tcW w:w="4222" w:type="dxa"/>
          </w:tcPr>
          <w:p w:rsidR="00686FDB" w:rsidRPr="003D05ED" w:rsidRDefault="00686FDB" w:rsidP="00B844B0">
            <w:pPr>
              <w:pStyle w:val="EndnoteText"/>
              <w:spacing w:before="120" w:after="120"/>
              <w:ind w:left="0" w:firstLine="0"/>
              <w:rPr>
                <w:sz w:val="18"/>
                <w:szCs w:val="18"/>
                <w:lang w:val="fr-FR" w:eastAsia="ja-JP"/>
              </w:rPr>
            </w:pPr>
            <w:r w:rsidRPr="003D05ED">
              <w:rPr>
                <w:sz w:val="18"/>
                <w:szCs w:val="18"/>
                <w:lang w:val="fr-FR" w:eastAsia="ja-JP"/>
              </w:rPr>
              <w:t>La difficulté est de savoir si la variété a été commercialisée en dehors de l’inscription au catalogue européen, ie dans d’autres registres commerciaux.</w:t>
            </w:r>
          </w:p>
          <w:p w:rsidR="00686FDB" w:rsidRPr="003D05ED" w:rsidRDefault="00686FDB" w:rsidP="00B844B0">
            <w:pPr>
              <w:pStyle w:val="EndnoteText"/>
              <w:spacing w:before="120" w:after="120"/>
              <w:ind w:left="0" w:firstLine="0"/>
              <w:jc w:val="center"/>
              <w:rPr>
                <w:color w:val="0070C0"/>
                <w:sz w:val="40"/>
                <w:szCs w:val="40"/>
                <w:lang w:val="fr-FR" w:eastAsia="ja-JP"/>
              </w:rPr>
            </w:pPr>
            <w:r w:rsidRPr="003D05ED">
              <w:rPr>
                <w:color w:val="0070C0"/>
                <w:sz w:val="40"/>
                <w:szCs w:val="40"/>
                <w:lang w:val="fr-FR" w:eastAsia="ja-JP"/>
              </w:rPr>
              <w:sym w:font="Wingdings" w:char="F04B"/>
            </w:r>
          </w:p>
          <w:p w:rsidR="00686FDB" w:rsidRPr="003D05ED" w:rsidRDefault="00686FDB" w:rsidP="00B844B0">
            <w:pPr>
              <w:pStyle w:val="EndnoteText"/>
              <w:spacing w:before="120" w:after="120"/>
              <w:ind w:left="0" w:firstLine="0"/>
              <w:rPr>
                <w:sz w:val="18"/>
                <w:szCs w:val="18"/>
                <w:lang w:val="fr-FR" w:eastAsia="ja-JP"/>
              </w:rPr>
            </w:pPr>
            <w:r w:rsidRPr="003D05ED">
              <w:rPr>
                <w:sz w:val="18"/>
                <w:szCs w:val="18"/>
                <w:lang w:val="fr-FR" w:eastAsia="ja-JP"/>
              </w:rPr>
              <w:t>Pour ce faire, l’idée serait de rendre disponible cette information dans les bases de données afin de permettre cette vérification préalable à la décision finale de réutilisation de la dénomination à l’identique.</w:t>
            </w:r>
          </w:p>
        </w:tc>
      </w:tr>
      <w:tr w:rsidR="00686FDB" w:rsidRPr="003D05ED" w:rsidTr="00B844B0">
        <w:trPr>
          <w:jc w:val="center"/>
        </w:trPr>
        <w:tc>
          <w:tcPr>
            <w:tcW w:w="1190" w:type="dxa"/>
          </w:tcPr>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 xml:space="preserve">La variété </w:t>
            </w:r>
            <w:r w:rsidRPr="003D05ED">
              <w:rPr>
                <w:b/>
                <w:sz w:val="18"/>
                <w:szCs w:val="18"/>
                <w:lang w:val="fr-FR" w:eastAsia="ja-JP"/>
              </w:rPr>
              <w:t>n</w:t>
            </w:r>
            <w:r w:rsidRPr="003D05ED">
              <w:rPr>
                <w:sz w:val="18"/>
                <w:szCs w:val="18"/>
                <w:lang w:val="fr-FR" w:eastAsia="ja-JP"/>
              </w:rPr>
              <w:t xml:space="preserve">’est </w:t>
            </w:r>
            <w:r w:rsidRPr="003D05ED">
              <w:rPr>
                <w:b/>
                <w:sz w:val="18"/>
                <w:szCs w:val="18"/>
                <w:lang w:val="fr-FR" w:eastAsia="ja-JP"/>
              </w:rPr>
              <w:t>pas</w:t>
            </w:r>
            <w:r w:rsidRPr="003D05ED">
              <w:rPr>
                <w:sz w:val="18"/>
                <w:szCs w:val="18"/>
                <w:lang w:val="fr-FR" w:eastAsia="ja-JP"/>
              </w:rPr>
              <w:t xml:space="preserve"> inscrite.</w:t>
            </w:r>
          </w:p>
          <w:p w:rsidR="00686FDB" w:rsidRPr="003D05ED" w:rsidRDefault="00686FDB" w:rsidP="00B844B0">
            <w:pPr>
              <w:pStyle w:val="EndnoteText"/>
              <w:spacing w:before="120" w:after="120"/>
              <w:ind w:left="0" w:firstLine="0"/>
              <w:jc w:val="left"/>
              <w:rPr>
                <w:sz w:val="18"/>
                <w:szCs w:val="18"/>
                <w:lang w:val="fr-FR" w:eastAsia="ja-JP"/>
              </w:rPr>
            </w:pPr>
          </w:p>
          <w:p w:rsidR="00686FDB" w:rsidRPr="003D05ED" w:rsidRDefault="00686FDB" w:rsidP="00B844B0">
            <w:pPr>
              <w:pStyle w:val="EndnoteText"/>
              <w:spacing w:before="120" w:after="120"/>
              <w:ind w:left="0" w:firstLine="0"/>
              <w:jc w:val="left"/>
              <w:rPr>
                <w:sz w:val="18"/>
                <w:szCs w:val="18"/>
                <w:lang w:val="fr-FR" w:eastAsia="ja-JP"/>
              </w:rPr>
            </w:pPr>
          </w:p>
          <w:p w:rsidR="00686FDB" w:rsidRPr="003D05ED" w:rsidRDefault="00686FDB" w:rsidP="00B844B0">
            <w:pPr>
              <w:pStyle w:val="EndnoteText"/>
              <w:spacing w:before="120" w:after="120"/>
              <w:ind w:left="0" w:firstLine="0"/>
              <w:jc w:val="left"/>
              <w:rPr>
                <w:sz w:val="18"/>
                <w:szCs w:val="18"/>
                <w:lang w:val="fr-FR" w:eastAsia="ja-JP"/>
              </w:rPr>
            </w:pPr>
          </w:p>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(catalogue)</w:t>
            </w:r>
          </w:p>
        </w:tc>
        <w:tc>
          <w:tcPr>
            <w:tcW w:w="1504" w:type="dxa"/>
          </w:tcPr>
          <w:p w:rsidR="00686FDB" w:rsidRPr="003D05ED" w:rsidRDefault="00686FDB" w:rsidP="00B844B0">
            <w:pPr>
              <w:pStyle w:val="EndnoteText"/>
              <w:spacing w:before="120" w:after="120"/>
              <w:ind w:left="0" w:firstLine="0"/>
              <w:jc w:val="left"/>
              <w:rPr>
                <w:i/>
                <w:sz w:val="18"/>
                <w:szCs w:val="18"/>
                <w:lang w:val="fr-FR" w:eastAsia="ja-JP"/>
              </w:rPr>
            </w:pPr>
            <w:r w:rsidRPr="003D05ED">
              <w:rPr>
                <w:i/>
                <w:sz w:val="18"/>
                <w:szCs w:val="18"/>
                <w:lang w:val="fr-FR" w:eastAsia="ja-JP"/>
              </w:rPr>
              <w:t>La variété a fait l’objet d’une demande d’inscription mais la procédure n’a pas abouti.</w:t>
            </w:r>
          </w:p>
          <w:p w:rsidR="00686FDB" w:rsidRPr="003D05ED" w:rsidRDefault="00686FDB" w:rsidP="00B844B0">
            <w:pPr>
              <w:pStyle w:val="EndnoteText"/>
              <w:spacing w:before="120" w:after="120"/>
              <w:ind w:left="0" w:firstLine="0"/>
              <w:jc w:val="left"/>
              <w:rPr>
                <w:i/>
                <w:sz w:val="18"/>
                <w:szCs w:val="18"/>
                <w:lang w:val="fr-FR" w:eastAsia="ja-JP"/>
              </w:rPr>
            </w:pPr>
          </w:p>
          <w:p w:rsidR="00686FDB" w:rsidRPr="003D05ED" w:rsidRDefault="00686FDB" w:rsidP="00B844B0">
            <w:pPr>
              <w:pStyle w:val="EndnoteText"/>
              <w:spacing w:before="120" w:after="120"/>
              <w:ind w:left="0" w:firstLine="0"/>
              <w:jc w:val="left"/>
              <w:rPr>
                <w:i/>
                <w:sz w:val="18"/>
                <w:szCs w:val="18"/>
                <w:lang w:val="fr-FR" w:eastAsia="ja-JP"/>
              </w:rPr>
            </w:pPr>
            <w:r w:rsidRPr="003D05ED">
              <w:rPr>
                <w:i/>
                <w:sz w:val="18"/>
                <w:szCs w:val="18"/>
                <w:lang w:val="fr-FR" w:eastAsia="ja-JP"/>
              </w:rPr>
              <w:t>= retrait en cours de procédure</w:t>
            </w:r>
          </w:p>
        </w:tc>
        <w:tc>
          <w:tcPr>
            <w:tcW w:w="3969" w:type="dxa"/>
          </w:tcPr>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Avant de se prononcer, nous vérifions l’existence éventuelle d’une APV :</w:t>
            </w:r>
          </w:p>
          <w:p w:rsidR="00686FDB" w:rsidRPr="003D05ED" w:rsidRDefault="00686FDB" w:rsidP="00686FDB">
            <w:pPr>
              <w:pStyle w:val="EndnoteText"/>
              <w:numPr>
                <w:ilvl w:val="0"/>
                <w:numId w:val="12"/>
              </w:numPr>
              <w:spacing w:before="120" w:after="120"/>
              <w:ind w:left="0" w:firstLine="0"/>
              <w:jc w:val="left"/>
              <w:rPr>
                <w:sz w:val="18"/>
                <w:szCs w:val="18"/>
                <w:lang w:val="fr-FR" w:eastAsia="ja-JP"/>
              </w:rPr>
            </w:pPr>
            <w:r w:rsidRPr="003D05ED">
              <w:rPr>
                <w:sz w:val="18"/>
                <w:szCs w:val="18"/>
                <w:lang w:val="fr-FR" w:eastAsia="ja-JP"/>
              </w:rPr>
              <w:t xml:space="preserve">en l’abscence d’APV, la dénomination est réutilisable.     </w:t>
            </w:r>
          </w:p>
          <w:p w:rsidR="00686FDB" w:rsidRPr="003D05ED" w:rsidRDefault="00686FDB" w:rsidP="00B844B0">
            <w:pPr>
              <w:pStyle w:val="EndnoteText"/>
              <w:spacing w:before="120" w:after="120"/>
              <w:ind w:left="0" w:firstLine="0"/>
              <w:jc w:val="center"/>
              <w:rPr>
                <w:sz w:val="40"/>
                <w:szCs w:val="40"/>
                <w:lang w:val="fr-FR" w:eastAsia="ja-JP"/>
              </w:rPr>
            </w:pPr>
            <w:r w:rsidRPr="003D05ED">
              <w:rPr>
                <w:color w:val="76923C" w:themeColor="accent3" w:themeShade="BF"/>
                <w:sz w:val="40"/>
                <w:szCs w:val="40"/>
                <w:lang w:val="fr-FR" w:eastAsia="ja-JP"/>
              </w:rPr>
              <w:sym w:font="Wingdings" w:char="F04A"/>
            </w:r>
          </w:p>
          <w:p w:rsidR="00686FDB" w:rsidRPr="003D05ED" w:rsidRDefault="00686FDB" w:rsidP="00686FDB">
            <w:pPr>
              <w:pStyle w:val="EndnoteText"/>
              <w:numPr>
                <w:ilvl w:val="0"/>
                <w:numId w:val="12"/>
              </w:numPr>
              <w:spacing w:before="120" w:after="120"/>
              <w:ind w:left="0" w:firstLine="0"/>
              <w:jc w:val="left"/>
              <w:rPr>
                <w:sz w:val="18"/>
                <w:szCs w:val="18"/>
                <w:lang w:val="fr-FR" w:eastAsia="ja-JP"/>
              </w:rPr>
            </w:pPr>
            <w:r w:rsidRPr="003D05ED">
              <w:rPr>
                <w:sz w:val="18"/>
                <w:szCs w:val="18"/>
                <w:lang w:val="fr-FR" w:eastAsia="ja-JP"/>
              </w:rPr>
              <w:t>En présence d’une APV, la dénomination ne peut pas être réutilisée ; la commercialisation est supposée avoir eu lieu.</w:t>
            </w:r>
          </w:p>
          <w:p w:rsidR="00686FDB" w:rsidRPr="003D05ED" w:rsidRDefault="00686FDB" w:rsidP="00B844B0">
            <w:pPr>
              <w:pStyle w:val="EndnoteText"/>
              <w:spacing w:before="120" w:after="120"/>
              <w:ind w:left="0" w:firstLine="0"/>
              <w:jc w:val="center"/>
              <w:rPr>
                <w:sz w:val="40"/>
                <w:szCs w:val="40"/>
                <w:lang w:val="fr-FR" w:eastAsia="ja-JP"/>
              </w:rPr>
            </w:pPr>
            <w:r w:rsidRPr="003D05ED">
              <w:rPr>
                <w:color w:val="FF0000"/>
                <w:sz w:val="40"/>
                <w:szCs w:val="40"/>
                <w:lang w:val="fr-FR" w:eastAsia="ja-JP"/>
              </w:rPr>
              <w:sym w:font="Wingdings" w:char="F04C"/>
            </w:r>
          </w:p>
        </w:tc>
        <w:tc>
          <w:tcPr>
            <w:tcW w:w="4222" w:type="dxa"/>
          </w:tcPr>
          <w:p w:rsidR="00686FDB" w:rsidRPr="003D05ED" w:rsidRDefault="00686FDB" w:rsidP="00B844B0">
            <w:pPr>
              <w:pStyle w:val="EndnoteText"/>
              <w:spacing w:before="120" w:after="120"/>
              <w:ind w:left="0" w:firstLine="0"/>
              <w:jc w:val="center"/>
              <w:rPr>
                <w:sz w:val="18"/>
                <w:szCs w:val="18"/>
                <w:lang w:val="fr-FR" w:eastAsia="ja-JP"/>
              </w:rPr>
            </w:pPr>
          </w:p>
          <w:p w:rsidR="00686FDB" w:rsidRPr="003D05ED" w:rsidRDefault="00686FDB" w:rsidP="00B844B0">
            <w:pPr>
              <w:pStyle w:val="EndnoteText"/>
              <w:spacing w:before="120" w:after="120"/>
              <w:ind w:left="0" w:firstLine="0"/>
              <w:jc w:val="center"/>
              <w:rPr>
                <w:sz w:val="18"/>
                <w:szCs w:val="18"/>
                <w:lang w:val="fr-FR" w:eastAsia="ja-JP"/>
              </w:rPr>
            </w:pPr>
          </w:p>
          <w:p w:rsidR="00686FDB" w:rsidRPr="003D05ED" w:rsidRDefault="00686FDB" w:rsidP="00B844B0">
            <w:pPr>
              <w:pStyle w:val="EndnoteText"/>
              <w:spacing w:before="120" w:after="120"/>
              <w:ind w:left="0" w:firstLine="0"/>
              <w:jc w:val="center"/>
              <w:rPr>
                <w:sz w:val="18"/>
                <w:szCs w:val="18"/>
                <w:lang w:val="fr-FR" w:eastAsia="ja-JP"/>
              </w:rPr>
            </w:pPr>
          </w:p>
          <w:p w:rsidR="00686FDB" w:rsidRPr="003D05ED" w:rsidRDefault="00686FDB" w:rsidP="00B844B0">
            <w:pPr>
              <w:pStyle w:val="EndnoteText"/>
              <w:spacing w:before="120" w:after="120"/>
              <w:ind w:left="0" w:firstLine="0"/>
              <w:jc w:val="center"/>
              <w:rPr>
                <w:sz w:val="18"/>
                <w:szCs w:val="18"/>
                <w:lang w:val="fr-FR" w:eastAsia="ja-JP"/>
              </w:rPr>
            </w:pPr>
          </w:p>
          <w:p w:rsidR="00686FDB" w:rsidRPr="003D05ED" w:rsidRDefault="00686FDB" w:rsidP="00B844B0">
            <w:pPr>
              <w:pStyle w:val="EndnoteText"/>
              <w:spacing w:before="120" w:after="120"/>
              <w:ind w:left="0" w:firstLine="0"/>
              <w:rPr>
                <w:sz w:val="18"/>
                <w:szCs w:val="18"/>
                <w:lang w:val="fr-FR" w:eastAsia="ja-JP"/>
              </w:rPr>
            </w:pPr>
          </w:p>
          <w:p w:rsidR="00686FDB" w:rsidRPr="003D05ED" w:rsidRDefault="00686FDB" w:rsidP="00B844B0">
            <w:pPr>
              <w:pStyle w:val="EndnoteText"/>
              <w:spacing w:before="120" w:after="120"/>
              <w:ind w:left="0" w:firstLine="0"/>
              <w:jc w:val="left"/>
              <w:rPr>
                <w:sz w:val="18"/>
                <w:szCs w:val="18"/>
                <w:lang w:val="fr-FR" w:eastAsia="ja-JP"/>
              </w:rPr>
            </w:pPr>
            <w:r w:rsidRPr="003D05ED">
              <w:rPr>
                <w:sz w:val="18"/>
                <w:szCs w:val="18"/>
                <w:lang w:val="fr-FR" w:eastAsia="ja-JP"/>
              </w:rPr>
              <w:t>= &gt; idem. Même raisonnement.</w:t>
            </w:r>
          </w:p>
        </w:tc>
      </w:tr>
    </w:tbl>
    <w:p w:rsidR="00686FDB" w:rsidRPr="00F00494" w:rsidRDefault="00686FDB" w:rsidP="00B844B0">
      <w:pPr>
        <w:pStyle w:val="EndnoteText"/>
        <w:rPr>
          <w:sz w:val="18"/>
          <w:lang w:val="fr-FR" w:eastAsia="ja-JP"/>
        </w:rPr>
      </w:pPr>
    </w:p>
    <w:p w:rsidR="00686FDB" w:rsidRDefault="00686FDB" w:rsidP="00B844B0">
      <w:pPr>
        <w:pStyle w:val="EndnoteText"/>
        <w:rPr>
          <w:sz w:val="18"/>
          <w:lang w:val="fr-FR"/>
        </w:rPr>
      </w:pPr>
      <w:r>
        <w:rPr>
          <w:sz w:val="18"/>
          <w:lang w:val="fr-FR"/>
        </w:rPr>
        <w:t>D’où la nécessite de disposer dans les bases de données des informations supplémentaires comme :</w:t>
      </w:r>
    </w:p>
    <w:p w:rsidR="00686FDB" w:rsidRDefault="00686FDB" w:rsidP="00686FDB">
      <w:pPr>
        <w:pStyle w:val="EndnoteText"/>
        <w:numPr>
          <w:ilvl w:val="0"/>
          <w:numId w:val="11"/>
        </w:numPr>
        <w:rPr>
          <w:sz w:val="18"/>
          <w:lang w:val="fr-FR"/>
        </w:rPr>
      </w:pPr>
      <w:r>
        <w:rPr>
          <w:sz w:val="18"/>
          <w:lang w:val="fr-FR"/>
        </w:rPr>
        <w:t>date de commercialisation,</w:t>
      </w:r>
    </w:p>
    <w:p w:rsidR="00686FDB" w:rsidRDefault="00686FDB" w:rsidP="00686FDB">
      <w:pPr>
        <w:pStyle w:val="EndnoteText"/>
        <w:numPr>
          <w:ilvl w:val="0"/>
          <w:numId w:val="11"/>
        </w:numPr>
        <w:rPr>
          <w:sz w:val="18"/>
          <w:lang w:val="fr-FR"/>
        </w:rPr>
      </w:pPr>
      <w:r>
        <w:rPr>
          <w:sz w:val="18"/>
          <w:lang w:val="fr-FR"/>
        </w:rPr>
        <w:t>demande d’APV oui/non</w:t>
      </w:r>
    </w:p>
    <w:p w:rsidR="00686FDB" w:rsidRPr="001962C7" w:rsidRDefault="00686FDB" w:rsidP="00686FDB">
      <w:pPr>
        <w:pStyle w:val="EndnoteText"/>
        <w:numPr>
          <w:ilvl w:val="0"/>
          <w:numId w:val="11"/>
        </w:numPr>
        <w:rPr>
          <w:sz w:val="18"/>
          <w:lang w:val="fr-FR"/>
        </w:rPr>
      </w:pPr>
      <w:r>
        <w:rPr>
          <w:sz w:val="18"/>
          <w:lang w:val="fr-FR"/>
        </w:rPr>
        <w:t xml:space="preserve">date d’octroi de l’APV / </w:t>
      </w:r>
      <w:r w:rsidRPr="001962C7">
        <w:rPr>
          <w:sz w:val="18"/>
          <w:lang w:val="fr-FR"/>
        </w:rPr>
        <w:t>date de fin de l’APV</w:t>
      </w:r>
    </w:p>
    <w:p w:rsidR="00686FDB" w:rsidRPr="008E75B8" w:rsidRDefault="00686FDB" w:rsidP="00B844B0">
      <w:pPr>
        <w:rPr>
          <w:lang w:val="fr-FR"/>
        </w:rPr>
      </w:pPr>
    </w:p>
    <w:p w:rsidR="00686FDB" w:rsidRDefault="00686FDB" w:rsidP="00B844B0">
      <w:pPr>
        <w:rPr>
          <w:lang w:val="fr-FR"/>
        </w:rPr>
      </w:pPr>
    </w:p>
    <w:p w:rsidR="00686FDB" w:rsidRDefault="00686FDB" w:rsidP="00B844B0">
      <w:pPr>
        <w:rPr>
          <w:lang w:val="fr-FR"/>
        </w:rPr>
      </w:pPr>
    </w:p>
    <w:p w:rsidR="00686FDB" w:rsidRDefault="00686FDB" w:rsidP="00B844B0">
      <w:pPr>
        <w:rPr>
          <w:lang w:val="fr-FR"/>
        </w:rPr>
      </w:pPr>
    </w:p>
    <w:p w:rsidR="00686FDB" w:rsidRDefault="00686FDB" w:rsidP="00B844B0">
      <w:pPr>
        <w:shd w:val="clear" w:color="auto" w:fill="FFECAF"/>
        <w:spacing w:before="120" w:after="120"/>
      </w:pPr>
      <w:r>
        <w:t xml:space="preserve">b) comment on whether PVP Offices should have a </w:t>
      </w:r>
      <w:r w:rsidRPr="008069DD">
        <w:rPr>
          <w:b/>
        </w:rPr>
        <w:t>role</w:t>
      </w:r>
      <w:r>
        <w:t xml:space="preserve"> </w:t>
      </w:r>
      <w:r w:rsidRPr="008069DD">
        <w:rPr>
          <w:b/>
        </w:rPr>
        <w:t>in recognizing breeders practices</w:t>
      </w:r>
      <w:r>
        <w:t xml:space="preserve"> in naming varieties (e.g. prefixes, themes) or whether that should be left to other mechanisms.</w:t>
      </w:r>
    </w:p>
    <w:p w:rsidR="00686FDB" w:rsidRDefault="00686FDB" w:rsidP="00B844B0"/>
    <w:p w:rsidR="00686FDB" w:rsidRDefault="00686FDB" w:rsidP="00B844B0">
      <w:pPr>
        <w:spacing w:before="120" w:after="120"/>
      </w:pPr>
      <w:r w:rsidRPr="003F1736">
        <w:rPr>
          <w:u w:val="single"/>
          <w:lang w:val="fr-FR"/>
        </w:rPr>
        <w:t>Sur la pratique des obtenteurs</w:t>
      </w:r>
      <w:r w:rsidRPr="003F1736">
        <w:rPr>
          <w:lang w:val="fr-FR"/>
        </w:rPr>
        <w:t xml:space="preserve">. </w:t>
      </w:r>
      <w:r>
        <w:t>Certains utilisent :</w:t>
      </w:r>
    </w:p>
    <w:p w:rsidR="00686FDB" w:rsidRDefault="00686FDB" w:rsidP="00B844B0">
      <w:pPr>
        <w:spacing w:before="120" w:after="120"/>
      </w:pPr>
    </w:p>
    <w:p w:rsidR="00686FDB" w:rsidRDefault="00686FDB" w:rsidP="00686FDB">
      <w:pPr>
        <w:pStyle w:val="ListParagraph"/>
        <w:numPr>
          <w:ilvl w:val="0"/>
          <w:numId w:val="13"/>
        </w:numPr>
        <w:spacing w:before="120" w:after="120"/>
        <w:rPr>
          <w:lang w:val="fr-FR"/>
        </w:rPr>
      </w:pPr>
      <w:r w:rsidRPr="008069DD">
        <w:rPr>
          <w:lang w:val="fr-FR"/>
        </w:rPr>
        <w:t xml:space="preserve">un </w:t>
      </w:r>
      <w:r w:rsidRPr="008069DD">
        <w:rPr>
          <w:b/>
          <w:lang w:val="fr-FR"/>
        </w:rPr>
        <w:t xml:space="preserve">identifiant </w:t>
      </w:r>
      <w:r w:rsidRPr="008069DD">
        <w:rPr>
          <w:lang w:val="fr-FR"/>
        </w:rPr>
        <w:t xml:space="preserve">permettant de reconnaitre </w:t>
      </w:r>
      <w:r>
        <w:rPr>
          <w:lang w:val="fr-FR"/>
        </w:rPr>
        <w:t xml:space="preserve">leur identité. </w:t>
      </w:r>
    </w:p>
    <w:p w:rsidR="00686FDB" w:rsidRPr="008069DD" w:rsidRDefault="00686FDB" w:rsidP="00B844B0">
      <w:pPr>
        <w:pStyle w:val="ListParagraph"/>
        <w:spacing w:before="120" w:after="120"/>
        <w:ind w:left="1080"/>
        <w:rPr>
          <w:i/>
          <w:lang w:val="fr-FR"/>
        </w:rPr>
      </w:pPr>
      <w:r w:rsidRPr="008069DD">
        <w:rPr>
          <w:i/>
          <w:lang w:val="fr-FR"/>
        </w:rPr>
        <w:t>Exemple : KWS-…, RGT-…, BAR-…,</w:t>
      </w:r>
    </w:p>
    <w:p w:rsidR="00686FDB" w:rsidRDefault="00686FDB" w:rsidP="00B844B0">
      <w:pPr>
        <w:pStyle w:val="ListParagraph"/>
        <w:spacing w:before="120" w:after="120"/>
        <w:ind w:left="1080"/>
        <w:rPr>
          <w:lang w:val="fr-FR"/>
        </w:rPr>
      </w:pPr>
    </w:p>
    <w:p w:rsidR="00686FDB" w:rsidRDefault="00686FDB" w:rsidP="00686FDB">
      <w:pPr>
        <w:pStyle w:val="ListParagraph"/>
        <w:numPr>
          <w:ilvl w:val="0"/>
          <w:numId w:val="13"/>
        </w:numPr>
        <w:spacing w:before="120" w:after="120"/>
        <w:rPr>
          <w:lang w:val="fr-FR"/>
        </w:rPr>
      </w:pPr>
      <w:r>
        <w:rPr>
          <w:lang w:val="fr-FR"/>
        </w:rPr>
        <w:t xml:space="preserve">une </w:t>
      </w:r>
      <w:r w:rsidRPr="002E7918">
        <w:rPr>
          <w:b/>
          <w:lang w:val="fr-FR"/>
        </w:rPr>
        <w:t>partie de mot</w:t>
      </w:r>
      <w:r>
        <w:rPr>
          <w:lang w:val="fr-FR"/>
        </w:rPr>
        <w:t xml:space="preserve"> pour identifier une série.</w:t>
      </w:r>
    </w:p>
    <w:p w:rsidR="00686FDB" w:rsidRPr="008069DD" w:rsidRDefault="00686FDB" w:rsidP="00B844B0">
      <w:pPr>
        <w:pStyle w:val="ListParagraph"/>
        <w:spacing w:before="120" w:after="120"/>
        <w:ind w:left="1080"/>
        <w:rPr>
          <w:i/>
          <w:lang w:val="fr-FR"/>
        </w:rPr>
      </w:pPr>
      <w:r>
        <w:rPr>
          <w:i/>
          <w:lang w:val="fr-FR"/>
        </w:rPr>
        <w:t>Exemple : CODI</w:t>
      </w:r>
      <w:r w:rsidRPr="008069DD">
        <w:rPr>
          <w:i/>
          <w:lang w:val="fr-FR"/>
        </w:rPr>
        <w:t xml:space="preserve"> donné par Caussade Semences à une série de variétés</w:t>
      </w:r>
    </w:p>
    <w:p w:rsidR="00686FDB" w:rsidRDefault="00686FDB" w:rsidP="00B844B0">
      <w:pPr>
        <w:pStyle w:val="ListParagraph"/>
        <w:spacing w:before="120" w:after="120"/>
        <w:ind w:left="1440"/>
        <w:rPr>
          <w:lang w:val="fr-FR"/>
        </w:rPr>
      </w:pPr>
    </w:p>
    <w:p w:rsidR="00686FDB" w:rsidRDefault="00686FDB" w:rsidP="00686FDB">
      <w:pPr>
        <w:pStyle w:val="ListParagraph"/>
        <w:numPr>
          <w:ilvl w:val="0"/>
          <w:numId w:val="13"/>
        </w:numPr>
        <w:spacing w:before="120" w:after="120"/>
        <w:rPr>
          <w:lang w:val="fr-FR"/>
        </w:rPr>
      </w:pPr>
      <w:r>
        <w:rPr>
          <w:lang w:val="fr-FR"/>
        </w:rPr>
        <w:t xml:space="preserve">un </w:t>
      </w:r>
      <w:r w:rsidRPr="003F1736">
        <w:rPr>
          <w:b/>
          <w:lang w:val="fr-FR"/>
        </w:rPr>
        <w:t>thème.</w:t>
      </w:r>
    </w:p>
    <w:p w:rsidR="00686FDB" w:rsidRDefault="00686FDB" w:rsidP="00B844B0">
      <w:pPr>
        <w:pStyle w:val="ListParagraph"/>
        <w:spacing w:before="120" w:after="120"/>
        <w:ind w:left="1080"/>
        <w:rPr>
          <w:i/>
          <w:lang w:val="fr-FR"/>
        </w:rPr>
      </w:pPr>
      <w:r w:rsidRPr="008069DD">
        <w:rPr>
          <w:i/>
          <w:lang w:val="fr-FR"/>
        </w:rPr>
        <w:t>Exemple :</w:t>
      </w:r>
      <w:r>
        <w:rPr>
          <w:i/>
          <w:lang w:val="fr-FR"/>
        </w:rPr>
        <w:t xml:space="preserve"> le thème oiseau</w:t>
      </w:r>
      <w:r w:rsidRPr="008069DD">
        <w:rPr>
          <w:i/>
          <w:lang w:val="fr-FR"/>
        </w:rPr>
        <w:t>, le thème musicien, le thème montagne …</w:t>
      </w:r>
    </w:p>
    <w:p w:rsidR="00686FDB" w:rsidRDefault="00686FDB" w:rsidP="00B844B0">
      <w:pPr>
        <w:spacing w:before="120" w:after="120"/>
        <w:rPr>
          <w:i/>
          <w:lang w:val="fr-FR"/>
        </w:rPr>
      </w:pPr>
    </w:p>
    <w:p w:rsidR="00686FDB" w:rsidRDefault="00686FDB" w:rsidP="00B844B0">
      <w:pPr>
        <w:spacing w:before="120" w:after="120"/>
        <w:rPr>
          <w:lang w:val="fr-FR"/>
        </w:rPr>
      </w:pPr>
    </w:p>
    <w:p w:rsidR="00686FDB" w:rsidRDefault="00686FDB" w:rsidP="00B844B0">
      <w:pPr>
        <w:spacing w:before="120" w:after="120"/>
        <w:rPr>
          <w:lang w:val="fr-FR"/>
        </w:rPr>
      </w:pPr>
      <w:r w:rsidRPr="003F1736">
        <w:rPr>
          <w:u w:val="single"/>
          <w:lang w:val="fr-FR"/>
        </w:rPr>
        <w:t>Sur le rôle de l’office</w:t>
      </w:r>
      <w:r>
        <w:rPr>
          <w:lang w:val="fr-FR"/>
        </w:rPr>
        <w:t>.</w:t>
      </w:r>
    </w:p>
    <w:p w:rsidR="00686FDB" w:rsidRDefault="00686FDB" w:rsidP="00B844B0">
      <w:pPr>
        <w:spacing w:before="120" w:after="120"/>
        <w:rPr>
          <w:lang w:val="fr-FR"/>
        </w:rPr>
      </w:pPr>
      <w:r>
        <w:rPr>
          <w:lang w:val="fr-FR"/>
        </w:rPr>
        <w:t xml:space="preserve">L’office de protection joue un rôle de vérification sur les points i) et ii) ci-dessus. </w:t>
      </w:r>
    </w:p>
    <w:p w:rsidR="00686FDB" w:rsidRPr="004D20C5" w:rsidRDefault="00686FDB" w:rsidP="00B844B0">
      <w:pPr>
        <w:spacing w:before="120" w:after="120"/>
        <w:rPr>
          <w:i/>
          <w:lang w:val="fr-FR"/>
        </w:rPr>
      </w:pPr>
      <w:r w:rsidRPr="004D20C5">
        <w:rPr>
          <w:i/>
          <w:lang w:val="fr-FR"/>
        </w:rPr>
        <w:t>Exemple : l’INOV vérifie que la variété dépo</w:t>
      </w:r>
      <w:r>
        <w:rPr>
          <w:i/>
          <w:lang w:val="fr-FR"/>
        </w:rPr>
        <w:t xml:space="preserve">sée avec une dénomination CODI </w:t>
      </w:r>
      <w:r w:rsidRPr="004D20C5">
        <w:rPr>
          <w:i/>
          <w:lang w:val="fr-FR"/>
        </w:rPr>
        <w:t xml:space="preserve">correspond bien à </w:t>
      </w:r>
      <w:r>
        <w:rPr>
          <w:i/>
          <w:lang w:val="fr-FR"/>
        </w:rPr>
        <w:t>un dépôt effectué par Caussade Semences et non pas par un autre obtenteur.</w:t>
      </w:r>
    </w:p>
    <w:p w:rsidR="00686FDB" w:rsidRDefault="00686FDB" w:rsidP="00B844B0">
      <w:pPr>
        <w:spacing w:before="120" w:after="120"/>
        <w:rPr>
          <w:lang w:val="fr-FR"/>
        </w:rPr>
      </w:pPr>
    </w:p>
    <w:p w:rsidR="00686FDB" w:rsidRDefault="00686FDB" w:rsidP="00B844B0">
      <w:pPr>
        <w:spacing w:before="120" w:after="120"/>
        <w:rPr>
          <w:lang w:val="fr-FR"/>
        </w:rPr>
      </w:pPr>
      <w:r>
        <w:rPr>
          <w:lang w:val="fr-FR"/>
        </w:rPr>
        <w:t>En revanche, l’INOV ne se prononce pas sur le point iii) pour les raisons suivantes :</w:t>
      </w:r>
    </w:p>
    <w:p w:rsidR="00686FDB" w:rsidRDefault="00686FDB" w:rsidP="00686FDB">
      <w:pPr>
        <w:pStyle w:val="ListParagraph"/>
        <w:numPr>
          <w:ilvl w:val="0"/>
          <w:numId w:val="11"/>
        </w:numPr>
        <w:spacing w:before="120" w:after="120"/>
        <w:rPr>
          <w:lang w:val="fr-FR"/>
        </w:rPr>
      </w:pPr>
      <w:r>
        <w:rPr>
          <w:lang w:val="fr-FR"/>
        </w:rPr>
        <w:t>la difficulté première réside dans la détection d’une série à laquelle est appliquée un thème particulier,</w:t>
      </w:r>
    </w:p>
    <w:p w:rsidR="00686FDB" w:rsidRDefault="00686FDB" w:rsidP="00686FDB">
      <w:pPr>
        <w:pStyle w:val="ListParagraph"/>
        <w:numPr>
          <w:ilvl w:val="0"/>
          <w:numId w:val="11"/>
        </w:numPr>
        <w:spacing w:before="120" w:after="120"/>
        <w:rPr>
          <w:lang w:val="fr-FR"/>
        </w:rPr>
      </w:pPr>
      <w:r>
        <w:rPr>
          <w:lang w:val="fr-FR"/>
        </w:rPr>
        <w:t xml:space="preserve">il n’y aucune raison à ce qu’un thème soit réservé à un obtenteur. </w:t>
      </w:r>
    </w:p>
    <w:p w:rsidR="00686FDB" w:rsidRDefault="00686FDB">
      <w:pPr>
        <w:spacing w:after="160" w:line="259" w:lineRule="auto"/>
        <w:rPr>
          <w:lang w:val="fr-FR"/>
        </w:rPr>
      </w:pPr>
      <w:r>
        <w:rPr>
          <w:lang w:val="fr-FR"/>
        </w:rPr>
        <w:br w:type="page"/>
      </w:r>
    </w:p>
    <w:p w:rsidR="00686FDB" w:rsidRDefault="00686FDB" w:rsidP="00B844B0">
      <w:pPr>
        <w:pStyle w:val="ListParagraph"/>
        <w:shd w:val="clear" w:color="auto" w:fill="FFECAF"/>
        <w:spacing w:before="120" w:after="120"/>
        <w:ind w:left="0"/>
        <w:rPr>
          <w:i/>
        </w:rPr>
      </w:pPr>
      <w:r>
        <w:t xml:space="preserve">c) provide </w:t>
      </w:r>
      <w:r w:rsidRPr="006C0D93">
        <w:rPr>
          <w:b/>
        </w:rPr>
        <w:t>examples</w:t>
      </w:r>
      <w:r>
        <w:t xml:space="preserve"> and </w:t>
      </w:r>
      <w:r w:rsidRPr="006C0D93">
        <w:rPr>
          <w:b/>
        </w:rPr>
        <w:t>criteria</w:t>
      </w:r>
      <w:r>
        <w:t xml:space="preserve"> for differences in the </w:t>
      </w:r>
      <w:r w:rsidRPr="006C0D93">
        <w:rPr>
          <w:b/>
        </w:rPr>
        <w:t>acceptability</w:t>
      </w:r>
      <w:r>
        <w:t xml:space="preserve"> of </w:t>
      </w:r>
      <w:r w:rsidRPr="006C0D93">
        <w:rPr>
          <w:b/>
        </w:rPr>
        <w:t>similar denominations</w:t>
      </w:r>
      <w:r>
        <w:t xml:space="preserve"> according to </w:t>
      </w:r>
      <w:r w:rsidRPr="006C0D93">
        <w:rPr>
          <w:b/>
        </w:rPr>
        <w:t>class</w:t>
      </w:r>
      <w:r>
        <w:t xml:space="preserve"> </w:t>
      </w:r>
      <w:r w:rsidRPr="006C0D93">
        <w:rPr>
          <w:i/>
        </w:rPr>
        <w:t>(e.g. in the case of a class following the general rule (one genus/one class), accepting a similar denomination for a variety of a different species within the same genus that would not be accepted for the same species)</w:t>
      </w:r>
      <w:r>
        <w:rPr>
          <w:i/>
        </w:rPr>
        <w:t>.</w:t>
      </w:r>
    </w:p>
    <w:p w:rsidR="00686FDB" w:rsidRDefault="00686FDB" w:rsidP="00B844B0">
      <w:pPr>
        <w:pStyle w:val="ListParagraph"/>
        <w:shd w:val="clear" w:color="auto" w:fill="FFECAF"/>
        <w:spacing w:before="120" w:after="120"/>
        <w:ind w:left="0"/>
        <w:rPr>
          <w:i/>
        </w:rPr>
      </w:pPr>
    </w:p>
    <w:tbl>
      <w:tblPr>
        <w:tblStyle w:val="TableGrid"/>
        <w:tblW w:w="0" w:type="auto"/>
        <w:jc w:val="center"/>
        <w:tblLook w:val="04A0" w:firstRow="1" w:lastRow="0" w:firstColumn="1" w:lastColumn="0" w:noHBand="0" w:noVBand="1"/>
      </w:tblPr>
      <w:tblGrid>
        <w:gridCol w:w="1696"/>
        <w:gridCol w:w="3260"/>
        <w:gridCol w:w="4104"/>
      </w:tblGrid>
      <w:tr w:rsidR="00686FDB" w:rsidRPr="00B844B0" w:rsidTr="00B844B0">
        <w:trPr>
          <w:jc w:val="center"/>
        </w:trPr>
        <w:tc>
          <w:tcPr>
            <w:tcW w:w="1696" w:type="dxa"/>
          </w:tcPr>
          <w:p w:rsidR="00686FDB" w:rsidRPr="003D05ED" w:rsidRDefault="00686FDB" w:rsidP="000D69EC">
            <w:pPr>
              <w:spacing w:before="120" w:after="120"/>
              <w:jc w:val="left"/>
              <w:rPr>
                <w:b/>
                <w:sz w:val="18"/>
                <w:szCs w:val="18"/>
              </w:rPr>
            </w:pPr>
            <w:r w:rsidRPr="003D05ED">
              <w:rPr>
                <w:b/>
                <w:sz w:val="18"/>
                <w:szCs w:val="18"/>
              </w:rPr>
              <w:t>Cas de figures</w:t>
            </w:r>
          </w:p>
        </w:tc>
        <w:tc>
          <w:tcPr>
            <w:tcW w:w="3260" w:type="dxa"/>
          </w:tcPr>
          <w:p w:rsidR="00686FDB" w:rsidRPr="00B844B0" w:rsidRDefault="00686FDB" w:rsidP="00B844B0">
            <w:pPr>
              <w:spacing w:before="120" w:after="120"/>
              <w:jc w:val="center"/>
              <w:rPr>
                <w:b/>
                <w:sz w:val="18"/>
                <w:szCs w:val="18"/>
                <w:lang w:val="fr-CH"/>
              </w:rPr>
            </w:pPr>
            <w:r w:rsidRPr="00B844B0">
              <w:rPr>
                <w:b/>
                <w:sz w:val="18"/>
                <w:szCs w:val="18"/>
                <w:lang w:val="fr-CH"/>
              </w:rPr>
              <w:t>Pratiques actuelles du GEVES et de l’INOV :</w:t>
            </w:r>
          </w:p>
        </w:tc>
        <w:tc>
          <w:tcPr>
            <w:tcW w:w="4104" w:type="dxa"/>
          </w:tcPr>
          <w:p w:rsidR="00686FDB" w:rsidRPr="00B844B0" w:rsidRDefault="00686FDB" w:rsidP="00B844B0">
            <w:pPr>
              <w:pStyle w:val="ListParagraph"/>
              <w:spacing w:before="120" w:after="120"/>
              <w:ind w:left="0"/>
              <w:jc w:val="center"/>
              <w:rPr>
                <w:b/>
                <w:color w:val="365F91" w:themeColor="accent1" w:themeShade="BF"/>
                <w:sz w:val="18"/>
                <w:szCs w:val="18"/>
                <w:lang w:val="fr-CH" w:eastAsia="ja-JP"/>
              </w:rPr>
            </w:pPr>
            <w:r w:rsidRPr="00B844B0">
              <w:rPr>
                <w:b/>
                <w:color w:val="365F91" w:themeColor="accent1" w:themeShade="BF"/>
                <w:sz w:val="18"/>
                <w:szCs w:val="18"/>
                <w:lang w:val="fr-CH" w:eastAsia="ja-JP"/>
              </w:rPr>
              <w:t>Pratiques futures envisagées par le GEVES et l’INOV :</w:t>
            </w:r>
          </w:p>
        </w:tc>
      </w:tr>
      <w:tr w:rsidR="00686FDB" w:rsidRPr="003D05ED" w:rsidTr="00B844B0">
        <w:trPr>
          <w:jc w:val="center"/>
        </w:trPr>
        <w:tc>
          <w:tcPr>
            <w:tcW w:w="1696" w:type="dxa"/>
          </w:tcPr>
          <w:p w:rsidR="00686FDB" w:rsidRPr="00B844B0" w:rsidRDefault="00686FDB" w:rsidP="000D69EC">
            <w:pPr>
              <w:pStyle w:val="ListParagraph"/>
              <w:spacing w:before="120" w:after="120"/>
              <w:ind w:left="0"/>
              <w:jc w:val="left"/>
              <w:rPr>
                <w:sz w:val="18"/>
                <w:szCs w:val="18"/>
                <w:lang w:val="fr-CH"/>
              </w:rPr>
            </w:pPr>
            <w:r w:rsidRPr="00B844B0">
              <w:rPr>
                <w:sz w:val="18"/>
                <w:szCs w:val="18"/>
                <w:lang w:val="fr-CH"/>
              </w:rPr>
              <w:t xml:space="preserve">CAS 1 : </w:t>
            </w:r>
          </w:p>
          <w:p w:rsidR="00686FDB" w:rsidRPr="00B844B0" w:rsidRDefault="00686FDB" w:rsidP="000D69EC">
            <w:pPr>
              <w:pStyle w:val="ListParagraph"/>
              <w:spacing w:before="120" w:after="120"/>
              <w:ind w:left="0"/>
              <w:jc w:val="left"/>
              <w:rPr>
                <w:sz w:val="18"/>
                <w:szCs w:val="18"/>
                <w:lang w:val="fr-CH"/>
              </w:rPr>
            </w:pPr>
            <w:r w:rsidRPr="00B844B0">
              <w:rPr>
                <w:sz w:val="18"/>
                <w:szCs w:val="18"/>
                <w:lang w:val="fr-CH"/>
              </w:rPr>
              <w:t>cas général</w:t>
            </w:r>
          </w:p>
          <w:p w:rsidR="00686FDB" w:rsidRPr="00B844B0" w:rsidRDefault="00686FDB" w:rsidP="000D69EC">
            <w:pPr>
              <w:pStyle w:val="ListParagraph"/>
              <w:spacing w:before="120" w:after="120"/>
              <w:ind w:left="0"/>
              <w:jc w:val="left"/>
              <w:rPr>
                <w:sz w:val="18"/>
                <w:szCs w:val="18"/>
                <w:lang w:val="fr-CH"/>
              </w:rPr>
            </w:pPr>
            <w:r w:rsidRPr="00B844B0">
              <w:rPr>
                <w:sz w:val="18"/>
                <w:szCs w:val="18"/>
                <w:lang w:val="fr-CH"/>
              </w:rPr>
              <w:t>1 classe/1 genre</w:t>
            </w:r>
          </w:p>
        </w:tc>
        <w:tc>
          <w:tcPr>
            <w:tcW w:w="3260" w:type="dxa"/>
          </w:tcPr>
          <w:p w:rsidR="00686FDB" w:rsidRPr="00B844B0" w:rsidRDefault="00686FDB" w:rsidP="00B844B0">
            <w:pPr>
              <w:pStyle w:val="ListParagraph"/>
              <w:spacing w:before="120" w:after="120"/>
              <w:ind w:left="0"/>
              <w:rPr>
                <w:sz w:val="18"/>
                <w:szCs w:val="18"/>
                <w:lang w:val="fr-CH"/>
              </w:rPr>
            </w:pPr>
          </w:p>
          <w:p w:rsidR="00686FDB" w:rsidRPr="00B844B0" w:rsidRDefault="00686FDB" w:rsidP="00B844B0">
            <w:pPr>
              <w:pStyle w:val="ListParagraph"/>
              <w:spacing w:before="120" w:after="120"/>
              <w:ind w:left="0"/>
              <w:rPr>
                <w:sz w:val="18"/>
                <w:szCs w:val="18"/>
                <w:lang w:val="fr-CH"/>
              </w:rPr>
            </w:pPr>
            <w:r w:rsidRPr="00B844B0">
              <w:rPr>
                <w:sz w:val="18"/>
                <w:szCs w:val="18"/>
                <w:lang w:val="fr-CH"/>
              </w:rPr>
              <w:t xml:space="preserve">Application stricte du principe général selon lequel une dénomination candidate est refusée s’il existe déjà une dénomination </w:t>
            </w:r>
            <w:r w:rsidRPr="00B844B0">
              <w:rPr>
                <w:sz w:val="18"/>
                <w:szCs w:val="18"/>
                <w:u w:val="single"/>
                <w:lang w:val="fr-CH"/>
              </w:rPr>
              <w:t>identique</w:t>
            </w:r>
            <w:r w:rsidRPr="00B844B0">
              <w:rPr>
                <w:sz w:val="18"/>
                <w:szCs w:val="18"/>
                <w:lang w:val="fr-CH"/>
              </w:rPr>
              <w:t xml:space="preserve"> ou </w:t>
            </w:r>
            <w:r w:rsidRPr="00B844B0">
              <w:rPr>
                <w:sz w:val="18"/>
                <w:szCs w:val="18"/>
                <w:u w:val="single"/>
                <w:lang w:val="fr-CH"/>
              </w:rPr>
              <w:t>similaire</w:t>
            </w:r>
            <w:r w:rsidRPr="00B844B0">
              <w:rPr>
                <w:sz w:val="18"/>
                <w:szCs w:val="18"/>
                <w:lang w:val="fr-CH"/>
              </w:rPr>
              <w:t xml:space="preserve"> dans la même classe.</w:t>
            </w:r>
          </w:p>
          <w:p w:rsidR="00686FDB" w:rsidRPr="00B844B0" w:rsidRDefault="00686FDB" w:rsidP="00B844B0">
            <w:pPr>
              <w:pStyle w:val="ListParagraph"/>
              <w:spacing w:before="120" w:after="120"/>
              <w:ind w:left="0"/>
              <w:rPr>
                <w:sz w:val="18"/>
                <w:szCs w:val="18"/>
                <w:lang w:val="fr-CH"/>
              </w:rPr>
            </w:pPr>
          </w:p>
          <w:p w:rsidR="00686FDB" w:rsidRPr="00B844B0" w:rsidRDefault="00686FDB" w:rsidP="00B844B0">
            <w:pPr>
              <w:pStyle w:val="ListParagraph"/>
              <w:spacing w:before="120" w:after="120"/>
              <w:ind w:left="0"/>
              <w:rPr>
                <w:sz w:val="18"/>
                <w:szCs w:val="18"/>
                <w:lang w:val="fr-CH"/>
              </w:rPr>
            </w:pPr>
          </w:p>
          <w:p w:rsidR="00686FDB" w:rsidRPr="00B844B0" w:rsidRDefault="00686FDB" w:rsidP="00B844B0">
            <w:pPr>
              <w:pStyle w:val="ListParagraph"/>
              <w:spacing w:before="120" w:after="120"/>
              <w:ind w:left="0"/>
              <w:rPr>
                <w:sz w:val="18"/>
                <w:szCs w:val="18"/>
                <w:lang w:val="fr-CH"/>
              </w:rPr>
            </w:pPr>
          </w:p>
          <w:p w:rsidR="00686FDB" w:rsidRPr="00B844B0" w:rsidRDefault="00686FDB" w:rsidP="00B844B0">
            <w:pPr>
              <w:pStyle w:val="ListParagraph"/>
              <w:spacing w:before="120" w:after="120"/>
              <w:ind w:left="0"/>
              <w:rPr>
                <w:sz w:val="18"/>
                <w:szCs w:val="18"/>
                <w:lang w:val="fr-CH"/>
              </w:rPr>
            </w:pPr>
          </w:p>
          <w:p w:rsidR="00686FDB" w:rsidRPr="00B844B0" w:rsidRDefault="00686FDB" w:rsidP="00B844B0">
            <w:pPr>
              <w:pStyle w:val="ListParagraph"/>
              <w:spacing w:before="120" w:after="120"/>
              <w:ind w:left="0"/>
              <w:rPr>
                <w:i/>
                <w:sz w:val="18"/>
                <w:szCs w:val="18"/>
                <w:lang w:val="fr-CH"/>
              </w:rPr>
            </w:pPr>
            <w:r w:rsidRPr="00B844B0">
              <w:rPr>
                <w:i/>
                <w:sz w:val="18"/>
                <w:szCs w:val="18"/>
                <w:lang w:val="fr-CH"/>
              </w:rPr>
              <w:t>Exemple du genre du prunus pour lequel il existe une seule classe.</w:t>
            </w:r>
          </w:p>
        </w:tc>
        <w:tc>
          <w:tcPr>
            <w:tcW w:w="4104" w:type="dxa"/>
          </w:tcPr>
          <w:p w:rsidR="00686FDB" w:rsidRPr="00B844B0" w:rsidRDefault="00686FDB" w:rsidP="00B844B0">
            <w:pPr>
              <w:spacing w:before="120" w:after="120"/>
              <w:rPr>
                <w:sz w:val="18"/>
                <w:szCs w:val="18"/>
                <w:lang w:val="fr-CH"/>
              </w:rPr>
            </w:pPr>
            <w:r w:rsidRPr="00B844B0">
              <w:rPr>
                <w:sz w:val="18"/>
                <w:szCs w:val="18"/>
                <w:lang w:val="fr-CH"/>
              </w:rPr>
              <w:t xml:space="preserve">Si 2 dénominations </w:t>
            </w:r>
            <w:r w:rsidRPr="00B844B0">
              <w:rPr>
                <w:sz w:val="18"/>
                <w:szCs w:val="18"/>
                <w:u w:val="single"/>
                <w:lang w:val="fr-CH"/>
              </w:rPr>
              <w:t>identiques</w:t>
            </w:r>
            <w:r w:rsidRPr="00B844B0">
              <w:rPr>
                <w:sz w:val="18"/>
                <w:szCs w:val="18"/>
                <w:lang w:val="fr-CH"/>
              </w:rPr>
              <w:t xml:space="preserve"> dans la même classe : dénomination candidate est refusée : </w:t>
            </w:r>
            <w:r w:rsidRPr="003D05ED">
              <w:rPr>
                <w:color w:val="FF0000"/>
                <w:sz w:val="40"/>
                <w:szCs w:val="40"/>
                <w:lang w:eastAsia="ja-JP"/>
              </w:rPr>
              <w:sym w:font="Wingdings" w:char="F04C"/>
            </w:r>
          </w:p>
          <w:p w:rsidR="00686FDB" w:rsidRPr="00B844B0" w:rsidRDefault="00686FDB" w:rsidP="00B844B0">
            <w:pPr>
              <w:spacing w:before="120" w:after="120"/>
              <w:rPr>
                <w:sz w:val="18"/>
                <w:szCs w:val="18"/>
                <w:lang w:val="fr-CH"/>
              </w:rPr>
            </w:pPr>
          </w:p>
          <w:p w:rsidR="00686FDB" w:rsidRPr="00B844B0" w:rsidRDefault="00686FDB" w:rsidP="00B844B0">
            <w:pPr>
              <w:spacing w:before="120" w:after="120"/>
              <w:rPr>
                <w:sz w:val="18"/>
                <w:szCs w:val="18"/>
                <w:lang w:val="fr-CH"/>
              </w:rPr>
            </w:pPr>
            <w:r w:rsidRPr="00B844B0">
              <w:rPr>
                <w:sz w:val="18"/>
                <w:szCs w:val="18"/>
                <w:lang w:val="fr-CH"/>
              </w:rPr>
              <w:t xml:space="preserve">Si 2 dénominations </w:t>
            </w:r>
            <w:r w:rsidRPr="00B844B0">
              <w:rPr>
                <w:sz w:val="18"/>
                <w:szCs w:val="18"/>
                <w:u w:val="single"/>
                <w:lang w:val="fr-CH"/>
              </w:rPr>
              <w:t>similaires</w:t>
            </w:r>
            <w:r w:rsidRPr="00B844B0">
              <w:rPr>
                <w:sz w:val="18"/>
                <w:szCs w:val="18"/>
                <w:lang w:val="fr-CH"/>
              </w:rPr>
              <w:t xml:space="preserve"> dans la même classe, l’INOV : </w:t>
            </w:r>
          </w:p>
          <w:p w:rsidR="00686FDB" w:rsidRPr="00B844B0" w:rsidRDefault="00686FDB" w:rsidP="00686FDB">
            <w:pPr>
              <w:pStyle w:val="ListParagraph"/>
              <w:numPr>
                <w:ilvl w:val="0"/>
                <w:numId w:val="11"/>
              </w:numPr>
              <w:spacing w:before="120" w:after="120"/>
              <w:ind w:left="318" w:hanging="260"/>
              <w:rPr>
                <w:sz w:val="40"/>
                <w:szCs w:val="40"/>
                <w:lang w:val="fr-CH"/>
              </w:rPr>
            </w:pPr>
            <w:r w:rsidRPr="00B844B0">
              <w:rPr>
                <w:sz w:val="18"/>
                <w:szCs w:val="18"/>
                <w:lang w:val="fr-CH"/>
              </w:rPr>
              <w:t xml:space="preserve">refuse la dénomination candidate s’il s’agit d’espèces identiques : </w:t>
            </w:r>
            <w:r w:rsidRPr="003D05ED">
              <w:rPr>
                <w:color w:val="FF0000"/>
                <w:sz w:val="40"/>
                <w:szCs w:val="40"/>
                <w:lang w:eastAsia="ja-JP"/>
              </w:rPr>
              <w:sym w:font="Wingdings" w:char="F04C"/>
            </w:r>
          </w:p>
          <w:p w:rsidR="00686FDB" w:rsidRPr="00B844B0" w:rsidRDefault="00686FDB" w:rsidP="00B844B0">
            <w:pPr>
              <w:pStyle w:val="ListParagraph"/>
              <w:spacing w:before="120" w:after="120"/>
              <w:ind w:left="318"/>
              <w:rPr>
                <w:sz w:val="18"/>
                <w:szCs w:val="18"/>
                <w:lang w:val="fr-CH"/>
              </w:rPr>
            </w:pPr>
          </w:p>
          <w:p w:rsidR="00686FDB" w:rsidRPr="003D05ED" w:rsidRDefault="00686FDB" w:rsidP="00686FDB">
            <w:pPr>
              <w:pStyle w:val="ListParagraph"/>
              <w:numPr>
                <w:ilvl w:val="0"/>
                <w:numId w:val="11"/>
              </w:numPr>
              <w:spacing w:before="120" w:after="120"/>
              <w:ind w:left="318" w:hanging="260"/>
              <w:rPr>
                <w:sz w:val="18"/>
                <w:szCs w:val="18"/>
              </w:rPr>
            </w:pPr>
            <w:r w:rsidRPr="00B844B0">
              <w:rPr>
                <w:sz w:val="18"/>
                <w:szCs w:val="18"/>
                <w:lang w:val="fr-CH"/>
              </w:rPr>
              <w:t xml:space="preserve">pourrait accepter la dénomination candidate s’il s’agit d’espèces différentes : </w:t>
            </w:r>
            <w:r w:rsidRPr="003D05ED">
              <w:rPr>
                <w:color w:val="E36C0A" w:themeColor="accent6" w:themeShade="BF"/>
                <w:sz w:val="18"/>
                <w:szCs w:val="18"/>
                <w:lang w:eastAsia="ja-JP"/>
              </w:rPr>
              <w:sym w:font="Wingdings" w:char="F04A"/>
            </w:r>
            <w:r w:rsidRPr="00B844B0">
              <w:rPr>
                <w:color w:val="E36C0A" w:themeColor="accent6" w:themeShade="BF"/>
                <w:sz w:val="18"/>
                <w:szCs w:val="18"/>
                <w:lang w:val="fr-CH" w:eastAsia="ja-JP"/>
              </w:rPr>
              <w:t xml:space="preserve"> </w:t>
            </w:r>
            <w:r w:rsidRPr="00B844B0">
              <w:rPr>
                <w:i/>
                <w:sz w:val="18"/>
                <w:szCs w:val="18"/>
                <w:lang w:val="fr-CH"/>
              </w:rPr>
              <w:t>(ex : abricotier et pêcher)</w:t>
            </w:r>
            <w:r w:rsidRPr="00B844B0">
              <w:rPr>
                <w:sz w:val="18"/>
                <w:szCs w:val="18"/>
                <w:lang w:val="fr-CH"/>
              </w:rPr>
              <w:t xml:space="preserve">. </w:t>
            </w:r>
            <w:r w:rsidRPr="003D05ED">
              <w:rPr>
                <w:sz w:val="18"/>
                <w:szCs w:val="18"/>
              </w:rPr>
              <w:t>= &gt; Nos experts techniques ont été sollicités sur la question.</w:t>
            </w:r>
          </w:p>
        </w:tc>
      </w:tr>
      <w:tr w:rsidR="00686FDB" w:rsidRPr="003D05ED" w:rsidTr="00B844B0">
        <w:trPr>
          <w:jc w:val="center"/>
        </w:trPr>
        <w:tc>
          <w:tcPr>
            <w:tcW w:w="1696" w:type="dxa"/>
          </w:tcPr>
          <w:p w:rsidR="00686FDB" w:rsidRPr="003D05ED" w:rsidRDefault="00686FDB" w:rsidP="000D69EC">
            <w:pPr>
              <w:spacing w:before="120" w:after="120"/>
              <w:jc w:val="left"/>
              <w:rPr>
                <w:sz w:val="18"/>
                <w:szCs w:val="18"/>
              </w:rPr>
            </w:pPr>
            <w:r w:rsidRPr="003D05ED">
              <w:rPr>
                <w:sz w:val="18"/>
                <w:szCs w:val="18"/>
              </w:rPr>
              <w:t>CAS 2 :</w:t>
            </w:r>
          </w:p>
          <w:p w:rsidR="00686FDB" w:rsidRPr="003D05ED" w:rsidRDefault="00686FDB" w:rsidP="000D69EC">
            <w:pPr>
              <w:spacing w:before="120" w:after="120"/>
              <w:jc w:val="left"/>
              <w:rPr>
                <w:sz w:val="18"/>
                <w:szCs w:val="18"/>
              </w:rPr>
            </w:pPr>
            <w:r w:rsidRPr="003D05ED">
              <w:rPr>
                <w:sz w:val="18"/>
                <w:szCs w:val="18"/>
              </w:rPr>
              <w:t>1 classe / plusieurs genres</w:t>
            </w:r>
          </w:p>
        </w:tc>
        <w:tc>
          <w:tcPr>
            <w:tcW w:w="3260" w:type="dxa"/>
          </w:tcPr>
          <w:p w:rsidR="00686FDB" w:rsidRPr="00B844B0" w:rsidRDefault="00686FDB" w:rsidP="00B844B0">
            <w:pPr>
              <w:spacing w:before="120" w:after="120"/>
              <w:rPr>
                <w:sz w:val="18"/>
                <w:szCs w:val="18"/>
                <w:lang w:val="fr-CH"/>
              </w:rPr>
            </w:pPr>
            <w:r w:rsidRPr="00B844B0">
              <w:rPr>
                <w:sz w:val="18"/>
                <w:szCs w:val="18"/>
                <w:lang w:val="fr-CH"/>
              </w:rPr>
              <w:t xml:space="preserve">Deux dénominations </w:t>
            </w:r>
            <w:r w:rsidRPr="00B844B0">
              <w:rPr>
                <w:sz w:val="18"/>
                <w:szCs w:val="18"/>
                <w:u w:val="single"/>
                <w:lang w:val="fr-CH"/>
              </w:rPr>
              <w:t>identiques</w:t>
            </w:r>
            <w:r w:rsidRPr="00B844B0">
              <w:rPr>
                <w:sz w:val="18"/>
                <w:szCs w:val="18"/>
                <w:lang w:val="fr-CH"/>
              </w:rPr>
              <w:t xml:space="preserve"> pour deux genres différents ne sont pas acceptées du fait de l’appartenance à la même classe. </w:t>
            </w:r>
          </w:p>
          <w:p w:rsidR="00686FDB" w:rsidRPr="003D05ED" w:rsidRDefault="00686FDB" w:rsidP="00B844B0">
            <w:pPr>
              <w:spacing w:before="120" w:after="120"/>
              <w:jc w:val="center"/>
              <w:rPr>
                <w:sz w:val="40"/>
                <w:szCs w:val="40"/>
              </w:rPr>
            </w:pPr>
            <w:r w:rsidRPr="003D05ED">
              <w:rPr>
                <w:color w:val="FF0000"/>
                <w:sz w:val="40"/>
                <w:szCs w:val="40"/>
                <w:lang w:eastAsia="ja-JP"/>
              </w:rPr>
              <w:sym w:font="Wingdings" w:char="F04C"/>
            </w:r>
          </w:p>
          <w:p w:rsidR="00686FDB" w:rsidRPr="00B844B0" w:rsidRDefault="00686FDB" w:rsidP="00B844B0">
            <w:pPr>
              <w:spacing w:before="120" w:after="120"/>
              <w:rPr>
                <w:sz w:val="18"/>
                <w:szCs w:val="18"/>
                <w:lang w:val="fr-CH"/>
              </w:rPr>
            </w:pPr>
            <w:r w:rsidRPr="00B844B0">
              <w:rPr>
                <w:sz w:val="18"/>
                <w:szCs w:val="18"/>
                <w:lang w:val="fr-CH"/>
              </w:rPr>
              <w:t xml:space="preserve">Deux dénominations </w:t>
            </w:r>
            <w:r w:rsidRPr="00B844B0">
              <w:rPr>
                <w:sz w:val="18"/>
                <w:szCs w:val="18"/>
                <w:u w:val="single"/>
                <w:lang w:val="fr-CH"/>
              </w:rPr>
              <w:t>similaires</w:t>
            </w:r>
            <w:r w:rsidRPr="00B844B0">
              <w:rPr>
                <w:sz w:val="18"/>
                <w:szCs w:val="18"/>
                <w:lang w:val="fr-CH"/>
              </w:rPr>
              <w:t xml:space="preserve"> pour deux genres différents ne sont pas acceptées du fait de l’appartenance à la même classe. </w:t>
            </w:r>
          </w:p>
          <w:p w:rsidR="00686FDB" w:rsidRPr="003D05ED" w:rsidRDefault="00686FDB" w:rsidP="00B844B0">
            <w:pPr>
              <w:spacing w:before="120" w:after="120"/>
              <w:jc w:val="center"/>
              <w:rPr>
                <w:sz w:val="40"/>
                <w:szCs w:val="40"/>
              </w:rPr>
            </w:pPr>
            <w:r w:rsidRPr="003D05ED">
              <w:rPr>
                <w:color w:val="FF0000"/>
                <w:sz w:val="40"/>
                <w:szCs w:val="40"/>
                <w:lang w:eastAsia="ja-JP"/>
              </w:rPr>
              <w:sym w:font="Wingdings" w:char="F04C"/>
            </w:r>
          </w:p>
          <w:p w:rsidR="00686FDB" w:rsidRPr="00B844B0" w:rsidRDefault="00686FDB" w:rsidP="00B844B0">
            <w:pPr>
              <w:spacing w:before="120" w:after="120"/>
              <w:rPr>
                <w:sz w:val="18"/>
                <w:szCs w:val="18"/>
                <w:lang w:val="fr-CH"/>
              </w:rPr>
            </w:pPr>
            <w:r w:rsidRPr="00B844B0">
              <w:rPr>
                <w:i/>
                <w:sz w:val="18"/>
                <w:szCs w:val="18"/>
                <w:lang w:val="fr-CH"/>
              </w:rPr>
              <w:t>Exemple : classe 205 avec les 2 genres « cichorium » et « lactuca »</w:t>
            </w:r>
          </w:p>
        </w:tc>
        <w:tc>
          <w:tcPr>
            <w:tcW w:w="4104" w:type="dxa"/>
          </w:tcPr>
          <w:p w:rsidR="00686FDB" w:rsidRPr="00B844B0" w:rsidRDefault="00686FDB" w:rsidP="00B844B0">
            <w:pPr>
              <w:spacing w:before="120" w:after="120"/>
              <w:rPr>
                <w:sz w:val="18"/>
                <w:szCs w:val="18"/>
                <w:lang w:val="fr-CH"/>
              </w:rPr>
            </w:pPr>
            <w:r w:rsidRPr="00B844B0">
              <w:rPr>
                <w:sz w:val="18"/>
                <w:szCs w:val="18"/>
                <w:lang w:val="fr-CH"/>
              </w:rPr>
              <w:t>Si 2 dénominations</w:t>
            </w:r>
            <w:r w:rsidRPr="00B844B0">
              <w:rPr>
                <w:sz w:val="18"/>
                <w:szCs w:val="18"/>
                <w:u w:val="single"/>
                <w:lang w:val="fr-CH"/>
              </w:rPr>
              <w:t xml:space="preserve"> identiques </w:t>
            </w:r>
            <w:r w:rsidRPr="00B844B0">
              <w:rPr>
                <w:sz w:val="18"/>
                <w:szCs w:val="18"/>
                <w:lang w:val="fr-CH"/>
              </w:rPr>
              <w:t>pour 2 genres différents de la même classe, l’INOV pourrait accepter la réutilisation</w:t>
            </w:r>
            <w:r w:rsidRPr="00B844B0">
              <w:rPr>
                <w:color w:val="E36C0A" w:themeColor="accent6" w:themeShade="BF"/>
                <w:sz w:val="18"/>
                <w:szCs w:val="18"/>
                <w:lang w:val="fr-CH" w:eastAsia="ja-JP"/>
              </w:rPr>
              <w:t xml:space="preserve"> </w:t>
            </w:r>
            <w:r w:rsidRPr="00B844B0">
              <w:rPr>
                <w:sz w:val="18"/>
                <w:szCs w:val="18"/>
                <w:lang w:val="fr-CH"/>
              </w:rPr>
              <w:t>au motif que les genres sont différents.</w:t>
            </w:r>
          </w:p>
          <w:p w:rsidR="00686FDB" w:rsidRPr="003D05ED" w:rsidRDefault="00686FDB" w:rsidP="00B844B0">
            <w:pPr>
              <w:spacing w:before="120" w:after="120"/>
              <w:jc w:val="center"/>
              <w:rPr>
                <w:sz w:val="40"/>
                <w:szCs w:val="40"/>
              </w:rPr>
            </w:pPr>
            <w:r w:rsidRPr="003D05ED">
              <w:rPr>
                <w:color w:val="76923C" w:themeColor="accent3" w:themeShade="BF"/>
                <w:sz w:val="40"/>
                <w:szCs w:val="40"/>
                <w:lang w:eastAsia="ja-JP"/>
              </w:rPr>
              <w:sym w:font="Wingdings" w:char="F04A"/>
            </w:r>
          </w:p>
          <w:p w:rsidR="00686FDB" w:rsidRPr="00B844B0" w:rsidRDefault="00686FDB" w:rsidP="00B844B0">
            <w:pPr>
              <w:spacing w:before="120" w:after="120"/>
              <w:rPr>
                <w:sz w:val="18"/>
                <w:szCs w:val="18"/>
                <w:lang w:val="fr-CH"/>
              </w:rPr>
            </w:pPr>
            <w:r w:rsidRPr="00B844B0">
              <w:rPr>
                <w:sz w:val="18"/>
                <w:szCs w:val="18"/>
                <w:lang w:val="fr-CH"/>
              </w:rPr>
              <w:t>Si 2 dénominations</w:t>
            </w:r>
            <w:r w:rsidRPr="00B844B0">
              <w:rPr>
                <w:sz w:val="18"/>
                <w:szCs w:val="18"/>
                <w:u w:val="single"/>
                <w:lang w:val="fr-CH"/>
              </w:rPr>
              <w:t xml:space="preserve"> similaires </w:t>
            </w:r>
            <w:r w:rsidRPr="00B844B0">
              <w:rPr>
                <w:sz w:val="18"/>
                <w:szCs w:val="18"/>
                <w:lang w:val="fr-CH"/>
              </w:rPr>
              <w:t>pour 2 genres différents de la même classe, l’INOV pourrait accepter la réutilisation</w:t>
            </w:r>
            <w:r w:rsidRPr="00B844B0">
              <w:rPr>
                <w:color w:val="E36C0A" w:themeColor="accent6" w:themeShade="BF"/>
                <w:sz w:val="18"/>
                <w:szCs w:val="18"/>
                <w:lang w:val="fr-CH" w:eastAsia="ja-JP"/>
              </w:rPr>
              <w:t xml:space="preserve"> </w:t>
            </w:r>
            <w:r w:rsidRPr="00B844B0">
              <w:rPr>
                <w:sz w:val="18"/>
                <w:szCs w:val="18"/>
                <w:lang w:val="fr-CH"/>
              </w:rPr>
              <w:t>au motif que les genres sont différents.</w:t>
            </w:r>
          </w:p>
          <w:p w:rsidR="00686FDB" w:rsidRPr="003D05ED" w:rsidRDefault="00686FDB" w:rsidP="00B844B0">
            <w:pPr>
              <w:spacing w:before="120" w:after="120"/>
              <w:jc w:val="center"/>
              <w:rPr>
                <w:sz w:val="40"/>
                <w:szCs w:val="40"/>
              </w:rPr>
            </w:pPr>
            <w:r w:rsidRPr="003D05ED">
              <w:rPr>
                <w:color w:val="76923C" w:themeColor="accent3" w:themeShade="BF"/>
                <w:sz w:val="40"/>
                <w:szCs w:val="40"/>
                <w:lang w:eastAsia="ja-JP"/>
              </w:rPr>
              <w:sym w:font="Wingdings" w:char="F04A"/>
            </w:r>
          </w:p>
          <w:p w:rsidR="00686FDB" w:rsidRPr="00B844B0" w:rsidRDefault="00686FDB" w:rsidP="00B844B0">
            <w:pPr>
              <w:spacing w:before="120" w:after="120"/>
              <w:rPr>
                <w:sz w:val="18"/>
                <w:szCs w:val="18"/>
                <w:lang w:val="fr-CH"/>
              </w:rPr>
            </w:pPr>
            <w:r w:rsidRPr="00B844B0">
              <w:rPr>
                <w:sz w:val="18"/>
                <w:szCs w:val="18"/>
                <w:lang w:val="fr-CH"/>
              </w:rPr>
              <w:t>= &gt; Nos experts techniques ont été sollicités sur la question.</w:t>
            </w:r>
          </w:p>
          <w:p w:rsidR="00686FDB" w:rsidRPr="00B844B0" w:rsidRDefault="00686FDB" w:rsidP="00B844B0">
            <w:pPr>
              <w:spacing w:before="120" w:after="120"/>
              <w:rPr>
                <w:sz w:val="18"/>
                <w:szCs w:val="18"/>
                <w:lang w:val="fr-CH"/>
              </w:rPr>
            </w:pPr>
          </w:p>
          <w:p w:rsidR="00686FDB" w:rsidRPr="003D05ED" w:rsidRDefault="00686FDB" w:rsidP="00B844B0">
            <w:pPr>
              <w:spacing w:before="120" w:after="120"/>
              <w:rPr>
                <w:sz w:val="18"/>
                <w:szCs w:val="18"/>
              </w:rPr>
            </w:pPr>
            <w:r w:rsidRPr="00B844B0">
              <w:rPr>
                <w:sz w:val="18"/>
                <w:szCs w:val="18"/>
                <w:lang w:val="fr-CH"/>
              </w:rPr>
              <w:t xml:space="preserve">Ce raisonnement est vrai pour la classe 205 </w:t>
            </w:r>
            <w:r w:rsidRPr="00B844B0">
              <w:rPr>
                <w:i/>
                <w:sz w:val="18"/>
                <w:szCs w:val="18"/>
                <w:lang w:val="fr-CH"/>
              </w:rPr>
              <w:t xml:space="preserve">(laitue et de la chicorée industrielle). </w:t>
            </w:r>
            <w:r w:rsidRPr="003D05ED">
              <w:rPr>
                <w:sz w:val="18"/>
                <w:szCs w:val="18"/>
              </w:rPr>
              <w:t xml:space="preserve">Le principe serait-il applicable à d’autres classes ?  </w:t>
            </w:r>
          </w:p>
        </w:tc>
      </w:tr>
      <w:tr w:rsidR="00686FDB" w:rsidRPr="003D05ED" w:rsidTr="00B844B0">
        <w:trPr>
          <w:jc w:val="center"/>
        </w:trPr>
        <w:tc>
          <w:tcPr>
            <w:tcW w:w="1696" w:type="dxa"/>
          </w:tcPr>
          <w:p w:rsidR="00686FDB" w:rsidRPr="003D05ED" w:rsidRDefault="00686FDB" w:rsidP="000D69EC">
            <w:pPr>
              <w:spacing w:before="120" w:after="120"/>
              <w:jc w:val="left"/>
              <w:rPr>
                <w:sz w:val="18"/>
                <w:szCs w:val="18"/>
              </w:rPr>
            </w:pPr>
            <w:r w:rsidRPr="003D05ED">
              <w:rPr>
                <w:sz w:val="18"/>
                <w:szCs w:val="18"/>
              </w:rPr>
              <w:t>CAS 3 :</w:t>
            </w:r>
          </w:p>
          <w:p w:rsidR="00686FDB" w:rsidRPr="003D05ED" w:rsidRDefault="00686FDB" w:rsidP="000D69EC">
            <w:pPr>
              <w:spacing w:before="120" w:after="120"/>
              <w:jc w:val="left"/>
              <w:rPr>
                <w:sz w:val="18"/>
                <w:szCs w:val="18"/>
              </w:rPr>
            </w:pPr>
            <w:r w:rsidRPr="003D05ED">
              <w:rPr>
                <w:sz w:val="18"/>
                <w:szCs w:val="18"/>
              </w:rPr>
              <w:t>1 genre / plusieurs classes</w:t>
            </w:r>
          </w:p>
        </w:tc>
        <w:tc>
          <w:tcPr>
            <w:tcW w:w="3260" w:type="dxa"/>
          </w:tcPr>
          <w:p w:rsidR="00686FDB" w:rsidRPr="00B844B0" w:rsidRDefault="00686FDB" w:rsidP="00B844B0">
            <w:pPr>
              <w:spacing w:before="120" w:after="120"/>
              <w:rPr>
                <w:sz w:val="18"/>
                <w:szCs w:val="18"/>
                <w:lang w:val="fr-CH"/>
              </w:rPr>
            </w:pPr>
            <w:r w:rsidRPr="00B844B0">
              <w:rPr>
                <w:sz w:val="18"/>
                <w:szCs w:val="18"/>
                <w:lang w:val="fr-CH"/>
              </w:rPr>
              <w:t xml:space="preserve">Respect du principe de la classe. </w:t>
            </w:r>
          </w:p>
          <w:p w:rsidR="00686FDB" w:rsidRPr="00B844B0" w:rsidRDefault="00686FDB" w:rsidP="00B844B0">
            <w:pPr>
              <w:spacing w:before="120" w:after="120"/>
              <w:rPr>
                <w:sz w:val="18"/>
                <w:szCs w:val="18"/>
                <w:lang w:val="fr-CH"/>
              </w:rPr>
            </w:pPr>
            <w:r w:rsidRPr="00B844B0">
              <w:rPr>
                <w:sz w:val="18"/>
                <w:szCs w:val="18"/>
                <w:lang w:val="fr-CH"/>
              </w:rPr>
              <w:t xml:space="preserve">Acceptation des dénominations </w:t>
            </w:r>
            <w:r w:rsidRPr="00B844B0">
              <w:rPr>
                <w:sz w:val="18"/>
                <w:szCs w:val="18"/>
                <w:u w:val="single"/>
                <w:lang w:val="fr-CH"/>
              </w:rPr>
              <w:t>identiques</w:t>
            </w:r>
            <w:r w:rsidRPr="00B844B0">
              <w:rPr>
                <w:sz w:val="18"/>
                <w:szCs w:val="18"/>
                <w:lang w:val="fr-CH"/>
              </w:rPr>
              <w:t xml:space="preserve"> ou </w:t>
            </w:r>
            <w:r w:rsidRPr="00B844B0">
              <w:rPr>
                <w:sz w:val="18"/>
                <w:szCs w:val="18"/>
                <w:u w:val="single"/>
                <w:lang w:val="fr-CH"/>
              </w:rPr>
              <w:t>similaires</w:t>
            </w:r>
            <w:r w:rsidRPr="00B844B0">
              <w:rPr>
                <w:sz w:val="18"/>
                <w:szCs w:val="18"/>
                <w:lang w:val="fr-CH"/>
              </w:rPr>
              <w:t xml:space="preserve"> dans un même genre dans des classes différentes. </w:t>
            </w:r>
          </w:p>
          <w:p w:rsidR="00686FDB" w:rsidRPr="003D05ED" w:rsidRDefault="00686FDB" w:rsidP="00B844B0">
            <w:pPr>
              <w:spacing w:before="120" w:after="120"/>
              <w:jc w:val="center"/>
              <w:rPr>
                <w:sz w:val="40"/>
                <w:szCs w:val="40"/>
              </w:rPr>
            </w:pPr>
            <w:r w:rsidRPr="003D05ED">
              <w:rPr>
                <w:color w:val="76923C" w:themeColor="accent3" w:themeShade="BF"/>
                <w:sz w:val="40"/>
                <w:szCs w:val="40"/>
                <w:lang w:eastAsia="ja-JP"/>
              </w:rPr>
              <w:sym w:font="Wingdings" w:char="F04A"/>
            </w:r>
          </w:p>
          <w:p w:rsidR="00686FDB" w:rsidRPr="00B844B0" w:rsidRDefault="00686FDB" w:rsidP="00B844B0">
            <w:pPr>
              <w:spacing w:before="120" w:after="120"/>
              <w:rPr>
                <w:i/>
                <w:sz w:val="18"/>
                <w:szCs w:val="18"/>
                <w:lang w:val="fr-CH"/>
              </w:rPr>
            </w:pPr>
            <w:r w:rsidRPr="00B844B0">
              <w:rPr>
                <w:i/>
                <w:sz w:val="18"/>
                <w:szCs w:val="18"/>
                <w:lang w:val="fr-CH"/>
              </w:rPr>
              <w:t>Exemple du genre « beta » dispatché sur les classes 2.1, 2.2 et 2.3.</w:t>
            </w:r>
          </w:p>
        </w:tc>
        <w:tc>
          <w:tcPr>
            <w:tcW w:w="4104" w:type="dxa"/>
          </w:tcPr>
          <w:p w:rsidR="00686FDB" w:rsidRPr="00B844B0" w:rsidRDefault="00686FDB" w:rsidP="00B844B0">
            <w:pPr>
              <w:spacing w:before="120" w:after="120"/>
              <w:rPr>
                <w:sz w:val="18"/>
                <w:szCs w:val="18"/>
                <w:lang w:val="fr-CH"/>
              </w:rPr>
            </w:pPr>
          </w:p>
          <w:p w:rsidR="00686FDB" w:rsidRPr="00B844B0" w:rsidRDefault="00686FDB" w:rsidP="00B844B0">
            <w:pPr>
              <w:spacing w:before="120" w:after="120"/>
              <w:rPr>
                <w:sz w:val="18"/>
                <w:szCs w:val="18"/>
                <w:lang w:val="fr-CH" w:eastAsia="ja-JP"/>
              </w:rPr>
            </w:pPr>
          </w:p>
          <w:p w:rsidR="00686FDB" w:rsidRPr="00B844B0" w:rsidRDefault="00686FDB" w:rsidP="00B844B0">
            <w:pPr>
              <w:spacing w:before="120" w:after="120"/>
              <w:rPr>
                <w:sz w:val="18"/>
                <w:szCs w:val="18"/>
                <w:lang w:val="fr-CH" w:eastAsia="ja-JP"/>
              </w:rPr>
            </w:pPr>
          </w:p>
          <w:p w:rsidR="00686FDB" w:rsidRPr="00B844B0" w:rsidRDefault="00686FDB" w:rsidP="00B844B0">
            <w:pPr>
              <w:spacing w:before="120" w:after="120"/>
              <w:rPr>
                <w:sz w:val="18"/>
                <w:szCs w:val="18"/>
                <w:lang w:val="fr-CH" w:eastAsia="ja-JP"/>
              </w:rPr>
            </w:pPr>
          </w:p>
          <w:p w:rsidR="00686FDB" w:rsidRPr="003D05ED" w:rsidRDefault="00686FDB" w:rsidP="00B844B0">
            <w:pPr>
              <w:spacing w:before="120" w:after="120"/>
              <w:rPr>
                <w:sz w:val="18"/>
                <w:szCs w:val="18"/>
              </w:rPr>
            </w:pPr>
            <w:r w:rsidRPr="003D05ED">
              <w:rPr>
                <w:sz w:val="18"/>
                <w:szCs w:val="18"/>
                <w:lang w:eastAsia="ja-JP"/>
              </w:rPr>
              <w:t>= &gt; idem. Même raisonnement.</w:t>
            </w:r>
          </w:p>
        </w:tc>
      </w:tr>
    </w:tbl>
    <w:p w:rsidR="00686FDB" w:rsidRPr="0086639B" w:rsidRDefault="00686FDB" w:rsidP="00B844B0">
      <w:pPr>
        <w:shd w:val="clear" w:color="auto" w:fill="FFECAF"/>
        <w:spacing w:after="160" w:line="259" w:lineRule="auto"/>
        <w:rPr>
          <w:rFonts w:cs="Arial"/>
        </w:rPr>
      </w:pPr>
      <w:r w:rsidRPr="00CD2820">
        <w:br w:type="page"/>
      </w:r>
      <w:r w:rsidRPr="0086639B">
        <w:rPr>
          <w:rFonts w:cs="Arial"/>
        </w:rPr>
        <w:t xml:space="preserve">(d) provide the </w:t>
      </w:r>
      <w:r w:rsidRPr="0086639B">
        <w:rPr>
          <w:rFonts w:cs="Arial"/>
          <w:b/>
        </w:rPr>
        <w:t>number of denominations</w:t>
      </w:r>
      <w:r w:rsidRPr="0086639B">
        <w:rPr>
          <w:rFonts w:cs="Arial"/>
        </w:rPr>
        <w:t>, in the past 12 months, that had previously been accepted by another member of the Union that did not meet the criteria for acceptance in your territory and, of those, the number that:</w:t>
      </w:r>
    </w:p>
    <w:p w:rsidR="00686FDB" w:rsidRDefault="00686FDB" w:rsidP="00686FDB">
      <w:pPr>
        <w:pStyle w:val="ListParagraph"/>
        <w:numPr>
          <w:ilvl w:val="1"/>
          <w:numId w:val="14"/>
        </w:numPr>
        <w:shd w:val="clear" w:color="auto" w:fill="FFECAF"/>
        <w:spacing w:after="120"/>
        <w:ind w:left="1276" w:hanging="425"/>
      </w:pPr>
      <w:r>
        <w:t>were accepted in your territory despite the fact that they did not meet the criteria for acceptance in your territory</w:t>
      </w:r>
    </w:p>
    <w:p w:rsidR="00686FDB" w:rsidRDefault="00686FDB" w:rsidP="00686FDB">
      <w:pPr>
        <w:pStyle w:val="ListParagraph"/>
        <w:numPr>
          <w:ilvl w:val="1"/>
          <w:numId w:val="14"/>
        </w:numPr>
        <w:shd w:val="clear" w:color="auto" w:fill="FFECAF"/>
        <w:spacing w:after="120"/>
        <w:ind w:left="1276" w:hanging="425"/>
      </w:pPr>
      <w:r>
        <w:t>were rejected in your territory because they did not meet the criteria for acceptance in your territory</w:t>
      </w:r>
    </w:p>
    <w:p w:rsidR="00686FDB" w:rsidRDefault="00686FDB" w:rsidP="00B844B0">
      <w:pPr>
        <w:spacing w:before="120" w:after="120"/>
      </w:pPr>
    </w:p>
    <w:p w:rsidR="00686FDB" w:rsidRDefault="00686FDB" w:rsidP="00B844B0">
      <w:pPr>
        <w:spacing w:before="120" w:after="120"/>
      </w:pPr>
    </w:p>
    <w:p w:rsidR="00686FDB" w:rsidRDefault="00686FDB" w:rsidP="00B844B0">
      <w:pPr>
        <w:spacing w:before="120" w:after="120"/>
        <w:rPr>
          <w:lang w:val="fr-FR"/>
        </w:rPr>
      </w:pPr>
      <w:r w:rsidRPr="00DC44F8">
        <w:rPr>
          <w:lang w:val="fr-FR"/>
        </w:rPr>
        <w:t xml:space="preserve">Il s’agit tout au plus de 1 à 2 cas par an. </w:t>
      </w:r>
      <w:r>
        <w:rPr>
          <w:lang w:val="fr-FR"/>
        </w:rPr>
        <w:t xml:space="preserve">Il existe très peu de cas. Ceci tient au fait que le GEVES et l’INOV utilisent quotidiennement les bases de données communes </w:t>
      </w:r>
      <w:r w:rsidRPr="00CD2820">
        <w:rPr>
          <w:i/>
          <w:lang w:val="fr-FR"/>
        </w:rPr>
        <w:t>(variety finder et pluto)</w:t>
      </w:r>
      <w:r>
        <w:rPr>
          <w:lang w:val="fr-FR"/>
        </w:rPr>
        <w:t xml:space="preserve"> et appliquent en permanence les règles officielles. Les exemples ci-dessous sont des cas exceptionnels confrontés à un conflit de règles.</w:t>
      </w:r>
    </w:p>
    <w:p w:rsidR="00686FDB" w:rsidRPr="00D40B09" w:rsidRDefault="00686FDB" w:rsidP="00B844B0">
      <w:pPr>
        <w:spacing w:before="120" w:after="120"/>
        <w:rPr>
          <w:lang w:val="fr-FR"/>
        </w:rPr>
      </w:pPr>
    </w:p>
    <w:p w:rsidR="00686FDB" w:rsidRDefault="00686FDB" w:rsidP="00B844B0">
      <w:pPr>
        <w:spacing w:before="120" w:after="120"/>
        <w:rPr>
          <w:lang w:val="fr-FR"/>
        </w:rPr>
      </w:pPr>
      <w:r w:rsidRPr="00D40B09">
        <w:rPr>
          <w:u w:val="single"/>
          <w:lang w:val="fr-FR"/>
        </w:rPr>
        <w:t>CAS 1</w:t>
      </w:r>
      <w:r w:rsidRPr="00D40B09">
        <w:rPr>
          <w:lang w:val="fr-FR"/>
        </w:rPr>
        <w:t xml:space="preserve"> : </w:t>
      </w:r>
    </w:p>
    <w:p w:rsidR="00686FDB" w:rsidRPr="00D40B09" w:rsidRDefault="00686FDB" w:rsidP="00B844B0">
      <w:pPr>
        <w:spacing w:before="120" w:after="120"/>
        <w:rPr>
          <w:lang w:val="fr-FR"/>
        </w:rPr>
      </w:pPr>
      <w:r w:rsidRPr="00D40B09">
        <w:rPr>
          <w:lang w:val="fr-FR"/>
        </w:rPr>
        <w:t xml:space="preserve">Dénomination proposée </w:t>
      </w:r>
      <w:r>
        <w:rPr>
          <w:lang w:val="fr-FR"/>
        </w:rPr>
        <w:t>à l</w:t>
      </w:r>
      <w:r w:rsidRPr="00D40B09">
        <w:rPr>
          <w:u w:val="single"/>
          <w:lang w:val="fr-FR"/>
        </w:rPr>
        <w:t>’identique</w:t>
      </w:r>
      <w:r>
        <w:rPr>
          <w:lang w:val="fr-FR"/>
        </w:rPr>
        <w:t xml:space="preserve"> d’</w:t>
      </w:r>
      <w:r w:rsidRPr="00D40B09">
        <w:rPr>
          <w:lang w:val="fr-FR"/>
        </w:rPr>
        <w:t xml:space="preserve">une dénomination antérieure </w:t>
      </w:r>
    </w:p>
    <w:p w:rsidR="00686FDB" w:rsidRDefault="00686FDB" w:rsidP="00B844B0">
      <w:pPr>
        <w:spacing w:before="120" w:after="120"/>
        <w:rPr>
          <w:lang w:val="fr-FR"/>
        </w:rPr>
      </w:pPr>
      <w:r>
        <w:rPr>
          <w:lang w:val="fr-FR"/>
        </w:rPr>
        <w:t>Pour des espèces différentes mais de même classe</w:t>
      </w:r>
    </w:p>
    <w:p w:rsidR="00686FDB" w:rsidRDefault="00686FDB" w:rsidP="00B844B0">
      <w:pPr>
        <w:spacing w:before="120" w:after="120"/>
        <w:rPr>
          <w:lang w:val="fr-FR"/>
        </w:rPr>
      </w:pPr>
      <w:r>
        <w:rPr>
          <w:lang w:val="fr-FR"/>
        </w:rPr>
        <w:t>La variété antérieure a été radiée depuis moins de 10 ans</w:t>
      </w:r>
    </w:p>
    <w:p w:rsidR="00686FDB" w:rsidRDefault="00686FDB" w:rsidP="00B844B0">
      <w:pPr>
        <w:spacing w:before="120" w:after="120"/>
        <w:rPr>
          <w:lang w:val="fr-FR"/>
        </w:rPr>
      </w:pPr>
      <w:r>
        <w:rPr>
          <w:lang w:val="fr-FR"/>
        </w:rPr>
        <w:t>= &gt; la dénomination candidate aurait dû être refusée mais elle a été, cependant, acceptée du fait que la variété candidate fut commercialisée hors UE afin de respecter le principe d’unicité de la dénomination.</w:t>
      </w:r>
    </w:p>
    <w:p w:rsidR="00686FDB" w:rsidRDefault="00686FDB" w:rsidP="00B844B0">
      <w:pPr>
        <w:spacing w:before="120" w:after="120"/>
        <w:rPr>
          <w:lang w:val="fr-FR"/>
        </w:rPr>
      </w:pPr>
    </w:p>
    <w:p w:rsidR="00686FDB" w:rsidRDefault="00686FDB" w:rsidP="00B844B0">
      <w:pPr>
        <w:spacing w:before="120" w:after="120"/>
        <w:rPr>
          <w:lang w:val="fr-FR"/>
        </w:rPr>
      </w:pPr>
      <w:r w:rsidRPr="00D40B09">
        <w:rPr>
          <w:u w:val="single"/>
          <w:lang w:val="fr-FR"/>
        </w:rPr>
        <w:t>CAS 2</w:t>
      </w:r>
      <w:r>
        <w:rPr>
          <w:lang w:val="fr-FR"/>
        </w:rPr>
        <w:t xml:space="preserve"> : </w:t>
      </w:r>
    </w:p>
    <w:p w:rsidR="00686FDB" w:rsidRDefault="00686FDB" w:rsidP="00B844B0">
      <w:pPr>
        <w:spacing w:before="120" w:after="120"/>
        <w:rPr>
          <w:lang w:val="fr-FR"/>
        </w:rPr>
      </w:pPr>
      <w:r>
        <w:rPr>
          <w:lang w:val="fr-FR"/>
        </w:rPr>
        <w:t xml:space="preserve">Dénomination candidate </w:t>
      </w:r>
      <w:r w:rsidRPr="00F81943">
        <w:rPr>
          <w:u w:val="single"/>
          <w:lang w:val="fr-FR"/>
        </w:rPr>
        <w:t>similaire</w:t>
      </w:r>
      <w:r>
        <w:rPr>
          <w:lang w:val="fr-FR"/>
        </w:rPr>
        <w:t xml:space="preserve"> à une dénomination antérieure</w:t>
      </w:r>
    </w:p>
    <w:p w:rsidR="00686FDB" w:rsidRDefault="00686FDB" w:rsidP="00B844B0">
      <w:pPr>
        <w:spacing w:before="120" w:after="120"/>
        <w:rPr>
          <w:lang w:val="fr-FR"/>
        </w:rPr>
      </w:pPr>
      <w:r>
        <w:rPr>
          <w:lang w:val="fr-FR"/>
        </w:rPr>
        <w:t>Pour des espèces identiques (même classe)</w:t>
      </w:r>
    </w:p>
    <w:p w:rsidR="00686FDB" w:rsidRDefault="00686FDB" w:rsidP="00B844B0">
      <w:pPr>
        <w:spacing w:before="120" w:after="120"/>
        <w:rPr>
          <w:lang w:val="fr-FR"/>
        </w:rPr>
      </w:pPr>
      <w:r>
        <w:rPr>
          <w:lang w:val="fr-FR"/>
        </w:rPr>
        <w:t>La variété antérieure est toujours inscrite au catalogue européen</w:t>
      </w:r>
    </w:p>
    <w:p w:rsidR="00686FDB" w:rsidRPr="00D40B09" w:rsidRDefault="00686FDB" w:rsidP="00B844B0">
      <w:pPr>
        <w:spacing w:before="120" w:after="120"/>
        <w:rPr>
          <w:lang w:val="fr-FR"/>
        </w:rPr>
      </w:pPr>
      <w:r>
        <w:rPr>
          <w:lang w:val="fr-FR"/>
        </w:rPr>
        <w:t>=&gt; la dénomination aurait dû être refusée du fait de la similarité de la dénomination pour des espèces de même classe. Néanmoins elle fut acceptée du fait que la variété candidate fut commercialisée hors UE, et ce, afin de respecter le principe d’unicité de la dénomination.</w:t>
      </w:r>
    </w:p>
    <w:p w:rsidR="00686FDB" w:rsidRPr="00B844B0" w:rsidRDefault="00686FDB" w:rsidP="00B844B0">
      <w:pPr>
        <w:rPr>
          <w:lang w:val="fr-CH"/>
        </w:rPr>
      </w:pPr>
    </w:p>
    <w:p w:rsidR="00686FDB" w:rsidRPr="00B844B0" w:rsidRDefault="00686FDB" w:rsidP="00B844B0">
      <w:pPr>
        <w:rPr>
          <w:lang w:val="fr-CH"/>
        </w:rPr>
      </w:pPr>
    </w:p>
    <w:p w:rsidR="00686FDB" w:rsidRPr="00B844B0" w:rsidRDefault="00686FDB" w:rsidP="00B844B0">
      <w:pPr>
        <w:rPr>
          <w:lang w:val="fr-CH"/>
        </w:rPr>
      </w:pPr>
    </w:p>
    <w:p w:rsidR="00686FDB" w:rsidRDefault="00686FDB" w:rsidP="00B844B0">
      <w:pPr>
        <w:jc w:val="right"/>
      </w:pPr>
      <w:r>
        <w:t>[Annex V follows]</w:t>
      </w:r>
    </w:p>
    <w:p w:rsidR="00686FDB" w:rsidRDefault="00686FDB" w:rsidP="00B844B0">
      <w:pPr>
        <w:sectPr w:rsidR="00686FDB" w:rsidSect="00B844B0">
          <w:headerReference w:type="default" r:id="rId53"/>
          <w:pgSz w:w="11907" w:h="16840" w:code="9"/>
          <w:pgMar w:top="510" w:right="1134" w:bottom="851" w:left="1134" w:header="510" w:footer="624" w:gutter="0"/>
          <w:pgNumType w:start="1"/>
          <w:cols w:space="720"/>
          <w:titlePg/>
        </w:sectPr>
      </w:pPr>
    </w:p>
    <w:p w:rsidR="00686FDB" w:rsidRPr="00B44DAA" w:rsidRDefault="00686FDB" w:rsidP="00B844B0">
      <w:pPr>
        <w:jc w:val="center"/>
      </w:pPr>
      <w:r w:rsidRPr="00B44DAA">
        <w:t>UPOV/WG-DEN/4/2</w:t>
      </w:r>
    </w:p>
    <w:p w:rsidR="00686FDB" w:rsidRPr="00D96D6E" w:rsidRDefault="00686FDB" w:rsidP="00B844B0">
      <w:pPr>
        <w:jc w:val="center"/>
      </w:pPr>
    </w:p>
    <w:p w:rsidR="00686FDB" w:rsidRPr="00D96D6E" w:rsidRDefault="00686FDB" w:rsidP="00B844B0">
      <w:pPr>
        <w:jc w:val="center"/>
      </w:pPr>
      <w:r w:rsidRPr="00D96D6E">
        <w:t>ANNEX V</w:t>
      </w:r>
    </w:p>
    <w:p w:rsidR="00686FDB" w:rsidRPr="00B44DAA" w:rsidRDefault="00686FDB" w:rsidP="00B844B0">
      <w:pPr>
        <w:jc w:val="center"/>
      </w:pPr>
    </w:p>
    <w:p w:rsidR="00686FDB" w:rsidRPr="00B44DAA" w:rsidRDefault="00686FDB" w:rsidP="00B844B0">
      <w:pPr>
        <w:jc w:val="center"/>
      </w:pPr>
    </w:p>
    <w:p w:rsidR="00686FDB" w:rsidRDefault="00686FDB" w:rsidP="00B844B0">
      <w:pPr>
        <w:jc w:val="center"/>
        <w:rPr>
          <w:lang w:eastAsia="ja-JP"/>
        </w:rPr>
      </w:pPr>
      <w:r w:rsidRPr="00B44DAA">
        <w:rPr>
          <w:lang w:eastAsia="ja-JP"/>
        </w:rPr>
        <w:t xml:space="preserve">RESPONSE FROM </w:t>
      </w:r>
      <w:r>
        <w:rPr>
          <w:lang w:eastAsia="ja-JP"/>
        </w:rPr>
        <w:t xml:space="preserve">THE NETHERLANDS </w:t>
      </w:r>
      <w:r w:rsidRPr="00B44DAA">
        <w:rPr>
          <w:lang w:eastAsia="ja-JP"/>
        </w:rPr>
        <w:t>TO UPOV CIRCULAR E</w:t>
      </w:r>
      <w:r w:rsidRPr="00B44DAA">
        <w:rPr>
          <w:lang w:eastAsia="ja-JP"/>
        </w:rPr>
        <w:noBreakHyphen/>
        <w:t>17/135</w:t>
      </w:r>
    </w:p>
    <w:p w:rsidR="00686FDB" w:rsidRDefault="00686FDB" w:rsidP="00B844B0"/>
    <w:p w:rsidR="00686FDB" w:rsidRDefault="00686FDB" w:rsidP="00B844B0"/>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 xml:space="preserve">The purpose of this circular is to invite members of the Working Group on Variety Denominations (WG-DEN), </w:t>
      </w:r>
      <w:r w:rsidRPr="00D96D6E">
        <w:rPr>
          <w:rStyle w:val="Strong"/>
          <w:rFonts w:cs="Arial"/>
          <w:color w:val="000000"/>
          <w:szCs w:val="20"/>
          <w:lang w:val="en-GB"/>
        </w:rPr>
        <w:t>by September 15, 2017</w:t>
      </w:r>
      <w:r w:rsidRPr="00D96D6E">
        <w:rPr>
          <w:rFonts w:cs="Arial"/>
          <w:color w:val="000000"/>
          <w:szCs w:val="20"/>
          <w:lang w:val="en-GB"/>
        </w:rPr>
        <w:t>, to:</w:t>
      </w:r>
    </w:p>
    <w:p w:rsidR="00686FDB" w:rsidRPr="00D96D6E" w:rsidRDefault="00686FDB" w:rsidP="00B844B0">
      <w:pPr>
        <w:pStyle w:val="NormalWeb"/>
        <w:spacing w:before="0" w:beforeAutospacing="0" w:after="0" w:afterAutospacing="0"/>
        <w:rPr>
          <w:rFonts w:cs="Arial"/>
          <w:color w:val="000000"/>
          <w:szCs w:val="20"/>
          <w:lang w:val="en-GB"/>
        </w:rPr>
      </w:pP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(a)           provide examples of allowing the re-use of denominations (see information concerning document UPOV/INF/12/6 Draft 3, Section 2.3.3(c) below);</w:t>
      </w: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 </w:t>
      </w:r>
    </w:p>
    <w:p w:rsidR="00686FDB" w:rsidRPr="00D96D6E" w:rsidRDefault="00686FDB" w:rsidP="00B844B0">
      <w:pPr>
        <w:pStyle w:val="NormalWeb"/>
        <w:spacing w:before="0" w:beforeAutospacing="0" w:after="0" w:afterAutospacing="0"/>
        <w:rPr>
          <w:rStyle w:val="Emphasis"/>
          <w:rFonts w:cs="Arial"/>
          <w:color w:val="FF0000"/>
          <w:szCs w:val="20"/>
          <w:lang w:val="en-GB"/>
        </w:rPr>
      </w:pPr>
      <w:r w:rsidRPr="00D96D6E">
        <w:rPr>
          <w:rStyle w:val="Emphasis"/>
          <w:rFonts w:cs="Arial"/>
          <w:color w:val="FF0000"/>
          <w:szCs w:val="20"/>
          <w:lang w:val="en-GB"/>
        </w:rPr>
        <w:t>&gt;&gt; We fully agree with this article; we don’t have examples.</w:t>
      </w: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 </w:t>
      </w: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(b)           comment on whether PVP Offices should have a role in recognizing breeders practices in naming varieties (e.g. prefixes, themes) or whether that should be left to other mechanisms (e.g. trademarks) (see information concerning document UPOV/INF/12/6 Draft 3, Section 2.3.4 below)</w:t>
      </w: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 </w:t>
      </w:r>
    </w:p>
    <w:p w:rsidR="00686FDB" w:rsidRPr="00D96D6E" w:rsidRDefault="00686FDB" w:rsidP="00B844B0">
      <w:pPr>
        <w:pStyle w:val="NormalWeb"/>
        <w:spacing w:before="0" w:beforeAutospacing="0" w:after="0" w:afterAutospacing="0"/>
        <w:rPr>
          <w:rStyle w:val="Emphasis"/>
          <w:rFonts w:cs="Arial"/>
          <w:color w:val="FF0000"/>
          <w:szCs w:val="20"/>
          <w:lang w:val="en-GB"/>
        </w:rPr>
      </w:pPr>
      <w:r w:rsidRPr="00D96D6E">
        <w:rPr>
          <w:rStyle w:val="Emphasis"/>
          <w:rFonts w:cs="Arial"/>
          <w:color w:val="FF0000"/>
          <w:szCs w:val="20"/>
          <w:lang w:val="en-GB"/>
        </w:rPr>
        <w:t>&gt;&gt; In our opinion PVP offices shouldn’t have a role in this. So in principle prefixed (code) denominations are also acceptable for other breeders. We suggest to illustrate the article with clear examples:</w:t>
      </w:r>
    </w:p>
    <w:p w:rsidR="00686FDB" w:rsidRPr="00D96D6E" w:rsidRDefault="00686FDB" w:rsidP="00B844B0">
      <w:pPr>
        <w:pStyle w:val="BasistekstNaktuinbouw"/>
        <w:spacing w:line="240" w:lineRule="auto"/>
        <w:rPr>
          <w:rFonts w:cs="Arial"/>
          <w:i/>
          <w:color w:val="FF0000"/>
          <w:szCs w:val="20"/>
          <w:lang w:val="en-GB"/>
        </w:rPr>
      </w:pPr>
      <w:r w:rsidRPr="00D96D6E">
        <w:rPr>
          <w:rFonts w:cs="Arial"/>
          <w:i/>
          <w:color w:val="FF0000"/>
          <w:szCs w:val="20"/>
          <w:lang w:val="en-GB"/>
        </w:rPr>
        <w:t>Rosa ‘Kor023’ is acceptable for another Rose breeder  if there already is a series of prefixed names Rose breeder Kordes (e.g. ‘’Korenlo’, ‘Korescal’, ‘Koresmini’, etc.).</w:t>
      </w:r>
    </w:p>
    <w:p w:rsidR="00686FDB" w:rsidRPr="00D96D6E" w:rsidRDefault="00686FDB" w:rsidP="00B844B0">
      <w:pPr>
        <w:pStyle w:val="BasistekstNaktuinbouw"/>
        <w:spacing w:line="240" w:lineRule="auto"/>
        <w:rPr>
          <w:rFonts w:cs="Arial"/>
          <w:i/>
          <w:color w:val="FF0000"/>
          <w:szCs w:val="20"/>
          <w:lang w:val="en-GB"/>
        </w:rPr>
      </w:pPr>
      <w:r w:rsidRPr="00D96D6E">
        <w:rPr>
          <w:rFonts w:cs="Arial"/>
          <w:i/>
          <w:color w:val="FF0000"/>
          <w:szCs w:val="20"/>
          <w:lang w:val="en-GB"/>
        </w:rPr>
        <w:t>It is not acceptable to use the full name of the Rose breeder; e.g. ‘Kordes Pride’ or ‘Kordes023’ are not allowed for other Rose breeders than Kordes.</w:t>
      </w:r>
    </w:p>
    <w:p w:rsidR="00686FDB" w:rsidRPr="00D96D6E" w:rsidRDefault="00686FDB" w:rsidP="00B844B0">
      <w:pPr>
        <w:pStyle w:val="BasistekstNaktuinbouw"/>
        <w:spacing w:line="240" w:lineRule="auto"/>
        <w:rPr>
          <w:rFonts w:cs="Arial"/>
          <w:i/>
          <w:color w:val="FF0000"/>
          <w:szCs w:val="20"/>
          <w:lang w:val="en-GB"/>
        </w:rPr>
      </w:pPr>
      <w:r w:rsidRPr="00D96D6E">
        <w:rPr>
          <w:rFonts w:cs="Arial"/>
          <w:i/>
          <w:color w:val="FF0000"/>
          <w:szCs w:val="20"/>
          <w:lang w:val="en-GB"/>
        </w:rPr>
        <w:t>This view is also in line with Recommendation 21J of the ICNCP.</w:t>
      </w: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 </w:t>
      </w: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(c)           provide examples and criteria for differences in the acceptability of similar denominations according to class (e.g. in the case of a class following the general rule (one genus/one class), accepting a similar denomination for a variety of a different species within the same genus that would not be accepted for the same species) (see information concerning document UPOV/INF/12/6 Draft 3, Section 2.5 below)</w:t>
      </w:r>
    </w:p>
    <w:p w:rsidR="00686FDB" w:rsidRPr="00D96D6E" w:rsidRDefault="00686FDB" w:rsidP="00B844B0">
      <w:pPr>
        <w:pStyle w:val="NormalWeb"/>
        <w:spacing w:before="0" w:beforeAutospacing="0" w:after="0" w:afterAutospacing="0"/>
        <w:rPr>
          <w:rFonts w:cs="Arial"/>
          <w:color w:val="000000"/>
          <w:szCs w:val="20"/>
          <w:lang w:val="en-GB"/>
        </w:rPr>
      </w:pPr>
    </w:p>
    <w:p w:rsidR="00686FDB" w:rsidRPr="00D96D6E" w:rsidRDefault="00686FDB" w:rsidP="00B844B0">
      <w:pPr>
        <w:pStyle w:val="BasistekstNaktuinbouw"/>
        <w:spacing w:line="240" w:lineRule="auto"/>
        <w:rPr>
          <w:rFonts w:cs="Arial"/>
          <w:i/>
          <w:color w:val="FF0000"/>
          <w:szCs w:val="20"/>
          <w:lang w:val="en-GB"/>
        </w:rPr>
      </w:pPr>
      <w:r w:rsidRPr="00D96D6E">
        <w:rPr>
          <w:rFonts w:cs="Arial"/>
          <w:i/>
          <w:color w:val="FF0000"/>
          <w:szCs w:val="20"/>
          <w:lang w:val="en-GB"/>
        </w:rPr>
        <w:t xml:space="preserve">&gt;&gt; We are satisfied with the existing general rule one class/one genus. Exceptions o  his rule can be listed in  Annex 1 (list of Classes part 1 or part 2). Removing or adding Genera and species mentioned in these lists could be discussed. </w:t>
      </w:r>
    </w:p>
    <w:p w:rsidR="00686FDB" w:rsidRPr="00D96D6E" w:rsidRDefault="00686FDB" w:rsidP="00B844B0">
      <w:pPr>
        <w:pStyle w:val="BasistekstNaktuinbouw"/>
        <w:spacing w:line="240" w:lineRule="auto"/>
        <w:rPr>
          <w:rFonts w:cs="Arial"/>
          <w:i/>
          <w:color w:val="FF0000"/>
          <w:szCs w:val="20"/>
          <w:lang w:val="en-GB"/>
        </w:rPr>
      </w:pPr>
      <w:r w:rsidRPr="00D96D6E">
        <w:rPr>
          <w:rFonts w:cs="Arial"/>
          <w:i/>
          <w:color w:val="FF0000"/>
          <w:szCs w:val="20"/>
          <w:lang w:val="en-GB"/>
        </w:rPr>
        <w:t>One of our suggestions is to add some species and genera from the ICNCP as suggested before. We think that is not necessary the add the whole list, because many crops are not relevant for PBR. If wished we can send a list of some relevant genera/species in order to harmonize with appendix V of the special denomination classes..</w:t>
      </w:r>
    </w:p>
    <w:p w:rsidR="00686FDB" w:rsidRPr="00D96D6E" w:rsidRDefault="00686FDB" w:rsidP="00B844B0">
      <w:pPr>
        <w:pStyle w:val="BasistekstNaktuinbouw"/>
        <w:spacing w:line="240" w:lineRule="auto"/>
        <w:rPr>
          <w:rFonts w:cs="Arial"/>
          <w:szCs w:val="20"/>
          <w:lang w:val="en-GB"/>
        </w:rPr>
      </w:pP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 </w:t>
      </w: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(d) provide the number of denominations, in the past 12 months , that had previously been accepted by another member of the Union that did not meet the criteria for acceptance in your territory and, of those, the number that:</w:t>
      </w: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i/>
          <w:color w:val="FF0000"/>
          <w:szCs w:val="20"/>
          <w:lang w:val="en-GB"/>
        </w:rPr>
        <w:t>&gt;&gt; We selected the year 2016 were 1529 denominations have been applied:</w:t>
      </w:r>
    </w:p>
    <w:p w:rsidR="00686FDB" w:rsidRPr="00D96D6E" w:rsidRDefault="00686FDB" w:rsidP="00B844B0">
      <w:pPr>
        <w:pStyle w:val="BasistekstNaktuinbouw"/>
        <w:spacing w:line="240" w:lineRule="auto"/>
        <w:rPr>
          <w:rFonts w:cs="Arial"/>
          <w:i/>
          <w:color w:val="FF0000"/>
          <w:szCs w:val="20"/>
          <w:lang w:val="en-GB"/>
        </w:rPr>
      </w:pPr>
      <w:r w:rsidRPr="00D96D6E">
        <w:rPr>
          <w:rFonts w:cs="Arial"/>
          <w:i/>
          <w:color w:val="FF0000"/>
          <w:szCs w:val="20"/>
          <w:lang w:val="en-GB"/>
        </w:rPr>
        <w:t>In 2016 two cases:</w:t>
      </w:r>
    </w:p>
    <w:p w:rsidR="00686FDB" w:rsidRPr="00D96D6E" w:rsidRDefault="00686FDB" w:rsidP="00686FDB">
      <w:pPr>
        <w:pStyle w:val="BasistekstNaktuinbouw"/>
        <w:numPr>
          <w:ilvl w:val="0"/>
          <w:numId w:val="15"/>
        </w:numPr>
        <w:spacing w:line="240" w:lineRule="auto"/>
        <w:rPr>
          <w:rFonts w:cs="Arial"/>
          <w:i/>
          <w:color w:val="FF0000"/>
          <w:szCs w:val="20"/>
          <w:lang w:val="en-GB"/>
        </w:rPr>
      </w:pPr>
      <w:r w:rsidRPr="00D96D6E">
        <w:rPr>
          <w:rFonts w:cs="Arial"/>
          <w:i/>
          <w:color w:val="FF0000"/>
          <w:szCs w:val="20"/>
          <w:lang w:val="en-GB"/>
        </w:rPr>
        <w:t>One variety that has been registered in Turkey; the denomination was not acceptable in NL.</w:t>
      </w:r>
    </w:p>
    <w:p w:rsidR="00686FDB" w:rsidRPr="00D96D6E" w:rsidRDefault="00686FDB" w:rsidP="00686FDB">
      <w:pPr>
        <w:pStyle w:val="BasistekstNaktuinbouw"/>
        <w:numPr>
          <w:ilvl w:val="0"/>
          <w:numId w:val="15"/>
        </w:numPr>
        <w:spacing w:line="240" w:lineRule="auto"/>
        <w:rPr>
          <w:rFonts w:cs="Arial"/>
          <w:i/>
          <w:color w:val="FF0000"/>
          <w:szCs w:val="20"/>
          <w:lang w:val="en-GB"/>
        </w:rPr>
      </w:pPr>
      <w:r w:rsidRPr="00D96D6E">
        <w:rPr>
          <w:rFonts w:cs="Arial"/>
          <w:i/>
          <w:color w:val="FF0000"/>
          <w:szCs w:val="20"/>
          <w:lang w:val="en-GB"/>
        </w:rPr>
        <w:t>One variety that has been registered in Italy, we asked a take-over, but the denomination has been disapproved by CPVO.</w:t>
      </w:r>
    </w:p>
    <w:p w:rsidR="00686FDB" w:rsidRPr="00D96D6E" w:rsidRDefault="00686FDB" w:rsidP="00B844B0">
      <w:pPr>
        <w:pStyle w:val="BasistekstNaktuinbouw"/>
        <w:spacing w:line="240" w:lineRule="auto"/>
        <w:rPr>
          <w:rFonts w:cs="Arial"/>
          <w:szCs w:val="20"/>
          <w:lang w:val="en-GB"/>
        </w:rPr>
      </w:pP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(i) were accepted in your territory despite the fact that they did not meet the criteria for acceptance in your territory</w:t>
      </w:r>
    </w:p>
    <w:p w:rsidR="00686FDB" w:rsidRPr="00D96D6E" w:rsidRDefault="00686FDB" w:rsidP="00B844B0">
      <w:pPr>
        <w:pStyle w:val="BasistekstNaktuinbouw"/>
        <w:spacing w:line="240" w:lineRule="auto"/>
        <w:rPr>
          <w:rFonts w:cs="Arial"/>
          <w:szCs w:val="20"/>
          <w:lang w:val="en-GB"/>
        </w:rPr>
      </w:pPr>
    </w:p>
    <w:p w:rsidR="00686FDB" w:rsidRPr="00D96D6E" w:rsidRDefault="00686FDB" w:rsidP="00B844B0">
      <w:pPr>
        <w:pStyle w:val="NormalWeb"/>
        <w:spacing w:before="0" w:beforeAutospacing="0" w:after="0" w:afterAutospacing="0"/>
        <w:rPr>
          <w:rFonts w:cs="Arial"/>
          <w:i/>
          <w:color w:val="FF0000"/>
          <w:szCs w:val="20"/>
          <w:lang w:val="en-GB"/>
        </w:rPr>
      </w:pPr>
      <w:r w:rsidRPr="00D96D6E">
        <w:rPr>
          <w:rFonts w:cs="Arial"/>
          <w:i/>
          <w:color w:val="FF0000"/>
          <w:szCs w:val="20"/>
          <w:lang w:val="en-GB"/>
        </w:rPr>
        <w:t>&gt;&gt; Comes to occasional cases where we disagree with the objection of the CPVO and we then approve a variety denomination or at national level. Can only for ornamental varieties that only for EN PBR.  So it occurs, but not more than 5 cases on an annual basis.</w:t>
      </w:r>
    </w:p>
    <w:p w:rsidR="00686FDB" w:rsidRPr="00D96D6E" w:rsidRDefault="00686FDB" w:rsidP="00B844B0">
      <w:pPr>
        <w:pStyle w:val="BasistekstNaktuinbouw"/>
        <w:spacing w:line="240" w:lineRule="auto"/>
        <w:rPr>
          <w:rFonts w:cs="Arial"/>
          <w:szCs w:val="20"/>
          <w:lang w:val="en-GB"/>
        </w:rPr>
      </w:pP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(ii) were rejected in your territory because they did not meet the criteria for acceptance in your territory</w:t>
      </w: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(see information concerning document UPOV/INF/12/6 Draft 3, paragraph 5 below)</w:t>
      </w:r>
    </w:p>
    <w:p w:rsidR="00686FDB" w:rsidRPr="00D96D6E" w:rsidRDefault="00686FDB" w:rsidP="00B844B0">
      <w:pPr>
        <w:pStyle w:val="NormalWeb"/>
        <w:spacing w:before="0" w:beforeAutospacing="0" w:after="0" w:afterAutospacing="0"/>
        <w:rPr>
          <w:rFonts w:cs="Arial"/>
          <w:color w:val="000000"/>
          <w:szCs w:val="20"/>
          <w:lang w:val="en-GB"/>
        </w:rPr>
      </w:pPr>
      <w:r w:rsidRPr="00D96D6E">
        <w:rPr>
          <w:rFonts w:cs="Arial"/>
          <w:color w:val="000000"/>
          <w:szCs w:val="20"/>
          <w:lang w:val="en-GB"/>
        </w:rPr>
        <w:t> </w:t>
      </w:r>
    </w:p>
    <w:p w:rsidR="00686FDB" w:rsidRPr="00D96D6E" w:rsidRDefault="00686FDB" w:rsidP="00B844B0">
      <w:pPr>
        <w:pStyle w:val="NormalWeb"/>
        <w:spacing w:before="0" w:beforeAutospacing="0" w:after="0" w:afterAutospacing="0"/>
        <w:rPr>
          <w:rFonts w:cs="Arial"/>
          <w:i/>
          <w:color w:val="FF0000"/>
          <w:szCs w:val="20"/>
          <w:lang w:val="en-GB"/>
        </w:rPr>
      </w:pPr>
      <w:r w:rsidRPr="00D96D6E">
        <w:rPr>
          <w:rFonts w:cs="Arial"/>
          <w:i/>
          <w:color w:val="FF0000"/>
          <w:szCs w:val="20"/>
          <w:lang w:val="en-GB"/>
        </w:rPr>
        <w:t>&gt;&gt; In 2016: 154 problematical names, ca. 10% of the total amount.</w:t>
      </w:r>
    </w:p>
    <w:p w:rsidR="00686FDB" w:rsidRPr="00D96D6E" w:rsidRDefault="00686FDB" w:rsidP="00B844B0">
      <w:pPr>
        <w:pStyle w:val="BasistekstNaktuinbouw"/>
        <w:spacing w:line="240" w:lineRule="auto"/>
        <w:rPr>
          <w:rFonts w:cs="Arial"/>
          <w:i/>
          <w:color w:val="FF0000"/>
          <w:szCs w:val="20"/>
          <w:lang w:val="en-GB"/>
        </w:rPr>
      </w:pPr>
      <w:r w:rsidRPr="00D96D6E">
        <w:rPr>
          <w:rFonts w:cs="Arial"/>
          <w:i/>
          <w:color w:val="FF0000"/>
          <w:szCs w:val="20"/>
          <w:lang w:val="en-GB"/>
        </w:rPr>
        <w:t>It occurs regularly that applicants propose another denomination their selves (ca. 15%)</w:t>
      </w:r>
    </w:p>
    <w:p w:rsidR="00686FDB" w:rsidRDefault="00686FDB" w:rsidP="00B844B0">
      <w:pPr>
        <w:rPr>
          <w:rFonts w:cs="Arial"/>
        </w:rPr>
      </w:pPr>
    </w:p>
    <w:p w:rsidR="00686FDB" w:rsidRDefault="00686FDB" w:rsidP="00B844B0">
      <w:pPr>
        <w:jc w:val="right"/>
        <w:rPr>
          <w:rFonts w:cs="Arial"/>
        </w:rPr>
        <w:sectPr w:rsidR="00686FDB" w:rsidSect="00B844B0">
          <w:pgSz w:w="11907" w:h="16840" w:code="9"/>
          <w:pgMar w:top="510" w:right="1134" w:bottom="851" w:left="1134" w:header="510" w:footer="624" w:gutter="0"/>
          <w:pgNumType w:start="1"/>
          <w:cols w:space="720"/>
          <w:titlePg/>
        </w:sectPr>
      </w:pPr>
      <w:r>
        <w:rPr>
          <w:rFonts w:cs="Arial"/>
        </w:rPr>
        <w:t>[Annex VI follows]</w:t>
      </w:r>
    </w:p>
    <w:p w:rsidR="00686FDB" w:rsidRPr="00B44DAA" w:rsidRDefault="00686FDB" w:rsidP="00B844B0">
      <w:pPr>
        <w:jc w:val="center"/>
      </w:pPr>
      <w:r w:rsidRPr="00B44DAA">
        <w:t>UPOV/WG-DEN/4/2</w:t>
      </w:r>
    </w:p>
    <w:p w:rsidR="00686FDB" w:rsidRPr="00D96D6E" w:rsidRDefault="00686FDB" w:rsidP="00B844B0">
      <w:pPr>
        <w:jc w:val="center"/>
      </w:pPr>
    </w:p>
    <w:p w:rsidR="00686FDB" w:rsidRPr="00D96D6E" w:rsidRDefault="00686FDB" w:rsidP="00B844B0">
      <w:pPr>
        <w:jc w:val="center"/>
      </w:pPr>
      <w:r w:rsidRPr="00D96D6E">
        <w:t>ANNEX V</w:t>
      </w:r>
      <w:r>
        <w:t>I</w:t>
      </w:r>
    </w:p>
    <w:p w:rsidR="00686FDB" w:rsidRPr="00B44DAA" w:rsidRDefault="00686FDB" w:rsidP="00B844B0">
      <w:pPr>
        <w:jc w:val="center"/>
      </w:pPr>
    </w:p>
    <w:p w:rsidR="00686FDB" w:rsidRPr="00B44DAA" w:rsidRDefault="00686FDB" w:rsidP="00B844B0">
      <w:pPr>
        <w:jc w:val="center"/>
      </w:pPr>
    </w:p>
    <w:p w:rsidR="00686FDB" w:rsidRDefault="00686FDB" w:rsidP="00B844B0">
      <w:pPr>
        <w:jc w:val="center"/>
        <w:rPr>
          <w:lang w:eastAsia="ja-JP"/>
        </w:rPr>
      </w:pPr>
      <w:r w:rsidRPr="00B44DAA">
        <w:rPr>
          <w:lang w:eastAsia="ja-JP"/>
        </w:rPr>
        <w:t xml:space="preserve">RESPONSE FROM </w:t>
      </w:r>
      <w:r>
        <w:rPr>
          <w:lang w:eastAsia="ja-JP"/>
        </w:rPr>
        <w:t xml:space="preserve">NEW ZEALAND </w:t>
      </w:r>
      <w:r w:rsidRPr="00B44DAA">
        <w:rPr>
          <w:lang w:eastAsia="ja-JP"/>
        </w:rPr>
        <w:t>TO UPOV CIRCULAR E</w:t>
      </w:r>
      <w:r w:rsidRPr="00B44DAA">
        <w:rPr>
          <w:lang w:eastAsia="ja-JP"/>
        </w:rPr>
        <w:noBreakHyphen/>
        <w:t>17/135</w:t>
      </w:r>
    </w:p>
    <w:p w:rsidR="00686FDB" w:rsidRDefault="00686FDB" w:rsidP="00B844B0"/>
    <w:p w:rsidR="000D69EC" w:rsidRDefault="000D69EC" w:rsidP="00B844B0"/>
    <w:p w:rsidR="00686FDB" w:rsidRPr="001D641F" w:rsidRDefault="00686FDB" w:rsidP="00686FDB">
      <w:pPr>
        <w:pStyle w:val="ListParagraph"/>
        <w:numPr>
          <w:ilvl w:val="0"/>
          <w:numId w:val="16"/>
        </w:numPr>
        <w:spacing w:after="120"/>
        <w:ind w:left="851" w:hanging="567"/>
        <w:jc w:val="left"/>
      </w:pPr>
      <w:r w:rsidRPr="001D641F">
        <w:t>provide examples of allowing the re-use of denominations (see information concerning document UPOV/INF/12/6 Draft 3, Section 2.3.3(c) below);</w:t>
      </w:r>
    </w:p>
    <w:p w:rsidR="00686FDB" w:rsidRPr="001D641F" w:rsidRDefault="00686FDB" w:rsidP="00B844B0">
      <w:pPr>
        <w:rPr>
          <w:rFonts w:cs="Arial"/>
        </w:rPr>
      </w:pPr>
      <w:r w:rsidRPr="001D641F">
        <w:rPr>
          <w:rFonts w:cs="Arial"/>
        </w:rPr>
        <w:t>Potato `Leonardo’</w:t>
      </w:r>
      <w:r w:rsidRPr="001D641F">
        <w:rPr>
          <w:rFonts w:cs="Arial"/>
        </w:rPr>
        <w:tab/>
        <w:t>An application was made in the Netherlands in December 1993 and subsequently withdrawn in 1994</w:t>
      </w:r>
    </w:p>
    <w:p w:rsidR="00686FDB" w:rsidRPr="001D641F" w:rsidRDefault="00686FDB" w:rsidP="00B844B0">
      <w:pPr>
        <w:rPr>
          <w:rFonts w:cs="Arial"/>
        </w:rPr>
      </w:pPr>
      <w:r w:rsidRPr="001D641F">
        <w:rPr>
          <w:rFonts w:cs="Arial"/>
        </w:rPr>
        <w:t>A different breeder made application in the Netherlands for a potato variety with the same denomination `Leonardo’ in December 2006 and granted in 2009.</w:t>
      </w:r>
    </w:p>
    <w:p w:rsidR="00686FDB" w:rsidRDefault="00686FDB" w:rsidP="00B844B0">
      <w:pPr>
        <w:rPr>
          <w:rFonts w:cs="Arial"/>
        </w:rPr>
      </w:pPr>
      <w:r w:rsidRPr="001D641F">
        <w:rPr>
          <w:rFonts w:cs="Arial"/>
        </w:rPr>
        <w:t>Depending on the national situation, it can be difficult to determine whether or not a variety is commercialized while under provisional protection or even after withdrawal.  A vegetatively propagated variety does not generally require a maintainer or have the maintenance requirements of seed propagated varieties. It is questionable whether it can ever be said that a vegetatively propagated variety “no longer exists”.</w:t>
      </w:r>
    </w:p>
    <w:p w:rsidR="00686FDB" w:rsidRPr="001D641F" w:rsidRDefault="00686FDB" w:rsidP="00B844B0">
      <w:pPr>
        <w:rPr>
          <w:rFonts w:cs="Arial"/>
        </w:rPr>
      </w:pPr>
    </w:p>
    <w:p w:rsidR="00686FDB" w:rsidRDefault="00686FDB" w:rsidP="00B844B0">
      <w:pPr>
        <w:ind w:left="360"/>
      </w:pPr>
      <w:r w:rsidRPr="001D641F">
        <w:t xml:space="preserve">(b) </w:t>
      </w:r>
      <w:r w:rsidRPr="001D641F">
        <w:tab/>
        <w:t>comment on whether PVP Offices should have a role in recognizing breeders practices in naming varieties (e.g. prefixes, themes) or whether that should be left to other mechanisms (e.g. trademarks) (see information concerning document UPOV/INF/12/6 Draft 3, Section 2.3.4 below)</w:t>
      </w:r>
    </w:p>
    <w:p w:rsidR="00686FDB" w:rsidRPr="001D641F" w:rsidRDefault="00686FDB" w:rsidP="00B844B0"/>
    <w:p w:rsidR="00686FDB" w:rsidRPr="001D641F" w:rsidRDefault="00686FDB" w:rsidP="00B844B0">
      <w:pPr>
        <w:spacing w:after="120"/>
        <w:ind w:left="360"/>
        <w:rPr>
          <w:rFonts w:cs="Arial"/>
        </w:rPr>
      </w:pPr>
      <w:r w:rsidRPr="001D641F">
        <w:rPr>
          <w:rFonts w:cs="Arial"/>
        </w:rPr>
        <w:t>The breeders practice of identifying themselves using a prefix or similar in denominations is already widespread. By approving such denominations, the authority is effectively legitimizing such practices. There are many existing examples.</w:t>
      </w:r>
    </w:p>
    <w:p w:rsidR="00686FDB" w:rsidRPr="001D641F" w:rsidRDefault="00686FDB" w:rsidP="00B844B0">
      <w:pPr>
        <w:spacing w:after="120"/>
        <w:ind w:left="360"/>
        <w:rPr>
          <w:rFonts w:cs="Arial"/>
        </w:rPr>
      </w:pPr>
      <w:r w:rsidRPr="001D641F">
        <w:rPr>
          <w:rFonts w:cs="Arial"/>
        </w:rPr>
        <w:t>Rose `Dicgrow’</w:t>
      </w:r>
      <w:r w:rsidRPr="001D641F">
        <w:rPr>
          <w:rFonts w:cs="Arial"/>
        </w:rPr>
        <w:tab/>
      </w:r>
      <w:r w:rsidRPr="001D641F">
        <w:rPr>
          <w:rFonts w:cs="Arial"/>
        </w:rPr>
        <w:tab/>
      </w:r>
      <w:r w:rsidRPr="001D641F">
        <w:rPr>
          <w:rFonts w:cs="Arial"/>
        </w:rPr>
        <w:tab/>
      </w:r>
      <w:r w:rsidRPr="001D641F">
        <w:rPr>
          <w:rFonts w:cs="Arial"/>
        </w:rPr>
        <w:tab/>
        <w:t>Dickson Roses</w:t>
      </w:r>
    </w:p>
    <w:p w:rsidR="00686FDB" w:rsidRPr="001D641F" w:rsidRDefault="00686FDB" w:rsidP="00B844B0">
      <w:pPr>
        <w:spacing w:after="120"/>
        <w:ind w:left="360"/>
        <w:rPr>
          <w:rFonts w:cs="Arial"/>
        </w:rPr>
      </w:pPr>
      <w:r w:rsidRPr="001D641F">
        <w:rPr>
          <w:rFonts w:cs="Arial"/>
        </w:rPr>
        <w:t>Alstroemeria `Zantrice’</w:t>
      </w:r>
      <w:r w:rsidRPr="001D641F">
        <w:rPr>
          <w:rFonts w:cs="Arial"/>
        </w:rPr>
        <w:tab/>
      </w:r>
      <w:r w:rsidRPr="001D641F">
        <w:rPr>
          <w:rFonts w:cs="Arial"/>
        </w:rPr>
        <w:tab/>
      </w:r>
      <w:r w:rsidRPr="001D641F">
        <w:rPr>
          <w:rFonts w:cs="Arial"/>
        </w:rPr>
        <w:tab/>
        <w:t>Van Zanten Plants</w:t>
      </w:r>
    </w:p>
    <w:p w:rsidR="00686FDB" w:rsidRPr="001D641F" w:rsidRDefault="00686FDB" w:rsidP="00B844B0">
      <w:pPr>
        <w:spacing w:after="120"/>
        <w:ind w:firstLine="360"/>
        <w:rPr>
          <w:rFonts w:cs="Arial"/>
        </w:rPr>
      </w:pPr>
      <w:r w:rsidRPr="001D641F">
        <w:rPr>
          <w:rFonts w:cs="Arial"/>
        </w:rPr>
        <w:t>Strawberry `Drisstrawsixteen’</w:t>
      </w:r>
      <w:r w:rsidRPr="001D641F">
        <w:rPr>
          <w:rFonts w:cs="Arial"/>
        </w:rPr>
        <w:tab/>
      </w:r>
      <w:r w:rsidRPr="001D641F">
        <w:rPr>
          <w:rFonts w:cs="Arial"/>
        </w:rPr>
        <w:tab/>
        <w:t>Driscolls Inc.</w:t>
      </w:r>
    </w:p>
    <w:p w:rsidR="00686FDB" w:rsidRPr="001D641F" w:rsidRDefault="00686FDB" w:rsidP="00B844B0">
      <w:pPr>
        <w:spacing w:after="120"/>
        <w:ind w:firstLine="360"/>
        <w:rPr>
          <w:rFonts w:cs="Arial"/>
        </w:rPr>
      </w:pPr>
      <w:r w:rsidRPr="001D641F">
        <w:rPr>
          <w:rFonts w:cs="Arial"/>
        </w:rPr>
        <w:t>Potato `Crop34’</w:t>
      </w:r>
      <w:r w:rsidRPr="001D641F">
        <w:rPr>
          <w:rFonts w:cs="Arial"/>
        </w:rPr>
        <w:tab/>
      </w:r>
      <w:r w:rsidRPr="001D641F">
        <w:rPr>
          <w:rFonts w:cs="Arial"/>
        </w:rPr>
        <w:tab/>
      </w:r>
      <w:r w:rsidRPr="001D641F">
        <w:rPr>
          <w:rFonts w:cs="Arial"/>
        </w:rPr>
        <w:tab/>
      </w:r>
      <w:r w:rsidRPr="001D641F">
        <w:rPr>
          <w:rFonts w:cs="Arial"/>
        </w:rPr>
        <w:tab/>
        <w:t>NZ Institute for Plant and Food Research Ltd.</w:t>
      </w:r>
    </w:p>
    <w:p w:rsidR="00686FDB" w:rsidRPr="001D641F" w:rsidRDefault="00686FDB" w:rsidP="00B844B0">
      <w:pPr>
        <w:rPr>
          <w:rFonts w:cs="Arial"/>
        </w:rPr>
      </w:pPr>
    </w:p>
    <w:p w:rsidR="00686FDB" w:rsidRPr="001D641F" w:rsidRDefault="00686FDB" w:rsidP="00B844B0">
      <w:pPr>
        <w:spacing w:after="120"/>
        <w:rPr>
          <w:rFonts w:cs="Arial"/>
        </w:rPr>
      </w:pPr>
      <w:r w:rsidRPr="001D641F">
        <w:rPr>
          <w:rFonts w:cs="Arial"/>
        </w:rPr>
        <w:t>(c)</w:t>
      </w:r>
      <w:r w:rsidRPr="001D641F">
        <w:rPr>
          <w:rFonts w:cs="Arial"/>
        </w:rPr>
        <w:tab/>
        <w:t>provide examples and criteria for differences in the acceptability of similar denominations according to class (e.g. in the case of a class following the general rule (one genus/one class), accepting a similar denomination for a variety of a different species within the same genus that would not be accepted for the same species) (see information concerning document UPOV/INF/12/6 Draft 3, Section 2.5 below)</w:t>
      </w:r>
    </w:p>
    <w:p w:rsidR="00686FDB" w:rsidRPr="001D641F" w:rsidRDefault="00686FDB" w:rsidP="00B844B0">
      <w:pPr>
        <w:rPr>
          <w:rFonts w:cs="Arial"/>
        </w:rPr>
      </w:pPr>
      <w:r w:rsidRPr="001D641F">
        <w:rPr>
          <w:rFonts w:cs="Arial"/>
        </w:rPr>
        <w:t xml:space="preserve">One of the reasons for denomination classes is to avoid confusion in the market place, for example , a mixture of turf grass seed were both constituent varieties have the same name, reference to Class 203. This idea of “in the same bag” name confusion could now be applied to a new level, a grass fungal endophyte variety contained in the ryegrass variety, both with the same denomination. Should the genus </w:t>
      </w:r>
      <w:r w:rsidRPr="001D641F">
        <w:rPr>
          <w:rFonts w:cs="Arial"/>
          <w:i/>
        </w:rPr>
        <w:t>Epichloe</w:t>
      </w:r>
      <w:r w:rsidRPr="001D641F">
        <w:rPr>
          <w:rFonts w:cs="Arial"/>
        </w:rPr>
        <w:t xml:space="preserve"> be added to Class 203?</w:t>
      </w:r>
    </w:p>
    <w:p w:rsidR="00686FDB" w:rsidRPr="001D641F" w:rsidRDefault="00686FDB" w:rsidP="00B844B0">
      <w:pPr>
        <w:rPr>
          <w:rFonts w:cs="Arial"/>
        </w:rPr>
      </w:pPr>
      <w:r w:rsidRPr="001D641F">
        <w:rPr>
          <w:rFonts w:cs="Arial"/>
        </w:rPr>
        <w:t>More widely, as common practice, should genera of endophyte varieties be included in the same class as their host genera?</w:t>
      </w:r>
    </w:p>
    <w:p w:rsidR="00686FDB" w:rsidRPr="001D641F" w:rsidRDefault="00686FDB" w:rsidP="00B844B0">
      <w:pPr>
        <w:rPr>
          <w:rFonts w:cs="Arial"/>
        </w:rPr>
      </w:pPr>
      <w:r w:rsidRPr="001D641F">
        <w:rPr>
          <w:rFonts w:cs="Arial"/>
        </w:rPr>
        <w:t xml:space="preserve">NZ follows the practice of accepting the same denomination in a genus, for varieties of different species, where there is no or very low possibility of confusing the identity of the variety. </w:t>
      </w:r>
    </w:p>
    <w:p w:rsidR="00686FDB" w:rsidRPr="001D641F" w:rsidRDefault="00686FDB" w:rsidP="00B844B0">
      <w:pPr>
        <w:rPr>
          <w:rFonts w:cs="Arial"/>
        </w:rPr>
      </w:pPr>
      <w:r w:rsidRPr="001D641F">
        <w:rPr>
          <w:rFonts w:cs="Arial"/>
          <w:i/>
        </w:rPr>
        <w:t>Vaccinium</w:t>
      </w:r>
      <w:r w:rsidRPr="001D641F">
        <w:rPr>
          <w:rFonts w:cs="Arial"/>
        </w:rPr>
        <w:t xml:space="preserve">, a cranberry variety is unlikely to be confused with a blueberry. </w:t>
      </w:r>
    </w:p>
    <w:p w:rsidR="00686FDB" w:rsidRDefault="00686FDB" w:rsidP="00B844B0">
      <w:pPr>
        <w:rPr>
          <w:rFonts w:cs="Arial"/>
        </w:rPr>
      </w:pPr>
      <w:r w:rsidRPr="001D641F">
        <w:rPr>
          <w:rFonts w:cs="Arial"/>
          <w:i/>
        </w:rPr>
        <w:t>Rubus</w:t>
      </w:r>
      <w:r w:rsidRPr="001D641F">
        <w:rPr>
          <w:rFonts w:cs="Arial"/>
        </w:rPr>
        <w:t>, a raspberry is unlikely to be confused with a boysenberry</w:t>
      </w:r>
    </w:p>
    <w:p w:rsidR="00686FDB" w:rsidRPr="001D641F" w:rsidRDefault="00686FDB" w:rsidP="00B844B0">
      <w:pPr>
        <w:rPr>
          <w:rFonts w:cs="Arial"/>
        </w:rPr>
      </w:pPr>
    </w:p>
    <w:p w:rsidR="00686FDB" w:rsidRPr="001D641F" w:rsidRDefault="00686FDB" w:rsidP="00B844B0">
      <w:pPr>
        <w:spacing w:after="120"/>
        <w:ind w:left="360"/>
        <w:rPr>
          <w:rFonts w:cs="Arial"/>
        </w:rPr>
      </w:pPr>
      <w:r w:rsidRPr="001D641F">
        <w:rPr>
          <w:rFonts w:cs="Arial"/>
        </w:rPr>
        <w:t>(d)</w:t>
      </w:r>
      <w:r w:rsidRPr="001D641F">
        <w:rPr>
          <w:rFonts w:cs="Arial"/>
        </w:rPr>
        <w:tab/>
        <w:t>provide the number of denominations, in the past 12 months, that had previously been accepted by another member of the Union that did not meet the criteria for acceptance in your territory and, of those, the number that:</w:t>
      </w:r>
    </w:p>
    <w:p w:rsidR="00686FDB" w:rsidRPr="001D641F" w:rsidRDefault="00686FDB" w:rsidP="00686FDB">
      <w:pPr>
        <w:pStyle w:val="ListParagraph"/>
        <w:numPr>
          <w:ilvl w:val="1"/>
          <w:numId w:val="17"/>
        </w:numPr>
        <w:spacing w:after="120"/>
        <w:ind w:left="1276" w:hanging="425"/>
        <w:jc w:val="left"/>
      </w:pPr>
      <w:r w:rsidRPr="001D641F">
        <w:t>were accepted in your territory despite the fact that they did not meet the criteria for acceptance in your territory</w:t>
      </w:r>
    </w:p>
    <w:p w:rsidR="00686FDB" w:rsidRPr="001D641F" w:rsidRDefault="00686FDB" w:rsidP="00B844B0">
      <w:pPr>
        <w:pStyle w:val="ListParagraph"/>
        <w:spacing w:after="120"/>
        <w:ind w:left="1276"/>
      </w:pPr>
    </w:p>
    <w:p w:rsidR="00686FDB" w:rsidRPr="001D641F" w:rsidRDefault="00686FDB" w:rsidP="00B844B0">
      <w:pPr>
        <w:pStyle w:val="ListParagraph"/>
        <w:spacing w:after="120"/>
        <w:ind w:left="1276"/>
      </w:pPr>
      <w:r w:rsidRPr="001D641F">
        <w:t>1. The denomination `UEB33752’,  was accepted in NZ despite the denomination not being the first accepted (`Luna’), contrary to Recommendation 5. A different denomination was accepted because several of NZ’s major trading partners had accepted the second denomination.</w:t>
      </w:r>
    </w:p>
    <w:p w:rsidR="00686FDB" w:rsidRPr="001D641F" w:rsidRDefault="00686FDB" w:rsidP="00B844B0">
      <w:pPr>
        <w:rPr>
          <w:rFonts w:cs="Arial"/>
        </w:rPr>
      </w:pPr>
      <w:r w:rsidRPr="001D641F">
        <w:rPr>
          <w:rFonts w:cs="Arial"/>
        </w:rPr>
        <w:t>Apple variety ‘Luna’, ‘UEB33752’  the same variety</w:t>
      </w:r>
    </w:p>
    <w:p w:rsidR="00686FDB" w:rsidRPr="001D641F" w:rsidRDefault="00686FDB" w:rsidP="00B844B0">
      <w:pPr>
        <w:pStyle w:val="ListParagraph"/>
        <w:spacing w:after="120"/>
        <w:ind w:left="1276"/>
      </w:pPr>
    </w:p>
    <w:p w:rsidR="00686FDB" w:rsidRPr="001D641F" w:rsidRDefault="00686FDB" w:rsidP="000D69EC">
      <w:pPr>
        <w:pStyle w:val="ListParagraph"/>
        <w:keepLines/>
        <w:spacing w:after="120"/>
        <w:ind w:left="1276"/>
      </w:pPr>
      <w:r w:rsidRPr="001D641F">
        <w:t>2. The denomination `Carfit01’, was aapproved in NZ despite the denomination not being the first accepted (`Fiwhite’), contrary to Recommendation 5. A different denomination was accepted because several of NZ’;s major trading partners had accepted the second denomination.</w:t>
      </w:r>
    </w:p>
    <w:p w:rsidR="00686FDB" w:rsidRPr="001D641F" w:rsidRDefault="00686FDB" w:rsidP="00B844B0">
      <w:pPr>
        <w:pStyle w:val="ListParagraph"/>
        <w:spacing w:after="120"/>
        <w:ind w:left="1276"/>
      </w:pPr>
    </w:p>
    <w:p w:rsidR="00686FDB" w:rsidRPr="001D641F" w:rsidRDefault="00686FDB" w:rsidP="00B844B0">
      <w:pPr>
        <w:rPr>
          <w:rFonts w:cs="Arial"/>
        </w:rPr>
      </w:pPr>
      <w:r w:rsidRPr="001D641F">
        <w:rPr>
          <w:rFonts w:cs="Arial"/>
        </w:rPr>
        <w:t xml:space="preserve">Carex variety ‘Carfit01’, ‘Fiwhite’, </w:t>
      </w:r>
      <w:r w:rsidRPr="001D641F">
        <w:rPr>
          <w:rFonts w:cs="Arial"/>
        </w:rPr>
        <w:tab/>
        <w:t>the same variety</w:t>
      </w:r>
    </w:p>
    <w:p w:rsidR="00686FDB" w:rsidRPr="001D641F" w:rsidRDefault="00686FDB" w:rsidP="00B844B0">
      <w:pPr>
        <w:rPr>
          <w:rFonts w:cs="Arial"/>
        </w:rPr>
      </w:pPr>
      <w:r w:rsidRPr="001D641F">
        <w:rPr>
          <w:rFonts w:cs="Arial"/>
        </w:rPr>
        <w:t>The two examples above represent the situation where the national application is the fourth or fifth globally and that authority must decide which of the two denominations already accepted or approved, to use.  For New Zealand, an important factor is the denomination used by the closest countries and trading partners.</w:t>
      </w:r>
    </w:p>
    <w:p w:rsidR="00686FDB" w:rsidRPr="001D641F" w:rsidRDefault="00686FDB" w:rsidP="00B844B0">
      <w:pPr>
        <w:pStyle w:val="ListParagraph"/>
        <w:spacing w:after="120"/>
        <w:ind w:left="1276"/>
      </w:pPr>
    </w:p>
    <w:p w:rsidR="00686FDB" w:rsidRPr="001D641F" w:rsidRDefault="00686FDB" w:rsidP="00686FDB">
      <w:pPr>
        <w:pStyle w:val="ListParagraph"/>
        <w:numPr>
          <w:ilvl w:val="1"/>
          <w:numId w:val="17"/>
        </w:numPr>
        <w:spacing w:after="120"/>
        <w:ind w:left="1276" w:hanging="425"/>
        <w:jc w:val="left"/>
      </w:pPr>
      <w:r w:rsidRPr="001D641F">
        <w:t>were rejected in your territory because they did not meet the criteria for acceptance in your territory</w:t>
      </w:r>
    </w:p>
    <w:p w:rsidR="00686FDB" w:rsidRPr="001D641F" w:rsidRDefault="00686FDB" w:rsidP="00B844B0">
      <w:pPr>
        <w:pStyle w:val="ListParagraph"/>
        <w:spacing w:after="120"/>
        <w:ind w:left="1276"/>
      </w:pPr>
    </w:p>
    <w:p w:rsidR="00686FDB" w:rsidRPr="001D641F" w:rsidRDefault="00686FDB" w:rsidP="00B844B0">
      <w:pPr>
        <w:pStyle w:val="ListParagraph"/>
        <w:spacing w:after="120"/>
        <w:ind w:left="1276"/>
      </w:pPr>
      <w:r w:rsidRPr="001D641F">
        <w:t xml:space="preserve">No denominations were rejected where acceptance or approval had already occurred in earlier applications. </w:t>
      </w:r>
    </w:p>
    <w:p w:rsidR="00686FDB" w:rsidRDefault="00686FDB" w:rsidP="00B844B0">
      <w:pPr>
        <w:rPr>
          <w:rFonts w:cs="Arial"/>
        </w:rPr>
      </w:pPr>
    </w:p>
    <w:p w:rsidR="000D69EC" w:rsidRDefault="000D69EC" w:rsidP="00B844B0">
      <w:pPr>
        <w:rPr>
          <w:rFonts w:cs="Arial"/>
        </w:rPr>
      </w:pPr>
    </w:p>
    <w:p w:rsidR="000D69EC" w:rsidRPr="001D641F" w:rsidRDefault="000D69EC" w:rsidP="00B844B0">
      <w:pPr>
        <w:rPr>
          <w:rFonts w:cs="Arial"/>
        </w:rPr>
      </w:pPr>
    </w:p>
    <w:p w:rsidR="00686FDB" w:rsidRDefault="00686FDB" w:rsidP="00B844B0">
      <w:pPr>
        <w:jc w:val="right"/>
      </w:pPr>
      <w:r>
        <w:t>[Annex VII follows]</w:t>
      </w:r>
    </w:p>
    <w:p w:rsidR="00686FDB" w:rsidRDefault="00686FDB" w:rsidP="00B844B0">
      <w:pPr>
        <w:jc w:val="right"/>
      </w:pPr>
    </w:p>
    <w:p w:rsidR="00686FDB" w:rsidRDefault="00686FDB" w:rsidP="00B844B0">
      <w:pPr>
        <w:sectPr w:rsidR="00686FDB" w:rsidSect="00B844B0">
          <w:headerReference w:type="default" r:id="rId54"/>
          <w:pgSz w:w="11907" w:h="16840" w:code="9"/>
          <w:pgMar w:top="510" w:right="1134" w:bottom="851" w:left="1134" w:header="510" w:footer="624" w:gutter="0"/>
          <w:pgNumType w:start="1"/>
          <w:cols w:space="720"/>
          <w:titlePg/>
        </w:sectPr>
      </w:pPr>
    </w:p>
    <w:p w:rsidR="00686FDB" w:rsidRPr="00B44DAA" w:rsidRDefault="00686FDB" w:rsidP="00B844B0">
      <w:pPr>
        <w:jc w:val="center"/>
      </w:pPr>
      <w:r w:rsidRPr="00B44DAA">
        <w:t>UPOV/WG-DEN/4/2</w:t>
      </w:r>
    </w:p>
    <w:p w:rsidR="00686FDB" w:rsidRPr="00D96D6E" w:rsidRDefault="00686FDB" w:rsidP="00B844B0">
      <w:pPr>
        <w:jc w:val="center"/>
      </w:pPr>
    </w:p>
    <w:p w:rsidR="00686FDB" w:rsidRPr="00D96D6E" w:rsidRDefault="00686FDB" w:rsidP="00B844B0">
      <w:pPr>
        <w:jc w:val="center"/>
      </w:pPr>
      <w:r w:rsidRPr="00D96D6E">
        <w:t>ANNEX V</w:t>
      </w:r>
      <w:r>
        <w:t>II</w:t>
      </w:r>
    </w:p>
    <w:p w:rsidR="00686FDB" w:rsidRPr="00B44DAA" w:rsidRDefault="00686FDB" w:rsidP="00B844B0">
      <w:pPr>
        <w:jc w:val="center"/>
      </w:pPr>
    </w:p>
    <w:p w:rsidR="00686FDB" w:rsidRPr="00B44DAA" w:rsidRDefault="00686FDB" w:rsidP="00B844B0">
      <w:pPr>
        <w:jc w:val="center"/>
      </w:pPr>
    </w:p>
    <w:p w:rsidR="00686FDB" w:rsidRDefault="00686FDB" w:rsidP="00B844B0">
      <w:pPr>
        <w:jc w:val="center"/>
        <w:rPr>
          <w:lang w:eastAsia="ja-JP"/>
        </w:rPr>
      </w:pPr>
      <w:r w:rsidRPr="00B44DAA">
        <w:rPr>
          <w:lang w:eastAsia="ja-JP"/>
        </w:rPr>
        <w:t xml:space="preserve">RESPONSE FROM </w:t>
      </w:r>
      <w:r w:rsidRPr="001D641F">
        <w:rPr>
          <w:lang w:eastAsia="ja-JP"/>
        </w:rPr>
        <w:t>SOUTH AFRICA</w:t>
      </w:r>
      <w:r>
        <w:rPr>
          <w:lang w:eastAsia="ja-JP"/>
        </w:rPr>
        <w:t xml:space="preserve"> </w:t>
      </w:r>
      <w:r w:rsidRPr="00B44DAA">
        <w:rPr>
          <w:lang w:eastAsia="ja-JP"/>
        </w:rPr>
        <w:t>TO UPOV CIRCULAR E</w:t>
      </w:r>
      <w:r w:rsidRPr="00B44DAA">
        <w:rPr>
          <w:lang w:eastAsia="ja-JP"/>
        </w:rPr>
        <w:noBreakHyphen/>
        <w:t>17/135</w:t>
      </w:r>
    </w:p>
    <w:p w:rsidR="00686FDB" w:rsidRDefault="00686FDB" w:rsidP="00B844B0"/>
    <w:p w:rsidR="00686FDB" w:rsidRDefault="00686FDB" w:rsidP="00686FDB">
      <w:pPr>
        <w:pStyle w:val="ListParagraph"/>
        <w:numPr>
          <w:ilvl w:val="0"/>
          <w:numId w:val="18"/>
        </w:numPr>
        <w:spacing w:after="120"/>
        <w:ind w:left="360"/>
        <w:contextualSpacing w:val="0"/>
        <w:jc w:val="left"/>
      </w:pPr>
      <w:r>
        <w:t>provide examples of allowing the re-use of denominations (see information concerning document UPOV/INF/12/6 Draft 3, Section 2.3.3(c) below);</w:t>
      </w:r>
    </w:p>
    <w:p w:rsidR="00686FDB" w:rsidRDefault="00686FDB" w:rsidP="00B844B0">
      <w:pPr>
        <w:spacing w:after="120"/>
        <w:ind w:left="491"/>
      </w:pPr>
      <w:r>
        <w:t>It is not South Africa’s practice to allow the re-use of denominations, and such a practice is strongly discouraged as it can lead to confusion concerning the identity of the variety. Recently we had a case of a grape variety of which an application was submitted in 2008 and the PBR was rejected in 2013. Another applicant submitted an application for another grape variety in 2016 , using the same variety denomination of the variety that was rejected in 2013. The PVP office rejected the denomination and requested the applicant to propose another denomination.</w:t>
      </w:r>
    </w:p>
    <w:p w:rsidR="00686FDB" w:rsidRDefault="00686FDB" w:rsidP="00B844B0">
      <w:pPr>
        <w:spacing w:after="120"/>
        <w:ind w:left="491"/>
      </w:pPr>
    </w:p>
    <w:p w:rsidR="00686FDB" w:rsidRDefault="00686FDB" w:rsidP="00686FDB">
      <w:pPr>
        <w:pStyle w:val="ListParagraph"/>
        <w:numPr>
          <w:ilvl w:val="0"/>
          <w:numId w:val="18"/>
        </w:numPr>
        <w:spacing w:after="120"/>
        <w:ind w:left="491" w:hanging="567"/>
        <w:contextualSpacing w:val="0"/>
        <w:jc w:val="left"/>
      </w:pPr>
      <w:r>
        <w:t>comment on whether PVP Offices should have a role in recognizing breeders practices in naming varieties (e.g. prefixes, themes) or whether that should be left to other mechanisms (e.g. trademarks) (see information concerning document UPOV/INF/12/6 Draft 3, Section 2.3.4 below)</w:t>
      </w:r>
    </w:p>
    <w:p w:rsidR="00686FDB" w:rsidRDefault="00686FDB" w:rsidP="00B844B0">
      <w:pPr>
        <w:spacing w:after="120"/>
        <w:ind w:left="491"/>
      </w:pPr>
      <w:r>
        <w:t xml:space="preserve">South Africa’s PVP Office is recognizing breeders practices in naming varieties e.g. for maize the PHB prefix to identify Pioneer, DKC to identify Monsanto, etc. We have not had a situation where another breeder had submitted a variety denomination with a prefix already recognized as that of another breeder (in the same class). However if such a case could arise, we would probably reject such a denomination because it would lead to confusion concerning the identity of the breeder. </w:t>
      </w:r>
    </w:p>
    <w:p w:rsidR="00686FDB" w:rsidRDefault="00686FDB" w:rsidP="00B844B0">
      <w:pPr>
        <w:spacing w:after="120"/>
        <w:ind w:left="491"/>
      </w:pPr>
      <w:r>
        <w:t>Also, in cases where a breeder licences their varieties, the practice allowed is for that breeder to retain the prefix and not change it to identify the licencee. For example if Company ABC licences a variety ABC123 to another company DEF, then it is not allowed for the breeder to change the variety denomination from ABC123 to DEF123.</w:t>
      </w:r>
    </w:p>
    <w:p w:rsidR="00686FDB" w:rsidRDefault="00686FDB" w:rsidP="00B844B0">
      <w:pPr>
        <w:spacing w:after="120"/>
        <w:rPr>
          <w:b/>
          <w:bCs/>
        </w:rPr>
      </w:pPr>
    </w:p>
    <w:p w:rsidR="00686FDB" w:rsidRDefault="00686FDB" w:rsidP="00686FDB">
      <w:pPr>
        <w:pStyle w:val="ListParagraph"/>
        <w:numPr>
          <w:ilvl w:val="0"/>
          <w:numId w:val="18"/>
        </w:numPr>
        <w:spacing w:after="120"/>
        <w:ind w:left="491" w:hanging="567"/>
        <w:contextualSpacing w:val="0"/>
        <w:jc w:val="left"/>
      </w:pPr>
      <w:r>
        <w:t>provide examples and criteria for differences in the acceptability of similar denominations according to class (e.g. in the case of a class following the general rule (one genus/one class), accepting a similar denomination for a variety of a different species within the same genus that would not be accepted for the same species) (see information concerning document UPOV/INF/12/6 Draft 3, Section 2.5 below)</w:t>
      </w:r>
    </w:p>
    <w:p w:rsidR="00686FDB" w:rsidRDefault="00686FDB" w:rsidP="00B844B0">
      <w:pPr>
        <w:spacing w:after="120"/>
        <w:rPr>
          <w:b/>
          <w:bCs/>
        </w:rPr>
      </w:pPr>
    </w:p>
    <w:p w:rsidR="00686FDB" w:rsidRDefault="00686FDB" w:rsidP="00B844B0">
      <w:pPr>
        <w:spacing w:after="120"/>
        <w:ind w:left="491"/>
      </w:pPr>
      <w:r>
        <w:t xml:space="preserve">South Africa follows the general rule (one genus/one class). Similar denominations within a class are often accepted when they are provided by the same breeder. For example in Maize the following denominations have been accepted: PHBX13A488 R, PHBX13A488 BR </w:t>
      </w:r>
    </w:p>
    <w:p w:rsidR="00686FDB" w:rsidRDefault="00686FDB" w:rsidP="00B844B0">
      <w:pPr>
        <w:spacing w:after="120"/>
        <w:ind w:left="491"/>
      </w:pPr>
      <w:r>
        <w:t xml:space="preserve">South Africa does not allow similar denominations in cases of varieties of species within the same genus. For example a breeder (Herholdt) proposed a variety denomination Buccaneer for a peach variety and later withdrew the application, though commercialization of variety continued. Years later another breeder (Zaiger) proposed the same denomination (Buccaneer) for an interspecific plum variety. The PVP Office rejected the denomination and requested the breeder to propose another denomination. </w:t>
      </w:r>
    </w:p>
    <w:p w:rsidR="00686FDB" w:rsidRDefault="00686FDB" w:rsidP="00B844B0">
      <w:pPr>
        <w:spacing w:after="120"/>
        <w:rPr>
          <w:b/>
          <w:bCs/>
        </w:rPr>
      </w:pPr>
    </w:p>
    <w:p w:rsidR="00686FDB" w:rsidRDefault="00686FDB" w:rsidP="00686FDB">
      <w:pPr>
        <w:pStyle w:val="ListParagraph"/>
        <w:numPr>
          <w:ilvl w:val="0"/>
          <w:numId w:val="18"/>
        </w:numPr>
        <w:spacing w:after="120"/>
        <w:ind w:left="491" w:hanging="567"/>
        <w:contextualSpacing w:val="0"/>
        <w:jc w:val="left"/>
      </w:pPr>
      <w:r>
        <w:t>provide the number of denominations, in the past 12 months, that had previously been accepted by another member of the Union that did not meet the criteria for acceptance in your territory and, of those, the number that:</w:t>
      </w:r>
    </w:p>
    <w:p w:rsidR="00686FDB" w:rsidRDefault="00686FDB" w:rsidP="00686FDB">
      <w:pPr>
        <w:pStyle w:val="ListParagraph"/>
        <w:numPr>
          <w:ilvl w:val="1"/>
          <w:numId w:val="18"/>
        </w:numPr>
        <w:spacing w:after="120"/>
        <w:ind w:left="916" w:hanging="425"/>
        <w:contextualSpacing w:val="0"/>
        <w:jc w:val="left"/>
      </w:pPr>
      <w:r>
        <w:t>were accepted in your territory despite the fact that they did not meet the criteria for acceptance in your territory</w:t>
      </w:r>
    </w:p>
    <w:p w:rsidR="00686FDB" w:rsidRDefault="00686FDB" w:rsidP="00B844B0">
      <w:pPr>
        <w:pStyle w:val="ListParagraph"/>
        <w:spacing w:after="120"/>
        <w:ind w:left="360" w:firstLine="556"/>
      </w:pPr>
      <w:r>
        <w:t>In the past 12 months SA had none</w:t>
      </w:r>
    </w:p>
    <w:p w:rsidR="00686FDB" w:rsidRDefault="00686FDB" w:rsidP="00686FDB">
      <w:pPr>
        <w:pStyle w:val="ListParagraph"/>
        <w:numPr>
          <w:ilvl w:val="1"/>
          <w:numId w:val="18"/>
        </w:numPr>
        <w:spacing w:after="120"/>
        <w:ind w:left="916" w:hanging="425"/>
        <w:contextualSpacing w:val="0"/>
        <w:jc w:val="left"/>
      </w:pPr>
      <w:r>
        <w:t>were rejected in your territory because they did not meet the criteria for acceptance in your territory</w:t>
      </w:r>
    </w:p>
    <w:p w:rsidR="00686FDB" w:rsidRDefault="00686FDB" w:rsidP="00B844B0">
      <w:pPr>
        <w:spacing w:after="120"/>
        <w:ind w:left="916"/>
      </w:pPr>
      <w:r>
        <w:t>In the past 12 months SA had none</w:t>
      </w:r>
    </w:p>
    <w:p w:rsidR="00686FDB" w:rsidRDefault="00686FDB" w:rsidP="00B844B0">
      <w:pPr>
        <w:pStyle w:val="ListParagraph"/>
        <w:ind w:left="-76"/>
      </w:pPr>
      <w:r>
        <w:t>(see information concerning document UPOV/INF/12/6 Draft 3, paragraph 5 below)</w:t>
      </w:r>
    </w:p>
    <w:p w:rsidR="00686FDB" w:rsidRDefault="00686FDB" w:rsidP="00B844B0"/>
    <w:p w:rsidR="00686FDB" w:rsidRDefault="00686FDB" w:rsidP="00B844B0">
      <w:pPr>
        <w:jc w:val="right"/>
      </w:pPr>
      <w:r>
        <w:t>[Annex VIII follows]</w:t>
      </w:r>
    </w:p>
    <w:p w:rsidR="00686FDB" w:rsidRDefault="00686FDB" w:rsidP="00B844B0">
      <w:pPr>
        <w:jc w:val="right"/>
        <w:sectPr w:rsidR="00686FDB" w:rsidSect="00B844B0">
          <w:pgSz w:w="11907" w:h="16840" w:code="9"/>
          <w:pgMar w:top="510" w:right="1134" w:bottom="851" w:left="1134" w:header="510" w:footer="624" w:gutter="0"/>
          <w:pgNumType w:start="1"/>
          <w:cols w:space="720"/>
          <w:titlePg/>
        </w:sectPr>
      </w:pPr>
    </w:p>
    <w:p w:rsidR="00686FDB" w:rsidRPr="00B44DAA" w:rsidRDefault="00686FDB" w:rsidP="00B844B0">
      <w:pPr>
        <w:jc w:val="center"/>
      </w:pPr>
      <w:r w:rsidRPr="00B44DAA">
        <w:t>UPOV/WG-DEN/4/2</w:t>
      </w:r>
    </w:p>
    <w:p w:rsidR="00686FDB" w:rsidRPr="00D96D6E" w:rsidRDefault="00686FDB" w:rsidP="00B844B0">
      <w:pPr>
        <w:jc w:val="center"/>
      </w:pPr>
    </w:p>
    <w:p w:rsidR="00686FDB" w:rsidRPr="00D96D6E" w:rsidRDefault="00686FDB" w:rsidP="00B844B0">
      <w:pPr>
        <w:jc w:val="center"/>
      </w:pPr>
      <w:r w:rsidRPr="00D96D6E">
        <w:t>ANNEX V</w:t>
      </w:r>
      <w:r>
        <w:t>III</w:t>
      </w:r>
    </w:p>
    <w:p w:rsidR="00686FDB" w:rsidRPr="00B44DAA" w:rsidRDefault="00686FDB" w:rsidP="00B844B0">
      <w:pPr>
        <w:jc w:val="center"/>
      </w:pPr>
    </w:p>
    <w:p w:rsidR="00686FDB" w:rsidRPr="00B44DAA" w:rsidRDefault="00686FDB" w:rsidP="00B844B0">
      <w:pPr>
        <w:jc w:val="center"/>
      </w:pPr>
    </w:p>
    <w:p w:rsidR="00686FDB" w:rsidRDefault="00686FDB" w:rsidP="00B844B0">
      <w:pPr>
        <w:jc w:val="center"/>
        <w:rPr>
          <w:lang w:eastAsia="ja-JP"/>
        </w:rPr>
      </w:pPr>
      <w:r w:rsidRPr="00B44DAA">
        <w:rPr>
          <w:lang w:eastAsia="ja-JP"/>
        </w:rPr>
        <w:t xml:space="preserve">RESPONSE FROM </w:t>
      </w:r>
      <w:r>
        <w:rPr>
          <w:lang w:eastAsia="ja-JP"/>
        </w:rPr>
        <w:t xml:space="preserve">ESA/ISF </w:t>
      </w:r>
      <w:r w:rsidRPr="00B44DAA">
        <w:rPr>
          <w:lang w:eastAsia="ja-JP"/>
        </w:rPr>
        <w:t>TO UPOV CIRCULAR E</w:t>
      </w:r>
      <w:r w:rsidRPr="00B44DAA">
        <w:rPr>
          <w:lang w:eastAsia="ja-JP"/>
        </w:rPr>
        <w:noBreakHyphen/>
        <w:t>17/135</w:t>
      </w:r>
    </w:p>
    <w:p w:rsidR="00686FDB" w:rsidRDefault="00686FDB" w:rsidP="00B844B0">
      <w:pPr>
        <w:rPr>
          <w:noProof/>
        </w:rPr>
      </w:pPr>
    </w:p>
    <w:p w:rsidR="00686FDB" w:rsidRDefault="00686FDB" w:rsidP="00B844B0">
      <w:r>
        <w:rPr>
          <w:noProof/>
        </w:rPr>
        <w:drawing>
          <wp:inline distT="0" distB="0" distL="0" distR="0">
            <wp:extent cx="6123010" cy="833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15 UPOV Circular E 17-136 ISF ESA Comments_Page_1.png"/>
                    <pic:cNvPicPr/>
                  </pic:nvPicPr>
                  <pic:blipFill rotWithShape="1">
                    <a:blip r:embed="rId55" cstate="print">
                      <a:extLst>
                        <a:ext uri="{28A0092B-C50C-407E-A947-70E740481C1C}">
                          <a14:useLocalDpi xmlns:a14="http://schemas.microsoft.com/office/drawing/2010/main" val="0"/>
                        </a:ext>
                      </a:extLst>
                    </a:blip>
                    <a:srcRect b="3741"/>
                    <a:stretch/>
                  </pic:blipFill>
                  <pic:spPr bwMode="auto">
                    <a:xfrm>
                      <a:off x="0" y="0"/>
                      <a:ext cx="6120765" cy="8331319"/>
                    </a:xfrm>
                    <a:prstGeom prst="rect">
                      <a:avLst/>
                    </a:prstGeom>
                    <a:ln>
                      <a:noFill/>
                    </a:ln>
                    <a:extLst>
                      <a:ext uri="{53640926-AAD7-44D8-BBD7-CCE9431645EC}">
                        <a14:shadowObscured xmlns:a14="http://schemas.microsoft.com/office/drawing/2010/main"/>
                      </a:ext>
                    </a:extLst>
                  </pic:spPr>
                </pic:pic>
              </a:graphicData>
            </a:graphic>
          </wp:inline>
        </w:drawing>
      </w:r>
    </w:p>
    <w:p w:rsidR="00686FDB" w:rsidRDefault="00686FDB">
      <w:r>
        <w:br w:type="page"/>
      </w:r>
    </w:p>
    <w:p w:rsidR="00686FDB" w:rsidRDefault="00686FDB" w:rsidP="00B844B0">
      <w:r>
        <w:rPr>
          <w:noProof/>
        </w:rPr>
        <w:drawing>
          <wp:inline distT="0" distB="0" distL="0" distR="0">
            <wp:extent cx="6120765" cy="8655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15 UPOV Circular E 17-136 ISF ESA Comments_Page_2.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6120765" cy="8655050"/>
                    </a:xfrm>
                    <a:prstGeom prst="rect">
                      <a:avLst/>
                    </a:prstGeom>
                  </pic:spPr>
                </pic:pic>
              </a:graphicData>
            </a:graphic>
          </wp:inline>
        </w:drawing>
      </w:r>
    </w:p>
    <w:p w:rsidR="00686FDB" w:rsidRDefault="00686FDB" w:rsidP="00B844B0"/>
    <w:p w:rsidR="00686FDB" w:rsidRDefault="00686FDB">
      <w:r>
        <w:br w:type="page"/>
      </w:r>
    </w:p>
    <w:p w:rsidR="00686FDB" w:rsidRDefault="00686FDB" w:rsidP="00B844B0">
      <w:pPr>
        <w:rPr>
          <w:noProof/>
        </w:rPr>
      </w:pPr>
    </w:p>
    <w:p w:rsidR="00686FDB" w:rsidRDefault="00686FDB" w:rsidP="00B844B0">
      <w:r>
        <w:rPr>
          <w:noProof/>
        </w:rPr>
        <w:drawing>
          <wp:inline distT="0" distB="0" distL="0" distR="0">
            <wp:extent cx="6122561" cy="8210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15 UPOV Circular E 17-136 ISF ESA Comments_Page_3.png"/>
                    <pic:cNvPicPr/>
                  </pic:nvPicPr>
                  <pic:blipFill rotWithShape="1">
                    <a:blip r:embed="rId57" cstate="print">
                      <a:extLst>
                        <a:ext uri="{28A0092B-C50C-407E-A947-70E740481C1C}">
                          <a14:useLocalDpi xmlns:a14="http://schemas.microsoft.com/office/drawing/2010/main" val="0"/>
                        </a:ext>
                      </a:extLst>
                    </a:blip>
                    <a:srcRect b="5170"/>
                    <a:stretch/>
                  </pic:blipFill>
                  <pic:spPr bwMode="auto">
                    <a:xfrm>
                      <a:off x="0" y="0"/>
                      <a:ext cx="6120765" cy="8208141"/>
                    </a:xfrm>
                    <a:prstGeom prst="rect">
                      <a:avLst/>
                    </a:prstGeom>
                    <a:ln>
                      <a:noFill/>
                    </a:ln>
                    <a:extLst>
                      <a:ext uri="{53640926-AAD7-44D8-BBD7-CCE9431645EC}">
                        <a14:shadowObscured xmlns:a14="http://schemas.microsoft.com/office/drawing/2010/main"/>
                      </a:ext>
                    </a:extLst>
                  </pic:spPr>
                </pic:pic>
              </a:graphicData>
            </a:graphic>
          </wp:inline>
        </w:drawing>
      </w:r>
    </w:p>
    <w:p w:rsidR="00686FDB" w:rsidRDefault="00686FDB" w:rsidP="00B844B0"/>
    <w:p w:rsidR="00686FDB" w:rsidRDefault="00686FDB" w:rsidP="00B844B0"/>
    <w:p w:rsidR="00686FDB" w:rsidRPr="00D96D6E" w:rsidRDefault="00686FDB" w:rsidP="00B844B0">
      <w:pPr>
        <w:jc w:val="right"/>
      </w:pPr>
      <w:r>
        <w:t>[End of Annex VIII and of document]</w:t>
      </w:r>
    </w:p>
    <w:p w:rsidR="00686FDB" w:rsidRPr="00177B06" w:rsidRDefault="00686FDB" w:rsidP="00686FDB"/>
    <w:sectPr w:rsidR="00686FDB" w:rsidRPr="00177B06" w:rsidSect="00B844B0">
      <w:headerReference w:type="default" r:id="rId58"/>
      <w:pgSz w:w="11907" w:h="16840" w:code="9"/>
      <w:pgMar w:top="510" w:right="1134" w:bottom="851"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4B0" w:rsidRDefault="00B844B0">
      <w:r>
        <w:separator/>
      </w:r>
    </w:p>
  </w:endnote>
  <w:endnote w:type="continuationSeparator" w:id="0">
    <w:p w:rsidR="00B844B0" w:rsidRDefault="00B8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Pr="00BB7312" w:rsidRDefault="00B844B0" w:rsidP="00BB7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Pr="0052466B" w:rsidRDefault="00B844B0" w:rsidP="00BA1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4B0" w:rsidRDefault="00B844B0">
      <w:r>
        <w:separator/>
      </w:r>
    </w:p>
  </w:footnote>
  <w:footnote w:type="continuationSeparator" w:id="0">
    <w:p w:rsidR="00B844B0" w:rsidRDefault="00B844B0">
      <w:r>
        <w:continuationSeparator/>
      </w:r>
    </w:p>
  </w:footnote>
  <w:footnote w:id="1">
    <w:p w:rsidR="00B844B0" w:rsidRDefault="00B844B0" w:rsidP="00BA1CCE">
      <w:pPr>
        <w:pStyle w:val="FootnoteText"/>
      </w:pPr>
      <w:r>
        <w:rPr>
          <w:rStyle w:val="FootnoteReference"/>
        </w:rPr>
        <w:footnoteRef/>
      </w:r>
      <w:r>
        <w:tab/>
        <w:t>“Member of the Union” means a State party to the 1961Convention/1972 Act, the 1978 Act or a State or intergovernmental organization party to the 1991 Act (Article 1(xi) of the 1991 Act).</w:t>
      </w:r>
    </w:p>
  </w:footnote>
  <w:footnote w:id="2">
    <w:p w:rsidR="00B844B0" w:rsidRDefault="00B844B0" w:rsidP="00BA1CCE">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3">
    <w:p w:rsidR="00B844B0" w:rsidRDefault="00B844B0" w:rsidP="00BA1CCE">
      <w:pPr>
        <w:pStyle w:val="FootnoteText"/>
        <w:rPr>
          <w:rStyle w:val="FootnoteTextChar"/>
        </w:rPr>
      </w:pPr>
      <w:r>
        <w:rPr>
          <w:rStyle w:val="FootnoteReference"/>
        </w:rPr>
        <w:footnoteRef/>
      </w:r>
      <w:r>
        <w:t xml:space="preserve"> </w:t>
      </w:r>
      <w:r>
        <w:tab/>
      </w:r>
      <w:r w:rsidRPr="00DE1471">
        <w:rPr>
          <w:rStyle w:val="FootnoteTextChar"/>
        </w:rPr>
        <w:t>WIPO Publication No 489 “WIPO Intellectual Property Handbook</w:t>
      </w:r>
    </w:p>
    <w:p w:rsidR="00B844B0" w:rsidRPr="00DE1471" w:rsidRDefault="00B844B0" w:rsidP="00BA1CCE">
      <w:pPr>
        <w:pStyle w:val="FootnoteText"/>
        <w:spacing w:before="0"/>
        <w:rPr>
          <w:rStyle w:val="FootnoteTextChar"/>
        </w:rPr>
      </w:pPr>
      <w:r w:rsidRPr="00DE1471">
        <w:rPr>
          <w:rStyle w:val="FootnoteTextChar"/>
        </w:rPr>
        <w:br/>
      </w:r>
      <w:r w:rsidRPr="00DE1471">
        <w:rPr>
          <w:rStyle w:val="FootnoteTextChar"/>
          <w:u w:val="single"/>
        </w:rPr>
        <w:t>Proper Use of Trademarks</w:t>
      </w:r>
    </w:p>
    <w:p w:rsidR="00B844B0" w:rsidRPr="00DE1471" w:rsidRDefault="00B844B0" w:rsidP="00BA1CCE">
      <w:pPr>
        <w:pStyle w:val="FootnoteText"/>
        <w:tabs>
          <w:tab w:val="left" w:pos="851"/>
        </w:tabs>
        <w:ind w:firstLine="0"/>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B844B0" w:rsidRPr="00DE1471" w:rsidRDefault="00B844B0" w:rsidP="00BA1CCE">
      <w:pPr>
        <w:pStyle w:val="FootnoteText"/>
        <w:tabs>
          <w:tab w:val="left" w:pos="851"/>
        </w:tabs>
        <w:ind w:firstLine="0"/>
      </w:pPr>
      <w:r w:rsidRPr="00DE1471">
        <w:t>2.398</w:t>
      </w:r>
      <w:r w:rsidRPr="00DE1471">
        <w:tab/>
        <w:t>Basically, two things can cause genericness:  namely, improper use by the owner, provoking transformation of the mark into a generic term, and improper use by third parties that is tolerated by the owner.  […]</w:t>
      </w:r>
    </w:p>
    <w:p w:rsidR="00B844B0" w:rsidRPr="00DE1471" w:rsidRDefault="00B844B0" w:rsidP="00BA1CCE">
      <w:pPr>
        <w:pStyle w:val="FootnoteText"/>
        <w:tabs>
          <w:tab w:val="left" w:pos="851"/>
        </w:tabs>
        <w:ind w:firstLine="0"/>
      </w:pPr>
      <w:r w:rsidRPr="00DE1471">
        <w:t>2.400</w:t>
      </w:r>
      <w:r w:rsidRPr="00DE1471">
        <w:tab/>
        <w:t>The basic rule is that the trademark should not be used as, or instead of, the product designation.  [...]</w:t>
      </w:r>
    </w:p>
    <w:p w:rsidR="00B844B0" w:rsidRPr="00DE1471" w:rsidRDefault="00B844B0" w:rsidP="00BA1CCE">
      <w:pPr>
        <w:pStyle w:val="FootnoteText"/>
        <w:tabs>
          <w:tab w:val="left" w:pos="851"/>
        </w:tabs>
        <w:ind w:firstLine="0"/>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4">
    <w:p w:rsidR="00B844B0" w:rsidRDefault="00B844B0" w:rsidP="00BA1CCE">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5">
    <w:p w:rsidR="00B844B0" w:rsidRDefault="00B844B0" w:rsidP="00BA1CCE">
      <w:pPr>
        <w:pStyle w:val="FootnoteText"/>
      </w:pPr>
      <w:r>
        <w:rPr>
          <w:rStyle w:val="FootnoteReference"/>
        </w:rPr>
        <w:footnoteRef/>
      </w:r>
      <w:r>
        <w:t xml:space="preserve"> </w:t>
      </w:r>
      <w:r>
        <w:tab/>
      </w:r>
      <w:r w:rsidRPr="0042091F">
        <w:rPr>
          <w:spacing w:val="-2"/>
        </w:rPr>
        <w:t>Nice Agreement concerning the International Classification of Goods and Services for the Purposes of the Registration of Marks, of June 15, 1957, as revised in Stockholm on July 14, 1967, and Geneva on May 13, 1977, and amended on September 28, 1979.</w:t>
      </w:r>
    </w:p>
  </w:footnote>
  <w:footnote w:id="6">
    <w:p w:rsidR="00B844B0" w:rsidRDefault="00B844B0" w:rsidP="00BA1CCE">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7">
    <w:p w:rsidR="00B844B0" w:rsidRDefault="00B844B0" w:rsidP="00BA1CCE">
      <w:pPr>
        <w:pStyle w:val="FootnoteText"/>
      </w:pPr>
      <w:r>
        <w:rPr>
          <w:rStyle w:val="FootnoteReference"/>
        </w:rPr>
        <w:footnoteRef/>
      </w:r>
      <w:r>
        <w:t xml:space="preserve"> </w:t>
      </w:r>
      <w:r>
        <w:tab/>
        <w:t>Article 8 of the Paris Convention.</w:t>
      </w:r>
    </w:p>
  </w:footnote>
  <w:footnote w:id="8">
    <w:p w:rsidR="00B844B0" w:rsidRDefault="00B844B0" w:rsidP="00BA1CCE">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9">
    <w:p w:rsidR="00B844B0" w:rsidRDefault="00B844B0" w:rsidP="00BA1CCE">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10">
    <w:p w:rsidR="00B844B0" w:rsidRPr="00917B01" w:rsidRDefault="00B844B0" w:rsidP="00BA1CCE">
      <w:pPr>
        <w:pStyle w:val="FootnoteText"/>
        <w:ind w:right="851"/>
        <w:rPr>
          <w:color w:val="000000"/>
        </w:rPr>
      </w:pPr>
      <w:r w:rsidRPr="00917B01">
        <w:rPr>
          <w:color w:val="000000"/>
        </w:rPr>
        <w:t xml:space="preserve">* </w:t>
      </w:r>
      <w:r w:rsidRPr="00917B01">
        <w:rPr>
          <w:color w:val="000000"/>
        </w:rPr>
        <w:tab/>
        <w:t>Classes 203 and 204 are not solely established on the basis of closely related species.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Pr="00C5280D" w:rsidRDefault="00B844B0" w:rsidP="00BA1CCE">
    <w:pPr>
      <w:pStyle w:val="Header"/>
      <w:rPr>
        <w:rStyle w:val="PageNumber"/>
        <w:lang w:val="en-US"/>
      </w:rPr>
    </w:pPr>
    <w:r>
      <w:rPr>
        <w:rStyle w:val="PageNumber"/>
        <w:lang w:val="en-US"/>
      </w:rPr>
      <w:t>UPOV/WG-DEN/4/2</w:t>
    </w:r>
  </w:p>
  <w:p w:rsidR="00B844B0" w:rsidRPr="00C5280D" w:rsidRDefault="00B844B0" w:rsidP="00BA1CC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5220E">
      <w:rPr>
        <w:rStyle w:val="PageNumber"/>
        <w:noProof/>
        <w:lang w:val="en-US"/>
      </w:rPr>
      <w:t>3</w:t>
    </w:r>
    <w:r w:rsidRPr="00C5280D">
      <w:rPr>
        <w:rStyle w:val="PageNumber"/>
        <w:lang w:val="en-US"/>
      </w:rPr>
      <w:fldChar w:fldCharType="end"/>
    </w:r>
  </w:p>
  <w:p w:rsidR="00B844B0" w:rsidRPr="00C5280D" w:rsidRDefault="00B844B0" w:rsidP="00BA1CC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Default="00B844B0">
    <w:pPr>
      <w:pStyle w:val="Header"/>
    </w:pPr>
    <w:r>
      <w:t>UPOV/WG-DEN/4/2</w:t>
    </w:r>
  </w:p>
  <w:p w:rsidR="00B844B0" w:rsidRDefault="00B844B0">
    <w:pPr>
      <w:pStyle w:val="Header"/>
      <w:rPr>
        <w:noProof/>
      </w:rPr>
    </w:pPr>
    <w:r>
      <w:t xml:space="preserve">Annex III, page </w:t>
    </w:r>
    <w:r>
      <w:fldChar w:fldCharType="begin"/>
    </w:r>
    <w:r>
      <w:instrText xml:space="preserve"> PAGE   \* MERGEFORMAT </w:instrText>
    </w:r>
    <w:r>
      <w:fldChar w:fldCharType="separate"/>
    </w:r>
    <w:r w:rsidR="0005220E">
      <w:rPr>
        <w:noProof/>
      </w:rPr>
      <w:t>3</w:t>
    </w:r>
    <w:r>
      <w:rPr>
        <w:noProof/>
      </w:rPr>
      <w:fldChar w:fldCharType="end"/>
    </w:r>
  </w:p>
  <w:p w:rsidR="00B844B0" w:rsidRDefault="00B844B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Default="00B844B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Default="00B844B0">
    <w:pPr>
      <w:pStyle w:val="Header"/>
    </w:pPr>
    <w:r>
      <w:t>UPOV/WG-DEN/4/2</w:t>
    </w:r>
  </w:p>
  <w:p w:rsidR="00B844B0" w:rsidRDefault="00B844B0">
    <w:pPr>
      <w:pStyle w:val="Header"/>
      <w:rPr>
        <w:noProof/>
      </w:rPr>
    </w:pPr>
    <w:r>
      <w:t xml:space="preserve">Annex IV, page </w:t>
    </w:r>
    <w:r>
      <w:fldChar w:fldCharType="begin"/>
    </w:r>
    <w:r>
      <w:instrText xml:space="preserve"> PAGE   \* MERGEFORMAT </w:instrText>
    </w:r>
    <w:r>
      <w:fldChar w:fldCharType="separate"/>
    </w:r>
    <w:r w:rsidR="0005220E">
      <w:rPr>
        <w:noProof/>
      </w:rPr>
      <w:t>4</w:t>
    </w:r>
    <w:r>
      <w:rPr>
        <w:noProof/>
      </w:rPr>
      <w:fldChar w:fldCharType="end"/>
    </w:r>
  </w:p>
  <w:p w:rsidR="00B844B0" w:rsidRDefault="00B844B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Default="00B844B0">
    <w:pPr>
      <w:pStyle w:val="Header"/>
    </w:pPr>
    <w:r>
      <w:t>UPOV/WG-DEN/4/2</w:t>
    </w:r>
  </w:p>
  <w:p w:rsidR="00B844B0" w:rsidRDefault="00B844B0">
    <w:pPr>
      <w:pStyle w:val="Header"/>
      <w:rPr>
        <w:noProof/>
      </w:rPr>
    </w:pPr>
    <w:r>
      <w:t xml:space="preserve">Annex VI, page </w:t>
    </w:r>
    <w:r>
      <w:fldChar w:fldCharType="begin"/>
    </w:r>
    <w:r>
      <w:instrText xml:space="preserve"> PAGE   \* MERGEFORMAT </w:instrText>
    </w:r>
    <w:r>
      <w:fldChar w:fldCharType="separate"/>
    </w:r>
    <w:r w:rsidR="0005220E">
      <w:rPr>
        <w:noProof/>
      </w:rPr>
      <w:t>2</w:t>
    </w:r>
    <w:r>
      <w:rPr>
        <w:noProof/>
      </w:rPr>
      <w:fldChar w:fldCharType="end"/>
    </w:r>
  </w:p>
  <w:p w:rsidR="00B844B0" w:rsidRDefault="00B844B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Default="00B844B0">
    <w:pPr>
      <w:pStyle w:val="Header"/>
    </w:pPr>
    <w:r>
      <w:t>UPOV/WG-DEN/4/2</w:t>
    </w:r>
  </w:p>
  <w:p w:rsidR="00B844B0" w:rsidRDefault="00B844B0">
    <w:pPr>
      <w:pStyle w:val="Header"/>
      <w:rPr>
        <w:noProof/>
      </w:rPr>
    </w:pPr>
    <w:r>
      <w:t xml:space="preserve">Annex VIII, page </w:t>
    </w:r>
    <w:r>
      <w:fldChar w:fldCharType="begin"/>
    </w:r>
    <w:r>
      <w:instrText xml:space="preserve"> PAGE   \* MERGEFORMAT </w:instrText>
    </w:r>
    <w:r>
      <w:fldChar w:fldCharType="separate"/>
    </w:r>
    <w:r w:rsidR="0005220E">
      <w:rPr>
        <w:noProof/>
      </w:rPr>
      <w:t>3</w:t>
    </w:r>
    <w:r>
      <w:rPr>
        <w:noProof/>
      </w:rPr>
      <w:fldChar w:fldCharType="end"/>
    </w:r>
  </w:p>
  <w:p w:rsidR="00B844B0" w:rsidRDefault="00B84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Default="00B844B0">
    <w:pPr>
      <w:jc w:val="center"/>
    </w:pPr>
    <w:r>
      <w:t>UPOV/WG-DEN/4/2</w:t>
    </w:r>
  </w:p>
  <w:p w:rsidR="00B844B0" w:rsidRDefault="00B844B0">
    <w:pPr>
      <w:jc w:val="center"/>
    </w:pPr>
    <w:r>
      <w:t xml:space="preserve">Annex I, page </w:t>
    </w:r>
    <w:r>
      <w:fldChar w:fldCharType="begin"/>
    </w:r>
    <w:r>
      <w:instrText xml:space="preserve"> PAGE  \* MERGEFORMAT </w:instrText>
    </w:r>
    <w:r>
      <w:fldChar w:fldCharType="separate"/>
    </w:r>
    <w:r w:rsidR="0005220E">
      <w:rPr>
        <w:noProof/>
      </w:rPr>
      <w:t>15</w:t>
    </w:r>
    <w:r>
      <w:fldChar w:fldCharType="end"/>
    </w:r>
  </w:p>
  <w:p w:rsidR="00B844B0" w:rsidRDefault="00B844B0">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Pr="004438FF" w:rsidRDefault="00B844B0" w:rsidP="00BA1C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Pr="004438FF" w:rsidRDefault="00B844B0" w:rsidP="00BA1C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Pr="00F106BE" w:rsidRDefault="00B844B0" w:rsidP="00BA1CCE">
    <w:pPr>
      <w:pStyle w:val="Enttepair"/>
    </w:pPr>
    <w:r>
      <w:t>NOTES — ARTICLE 30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Pr="00527219" w:rsidRDefault="00B844B0" w:rsidP="00BA1CCE">
    <w:pPr>
      <w:jc w:val="center"/>
    </w:pPr>
    <w:r>
      <w:t>UPOV/INF/12/6 Draft 4</w:t>
    </w:r>
  </w:p>
  <w:p w:rsidR="00B844B0" w:rsidRDefault="00B844B0">
    <w:pPr>
      <w:jc w:val="center"/>
      <w:rPr>
        <w:lang w:eastAsia="ja-JP"/>
      </w:rPr>
    </w:pPr>
    <w:r>
      <w:t>A</w:t>
    </w:r>
    <w:r>
      <w:rPr>
        <w:rFonts w:hint="eastAsia"/>
        <w:lang w:eastAsia="ja-JP"/>
      </w:rPr>
      <w:t>nnex</w:t>
    </w:r>
    <w:r>
      <w:t xml:space="preserve"> II</w:t>
    </w:r>
    <w:r>
      <w:rPr>
        <w:rFonts w:hint="eastAsia"/>
        <w:lang w:eastAsia="ja-JP"/>
      </w:rPr>
      <w:t>, page 2</w:t>
    </w:r>
  </w:p>
  <w:p w:rsidR="00B844B0" w:rsidRDefault="00B844B0">
    <w:pPr>
      <w:jc w:val="center"/>
    </w:pPr>
  </w:p>
  <w:p w:rsidR="00B844B0" w:rsidRDefault="00B844B0">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Default="00B844B0">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Pr="004438FF" w:rsidRDefault="00B844B0" w:rsidP="00BA1CC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B0" w:rsidRDefault="00B844B0">
    <w:pPr>
      <w:pStyle w:val="Header"/>
    </w:pPr>
    <w:r>
      <w:t>UPOV/WG-DEN/4/2</w:t>
    </w:r>
  </w:p>
  <w:p w:rsidR="00B844B0" w:rsidRDefault="00B844B0">
    <w:pPr>
      <w:pStyle w:val="Header"/>
      <w:rPr>
        <w:noProof/>
      </w:rPr>
    </w:pPr>
    <w:r>
      <w:t xml:space="preserve">Annex III, page </w:t>
    </w:r>
    <w:r>
      <w:fldChar w:fldCharType="begin"/>
    </w:r>
    <w:r>
      <w:instrText xml:space="preserve"> PAGE   \* MERGEFORMAT </w:instrText>
    </w:r>
    <w:r>
      <w:fldChar w:fldCharType="separate"/>
    </w:r>
    <w:r w:rsidR="002C1322">
      <w:rPr>
        <w:noProof/>
      </w:rPr>
      <w:t>3</w:t>
    </w:r>
    <w:r>
      <w:rPr>
        <w:noProof/>
      </w:rPr>
      <w:fldChar w:fldCharType="end"/>
    </w:r>
  </w:p>
  <w:p w:rsidR="00B844B0" w:rsidRDefault="00B84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F62"/>
    <w:multiLevelType w:val="hybridMultilevel"/>
    <w:tmpl w:val="2D5A20B0"/>
    <w:lvl w:ilvl="0" w:tplc="5926807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DF1B47"/>
    <w:multiLevelType w:val="hybridMultilevel"/>
    <w:tmpl w:val="6B0ACC5A"/>
    <w:lvl w:ilvl="0" w:tplc="37A88172">
      <w:start w:val="1"/>
      <w:numFmt w:val="lowerRoman"/>
      <w:lvlText w:val="(%1)"/>
      <w:lvlJc w:val="right"/>
      <w:pPr>
        <w:ind w:left="1080" w:hanging="72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286B68"/>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4F3656"/>
    <w:multiLevelType w:val="hybridMultilevel"/>
    <w:tmpl w:val="B9BAC386"/>
    <w:lvl w:ilvl="0" w:tplc="DC78806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B65C08"/>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4F3C82"/>
    <w:multiLevelType w:val="hybridMultilevel"/>
    <w:tmpl w:val="12189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45947A2"/>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BB1BCE"/>
    <w:multiLevelType w:val="hybridMultilevel"/>
    <w:tmpl w:val="E3ACD892"/>
    <w:lvl w:ilvl="0" w:tplc="37A88172">
      <w:start w:val="1"/>
      <w:numFmt w:val="lowerRoman"/>
      <w:lvlText w:val="(%1)"/>
      <w:lvlJc w:val="right"/>
      <w:pPr>
        <w:ind w:left="720" w:hanging="36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816FA"/>
    <w:multiLevelType w:val="hybridMultilevel"/>
    <w:tmpl w:val="7426633A"/>
    <w:lvl w:ilvl="0" w:tplc="EA4AC8F4">
      <w:start w:val="1"/>
      <w:numFmt w:val="lowerLetter"/>
      <w:lvlText w:val="%1"/>
      <w:lvlJc w:val="left"/>
      <w:pPr>
        <w:ind w:left="720" w:hanging="360"/>
      </w:pPr>
      <w:rPr>
        <w:rFonts w:ascii="Arial" w:hAnsi="Arial" w:hint="default"/>
        <w:b w:val="0"/>
        <w:i w:val="0"/>
        <w:color w:val="auto"/>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5B550871"/>
    <w:multiLevelType w:val="hybridMultilevel"/>
    <w:tmpl w:val="3F8095E2"/>
    <w:lvl w:ilvl="0" w:tplc="CAA48802">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D2474CA"/>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5B6F3E"/>
    <w:multiLevelType w:val="hybridMultilevel"/>
    <w:tmpl w:val="D898C260"/>
    <w:lvl w:ilvl="0" w:tplc="6C6854E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D63938"/>
    <w:multiLevelType w:val="hybridMultilevel"/>
    <w:tmpl w:val="739EE136"/>
    <w:lvl w:ilvl="0" w:tplc="B0C60F8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71A6464E"/>
    <w:multiLevelType w:val="hybridMultilevel"/>
    <w:tmpl w:val="36D6F8FA"/>
    <w:lvl w:ilvl="0" w:tplc="3B407E96">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nsid w:val="793A7A7C"/>
    <w:multiLevelType w:val="hybridMultilevel"/>
    <w:tmpl w:val="60CAB4C0"/>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C995F7F"/>
    <w:multiLevelType w:val="multilevel"/>
    <w:tmpl w:val="A0B846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1"/>
  </w:num>
  <w:num w:numId="3">
    <w:abstractNumId w:val="8"/>
  </w:num>
  <w:num w:numId="4">
    <w:abstractNumId w:val="1"/>
  </w:num>
  <w:num w:numId="5">
    <w:abstractNumId w:val="10"/>
  </w:num>
  <w:num w:numId="6">
    <w:abstractNumId w:val="7"/>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3"/>
  </w:num>
  <w:num w:numId="13">
    <w:abstractNumId w:val="13"/>
  </w:num>
  <w:num w:numId="14">
    <w:abstractNumId w:val="6"/>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CH"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1A"/>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20E"/>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691B"/>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69EC"/>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77B06"/>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696E"/>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1322"/>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1D3D"/>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0C7"/>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6FDB"/>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B21"/>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CB9"/>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10FD"/>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790"/>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1F68"/>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44B0"/>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1CCE"/>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312"/>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1FE"/>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67B1A"/>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96A"/>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4D55"/>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3A91"/>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uiPriority w:val="59"/>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uiPriority w:val="20"/>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uiPriority w:val="22"/>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D67B1A"/>
    <w:pPr>
      <w:spacing w:after="600"/>
      <w:jc w:val="left"/>
    </w:pPr>
    <w:rPr>
      <w:i/>
      <w:iCs/>
      <w:color w:val="A6A6A6" w:themeColor="background1" w:themeShade="A6"/>
    </w:rPr>
  </w:style>
  <w:style w:type="paragraph" w:customStyle="1" w:styleId="preparedby0">
    <w:name w:val="prepared_by"/>
    <w:basedOn w:val="Normal"/>
    <w:rsid w:val="00D67B1A"/>
    <w:pPr>
      <w:spacing w:after="240"/>
      <w:jc w:val="center"/>
    </w:pPr>
    <w:rPr>
      <w:i/>
      <w:iCs/>
    </w:rPr>
  </w:style>
  <w:style w:type="paragraph" w:styleId="ListParagraph">
    <w:name w:val="List Paragraph"/>
    <w:basedOn w:val="Normal"/>
    <w:uiPriority w:val="34"/>
    <w:qFormat/>
    <w:rsid w:val="00D67B1A"/>
    <w:pPr>
      <w:ind w:left="720"/>
      <w:contextualSpacing/>
    </w:pPr>
    <w:rPr>
      <w:rFonts w:eastAsiaTheme="minorEastAsia"/>
    </w:rPr>
  </w:style>
  <w:style w:type="paragraph" w:styleId="NoSpacing">
    <w:name w:val="No Spacing"/>
    <w:uiPriority w:val="1"/>
    <w:qFormat/>
    <w:rsid w:val="00D67B1A"/>
    <w:rPr>
      <w:rFonts w:eastAsiaTheme="minorEastAsia"/>
    </w:rPr>
  </w:style>
  <w:style w:type="character" w:customStyle="1" w:styleId="Heading6Char">
    <w:name w:val="Heading 6 Char"/>
    <w:basedOn w:val="DefaultParagraphFont"/>
    <w:link w:val="Heading6"/>
    <w:rsid w:val="00BB7312"/>
    <w:rPr>
      <w:lang w:val="es-ES_tradnl"/>
    </w:rPr>
  </w:style>
  <w:style w:type="character" w:customStyle="1" w:styleId="Heading7Char">
    <w:name w:val="Heading 7 Char"/>
    <w:basedOn w:val="DefaultParagraphFont"/>
    <w:link w:val="Heading7"/>
    <w:rsid w:val="00BB7312"/>
    <w:rPr>
      <w:szCs w:val="24"/>
    </w:rPr>
  </w:style>
  <w:style w:type="character" w:customStyle="1" w:styleId="Heading8Char">
    <w:name w:val="Heading 8 Char"/>
    <w:basedOn w:val="DefaultParagraphFont"/>
    <w:link w:val="Heading8"/>
    <w:rsid w:val="00BB7312"/>
    <w:rPr>
      <w:u w:val="single"/>
    </w:rPr>
  </w:style>
  <w:style w:type="character" w:customStyle="1" w:styleId="FootnoteTextChar">
    <w:name w:val="Footnote Text Char"/>
    <w:basedOn w:val="DefaultParagraphFont"/>
    <w:link w:val="FootnoteText"/>
    <w:rsid w:val="00BB7312"/>
    <w:rPr>
      <w:sz w:val="16"/>
    </w:rPr>
  </w:style>
  <w:style w:type="character" w:customStyle="1" w:styleId="EndnoteTextChar">
    <w:name w:val="Endnote Text Char"/>
    <w:basedOn w:val="DefaultParagraphFont"/>
    <w:link w:val="EndnoteText"/>
    <w:rsid w:val="00BB7312"/>
    <w:rPr>
      <w:sz w:val="16"/>
    </w:rPr>
  </w:style>
  <w:style w:type="character" w:customStyle="1" w:styleId="E-mailSignatureChar">
    <w:name w:val="E-mail Signature Char"/>
    <w:basedOn w:val="DefaultParagraphFont"/>
    <w:link w:val="E-mailSignature"/>
    <w:rsid w:val="00BB7312"/>
  </w:style>
  <w:style w:type="character" w:customStyle="1" w:styleId="HTMLAddressChar">
    <w:name w:val="HTML Address Char"/>
    <w:basedOn w:val="DefaultParagraphFont"/>
    <w:link w:val="HTMLAddress"/>
    <w:rsid w:val="00BB7312"/>
    <w:rPr>
      <w:i/>
      <w:iCs/>
    </w:rPr>
  </w:style>
  <w:style w:type="character" w:customStyle="1" w:styleId="HTMLPreformattedChar">
    <w:name w:val="HTML Preformatted Char"/>
    <w:basedOn w:val="DefaultParagraphFont"/>
    <w:link w:val="HTMLPreformatted"/>
    <w:rsid w:val="00BB7312"/>
    <w:rPr>
      <w:rFonts w:ascii="Courier New" w:hAnsi="Courier New" w:cs="Courier New"/>
    </w:rPr>
  </w:style>
  <w:style w:type="character" w:customStyle="1" w:styleId="MessageHeaderChar">
    <w:name w:val="Message Header Char"/>
    <w:basedOn w:val="DefaultParagraphFont"/>
    <w:link w:val="MessageHeader"/>
    <w:rsid w:val="00BB7312"/>
    <w:rPr>
      <w:szCs w:val="24"/>
      <w:shd w:val="pct20" w:color="auto" w:fill="auto"/>
    </w:rPr>
  </w:style>
  <w:style w:type="character" w:customStyle="1" w:styleId="NoteHeadingChar">
    <w:name w:val="Note Heading Char"/>
    <w:basedOn w:val="DefaultParagraphFont"/>
    <w:link w:val="NoteHeading"/>
    <w:rsid w:val="00BB7312"/>
  </w:style>
  <w:style w:type="character" w:customStyle="1" w:styleId="SalutationChar">
    <w:name w:val="Salutation Char"/>
    <w:basedOn w:val="DefaultParagraphFont"/>
    <w:link w:val="Salutation"/>
    <w:rsid w:val="00BB7312"/>
  </w:style>
  <w:style w:type="character" w:customStyle="1" w:styleId="SubtitleChar">
    <w:name w:val="Subtitle Char"/>
    <w:basedOn w:val="DefaultParagraphFont"/>
    <w:link w:val="Subtitle"/>
    <w:rsid w:val="00BB7312"/>
    <w:rPr>
      <w:szCs w:val="24"/>
    </w:rPr>
  </w:style>
  <w:style w:type="character" w:customStyle="1" w:styleId="BalloonTextChar">
    <w:name w:val="Balloon Text Char"/>
    <w:basedOn w:val="DefaultParagraphFont"/>
    <w:link w:val="BalloonText"/>
    <w:rsid w:val="00BB7312"/>
    <w:rPr>
      <w:rFonts w:ascii="Tahoma" w:hAnsi="Tahoma" w:cs="Tahoma"/>
      <w:sz w:val="16"/>
      <w:szCs w:val="16"/>
    </w:rPr>
  </w:style>
  <w:style w:type="character" w:customStyle="1" w:styleId="PlainTextChar">
    <w:name w:val="Plain Text Char"/>
    <w:basedOn w:val="DefaultParagraphFont"/>
    <w:link w:val="PlainText"/>
    <w:rsid w:val="00BB7312"/>
    <w:rPr>
      <w:rFonts w:ascii="Courier New" w:hAnsi="Courier New" w:cs="Courier New"/>
      <w:lang w:eastAsia="fr-FR"/>
    </w:rPr>
  </w:style>
  <w:style w:type="paragraph" w:customStyle="1" w:styleId="preparedby1">
    <w:name w:val="prepared by"/>
    <w:basedOn w:val="Normal"/>
    <w:rsid w:val="00BB7312"/>
    <w:pPr>
      <w:spacing w:before="600" w:after="600"/>
      <w:jc w:val="center"/>
    </w:pPr>
    <w:rPr>
      <w:i/>
    </w:rPr>
  </w:style>
  <w:style w:type="paragraph" w:customStyle="1" w:styleId="Code">
    <w:name w:val="Code"/>
    <w:basedOn w:val="Normal"/>
    <w:link w:val="CodeChar"/>
    <w:semiHidden/>
    <w:rsid w:val="00BB7312"/>
    <w:pPr>
      <w:spacing w:line="340" w:lineRule="atLeast"/>
      <w:ind w:left="1276"/>
    </w:pPr>
    <w:rPr>
      <w:b/>
      <w:bCs/>
      <w:spacing w:val="10"/>
    </w:rPr>
  </w:style>
  <w:style w:type="character" w:customStyle="1" w:styleId="CodeChar">
    <w:name w:val="Code Char"/>
    <w:basedOn w:val="DefaultParagraphFont"/>
    <w:link w:val="Code"/>
    <w:semiHidden/>
    <w:rsid w:val="00BB7312"/>
    <w:rPr>
      <w:b/>
      <w:bCs/>
      <w:spacing w:val="10"/>
    </w:rPr>
  </w:style>
  <w:style w:type="paragraph" w:customStyle="1" w:styleId="Style1">
    <w:name w:val="Style1"/>
    <w:basedOn w:val="Normal"/>
    <w:rsid w:val="00BB7312"/>
    <w:pPr>
      <w:tabs>
        <w:tab w:val="decimal" w:pos="907"/>
        <w:tab w:val="left" w:pos="1077"/>
      </w:tabs>
    </w:pPr>
    <w:rPr>
      <w:rFonts w:eastAsia="MS Mincho"/>
      <w:szCs w:val="24"/>
      <w:lang w:eastAsia="ja-JP"/>
    </w:rPr>
  </w:style>
  <w:style w:type="paragraph" w:customStyle="1" w:styleId="BasistekstNaktuinbouw">
    <w:name w:val="Basistekst Naktuinbouw"/>
    <w:basedOn w:val="Normal"/>
    <w:qFormat/>
    <w:rsid w:val="00686FDB"/>
    <w:pPr>
      <w:spacing w:line="240" w:lineRule="atLeast"/>
      <w:jc w:val="left"/>
    </w:pPr>
    <w:rPr>
      <w:rFonts w:cs="Maiandra GD"/>
      <w:color w:val="000000" w:themeColor="text1"/>
      <w:szCs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uiPriority w:val="59"/>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uiPriority w:val="20"/>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uiPriority w:val="22"/>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D67B1A"/>
    <w:pPr>
      <w:spacing w:after="600"/>
      <w:jc w:val="left"/>
    </w:pPr>
    <w:rPr>
      <w:i/>
      <w:iCs/>
      <w:color w:val="A6A6A6" w:themeColor="background1" w:themeShade="A6"/>
    </w:rPr>
  </w:style>
  <w:style w:type="paragraph" w:customStyle="1" w:styleId="preparedby0">
    <w:name w:val="prepared_by"/>
    <w:basedOn w:val="Normal"/>
    <w:rsid w:val="00D67B1A"/>
    <w:pPr>
      <w:spacing w:after="240"/>
      <w:jc w:val="center"/>
    </w:pPr>
    <w:rPr>
      <w:i/>
      <w:iCs/>
    </w:rPr>
  </w:style>
  <w:style w:type="paragraph" w:styleId="ListParagraph">
    <w:name w:val="List Paragraph"/>
    <w:basedOn w:val="Normal"/>
    <w:uiPriority w:val="34"/>
    <w:qFormat/>
    <w:rsid w:val="00D67B1A"/>
    <w:pPr>
      <w:ind w:left="720"/>
      <w:contextualSpacing/>
    </w:pPr>
    <w:rPr>
      <w:rFonts w:eastAsiaTheme="minorEastAsia"/>
    </w:rPr>
  </w:style>
  <w:style w:type="paragraph" w:styleId="NoSpacing">
    <w:name w:val="No Spacing"/>
    <w:uiPriority w:val="1"/>
    <w:qFormat/>
    <w:rsid w:val="00D67B1A"/>
    <w:rPr>
      <w:rFonts w:eastAsiaTheme="minorEastAsia"/>
    </w:rPr>
  </w:style>
  <w:style w:type="character" w:customStyle="1" w:styleId="Heading6Char">
    <w:name w:val="Heading 6 Char"/>
    <w:basedOn w:val="DefaultParagraphFont"/>
    <w:link w:val="Heading6"/>
    <w:rsid w:val="00BB7312"/>
    <w:rPr>
      <w:lang w:val="es-ES_tradnl"/>
    </w:rPr>
  </w:style>
  <w:style w:type="character" w:customStyle="1" w:styleId="Heading7Char">
    <w:name w:val="Heading 7 Char"/>
    <w:basedOn w:val="DefaultParagraphFont"/>
    <w:link w:val="Heading7"/>
    <w:rsid w:val="00BB7312"/>
    <w:rPr>
      <w:szCs w:val="24"/>
    </w:rPr>
  </w:style>
  <w:style w:type="character" w:customStyle="1" w:styleId="Heading8Char">
    <w:name w:val="Heading 8 Char"/>
    <w:basedOn w:val="DefaultParagraphFont"/>
    <w:link w:val="Heading8"/>
    <w:rsid w:val="00BB7312"/>
    <w:rPr>
      <w:u w:val="single"/>
    </w:rPr>
  </w:style>
  <w:style w:type="character" w:customStyle="1" w:styleId="FootnoteTextChar">
    <w:name w:val="Footnote Text Char"/>
    <w:basedOn w:val="DefaultParagraphFont"/>
    <w:link w:val="FootnoteText"/>
    <w:rsid w:val="00BB7312"/>
    <w:rPr>
      <w:sz w:val="16"/>
    </w:rPr>
  </w:style>
  <w:style w:type="character" w:customStyle="1" w:styleId="EndnoteTextChar">
    <w:name w:val="Endnote Text Char"/>
    <w:basedOn w:val="DefaultParagraphFont"/>
    <w:link w:val="EndnoteText"/>
    <w:rsid w:val="00BB7312"/>
    <w:rPr>
      <w:sz w:val="16"/>
    </w:rPr>
  </w:style>
  <w:style w:type="character" w:customStyle="1" w:styleId="E-mailSignatureChar">
    <w:name w:val="E-mail Signature Char"/>
    <w:basedOn w:val="DefaultParagraphFont"/>
    <w:link w:val="E-mailSignature"/>
    <w:rsid w:val="00BB7312"/>
  </w:style>
  <w:style w:type="character" w:customStyle="1" w:styleId="HTMLAddressChar">
    <w:name w:val="HTML Address Char"/>
    <w:basedOn w:val="DefaultParagraphFont"/>
    <w:link w:val="HTMLAddress"/>
    <w:rsid w:val="00BB7312"/>
    <w:rPr>
      <w:i/>
      <w:iCs/>
    </w:rPr>
  </w:style>
  <w:style w:type="character" w:customStyle="1" w:styleId="HTMLPreformattedChar">
    <w:name w:val="HTML Preformatted Char"/>
    <w:basedOn w:val="DefaultParagraphFont"/>
    <w:link w:val="HTMLPreformatted"/>
    <w:rsid w:val="00BB7312"/>
    <w:rPr>
      <w:rFonts w:ascii="Courier New" w:hAnsi="Courier New" w:cs="Courier New"/>
    </w:rPr>
  </w:style>
  <w:style w:type="character" w:customStyle="1" w:styleId="MessageHeaderChar">
    <w:name w:val="Message Header Char"/>
    <w:basedOn w:val="DefaultParagraphFont"/>
    <w:link w:val="MessageHeader"/>
    <w:rsid w:val="00BB7312"/>
    <w:rPr>
      <w:szCs w:val="24"/>
      <w:shd w:val="pct20" w:color="auto" w:fill="auto"/>
    </w:rPr>
  </w:style>
  <w:style w:type="character" w:customStyle="1" w:styleId="NoteHeadingChar">
    <w:name w:val="Note Heading Char"/>
    <w:basedOn w:val="DefaultParagraphFont"/>
    <w:link w:val="NoteHeading"/>
    <w:rsid w:val="00BB7312"/>
  </w:style>
  <w:style w:type="character" w:customStyle="1" w:styleId="SalutationChar">
    <w:name w:val="Salutation Char"/>
    <w:basedOn w:val="DefaultParagraphFont"/>
    <w:link w:val="Salutation"/>
    <w:rsid w:val="00BB7312"/>
  </w:style>
  <w:style w:type="character" w:customStyle="1" w:styleId="SubtitleChar">
    <w:name w:val="Subtitle Char"/>
    <w:basedOn w:val="DefaultParagraphFont"/>
    <w:link w:val="Subtitle"/>
    <w:rsid w:val="00BB7312"/>
    <w:rPr>
      <w:szCs w:val="24"/>
    </w:rPr>
  </w:style>
  <w:style w:type="character" w:customStyle="1" w:styleId="BalloonTextChar">
    <w:name w:val="Balloon Text Char"/>
    <w:basedOn w:val="DefaultParagraphFont"/>
    <w:link w:val="BalloonText"/>
    <w:rsid w:val="00BB7312"/>
    <w:rPr>
      <w:rFonts w:ascii="Tahoma" w:hAnsi="Tahoma" w:cs="Tahoma"/>
      <w:sz w:val="16"/>
      <w:szCs w:val="16"/>
    </w:rPr>
  </w:style>
  <w:style w:type="character" w:customStyle="1" w:styleId="PlainTextChar">
    <w:name w:val="Plain Text Char"/>
    <w:basedOn w:val="DefaultParagraphFont"/>
    <w:link w:val="PlainText"/>
    <w:rsid w:val="00BB7312"/>
    <w:rPr>
      <w:rFonts w:ascii="Courier New" w:hAnsi="Courier New" w:cs="Courier New"/>
      <w:lang w:eastAsia="fr-FR"/>
    </w:rPr>
  </w:style>
  <w:style w:type="paragraph" w:customStyle="1" w:styleId="preparedby1">
    <w:name w:val="prepared by"/>
    <w:basedOn w:val="Normal"/>
    <w:rsid w:val="00BB7312"/>
    <w:pPr>
      <w:spacing w:before="600" w:after="600"/>
      <w:jc w:val="center"/>
    </w:pPr>
    <w:rPr>
      <w:i/>
    </w:rPr>
  </w:style>
  <w:style w:type="paragraph" w:customStyle="1" w:styleId="Code">
    <w:name w:val="Code"/>
    <w:basedOn w:val="Normal"/>
    <w:link w:val="CodeChar"/>
    <w:semiHidden/>
    <w:rsid w:val="00BB7312"/>
    <w:pPr>
      <w:spacing w:line="340" w:lineRule="atLeast"/>
      <w:ind w:left="1276"/>
    </w:pPr>
    <w:rPr>
      <w:b/>
      <w:bCs/>
      <w:spacing w:val="10"/>
    </w:rPr>
  </w:style>
  <w:style w:type="character" w:customStyle="1" w:styleId="CodeChar">
    <w:name w:val="Code Char"/>
    <w:basedOn w:val="DefaultParagraphFont"/>
    <w:link w:val="Code"/>
    <w:semiHidden/>
    <w:rsid w:val="00BB7312"/>
    <w:rPr>
      <w:b/>
      <w:bCs/>
      <w:spacing w:val="10"/>
    </w:rPr>
  </w:style>
  <w:style w:type="paragraph" w:customStyle="1" w:styleId="Style1">
    <w:name w:val="Style1"/>
    <w:basedOn w:val="Normal"/>
    <w:rsid w:val="00BB7312"/>
    <w:pPr>
      <w:tabs>
        <w:tab w:val="decimal" w:pos="907"/>
        <w:tab w:val="left" w:pos="1077"/>
      </w:tabs>
    </w:pPr>
    <w:rPr>
      <w:rFonts w:eastAsia="MS Mincho"/>
      <w:szCs w:val="24"/>
      <w:lang w:eastAsia="ja-JP"/>
    </w:rPr>
  </w:style>
  <w:style w:type="paragraph" w:customStyle="1" w:styleId="BasistekstNaktuinbouw">
    <w:name w:val="Basistekst Naktuinbouw"/>
    <w:basedOn w:val="Normal"/>
    <w:qFormat/>
    <w:rsid w:val="00686FDB"/>
    <w:pPr>
      <w:spacing w:line="240" w:lineRule="atLeast"/>
      <w:jc w:val="left"/>
    </w:pPr>
    <w:rPr>
      <w:rFonts w:cs="Maiandra GD"/>
      <w:color w:val="000000" w:themeColor="text1"/>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upov.int/edocs/mdocs/upov/en/upov_wg_den_1/upov_wg_den_1_6.pdf" TargetMode="External"/><Relationship Id="rId39" Type="http://schemas.openxmlformats.org/officeDocument/2006/relationships/hyperlink" Target="http://www.upov.int/edocs/mdocs/upov/en/upov_wg_den_1/upov_wg_den_1_6.pdf" TargetMode="External"/><Relationship Id="rId21" Type="http://schemas.openxmlformats.org/officeDocument/2006/relationships/image" Target="media/image3.png"/><Relationship Id="rId34" Type="http://schemas.openxmlformats.org/officeDocument/2006/relationships/hyperlink" Target="http://www.upov.int/edocs/mdocs/upov/en/upov_wg_den_1/upov_wg_den_1_6.pdf" TargetMode="External"/><Relationship Id="rId42" Type="http://schemas.openxmlformats.org/officeDocument/2006/relationships/image" Target="cid:image001.png@01D32D80.0C5EA770" TargetMode="External"/><Relationship Id="rId47" Type="http://schemas.openxmlformats.org/officeDocument/2006/relationships/hyperlink" Target="http://www.cpvo.europa.eu/" TargetMode="External"/><Relationship Id="rId50" Type="http://schemas.openxmlformats.org/officeDocument/2006/relationships/hyperlink" Target="mailto:upov.mail@upov.int" TargetMode="External"/><Relationship Id="rId55"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upov.int/pluto/en/" TargetMode="External"/><Relationship Id="rId17" Type="http://schemas.openxmlformats.org/officeDocument/2006/relationships/header" Target="header4.xml"/><Relationship Id="rId25" Type="http://schemas.openxmlformats.org/officeDocument/2006/relationships/hyperlink" Target="http://www.upov.int/meetings/en/details.jsp?meeting_id=37027" TargetMode="External"/><Relationship Id="rId33" Type="http://schemas.openxmlformats.org/officeDocument/2006/relationships/hyperlink" Target="http://www.upov.int/edocs/mdocs/upov/en/upov_wg_den_1/upov_wg_den_1_6.pdf" TargetMode="External"/><Relationship Id="rId38" Type="http://schemas.openxmlformats.org/officeDocument/2006/relationships/hyperlink" Target="http://www.upov.int/edocs/mdocs/upov/en/upov_wg_den_1/upov_wg_den_1_6.pdf" TargetMode="External"/><Relationship Id="rId46" Type="http://schemas.openxmlformats.org/officeDocument/2006/relationships/hyperlink" Target="mailto:name@cpvo.europa.e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www.upov.int/edocs/mdocs/upov/en/upov_wg_den_1/upov_wg_den_1_6.pdf" TargetMode="External"/><Relationship Id="rId41" Type="http://schemas.openxmlformats.org/officeDocument/2006/relationships/image" Target="media/image4.png"/><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upov.int/edocs/mdocs/upov/en/upov_wg_den_1/upov_wg_den_1_6.pdf" TargetMode="External"/><Relationship Id="rId32" Type="http://schemas.openxmlformats.org/officeDocument/2006/relationships/hyperlink" Target="http://www.upov.int/meetings/en/details.jsp?meeting_id=38784" TargetMode="External"/><Relationship Id="rId37" Type="http://schemas.openxmlformats.org/officeDocument/2006/relationships/hyperlink" Target="http://www.upov.int/meetings/en/details.jsp?meeting_id=37027" TargetMode="External"/><Relationship Id="rId40" Type="http://schemas.openxmlformats.org/officeDocument/2006/relationships/header" Target="header8.xml"/><Relationship Id="rId45" Type="http://schemas.openxmlformats.org/officeDocument/2006/relationships/header" Target="header9.xml"/><Relationship Id="rId53" Type="http://schemas.openxmlformats.org/officeDocument/2006/relationships/header" Target="header12.xml"/><Relationship Id="rId58"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upov.int/meetings/en/details.jsp?meeting_id=37027" TargetMode="External"/><Relationship Id="rId28" Type="http://schemas.openxmlformats.org/officeDocument/2006/relationships/hyperlink" Target="http://www.upov.int/meetings/en/details.jsp?meeting_id=37027" TargetMode="External"/><Relationship Id="rId36" Type="http://schemas.openxmlformats.org/officeDocument/2006/relationships/hyperlink" Target="http://www.upov.int/edocs/mdocs/upov/en/upov_wg_den_1/upov_wg_den_1_6.pdf" TargetMode="External"/><Relationship Id="rId49" Type="http://schemas.openxmlformats.org/officeDocument/2006/relationships/image" Target="cid:image002.jpg@01D328C4.83E7BD60" TargetMode="External"/><Relationship Id="rId57" Type="http://schemas.openxmlformats.org/officeDocument/2006/relationships/image" Target="media/image8.png"/><Relationship Id="rId10" Type="http://schemas.openxmlformats.org/officeDocument/2006/relationships/hyperlink" Target="http://www.upov.int/edocs/pubdocs/fr/upov_pub_316.pdf" TargetMode="External"/><Relationship Id="rId19" Type="http://schemas.openxmlformats.org/officeDocument/2006/relationships/header" Target="header6.xml"/><Relationship Id="rId31" Type="http://schemas.openxmlformats.org/officeDocument/2006/relationships/hyperlink" Target="http://www.upov.int/edocs/mdocs/upov/en/upov_wg_den_1/upov_wg_den_1_6.pdf" TargetMode="External"/><Relationship Id="rId44" Type="http://schemas.openxmlformats.org/officeDocument/2006/relationships/hyperlink" Target="http://www.ipaustralia.gov.au/" TargetMode="External"/><Relationship Id="rId52" Type="http://schemas.openxmlformats.org/officeDocument/2006/relationships/header" Target="header11.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http://www.upov.int/edocs/mdocs/upov/en/upov_wg_den_1/upov_wg_den_1_6.pdf" TargetMode="External"/><Relationship Id="rId30" Type="http://schemas.openxmlformats.org/officeDocument/2006/relationships/hyperlink" Target="http://www.upov.int/edocs/mdocs/upov/en/upov_wg_den_1/upov_wg_den_1_6.pdf" TargetMode="External"/><Relationship Id="rId35" Type="http://schemas.openxmlformats.org/officeDocument/2006/relationships/hyperlink" Target="http://www.upov.int/edocs/mdocs/upov/en/upov_wg_den_1/upov_wg_den_1_6.pdf" TargetMode="External"/><Relationship Id="rId43" Type="http://schemas.openxmlformats.org/officeDocument/2006/relationships/hyperlink" Target="mailto:tanvir.hossain@ipaustralia.gov.au" TargetMode="External"/><Relationship Id="rId48" Type="http://schemas.openxmlformats.org/officeDocument/2006/relationships/image" Target="media/image5.jpeg"/><Relationship Id="rId56" Type="http://schemas.openxmlformats.org/officeDocument/2006/relationships/image" Target="media/image7.png"/><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61BB-AF34-430D-B190-45CE1A5D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51</Pages>
  <Words>17679</Words>
  <Characters>97773</Characters>
  <Application>Microsoft Office Word</Application>
  <DocSecurity>0</DocSecurity>
  <Lines>2444</Lines>
  <Paragraphs>1030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14</cp:revision>
  <cp:lastPrinted>2017-09-29T13:31:00Z</cp:lastPrinted>
  <dcterms:created xsi:type="dcterms:W3CDTF">2017-09-28T13:29:00Z</dcterms:created>
  <dcterms:modified xsi:type="dcterms:W3CDTF">2017-09-29T16:07:00Z</dcterms:modified>
</cp:coreProperties>
</file>