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C3905" w:rsidTr="00EB4E9C">
        <w:tc>
          <w:tcPr>
            <w:tcW w:w="6522" w:type="dxa"/>
          </w:tcPr>
          <w:p w:rsidR="00DC3802" w:rsidRPr="000C3905" w:rsidRDefault="00DC3802" w:rsidP="00AC2883">
            <w:r w:rsidRPr="000C3905">
              <w:rPr>
                <w:noProof/>
              </w:rPr>
              <w:drawing>
                <wp:inline distT="0" distB="0" distL="0" distR="0" wp14:anchorId="7767D69F" wp14:editId="65A18C1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0C3905" w:rsidRDefault="00DC3802" w:rsidP="00AC2883">
            <w:pPr>
              <w:pStyle w:val="Lettrine"/>
            </w:pPr>
            <w:r w:rsidRPr="000C3905">
              <w:t>E</w:t>
            </w:r>
          </w:p>
        </w:tc>
      </w:tr>
      <w:tr w:rsidR="00DC3802" w:rsidRPr="000C3905" w:rsidTr="00645CA8">
        <w:trPr>
          <w:trHeight w:val="219"/>
        </w:trPr>
        <w:tc>
          <w:tcPr>
            <w:tcW w:w="6522" w:type="dxa"/>
          </w:tcPr>
          <w:p w:rsidR="00DC3802" w:rsidRPr="000C3905" w:rsidRDefault="00DC3802" w:rsidP="00AC2883">
            <w:pPr>
              <w:pStyle w:val="upove"/>
            </w:pPr>
            <w:r w:rsidRPr="000C3905">
              <w:t>International Union for the Protection of New Varieties of Plants</w:t>
            </w:r>
          </w:p>
        </w:tc>
        <w:tc>
          <w:tcPr>
            <w:tcW w:w="3117" w:type="dxa"/>
          </w:tcPr>
          <w:p w:rsidR="00DC3802" w:rsidRPr="000C3905" w:rsidRDefault="00DC3802" w:rsidP="00DA4973"/>
        </w:tc>
      </w:tr>
    </w:tbl>
    <w:p w:rsidR="00DC3802" w:rsidRPr="000C3905" w:rsidRDefault="00DC3802" w:rsidP="00DC3802"/>
    <w:p w:rsidR="00DA4973" w:rsidRPr="000C3905"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C3905" w:rsidTr="00EB4E9C">
        <w:tc>
          <w:tcPr>
            <w:tcW w:w="6512" w:type="dxa"/>
          </w:tcPr>
          <w:p w:rsidR="00EB4E9C" w:rsidRPr="000C3905" w:rsidRDefault="00A33150" w:rsidP="00AC2883">
            <w:pPr>
              <w:pStyle w:val="Sessiontc"/>
              <w:spacing w:line="240" w:lineRule="auto"/>
            </w:pPr>
            <w:r w:rsidRPr="000C3905">
              <w:t xml:space="preserve">Working Group on </w:t>
            </w:r>
            <w:r w:rsidR="00666DA5" w:rsidRPr="000C3905">
              <w:t>Variety Denominations</w:t>
            </w:r>
          </w:p>
          <w:p w:rsidR="00EB4E9C" w:rsidRPr="000C3905" w:rsidRDefault="00666DA5" w:rsidP="00666DA5">
            <w:pPr>
              <w:pStyle w:val="Sessiontcplacedate"/>
              <w:rPr>
                <w:sz w:val="22"/>
              </w:rPr>
            </w:pPr>
            <w:r w:rsidRPr="000C3905">
              <w:t>Third</w:t>
            </w:r>
            <w:r w:rsidR="00A33150" w:rsidRPr="000C3905">
              <w:t xml:space="preserve"> Meeting</w:t>
            </w:r>
            <w:r w:rsidR="00EB4E9C" w:rsidRPr="000C3905">
              <w:br/>
              <w:t xml:space="preserve">Geneva, April </w:t>
            </w:r>
            <w:r w:rsidRPr="000C3905">
              <w:t>7</w:t>
            </w:r>
            <w:r w:rsidR="00EB4E9C" w:rsidRPr="000C3905">
              <w:t>, 2017</w:t>
            </w:r>
          </w:p>
        </w:tc>
        <w:tc>
          <w:tcPr>
            <w:tcW w:w="3127" w:type="dxa"/>
          </w:tcPr>
          <w:p w:rsidR="008C3987" w:rsidRPr="000C3905" w:rsidRDefault="00666DA5" w:rsidP="003C7FBE">
            <w:pPr>
              <w:pStyle w:val="Doccode"/>
              <w:rPr>
                <w:lang w:eastAsia="ja-JP"/>
              </w:rPr>
            </w:pPr>
            <w:r w:rsidRPr="000C3905">
              <w:t>UPOV/</w:t>
            </w:r>
            <w:r w:rsidR="00A33150" w:rsidRPr="000C3905">
              <w:t>WG-</w:t>
            </w:r>
            <w:r w:rsidRPr="000C3905">
              <w:t>DEN</w:t>
            </w:r>
            <w:r w:rsidR="00EB4E9C" w:rsidRPr="000C3905">
              <w:t>/</w:t>
            </w:r>
            <w:r w:rsidRPr="000C3905">
              <w:t>3</w:t>
            </w:r>
            <w:r w:rsidR="00EB4E9C" w:rsidRPr="000C3905">
              <w:t>/</w:t>
            </w:r>
            <w:r w:rsidR="009C7DA2" w:rsidRPr="000C3905">
              <w:rPr>
                <w:lang w:eastAsia="ja-JP"/>
              </w:rPr>
              <w:t>2</w:t>
            </w:r>
          </w:p>
          <w:p w:rsidR="00EB4E9C" w:rsidRPr="000C3905" w:rsidRDefault="00EB4E9C" w:rsidP="003C7FBE">
            <w:pPr>
              <w:pStyle w:val="Docoriginal"/>
            </w:pPr>
            <w:r w:rsidRPr="000C3905">
              <w:t>Original:</w:t>
            </w:r>
            <w:r w:rsidRPr="000C3905">
              <w:rPr>
                <w:b w:val="0"/>
                <w:spacing w:val="0"/>
              </w:rPr>
              <w:t xml:space="preserve">  English</w:t>
            </w:r>
          </w:p>
          <w:p w:rsidR="00EB4E9C" w:rsidRPr="000C3905" w:rsidRDefault="00EB4E9C" w:rsidP="002F6090">
            <w:pPr>
              <w:pStyle w:val="Docoriginal"/>
            </w:pPr>
            <w:r w:rsidRPr="000C3905">
              <w:t>Date:</w:t>
            </w:r>
            <w:r w:rsidRPr="000C3905">
              <w:rPr>
                <w:b w:val="0"/>
                <w:spacing w:val="0"/>
              </w:rPr>
              <w:t xml:space="preserve">  </w:t>
            </w:r>
            <w:r w:rsidR="006476BC" w:rsidRPr="000C3905">
              <w:rPr>
                <w:b w:val="0"/>
                <w:spacing w:val="0"/>
                <w:lang w:eastAsia="ja-JP"/>
              </w:rPr>
              <w:t xml:space="preserve">March </w:t>
            </w:r>
            <w:r w:rsidR="002F6090">
              <w:rPr>
                <w:b w:val="0"/>
                <w:spacing w:val="0"/>
                <w:lang w:eastAsia="ja-JP"/>
              </w:rPr>
              <w:t>21</w:t>
            </w:r>
            <w:r w:rsidRPr="000C3905">
              <w:rPr>
                <w:b w:val="0"/>
                <w:spacing w:val="0"/>
              </w:rPr>
              <w:t>, 2017</w:t>
            </w:r>
          </w:p>
        </w:tc>
      </w:tr>
    </w:tbl>
    <w:p w:rsidR="000D7780" w:rsidRPr="000C3905" w:rsidRDefault="009C7DA2" w:rsidP="006A644A">
      <w:pPr>
        <w:pStyle w:val="Titleofdoc0"/>
      </w:pPr>
      <w:bookmarkStart w:id="0" w:name="TitleOfDoc"/>
      <w:bookmarkEnd w:id="0"/>
      <w:r w:rsidRPr="000C3905">
        <w:t>REVISION OF DOCUMENT UPOV/INF/12/5 “EXPLANATORY NOTES ON VARIETY DENOMINATIONS UNDER THE UPOV CONVENTION”</w:t>
      </w:r>
    </w:p>
    <w:p w:rsidR="006A644A" w:rsidRPr="000C3905" w:rsidRDefault="00AE0EF1" w:rsidP="006A644A">
      <w:pPr>
        <w:pStyle w:val="preparedby1"/>
        <w:jc w:val="left"/>
      </w:pPr>
      <w:bookmarkStart w:id="1" w:name="Prepared"/>
      <w:bookmarkEnd w:id="1"/>
      <w:r w:rsidRPr="000C3905">
        <w:t xml:space="preserve">Document </w:t>
      </w:r>
      <w:r w:rsidR="0061555F" w:rsidRPr="000C3905">
        <w:t>prepared by the Office of the Union</w:t>
      </w:r>
    </w:p>
    <w:p w:rsidR="00050E16" w:rsidRPr="000C3905" w:rsidRDefault="00050E16" w:rsidP="006A644A">
      <w:pPr>
        <w:pStyle w:val="Disclaimer"/>
      </w:pPr>
      <w:r w:rsidRPr="000C3905">
        <w:t>Disclaimer:  this document does not represent UPOV policies or guidance</w:t>
      </w:r>
    </w:p>
    <w:p w:rsidR="009C7DA2" w:rsidRPr="000C3905" w:rsidRDefault="009C7DA2" w:rsidP="009C7DA2">
      <w:pPr>
        <w:pStyle w:val="Heading1"/>
        <w:rPr>
          <w:lang w:eastAsia="ja-JP"/>
        </w:rPr>
      </w:pPr>
      <w:bookmarkStart w:id="2" w:name="_Toc477873571"/>
      <w:r w:rsidRPr="000C3905">
        <w:t>Executive summary</w:t>
      </w:r>
      <w:bookmarkEnd w:id="2"/>
    </w:p>
    <w:p w:rsidR="009C7DA2" w:rsidRPr="000C3905" w:rsidRDefault="009C7DA2" w:rsidP="009C7DA2">
      <w:pPr>
        <w:rPr>
          <w:snapToGrid w:val="0"/>
          <w:highlight w:val="cyan"/>
          <w:lang w:eastAsia="ja-JP"/>
        </w:rPr>
      </w:pPr>
    </w:p>
    <w:p w:rsidR="00252EBB" w:rsidRPr="000C3905" w:rsidRDefault="009C7DA2" w:rsidP="009C7DA2">
      <w:pPr>
        <w:rPr>
          <w:rFonts w:cs="Arial"/>
          <w:lang w:eastAsia="ja-JP"/>
        </w:rPr>
      </w:pPr>
      <w:r w:rsidRPr="000C3905">
        <w:rPr>
          <w:rFonts w:cs="Arial"/>
        </w:rPr>
        <w:fldChar w:fldCharType="begin"/>
      </w:r>
      <w:r w:rsidRPr="000C3905">
        <w:rPr>
          <w:rFonts w:cs="Arial"/>
        </w:rPr>
        <w:instrText xml:space="preserve"> AUTONUM  </w:instrText>
      </w:r>
      <w:r w:rsidRPr="000C3905">
        <w:rPr>
          <w:rFonts w:cs="Arial"/>
        </w:rPr>
        <w:fldChar w:fldCharType="end"/>
      </w:r>
      <w:r w:rsidRPr="000C3905">
        <w:rPr>
          <w:rFonts w:cs="Arial"/>
          <w:lang w:eastAsia="ja-JP"/>
        </w:rPr>
        <w:tab/>
      </w:r>
      <w:r w:rsidRPr="000C3905">
        <w:rPr>
          <w:rFonts w:cs="Arial"/>
        </w:rPr>
        <w:t xml:space="preserve">The purpose of this document is </w:t>
      </w:r>
      <w:r w:rsidRPr="000C3905">
        <w:t xml:space="preserve">to provide background information to assist the </w:t>
      </w:r>
      <w:r w:rsidRPr="000C3905">
        <w:rPr>
          <w:snapToGrid w:val="0"/>
        </w:rPr>
        <w:t xml:space="preserve">Working Group on Variety Denominations (WG-DEN) </w:t>
      </w:r>
      <w:r w:rsidRPr="000C3905">
        <w:t>in its consideration of</w:t>
      </w:r>
      <w:r w:rsidRPr="000C3905">
        <w:rPr>
          <w:rFonts w:cs="Arial"/>
        </w:rPr>
        <w:t xml:space="preserve"> the proposals for </w:t>
      </w:r>
      <w:r w:rsidRPr="000C3905">
        <w:rPr>
          <w:rFonts w:cs="Arial"/>
          <w:lang w:eastAsia="ja-JP"/>
        </w:rPr>
        <w:t xml:space="preserve">a </w:t>
      </w:r>
      <w:r w:rsidRPr="000C3905">
        <w:rPr>
          <w:rFonts w:cs="Arial"/>
        </w:rPr>
        <w:t>revision of document</w:t>
      </w:r>
      <w:r w:rsidR="009D7A1D" w:rsidRPr="000C3905">
        <w:rPr>
          <w:rFonts w:cs="Arial"/>
        </w:rPr>
        <w:t xml:space="preserve"> </w:t>
      </w:r>
      <w:r w:rsidRPr="000C3905">
        <w:rPr>
          <w:rFonts w:cs="Arial"/>
        </w:rPr>
        <w:t>UPOV/INF/12/5 “Explanatory Notes on Variety Denominations under the UPOV Convention”.</w:t>
      </w:r>
    </w:p>
    <w:p w:rsidR="009D7A1D" w:rsidRPr="000C3905" w:rsidRDefault="009D7A1D" w:rsidP="009C7DA2">
      <w:pPr>
        <w:rPr>
          <w:rFonts w:cs="Arial"/>
          <w:lang w:eastAsia="ja-JP"/>
        </w:rPr>
      </w:pPr>
    </w:p>
    <w:p w:rsidR="009C7DA2" w:rsidRPr="000C3905" w:rsidRDefault="009C7DA2" w:rsidP="009C7DA2">
      <w:pPr>
        <w:rPr>
          <w:iCs/>
          <w:spacing w:val="-4"/>
        </w:rPr>
      </w:pPr>
      <w:r w:rsidRPr="000C3905">
        <w:fldChar w:fldCharType="begin"/>
      </w:r>
      <w:r w:rsidRPr="000C3905">
        <w:instrText xml:space="preserve"> AUTONUM  </w:instrText>
      </w:r>
      <w:r w:rsidRPr="000C3905">
        <w:fldChar w:fldCharType="end"/>
      </w:r>
      <w:r w:rsidRPr="000C3905">
        <w:tab/>
      </w:r>
      <w:r w:rsidRPr="000C3905">
        <w:rPr>
          <w:iCs/>
          <w:spacing w:val="-4"/>
        </w:rPr>
        <w:t xml:space="preserve">The WG-DEN is invited to: </w:t>
      </w:r>
    </w:p>
    <w:p w:rsidR="009C7DA2" w:rsidRPr="000C3905" w:rsidRDefault="009C7DA2" w:rsidP="009C7DA2">
      <w:pPr>
        <w:rPr>
          <w:iCs/>
          <w:spacing w:val="-4"/>
        </w:rPr>
      </w:pPr>
    </w:p>
    <w:p w:rsidR="00881C6A" w:rsidRPr="00881C6A" w:rsidRDefault="00881C6A" w:rsidP="00881C6A">
      <w:pPr>
        <w:ind w:firstLine="567"/>
        <w:jc w:val="left"/>
        <w:rPr>
          <w:iCs/>
          <w:spacing w:val="-4"/>
        </w:rPr>
      </w:pPr>
      <w:r w:rsidRPr="00881C6A">
        <w:rPr>
          <w:iCs/>
          <w:spacing w:val="-4"/>
        </w:rPr>
        <w:t>(a)</w:t>
      </w:r>
      <w:r w:rsidRPr="00881C6A">
        <w:rPr>
          <w:iCs/>
          <w:spacing w:val="-4"/>
        </w:rPr>
        <w:tab/>
        <w:t>note the matters agreed by the WG-DEN at its second meeting, as reported in paragraph 6 of this document;</w:t>
      </w:r>
      <w:r>
        <w:rPr>
          <w:iCs/>
          <w:spacing w:val="-4"/>
        </w:rPr>
        <w:t xml:space="preserve"> </w:t>
      </w:r>
      <w:r w:rsidRPr="00881C6A">
        <w:rPr>
          <w:iCs/>
          <w:spacing w:val="-4"/>
        </w:rPr>
        <w:t xml:space="preserve"> and</w:t>
      </w:r>
    </w:p>
    <w:p w:rsidR="00881C6A" w:rsidRPr="00881C6A" w:rsidRDefault="00881C6A" w:rsidP="00881C6A">
      <w:pPr>
        <w:ind w:firstLine="567"/>
        <w:jc w:val="left"/>
        <w:rPr>
          <w:iCs/>
          <w:spacing w:val="-4"/>
        </w:rPr>
      </w:pPr>
    </w:p>
    <w:p w:rsidR="006B5F11" w:rsidRDefault="00881C6A" w:rsidP="00881C6A">
      <w:pPr>
        <w:ind w:firstLine="567"/>
        <w:jc w:val="left"/>
        <w:rPr>
          <w:iCs/>
          <w:spacing w:val="-4"/>
        </w:rPr>
      </w:pPr>
      <w:r w:rsidRPr="00881C6A">
        <w:rPr>
          <w:iCs/>
          <w:spacing w:val="-4"/>
        </w:rPr>
        <w:t>(b)</w:t>
      </w:r>
      <w:r w:rsidRPr="00881C6A">
        <w:rPr>
          <w:iCs/>
          <w:spacing w:val="-4"/>
        </w:rPr>
        <w:tab/>
        <w:t>consider document UPOV/INF/12/6 Draft 3, as set out in paragraph 8 of this document.</w:t>
      </w:r>
    </w:p>
    <w:p w:rsidR="00881C6A" w:rsidRPr="000C3905" w:rsidRDefault="00881C6A" w:rsidP="00881C6A">
      <w:pPr>
        <w:ind w:firstLine="567"/>
        <w:jc w:val="left"/>
        <w:rPr>
          <w:rFonts w:cs="Arial"/>
          <w:snapToGrid w:val="0"/>
          <w:lang w:eastAsia="ja-JP"/>
        </w:rPr>
      </w:pPr>
    </w:p>
    <w:p w:rsidR="009C7DA2" w:rsidRPr="000C3905" w:rsidRDefault="009C7DA2" w:rsidP="009C7DA2">
      <w:pPr>
        <w:keepNext/>
        <w:spacing w:after="120"/>
        <w:rPr>
          <w:rFonts w:cs="Arial"/>
          <w:snapToGrid w:val="0"/>
          <w:sz w:val="18"/>
          <w:lang w:eastAsia="ja-JP"/>
        </w:rPr>
      </w:pPr>
      <w:r w:rsidRPr="000C3905">
        <w:rPr>
          <w:rFonts w:cs="Arial"/>
          <w:snapToGrid w:val="0"/>
        </w:rPr>
        <w:fldChar w:fldCharType="begin"/>
      </w:r>
      <w:r w:rsidRPr="000C3905">
        <w:rPr>
          <w:rFonts w:cs="Arial"/>
          <w:snapToGrid w:val="0"/>
        </w:rPr>
        <w:instrText xml:space="preserve"> AUTONUM  </w:instrText>
      </w:r>
      <w:r w:rsidRPr="000C3905">
        <w:rPr>
          <w:rFonts w:cs="Arial"/>
          <w:snapToGrid w:val="0"/>
        </w:rPr>
        <w:fldChar w:fldCharType="end"/>
      </w:r>
      <w:r w:rsidRPr="000C3905">
        <w:rPr>
          <w:rFonts w:cs="Arial"/>
          <w:snapToGrid w:val="0"/>
        </w:rPr>
        <w:tab/>
      </w:r>
      <w:r w:rsidRPr="000C3905">
        <w:rPr>
          <w:rFonts w:cs="Arial"/>
          <w:snapToGrid w:val="0"/>
          <w:lang w:eastAsia="ja-JP"/>
        </w:rPr>
        <w:t>The structure of this document is as follows:</w:t>
      </w:r>
    </w:p>
    <w:p w:rsidR="00B513E1" w:rsidRDefault="009C7DA2">
      <w:pPr>
        <w:pStyle w:val="TOC1"/>
        <w:rPr>
          <w:rFonts w:asciiTheme="minorHAnsi" w:eastAsiaTheme="minorEastAsia" w:hAnsiTheme="minorHAnsi" w:cstheme="minorBidi"/>
          <w:bCs w:val="0"/>
          <w:caps w:val="0"/>
          <w:sz w:val="22"/>
          <w:szCs w:val="22"/>
        </w:rPr>
      </w:pPr>
      <w:r w:rsidRPr="000C3905">
        <w:rPr>
          <w:noProof w:val="0"/>
          <w:snapToGrid w:val="0"/>
          <w:sz w:val="14"/>
        </w:rPr>
        <w:fldChar w:fldCharType="begin"/>
      </w:r>
      <w:r w:rsidRPr="000C3905">
        <w:rPr>
          <w:snapToGrid w:val="0"/>
          <w:sz w:val="14"/>
        </w:rPr>
        <w:instrText xml:space="preserve"> TOC \o "1-3" \h \z \u </w:instrText>
      </w:r>
      <w:r w:rsidRPr="000C3905">
        <w:rPr>
          <w:noProof w:val="0"/>
          <w:snapToGrid w:val="0"/>
          <w:sz w:val="14"/>
        </w:rPr>
        <w:fldChar w:fldCharType="separate"/>
      </w:r>
      <w:hyperlink w:anchor="_Toc477873571" w:history="1">
        <w:r w:rsidR="00B513E1" w:rsidRPr="00CA2160">
          <w:rPr>
            <w:rStyle w:val="Hyperlink"/>
          </w:rPr>
          <w:t>Executive summary</w:t>
        </w:r>
        <w:r w:rsidR="00B513E1">
          <w:rPr>
            <w:webHidden/>
          </w:rPr>
          <w:tab/>
        </w:r>
        <w:r w:rsidR="00B513E1">
          <w:rPr>
            <w:webHidden/>
          </w:rPr>
          <w:fldChar w:fldCharType="begin"/>
        </w:r>
        <w:r w:rsidR="00B513E1">
          <w:rPr>
            <w:webHidden/>
          </w:rPr>
          <w:instrText xml:space="preserve"> PAGEREF _Toc477873571 \h </w:instrText>
        </w:r>
        <w:r w:rsidR="00B513E1">
          <w:rPr>
            <w:webHidden/>
          </w:rPr>
        </w:r>
        <w:r w:rsidR="00B513E1">
          <w:rPr>
            <w:webHidden/>
          </w:rPr>
          <w:fldChar w:fldCharType="separate"/>
        </w:r>
        <w:r w:rsidR="00B513E1">
          <w:rPr>
            <w:webHidden/>
          </w:rPr>
          <w:t>1</w:t>
        </w:r>
        <w:r w:rsidR="00B513E1">
          <w:rPr>
            <w:webHidden/>
          </w:rPr>
          <w:fldChar w:fldCharType="end"/>
        </w:r>
      </w:hyperlink>
    </w:p>
    <w:p w:rsidR="00B513E1" w:rsidRDefault="00B513E1">
      <w:pPr>
        <w:pStyle w:val="TOC1"/>
        <w:rPr>
          <w:rFonts w:asciiTheme="minorHAnsi" w:eastAsiaTheme="minorEastAsia" w:hAnsiTheme="minorHAnsi" w:cstheme="minorBidi"/>
          <w:bCs w:val="0"/>
          <w:caps w:val="0"/>
          <w:sz w:val="22"/>
          <w:szCs w:val="22"/>
        </w:rPr>
      </w:pPr>
      <w:hyperlink w:anchor="_Toc477873572" w:history="1">
        <w:r w:rsidRPr="00CA2160">
          <w:rPr>
            <w:rStyle w:val="Hyperlink"/>
            <w:lang w:eastAsia="ja-JP"/>
          </w:rPr>
          <w:t>Background</w:t>
        </w:r>
        <w:r>
          <w:rPr>
            <w:webHidden/>
          </w:rPr>
          <w:tab/>
        </w:r>
        <w:r>
          <w:rPr>
            <w:webHidden/>
          </w:rPr>
          <w:fldChar w:fldCharType="begin"/>
        </w:r>
        <w:r>
          <w:rPr>
            <w:webHidden/>
          </w:rPr>
          <w:instrText xml:space="preserve"> PAGEREF _Toc477873572 \h </w:instrText>
        </w:r>
        <w:r>
          <w:rPr>
            <w:webHidden/>
          </w:rPr>
        </w:r>
        <w:r>
          <w:rPr>
            <w:webHidden/>
          </w:rPr>
          <w:fldChar w:fldCharType="separate"/>
        </w:r>
        <w:r>
          <w:rPr>
            <w:webHidden/>
          </w:rPr>
          <w:t>1</w:t>
        </w:r>
        <w:r>
          <w:rPr>
            <w:webHidden/>
          </w:rPr>
          <w:fldChar w:fldCharType="end"/>
        </w:r>
      </w:hyperlink>
    </w:p>
    <w:p w:rsidR="00B513E1" w:rsidRDefault="00B513E1">
      <w:pPr>
        <w:pStyle w:val="TOC1"/>
        <w:rPr>
          <w:rFonts w:asciiTheme="minorHAnsi" w:eastAsiaTheme="minorEastAsia" w:hAnsiTheme="minorHAnsi" w:cstheme="minorBidi"/>
          <w:bCs w:val="0"/>
          <w:caps w:val="0"/>
          <w:sz w:val="22"/>
          <w:szCs w:val="22"/>
        </w:rPr>
      </w:pPr>
      <w:hyperlink w:anchor="_Toc477873573" w:history="1">
        <w:r w:rsidRPr="00CA2160">
          <w:rPr>
            <w:rStyle w:val="Hyperlink"/>
            <w:snapToGrid w:val="0"/>
            <w:lang w:eastAsia="ja-JP"/>
          </w:rPr>
          <w:t>Developme</w:t>
        </w:r>
        <w:bookmarkStart w:id="3" w:name="_GoBack"/>
        <w:bookmarkEnd w:id="3"/>
        <w:r w:rsidRPr="00CA2160">
          <w:rPr>
            <w:rStyle w:val="Hyperlink"/>
            <w:snapToGrid w:val="0"/>
            <w:lang w:eastAsia="ja-JP"/>
          </w:rPr>
          <w:t>nts BY the WG-DEN, at its second meeting</w:t>
        </w:r>
        <w:r>
          <w:rPr>
            <w:webHidden/>
          </w:rPr>
          <w:tab/>
        </w:r>
        <w:r>
          <w:rPr>
            <w:webHidden/>
          </w:rPr>
          <w:fldChar w:fldCharType="begin"/>
        </w:r>
        <w:r>
          <w:rPr>
            <w:webHidden/>
          </w:rPr>
          <w:instrText xml:space="preserve"> PAGEREF _Toc477873573 \h </w:instrText>
        </w:r>
        <w:r>
          <w:rPr>
            <w:webHidden/>
          </w:rPr>
        </w:r>
        <w:r>
          <w:rPr>
            <w:webHidden/>
          </w:rPr>
          <w:fldChar w:fldCharType="separate"/>
        </w:r>
        <w:r>
          <w:rPr>
            <w:webHidden/>
          </w:rPr>
          <w:t>2</w:t>
        </w:r>
        <w:r>
          <w:rPr>
            <w:webHidden/>
          </w:rPr>
          <w:fldChar w:fldCharType="end"/>
        </w:r>
      </w:hyperlink>
    </w:p>
    <w:p w:rsidR="00B513E1" w:rsidRDefault="00B513E1">
      <w:pPr>
        <w:pStyle w:val="TOC2"/>
        <w:rPr>
          <w:rFonts w:asciiTheme="minorHAnsi" w:eastAsiaTheme="minorEastAsia" w:hAnsiTheme="minorHAnsi" w:cstheme="minorBidi"/>
          <w:sz w:val="22"/>
          <w:szCs w:val="22"/>
        </w:rPr>
      </w:pPr>
      <w:hyperlink w:anchor="_Toc477873574" w:history="1">
        <w:r w:rsidRPr="00CA2160">
          <w:rPr>
            <w:rStyle w:val="Hyperlink"/>
            <w:lang w:eastAsia="ja-JP"/>
          </w:rPr>
          <w:t>Items agreed by the WG-DEN</w:t>
        </w:r>
        <w:r>
          <w:rPr>
            <w:webHidden/>
          </w:rPr>
          <w:tab/>
        </w:r>
        <w:r>
          <w:rPr>
            <w:webHidden/>
          </w:rPr>
          <w:fldChar w:fldCharType="begin"/>
        </w:r>
        <w:r>
          <w:rPr>
            <w:webHidden/>
          </w:rPr>
          <w:instrText xml:space="preserve"> PAGEREF _Toc477873574 \h </w:instrText>
        </w:r>
        <w:r>
          <w:rPr>
            <w:webHidden/>
          </w:rPr>
        </w:r>
        <w:r>
          <w:rPr>
            <w:webHidden/>
          </w:rPr>
          <w:fldChar w:fldCharType="separate"/>
        </w:r>
        <w:r>
          <w:rPr>
            <w:webHidden/>
          </w:rPr>
          <w:t>2</w:t>
        </w:r>
        <w:r>
          <w:rPr>
            <w:webHidden/>
          </w:rPr>
          <w:fldChar w:fldCharType="end"/>
        </w:r>
      </w:hyperlink>
    </w:p>
    <w:p w:rsidR="00B513E1" w:rsidRDefault="00B513E1">
      <w:pPr>
        <w:pStyle w:val="TOC2"/>
        <w:rPr>
          <w:rFonts w:asciiTheme="minorHAnsi" w:eastAsiaTheme="minorEastAsia" w:hAnsiTheme="minorHAnsi" w:cstheme="minorBidi"/>
          <w:sz w:val="22"/>
          <w:szCs w:val="22"/>
        </w:rPr>
      </w:pPr>
      <w:hyperlink w:anchor="_Toc477873575" w:history="1">
        <w:r w:rsidRPr="00CA2160">
          <w:rPr>
            <w:rStyle w:val="Hyperlink"/>
            <w:snapToGrid w:val="0"/>
            <w:lang w:eastAsia="ja-JP"/>
          </w:rPr>
          <w:t>Items agreed to consider further</w:t>
        </w:r>
        <w:r>
          <w:rPr>
            <w:webHidden/>
          </w:rPr>
          <w:tab/>
        </w:r>
        <w:r>
          <w:rPr>
            <w:webHidden/>
          </w:rPr>
          <w:fldChar w:fldCharType="begin"/>
        </w:r>
        <w:r>
          <w:rPr>
            <w:webHidden/>
          </w:rPr>
          <w:instrText xml:space="preserve"> PAGEREF _Toc477873575 \h </w:instrText>
        </w:r>
        <w:r>
          <w:rPr>
            <w:webHidden/>
          </w:rPr>
        </w:r>
        <w:r>
          <w:rPr>
            <w:webHidden/>
          </w:rPr>
          <w:fldChar w:fldCharType="separate"/>
        </w:r>
        <w:r>
          <w:rPr>
            <w:webHidden/>
          </w:rPr>
          <w:t>2</w:t>
        </w:r>
        <w:r>
          <w:rPr>
            <w:webHidden/>
          </w:rPr>
          <w:fldChar w:fldCharType="end"/>
        </w:r>
      </w:hyperlink>
    </w:p>
    <w:p w:rsidR="009C7DA2" w:rsidRPr="000C3905" w:rsidRDefault="009C7DA2" w:rsidP="009C7DA2">
      <w:pPr>
        <w:ind w:left="1560" w:hanging="993"/>
        <w:rPr>
          <w:noProof/>
          <w:snapToGrid w:val="0"/>
          <w:sz w:val="18"/>
          <w:lang w:eastAsia="ja-JP"/>
        </w:rPr>
      </w:pPr>
      <w:r w:rsidRPr="000C3905">
        <w:rPr>
          <w:noProof/>
          <w:snapToGrid w:val="0"/>
          <w:sz w:val="16"/>
        </w:rPr>
        <w:fldChar w:fldCharType="end"/>
      </w:r>
    </w:p>
    <w:p w:rsidR="009C7DA2" w:rsidRPr="000C3905" w:rsidRDefault="009C7DA2" w:rsidP="009C7DA2">
      <w:pPr>
        <w:keepNext/>
        <w:jc w:val="left"/>
        <w:rPr>
          <w:rFonts w:cs="Arial"/>
          <w:color w:val="000000"/>
        </w:rPr>
      </w:pPr>
      <w:r w:rsidRPr="000C3905">
        <w:fldChar w:fldCharType="begin"/>
      </w:r>
      <w:r w:rsidRPr="000C3905">
        <w:instrText xml:space="preserve"> AUTONUM  </w:instrText>
      </w:r>
      <w:r w:rsidRPr="000C3905">
        <w:fldChar w:fldCharType="end"/>
      </w:r>
      <w:r w:rsidRPr="000C3905">
        <w:tab/>
      </w:r>
      <w:r w:rsidRPr="000C3905">
        <w:rPr>
          <w:rFonts w:cs="Arial"/>
          <w:color w:val="000000"/>
        </w:rPr>
        <w:t>The following abbreviations are used in this document:</w:t>
      </w:r>
    </w:p>
    <w:p w:rsidR="009C7DA2" w:rsidRPr="000C3905" w:rsidRDefault="009C7DA2" w:rsidP="009C7DA2">
      <w:pPr>
        <w:keepNext/>
        <w:rPr>
          <w:rFonts w:cs="Arial"/>
          <w:color w:val="000000"/>
        </w:rPr>
      </w:pPr>
    </w:p>
    <w:p w:rsidR="009C7DA2" w:rsidRPr="000C3905" w:rsidRDefault="009C7DA2" w:rsidP="009C7DA2">
      <w:pPr>
        <w:keepNext/>
        <w:ind w:left="567"/>
        <w:rPr>
          <w:rFonts w:cs="Arial"/>
          <w:snapToGrid w:val="0"/>
        </w:rPr>
      </w:pPr>
      <w:r w:rsidRPr="000C3905">
        <w:rPr>
          <w:rFonts w:cs="Arial"/>
          <w:snapToGrid w:val="0"/>
          <w:color w:val="000000"/>
        </w:rPr>
        <w:t xml:space="preserve">CAJ:  </w:t>
      </w:r>
      <w:r w:rsidRPr="000C3905">
        <w:rPr>
          <w:rFonts w:cs="Arial"/>
          <w:snapToGrid w:val="0"/>
          <w:color w:val="000000"/>
          <w:lang w:eastAsia="ja-JP"/>
        </w:rPr>
        <w:tab/>
      </w:r>
      <w:r w:rsidRPr="000C3905">
        <w:rPr>
          <w:rFonts w:cs="Arial"/>
          <w:snapToGrid w:val="0"/>
          <w:color w:val="000000"/>
          <w:lang w:eastAsia="ja-JP"/>
        </w:rPr>
        <w:tab/>
      </w:r>
      <w:r w:rsidRPr="000C3905">
        <w:rPr>
          <w:rFonts w:cs="Arial"/>
          <w:snapToGrid w:val="0"/>
          <w:color w:val="000000"/>
        </w:rPr>
        <w:t xml:space="preserve">Administrative and Legal Committee </w:t>
      </w:r>
    </w:p>
    <w:p w:rsidR="009C7DA2" w:rsidRPr="000C3905" w:rsidRDefault="009C7DA2" w:rsidP="009C7DA2">
      <w:pPr>
        <w:keepNext/>
        <w:ind w:left="567"/>
        <w:rPr>
          <w:rFonts w:cs="Arial"/>
          <w:snapToGrid w:val="0"/>
        </w:rPr>
      </w:pPr>
      <w:r w:rsidRPr="000C3905">
        <w:rPr>
          <w:rFonts w:cs="Arial"/>
          <w:snapToGrid w:val="0"/>
        </w:rPr>
        <w:t xml:space="preserve">CAJ-AG:  </w:t>
      </w:r>
      <w:r w:rsidRPr="000C3905">
        <w:rPr>
          <w:rFonts w:cs="Arial"/>
          <w:snapToGrid w:val="0"/>
          <w:lang w:eastAsia="ja-JP"/>
        </w:rPr>
        <w:tab/>
      </w:r>
      <w:r w:rsidRPr="000C3905">
        <w:rPr>
          <w:rFonts w:cs="Arial"/>
          <w:snapToGrid w:val="0"/>
        </w:rPr>
        <w:t xml:space="preserve">Administrative and Legal Committee Advisory Group </w:t>
      </w:r>
    </w:p>
    <w:p w:rsidR="009C7DA2" w:rsidRPr="000C3905" w:rsidRDefault="009C7DA2" w:rsidP="009C7DA2">
      <w:pPr>
        <w:ind w:left="567"/>
        <w:rPr>
          <w:snapToGrid w:val="0"/>
          <w:lang w:eastAsia="ja-JP"/>
        </w:rPr>
      </w:pPr>
      <w:r w:rsidRPr="000C3905">
        <w:rPr>
          <w:snapToGrid w:val="0"/>
          <w:lang w:eastAsia="ja-JP"/>
        </w:rPr>
        <w:t>WG-DST:</w:t>
      </w:r>
      <w:r w:rsidRPr="000C3905">
        <w:rPr>
          <w:snapToGrid w:val="0"/>
          <w:lang w:eastAsia="ja-JP"/>
        </w:rPr>
        <w:tab/>
      </w:r>
      <w:r w:rsidRPr="000C3905">
        <w:rPr>
          <w:rFonts w:cs="Arial"/>
        </w:rPr>
        <w:t>Working Group for the Development of a UPOV Denomination Similarity Search Tool</w:t>
      </w:r>
    </w:p>
    <w:p w:rsidR="002713DD" w:rsidRPr="000C3905" w:rsidRDefault="009C7DA2" w:rsidP="002713DD">
      <w:pPr>
        <w:ind w:left="567"/>
        <w:rPr>
          <w:snapToGrid w:val="0"/>
          <w:lang w:eastAsia="ja-JP"/>
        </w:rPr>
      </w:pPr>
      <w:r w:rsidRPr="000C3905">
        <w:rPr>
          <w:snapToGrid w:val="0"/>
          <w:lang w:eastAsia="ja-JP"/>
        </w:rPr>
        <w:t>WG-DEN:</w:t>
      </w:r>
      <w:r w:rsidRPr="000C3905">
        <w:rPr>
          <w:snapToGrid w:val="0"/>
          <w:lang w:eastAsia="ja-JP"/>
        </w:rPr>
        <w:tab/>
        <w:t>Working Group on Variety Denominations</w:t>
      </w:r>
    </w:p>
    <w:p w:rsidR="002713DD" w:rsidRPr="000C3905" w:rsidRDefault="002713DD" w:rsidP="002713DD">
      <w:pPr>
        <w:ind w:left="567"/>
        <w:rPr>
          <w:snapToGrid w:val="0"/>
          <w:lang w:eastAsia="ja-JP"/>
        </w:rPr>
      </w:pPr>
    </w:p>
    <w:p w:rsidR="002713DD" w:rsidRPr="000C3905" w:rsidRDefault="002713DD" w:rsidP="002713DD">
      <w:pPr>
        <w:ind w:left="567"/>
        <w:rPr>
          <w:snapToGrid w:val="0"/>
          <w:lang w:eastAsia="ja-JP"/>
        </w:rPr>
      </w:pPr>
    </w:p>
    <w:p w:rsidR="002713DD" w:rsidRPr="000C3905" w:rsidRDefault="002713DD" w:rsidP="002713DD">
      <w:pPr>
        <w:ind w:left="567"/>
        <w:rPr>
          <w:snapToGrid w:val="0"/>
          <w:lang w:eastAsia="ja-JP"/>
        </w:rPr>
      </w:pPr>
    </w:p>
    <w:p w:rsidR="009C7DA2" w:rsidRPr="000C3905" w:rsidRDefault="002713DD" w:rsidP="002713DD">
      <w:pPr>
        <w:pStyle w:val="Heading1"/>
        <w:rPr>
          <w:lang w:eastAsia="ja-JP"/>
        </w:rPr>
      </w:pPr>
      <w:bookmarkStart w:id="4" w:name="_Toc477873572"/>
      <w:r w:rsidRPr="000C3905">
        <w:rPr>
          <w:lang w:eastAsia="ja-JP"/>
        </w:rPr>
        <w:t>B</w:t>
      </w:r>
      <w:r w:rsidR="009C7DA2" w:rsidRPr="000C3905">
        <w:rPr>
          <w:lang w:eastAsia="ja-JP"/>
        </w:rPr>
        <w:t>ackground</w:t>
      </w:r>
      <w:bookmarkEnd w:id="4"/>
    </w:p>
    <w:p w:rsidR="009C7DA2" w:rsidRPr="000C3905" w:rsidRDefault="009C7DA2" w:rsidP="009C7DA2">
      <w:pPr>
        <w:keepNext/>
        <w:rPr>
          <w:lang w:eastAsia="ja-JP"/>
        </w:rPr>
      </w:pPr>
    </w:p>
    <w:p w:rsidR="002713DD" w:rsidRPr="000C3905" w:rsidRDefault="009C7DA2" w:rsidP="00F9378E">
      <w:pPr>
        <w:rPr>
          <w:rFonts w:cs="Arial"/>
          <w:snapToGrid w:val="0"/>
          <w:lang w:eastAsia="ja-JP"/>
        </w:rPr>
      </w:pPr>
      <w:r w:rsidRPr="000C3905">
        <w:rPr>
          <w:rFonts w:cs="Arial"/>
          <w:snapToGrid w:val="0"/>
        </w:rPr>
        <w:fldChar w:fldCharType="begin"/>
      </w:r>
      <w:r w:rsidRPr="000C3905">
        <w:rPr>
          <w:rFonts w:cs="Arial"/>
          <w:snapToGrid w:val="0"/>
        </w:rPr>
        <w:instrText xml:space="preserve"> AUTONUM  </w:instrText>
      </w:r>
      <w:r w:rsidRPr="000C3905">
        <w:rPr>
          <w:rFonts w:cs="Arial"/>
          <w:snapToGrid w:val="0"/>
        </w:rPr>
        <w:fldChar w:fldCharType="end"/>
      </w:r>
      <w:r w:rsidRPr="000C3905">
        <w:rPr>
          <w:rFonts w:cs="Arial"/>
          <w:snapToGrid w:val="0"/>
        </w:rPr>
        <w:tab/>
      </w:r>
      <w:r w:rsidRPr="000C3905">
        <w:rPr>
          <w:rFonts w:cs="Arial"/>
          <w:snapToGrid w:val="0"/>
          <w:lang w:eastAsia="ja-JP"/>
        </w:rPr>
        <w:t>The background to this matter is provided in document UPOV/WG-DEN/2/2 “Revision of document UPOV/INF/12/5 ‘Explanatory Notes on Variety Denominations under the UPOV Convention’”.</w:t>
      </w:r>
    </w:p>
    <w:p w:rsidR="002713DD" w:rsidRPr="000C3905" w:rsidRDefault="002713DD">
      <w:pPr>
        <w:jc w:val="left"/>
        <w:rPr>
          <w:rFonts w:cs="Arial"/>
          <w:snapToGrid w:val="0"/>
          <w:lang w:eastAsia="ja-JP"/>
        </w:rPr>
      </w:pPr>
    </w:p>
    <w:p w:rsidR="00763A36" w:rsidRPr="000C3905" w:rsidRDefault="00763A36">
      <w:pPr>
        <w:jc w:val="left"/>
        <w:rPr>
          <w:rFonts w:cs="Arial"/>
          <w:snapToGrid w:val="0"/>
          <w:lang w:eastAsia="ja-JP"/>
        </w:rPr>
      </w:pPr>
    </w:p>
    <w:p w:rsidR="00F9378E" w:rsidRPr="000C3905" w:rsidRDefault="00F9378E">
      <w:pPr>
        <w:jc w:val="left"/>
        <w:rPr>
          <w:rFonts w:cs="Arial"/>
          <w:snapToGrid w:val="0"/>
          <w:lang w:eastAsia="ja-JP"/>
        </w:rPr>
      </w:pPr>
    </w:p>
    <w:p w:rsidR="00763A36" w:rsidRPr="000C3905" w:rsidRDefault="00763A36">
      <w:pPr>
        <w:jc w:val="left"/>
        <w:rPr>
          <w:caps/>
          <w:snapToGrid w:val="0"/>
          <w:lang w:eastAsia="ja-JP"/>
        </w:rPr>
      </w:pPr>
      <w:r w:rsidRPr="000C3905">
        <w:rPr>
          <w:snapToGrid w:val="0"/>
          <w:lang w:eastAsia="ja-JP"/>
        </w:rPr>
        <w:br w:type="page"/>
      </w:r>
    </w:p>
    <w:p w:rsidR="009C7DA2" w:rsidRPr="000C3905" w:rsidRDefault="009C7DA2" w:rsidP="009C7DA2">
      <w:pPr>
        <w:pStyle w:val="Heading1"/>
        <w:rPr>
          <w:lang w:eastAsia="ja-JP"/>
        </w:rPr>
      </w:pPr>
      <w:bookmarkStart w:id="5" w:name="_Toc477873573"/>
      <w:r w:rsidRPr="000C3905">
        <w:rPr>
          <w:snapToGrid w:val="0"/>
          <w:lang w:eastAsia="ja-JP"/>
        </w:rPr>
        <w:lastRenderedPageBreak/>
        <w:t xml:space="preserve">Developments </w:t>
      </w:r>
      <w:r w:rsidR="00017D7E">
        <w:rPr>
          <w:snapToGrid w:val="0"/>
          <w:lang w:eastAsia="ja-JP"/>
        </w:rPr>
        <w:t xml:space="preserve">BY </w:t>
      </w:r>
      <w:r w:rsidRPr="000C3905">
        <w:rPr>
          <w:snapToGrid w:val="0"/>
          <w:lang w:eastAsia="ja-JP"/>
        </w:rPr>
        <w:t>the WG-DEN, at its second meeting</w:t>
      </w:r>
      <w:bookmarkEnd w:id="5"/>
    </w:p>
    <w:p w:rsidR="009C7DA2" w:rsidRPr="000C3905" w:rsidRDefault="009C7DA2" w:rsidP="009C7DA2">
      <w:pPr>
        <w:keepNext/>
        <w:rPr>
          <w:lang w:eastAsia="ja-JP"/>
        </w:rPr>
      </w:pPr>
    </w:p>
    <w:p w:rsidR="009C7DA2" w:rsidRPr="000C3905" w:rsidRDefault="009C7DA2" w:rsidP="009C7DA2">
      <w:pPr>
        <w:pStyle w:val="Heading2"/>
        <w:rPr>
          <w:lang w:eastAsia="ja-JP"/>
        </w:rPr>
      </w:pPr>
      <w:bookmarkStart w:id="6" w:name="_Toc477873574"/>
      <w:r w:rsidRPr="000C3905">
        <w:rPr>
          <w:lang w:eastAsia="ja-JP"/>
        </w:rPr>
        <w:t xml:space="preserve">Items agreed </w:t>
      </w:r>
      <w:r w:rsidR="00017D7E">
        <w:rPr>
          <w:lang w:eastAsia="ja-JP"/>
        </w:rPr>
        <w:t>by</w:t>
      </w:r>
      <w:r w:rsidRPr="000C3905">
        <w:rPr>
          <w:lang w:eastAsia="ja-JP"/>
        </w:rPr>
        <w:t xml:space="preserve"> the WG-DEN</w:t>
      </w:r>
      <w:bookmarkEnd w:id="6"/>
    </w:p>
    <w:p w:rsidR="009C7DA2" w:rsidRPr="000C3905" w:rsidRDefault="009C7DA2" w:rsidP="009C7DA2">
      <w:pPr>
        <w:keepNext/>
        <w:rPr>
          <w:lang w:eastAsia="ja-JP"/>
        </w:rPr>
      </w:pPr>
    </w:p>
    <w:p w:rsidR="009C7DA2" w:rsidRPr="000C3905" w:rsidRDefault="009C7DA2" w:rsidP="00F9378E">
      <w:pPr>
        <w:rPr>
          <w:rFonts w:cs="Arial"/>
          <w:snapToGrid w:val="0"/>
          <w:lang w:eastAsia="ja-JP"/>
        </w:rPr>
      </w:pPr>
      <w:r w:rsidRPr="000C3905">
        <w:rPr>
          <w:rFonts w:cs="Arial"/>
          <w:snapToGrid w:val="0"/>
        </w:rPr>
        <w:fldChar w:fldCharType="begin"/>
      </w:r>
      <w:r w:rsidRPr="000C3905">
        <w:rPr>
          <w:rFonts w:cs="Arial"/>
          <w:snapToGrid w:val="0"/>
        </w:rPr>
        <w:instrText xml:space="preserve"> AUTONUM  </w:instrText>
      </w:r>
      <w:r w:rsidRPr="000C3905">
        <w:rPr>
          <w:rFonts w:cs="Arial"/>
          <w:snapToGrid w:val="0"/>
        </w:rPr>
        <w:fldChar w:fldCharType="end"/>
      </w:r>
      <w:r w:rsidRPr="000C3905">
        <w:rPr>
          <w:rFonts w:cs="Arial"/>
          <w:snapToGrid w:val="0"/>
        </w:rPr>
        <w:tab/>
      </w:r>
      <w:r w:rsidRPr="000C3905">
        <w:rPr>
          <w:rFonts w:cs="Arial"/>
          <w:snapToGrid w:val="0"/>
          <w:lang w:eastAsia="ja-JP"/>
        </w:rPr>
        <w:t xml:space="preserve">The WG-DEN, at its second meeting, held in Geneva, on October 25, 2016, </w:t>
      </w:r>
      <w:r w:rsidR="00220BA4" w:rsidRPr="000C3905">
        <w:rPr>
          <w:rFonts w:cs="Arial"/>
          <w:snapToGrid w:val="0"/>
          <w:lang w:eastAsia="ja-JP"/>
        </w:rPr>
        <w:t xml:space="preserve">considered document UPOV/INF/12/6 Draft 2 and </w:t>
      </w:r>
      <w:r w:rsidRPr="000C3905">
        <w:rPr>
          <w:rFonts w:cs="Arial"/>
          <w:snapToGrid w:val="0"/>
          <w:lang w:eastAsia="ja-JP"/>
        </w:rPr>
        <w:t>agreed the following with regard to a possible revision of document</w:t>
      </w:r>
      <w:r w:rsidR="00220BA4" w:rsidRPr="000C3905">
        <w:rPr>
          <w:rFonts w:cs="Arial"/>
          <w:snapToGrid w:val="0"/>
          <w:lang w:eastAsia="ja-JP"/>
        </w:rPr>
        <w:t> </w:t>
      </w:r>
      <w:r w:rsidRPr="000C3905">
        <w:rPr>
          <w:rFonts w:cs="Arial"/>
          <w:snapToGrid w:val="0"/>
          <w:lang w:eastAsia="ja-JP"/>
        </w:rPr>
        <w:t>UPOV/INF/12/5:</w:t>
      </w:r>
    </w:p>
    <w:p w:rsidR="009C7DA2" w:rsidRPr="000C3905" w:rsidRDefault="009C7DA2" w:rsidP="00F9378E">
      <w:pPr>
        <w:rPr>
          <w:snapToGrid w:val="0"/>
          <w:lang w:eastAsia="ja-JP"/>
        </w:rPr>
      </w:pPr>
    </w:p>
    <w:p w:rsidR="009C7DA2" w:rsidRPr="000C3905" w:rsidRDefault="006B5F11" w:rsidP="009C7DA2">
      <w:pPr>
        <w:pStyle w:val="ListParagraph"/>
        <w:autoSpaceDE w:val="0"/>
        <w:autoSpaceDN w:val="0"/>
        <w:adjustRightInd w:val="0"/>
        <w:ind w:left="0" w:firstLine="567"/>
        <w:contextualSpacing w:val="0"/>
        <w:rPr>
          <w:lang w:eastAsia="ja-JP"/>
        </w:rPr>
      </w:pPr>
      <w:r w:rsidRPr="000C3905">
        <w:rPr>
          <w:rFonts w:cs="Arial"/>
          <w:snapToGrid w:val="0"/>
          <w:lang w:eastAsia="ja-JP"/>
        </w:rPr>
        <w:t>(a</w:t>
      </w:r>
      <w:r w:rsidR="0018746B" w:rsidRPr="000C3905">
        <w:rPr>
          <w:rFonts w:cs="Arial"/>
          <w:snapToGrid w:val="0"/>
          <w:lang w:eastAsia="ja-JP"/>
        </w:rPr>
        <w:t>)</w:t>
      </w:r>
      <w:r w:rsidR="0018746B" w:rsidRPr="000C3905">
        <w:rPr>
          <w:rFonts w:cs="Arial"/>
          <w:snapToGrid w:val="0"/>
          <w:lang w:eastAsia="ja-JP"/>
        </w:rPr>
        <w:tab/>
      </w:r>
      <w:r w:rsidR="00B90677" w:rsidRPr="000C3905">
        <w:rPr>
          <w:rFonts w:cs="Arial"/>
          <w:snapToGrid w:val="0"/>
          <w:lang w:eastAsia="ja-JP"/>
        </w:rPr>
        <w:t xml:space="preserve">Section 2.2.2 (c), </w:t>
      </w:r>
      <w:r w:rsidR="009C7DA2" w:rsidRPr="000C3905">
        <w:rPr>
          <w:rFonts w:cs="Arial"/>
          <w:snapToGrid w:val="0"/>
          <w:lang w:eastAsia="ja-JP"/>
        </w:rPr>
        <w:t xml:space="preserve">the </w:t>
      </w:r>
      <w:r w:rsidR="00B90677" w:rsidRPr="000C3905">
        <w:rPr>
          <w:rFonts w:cs="Arial"/>
          <w:snapToGrid w:val="0"/>
          <w:lang w:eastAsia="ja-JP"/>
        </w:rPr>
        <w:t>current text could eventually allow the use of a denomination consisting solely of figures in all denomination classes, and agreed that the current text</w:t>
      </w:r>
      <w:r w:rsidR="0018746B" w:rsidRPr="000C3905">
        <w:rPr>
          <w:rFonts w:cs="Arial"/>
          <w:snapToGrid w:val="0"/>
          <w:lang w:eastAsia="ja-JP"/>
        </w:rPr>
        <w:t xml:space="preserve"> was appropriate, on that basis</w:t>
      </w:r>
      <w:r w:rsidR="009C7DA2" w:rsidRPr="000C3905">
        <w:rPr>
          <w:lang w:eastAsia="ja-JP"/>
        </w:rPr>
        <w:t>;</w:t>
      </w:r>
    </w:p>
    <w:p w:rsidR="009C7DA2" w:rsidRPr="000C3905" w:rsidRDefault="009C7DA2" w:rsidP="009C7DA2">
      <w:pPr>
        <w:keepNext/>
        <w:ind w:firstLine="540"/>
        <w:rPr>
          <w:rFonts w:cs="Arial"/>
          <w:snapToGrid w:val="0"/>
          <w:lang w:eastAsia="ja-JP"/>
        </w:rPr>
      </w:pPr>
    </w:p>
    <w:p w:rsidR="009C7DA2" w:rsidRPr="000C3905" w:rsidRDefault="006B5F11" w:rsidP="009C7DA2">
      <w:pPr>
        <w:keepNext/>
        <w:ind w:firstLine="540"/>
        <w:rPr>
          <w:szCs w:val="24"/>
          <w:lang w:eastAsia="ja-JP"/>
        </w:rPr>
      </w:pPr>
      <w:r w:rsidRPr="000C3905">
        <w:rPr>
          <w:rFonts w:cs="Arial"/>
          <w:snapToGrid w:val="0"/>
          <w:lang w:eastAsia="ja-JP"/>
        </w:rPr>
        <w:t>(b</w:t>
      </w:r>
      <w:r w:rsidR="0018746B" w:rsidRPr="000C3905">
        <w:rPr>
          <w:rFonts w:cs="Arial"/>
          <w:snapToGrid w:val="0"/>
          <w:lang w:eastAsia="ja-JP"/>
        </w:rPr>
        <w:t>)</w:t>
      </w:r>
      <w:r w:rsidR="0018746B" w:rsidRPr="000C3905">
        <w:rPr>
          <w:rFonts w:cs="Arial"/>
          <w:snapToGrid w:val="0"/>
          <w:lang w:eastAsia="ja-JP"/>
        </w:rPr>
        <w:tab/>
      </w:r>
      <w:r w:rsidR="009C7DA2" w:rsidRPr="000C3905">
        <w:rPr>
          <w:rFonts w:cs="Arial"/>
          <w:snapToGrid w:val="0"/>
          <w:lang w:eastAsia="ja-JP"/>
        </w:rPr>
        <w:t>Section 2.3.1</w:t>
      </w:r>
      <w:r w:rsidR="00B90677" w:rsidRPr="000C3905">
        <w:rPr>
          <w:rFonts w:cs="Arial"/>
          <w:snapToGrid w:val="0"/>
          <w:lang w:eastAsia="ja-JP"/>
        </w:rPr>
        <w:t xml:space="preserve"> (a),</w:t>
      </w:r>
      <w:r w:rsidR="009C7DA2" w:rsidRPr="000C3905">
        <w:rPr>
          <w:rFonts w:cs="Arial"/>
          <w:snapToGrid w:val="0"/>
          <w:lang w:eastAsia="ja-JP"/>
        </w:rPr>
        <w:t xml:space="preserve"> </w:t>
      </w:r>
      <w:r w:rsidR="00B90677" w:rsidRPr="000C3905">
        <w:rPr>
          <w:rFonts w:cs="Arial"/>
          <w:snapToGrid w:val="0"/>
          <w:lang w:eastAsia="ja-JP"/>
        </w:rPr>
        <w:t>the example in the</w:t>
      </w:r>
      <w:r w:rsidR="009C7DA2" w:rsidRPr="000C3905">
        <w:rPr>
          <w:rFonts w:cs="Arial"/>
          <w:snapToGrid w:val="0"/>
          <w:lang w:eastAsia="ja-JP"/>
        </w:rPr>
        <w:t xml:space="preserve"> section </w:t>
      </w:r>
      <w:r w:rsidR="00B90677" w:rsidRPr="000C3905">
        <w:rPr>
          <w:rFonts w:cs="Arial"/>
          <w:snapToGrid w:val="0"/>
          <w:lang w:eastAsia="ja-JP"/>
        </w:rPr>
        <w:t xml:space="preserve">provided </w:t>
      </w:r>
      <w:r w:rsidR="009C7DA2" w:rsidRPr="000C3905">
        <w:rPr>
          <w:rFonts w:cs="Arial"/>
          <w:snapToGrid w:val="0"/>
          <w:lang w:eastAsia="ja-JP"/>
        </w:rPr>
        <w:t>clear</w:t>
      </w:r>
      <w:r w:rsidR="00B90677" w:rsidRPr="000C3905">
        <w:rPr>
          <w:rFonts w:cs="Arial"/>
          <w:snapToGrid w:val="0"/>
          <w:lang w:eastAsia="ja-JP"/>
        </w:rPr>
        <w:t xml:space="preserve"> guidance</w:t>
      </w:r>
      <w:r w:rsidR="009C7DA2" w:rsidRPr="000C3905">
        <w:rPr>
          <w:szCs w:val="24"/>
          <w:lang w:eastAsia="ja-JP"/>
        </w:rPr>
        <w:t>;</w:t>
      </w:r>
    </w:p>
    <w:p w:rsidR="009C7DA2" w:rsidRPr="000C3905" w:rsidRDefault="009C7DA2" w:rsidP="009C7DA2">
      <w:pPr>
        <w:keepNext/>
        <w:ind w:firstLine="540"/>
        <w:rPr>
          <w:szCs w:val="24"/>
          <w:lang w:eastAsia="ja-JP"/>
        </w:rPr>
      </w:pPr>
    </w:p>
    <w:p w:rsidR="009C7DA2" w:rsidRPr="000C3905" w:rsidRDefault="006B5F11" w:rsidP="009C7DA2">
      <w:pPr>
        <w:keepNext/>
        <w:ind w:firstLine="540"/>
        <w:rPr>
          <w:rFonts w:cs="Arial"/>
          <w:snapToGrid w:val="0"/>
          <w:lang w:eastAsia="ja-JP"/>
        </w:rPr>
      </w:pPr>
      <w:r w:rsidRPr="000C3905">
        <w:rPr>
          <w:rFonts w:cs="Arial"/>
          <w:snapToGrid w:val="0"/>
          <w:lang w:eastAsia="ja-JP"/>
        </w:rPr>
        <w:t>(c</w:t>
      </w:r>
      <w:r w:rsidR="009C7DA2" w:rsidRPr="000C3905">
        <w:rPr>
          <w:rFonts w:cs="Arial"/>
          <w:snapToGrid w:val="0"/>
          <w:lang w:eastAsia="ja-JP"/>
        </w:rPr>
        <w:t>)</w:t>
      </w:r>
      <w:r w:rsidR="009C7DA2" w:rsidRPr="000C3905">
        <w:rPr>
          <w:rFonts w:cs="Arial"/>
          <w:snapToGrid w:val="0"/>
          <w:lang w:eastAsia="ja-JP"/>
        </w:rPr>
        <w:tab/>
        <w:t>Section 2.3.1</w:t>
      </w:r>
      <w:r w:rsidR="00B90677" w:rsidRPr="000C3905">
        <w:rPr>
          <w:rFonts w:cs="Arial"/>
          <w:snapToGrid w:val="0"/>
          <w:lang w:eastAsia="ja-JP"/>
        </w:rPr>
        <w:t xml:space="preserve"> (b)</w:t>
      </w:r>
      <w:r w:rsidR="009C7DA2" w:rsidRPr="000C3905">
        <w:rPr>
          <w:rFonts w:cs="Arial"/>
          <w:snapToGrid w:val="0"/>
          <w:lang w:eastAsia="ja-JP"/>
        </w:rPr>
        <w:t xml:space="preserve">, </w:t>
      </w:r>
      <w:r w:rsidR="00B90677" w:rsidRPr="000C3905">
        <w:rPr>
          <w:rFonts w:cs="Arial"/>
          <w:snapToGrid w:val="0"/>
          <w:lang w:eastAsia="ja-JP"/>
        </w:rPr>
        <w:t>to delete current Section 2.3.1</w:t>
      </w:r>
      <w:r w:rsidR="0018746B" w:rsidRPr="000C3905">
        <w:rPr>
          <w:rFonts w:cs="Arial"/>
          <w:snapToGrid w:val="0"/>
          <w:lang w:eastAsia="ja-JP"/>
        </w:rPr>
        <w:t xml:space="preserve"> </w:t>
      </w:r>
      <w:r w:rsidR="00B90677" w:rsidRPr="000C3905">
        <w:rPr>
          <w:rFonts w:cs="Arial"/>
          <w:snapToGrid w:val="0"/>
          <w:lang w:eastAsia="ja-JP"/>
        </w:rPr>
        <w:t>(b) and invited the CPVO to provide alternative guidance</w:t>
      </w:r>
      <w:r w:rsidR="009C7DA2" w:rsidRPr="000C3905">
        <w:rPr>
          <w:rFonts w:cs="Arial"/>
          <w:snapToGrid w:val="0"/>
          <w:lang w:eastAsia="ja-JP"/>
        </w:rPr>
        <w:t>;</w:t>
      </w:r>
    </w:p>
    <w:p w:rsidR="009C7DA2" w:rsidRPr="000C3905" w:rsidRDefault="009C7DA2" w:rsidP="009C7DA2">
      <w:pPr>
        <w:keepNext/>
        <w:ind w:firstLine="540"/>
        <w:rPr>
          <w:rFonts w:cs="Arial"/>
          <w:snapToGrid w:val="0"/>
          <w:lang w:eastAsia="ja-JP"/>
        </w:rPr>
      </w:pPr>
    </w:p>
    <w:p w:rsidR="009C7DA2" w:rsidRPr="000C3905" w:rsidRDefault="006B5F11" w:rsidP="009C7DA2">
      <w:pPr>
        <w:keepNext/>
        <w:ind w:firstLine="540"/>
        <w:rPr>
          <w:szCs w:val="24"/>
          <w:lang w:eastAsia="ja-JP"/>
        </w:rPr>
      </w:pPr>
      <w:r w:rsidRPr="000C3905">
        <w:rPr>
          <w:rFonts w:cs="Arial"/>
          <w:snapToGrid w:val="0"/>
          <w:lang w:eastAsia="ja-JP"/>
        </w:rPr>
        <w:t>(d</w:t>
      </w:r>
      <w:r w:rsidR="0018746B" w:rsidRPr="000C3905">
        <w:rPr>
          <w:rFonts w:cs="Arial"/>
          <w:snapToGrid w:val="0"/>
          <w:lang w:eastAsia="ja-JP"/>
        </w:rPr>
        <w:t>)</w:t>
      </w:r>
      <w:r w:rsidR="0018746B" w:rsidRPr="000C3905">
        <w:rPr>
          <w:rFonts w:cs="Arial"/>
          <w:snapToGrid w:val="0"/>
          <w:lang w:eastAsia="ja-JP"/>
        </w:rPr>
        <w:tab/>
      </w:r>
      <w:r w:rsidR="009C7DA2" w:rsidRPr="000C3905">
        <w:rPr>
          <w:rFonts w:cs="Arial"/>
          <w:snapToGrid w:val="0"/>
          <w:lang w:eastAsia="ja-JP"/>
        </w:rPr>
        <w:t>Section 2.3.1</w:t>
      </w:r>
      <w:r w:rsidR="00B90677" w:rsidRPr="000C3905">
        <w:rPr>
          <w:rFonts w:cs="Arial"/>
          <w:snapToGrid w:val="0"/>
          <w:lang w:eastAsia="ja-JP"/>
        </w:rPr>
        <w:t xml:space="preserve"> </w:t>
      </w:r>
      <w:r w:rsidR="009C7DA2" w:rsidRPr="000C3905">
        <w:rPr>
          <w:rFonts w:cs="Arial"/>
          <w:snapToGrid w:val="0"/>
          <w:lang w:eastAsia="ja-JP"/>
        </w:rPr>
        <w:t>(d)</w:t>
      </w:r>
      <w:r w:rsidR="00B90677" w:rsidRPr="000C3905">
        <w:rPr>
          <w:rFonts w:cs="Arial"/>
          <w:snapToGrid w:val="0"/>
          <w:lang w:eastAsia="ja-JP"/>
        </w:rPr>
        <w:t>,</w:t>
      </w:r>
      <w:r w:rsidRPr="000C3905">
        <w:rPr>
          <w:rFonts w:cs="Arial"/>
          <w:snapToGrid w:val="0"/>
          <w:lang w:eastAsia="ja-JP"/>
        </w:rPr>
        <w:t xml:space="preserve"> the use of any botanical name as a variety denomination was unsuitable except for certain common names that had a wider meaning and for which there was no likelihood of confusion (e.g. “Rosa”)</w:t>
      </w:r>
      <w:r w:rsidR="009C7DA2" w:rsidRPr="000C3905">
        <w:rPr>
          <w:szCs w:val="24"/>
          <w:lang w:eastAsia="ja-JP"/>
        </w:rPr>
        <w:t>;</w:t>
      </w:r>
    </w:p>
    <w:p w:rsidR="009C7DA2" w:rsidRPr="000C3905" w:rsidRDefault="009C7DA2" w:rsidP="009C7DA2">
      <w:pPr>
        <w:keepNext/>
        <w:ind w:firstLine="540"/>
        <w:rPr>
          <w:szCs w:val="24"/>
          <w:lang w:eastAsia="ja-JP"/>
        </w:rPr>
      </w:pPr>
    </w:p>
    <w:p w:rsidR="009C7DA2" w:rsidRPr="000C3905" w:rsidRDefault="006B5F11" w:rsidP="009C7DA2">
      <w:pPr>
        <w:ind w:firstLine="567"/>
        <w:rPr>
          <w:lang w:eastAsia="ja-JP"/>
        </w:rPr>
      </w:pPr>
      <w:r w:rsidRPr="000C3905">
        <w:rPr>
          <w:lang w:eastAsia="ja-JP"/>
        </w:rPr>
        <w:t>(e</w:t>
      </w:r>
      <w:r w:rsidR="009C7DA2" w:rsidRPr="000C3905">
        <w:rPr>
          <w:lang w:eastAsia="ja-JP"/>
        </w:rPr>
        <w:t>)</w:t>
      </w:r>
      <w:r w:rsidR="009C7DA2" w:rsidRPr="000C3905">
        <w:rPr>
          <w:lang w:eastAsia="ja-JP"/>
        </w:rPr>
        <w:tab/>
        <w:t>Section 2.3.3</w:t>
      </w:r>
      <w:r w:rsidR="00B90677" w:rsidRPr="000C3905">
        <w:rPr>
          <w:lang w:eastAsia="ja-JP"/>
        </w:rPr>
        <w:t xml:space="preserve"> (a)</w:t>
      </w:r>
      <w:r w:rsidR="009C7DA2" w:rsidRPr="000C3905">
        <w:rPr>
          <w:lang w:eastAsia="ja-JP"/>
        </w:rPr>
        <w:t xml:space="preserve">, the proposal </w:t>
      </w:r>
      <w:r w:rsidRPr="000C3905">
        <w:rPr>
          <w:lang w:eastAsia="ja-JP"/>
        </w:rPr>
        <w:t>that for all categories of denominations including pronounceable words, a difference of one letter or one figure should not be considered to be liable to mislead and cause confusion concerning the identity of the variety should not be pursued</w:t>
      </w:r>
      <w:r w:rsidR="009C7DA2" w:rsidRPr="000C3905">
        <w:rPr>
          <w:lang w:eastAsia="ja-JP"/>
        </w:rPr>
        <w:t>.</w:t>
      </w:r>
    </w:p>
    <w:p w:rsidR="009C7DA2" w:rsidRPr="000C3905" w:rsidRDefault="009C7DA2" w:rsidP="009C7DA2">
      <w:pPr>
        <w:rPr>
          <w:snapToGrid w:val="0"/>
          <w:lang w:eastAsia="ja-JP"/>
        </w:rPr>
      </w:pPr>
    </w:p>
    <w:p w:rsidR="006B5F11" w:rsidRPr="000C3905" w:rsidRDefault="006B5F11" w:rsidP="009C7DA2">
      <w:pPr>
        <w:rPr>
          <w:snapToGrid w:val="0"/>
          <w:lang w:eastAsia="ja-JP"/>
        </w:rPr>
      </w:pPr>
    </w:p>
    <w:p w:rsidR="009C7DA2" w:rsidRPr="000C3905" w:rsidRDefault="009C7DA2" w:rsidP="009C7DA2">
      <w:pPr>
        <w:pStyle w:val="Heading2"/>
        <w:rPr>
          <w:snapToGrid w:val="0"/>
          <w:lang w:eastAsia="ja-JP"/>
        </w:rPr>
      </w:pPr>
      <w:bookmarkStart w:id="7" w:name="_Toc477873575"/>
      <w:r w:rsidRPr="000C3905">
        <w:rPr>
          <w:snapToGrid w:val="0"/>
          <w:lang w:eastAsia="ja-JP"/>
        </w:rPr>
        <w:t>Items agreed to consider further</w:t>
      </w:r>
      <w:bookmarkEnd w:id="7"/>
    </w:p>
    <w:p w:rsidR="009C7DA2" w:rsidRPr="000C3905" w:rsidRDefault="009C7DA2" w:rsidP="009C7DA2">
      <w:pPr>
        <w:keepNext/>
        <w:rPr>
          <w:rFonts w:cs="Arial"/>
          <w:snapToGrid w:val="0"/>
          <w:lang w:eastAsia="ja-JP"/>
        </w:rPr>
      </w:pPr>
    </w:p>
    <w:p w:rsidR="009C7DA2" w:rsidRPr="000C3905" w:rsidRDefault="009C7DA2" w:rsidP="009C7DA2">
      <w:pPr>
        <w:keepNext/>
        <w:rPr>
          <w:rFonts w:cs="Arial"/>
          <w:snapToGrid w:val="0"/>
          <w:lang w:eastAsia="ja-JP"/>
        </w:rPr>
      </w:pPr>
      <w:r w:rsidRPr="000C3905">
        <w:rPr>
          <w:rFonts w:cs="Arial"/>
          <w:snapToGrid w:val="0"/>
        </w:rPr>
        <w:fldChar w:fldCharType="begin"/>
      </w:r>
      <w:r w:rsidRPr="000C3905">
        <w:rPr>
          <w:rFonts w:cs="Arial"/>
          <w:snapToGrid w:val="0"/>
        </w:rPr>
        <w:instrText xml:space="preserve"> AUTONUM  </w:instrText>
      </w:r>
      <w:r w:rsidRPr="000C3905">
        <w:rPr>
          <w:rFonts w:cs="Arial"/>
          <w:snapToGrid w:val="0"/>
        </w:rPr>
        <w:fldChar w:fldCharType="end"/>
      </w:r>
      <w:r w:rsidRPr="000C3905">
        <w:rPr>
          <w:rFonts w:cs="Arial"/>
          <w:snapToGrid w:val="0"/>
        </w:rPr>
        <w:tab/>
      </w:r>
      <w:r w:rsidRPr="000C3905">
        <w:rPr>
          <w:rFonts w:cs="Arial"/>
          <w:snapToGrid w:val="0"/>
          <w:lang w:eastAsia="ja-JP"/>
        </w:rPr>
        <w:t>The WG-DEN agreed to consider the following items at its third meeting:</w:t>
      </w:r>
    </w:p>
    <w:p w:rsidR="009C7DA2" w:rsidRPr="000C3905" w:rsidRDefault="009C7DA2" w:rsidP="009C7DA2">
      <w:pPr>
        <w:keepNext/>
        <w:rPr>
          <w:rFonts w:cs="Arial"/>
          <w:snapToGrid w:val="0"/>
          <w:lang w:eastAsia="ja-JP"/>
        </w:rPr>
      </w:pPr>
    </w:p>
    <w:p w:rsidR="007873B4" w:rsidRPr="000C3905" w:rsidRDefault="0018746B" w:rsidP="009C7DA2">
      <w:pPr>
        <w:pStyle w:val="ListParagraph"/>
        <w:autoSpaceDE w:val="0"/>
        <w:autoSpaceDN w:val="0"/>
        <w:adjustRightInd w:val="0"/>
        <w:ind w:left="0" w:firstLine="567"/>
        <w:contextualSpacing w:val="0"/>
        <w:rPr>
          <w:lang w:eastAsia="ja-JP"/>
        </w:rPr>
      </w:pPr>
      <w:r w:rsidRPr="000C3905">
        <w:rPr>
          <w:lang w:eastAsia="ja-JP"/>
        </w:rPr>
        <w:t>(a)</w:t>
      </w:r>
      <w:r w:rsidRPr="000C3905">
        <w:rPr>
          <w:lang w:eastAsia="ja-JP"/>
        </w:rPr>
        <w:tab/>
      </w:r>
      <w:r w:rsidR="009C7DA2" w:rsidRPr="000C3905">
        <w:rPr>
          <w:lang w:eastAsia="ja-JP"/>
        </w:rPr>
        <w:t>Section 1 “Designation of varieties by denominations; use of the denomination</w:t>
      </w:r>
      <w:r w:rsidR="004047A3" w:rsidRPr="000C3905">
        <w:rPr>
          <w:lang w:eastAsia="ja-JP"/>
        </w:rPr>
        <w:t>”</w:t>
      </w:r>
      <w:r w:rsidR="009C7DA2" w:rsidRPr="000C3905">
        <w:rPr>
          <w:lang w:eastAsia="ja-JP"/>
        </w:rPr>
        <w:t xml:space="preserve">, </w:t>
      </w:r>
      <w:r w:rsidR="007873B4" w:rsidRPr="000C3905">
        <w:rPr>
          <w:lang w:eastAsia="ja-JP"/>
        </w:rPr>
        <w:t>a proposal that if an authority did allow a denomination to be registered when the breeder of the variety was also the holder of a trademark that was identical to the variety denomination, the authority should inform the breeder of the obligation to allow the use of the denomination in connection with the variety, even after the expiration of the breeder’s right;</w:t>
      </w:r>
    </w:p>
    <w:p w:rsidR="007873B4" w:rsidRPr="000C3905" w:rsidRDefault="007873B4" w:rsidP="009C7DA2">
      <w:pPr>
        <w:pStyle w:val="ListParagraph"/>
        <w:autoSpaceDE w:val="0"/>
        <w:autoSpaceDN w:val="0"/>
        <w:adjustRightInd w:val="0"/>
        <w:ind w:left="0" w:firstLine="567"/>
        <w:contextualSpacing w:val="0"/>
        <w:rPr>
          <w:lang w:eastAsia="ja-JP"/>
        </w:rPr>
      </w:pPr>
    </w:p>
    <w:p w:rsidR="00D368C0" w:rsidRPr="000C3905" w:rsidRDefault="009C7DA2" w:rsidP="009C7DA2">
      <w:pPr>
        <w:pStyle w:val="ListParagraph"/>
        <w:autoSpaceDE w:val="0"/>
        <w:autoSpaceDN w:val="0"/>
        <w:adjustRightInd w:val="0"/>
        <w:ind w:left="0" w:firstLine="567"/>
        <w:contextualSpacing w:val="0"/>
        <w:rPr>
          <w:szCs w:val="24"/>
          <w:lang w:eastAsia="ja-JP"/>
        </w:rPr>
      </w:pPr>
      <w:r w:rsidRPr="000C3905">
        <w:rPr>
          <w:lang w:eastAsia="ja-JP"/>
        </w:rPr>
        <w:t>(b)</w:t>
      </w:r>
      <w:r w:rsidRPr="000C3905">
        <w:rPr>
          <w:lang w:eastAsia="ja-JP"/>
        </w:rPr>
        <w:tab/>
        <w:t>Section 2 “Characteristics of the denomination”,</w:t>
      </w:r>
      <w:r w:rsidR="00D368C0" w:rsidRPr="000C3905">
        <w:rPr>
          <w:lang w:eastAsia="ja-JP"/>
        </w:rPr>
        <w:t xml:space="preserve"> the definition of “words” and the </w:t>
      </w:r>
      <w:r w:rsidR="004047A3" w:rsidRPr="000C3905">
        <w:rPr>
          <w:lang w:eastAsia="ja-JP"/>
        </w:rPr>
        <w:t xml:space="preserve">four </w:t>
      </w:r>
      <w:r w:rsidR="00D368C0" w:rsidRPr="000C3905">
        <w:rPr>
          <w:lang w:eastAsia="ja-JP"/>
        </w:rPr>
        <w:t>categories</w:t>
      </w:r>
      <w:r w:rsidR="004047A3" w:rsidRPr="000C3905">
        <w:rPr>
          <w:lang w:eastAsia="ja-JP"/>
        </w:rPr>
        <w:t xml:space="preserve"> of denominations: pronounceable words; letters only (not in the form of pronounceable words); letters and figures; and figures only</w:t>
      </w:r>
      <w:r w:rsidR="0018746B" w:rsidRPr="000C3905">
        <w:rPr>
          <w:lang w:eastAsia="ja-JP"/>
        </w:rPr>
        <w:t>;</w:t>
      </w:r>
    </w:p>
    <w:p w:rsidR="00D368C0" w:rsidRPr="000C3905" w:rsidRDefault="00D368C0" w:rsidP="009C7DA2">
      <w:pPr>
        <w:pStyle w:val="ListParagraph"/>
        <w:autoSpaceDE w:val="0"/>
        <w:autoSpaceDN w:val="0"/>
        <w:adjustRightInd w:val="0"/>
        <w:ind w:left="0" w:firstLine="567"/>
        <w:contextualSpacing w:val="0"/>
        <w:rPr>
          <w:szCs w:val="24"/>
          <w:lang w:eastAsia="ja-JP"/>
        </w:rPr>
      </w:pPr>
    </w:p>
    <w:p w:rsidR="00D368C0" w:rsidRPr="000C3905" w:rsidRDefault="00D368C0" w:rsidP="00D368C0">
      <w:r w:rsidRPr="000C3905">
        <w:rPr>
          <w:lang w:eastAsia="ja-JP"/>
        </w:rPr>
        <w:tab/>
        <w:t>(c)</w:t>
      </w:r>
      <w:r w:rsidRPr="000C3905">
        <w:rPr>
          <w:lang w:eastAsia="ja-JP"/>
        </w:rPr>
        <w:tab/>
      </w:r>
      <w:r w:rsidRPr="000C3905">
        <w:t>Section 2.1 “Identification”</w:t>
      </w:r>
      <w:r w:rsidR="004047A3" w:rsidRPr="000C3905">
        <w:rPr>
          <w:lang w:eastAsia="ja-JP"/>
        </w:rPr>
        <w:t xml:space="preserve">, the WG-DEN noted that some members considered </w:t>
      </w:r>
      <w:r w:rsidR="00421120" w:rsidRPr="000C3905">
        <w:rPr>
          <w:lang w:eastAsia="ja-JP"/>
        </w:rPr>
        <w:t xml:space="preserve">two </w:t>
      </w:r>
      <w:r w:rsidR="004047A3" w:rsidRPr="000C3905">
        <w:rPr>
          <w:lang w:eastAsia="ja-JP"/>
        </w:rPr>
        <w:t>elements</w:t>
      </w:r>
      <w:r w:rsidR="00421120" w:rsidRPr="000C3905">
        <w:rPr>
          <w:lang w:eastAsia="ja-JP"/>
        </w:rPr>
        <w:t xml:space="preserve"> on Section 2.3.1 </w:t>
      </w:r>
      <w:r w:rsidR="00421120" w:rsidRPr="000C3905">
        <w:rPr>
          <w:iCs/>
          <w:spacing w:val="-4"/>
          <w:lang w:eastAsia="ja-JP"/>
        </w:rPr>
        <w:t>“</w:t>
      </w:r>
      <w:r w:rsidR="00421120" w:rsidRPr="000C3905">
        <w:t>Characteristics of the variety”</w:t>
      </w:r>
      <w:r w:rsidR="00421120" w:rsidRPr="000C3905">
        <w:rPr>
          <w:lang w:eastAsia="ja-JP"/>
        </w:rPr>
        <w:t xml:space="preserve">, </w:t>
      </w:r>
      <w:r w:rsidR="00421120" w:rsidRPr="000C3905">
        <w:rPr>
          <w:iCs/>
          <w:spacing w:val="-4"/>
          <w:lang w:eastAsia="ja-JP"/>
        </w:rPr>
        <w:t>(a) the denomination should not convey the impression that the variety has a particular characteristics which in reality it does not have; and (b) the denomination should not refer to specific characteristics in such a way that the impression is created that only the variety possesses them, whereas in fact other varieties or species in question also have or may have the same characteristics,</w:t>
      </w:r>
      <w:r w:rsidR="004047A3" w:rsidRPr="000C3905">
        <w:rPr>
          <w:lang w:eastAsia="ja-JP"/>
        </w:rPr>
        <w:t xml:space="preserve"> with Section 2.1</w:t>
      </w:r>
      <w:r w:rsidRPr="000C3905">
        <w:rPr>
          <w:lang w:eastAsia="ja-JP"/>
        </w:rPr>
        <w:t>;</w:t>
      </w:r>
    </w:p>
    <w:p w:rsidR="00D368C0" w:rsidRPr="000C3905" w:rsidRDefault="00D368C0" w:rsidP="00D368C0">
      <w:pPr>
        <w:pStyle w:val="Heading3"/>
      </w:pPr>
    </w:p>
    <w:p w:rsidR="00D368C0" w:rsidRPr="000C3905" w:rsidRDefault="00D368C0" w:rsidP="00D368C0">
      <w:pPr>
        <w:pStyle w:val="NoSpacing"/>
        <w:ind w:firstLine="562"/>
        <w:rPr>
          <w:lang w:eastAsia="ja-JP"/>
        </w:rPr>
      </w:pPr>
      <w:r w:rsidRPr="000C3905">
        <w:t>(d)</w:t>
      </w:r>
      <w:r w:rsidRPr="000C3905">
        <w:tab/>
        <w:t>Section 2.3 “Liable to mislead or to cause confusion”</w:t>
      </w:r>
      <w:r w:rsidRPr="000C3905">
        <w:rPr>
          <w:lang w:eastAsia="ja-JP"/>
        </w:rPr>
        <w:t>, three aspects: visual; phonetic; and conceptual</w:t>
      </w:r>
      <w:r w:rsidR="0070496E" w:rsidRPr="000C3905">
        <w:rPr>
          <w:lang w:eastAsia="ja-JP"/>
        </w:rPr>
        <w:t>, i</w:t>
      </w:r>
      <w:r w:rsidR="00155AA5" w:rsidRPr="000C3905">
        <w:rPr>
          <w:lang w:eastAsia="ja-JP"/>
        </w:rPr>
        <w:t>t was noted that introducing a conceptual aspect would necessitate consideration of linguistic and cultural aspects, which could potentially increase the risk of synonyms because, for example, differences in conceptual meanings could be linked to specific understandings in different languages that would not be understood in other languages</w:t>
      </w:r>
      <w:r w:rsidR="0070496E" w:rsidRPr="000C3905">
        <w:rPr>
          <w:lang w:eastAsia="ja-JP"/>
        </w:rPr>
        <w:t>, and i</w:t>
      </w:r>
      <w:r w:rsidR="00155AA5" w:rsidRPr="000C3905">
        <w:rPr>
          <w:lang w:eastAsia="ja-JP"/>
        </w:rPr>
        <w:t xml:space="preserve">t was agreed to consider </w:t>
      </w:r>
      <w:r w:rsidRPr="000C3905">
        <w:rPr>
          <w:lang w:eastAsia="ja-JP"/>
        </w:rPr>
        <w:t xml:space="preserve">whether </w:t>
      </w:r>
      <w:r w:rsidR="00155AA5" w:rsidRPr="000C3905">
        <w:rPr>
          <w:lang w:eastAsia="ja-JP"/>
        </w:rPr>
        <w:t xml:space="preserve">it would be appropriate </w:t>
      </w:r>
      <w:r w:rsidRPr="000C3905">
        <w:rPr>
          <w:lang w:eastAsia="ja-JP"/>
        </w:rPr>
        <w:t>to introduce the conceptual aspect</w:t>
      </w:r>
      <w:r w:rsidR="00155AA5" w:rsidRPr="000C3905">
        <w:rPr>
          <w:lang w:eastAsia="ja-JP"/>
        </w:rPr>
        <w:t xml:space="preserve"> with</w:t>
      </w:r>
      <w:r w:rsidR="00021B46" w:rsidRPr="000C3905">
        <w:rPr>
          <w:lang w:eastAsia="ja-JP"/>
        </w:rPr>
        <w:t xml:space="preserve"> information to be provided by CPVO</w:t>
      </w:r>
      <w:r w:rsidRPr="000C3905">
        <w:rPr>
          <w:lang w:eastAsia="ja-JP"/>
        </w:rPr>
        <w:t>;</w:t>
      </w:r>
    </w:p>
    <w:p w:rsidR="00D368C0" w:rsidRPr="000C3905" w:rsidRDefault="00D368C0" w:rsidP="00D368C0">
      <w:pPr>
        <w:pStyle w:val="NoSpacing"/>
        <w:ind w:firstLine="562"/>
        <w:rPr>
          <w:lang w:eastAsia="ja-JP"/>
        </w:rPr>
      </w:pPr>
    </w:p>
    <w:p w:rsidR="00D368C0" w:rsidRPr="000C3905" w:rsidRDefault="00D368C0" w:rsidP="00D368C0">
      <w:pPr>
        <w:pStyle w:val="NoSpacing"/>
        <w:ind w:firstLine="562"/>
        <w:rPr>
          <w:lang w:eastAsia="ja-JP"/>
        </w:rPr>
      </w:pPr>
      <w:r w:rsidRPr="000C3905">
        <w:rPr>
          <w:lang w:eastAsia="ja-JP"/>
        </w:rPr>
        <w:t>(e)</w:t>
      </w:r>
      <w:r w:rsidRPr="000C3905">
        <w:rPr>
          <w:lang w:eastAsia="ja-JP"/>
        </w:rPr>
        <w:tab/>
      </w:r>
      <w:r w:rsidRPr="000C3905">
        <w:t>Section 2.3 “Liable to mislead or to cause confusion”</w:t>
      </w:r>
      <w:r w:rsidRPr="000C3905">
        <w:rPr>
          <w:lang w:eastAsia="ja-JP"/>
        </w:rPr>
        <w:t>, “first names”</w:t>
      </w:r>
      <w:r w:rsidR="0070496E" w:rsidRPr="000C3905">
        <w:rPr>
          <w:lang w:eastAsia="ja-JP"/>
        </w:rPr>
        <w:t>,</w:t>
      </w:r>
      <w:r w:rsidR="00123F5A" w:rsidRPr="000C3905">
        <w:rPr>
          <w:lang w:eastAsia="ja-JP"/>
        </w:rPr>
        <w:t xml:space="preserve"> </w:t>
      </w:r>
      <w:r w:rsidR="0070496E" w:rsidRPr="000C3905">
        <w:rPr>
          <w:lang w:eastAsia="ja-JP"/>
        </w:rPr>
        <w:t>to be considered based on the information provided by the CPVO on its consideration on “first names” under the explanation of the conceptual differences</w:t>
      </w:r>
      <w:r w:rsidRPr="000C3905">
        <w:rPr>
          <w:lang w:eastAsia="ja-JP"/>
        </w:rPr>
        <w:t>;</w:t>
      </w:r>
    </w:p>
    <w:p w:rsidR="00D368C0" w:rsidRPr="000C3905" w:rsidRDefault="00D368C0" w:rsidP="00D368C0">
      <w:pPr>
        <w:pStyle w:val="ListParagraph"/>
        <w:autoSpaceDE w:val="0"/>
        <w:autoSpaceDN w:val="0"/>
        <w:adjustRightInd w:val="0"/>
        <w:ind w:left="0"/>
        <w:contextualSpacing w:val="0"/>
        <w:rPr>
          <w:lang w:eastAsia="ja-JP"/>
        </w:rPr>
      </w:pPr>
    </w:p>
    <w:p w:rsidR="00D368C0" w:rsidRPr="000C3905" w:rsidRDefault="00D368C0" w:rsidP="00D368C0">
      <w:pPr>
        <w:pStyle w:val="ListParagraph"/>
        <w:autoSpaceDE w:val="0"/>
        <w:autoSpaceDN w:val="0"/>
        <w:adjustRightInd w:val="0"/>
        <w:ind w:left="0"/>
        <w:contextualSpacing w:val="0"/>
        <w:rPr>
          <w:lang w:eastAsia="ja-JP"/>
        </w:rPr>
      </w:pPr>
      <w:r w:rsidRPr="000C3905">
        <w:rPr>
          <w:lang w:eastAsia="ja-JP"/>
        </w:rPr>
        <w:tab/>
        <w:t>(f)</w:t>
      </w:r>
      <w:r w:rsidRPr="000C3905">
        <w:rPr>
          <w:lang w:eastAsia="ja-JP"/>
        </w:rPr>
        <w:tab/>
        <w:t>Section 2.3.1 (b)</w:t>
      </w:r>
      <w:r w:rsidR="0070496E" w:rsidRPr="000C3905">
        <w:rPr>
          <w:lang w:eastAsia="ja-JP"/>
        </w:rPr>
        <w:t>,</w:t>
      </w:r>
      <w:r w:rsidRPr="000C3905">
        <w:rPr>
          <w:lang w:eastAsia="ja-JP"/>
        </w:rPr>
        <w:t xml:space="preserve"> alternative guidance </w:t>
      </w:r>
      <w:r w:rsidR="00220BA4" w:rsidRPr="000C3905">
        <w:rPr>
          <w:lang w:eastAsia="ja-JP"/>
        </w:rPr>
        <w:t xml:space="preserve">to be </w:t>
      </w:r>
      <w:r w:rsidRPr="000C3905">
        <w:rPr>
          <w:lang w:eastAsia="ja-JP"/>
        </w:rPr>
        <w:t>provided by the CPVO;</w:t>
      </w:r>
    </w:p>
    <w:p w:rsidR="00D368C0" w:rsidRPr="000C3905" w:rsidRDefault="00D368C0" w:rsidP="00D368C0">
      <w:pPr>
        <w:pStyle w:val="ListParagraph"/>
        <w:autoSpaceDE w:val="0"/>
        <w:autoSpaceDN w:val="0"/>
        <w:adjustRightInd w:val="0"/>
        <w:ind w:left="0"/>
        <w:contextualSpacing w:val="0"/>
        <w:rPr>
          <w:lang w:eastAsia="ja-JP"/>
        </w:rPr>
      </w:pPr>
    </w:p>
    <w:p w:rsidR="00D368C0" w:rsidRPr="000C3905" w:rsidRDefault="00D368C0" w:rsidP="000C3905">
      <w:pPr>
        <w:pStyle w:val="ListParagraph"/>
        <w:keepNext/>
        <w:autoSpaceDE w:val="0"/>
        <w:autoSpaceDN w:val="0"/>
        <w:adjustRightInd w:val="0"/>
        <w:ind w:left="0"/>
        <w:contextualSpacing w:val="0"/>
        <w:rPr>
          <w:lang w:eastAsia="ja-JP"/>
        </w:rPr>
      </w:pPr>
      <w:r w:rsidRPr="000C3905">
        <w:rPr>
          <w:lang w:eastAsia="ja-JP"/>
        </w:rPr>
        <w:lastRenderedPageBreak/>
        <w:tab/>
        <w:t>(g)</w:t>
      </w:r>
      <w:r w:rsidRPr="000C3905">
        <w:rPr>
          <w:lang w:eastAsia="ja-JP"/>
        </w:rPr>
        <w:tab/>
        <w:t>Section 2.3.1 (c):</w:t>
      </w:r>
      <w:r w:rsidR="00881C6A">
        <w:rPr>
          <w:lang w:eastAsia="ja-JP"/>
        </w:rPr>
        <w:t xml:space="preserve"> </w:t>
      </w:r>
      <w:r w:rsidRPr="000C3905">
        <w:rPr>
          <w:lang w:eastAsia="ja-JP"/>
        </w:rPr>
        <w:t xml:space="preserve"> </w:t>
      </w:r>
      <w:r w:rsidR="0070496E" w:rsidRPr="000C3905">
        <w:rPr>
          <w:lang w:eastAsia="ja-JP"/>
        </w:rPr>
        <w:t xml:space="preserve">to consider two elements together, </w:t>
      </w:r>
      <w:r w:rsidRPr="000C3905">
        <w:rPr>
          <w:lang w:eastAsia="ja-JP"/>
        </w:rPr>
        <w:t>botanical relationship of varieties and confusion in relation to the identity of the breeder</w:t>
      </w:r>
      <w:r w:rsidR="0070496E" w:rsidRPr="000C3905">
        <w:rPr>
          <w:lang w:eastAsia="ja-JP"/>
        </w:rPr>
        <w:t>,</w:t>
      </w:r>
      <w:r w:rsidR="00123F5A" w:rsidRPr="000C3905">
        <w:rPr>
          <w:lang w:eastAsia="ja-JP"/>
        </w:rPr>
        <w:t xml:space="preserve"> to cover refusal of following cases</w:t>
      </w:r>
      <w:r w:rsidR="000C3905" w:rsidRPr="000C3905">
        <w:rPr>
          <w:lang w:eastAsia="ja-JP"/>
        </w:rPr>
        <w:t>:</w:t>
      </w:r>
    </w:p>
    <w:p w:rsidR="00123F5A" w:rsidRPr="000C3905" w:rsidRDefault="00123F5A" w:rsidP="000C3905">
      <w:pPr>
        <w:pStyle w:val="ListParagraph"/>
        <w:keepNext/>
        <w:autoSpaceDE w:val="0"/>
        <w:autoSpaceDN w:val="0"/>
        <w:adjustRightInd w:val="0"/>
        <w:ind w:left="0" w:firstLine="567"/>
        <w:contextualSpacing w:val="0"/>
        <w:rPr>
          <w:lang w:eastAsia="ja-JP"/>
        </w:rPr>
      </w:pPr>
    </w:p>
    <w:p w:rsidR="00123F5A" w:rsidRPr="000C3905" w:rsidRDefault="00123F5A" w:rsidP="00763A36">
      <w:pPr>
        <w:pStyle w:val="ListParagraph"/>
        <w:numPr>
          <w:ilvl w:val="0"/>
          <w:numId w:val="4"/>
        </w:numPr>
        <w:autoSpaceDE w:val="0"/>
        <w:autoSpaceDN w:val="0"/>
        <w:adjustRightInd w:val="0"/>
        <w:spacing w:after="240"/>
        <w:ind w:left="1560" w:hanging="284"/>
        <w:contextualSpacing w:val="0"/>
        <w:rPr>
          <w:lang w:eastAsia="ja-JP"/>
        </w:rPr>
      </w:pPr>
      <w:r w:rsidRPr="000C3905">
        <w:rPr>
          <w:lang w:eastAsia="ja-JP"/>
        </w:rPr>
        <w:t>a variety denomination “Dannys Royal Gala” even if it had little botanical relation with variety denomination “Royal Gala”</w:t>
      </w:r>
      <w:r w:rsidR="000C3905" w:rsidRPr="000C3905">
        <w:rPr>
          <w:lang w:eastAsia="ja-JP"/>
        </w:rPr>
        <w:t>,</w:t>
      </w:r>
      <w:r w:rsidRPr="000C3905">
        <w:rPr>
          <w:lang w:eastAsia="ja-JP"/>
        </w:rPr>
        <w:t xml:space="preserve"> and </w:t>
      </w:r>
    </w:p>
    <w:p w:rsidR="00123F5A" w:rsidRPr="000C3905" w:rsidRDefault="00123F5A" w:rsidP="00763A36">
      <w:pPr>
        <w:pStyle w:val="ListParagraph"/>
        <w:numPr>
          <w:ilvl w:val="0"/>
          <w:numId w:val="4"/>
        </w:numPr>
        <w:autoSpaceDE w:val="0"/>
        <w:autoSpaceDN w:val="0"/>
        <w:adjustRightInd w:val="0"/>
        <w:ind w:left="1560" w:hanging="284"/>
        <w:contextualSpacing w:val="0"/>
        <w:rPr>
          <w:lang w:eastAsia="ja-JP"/>
        </w:rPr>
      </w:pPr>
      <w:r w:rsidRPr="000C3905">
        <w:rPr>
          <w:lang w:eastAsia="ja-JP"/>
        </w:rPr>
        <w:t>a breeder submitting a type of variety denomination, which resulted in a copy of another  breeders well known practice.  For instance, the practice of a breeder that proposes denominations c</w:t>
      </w:r>
      <w:r w:rsidR="000C3905" w:rsidRPr="000C3905">
        <w:rPr>
          <w:lang w:eastAsia="ja-JP"/>
        </w:rPr>
        <w:t>onsisting of names of mountains;</w:t>
      </w:r>
    </w:p>
    <w:p w:rsidR="00123F5A" w:rsidRPr="000C3905" w:rsidRDefault="00123F5A" w:rsidP="00D368C0">
      <w:pPr>
        <w:pStyle w:val="ListParagraph"/>
        <w:autoSpaceDE w:val="0"/>
        <w:autoSpaceDN w:val="0"/>
        <w:adjustRightInd w:val="0"/>
        <w:ind w:left="0"/>
        <w:contextualSpacing w:val="0"/>
        <w:rPr>
          <w:lang w:eastAsia="ja-JP"/>
        </w:rPr>
      </w:pPr>
    </w:p>
    <w:p w:rsidR="00D368C0" w:rsidRPr="000C3905" w:rsidRDefault="00D368C0" w:rsidP="00763A36">
      <w:pPr>
        <w:pStyle w:val="ListParagraph"/>
        <w:autoSpaceDE w:val="0"/>
        <w:autoSpaceDN w:val="0"/>
        <w:adjustRightInd w:val="0"/>
        <w:spacing w:after="240"/>
        <w:ind w:left="0"/>
        <w:contextualSpacing w:val="0"/>
        <w:rPr>
          <w:lang w:eastAsia="ja-JP"/>
        </w:rPr>
      </w:pPr>
      <w:r w:rsidRPr="000C3905">
        <w:rPr>
          <w:lang w:eastAsia="ja-JP"/>
        </w:rPr>
        <w:tab/>
        <w:t>(h)</w:t>
      </w:r>
      <w:r w:rsidRPr="000C3905">
        <w:rPr>
          <w:lang w:eastAsia="ja-JP"/>
        </w:rPr>
        <w:tab/>
      </w:r>
      <w:r w:rsidRPr="000C3905">
        <w:t>Section 2.3.2 “Value of the variety”</w:t>
      </w:r>
      <w:r w:rsidR="0070496E" w:rsidRPr="000C3905">
        <w:rPr>
          <w:lang w:eastAsia="ja-JP"/>
        </w:rPr>
        <w:t>, to consider</w:t>
      </w:r>
      <w:r w:rsidRPr="000C3905">
        <w:rPr>
          <w:lang w:eastAsia="ja-JP"/>
        </w:rPr>
        <w:t xml:space="preserve"> examples of acceptable and unacceptable uses of superlatives and comparatives; and</w:t>
      </w:r>
    </w:p>
    <w:p w:rsidR="00421120" w:rsidRPr="000C3905" w:rsidRDefault="00421120" w:rsidP="00421120">
      <w:pPr>
        <w:pStyle w:val="ListParagraph"/>
        <w:autoSpaceDE w:val="0"/>
        <w:autoSpaceDN w:val="0"/>
        <w:adjustRightInd w:val="0"/>
        <w:ind w:left="0" w:firstLine="567"/>
        <w:contextualSpacing w:val="0"/>
        <w:rPr>
          <w:lang w:eastAsia="ja-JP"/>
        </w:rPr>
      </w:pPr>
      <w:r w:rsidRPr="000C3905">
        <w:rPr>
          <w:lang w:eastAsia="ja-JP"/>
        </w:rPr>
        <w:t>(i)</w:t>
      </w:r>
      <w:r w:rsidRPr="000C3905">
        <w:rPr>
          <w:lang w:eastAsia="ja-JP"/>
        </w:rPr>
        <w:tab/>
        <w:t>Section 2.3.3 “Identity of the variety”</w:t>
      </w:r>
      <w:r w:rsidR="0070496E" w:rsidRPr="000C3905">
        <w:rPr>
          <w:lang w:eastAsia="ja-JP"/>
        </w:rPr>
        <w:t>, to consider</w:t>
      </w:r>
      <w:r w:rsidRPr="000C3905">
        <w:rPr>
          <w:lang w:eastAsia="ja-JP"/>
        </w:rPr>
        <w:t xml:space="preserve"> </w:t>
      </w:r>
      <w:r w:rsidR="00293D67" w:rsidRPr="000C3905">
        <w:rPr>
          <w:lang w:eastAsia="ja-JP"/>
        </w:rPr>
        <w:t>e</w:t>
      </w:r>
      <w:r w:rsidR="00E363DB">
        <w:rPr>
          <w:lang w:eastAsia="ja-JP"/>
        </w:rPr>
        <w:t>xception to Section 2.3.3 (a) “[a]</w:t>
      </w:r>
      <w:r w:rsidR="00293D67" w:rsidRPr="000C3905">
        <w:t>s a general recommendation, a difference of only one letter or one number may be considered to be liable to mislead or cause confusion concerning the identity of the variety</w:t>
      </w:r>
      <w:r w:rsidR="00293D67" w:rsidRPr="000C3905">
        <w:rPr>
          <w:lang w:eastAsia="ja-JP"/>
        </w:rPr>
        <w:t>”</w:t>
      </w:r>
      <w:r w:rsidR="0018746B" w:rsidRPr="000C3905">
        <w:rPr>
          <w:lang w:eastAsia="ja-JP"/>
        </w:rPr>
        <w:t>.</w:t>
      </w:r>
    </w:p>
    <w:p w:rsidR="00421120" w:rsidRDefault="00421120" w:rsidP="00D368C0">
      <w:pPr>
        <w:pStyle w:val="ListParagraph"/>
        <w:autoSpaceDE w:val="0"/>
        <w:autoSpaceDN w:val="0"/>
        <w:adjustRightInd w:val="0"/>
        <w:ind w:left="0"/>
        <w:contextualSpacing w:val="0"/>
        <w:rPr>
          <w:lang w:eastAsia="ja-JP"/>
        </w:rPr>
      </w:pPr>
    </w:p>
    <w:p w:rsidR="00881C6A" w:rsidRPr="000C3905" w:rsidRDefault="00881C6A" w:rsidP="00D368C0">
      <w:pPr>
        <w:pStyle w:val="ListParagraph"/>
        <w:autoSpaceDE w:val="0"/>
        <w:autoSpaceDN w:val="0"/>
        <w:adjustRightInd w:val="0"/>
        <w:ind w:left="0"/>
        <w:contextualSpacing w:val="0"/>
        <w:rPr>
          <w:lang w:eastAsia="ja-JP"/>
        </w:rPr>
      </w:pPr>
    </w:p>
    <w:p w:rsidR="000C3905" w:rsidRPr="000C3905" w:rsidRDefault="000C3905" w:rsidP="00D368C0">
      <w:pPr>
        <w:pStyle w:val="ListParagraph"/>
        <w:autoSpaceDE w:val="0"/>
        <w:autoSpaceDN w:val="0"/>
        <w:adjustRightInd w:val="0"/>
        <w:ind w:left="0"/>
        <w:contextualSpacing w:val="0"/>
        <w:rPr>
          <w:lang w:eastAsia="ja-JP"/>
        </w:rPr>
      </w:pPr>
    </w:p>
    <w:p w:rsidR="000C3905" w:rsidRPr="000C3905" w:rsidRDefault="000C3905" w:rsidP="00D368C0">
      <w:pPr>
        <w:pStyle w:val="ListParagraph"/>
        <w:autoSpaceDE w:val="0"/>
        <w:autoSpaceDN w:val="0"/>
        <w:adjustRightInd w:val="0"/>
        <w:ind w:left="0"/>
        <w:contextualSpacing w:val="0"/>
        <w:rPr>
          <w:lang w:eastAsia="ja-JP"/>
        </w:rPr>
      </w:pPr>
      <w:r w:rsidRPr="000C3905">
        <w:rPr>
          <w:lang w:eastAsia="ja-JP"/>
        </w:rPr>
        <w:t>MATTERS FOR CONSIDERATION BY THE WG-DEN AT ITS THIRD MEETING</w:t>
      </w:r>
    </w:p>
    <w:p w:rsidR="000C3905" w:rsidRPr="000C3905" w:rsidRDefault="000C3905" w:rsidP="00D368C0">
      <w:pPr>
        <w:pStyle w:val="ListParagraph"/>
        <w:autoSpaceDE w:val="0"/>
        <w:autoSpaceDN w:val="0"/>
        <w:adjustRightInd w:val="0"/>
        <w:ind w:left="0"/>
        <w:contextualSpacing w:val="0"/>
        <w:rPr>
          <w:lang w:eastAsia="ja-JP"/>
        </w:rPr>
      </w:pPr>
    </w:p>
    <w:p w:rsidR="000C3905" w:rsidRPr="000C3905" w:rsidRDefault="000C3905" w:rsidP="00D368C0">
      <w:pPr>
        <w:pStyle w:val="ListParagraph"/>
        <w:autoSpaceDE w:val="0"/>
        <w:autoSpaceDN w:val="0"/>
        <w:adjustRightInd w:val="0"/>
        <w:ind w:left="0"/>
        <w:contextualSpacing w:val="0"/>
        <w:rPr>
          <w:lang w:eastAsia="ja-JP"/>
        </w:rPr>
      </w:pPr>
      <w:r w:rsidRPr="000C3905">
        <w:rPr>
          <w:lang w:eastAsia="ja-JP"/>
        </w:rPr>
        <w:fldChar w:fldCharType="begin"/>
      </w:r>
      <w:r w:rsidRPr="000C3905">
        <w:rPr>
          <w:lang w:eastAsia="ja-JP"/>
        </w:rPr>
        <w:instrText xml:space="preserve"> AUTONUM  </w:instrText>
      </w:r>
      <w:r w:rsidRPr="000C3905">
        <w:rPr>
          <w:lang w:eastAsia="ja-JP"/>
        </w:rPr>
        <w:fldChar w:fldCharType="end"/>
      </w:r>
      <w:r w:rsidRPr="000C3905">
        <w:rPr>
          <w:lang w:eastAsia="ja-JP"/>
        </w:rPr>
        <w:tab/>
        <w:t xml:space="preserve">In order to facilitate the work of the WG-DEN, it is proposed to consider </w:t>
      </w:r>
      <w:r>
        <w:rPr>
          <w:lang w:eastAsia="ja-JP"/>
        </w:rPr>
        <w:t>document</w:t>
      </w:r>
      <w:r w:rsidR="00017D7E">
        <w:rPr>
          <w:lang w:eastAsia="ja-JP"/>
        </w:rPr>
        <w:t> </w:t>
      </w:r>
      <w:r w:rsidRPr="000C3905">
        <w:rPr>
          <w:lang w:eastAsia="ja-JP"/>
        </w:rPr>
        <w:t>UPOV/INF/12/</w:t>
      </w:r>
      <w:r>
        <w:rPr>
          <w:lang w:eastAsia="ja-JP"/>
        </w:rPr>
        <w:t>6 Draft 3, which</w:t>
      </w:r>
      <w:r w:rsidRPr="000C3905">
        <w:rPr>
          <w:lang w:eastAsia="ja-JP"/>
        </w:rPr>
        <w:t xml:space="preserve"> incorporates the comments of the WG-DEN at its second meeting, up to Section 2.3.3 (b).</w:t>
      </w:r>
    </w:p>
    <w:p w:rsidR="000C3905" w:rsidRPr="000C3905" w:rsidRDefault="000C3905" w:rsidP="00D368C0">
      <w:pPr>
        <w:pStyle w:val="ListParagraph"/>
        <w:autoSpaceDE w:val="0"/>
        <w:autoSpaceDN w:val="0"/>
        <w:adjustRightInd w:val="0"/>
        <w:ind w:left="0"/>
        <w:contextualSpacing w:val="0"/>
        <w:rPr>
          <w:lang w:eastAsia="ja-JP"/>
        </w:rPr>
      </w:pPr>
    </w:p>
    <w:p w:rsidR="009C7DA2" w:rsidRPr="000C3905" w:rsidRDefault="009C7DA2" w:rsidP="009C7DA2">
      <w:pPr>
        <w:pStyle w:val="DecisionParagraphs"/>
        <w:keepLines/>
        <w:rPr>
          <w:iCs/>
          <w:spacing w:val="-4"/>
        </w:rPr>
      </w:pPr>
      <w:r w:rsidRPr="000C3905">
        <w:fldChar w:fldCharType="begin"/>
      </w:r>
      <w:r w:rsidRPr="000C3905">
        <w:instrText xml:space="preserve"> AUTONUM  </w:instrText>
      </w:r>
      <w:r w:rsidRPr="000C3905">
        <w:fldChar w:fldCharType="end"/>
      </w:r>
      <w:r w:rsidRPr="000C3905">
        <w:tab/>
      </w:r>
      <w:r w:rsidRPr="000C3905">
        <w:rPr>
          <w:iCs/>
          <w:spacing w:val="-4"/>
        </w:rPr>
        <w:t xml:space="preserve">The WG-DEN is invited to: </w:t>
      </w:r>
    </w:p>
    <w:p w:rsidR="009C7DA2" w:rsidRPr="000C3905" w:rsidRDefault="009C7DA2" w:rsidP="009C7DA2">
      <w:pPr>
        <w:pStyle w:val="DecisionParagraphs"/>
        <w:keepLines/>
        <w:rPr>
          <w:iCs/>
          <w:spacing w:val="-4"/>
          <w:lang w:eastAsia="ja-JP"/>
        </w:rPr>
      </w:pPr>
    </w:p>
    <w:p w:rsidR="009C7DA2" w:rsidRPr="000C3905" w:rsidRDefault="009C7DA2" w:rsidP="009C7DA2">
      <w:pPr>
        <w:pStyle w:val="DecisionParagraphs"/>
        <w:keepLines/>
        <w:tabs>
          <w:tab w:val="left" w:pos="5940"/>
        </w:tabs>
        <w:rPr>
          <w:iCs/>
          <w:spacing w:val="-4"/>
          <w:lang w:eastAsia="ja-JP"/>
        </w:rPr>
      </w:pPr>
      <w:r w:rsidRPr="000C3905">
        <w:rPr>
          <w:iCs/>
          <w:spacing w:val="-4"/>
          <w:lang w:eastAsia="ja-JP"/>
        </w:rPr>
        <w:tab/>
        <w:t>(a)</w:t>
      </w:r>
      <w:r w:rsidRPr="000C3905">
        <w:rPr>
          <w:iCs/>
          <w:spacing w:val="-4"/>
          <w:lang w:eastAsia="ja-JP"/>
        </w:rPr>
        <w:tab/>
        <w:t>note the matters agreed by the WG-DEN</w:t>
      </w:r>
      <w:r w:rsidR="00220BA4" w:rsidRPr="000C3905">
        <w:rPr>
          <w:iCs/>
          <w:spacing w:val="-4"/>
          <w:lang w:eastAsia="ja-JP"/>
        </w:rPr>
        <w:t xml:space="preserve"> at its second meeting,</w:t>
      </w:r>
      <w:r w:rsidRPr="000C3905">
        <w:rPr>
          <w:iCs/>
          <w:spacing w:val="-4"/>
          <w:lang w:eastAsia="ja-JP"/>
        </w:rPr>
        <w:t xml:space="preserve"> as reported in paragraph 6 of this document;</w:t>
      </w:r>
      <w:r w:rsidR="006B5F11" w:rsidRPr="000C3905">
        <w:rPr>
          <w:iCs/>
          <w:spacing w:val="-4"/>
          <w:lang w:eastAsia="ja-JP"/>
        </w:rPr>
        <w:t xml:space="preserve"> and</w:t>
      </w:r>
    </w:p>
    <w:p w:rsidR="009C7DA2" w:rsidRPr="000C3905" w:rsidRDefault="009C7DA2" w:rsidP="009C7DA2">
      <w:pPr>
        <w:pStyle w:val="DecisionParagraphs"/>
        <w:keepLines/>
        <w:tabs>
          <w:tab w:val="left" w:pos="5940"/>
        </w:tabs>
        <w:rPr>
          <w:iCs/>
          <w:spacing w:val="-4"/>
          <w:lang w:eastAsia="ja-JP"/>
        </w:rPr>
      </w:pPr>
    </w:p>
    <w:p w:rsidR="009C7DA2" w:rsidRPr="000C3905" w:rsidRDefault="006B5F11" w:rsidP="009C7DA2">
      <w:pPr>
        <w:pStyle w:val="DecisionParagraphs"/>
        <w:keepLines/>
        <w:tabs>
          <w:tab w:val="left" w:pos="5940"/>
        </w:tabs>
        <w:rPr>
          <w:iCs/>
          <w:spacing w:val="-4"/>
          <w:lang w:eastAsia="ja-JP"/>
        </w:rPr>
      </w:pPr>
      <w:r w:rsidRPr="000C3905">
        <w:rPr>
          <w:iCs/>
          <w:spacing w:val="-4"/>
          <w:lang w:eastAsia="ja-JP"/>
        </w:rPr>
        <w:tab/>
        <w:t>(b)</w:t>
      </w:r>
      <w:r w:rsidRPr="000C3905">
        <w:rPr>
          <w:iCs/>
          <w:spacing w:val="-4"/>
          <w:lang w:eastAsia="ja-JP"/>
        </w:rPr>
        <w:tab/>
        <w:t>consider</w:t>
      </w:r>
      <w:r w:rsidR="009C7DA2" w:rsidRPr="000C3905">
        <w:rPr>
          <w:iCs/>
          <w:spacing w:val="-4"/>
          <w:lang w:eastAsia="ja-JP"/>
        </w:rPr>
        <w:t xml:space="preserve"> </w:t>
      </w:r>
      <w:r w:rsidR="00881C6A">
        <w:rPr>
          <w:iCs/>
          <w:spacing w:val="-4"/>
          <w:lang w:eastAsia="ja-JP"/>
        </w:rPr>
        <w:t xml:space="preserve">document UPOV/INF/12/6 Draft 3, as set out in paragraph 8 of this </w:t>
      </w:r>
      <w:r w:rsidRPr="000C3905">
        <w:rPr>
          <w:iCs/>
          <w:spacing w:val="-4"/>
          <w:lang w:eastAsia="ja-JP"/>
        </w:rPr>
        <w:t>document.</w:t>
      </w:r>
    </w:p>
    <w:p w:rsidR="009C7DA2" w:rsidRPr="000C3905" w:rsidRDefault="009C7DA2" w:rsidP="009C7DA2">
      <w:pPr>
        <w:pStyle w:val="DecisionParagraphs"/>
        <w:keepLines/>
        <w:tabs>
          <w:tab w:val="left" w:pos="5940"/>
        </w:tabs>
        <w:rPr>
          <w:iCs/>
          <w:spacing w:val="-4"/>
          <w:lang w:eastAsia="ja-JP"/>
        </w:rPr>
      </w:pPr>
    </w:p>
    <w:p w:rsidR="006B5F11" w:rsidRPr="000C3905" w:rsidRDefault="006B5F11" w:rsidP="009C7DA2">
      <w:pPr>
        <w:pStyle w:val="DecisionParagraphs"/>
        <w:tabs>
          <w:tab w:val="left" w:pos="5490"/>
          <w:tab w:val="left" w:pos="5940"/>
        </w:tabs>
        <w:ind w:left="0"/>
        <w:jc w:val="left"/>
        <w:rPr>
          <w:rFonts w:cs="Arial"/>
          <w:i w:val="0"/>
          <w:lang w:eastAsia="ja-JP"/>
        </w:rPr>
      </w:pPr>
    </w:p>
    <w:p w:rsidR="00763A36" w:rsidRPr="000C3905" w:rsidRDefault="00763A36" w:rsidP="009C7DA2">
      <w:pPr>
        <w:pStyle w:val="DecisionParagraphs"/>
        <w:tabs>
          <w:tab w:val="left" w:pos="5490"/>
          <w:tab w:val="left" w:pos="5940"/>
        </w:tabs>
        <w:ind w:left="0"/>
        <w:jc w:val="left"/>
        <w:rPr>
          <w:rFonts w:cs="Arial"/>
          <w:i w:val="0"/>
          <w:lang w:eastAsia="ja-JP"/>
        </w:rPr>
      </w:pPr>
    </w:p>
    <w:p w:rsidR="009C7DA2" w:rsidRPr="000C3905" w:rsidRDefault="009C7DA2" w:rsidP="009C7DA2">
      <w:pPr>
        <w:pStyle w:val="DecisionParagraphs"/>
        <w:tabs>
          <w:tab w:val="left" w:pos="5490"/>
          <w:tab w:val="left" w:pos="5940"/>
        </w:tabs>
        <w:ind w:left="0"/>
        <w:jc w:val="right"/>
        <w:rPr>
          <w:snapToGrid w:val="0"/>
        </w:rPr>
      </w:pPr>
      <w:r w:rsidRPr="000C3905">
        <w:rPr>
          <w:rFonts w:cs="Arial"/>
          <w:i w:val="0"/>
          <w:lang w:eastAsia="ja-JP"/>
        </w:rPr>
        <w:t>[End of document]</w:t>
      </w:r>
    </w:p>
    <w:p w:rsidR="009B440E" w:rsidRPr="000C3905" w:rsidRDefault="009B440E" w:rsidP="00050E16">
      <w:pPr>
        <w:jc w:val="right"/>
      </w:pPr>
    </w:p>
    <w:p w:rsidR="00903264" w:rsidRPr="000C3905" w:rsidRDefault="00903264">
      <w:pPr>
        <w:jc w:val="left"/>
      </w:pPr>
    </w:p>
    <w:p w:rsidR="00666DA5" w:rsidRPr="000C3905" w:rsidRDefault="00666DA5">
      <w:pPr>
        <w:jc w:val="left"/>
      </w:pPr>
    </w:p>
    <w:p w:rsidR="00050E16" w:rsidRPr="000C3905" w:rsidRDefault="00050E16" w:rsidP="009B440E">
      <w:pPr>
        <w:jc w:val="left"/>
      </w:pPr>
    </w:p>
    <w:sectPr w:rsidR="00050E16" w:rsidRPr="000C3905"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35F" w:rsidRDefault="00BA735F" w:rsidP="006655D3">
      <w:r>
        <w:separator/>
      </w:r>
    </w:p>
    <w:p w:rsidR="00BA735F" w:rsidRDefault="00BA735F" w:rsidP="006655D3"/>
    <w:p w:rsidR="00BA735F" w:rsidRDefault="00BA735F" w:rsidP="006655D3"/>
  </w:endnote>
  <w:endnote w:type="continuationSeparator" w:id="0">
    <w:p w:rsidR="00BA735F" w:rsidRDefault="00BA735F" w:rsidP="006655D3">
      <w:r>
        <w:separator/>
      </w:r>
    </w:p>
    <w:p w:rsidR="00BA735F" w:rsidRPr="00294751" w:rsidRDefault="00BA735F">
      <w:pPr>
        <w:pStyle w:val="Footer"/>
        <w:spacing w:after="60"/>
        <w:rPr>
          <w:sz w:val="18"/>
          <w:lang w:val="fr-FR"/>
        </w:rPr>
      </w:pPr>
      <w:r w:rsidRPr="00294751">
        <w:rPr>
          <w:sz w:val="18"/>
          <w:lang w:val="fr-FR"/>
        </w:rPr>
        <w:t>[Suite de la note de la page précédente]</w:t>
      </w:r>
    </w:p>
    <w:p w:rsidR="00BA735F" w:rsidRPr="00294751" w:rsidRDefault="00BA735F" w:rsidP="006655D3">
      <w:pPr>
        <w:rPr>
          <w:lang w:val="fr-FR"/>
        </w:rPr>
      </w:pPr>
    </w:p>
    <w:p w:rsidR="00BA735F" w:rsidRPr="00294751" w:rsidRDefault="00BA735F" w:rsidP="006655D3">
      <w:pPr>
        <w:rPr>
          <w:lang w:val="fr-FR"/>
        </w:rPr>
      </w:pPr>
    </w:p>
  </w:endnote>
  <w:endnote w:type="continuationNotice" w:id="1">
    <w:p w:rsidR="00BA735F" w:rsidRPr="00294751" w:rsidRDefault="00BA735F" w:rsidP="006655D3">
      <w:pPr>
        <w:rPr>
          <w:lang w:val="fr-FR"/>
        </w:rPr>
      </w:pPr>
      <w:r w:rsidRPr="00294751">
        <w:rPr>
          <w:lang w:val="fr-FR"/>
        </w:rPr>
        <w:t>[Suite de la note page suivante]</w:t>
      </w:r>
    </w:p>
    <w:p w:rsidR="00BA735F" w:rsidRPr="00294751" w:rsidRDefault="00BA735F" w:rsidP="006655D3">
      <w:pPr>
        <w:rPr>
          <w:lang w:val="fr-FR"/>
        </w:rPr>
      </w:pPr>
    </w:p>
    <w:p w:rsidR="00BA735F" w:rsidRPr="00294751" w:rsidRDefault="00BA735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35F" w:rsidRDefault="00BA735F" w:rsidP="006655D3">
      <w:r>
        <w:separator/>
      </w:r>
    </w:p>
  </w:footnote>
  <w:footnote w:type="continuationSeparator" w:id="0">
    <w:p w:rsidR="00BA735F" w:rsidRDefault="00BA735F" w:rsidP="006655D3">
      <w:r>
        <w:separator/>
      </w:r>
    </w:p>
  </w:footnote>
  <w:footnote w:type="continuationNotice" w:id="1">
    <w:p w:rsidR="00BA735F" w:rsidRPr="00AB530F" w:rsidRDefault="00BA735F"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6DA5" w:rsidP="00EB048E">
    <w:pPr>
      <w:pStyle w:val="Header"/>
      <w:rPr>
        <w:rStyle w:val="PageNumber"/>
        <w:lang w:val="en-US" w:eastAsia="ja-JP"/>
      </w:rPr>
    </w:pPr>
    <w:r>
      <w:rPr>
        <w:rStyle w:val="PageNumber"/>
        <w:lang w:val="en-US"/>
      </w:rPr>
      <w:t>UPOV/WG-DEN/3/</w:t>
    </w:r>
    <w:r w:rsidR="007052EE">
      <w:rPr>
        <w:rStyle w:val="PageNumber"/>
        <w:rFonts w:hint="eastAsia"/>
        <w:lang w:val="en-US" w:eastAsia="ja-JP"/>
      </w:rPr>
      <w:t>2</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513E1">
      <w:rPr>
        <w:rStyle w:val="PageNumber"/>
        <w:noProof/>
        <w:lang w:val="en-US"/>
      </w:rPr>
      <w:t>3</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76EA"/>
    <w:multiLevelType w:val="hybridMultilevel"/>
    <w:tmpl w:val="8E68AF96"/>
    <w:lvl w:ilvl="0" w:tplc="C4F44AD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CF71DB"/>
    <w:multiLevelType w:val="hybridMultilevel"/>
    <w:tmpl w:val="91A27812"/>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F1075D"/>
    <w:multiLevelType w:val="hybridMultilevel"/>
    <w:tmpl w:val="D60E6F0A"/>
    <w:lvl w:ilvl="0" w:tplc="BFA0E07E">
      <w:start w:val="1"/>
      <w:numFmt w:val="lowerRoman"/>
      <w:lvlText w:val="(%1)"/>
      <w:lvlJc w:val="left"/>
      <w:pPr>
        <w:ind w:left="2259" w:hanging="112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76363E61"/>
    <w:multiLevelType w:val="hybridMultilevel"/>
    <w:tmpl w:val="BD5641A4"/>
    <w:lvl w:ilvl="0" w:tplc="85D4BC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0FE"/>
    <w:rsid w:val="00010CF3"/>
    <w:rsid w:val="00011941"/>
    <w:rsid w:val="00011E27"/>
    <w:rsid w:val="000148BC"/>
    <w:rsid w:val="00017D7E"/>
    <w:rsid w:val="00021B46"/>
    <w:rsid w:val="00024AB8"/>
    <w:rsid w:val="00030854"/>
    <w:rsid w:val="00036028"/>
    <w:rsid w:val="00044642"/>
    <w:rsid w:val="000446B9"/>
    <w:rsid w:val="00047E21"/>
    <w:rsid w:val="00050E16"/>
    <w:rsid w:val="00085505"/>
    <w:rsid w:val="000C3905"/>
    <w:rsid w:val="000C4E25"/>
    <w:rsid w:val="000C7021"/>
    <w:rsid w:val="000D6BBC"/>
    <w:rsid w:val="000D7780"/>
    <w:rsid w:val="000E636A"/>
    <w:rsid w:val="000F2F11"/>
    <w:rsid w:val="00105929"/>
    <w:rsid w:val="00110C36"/>
    <w:rsid w:val="001131D5"/>
    <w:rsid w:val="00123F5A"/>
    <w:rsid w:val="00141DB8"/>
    <w:rsid w:val="00155AA5"/>
    <w:rsid w:val="00172084"/>
    <w:rsid w:val="0017474A"/>
    <w:rsid w:val="001758C6"/>
    <w:rsid w:val="00182B99"/>
    <w:rsid w:val="0018746B"/>
    <w:rsid w:val="001C1525"/>
    <w:rsid w:val="001D0108"/>
    <w:rsid w:val="0021332C"/>
    <w:rsid w:val="00213982"/>
    <w:rsid w:val="00220BA4"/>
    <w:rsid w:val="00243B9B"/>
    <w:rsid w:val="0024416D"/>
    <w:rsid w:val="00252EBB"/>
    <w:rsid w:val="002713DD"/>
    <w:rsid w:val="00271911"/>
    <w:rsid w:val="002800A0"/>
    <w:rsid w:val="002801B3"/>
    <w:rsid w:val="00281060"/>
    <w:rsid w:val="00293D67"/>
    <w:rsid w:val="002940E8"/>
    <w:rsid w:val="00294751"/>
    <w:rsid w:val="002A6E50"/>
    <w:rsid w:val="002B4298"/>
    <w:rsid w:val="002C256A"/>
    <w:rsid w:val="002F6090"/>
    <w:rsid w:val="00305A7F"/>
    <w:rsid w:val="003152FE"/>
    <w:rsid w:val="00327436"/>
    <w:rsid w:val="00344BD6"/>
    <w:rsid w:val="0035528D"/>
    <w:rsid w:val="00361821"/>
    <w:rsid w:val="00361E9E"/>
    <w:rsid w:val="003C7FBE"/>
    <w:rsid w:val="003D227C"/>
    <w:rsid w:val="003D2B4D"/>
    <w:rsid w:val="004047A3"/>
    <w:rsid w:val="00421120"/>
    <w:rsid w:val="00422032"/>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6BE4"/>
    <w:rsid w:val="005A400A"/>
    <w:rsid w:val="005E101A"/>
    <w:rsid w:val="005F7B92"/>
    <w:rsid w:val="00612379"/>
    <w:rsid w:val="006153B6"/>
    <w:rsid w:val="0061555F"/>
    <w:rsid w:val="00636CA6"/>
    <w:rsid w:val="00641200"/>
    <w:rsid w:val="00645CA8"/>
    <w:rsid w:val="006476BC"/>
    <w:rsid w:val="006655D3"/>
    <w:rsid w:val="00666DA5"/>
    <w:rsid w:val="00667404"/>
    <w:rsid w:val="00687EB4"/>
    <w:rsid w:val="00695C56"/>
    <w:rsid w:val="006A5CDE"/>
    <w:rsid w:val="006A644A"/>
    <w:rsid w:val="006B17D2"/>
    <w:rsid w:val="006B5581"/>
    <w:rsid w:val="006B5F11"/>
    <w:rsid w:val="006C224E"/>
    <w:rsid w:val="006D780A"/>
    <w:rsid w:val="0070496E"/>
    <w:rsid w:val="007052EE"/>
    <w:rsid w:val="0071271E"/>
    <w:rsid w:val="00732DEC"/>
    <w:rsid w:val="00735BD5"/>
    <w:rsid w:val="00751613"/>
    <w:rsid w:val="007556F6"/>
    <w:rsid w:val="00760EEF"/>
    <w:rsid w:val="00763A36"/>
    <w:rsid w:val="007750FE"/>
    <w:rsid w:val="00777EE5"/>
    <w:rsid w:val="00784836"/>
    <w:rsid w:val="007873B4"/>
    <w:rsid w:val="0079023E"/>
    <w:rsid w:val="007A2854"/>
    <w:rsid w:val="007A3A0E"/>
    <w:rsid w:val="007C1D92"/>
    <w:rsid w:val="007C4CB9"/>
    <w:rsid w:val="007D0B9D"/>
    <w:rsid w:val="007D19B0"/>
    <w:rsid w:val="007F498F"/>
    <w:rsid w:val="0080679D"/>
    <w:rsid w:val="008108B0"/>
    <w:rsid w:val="00811B20"/>
    <w:rsid w:val="008211B5"/>
    <w:rsid w:val="0082296E"/>
    <w:rsid w:val="00824099"/>
    <w:rsid w:val="00846D7C"/>
    <w:rsid w:val="00867AC1"/>
    <w:rsid w:val="00881C6A"/>
    <w:rsid w:val="00890DF8"/>
    <w:rsid w:val="008A743F"/>
    <w:rsid w:val="008C0970"/>
    <w:rsid w:val="008C3987"/>
    <w:rsid w:val="008C754C"/>
    <w:rsid w:val="008D0BC5"/>
    <w:rsid w:val="008D2CF7"/>
    <w:rsid w:val="008E20EE"/>
    <w:rsid w:val="00900C26"/>
    <w:rsid w:val="0090197F"/>
    <w:rsid w:val="00903264"/>
    <w:rsid w:val="00906DDC"/>
    <w:rsid w:val="00934E09"/>
    <w:rsid w:val="00936253"/>
    <w:rsid w:val="00940D46"/>
    <w:rsid w:val="00952DD4"/>
    <w:rsid w:val="00965AE7"/>
    <w:rsid w:val="00970FED"/>
    <w:rsid w:val="00992D82"/>
    <w:rsid w:val="00997029"/>
    <w:rsid w:val="009A7339"/>
    <w:rsid w:val="009B440E"/>
    <w:rsid w:val="009C3B71"/>
    <w:rsid w:val="009C7DA2"/>
    <w:rsid w:val="009D690D"/>
    <w:rsid w:val="009D7A1D"/>
    <w:rsid w:val="009E65B6"/>
    <w:rsid w:val="009F77CF"/>
    <w:rsid w:val="00A1323D"/>
    <w:rsid w:val="00A24C10"/>
    <w:rsid w:val="00A33150"/>
    <w:rsid w:val="00A42AC3"/>
    <w:rsid w:val="00A430CF"/>
    <w:rsid w:val="00A54309"/>
    <w:rsid w:val="00A81778"/>
    <w:rsid w:val="00AB2B93"/>
    <w:rsid w:val="00AB530F"/>
    <w:rsid w:val="00AB7E5B"/>
    <w:rsid w:val="00AC2883"/>
    <w:rsid w:val="00AE0EF1"/>
    <w:rsid w:val="00AE2937"/>
    <w:rsid w:val="00B03359"/>
    <w:rsid w:val="00B07301"/>
    <w:rsid w:val="00B11F3E"/>
    <w:rsid w:val="00B224DE"/>
    <w:rsid w:val="00B324D4"/>
    <w:rsid w:val="00B46575"/>
    <w:rsid w:val="00B513E1"/>
    <w:rsid w:val="00B61777"/>
    <w:rsid w:val="00B67675"/>
    <w:rsid w:val="00B84BBD"/>
    <w:rsid w:val="00B90677"/>
    <w:rsid w:val="00BA43FB"/>
    <w:rsid w:val="00BA735F"/>
    <w:rsid w:val="00BC127D"/>
    <w:rsid w:val="00BC1FE6"/>
    <w:rsid w:val="00BD1AEE"/>
    <w:rsid w:val="00C061B6"/>
    <w:rsid w:val="00C23422"/>
    <w:rsid w:val="00C2446C"/>
    <w:rsid w:val="00C36AE5"/>
    <w:rsid w:val="00C41F17"/>
    <w:rsid w:val="00C527FA"/>
    <w:rsid w:val="00C5280D"/>
    <w:rsid w:val="00C53EB3"/>
    <w:rsid w:val="00C5791C"/>
    <w:rsid w:val="00C66290"/>
    <w:rsid w:val="00C662AE"/>
    <w:rsid w:val="00C72B7A"/>
    <w:rsid w:val="00C90C8D"/>
    <w:rsid w:val="00C973F2"/>
    <w:rsid w:val="00CA304C"/>
    <w:rsid w:val="00CA774A"/>
    <w:rsid w:val="00CC11B0"/>
    <w:rsid w:val="00CC2841"/>
    <w:rsid w:val="00CF1330"/>
    <w:rsid w:val="00CF7E36"/>
    <w:rsid w:val="00D024E0"/>
    <w:rsid w:val="00D368C0"/>
    <w:rsid w:val="00D3708D"/>
    <w:rsid w:val="00D40426"/>
    <w:rsid w:val="00D57C96"/>
    <w:rsid w:val="00D57D18"/>
    <w:rsid w:val="00D73C1A"/>
    <w:rsid w:val="00D91203"/>
    <w:rsid w:val="00D95174"/>
    <w:rsid w:val="00DA4973"/>
    <w:rsid w:val="00DA6F36"/>
    <w:rsid w:val="00DB36EA"/>
    <w:rsid w:val="00DB4783"/>
    <w:rsid w:val="00DB596E"/>
    <w:rsid w:val="00DB7773"/>
    <w:rsid w:val="00DC00EA"/>
    <w:rsid w:val="00DC3802"/>
    <w:rsid w:val="00E07D87"/>
    <w:rsid w:val="00E32F7E"/>
    <w:rsid w:val="00E363DB"/>
    <w:rsid w:val="00E5267B"/>
    <w:rsid w:val="00E63C0E"/>
    <w:rsid w:val="00E677E0"/>
    <w:rsid w:val="00E72D49"/>
    <w:rsid w:val="00E7593C"/>
    <w:rsid w:val="00E7678A"/>
    <w:rsid w:val="00E9293F"/>
    <w:rsid w:val="00E935F1"/>
    <w:rsid w:val="00E94A81"/>
    <w:rsid w:val="00EA1FFB"/>
    <w:rsid w:val="00EB048E"/>
    <w:rsid w:val="00EB4E9C"/>
    <w:rsid w:val="00EE34DF"/>
    <w:rsid w:val="00EF2F89"/>
    <w:rsid w:val="00F03E98"/>
    <w:rsid w:val="00F1237A"/>
    <w:rsid w:val="00F22CBD"/>
    <w:rsid w:val="00F272F1"/>
    <w:rsid w:val="00F43B1F"/>
    <w:rsid w:val="00F45372"/>
    <w:rsid w:val="00F45B5D"/>
    <w:rsid w:val="00F560F7"/>
    <w:rsid w:val="00F6334D"/>
    <w:rsid w:val="00F63599"/>
    <w:rsid w:val="00F80211"/>
    <w:rsid w:val="00F9378E"/>
    <w:rsid w:val="00FA49AB"/>
    <w:rsid w:val="00FB0E99"/>
    <w:rsid w:val="00FB6FC0"/>
    <w:rsid w:val="00FC1B9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F9378E"/>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F9378E"/>
    <w:pPr>
      <w:tabs>
        <w:tab w:val="right" w:leader="dot" w:pos="9639"/>
      </w:tabs>
      <w:spacing w:after="60"/>
      <w:ind w:left="567" w:right="1418"/>
      <w:contextualSpacing/>
    </w:pPr>
    <w:rPr>
      <w:rFonts w:ascii="Arial" w:eastAsia="Times New Roman"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F9378E"/>
    <w:pPr>
      <w:tabs>
        <w:tab w:val="right" w:leader="dot" w:pos="9639"/>
      </w:tabs>
      <w:spacing w:before="120" w:after="60"/>
      <w:ind w:right="1418"/>
      <w:jc w:val="left"/>
    </w:pPr>
    <w:rPr>
      <w:rFonts w:eastAsia="Times New Roman"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erChar">
    <w:name w:val="Footer Char"/>
    <w:aliases w:val="doc_path_name Char"/>
    <w:basedOn w:val="DefaultParagraphFont"/>
    <w:link w:val="Footer"/>
    <w:rsid w:val="00C90C8D"/>
    <w:rPr>
      <w:rFonts w:ascii="Arial" w:hAnsi="Arial"/>
      <w:sz w:val="14"/>
    </w:rPr>
  </w:style>
  <w:style w:type="paragraph" w:styleId="ListParagraph">
    <w:name w:val="List Paragraph"/>
    <w:basedOn w:val="Normal"/>
    <w:uiPriority w:val="34"/>
    <w:qFormat/>
    <w:rsid w:val="009C7DA2"/>
    <w:pPr>
      <w:ind w:left="720"/>
      <w:contextualSpacing/>
    </w:pPr>
  </w:style>
  <w:style w:type="character" w:customStyle="1" w:styleId="Heading2Char">
    <w:name w:val="Heading 2 Char"/>
    <w:basedOn w:val="DefaultParagraphFont"/>
    <w:link w:val="Heading2"/>
    <w:rsid w:val="009C7DA2"/>
    <w:rPr>
      <w:rFonts w:ascii="Arial" w:hAnsi="Arial"/>
      <w:u w:val="single"/>
    </w:rPr>
  </w:style>
  <w:style w:type="paragraph" w:styleId="NoSpacing">
    <w:name w:val="No Spacing"/>
    <w:uiPriority w:val="1"/>
    <w:qFormat/>
    <w:rsid w:val="00D368C0"/>
    <w:pPr>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F9378E"/>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F9378E"/>
    <w:pPr>
      <w:tabs>
        <w:tab w:val="right" w:leader="dot" w:pos="9639"/>
      </w:tabs>
      <w:spacing w:after="60"/>
      <w:ind w:left="567" w:right="1418"/>
      <w:contextualSpacing/>
    </w:pPr>
    <w:rPr>
      <w:rFonts w:ascii="Arial" w:eastAsia="Times New Roman"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F9378E"/>
    <w:pPr>
      <w:tabs>
        <w:tab w:val="right" w:leader="dot" w:pos="9639"/>
      </w:tabs>
      <w:spacing w:before="120" w:after="60"/>
      <w:ind w:right="1418"/>
      <w:jc w:val="left"/>
    </w:pPr>
    <w:rPr>
      <w:rFonts w:eastAsia="Times New Roman"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erChar">
    <w:name w:val="Footer Char"/>
    <w:aliases w:val="doc_path_name Char"/>
    <w:basedOn w:val="DefaultParagraphFont"/>
    <w:link w:val="Footer"/>
    <w:rsid w:val="00C90C8D"/>
    <w:rPr>
      <w:rFonts w:ascii="Arial" w:hAnsi="Arial"/>
      <w:sz w:val="14"/>
    </w:rPr>
  </w:style>
  <w:style w:type="paragraph" w:styleId="ListParagraph">
    <w:name w:val="List Paragraph"/>
    <w:basedOn w:val="Normal"/>
    <w:uiPriority w:val="34"/>
    <w:qFormat/>
    <w:rsid w:val="009C7DA2"/>
    <w:pPr>
      <w:ind w:left="720"/>
      <w:contextualSpacing/>
    </w:pPr>
  </w:style>
  <w:style w:type="character" w:customStyle="1" w:styleId="Heading2Char">
    <w:name w:val="Heading 2 Char"/>
    <w:basedOn w:val="DefaultParagraphFont"/>
    <w:link w:val="Heading2"/>
    <w:rsid w:val="009C7DA2"/>
    <w:rPr>
      <w:rFonts w:ascii="Arial" w:hAnsi="Arial"/>
      <w:u w:val="single"/>
    </w:rPr>
  </w:style>
  <w:style w:type="paragraph" w:styleId="NoSpacing">
    <w:name w:val="No Spacing"/>
    <w:uiPriority w:val="1"/>
    <w:qFormat/>
    <w:rsid w:val="00D368C0"/>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_WG-DEN_Variety_Denomination\WG-DEN_3\template\wg_den_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wg_den_3.dotx</Template>
  <TotalTime>74</TotalTime>
  <Pages>3</Pages>
  <Words>1022</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UPOV/WG-DEN/3/1</vt:lpstr>
    </vt:vector>
  </TitlesOfParts>
  <Company>UPOV</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UPOV/WG-DEN/3/1</dc:title>
  <dc:creator>SANCHEZ-VIZCAINO GOMEZ Rosa Maria</dc:creator>
  <cp:lastModifiedBy>BESSE Ariane</cp:lastModifiedBy>
  <cp:revision>8</cp:revision>
  <cp:lastPrinted>2017-03-21T14:30:00Z</cp:lastPrinted>
  <dcterms:created xsi:type="dcterms:W3CDTF">2017-03-20T09:57:00Z</dcterms:created>
  <dcterms:modified xsi:type="dcterms:W3CDTF">2017-03-21T14:31:00Z</dcterms:modified>
</cp:coreProperties>
</file>