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45F9B" w:rsidRPr="005E5D45" w:rsidTr="00B0636E">
        <w:trPr>
          <w:trHeight w:val="1760"/>
        </w:trPr>
        <w:tc>
          <w:tcPr>
            <w:tcW w:w="4243" w:type="dxa"/>
          </w:tcPr>
          <w:p w:rsidR="00D45F9B" w:rsidRPr="005E5D45" w:rsidRDefault="00B95E8E" w:rsidP="002B7C23">
            <w:pPr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D45F9B" w:rsidRPr="00B14780" w:rsidRDefault="00D45F9B" w:rsidP="006B662B">
            <w:pPr>
              <w:pStyle w:val="LogoUPOV"/>
            </w:pPr>
            <w:r w:rsidRPr="00B14780">
              <w:rPr>
                <w:noProof/>
              </w:rPr>
              <w:drawing>
                <wp:inline distT="0" distB="0" distL="0" distR="0" wp14:anchorId="63EACAFA" wp14:editId="4179CC8C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45F9B" w:rsidRPr="00B14780" w:rsidRDefault="00D45F9B" w:rsidP="006B662B">
            <w:pPr>
              <w:pStyle w:val="Lettrine"/>
            </w:pPr>
            <w:r w:rsidRPr="00B14780">
              <w:t>E</w:t>
            </w:r>
          </w:p>
          <w:p w:rsidR="00D45F9B" w:rsidRPr="00B14780" w:rsidRDefault="00354301" w:rsidP="006B662B">
            <w:pPr>
              <w:pStyle w:val="Docoriginal"/>
            </w:pPr>
            <w:r w:rsidRPr="00B14780">
              <w:rPr>
                <w:lang w:eastAsia="ja-JP"/>
              </w:rPr>
              <w:t xml:space="preserve">UPOV/WG-DEN/2/4 </w:t>
            </w:r>
          </w:p>
          <w:p w:rsidR="00D45F9B" w:rsidRPr="00B14780" w:rsidRDefault="00D45F9B" w:rsidP="006B662B">
            <w:pPr>
              <w:pStyle w:val="Docoriginal"/>
              <w:rPr>
                <w:b w:val="0"/>
                <w:spacing w:val="0"/>
              </w:rPr>
            </w:pPr>
            <w:r w:rsidRPr="00B14780">
              <w:rPr>
                <w:rStyle w:val="StyleDoclangBold"/>
                <w:b/>
                <w:bCs/>
                <w:spacing w:val="0"/>
              </w:rPr>
              <w:t>ORIGINAL:</w:t>
            </w:r>
            <w:r w:rsidRPr="00B14780">
              <w:rPr>
                <w:rStyle w:val="StyleDocoriginalNotBold1"/>
                <w:spacing w:val="0"/>
              </w:rPr>
              <w:t xml:space="preserve">  </w:t>
            </w:r>
            <w:r w:rsidRPr="00B14780">
              <w:rPr>
                <w:b w:val="0"/>
                <w:spacing w:val="0"/>
              </w:rPr>
              <w:t>English</w:t>
            </w:r>
          </w:p>
          <w:p w:rsidR="00D45F9B" w:rsidRPr="005E5D45" w:rsidRDefault="00D45F9B" w:rsidP="0062627D">
            <w:pPr>
              <w:pStyle w:val="Docoriginal"/>
              <w:rPr>
                <w:lang w:eastAsia="ja-JP"/>
              </w:rPr>
            </w:pPr>
            <w:r w:rsidRPr="00B14780">
              <w:rPr>
                <w:spacing w:val="0"/>
              </w:rPr>
              <w:t>DATE:</w:t>
            </w:r>
            <w:r w:rsidR="00031745" w:rsidRPr="00B14780">
              <w:rPr>
                <w:rStyle w:val="StyleDocoriginalNotBold1"/>
                <w:spacing w:val="0"/>
              </w:rPr>
              <w:t xml:space="preserve"> </w:t>
            </w:r>
            <w:r w:rsidR="00CD45DB" w:rsidRPr="00B14780">
              <w:rPr>
                <w:rStyle w:val="StyleDocoriginalNotBold1"/>
                <w:spacing w:val="0"/>
              </w:rPr>
              <w:t xml:space="preserve"> </w:t>
            </w:r>
            <w:r w:rsidR="00683E56" w:rsidRPr="00B14780">
              <w:rPr>
                <w:rStyle w:val="StyleDocoriginalNotBold1"/>
                <w:spacing w:val="0"/>
                <w:lang w:eastAsia="ja-JP"/>
              </w:rPr>
              <w:t xml:space="preserve">April </w:t>
            </w:r>
            <w:r w:rsidR="0062627D" w:rsidRPr="00B14780">
              <w:rPr>
                <w:rStyle w:val="StyleDocoriginalNotBold1"/>
                <w:spacing w:val="0"/>
                <w:lang w:eastAsia="ja-JP"/>
              </w:rPr>
              <w:t>7</w:t>
            </w:r>
            <w:r w:rsidRPr="00B14780">
              <w:rPr>
                <w:rStyle w:val="StyleDocoriginalNotBold1"/>
                <w:spacing w:val="0"/>
              </w:rPr>
              <w:t>, 201</w:t>
            </w:r>
            <w:r w:rsidR="00AC7148" w:rsidRPr="00B14780">
              <w:rPr>
                <w:rStyle w:val="StyleDocoriginalNotBold1"/>
                <w:rFonts w:hint="eastAsia"/>
                <w:spacing w:val="0"/>
                <w:lang w:eastAsia="ja-JP"/>
              </w:rPr>
              <w:t>7</w:t>
            </w:r>
          </w:p>
        </w:tc>
      </w:tr>
      <w:tr w:rsidR="00D45F9B" w:rsidRPr="005E5D45" w:rsidTr="00B0636E">
        <w:tc>
          <w:tcPr>
            <w:tcW w:w="10131" w:type="dxa"/>
            <w:gridSpan w:val="3"/>
          </w:tcPr>
          <w:p w:rsidR="00D45F9B" w:rsidRPr="005E5D45" w:rsidRDefault="00D45F9B" w:rsidP="006B662B">
            <w:pPr>
              <w:pStyle w:val="upove"/>
              <w:rPr>
                <w:sz w:val="28"/>
              </w:rPr>
            </w:pPr>
            <w:r w:rsidRPr="005E5D45">
              <w:rPr>
                <w:snapToGrid w:val="0"/>
              </w:rPr>
              <w:t xml:space="preserve">INTERNATIONAL UNION FOR </w:t>
            </w:r>
            <w:r w:rsidR="00683FF4">
              <w:rPr>
                <w:rFonts w:hint="eastAsia"/>
                <w:snapToGrid w:val="0"/>
                <w:lang w:eastAsia="ja-JP"/>
              </w:rPr>
              <w:t xml:space="preserve"> </w:t>
            </w:r>
            <w:r w:rsidRPr="005E5D45">
              <w:rPr>
                <w:snapToGrid w:val="0"/>
              </w:rPr>
              <w:t xml:space="preserve">THE PROTECTION OF NEW VARIETIES OF PLANTS </w:t>
            </w:r>
          </w:p>
        </w:tc>
      </w:tr>
      <w:tr w:rsidR="00D45F9B" w:rsidRPr="005E5D45" w:rsidTr="00B0636E">
        <w:tc>
          <w:tcPr>
            <w:tcW w:w="10131" w:type="dxa"/>
            <w:gridSpan w:val="3"/>
          </w:tcPr>
          <w:p w:rsidR="00D45F9B" w:rsidRPr="005E5D45" w:rsidRDefault="00D45F9B" w:rsidP="006B662B">
            <w:pPr>
              <w:pStyle w:val="Country"/>
            </w:pPr>
            <w:r w:rsidRPr="005E5D45">
              <w:t>Geneva</w:t>
            </w:r>
          </w:p>
        </w:tc>
      </w:tr>
    </w:tbl>
    <w:p w:rsidR="00D45F9B" w:rsidRPr="005E5D45" w:rsidRDefault="00696C89" w:rsidP="006B662B">
      <w:pPr>
        <w:pStyle w:val="Sessiontc"/>
      </w:pPr>
      <w:r w:rsidRPr="005E5D45">
        <w:rPr>
          <w:lang w:eastAsia="ja-JP"/>
        </w:rPr>
        <w:t xml:space="preserve">Working Group </w:t>
      </w:r>
      <w:r w:rsidR="00BA7792" w:rsidRPr="005E5D45">
        <w:rPr>
          <w:lang w:eastAsia="ja-JP"/>
        </w:rPr>
        <w:t>on variety Denominations</w:t>
      </w:r>
    </w:p>
    <w:p w:rsidR="00D45F9B" w:rsidRPr="005E5D45" w:rsidRDefault="00354301" w:rsidP="006B662B">
      <w:pPr>
        <w:pStyle w:val="Sessiontcplacedate"/>
        <w:rPr>
          <w:lang w:eastAsia="ja-JP"/>
        </w:rPr>
      </w:pPr>
      <w:r w:rsidRPr="005E5D45">
        <w:rPr>
          <w:lang w:eastAsia="ja-JP"/>
        </w:rPr>
        <w:t>Second</w:t>
      </w:r>
      <w:r w:rsidR="00D45F9B" w:rsidRPr="005E5D45">
        <w:t xml:space="preserve"> Meeting</w:t>
      </w:r>
      <w:r w:rsidR="00D45F9B" w:rsidRPr="005E5D45">
        <w:br/>
      </w:r>
      <w:r w:rsidR="00D45F9B" w:rsidRPr="005E5D45">
        <w:rPr>
          <w:rFonts w:cs="Arial"/>
          <w:lang w:eastAsia="ja-JP"/>
        </w:rPr>
        <w:t>Geneva</w:t>
      </w:r>
      <w:r w:rsidR="00D45F9B" w:rsidRPr="005E5D45">
        <w:rPr>
          <w:rFonts w:cs="Arial"/>
        </w:rPr>
        <w:t xml:space="preserve">, </w:t>
      </w:r>
      <w:r w:rsidR="00AD0335" w:rsidRPr="005E5D45">
        <w:rPr>
          <w:rFonts w:cs="Arial"/>
          <w:lang w:eastAsia="ja-JP"/>
        </w:rPr>
        <w:t>October</w:t>
      </w:r>
      <w:r w:rsidR="00AB0F04" w:rsidRPr="005E5D45">
        <w:rPr>
          <w:rFonts w:cs="Arial"/>
          <w:lang w:eastAsia="ja-JP"/>
        </w:rPr>
        <w:t xml:space="preserve"> </w:t>
      </w:r>
      <w:r w:rsidR="00AD0335" w:rsidRPr="005E5D45">
        <w:rPr>
          <w:rFonts w:cs="Arial"/>
          <w:lang w:eastAsia="ja-JP"/>
        </w:rPr>
        <w:t>25</w:t>
      </w:r>
      <w:r w:rsidR="00D45F9B" w:rsidRPr="005E5D45">
        <w:t>, 201</w:t>
      </w:r>
      <w:r w:rsidR="008C684C" w:rsidRPr="005E5D45">
        <w:rPr>
          <w:lang w:eastAsia="ja-JP"/>
        </w:rPr>
        <w:t>6</w:t>
      </w:r>
    </w:p>
    <w:p w:rsidR="00D45F9B" w:rsidRPr="005E5D45" w:rsidRDefault="00D45F9B" w:rsidP="006B662B">
      <w:pPr>
        <w:pStyle w:val="Titleofdoc0"/>
      </w:pPr>
      <w:r w:rsidRPr="005E5D45">
        <w:t>REPORT</w:t>
      </w:r>
    </w:p>
    <w:p w:rsidR="00D45F9B" w:rsidRPr="005E5D45" w:rsidRDefault="00683E56" w:rsidP="006B662B">
      <w:pPr>
        <w:pStyle w:val="preparedby1"/>
      </w:pPr>
      <w:proofErr w:type="gramStart"/>
      <w:r>
        <w:t>adopted</w:t>
      </w:r>
      <w:proofErr w:type="gramEnd"/>
      <w:r>
        <w:t xml:space="preserve"> by the </w:t>
      </w:r>
      <w:r w:rsidRPr="00DE0FB9">
        <w:rPr>
          <w:rFonts w:cs="Arial"/>
          <w:snapToGrid w:val="0"/>
          <w:lang w:eastAsia="ja-JP"/>
        </w:rPr>
        <w:t>Working</w:t>
      </w:r>
      <w:r>
        <w:rPr>
          <w:rFonts w:cs="Arial"/>
          <w:snapToGrid w:val="0"/>
          <w:lang w:eastAsia="ja-JP"/>
        </w:rPr>
        <w:t xml:space="preserve"> Group on Variety Denominations</w:t>
      </w:r>
      <w:r w:rsidR="00D45F9B" w:rsidRPr="005E5D45">
        <w:br/>
      </w:r>
      <w:r w:rsidR="00D45F9B" w:rsidRPr="005E5D45">
        <w:br/>
      </w:r>
      <w:r w:rsidR="00D45F9B" w:rsidRPr="005E5D45">
        <w:rPr>
          <w:color w:val="A6A6A6" w:themeColor="background1" w:themeShade="A6"/>
        </w:rPr>
        <w:t>Disclaimer:  this document does not represent UPOV policies or guidance</w:t>
      </w:r>
    </w:p>
    <w:p w:rsidR="00D45F9B" w:rsidRPr="005E5D45" w:rsidRDefault="00D45F9B" w:rsidP="006B662B">
      <w:pPr>
        <w:pStyle w:val="Heading1"/>
      </w:pPr>
      <w:r w:rsidRPr="005E5D45">
        <w:t xml:space="preserve">Opening of the </w:t>
      </w:r>
      <w:r w:rsidR="00882360" w:rsidRPr="005E5D45">
        <w:t>meeting</w:t>
      </w:r>
    </w:p>
    <w:p w:rsidR="00D45F9B" w:rsidRPr="005E5D45" w:rsidRDefault="00D45F9B" w:rsidP="006B662B">
      <w:pPr>
        <w:rPr>
          <w:u w:val="single"/>
        </w:rPr>
      </w:pPr>
    </w:p>
    <w:p w:rsidR="00D45F9B" w:rsidRPr="005E5D45" w:rsidRDefault="00D45F9B" w:rsidP="006B662B">
      <w:pPr>
        <w:rPr>
          <w:rFonts w:cs="Arial"/>
        </w:rPr>
      </w:pPr>
      <w:r w:rsidRPr="005E5D45">
        <w:rPr>
          <w:rFonts w:cs="Arial"/>
        </w:rPr>
        <w:fldChar w:fldCharType="begin"/>
      </w:r>
      <w:r w:rsidRPr="005E5D45">
        <w:rPr>
          <w:rFonts w:cs="Arial"/>
        </w:rPr>
        <w:instrText xml:space="preserve"> AUTONUM  </w:instrText>
      </w:r>
      <w:r w:rsidRPr="005E5D45">
        <w:rPr>
          <w:rFonts w:cs="Arial"/>
        </w:rPr>
        <w:fldChar w:fldCharType="end"/>
      </w:r>
      <w:r w:rsidRPr="005E5D45">
        <w:rPr>
          <w:rFonts w:cs="Arial"/>
        </w:rPr>
        <w:tab/>
        <w:t xml:space="preserve">The </w:t>
      </w:r>
      <w:r w:rsidR="00696C89" w:rsidRPr="005E5D45">
        <w:rPr>
          <w:rFonts w:cs="Arial"/>
        </w:rPr>
        <w:t xml:space="preserve">Working Group </w:t>
      </w:r>
      <w:r w:rsidR="00BA7792" w:rsidRPr="005E5D45">
        <w:rPr>
          <w:rFonts w:cs="Arial"/>
        </w:rPr>
        <w:t>on Variety Denominations</w:t>
      </w:r>
      <w:r w:rsidRPr="005E5D45">
        <w:rPr>
          <w:rFonts w:cs="Arial"/>
        </w:rPr>
        <w:t xml:space="preserve"> (</w:t>
      </w:r>
      <w:r w:rsidRPr="005E5D45">
        <w:rPr>
          <w:rFonts w:cs="Arial"/>
          <w:lang w:eastAsia="ja-JP"/>
        </w:rPr>
        <w:t>WG-D</w:t>
      </w:r>
      <w:r w:rsidR="00BA7792" w:rsidRPr="005E5D45">
        <w:rPr>
          <w:rFonts w:cs="Arial"/>
          <w:lang w:eastAsia="ja-JP"/>
        </w:rPr>
        <w:t>EN</w:t>
      </w:r>
      <w:r w:rsidRPr="005E5D45">
        <w:rPr>
          <w:rFonts w:cs="Arial"/>
        </w:rPr>
        <w:t xml:space="preserve">) held its </w:t>
      </w:r>
      <w:r w:rsidR="00AD0335" w:rsidRPr="005E5D45">
        <w:rPr>
          <w:rFonts w:cs="Arial"/>
          <w:lang w:eastAsia="ja-JP"/>
        </w:rPr>
        <w:t>second</w:t>
      </w:r>
      <w:r w:rsidRPr="005E5D45">
        <w:rPr>
          <w:rFonts w:cs="Arial"/>
        </w:rPr>
        <w:t xml:space="preserve"> </w:t>
      </w:r>
      <w:r w:rsidR="00882360" w:rsidRPr="005E5D45">
        <w:rPr>
          <w:rFonts w:cs="Arial"/>
        </w:rPr>
        <w:t xml:space="preserve">meeting </w:t>
      </w:r>
      <w:r w:rsidRPr="005E5D45">
        <w:rPr>
          <w:rFonts w:cs="Arial"/>
        </w:rPr>
        <w:t xml:space="preserve">in </w:t>
      </w:r>
      <w:r w:rsidRPr="005E5D45">
        <w:rPr>
          <w:rFonts w:cs="Arial"/>
          <w:lang w:eastAsia="ja-JP"/>
        </w:rPr>
        <w:t>Geneva</w:t>
      </w:r>
      <w:r w:rsidR="00684DD1" w:rsidRPr="005E5D45">
        <w:rPr>
          <w:rFonts w:cs="Arial"/>
          <w:lang w:eastAsia="ja-JP"/>
        </w:rPr>
        <w:t xml:space="preserve"> </w:t>
      </w:r>
      <w:r w:rsidR="00882360" w:rsidRPr="005E5D45">
        <w:rPr>
          <w:rFonts w:cs="Arial"/>
        </w:rPr>
        <w:t xml:space="preserve">on </w:t>
      </w:r>
      <w:r w:rsidR="00AD0335" w:rsidRPr="005E5D45">
        <w:rPr>
          <w:rFonts w:cs="Arial"/>
          <w:lang w:eastAsia="ja-JP"/>
        </w:rPr>
        <w:t>October 25</w:t>
      </w:r>
      <w:r w:rsidRPr="005E5D45">
        <w:rPr>
          <w:rFonts w:cs="Arial"/>
          <w:lang w:eastAsia="ja-JP"/>
        </w:rPr>
        <w:t>, 2</w:t>
      </w:r>
      <w:r w:rsidRPr="005E5D45">
        <w:rPr>
          <w:rFonts w:cs="Arial"/>
        </w:rPr>
        <w:t>01</w:t>
      </w:r>
      <w:r w:rsidR="008C684C" w:rsidRPr="005E5D45">
        <w:rPr>
          <w:rFonts w:cs="Arial"/>
          <w:lang w:eastAsia="ja-JP"/>
        </w:rPr>
        <w:t>6</w:t>
      </w:r>
      <w:r w:rsidR="00EB7E28" w:rsidRPr="005E5D45">
        <w:rPr>
          <w:rFonts w:cs="Arial"/>
        </w:rPr>
        <w:t xml:space="preserve">, </w:t>
      </w:r>
      <w:r w:rsidR="000A2127" w:rsidRPr="005E5D45">
        <w:rPr>
          <w:rFonts w:cs="Arial"/>
        </w:rPr>
        <w:t xml:space="preserve">under the </w:t>
      </w:r>
      <w:r w:rsidR="008665E3" w:rsidRPr="005E5D45">
        <w:rPr>
          <w:rFonts w:cs="Arial"/>
        </w:rPr>
        <w:t xml:space="preserve">chairmanship </w:t>
      </w:r>
      <w:r w:rsidR="00EB7E28" w:rsidRPr="005E5D45">
        <w:rPr>
          <w:rFonts w:cs="Arial"/>
        </w:rPr>
        <w:t>of the Vice</w:t>
      </w:r>
      <w:r w:rsidR="00640EE2" w:rsidRPr="005E5D45">
        <w:rPr>
          <w:rFonts w:cs="Arial"/>
        </w:rPr>
        <w:t> </w:t>
      </w:r>
      <w:r w:rsidR="00EB7E28" w:rsidRPr="005E5D45">
        <w:rPr>
          <w:rFonts w:cs="Arial"/>
        </w:rPr>
        <w:t>Secretary</w:t>
      </w:r>
      <w:r w:rsidR="00C9294F" w:rsidRPr="005E5D45">
        <w:rPr>
          <w:rFonts w:cs="Arial"/>
        </w:rPr>
        <w:noBreakHyphen/>
      </w:r>
      <w:r w:rsidR="00EB7E28" w:rsidRPr="005E5D45">
        <w:rPr>
          <w:rFonts w:cs="Arial"/>
        </w:rPr>
        <w:t>General of UPOV</w:t>
      </w:r>
      <w:r w:rsidRPr="005E5D45">
        <w:rPr>
          <w:rFonts w:cs="Arial"/>
        </w:rPr>
        <w:t xml:space="preserve">. </w:t>
      </w:r>
      <w:r w:rsidR="00882360" w:rsidRPr="005E5D45">
        <w:rPr>
          <w:rFonts w:cs="Arial"/>
        </w:rPr>
        <w:t xml:space="preserve"> </w:t>
      </w:r>
      <w:r w:rsidRPr="005E5D45">
        <w:rPr>
          <w:rFonts w:cs="Arial"/>
        </w:rPr>
        <w:t xml:space="preserve">The list of participants is reproduced </w:t>
      </w:r>
      <w:r w:rsidR="0083236E" w:rsidRPr="005E5D45">
        <w:rPr>
          <w:rFonts w:cs="Arial"/>
        </w:rPr>
        <w:t xml:space="preserve">in the </w:t>
      </w:r>
      <w:r w:rsidRPr="005E5D45">
        <w:rPr>
          <w:rFonts w:cs="Arial"/>
        </w:rPr>
        <w:t>Annex to this report.</w:t>
      </w:r>
    </w:p>
    <w:p w:rsidR="00D45F9B" w:rsidRPr="005E5D45" w:rsidRDefault="00D45F9B" w:rsidP="006B662B">
      <w:pPr>
        <w:rPr>
          <w:rFonts w:cs="Arial"/>
        </w:rPr>
      </w:pPr>
    </w:p>
    <w:p w:rsidR="00D45F9B" w:rsidRPr="005E5D45" w:rsidRDefault="00D45F9B" w:rsidP="006B662B">
      <w:pPr>
        <w:rPr>
          <w:rFonts w:cs="Arial"/>
        </w:rPr>
      </w:pPr>
      <w:r w:rsidRPr="005E5D45">
        <w:rPr>
          <w:rFonts w:cs="Arial"/>
        </w:rPr>
        <w:fldChar w:fldCharType="begin"/>
      </w:r>
      <w:r w:rsidRPr="005E5D45">
        <w:rPr>
          <w:rFonts w:cs="Arial"/>
        </w:rPr>
        <w:instrText xml:space="preserve"> AUTONUM  </w:instrText>
      </w:r>
      <w:r w:rsidRPr="005E5D45">
        <w:rPr>
          <w:rFonts w:cs="Arial"/>
        </w:rPr>
        <w:fldChar w:fldCharType="end"/>
      </w:r>
      <w:r w:rsidRPr="005E5D45">
        <w:rPr>
          <w:rFonts w:cs="Arial"/>
        </w:rPr>
        <w:tab/>
        <w:t xml:space="preserve">The </w:t>
      </w:r>
      <w:r w:rsidR="00882360" w:rsidRPr="005E5D45">
        <w:rPr>
          <w:rFonts w:cs="Arial"/>
        </w:rPr>
        <w:t xml:space="preserve">meeting </w:t>
      </w:r>
      <w:r w:rsidRPr="005E5D45">
        <w:rPr>
          <w:rFonts w:cs="Arial"/>
        </w:rPr>
        <w:t xml:space="preserve">was opened by </w:t>
      </w:r>
      <w:r w:rsidR="00715091" w:rsidRPr="005E5D45">
        <w:rPr>
          <w:rFonts w:cs="Arial"/>
          <w:lang w:eastAsia="ja-JP"/>
        </w:rPr>
        <w:t>the Chair</w:t>
      </w:r>
      <w:r w:rsidR="00882360" w:rsidRPr="005E5D45">
        <w:rPr>
          <w:rFonts w:cs="Arial"/>
          <w:lang w:eastAsia="ja-JP"/>
        </w:rPr>
        <w:t>,</w:t>
      </w:r>
      <w:r w:rsidRPr="005E5D45">
        <w:rPr>
          <w:rFonts w:cs="Arial"/>
          <w:lang w:eastAsia="ja-JP"/>
        </w:rPr>
        <w:t xml:space="preserve"> </w:t>
      </w:r>
      <w:r w:rsidRPr="005E5D45">
        <w:rPr>
          <w:rFonts w:cs="Arial"/>
        </w:rPr>
        <w:t xml:space="preserve">who welcomed </w:t>
      </w:r>
      <w:r w:rsidR="00D0785D" w:rsidRPr="005E5D45">
        <w:rPr>
          <w:rFonts w:cs="Arial"/>
        </w:rPr>
        <w:t xml:space="preserve">the </w:t>
      </w:r>
      <w:r w:rsidRPr="005E5D45">
        <w:rPr>
          <w:rFonts w:cs="Arial"/>
        </w:rPr>
        <w:t>participants</w:t>
      </w:r>
      <w:r w:rsidR="00882360" w:rsidRPr="005E5D45">
        <w:rPr>
          <w:rFonts w:cs="Arial"/>
          <w:color w:val="000000"/>
        </w:rPr>
        <w:t>.</w:t>
      </w:r>
      <w:r w:rsidR="00D05DEB" w:rsidRPr="005E5D45">
        <w:rPr>
          <w:rFonts w:cs="Arial"/>
          <w:color w:val="000000"/>
        </w:rPr>
        <w:t xml:space="preserve"> </w:t>
      </w:r>
    </w:p>
    <w:p w:rsidR="00D45F9B" w:rsidRPr="005E5D45" w:rsidRDefault="00D45F9B" w:rsidP="006B662B">
      <w:pPr>
        <w:rPr>
          <w:u w:val="single"/>
          <w:lang w:eastAsia="ja-JP"/>
        </w:rPr>
      </w:pPr>
    </w:p>
    <w:p w:rsidR="005A2FE7" w:rsidRPr="005E5D45" w:rsidRDefault="005A2FE7" w:rsidP="006B662B">
      <w:pPr>
        <w:spacing w:line="360" w:lineRule="auto"/>
        <w:rPr>
          <w:u w:val="single"/>
          <w:lang w:eastAsia="ja-JP"/>
        </w:rPr>
      </w:pPr>
    </w:p>
    <w:p w:rsidR="00D45F9B" w:rsidRPr="005E5D45" w:rsidRDefault="00D45F9B" w:rsidP="006B662B">
      <w:pPr>
        <w:pStyle w:val="Heading1"/>
      </w:pPr>
      <w:r w:rsidRPr="005E5D45">
        <w:t>Adoption of the agenda</w:t>
      </w:r>
    </w:p>
    <w:p w:rsidR="00D45F9B" w:rsidRPr="005E5D45" w:rsidRDefault="00D45F9B" w:rsidP="006B662B"/>
    <w:p w:rsidR="00D45F9B" w:rsidRPr="005E5D45" w:rsidRDefault="00D45F9B" w:rsidP="006B662B">
      <w:pPr>
        <w:rPr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  <w:t xml:space="preserve">The </w:t>
      </w:r>
      <w:r w:rsidRPr="005E5D45">
        <w:rPr>
          <w:lang w:eastAsia="ja-JP"/>
        </w:rPr>
        <w:t>WG-D</w:t>
      </w:r>
      <w:r w:rsidR="00BA7792" w:rsidRPr="005E5D45">
        <w:rPr>
          <w:lang w:eastAsia="ja-JP"/>
        </w:rPr>
        <w:t>EN</w:t>
      </w:r>
      <w:r w:rsidRPr="005E5D45">
        <w:t xml:space="preserve"> adopted the </w:t>
      </w:r>
      <w:r w:rsidR="00EB7E28" w:rsidRPr="005E5D45">
        <w:t xml:space="preserve">draft </w:t>
      </w:r>
      <w:r w:rsidRPr="005E5D45">
        <w:t xml:space="preserve">agenda as reproduced in document </w:t>
      </w:r>
      <w:r w:rsidRPr="005E5D45">
        <w:rPr>
          <w:lang w:eastAsia="ja-JP"/>
        </w:rPr>
        <w:t>UPOV/</w:t>
      </w:r>
      <w:r w:rsidR="008C684C" w:rsidRPr="005E5D45">
        <w:rPr>
          <w:lang w:eastAsia="ja-JP"/>
        </w:rPr>
        <w:t>WG-D</w:t>
      </w:r>
      <w:r w:rsidR="00BA7792" w:rsidRPr="005E5D45">
        <w:rPr>
          <w:lang w:eastAsia="ja-JP"/>
        </w:rPr>
        <w:t>EN</w:t>
      </w:r>
      <w:r w:rsidR="008C684C" w:rsidRPr="005E5D45">
        <w:rPr>
          <w:lang w:eastAsia="ja-JP"/>
        </w:rPr>
        <w:t>/</w:t>
      </w:r>
      <w:r w:rsidR="00AD0335" w:rsidRPr="005E5D45">
        <w:rPr>
          <w:lang w:eastAsia="ja-JP"/>
        </w:rPr>
        <w:t>2</w:t>
      </w:r>
      <w:r w:rsidR="00BD463E" w:rsidRPr="005E5D45">
        <w:rPr>
          <w:lang w:eastAsia="ja-JP"/>
        </w:rPr>
        <w:t>/1</w:t>
      </w:r>
      <w:r w:rsidR="00AD0335" w:rsidRPr="005E5D45">
        <w:rPr>
          <w:lang w:eastAsia="ja-JP"/>
        </w:rPr>
        <w:t xml:space="preserve"> Rev.</w:t>
      </w:r>
    </w:p>
    <w:p w:rsidR="005B501C" w:rsidRPr="005E5D45" w:rsidRDefault="005B501C" w:rsidP="006B662B">
      <w:pPr>
        <w:rPr>
          <w:lang w:eastAsia="ja-JP"/>
        </w:rPr>
      </w:pPr>
    </w:p>
    <w:p w:rsidR="005B501C" w:rsidRPr="005E5D45" w:rsidRDefault="005B501C" w:rsidP="006B662B">
      <w:pPr>
        <w:spacing w:line="360" w:lineRule="auto"/>
        <w:rPr>
          <w:lang w:eastAsia="ja-JP"/>
        </w:rPr>
      </w:pPr>
    </w:p>
    <w:p w:rsidR="005B501C" w:rsidRPr="005E5D45" w:rsidRDefault="005B501C" w:rsidP="006B662B">
      <w:pPr>
        <w:pStyle w:val="Heading1"/>
        <w:rPr>
          <w:szCs w:val="24"/>
          <w:lang w:eastAsia="ja-JP"/>
        </w:rPr>
      </w:pPr>
      <w:r w:rsidRPr="005E5D45">
        <w:rPr>
          <w:szCs w:val="24"/>
          <w:lang w:eastAsia="ja-JP"/>
        </w:rPr>
        <w:t xml:space="preserve">Revision of document UPOV/INF/12/5 </w:t>
      </w:r>
      <w:r w:rsidR="00B23EF0" w:rsidRPr="005E5D45">
        <w:t>“Explanatory Notes on Variety Denominations”</w:t>
      </w:r>
    </w:p>
    <w:p w:rsidR="005B501C" w:rsidRPr="005E5D45" w:rsidRDefault="005B501C" w:rsidP="006B662B">
      <w:pPr>
        <w:pStyle w:val="ListParagraph"/>
        <w:autoSpaceDE w:val="0"/>
        <w:autoSpaceDN w:val="0"/>
        <w:adjustRightInd w:val="0"/>
        <w:ind w:left="0"/>
        <w:contextualSpacing w:val="0"/>
        <w:jc w:val="left"/>
        <w:rPr>
          <w:szCs w:val="24"/>
          <w:lang w:eastAsia="ja-JP"/>
        </w:rPr>
      </w:pPr>
    </w:p>
    <w:p w:rsidR="005B501C" w:rsidRPr="005E5D45" w:rsidRDefault="005B501C" w:rsidP="006B662B">
      <w:pPr>
        <w:rPr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  <w:t xml:space="preserve">The </w:t>
      </w:r>
      <w:r w:rsidRPr="005E5D45">
        <w:rPr>
          <w:lang w:eastAsia="ja-JP"/>
        </w:rPr>
        <w:t>WG-DEN</w:t>
      </w:r>
      <w:r w:rsidRPr="005E5D45">
        <w:t xml:space="preserve"> </w:t>
      </w:r>
      <w:r w:rsidRPr="005E5D45">
        <w:rPr>
          <w:lang w:eastAsia="ja-JP"/>
        </w:rPr>
        <w:t xml:space="preserve">considered </w:t>
      </w:r>
      <w:r w:rsidRPr="005E5D45">
        <w:t>document</w:t>
      </w:r>
      <w:r w:rsidR="00737D43" w:rsidRPr="005E5D45">
        <w:t>s</w:t>
      </w:r>
      <w:r w:rsidR="00540E5C" w:rsidRPr="005E5D45">
        <w:rPr>
          <w:lang w:eastAsia="ja-JP"/>
        </w:rPr>
        <w:t xml:space="preserve"> UPOV/WG-</w:t>
      </w:r>
      <w:r w:rsidRPr="005E5D45">
        <w:rPr>
          <w:lang w:eastAsia="ja-JP"/>
        </w:rPr>
        <w:t>DE</w:t>
      </w:r>
      <w:r w:rsidR="00AD0335" w:rsidRPr="005E5D45">
        <w:rPr>
          <w:lang w:eastAsia="ja-JP"/>
        </w:rPr>
        <w:t>N/2/2 and UPOV/INF/12/6 Draft 2</w:t>
      </w:r>
      <w:r w:rsidRPr="005E5D45">
        <w:rPr>
          <w:lang w:eastAsia="ja-JP"/>
        </w:rPr>
        <w:t>.</w:t>
      </w:r>
    </w:p>
    <w:p w:rsidR="005B501C" w:rsidRPr="005E5D45" w:rsidRDefault="005B501C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C03A97" w:rsidRPr="005E5D45" w:rsidRDefault="005B501C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  <w:t xml:space="preserve">The </w:t>
      </w:r>
      <w:r w:rsidRPr="005E5D45">
        <w:rPr>
          <w:lang w:eastAsia="ja-JP"/>
        </w:rPr>
        <w:t>WG-DEN note</w:t>
      </w:r>
      <w:r w:rsidR="00C03A97" w:rsidRPr="005E5D45">
        <w:rPr>
          <w:lang w:eastAsia="ja-JP"/>
        </w:rPr>
        <w:t>d</w:t>
      </w:r>
      <w:r w:rsidR="00C03A97" w:rsidRPr="005E5D45">
        <w:rPr>
          <w:szCs w:val="24"/>
          <w:lang w:eastAsia="ja-JP"/>
        </w:rPr>
        <w:t xml:space="preserve"> the </w:t>
      </w:r>
      <w:r w:rsidR="00540E5C" w:rsidRPr="005E5D45">
        <w:rPr>
          <w:szCs w:val="24"/>
          <w:lang w:eastAsia="ja-JP"/>
        </w:rPr>
        <w:t xml:space="preserve">developments reported in </w:t>
      </w:r>
      <w:r w:rsidR="00C03A97" w:rsidRPr="005E5D45">
        <w:rPr>
          <w:szCs w:val="24"/>
          <w:lang w:eastAsia="ja-JP"/>
        </w:rPr>
        <w:t>document</w:t>
      </w:r>
      <w:r w:rsidR="00AD0335" w:rsidRPr="005E5D45">
        <w:rPr>
          <w:szCs w:val="24"/>
          <w:lang w:eastAsia="ja-JP"/>
        </w:rPr>
        <w:t>s UPOV/WG-DEN/2</w:t>
      </w:r>
      <w:r w:rsidR="00B9712B" w:rsidRPr="005E5D45">
        <w:rPr>
          <w:szCs w:val="24"/>
          <w:lang w:eastAsia="ja-JP"/>
        </w:rPr>
        <w:t>/2 and</w:t>
      </w:r>
      <w:r w:rsidR="00AD0335" w:rsidRPr="005E5D45">
        <w:rPr>
          <w:szCs w:val="24"/>
          <w:lang w:eastAsia="ja-JP"/>
        </w:rPr>
        <w:t xml:space="preserve"> UPOV/INF/12/6 Draft 2</w:t>
      </w:r>
      <w:r w:rsidR="00C03A97" w:rsidRPr="005E5D45">
        <w:rPr>
          <w:szCs w:val="24"/>
          <w:lang w:eastAsia="ja-JP"/>
        </w:rPr>
        <w:t>.</w:t>
      </w:r>
    </w:p>
    <w:p w:rsidR="00B73815" w:rsidRPr="005E5D45" w:rsidRDefault="00B73815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6F2F72" w:rsidRPr="005E5D45" w:rsidRDefault="006F2F7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6F2F72" w:rsidRPr="005E5D45" w:rsidRDefault="006F2F72" w:rsidP="00983DBD">
      <w:pPr>
        <w:pStyle w:val="Heading2"/>
        <w:rPr>
          <w:lang w:eastAsia="ja-JP"/>
        </w:rPr>
      </w:pPr>
      <w:r w:rsidRPr="005E5D45">
        <w:rPr>
          <w:lang w:eastAsia="ja-JP"/>
        </w:rPr>
        <w:t>Section 1 “Designation of varieties by denominations; use of the denomination</w:t>
      </w:r>
      <w:r w:rsidRPr="005E5D45">
        <w:rPr>
          <w:u w:val="none"/>
          <w:lang w:eastAsia="ja-JP"/>
        </w:rPr>
        <w:t>”</w:t>
      </w:r>
    </w:p>
    <w:p w:rsidR="006F2F72" w:rsidRPr="005E5D45" w:rsidRDefault="006F2F72" w:rsidP="005C0588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6F2F72" w:rsidRPr="005E5D45" w:rsidRDefault="006F2F7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</w:r>
      <w:r w:rsidR="00CE2A9E" w:rsidRPr="005E5D45">
        <w:rPr>
          <w:lang w:eastAsia="ja-JP"/>
        </w:rPr>
        <w:t>The WG-DEN recalled</w:t>
      </w:r>
      <w:r w:rsidRPr="005E5D45">
        <w:rPr>
          <w:lang w:eastAsia="ja-JP"/>
        </w:rPr>
        <w:t xml:space="preserve"> that </w:t>
      </w:r>
      <w:r w:rsidRPr="005E5D45">
        <w:t xml:space="preserve">the denomination </w:t>
      </w:r>
      <w:r w:rsidR="00B23D84" w:rsidRPr="005E5D45">
        <w:t xml:space="preserve">is </w:t>
      </w:r>
      <w:r w:rsidRPr="005E5D45">
        <w:t>the generic designation of the variety and</w:t>
      </w:r>
      <w:r w:rsidR="00B23D84" w:rsidRPr="005E5D45">
        <w:t>,</w:t>
      </w:r>
      <w:r w:rsidRPr="005E5D45">
        <w:t xml:space="preserve"> subject to prior rights, no rights in the designation shall hamper the free use of the denomination of the variety, even after the expiration of the breeder’s right</w:t>
      </w:r>
      <w:r w:rsidR="00CE2A9E" w:rsidRPr="005E5D45">
        <w:rPr>
          <w:lang w:eastAsia="ja-JP"/>
        </w:rPr>
        <w:t>.</w:t>
      </w:r>
    </w:p>
    <w:p w:rsidR="00CE2A9E" w:rsidRPr="005E5D45" w:rsidRDefault="00CE2A9E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83DBD" w:rsidRPr="00833B99" w:rsidRDefault="00CE2A9E" w:rsidP="006B662B">
      <w:pPr>
        <w:pStyle w:val="ListParagraph"/>
        <w:autoSpaceDE w:val="0"/>
        <w:autoSpaceDN w:val="0"/>
        <w:adjustRightInd w:val="0"/>
        <w:ind w:left="0"/>
        <w:contextualSpacing w:val="0"/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</w:r>
      <w:r w:rsidRPr="001D643B">
        <w:rPr>
          <w:lang w:eastAsia="ja-JP"/>
        </w:rPr>
        <w:t xml:space="preserve">The WG-DEN </w:t>
      </w:r>
      <w:r w:rsidR="00B23D84" w:rsidRPr="001D643B">
        <w:rPr>
          <w:lang w:eastAsia="ja-JP"/>
        </w:rPr>
        <w:t xml:space="preserve">considered </w:t>
      </w:r>
      <w:r w:rsidR="00983DBD" w:rsidRPr="001D643B">
        <w:rPr>
          <w:lang w:eastAsia="ja-JP"/>
        </w:rPr>
        <w:t xml:space="preserve">whether </w:t>
      </w:r>
      <w:r w:rsidR="00246926" w:rsidRPr="001D643B">
        <w:rPr>
          <w:rFonts w:hint="eastAsia"/>
          <w:lang w:eastAsia="ja-JP"/>
        </w:rPr>
        <w:t xml:space="preserve">the authority </w:t>
      </w:r>
      <w:r w:rsidR="00C67027">
        <w:rPr>
          <w:rFonts w:hint="eastAsia"/>
          <w:lang w:eastAsia="ja-JP"/>
        </w:rPr>
        <w:t>should</w:t>
      </w:r>
      <w:r w:rsidR="00983DBD" w:rsidRPr="001D643B">
        <w:rPr>
          <w:lang w:eastAsia="ja-JP"/>
        </w:rPr>
        <w:t xml:space="preserve"> reject </w:t>
      </w:r>
      <w:r w:rsidR="00C67027">
        <w:rPr>
          <w:rFonts w:hint="eastAsia"/>
          <w:lang w:eastAsia="ja-JP"/>
        </w:rPr>
        <w:t>a</w:t>
      </w:r>
      <w:r w:rsidR="00983DBD" w:rsidRPr="001D643B">
        <w:rPr>
          <w:lang w:eastAsia="ja-JP"/>
        </w:rPr>
        <w:t xml:space="preserve"> </w:t>
      </w:r>
      <w:r w:rsidR="00C67027">
        <w:rPr>
          <w:rFonts w:hint="eastAsia"/>
          <w:lang w:eastAsia="ja-JP"/>
        </w:rPr>
        <w:t xml:space="preserve">proposed </w:t>
      </w:r>
      <w:r w:rsidR="00983DBD" w:rsidRPr="001D643B">
        <w:rPr>
          <w:lang w:eastAsia="ja-JP"/>
        </w:rPr>
        <w:t>denomination on the basis of</w:t>
      </w:r>
      <w:r w:rsidR="000C0544">
        <w:rPr>
          <w:rFonts w:hint="eastAsia"/>
          <w:lang w:eastAsia="ja-JP"/>
        </w:rPr>
        <w:t xml:space="preserve"> an</w:t>
      </w:r>
      <w:r w:rsidR="00983DBD" w:rsidRPr="001D643B">
        <w:rPr>
          <w:lang w:eastAsia="ja-JP"/>
        </w:rPr>
        <w:t xml:space="preserve"> existing trademark</w:t>
      </w:r>
      <w:r w:rsidR="00C67027">
        <w:rPr>
          <w:rFonts w:hint="eastAsia"/>
          <w:lang w:eastAsia="ja-JP"/>
        </w:rPr>
        <w:t xml:space="preserve"> </w:t>
      </w:r>
      <w:r w:rsidR="00954936">
        <w:rPr>
          <w:rFonts w:hint="eastAsia"/>
          <w:lang w:eastAsia="ja-JP"/>
        </w:rPr>
        <w:t xml:space="preserve">owned </w:t>
      </w:r>
      <w:r w:rsidR="00C67027">
        <w:rPr>
          <w:rFonts w:hint="eastAsia"/>
          <w:lang w:eastAsia="ja-JP"/>
        </w:rPr>
        <w:t>by the breeder</w:t>
      </w:r>
      <w:r w:rsidR="00246926" w:rsidRPr="001D643B">
        <w:rPr>
          <w:rFonts w:hint="eastAsia"/>
          <w:lang w:eastAsia="ja-JP"/>
        </w:rPr>
        <w:t>,</w:t>
      </w:r>
      <w:r w:rsidR="00E16C28" w:rsidRPr="001D643B">
        <w:rPr>
          <w:rFonts w:hint="eastAsia"/>
          <w:lang w:eastAsia="ja-JP"/>
        </w:rPr>
        <w:t xml:space="preserve"> </w:t>
      </w:r>
      <w:r w:rsidR="00983DBD" w:rsidRPr="001D643B">
        <w:rPr>
          <w:lang w:eastAsia="ja-JP"/>
        </w:rPr>
        <w:t xml:space="preserve">or </w:t>
      </w:r>
      <w:r w:rsidR="00C67027">
        <w:rPr>
          <w:rFonts w:hint="eastAsia"/>
          <w:lang w:eastAsia="ja-JP"/>
        </w:rPr>
        <w:t>whether</w:t>
      </w:r>
      <w:r w:rsidR="00246926" w:rsidRPr="001D643B">
        <w:rPr>
          <w:rFonts w:hint="eastAsia"/>
          <w:lang w:eastAsia="ja-JP"/>
        </w:rPr>
        <w:t xml:space="preserve"> </w:t>
      </w:r>
      <w:r w:rsidR="0081658A" w:rsidRPr="001D643B">
        <w:rPr>
          <w:rFonts w:hint="eastAsia"/>
          <w:lang w:eastAsia="ja-JP"/>
        </w:rPr>
        <w:t>breeders</w:t>
      </w:r>
      <w:r w:rsidR="00246926" w:rsidRPr="001D643B">
        <w:rPr>
          <w:rFonts w:hint="eastAsia"/>
          <w:lang w:eastAsia="ja-JP"/>
        </w:rPr>
        <w:t xml:space="preserve"> </w:t>
      </w:r>
      <w:r w:rsidR="0081658A" w:rsidRPr="001D643B">
        <w:rPr>
          <w:rFonts w:hint="eastAsia"/>
          <w:lang w:eastAsia="ja-JP"/>
        </w:rPr>
        <w:t xml:space="preserve">should </w:t>
      </w:r>
      <w:r w:rsidR="00246926" w:rsidRPr="001D643B">
        <w:rPr>
          <w:rFonts w:hint="eastAsia"/>
          <w:lang w:eastAsia="ja-JP"/>
        </w:rPr>
        <w:t xml:space="preserve">have </w:t>
      </w:r>
      <w:r w:rsidR="00C67027">
        <w:rPr>
          <w:rFonts w:hint="eastAsia"/>
          <w:lang w:eastAsia="ja-JP"/>
        </w:rPr>
        <w:t xml:space="preserve">the </w:t>
      </w:r>
      <w:r w:rsidR="00246926" w:rsidRPr="001D643B">
        <w:rPr>
          <w:rFonts w:hint="eastAsia"/>
          <w:lang w:eastAsia="ja-JP"/>
        </w:rPr>
        <w:t xml:space="preserve">freedom to risk </w:t>
      </w:r>
      <w:r w:rsidR="000C0544">
        <w:rPr>
          <w:rFonts w:hint="eastAsia"/>
          <w:lang w:eastAsia="ja-JP"/>
        </w:rPr>
        <w:t>a</w:t>
      </w:r>
      <w:r w:rsidR="00246926" w:rsidRPr="001D643B">
        <w:rPr>
          <w:rFonts w:hint="eastAsia"/>
          <w:lang w:eastAsia="ja-JP"/>
        </w:rPr>
        <w:t xml:space="preserve"> trademark becoming generic</w:t>
      </w:r>
      <w:r w:rsidR="00000D53" w:rsidRPr="001D643B">
        <w:rPr>
          <w:rFonts w:hint="eastAsia"/>
          <w:lang w:eastAsia="ja-JP"/>
        </w:rPr>
        <w:t xml:space="preserve"> </w:t>
      </w:r>
      <w:r w:rsidR="00C67027">
        <w:rPr>
          <w:rFonts w:hint="eastAsia"/>
          <w:lang w:eastAsia="ja-JP"/>
        </w:rPr>
        <w:t>because</w:t>
      </w:r>
      <w:r w:rsidR="00000D53" w:rsidRPr="001D643B">
        <w:t xml:space="preserve"> </w:t>
      </w:r>
      <w:r w:rsidR="000C0544">
        <w:rPr>
          <w:rFonts w:hint="eastAsia"/>
          <w:lang w:eastAsia="ja-JP"/>
        </w:rPr>
        <w:t xml:space="preserve">the </w:t>
      </w:r>
      <w:r w:rsidR="00CD32C2">
        <w:t>denomination</w:t>
      </w:r>
      <w:r w:rsidR="000C0544">
        <w:rPr>
          <w:rFonts w:hint="eastAsia"/>
          <w:lang w:eastAsia="ja-JP"/>
        </w:rPr>
        <w:t xml:space="preserve"> would</w:t>
      </w:r>
      <w:r w:rsidR="00D268AA">
        <w:t xml:space="preserve"> bec</w:t>
      </w:r>
      <w:r w:rsidR="000C0544">
        <w:rPr>
          <w:rFonts w:hint="eastAsia"/>
          <w:lang w:eastAsia="ja-JP"/>
        </w:rPr>
        <w:t>o</w:t>
      </w:r>
      <w:r w:rsidR="00D268AA">
        <w:t xml:space="preserve">me </w:t>
      </w:r>
      <w:r w:rsidR="00000D53" w:rsidRPr="001D643B">
        <w:t>the generic designation of the variet</w:t>
      </w:r>
      <w:r w:rsidR="000C0544">
        <w:rPr>
          <w:rFonts w:hint="eastAsia"/>
          <w:lang w:eastAsia="ja-JP"/>
        </w:rPr>
        <w:t>y</w:t>
      </w:r>
      <w:r w:rsidR="00000D53" w:rsidRPr="001D643B">
        <w:rPr>
          <w:rFonts w:hint="eastAsia"/>
          <w:lang w:eastAsia="ja-JP"/>
        </w:rPr>
        <w:t>.</w:t>
      </w:r>
      <w:r w:rsidR="0081658A" w:rsidRPr="001D643B">
        <w:rPr>
          <w:rFonts w:hint="eastAsia"/>
          <w:lang w:eastAsia="ja-JP"/>
        </w:rPr>
        <w:t xml:space="preserve">  </w:t>
      </w:r>
      <w:r w:rsidR="00C67027">
        <w:rPr>
          <w:rFonts w:hint="eastAsia"/>
          <w:lang w:eastAsia="ja-JP"/>
        </w:rPr>
        <w:t>It was</w:t>
      </w:r>
      <w:r w:rsidR="00787ED8" w:rsidRPr="001D643B">
        <w:rPr>
          <w:rFonts w:hint="eastAsia"/>
          <w:lang w:eastAsia="ja-JP"/>
        </w:rPr>
        <w:t xml:space="preserve"> noted that the situation</w:t>
      </w:r>
      <w:r w:rsidR="00983DBD" w:rsidRPr="001D643B">
        <w:rPr>
          <w:lang w:eastAsia="ja-JP"/>
        </w:rPr>
        <w:t xml:space="preserve"> differ</w:t>
      </w:r>
      <w:r w:rsidR="00CD32C2">
        <w:rPr>
          <w:lang w:eastAsia="ja-JP"/>
        </w:rPr>
        <w:t>ed</w:t>
      </w:r>
      <w:r w:rsidR="00C67027">
        <w:rPr>
          <w:rFonts w:hint="eastAsia"/>
          <w:lang w:eastAsia="ja-JP"/>
        </w:rPr>
        <w:t xml:space="preserve"> according to</w:t>
      </w:r>
      <w:r w:rsidR="00983DBD" w:rsidRPr="001D643B">
        <w:rPr>
          <w:lang w:eastAsia="ja-JP"/>
        </w:rPr>
        <w:t xml:space="preserve"> </w:t>
      </w:r>
      <w:r w:rsidR="00D268AA">
        <w:rPr>
          <w:lang w:eastAsia="ja-JP"/>
        </w:rPr>
        <w:t xml:space="preserve">the </w:t>
      </w:r>
      <w:r w:rsidR="00983DBD" w:rsidRPr="001D643B">
        <w:rPr>
          <w:lang w:eastAsia="ja-JP"/>
        </w:rPr>
        <w:t>legislation</w:t>
      </w:r>
      <w:r w:rsidR="00D268AA">
        <w:rPr>
          <w:lang w:eastAsia="ja-JP"/>
        </w:rPr>
        <w:t xml:space="preserve"> of </w:t>
      </w:r>
      <w:r w:rsidR="000C0544">
        <w:rPr>
          <w:rFonts w:hint="eastAsia"/>
          <w:lang w:eastAsia="ja-JP"/>
        </w:rPr>
        <w:t xml:space="preserve">the </w:t>
      </w:r>
      <w:r w:rsidR="00D268AA">
        <w:rPr>
          <w:lang w:eastAsia="ja-JP"/>
        </w:rPr>
        <w:t>members of the Union</w:t>
      </w:r>
      <w:r w:rsidR="001D643B" w:rsidRPr="001D643B">
        <w:rPr>
          <w:lang w:eastAsia="ja-JP"/>
        </w:rPr>
        <w:t>.</w:t>
      </w:r>
      <w:r w:rsidR="00260F9A" w:rsidRPr="00833B99">
        <w:t xml:space="preserve"> </w:t>
      </w:r>
    </w:p>
    <w:p w:rsidR="001D643B" w:rsidRPr="005E5D45" w:rsidRDefault="001D643B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EE03E2" w:rsidRDefault="00983DBD">
      <w:pPr>
        <w:pStyle w:val="ListParagraph"/>
        <w:autoSpaceDE w:val="0"/>
        <w:autoSpaceDN w:val="0"/>
        <w:adjustRightInd w:val="0"/>
        <w:ind w:left="0"/>
        <w:rPr>
          <w:lang w:eastAsia="ja-JP"/>
        </w:rPr>
      </w:pPr>
      <w:r w:rsidRPr="001D643B">
        <w:fldChar w:fldCharType="begin"/>
      </w:r>
      <w:r w:rsidRPr="001D643B">
        <w:instrText xml:space="preserve"> AUTONUM  </w:instrText>
      </w:r>
      <w:r w:rsidRPr="001D643B">
        <w:fldChar w:fldCharType="end"/>
      </w:r>
      <w:r w:rsidRPr="001D643B">
        <w:tab/>
      </w:r>
      <w:r w:rsidRPr="001D643B">
        <w:rPr>
          <w:lang w:eastAsia="ja-JP"/>
        </w:rPr>
        <w:t>The WG-DEN agreed to consider</w:t>
      </w:r>
      <w:r w:rsidR="00C67027">
        <w:rPr>
          <w:rFonts w:hint="eastAsia"/>
          <w:lang w:eastAsia="ja-JP"/>
        </w:rPr>
        <w:t>,</w:t>
      </w:r>
      <w:r w:rsidR="00FB7001" w:rsidRPr="001D643B">
        <w:rPr>
          <w:lang w:eastAsia="ja-JP"/>
        </w:rPr>
        <w:t xml:space="preserve"> at </w:t>
      </w:r>
      <w:r w:rsidR="00A51599" w:rsidRPr="001D643B">
        <w:rPr>
          <w:lang w:eastAsia="ja-JP"/>
        </w:rPr>
        <w:t xml:space="preserve">its </w:t>
      </w:r>
      <w:r w:rsidR="00FB7001" w:rsidRPr="001D643B">
        <w:rPr>
          <w:lang w:eastAsia="ja-JP"/>
        </w:rPr>
        <w:t>third</w:t>
      </w:r>
      <w:r w:rsidRPr="001D643B">
        <w:rPr>
          <w:lang w:eastAsia="ja-JP"/>
        </w:rPr>
        <w:t xml:space="preserve"> meeting</w:t>
      </w:r>
      <w:r w:rsidR="00C67027">
        <w:rPr>
          <w:rFonts w:hint="eastAsia"/>
          <w:lang w:eastAsia="ja-JP"/>
        </w:rPr>
        <w:t>,</w:t>
      </w:r>
      <w:r w:rsidR="00A20694" w:rsidRPr="001D643B">
        <w:rPr>
          <w:rFonts w:hint="eastAsia"/>
          <w:lang w:eastAsia="ja-JP"/>
        </w:rPr>
        <w:t xml:space="preserve"> </w:t>
      </w:r>
      <w:r w:rsidR="00AC7148" w:rsidRPr="001D643B">
        <w:rPr>
          <w:rFonts w:hint="eastAsia"/>
          <w:lang w:eastAsia="ja-JP"/>
        </w:rPr>
        <w:t>a proposal</w:t>
      </w:r>
      <w:r w:rsidR="00A20694" w:rsidRPr="001D643B">
        <w:rPr>
          <w:rFonts w:hint="eastAsia"/>
          <w:lang w:eastAsia="ja-JP"/>
        </w:rPr>
        <w:t xml:space="preserve"> that</w:t>
      </w:r>
      <w:r w:rsidR="00AC7148" w:rsidRPr="001D643B">
        <w:rPr>
          <w:rFonts w:hint="eastAsia"/>
          <w:lang w:eastAsia="ja-JP"/>
        </w:rPr>
        <w:t xml:space="preserve"> </w:t>
      </w:r>
      <w:r w:rsidR="00A20694" w:rsidRPr="001D643B">
        <w:rPr>
          <w:rFonts w:hint="eastAsia"/>
          <w:lang w:eastAsia="ja-JP"/>
        </w:rPr>
        <w:t>if an authority d</w:t>
      </w:r>
      <w:r w:rsidR="00C67027">
        <w:rPr>
          <w:rFonts w:hint="eastAsia"/>
          <w:lang w:eastAsia="ja-JP"/>
        </w:rPr>
        <w:t>id</w:t>
      </w:r>
      <w:r w:rsidR="00A20694" w:rsidRPr="001D643B">
        <w:rPr>
          <w:rFonts w:hint="eastAsia"/>
          <w:lang w:eastAsia="ja-JP"/>
        </w:rPr>
        <w:t xml:space="preserve"> allow a denomination to be registered </w:t>
      </w:r>
      <w:r w:rsidR="0094715A">
        <w:rPr>
          <w:lang w:eastAsia="ja-JP"/>
        </w:rPr>
        <w:t>when</w:t>
      </w:r>
      <w:r w:rsidR="0094715A" w:rsidRPr="0094715A">
        <w:rPr>
          <w:lang w:eastAsia="ja-JP"/>
        </w:rPr>
        <w:t xml:space="preserve"> the breeder of the variety </w:t>
      </w:r>
      <w:r w:rsidR="00C67027">
        <w:rPr>
          <w:rFonts w:hint="eastAsia"/>
          <w:lang w:eastAsia="ja-JP"/>
        </w:rPr>
        <w:t>was</w:t>
      </w:r>
      <w:r w:rsidR="0094715A" w:rsidRPr="0094715A">
        <w:rPr>
          <w:lang w:eastAsia="ja-JP"/>
        </w:rPr>
        <w:t xml:space="preserve"> also the holder of a trademark </w:t>
      </w:r>
      <w:r w:rsidR="00C67027">
        <w:rPr>
          <w:rFonts w:hint="eastAsia"/>
          <w:lang w:eastAsia="ja-JP"/>
        </w:rPr>
        <w:t>that was</w:t>
      </w:r>
      <w:r w:rsidR="0094715A" w:rsidRPr="0094715A">
        <w:rPr>
          <w:lang w:eastAsia="ja-JP"/>
        </w:rPr>
        <w:t xml:space="preserve"> </w:t>
      </w:r>
      <w:r w:rsidR="0094715A" w:rsidRPr="0094715A">
        <w:rPr>
          <w:lang w:eastAsia="ja-JP"/>
        </w:rPr>
        <w:lastRenderedPageBreak/>
        <w:t>identical to the variety denomination</w:t>
      </w:r>
      <w:r w:rsidR="0094715A">
        <w:rPr>
          <w:lang w:eastAsia="ja-JP"/>
        </w:rPr>
        <w:t xml:space="preserve">, the authority should inform the breeder of the obligation to allow </w:t>
      </w:r>
      <w:r w:rsidR="00EE03E2" w:rsidRPr="00EE03E2">
        <w:rPr>
          <w:lang w:eastAsia="ja-JP"/>
        </w:rPr>
        <w:t>the use of the denomination in connection with the variety, even after the expiration of the breeder’s right</w:t>
      </w:r>
      <w:r w:rsidR="0094715A">
        <w:rPr>
          <w:lang w:eastAsia="ja-JP"/>
        </w:rPr>
        <w:t>.</w:t>
      </w:r>
    </w:p>
    <w:p w:rsidR="006F2F72" w:rsidRDefault="006F2F7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A20694" w:rsidRPr="005E5D45" w:rsidRDefault="00A2069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73815" w:rsidRPr="008F47E2" w:rsidRDefault="00B73815" w:rsidP="006B662B">
      <w:pPr>
        <w:pStyle w:val="Heading2"/>
      </w:pPr>
      <w:r w:rsidRPr="008F47E2">
        <w:t>Section 2 “Characteristics of the denomination”</w:t>
      </w:r>
    </w:p>
    <w:p w:rsidR="00B73815" w:rsidRPr="008F47E2" w:rsidRDefault="00B73815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73815" w:rsidRPr="008F47E2" w:rsidRDefault="00B73815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567B56" w:rsidRPr="008F47E2">
        <w:rPr>
          <w:lang w:eastAsia="ja-JP"/>
        </w:rPr>
        <w:t xml:space="preserve">The WG-DEN noted </w:t>
      </w:r>
      <w:r w:rsidRPr="008F47E2">
        <w:rPr>
          <w:lang w:eastAsia="ja-JP"/>
        </w:rPr>
        <w:t>that</w:t>
      </w:r>
      <w:r w:rsidR="00567B56" w:rsidRPr="008F47E2">
        <w:rPr>
          <w:lang w:eastAsia="ja-JP"/>
        </w:rPr>
        <w:t>, at i</w:t>
      </w:r>
      <w:r w:rsidR="000446F9" w:rsidRPr="008F47E2">
        <w:rPr>
          <w:lang w:eastAsia="ja-JP"/>
        </w:rPr>
        <w:t>t</w:t>
      </w:r>
      <w:r w:rsidR="00567B56" w:rsidRPr="008F47E2">
        <w:rPr>
          <w:lang w:eastAsia="ja-JP"/>
        </w:rPr>
        <w:t xml:space="preserve">s first meeting, </w:t>
      </w:r>
      <w:r w:rsidR="00A51599" w:rsidRPr="008F47E2">
        <w:rPr>
          <w:lang w:eastAsia="ja-JP"/>
        </w:rPr>
        <w:t xml:space="preserve">it had </w:t>
      </w:r>
      <w:r w:rsidR="0094715A" w:rsidRPr="008F47E2">
        <w:rPr>
          <w:lang w:eastAsia="ja-JP"/>
        </w:rPr>
        <w:t>identified</w:t>
      </w:r>
      <w:r w:rsidR="00A51599" w:rsidRPr="008F47E2">
        <w:rPr>
          <w:lang w:eastAsia="ja-JP"/>
        </w:rPr>
        <w:t xml:space="preserve"> </w:t>
      </w:r>
      <w:r w:rsidR="003036ED" w:rsidRPr="008F47E2">
        <w:rPr>
          <w:lang w:eastAsia="ja-JP"/>
        </w:rPr>
        <w:t>four</w:t>
      </w:r>
      <w:r w:rsidRPr="008F47E2">
        <w:rPr>
          <w:lang w:eastAsia="ja-JP"/>
        </w:rPr>
        <w:t xml:space="preserve"> categories of denomination</w:t>
      </w:r>
      <w:r w:rsidR="00716197" w:rsidRPr="008F47E2">
        <w:rPr>
          <w:lang w:eastAsia="ja-JP"/>
        </w:rPr>
        <w:t>s</w:t>
      </w:r>
      <w:r w:rsidR="00DE754B" w:rsidRPr="008F47E2">
        <w:rPr>
          <w:lang w:eastAsia="ja-JP"/>
        </w:rPr>
        <w:t xml:space="preserve">: </w:t>
      </w:r>
      <w:r w:rsidRPr="008F47E2">
        <w:rPr>
          <w:lang w:eastAsia="ja-JP"/>
        </w:rPr>
        <w:t xml:space="preserve"> </w:t>
      </w:r>
      <w:r w:rsidR="003036ED" w:rsidRPr="008F47E2">
        <w:rPr>
          <w:lang w:eastAsia="ja-JP"/>
        </w:rPr>
        <w:t xml:space="preserve">pronounceable </w:t>
      </w:r>
      <w:r w:rsidRPr="008F47E2">
        <w:rPr>
          <w:lang w:eastAsia="ja-JP"/>
        </w:rPr>
        <w:t>words</w:t>
      </w:r>
      <w:r w:rsidR="00DE754B" w:rsidRPr="008F47E2">
        <w:rPr>
          <w:lang w:eastAsia="ja-JP"/>
        </w:rPr>
        <w:t xml:space="preserve">; </w:t>
      </w:r>
      <w:r w:rsidR="006D5575" w:rsidRPr="008F47E2">
        <w:rPr>
          <w:lang w:eastAsia="ja-JP"/>
        </w:rPr>
        <w:t>letters only (not in the form of pronounceable words)</w:t>
      </w:r>
      <w:r w:rsidR="00DE754B" w:rsidRPr="008F47E2">
        <w:rPr>
          <w:lang w:eastAsia="ja-JP"/>
        </w:rPr>
        <w:t xml:space="preserve">; </w:t>
      </w:r>
      <w:r w:rsidRPr="008F47E2">
        <w:rPr>
          <w:lang w:eastAsia="ja-JP"/>
        </w:rPr>
        <w:t xml:space="preserve">letters and </w:t>
      </w:r>
      <w:r w:rsidR="003036ED" w:rsidRPr="008F47E2">
        <w:rPr>
          <w:lang w:eastAsia="ja-JP"/>
        </w:rPr>
        <w:t>figures</w:t>
      </w:r>
      <w:r w:rsidR="00DE754B" w:rsidRPr="008F47E2">
        <w:rPr>
          <w:lang w:eastAsia="ja-JP"/>
        </w:rPr>
        <w:t xml:space="preserve">; </w:t>
      </w:r>
      <w:r w:rsidR="003036ED" w:rsidRPr="008F47E2">
        <w:rPr>
          <w:lang w:eastAsia="ja-JP"/>
        </w:rPr>
        <w:t>and figures</w:t>
      </w:r>
      <w:r w:rsidR="00716197" w:rsidRPr="008F47E2">
        <w:rPr>
          <w:lang w:eastAsia="ja-JP"/>
        </w:rPr>
        <w:t xml:space="preserve"> only</w:t>
      </w:r>
      <w:r w:rsidRPr="008F47E2">
        <w:rPr>
          <w:lang w:eastAsia="ja-JP"/>
        </w:rPr>
        <w:t>.</w:t>
      </w:r>
    </w:p>
    <w:p w:rsidR="00983DBD" w:rsidRPr="008F47E2" w:rsidRDefault="00983DBD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FB7001" w:rsidRPr="008F47E2" w:rsidRDefault="00983DBD" w:rsidP="00FB7001">
      <w:pPr>
        <w:pStyle w:val="ListParagraph"/>
        <w:autoSpaceDE w:val="0"/>
        <w:autoSpaceDN w:val="0"/>
        <w:adjustRightInd w:val="0"/>
        <w:ind w:left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CD32C2">
        <w:rPr>
          <w:lang w:eastAsia="ja-JP"/>
        </w:rPr>
        <w:t>agreed</w:t>
      </w:r>
      <w:r w:rsidR="0094715A" w:rsidRPr="008F47E2">
        <w:rPr>
          <w:lang w:eastAsia="ja-JP"/>
        </w:rPr>
        <w:t xml:space="preserve"> </w:t>
      </w:r>
      <w:r w:rsidR="00A51599" w:rsidRPr="008F47E2">
        <w:rPr>
          <w:lang w:eastAsia="ja-JP"/>
        </w:rPr>
        <w:t xml:space="preserve">that </w:t>
      </w:r>
      <w:r w:rsidRPr="008F47E2">
        <w:rPr>
          <w:lang w:eastAsia="ja-JP"/>
        </w:rPr>
        <w:t xml:space="preserve">the definition of </w:t>
      </w:r>
      <w:r w:rsidR="000446F9" w:rsidRPr="008F47E2">
        <w:rPr>
          <w:lang w:eastAsia="ja-JP"/>
        </w:rPr>
        <w:t>“</w:t>
      </w:r>
      <w:r w:rsidRPr="008F47E2">
        <w:rPr>
          <w:lang w:eastAsia="ja-JP"/>
        </w:rPr>
        <w:t>words</w:t>
      </w:r>
      <w:r w:rsidR="000446F9" w:rsidRPr="008F47E2">
        <w:rPr>
          <w:lang w:eastAsia="ja-JP"/>
        </w:rPr>
        <w:t>”</w:t>
      </w:r>
      <w:r w:rsidRPr="008F47E2">
        <w:rPr>
          <w:lang w:eastAsia="ja-JP"/>
        </w:rPr>
        <w:t xml:space="preserve"> </w:t>
      </w:r>
      <w:r w:rsidR="00FB7001" w:rsidRPr="008F47E2">
        <w:rPr>
          <w:lang w:eastAsia="ja-JP"/>
        </w:rPr>
        <w:t xml:space="preserve">and </w:t>
      </w:r>
      <w:r w:rsidR="00A51599" w:rsidRPr="008F47E2">
        <w:rPr>
          <w:lang w:eastAsia="ja-JP"/>
        </w:rPr>
        <w:t xml:space="preserve">the </w:t>
      </w:r>
      <w:r w:rsidR="00FB7001" w:rsidRPr="008F47E2">
        <w:rPr>
          <w:lang w:eastAsia="ja-JP"/>
        </w:rPr>
        <w:t>categor</w:t>
      </w:r>
      <w:r w:rsidR="000446F9" w:rsidRPr="008F47E2">
        <w:rPr>
          <w:lang w:eastAsia="ja-JP"/>
        </w:rPr>
        <w:t>ies</w:t>
      </w:r>
      <w:r w:rsidR="00FB7001" w:rsidRPr="008F47E2">
        <w:rPr>
          <w:lang w:eastAsia="ja-JP"/>
        </w:rPr>
        <w:t xml:space="preserve"> </w:t>
      </w:r>
      <w:r w:rsidRPr="008F47E2">
        <w:rPr>
          <w:lang w:eastAsia="ja-JP"/>
        </w:rPr>
        <w:t>would need further consideration</w:t>
      </w:r>
      <w:r w:rsidR="00FB7001" w:rsidRPr="008F47E2">
        <w:rPr>
          <w:lang w:eastAsia="ja-JP"/>
        </w:rPr>
        <w:t xml:space="preserve">, and agreed to consider </w:t>
      </w:r>
      <w:r w:rsidR="00D268AA">
        <w:rPr>
          <w:lang w:eastAsia="ja-JP"/>
        </w:rPr>
        <w:t xml:space="preserve">that </w:t>
      </w:r>
      <w:r w:rsidR="00FB7001" w:rsidRPr="008F47E2">
        <w:rPr>
          <w:lang w:eastAsia="ja-JP"/>
        </w:rPr>
        <w:t xml:space="preserve">matter at </w:t>
      </w:r>
      <w:r w:rsidR="00A51599" w:rsidRPr="008F47E2">
        <w:rPr>
          <w:lang w:eastAsia="ja-JP"/>
        </w:rPr>
        <w:t xml:space="preserve">its </w:t>
      </w:r>
      <w:r w:rsidR="00FB7001" w:rsidRPr="008F47E2">
        <w:rPr>
          <w:lang w:eastAsia="ja-JP"/>
        </w:rPr>
        <w:t>third meeting.</w:t>
      </w:r>
    </w:p>
    <w:p w:rsidR="00983DBD" w:rsidRDefault="00983DBD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0C0544" w:rsidRPr="008F47E2" w:rsidRDefault="000C0544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6C2A19" w:rsidRPr="008F47E2" w:rsidRDefault="009C0AAB" w:rsidP="000C0544">
      <w:pPr>
        <w:pStyle w:val="Heading3"/>
      </w:pPr>
      <w:r w:rsidRPr="008F47E2">
        <w:t>S</w:t>
      </w:r>
      <w:r w:rsidR="006C2A19" w:rsidRPr="008F47E2">
        <w:t>ection 2.1</w:t>
      </w:r>
      <w:r w:rsidR="00B73815" w:rsidRPr="008F47E2">
        <w:t xml:space="preserve"> “Identification”</w:t>
      </w:r>
    </w:p>
    <w:p w:rsidR="00C87FEC" w:rsidRPr="008F47E2" w:rsidRDefault="00C87FEC" w:rsidP="006B662B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C87FEC" w:rsidRPr="008F47E2" w:rsidRDefault="00C87FEC" w:rsidP="006B662B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iCs/>
          <w:spacing w:val="-4"/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245574" w:rsidRPr="008F47E2">
        <w:rPr>
          <w:rFonts w:hint="eastAsia"/>
          <w:iCs/>
          <w:spacing w:val="-4"/>
          <w:lang w:eastAsia="ja-JP"/>
        </w:rPr>
        <w:t xml:space="preserve">The WG-DEN recalled that </w:t>
      </w:r>
      <w:r w:rsidRPr="008F47E2">
        <w:rPr>
          <w:rFonts w:hint="eastAsia"/>
          <w:iCs/>
          <w:spacing w:val="-4"/>
          <w:lang w:eastAsia="ja-JP"/>
        </w:rPr>
        <w:t xml:space="preserve">Section </w:t>
      </w:r>
      <w:r w:rsidRPr="008F47E2">
        <w:rPr>
          <w:iCs/>
          <w:spacing w:val="-4"/>
          <w:lang w:eastAsia="ja-JP"/>
        </w:rPr>
        <w:t>2.3.1</w:t>
      </w:r>
      <w:r w:rsidRPr="008F47E2">
        <w:rPr>
          <w:rFonts w:hint="eastAsia"/>
          <w:iCs/>
          <w:spacing w:val="-4"/>
          <w:lang w:eastAsia="ja-JP"/>
        </w:rPr>
        <w:t xml:space="preserve"> </w:t>
      </w:r>
      <w:r w:rsidRPr="008F47E2">
        <w:rPr>
          <w:iCs/>
          <w:spacing w:val="-4"/>
          <w:lang w:eastAsia="ja-JP"/>
        </w:rPr>
        <w:t>“Characteristics of the variety”</w:t>
      </w:r>
      <w:r w:rsidRPr="008F47E2">
        <w:rPr>
          <w:rFonts w:hint="eastAsia"/>
          <w:iCs/>
          <w:spacing w:val="-4"/>
          <w:lang w:eastAsia="ja-JP"/>
        </w:rPr>
        <w:t xml:space="preserve"> </w:t>
      </w:r>
      <w:r w:rsidR="0094715A" w:rsidRPr="008F47E2">
        <w:rPr>
          <w:iCs/>
          <w:spacing w:val="-4"/>
          <w:lang w:eastAsia="ja-JP"/>
        </w:rPr>
        <w:t>provided guidance in relation to two matters (a)</w:t>
      </w:r>
      <w:r w:rsidRPr="008F47E2">
        <w:rPr>
          <w:rFonts w:hint="eastAsia"/>
          <w:iCs/>
          <w:spacing w:val="-4"/>
          <w:lang w:eastAsia="ja-JP"/>
        </w:rPr>
        <w:t xml:space="preserve"> the denomination</w:t>
      </w:r>
      <w:r w:rsidR="0094715A" w:rsidRPr="008F47E2">
        <w:rPr>
          <w:iCs/>
          <w:spacing w:val="-4"/>
          <w:lang w:eastAsia="ja-JP"/>
        </w:rPr>
        <w:t xml:space="preserve"> </w:t>
      </w:r>
      <w:r w:rsidRPr="008F47E2">
        <w:rPr>
          <w:iCs/>
          <w:spacing w:val="-4"/>
          <w:lang w:eastAsia="ja-JP"/>
        </w:rPr>
        <w:t xml:space="preserve">should not convey the impression that the variety </w:t>
      </w:r>
      <w:r w:rsidR="0094715A" w:rsidRPr="008F47E2">
        <w:rPr>
          <w:iCs/>
          <w:spacing w:val="-4"/>
          <w:lang w:eastAsia="ja-JP"/>
        </w:rPr>
        <w:t xml:space="preserve">has </w:t>
      </w:r>
      <w:r w:rsidRPr="008F47E2">
        <w:rPr>
          <w:iCs/>
          <w:spacing w:val="-4"/>
          <w:lang w:eastAsia="ja-JP"/>
        </w:rPr>
        <w:t>a particular characteristics which in reality it does not have</w:t>
      </w:r>
      <w:r w:rsidR="0094715A" w:rsidRPr="008F47E2">
        <w:rPr>
          <w:iCs/>
          <w:spacing w:val="-4"/>
          <w:lang w:eastAsia="ja-JP"/>
        </w:rPr>
        <w:t xml:space="preserve">; </w:t>
      </w:r>
      <w:r w:rsidRPr="008F47E2">
        <w:rPr>
          <w:iCs/>
          <w:spacing w:val="-4"/>
          <w:lang w:eastAsia="ja-JP"/>
        </w:rPr>
        <w:t xml:space="preserve"> and </w:t>
      </w:r>
      <w:r w:rsidR="0094715A" w:rsidRPr="008F47E2">
        <w:rPr>
          <w:iCs/>
          <w:spacing w:val="-4"/>
          <w:lang w:eastAsia="ja-JP"/>
        </w:rPr>
        <w:t xml:space="preserve">(b) the denomination should not </w:t>
      </w:r>
      <w:r w:rsidRPr="008F47E2">
        <w:rPr>
          <w:iCs/>
          <w:spacing w:val="-4"/>
          <w:lang w:eastAsia="ja-JP"/>
        </w:rPr>
        <w:t>refer to specific characteristics in such a way that the impression is created that only the variety possesses them</w:t>
      </w:r>
      <w:r w:rsidRPr="008F47E2">
        <w:rPr>
          <w:rFonts w:hint="eastAsia"/>
          <w:iCs/>
          <w:spacing w:val="-4"/>
          <w:lang w:eastAsia="ja-JP"/>
        </w:rPr>
        <w:t>,</w:t>
      </w:r>
      <w:r w:rsidRPr="008F47E2">
        <w:rPr>
          <w:iCs/>
          <w:spacing w:val="-4"/>
          <w:lang w:eastAsia="ja-JP"/>
        </w:rPr>
        <w:t xml:space="preserve"> where</w:t>
      </w:r>
      <w:r w:rsidRPr="008F47E2">
        <w:rPr>
          <w:rFonts w:hint="eastAsia"/>
          <w:iCs/>
          <w:spacing w:val="-4"/>
          <w:lang w:eastAsia="ja-JP"/>
        </w:rPr>
        <w:t>as</w:t>
      </w:r>
      <w:r w:rsidRPr="008F47E2">
        <w:rPr>
          <w:iCs/>
          <w:spacing w:val="-4"/>
          <w:lang w:eastAsia="ja-JP"/>
        </w:rPr>
        <w:t xml:space="preserve"> in fact other varieties or species </w:t>
      </w:r>
      <w:r w:rsidRPr="008F47E2">
        <w:rPr>
          <w:rFonts w:hint="eastAsia"/>
          <w:iCs/>
          <w:spacing w:val="-4"/>
          <w:lang w:eastAsia="ja-JP"/>
        </w:rPr>
        <w:t xml:space="preserve">in question </w:t>
      </w:r>
      <w:r w:rsidRPr="008F47E2">
        <w:rPr>
          <w:iCs/>
          <w:spacing w:val="-4"/>
          <w:lang w:eastAsia="ja-JP"/>
        </w:rPr>
        <w:t>also have or may have the same characteristics.</w:t>
      </w:r>
    </w:p>
    <w:p w:rsidR="00C87FEC" w:rsidRPr="008F47E2" w:rsidRDefault="00C87FEC" w:rsidP="006B662B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iCs/>
          <w:spacing w:val="-4"/>
          <w:lang w:eastAsia="ja-JP"/>
        </w:rPr>
      </w:pPr>
    </w:p>
    <w:p w:rsidR="00D268AA" w:rsidRPr="008F47E2" w:rsidRDefault="00C87FEC" w:rsidP="00D268AA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iCs/>
          <w:spacing w:val="-4"/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D268AA">
        <w:rPr>
          <w:iCs/>
          <w:spacing w:val="-4"/>
          <w:lang w:eastAsia="ja-JP"/>
        </w:rPr>
        <w:t xml:space="preserve"> </w:t>
      </w:r>
      <w:r w:rsidR="00D268AA" w:rsidRPr="008F47E2">
        <w:rPr>
          <w:rFonts w:hint="eastAsia"/>
          <w:iCs/>
          <w:spacing w:val="-4"/>
          <w:lang w:eastAsia="ja-JP"/>
        </w:rPr>
        <w:t>The WG-DEN noted that some members consider</w:t>
      </w:r>
      <w:r w:rsidR="0086390F">
        <w:rPr>
          <w:iCs/>
          <w:spacing w:val="-4"/>
          <w:lang w:eastAsia="ja-JP"/>
        </w:rPr>
        <w:t>ed</w:t>
      </w:r>
      <w:r w:rsidR="0086390F">
        <w:rPr>
          <w:rFonts w:hint="eastAsia"/>
          <w:iCs/>
          <w:spacing w:val="-4"/>
          <w:lang w:eastAsia="ja-JP"/>
        </w:rPr>
        <w:t xml:space="preserve"> th</w:t>
      </w:r>
      <w:r w:rsidR="0086390F">
        <w:rPr>
          <w:iCs/>
          <w:spacing w:val="-4"/>
          <w:lang w:eastAsia="ja-JP"/>
        </w:rPr>
        <w:t>ose two</w:t>
      </w:r>
      <w:r w:rsidR="00D268AA" w:rsidRPr="008F47E2">
        <w:rPr>
          <w:rFonts w:hint="eastAsia"/>
          <w:iCs/>
          <w:spacing w:val="-4"/>
          <w:lang w:eastAsia="ja-JP"/>
        </w:rPr>
        <w:t xml:space="preserve"> elements of </w:t>
      </w:r>
      <w:r w:rsidR="0086390F" w:rsidRPr="008F47E2">
        <w:rPr>
          <w:rFonts w:hint="eastAsia"/>
          <w:iCs/>
          <w:spacing w:val="-4"/>
          <w:lang w:eastAsia="ja-JP"/>
        </w:rPr>
        <w:t>Section 2.3.1</w:t>
      </w:r>
      <w:r w:rsidR="0086390F">
        <w:rPr>
          <w:iCs/>
          <w:spacing w:val="-4"/>
          <w:lang w:eastAsia="ja-JP"/>
        </w:rPr>
        <w:t xml:space="preserve"> “</w:t>
      </w:r>
      <w:r w:rsidR="0086390F" w:rsidRPr="00407B23">
        <w:t>Characteristics of the variety</w:t>
      </w:r>
      <w:r w:rsidR="0086390F">
        <w:t>”</w:t>
      </w:r>
      <w:r w:rsidR="0086390F">
        <w:rPr>
          <w:iCs/>
          <w:spacing w:val="-4"/>
          <w:lang w:eastAsia="ja-JP"/>
        </w:rPr>
        <w:t xml:space="preserve"> with </w:t>
      </w:r>
      <w:r w:rsidR="00D268AA" w:rsidRPr="008F47E2">
        <w:rPr>
          <w:rFonts w:hint="eastAsia"/>
          <w:iCs/>
          <w:spacing w:val="-4"/>
          <w:lang w:eastAsia="ja-JP"/>
        </w:rPr>
        <w:t xml:space="preserve">Section 2.1 </w:t>
      </w:r>
      <w:r w:rsidR="00D268AA">
        <w:rPr>
          <w:iCs/>
          <w:spacing w:val="-4"/>
          <w:lang w:eastAsia="ja-JP"/>
        </w:rPr>
        <w:t>“Identification”</w:t>
      </w:r>
      <w:r w:rsidR="0086390F">
        <w:rPr>
          <w:iCs/>
          <w:spacing w:val="-4"/>
          <w:lang w:eastAsia="ja-JP"/>
        </w:rPr>
        <w:t>.</w:t>
      </w:r>
      <w:r w:rsidR="00D268AA" w:rsidRPr="008F47E2">
        <w:rPr>
          <w:rFonts w:hint="eastAsia"/>
          <w:iCs/>
          <w:spacing w:val="-4"/>
          <w:lang w:eastAsia="ja-JP"/>
        </w:rPr>
        <w:t xml:space="preserve"> </w:t>
      </w:r>
    </w:p>
    <w:p w:rsidR="00C75D7B" w:rsidRDefault="00C75D7B" w:rsidP="00683E56">
      <w:pPr>
        <w:rPr>
          <w:lang w:eastAsia="ja-JP"/>
        </w:rPr>
      </w:pPr>
    </w:p>
    <w:p w:rsidR="00D268AA" w:rsidRPr="008F47E2" w:rsidRDefault="00D268AA" w:rsidP="00683E56">
      <w:pPr>
        <w:rPr>
          <w:lang w:eastAsia="ja-JP"/>
        </w:rPr>
      </w:pPr>
    </w:p>
    <w:p w:rsidR="006C2A19" w:rsidRPr="008F47E2" w:rsidRDefault="009C0AAB" w:rsidP="000C0544">
      <w:pPr>
        <w:pStyle w:val="Heading3"/>
      </w:pPr>
      <w:r w:rsidRPr="008F47E2">
        <w:t>S</w:t>
      </w:r>
      <w:r w:rsidR="006C2A19" w:rsidRPr="008F47E2">
        <w:t>ection 2.2</w:t>
      </w:r>
      <w:r w:rsidR="00B73815" w:rsidRPr="008F47E2">
        <w:t xml:space="preserve"> “Solely of figures”</w:t>
      </w:r>
    </w:p>
    <w:p w:rsidR="00D6561D" w:rsidRPr="008F47E2" w:rsidRDefault="00D6561D" w:rsidP="006B662B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91C08" w:rsidRPr="008F47E2" w:rsidRDefault="00991C08" w:rsidP="006B662B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C75D7B" w:rsidRPr="008F47E2">
        <w:rPr>
          <w:lang w:eastAsia="ja-JP"/>
        </w:rPr>
        <w:t>considered</w:t>
      </w:r>
      <w:r w:rsidRPr="008F47E2">
        <w:rPr>
          <w:lang w:eastAsia="ja-JP"/>
        </w:rPr>
        <w:t xml:space="preserve"> </w:t>
      </w:r>
      <w:r w:rsidR="000B16F0" w:rsidRPr="008F47E2">
        <w:rPr>
          <w:lang w:eastAsia="ja-JP"/>
        </w:rPr>
        <w:t>S</w:t>
      </w:r>
      <w:r w:rsidRPr="008F47E2">
        <w:rPr>
          <w:lang w:eastAsia="ja-JP"/>
        </w:rPr>
        <w:t>ection 2.2.2 (c).</w:t>
      </w:r>
    </w:p>
    <w:p w:rsidR="00C75D7B" w:rsidRPr="008F47E2" w:rsidRDefault="00C75D7B" w:rsidP="00C75D7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91C08" w:rsidRPr="008F47E2" w:rsidRDefault="00C75D7B" w:rsidP="00C75D7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noted that </w:t>
      </w:r>
      <w:r w:rsidR="008E19CB" w:rsidRPr="008F47E2">
        <w:rPr>
          <w:lang w:eastAsia="ja-JP"/>
        </w:rPr>
        <w:t xml:space="preserve">the </w:t>
      </w:r>
      <w:r w:rsidRPr="008F47E2">
        <w:rPr>
          <w:lang w:eastAsia="ja-JP"/>
        </w:rPr>
        <w:t xml:space="preserve">current text </w:t>
      </w:r>
      <w:r w:rsidR="00C67027">
        <w:rPr>
          <w:rFonts w:hint="eastAsia"/>
          <w:lang w:eastAsia="ja-JP"/>
        </w:rPr>
        <w:t>could eventually</w:t>
      </w:r>
      <w:r w:rsidRPr="008F47E2">
        <w:rPr>
          <w:lang w:eastAsia="ja-JP"/>
        </w:rPr>
        <w:t xml:space="preserve"> </w:t>
      </w:r>
      <w:r w:rsidR="00C87FEC" w:rsidRPr="008F47E2">
        <w:rPr>
          <w:rFonts w:hint="eastAsia"/>
          <w:lang w:eastAsia="ja-JP"/>
        </w:rPr>
        <w:t xml:space="preserve">allow </w:t>
      </w:r>
      <w:r w:rsidR="00C67027">
        <w:rPr>
          <w:rFonts w:hint="eastAsia"/>
          <w:lang w:eastAsia="ja-JP"/>
        </w:rPr>
        <w:t>the use of</w:t>
      </w:r>
      <w:r w:rsidRPr="008F47E2">
        <w:rPr>
          <w:lang w:eastAsia="ja-JP"/>
        </w:rPr>
        <w:t xml:space="preserve"> a denomination </w:t>
      </w:r>
      <w:r w:rsidR="00C67027">
        <w:rPr>
          <w:rFonts w:hint="eastAsia"/>
          <w:lang w:eastAsia="ja-JP"/>
        </w:rPr>
        <w:t xml:space="preserve">consisting </w:t>
      </w:r>
      <w:r w:rsidRPr="008F47E2">
        <w:rPr>
          <w:lang w:eastAsia="ja-JP"/>
        </w:rPr>
        <w:t xml:space="preserve">solely of figures </w:t>
      </w:r>
      <w:r w:rsidR="00C67027">
        <w:rPr>
          <w:rFonts w:hint="eastAsia"/>
          <w:lang w:eastAsia="ja-JP"/>
        </w:rPr>
        <w:t>in</w:t>
      </w:r>
      <w:r w:rsidRPr="008F47E2">
        <w:rPr>
          <w:lang w:eastAsia="ja-JP"/>
        </w:rPr>
        <w:t xml:space="preserve"> all denomination classes, and agreed </w:t>
      </w:r>
      <w:r w:rsidR="00C67027">
        <w:rPr>
          <w:rFonts w:hint="eastAsia"/>
          <w:lang w:eastAsia="ja-JP"/>
        </w:rPr>
        <w:t>that</w:t>
      </w:r>
      <w:r w:rsidRPr="008F47E2">
        <w:rPr>
          <w:lang w:eastAsia="ja-JP"/>
        </w:rPr>
        <w:t xml:space="preserve"> the current text</w:t>
      </w:r>
      <w:r w:rsidR="00C67027">
        <w:rPr>
          <w:rFonts w:hint="eastAsia"/>
          <w:lang w:eastAsia="ja-JP"/>
        </w:rPr>
        <w:t xml:space="preserve"> was appropriate</w:t>
      </w:r>
      <w:r w:rsidR="0086390F">
        <w:rPr>
          <w:lang w:eastAsia="ja-JP"/>
        </w:rPr>
        <w:t>,</w:t>
      </w:r>
      <w:r w:rsidR="00CD32C2">
        <w:rPr>
          <w:lang w:eastAsia="ja-JP"/>
        </w:rPr>
        <w:t xml:space="preserve"> </w:t>
      </w:r>
      <w:r w:rsidR="0086390F">
        <w:rPr>
          <w:lang w:eastAsia="ja-JP"/>
        </w:rPr>
        <w:t>o</w:t>
      </w:r>
      <w:r w:rsidR="00CD32C2">
        <w:rPr>
          <w:lang w:eastAsia="ja-JP"/>
        </w:rPr>
        <w:t>n that basis</w:t>
      </w:r>
      <w:r w:rsidRPr="008F47E2">
        <w:rPr>
          <w:lang w:eastAsia="ja-JP"/>
        </w:rPr>
        <w:t>.</w:t>
      </w:r>
    </w:p>
    <w:p w:rsidR="00AC7148" w:rsidRDefault="00AC7148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0C0544" w:rsidRPr="008F47E2" w:rsidRDefault="000C0544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F1308C" w:rsidRPr="008F47E2" w:rsidRDefault="009C0AAB" w:rsidP="000C0544">
      <w:pPr>
        <w:pStyle w:val="Heading3"/>
      </w:pPr>
      <w:r w:rsidRPr="008F47E2">
        <w:t>S</w:t>
      </w:r>
      <w:r w:rsidR="00F1308C" w:rsidRPr="008F47E2">
        <w:t>ection 2.3</w:t>
      </w:r>
      <w:r w:rsidR="00573E87" w:rsidRPr="008F47E2">
        <w:t xml:space="preserve"> “Liable to mislead or to cause confusion”</w:t>
      </w:r>
    </w:p>
    <w:p w:rsidR="00F1308C" w:rsidRPr="008F47E2" w:rsidRDefault="00F1308C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A1D3E" w:rsidRPr="008F47E2" w:rsidRDefault="009A1D3E" w:rsidP="00833B99">
      <w:pPr>
        <w:pStyle w:val="Heading4"/>
        <w:rPr>
          <w:lang w:eastAsia="ja-JP"/>
        </w:rPr>
      </w:pPr>
      <w:proofErr w:type="spellStart"/>
      <w:r w:rsidRPr="008F47E2">
        <w:rPr>
          <w:lang w:eastAsia="ja-JP"/>
        </w:rPr>
        <w:t>Three</w:t>
      </w:r>
      <w:proofErr w:type="spellEnd"/>
      <w:r w:rsidRPr="008F47E2">
        <w:rPr>
          <w:lang w:eastAsia="ja-JP"/>
        </w:rPr>
        <w:t xml:space="preserve"> aspects: </w:t>
      </w:r>
      <w:proofErr w:type="spellStart"/>
      <w:r w:rsidRPr="008F47E2">
        <w:rPr>
          <w:lang w:eastAsia="ja-JP"/>
        </w:rPr>
        <w:t>visual</w:t>
      </w:r>
      <w:proofErr w:type="spellEnd"/>
      <w:r w:rsidRPr="008F47E2">
        <w:rPr>
          <w:lang w:eastAsia="ja-JP"/>
        </w:rPr>
        <w:t xml:space="preserve">; </w:t>
      </w:r>
      <w:proofErr w:type="spellStart"/>
      <w:r w:rsidRPr="008F47E2">
        <w:rPr>
          <w:lang w:eastAsia="ja-JP"/>
        </w:rPr>
        <w:t>phonetic</w:t>
      </w:r>
      <w:proofErr w:type="spellEnd"/>
      <w:r w:rsidRPr="008F47E2">
        <w:rPr>
          <w:lang w:eastAsia="ja-JP"/>
        </w:rPr>
        <w:t xml:space="preserve">; and </w:t>
      </w:r>
      <w:proofErr w:type="spellStart"/>
      <w:r w:rsidRPr="008F47E2">
        <w:rPr>
          <w:lang w:eastAsia="ja-JP"/>
        </w:rPr>
        <w:t>conceptual</w:t>
      </w:r>
      <w:proofErr w:type="spellEnd"/>
    </w:p>
    <w:p w:rsidR="009A1D3E" w:rsidRPr="008F47E2" w:rsidRDefault="009A1D3E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91C08" w:rsidRPr="008F47E2" w:rsidRDefault="00991C08" w:rsidP="00C75D7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6E7583" w:rsidRPr="008F47E2">
        <w:rPr>
          <w:lang w:eastAsia="ja-JP"/>
        </w:rPr>
        <w:t xml:space="preserve">received </w:t>
      </w:r>
      <w:r w:rsidR="001813AA" w:rsidRPr="008F47E2">
        <w:rPr>
          <w:lang w:eastAsia="ja-JP"/>
        </w:rPr>
        <w:t xml:space="preserve">an </w:t>
      </w:r>
      <w:r w:rsidR="006E7583" w:rsidRPr="008F47E2">
        <w:rPr>
          <w:lang w:eastAsia="ja-JP"/>
        </w:rPr>
        <w:t xml:space="preserve">explanation </w:t>
      </w:r>
      <w:r w:rsidR="001813AA" w:rsidRPr="008F47E2">
        <w:rPr>
          <w:lang w:eastAsia="ja-JP"/>
        </w:rPr>
        <w:t xml:space="preserve">from the </w:t>
      </w:r>
      <w:r w:rsidR="000B16F0" w:rsidRPr="008F47E2">
        <w:rPr>
          <w:lang w:eastAsia="ja-JP"/>
        </w:rPr>
        <w:t>Community Plant Variety Office of the European Union (</w:t>
      </w:r>
      <w:r w:rsidR="00FB7BF1" w:rsidRPr="008F47E2">
        <w:rPr>
          <w:lang w:eastAsia="ja-JP"/>
        </w:rPr>
        <w:t>CPVO</w:t>
      </w:r>
      <w:r w:rsidR="000B16F0" w:rsidRPr="008F47E2">
        <w:rPr>
          <w:lang w:eastAsia="ja-JP"/>
        </w:rPr>
        <w:t>)</w:t>
      </w:r>
      <w:r w:rsidR="00FB7BF1" w:rsidRPr="008F47E2">
        <w:rPr>
          <w:lang w:eastAsia="ja-JP"/>
        </w:rPr>
        <w:t xml:space="preserve"> </w:t>
      </w:r>
      <w:r w:rsidR="006E7583" w:rsidRPr="008F47E2">
        <w:rPr>
          <w:lang w:eastAsia="ja-JP"/>
        </w:rPr>
        <w:t>on</w:t>
      </w:r>
      <w:r w:rsidRPr="008F47E2">
        <w:rPr>
          <w:lang w:eastAsia="ja-JP"/>
        </w:rPr>
        <w:t xml:space="preserve"> </w:t>
      </w:r>
      <w:r w:rsidR="00CD32C2">
        <w:rPr>
          <w:lang w:eastAsia="ja-JP"/>
        </w:rPr>
        <w:t xml:space="preserve">the </w:t>
      </w:r>
      <w:r w:rsidRPr="008F47E2">
        <w:rPr>
          <w:lang w:eastAsia="ja-JP"/>
        </w:rPr>
        <w:t xml:space="preserve">three aspects </w:t>
      </w:r>
      <w:r w:rsidR="00CD32C2">
        <w:rPr>
          <w:lang w:eastAsia="ja-JP"/>
        </w:rPr>
        <w:t xml:space="preserve">it used </w:t>
      </w:r>
      <w:r w:rsidRPr="008F47E2">
        <w:rPr>
          <w:lang w:eastAsia="ja-JP"/>
        </w:rPr>
        <w:t>in the examination of variety denominations:</w:t>
      </w:r>
      <w:r w:rsidR="001813AA" w:rsidRPr="008F47E2">
        <w:rPr>
          <w:lang w:eastAsia="ja-JP"/>
        </w:rPr>
        <w:t xml:space="preserve"> </w:t>
      </w:r>
      <w:r w:rsidRPr="008F47E2">
        <w:rPr>
          <w:lang w:eastAsia="ja-JP"/>
        </w:rPr>
        <w:t xml:space="preserve"> visual; phonetic; and conceptual.</w:t>
      </w:r>
    </w:p>
    <w:p w:rsidR="00991C08" w:rsidRPr="008F47E2" w:rsidRDefault="00991C08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A1D3E" w:rsidRPr="008F47E2" w:rsidRDefault="00C75D7B" w:rsidP="009A1D3E">
      <w:pPr>
        <w:pStyle w:val="ListParagraph"/>
        <w:autoSpaceDE w:val="0"/>
        <w:autoSpaceDN w:val="0"/>
        <w:adjustRightInd w:val="0"/>
        <w:ind w:left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agreed to request CPVO to provide more information on the </w:t>
      </w:r>
      <w:r w:rsidR="000B16F0" w:rsidRPr="008F47E2">
        <w:rPr>
          <w:lang w:eastAsia="ja-JP"/>
        </w:rPr>
        <w:t xml:space="preserve">guiding </w:t>
      </w:r>
      <w:r w:rsidR="00AA74B5" w:rsidRPr="008F47E2">
        <w:rPr>
          <w:rFonts w:hint="eastAsia"/>
          <w:lang w:eastAsia="ja-JP"/>
        </w:rPr>
        <w:t>principle</w:t>
      </w:r>
      <w:r w:rsidR="000B16F0" w:rsidRPr="008F47E2">
        <w:rPr>
          <w:lang w:eastAsia="ja-JP"/>
        </w:rPr>
        <w:t>s</w:t>
      </w:r>
      <w:r w:rsidR="00AA74B5" w:rsidRPr="008F47E2">
        <w:rPr>
          <w:rFonts w:hint="eastAsia"/>
          <w:lang w:eastAsia="ja-JP"/>
        </w:rPr>
        <w:t xml:space="preserve"> </w:t>
      </w:r>
      <w:r w:rsidR="000B16F0" w:rsidRPr="008F47E2">
        <w:rPr>
          <w:lang w:eastAsia="ja-JP"/>
        </w:rPr>
        <w:t xml:space="preserve">in </w:t>
      </w:r>
      <w:r w:rsidR="00AA74B5" w:rsidRPr="008F47E2">
        <w:rPr>
          <w:rFonts w:hint="eastAsia"/>
          <w:lang w:eastAsia="ja-JP"/>
        </w:rPr>
        <w:t xml:space="preserve">applying </w:t>
      </w:r>
      <w:r w:rsidR="000B16F0" w:rsidRPr="008F47E2">
        <w:rPr>
          <w:lang w:eastAsia="ja-JP"/>
        </w:rPr>
        <w:t xml:space="preserve">the </w:t>
      </w:r>
      <w:r w:rsidR="00AA74B5" w:rsidRPr="008F47E2">
        <w:rPr>
          <w:lang w:eastAsia="ja-JP"/>
        </w:rPr>
        <w:t>visual</w:t>
      </w:r>
      <w:r w:rsidR="000B16F0" w:rsidRPr="008F47E2">
        <w:rPr>
          <w:lang w:eastAsia="ja-JP"/>
        </w:rPr>
        <w:t xml:space="preserve">, </w:t>
      </w:r>
      <w:r w:rsidR="00AA74B5" w:rsidRPr="008F47E2">
        <w:rPr>
          <w:lang w:eastAsia="ja-JP"/>
        </w:rPr>
        <w:t>phonetic</w:t>
      </w:r>
      <w:r w:rsidR="000B16F0" w:rsidRPr="008F47E2">
        <w:rPr>
          <w:lang w:eastAsia="ja-JP"/>
        </w:rPr>
        <w:t xml:space="preserve">, </w:t>
      </w:r>
      <w:r w:rsidR="00AA74B5" w:rsidRPr="008F47E2">
        <w:rPr>
          <w:lang w:eastAsia="ja-JP"/>
        </w:rPr>
        <w:t>and conceptual</w:t>
      </w:r>
      <w:r w:rsidR="000B16F0" w:rsidRPr="008F47E2">
        <w:rPr>
          <w:lang w:eastAsia="ja-JP"/>
        </w:rPr>
        <w:t xml:space="preserve"> aspects</w:t>
      </w:r>
      <w:r w:rsidR="00AA74B5" w:rsidRPr="008F47E2">
        <w:rPr>
          <w:rFonts w:hint="eastAsia"/>
          <w:lang w:eastAsia="ja-JP"/>
        </w:rPr>
        <w:t>,</w:t>
      </w:r>
      <w:r w:rsidR="00AC7148" w:rsidRPr="008F47E2">
        <w:rPr>
          <w:rFonts w:hint="eastAsia"/>
          <w:lang w:eastAsia="ja-JP"/>
        </w:rPr>
        <w:t xml:space="preserve"> </w:t>
      </w:r>
      <w:r w:rsidR="00AA74B5" w:rsidRPr="008F47E2">
        <w:rPr>
          <w:rFonts w:hint="eastAsia"/>
          <w:lang w:eastAsia="ja-JP"/>
        </w:rPr>
        <w:t xml:space="preserve">when </w:t>
      </w:r>
      <w:r w:rsidR="000B16F0" w:rsidRPr="008F47E2">
        <w:rPr>
          <w:lang w:eastAsia="ja-JP"/>
        </w:rPr>
        <w:t xml:space="preserve">examining </w:t>
      </w:r>
      <w:r w:rsidR="00AC7148" w:rsidRPr="008F47E2">
        <w:rPr>
          <w:rFonts w:hint="eastAsia"/>
          <w:lang w:eastAsia="ja-JP"/>
        </w:rPr>
        <w:t>variety denominations</w:t>
      </w:r>
      <w:r w:rsidR="009A1D3E" w:rsidRPr="008F47E2">
        <w:rPr>
          <w:lang w:eastAsia="ja-JP"/>
        </w:rPr>
        <w:t>.</w:t>
      </w:r>
    </w:p>
    <w:p w:rsidR="009A1D3E" w:rsidRPr="008F47E2" w:rsidRDefault="009A1D3E" w:rsidP="009A1D3E">
      <w:pPr>
        <w:pStyle w:val="ListParagraph"/>
        <w:autoSpaceDE w:val="0"/>
        <w:autoSpaceDN w:val="0"/>
        <w:adjustRightInd w:val="0"/>
        <w:ind w:left="0"/>
        <w:rPr>
          <w:lang w:eastAsia="ja-JP"/>
        </w:rPr>
      </w:pPr>
    </w:p>
    <w:p w:rsidR="00FB7BF1" w:rsidRPr="008F47E2" w:rsidRDefault="009A1D3E" w:rsidP="009A1D3E">
      <w:pPr>
        <w:pStyle w:val="ListParagraph"/>
        <w:autoSpaceDE w:val="0"/>
        <w:autoSpaceDN w:val="0"/>
        <w:adjustRightInd w:val="0"/>
        <w:ind w:left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C67027" w:rsidRPr="008F47E2">
        <w:rPr>
          <w:lang w:eastAsia="ja-JP"/>
        </w:rPr>
        <w:t>The WG-DEN</w:t>
      </w:r>
      <w:r w:rsidR="006E5C55" w:rsidRPr="008F47E2">
        <w:rPr>
          <w:rFonts w:hint="eastAsia"/>
          <w:lang w:eastAsia="ja-JP"/>
        </w:rPr>
        <w:t xml:space="preserve"> noted that </w:t>
      </w:r>
      <w:r w:rsidR="000B16F0" w:rsidRPr="008F47E2">
        <w:rPr>
          <w:lang w:eastAsia="ja-JP"/>
        </w:rPr>
        <w:t xml:space="preserve">introducing </w:t>
      </w:r>
      <w:r w:rsidR="00C67027">
        <w:rPr>
          <w:rFonts w:hint="eastAsia"/>
          <w:lang w:eastAsia="ja-JP"/>
        </w:rPr>
        <w:t>a</w:t>
      </w:r>
      <w:r w:rsidR="000B16F0" w:rsidRPr="008F47E2">
        <w:rPr>
          <w:rFonts w:hint="eastAsia"/>
          <w:lang w:eastAsia="ja-JP"/>
        </w:rPr>
        <w:t xml:space="preserve"> </w:t>
      </w:r>
      <w:r w:rsidR="006E5C55" w:rsidRPr="008F47E2">
        <w:rPr>
          <w:rFonts w:hint="eastAsia"/>
          <w:lang w:eastAsia="ja-JP"/>
        </w:rPr>
        <w:t xml:space="preserve">conceptual aspect would </w:t>
      </w:r>
      <w:r w:rsidR="00C51FE4">
        <w:rPr>
          <w:rFonts w:hint="eastAsia"/>
          <w:lang w:eastAsia="ja-JP"/>
        </w:rPr>
        <w:t>necessitate</w:t>
      </w:r>
      <w:r w:rsidR="000B16F0" w:rsidRPr="008F47E2">
        <w:rPr>
          <w:lang w:eastAsia="ja-JP"/>
        </w:rPr>
        <w:t xml:space="preserve"> consideration of</w:t>
      </w:r>
      <w:r w:rsidR="006E5C55" w:rsidRPr="008F47E2">
        <w:rPr>
          <w:rFonts w:hint="eastAsia"/>
          <w:lang w:eastAsia="ja-JP"/>
        </w:rPr>
        <w:t xml:space="preserve"> linguistic and cultural </w:t>
      </w:r>
      <w:r w:rsidR="000B16F0" w:rsidRPr="008F47E2">
        <w:rPr>
          <w:lang w:eastAsia="ja-JP"/>
        </w:rPr>
        <w:t>aspects</w:t>
      </w:r>
      <w:r w:rsidR="00CD32C2">
        <w:rPr>
          <w:lang w:eastAsia="ja-JP"/>
        </w:rPr>
        <w:t xml:space="preserve">, </w:t>
      </w:r>
      <w:r w:rsidR="00C51FE4">
        <w:rPr>
          <w:rFonts w:hint="eastAsia"/>
          <w:lang w:eastAsia="ja-JP"/>
        </w:rPr>
        <w:t xml:space="preserve">which could </w:t>
      </w:r>
      <w:r w:rsidR="0086390F">
        <w:rPr>
          <w:lang w:eastAsia="ja-JP"/>
        </w:rPr>
        <w:t>potentially</w:t>
      </w:r>
      <w:r w:rsidR="0086390F" w:rsidRPr="008F47E2">
        <w:rPr>
          <w:lang w:eastAsia="ja-JP"/>
        </w:rPr>
        <w:t xml:space="preserve"> </w:t>
      </w:r>
      <w:r w:rsidR="00C51FE4">
        <w:rPr>
          <w:rFonts w:hint="eastAsia"/>
          <w:lang w:eastAsia="ja-JP"/>
        </w:rPr>
        <w:t xml:space="preserve">increase the risk of </w:t>
      </w:r>
      <w:r w:rsidRPr="008F47E2">
        <w:rPr>
          <w:lang w:eastAsia="ja-JP"/>
        </w:rPr>
        <w:t>synonyms</w:t>
      </w:r>
      <w:r w:rsidR="00954936">
        <w:rPr>
          <w:rFonts w:hint="eastAsia"/>
          <w:lang w:eastAsia="ja-JP"/>
        </w:rPr>
        <w:t xml:space="preserve"> </w:t>
      </w:r>
      <w:r w:rsidR="0086390F">
        <w:rPr>
          <w:lang w:eastAsia="ja-JP"/>
        </w:rPr>
        <w:t>b</w:t>
      </w:r>
      <w:r w:rsidR="00C51FE4">
        <w:rPr>
          <w:rFonts w:hint="eastAsia"/>
          <w:lang w:eastAsia="ja-JP"/>
        </w:rPr>
        <w:t xml:space="preserve">ecause, for example, </w:t>
      </w:r>
      <w:r w:rsidR="00BD705A" w:rsidRPr="008F47E2">
        <w:rPr>
          <w:lang w:eastAsia="ja-JP"/>
        </w:rPr>
        <w:t xml:space="preserve">differences in </w:t>
      </w:r>
      <w:r w:rsidR="006E5C55" w:rsidRPr="008F47E2">
        <w:rPr>
          <w:rFonts w:hint="eastAsia"/>
          <w:lang w:eastAsia="ja-JP"/>
        </w:rPr>
        <w:t>conceptual</w:t>
      </w:r>
      <w:r w:rsidR="00BD705A" w:rsidRPr="008F47E2">
        <w:rPr>
          <w:lang w:eastAsia="ja-JP"/>
        </w:rPr>
        <w:t xml:space="preserve"> </w:t>
      </w:r>
      <w:r w:rsidR="00777FDF" w:rsidRPr="008F47E2">
        <w:rPr>
          <w:lang w:eastAsia="ja-JP"/>
        </w:rPr>
        <w:t xml:space="preserve">meanings </w:t>
      </w:r>
      <w:r w:rsidR="00C51FE4">
        <w:rPr>
          <w:rFonts w:hint="eastAsia"/>
          <w:lang w:eastAsia="ja-JP"/>
        </w:rPr>
        <w:t>could be linked</w:t>
      </w:r>
      <w:r w:rsidR="00777FDF" w:rsidRPr="008F47E2">
        <w:rPr>
          <w:lang w:eastAsia="ja-JP"/>
        </w:rPr>
        <w:t xml:space="preserve"> to specific understandings in different languages</w:t>
      </w:r>
      <w:r w:rsidR="00C51FE4">
        <w:rPr>
          <w:rFonts w:hint="eastAsia"/>
          <w:lang w:eastAsia="ja-JP"/>
        </w:rPr>
        <w:t xml:space="preserve"> that would not be understood in other languages</w:t>
      </w:r>
      <w:r w:rsidR="00777FDF" w:rsidRPr="008F47E2">
        <w:rPr>
          <w:lang w:eastAsia="ja-JP"/>
        </w:rPr>
        <w:t xml:space="preserve">. </w:t>
      </w:r>
      <w:r w:rsidR="006E5C55" w:rsidRPr="008F47E2">
        <w:rPr>
          <w:rFonts w:hint="eastAsia"/>
          <w:lang w:eastAsia="ja-JP"/>
        </w:rPr>
        <w:t xml:space="preserve"> </w:t>
      </w:r>
      <w:r w:rsidR="00C51FE4">
        <w:rPr>
          <w:rFonts w:hint="eastAsia"/>
          <w:lang w:eastAsia="ja-JP"/>
        </w:rPr>
        <w:t>It</w:t>
      </w:r>
      <w:r w:rsidR="00C67027" w:rsidRPr="008F47E2">
        <w:rPr>
          <w:lang w:eastAsia="ja-JP"/>
        </w:rPr>
        <w:t xml:space="preserve"> agreed to consider further, at its third meeting, whether it would be appropriate to introduce the </w:t>
      </w:r>
      <w:r w:rsidR="00C67027" w:rsidRPr="008F47E2">
        <w:rPr>
          <w:rFonts w:hint="eastAsia"/>
          <w:lang w:eastAsia="ja-JP"/>
        </w:rPr>
        <w:t>conceptual</w:t>
      </w:r>
      <w:r w:rsidR="00C67027" w:rsidRPr="008F47E2">
        <w:rPr>
          <w:lang w:eastAsia="ja-JP"/>
        </w:rPr>
        <w:t xml:space="preserve"> aspect in the revision of document UPOV/INF/12</w:t>
      </w:r>
      <w:r w:rsidR="00C67027" w:rsidRPr="008F47E2">
        <w:rPr>
          <w:rFonts w:hint="eastAsia"/>
          <w:lang w:eastAsia="ja-JP"/>
        </w:rPr>
        <w:t xml:space="preserve">.  </w:t>
      </w:r>
    </w:p>
    <w:p w:rsidR="00C75D7B" w:rsidRPr="008F47E2" w:rsidRDefault="00C75D7B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A1D3E" w:rsidRPr="008F47E2" w:rsidRDefault="009A1D3E">
      <w:pPr>
        <w:pStyle w:val="Heading4"/>
        <w:rPr>
          <w:lang w:val="en-US" w:eastAsia="ja-JP"/>
        </w:rPr>
      </w:pPr>
      <w:r w:rsidRPr="008F47E2">
        <w:rPr>
          <w:lang w:val="en-US" w:eastAsia="ja-JP"/>
        </w:rPr>
        <w:t>First names</w:t>
      </w:r>
    </w:p>
    <w:p w:rsidR="009A1D3E" w:rsidRPr="008F47E2" w:rsidRDefault="009A1D3E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91C08" w:rsidRPr="008F47E2" w:rsidRDefault="00991C08" w:rsidP="00714452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FF19E2" w:rsidRPr="008F47E2">
        <w:rPr>
          <w:lang w:eastAsia="ja-JP"/>
        </w:rPr>
        <w:t xml:space="preserve">received an explanation from the CPVO </w:t>
      </w:r>
      <w:r w:rsidR="00C51FE4">
        <w:rPr>
          <w:lang w:eastAsia="ja-JP"/>
        </w:rPr>
        <w:t>that</w:t>
      </w:r>
      <w:r w:rsidR="00C51FE4">
        <w:rPr>
          <w:rFonts w:hint="eastAsia"/>
          <w:lang w:eastAsia="ja-JP"/>
        </w:rPr>
        <w:t>,</w:t>
      </w:r>
      <w:r w:rsidR="00C51FE4">
        <w:rPr>
          <w:lang w:eastAsia="ja-JP"/>
        </w:rPr>
        <w:t xml:space="preserve"> in </w:t>
      </w:r>
      <w:r w:rsidR="00CD32C2">
        <w:rPr>
          <w:lang w:eastAsia="ja-JP"/>
        </w:rPr>
        <w:t xml:space="preserve">the </w:t>
      </w:r>
      <w:r w:rsidR="00C51FE4">
        <w:rPr>
          <w:lang w:eastAsia="ja-JP"/>
        </w:rPr>
        <w:t>CPVO,</w:t>
      </w:r>
      <w:r w:rsidR="009A1D3E" w:rsidRPr="008F47E2">
        <w:rPr>
          <w:lang w:eastAsia="ja-JP"/>
        </w:rPr>
        <w:t xml:space="preserve"> </w:t>
      </w:r>
      <w:r w:rsidR="00C51FE4">
        <w:rPr>
          <w:rFonts w:hint="eastAsia"/>
          <w:lang w:eastAsia="ja-JP"/>
        </w:rPr>
        <w:t>consideration of</w:t>
      </w:r>
      <w:r w:rsidR="00FF19E2" w:rsidRPr="008F47E2">
        <w:rPr>
          <w:rFonts w:hint="eastAsia"/>
          <w:lang w:eastAsia="ja-JP"/>
        </w:rPr>
        <w:t xml:space="preserve"> </w:t>
      </w:r>
      <w:r w:rsidRPr="008F47E2">
        <w:rPr>
          <w:lang w:eastAsia="ja-JP"/>
        </w:rPr>
        <w:t xml:space="preserve">“first names” </w:t>
      </w:r>
      <w:r w:rsidR="00FF19E2" w:rsidRPr="008F47E2">
        <w:rPr>
          <w:rFonts w:hint="eastAsia"/>
          <w:lang w:eastAsia="ja-JP"/>
        </w:rPr>
        <w:t xml:space="preserve">was linked to similarity, notably </w:t>
      </w:r>
      <w:r w:rsidR="00741ADE" w:rsidRPr="008F47E2">
        <w:rPr>
          <w:lang w:eastAsia="ja-JP"/>
        </w:rPr>
        <w:t xml:space="preserve">to the </w:t>
      </w:r>
      <w:r w:rsidR="00FF19E2" w:rsidRPr="008F47E2">
        <w:rPr>
          <w:rFonts w:hint="eastAsia"/>
          <w:lang w:eastAsia="ja-JP"/>
        </w:rPr>
        <w:t>conceptual aspects</w:t>
      </w:r>
      <w:r w:rsidR="00741ADE" w:rsidRPr="008F47E2">
        <w:rPr>
          <w:lang w:eastAsia="ja-JP"/>
        </w:rPr>
        <w:t>.</w:t>
      </w:r>
    </w:p>
    <w:p w:rsidR="00991C08" w:rsidRPr="008F47E2" w:rsidRDefault="00991C08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991C08" w:rsidRPr="008F47E2" w:rsidRDefault="00991C08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9A1D3E" w:rsidRPr="008F47E2">
        <w:rPr>
          <w:lang w:eastAsia="ja-JP"/>
        </w:rPr>
        <w:t>The WG-DEN agreed to request</w:t>
      </w:r>
      <w:r w:rsidR="001813AA" w:rsidRPr="008F47E2">
        <w:rPr>
          <w:lang w:eastAsia="ja-JP"/>
        </w:rPr>
        <w:t xml:space="preserve"> the</w:t>
      </w:r>
      <w:r w:rsidR="009A1D3E" w:rsidRPr="008F47E2">
        <w:rPr>
          <w:lang w:eastAsia="ja-JP"/>
        </w:rPr>
        <w:t xml:space="preserve"> CPVO</w:t>
      </w:r>
      <w:r w:rsidR="001D643B" w:rsidRPr="008F47E2">
        <w:rPr>
          <w:lang w:eastAsia="ja-JP"/>
        </w:rPr>
        <w:t xml:space="preserve"> </w:t>
      </w:r>
      <w:r w:rsidR="009A1D3E" w:rsidRPr="008F47E2">
        <w:rPr>
          <w:lang w:eastAsia="ja-JP"/>
        </w:rPr>
        <w:t xml:space="preserve">to provide more information on </w:t>
      </w:r>
      <w:r w:rsidR="00C51FE4">
        <w:rPr>
          <w:rFonts w:hint="eastAsia"/>
          <w:lang w:eastAsia="ja-JP"/>
        </w:rPr>
        <w:t xml:space="preserve">its </w:t>
      </w:r>
      <w:r w:rsidR="00C51FE4">
        <w:rPr>
          <w:lang w:eastAsia="ja-JP"/>
        </w:rPr>
        <w:t>consideration</w:t>
      </w:r>
      <w:r w:rsidR="00C51FE4">
        <w:rPr>
          <w:rFonts w:hint="eastAsia"/>
          <w:lang w:eastAsia="ja-JP"/>
        </w:rPr>
        <w:t xml:space="preserve"> </w:t>
      </w:r>
      <w:r w:rsidR="009A1D3E" w:rsidRPr="008F47E2">
        <w:rPr>
          <w:lang w:eastAsia="ja-JP"/>
        </w:rPr>
        <w:t>“first names”</w:t>
      </w:r>
      <w:r w:rsidR="00714452" w:rsidRPr="008F47E2">
        <w:rPr>
          <w:lang w:eastAsia="ja-JP"/>
        </w:rPr>
        <w:t xml:space="preserve"> </w:t>
      </w:r>
      <w:r w:rsidR="00980BEE" w:rsidRPr="008F47E2">
        <w:rPr>
          <w:rFonts w:hint="eastAsia"/>
          <w:lang w:eastAsia="ja-JP"/>
        </w:rPr>
        <w:t xml:space="preserve">under the explanation of the conceptual differences </w:t>
      </w:r>
      <w:r w:rsidR="00714452" w:rsidRPr="008F47E2">
        <w:rPr>
          <w:lang w:eastAsia="ja-JP"/>
        </w:rPr>
        <w:t xml:space="preserve">at </w:t>
      </w:r>
      <w:r w:rsidR="001813AA" w:rsidRPr="008F47E2">
        <w:rPr>
          <w:lang w:eastAsia="ja-JP"/>
        </w:rPr>
        <w:t xml:space="preserve">its </w:t>
      </w:r>
      <w:r w:rsidR="00714452" w:rsidRPr="008F47E2">
        <w:rPr>
          <w:lang w:eastAsia="ja-JP"/>
        </w:rPr>
        <w:t>third meeting</w:t>
      </w:r>
      <w:r w:rsidR="00C51FE4">
        <w:rPr>
          <w:rFonts w:hint="eastAsia"/>
          <w:lang w:eastAsia="ja-JP"/>
        </w:rPr>
        <w:t xml:space="preserve"> and to consider the matter further on the basis of that information</w:t>
      </w:r>
      <w:r w:rsidR="00714452" w:rsidRPr="008F47E2">
        <w:rPr>
          <w:lang w:eastAsia="ja-JP"/>
        </w:rPr>
        <w:t>.</w:t>
      </w:r>
    </w:p>
    <w:p w:rsidR="00714452" w:rsidRPr="008F47E2" w:rsidRDefault="0071445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F62B66" w:rsidRPr="008F47E2" w:rsidRDefault="009C0AAB" w:rsidP="006B662B">
      <w:pPr>
        <w:pStyle w:val="Heading4"/>
        <w:rPr>
          <w:lang w:val="en-US" w:eastAsia="ja-JP"/>
        </w:rPr>
      </w:pPr>
      <w:r w:rsidRPr="008F47E2">
        <w:rPr>
          <w:lang w:val="en-US"/>
        </w:rPr>
        <w:lastRenderedPageBreak/>
        <w:t>S</w:t>
      </w:r>
      <w:r w:rsidR="008F5381" w:rsidRPr="008F47E2">
        <w:rPr>
          <w:lang w:val="en-US"/>
        </w:rPr>
        <w:t>ection 2.3.1 “Characteristics of the variety”</w:t>
      </w:r>
    </w:p>
    <w:p w:rsidR="00B55963" w:rsidRPr="008F47E2" w:rsidRDefault="00B55963" w:rsidP="004E7DCF">
      <w:pPr>
        <w:keepNext/>
        <w:rPr>
          <w:lang w:eastAsia="ja-JP"/>
        </w:rPr>
      </w:pPr>
    </w:p>
    <w:p w:rsidR="006E7583" w:rsidRPr="008F47E2" w:rsidRDefault="006E7583" w:rsidP="00833B99">
      <w:pPr>
        <w:pStyle w:val="Heading5"/>
      </w:pPr>
      <w:r w:rsidRPr="008F47E2">
        <w:t>Section 2.3.1 (a)</w:t>
      </w:r>
    </w:p>
    <w:p w:rsidR="006E7583" w:rsidRPr="008F47E2" w:rsidRDefault="006E7583" w:rsidP="004E7DCF">
      <w:pPr>
        <w:keepNext/>
        <w:rPr>
          <w:lang w:eastAsia="ja-JP"/>
        </w:rPr>
      </w:pPr>
    </w:p>
    <w:p w:rsidR="006E7583" w:rsidRDefault="006E7583" w:rsidP="006E758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60563D" w:rsidRPr="008F47E2">
        <w:rPr>
          <w:lang w:eastAsia="ja-JP"/>
        </w:rPr>
        <w:t>agreed that the example</w:t>
      </w:r>
      <w:r w:rsidR="00741ADE" w:rsidRPr="008F47E2">
        <w:rPr>
          <w:lang w:eastAsia="ja-JP"/>
        </w:rPr>
        <w:t xml:space="preserve"> in Section 2.3.1 (a)</w:t>
      </w:r>
      <w:r w:rsidR="0060563D" w:rsidRPr="008F47E2">
        <w:rPr>
          <w:lang w:eastAsia="ja-JP"/>
        </w:rPr>
        <w:t xml:space="preserve"> provided</w:t>
      </w:r>
      <w:r w:rsidR="00683FF4">
        <w:rPr>
          <w:rFonts w:hint="eastAsia"/>
          <w:lang w:eastAsia="ja-JP"/>
        </w:rPr>
        <w:t xml:space="preserve"> </w:t>
      </w:r>
      <w:r w:rsidR="0060563D" w:rsidRPr="008F47E2">
        <w:rPr>
          <w:lang w:eastAsia="ja-JP"/>
        </w:rPr>
        <w:t>clear guidance</w:t>
      </w:r>
      <w:r w:rsidR="00741ADE" w:rsidRPr="008F47E2">
        <w:rPr>
          <w:lang w:eastAsia="ja-JP"/>
        </w:rPr>
        <w:t>.</w:t>
      </w:r>
    </w:p>
    <w:p w:rsidR="006E7583" w:rsidRPr="008F47E2" w:rsidRDefault="006E7583" w:rsidP="006B662B">
      <w:pPr>
        <w:rPr>
          <w:lang w:eastAsia="ja-JP"/>
        </w:rPr>
      </w:pPr>
    </w:p>
    <w:p w:rsidR="00B55963" w:rsidRPr="008F47E2" w:rsidRDefault="00B55963" w:rsidP="00833B99">
      <w:pPr>
        <w:pStyle w:val="Heading5"/>
      </w:pPr>
      <w:r w:rsidRPr="008F47E2">
        <w:t>Section 2.3.1 (b)</w:t>
      </w:r>
    </w:p>
    <w:p w:rsidR="00B95E8E" w:rsidRPr="008F47E2" w:rsidRDefault="00B95E8E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714452" w:rsidRDefault="0071445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>The WG-DEN</w:t>
      </w:r>
      <w:r w:rsidR="0060563D" w:rsidRPr="008F47E2">
        <w:rPr>
          <w:lang w:eastAsia="ja-JP"/>
        </w:rPr>
        <w:t xml:space="preserve"> </w:t>
      </w:r>
      <w:r w:rsidRPr="008F47E2">
        <w:rPr>
          <w:lang w:eastAsia="ja-JP"/>
        </w:rPr>
        <w:t xml:space="preserve">agreed </w:t>
      </w:r>
      <w:r w:rsidR="0060563D" w:rsidRPr="008F47E2">
        <w:rPr>
          <w:lang w:eastAsia="ja-JP"/>
        </w:rPr>
        <w:t xml:space="preserve">to </w:t>
      </w:r>
      <w:r w:rsidR="00C51FE4">
        <w:rPr>
          <w:rFonts w:hint="eastAsia"/>
          <w:lang w:eastAsia="ja-JP"/>
        </w:rPr>
        <w:t xml:space="preserve">propose to </w:t>
      </w:r>
      <w:r w:rsidR="0060563D" w:rsidRPr="008F47E2">
        <w:rPr>
          <w:lang w:eastAsia="ja-JP"/>
        </w:rPr>
        <w:t xml:space="preserve">delete </w:t>
      </w:r>
      <w:r w:rsidR="00C51FE4">
        <w:rPr>
          <w:rFonts w:hint="eastAsia"/>
          <w:lang w:eastAsia="ja-JP"/>
        </w:rPr>
        <w:t xml:space="preserve">the current text in </w:t>
      </w:r>
      <w:r w:rsidR="0060563D" w:rsidRPr="008F47E2">
        <w:rPr>
          <w:lang w:eastAsia="ja-JP"/>
        </w:rPr>
        <w:t xml:space="preserve">Section 2.3.1(b) and </w:t>
      </w:r>
      <w:r w:rsidR="00C51FE4">
        <w:rPr>
          <w:rFonts w:hint="eastAsia"/>
          <w:lang w:eastAsia="ja-JP"/>
        </w:rPr>
        <w:t>invited</w:t>
      </w:r>
      <w:r w:rsidRPr="008F47E2">
        <w:rPr>
          <w:lang w:eastAsia="ja-JP"/>
        </w:rPr>
        <w:t xml:space="preserve"> </w:t>
      </w:r>
      <w:r w:rsidR="0060563D" w:rsidRPr="008F47E2">
        <w:rPr>
          <w:lang w:eastAsia="ja-JP"/>
        </w:rPr>
        <w:t xml:space="preserve">the </w:t>
      </w:r>
      <w:r w:rsidRPr="008F47E2">
        <w:rPr>
          <w:lang w:eastAsia="ja-JP"/>
        </w:rPr>
        <w:t xml:space="preserve">CPVO to </w:t>
      </w:r>
      <w:r w:rsidR="0060563D" w:rsidRPr="008F47E2">
        <w:rPr>
          <w:lang w:eastAsia="ja-JP"/>
        </w:rPr>
        <w:t xml:space="preserve">provide </w:t>
      </w:r>
      <w:r w:rsidR="00C51FE4">
        <w:rPr>
          <w:rFonts w:hint="eastAsia"/>
          <w:lang w:eastAsia="ja-JP"/>
        </w:rPr>
        <w:t>alternative</w:t>
      </w:r>
      <w:r w:rsidR="0060563D" w:rsidRPr="008F47E2">
        <w:rPr>
          <w:lang w:eastAsia="ja-JP"/>
        </w:rPr>
        <w:t xml:space="preserve"> guidance</w:t>
      </w:r>
      <w:r w:rsidR="00545BB4" w:rsidRPr="008F47E2">
        <w:rPr>
          <w:lang w:eastAsia="ja-JP"/>
        </w:rPr>
        <w:t>.</w:t>
      </w:r>
    </w:p>
    <w:p w:rsidR="00545BB4" w:rsidRPr="008F47E2" w:rsidRDefault="00545BB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55963" w:rsidRPr="008F47E2" w:rsidRDefault="00B55963" w:rsidP="00833B99">
      <w:pPr>
        <w:pStyle w:val="Heading5"/>
      </w:pPr>
      <w:r w:rsidRPr="008F47E2">
        <w:t>Section 2.3.1</w:t>
      </w:r>
      <w:r w:rsidR="0066471C">
        <w:rPr>
          <w:rFonts w:hint="eastAsia"/>
        </w:rPr>
        <w:t xml:space="preserve"> </w:t>
      </w:r>
      <w:r w:rsidRPr="008F47E2">
        <w:t>(c)</w:t>
      </w:r>
    </w:p>
    <w:p w:rsidR="00B55963" w:rsidRPr="008F47E2" w:rsidRDefault="00B55963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036FAD" w:rsidRDefault="003F5342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="00040A25" w:rsidRPr="008F47E2">
        <w:rPr>
          <w:lang w:eastAsia="ja-JP"/>
        </w:rPr>
        <w:t xml:space="preserve">The WG-DEN </w:t>
      </w:r>
      <w:r w:rsidR="00545BB4" w:rsidRPr="008F47E2">
        <w:rPr>
          <w:lang w:eastAsia="ja-JP"/>
        </w:rPr>
        <w:t>noted that Section 2.3.</w:t>
      </w:r>
      <w:r w:rsidR="00545BB4" w:rsidRPr="00D20DB5">
        <w:rPr>
          <w:lang w:eastAsia="ja-JP"/>
        </w:rPr>
        <w:t>4</w:t>
      </w:r>
      <w:r w:rsidR="00545BB4" w:rsidRPr="008F47E2">
        <w:rPr>
          <w:lang w:eastAsia="ja-JP"/>
        </w:rPr>
        <w:t xml:space="preserve"> covered only the cases of prefixes</w:t>
      </w:r>
      <w:r w:rsidR="003C3997" w:rsidRPr="008F47E2">
        <w:rPr>
          <w:rFonts w:hint="eastAsia"/>
          <w:lang w:eastAsia="ja-JP"/>
        </w:rPr>
        <w:t xml:space="preserve">, and </w:t>
      </w:r>
      <w:r w:rsidR="00036FAD" w:rsidRPr="008F47E2">
        <w:rPr>
          <w:lang w:eastAsia="ja-JP"/>
        </w:rPr>
        <w:t xml:space="preserve">the </w:t>
      </w:r>
      <w:r w:rsidR="00F57063" w:rsidRPr="008F47E2">
        <w:rPr>
          <w:rFonts w:hint="eastAsia"/>
          <w:lang w:eastAsia="ja-JP"/>
        </w:rPr>
        <w:t xml:space="preserve">deletion of </w:t>
      </w:r>
      <w:r w:rsidR="00036FAD" w:rsidRPr="008F47E2">
        <w:rPr>
          <w:lang w:eastAsia="ja-JP"/>
        </w:rPr>
        <w:t>S</w:t>
      </w:r>
      <w:r w:rsidR="00F57063" w:rsidRPr="008F47E2">
        <w:rPr>
          <w:rFonts w:hint="eastAsia"/>
          <w:lang w:eastAsia="ja-JP"/>
        </w:rPr>
        <w:t>ection</w:t>
      </w:r>
      <w:r w:rsidR="00683FF4">
        <w:rPr>
          <w:lang w:eastAsia="ja-JP"/>
        </w:rPr>
        <w:t> </w:t>
      </w:r>
      <w:r w:rsidR="003C3997" w:rsidRPr="008F47E2">
        <w:rPr>
          <w:rFonts w:hint="eastAsia"/>
          <w:lang w:eastAsia="ja-JP"/>
        </w:rPr>
        <w:t>2.3.1 (c)</w:t>
      </w:r>
      <w:r w:rsidR="00F57063" w:rsidRPr="008F47E2">
        <w:rPr>
          <w:rFonts w:hint="eastAsia"/>
          <w:lang w:eastAsia="ja-JP"/>
        </w:rPr>
        <w:t xml:space="preserve"> </w:t>
      </w:r>
      <w:r w:rsidR="0030282A" w:rsidRPr="008F47E2">
        <w:rPr>
          <w:rFonts w:hint="eastAsia"/>
          <w:lang w:eastAsia="ja-JP"/>
        </w:rPr>
        <w:t xml:space="preserve">would </w:t>
      </w:r>
      <w:r w:rsidR="00CD32C2">
        <w:rPr>
          <w:lang w:eastAsia="ja-JP"/>
        </w:rPr>
        <w:t>not cover refusal of</w:t>
      </w:r>
      <w:r w:rsidR="003C3997" w:rsidRPr="008F47E2">
        <w:rPr>
          <w:rFonts w:hint="eastAsia"/>
          <w:lang w:eastAsia="ja-JP"/>
        </w:rPr>
        <w:t xml:space="preserve"> </w:t>
      </w:r>
      <w:r w:rsidR="00036FAD" w:rsidRPr="008F47E2">
        <w:rPr>
          <w:lang w:eastAsia="ja-JP"/>
        </w:rPr>
        <w:t>the following:</w:t>
      </w:r>
    </w:p>
    <w:p w:rsidR="00683FF4" w:rsidRPr="008F47E2" w:rsidRDefault="00683FF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036FAD" w:rsidRPr="008F47E2" w:rsidRDefault="003C3997" w:rsidP="00C67027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  <w:r w:rsidRPr="008F47E2">
        <w:rPr>
          <w:rFonts w:hint="eastAsia"/>
          <w:lang w:eastAsia="ja-JP"/>
        </w:rPr>
        <w:t>(</w:t>
      </w:r>
      <w:proofErr w:type="spellStart"/>
      <w:r w:rsidRPr="008F47E2">
        <w:rPr>
          <w:rFonts w:hint="eastAsia"/>
          <w:lang w:eastAsia="ja-JP"/>
        </w:rPr>
        <w:t>i</w:t>
      </w:r>
      <w:proofErr w:type="spellEnd"/>
      <w:r w:rsidRPr="008F47E2">
        <w:rPr>
          <w:rFonts w:hint="eastAsia"/>
          <w:lang w:eastAsia="ja-JP"/>
        </w:rPr>
        <w:t>)</w:t>
      </w:r>
      <w:r w:rsidR="00A35CC1" w:rsidRPr="008F47E2">
        <w:rPr>
          <w:lang w:eastAsia="ja-JP"/>
        </w:rPr>
        <w:t xml:space="preserve"> </w:t>
      </w:r>
      <w:r w:rsidR="00683FF4">
        <w:rPr>
          <w:rFonts w:hint="eastAsia"/>
          <w:lang w:eastAsia="ja-JP"/>
        </w:rPr>
        <w:tab/>
      </w:r>
      <w:proofErr w:type="gramStart"/>
      <w:r w:rsidR="00A35CC1" w:rsidRPr="008F47E2">
        <w:rPr>
          <w:lang w:eastAsia="ja-JP"/>
        </w:rPr>
        <w:t>a</w:t>
      </w:r>
      <w:proofErr w:type="gramEnd"/>
      <w:r w:rsidR="0030282A" w:rsidRPr="008F47E2">
        <w:rPr>
          <w:rFonts w:hint="eastAsia"/>
          <w:lang w:eastAsia="ja-JP"/>
        </w:rPr>
        <w:t xml:space="preserve"> </w:t>
      </w:r>
      <w:r w:rsidRPr="008F47E2">
        <w:rPr>
          <w:rFonts w:hint="eastAsia"/>
          <w:lang w:eastAsia="ja-JP"/>
        </w:rPr>
        <w:t xml:space="preserve">variety denomination </w:t>
      </w:r>
      <w:r w:rsidR="0030282A" w:rsidRPr="008F47E2">
        <w:rPr>
          <w:lang w:eastAsia="ja-JP"/>
        </w:rPr>
        <w:t>“</w:t>
      </w:r>
      <w:proofErr w:type="spellStart"/>
      <w:r w:rsidR="0030282A" w:rsidRPr="008F47E2">
        <w:rPr>
          <w:rFonts w:hint="eastAsia"/>
          <w:lang w:eastAsia="ja-JP"/>
        </w:rPr>
        <w:t>Dannys</w:t>
      </w:r>
      <w:proofErr w:type="spellEnd"/>
      <w:r w:rsidR="0030282A" w:rsidRPr="008F47E2">
        <w:rPr>
          <w:rFonts w:hint="eastAsia"/>
          <w:lang w:eastAsia="ja-JP"/>
        </w:rPr>
        <w:t xml:space="preserve"> Royal Gala</w:t>
      </w:r>
      <w:r w:rsidR="0030282A" w:rsidRPr="008F47E2">
        <w:rPr>
          <w:lang w:eastAsia="ja-JP"/>
        </w:rPr>
        <w:t>”</w:t>
      </w:r>
      <w:r w:rsidR="0030282A" w:rsidRPr="008F47E2">
        <w:rPr>
          <w:rFonts w:hint="eastAsia"/>
          <w:lang w:eastAsia="ja-JP"/>
        </w:rPr>
        <w:t xml:space="preserve"> </w:t>
      </w:r>
      <w:r w:rsidR="004300C7" w:rsidRPr="008F47E2">
        <w:rPr>
          <w:rFonts w:hint="eastAsia"/>
          <w:lang w:eastAsia="ja-JP"/>
        </w:rPr>
        <w:t>even if it had little botanical relation with</w:t>
      </w:r>
      <w:r w:rsidR="0030282A" w:rsidRPr="008F47E2">
        <w:rPr>
          <w:rFonts w:hint="eastAsia"/>
          <w:lang w:eastAsia="ja-JP"/>
        </w:rPr>
        <w:t xml:space="preserve"> </w:t>
      </w:r>
      <w:r w:rsidRPr="008F47E2">
        <w:rPr>
          <w:rFonts w:hint="eastAsia"/>
          <w:lang w:eastAsia="ja-JP"/>
        </w:rPr>
        <w:t xml:space="preserve">variety denomination </w:t>
      </w:r>
      <w:r w:rsidR="0030282A" w:rsidRPr="008F47E2">
        <w:rPr>
          <w:lang w:eastAsia="ja-JP"/>
        </w:rPr>
        <w:t>“</w:t>
      </w:r>
      <w:r w:rsidR="0030282A" w:rsidRPr="008F47E2">
        <w:rPr>
          <w:rFonts w:hint="eastAsia"/>
          <w:lang w:eastAsia="ja-JP"/>
        </w:rPr>
        <w:t>Royal Gala</w:t>
      </w:r>
      <w:r w:rsidR="0030282A" w:rsidRPr="008F47E2">
        <w:rPr>
          <w:lang w:eastAsia="ja-JP"/>
        </w:rPr>
        <w:t>”</w:t>
      </w:r>
      <w:r w:rsidR="00683FF4">
        <w:rPr>
          <w:rFonts w:hint="eastAsia"/>
          <w:lang w:eastAsia="ja-JP"/>
        </w:rPr>
        <w:t>;</w:t>
      </w:r>
      <w:r w:rsidRPr="008F47E2">
        <w:rPr>
          <w:rFonts w:hint="eastAsia"/>
          <w:lang w:eastAsia="ja-JP"/>
        </w:rPr>
        <w:t xml:space="preserve"> and </w:t>
      </w:r>
    </w:p>
    <w:p w:rsidR="00683FF4" w:rsidRDefault="00683FF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C743D4" w:rsidRPr="008F47E2" w:rsidRDefault="003C3997" w:rsidP="00C67027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  <w:r w:rsidRPr="008F47E2">
        <w:rPr>
          <w:rFonts w:hint="eastAsia"/>
          <w:lang w:eastAsia="ja-JP"/>
        </w:rPr>
        <w:t xml:space="preserve">(ii) </w:t>
      </w:r>
      <w:r w:rsidR="00683FF4">
        <w:rPr>
          <w:rFonts w:hint="eastAsia"/>
          <w:lang w:eastAsia="ja-JP"/>
        </w:rPr>
        <w:tab/>
      </w:r>
      <w:proofErr w:type="gramStart"/>
      <w:r w:rsidR="00C743D4" w:rsidRPr="008F47E2">
        <w:rPr>
          <w:lang w:eastAsia="ja-JP"/>
        </w:rPr>
        <w:t>a</w:t>
      </w:r>
      <w:proofErr w:type="gramEnd"/>
      <w:r w:rsidR="00C743D4" w:rsidRPr="008F47E2">
        <w:rPr>
          <w:lang w:eastAsia="ja-JP"/>
        </w:rPr>
        <w:t xml:space="preserve"> breeder </w:t>
      </w:r>
      <w:r w:rsidR="00036FAD" w:rsidRPr="008F47E2">
        <w:rPr>
          <w:lang w:eastAsia="ja-JP"/>
        </w:rPr>
        <w:t xml:space="preserve">submitting a type of </w:t>
      </w:r>
      <w:r w:rsidR="00C743D4" w:rsidRPr="008F47E2">
        <w:rPr>
          <w:lang w:eastAsia="ja-JP"/>
        </w:rPr>
        <w:t>variety denomination</w:t>
      </w:r>
      <w:r w:rsidR="00036FAD" w:rsidRPr="008F47E2">
        <w:rPr>
          <w:lang w:eastAsia="ja-JP"/>
        </w:rPr>
        <w:t xml:space="preserve">, which resulted in a copy of another </w:t>
      </w:r>
      <w:r w:rsidR="006014D1" w:rsidRPr="008F47E2">
        <w:rPr>
          <w:lang w:eastAsia="ja-JP"/>
        </w:rPr>
        <w:t xml:space="preserve"> breeder</w:t>
      </w:r>
      <w:r w:rsidR="00A35CC1" w:rsidRPr="008F47E2">
        <w:rPr>
          <w:lang w:eastAsia="ja-JP"/>
        </w:rPr>
        <w:t>s</w:t>
      </w:r>
      <w:r w:rsidR="006014D1" w:rsidRPr="008F47E2">
        <w:rPr>
          <w:lang w:eastAsia="ja-JP"/>
        </w:rPr>
        <w:t xml:space="preserve"> well known practice</w:t>
      </w:r>
      <w:r w:rsidR="00036FAD" w:rsidRPr="008F47E2">
        <w:rPr>
          <w:lang w:eastAsia="ja-JP"/>
        </w:rPr>
        <w:t>.  For instance, the practice of a breeder that proposes denominations consisting of names of mountains</w:t>
      </w:r>
      <w:r w:rsidR="00C743D4" w:rsidRPr="008F47E2">
        <w:rPr>
          <w:lang w:eastAsia="ja-JP"/>
        </w:rPr>
        <w:t>.</w:t>
      </w:r>
    </w:p>
    <w:p w:rsidR="00C743D4" w:rsidRPr="008F47E2" w:rsidRDefault="00C743D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683FF4" w:rsidRDefault="00C743D4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>The WG-DEN agreed to consider further</w:t>
      </w:r>
      <w:r w:rsidR="003C3997" w:rsidRPr="008F47E2">
        <w:rPr>
          <w:rFonts w:hint="eastAsia"/>
          <w:lang w:eastAsia="ja-JP"/>
        </w:rPr>
        <w:t xml:space="preserve"> the </w:t>
      </w:r>
      <w:r w:rsidR="00CD32C2">
        <w:rPr>
          <w:lang w:eastAsia="ja-JP"/>
        </w:rPr>
        <w:t xml:space="preserve">following </w:t>
      </w:r>
      <w:r w:rsidR="003C3997" w:rsidRPr="008F47E2">
        <w:rPr>
          <w:rFonts w:hint="eastAsia"/>
          <w:lang w:eastAsia="ja-JP"/>
        </w:rPr>
        <w:t>two elements together</w:t>
      </w:r>
      <w:r w:rsidR="00CD32C2" w:rsidRPr="008F47E2">
        <w:rPr>
          <w:lang w:eastAsia="ja-JP"/>
        </w:rPr>
        <w:t xml:space="preserve"> at its third meeting</w:t>
      </w:r>
      <w:r w:rsidR="00A35CC1" w:rsidRPr="008F47E2">
        <w:rPr>
          <w:lang w:eastAsia="ja-JP"/>
        </w:rPr>
        <w:t>:</w:t>
      </w:r>
    </w:p>
    <w:p w:rsidR="00A35CC1" w:rsidRPr="008F47E2" w:rsidRDefault="00A35CC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rPr>
          <w:lang w:eastAsia="ja-JP"/>
        </w:rPr>
        <w:t xml:space="preserve"> </w:t>
      </w:r>
    </w:p>
    <w:p w:rsidR="00683FF4" w:rsidRDefault="00A35CC1" w:rsidP="00C67027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  <w:r w:rsidRPr="008F47E2">
        <w:rPr>
          <w:lang w:eastAsia="ja-JP"/>
        </w:rPr>
        <w:t>(</w:t>
      </w:r>
      <w:proofErr w:type="spellStart"/>
      <w:r w:rsidR="00683FF4">
        <w:rPr>
          <w:rFonts w:hint="eastAsia"/>
          <w:lang w:eastAsia="ja-JP"/>
        </w:rPr>
        <w:t>i</w:t>
      </w:r>
      <w:proofErr w:type="spellEnd"/>
      <w:r w:rsidRPr="008F47E2">
        <w:rPr>
          <w:lang w:eastAsia="ja-JP"/>
        </w:rPr>
        <w:t>)</w:t>
      </w:r>
      <w:r w:rsidR="003C3997" w:rsidRPr="008F47E2">
        <w:rPr>
          <w:rFonts w:hint="eastAsia"/>
          <w:lang w:eastAsia="ja-JP"/>
        </w:rPr>
        <w:t xml:space="preserve"> </w:t>
      </w:r>
      <w:r w:rsidR="00683FF4">
        <w:rPr>
          <w:rFonts w:hint="eastAsia"/>
          <w:lang w:eastAsia="ja-JP"/>
        </w:rPr>
        <w:tab/>
      </w:r>
      <w:proofErr w:type="gramStart"/>
      <w:r w:rsidR="003C3997" w:rsidRPr="008F47E2">
        <w:rPr>
          <w:rFonts w:hint="eastAsia"/>
          <w:lang w:eastAsia="ja-JP"/>
        </w:rPr>
        <w:t>botanical</w:t>
      </w:r>
      <w:proofErr w:type="gramEnd"/>
      <w:r w:rsidR="003C3997" w:rsidRPr="008F47E2">
        <w:rPr>
          <w:rFonts w:hint="eastAsia"/>
          <w:lang w:eastAsia="ja-JP"/>
        </w:rPr>
        <w:t xml:space="preserve"> relation </w:t>
      </w:r>
      <w:r w:rsidR="00B22384" w:rsidRPr="008F47E2">
        <w:rPr>
          <w:rFonts w:hint="eastAsia"/>
          <w:lang w:eastAsia="ja-JP"/>
        </w:rPr>
        <w:t>of the varieties</w:t>
      </w:r>
      <w:r w:rsidRPr="008F47E2">
        <w:rPr>
          <w:lang w:eastAsia="ja-JP"/>
        </w:rPr>
        <w:t xml:space="preserve">; </w:t>
      </w:r>
      <w:r w:rsidR="003C3997" w:rsidRPr="008F47E2">
        <w:rPr>
          <w:rFonts w:hint="eastAsia"/>
          <w:lang w:eastAsia="ja-JP"/>
        </w:rPr>
        <w:t>and</w:t>
      </w:r>
    </w:p>
    <w:p w:rsidR="00A35CC1" w:rsidRPr="008F47E2" w:rsidRDefault="00A35CC1" w:rsidP="00C67027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</w:p>
    <w:p w:rsidR="00B22384" w:rsidRDefault="00A35CC1" w:rsidP="00C67027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  <w:r w:rsidRPr="008F47E2">
        <w:rPr>
          <w:lang w:eastAsia="ja-JP"/>
        </w:rPr>
        <w:t>(</w:t>
      </w:r>
      <w:r w:rsidR="00683FF4">
        <w:rPr>
          <w:rFonts w:hint="eastAsia"/>
          <w:lang w:eastAsia="ja-JP"/>
        </w:rPr>
        <w:t>ii</w:t>
      </w:r>
      <w:r w:rsidRPr="008F47E2">
        <w:rPr>
          <w:lang w:eastAsia="ja-JP"/>
        </w:rPr>
        <w:t xml:space="preserve">) </w:t>
      </w:r>
      <w:r w:rsidR="00683FF4">
        <w:rPr>
          <w:rFonts w:hint="eastAsia"/>
          <w:lang w:eastAsia="ja-JP"/>
        </w:rPr>
        <w:tab/>
      </w:r>
      <w:proofErr w:type="gramStart"/>
      <w:r w:rsidRPr="008F47E2">
        <w:rPr>
          <w:lang w:eastAsia="ja-JP"/>
        </w:rPr>
        <w:t>confusion</w:t>
      </w:r>
      <w:proofErr w:type="gramEnd"/>
      <w:r w:rsidRPr="008F47E2">
        <w:rPr>
          <w:lang w:eastAsia="ja-JP"/>
        </w:rPr>
        <w:t xml:space="preserve"> in relation to the </w:t>
      </w:r>
      <w:r w:rsidR="003C3997" w:rsidRPr="008F47E2">
        <w:rPr>
          <w:rFonts w:hint="eastAsia"/>
          <w:lang w:eastAsia="ja-JP"/>
        </w:rPr>
        <w:t xml:space="preserve">identity of </w:t>
      </w:r>
      <w:r w:rsidR="00B22384" w:rsidRPr="008F47E2">
        <w:rPr>
          <w:rFonts w:hint="eastAsia"/>
          <w:lang w:eastAsia="ja-JP"/>
        </w:rPr>
        <w:t xml:space="preserve">the </w:t>
      </w:r>
      <w:r w:rsidR="003C3997" w:rsidRPr="008F47E2">
        <w:rPr>
          <w:rFonts w:hint="eastAsia"/>
          <w:lang w:eastAsia="ja-JP"/>
        </w:rPr>
        <w:t>breeder</w:t>
      </w:r>
      <w:r w:rsidRPr="008F47E2">
        <w:rPr>
          <w:lang w:eastAsia="ja-JP"/>
        </w:rPr>
        <w:t>.</w:t>
      </w:r>
    </w:p>
    <w:p w:rsidR="006E7583" w:rsidRPr="008F47E2" w:rsidRDefault="006E7583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55963" w:rsidRPr="008F47E2" w:rsidRDefault="00B55963" w:rsidP="00833B99">
      <w:pPr>
        <w:pStyle w:val="Heading5"/>
      </w:pPr>
      <w:r w:rsidRPr="008F47E2">
        <w:t>Section 2.3.1</w:t>
      </w:r>
      <w:r w:rsidR="0066471C">
        <w:rPr>
          <w:rFonts w:hint="eastAsia"/>
        </w:rPr>
        <w:t xml:space="preserve"> </w:t>
      </w:r>
      <w:r w:rsidRPr="008F47E2">
        <w:t>(d)</w:t>
      </w:r>
    </w:p>
    <w:p w:rsidR="00A472E6" w:rsidRPr="008F47E2" w:rsidRDefault="00A472E6" w:rsidP="004E7DCF">
      <w:pPr>
        <w:pStyle w:val="ListParagraph"/>
        <w:keepNext/>
        <w:autoSpaceDE w:val="0"/>
        <w:autoSpaceDN w:val="0"/>
        <w:adjustRightInd w:val="0"/>
        <w:ind w:left="540"/>
        <w:contextualSpacing w:val="0"/>
        <w:rPr>
          <w:lang w:eastAsia="ja-JP"/>
        </w:rPr>
      </w:pPr>
    </w:p>
    <w:p w:rsidR="00D20DB5" w:rsidRDefault="003349BF" w:rsidP="003349BF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considered </w:t>
      </w:r>
      <w:r w:rsidR="00A35CC1" w:rsidRPr="008F47E2">
        <w:rPr>
          <w:lang w:eastAsia="ja-JP"/>
        </w:rPr>
        <w:t xml:space="preserve">the </w:t>
      </w:r>
      <w:r w:rsidRPr="008F47E2">
        <w:rPr>
          <w:lang w:eastAsia="ja-JP"/>
        </w:rPr>
        <w:t xml:space="preserve">proposal </w:t>
      </w:r>
      <w:r w:rsidR="00D20DB5">
        <w:rPr>
          <w:rFonts w:hint="eastAsia"/>
          <w:lang w:eastAsia="ja-JP"/>
        </w:rPr>
        <w:t xml:space="preserve">by the WG-DST </w:t>
      </w:r>
      <w:r w:rsidR="007623CE">
        <w:rPr>
          <w:lang w:eastAsia="ja-JP"/>
        </w:rPr>
        <w:t xml:space="preserve">for a new Section 2.3.1 (d) </w:t>
      </w:r>
      <w:r w:rsidR="00D20DB5">
        <w:rPr>
          <w:rFonts w:hint="eastAsia"/>
          <w:lang w:eastAsia="ja-JP"/>
        </w:rPr>
        <w:t xml:space="preserve">in </w:t>
      </w:r>
      <w:r w:rsidR="007623CE">
        <w:rPr>
          <w:lang w:eastAsia="ja-JP"/>
        </w:rPr>
        <w:t xml:space="preserve">conjunction with the related </w:t>
      </w:r>
      <w:r w:rsidR="00D20DB5">
        <w:rPr>
          <w:rFonts w:hint="eastAsia"/>
          <w:lang w:eastAsia="ja-JP"/>
        </w:rPr>
        <w:t>proposals and comments.</w:t>
      </w:r>
    </w:p>
    <w:p w:rsidR="003349BF" w:rsidRPr="008F47E2" w:rsidRDefault="003349BF" w:rsidP="003349BF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3349BF" w:rsidRPr="008F47E2" w:rsidRDefault="003349BF" w:rsidP="003349BF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B14780">
        <w:fldChar w:fldCharType="begin"/>
      </w:r>
      <w:r w:rsidRPr="00B14780">
        <w:instrText xml:space="preserve"> AUTONUM  </w:instrText>
      </w:r>
      <w:r w:rsidRPr="00B14780">
        <w:fldChar w:fldCharType="end"/>
      </w:r>
      <w:r w:rsidRPr="00B14780">
        <w:tab/>
      </w:r>
      <w:r w:rsidRPr="00B14780">
        <w:rPr>
          <w:lang w:eastAsia="ja-JP"/>
        </w:rPr>
        <w:t xml:space="preserve">The WG-DEN </w:t>
      </w:r>
      <w:r w:rsidR="006C3BEF" w:rsidRPr="00B14780">
        <w:rPr>
          <w:lang w:eastAsia="ja-JP"/>
        </w:rPr>
        <w:t xml:space="preserve">considered whether </w:t>
      </w:r>
      <w:r w:rsidR="00D20DB5" w:rsidRPr="00B14780">
        <w:rPr>
          <w:lang w:eastAsia="ja-JP"/>
        </w:rPr>
        <w:t xml:space="preserve">the use of </w:t>
      </w:r>
      <w:r w:rsidR="00D20DB5" w:rsidRPr="00B14780">
        <w:rPr>
          <w:rFonts w:hint="eastAsia"/>
          <w:lang w:eastAsia="ja-JP"/>
        </w:rPr>
        <w:t>any</w:t>
      </w:r>
      <w:r w:rsidR="00C743D4" w:rsidRPr="00B14780">
        <w:rPr>
          <w:lang w:eastAsia="ja-JP"/>
        </w:rPr>
        <w:t xml:space="preserve"> botanical name </w:t>
      </w:r>
      <w:r w:rsidR="003C2561" w:rsidRPr="00B14780">
        <w:rPr>
          <w:lang w:eastAsia="ja-JP"/>
        </w:rPr>
        <w:t xml:space="preserve">as </w:t>
      </w:r>
      <w:r w:rsidR="00D20DB5" w:rsidRPr="00B14780">
        <w:rPr>
          <w:rFonts w:hint="eastAsia"/>
          <w:lang w:eastAsia="ja-JP"/>
        </w:rPr>
        <w:t xml:space="preserve">a </w:t>
      </w:r>
      <w:r w:rsidR="00E06105" w:rsidRPr="00B14780">
        <w:rPr>
          <w:lang w:eastAsia="ja-JP"/>
        </w:rPr>
        <w:t xml:space="preserve">variety denomination </w:t>
      </w:r>
      <w:r w:rsidR="00A35CC1" w:rsidRPr="00B14780">
        <w:rPr>
          <w:lang w:eastAsia="ja-JP"/>
        </w:rPr>
        <w:t xml:space="preserve">was </w:t>
      </w:r>
      <w:r w:rsidR="008B1343" w:rsidRPr="00B14780">
        <w:rPr>
          <w:rFonts w:hint="eastAsia"/>
          <w:lang w:eastAsia="ja-JP"/>
        </w:rPr>
        <w:t xml:space="preserve">unsuitable </w:t>
      </w:r>
      <w:r w:rsidR="001A1757" w:rsidRPr="00B14780">
        <w:rPr>
          <w:lang w:eastAsia="ja-JP"/>
        </w:rPr>
        <w:t xml:space="preserve">except for </w:t>
      </w:r>
      <w:r w:rsidR="00C743D4" w:rsidRPr="00B14780">
        <w:rPr>
          <w:lang w:eastAsia="ja-JP"/>
        </w:rPr>
        <w:t>certain common names that had a wider meaning</w:t>
      </w:r>
      <w:r w:rsidR="008B1343" w:rsidRPr="00B14780">
        <w:rPr>
          <w:rFonts w:hint="eastAsia"/>
          <w:lang w:eastAsia="ja-JP"/>
        </w:rPr>
        <w:t xml:space="preserve"> and </w:t>
      </w:r>
      <w:r w:rsidR="00D20DB5" w:rsidRPr="00B14780">
        <w:rPr>
          <w:rFonts w:hint="eastAsia"/>
          <w:lang w:eastAsia="ja-JP"/>
        </w:rPr>
        <w:t>for which</w:t>
      </w:r>
      <w:r w:rsidR="008B1343" w:rsidRPr="00B14780">
        <w:rPr>
          <w:rFonts w:hint="eastAsia"/>
          <w:lang w:eastAsia="ja-JP"/>
        </w:rPr>
        <w:t xml:space="preserve"> </w:t>
      </w:r>
      <w:r w:rsidR="000C0544" w:rsidRPr="00B14780">
        <w:rPr>
          <w:rFonts w:hint="eastAsia"/>
          <w:lang w:eastAsia="ja-JP"/>
        </w:rPr>
        <w:t xml:space="preserve">there </w:t>
      </w:r>
      <w:r w:rsidR="008B1343" w:rsidRPr="00B14780">
        <w:rPr>
          <w:rFonts w:hint="eastAsia"/>
          <w:lang w:eastAsia="ja-JP"/>
        </w:rPr>
        <w:t>was no likelihood of confusion</w:t>
      </w:r>
      <w:r w:rsidR="00E06105" w:rsidRPr="00B14780">
        <w:rPr>
          <w:lang w:eastAsia="ja-JP"/>
        </w:rPr>
        <w:t xml:space="preserve"> (e.g. “Rosa”</w:t>
      </w:r>
      <w:r w:rsidR="00E06105" w:rsidRPr="00B14780">
        <w:rPr>
          <w:noProof/>
          <w:lang w:eastAsia="ja-JP"/>
        </w:rPr>
        <w:t>)</w:t>
      </w:r>
      <w:r w:rsidR="00C743D4" w:rsidRPr="00B14780">
        <w:rPr>
          <w:lang w:eastAsia="ja-JP"/>
        </w:rPr>
        <w:t>.</w:t>
      </w:r>
    </w:p>
    <w:p w:rsidR="00B55963" w:rsidRDefault="00B55963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55963" w:rsidRPr="008F47E2" w:rsidRDefault="00B55963" w:rsidP="000C0544">
      <w:pPr>
        <w:pStyle w:val="Heading4"/>
        <w:rPr>
          <w:lang w:val="en-US"/>
        </w:rPr>
      </w:pPr>
      <w:r w:rsidRPr="008F47E2">
        <w:rPr>
          <w:lang w:val="en-US"/>
        </w:rPr>
        <w:t>Section 2.3.2 “Value of the variety”</w:t>
      </w:r>
    </w:p>
    <w:p w:rsidR="00B55963" w:rsidRPr="008F47E2" w:rsidRDefault="00B55963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B55963" w:rsidRPr="008F47E2" w:rsidRDefault="00B55963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</w:t>
      </w:r>
      <w:r w:rsidR="00CD0CE1" w:rsidRPr="008F47E2">
        <w:rPr>
          <w:lang w:eastAsia="ja-JP"/>
        </w:rPr>
        <w:t>noted</w:t>
      </w:r>
      <w:r w:rsidRPr="008F47E2">
        <w:rPr>
          <w:lang w:eastAsia="ja-JP"/>
        </w:rPr>
        <w:t xml:space="preserve"> that</w:t>
      </w:r>
      <w:r w:rsidR="00CD0CE1" w:rsidRPr="008F47E2">
        <w:rPr>
          <w:lang w:eastAsia="ja-JP"/>
        </w:rPr>
        <w:t xml:space="preserve">, at its first meeting, </w:t>
      </w:r>
      <w:r w:rsidR="001A1757" w:rsidRPr="008F47E2">
        <w:rPr>
          <w:lang w:eastAsia="ja-JP"/>
        </w:rPr>
        <w:t xml:space="preserve">it had </w:t>
      </w:r>
      <w:r w:rsidR="00CD0CE1" w:rsidRPr="008F47E2">
        <w:rPr>
          <w:lang w:eastAsia="ja-JP"/>
        </w:rPr>
        <w:t xml:space="preserve">agreed </w:t>
      </w:r>
      <w:r w:rsidR="001A1757" w:rsidRPr="008F47E2">
        <w:rPr>
          <w:lang w:eastAsia="ja-JP"/>
        </w:rPr>
        <w:t xml:space="preserve">that </w:t>
      </w:r>
      <w:r w:rsidRPr="008F47E2">
        <w:rPr>
          <w:lang w:eastAsia="ja-JP"/>
        </w:rPr>
        <w:t>superlatives and comparatives should only be unacceptable if they misled or caused confusion concerning the characteristics of the variety</w:t>
      </w:r>
      <w:r w:rsidR="00CD0CE1" w:rsidRPr="008F47E2">
        <w:rPr>
          <w:lang w:eastAsia="ja-JP"/>
        </w:rPr>
        <w:t xml:space="preserve">, and </w:t>
      </w:r>
      <w:r w:rsidRPr="008F47E2">
        <w:rPr>
          <w:lang w:eastAsia="ja-JP"/>
        </w:rPr>
        <w:t>that examples of acceptable and unacceptable use of superlatives and comparatives should be provided in document UPOV/INF/12.</w:t>
      </w:r>
    </w:p>
    <w:p w:rsidR="00CD0CE1" w:rsidRPr="008F47E2" w:rsidRDefault="00CD0CE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CD0CE1" w:rsidRPr="008F47E2" w:rsidRDefault="00CD0CE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considered the proposals submitted by </w:t>
      </w:r>
      <w:r w:rsidR="00E06105" w:rsidRPr="008F47E2">
        <w:rPr>
          <w:lang w:eastAsia="ja-JP"/>
        </w:rPr>
        <w:t>the Delegation</w:t>
      </w:r>
      <w:r w:rsidR="00E022AE" w:rsidRPr="008F47E2">
        <w:rPr>
          <w:lang w:eastAsia="ja-JP"/>
        </w:rPr>
        <w:t>s</w:t>
      </w:r>
      <w:r w:rsidR="00E06105" w:rsidRPr="008F47E2">
        <w:rPr>
          <w:lang w:eastAsia="ja-JP"/>
        </w:rPr>
        <w:t xml:space="preserve"> of </w:t>
      </w:r>
      <w:r w:rsidRPr="008F47E2">
        <w:rPr>
          <w:lang w:eastAsia="ja-JP"/>
        </w:rPr>
        <w:t>France, the Netherlands and New Zealand</w:t>
      </w:r>
      <w:r w:rsidR="008E4D4F" w:rsidRPr="008F47E2">
        <w:rPr>
          <w:lang w:eastAsia="ja-JP"/>
        </w:rPr>
        <w:t>, as</w:t>
      </w:r>
      <w:r w:rsidR="0066471C">
        <w:rPr>
          <w:rFonts w:hint="eastAsia"/>
          <w:lang w:eastAsia="ja-JP"/>
        </w:rPr>
        <w:t xml:space="preserve"> </w:t>
      </w:r>
      <w:r w:rsidR="007F117D" w:rsidRPr="008F47E2">
        <w:rPr>
          <w:rFonts w:hint="eastAsia"/>
          <w:lang w:eastAsia="ja-JP"/>
        </w:rPr>
        <w:t xml:space="preserve">reproduced </w:t>
      </w:r>
      <w:r w:rsidR="00EE03E2" w:rsidRPr="008F47E2">
        <w:rPr>
          <w:lang w:eastAsia="ja-JP"/>
        </w:rPr>
        <w:t>in document UPOV/INF/12/6 Draft 2</w:t>
      </w:r>
      <w:r w:rsidR="007F117D" w:rsidRPr="008F47E2">
        <w:rPr>
          <w:rFonts w:hint="eastAsia"/>
          <w:lang w:eastAsia="ja-JP"/>
        </w:rPr>
        <w:t>, page 9</w:t>
      </w:r>
      <w:r w:rsidR="008E4D4F" w:rsidRPr="008F47E2">
        <w:rPr>
          <w:lang w:eastAsia="ja-JP"/>
        </w:rPr>
        <w:t>.</w:t>
      </w:r>
    </w:p>
    <w:p w:rsidR="00CD0CE1" w:rsidRPr="008F47E2" w:rsidRDefault="00CD0CE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CD0CE1" w:rsidRPr="008F47E2" w:rsidRDefault="00CD0CE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agreed </w:t>
      </w:r>
      <w:r w:rsidR="00277053" w:rsidRPr="008F47E2">
        <w:rPr>
          <w:lang w:eastAsia="ja-JP"/>
        </w:rPr>
        <w:t>to consider</w:t>
      </w:r>
      <w:r w:rsidR="008E4D4F" w:rsidRPr="008F47E2">
        <w:rPr>
          <w:lang w:eastAsia="ja-JP"/>
        </w:rPr>
        <w:t xml:space="preserve"> the </w:t>
      </w:r>
      <w:r w:rsidR="002D0533" w:rsidRPr="008F47E2">
        <w:rPr>
          <w:rFonts w:hint="eastAsia"/>
          <w:lang w:eastAsia="ja-JP"/>
        </w:rPr>
        <w:t>examples</w:t>
      </w:r>
      <w:r w:rsidR="00204598" w:rsidRPr="008F47E2">
        <w:rPr>
          <w:rFonts w:hint="eastAsia"/>
          <w:lang w:eastAsia="ja-JP"/>
        </w:rPr>
        <w:t xml:space="preserve"> </w:t>
      </w:r>
      <w:r w:rsidR="008E4D4F" w:rsidRPr="008F47E2">
        <w:rPr>
          <w:lang w:eastAsia="ja-JP"/>
        </w:rPr>
        <w:t>of</w:t>
      </w:r>
      <w:r w:rsidR="00204598" w:rsidRPr="008F47E2">
        <w:rPr>
          <w:rFonts w:hint="eastAsia"/>
          <w:lang w:eastAsia="ja-JP"/>
        </w:rPr>
        <w:t xml:space="preserve"> acceptable and </w:t>
      </w:r>
      <w:r w:rsidR="00204598" w:rsidRPr="008F47E2">
        <w:rPr>
          <w:lang w:eastAsia="ja-JP"/>
        </w:rPr>
        <w:t>unacceptable</w:t>
      </w:r>
      <w:r w:rsidR="00204598" w:rsidRPr="008F47E2">
        <w:rPr>
          <w:rFonts w:hint="eastAsia"/>
          <w:lang w:eastAsia="ja-JP"/>
        </w:rPr>
        <w:t xml:space="preserve"> </w:t>
      </w:r>
      <w:r w:rsidR="008E4D4F" w:rsidRPr="008F47E2">
        <w:rPr>
          <w:lang w:eastAsia="ja-JP"/>
        </w:rPr>
        <w:t xml:space="preserve">uses of superlatives and </w:t>
      </w:r>
      <w:r w:rsidR="001C3D43" w:rsidRPr="008F47E2">
        <w:rPr>
          <w:lang w:eastAsia="ja-JP"/>
        </w:rPr>
        <w:t>comparatives</w:t>
      </w:r>
      <w:r w:rsidR="00D20DB5" w:rsidRPr="008F47E2">
        <w:rPr>
          <w:lang w:eastAsia="ja-JP"/>
        </w:rPr>
        <w:t xml:space="preserve"> further at its third meeting</w:t>
      </w:r>
      <w:r w:rsidR="00277053" w:rsidRPr="008F47E2">
        <w:rPr>
          <w:lang w:eastAsia="ja-JP"/>
        </w:rPr>
        <w:t>.</w:t>
      </w:r>
    </w:p>
    <w:p w:rsidR="000C0544" w:rsidRPr="008F47E2" w:rsidRDefault="000C0544" w:rsidP="000C0544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55963" w:rsidRPr="008F47E2" w:rsidRDefault="00B55963" w:rsidP="000C0544">
      <w:pPr>
        <w:pStyle w:val="Heading4"/>
        <w:rPr>
          <w:lang w:val="en-US"/>
        </w:rPr>
      </w:pPr>
      <w:r w:rsidRPr="008F47E2">
        <w:rPr>
          <w:lang w:val="en-US"/>
        </w:rPr>
        <w:t>Section 2.3.3 “Identity of the variety”</w:t>
      </w:r>
    </w:p>
    <w:p w:rsidR="000C0544" w:rsidRPr="008F47E2" w:rsidRDefault="000C0544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szCs w:val="24"/>
          <w:lang w:eastAsia="ja-JP"/>
        </w:rPr>
      </w:pPr>
    </w:p>
    <w:p w:rsidR="00B55963" w:rsidRPr="008F47E2" w:rsidRDefault="00B55963" w:rsidP="00833B99">
      <w:pPr>
        <w:pStyle w:val="Heading5"/>
      </w:pPr>
      <w:r w:rsidRPr="008F47E2">
        <w:t>Section 2.3.3</w:t>
      </w:r>
      <w:r w:rsidR="0066471C">
        <w:rPr>
          <w:rFonts w:hint="eastAsia"/>
        </w:rPr>
        <w:t xml:space="preserve"> </w:t>
      </w:r>
      <w:r w:rsidRPr="008F47E2">
        <w:t>(a)</w:t>
      </w:r>
    </w:p>
    <w:p w:rsidR="00B55963" w:rsidRPr="008F47E2" w:rsidRDefault="00B55963" w:rsidP="004E7DCF">
      <w:pPr>
        <w:pStyle w:val="ListParagraph"/>
        <w:keepNext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D20DB5" w:rsidRDefault="00CD0CE1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considered </w:t>
      </w:r>
      <w:r w:rsidR="008E4D4F" w:rsidRPr="008F47E2">
        <w:rPr>
          <w:lang w:eastAsia="ja-JP"/>
        </w:rPr>
        <w:t xml:space="preserve">the </w:t>
      </w:r>
      <w:r w:rsidRPr="008F47E2">
        <w:rPr>
          <w:lang w:eastAsia="ja-JP"/>
        </w:rPr>
        <w:t xml:space="preserve">proposal </w:t>
      </w:r>
      <w:r w:rsidR="000A7C70" w:rsidRPr="008F47E2">
        <w:rPr>
          <w:lang w:eastAsia="ja-JP"/>
        </w:rPr>
        <w:t xml:space="preserve">made </w:t>
      </w:r>
      <w:r w:rsidRPr="008F47E2">
        <w:rPr>
          <w:lang w:eastAsia="ja-JP"/>
        </w:rPr>
        <w:t xml:space="preserve">by </w:t>
      </w:r>
      <w:r w:rsidR="00E06105" w:rsidRPr="008F47E2">
        <w:rPr>
          <w:lang w:eastAsia="ja-JP"/>
        </w:rPr>
        <w:t xml:space="preserve">the Delegation of </w:t>
      </w:r>
      <w:r w:rsidRPr="008F47E2">
        <w:rPr>
          <w:lang w:eastAsia="ja-JP"/>
        </w:rPr>
        <w:t>New</w:t>
      </w:r>
      <w:r w:rsidR="000A7C70" w:rsidRPr="008F47E2">
        <w:rPr>
          <w:lang w:eastAsia="ja-JP"/>
        </w:rPr>
        <w:t> </w:t>
      </w:r>
      <w:r w:rsidRPr="008F47E2">
        <w:rPr>
          <w:lang w:eastAsia="ja-JP"/>
        </w:rPr>
        <w:t>Zealand</w:t>
      </w:r>
      <w:r w:rsidR="00D20DB5" w:rsidRPr="008F47E2">
        <w:rPr>
          <w:lang w:eastAsia="ja-JP"/>
        </w:rPr>
        <w:t xml:space="preserve"> as </w:t>
      </w:r>
      <w:r w:rsidR="00D20DB5" w:rsidRPr="008F47E2">
        <w:rPr>
          <w:rFonts w:hint="eastAsia"/>
          <w:lang w:eastAsia="ja-JP"/>
        </w:rPr>
        <w:t xml:space="preserve">reproduced </w:t>
      </w:r>
      <w:r w:rsidR="00D20DB5" w:rsidRPr="008F47E2">
        <w:rPr>
          <w:lang w:eastAsia="ja-JP"/>
        </w:rPr>
        <w:t>in document UPOV/INF/12/6 Draft 2</w:t>
      </w:r>
      <w:r w:rsidR="00D20DB5" w:rsidRPr="008F47E2">
        <w:rPr>
          <w:rFonts w:hint="eastAsia"/>
          <w:lang w:eastAsia="ja-JP"/>
        </w:rPr>
        <w:t>, page 10</w:t>
      </w:r>
      <w:r w:rsidR="00D20DB5">
        <w:rPr>
          <w:rFonts w:hint="eastAsia"/>
          <w:lang w:eastAsia="ja-JP"/>
        </w:rPr>
        <w:t xml:space="preserve">, </w:t>
      </w:r>
      <w:r w:rsidRPr="008F47E2">
        <w:rPr>
          <w:lang w:eastAsia="ja-JP"/>
        </w:rPr>
        <w:t>that for all categories of denominations including pronounceable words, a difference of one letter or one figure should not be considered to be liable to mislead and cause confusion concerning the identity of the variety</w:t>
      </w:r>
      <w:r w:rsidR="00D20DB5">
        <w:rPr>
          <w:rFonts w:hint="eastAsia"/>
          <w:lang w:eastAsia="ja-JP"/>
        </w:rPr>
        <w:t xml:space="preserve">.  </w:t>
      </w:r>
      <w:r w:rsidR="00CD32C2">
        <w:rPr>
          <w:lang w:eastAsia="ja-JP"/>
        </w:rPr>
        <w:t>The WG-DEN</w:t>
      </w:r>
      <w:r w:rsidR="00CD32C2">
        <w:rPr>
          <w:rFonts w:hint="eastAsia"/>
          <w:lang w:eastAsia="ja-JP"/>
        </w:rPr>
        <w:t xml:space="preserve"> agreed that </w:t>
      </w:r>
      <w:r w:rsidR="00CD32C2">
        <w:rPr>
          <w:lang w:eastAsia="ja-JP"/>
        </w:rPr>
        <w:t>there</w:t>
      </w:r>
      <w:r w:rsidR="00D20DB5">
        <w:rPr>
          <w:rFonts w:hint="eastAsia"/>
          <w:lang w:eastAsia="ja-JP"/>
        </w:rPr>
        <w:t xml:space="preserve"> would need to</w:t>
      </w:r>
      <w:r w:rsidR="00F65A2D">
        <w:rPr>
          <w:rFonts w:hint="eastAsia"/>
          <w:lang w:eastAsia="ja-JP"/>
        </w:rPr>
        <w:t xml:space="preserve"> be exceptions to such a general rule and c</w:t>
      </w:r>
      <w:r w:rsidR="00CD32C2">
        <w:rPr>
          <w:lang w:eastAsia="ja-JP"/>
        </w:rPr>
        <w:t xml:space="preserve">oncluded </w:t>
      </w:r>
      <w:r w:rsidR="00F65A2D">
        <w:rPr>
          <w:rFonts w:hint="eastAsia"/>
          <w:lang w:eastAsia="ja-JP"/>
        </w:rPr>
        <w:t>that the proposal should not be p</w:t>
      </w:r>
      <w:r w:rsidR="00CD32C2">
        <w:rPr>
          <w:lang w:eastAsia="ja-JP"/>
        </w:rPr>
        <w:t>ursued</w:t>
      </w:r>
      <w:r w:rsidR="00F65A2D">
        <w:rPr>
          <w:rFonts w:hint="eastAsia"/>
          <w:lang w:eastAsia="ja-JP"/>
        </w:rPr>
        <w:t>.</w:t>
      </w:r>
    </w:p>
    <w:p w:rsidR="0066471C" w:rsidRDefault="0066471C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142328" w:rsidRDefault="00142328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142328" w:rsidRDefault="00142328" w:rsidP="00142328">
      <w:pPr>
        <w:pStyle w:val="Heading2"/>
        <w:ind w:firstLine="567"/>
        <w:rPr>
          <w:lang w:eastAsia="ja-JP"/>
        </w:rPr>
      </w:pPr>
      <w:r>
        <w:rPr>
          <w:rFonts w:hint="eastAsia"/>
          <w:lang w:eastAsia="ja-JP"/>
        </w:rPr>
        <w:t>Consideration at the third meeting</w:t>
      </w:r>
      <w:r w:rsidR="007623CE">
        <w:rPr>
          <w:lang w:eastAsia="ja-JP"/>
        </w:rPr>
        <w:t xml:space="preserve"> of the WG-DEN</w:t>
      </w:r>
    </w:p>
    <w:p w:rsidR="00142328" w:rsidRPr="008F47E2" w:rsidRDefault="00142328" w:rsidP="006B662B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204598" w:rsidRDefault="00277053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 xml:space="preserve">The WG-DEN agreed </w:t>
      </w:r>
      <w:r w:rsidR="00030FFB" w:rsidRPr="008F47E2">
        <w:rPr>
          <w:lang w:eastAsia="ja-JP"/>
        </w:rPr>
        <w:t xml:space="preserve">to consider </w:t>
      </w:r>
      <w:r w:rsidR="000C0544">
        <w:rPr>
          <w:rFonts w:hint="eastAsia"/>
          <w:lang w:eastAsia="ja-JP"/>
        </w:rPr>
        <w:t xml:space="preserve">the </w:t>
      </w:r>
      <w:r w:rsidR="007623CE">
        <w:rPr>
          <w:lang w:eastAsia="ja-JP"/>
        </w:rPr>
        <w:t xml:space="preserve">remainder of </w:t>
      </w:r>
      <w:r w:rsidR="00204598" w:rsidRPr="008F47E2">
        <w:rPr>
          <w:rFonts w:hint="eastAsia"/>
          <w:lang w:eastAsia="ja-JP"/>
        </w:rPr>
        <w:t xml:space="preserve">document </w:t>
      </w:r>
      <w:r w:rsidR="00030FFB" w:rsidRPr="008F47E2">
        <w:rPr>
          <w:lang w:eastAsia="ja-JP"/>
        </w:rPr>
        <w:t>UPOV/INF/12/6 Draft 2</w:t>
      </w:r>
      <w:r w:rsidR="0066471C">
        <w:rPr>
          <w:rFonts w:hint="eastAsia"/>
          <w:lang w:eastAsia="ja-JP"/>
        </w:rPr>
        <w:t xml:space="preserve"> </w:t>
      </w:r>
      <w:r w:rsidR="00F65A2D">
        <w:rPr>
          <w:rFonts w:hint="eastAsia"/>
          <w:lang w:eastAsia="ja-JP"/>
        </w:rPr>
        <w:t>from Section</w:t>
      </w:r>
      <w:r w:rsidR="007623CE">
        <w:rPr>
          <w:lang w:eastAsia="ja-JP"/>
        </w:rPr>
        <w:t> </w:t>
      </w:r>
      <w:r w:rsidR="00F65A2D">
        <w:rPr>
          <w:rFonts w:hint="eastAsia"/>
          <w:lang w:eastAsia="ja-JP"/>
        </w:rPr>
        <w:t>2.3.3</w:t>
      </w:r>
      <w:r w:rsidR="007623CE">
        <w:rPr>
          <w:lang w:eastAsia="ja-JP"/>
        </w:rPr>
        <w:t> </w:t>
      </w:r>
      <w:r w:rsidR="00F65A2D">
        <w:rPr>
          <w:rFonts w:hint="eastAsia"/>
          <w:lang w:eastAsia="ja-JP"/>
        </w:rPr>
        <w:t xml:space="preserve">(b) </w:t>
      </w:r>
      <w:r w:rsidR="00204598" w:rsidRPr="008F47E2">
        <w:rPr>
          <w:rFonts w:hint="eastAsia"/>
          <w:lang w:eastAsia="ja-JP"/>
        </w:rPr>
        <w:t xml:space="preserve">at </w:t>
      </w:r>
      <w:r w:rsidR="007623CE">
        <w:rPr>
          <w:lang w:eastAsia="ja-JP"/>
        </w:rPr>
        <w:t>its</w:t>
      </w:r>
      <w:r w:rsidR="007623CE" w:rsidRPr="008F47E2">
        <w:rPr>
          <w:rFonts w:hint="eastAsia"/>
          <w:lang w:eastAsia="ja-JP"/>
        </w:rPr>
        <w:t xml:space="preserve"> </w:t>
      </w:r>
      <w:r w:rsidR="00030FFB" w:rsidRPr="008F47E2">
        <w:rPr>
          <w:lang w:eastAsia="ja-JP"/>
        </w:rPr>
        <w:t>third</w:t>
      </w:r>
      <w:r w:rsidR="00030FFB" w:rsidRPr="008F47E2">
        <w:rPr>
          <w:rFonts w:hint="eastAsia"/>
          <w:lang w:eastAsia="ja-JP"/>
        </w:rPr>
        <w:t xml:space="preserve"> </w:t>
      </w:r>
      <w:r w:rsidR="00204598" w:rsidRPr="008F47E2">
        <w:rPr>
          <w:rFonts w:hint="eastAsia"/>
          <w:lang w:eastAsia="ja-JP"/>
        </w:rPr>
        <w:t>meeting, and to use document</w:t>
      </w:r>
      <w:r w:rsidR="000C0544">
        <w:rPr>
          <w:lang w:eastAsia="ja-JP"/>
        </w:rPr>
        <w:t> </w:t>
      </w:r>
      <w:r w:rsidR="000C0544">
        <w:rPr>
          <w:rFonts w:hint="eastAsia"/>
          <w:lang w:eastAsia="ja-JP"/>
        </w:rPr>
        <w:t>UPOV/INF/12/6 Draft 2 as the basis for its consideration</w:t>
      </w:r>
      <w:r w:rsidR="00F65A2D">
        <w:rPr>
          <w:rFonts w:hint="eastAsia"/>
          <w:lang w:eastAsia="ja-JP"/>
        </w:rPr>
        <w:t>, in order</w:t>
      </w:r>
      <w:r w:rsidR="00204598" w:rsidRPr="008F47E2">
        <w:rPr>
          <w:rFonts w:hint="eastAsia"/>
          <w:lang w:eastAsia="ja-JP"/>
        </w:rPr>
        <w:t xml:space="preserve"> to avoid any confusion.</w:t>
      </w:r>
    </w:p>
    <w:p w:rsidR="00277053" w:rsidRDefault="00277053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strike/>
          <w:lang w:eastAsia="ja-JP"/>
        </w:rPr>
      </w:pPr>
    </w:p>
    <w:p w:rsidR="00142328" w:rsidRDefault="00142328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 w:rsidRPr="008F47E2">
        <w:fldChar w:fldCharType="begin"/>
      </w:r>
      <w:r w:rsidRPr="008F47E2">
        <w:instrText xml:space="preserve"> AUTONUM  </w:instrText>
      </w:r>
      <w:r w:rsidRPr="008F47E2">
        <w:fldChar w:fldCharType="end"/>
      </w:r>
      <w:r w:rsidRPr="008F47E2">
        <w:tab/>
      </w:r>
      <w:r w:rsidRPr="008F47E2">
        <w:rPr>
          <w:lang w:eastAsia="ja-JP"/>
        </w:rPr>
        <w:t>The WG-DEN agreed to consider</w:t>
      </w:r>
      <w:r>
        <w:rPr>
          <w:rFonts w:hint="eastAsia"/>
          <w:lang w:eastAsia="ja-JP"/>
        </w:rPr>
        <w:t xml:space="preserve"> </w:t>
      </w:r>
      <w:r w:rsidR="00CD32C2">
        <w:rPr>
          <w:lang w:eastAsia="ja-JP"/>
        </w:rPr>
        <w:t xml:space="preserve">the </w:t>
      </w:r>
      <w:r w:rsidR="003F5794">
        <w:rPr>
          <w:rFonts w:hint="eastAsia"/>
          <w:lang w:eastAsia="ja-JP"/>
        </w:rPr>
        <w:t>following items of</w:t>
      </w:r>
      <w:r>
        <w:rPr>
          <w:rFonts w:hint="eastAsia"/>
          <w:lang w:eastAsia="ja-JP"/>
        </w:rPr>
        <w:t xml:space="preserve"> </w:t>
      </w:r>
      <w:r w:rsidRPr="008F47E2">
        <w:rPr>
          <w:lang w:eastAsia="ja-JP"/>
        </w:rPr>
        <w:t>UPOV/INF/12/6 Draft 2</w:t>
      </w:r>
      <w:r w:rsidR="006F14D1">
        <w:rPr>
          <w:rFonts w:hint="eastAsia"/>
          <w:lang w:eastAsia="ja-JP"/>
        </w:rPr>
        <w:t xml:space="preserve"> </w:t>
      </w:r>
      <w:r w:rsidR="00CD32C2">
        <w:rPr>
          <w:lang w:eastAsia="ja-JP"/>
        </w:rPr>
        <w:t>after</w:t>
      </w:r>
      <w:r w:rsidR="006F14D1">
        <w:rPr>
          <w:rFonts w:hint="eastAsia"/>
          <w:lang w:eastAsia="ja-JP"/>
        </w:rPr>
        <w:t xml:space="preserve"> considering</w:t>
      </w:r>
      <w:r w:rsidR="00CD32C2">
        <w:rPr>
          <w:lang w:eastAsia="ja-JP"/>
        </w:rPr>
        <w:t xml:space="preserve"> the </w:t>
      </w:r>
      <w:r w:rsidR="007623CE">
        <w:rPr>
          <w:lang w:eastAsia="ja-JP"/>
        </w:rPr>
        <w:t>remainder</w:t>
      </w:r>
      <w:r w:rsidR="00954936">
        <w:rPr>
          <w:rFonts w:hint="eastAsia"/>
          <w:lang w:eastAsia="ja-JP"/>
        </w:rPr>
        <w:t xml:space="preserve"> </w:t>
      </w:r>
      <w:r w:rsidR="00CD32C2">
        <w:rPr>
          <w:lang w:eastAsia="ja-JP"/>
        </w:rPr>
        <w:t xml:space="preserve">of document </w:t>
      </w:r>
      <w:r w:rsidR="007623CE">
        <w:rPr>
          <w:lang w:eastAsia="ja-JP"/>
        </w:rPr>
        <w:t>UPOV/</w:t>
      </w:r>
      <w:r w:rsidR="00CD32C2">
        <w:rPr>
          <w:lang w:eastAsia="ja-JP"/>
        </w:rPr>
        <w:t>INF/12/6 Draft 2 from</w:t>
      </w:r>
      <w:r w:rsidR="006F14D1">
        <w:rPr>
          <w:rFonts w:hint="eastAsia"/>
          <w:lang w:eastAsia="ja-JP"/>
        </w:rPr>
        <w:t xml:space="preserve"> </w:t>
      </w:r>
      <w:r w:rsidR="003F5794">
        <w:rPr>
          <w:rFonts w:hint="eastAsia"/>
          <w:lang w:eastAsia="ja-JP"/>
        </w:rPr>
        <w:t>Section 2.3.3 (b):</w:t>
      </w:r>
    </w:p>
    <w:p w:rsidR="006F14D1" w:rsidRDefault="006F14D1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3F5794" w:rsidRPr="005E5D45" w:rsidRDefault="003F5794" w:rsidP="003F5794">
      <w:pPr>
        <w:pStyle w:val="ListParagraph"/>
        <w:autoSpaceDE w:val="0"/>
        <w:autoSpaceDN w:val="0"/>
        <w:adjustRightInd w:val="0"/>
        <w:ind w:left="0" w:firstLine="567"/>
        <w:contextualSpacing w:val="0"/>
        <w:rPr>
          <w:lang w:eastAsia="ja-JP"/>
        </w:rPr>
      </w:pPr>
      <w:r>
        <w:rPr>
          <w:rFonts w:hint="eastAsia"/>
          <w:lang w:eastAsia="ja-JP"/>
        </w:rPr>
        <w:t xml:space="preserve">(a) </w:t>
      </w:r>
      <w:r>
        <w:rPr>
          <w:rFonts w:hint="eastAsia"/>
          <w:lang w:eastAsia="ja-JP"/>
        </w:rPr>
        <w:tab/>
      </w:r>
      <w:r w:rsidRPr="005E5D45">
        <w:rPr>
          <w:lang w:eastAsia="ja-JP"/>
        </w:rPr>
        <w:t>Section 1 “Designation of varieties by denominations; use of the denomination”</w:t>
      </w:r>
      <w:r>
        <w:rPr>
          <w:rFonts w:hint="eastAsia"/>
          <w:lang w:eastAsia="ja-JP"/>
        </w:rPr>
        <w:t>: relation of denomination</w:t>
      </w:r>
      <w:r w:rsidR="002F0FCC">
        <w:rPr>
          <w:lang w:eastAsia="ja-JP"/>
        </w:rPr>
        <w:t>s</w:t>
      </w:r>
      <w:r>
        <w:rPr>
          <w:rFonts w:hint="eastAsia"/>
          <w:lang w:eastAsia="ja-JP"/>
        </w:rPr>
        <w:t xml:space="preserve"> and trademark</w:t>
      </w:r>
      <w:r w:rsidR="002F0FCC">
        <w:rPr>
          <w:lang w:eastAsia="ja-JP"/>
        </w:rPr>
        <w:t>s</w:t>
      </w:r>
      <w:r>
        <w:rPr>
          <w:rFonts w:hint="eastAsia"/>
          <w:lang w:eastAsia="ja-JP"/>
        </w:rPr>
        <w:t xml:space="preserve"> (see paragraph 8);</w:t>
      </w:r>
    </w:p>
    <w:p w:rsidR="006F14D1" w:rsidRDefault="006F14D1" w:rsidP="006F14D1">
      <w:pPr>
        <w:rPr>
          <w:lang w:eastAsia="ja-JP"/>
        </w:rPr>
      </w:pPr>
    </w:p>
    <w:p w:rsidR="006F14D1" w:rsidRDefault="003F5794" w:rsidP="003F5794">
      <w:pPr>
        <w:ind w:firstLine="567"/>
        <w:rPr>
          <w:lang w:eastAsia="ja-JP"/>
        </w:rPr>
      </w:pPr>
      <w:r>
        <w:rPr>
          <w:rFonts w:hint="eastAsia"/>
          <w:lang w:eastAsia="ja-JP"/>
        </w:rPr>
        <w:t>(b)</w:t>
      </w:r>
      <w:r>
        <w:rPr>
          <w:rFonts w:hint="eastAsia"/>
          <w:lang w:eastAsia="ja-JP"/>
        </w:rPr>
        <w:tab/>
      </w:r>
      <w:r w:rsidR="006F14D1" w:rsidRPr="008F47E2">
        <w:t>Section 2 “Characteristics of the denomination</w:t>
      </w:r>
      <w:r>
        <w:rPr>
          <w:rFonts w:hint="eastAsia"/>
          <w:lang w:eastAsia="ja-JP"/>
        </w:rPr>
        <w:t xml:space="preserve">: </w:t>
      </w:r>
      <w:r w:rsidR="006F14D1" w:rsidRPr="008F47E2">
        <w:rPr>
          <w:lang w:eastAsia="ja-JP"/>
        </w:rPr>
        <w:t>the definition of “words” and the categories</w:t>
      </w:r>
      <w:r>
        <w:rPr>
          <w:rFonts w:hint="eastAsia"/>
          <w:lang w:eastAsia="ja-JP"/>
        </w:rPr>
        <w:t xml:space="preserve"> (see paragraph 10);</w:t>
      </w:r>
    </w:p>
    <w:p w:rsidR="006F14D1" w:rsidRDefault="006F14D1" w:rsidP="006F14D1">
      <w:pPr>
        <w:rPr>
          <w:lang w:eastAsia="ja-JP"/>
        </w:rPr>
      </w:pPr>
    </w:p>
    <w:p w:rsidR="006F14D1" w:rsidRDefault="003F5794" w:rsidP="003F5794">
      <w:r>
        <w:rPr>
          <w:rFonts w:hint="eastAsia"/>
          <w:lang w:eastAsia="ja-JP"/>
        </w:rPr>
        <w:tab/>
        <w:t>(c)</w:t>
      </w:r>
      <w:r>
        <w:rPr>
          <w:rFonts w:hint="eastAsia"/>
          <w:lang w:eastAsia="ja-JP"/>
        </w:rPr>
        <w:tab/>
      </w:r>
      <w:r w:rsidR="006F14D1" w:rsidRPr="008F47E2">
        <w:t>Section 2.1 “Identification”</w:t>
      </w:r>
      <w:r>
        <w:rPr>
          <w:rFonts w:hint="eastAsia"/>
          <w:lang w:eastAsia="ja-JP"/>
        </w:rPr>
        <w:t>:</w:t>
      </w:r>
      <w:r w:rsidR="006F14D1">
        <w:rPr>
          <w:rFonts w:hint="eastAsia"/>
        </w:rPr>
        <w:t xml:space="preserve"> </w:t>
      </w:r>
      <w:r w:rsidR="000C0544">
        <w:rPr>
          <w:rFonts w:hint="eastAsia"/>
          <w:lang w:eastAsia="ja-JP"/>
        </w:rPr>
        <w:t>relationship</w:t>
      </w:r>
      <w:r>
        <w:rPr>
          <w:rFonts w:hint="eastAsia"/>
          <w:lang w:eastAsia="ja-JP"/>
        </w:rPr>
        <w:t xml:space="preserve"> with </w:t>
      </w:r>
      <w:r w:rsidR="002F0FCC" w:rsidRPr="008F47E2">
        <w:rPr>
          <w:rFonts w:hint="eastAsia"/>
          <w:iCs/>
          <w:spacing w:val="-4"/>
          <w:lang w:eastAsia="ja-JP"/>
        </w:rPr>
        <w:t>Section 2.3.1</w:t>
      </w:r>
      <w:r w:rsidR="002F0FCC">
        <w:rPr>
          <w:iCs/>
          <w:spacing w:val="-4"/>
          <w:lang w:eastAsia="ja-JP"/>
        </w:rPr>
        <w:t xml:space="preserve"> “</w:t>
      </w:r>
      <w:r w:rsidR="002F0FCC" w:rsidRPr="00407B23">
        <w:t>Characteristics of the variety</w:t>
      </w:r>
      <w:r w:rsidR="002F0FCC">
        <w:t>”</w:t>
      </w:r>
      <w:r w:rsidR="002F0FCC" w:rsidDel="002F0FC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(see paragraph</w:t>
      </w:r>
      <w:r w:rsidR="002F0FCC">
        <w:rPr>
          <w:lang w:eastAsia="ja-JP"/>
        </w:rPr>
        <w:t> </w:t>
      </w:r>
      <w:r>
        <w:rPr>
          <w:rFonts w:hint="eastAsia"/>
          <w:lang w:eastAsia="ja-JP"/>
        </w:rPr>
        <w:t>12);</w:t>
      </w:r>
    </w:p>
    <w:p w:rsidR="006F14D1" w:rsidRDefault="006F14D1" w:rsidP="000C0544">
      <w:pPr>
        <w:pStyle w:val="Heading3"/>
      </w:pPr>
    </w:p>
    <w:p w:rsidR="003F5794" w:rsidRDefault="003F5794" w:rsidP="003F5794">
      <w:pPr>
        <w:pStyle w:val="NoSpacing"/>
        <w:ind w:firstLine="562"/>
        <w:rPr>
          <w:lang w:eastAsia="ja-JP"/>
        </w:rPr>
      </w:pPr>
      <w:r>
        <w:rPr>
          <w:rFonts w:hint="eastAsia"/>
        </w:rPr>
        <w:t>(d)</w:t>
      </w:r>
      <w:r>
        <w:rPr>
          <w:rFonts w:hint="eastAsia"/>
        </w:rPr>
        <w:tab/>
      </w:r>
      <w:r w:rsidR="006F14D1" w:rsidRPr="008F47E2">
        <w:t>Section 2.3 “Liable to mislead or to cause confusion”</w:t>
      </w:r>
      <w:r w:rsidR="00E060A9">
        <w:rPr>
          <w:rFonts w:hint="eastAsia"/>
          <w:lang w:eastAsia="ja-JP"/>
        </w:rPr>
        <w:t>,</w:t>
      </w:r>
      <w:r>
        <w:rPr>
          <w:rFonts w:hint="eastAsia"/>
          <w:lang w:eastAsia="ja-JP"/>
        </w:rPr>
        <w:t xml:space="preserve"> t</w:t>
      </w:r>
      <w:r w:rsidR="006F14D1" w:rsidRPr="008F47E2">
        <w:rPr>
          <w:lang w:eastAsia="ja-JP"/>
        </w:rPr>
        <w:t>hree aspects: visual; phonetic; and conceptual</w:t>
      </w:r>
      <w:r w:rsidR="00E060A9">
        <w:rPr>
          <w:rFonts w:hint="eastAsia"/>
          <w:lang w:eastAsia="ja-JP"/>
        </w:rPr>
        <w:t xml:space="preserve">: </w:t>
      </w:r>
      <w:r>
        <w:rPr>
          <w:rFonts w:hint="eastAsia"/>
          <w:lang w:eastAsia="ja-JP"/>
        </w:rPr>
        <w:t xml:space="preserve"> </w:t>
      </w:r>
      <w:r w:rsidR="00E060A9" w:rsidRPr="00E060A9">
        <w:rPr>
          <w:lang w:eastAsia="ja-JP"/>
        </w:rPr>
        <w:t>whether to introduce the conceptual aspect</w:t>
      </w:r>
      <w:r w:rsidR="00E060A9" w:rsidRPr="00E060A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(see paragraph 17)</w:t>
      </w:r>
      <w:r w:rsidR="000C0544">
        <w:rPr>
          <w:rFonts w:hint="eastAsia"/>
          <w:lang w:eastAsia="ja-JP"/>
        </w:rPr>
        <w:t>, based on an information to be provided by CPVO</w:t>
      </w:r>
      <w:r>
        <w:rPr>
          <w:rFonts w:hint="eastAsia"/>
          <w:lang w:eastAsia="ja-JP"/>
        </w:rPr>
        <w:t>;</w:t>
      </w:r>
    </w:p>
    <w:p w:rsidR="003F5794" w:rsidRDefault="003F5794" w:rsidP="003F5794">
      <w:pPr>
        <w:pStyle w:val="NoSpacing"/>
        <w:ind w:firstLine="562"/>
        <w:rPr>
          <w:lang w:eastAsia="ja-JP"/>
        </w:rPr>
      </w:pPr>
    </w:p>
    <w:p w:rsidR="006F14D1" w:rsidRDefault="003F5794" w:rsidP="00E060A9">
      <w:pPr>
        <w:pStyle w:val="NoSpacing"/>
        <w:ind w:firstLine="562"/>
        <w:rPr>
          <w:lang w:eastAsia="ja-JP"/>
        </w:rPr>
      </w:pPr>
      <w:r>
        <w:rPr>
          <w:rFonts w:hint="eastAsia"/>
          <w:lang w:eastAsia="ja-JP"/>
        </w:rPr>
        <w:t>(e)</w:t>
      </w:r>
      <w:r>
        <w:rPr>
          <w:rFonts w:hint="eastAsia"/>
          <w:lang w:eastAsia="ja-JP"/>
        </w:rPr>
        <w:tab/>
      </w:r>
      <w:r w:rsidRPr="008F47E2">
        <w:t>Section 2.3 “Liable to mislead or to cause confusion”</w:t>
      </w:r>
      <w:r w:rsidR="00E060A9">
        <w:rPr>
          <w:rFonts w:hint="eastAsia"/>
          <w:lang w:eastAsia="ja-JP"/>
        </w:rPr>
        <w:t xml:space="preserve">, </w:t>
      </w:r>
      <w:r w:rsidR="00E060A9">
        <w:rPr>
          <w:lang w:eastAsia="ja-JP"/>
        </w:rPr>
        <w:t>“</w:t>
      </w:r>
      <w:r w:rsidR="00E060A9">
        <w:rPr>
          <w:rFonts w:hint="eastAsia"/>
          <w:lang w:eastAsia="ja-JP"/>
        </w:rPr>
        <w:t>f</w:t>
      </w:r>
      <w:r w:rsidR="006F14D1" w:rsidRPr="008F47E2">
        <w:rPr>
          <w:lang w:eastAsia="ja-JP"/>
        </w:rPr>
        <w:t>irst names</w:t>
      </w:r>
      <w:r w:rsidR="00E060A9">
        <w:rPr>
          <w:lang w:eastAsia="ja-JP"/>
        </w:rPr>
        <w:t>”</w:t>
      </w:r>
      <w:r w:rsidR="006F14D1">
        <w:rPr>
          <w:rFonts w:hint="eastAsia"/>
          <w:lang w:eastAsia="ja-JP"/>
        </w:rPr>
        <w:t xml:space="preserve">: based on information provided by </w:t>
      </w:r>
      <w:r w:rsidR="002F0FCC">
        <w:rPr>
          <w:lang w:eastAsia="ja-JP"/>
        </w:rPr>
        <w:t xml:space="preserve">the </w:t>
      </w:r>
      <w:r w:rsidR="006F14D1">
        <w:rPr>
          <w:rFonts w:hint="eastAsia"/>
          <w:lang w:eastAsia="ja-JP"/>
        </w:rPr>
        <w:t>CPVO</w:t>
      </w:r>
      <w:r w:rsidR="00E060A9">
        <w:rPr>
          <w:rFonts w:hint="eastAsia"/>
          <w:lang w:eastAsia="ja-JP"/>
        </w:rPr>
        <w:t xml:space="preserve"> (see paragraph 19)</w:t>
      </w:r>
      <w:r w:rsidR="00E060A9">
        <w:rPr>
          <w:lang w:eastAsia="ja-JP"/>
        </w:rPr>
        <w:t>;</w:t>
      </w:r>
    </w:p>
    <w:p w:rsidR="006F14D1" w:rsidRDefault="006F14D1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6F14D1" w:rsidRDefault="00E060A9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>
        <w:rPr>
          <w:rFonts w:hint="eastAsia"/>
          <w:lang w:eastAsia="ja-JP"/>
        </w:rPr>
        <w:tab/>
        <w:t>(f)</w:t>
      </w:r>
      <w:r>
        <w:rPr>
          <w:rFonts w:hint="eastAsia"/>
          <w:lang w:eastAsia="ja-JP"/>
        </w:rPr>
        <w:tab/>
      </w:r>
      <w:r w:rsidR="006F14D1" w:rsidRPr="008F47E2">
        <w:rPr>
          <w:lang w:eastAsia="ja-JP"/>
        </w:rPr>
        <w:t>Section 2.3.1 (b)</w:t>
      </w:r>
      <w:r>
        <w:rPr>
          <w:rFonts w:hint="eastAsia"/>
          <w:lang w:eastAsia="ja-JP"/>
        </w:rPr>
        <w:t>:</w:t>
      </w:r>
      <w:r w:rsidR="006F14D1" w:rsidRPr="006F14D1">
        <w:rPr>
          <w:lang w:eastAsia="ja-JP"/>
        </w:rPr>
        <w:t xml:space="preserve"> </w:t>
      </w:r>
      <w:r>
        <w:rPr>
          <w:rFonts w:hint="eastAsia"/>
          <w:lang w:eastAsia="ja-JP"/>
        </w:rPr>
        <w:t>alternative</w:t>
      </w:r>
      <w:r w:rsidRPr="008F47E2">
        <w:rPr>
          <w:lang w:eastAsia="ja-JP"/>
        </w:rPr>
        <w:t xml:space="preserve"> guidance </w:t>
      </w:r>
      <w:r>
        <w:rPr>
          <w:rFonts w:hint="eastAsia"/>
          <w:lang w:eastAsia="ja-JP"/>
        </w:rPr>
        <w:t>provided by</w:t>
      </w:r>
      <w:r w:rsidR="006F14D1" w:rsidRPr="008F47E2">
        <w:rPr>
          <w:lang w:eastAsia="ja-JP"/>
        </w:rPr>
        <w:t xml:space="preserve"> </w:t>
      </w:r>
      <w:r w:rsidR="00E83E48">
        <w:rPr>
          <w:lang w:eastAsia="ja-JP"/>
        </w:rPr>
        <w:t xml:space="preserve">the </w:t>
      </w:r>
      <w:r w:rsidR="006F14D1" w:rsidRPr="008F47E2">
        <w:rPr>
          <w:lang w:eastAsia="ja-JP"/>
        </w:rPr>
        <w:t xml:space="preserve">CPVO </w:t>
      </w:r>
      <w:r>
        <w:rPr>
          <w:rFonts w:hint="eastAsia"/>
          <w:lang w:eastAsia="ja-JP"/>
        </w:rPr>
        <w:t>(see paragraph 21);</w:t>
      </w:r>
    </w:p>
    <w:p w:rsidR="00E060A9" w:rsidRDefault="00E060A9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E060A9" w:rsidRDefault="00E060A9" w:rsidP="00E060A9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>
        <w:rPr>
          <w:rFonts w:hint="eastAsia"/>
          <w:lang w:eastAsia="ja-JP"/>
        </w:rPr>
        <w:tab/>
        <w:t>(g)</w:t>
      </w:r>
      <w:r>
        <w:rPr>
          <w:rFonts w:hint="eastAsia"/>
          <w:lang w:eastAsia="ja-JP"/>
        </w:rPr>
        <w:tab/>
      </w:r>
      <w:r w:rsidR="006F14D1" w:rsidRPr="008F47E2">
        <w:rPr>
          <w:lang w:eastAsia="ja-JP"/>
        </w:rPr>
        <w:t>Section 2.3.1</w:t>
      </w:r>
      <w:r w:rsidR="006F14D1">
        <w:rPr>
          <w:rFonts w:hint="eastAsia"/>
          <w:lang w:eastAsia="ja-JP"/>
        </w:rPr>
        <w:t xml:space="preserve"> </w:t>
      </w:r>
      <w:r w:rsidR="006F14D1" w:rsidRPr="008F47E2">
        <w:rPr>
          <w:lang w:eastAsia="ja-JP"/>
        </w:rPr>
        <w:t>(c)</w:t>
      </w:r>
      <w:r>
        <w:rPr>
          <w:rFonts w:hint="eastAsia"/>
          <w:lang w:eastAsia="ja-JP"/>
        </w:rPr>
        <w:t xml:space="preserve">: </w:t>
      </w:r>
      <w:r>
        <w:rPr>
          <w:lang w:eastAsia="ja-JP"/>
        </w:rPr>
        <w:t>botanical relation</w:t>
      </w:r>
      <w:r w:rsidR="000C0544">
        <w:rPr>
          <w:rFonts w:hint="eastAsia"/>
          <w:lang w:eastAsia="ja-JP"/>
        </w:rPr>
        <w:t>ship</w:t>
      </w:r>
      <w:r>
        <w:rPr>
          <w:lang w:eastAsia="ja-JP"/>
        </w:rPr>
        <w:t xml:space="preserve"> of varieties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and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confusion in relation to the identity of the breeder</w:t>
      </w:r>
      <w:r>
        <w:rPr>
          <w:rFonts w:hint="eastAsia"/>
          <w:lang w:eastAsia="ja-JP"/>
        </w:rPr>
        <w:t xml:space="preserve"> (see paragraph 23);</w:t>
      </w:r>
    </w:p>
    <w:p w:rsidR="00E060A9" w:rsidRDefault="00E060A9" w:rsidP="00E060A9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6F14D1" w:rsidRDefault="00E060A9" w:rsidP="00E060A9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>
        <w:rPr>
          <w:rFonts w:hint="eastAsia"/>
          <w:lang w:eastAsia="ja-JP"/>
        </w:rPr>
        <w:tab/>
        <w:t>(h)</w:t>
      </w:r>
      <w:r>
        <w:rPr>
          <w:rFonts w:hint="eastAsia"/>
          <w:lang w:eastAsia="ja-JP"/>
        </w:rPr>
        <w:tab/>
      </w:r>
      <w:r w:rsidR="006F14D1" w:rsidRPr="008F47E2">
        <w:t>Section 2.3.2 “Value of the variety”</w:t>
      </w:r>
      <w:r>
        <w:rPr>
          <w:rFonts w:hint="eastAsia"/>
          <w:lang w:eastAsia="ja-JP"/>
        </w:rPr>
        <w:t xml:space="preserve">: </w:t>
      </w:r>
      <w:r w:rsidRPr="008F47E2">
        <w:rPr>
          <w:rFonts w:hint="eastAsia"/>
          <w:lang w:eastAsia="ja-JP"/>
        </w:rPr>
        <w:t xml:space="preserve">examples </w:t>
      </w:r>
      <w:r w:rsidRPr="008F47E2">
        <w:rPr>
          <w:lang w:eastAsia="ja-JP"/>
        </w:rPr>
        <w:t>of</w:t>
      </w:r>
      <w:r w:rsidRPr="008F47E2">
        <w:rPr>
          <w:rFonts w:hint="eastAsia"/>
          <w:lang w:eastAsia="ja-JP"/>
        </w:rPr>
        <w:t xml:space="preserve"> acceptable and </w:t>
      </w:r>
      <w:r w:rsidRPr="008F47E2">
        <w:rPr>
          <w:lang w:eastAsia="ja-JP"/>
        </w:rPr>
        <w:t>unacceptable</w:t>
      </w:r>
      <w:r w:rsidRPr="008F47E2">
        <w:rPr>
          <w:rFonts w:hint="eastAsia"/>
          <w:lang w:eastAsia="ja-JP"/>
        </w:rPr>
        <w:t xml:space="preserve"> </w:t>
      </w:r>
      <w:r w:rsidRPr="008F47E2">
        <w:rPr>
          <w:lang w:eastAsia="ja-JP"/>
        </w:rPr>
        <w:t>uses of superlatives and comparatives</w:t>
      </w:r>
      <w:r>
        <w:rPr>
          <w:rFonts w:hint="eastAsia"/>
          <w:lang w:eastAsia="ja-JP"/>
        </w:rPr>
        <w:t xml:space="preserve"> (see paragraph 28); and</w:t>
      </w:r>
    </w:p>
    <w:p w:rsidR="00E060A9" w:rsidRDefault="00E060A9" w:rsidP="00E060A9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</w:p>
    <w:p w:rsidR="006F14D1" w:rsidRPr="008F47E2" w:rsidRDefault="00E060A9" w:rsidP="00E060A9">
      <w:pPr>
        <w:pStyle w:val="ListParagraph"/>
        <w:autoSpaceDE w:val="0"/>
        <w:autoSpaceDN w:val="0"/>
        <w:adjustRightInd w:val="0"/>
        <w:ind w:left="0"/>
        <w:contextualSpacing w:val="0"/>
        <w:rPr>
          <w:lang w:eastAsia="ja-JP"/>
        </w:rPr>
      </w:pPr>
      <w:r>
        <w:rPr>
          <w:rFonts w:hint="eastAsia"/>
          <w:lang w:eastAsia="ja-JP"/>
        </w:rPr>
        <w:tab/>
        <w:t>(</w:t>
      </w:r>
      <w:proofErr w:type="spellStart"/>
      <w:r>
        <w:rPr>
          <w:rFonts w:hint="eastAsia"/>
          <w:lang w:eastAsia="ja-JP"/>
        </w:rPr>
        <w:t>i</w:t>
      </w:r>
      <w:proofErr w:type="spellEnd"/>
      <w:r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ab/>
      </w:r>
      <w:r w:rsidR="006F14D1" w:rsidRPr="008F47E2">
        <w:rPr>
          <w:lang w:eastAsia="ja-JP"/>
        </w:rPr>
        <w:t>Section 2.3.3</w:t>
      </w:r>
      <w:r w:rsidR="006F14D1">
        <w:rPr>
          <w:rFonts w:hint="eastAsia"/>
          <w:lang w:eastAsia="ja-JP"/>
        </w:rPr>
        <w:t xml:space="preserve"> </w:t>
      </w:r>
      <w:r w:rsidRPr="00E060A9">
        <w:rPr>
          <w:lang w:eastAsia="ja-JP"/>
        </w:rPr>
        <w:t>“Identity of the variety”</w:t>
      </w:r>
      <w:r>
        <w:rPr>
          <w:rFonts w:hint="eastAsia"/>
          <w:lang w:eastAsia="ja-JP"/>
        </w:rPr>
        <w:t xml:space="preserve"> (a): exceptions </w:t>
      </w:r>
      <w:r w:rsidR="000C0544">
        <w:rPr>
          <w:rFonts w:hint="eastAsia"/>
          <w:lang w:eastAsia="ja-JP"/>
        </w:rPr>
        <w:t>to the</w:t>
      </w:r>
      <w:r>
        <w:rPr>
          <w:rFonts w:hint="eastAsia"/>
          <w:lang w:eastAsia="ja-JP"/>
        </w:rPr>
        <w:t xml:space="preserve"> general rule (see paragraph 29).</w:t>
      </w:r>
    </w:p>
    <w:p w:rsidR="003F5794" w:rsidRPr="00AC167B" w:rsidRDefault="003F5794" w:rsidP="00277053">
      <w:pPr>
        <w:pStyle w:val="ListParagraph"/>
        <w:autoSpaceDE w:val="0"/>
        <w:autoSpaceDN w:val="0"/>
        <w:adjustRightInd w:val="0"/>
        <w:ind w:left="0"/>
        <w:contextualSpacing w:val="0"/>
        <w:rPr>
          <w:strike/>
          <w:lang w:eastAsia="ja-JP"/>
        </w:rPr>
      </w:pPr>
    </w:p>
    <w:p w:rsidR="006626BB" w:rsidRPr="005E5D45" w:rsidRDefault="006626BB" w:rsidP="006B662B">
      <w:pPr>
        <w:pStyle w:val="ListParagraph"/>
        <w:autoSpaceDE w:val="0"/>
        <w:autoSpaceDN w:val="0"/>
        <w:adjustRightInd w:val="0"/>
        <w:spacing w:line="360" w:lineRule="auto"/>
        <w:ind w:left="0"/>
        <w:contextualSpacing w:val="0"/>
        <w:jc w:val="left"/>
        <w:rPr>
          <w:szCs w:val="24"/>
          <w:lang w:eastAsia="ja-JP"/>
        </w:rPr>
      </w:pPr>
    </w:p>
    <w:p w:rsidR="00AE08DC" w:rsidRPr="005E5D45" w:rsidRDefault="00AE08DC" w:rsidP="006B662B">
      <w:pPr>
        <w:pStyle w:val="Heading1"/>
        <w:keepNext/>
        <w:rPr>
          <w:lang w:eastAsia="ja-JP"/>
        </w:rPr>
      </w:pPr>
      <w:r w:rsidRPr="005E5D45">
        <w:rPr>
          <w:lang w:eastAsia="ja-JP"/>
        </w:rPr>
        <w:t>Date and program of the next meeting</w:t>
      </w:r>
    </w:p>
    <w:p w:rsidR="00AE08DC" w:rsidRPr="005E5D45" w:rsidRDefault="00AE08DC" w:rsidP="006B662B">
      <w:pPr>
        <w:keepNext/>
        <w:rPr>
          <w:color w:val="000000" w:themeColor="text1"/>
          <w:lang w:eastAsia="ja-JP"/>
        </w:rPr>
      </w:pPr>
    </w:p>
    <w:p w:rsidR="00AE08DC" w:rsidRPr="005E5D45" w:rsidRDefault="00AE08DC" w:rsidP="006B662B">
      <w:pPr>
        <w:rPr>
          <w:color w:val="000000" w:themeColor="text1"/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</w:r>
      <w:r w:rsidRPr="005E5D45">
        <w:rPr>
          <w:snapToGrid w:val="0"/>
          <w:lang w:eastAsia="ja-JP"/>
        </w:rPr>
        <w:t>T</w:t>
      </w:r>
      <w:r w:rsidRPr="005E5D45">
        <w:rPr>
          <w:rFonts w:cs="Arial"/>
        </w:rPr>
        <w:t xml:space="preserve">he </w:t>
      </w:r>
      <w:r w:rsidRPr="005E5D45">
        <w:rPr>
          <w:rFonts w:cs="Arial"/>
          <w:lang w:eastAsia="ja-JP"/>
        </w:rPr>
        <w:t>WG-D</w:t>
      </w:r>
      <w:r w:rsidR="006626BB" w:rsidRPr="005E5D45">
        <w:rPr>
          <w:rFonts w:cs="Arial"/>
          <w:lang w:eastAsia="ja-JP"/>
        </w:rPr>
        <w:t>EN</w:t>
      </w:r>
      <w:r w:rsidRPr="005E5D45">
        <w:rPr>
          <w:rFonts w:cs="Arial"/>
          <w:lang w:eastAsia="ja-JP"/>
        </w:rPr>
        <w:t xml:space="preserve"> </w:t>
      </w:r>
      <w:r w:rsidR="00F566F0" w:rsidRPr="005E5D45">
        <w:rPr>
          <w:rFonts w:cs="Arial"/>
          <w:lang w:eastAsia="ja-JP"/>
        </w:rPr>
        <w:t xml:space="preserve">agreed </w:t>
      </w:r>
      <w:r w:rsidR="00332524">
        <w:rPr>
          <w:color w:val="000000" w:themeColor="text1"/>
          <w:lang w:eastAsia="ja-JP"/>
        </w:rPr>
        <w:t xml:space="preserve">to hold its </w:t>
      </w:r>
      <w:r w:rsidR="00C65992" w:rsidRPr="005E5D45">
        <w:rPr>
          <w:color w:val="000000" w:themeColor="text1"/>
          <w:lang w:eastAsia="ja-JP"/>
        </w:rPr>
        <w:t>third</w:t>
      </w:r>
      <w:r w:rsidRPr="005E5D45">
        <w:rPr>
          <w:color w:val="000000" w:themeColor="text1"/>
          <w:lang w:eastAsia="ja-JP"/>
        </w:rPr>
        <w:t xml:space="preserve"> meeting </w:t>
      </w:r>
      <w:r w:rsidR="00CC033E" w:rsidRPr="005E5D45">
        <w:rPr>
          <w:color w:val="000000" w:themeColor="text1"/>
          <w:lang w:eastAsia="ja-JP"/>
        </w:rPr>
        <w:t xml:space="preserve">in Geneva, </w:t>
      </w:r>
      <w:r w:rsidR="00F566F0" w:rsidRPr="005E5D45">
        <w:rPr>
          <w:color w:val="000000" w:themeColor="text1"/>
          <w:lang w:eastAsia="ja-JP"/>
        </w:rPr>
        <w:t xml:space="preserve">in the </w:t>
      </w:r>
      <w:r w:rsidR="006E1565" w:rsidRPr="005E5D45">
        <w:rPr>
          <w:color w:val="000000" w:themeColor="text1"/>
          <w:lang w:eastAsia="ja-JP"/>
        </w:rPr>
        <w:t xml:space="preserve">morning </w:t>
      </w:r>
      <w:r w:rsidR="00F566F0" w:rsidRPr="005E5D45">
        <w:rPr>
          <w:color w:val="000000" w:themeColor="text1"/>
          <w:lang w:eastAsia="ja-JP"/>
        </w:rPr>
        <w:t>of</w:t>
      </w:r>
      <w:r w:rsidR="00681497" w:rsidRPr="005E5D45">
        <w:rPr>
          <w:color w:val="000000" w:themeColor="text1"/>
          <w:lang w:eastAsia="ja-JP"/>
        </w:rPr>
        <w:t xml:space="preserve"> </w:t>
      </w:r>
      <w:r w:rsidR="00C65992" w:rsidRPr="005E5D45">
        <w:rPr>
          <w:color w:val="000000" w:themeColor="text1"/>
          <w:lang w:eastAsia="ja-JP"/>
        </w:rPr>
        <w:t>April</w:t>
      </w:r>
      <w:r w:rsidR="006A132A" w:rsidRPr="005E5D45">
        <w:rPr>
          <w:color w:val="000000" w:themeColor="text1"/>
          <w:lang w:eastAsia="ja-JP"/>
        </w:rPr>
        <w:t xml:space="preserve"> </w:t>
      </w:r>
      <w:r w:rsidR="006E1565" w:rsidRPr="005E5D45">
        <w:rPr>
          <w:color w:val="000000" w:themeColor="text1"/>
          <w:lang w:eastAsia="ja-JP"/>
        </w:rPr>
        <w:t>7</w:t>
      </w:r>
      <w:r w:rsidR="006A132A" w:rsidRPr="005E5D45">
        <w:rPr>
          <w:color w:val="000000" w:themeColor="text1"/>
          <w:lang w:eastAsia="ja-JP"/>
        </w:rPr>
        <w:t>,</w:t>
      </w:r>
      <w:r w:rsidR="00277409" w:rsidRPr="005E5D45">
        <w:rPr>
          <w:color w:val="000000" w:themeColor="text1"/>
          <w:lang w:eastAsia="ja-JP"/>
        </w:rPr>
        <w:t xml:space="preserve"> </w:t>
      </w:r>
      <w:r w:rsidR="00C65992" w:rsidRPr="005E5D45">
        <w:rPr>
          <w:color w:val="000000" w:themeColor="text1"/>
          <w:lang w:eastAsia="ja-JP"/>
        </w:rPr>
        <w:t>2017</w:t>
      </w:r>
      <w:r w:rsidRPr="005E5D45">
        <w:rPr>
          <w:color w:val="000000" w:themeColor="text1"/>
          <w:lang w:eastAsia="ja-JP"/>
        </w:rPr>
        <w:t>.</w:t>
      </w:r>
    </w:p>
    <w:p w:rsidR="006626BB" w:rsidRPr="005E5D45" w:rsidRDefault="006626BB" w:rsidP="006B662B">
      <w:pPr>
        <w:rPr>
          <w:color w:val="000000" w:themeColor="text1"/>
          <w:lang w:eastAsia="ja-JP"/>
        </w:rPr>
      </w:pPr>
    </w:p>
    <w:p w:rsidR="006626BB" w:rsidRPr="005E5D45" w:rsidRDefault="006626BB" w:rsidP="006B662B">
      <w:pPr>
        <w:rPr>
          <w:color w:val="000000" w:themeColor="text1"/>
          <w:lang w:eastAsia="ja-JP"/>
        </w:rPr>
      </w:pPr>
      <w:r w:rsidRPr="005E5D45">
        <w:fldChar w:fldCharType="begin"/>
      </w:r>
      <w:r w:rsidRPr="005E5D45">
        <w:instrText xml:space="preserve"> AUTONUM  </w:instrText>
      </w:r>
      <w:r w:rsidRPr="005E5D45">
        <w:fldChar w:fldCharType="end"/>
      </w:r>
      <w:r w:rsidRPr="005E5D45">
        <w:tab/>
      </w:r>
      <w:r w:rsidR="002E183B" w:rsidRPr="005E5D45">
        <w:t xml:space="preserve">The following program was agreed for the </w:t>
      </w:r>
      <w:r w:rsidR="006A132A" w:rsidRPr="005E5D45">
        <w:rPr>
          <w:lang w:eastAsia="ja-JP"/>
        </w:rPr>
        <w:t>third</w:t>
      </w:r>
      <w:r w:rsidR="002E183B" w:rsidRPr="005E5D45">
        <w:t xml:space="preserve"> meeting of the </w:t>
      </w:r>
      <w:r w:rsidRPr="005E5D45">
        <w:rPr>
          <w:rFonts w:cs="Arial"/>
          <w:lang w:eastAsia="ja-JP"/>
        </w:rPr>
        <w:t>WG-DEN</w:t>
      </w:r>
      <w:r w:rsidR="002E183B" w:rsidRPr="005E5D45">
        <w:rPr>
          <w:rFonts w:cs="Arial"/>
          <w:lang w:eastAsia="ja-JP"/>
        </w:rPr>
        <w:t>:</w:t>
      </w:r>
    </w:p>
    <w:p w:rsidR="006626BB" w:rsidRPr="005E5D45" w:rsidRDefault="006626BB" w:rsidP="006B662B">
      <w:pPr>
        <w:ind w:left="540"/>
        <w:rPr>
          <w:color w:val="000000" w:themeColor="text1"/>
          <w:lang w:eastAsia="ja-JP"/>
        </w:rPr>
      </w:pPr>
    </w:p>
    <w:p w:rsidR="001C728E" w:rsidRPr="005E5D45" w:rsidRDefault="001C728E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5E5D45">
        <w:rPr>
          <w:szCs w:val="24"/>
        </w:rPr>
        <w:t xml:space="preserve">Opening of the </w:t>
      </w:r>
      <w:r w:rsidR="00332524">
        <w:rPr>
          <w:szCs w:val="24"/>
        </w:rPr>
        <w:t>meeting</w:t>
      </w:r>
    </w:p>
    <w:p w:rsidR="001C728E" w:rsidRPr="005E5D45" w:rsidRDefault="001C728E" w:rsidP="006B662B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1C728E" w:rsidRPr="005E5D45" w:rsidRDefault="001C728E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  <w:r w:rsidRPr="005E5D45">
        <w:rPr>
          <w:szCs w:val="24"/>
        </w:rPr>
        <w:t>Adoption of the agenda</w:t>
      </w:r>
    </w:p>
    <w:p w:rsidR="001C728E" w:rsidRPr="005E5D45" w:rsidRDefault="001C728E" w:rsidP="006B662B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</w:rPr>
      </w:pPr>
    </w:p>
    <w:p w:rsidR="001C728E" w:rsidRPr="005E5D45" w:rsidRDefault="001C728E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rPr>
          <w:szCs w:val="24"/>
          <w:lang w:eastAsia="ja-JP"/>
        </w:rPr>
      </w:pPr>
      <w:r w:rsidRPr="005E5D45">
        <w:rPr>
          <w:szCs w:val="24"/>
          <w:lang w:eastAsia="ja-JP"/>
        </w:rPr>
        <w:t>Revision of document UPOV/INF/12/5 “Explanatory</w:t>
      </w:r>
      <w:r w:rsidR="00116727" w:rsidRPr="005E5D45">
        <w:rPr>
          <w:szCs w:val="24"/>
          <w:lang w:eastAsia="ja-JP"/>
        </w:rPr>
        <w:t xml:space="preserve"> Notes on Variety Denominations</w:t>
      </w:r>
      <w:r w:rsidR="00D979FC" w:rsidRPr="005E5D45">
        <w:rPr>
          <w:szCs w:val="24"/>
          <w:lang w:eastAsia="ja-JP"/>
        </w:rPr>
        <w:t xml:space="preserve"> under the UPOV Convention</w:t>
      </w:r>
      <w:r w:rsidR="00116727" w:rsidRPr="005E5D45">
        <w:rPr>
          <w:szCs w:val="24"/>
          <w:lang w:eastAsia="ja-JP"/>
        </w:rPr>
        <w:t>”</w:t>
      </w:r>
    </w:p>
    <w:p w:rsidR="001C728E" w:rsidRPr="005E5D45" w:rsidRDefault="001C728E" w:rsidP="006B662B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</w:p>
    <w:p w:rsidR="00F566F0" w:rsidRPr="005E5D45" w:rsidRDefault="001C728E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5E5D45">
        <w:rPr>
          <w:szCs w:val="24"/>
          <w:lang w:eastAsia="ja-JP"/>
        </w:rPr>
        <w:t>UPOV denomination similarity search tool</w:t>
      </w:r>
    </w:p>
    <w:p w:rsidR="00F566F0" w:rsidRPr="005E5D45" w:rsidRDefault="00F566F0" w:rsidP="006B662B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F566F0" w:rsidRPr="005E5D45" w:rsidRDefault="00F566F0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5E5D45">
        <w:rPr>
          <w:szCs w:val="24"/>
        </w:rPr>
        <w:t>Expansion of the content of the PLUTO database</w:t>
      </w:r>
    </w:p>
    <w:p w:rsidR="00F566F0" w:rsidRPr="005E5D45" w:rsidRDefault="00F566F0" w:rsidP="006B662B"/>
    <w:p w:rsidR="00F566F0" w:rsidRPr="005E5D45" w:rsidRDefault="00F566F0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70" w:hanging="630"/>
        <w:contextualSpacing w:val="0"/>
        <w:jc w:val="left"/>
        <w:rPr>
          <w:szCs w:val="24"/>
        </w:rPr>
      </w:pPr>
      <w:r w:rsidRPr="005E5D45">
        <w:rPr>
          <w:szCs w:val="24"/>
        </w:rPr>
        <w:t>Non-acceptable terms</w:t>
      </w:r>
    </w:p>
    <w:p w:rsidR="001C728E" w:rsidRPr="005E5D45" w:rsidRDefault="001C728E" w:rsidP="006B662B">
      <w:pPr>
        <w:pStyle w:val="ListParagraph"/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</w:p>
    <w:p w:rsidR="001C728E" w:rsidRPr="005E5D45" w:rsidRDefault="001C728E" w:rsidP="006B662B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contextualSpacing w:val="0"/>
        <w:jc w:val="left"/>
        <w:rPr>
          <w:szCs w:val="24"/>
          <w:lang w:eastAsia="ja-JP"/>
        </w:rPr>
      </w:pPr>
      <w:r w:rsidRPr="005E5D45">
        <w:t>Date</w:t>
      </w:r>
      <w:r w:rsidRPr="005E5D45">
        <w:rPr>
          <w:lang w:eastAsia="ja-JP"/>
        </w:rPr>
        <w:t>,</w:t>
      </w:r>
      <w:r w:rsidRPr="005E5D45">
        <w:t xml:space="preserve"> place </w:t>
      </w:r>
      <w:r w:rsidRPr="005E5D45">
        <w:rPr>
          <w:lang w:eastAsia="ja-JP"/>
        </w:rPr>
        <w:t xml:space="preserve">and program </w:t>
      </w:r>
      <w:r w:rsidRPr="005E5D45">
        <w:t>of the next meeting</w:t>
      </w:r>
    </w:p>
    <w:p w:rsidR="00565231" w:rsidRDefault="00565231" w:rsidP="006B662B">
      <w:pPr>
        <w:rPr>
          <w:color w:val="000000" w:themeColor="text1"/>
          <w:lang w:eastAsia="ja-JP"/>
        </w:rPr>
      </w:pPr>
    </w:p>
    <w:p w:rsidR="00683E56" w:rsidRDefault="00683E56" w:rsidP="00683E56">
      <w:pPr>
        <w:tabs>
          <w:tab w:val="left" w:pos="5387"/>
        </w:tabs>
        <w:ind w:left="4820"/>
        <w:rPr>
          <w:i/>
          <w:color w:val="000000" w:themeColor="text1"/>
          <w:lang w:eastAsia="ja-JP"/>
        </w:rPr>
      </w:pPr>
      <w:r w:rsidRPr="00B14780">
        <w:rPr>
          <w:i/>
          <w:color w:val="000000" w:themeColor="text1"/>
          <w:lang w:eastAsia="ja-JP"/>
        </w:rPr>
        <w:fldChar w:fldCharType="begin"/>
      </w:r>
      <w:r w:rsidRPr="00B14780">
        <w:rPr>
          <w:i/>
          <w:color w:val="000000" w:themeColor="text1"/>
          <w:lang w:eastAsia="ja-JP"/>
        </w:rPr>
        <w:instrText xml:space="preserve"> AUTONUM  </w:instrText>
      </w:r>
      <w:r w:rsidRPr="00B14780">
        <w:rPr>
          <w:i/>
          <w:color w:val="000000" w:themeColor="text1"/>
          <w:lang w:eastAsia="ja-JP"/>
        </w:rPr>
        <w:fldChar w:fldCharType="end"/>
      </w:r>
      <w:r w:rsidRPr="00B14780">
        <w:rPr>
          <w:i/>
          <w:color w:val="000000" w:themeColor="text1"/>
          <w:lang w:eastAsia="ja-JP"/>
        </w:rPr>
        <w:tab/>
        <w:t xml:space="preserve">This report was adopted </w:t>
      </w:r>
      <w:r w:rsidR="00073EA2" w:rsidRPr="00B14780">
        <w:rPr>
          <w:i/>
          <w:color w:val="000000" w:themeColor="text1"/>
          <w:lang w:eastAsia="ja-JP"/>
        </w:rPr>
        <w:t>at the third meeting of the WG-DEN, held in Geneva on April 7, 2017</w:t>
      </w:r>
      <w:r w:rsidRPr="00B14780">
        <w:rPr>
          <w:i/>
          <w:color w:val="000000" w:themeColor="text1"/>
          <w:lang w:eastAsia="ja-JP"/>
        </w:rPr>
        <w:t>.</w:t>
      </w:r>
    </w:p>
    <w:p w:rsidR="00683E56" w:rsidRDefault="00683E56" w:rsidP="00683E56">
      <w:pPr>
        <w:jc w:val="right"/>
        <w:rPr>
          <w:i/>
          <w:color w:val="000000" w:themeColor="text1"/>
          <w:lang w:eastAsia="ja-JP"/>
        </w:rPr>
      </w:pPr>
    </w:p>
    <w:p w:rsidR="00B14780" w:rsidRPr="00683E56" w:rsidRDefault="00B14780" w:rsidP="00683E56">
      <w:pPr>
        <w:jc w:val="right"/>
        <w:rPr>
          <w:i/>
          <w:color w:val="000000" w:themeColor="text1"/>
          <w:lang w:eastAsia="ja-JP"/>
        </w:rPr>
      </w:pPr>
      <w:bookmarkStart w:id="0" w:name="_GoBack"/>
      <w:bookmarkEnd w:id="0"/>
    </w:p>
    <w:p w:rsidR="001446C9" w:rsidRPr="005E5D45" w:rsidRDefault="001446C9" w:rsidP="00954936">
      <w:pPr>
        <w:jc w:val="right"/>
        <w:rPr>
          <w:color w:val="000000" w:themeColor="text1"/>
          <w:lang w:eastAsia="ja-JP"/>
        </w:rPr>
      </w:pPr>
      <w:r w:rsidRPr="005E5D45">
        <w:rPr>
          <w:snapToGrid w:val="0"/>
        </w:rPr>
        <w:t>[Annex follow</w:t>
      </w:r>
      <w:r w:rsidRPr="005E5D45">
        <w:rPr>
          <w:snapToGrid w:val="0"/>
          <w:lang w:eastAsia="ja-JP"/>
        </w:rPr>
        <w:t>s</w:t>
      </w:r>
      <w:r w:rsidRPr="005E5D45">
        <w:rPr>
          <w:rFonts w:cs="Arial"/>
        </w:rPr>
        <w:t>]</w:t>
      </w:r>
    </w:p>
    <w:p w:rsidR="00D45F9B" w:rsidRPr="005E5D45" w:rsidRDefault="00D45F9B" w:rsidP="006B662B">
      <w:pPr>
        <w:jc w:val="right"/>
        <w:rPr>
          <w:snapToGrid w:val="0"/>
        </w:rPr>
        <w:sectPr w:rsidR="00D45F9B" w:rsidRPr="005E5D45" w:rsidSect="00B0636E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06DDA" w:rsidRPr="005E5D45" w:rsidRDefault="00406DDA" w:rsidP="00C656F4">
      <w:pPr>
        <w:jc w:val="center"/>
        <w:rPr>
          <w:rFonts w:cs="Arial"/>
        </w:rPr>
      </w:pPr>
      <w:r w:rsidRPr="005E5D45">
        <w:rPr>
          <w:rFonts w:cs="Arial"/>
        </w:rPr>
        <w:t>UPOV/WG-DEN/2/4</w:t>
      </w:r>
    </w:p>
    <w:p w:rsidR="00406DDA" w:rsidRPr="005E5D45" w:rsidRDefault="00406DDA" w:rsidP="00C656F4">
      <w:pPr>
        <w:jc w:val="center"/>
        <w:rPr>
          <w:rFonts w:cs="Arial"/>
        </w:rPr>
      </w:pPr>
    </w:p>
    <w:p w:rsidR="00406DDA" w:rsidRPr="005E5D45" w:rsidRDefault="00406DDA" w:rsidP="00C656F4">
      <w:pPr>
        <w:jc w:val="center"/>
        <w:rPr>
          <w:rFonts w:cs="Arial"/>
        </w:rPr>
      </w:pPr>
      <w:r w:rsidRPr="005E5D45">
        <w:rPr>
          <w:rFonts w:cs="Arial"/>
        </w:rPr>
        <w:t>ANNEX</w:t>
      </w:r>
    </w:p>
    <w:p w:rsidR="00406DDA" w:rsidRPr="005E5D45" w:rsidRDefault="00406DDA" w:rsidP="00C656F4">
      <w:pPr>
        <w:jc w:val="center"/>
        <w:rPr>
          <w:rFonts w:cs="Arial"/>
        </w:rPr>
      </w:pPr>
    </w:p>
    <w:p w:rsidR="00406DDA" w:rsidRPr="005E5D45" w:rsidRDefault="00406DDA" w:rsidP="00C656F4">
      <w:pPr>
        <w:jc w:val="center"/>
        <w:rPr>
          <w:rFonts w:cs="Arial"/>
        </w:rPr>
      </w:pPr>
    </w:p>
    <w:p w:rsidR="00406DDA" w:rsidRPr="005E5D45" w:rsidRDefault="00406DDA" w:rsidP="00C656F4">
      <w:pPr>
        <w:jc w:val="center"/>
        <w:rPr>
          <w:rFonts w:cs="Arial"/>
        </w:rPr>
      </w:pPr>
      <w:r w:rsidRPr="005E5D45">
        <w:rPr>
          <w:rFonts w:cs="Arial"/>
        </w:rPr>
        <w:t>LIST OF PARTICIPANTS</w:t>
      </w:r>
    </w:p>
    <w:p w:rsidR="00406DDA" w:rsidRPr="005E5D45" w:rsidRDefault="00406DDA" w:rsidP="00C656F4"/>
    <w:p w:rsidR="00406DDA" w:rsidRPr="00E16C28" w:rsidRDefault="00406DDA" w:rsidP="00C656F4">
      <w:pPr>
        <w:pStyle w:val="plheading"/>
        <w:spacing w:before="240" w:after="240"/>
        <w:rPr>
          <w:lang w:val="es-ES_tradnl"/>
        </w:rPr>
      </w:pPr>
      <w:r w:rsidRPr="005E5D45">
        <w:rPr>
          <w:u w:val="none"/>
        </w:rPr>
        <w:t xml:space="preserve">I.  </w:t>
      </w:r>
      <w:r w:rsidRPr="00E16C28">
        <w:rPr>
          <w:lang w:val="es-ES_tradnl"/>
        </w:rPr>
        <w:t>MEMBErS</w:t>
      </w:r>
    </w:p>
    <w:p w:rsidR="00406DDA" w:rsidRPr="00787ED8" w:rsidRDefault="00406DDA" w:rsidP="00C656F4">
      <w:pPr>
        <w:pStyle w:val="plcountry"/>
        <w:rPr>
          <w:lang w:val="es-ES_tradnl"/>
        </w:rPr>
      </w:pPr>
      <w:r w:rsidRPr="00787ED8">
        <w:rPr>
          <w:lang w:val="es-ES_tradnl"/>
        </w:rPr>
        <w:t>ARGENTINA</w:t>
      </w:r>
    </w:p>
    <w:p w:rsidR="00406DDA" w:rsidRPr="00787ED8" w:rsidRDefault="00406DDA" w:rsidP="00C656F4">
      <w:pPr>
        <w:pStyle w:val="pldetails"/>
        <w:rPr>
          <w:rFonts w:cs="Arial"/>
          <w:color w:val="000000"/>
          <w:lang w:val="es-ES_tradnl"/>
        </w:rPr>
      </w:pPr>
      <w:r w:rsidRPr="00787ED8">
        <w:rPr>
          <w:lang w:val="es-ES_tradnl"/>
        </w:rPr>
        <w:t xml:space="preserve">Raimundo LAVIGNOLLE, Presidente del Directorio, </w:t>
      </w:r>
      <w:r w:rsidR="00A2530B" w:rsidRPr="00787ED8">
        <w:rPr>
          <w:lang w:val="es-ES_tradnl"/>
        </w:rPr>
        <w:t xml:space="preserve">Instituto Nacional de Semillas (INASE), </w:t>
      </w:r>
      <w:r w:rsidRPr="00787ED8">
        <w:rPr>
          <w:lang w:val="es-ES_tradnl"/>
        </w:rPr>
        <w:t xml:space="preserve">Secretaría de Agricultura, Ganadería y Pesca, </w:t>
      </w:r>
      <w:r w:rsidRPr="00787ED8">
        <w:rPr>
          <w:rFonts w:cs="Arial"/>
          <w:color w:val="000000"/>
          <w:lang w:val="es-ES_tradnl"/>
        </w:rPr>
        <w:t>Ministerio de Economía, Buenos Aires</w:t>
      </w:r>
      <w:r w:rsidRPr="00787ED8">
        <w:rPr>
          <w:rFonts w:cs="Arial"/>
          <w:color w:val="000000"/>
          <w:lang w:val="es-ES_tradnl"/>
        </w:rPr>
        <w:br/>
        <w:t>(e-mail: rlavignolle@inase.gov.ar)</w:t>
      </w:r>
    </w:p>
    <w:p w:rsidR="00406DDA" w:rsidRPr="00787ED8" w:rsidRDefault="00406DDA" w:rsidP="00C656F4">
      <w:pPr>
        <w:pStyle w:val="pldetails"/>
        <w:rPr>
          <w:rFonts w:cs="Arial"/>
          <w:color w:val="000000"/>
          <w:lang w:val="es-ES_tradnl"/>
        </w:rPr>
      </w:pPr>
      <w:r w:rsidRPr="00787ED8">
        <w:rPr>
          <w:rFonts w:cs="Arial"/>
          <w:color w:val="000000"/>
          <w:lang w:val="es-ES_tradnl"/>
        </w:rPr>
        <w:t xml:space="preserve">Carmen Amelia M. GIANNI (Sra.), Coordinadora de Propiedad Intelectual / Recursos Fitogenéticos, Secretaía de Industria y Comercio Exterior, Ministerio de Economía, Buenos Aires </w:t>
      </w:r>
      <w:r w:rsidRPr="00787ED8">
        <w:rPr>
          <w:rFonts w:cs="Arial"/>
          <w:color w:val="000000"/>
          <w:lang w:val="es-ES_tradnl"/>
        </w:rPr>
        <w:br/>
        <w:t xml:space="preserve">(e-mail: cgianni@inase.gov.ar)  </w:t>
      </w:r>
    </w:p>
    <w:p w:rsidR="00406DDA" w:rsidRPr="005E5D45" w:rsidRDefault="00406DDA" w:rsidP="00C656F4">
      <w:pPr>
        <w:pStyle w:val="plcountry"/>
      </w:pPr>
      <w:r w:rsidRPr="005E5D45">
        <w:t>AUSTRALIA</w:t>
      </w:r>
    </w:p>
    <w:p w:rsidR="00406DDA" w:rsidRPr="005E5D45" w:rsidRDefault="00406DDA" w:rsidP="00C656F4">
      <w:pPr>
        <w:pStyle w:val="pldetails"/>
      </w:pPr>
      <w:r w:rsidRPr="005E5D45">
        <w:t>Nik HULSE, Chief of Plant Breeders’ Rights, Plant Breeder’s Rights Office, IP Australia, Woden</w:t>
      </w:r>
      <w:r w:rsidRPr="005E5D45">
        <w:br/>
        <w:t xml:space="preserve">(e-mail: nik.hulse@ipaustralia.gov.au) </w:t>
      </w:r>
    </w:p>
    <w:p w:rsidR="00406DDA" w:rsidRPr="00787ED8" w:rsidRDefault="00406DDA" w:rsidP="00C656F4">
      <w:pPr>
        <w:pStyle w:val="plcountry"/>
        <w:rPr>
          <w:lang w:val="es-ES_tradnl"/>
        </w:rPr>
      </w:pPr>
      <w:r w:rsidRPr="00787ED8">
        <w:rPr>
          <w:lang w:val="es-ES_tradnl"/>
        </w:rPr>
        <w:t>BRAZIL</w:t>
      </w:r>
    </w:p>
    <w:p w:rsidR="00406DDA" w:rsidRPr="00787ED8" w:rsidRDefault="00406DDA" w:rsidP="00C656F4">
      <w:pPr>
        <w:pStyle w:val="pldetails"/>
        <w:rPr>
          <w:rFonts w:cs="Arial"/>
          <w:color w:val="000000"/>
          <w:lang w:val="es-ES_tradnl"/>
        </w:rPr>
      </w:pPr>
      <w:r w:rsidRPr="00787ED8">
        <w:rPr>
          <w:rFonts w:cs="Arial"/>
          <w:color w:val="000000"/>
          <w:lang w:val="es-ES_tradnl"/>
        </w:rPr>
        <w:t xml:space="preserve">Ricardo ZANATTA MACHADO, Fiscal Federal Agropecuário, Coordinador do SNPC, Serviço Nacional de Proteção de Cultivares (SNPC), Ministério da Agricultura, Pecuária e Abastecimento, Brasilia </w:t>
      </w:r>
      <w:r w:rsidRPr="00787ED8">
        <w:rPr>
          <w:rFonts w:cs="Arial"/>
          <w:color w:val="000000"/>
          <w:lang w:val="es-ES_tradnl"/>
        </w:rPr>
        <w:br/>
        <w:t xml:space="preserve">(e-mail: ricardo.machado@agricultura.gov.br)  </w:t>
      </w:r>
    </w:p>
    <w:p w:rsidR="00406DDA" w:rsidRPr="005E5D45" w:rsidRDefault="00406DDA" w:rsidP="00C656F4">
      <w:pPr>
        <w:pStyle w:val="plcountry"/>
      </w:pPr>
      <w:r w:rsidRPr="005E5D45">
        <w:t>CANADA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Anthony PARKER, Commissioner, Plant Breeders' Rights Office, Canadian Food Inspection Agency (CFIA), Ottawa </w:t>
      </w:r>
      <w:r w:rsidRPr="005E5D45">
        <w:rPr>
          <w:rFonts w:cs="Arial"/>
          <w:color w:val="000000"/>
        </w:rPr>
        <w:br/>
        <w:t xml:space="preserve">(e-mail: anthony.parker@inspection.gc.ca)  </w:t>
      </w:r>
    </w:p>
    <w:p w:rsidR="00406DDA" w:rsidRPr="005E5D45" w:rsidRDefault="00406DDA" w:rsidP="00C656F4">
      <w:pPr>
        <w:pStyle w:val="plcountry"/>
      </w:pPr>
      <w:r w:rsidRPr="005E5D45">
        <w:t>CHINA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YANG Yang (Ms.), Plant Variety Protection Examiner, Division for Plant Varieties Protection, Development Center of Science and Technology, Ministry of Agriculture, Beijing </w:t>
      </w:r>
      <w:r w:rsidRPr="005E5D45">
        <w:rPr>
          <w:rFonts w:cs="Arial"/>
          <w:color w:val="000000"/>
        </w:rPr>
        <w:br/>
        <w:t xml:space="preserve">(e-mail: yangyang@agri.gov.cn)  </w:t>
      </w:r>
    </w:p>
    <w:p w:rsidR="00406DDA" w:rsidRPr="005E5D45" w:rsidRDefault="00406DDA" w:rsidP="00C656F4">
      <w:pPr>
        <w:pStyle w:val="plcountry"/>
      </w:pPr>
      <w:r w:rsidRPr="005E5D45">
        <w:t>EUROPEAN UNION</w:t>
      </w:r>
    </w:p>
    <w:p w:rsidR="00406DDA" w:rsidRPr="005E5D45" w:rsidRDefault="00406DDA" w:rsidP="00C656F4">
      <w:pPr>
        <w:pStyle w:val="pldetails"/>
      </w:pPr>
      <w:r w:rsidRPr="005E5D45">
        <w:t>Päivi MANNERKORPI (Ms.), Head of Sector - Unit E2, Plant Reproductive Material, Directorate General for Health and Food Safety (DG SANCO), European Commission, Brussels</w:t>
      </w:r>
      <w:r w:rsidRPr="005E5D45">
        <w:br/>
        <w:t>(e-mail: paivi.mannerkorpi@ec.europa.eu)</w:t>
      </w:r>
    </w:p>
    <w:p w:rsidR="00406DDA" w:rsidRPr="005E5D45" w:rsidRDefault="00406DDA" w:rsidP="00C656F4">
      <w:pPr>
        <w:pStyle w:val="pldetails"/>
      </w:pPr>
      <w:r w:rsidRPr="005E5D45">
        <w:t>Jean MAISON, Deputy Head, Technical Unit, Community Plant Variety Office (CPVO), Angers</w:t>
      </w:r>
      <w:r w:rsidRPr="005E5D45">
        <w:br/>
        <w:t xml:space="preserve">(e-mail: maison@cpvo.europa.eu) </w:t>
      </w:r>
    </w:p>
    <w:p w:rsidR="00406DDA" w:rsidRPr="005E5D45" w:rsidRDefault="00406DDA" w:rsidP="00C656F4">
      <w:pPr>
        <w:pStyle w:val="pldetails"/>
      </w:pPr>
      <w:r w:rsidRPr="005E5D45">
        <w:t xml:space="preserve">Francesco MATTINA, Head of Legal Unit, Community Plant Variety Office (CPVO), Angers </w:t>
      </w:r>
      <w:r w:rsidRPr="005E5D45">
        <w:br/>
        <w:t>(e-mail: mattina@cpvo.europa.eu)</w:t>
      </w:r>
    </w:p>
    <w:p w:rsidR="00406DDA" w:rsidRPr="001D643B" w:rsidRDefault="00406DDA" w:rsidP="00C656F4">
      <w:pPr>
        <w:pStyle w:val="plcountry"/>
        <w:rPr>
          <w:lang w:val="fr-CH"/>
        </w:rPr>
      </w:pPr>
      <w:r w:rsidRPr="001D643B">
        <w:rPr>
          <w:lang w:val="fr-CH"/>
        </w:rPr>
        <w:t>FRANCE</w:t>
      </w:r>
    </w:p>
    <w:p w:rsidR="00406DDA" w:rsidRPr="001D643B" w:rsidRDefault="00406DDA" w:rsidP="00C656F4">
      <w:pPr>
        <w:pStyle w:val="pldetails"/>
        <w:rPr>
          <w:rFonts w:cs="Arial"/>
          <w:color w:val="000000"/>
          <w:lang w:val="fr-CH"/>
        </w:rPr>
      </w:pPr>
      <w:r w:rsidRPr="001D643B">
        <w:rPr>
          <w:rFonts w:cs="Arial"/>
          <w:color w:val="000000"/>
          <w:lang w:val="fr-CH"/>
        </w:rPr>
        <w:t xml:space="preserve">Virginie BERTOUX (Ms.), Responsible / Head, Instance nationale des obtentions végétales (INOV), INOV-GEVES, Beaucouzé </w:t>
      </w:r>
      <w:r w:rsidRPr="001D643B">
        <w:rPr>
          <w:rFonts w:cs="Arial"/>
          <w:color w:val="000000"/>
          <w:lang w:val="fr-CH"/>
        </w:rPr>
        <w:br/>
        <w:t xml:space="preserve">(e-mail: virginie.bertoux@geves.fr)  </w:t>
      </w:r>
    </w:p>
    <w:p w:rsidR="00406DDA" w:rsidRPr="001D643B" w:rsidRDefault="00406DDA" w:rsidP="00C656F4">
      <w:pPr>
        <w:pStyle w:val="pldetails"/>
        <w:rPr>
          <w:rFonts w:cs="Arial"/>
          <w:color w:val="000000"/>
          <w:lang w:val="fr-CH"/>
        </w:rPr>
      </w:pPr>
      <w:r w:rsidRPr="001D643B">
        <w:rPr>
          <w:rFonts w:cs="Arial"/>
          <w:color w:val="000000"/>
          <w:lang w:val="fr-CH"/>
        </w:rPr>
        <w:t xml:space="preserve">Yvane MERESSE (Ms.), Responsable juridique / Legal Expert, Groupe d'Etude et de Contrôle des Variétés et des Semences (GEVES), Beaucouzé Cedex </w:t>
      </w:r>
      <w:r w:rsidRPr="001D643B">
        <w:rPr>
          <w:rFonts w:cs="Arial"/>
          <w:color w:val="000000"/>
          <w:lang w:val="fr-CH"/>
        </w:rPr>
        <w:br/>
        <w:t>(e-mail: yvane.meresse@geves.fr)</w:t>
      </w:r>
    </w:p>
    <w:p w:rsidR="00406DDA" w:rsidRPr="005E5D45" w:rsidRDefault="00406DDA" w:rsidP="00C656F4">
      <w:pPr>
        <w:pStyle w:val="plcountry"/>
      </w:pPr>
      <w:r w:rsidRPr="005E5D45">
        <w:t>KENYA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Simon Mucheru MAINA, Head, Seed Certification and Plant Variety Protection, Kenya Plant Health Inspectorate Service (KEPHIS), Nairobi </w:t>
      </w:r>
      <w:r w:rsidRPr="005E5D45">
        <w:rPr>
          <w:rFonts w:cs="Arial"/>
          <w:color w:val="000000"/>
        </w:rPr>
        <w:br/>
        <w:t xml:space="preserve">(e-mail: smaina@kephis.org)  </w:t>
      </w:r>
    </w:p>
    <w:p w:rsidR="00406DDA" w:rsidRPr="005E5D45" w:rsidRDefault="00406DDA" w:rsidP="00C656F4">
      <w:pPr>
        <w:pStyle w:val="plcountry"/>
      </w:pPr>
      <w:r w:rsidRPr="005E5D45">
        <w:t>NETHERLANDS</w:t>
      </w:r>
    </w:p>
    <w:p w:rsidR="00406DDA" w:rsidRPr="005E5D45" w:rsidRDefault="00406DDA" w:rsidP="00C656F4">
      <w:pPr>
        <w:pStyle w:val="pldetails"/>
      </w:pPr>
      <w:r w:rsidRPr="005E5D45">
        <w:t>Kees VAN ETTEKOVEN, Head of Variety Testing Department, Naktuinbouw NL, Roelofarendsveen</w:t>
      </w:r>
      <w:r w:rsidRPr="005E5D45">
        <w:br/>
        <w:t xml:space="preserve">(e-mail: c.v.ettekoven@naktuinbouw.nl) </w:t>
      </w:r>
    </w:p>
    <w:p w:rsidR="00406DDA" w:rsidRPr="005E5D45" w:rsidRDefault="00406DDA" w:rsidP="00C656F4">
      <w:pPr>
        <w:pStyle w:val="pldetails"/>
      </w:pPr>
      <w:r w:rsidRPr="005E5D45">
        <w:t xml:space="preserve">Bert SCHOLTE, Head of Variety Testing Department, Naktuinbouw, Roelofarendsveen </w:t>
      </w:r>
      <w:r w:rsidRPr="005E5D45">
        <w:br/>
        <w:t>(e-mail: bertscholte@hotmail.com)</w:t>
      </w:r>
    </w:p>
    <w:p w:rsidR="00406DDA" w:rsidRPr="005E5D45" w:rsidRDefault="00406DDA" w:rsidP="00C656F4">
      <w:pPr>
        <w:pStyle w:val="plcountry"/>
      </w:pPr>
      <w:r w:rsidRPr="005E5D45">
        <w:t>NEW ZEALAND</w:t>
      </w:r>
    </w:p>
    <w:p w:rsidR="00406DDA" w:rsidRPr="005E5D45" w:rsidRDefault="00406DDA" w:rsidP="00C656F4">
      <w:pPr>
        <w:pStyle w:val="pldetails"/>
      </w:pPr>
      <w:r w:rsidRPr="005E5D45">
        <w:t xml:space="preserve">Christopher J. BARNABY, Assistant Commissioner / Principal Examiner for Plant Variety Rights, Plant Variety Rights Office, Intellectual Property Office of New Zealand, Ministry of Business, Innovation and Employment, Christchurch </w:t>
      </w:r>
      <w:r w:rsidRPr="005E5D45">
        <w:br/>
        <w:t xml:space="preserve">(e-mail: Chris.Barnaby@pvr.govt.nz) </w:t>
      </w:r>
    </w:p>
    <w:p w:rsidR="00406DDA" w:rsidRPr="005E5D45" w:rsidRDefault="00406DDA" w:rsidP="00C656F4">
      <w:pPr>
        <w:pStyle w:val="plcountry"/>
      </w:pPr>
      <w:r w:rsidRPr="005E5D45">
        <w:t>SLOVAKIA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Bronislava BÁTOROVÁ (Ms.), National Coordinator for the Cooperation of the Slovak Republic with UPOV/ Senior Officer, Department of Variety Testing, Central Controlling and Testing Institute in Agriculture (ÚKSÚP), Nitra </w:t>
      </w:r>
      <w:r w:rsidRPr="005E5D45">
        <w:rPr>
          <w:rFonts w:cs="Arial"/>
          <w:color w:val="000000"/>
        </w:rPr>
        <w:br/>
        <w:t>(e-mail:</w:t>
      </w:r>
      <w:r w:rsidRPr="005E5D45">
        <w:t xml:space="preserve"> </w:t>
      </w:r>
      <w:r w:rsidRPr="005E5D45">
        <w:rPr>
          <w:rFonts w:cs="Arial"/>
          <w:color w:val="000000"/>
        </w:rPr>
        <w:t>bronislava.batorova@uksup.sk)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Ľuba GASPAROVÁ (Ms.), Senior Officer, Deputy of the National Coordinator for the Cooperation of the Slovak Republic with UPOV, Central Controlling and Testing Institute in Agriculture (UKSUP), Bratislava </w:t>
      </w:r>
      <w:r w:rsidRPr="005E5D45">
        <w:rPr>
          <w:rFonts w:cs="Arial"/>
          <w:color w:val="000000"/>
        </w:rPr>
        <w:br/>
        <w:t>(e-mail: Luba.Gasparova@uksup.sk)</w:t>
      </w:r>
    </w:p>
    <w:p w:rsidR="00406DDA" w:rsidRPr="00787ED8" w:rsidRDefault="00406DDA" w:rsidP="00C656F4">
      <w:pPr>
        <w:pStyle w:val="plcountry"/>
        <w:rPr>
          <w:lang w:val="es-ES_tradnl"/>
        </w:rPr>
      </w:pPr>
      <w:r w:rsidRPr="00787ED8">
        <w:rPr>
          <w:lang w:val="es-ES_tradnl"/>
        </w:rPr>
        <w:t>SPAIN</w:t>
      </w:r>
    </w:p>
    <w:p w:rsidR="00406DDA" w:rsidRPr="00787ED8" w:rsidRDefault="00406DDA" w:rsidP="00C656F4">
      <w:pPr>
        <w:pStyle w:val="pldetails"/>
        <w:rPr>
          <w:rFonts w:cs="Arial"/>
          <w:color w:val="000000"/>
          <w:lang w:val="es-ES_tradnl"/>
        </w:rPr>
      </w:pPr>
      <w:r w:rsidRPr="00787ED8">
        <w:rPr>
          <w:rFonts w:cs="Arial"/>
          <w:color w:val="000000"/>
          <w:lang w:val="es-ES_tradnl"/>
        </w:rPr>
        <w:t xml:space="preserve">José Antonio SOBRINO MATÉ, Jefe de área de registro de variedades, Subdirección General de Medios de Producción Agrícolas y Oficina Española de Variedades Vegetales (MPA y OEVV), Ministerio de Agricultura, Alimentación y Medio Ambiente (MAGRAMA), Madrid </w:t>
      </w:r>
      <w:r w:rsidRPr="00787ED8">
        <w:rPr>
          <w:rFonts w:cs="Arial"/>
          <w:color w:val="000000"/>
          <w:lang w:val="es-ES_tradnl"/>
        </w:rPr>
        <w:br/>
        <w:t>(e-mail: jasobrino@magrama.es)</w:t>
      </w:r>
    </w:p>
    <w:p w:rsidR="00406DDA" w:rsidRPr="005E5D45" w:rsidRDefault="00406DDA" w:rsidP="00C656F4">
      <w:pPr>
        <w:pStyle w:val="plcountry"/>
      </w:pPr>
      <w:r w:rsidRPr="005E5D45">
        <w:t>UNITED REPUBLIC OF TANZANIA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Patrick NGWEDIAGI, Registrar, Plant Breeders' Rights Office, Ministry of Agriculture, Food Security and Cooperatives, Dar es Salaam </w:t>
      </w:r>
      <w:r w:rsidRPr="005E5D45">
        <w:rPr>
          <w:rFonts w:cs="Arial"/>
          <w:color w:val="000000"/>
        </w:rPr>
        <w:br/>
        <w:t xml:space="preserve">(e-mail: ngwedi@yahoo.com)    </w:t>
      </w:r>
    </w:p>
    <w:p w:rsidR="00406DDA" w:rsidRPr="005E5D45" w:rsidRDefault="00406DDA" w:rsidP="00C656F4">
      <w:pPr>
        <w:pStyle w:val="plcountry"/>
        <w:rPr>
          <w:rFonts w:cs="Arial"/>
          <w:color w:val="000000"/>
        </w:rPr>
      </w:pPr>
      <w:r w:rsidRPr="005E5D45">
        <w:t>UNITED STATES OF AMERICA</w:t>
      </w:r>
    </w:p>
    <w:p w:rsidR="00406DDA" w:rsidRPr="005E5D45" w:rsidRDefault="00406DDA" w:rsidP="00C656F4">
      <w:pPr>
        <w:pStyle w:val="pldetails"/>
      </w:pPr>
      <w:r w:rsidRPr="005E5D45">
        <w:t>Kitisri SUKHAPINDA (Ms.), Patent Attorney, Office of Policy and International Affairs, United States Patent and Trademark Office (USPTO), Department of Commerce, Alexandria</w:t>
      </w:r>
      <w:r w:rsidRPr="005E5D45">
        <w:br/>
        <w:t>(e-mail: kitisri.sukhapinda@uspto.gov)</w:t>
      </w:r>
    </w:p>
    <w:p w:rsidR="00406DDA" w:rsidRPr="005E5D45" w:rsidRDefault="00406DDA" w:rsidP="00C656F4">
      <w:pPr>
        <w:pStyle w:val="pldetails"/>
      </w:pPr>
      <w:r w:rsidRPr="005E5D45">
        <w:t>Christian HANNON, Patent Attorney, United States Patent and Trademark Office (USPTO), Alexandria</w:t>
      </w:r>
      <w:r w:rsidRPr="005E5D45">
        <w:br/>
        <w:t>(e-mail: christian.hannon@uspto.gov)</w:t>
      </w:r>
    </w:p>
    <w:p w:rsidR="00406DDA" w:rsidRPr="005E5D45" w:rsidRDefault="00406DDA" w:rsidP="00C656F4">
      <w:pPr>
        <w:pStyle w:val="plheading"/>
      </w:pPr>
      <w:r w:rsidRPr="005E5D45">
        <w:rPr>
          <w:u w:val="none"/>
        </w:rPr>
        <w:t xml:space="preserve">II. </w:t>
      </w:r>
      <w:r w:rsidRPr="005E5D45">
        <w:t>ORGANIZATIONS</w:t>
      </w:r>
    </w:p>
    <w:p w:rsidR="00406DDA" w:rsidRPr="005E5D45" w:rsidRDefault="00406DDA" w:rsidP="00C656F4">
      <w:pPr>
        <w:pStyle w:val="plcountry"/>
      </w:pPr>
      <w:r w:rsidRPr="005E5D45">
        <w:t>CropLife International</w:t>
      </w:r>
    </w:p>
    <w:p w:rsidR="00406DDA" w:rsidRPr="005E5D45" w:rsidRDefault="00406DDA" w:rsidP="00C656F4">
      <w:pPr>
        <w:pStyle w:val="pldetails"/>
        <w:rPr>
          <w:rFonts w:cs="Arial"/>
          <w:color w:val="000000"/>
        </w:rPr>
      </w:pPr>
      <w:r w:rsidRPr="005E5D45">
        <w:rPr>
          <w:rFonts w:cs="Arial"/>
          <w:color w:val="000000"/>
        </w:rPr>
        <w:t xml:space="preserve">Marcel BRUINS, Consultant, CropLife International, Bruxelles, Belgium </w:t>
      </w:r>
      <w:r w:rsidRPr="005E5D45">
        <w:rPr>
          <w:rFonts w:cs="Arial"/>
          <w:color w:val="000000"/>
        </w:rPr>
        <w:br/>
        <w:t xml:space="preserve">(e-mail: mbruins1964@gmail.com)  </w:t>
      </w:r>
    </w:p>
    <w:p w:rsidR="00406DDA" w:rsidRPr="005E5D45" w:rsidRDefault="00406DDA" w:rsidP="00C656F4">
      <w:pPr>
        <w:pStyle w:val="plcountry"/>
      </w:pPr>
      <w:r w:rsidRPr="005E5D45">
        <w:t>EUROPEAN SEED ASSOCIATION (ESA)</w:t>
      </w:r>
    </w:p>
    <w:p w:rsidR="00406DDA" w:rsidRPr="005E5D45" w:rsidRDefault="00406DDA" w:rsidP="00C656F4">
      <w:pPr>
        <w:pStyle w:val="pldetails"/>
      </w:pPr>
      <w:r w:rsidRPr="005E5D45">
        <w:t>Astrid M. SCHENKEVELD (Ms.), Specialist, Variety Registration &amp; Protection, Rijk Zwaan Zaadteelt en Zaadhandel B.V., De Lier, Netherlands</w:t>
      </w:r>
      <w:r w:rsidRPr="005E5D45">
        <w:br/>
        <w:t xml:space="preserve">(e-mail: a.schenkeveld@rijkzwaan.nl) </w:t>
      </w:r>
    </w:p>
    <w:p w:rsidR="00406DDA" w:rsidRPr="005E5D45" w:rsidRDefault="00406DDA" w:rsidP="00C656F4">
      <w:pPr>
        <w:pStyle w:val="plcountry"/>
      </w:pPr>
      <w:r w:rsidRPr="005E5D45">
        <w:t>INTERNATIONAL SEED FEDERATION (ISF)</w:t>
      </w:r>
    </w:p>
    <w:p w:rsidR="00406DDA" w:rsidRPr="005E5D45" w:rsidRDefault="00406DDA" w:rsidP="00C656F4">
      <w:pPr>
        <w:pStyle w:val="pldetails"/>
        <w:rPr>
          <w:lang w:eastAsia="ja-JP"/>
        </w:rPr>
      </w:pPr>
      <w:r w:rsidRPr="005E5D45">
        <w:t>Astrid M. SCHENKEVELD (Ms.), Specialist, Variety Registration &amp; Protection, Rijk Zwaan Zaadteelt en Zaadhandel B.V., De Lier, Netherlands</w:t>
      </w:r>
      <w:r w:rsidRPr="005E5D45">
        <w:br/>
        <w:t xml:space="preserve">(e-mail: a.schenkeveld@rijkzwaan.nl) </w:t>
      </w:r>
    </w:p>
    <w:p w:rsidR="00406DDA" w:rsidRPr="005E5D45" w:rsidRDefault="00406DDA" w:rsidP="00C656F4">
      <w:pPr>
        <w:pStyle w:val="plheading"/>
        <w:autoSpaceDE w:val="0"/>
        <w:autoSpaceDN w:val="0"/>
        <w:adjustRightInd w:val="0"/>
        <w:spacing w:after="240"/>
        <w:rPr>
          <w:rFonts w:cs="Arial"/>
          <w:caps w:val="0"/>
          <w:color w:val="000000"/>
          <w:lang w:eastAsia="es-ES_tradnl"/>
        </w:rPr>
      </w:pPr>
      <w:r w:rsidRPr="005E5D45">
        <w:rPr>
          <w:rFonts w:cs="Arial"/>
          <w:caps w:val="0"/>
          <w:color w:val="000000"/>
          <w:u w:val="none"/>
          <w:lang w:eastAsia="es-ES_tradnl"/>
        </w:rPr>
        <w:t xml:space="preserve">III. </w:t>
      </w:r>
      <w:r w:rsidRPr="005E5D45">
        <w:rPr>
          <w:rFonts w:cs="Arial"/>
          <w:caps w:val="0"/>
          <w:color w:val="000000"/>
          <w:lang w:eastAsia="es-ES_tradnl"/>
        </w:rPr>
        <w:t>OFFICER</w:t>
      </w:r>
    </w:p>
    <w:p w:rsidR="00406DDA" w:rsidRPr="005E5D45" w:rsidRDefault="00406DDA" w:rsidP="00C656F4">
      <w:pPr>
        <w:pStyle w:val="pldetails"/>
      </w:pPr>
      <w:r w:rsidRPr="005E5D45">
        <w:t>Peter BUTTON, Chair</w:t>
      </w:r>
    </w:p>
    <w:p w:rsidR="00406DDA" w:rsidRPr="005E5D45" w:rsidRDefault="00406DDA" w:rsidP="00C656F4">
      <w:pPr>
        <w:pStyle w:val="plheading"/>
        <w:autoSpaceDE w:val="0"/>
        <w:autoSpaceDN w:val="0"/>
        <w:adjustRightInd w:val="0"/>
        <w:spacing w:after="240"/>
        <w:rPr>
          <w:rFonts w:cs="Arial"/>
          <w:caps w:val="0"/>
          <w:color w:val="000000"/>
          <w:lang w:eastAsia="es-ES_tradnl"/>
        </w:rPr>
      </w:pPr>
      <w:r w:rsidRPr="005E5D45">
        <w:rPr>
          <w:rFonts w:cs="Arial"/>
          <w:caps w:val="0"/>
          <w:color w:val="000000"/>
          <w:u w:val="none"/>
          <w:lang w:eastAsia="es-ES_tradnl"/>
        </w:rPr>
        <w:t xml:space="preserve">IV. </w:t>
      </w:r>
      <w:r w:rsidRPr="005E5D45">
        <w:rPr>
          <w:rFonts w:cs="Arial"/>
          <w:caps w:val="0"/>
          <w:color w:val="000000"/>
          <w:lang w:eastAsia="es-ES_tradnl"/>
        </w:rPr>
        <w:t>OFFICE OF UPOV</w:t>
      </w:r>
    </w:p>
    <w:p w:rsidR="00406DDA" w:rsidRPr="005E5D45" w:rsidRDefault="00406DDA" w:rsidP="00C656F4">
      <w:pPr>
        <w:pStyle w:val="pldetails"/>
      </w:pPr>
      <w:r w:rsidRPr="005E5D45">
        <w:t>Peter BUTTON, Vice Secretary-General</w:t>
      </w:r>
    </w:p>
    <w:p w:rsidR="00406DDA" w:rsidRPr="005E5D45" w:rsidRDefault="00406DDA" w:rsidP="00C656F4">
      <w:pPr>
        <w:pStyle w:val="pldetails"/>
      </w:pPr>
      <w:r w:rsidRPr="005E5D45">
        <w:t>Yolanda HUERTA (Ms.), Legal Counsel</w:t>
      </w:r>
    </w:p>
    <w:p w:rsidR="00406DDA" w:rsidRPr="005E5D45" w:rsidRDefault="00406DDA" w:rsidP="00C656F4">
      <w:pPr>
        <w:pStyle w:val="pldetails"/>
      </w:pPr>
      <w:r w:rsidRPr="005E5D45">
        <w:t>Jun KOIDE, Technical/Regional Officer (Asia)</w:t>
      </w:r>
    </w:p>
    <w:p w:rsidR="00406DDA" w:rsidRPr="005E5D45" w:rsidRDefault="00406DDA" w:rsidP="00C656F4">
      <w:pPr>
        <w:pStyle w:val="pldetails"/>
      </w:pPr>
      <w:r w:rsidRPr="005E5D45">
        <w:t>Ben RIVOIRE, Technical/Regional Officer (Africa, Arab countries)</w:t>
      </w:r>
    </w:p>
    <w:p w:rsidR="00406DDA" w:rsidRPr="005E5D45" w:rsidRDefault="00406DDA" w:rsidP="00C656F4">
      <w:pPr>
        <w:pStyle w:val="pldetails"/>
      </w:pPr>
      <w:r w:rsidRPr="005E5D45">
        <w:t>Leontino TAVEIRA, Technical/Regional Officer (Latin America, Caribbean countries)</w:t>
      </w:r>
    </w:p>
    <w:p w:rsidR="00406DDA" w:rsidRPr="005E5D45" w:rsidRDefault="00406DDA" w:rsidP="00C656F4">
      <w:pPr>
        <w:pStyle w:val="pldetails"/>
      </w:pPr>
      <w:r w:rsidRPr="005E5D45">
        <w:t>Ariane BESSE (Ms.), Administrative Assistant</w:t>
      </w:r>
    </w:p>
    <w:p w:rsidR="00406DDA" w:rsidRPr="005E5D45" w:rsidRDefault="00406DDA" w:rsidP="00C656F4">
      <w:pPr>
        <w:pStyle w:val="pldetails"/>
      </w:pPr>
    </w:p>
    <w:p w:rsidR="00406DDA" w:rsidRPr="005E5D45" w:rsidRDefault="00406DDA" w:rsidP="00C656F4">
      <w:pPr>
        <w:pStyle w:val="pldetails"/>
      </w:pPr>
    </w:p>
    <w:p w:rsidR="00406DDA" w:rsidRPr="005E5D45" w:rsidRDefault="00406DDA" w:rsidP="00C656F4">
      <w:pPr>
        <w:ind w:right="53"/>
        <w:jc w:val="right"/>
        <w:rPr>
          <w:rFonts w:cs="Arial"/>
        </w:rPr>
      </w:pPr>
      <w:r w:rsidRPr="005E5D45">
        <w:rPr>
          <w:rFonts w:cs="Arial"/>
          <w:noProof/>
          <w:color w:val="000000"/>
        </w:rPr>
        <w:t>[End of Annex and of document]</w:t>
      </w:r>
    </w:p>
    <w:p w:rsidR="00406DDA" w:rsidRPr="005E5D45" w:rsidRDefault="00406DDA" w:rsidP="00C656F4">
      <w:pPr>
        <w:jc w:val="center"/>
        <w:rPr>
          <w:lang w:eastAsia="ja-JP"/>
        </w:rPr>
      </w:pPr>
    </w:p>
    <w:p w:rsidR="00406DDA" w:rsidRPr="005E5D45" w:rsidRDefault="00406DDA" w:rsidP="00C656F4"/>
    <w:p w:rsidR="00241892" w:rsidRPr="005E5D45" w:rsidRDefault="00241892" w:rsidP="006B662B">
      <w:pPr>
        <w:jc w:val="center"/>
        <w:rPr>
          <w:lang w:eastAsia="ja-JP"/>
        </w:rPr>
      </w:pPr>
    </w:p>
    <w:sectPr w:rsidR="00241892" w:rsidRPr="005E5D45" w:rsidSect="003349BF">
      <w:headerReference w:type="default" r:id="rId11"/>
      <w:foot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D3" w:rsidRDefault="009739D3" w:rsidP="006655D3">
      <w:r>
        <w:separator/>
      </w:r>
    </w:p>
    <w:p w:rsidR="009739D3" w:rsidRDefault="009739D3" w:rsidP="006655D3"/>
    <w:p w:rsidR="009739D3" w:rsidRDefault="009739D3" w:rsidP="006655D3"/>
  </w:endnote>
  <w:endnote w:type="continuationSeparator" w:id="0">
    <w:p w:rsidR="009739D3" w:rsidRDefault="009739D3" w:rsidP="006655D3">
      <w:r>
        <w:separator/>
      </w:r>
    </w:p>
    <w:p w:rsidR="009739D3" w:rsidRPr="00560A6D" w:rsidRDefault="009739D3" w:rsidP="00853E8F">
      <w:pPr>
        <w:pStyle w:val="Footer"/>
        <w:rPr>
          <w:lang w:val="fr-FR"/>
        </w:rPr>
      </w:pPr>
      <w:r w:rsidRPr="00560A6D">
        <w:rPr>
          <w:lang w:val="fr-FR"/>
        </w:rPr>
        <w:t>[Suite de la note de la page précédente]</w:t>
      </w:r>
    </w:p>
    <w:p w:rsidR="009739D3" w:rsidRPr="00560A6D" w:rsidRDefault="009739D3" w:rsidP="006655D3">
      <w:pPr>
        <w:rPr>
          <w:lang w:val="fr-FR"/>
        </w:rPr>
      </w:pPr>
    </w:p>
    <w:p w:rsidR="009739D3" w:rsidRPr="00560A6D" w:rsidRDefault="009739D3" w:rsidP="006655D3">
      <w:pPr>
        <w:rPr>
          <w:lang w:val="fr-FR"/>
        </w:rPr>
      </w:pPr>
    </w:p>
  </w:endnote>
  <w:endnote w:type="continuationNotice" w:id="1">
    <w:p w:rsidR="009739D3" w:rsidRPr="00560A6D" w:rsidRDefault="009739D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9739D3" w:rsidRPr="00560A6D" w:rsidRDefault="009739D3" w:rsidP="006655D3">
      <w:pPr>
        <w:rPr>
          <w:lang w:val="fr-FR"/>
        </w:rPr>
      </w:pPr>
    </w:p>
    <w:p w:rsidR="009739D3" w:rsidRPr="00560A6D" w:rsidRDefault="009739D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72" w:rsidRPr="00461A5F" w:rsidRDefault="006F2F72" w:rsidP="00461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D3" w:rsidRDefault="009739D3" w:rsidP="00C95616">
      <w:pPr>
        <w:spacing w:before="120"/>
      </w:pPr>
      <w:r>
        <w:separator/>
      </w:r>
    </w:p>
  </w:footnote>
  <w:footnote w:type="continuationSeparator" w:id="0">
    <w:p w:rsidR="009739D3" w:rsidRDefault="009739D3" w:rsidP="006655D3">
      <w:r>
        <w:separator/>
      </w:r>
    </w:p>
  </w:footnote>
  <w:footnote w:type="continuationNotice" w:id="1">
    <w:p w:rsidR="009739D3" w:rsidRPr="00A56FAA" w:rsidRDefault="009739D3" w:rsidP="00853E8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72" w:rsidRPr="00997029" w:rsidRDefault="006F2F72" w:rsidP="00B0636E">
    <w:pPr>
      <w:pStyle w:val="Header"/>
      <w:rPr>
        <w:rStyle w:val="PageNumber"/>
      </w:rPr>
    </w:pPr>
    <w:r>
      <w:rPr>
        <w:rStyle w:val="PageNumber"/>
        <w:rFonts w:hint="eastAsia"/>
        <w:lang w:eastAsia="ja-JP"/>
      </w:rPr>
      <w:t>U</w:t>
    </w:r>
    <w:r w:rsidR="00244D14">
      <w:rPr>
        <w:rStyle w:val="PageNumber"/>
        <w:rFonts w:hint="eastAsia"/>
        <w:lang w:eastAsia="ja-JP"/>
      </w:rPr>
      <w:t xml:space="preserve">POV/WG-DEN/2/4 </w:t>
    </w:r>
  </w:p>
  <w:p w:rsidR="006F2F72" w:rsidRPr="00997029" w:rsidRDefault="006F2F72" w:rsidP="00B0636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AC0337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6F2F72" w:rsidRDefault="006F2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72" w:rsidRPr="00C5280D" w:rsidRDefault="006F2F72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U</w:t>
    </w:r>
    <w:r w:rsidR="00244D14">
      <w:rPr>
        <w:rStyle w:val="PageNumber"/>
        <w:lang w:val="en-US"/>
      </w:rPr>
      <w:t>POV/WG-DEN/</w:t>
    </w:r>
    <w:r w:rsidR="00244D14">
      <w:rPr>
        <w:rStyle w:val="PageNumber"/>
        <w:rFonts w:hint="eastAsia"/>
        <w:lang w:val="en-US" w:eastAsia="ja-JP"/>
      </w:rPr>
      <w:t>2</w:t>
    </w:r>
    <w:r w:rsidR="00244D14">
      <w:rPr>
        <w:rStyle w:val="PageNumber"/>
        <w:lang w:val="en-US"/>
      </w:rPr>
      <w:t>/</w:t>
    </w:r>
    <w:r w:rsidR="00244D14">
      <w:rPr>
        <w:rStyle w:val="PageNumber"/>
        <w:rFonts w:hint="eastAsia"/>
        <w:lang w:val="en-US" w:eastAsia="ja-JP"/>
      </w:rPr>
      <w:t xml:space="preserve">4 </w:t>
    </w:r>
  </w:p>
  <w:p w:rsidR="006F2F72" w:rsidRDefault="006F2F72" w:rsidP="003349BF">
    <w:pPr>
      <w:pStyle w:val="Header"/>
      <w:rPr>
        <w:lang w:val="en-US"/>
      </w:rPr>
    </w:pPr>
    <w:r>
      <w:rPr>
        <w:lang w:val="en-US"/>
      </w:rPr>
      <w:t xml:space="preserve">Annex, page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AC0337">
      <w:rPr>
        <w:noProof/>
      </w:rPr>
      <w:t>3</w:t>
    </w:r>
    <w:r w:rsidRPr="00A468CA">
      <w:fldChar w:fldCharType="end"/>
    </w:r>
  </w:p>
  <w:p w:rsidR="006F2F72" w:rsidRPr="00C5280D" w:rsidRDefault="006F2F72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32C"/>
    <w:multiLevelType w:val="hybridMultilevel"/>
    <w:tmpl w:val="3E20B87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95628"/>
    <w:multiLevelType w:val="hybridMultilevel"/>
    <w:tmpl w:val="25F47BB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988"/>
    <w:multiLevelType w:val="hybridMultilevel"/>
    <w:tmpl w:val="9E1416E6"/>
    <w:lvl w:ilvl="0" w:tplc="13644DC2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291FD4"/>
    <w:multiLevelType w:val="hybridMultilevel"/>
    <w:tmpl w:val="9A288D28"/>
    <w:lvl w:ilvl="0" w:tplc="13B4291C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C9D5E0D"/>
    <w:multiLevelType w:val="hybridMultilevel"/>
    <w:tmpl w:val="CC08F4F8"/>
    <w:lvl w:ilvl="0" w:tplc="1B6688FC">
      <w:start w:val="1"/>
      <w:numFmt w:val="lowerRoman"/>
      <w:lvlText w:val="(%1)"/>
      <w:lvlJc w:val="right"/>
      <w:pPr>
        <w:ind w:left="1287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63B704D"/>
    <w:multiLevelType w:val="hybridMultilevel"/>
    <w:tmpl w:val="2BC205C8"/>
    <w:lvl w:ilvl="0" w:tplc="C4B6094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4D0915"/>
    <w:multiLevelType w:val="hybridMultilevel"/>
    <w:tmpl w:val="535C654E"/>
    <w:lvl w:ilvl="0" w:tplc="C2523ACE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FF701A7"/>
    <w:multiLevelType w:val="hybridMultilevel"/>
    <w:tmpl w:val="25F47BB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C46C5"/>
    <w:multiLevelType w:val="hybridMultilevel"/>
    <w:tmpl w:val="6F4A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17982"/>
    <w:multiLevelType w:val="hybridMultilevel"/>
    <w:tmpl w:val="68C49002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C5692"/>
    <w:multiLevelType w:val="hybridMultilevel"/>
    <w:tmpl w:val="25F47BBE"/>
    <w:lvl w:ilvl="0" w:tplc="1B6688FC">
      <w:start w:val="1"/>
      <w:numFmt w:val="lowerRoman"/>
      <w:lvlText w:val="(%1)"/>
      <w:lvlJc w:val="right"/>
      <w:pPr>
        <w:ind w:left="720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67C0F"/>
    <w:multiLevelType w:val="hybridMultilevel"/>
    <w:tmpl w:val="3350D96C"/>
    <w:lvl w:ilvl="0" w:tplc="C5DC07DE">
      <w:start w:val="1"/>
      <w:numFmt w:val="lowerRoman"/>
      <w:lvlText w:val="(%1)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9B"/>
    <w:rsid w:val="00000001"/>
    <w:rsid w:val="00000D53"/>
    <w:rsid w:val="00010CF3"/>
    <w:rsid w:val="00011E27"/>
    <w:rsid w:val="00012A60"/>
    <w:rsid w:val="000148BC"/>
    <w:rsid w:val="00014BFD"/>
    <w:rsid w:val="00024AB8"/>
    <w:rsid w:val="00027433"/>
    <w:rsid w:val="00030854"/>
    <w:rsid w:val="00030FFB"/>
    <w:rsid w:val="00031745"/>
    <w:rsid w:val="00032FF7"/>
    <w:rsid w:val="00035526"/>
    <w:rsid w:val="00036028"/>
    <w:rsid w:val="00036FAD"/>
    <w:rsid w:val="00037021"/>
    <w:rsid w:val="00040A25"/>
    <w:rsid w:val="00044642"/>
    <w:rsid w:val="000446B9"/>
    <w:rsid w:val="000446F9"/>
    <w:rsid w:val="00047E21"/>
    <w:rsid w:val="00066C97"/>
    <w:rsid w:val="000679F1"/>
    <w:rsid w:val="000729E4"/>
    <w:rsid w:val="00073EA2"/>
    <w:rsid w:val="0007641E"/>
    <w:rsid w:val="000779D5"/>
    <w:rsid w:val="00082EBF"/>
    <w:rsid w:val="00085505"/>
    <w:rsid w:val="000912E8"/>
    <w:rsid w:val="000A2127"/>
    <w:rsid w:val="000A34E3"/>
    <w:rsid w:val="000A68B4"/>
    <w:rsid w:val="000A7C70"/>
    <w:rsid w:val="000B16F0"/>
    <w:rsid w:val="000B2A06"/>
    <w:rsid w:val="000B74DF"/>
    <w:rsid w:val="000C0544"/>
    <w:rsid w:val="000C7021"/>
    <w:rsid w:val="000D1E33"/>
    <w:rsid w:val="000D437B"/>
    <w:rsid w:val="000D6BBC"/>
    <w:rsid w:val="000D7780"/>
    <w:rsid w:val="000D7B8F"/>
    <w:rsid w:val="000E2DE4"/>
    <w:rsid w:val="000E55B4"/>
    <w:rsid w:val="000F13A2"/>
    <w:rsid w:val="000F1FED"/>
    <w:rsid w:val="000F64D6"/>
    <w:rsid w:val="00103492"/>
    <w:rsid w:val="001050AE"/>
    <w:rsid w:val="00105929"/>
    <w:rsid w:val="001068B3"/>
    <w:rsid w:val="00110042"/>
    <w:rsid w:val="00111C7D"/>
    <w:rsid w:val="001131D5"/>
    <w:rsid w:val="00116727"/>
    <w:rsid w:val="00121F7B"/>
    <w:rsid w:val="00127A17"/>
    <w:rsid w:val="00130E0F"/>
    <w:rsid w:val="0013722A"/>
    <w:rsid w:val="00141DB8"/>
    <w:rsid w:val="00142328"/>
    <w:rsid w:val="001446C9"/>
    <w:rsid w:val="00144D18"/>
    <w:rsid w:val="001514C7"/>
    <w:rsid w:val="0016728F"/>
    <w:rsid w:val="0017474A"/>
    <w:rsid w:val="001758C6"/>
    <w:rsid w:val="001813AA"/>
    <w:rsid w:val="00181B43"/>
    <w:rsid w:val="00182B99"/>
    <w:rsid w:val="001849C3"/>
    <w:rsid w:val="00185CC5"/>
    <w:rsid w:val="001A0080"/>
    <w:rsid w:val="001A1757"/>
    <w:rsid w:val="001A240F"/>
    <w:rsid w:val="001A36FF"/>
    <w:rsid w:val="001A5276"/>
    <w:rsid w:val="001A6328"/>
    <w:rsid w:val="001B3910"/>
    <w:rsid w:val="001C0B9D"/>
    <w:rsid w:val="001C3B28"/>
    <w:rsid w:val="001C3D43"/>
    <w:rsid w:val="001C728E"/>
    <w:rsid w:val="001D26B9"/>
    <w:rsid w:val="001D521F"/>
    <w:rsid w:val="001D643B"/>
    <w:rsid w:val="001E0CF9"/>
    <w:rsid w:val="001E2FDC"/>
    <w:rsid w:val="001E785E"/>
    <w:rsid w:val="001F72AB"/>
    <w:rsid w:val="00204598"/>
    <w:rsid w:val="00205DA6"/>
    <w:rsid w:val="0021332C"/>
    <w:rsid w:val="00213982"/>
    <w:rsid w:val="00215D43"/>
    <w:rsid w:val="00220BFF"/>
    <w:rsid w:val="00224AEF"/>
    <w:rsid w:val="00237422"/>
    <w:rsid w:val="00240F8B"/>
    <w:rsid w:val="002416EA"/>
    <w:rsid w:val="00241892"/>
    <w:rsid w:val="0024416D"/>
    <w:rsid w:val="00244D14"/>
    <w:rsid w:val="00245574"/>
    <w:rsid w:val="00246926"/>
    <w:rsid w:val="00247565"/>
    <w:rsid w:val="002577C9"/>
    <w:rsid w:val="00260F9A"/>
    <w:rsid w:val="00264280"/>
    <w:rsid w:val="00277053"/>
    <w:rsid w:val="00277409"/>
    <w:rsid w:val="002800A0"/>
    <w:rsid w:val="002801B3"/>
    <w:rsid w:val="0028098F"/>
    <w:rsid w:val="00281060"/>
    <w:rsid w:val="00286D55"/>
    <w:rsid w:val="002927CE"/>
    <w:rsid w:val="002940E8"/>
    <w:rsid w:val="002A4E42"/>
    <w:rsid w:val="002A6E50"/>
    <w:rsid w:val="002A6F24"/>
    <w:rsid w:val="002B7C23"/>
    <w:rsid w:val="002C256A"/>
    <w:rsid w:val="002C4B3F"/>
    <w:rsid w:val="002C7351"/>
    <w:rsid w:val="002D0533"/>
    <w:rsid w:val="002D7D8F"/>
    <w:rsid w:val="002E183B"/>
    <w:rsid w:val="002E70E1"/>
    <w:rsid w:val="002F0FCC"/>
    <w:rsid w:val="0030282A"/>
    <w:rsid w:val="003036ED"/>
    <w:rsid w:val="00305542"/>
    <w:rsid w:val="00305A7F"/>
    <w:rsid w:val="003136B7"/>
    <w:rsid w:val="00315280"/>
    <w:rsid w:val="003152FE"/>
    <w:rsid w:val="00327436"/>
    <w:rsid w:val="00331FEB"/>
    <w:rsid w:val="00332524"/>
    <w:rsid w:val="00332D1B"/>
    <w:rsid w:val="00332FF0"/>
    <w:rsid w:val="003349BF"/>
    <w:rsid w:val="0033507D"/>
    <w:rsid w:val="00344BD6"/>
    <w:rsid w:val="003471A8"/>
    <w:rsid w:val="00354301"/>
    <w:rsid w:val="0035528D"/>
    <w:rsid w:val="003559FB"/>
    <w:rsid w:val="00357632"/>
    <w:rsid w:val="00361821"/>
    <w:rsid w:val="003654AC"/>
    <w:rsid w:val="003717AA"/>
    <w:rsid w:val="00374E1A"/>
    <w:rsid w:val="0037777D"/>
    <w:rsid w:val="00377D4C"/>
    <w:rsid w:val="00383E8A"/>
    <w:rsid w:val="0038498C"/>
    <w:rsid w:val="00385AC8"/>
    <w:rsid w:val="00390196"/>
    <w:rsid w:val="00390A72"/>
    <w:rsid w:val="00391A36"/>
    <w:rsid w:val="003949B1"/>
    <w:rsid w:val="00397472"/>
    <w:rsid w:val="003A3502"/>
    <w:rsid w:val="003A39EB"/>
    <w:rsid w:val="003B2C7E"/>
    <w:rsid w:val="003B5EAC"/>
    <w:rsid w:val="003C2561"/>
    <w:rsid w:val="003C2DFC"/>
    <w:rsid w:val="003C3997"/>
    <w:rsid w:val="003D1D28"/>
    <w:rsid w:val="003D227C"/>
    <w:rsid w:val="003D2B4D"/>
    <w:rsid w:val="003D51A5"/>
    <w:rsid w:val="003D6633"/>
    <w:rsid w:val="003F5342"/>
    <w:rsid w:val="003F5794"/>
    <w:rsid w:val="003F7CFD"/>
    <w:rsid w:val="00400A7D"/>
    <w:rsid w:val="0040144A"/>
    <w:rsid w:val="004021BA"/>
    <w:rsid w:val="00403D6B"/>
    <w:rsid w:val="00406DDA"/>
    <w:rsid w:val="00421A79"/>
    <w:rsid w:val="00421B64"/>
    <w:rsid w:val="00421D17"/>
    <w:rsid w:val="004236B0"/>
    <w:rsid w:val="004300C7"/>
    <w:rsid w:val="004335D0"/>
    <w:rsid w:val="00437C93"/>
    <w:rsid w:val="004415F1"/>
    <w:rsid w:val="004420DE"/>
    <w:rsid w:val="00444A88"/>
    <w:rsid w:val="00452B5E"/>
    <w:rsid w:val="00461A5F"/>
    <w:rsid w:val="00461F7D"/>
    <w:rsid w:val="00463874"/>
    <w:rsid w:val="00467B04"/>
    <w:rsid w:val="00467D79"/>
    <w:rsid w:val="00470F49"/>
    <w:rsid w:val="00471087"/>
    <w:rsid w:val="00472E4D"/>
    <w:rsid w:val="00474DA4"/>
    <w:rsid w:val="0047600C"/>
    <w:rsid w:val="00476176"/>
    <w:rsid w:val="00476B4D"/>
    <w:rsid w:val="00476C2E"/>
    <w:rsid w:val="004805FA"/>
    <w:rsid w:val="00480784"/>
    <w:rsid w:val="0048085F"/>
    <w:rsid w:val="0048535A"/>
    <w:rsid w:val="00487672"/>
    <w:rsid w:val="004876BD"/>
    <w:rsid w:val="00494F86"/>
    <w:rsid w:val="00497BC1"/>
    <w:rsid w:val="004A14EF"/>
    <w:rsid w:val="004A1768"/>
    <w:rsid w:val="004B2A17"/>
    <w:rsid w:val="004C064B"/>
    <w:rsid w:val="004C11A2"/>
    <w:rsid w:val="004D047D"/>
    <w:rsid w:val="004D1776"/>
    <w:rsid w:val="004D5009"/>
    <w:rsid w:val="004D5B58"/>
    <w:rsid w:val="004E7DCF"/>
    <w:rsid w:val="004F2967"/>
    <w:rsid w:val="004F305A"/>
    <w:rsid w:val="004F565A"/>
    <w:rsid w:val="004F76DA"/>
    <w:rsid w:val="00503251"/>
    <w:rsid w:val="00507290"/>
    <w:rsid w:val="00512164"/>
    <w:rsid w:val="00513E80"/>
    <w:rsid w:val="00514313"/>
    <w:rsid w:val="00520297"/>
    <w:rsid w:val="00525688"/>
    <w:rsid w:val="00526725"/>
    <w:rsid w:val="00531F22"/>
    <w:rsid w:val="005338F9"/>
    <w:rsid w:val="00536E5A"/>
    <w:rsid w:val="005371E4"/>
    <w:rsid w:val="0054020E"/>
    <w:rsid w:val="00540E5C"/>
    <w:rsid w:val="00541D4B"/>
    <w:rsid w:val="0054281C"/>
    <w:rsid w:val="00542C30"/>
    <w:rsid w:val="00544BAD"/>
    <w:rsid w:val="00545BB4"/>
    <w:rsid w:val="0055003D"/>
    <w:rsid w:val="0055268D"/>
    <w:rsid w:val="00554186"/>
    <w:rsid w:val="00560A6D"/>
    <w:rsid w:val="00565231"/>
    <w:rsid w:val="00567B56"/>
    <w:rsid w:val="00570301"/>
    <w:rsid w:val="005708BA"/>
    <w:rsid w:val="00570CBF"/>
    <w:rsid w:val="005725EF"/>
    <w:rsid w:val="00573E21"/>
    <w:rsid w:val="00573E87"/>
    <w:rsid w:val="00576BE4"/>
    <w:rsid w:val="00583982"/>
    <w:rsid w:val="00596426"/>
    <w:rsid w:val="005A1170"/>
    <w:rsid w:val="005A2FE7"/>
    <w:rsid w:val="005A400A"/>
    <w:rsid w:val="005A46F9"/>
    <w:rsid w:val="005B501C"/>
    <w:rsid w:val="005B7D18"/>
    <w:rsid w:val="005C04AE"/>
    <w:rsid w:val="005C0588"/>
    <w:rsid w:val="005C3798"/>
    <w:rsid w:val="005C5E47"/>
    <w:rsid w:val="005D4CFA"/>
    <w:rsid w:val="005D571C"/>
    <w:rsid w:val="005D7CEE"/>
    <w:rsid w:val="005E5D45"/>
    <w:rsid w:val="005E6E55"/>
    <w:rsid w:val="005F05B6"/>
    <w:rsid w:val="005F20F1"/>
    <w:rsid w:val="005F3CF5"/>
    <w:rsid w:val="006014D1"/>
    <w:rsid w:val="006031D9"/>
    <w:rsid w:val="0060563D"/>
    <w:rsid w:val="006061F1"/>
    <w:rsid w:val="00612379"/>
    <w:rsid w:val="00613DBE"/>
    <w:rsid w:val="0061555F"/>
    <w:rsid w:val="006169BB"/>
    <w:rsid w:val="00623FB7"/>
    <w:rsid w:val="0062627D"/>
    <w:rsid w:val="0063011D"/>
    <w:rsid w:val="00633928"/>
    <w:rsid w:val="00640EE2"/>
    <w:rsid w:val="00641200"/>
    <w:rsid w:val="006479EB"/>
    <w:rsid w:val="00650797"/>
    <w:rsid w:val="006516A6"/>
    <w:rsid w:val="006517AC"/>
    <w:rsid w:val="00661400"/>
    <w:rsid w:val="00661DD0"/>
    <w:rsid w:val="006626BB"/>
    <w:rsid w:val="00663239"/>
    <w:rsid w:val="0066471C"/>
    <w:rsid w:val="006655D3"/>
    <w:rsid w:val="0067078A"/>
    <w:rsid w:val="00675A5E"/>
    <w:rsid w:val="00681497"/>
    <w:rsid w:val="0068316E"/>
    <w:rsid w:val="00683E56"/>
    <w:rsid w:val="00683FF4"/>
    <w:rsid w:val="00684DD1"/>
    <w:rsid w:val="0068529C"/>
    <w:rsid w:val="00687EB4"/>
    <w:rsid w:val="00695172"/>
    <w:rsid w:val="00696C89"/>
    <w:rsid w:val="006A132A"/>
    <w:rsid w:val="006A51ED"/>
    <w:rsid w:val="006B17D2"/>
    <w:rsid w:val="006B6550"/>
    <w:rsid w:val="006B662B"/>
    <w:rsid w:val="006C1A89"/>
    <w:rsid w:val="006C224E"/>
    <w:rsid w:val="006C2A19"/>
    <w:rsid w:val="006C3BEF"/>
    <w:rsid w:val="006C7D8B"/>
    <w:rsid w:val="006D24BC"/>
    <w:rsid w:val="006D5575"/>
    <w:rsid w:val="006D780A"/>
    <w:rsid w:val="006E0FA7"/>
    <w:rsid w:val="006E1565"/>
    <w:rsid w:val="006E1C9F"/>
    <w:rsid w:val="006E4A9E"/>
    <w:rsid w:val="006E5C55"/>
    <w:rsid w:val="006E697D"/>
    <w:rsid w:val="006E7583"/>
    <w:rsid w:val="006F02D5"/>
    <w:rsid w:val="006F14D1"/>
    <w:rsid w:val="006F1C68"/>
    <w:rsid w:val="006F2F72"/>
    <w:rsid w:val="00706E22"/>
    <w:rsid w:val="00710060"/>
    <w:rsid w:val="007101F1"/>
    <w:rsid w:val="00713B1F"/>
    <w:rsid w:val="00714452"/>
    <w:rsid w:val="00715091"/>
    <w:rsid w:val="00715E2B"/>
    <w:rsid w:val="00716197"/>
    <w:rsid w:val="00732DEC"/>
    <w:rsid w:val="00735BD5"/>
    <w:rsid w:val="00737D43"/>
    <w:rsid w:val="00741ADE"/>
    <w:rsid w:val="00742886"/>
    <w:rsid w:val="007550B2"/>
    <w:rsid w:val="007556F6"/>
    <w:rsid w:val="00756757"/>
    <w:rsid w:val="00760EEF"/>
    <w:rsid w:val="007623CE"/>
    <w:rsid w:val="007637FD"/>
    <w:rsid w:val="00764193"/>
    <w:rsid w:val="00765A43"/>
    <w:rsid w:val="00765AA5"/>
    <w:rsid w:val="00770918"/>
    <w:rsid w:val="00773F0C"/>
    <w:rsid w:val="00777EE5"/>
    <w:rsid w:val="00777FDF"/>
    <w:rsid w:val="00782676"/>
    <w:rsid w:val="00782BD7"/>
    <w:rsid w:val="00783D94"/>
    <w:rsid w:val="00784836"/>
    <w:rsid w:val="0078761B"/>
    <w:rsid w:val="00787ED8"/>
    <w:rsid w:val="0079023E"/>
    <w:rsid w:val="00790AF6"/>
    <w:rsid w:val="00790C28"/>
    <w:rsid w:val="0079105A"/>
    <w:rsid w:val="007A057F"/>
    <w:rsid w:val="007A270A"/>
    <w:rsid w:val="007A2854"/>
    <w:rsid w:val="007A43E1"/>
    <w:rsid w:val="007B07B2"/>
    <w:rsid w:val="007D0B9D"/>
    <w:rsid w:val="007D19B0"/>
    <w:rsid w:val="007D3354"/>
    <w:rsid w:val="007E0DF8"/>
    <w:rsid w:val="007F0E9B"/>
    <w:rsid w:val="007F117D"/>
    <w:rsid w:val="007F498F"/>
    <w:rsid w:val="00805468"/>
    <w:rsid w:val="0080679D"/>
    <w:rsid w:val="008108B0"/>
    <w:rsid w:val="0081155A"/>
    <w:rsid w:val="00811B20"/>
    <w:rsid w:val="00815C7F"/>
    <w:rsid w:val="0081658A"/>
    <w:rsid w:val="00817254"/>
    <w:rsid w:val="00817DC5"/>
    <w:rsid w:val="0082044D"/>
    <w:rsid w:val="00820C28"/>
    <w:rsid w:val="0082296E"/>
    <w:rsid w:val="00824099"/>
    <w:rsid w:val="00824890"/>
    <w:rsid w:val="00826953"/>
    <w:rsid w:val="00830AB8"/>
    <w:rsid w:val="0083236E"/>
    <w:rsid w:val="00832855"/>
    <w:rsid w:val="00833B99"/>
    <w:rsid w:val="00835572"/>
    <w:rsid w:val="00843023"/>
    <w:rsid w:val="00853E8F"/>
    <w:rsid w:val="00854468"/>
    <w:rsid w:val="00856D32"/>
    <w:rsid w:val="00857AE3"/>
    <w:rsid w:val="0086390F"/>
    <w:rsid w:val="008643FD"/>
    <w:rsid w:val="008655A1"/>
    <w:rsid w:val="008665E3"/>
    <w:rsid w:val="0086720C"/>
    <w:rsid w:val="0086756D"/>
    <w:rsid w:val="00867AC1"/>
    <w:rsid w:val="008743FD"/>
    <w:rsid w:val="0087473F"/>
    <w:rsid w:val="00877B32"/>
    <w:rsid w:val="0088210F"/>
    <w:rsid w:val="00882360"/>
    <w:rsid w:val="00884FC5"/>
    <w:rsid w:val="00885997"/>
    <w:rsid w:val="008908C3"/>
    <w:rsid w:val="008938A7"/>
    <w:rsid w:val="008946F5"/>
    <w:rsid w:val="0089626C"/>
    <w:rsid w:val="00897CDE"/>
    <w:rsid w:val="008A1B51"/>
    <w:rsid w:val="008A1D2F"/>
    <w:rsid w:val="008A3C6D"/>
    <w:rsid w:val="008A743F"/>
    <w:rsid w:val="008B1343"/>
    <w:rsid w:val="008B6F8C"/>
    <w:rsid w:val="008C0970"/>
    <w:rsid w:val="008C63A7"/>
    <w:rsid w:val="008C6647"/>
    <w:rsid w:val="008C684C"/>
    <w:rsid w:val="008D2081"/>
    <w:rsid w:val="008D2B5C"/>
    <w:rsid w:val="008D2CF7"/>
    <w:rsid w:val="008D5807"/>
    <w:rsid w:val="008E19CB"/>
    <w:rsid w:val="008E4D4F"/>
    <w:rsid w:val="008F2D42"/>
    <w:rsid w:val="008F3555"/>
    <w:rsid w:val="008F47E2"/>
    <w:rsid w:val="008F4A93"/>
    <w:rsid w:val="008F5381"/>
    <w:rsid w:val="008F5D00"/>
    <w:rsid w:val="00900C26"/>
    <w:rsid w:val="0090197F"/>
    <w:rsid w:val="00901A3F"/>
    <w:rsid w:val="00906DDC"/>
    <w:rsid w:val="00923091"/>
    <w:rsid w:val="0092489A"/>
    <w:rsid w:val="0093457C"/>
    <w:rsid w:val="00934E09"/>
    <w:rsid w:val="00935B25"/>
    <w:rsid w:val="00936253"/>
    <w:rsid w:val="00941115"/>
    <w:rsid w:val="00942B6D"/>
    <w:rsid w:val="0094715A"/>
    <w:rsid w:val="00947760"/>
    <w:rsid w:val="009523F9"/>
    <w:rsid w:val="009527A6"/>
    <w:rsid w:val="00952DD4"/>
    <w:rsid w:val="009546C1"/>
    <w:rsid w:val="00954936"/>
    <w:rsid w:val="00957E45"/>
    <w:rsid w:val="009659BE"/>
    <w:rsid w:val="00970826"/>
    <w:rsid w:val="00970873"/>
    <w:rsid w:val="00970FED"/>
    <w:rsid w:val="009727EC"/>
    <w:rsid w:val="009739D3"/>
    <w:rsid w:val="00977C57"/>
    <w:rsid w:val="00980BEE"/>
    <w:rsid w:val="00981458"/>
    <w:rsid w:val="00983DBD"/>
    <w:rsid w:val="00984013"/>
    <w:rsid w:val="00987ED9"/>
    <w:rsid w:val="00990156"/>
    <w:rsid w:val="009909F4"/>
    <w:rsid w:val="00991C08"/>
    <w:rsid w:val="00992B4F"/>
    <w:rsid w:val="00995744"/>
    <w:rsid w:val="00997029"/>
    <w:rsid w:val="009A1D3E"/>
    <w:rsid w:val="009A2B5F"/>
    <w:rsid w:val="009B524A"/>
    <w:rsid w:val="009C0AAB"/>
    <w:rsid w:val="009C43B7"/>
    <w:rsid w:val="009D690D"/>
    <w:rsid w:val="009E4398"/>
    <w:rsid w:val="009E65B6"/>
    <w:rsid w:val="009E7EFF"/>
    <w:rsid w:val="009F7753"/>
    <w:rsid w:val="009F7D0F"/>
    <w:rsid w:val="00A10687"/>
    <w:rsid w:val="00A11BFE"/>
    <w:rsid w:val="00A1534E"/>
    <w:rsid w:val="00A15411"/>
    <w:rsid w:val="00A20694"/>
    <w:rsid w:val="00A233C2"/>
    <w:rsid w:val="00A240BF"/>
    <w:rsid w:val="00A2530B"/>
    <w:rsid w:val="00A26419"/>
    <w:rsid w:val="00A35CC1"/>
    <w:rsid w:val="00A366BC"/>
    <w:rsid w:val="00A36BB7"/>
    <w:rsid w:val="00A377AF"/>
    <w:rsid w:val="00A42AC3"/>
    <w:rsid w:val="00A430CF"/>
    <w:rsid w:val="00A472E6"/>
    <w:rsid w:val="00A50990"/>
    <w:rsid w:val="00A51599"/>
    <w:rsid w:val="00A54309"/>
    <w:rsid w:val="00A56FAA"/>
    <w:rsid w:val="00A64487"/>
    <w:rsid w:val="00A66A52"/>
    <w:rsid w:val="00A71E0A"/>
    <w:rsid w:val="00A727DE"/>
    <w:rsid w:val="00A72D80"/>
    <w:rsid w:val="00A82771"/>
    <w:rsid w:val="00A90071"/>
    <w:rsid w:val="00A90D9B"/>
    <w:rsid w:val="00A962F4"/>
    <w:rsid w:val="00AA35C9"/>
    <w:rsid w:val="00AA74B5"/>
    <w:rsid w:val="00AA7CAD"/>
    <w:rsid w:val="00AB0F04"/>
    <w:rsid w:val="00AB1237"/>
    <w:rsid w:val="00AB2AAF"/>
    <w:rsid w:val="00AB2B93"/>
    <w:rsid w:val="00AB7E5B"/>
    <w:rsid w:val="00AC0337"/>
    <w:rsid w:val="00AC167B"/>
    <w:rsid w:val="00AC7148"/>
    <w:rsid w:val="00AD0335"/>
    <w:rsid w:val="00AD1F44"/>
    <w:rsid w:val="00AD22B6"/>
    <w:rsid w:val="00AE08DC"/>
    <w:rsid w:val="00AE0EF1"/>
    <w:rsid w:val="00AE2937"/>
    <w:rsid w:val="00AE63DB"/>
    <w:rsid w:val="00AF007D"/>
    <w:rsid w:val="00AF015F"/>
    <w:rsid w:val="00B02CBF"/>
    <w:rsid w:val="00B056B2"/>
    <w:rsid w:val="00B0636E"/>
    <w:rsid w:val="00B07301"/>
    <w:rsid w:val="00B1054C"/>
    <w:rsid w:val="00B13E87"/>
    <w:rsid w:val="00B14780"/>
    <w:rsid w:val="00B14B69"/>
    <w:rsid w:val="00B22384"/>
    <w:rsid w:val="00B224DE"/>
    <w:rsid w:val="00B22E1B"/>
    <w:rsid w:val="00B23D84"/>
    <w:rsid w:val="00B23EF0"/>
    <w:rsid w:val="00B2765C"/>
    <w:rsid w:val="00B4313A"/>
    <w:rsid w:val="00B46575"/>
    <w:rsid w:val="00B47BE2"/>
    <w:rsid w:val="00B520CF"/>
    <w:rsid w:val="00B55963"/>
    <w:rsid w:val="00B55D91"/>
    <w:rsid w:val="00B56F9B"/>
    <w:rsid w:val="00B657C8"/>
    <w:rsid w:val="00B70F73"/>
    <w:rsid w:val="00B726F3"/>
    <w:rsid w:val="00B73777"/>
    <w:rsid w:val="00B73815"/>
    <w:rsid w:val="00B740FE"/>
    <w:rsid w:val="00B768BE"/>
    <w:rsid w:val="00B82F2A"/>
    <w:rsid w:val="00B84639"/>
    <w:rsid w:val="00B84BBD"/>
    <w:rsid w:val="00B8786A"/>
    <w:rsid w:val="00B9145D"/>
    <w:rsid w:val="00B95E8E"/>
    <w:rsid w:val="00B9712B"/>
    <w:rsid w:val="00B97F6A"/>
    <w:rsid w:val="00BA18B9"/>
    <w:rsid w:val="00BA197E"/>
    <w:rsid w:val="00BA43FB"/>
    <w:rsid w:val="00BA6674"/>
    <w:rsid w:val="00BA7792"/>
    <w:rsid w:val="00BB419D"/>
    <w:rsid w:val="00BB5377"/>
    <w:rsid w:val="00BB5D83"/>
    <w:rsid w:val="00BC127D"/>
    <w:rsid w:val="00BC1FDB"/>
    <w:rsid w:val="00BC1FE6"/>
    <w:rsid w:val="00BD463E"/>
    <w:rsid w:val="00BD705A"/>
    <w:rsid w:val="00BD730E"/>
    <w:rsid w:val="00BE3849"/>
    <w:rsid w:val="00BF1D74"/>
    <w:rsid w:val="00BF22DE"/>
    <w:rsid w:val="00BF2B54"/>
    <w:rsid w:val="00BF3554"/>
    <w:rsid w:val="00C03A97"/>
    <w:rsid w:val="00C061B6"/>
    <w:rsid w:val="00C06F70"/>
    <w:rsid w:val="00C2446C"/>
    <w:rsid w:val="00C24C18"/>
    <w:rsid w:val="00C36AE5"/>
    <w:rsid w:val="00C41C45"/>
    <w:rsid w:val="00C41F17"/>
    <w:rsid w:val="00C429B3"/>
    <w:rsid w:val="00C4540D"/>
    <w:rsid w:val="00C51D44"/>
    <w:rsid w:val="00C51FE4"/>
    <w:rsid w:val="00C5280D"/>
    <w:rsid w:val="00C5791C"/>
    <w:rsid w:val="00C629BE"/>
    <w:rsid w:val="00C651CE"/>
    <w:rsid w:val="00C656F4"/>
    <w:rsid w:val="00C65992"/>
    <w:rsid w:val="00C66290"/>
    <w:rsid w:val="00C67027"/>
    <w:rsid w:val="00C72B7A"/>
    <w:rsid w:val="00C743D4"/>
    <w:rsid w:val="00C75D7B"/>
    <w:rsid w:val="00C823A6"/>
    <w:rsid w:val="00C8591E"/>
    <w:rsid w:val="00C87FEC"/>
    <w:rsid w:val="00C91AEA"/>
    <w:rsid w:val="00C9294F"/>
    <w:rsid w:val="00C95616"/>
    <w:rsid w:val="00C973F2"/>
    <w:rsid w:val="00C97A47"/>
    <w:rsid w:val="00CA304C"/>
    <w:rsid w:val="00CA3FF9"/>
    <w:rsid w:val="00CA774A"/>
    <w:rsid w:val="00CB1D18"/>
    <w:rsid w:val="00CB5239"/>
    <w:rsid w:val="00CC033E"/>
    <w:rsid w:val="00CC11B0"/>
    <w:rsid w:val="00CC7D88"/>
    <w:rsid w:val="00CD0B20"/>
    <w:rsid w:val="00CD0CE1"/>
    <w:rsid w:val="00CD32C2"/>
    <w:rsid w:val="00CD45DB"/>
    <w:rsid w:val="00CE2A9E"/>
    <w:rsid w:val="00CF7E36"/>
    <w:rsid w:val="00D00157"/>
    <w:rsid w:val="00D04CA1"/>
    <w:rsid w:val="00D04DC7"/>
    <w:rsid w:val="00D05DEB"/>
    <w:rsid w:val="00D0785D"/>
    <w:rsid w:val="00D112B4"/>
    <w:rsid w:val="00D20DB5"/>
    <w:rsid w:val="00D268AA"/>
    <w:rsid w:val="00D30197"/>
    <w:rsid w:val="00D331D8"/>
    <w:rsid w:val="00D3708D"/>
    <w:rsid w:val="00D40426"/>
    <w:rsid w:val="00D43592"/>
    <w:rsid w:val="00D45F9B"/>
    <w:rsid w:val="00D55619"/>
    <w:rsid w:val="00D57C96"/>
    <w:rsid w:val="00D60353"/>
    <w:rsid w:val="00D6561D"/>
    <w:rsid w:val="00D674AA"/>
    <w:rsid w:val="00D71912"/>
    <w:rsid w:val="00D77BFF"/>
    <w:rsid w:val="00D85BE8"/>
    <w:rsid w:val="00D91203"/>
    <w:rsid w:val="00D94F4C"/>
    <w:rsid w:val="00D95174"/>
    <w:rsid w:val="00D979FC"/>
    <w:rsid w:val="00DA6F36"/>
    <w:rsid w:val="00DB596E"/>
    <w:rsid w:val="00DC00EA"/>
    <w:rsid w:val="00DC0EFD"/>
    <w:rsid w:val="00DC544B"/>
    <w:rsid w:val="00DC6530"/>
    <w:rsid w:val="00DD3BC0"/>
    <w:rsid w:val="00DE4BB1"/>
    <w:rsid w:val="00DE754B"/>
    <w:rsid w:val="00DF1180"/>
    <w:rsid w:val="00DF3672"/>
    <w:rsid w:val="00E022AE"/>
    <w:rsid w:val="00E03FC3"/>
    <w:rsid w:val="00E060A9"/>
    <w:rsid w:val="00E06105"/>
    <w:rsid w:val="00E1203C"/>
    <w:rsid w:val="00E16C28"/>
    <w:rsid w:val="00E21DCB"/>
    <w:rsid w:val="00E22B74"/>
    <w:rsid w:val="00E32A96"/>
    <w:rsid w:val="00E32F7E"/>
    <w:rsid w:val="00E44B14"/>
    <w:rsid w:val="00E53305"/>
    <w:rsid w:val="00E54953"/>
    <w:rsid w:val="00E607E2"/>
    <w:rsid w:val="00E61235"/>
    <w:rsid w:val="00E6526B"/>
    <w:rsid w:val="00E66D9A"/>
    <w:rsid w:val="00E72D49"/>
    <w:rsid w:val="00E7593C"/>
    <w:rsid w:val="00E7678A"/>
    <w:rsid w:val="00E80053"/>
    <w:rsid w:val="00E83E48"/>
    <w:rsid w:val="00E84DA4"/>
    <w:rsid w:val="00E858AA"/>
    <w:rsid w:val="00E861DC"/>
    <w:rsid w:val="00E9046F"/>
    <w:rsid w:val="00E90C50"/>
    <w:rsid w:val="00E935F1"/>
    <w:rsid w:val="00E94A81"/>
    <w:rsid w:val="00E961DC"/>
    <w:rsid w:val="00EA1FCD"/>
    <w:rsid w:val="00EA1FFB"/>
    <w:rsid w:val="00EA2CEE"/>
    <w:rsid w:val="00EA2D4F"/>
    <w:rsid w:val="00EB048E"/>
    <w:rsid w:val="00EB16E2"/>
    <w:rsid w:val="00EB1809"/>
    <w:rsid w:val="00EB42D4"/>
    <w:rsid w:val="00EB7E28"/>
    <w:rsid w:val="00EC1A80"/>
    <w:rsid w:val="00EC5489"/>
    <w:rsid w:val="00EC6F7A"/>
    <w:rsid w:val="00EE03E2"/>
    <w:rsid w:val="00EE34DF"/>
    <w:rsid w:val="00EE4C3E"/>
    <w:rsid w:val="00EF2F89"/>
    <w:rsid w:val="00EF39ED"/>
    <w:rsid w:val="00F00C67"/>
    <w:rsid w:val="00F1237A"/>
    <w:rsid w:val="00F1308C"/>
    <w:rsid w:val="00F136CC"/>
    <w:rsid w:val="00F13A7D"/>
    <w:rsid w:val="00F179E3"/>
    <w:rsid w:val="00F216E7"/>
    <w:rsid w:val="00F22CBD"/>
    <w:rsid w:val="00F22D90"/>
    <w:rsid w:val="00F35CC9"/>
    <w:rsid w:val="00F43893"/>
    <w:rsid w:val="00F45372"/>
    <w:rsid w:val="00F47BB9"/>
    <w:rsid w:val="00F519FB"/>
    <w:rsid w:val="00F560F7"/>
    <w:rsid w:val="00F566F0"/>
    <w:rsid w:val="00F56C99"/>
    <w:rsid w:val="00F57063"/>
    <w:rsid w:val="00F60F8F"/>
    <w:rsid w:val="00F62B66"/>
    <w:rsid w:val="00F6334D"/>
    <w:rsid w:val="00F65A2D"/>
    <w:rsid w:val="00F80140"/>
    <w:rsid w:val="00F80602"/>
    <w:rsid w:val="00F830EE"/>
    <w:rsid w:val="00F838F3"/>
    <w:rsid w:val="00F85FBC"/>
    <w:rsid w:val="00F862F0"/>
    <w:rsid w:val="00F93BFE"/>
    <w:rsid w:val="00F96F84"/>
    <w:rsid w:val="00F97220"/>
    <w:rsid w:val="00FA49AB"/>
    <w:rsid w:val="00FA683E"/>
    <w:rsid w:val="00FA6F6B"/>
    <w:rsid w:val="00FB2645"/>
    <w:rsid w:val="00FB4F4F"/>
    <w:rsid w:val="00FB5037"/>
    <w:rsid w:val="00FB5DFA"/>
    <w:rsid w:val="00FB7001"/>
    <w:rsid w:val="00FB73B8"/>
    <w:rsid w:val="00FB7BF1"/>
    <w:rsid w:val="00FD19A6"/>
    <w:rsid w:val="00FD70EF"/>
    <w:rsid w:val="00FE39C7"/>
    <w:rsid w:val="00FF1037"/>
    <w:rsid w:val="00FF19E2"/>
    <w:rsid w:val="00FF507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16197"/>
    <w:pPr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E754B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0C0544"/>
    <w:pPr>
      <w:keepNext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856D32"/>
    <w:pPr>
      <w:keepNext/>
      <w:ind w:left="562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Normal"/>
    <w:next w:val="Normal"/>
    <w:autoRedefine/>
    <w:qFormat/>
    <w:rsid w:val="00833B99"/>
    <w:pPr>
      <w:keepNext/>
      <w:ind w:left="567"/>
      <w:outlineLvl w:val="4"/>
    </w:pPr>
    <w:rPr>
      <w:i/>
      <w:lang w:eastAsia="ja-JP"/>
    </w:rPr>
  </w:style>
  <w:style w:type="paragraph" w:styleId="Heading9">
    <w:name w:val="heading 9"/>
    <w:basedOn w:val="Normal"/>
    <w:next w:val="Normal"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link w:val="EndnoteTextChar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E754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rsid w:val="00D45F9B"/>
    <w:rPr>
      <w:i/>
      <w:iCs/>
    </w:rPr>
  </w:style>
  <w:style w:type="character" w:customStyle="1" w:styleId="pldetailsChar">
    <w:name w:val="pldetails Char"/>
    <w:link w:val="pldetails"/>
    <w:locked/>
    <w:rsid w:val="00E1203C"/>
    <w:rPr>
      <w:rFonts w:ascii="Arial" w:hAnsi="Arial"/>
      <w:noProof/>
      <w:snapToGrid w:val="0"/>
    </w:rPr>
  </w:style>
  <w:style w:type="paragraph" w:styleId="ListParagraph">
    <w:name w:val="List Paragraph"/>
    <w:basedOn w:val="Normal"/>
    <w:uiPriority w:val="34"/>
    <w:qFormat/>
    <w:rsid w:val="005B501C"/>
    <w:pPr>
      <w:ind w:left="720"/>
      <w:contextualSpacing/>
    </w:pPr>
  </w:style>
  <w:style w:type="paragraph" w:customStyle="1" w:styleId="dec">
    <w:name w:val="dec"/>
    <w:basedOn w:val="Normal"/>
    <w:link w:val="decChar"/>
    <w:rsid w:val="00D04CA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D04CA1"/>
    <w:rPr>
      <w:rFonts w:ascii="Arial" w:hAnsi="Arial"/>
      <w:i/>
      <w:spacing w:val="-2"/>
    </w:rPr>
  </w:style>
  <w:style w:type="paragraph" w:customStyle="1" w:styleId="DecisionInvitingPara">
    <w:name w:val="Decision Inviting Para."/>
    <w:basedOn w:val="Normal"/>
    <w:rsid w:val="002C7351"/>
    <w:pPr>
      <w:ind w:left="4536"/>
    </w:pPr>
    <w:rPr>
      <w:i/>
      <w:lang w:val="es-ES_tradnl"/>
    </w:rPr>
  </w:style>
  <w:style w:type="character" w:customStyle="1" w:styleId="plcountryChar">
    <w:name w:val="plcountry Char"/>
    <w:basedOn w:val="DefaultParagraphFont"/>
    <w:link w:val="plcountry"/>
    <w:rsid w:val="001D521F"/>
    <w:rPr>
      <w:rFonts w:ascii="Arial" w:hAnsi="Arial"/>
      <w:caps/>
      <w:noProof/>
      <w:snapToGrid w:val="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C75D7B"/>
    <w:rPr>
      <w:rFonts w:ascii="Arial" w:hAnsi="Arial"/>
    </w:rPr>
  </w:style>
  <w:style w:type="paragraph" w:styleId="NoSpacing">
    <w:name w:val="No Spacing"/>
    <w:uiPriority w:val="1"/>
    <w:qFormat/>
    <w:rsid w:val="003F5794"/>
    <w:p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16197"/>
    <w:pPr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E754B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0C0544"/>
    <w:pPr>
      <w:keepNext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856D32"/>
    <w:pPr>
      <w:keepNext/>
      <w:ind w:left="562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Normal"/>
    <w:next w:val="Normal"/>
    <w:autoRedefine/>
    <w:qFormat/>
    <w:rsid w:val="00833B99"/>
    <w:pPr>
      <w:keepNext/>
      <w:ind w:left="567"/>
      <w:outlineLvl w:val="4"/>
    </w:pPr>
    <w:rPr>
      <w:i/>
      <w:lang w:eastAsia="ja-JP"/>
    </w:rPr>
  </w:style>
  <w:style w:type="paragraph" w:styleId="Heading9">
    <w:name w:val="heading 9"/>
    <w:basedOn w:val="Normal"/>
    <w:next w:val="Normal"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53E8F"/>
    <w:pPr>
      <w:jc w:val="both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32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link w:val="EndnoteTextChar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F9B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E754B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D45F9B"/>
    <w:rPr>
      <w:rFonts w:ascii="Arial" w:hAnsi="Arial"/>
      <w:i/>
    </w:rPr>
  </w:style>
  <w:style w:type="character" w:styleId="CommentReference">
    <w:name w:val="annotation reference"/>
    <w:basedOn w:val="DefaultParagraphFont"/>
    <w:unhideWhenUsed/>
    <w:rsid w:val="00D45F9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5F9B"/>
  </w:style>
  <w:style w:type="character" w:customStyle="1" w:styleId="CommentTextChar">
    <w:name w:val="Comment Text Char"/>
    <w:basedOn w:val="DefaultParagraphFont"/>
    <w:link w:val="CommentText"/>
    <w:rsid w:val="00D45F9B"/>
    <w:rPr>
      <w:rFonts w:ascii="Arial" w:eastAsiaTheme="minorEastAsia" w:hAnsi="Arial"/>
    </w:rPr>
  </w:style>
  <w:style w:type="character" w:styleId="Emphasis">
    <w:name w:val="Emphasis"/>
    <w:basedOn w:val="DefaultParagraphFont"/>
    <w:rsid w:val="00D45F9B"/>
    <w:rPr>
      <w:i/>
      <w:iCs/>
    </w:rPr>
  </w:style>
  <w:style w:type="character" w:customStyle="1" w:styleId="pldetailsChar">
    <w:name w:val="pldetails Char"/>
    <w:link w:val="pldetails"/>
    <w:locked/>
    <w:rsid w:val="00E1203C"/>
    <w:rPr>
      <w:rFonts w:ascii="Arial" w:hAnsi="Arial"/>
      <w:noProof/>
      <w:snapToGrid w:val="0"/>
    </w:rPr>
  </w:style>
  <w:style w:type="paragraph" w:styleId="ListParagraph">
    <w:name w:val="List Paragraph"/>
    <w:basedOn w:val="Normal"/>
    <w:uiPriority w:val="34"/>
    <w:qFormat/>
    <w:rsid w:val="005B501C"/>
    <w:pPr>
      <w:ind w:left="720"/>
      <w:contextualSpacing/>
    </w:pPr>
  </w:style>
  <w:style w:type="paragraph" w:customStyle="1" w:styleId="dec">
    <w:name w:val="dec"/>
    <w:basedOn w:val="Normal"/>
    <w:link w:val="decChar"/>
    <w:rsid w:val="00D04CA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D04CA1"/>
    <w:rPr>
      <w:rFonts w:ascii="Arial" w:hAnsi="Arial"/>
      <w:i/>
      <w:spacing w:val="-2"/>
    </w:rPr>
  </w:style>
  <w:style w:type="paragraph" w:customStyle="1" w:styleId="DecisionInvitingPara">
    <w:name w:val="Decision Inviting Para."/>
    <w:basedOn w:val="Normal"/>
    <w:rsid w:val="002C7351"/>
    <w:pPr>
      <w:ind w:left="4536"/>
    </w:pPr>
    <w:rPr>
      <w:i/>
      <w:lang w:val="es-ES_tradnl"/>
    </w:rPr>
  </w:style>
  <w:style w:type="character" w:customStyle="1" w:styleId="plcountryChar">
    <w:name w:val="plcountry Char"/>
    <w:basedOn w:val="DefaultParagraphFont"/>
    <w:link w:val="plcountry"/>
    <w:rsid w:val="001D521F"/>
    <w:rPr>
      <w:rFonts w:ascii="Arial" w:hAnsi="Arial"/>
      <w:caps/>
      <w:noProof/>
      <w:snapToGrid w:val="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C75D7B"/>
    <w:rPr>
      <w:rFonts w:ascii="Arial" w:hAnsi="Arial"/>
    </w:rPr>
  </w:style>
  <w:style w:type="paragraph" w:styleId="NoSpacing">
    <w:name w:val="No Spacing"/>
    <w:uiPriority w:val="1"/>
    <w:qFormat/>
    <w:rsid w:val="003F5794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DST_Variety_Denomination_Search_Tool\WG-DST_1\template\wg_dst_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DAD9-11E9-4A69-B7B0-64B3D5F3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wg_dst_01.dotx</Template>
  <TotalTime>9</TotalTime>
  <Pages>7</Pages>
  <Words>2157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SANCHEZ-VIZCAINO GOMEZ Rosa Maria</cp:lastModifiedBy>
  <cp:revision>10</cp:revision>
  <cp:lastPrinted>2017-07-24T07:14:00Z</cp:lastPrinted>
  <dcterms:created xsi:type="dcterms:W3CDTF">2017-07-13T15:46:00Z</dcterms:created>
  <dcterms:modified xsi:type="dcterms:W3CDTF">2017-07-24T07:15:00Z</dcterms:modified>
</cp:coreProperties>
</file>