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803B84" w:rsidP="007D0B9D">
            <w:pPr>
              <w:rPr>
                <w:lang w:eastAsia="ja-JP"/>
              </w:rPr>
            </w:pPr>
            <w:r>
              <w:rPr>
                <w:rFonts w:hint="eastAsia"/>
                <w:lang w:eastAsia="ja-JP"/>
              </w:rPr>
              <w:t xml:space="preserve"> </w:t>
            </w:r>
          </w:p>
        </w:tc>
        <w:tc>
          <w:tcPr>
            <w:tcW w:w="1646" w:type="dxa"/>
            <w:vAlign w:val="center"/>
          </w:tcPr>
          <w:p w:rsidR="000D7780" w:rsidRPr="00576BE4" w:rsidRDefault="00110481" w:rsidP="00576BE4">
            <w:pPr>
              <w:pStyle w:val="LogoUPOV"/>
            </w:pPr>
            <w:r>
              <w:rPr>
                <w:noProof/>
              </w:rPr>
              <w:drawing>
                <wp:inline distT="0" distB="0" distL="0" distR="0" wp14:anchorId="47FD26BC" wp14:editId="55C3D0D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FE2A26" w:rsidP="00474DA4">
            <w:pPr>
              <w:pStyle w:val="Docoriginal"/>
              <w:jc w:val="left"/>
            </w:pPr>
            <w:r>
              <w:rPr>
                <w:rFonts w:hint="eastAsia"/>
                <w:lang w:eastAsia="ja-JP"/>
              </w:rPr>
              <w:t>UPOV/WG-DEN/2</w:t>
            </w:r>
            <w:r w:rsidR="004A26D1">
              <w:rPr>
                <w:rFonts w:hint="eastAsia"/>
                <w:lang w:eastAsia="ja-JP"/>
              </w:rPr>
              <w:t>/2</w:t>
            </w:r>
            <w:bookmarkStart w:id="0" w:name="Code"/>
            <w:bookmarkEnd w:id="0"/>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1F38A2">
            <w:pPr>
              <w:pStyle w:val="Docoriginal"/>
              <w:jc w:val="left"/>
              <w:rPr>
                <w:b w:val="0"/>
                <w:spacing w:val="0"/>
                <w:highlight w:val="cyan"/>
                <w:lang w:eastAsia="ja-JP"/>
              </w:rPr>
            </w:pPr>
            <w:r w:rsidRPr="00CA774A">
              <w:rPr>
                <w:spacing w:val="0"/>
              </w:rPr>
              <w:t>DATE:</w:t>
            </w:r>
            <w:r w:rsidR="0061555F" w:rsidRPr="00CA774A">
              <w:rPr>
                <w:b w:val="0"/>
                <w:spacing w:val="0"/>
              </w:rPr>
              <w:t xml:space="preserve"> </w:t>
            </w:r>
            <w:r w:rsidRPr="00CA774A">
              <w:rPr>
                <w:rStyle w:val="StyleDocoriginalNotBold1"/>
                <w:spacing w:val="0"/>
              </w:rPr>
              <w:t xml:space="preserve"> </w:t>
            </w:r>
            <w:bookmarkStart w:id="2" w:name="Date"/>
            <w:bookmarkEnd w:id="2"/>
            <w:r w:rsidR="00E06FE1">
              <w:rPr>
                <w:rStyle w:val="StyleDocoriginalNotBold1"/>
                <w:rFonts w:hint="eastAsia"/>
                <w:spacing w:val="0"/>
                <w:lang w:eastAsia="ja-JP"/>
              </w:rPr>
              <w:t xml:space="preserve">October </w:t>
            </w:r>
            <w:r w:rsidR="005A76A5">
              <w:rPr>
                <w:rStyle w:val="StyleDocoriginalNotBold1"/>
                <w:rFonts w:hint="eastAsia"/>
                <w:spacing w:val="0"/>
                <w:lang w:eastAsia="ja-JP"/>
              </w:rPr>
              <w:t>1</w:t>
            </w:r>
            <w:r w:rsidR="001F38A2">
              <w:rPr>
                <w:rStyle w:val="StyleDocoriginalNotBold1"/>
                <w:rFonts w:hint="eastAsia"/>
                <w:spacing w:val="0"/>
                <w:lang w:eastAsia="ja-JP"/>
              </w:rPr>
              <w:t>2</w:t>
            </w:r>
            <w:r w:rsidR="00155F6F" w:rsidRPr="00265B83">
              <w:rPr>
                <w:rStyle w:val="StyleDocoriginalNotBold1"/>
                <w:spacing w:val="0"/>
              </w:rPr>
              <w:t>, 201</w:t>
            </w:r>
            <w:r w:rsidR="004A26D1">
              <w:rPr>
                <w:rStyle w:val="StyleDocoriginalNotBold1"/>
                <w:rFonts w:hint="eastAsia"/>
                <w:spacing w:val="0"/>
                <w:lang w:eastAsia="ja-JP"/>
              </w:rPr>
              <w:t>6</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4A26D1" w:rsidRPr="00C5280D" w:rsidRDefault="004A26D1" w:rsidP="004A26D1">
      <w:pPr>
        <w:pStyle w:val="Sessiontc"/>
      </w:pPr>
      <w:bookmarkStart w:id="3" w:name="TitleOfDoc"/>
      <w:bookmarkEnd w:id="3"/>
      <w:r w:rsidRPr="00C342A7">
        <w:rPr>
          <w:lang w:eastAsia="ja-JP"/>
        </w:rPr>
        <w:t xml:space="preserve">Working Group </w:t>
      </w:r>
      <w:r>
        <w:rPr>
          <w:rFonts w:hint="eastAsia"/>
          <w:lang w:eastAsia="ja-JP"/>
        </w:rPr>
        <w:t xml:space="preserve">on variety </w:t>
      </w:r>
      <w:r w:rsidRPr="00C342A7">
        <w:rPr>
          <w:lang w:eastAsia="ja-JP"/>
        </w:rPr>
        <w:t>Denomination</w:t>
      </w:r>
      <w:r w:rsidR="005A76A5">
        <w:rPr>
          <w:rFonts w:hint="eastAsia"/>
          <w:lang w:eastAsia="ja-JP"/>
        </w:rPr>
        <w:t>S</w:t>
      </w:r>
    </w:p>
    <w:p w:rsidR="004A26D1" w:rsidRDefault="00FE2A26" w:rsidP="004A26D1">
      <w:pPr>
        <w:pStyle w:val="Sessiontcplacedate"/>
        <w:rPr>
          <w:lang w:eastAsia="ja-JP"/>
        </w:rPr>
      </w:pPr>
      <w:r>
        <w:rPr>
          <w:rFonts w:hint="eastAsia"/>
          <w:lang w:eastAsia="ja-JP"/>
        </w:rPr>
        <w:t>Second</w:t>
      </w:r>
      <w:r w:rsidR="004A26D1">
        <w:t xml:space="preserve"> Meeting</w:t>
      </w:r>
      <w:r w:rsidR="004A26D1">
        <w:br/>
      </w:r>
      <w:r w:rsidR="004A26D1">
        <w:rPr>
          <w:rFonts w:cs="Arial" w:hint="eastAsia"/>
          <w:lang w:eastAsia="ja-JP"/>
        </w:rPr>
        <w:t>Geneva</w:t>
      </w:r>
      <w:r w:rsidR="004A26D1" w:rsidRPr="00C5280D">
        <w:t>,</w:t>
      </w:r>
      <w:r w:rsidR="004A26D1">
        <w:t xml:space="preserve"> </w:t>
      </w:r>
      <w:r w:rsidR="00402121">
        <w:rPr>
          <w:rFonts w:hint="eastAsia"/>
          <w:lang w:eastAsia="ja-JP"/>
        </w:rPr>
        <w:t>October 25</w:t>
      </w:r>
      <w:r w:rsidR="004A26D1">
        <w:t>, 201</w:t>
      </w:r>
      <w:r w:rsidR="004A26D1">
        <w:rPr>
          <w:rFonts w:hint="eastAsia"/>
          <w:lang w:eastAsia="ja-JP"/>
        </w:rPr>
        <w:t>6</w:t>
      </w:r>
    </w:p>
    <w:p w:rsidR="000D7780" w:rsidRPr="00997029" w:rsidRDefault="000036AE" w:rsidP="0080679D">
      <w:pPr>
        <w:pStyle w:val="Titleofdoc0"/>
        <w:rPr>
          <w:lang w:eastAsia="ja-JP"/>
        </w:rPr>
      </w:pPr>
      <w:r>
        <w:rPr>
          <w:rFonts w:cs="Arial"/>
          <w:sz w:val="19"/>
          <w:szCs w:val="19"/>
        </w:rPr>
        <w:t>Revision of document UPOV/INF/12/5 “</w:t>
      </w:r>
      <w:r w:rsidR="00DD48E2" w:rsidRPr="008140F1">
        <w:rPr>
          <w:snapToGrid w:val="0"/>
        </w:rPr>
        <w:t>Explanatory Notes on Variety Denominations</w:t>
      </w:r>
      <w:r w:rsidR="00DD48E2">
        <w:rPr>
          <w:snapToGrid w:val="0"/>
        </w:rPr>
        <w:t xml:space="preserve"> </w:t>
      </w:r>
      <w:r w:rsidR="00DD48E2" w:rsidRPr="008140F1">
        <w:rPr>
          <w:snapToGrid w:val="0"/>
        </w:rPr>
        <w:t xml:space="preserve">under the UPOV </w:t>
      </w:r>
      <w:r w:rsidR="00DD48E2">
        <w:rPr>
          <w:snapToGrid w:val="0"/>
        </w:rPr>
        <w:t>Convention”</w:t>
      </w:r>
    </w:p>
    <w:p w:rsidR="000D7780" w:rsidRPr="00997029" w:rsidRDefault="00AE0EF1" w:rsidP="0080679D">
      <w:pPr>
        <w:pStyle w:val="preparedby1"/>
      </w:pPr>
      <w:bookmarkStart w:id="4" w:name="Prepared"/>
      <w:bookmarkEnd w:id="4"/>
      <w:r w:rsidRPr="001C4984">
        <w:t xml:space="preserve">Document </w:t>
      </w:r>
      <w:r w:rsidR="0061555F" w:rsidRPr="001C4984">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B734CF" w:rsidRPr="00E10886" w:rsidRDefault="00B734CF" w:rsidP="009D473D">
      <w:pPr>
        <w:pStyle w:val="Heading1"/>
        <w:rPr>
          <w:lang w:eastAsia="ja-JP"/>
        </w:rPr>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27161605"/>
      <w:bookmarkStart w:id="13" w:name="_Toc463973117"/>
      <w:r w:rsidRPr="00E10886">
        <w:t>Executive summary</w:t>
      </w:r>
      <w:bookmarkEnd w:id="5"/>
      <w:bookmarkEnd w:id="6"/>
      <w:bookmarkEnd w:id="7"/>
      <w:bookmarkEnd w:id="8"/>
      <w:bookmarkEnd w:id="9"/>
      <w:bookmarkEnd w:id="10"/>
      <w:bookmarkEnd w:id="11"/>
      <w:bookmarkEnd w:id="12"/>
      <w:bookmarkEnd w:id="13"/>
    </w:p>
    <w:p w:rsidR="00B734CF" w:rsidRDefault="00B734CF" w:rsidP="0080679D">
      <w:pPr>
        <w:rPr>
          <w:snapToGrid w:val="0"/>
          <w:highlight w:val="cyan"/>
          <w:lang w:eastAsia="ja-JP"/>
        </w:rPr>
      </w:pPr>
    </w:p>
    <w:p w:rsidR="00E10886" w:rsidRDefault="00B734CF" w:rsidP="00B734CF">
      <w:pPr>
        <w:rPr>
          <w:rFonts w:cs="Arial"/>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00E10886">
        <w:rPr>
          <w:rFonts w:cs="Arial" w:hint="eastAsia"/>
          <w:lang w:eastAsia="ja-JP"/>
        </w:rPr>
        <w:tab/>
      </w:r>
      <w:r w:rsidR="00E10886" w:rsidRPr="00E10886">
        <w:rPr>
          <w:rFonts w:cs="Arial"/>
        </w:rPr>
        <w:t xml:space="preserve">The purpose of this document is </w:t>
      </w:r>
      <w:r w:rsidR="00962228" w:rsidRPr="0028743B">
        <w:t xml:space="preserve">to provide background information to assist the </w:t>
      </w:r>
      <w:r w:rsidR="00962228">
        <w:rPr>
          <w:snapToGrid w:val="0"/>
        </w:rPr>
        <w:t xml:space="preserve">Working Group on Variety Denominations (WG-DEN) </w:t>
      </w:r>
      <w:r w:rsidR="00962228" w:rsidRPr="0028743B">
        <w:t>in its consideration of</w:t>
      </w:r>
      <w:r w:rsidR="00962228" w:rsidRPr="00E10886">
        <w:rPr>
          <w:rFonts w:cs="Arial"/>
        </w:rPr>
        <w:t xml:space="preserve"> </w:t>
      </w:r>
      <w:r w:rsidR="00F46B45">
        <w:rPr>
          <w:rFonts w:cs="Arial"/>
        </w:rPr>
        <w:t xml:space="preserve">the proposals for </w:t>
      </w:r>
      <w:r w:rsidR="00B44915">
        <w:rPr>
          <w:rFonts w:cs="Arial" w:hint="eastAsia"/>
          <w:lang w:eastAsia="ja-JP"/>
        </w:rPr>
        <w:t>a</w:t>
      </w:r>
      <w:r w:rsidR="00F46B45">
        <w:rPr>
          <w:rFonts w:cs="Arial"/>
          <w:lang w:eastAsia="ja-JP"/>
        </w:rPr>
        <w:t xml:space="preserve"> </w:t>
      </w:r>
      <w:r w:rsidR="00E10886" w:rsidRPr="00E10886">
        <w:rPr>
          <w:rFonts w:cs="Arial"/>
        </w:rPr>
        <w:t xml:space="preserve">revision of document </w:t>
      </w:r>
      <w:r w:rsidR="00F46B45">
        <w:rPr>
          <w:rFonts w:cs="Arial"/>
        </w:rPr>
        <w:t> </w:t>
      </w:r>
      <w:r w:rsidR="00E10886" w:rsidRPr="00E10886">
        <w:rPr>
          <w:rFonts w:cs="Arial"/>
        </w:rPr>
        <w:t>UPOV/INF/12</w:t>
      </w:r>
      <w:r w:rsidR="00F46B45">
        <w:rPr>
          <w:rFonts w:cs="Arial"/>
        </w:rPr>
        <w:t>/5</w:t>
      </w:r>
      <w:r w:rsidR="00E10886" w:rsidRPr="00E10886">
        <w:rPr>
          <w:rFonts w:cs="Arial"/>
        </w:rPr>
        <w:t xml:space="preserve"> “Explanatory Notes on Variety Denominations under the UPOV Convention”</w:t>
      </w:r>
      <w:r w:rsidR="00F46B45">
        <w:rPr>
          <w:rFonts w:cs="Arial"/>
        </w:rPr>
        <w:t xml:space="preserve"> (see document UPOV/INF/12/6 Draft</w:t>
      </w:r>
      <w:r w:rsidR="009C6EBA">
        <w:rPr>
          <w:rFonts w:cs="Arial" w:hint="eastAsia"/>
          <w:lang w:eastAsia="ja-JP"/>
        </w:rPr>
        <w:t xml:space="preserve"> </w:t>
      </w:r>
      <w:r w:rsidR="002002CD">
        <w:rPr>
          <w:rFonts w:cs="Arial" w:hint="eastAsia"/>
          <w:lang w:eastAsia="ja-JP"/>
        </w:rPr>
        <w:t>2</w:t>
      </w:r>
      <w:r w:rsidR="00F46B45">
        <w:rPr>
          <w:rFonts w:cs="Arial"/>
        </w:rPr>
        <w:t>).</w:t>
      </w:r>
    </w:p>
    <w:p w:rsidR="00B734CF" w:rsidRPr="00822A3B" w:rsidRDefault="00B734CF" w:rsidP="00B734CF"/>
    <w:p w:rsidR="009251B0" w:rsidRPr="009251B0" w:rsidRDefault="00B734CF" w:rsidP="009251B0">
      <w:pPr>
        <w:rPr>
          <w:iCs/>
          <w:spacing w:val="-4"/>
        </w:rPr>
      </w:pPr>
      <w:r w:rsidRPr="00CA3196">
        <w:fldChar w:fldCharType="begin"/>
      </w:r>
      <w:r w:rsidRPr="00CA3196">
        <w:instrText xml:space="preserve"> AUTONUM  </w:instrText>
      </w:r>
      <w:r w:rsidRPr="00CA3196">
        <w:fldChar w:fldCharType="end"/>
      </w:r>
      <w:r w:rsidRPr="00CA3196">
        <w:tab/>
      </w:r>
      <w:r w:rsidR="009251B0" w:rsidRPr="009251B0">
        <w:rPr>
          <w:iCs/>
          <w:spacing w:val="-4"/>
        </w:rPr>
        <w:t xml:space="preserve">The WG-DEN is invited to: </w:t>
      </w:r>
    </w:p>
    <w:p w:rsidR="009251B0" w:rsidRPr="009251B0" w:rsidRDefault="009251B0" w:rsidP="009251B0">
      <w:pPr>
        <w:rPr>
          <w:iCs/>
          <w:spacing w:val="-4"/>
        </w:rPr>
      </w:pPr>
    </w:p>
    <w:p w:rsidR="009251B0" w:rsidRPr="00E001AC" w:rsidRDefault="009251B0" w:rsidP="00E001AC">
      <w:pPr>
        <w:pStyle w:val="ListParagraph"/>
        <w:numPr>
          <w:ilvl w:val="0"/>
          <w:numId w:val="16"/>
        </w:numPr>
        <w:ind w:left="0" w:firstLine="567"/>
        <w:rPr>
          <w:iCs/>
          <w:spacing w:val="-4"/>
        </w:rPr>
      </w:pPr>
      <w:r w:rsidRPr="00E001AC">
        <w:rPr>
          <w:iCs/>
          <w:spacing w:val="-4"/>
        </w:rPr>
        <w:t xml:space="preserve">note </w:t>
      </w:r>
      <w:r w:rsidR="006E4CC5" w:rsidRPr="00E001AC">
        <w:rPr>
          <w:iCs/>
          <w:spacing w:val="-4"/>
        </w:rPr>
        <w:t xml:space="preserve">the </w:t>
      </w:r>
      <w:r w:rsidRPr="00E001AC">
        <w:rPr>
          <w:iCs/>
          <w:spacing w:val="-4"/>
        </w:rPr>
        <w:t>matters agreed by the WG-DEN</w:t>
      </w:r>
      <w:r w:rsidR="006E4CC5" w:rsidRPr="00E001AC">
        <w:rPr>
          <w:iCs/>
          <w:spacing w:val="-4"/>
        </w:rPr>
        <w:t>,</w:t>
      </w:r>
      <w:r w:rsidRPr="00E001AC">
        <w:rPr>
          <w:iCs/>
          <w:spacing w:val="-4"/>
        </w:rPr>
        <w:t xml:space="preserve"> as reported in paragraph 6 of this document;</w:t>
      </w:r>
    </w:p>
    <w:p w:rsidR="009251B0" w:rsidRPr="009251B0" w:rsidRDefault="009251B0" w:rsidP="00E001AC">
      <w:pPr>
        <w:ind w:firstLine="567"/>
        <w:rPr>
          <w:iCs/>
          <w:spacing w:val="-4"/>
        </w:rPr>
      </w:pPr>
    </w:p>
    <w:p w:rsidR="009251B0" w:rsidRPr="00E001AC" w:rsidRDefault="009251B0" w:rsidP="00E001AC">
      <w:pPr>
        <w:pStyle w:val="ListParagraph"/>
        <w:numPr>
          <w:ilvl w:val="0"/>
          <w:numId w:val="16"/>
        </w:numPr>
        <w:ind w:left="0" w:firstLine="567"/>
        <w:rPr>
          <w:iCs/>
          <w:spacing w:val="-4"/>
        </w:rPr>
      </w:pPr>
      <w:r w:rsidRPr="00E001AC">
        <w:rPr>
          <w:iCs/>
          <w:spacing w:val="-4"/>
        </w:rPr>
        <w:t xml:space="preserve">note </w:t>
      </w:r>
      <w:r w:rsidR="006E4CC5" w:rsidRPr="00E001AC">
        <w:rPr>
          <w:iCs/>
          <w:spacing w:val="-4"/>
        </w:rPr>
        <w:t xml:space="preserve">the </w:t>
      </w:r>
      <w:r w:rsidRPr="00E001AC">
        <w:rPr>
          <w:iCs/>
          <w:spacing w:val="-4"/>
        </w:rPr>
        <w:t>matters agreed by the WG-DEN to be considered at the second meeting of the WG-DEN</w:t>
      </w:r>
      <w:r w:rsidR="006E4CC5" w:rsidRPr="00E001AC">
        <w:rPr>
          <w:iCs/>
          <w:spacing w:val="-4"/>
        </w:rPr>
        <w:t>,</w:t>
      </w:r>
      <w:r w:rsidRPr="00E001AC">
        <w:rPr>
          <w:iCs/>
          <w:spacing w:val="-4"/>
        </w:rPr>
        <w:t xml:space="preserve"> as reported in paragraph 7 of this document;</w:t>
      </w:r>
    </w:p>
    <w:p w:rsidR="009251B0" w:rsidRPr="009251B0" w:rsidRDefault="009251B0" w:rsidP="00E001AC">
      <w:pPr>
        <w:ind w:firstLine="567"/>
        <w:rPr>
          <w:iCs/>
          <w:spacing w:val="-4"/>
        </w:rPr>
      </w:pPr>
    </w:p>
    <w:p w:rsidR="009251B0" w:rsidRPr="00E001AC" w:rsidRDefault="009251B0" w:rsidP="00E001AC">
      <w:pPr>
        <w:pStyle w:val="ListParagraph"/>
        <w:numPr>
          <w:ilvl w:val="0"/>
          <w:numId w:val="16"/>
        </w:numPr>
        <w:ind w:left="0" w:firstLine="567"/>
        <w:rPr>
          <w:iCs/>
          <w:spacing w:val="-4"/>
          <w:lang w:eastAsia="ja-JP"/>
        </w:rPr>
      </w:pPr>
      <w:r w:rsidRPr="00E001AC">
        <w:rPr>
          <w:iCs/>
          <w:spacing w:val="-4"/>
        </w:rPr>
        <w:t>note the information provided by member</w:t>
      </w:r>
      <w:r w:rsidR="006E4CC5" w:rsidRPr="00E001AC">
        <w:rPr>
          <w:iCs/>
          <w:spacing w:val="-4"/>
        </w:rPr>
        <w:t>s</w:t>
      </w:r>
      <w:r w:rsidRPr="00E001AC">
        <w:rPr>
          <w:iCs/>
          <w:spacing w:val="-4"/>
        </w:rPr>
        <w:t xml:space="preserve"> of the WG-DEN, as reported in Annexes</w:t>
      </w:r>
      <w:r w:rsidR="00A97FA7" w:rsidRPr="00E001AC">
        <w:rPr>
          <w:iCs/>
          <w:spacing w:val="-4"/>
        </w:rPr>
        <w:t xml:space="preserve"> I to III of this document;</w:t>
      </w:r>
    </w:p>
    <w:p w:rsidR="009251B0" w:rsidRPr="009251B0" w:rsidRDefault="009251B0" w:rsidP="00E001AC">
      <w:pPr>
        <w:ind w:firstLine="567"/>
        <w:rPr>
          <w:iCs/>
          <w:spacing w:val="-4"/>
        </w:rPr>
      </w:pPr>
    </w:p>
    <w:p w:rsidR="009251B0" w:rsidRPr="00E001AC" w:rsidRDefault="009251B0" w:rsidP="00E001AC">
      <w:pPr>
        <w:pStyle w:val="ListParagraph"/>
        <w:numPr>
          <w:ilvl w:val="0"/>
          <w:numId w:val="16"/>
        </w:numPr>
        <w:ind w:left="0" w:firstLine="567"/>
        <w:rPr>
          <w:iCs/>
          <w:spacing w:val="-4"/>
        </w:rPr>
      </w:pPr>
      <w:r w:rsidRPr="00E001AC">
        <w:rPr>
          <w:iCs/>
          <w:spacing w:val="-4"/>
        </w:rPr>
        <w:t>note that the information provided in this document has been incorporated in document UPOV/INF/12/5 “Explanatory Notes on Variety Denominations under the UPOV Convention” as set out in document UPOV/INF/12/6 Draft 2; and</w:t>
      </w:r>
    </w:p>
    <w:p w:rsidR="009251B0" w:rsidRPr="009251B0" w:rsidRDefault="009251B0" w:rsidP="00E001AC">
      <w:pPr>
        <w:ind w:firstLine="567"/>
        <w:rPr>
          <w:iCs/>
          <w:spacing w:val="-4"/>
        </w:rPr>
      </w:pPr>
    </w:p>
    <w:p w:rsidR="009251B0" w:rsidRPr="00E001AC" w:rsidRDefault="009251B0" w:rsidP="00E001AC">
      <w:pPr>
        <w:pStyle w:val="ListParagraph"/>
        <w:numPr>
          <w:ilvl w:val="0"/>
          <w:numId w:val="16"/>
        </w:numPr>
        <w:ind w:left="0" w:firstLine="567"/>
        <w:rPr>
          <w:iCs/>
          <w:spacing w:val="-4"/>
        </w:rPr>
      </w:pPr>
      <w:r w:rsidRPr="00E001AC">
        <w:rPr>
          <w:iCs/>
          <w:spacing w:val="-4"/>
        </w:rPr>
        <w:t>consider the proposals for a revision of document UPOV/INF/12/5 “Explanatory Notes on Variety Denominations under the UPOV Convention” on the basis of document UPOV/INF/12/6 Draft 2.</w:t>
      </w:r>
    </w:p>
    <w:p w:rsidR="009251B0" w:rsidRDefault="009251B0" w:rsidP="00E001AC">
      <w:pPr>
        <w:ind w:firstLine="567"/>
        <w:jc w:val="left"/>
        <w:rPr>
          <w:rFonts w:cs="Arial"/>
          <w:snapToGrid w:val="0"/>
          <w:lang w:eastAsia="ja-JP"/>
        </w:rPr>
      </w:pPr>
    </w:p>
    <w:p w:rsidR="00B734CF" w:rsidRPr="008767E4" w:rsidRDefault="00B734CF" w:rsidP="00A97FA7">
      <w:pPr>
        <w:keepNext/>
        <w:spacing w:after="120"/>
        <w:rPr>
          <w:rFonts w:cs="Arial"/>
          <w:snapToGrid w:val="0"/>
          <w:sz w:val="18"/>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ED2BF6" w:rsidRPr="0075641B" w:rsidRDefault="00B734CF" w:rsidP="00BF1D30">
      <w:pPr>
        <w:pStyle w:val="TOC1"/>
        <w:ind w:left="993" w:hanging="426"/>
        <w:rPr>
          <w:rFonts w:asciiTheme="minorHAnsi" w:hAnsiTheme="minorHAnsi" w:cstheme="minorBidi"/>
          <w:caps w:val="0"/>
          <w:szCs w:val="22"/>
          <w:lang w:eastAsia="ja-JP"/>
        </w:rPr>
      </w:pPr>
      <w:r w:rsidRPr="0075641B">
        <w:rPr>
          <w:rFonts w:cs="Arial"/>
          <w:bCs/>
          <w:noProof w:val="0"/>
          <w:snapToGrid w:val="0"/>
          <w:sz w:val="14"/>
        </w:rPr>
        <w:fldChar w:fldCharType="begin"/>
      </w:r>
      <w:r w:rsidRPr="0075641B">
        <w:rPr>
          <w:rFonts w:cs="Arial"/>
          <w:bCs/>
          <w:snapToGrid w:val="0"/>
          <w:sz w:val="14"/>
        </w:rPr>
        <w:instrText xml:space="preserve"> TOC \o "1-3" \h \z \u </w:instrText>
      </w:r>
      <w:r w:rsidRPr="0075641B">
        <w:rPr>
          <w:rFonts w:cs="Arial"/>
          <w:bCs/>
          <w:noProof w:val="0"/>
          <w:snapToGrid w:val="0"/>
          <w:sz w:val="14"/>
        </w:rPr>
        <w:fldChar w:fldCharType="separate"/>
      </w:r>
      <w:hyperlink w:anchor="_Toc463973117" w:history="1">
        <w:r w:rsidR="00ED2BF6" w:rsidRPr="0075641B">
          <w:rPr>
            <w:rStyle w:val="Hyperlink"/>
            <w:sz w:val="18"/>
          </w:rPr>
          <w:t>Executive summary</w:t>
        </w:r>
        <w:r w:rsidR="00ED2BF6" w:rsidRPr="0075641B">
          <w:rPr>
            <w:webHidden/>
            <w:sz w:val="18"/>
          </w:rPr>
          <w:tab/>
        </w:r>
        <w:r w:rsidR="00ED2BF6" w:rsidRPr="0075641B">
          <w:rPr>
            <w:webHidden/>
            <w:sz w:val="18"/>
          </w:rPr>
          <w:fldChar w:fldCharType="begin"/>
        </w:r>
        <w:r w:rsidR="00ED2BF6" w:rsidRPr="0075641B">
          <w:rPr>
            <w:webHidden/>
            <w:sz w:val="18"/>
          </w:rPr>
          <w:instrText xml:space="preserve"> PAGEREF _Toc463973117 \h </w:instrText>
        </w:r>
        <w:r w:rsidR="00ED2BF6" w:rsidRPr="0075641B">
          <w:rPr>
            <w:webHidden/>
            <w:sz w:val="18"/>
          </w:rPr>
        </w:r>
        <w:r w:rsidR="00ED2BF6" w:rsidRPr="0075641B">
          <w:rPr>
            <w:webHidden/>
            <w:sz w:val="18"/>
          </w:rPr>
          <w:fldChar w:fldCharType="separate"/>
        </w:r>
        <w:r w:rsidR="003B1DD5">
          <w:rPr>
            <w:webHidden/>
            <w:sz w:val="18"/>
          </w:rPr>
          <w:t>1</w:t>
        </w:r>
        <w:r w:rsidR="00ED2BF6" w:rsidRPr="0075641B">
          <w:rPr>
            <w:webHidden/>
            <w:sz w:val="18"/>
          </w:rPr>
          <w:fldChar w:fldCharType="end"/>
        </w:r>
      </w:hyperlink>
    </w:p>
    <w:p w:rsidR="00ED2BF6" w:rsidRPr="0075641B" w:rsidRDefault="003B1DD5" w:rsidP="00BF1D30">
      <w:pPr>
        <w:pStyle w:val="TOC1"/>
        <w:ind w:left="993" w:hanging="426"/>
        <w:rPr>
          <w:rFonts w:asciiTheme="minorHAnsi" w:hAnsiTheme="minorHAnsi" w:cstheme="minorBidi"/>
          <w:caps w:val="0"/>
          <w:szCs w:val="22"/>
          <w:lang w:eastAsia="ja-JP"/>
        </w:rPr>
      </w:pPr>
      <w:hyperlink w:anchor="_Toc463973118" w:history="1">
        <w:r w:rsidR="00ED2BF6" w:rsidRPr="0075641B">
          <w:rPr>
            <w:rStyle w:val="Hyperlink"/>
            <w:sz w:val="18"/>
            <w:lang w:eastAsia="ja-JP"/>
          </w:rPr>
          <w:t>background</w:t>
        </w:r>
        <w:r w:rsidR="00ED2BF6" w:rsidRPr="0075641B">
          <w:rPr>
            <w:webHidden/>
            <w:sz w:val="18"/>
          </w:rPr>
          <w:tab/>
        </w:r>
        <w:r w:rsidR="00ED2BF6" w:rsidRPr="0075641B">
          <w:rPr>
            <w:webHidden/>
            <w:sz w:val="18"/>
          </w:rPr>
          <w:fldChar w:fldCharType="begin"/>
        </w:r>
        <w:r w:rsidR="00ED2BF6" w:rsidRPr="0075641B">
          <w:rPr>
            <w:webHidden/>
            <w:sz w:val="18"/>
          </w:rPr>
          <w:instrText xml:space="preserve"> PAGEREF _Toc463973118 \h </w:instrText>
        </w:r>
        <w:r w:rsidR="00ED2BF6" w:rsidRPr="0075641B">
          <w:rPr>
            <w:webHidden/>
            <w:sz w:val="18"/>
          </w:rPr>
        </w:r>
        <w:r w:rsidR="00ED2BF6" w:rsidRPr="0075641B">
          <w:rPr>
            <w:webHidden/>
            <w:sz w:val="18"/>
          </w:rPr>
          <w:fldChar w:fldCharType="separate"/>
        </w:r>
        <w:r>
          <w:rPr>
            <w:webHidden/>
            <w:sz w:val="18"/>
          </w:rPr>
          <w:t>2</w:t>
        </w:r>
        <w:r w:rsidR="00ED2BF6" w:rsidRPr="0075641B">
          <w:rPr>
            <w:webHidden/>
            <w:sz w:val="18"/>
          </w:rPr>
          <w:fldChar w:fldCharType="end"/>
        </w:r>
      </w:hyperlink>
    </w:p>
    <w:p w:rsidR="00ED2BF6" w:rsidRPr="0075641B" w:rsidRDefault="003B1DD5" w:rsidP="00BF1D30">
      <w:pPr>
        <w:pStyle w:val="TOC1"/>
        <w:ind w:left="993" w:hanging="426"/>
        <w:rPr>
          <w:rFonts w:asciiTheme="minorHAnsi" w:hAnsiTheme="minorHAnsi" w:cstheme="minorBidi"/>
          <w:caps w:val="0"/>
          <w:szCs w:val="22"/>
          <w:lang w:eastAsia="ja-JP"/>
        </w:rPr>
      </w:pPr>
      <w:hyperlink w:anchor="_Toc463973119" w:history="1">
        <w:r w:rsidR="00ED2BF6" w:rsidRPr="0075641B">
          <w:rPr>
            <w:rStyle w:val="Hyperlink"/>
            <w:snapToGrid w:val="0"/>
            <w:sz w:val="18"/>
            <w:lang w:eastAsia="ja-JP"/>
          </w:rPr>
          <w:t>Developments at the WG-DEN, at its first meeting</w:t>
        </w:r>
        <w:r w:rsidR="00ED2BF6" w:rsidRPr="0075641B">
          <w:rPr>
            <w:webHidden/>
            <w:sz w:val="18"/>
          </w:rPr>
          <w:tab/>
        </w:r>
        <w:r w:rsidR="00ED2BF6" w:rsidRPr="0075641B">
          <w:rPr>
            <w:webHidden/>
            <w:sz w:val="18"/>
          </w:rPr>
          <w:fldChar w:fldCharType="begin"/>
        </w:r>
        <w:r w:rsidR="00ED2BF6" w:rsidRPr="0075641B">
          <w:rPr>
            <w:webHidden/>
            <w:sz w:val="18"/>
          </w:rPr>
          <w:instrText xml:space="preserve"> PAGEREF _Toc463973119 \h </w:instrText>
        </w:r>
        <w:r w:rsidR="00ED2BF6" w:rsidRPr="0075641B">
          <w:rPr>
            <w:webHidden/>
            <w:sz w:val="18"/>
          </w:rPr>
        </w:r>
        <w:r w:rsidR="00ED2BF6" w:rsidRPr="0075641B">
          <w:rPr>
            <w:webHidden/>
            <w:sz w:val="18"/>
          </w:rPr>
          <w:fldChar w:fldCharType="separate"/>
        </w:r>
        <w:r>
          <w:rPr>
            <w:webHidden/>
            <w:sz w:val="18"/>
          </w:rPr>
          <w:t>2</w:t>
        </w:r>
        <w:r w:rsidR="00ED2BF6" w:rsidRPr="0075641B">
          <w:rPr>
            <w:webHidden/>
            <w:sz w:val="18"/>
          </w:rPr>
          <w:fldChar w:fldCharType="end"/>
        </w:r>
      </w:hyperlink>
    </w:p>
    <w:p w:rsidR="00ED2BF6" w:rsidRPr="0075641B" w:rsidRDefault="003B1DD5" w:rsidP="00BF1D30">
      <w:pPr>
        <w:pStyle w:val="TOC2"/>
        <w:ind w:left="993" w:hanging="426"/>
        <w:rPr>
          <w:rFonts w:asciiTheme="minorHAnsi" w:hAnsiTheme="minorHAnsi" w:cstheme="minorBidi"/>
          <w:szCs w:val="22"/>
          <w:lang w:eastAsia="ja-JP"/>
        </w:rPr>
      </w:pPr>
      <w:hyperlink w:anchor="_Toc463973120" w:history="1">
        <w:r w:rsidR="00ED2BF6" w:rsidRPr="0075641B">
          <w:rPr>
            <w:rStyle w:val="Hyperlink"/>
            <w:sz w:val="18"/>
            <w:lang w:eastAsia="ja-JP"/>
          </w:rPr>
          <w:t>Items agreed at the WG-DEN</w:t>
        </w:r>
        <w:r w:rsidR="00ED2BF6" w:rsidRPr="0075641B">
          <w:rPr>
            <w:webHidden/>
            <w:sz w:val="18"/>
          </w:rPr>
          <w:tab/>
        </w:r>
        <w:r w:rsidR="00ED2BF6" w:rsidRPr="0075641B">
          <w:rPr>
            <w:webHidden/>
            <w:sz w:val="18"/>
          </w:rPr>
          <w:fldChar w:fldCharType="begin"/>
        </w:r>
        <w:r w:rsidR="00ED2BF6" w:rsidRPr="0075641B">
          <w:rPr>
            <w:webHidden/>
            <w:sz w:val="18"/>
          </w:rPr>
          <w:instrText xml:space="preserve"> PAGEREF _Toc463973120 \h </w:instrText>
        </w:r>
        <w:r w:rsidR="00ED2BF6" w:rsidRPr="0075641B">
          <w:rPr>
            <w:webHidden/>
            <w:sz w:val="18"/>
          </w:rPr>
        </w:r>
        <w:r w:rsidR="00ED2BF6" w:rsidRPr="0075641B">
          <w:rPr>
            <w:webHidden/>
            <w:sz w:val="18"/>
          </w:rPr>
          <w:fldChar w:fldCharType="separate"/>
        </w:r>
        <w:r>
          <w:rPr>
            <w:webHidden/>
            <w:sz w:val="18"/>
          </w:rPr>
          <w:t>2</w:t>
        </w:r>
        <w:r w:rsidR="00ED2BF6" w:rsidRPr="0075641B">
          <w:rPr>
            <w:webHidden/>
            <w:sz w:val="18"/>
          </w:rPr>
          <w:fldChar w:fldCharType="end"/>
        </w:r>
      </w:hyperlink>
    </w:p>
    <w:p w:rsidR="00ED2BF6" w:rsidRPr="0075641B" w:rsidRDefault="003B1DD5" w:rsidP="00BF1D30">
      <w:pPr>
        <w:pStyle w:val="TOC2"/>
        <w:ind w:left="993" w:hanging="426"/>
        <w:rPr>
          <w:rFonts w:asciiTheme="minorHAnsi" w:hAnsiTheme="minorHAnsi" w:cstheme="minorBidi"/>
          <w:szCs w:val="22"/>
          <w:lang w:eastAsia="ja-JP"/>
        </w:rPr>
      </w:pPr>
      <w:hyperlink w:anchor="_Toc463973121" w:history="1">
        <w:r w:rsidR="00ED2BF6" w:rsidRPr="0075641B">
          <w:rPr>
            <w:rStyle w:val="Hyperlink"/>
            <w:snapToGrid w:val="0"/>
            <w:sz w:val="18"/>
            <w:lang w:eastAsia="ja-JP"/>
          </w:rPr>
          <w:t>Items agreed to consider further</w:t>
        </w:r>
        <w:r w:rsidR="00ED2BF6" w:rsidRPr="0075641B">
          <w:rPr>
            <w:webHidden/>
            <w:sz w:val="18"/>
          </w:rPr>
          <w:tab/>
        </w:r>
        <w:r w:rsidR="00ED2BF6" w:rsidRPr="0075641B">
          <w:rPr>
            <w:webHidden/>
            <w:sz w:val="18"/>
          </w:rPr>
          <w:fldChar w:fldCharType="begin"/>
        </w:r>
        <w:r w:rsidR="00ED2BF6" w:rsidRPr="0075641B">
          <w:rPr>
            <w:webHidden/>
            <w:sz w:val="18"/>
          </w:rPr>
          <w:instrText xml:space="preserve"> PAGEREF _Toc463973121 \h </w:instrText>
        </w:r>
        <w:r w:rsidR="00ED2BF6" w:rsidRPr="0075641B">
          <w:rPr>
            <w:webHidden/>
            <w:sz w:val="18"/>
          </w:rPr>
        </w:r>
        <w:r w:rsidR="00ED2BF6" w:rsidRPr="0075641B">
          <w:rPr>
            <w:webHidden/>
            <w:sz w:val="18"/>
          </w:rPr>
          <w:fldChar w:fldCharType="separate"/>
        </w:r>
        <w:r>
          <w:rPr>
            <w:webHidden/>
            <w:sz w:val="18"/>
          </w:rPr>
          <w:t>3</w:t>
        </w:r>
        <w:r w:rsidR="00ED2BF6" w:rsidRPr="0075641B">
          <w:rPr>
            <w:webHidden/>
            <w:sz w:val="18"/>
          </w:rPr>
          <w:fldChar w:fldCharType="end"/>
        </w:r>
      </w:hyperlink>
    </w:p>
    <w:p w:rsidR="00ED2BF6" w:rsidRPr="0075641B" w:rsidRDefault="003B1DD5" w:rsidP="00BF1D30">
      <w:pPr>
        <w:pStyle w:val="TOC2"/>
        <w:ind w:left="993" w:hanging="426"/>
        <w:rPr>
          <w:rFonts w:asciiTheme="minorHAnsi" w:hAnsiTheme="minorHAnsi" w:cstheme="minorBidi"/>
          <w:szCs w:val="22"/>
          <w:lang w:eastAsia="ja-JP"/>
        </w:rPr>
      </w:pPr>
      <w:hyperlink w:anchor="_Toc463973122" w:history="1">
        <w:r w:rsidR="00ED2BF6" w:rsidRPr="0075641B">
          <w:rPr>
            <w:rStyle w:val="Hyperlink"/>
            <w:sz w:val="18"/>
            <w:lang w:eastAsia="ja-JP"/>
          </w:rPr>
          <w:t>Further information to be provided</w:t>
        </w:r>
        <w:r w:rsidR="00ED2BF6" w:rsidRPr="0075641B">
          <w:rPr>
            <w:webHidden/>
            <w:sz w:val="18"/>
          </w:rPr>
          <w:tab/>
        </w:r>
        <w:r w:rsidR="00ED2BF6" w:rsidRPr="0075641B">
          <w:rPr>
            <w:webHidden/>
            <w:sz w:val="18"/>
          </w:rPr>
          <w:fldChar w:fldCharType="begin"/>
        </w:r>
        <w:r w:rsidR="00ED2BF6" w:rsidRPr="0075641B">
          <w:rPr>
            <w:webHidden/>
            <w:sz w:val="18"/>
          </w:rPr>
          <w:instrText xml:space="preserve"> PAGEREF _Toc463973122 \h </w:instrText>
        </w:r>
        <w:r w:rsidR="00ED2BF6" w:rsidRPr="0075641B">
          <w:rPr>
            <w:webHidden/>
            <w:sz w:val="18"/>
          </w:rPr>
        </w:r>
        <w:r w:rsidR="00ED2BF6" w:rsidRPr="0075641B">
          <w:rPr>
            <w:webHidden/>
            <w:sz w:val="18"/>
          </w:rPr>
          <w:fldChar w:fldCharType="separate"/>
        </w:r>
        <w:r>
          <w:rPr>
            <w:webHidden/>
            <w:sz w:val="18"/>
          </w:rPr>
          <w:t>4</w:t>
        </w:r>
        <w:r w:rsidR="00ED2BF6" w:rsidRPr="0075641B">
          <w:rPr>
            <w:webHidden/>
            <w:sz w:val="18"/>
          </w:rPr>
          <w:fldChar w:fldCharType="end"/>
        </w:r>
      </w:hyperlink>
    </w:p>
    <w:p w:rsidR="008767E4" w:rsidRPr="0075641B" w:rsidRDefault="00B734CF" w:rsidP="00BF1D30">
      <w:pPr>
        <w:ind w:left="1560" w:hanging="993"/>
        <w:rPr>
          <w:noProof/>
          <w:snapToGrid w:val="0"/>
          <w:sz w:val="18"/>
          <w:lang w:eastAsia="ja-JP"/>
        </w:rPr>
      </w:pPr>
      <w:r w:rsidRPr="0075641B">
        <w:rPr>
          <w:noProof/>
          <w:snapToGrid w:val="0"/>
          <w:sz w:val="16"/>
        </w:rPr>
        <w:fldChar w:fldCharType="end"/>
      </w:r>
      <w:r w:rsidR="00056D81" w:rsidRPr="0075641B">
        <w:rPr>
          <w:rFonts w:hint="eastAsia"/>
          <w:noProof/>
          <w:snapToGrid w:val="0"/>
          <w:sz w:val="18"/>
          <w:lang w:eastAsia="ja-JP"/>
        </w:rPr>
        <w:t>ANNEX I</w:t>
      </w:r>
      <w:r w:rsidR="00056D81" w:rsidRPr="0075641B">
        <w:rPr>
          <w:rFonts w:hint="eastAsia"/>
          <w:noProof/>
          <w:snapToGrid w:val="0"/>
          <w:sz w:val="18"/>
          <w:lang w:eastAsia="ja-JP"/>
        </w:rPr>
        <w:tab/>
      </w:r>
      <w:r w:rsidR="00056D81" w:rsidRPr="0075641B">
        <w:rPr>
          <w:noProof/>
          <w:snapToGrid w:val="0"/>
          <w:sz w:val="18"/>
          <w:lang w:eastAsia="ja-JP"/>
        </w:rPr>
        <w:t>INFORMATION SUBMITTED BY FRANCE</w:t>
      </w:r>
    </w:p>
    <w:p w:rsidR="00056D81" w:rsidRPr="0075641B" w:rsidRDefault="00056D81" w:rsidP="00BF1D30">
      <w:pPr>
        <w:ind w:left="1560" w:hanging="993"/>
        <w:rPr>
          <w:sz w:val="18"/>
          <w:lang w:eastAsia="ja-JP"/>
        </w:rPr>
      </w:pPr>
      <w:r w:rsidRPr="0075641B">
        <w:rPr>
          <w:rFonts w:hint="eastAsia"/>
          <w:sz w:val="18"/>
          <w:lang w:eastAsia="ja-JP"/>
        </w:rPr>
        <w:t>ANNEX II</w:t>
      </w:r>
      <w:r w:rsidRPr="0075641B">
        <w:rPr>
          <w:rFonts w:hint="eastAsia"/>
          <w:sz w:val="18"/>
          <w:lang w:eastAsia="ja-JP"/>
        </w:rPr>
        <w:tab/>
      </w:r>
      <w:r w:rsidRPr="0075641B">
        <w:rPr>
          <w:noProof/>
          <w:snapToGrid w:val="0"/>
          <w:sz w:val="18"/>
          <w:lang w:eastAsia="ja-JP"/>
        </w:rPr>
        <w:t xml:space="preserve">INFORMATION SUBMITTED BY </w:t>
      </w:r>
      <w:r w:rsidRPr="0075641B">
        <w:rPr>
          <w:rFonts w:hint="eastAsia"/>
          <w:noProof/>
          <w:snapToGrid w:val="0"/>
          <w:sz w:val="18"/>
          <w:lang w:eastAsia="ja-JP"/>
        </w:rPr>
        <w:t>THE NETHERLANDS</w:t>
      </w:r>
    </w:p>
    <w:p w:rsidR="00056D81" w:rsidRPr="0075641B" w:rsidRDefault="00056D81" w:rsidP="00BF1D30">
      <w:pPr>
        <w:ind w:left="1560" w:hanging="993"/>
        <w:rPr>
          <w:noProof/>
          <w:snapToGrid w:val="0"/>
          <w:sz w:val="18"/>
          <w:lang w:eastAsia="ja-JP"/>
        </w:rPr>
      </w:pPr>
      <w:r w:rsidRPr="0075641B">
        <w:rPr>
          <w:rFonts w:hint="eastAsia"/>
          <w:sz w:val="18"/>
          <w:lang w:eastAsia="ja-JP"/>
        </w:rPr>
        <w:t>ANNEX III</w:t>
      </w:r>
      <w:r w:rsidRPr="0075641B">
        <w:rPr>
          <w:rFonts w:hint="eastAsia"/>
          <w:sz w:val="18"/>
          <w:lang w:eastAsia="ja-JP"/>
        </w:rPr>
        <w:tab/>
      </w:r>
      <w:r w:rsidRPr="0075641B">
        <w:rPr>
          <w:noProof/>
          <w:snapToGrid w:val="0"/>
          <w:sz w:val="18"/>
          <w:lang w:eastAsia="ja-JP"/>
        </w:rPr>
        <w:t xml:space="preserve">INFORMATION SUBMITTED BY </w:t>
      </w:r>
      <w:r w:rsidR="001F5322" w:rsidRPr="0075641B">
        <w:rPr>
          <w:rFonts w:hint="eastAsia"/>
          <w:noProof/>
          <w:snapToGrid w:val="0"/>
          <w:sz w:val="18"/>
          <w:lang w:eastAsia="ja-JP"/>
        </w:rPr>
        <w:t>NEW ZEALAND</w:t>
      </w:r>
    </w:p>
    <w:p w:rsidR="00B734CF" w:rsidRPr="009B48EB" w:rsidRDefault="00B734CF" w:rsidP="00B734CF">
      <w:pPr>
        <w:keepNext/>
        <w:jc w:val="left"/>
        <w:rPr>
          <w:rFonts w:cs="Arial"/>
          <w:color w:val="000000"/>
        </w:rPr>
      </w:pPr>
      <w:r w:rsidRPr="009B48EB">
        <w:lastRenderedPageBreak/>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B734CF" w:rsidRPr="009B48EB" w:rsidRDefault="00B734CF" w:rsidP="009175FC">
      <w:pPr>
        <w:keepNext/>
        <w:rPr>
          <w:rFonts w:cs="Arial"/>
          <w:color w:val="000000"/>
        </w:rPr>
      </w:pPr>
    </w:p>
    <w:p w:rsidR="00F73F12" w:rsidRPr="00822A3B" w:rsidRDefault="00F73F12" w:rsidP="00F73F12">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4A34E0" w:rsidRPr="00822A3B" w:rsidRDefault="004A34E0" w:rsidP="004A34E0">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F73F12" w:rsidRPr="009251B0" w:rsidRDefault="00F73F12" w:rsidP="009175FC">
      <w:pPr>
        <w:ind w:left="567"/>
        <w:rPr>
          <w:snapToGrid w:val="0"/>
          <w:lang w:eastAsia="ja-JP"/>
        </w:rPr>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005A76A5" w:rsidRPr="00696C89">
        <w:rPr>
          <w:rFonts w:cs="Arial"/>
        </w:rPr>
        <w:t xml:space="preserve">Working Group for the </w:t>
      </w:r>
      <w:r w:rsidR="005A76A5" w:rsidRPr="009251B0">
        <w:rPr>
          <w:rFonts w:cs="Arial"/>
        </w:rPr>
        <w:t>Development of a UPOV Denomination Similarity Search Tool</w:t>
      </w:r>
    </w:p>
    <w:p w:rsidR="00E11E29" w:rsidRPr="009251B0" w:rsidRDefault="00E11E29" w:rsidP="009175FC">
      <w:pPr>
        <w:ind w:left="567"/>
        <w:rPr>
          <w:snapToGrid w:val="0"/>
          <w:lang w:eastAsia="ja-JP"/>
        </w:rPr>
      </w:pPr>
      <w:r w:rsidRPr="009251B0">
        <w:rPr>
          <w:snapToGrid w:val="0"/>
          <w:lang w:eastAsia="ja-JP"/>
        </w:rPr>
        <w:t>WG-DEN</w:t>
      </w:r>
      <w:r w:rsidR="009219E3" w:rsidRPr="009251B0">
        <w:rPr>
          <w:snapToGrid w:val="0"/>
          <w:lang w:eastAsia="ja-JP"/>
        </w:rPr>
        <w:t>:</w:t>
      </w:r>
      <w:r w:rsidRPr="009251B0">
        <w:rPr>
          <w:snapToGrid w:val="0"/>
          <w:lang w:eastAsia="ja-JP"/>
        </w:rPr>
        <w:tab/>
        <w:t xml:space="preserve">Working Group on </w:t>
      </w:r>
      <w:r w:rsidR="005A76A5" w:rsidRPr="009251B0">
        <w:rPr>
          <w:rFonts w:hint="eastAsia"/>
          <w:snapToGrid w:val="0"/>
          <w:lang w:eastAsia="ja-JP"/>
        </w:rPr>
        <w:t xml:space="preserve">Variety </w:t>
      </w:r>
      <w:r w:rsidRPr="009251B0">
        <w:rPr>
          <w:snapToGrid w:val="0"/>
          <w:lang w:eastAsia="ja-JP"/>
        </w:rPr>
        <w:t>Denomination</w:t>
      </w:r>
      <w:r w:rsidR="005A76A5" w:rsidRPr="009251B0">
        <w:rPr>
          <w:rFonts w:hint="eastAsia"/>
          <w:snapToGrid w:val="0"/>
          <w:lang w:eastAsia="ja-JP"/>
        </w:rPr>
        <w:t>s</w:t>
      </w:r>
    </w:p>
    <w:p w:rsidR="00884CEA" w:rsidRPr="009251B0" w:rsidRDefault="00884CEA" w:rsidP="00884CEA">
      <w:pPr>
        <w:rPr>
          <w:rFonts w:cs="Arial"/>
          <w:szCs w:val="24"/>
          <w:lang w:eastAsia="ja-JP"/>
        </w:rPr>
      </w:pPr>
    </w:p>
    <w:p w:rsidR="00CE4538" w:rsidRPr="009251B0" w:rsidRDefault="00CE4538" w:rsidP="009D473D">
      <w:pPr>
        <w:pStyle w:val="Heading1"/>
        <w:rPr>
          <w:lang w:eastAsia="ja-JP"/>
        </w:rPr>
      </w:pPr>
    </w:p>
    <w:p w:rsidR="00E720D2" w:rsidRPr="009251B0" w:rsidRDefault="00B44915" w:rsidP="009D473D">
      <w:pPr>
        <w:pStyle w:val="Heading1"/>
        <w:rPr>
          <w:lang w:eastAsia="ja-JP"/>
        </w:rPr>
      </w:pPr>
      <w:bookmarkStart w:id="14" w:name="_Toc463973118"/>
      <w:r w:rsidRPr="009251B0">
        <w:rPr>
          <w:rFonts w:hint="eastAsia"/>
          <w:lang w:eastAsia="ja-JP"/>
        </w:rPr>
        <w:t>background</w:t>
      </w:r>
      <w:bookmarkEnd w:id="14"/>
    </w:p>
    <w:p w:rsidR="00E720D2" w:rsidRPr="009251B0" w:rsidRDefault="00E720D2" w:rsidP="008767E4">
      <w:pPr>
        <w:keepNext/>
        <w:rPr>
          <w:lang w:eastAsia="ja-JP"/>
        </w:rPr>
      </w:pPr>
    </w:p>
    <w:p w:rsidR="004C3469" w:rsidRPr="009251B0" w:rsidRDefault="004C3469" w:rsidP="008767E4">
      <w:pPr>
        <w:keepNext/>
        <w:rPr>
          <w:rFonts w:cs="Arial"/>
          <w:snapToGrid w:val="0"/>
          <w:lang w:eastAsia="ja-JP"/>
        </w:rPr>
      </w:pPr>
      <w:r w:rsidRPr="009251B0">
        <w:rPr>
          <w:rFonts w:cs="Arial"/>
          <w:snapToGrid w:val="0"/>
        </w:rPr>
        <w:fldChar w:fldCharType="begin"/>
      </w:r>
      <w:r w:rsidRPr="009251B0">
        <w:rPr>
          <w:rFonts w:cs="Arial"/>
          <w:snapToGrid w:val="0"/>
        </w:rPr>
        <w:instrText xml:space="preserve"> AUTONUM  </w:instrText>
      </w:r>
      <w:r w:rsidRPr="009251B0">
        <w:rPr>
          <w:rFonts w:cs="Arial"/>
          <w:snapToGrid w:val="0"/>
        </w:rPr>
        <w:fldChar w:fldCharType="end"/>
      </w:r>
      <w:r w:rsidRPr="009251B0">
        <w:rPr>
          <w:rFonts w:cs="Arial"/>
          <w:snapToGrid w:val="0"/>
        </w:rPr>
        <w:tab/>
      </w:r>
      <w:r w:rsidRPr="009251B0">
        <w:rPr>
          <w:rFonts w:cs="Arial" w:hint="eastAsia"/>
          <w:snapToGrid w:val="0"/>
          <w:lang w:eastAsia="ja-JP"/>
        </w:rPr>
        <w:t xml:space="preserve">The background </w:t>
      </w:r>
      <w:r w:rsidR="008E1682" w:rsidRPr="009251B0">
        <w:rPr>
          <w:rFonts w:cs="Arial" w:hint="eastAsia"/>
          <w:snapToGrid w:val="0"/>
          <w:lang w:eastAsia="ja-JP"/>
        </w:rPr>
        <w:t xml:space="preserve">to this matter </w:t>
      </w:r>
      <w:r w:rsidRPr="009251B0">
        <w:rPr>
          <w:rFonts w:cs="Arial" w:hint="eastAsia"/>
          <w:snapToGrid w:val="0"/>
          <w:lang w:eastAsia="ja-JP"/>
        </w:rPr>
        <w:t xml:space="preserve">is provided in document </w:t>
      </w:r>
      <w:r w:rsidR="009251B0" w:rsidRPr="009251B0">
        <w:rPr>
          <w:rFonts w:cs="Arial" w:hint="eastAsia"/>
          <w:snapToGrid w:val="0"/>
          <w:lang w:eastAsia="ja-JP"/>
        </w:rPr>
        <w:t>UPOV/</w:t>
      </w:r>
      <w:r w:rsidRPr="009251B0">
        <w:rPr>
          <w:rFonts w:cs="Arial" w:hint="eastAsia"/>
          <w:snapToGrid w:val="0"/>
          <w:lang w:eastAsia="ja-JP"/>
        </w:rPr>
        <w:t xml:space="preserve">WG-DEN/1/2 </w:t>
      </w:r>
      <w:r w:rsidRPr="009251B0">
        <w:rPr>
          <w:rFonts w:cs="Arial"/>
          <w:snapToGrid w:val="0"/>
          <w:lang w:eastAsia="ja-JP"/>
        </w:rPr>
        <w:t>“</w:t>
      </w:r>
      <w:r w:rsidRPr="009251B0">
        <w:rPr>
          <w:rFonts w:cs="Arial" w:hint="eastAsia"/>
          <w:snapToGrid w:val="0"/>
          <w:lang w:eastAsia="ja-JP"/>
        </w:rPr>
        <w:t>R</w:t>
      </w:r>
      <w:r w:rsidRPr="009251B0">
        <w:rPr>
          <w:rFonts w:cs="Arial"/>
          <w:snapToGrid w:val="0"/>
          <w:lang w:eastAsia="ja-JP"/>
        </w:rPr>
        <w:t>evision of document UPOV/INF/12/5 ‘Explanatory Notes on Variety Denominations under the UPOV Convention’”</w:t>
      </w:r>
      <w:r w:rsidRPr="009251B0">
        <w:rPr>
          <w:rFonts w:cs="Arial" w:hint="eastAsia"/>
          <w:snapToGrid w:val="0"/>
          <w:lang w:eastAsia="ja-JP"/>
        </w:rPr>
        <w:t>.</w:t>
      </w:r>
    </w:p>
    <w:p w:rsidR="004C3469" w:rsidRPr="009251B0" w:rsidRDefault="004C3469" w:rsidP="009D473D">
      <w:pPr>
        <w:rPr>
          <w:snapToGrid w:val="0"/>
          <w:lang w:eastAsia="ja-JP"/>
        </w:rPr>
      </w:pPr>
    </w:p>
    <w:p w:rsidR="004C3469" w:rsidRPr="009251B0" w:rsidRDefault="004C3469" w:rsidP="009D473D">
      <w:pPr>
        <w:rPr>
          <w:snapToGrid w:val="0"/>
          <w:lang w:eastAsia="ja-JP"/>
        </w:rPr>
      </w:pPr>
    </w:p>
    <w:p w:rsidR="004C3469" w:rsidRPr="009251B0" w:rsidRDefault="004C3469" w:rsidP="009D473D">
      <w:pPr>
        <w:pStyle w:val="Heading1"/>
        <w:rPr>
          <w:lang w:eastAsia="ja-JP"/>
        </w:rPr>
      </w:pPr>
      <w:bookmarkStart w:id="15" w:name="_Toc463973119"/>
      <w:r w:rsidRPr="009251B0">
        <w:rPr>
          <w:snapToGrid w:val="0"/>
          <w:lang w:eastAsia="ja-JP"/>
        </w:rPr>
        <w:t>D</w:t>
      </w:r>
      <w:r w:rsidRPr="009251B0">
        <w:rPr>
          <w:rFonts w:hint="eastAsia"/>
          <w:snapToGrid w:val="0"/>
          <w:lang w:eastAsia="ja-JP"/>
        </w:rPr>
        <w:t>evelopments at the WG-DEN, at its first meeting</w:t>
      </w:r>
      <w:bookmarkEnd w:id="15"/>
    </w:p>
    <w:p w:rsidR="004C3469" w:rsidRPr="009251B0" w:rsidRDefault="004C3469" w:rsidP="008767E4">
      <w:pPr>
        <w:keepNext/>
        <w:rPr>
          <w:lang w:eastAsia="ja-JP"/>
        </w:rPr>
      </w:pPr>
    </w:p>
    <w:p w:rsidR="0035314A" w:rsidRPr="009251B0" w:rsidRDefault="0035314A" w:rsidP="0035314A">
      <w:pPr>
        <w:pStyle w:val="Heading2"/>
        <w:rPr>
          <w:lang w:eastAsia="ja-JP"/>
        </w:rPr>
      </w:pPr>
      <w:bookmarkStart w:id="16" w:name="_Toc463973120"/>
      <w:r w:rsidRPr="009251B0">
        <w:rPr>
          <w:rFonts w:hint="eastAsia"/>
          <w:lang w:eastAsia="ja-JP"/>
        </w:rPr>
        <w:t>Items agreed at the WG-DEN</w:t>
      </w:r>
      <w:bookmarkEnd w:id="16"/>
    </w:p>
    <w:p w:rsidR="0035314A" w:rsidRPr="009251B0" w:rsidRDefault="0035314A" w:rsidP="008767E4">
      <w:pPr>
        <w:keepNext/>
        <w:rPr>
          <w:lang w:eastAsia="ja-JP"/>
        </w:rPr>
      </w:pPr>
    </w:p>
    <w:p w:rsidR="00AE377F" w:rsidRDefault="00AE377F" w:rsidP="008767E4">
      <w:pPr>
        <w:keepNext/>
        <w:rPr>
          <w:rFonts w:cs="Arial"/>
          <w:snapToGrid w:val="0"/>
          <w:lang w:eastAsia="ja-JP"/>
        </w:rPr>
      </w:pPr>
      <w:r w:rsidRPr="009251B0">
        <w:rPr>
          <w:rFonts w:cs="Arial"/>
          <w:snapToGrid w:val="0"/>
        </w:rPr>
        <w:fldChar w:fldCharType="begin"/>
      </w:r>
      <w:r w:rsidRPr="009251B0">
        <w:rPr>
          <w:rFonts w:cs="Arial"/>
          <w:snapToGrid w:val="0"/>
        </w:rPr>
        <w:instrText xml:space="preserve"> AUTONUM  </w:instrText>
      </w:r>
      <w:r w:rsidRPr="009251B0">
        <w:rPr>
          <w:rFonts w:cs="Arial"/>
          <w:snapToGrid w:val="0"/>
        </w:rPr>
        <w:fldChar w:fldCharType="end"/>
      </w:r>
      <w:r w:rsidRPr="009251B0">
        <w:rPr>
          <w:rFonts w:cs="Arial"/>
          <w:snapToGrid w:val="0"/>
        </w:rPr>
        <w:tab/>
      </w:r>
      <w:r w:rsidRPr="009251B0">
        <w:rPr>
          <w:rFonts w:cs="Arial"/>
          <w:snapToGrid w:val="0"/>
          <w:lang w:eastAsia="ja-JP"/>
        </w:rPr>
        <w:t>The WG-DEN, at its first meeting</w:t>
      </w:r>
      <w:r w:rsidRPr="009251B0">
        <w:rPr>
          <w:rFonts w:cs="Arial" w:hint="eastAsia"/>
          <w:snapToGrid w:val="0"/>
          <w:lang w:eastAsia="ja-JP"/>
        </w:rPr>
        <w:t>, held in Geneva, on March 18, 2016</w:t>
      </w:r>
      <w:r w:rsidRPr="009251B0">
        <w:rPr>
          <w:rFonts w:cs="Arial"/>
          <w:snapToGrid w:val="0"/>
          <w:lang w:eastAsia="ja-JP"/>
        </w:rPr>
        <w:t>, agreed</w:t>
      </w:r>
      <w:r w:rsidRPr="009251B0">
        <w:rPr>
          <w:rFonts w:cs="Arial" w:hint="eastAsia"/>
          <w:snapToGrid w:val="0"/>
          <w:lang w:eastAsia="ja-JP"/>
        </w:rPr>
        <w:t xml:space="preserve"> </w:t>
      </w:r>
      <w:r w:rsidR="008E1682" w:rsidRPr="009251B0">
        <w:rPr>
          <w:rFonts w:cs="Arial" w:hint="eastAsia"/>
          <w:snapToGrid w:val="0"/>
          <w:lang w:eastAsia="ja-JP"/>
        </w:rPr>
        <w:t xml:space="preserve">the </w:t>
      </w:r>
      <w:r w:rsidRPr="009251B0">
        <w:rPr>
          <w:rFonts w:cs="Arial" w:hint="eastAsia"/>
          <w:snapToGrid w:val="0"/>
          <w:lang w:eastAsia="ja-JP"/>
        </w:rPr>
        <w:t xml:space="preserve">following </w:t>
      </w:r>
      <w:r w:rsidR="008E1682" w:rsidRPr="009251B0">
        <w:rPr>
          <w:rFonts w:cs="Arial" w:hint="eastAsia"/>
          <w:snapToGrid w:val="0"/>
          <w:lang w:eastAsia="ja-JP"/>
        </w:rPr>
        <w:t xml:space="preserve">with regard to a possible revision of </w:t>
      </w:r>
      <w:r w:rsidR="009251B0" w:rsidRPr="009251B0">
        <w:rPr>
          <w:rFonts w:cs="Arial" w:hint="eastAsia"/>
          <w:snapToGrid w:val="0"/>
          <w:lang w:eastAsia="ja-JP"/>
        </w:rPr>
        <w:t xml:space="preserve">document </w:t>
      </w:r>
      <w:r w:rsidR="008E1682" w:rsidRPr="009251B0">
        <w:rPr>
          <w:rFonts w:cs="Arial" w:hint="eastAsia"/>
          <w:snapToGrid w:val="0"/>
          <w:lang w:eastAsia="ja-JP"/>
        </w:rPr>
        <w:t>UPOV/INF/12/5</w:t>
      </w:r>
      <w:r w:rsidRPr="009251B0">
        <w:rPr>
          <w:rFonts w:cs="Arial" w:hint="eastAsia"/>
          <w:snapToGrid w:val="0"/>
          <w:lang w:eastAsia="ja-JP"/>
        </w:rPr>
        <w:t>:</w:t>
      </w:r>
    </w:p>
    <w:p w:rsidR="00AE377F" w:rsidRDefault="00AE377F" w:rsidP="008767E4">
      <w:pPr>
        <w:keepNext/>
        <w:rPr>
          <w:rFonts w:cs="Arial"/>
          <w:snapToGrid w:val="0"/>
          <w:lang w:eastAsia="ja-JP"/>
        </w:rPr>
      </w:pPr>
    </w:p>
    <w:p w:rsidR="00AE377F" w:rsidRDefault="008E1682" w:rsidP="00AE377F">
      <w:pPr>
        <w:pStyle w:val="ListParagraph"/>
        <w:autoSpaceDE w:val="0"/>
        <w:autoSpaceDN w:val="0"/>
        <w:adjustRightInd w:val="0"/>
        <w:ind w:left="0" w:firstLine="567"/>
        <w:contextualSpacing w:val="0"/>
        <w:rPr>
          <w:lang w:eastAsia="ja-JP"/>
        </w:rPr>
      </w:pPr>
      <w:r>
        <w:rPr>
          <w:rFonts w:hint="eastAsia"/>
          <w:lang w:eastAsia="ja-JP"/>
        </w:rPr>
        <w:t>(a)</w:t>
      </w:r>
      <w:r>
        <w:rPr>
          <w:rFonts w:hint="eastAsia"/>
          <w:lang w:eastAsia="ja-JP"/>
        </w:rPr>
        <w:tab/>
        <w:t>there are</w:t>
      </w:r>
      <w:r w:rsidR="00AE377F">
        <w:rPr>
          <w:rFonts w:hint="eastAsia"/>
          <w:lang w:eastAsia="ja-JP"/>
        </w:rPr>
        <w:t xml:space="preserve"> four categories of denominations</w:t>
      </w:r>
      <w:r w:rsidR="00AE377F">
        <w:rPr>
          <w:lang w:eastAsia="ja-JP"/>
        </w:rPr>
        <w:t xml:space="preserve">: </w:t>
      </w:r>
      <w:r w:rsidR="00AE377F">
        <w:rPr>
          <w:rFonts w:hint="eastAsia"/>
          <w:lang w:eastAsia="ja-JP"/>
        </w:rPr>
        <w:t xml:space="preserve"> </w:t>
      </w:r>
      <w:r w:rsidR="00AE377F">
        <w:rPr>
          <w:lang w:eastAsia="ja-JP"/>
        </w:rPr>
        <w:t>pronounceable</w:t>
      </w:r>
      <w:r w:rsidR="00AE377F">
        <w:rPr>
          <w:rFonts w:hint="eastAsia"/>
          <w:lang w:eastAsia="ja-JP"/>
        </w:rPr>
        <w:t xml:space="preserve"> words</w:t>
      </w:r>
      <w:r w:rsidR="00AE377F">
        <w:rPr>
          <w:lang w:eastAsia="ja-JP"/>
        </w:rPr>
        <w:t xml:space="preserve">; </w:t>
      </w:r>
      <w:r w:rsidR="00AE377F">
        <w:rPr>
          <w:rFonts w:hint="eastAsia"/>
          <w:lang w:eastAsia="ja-JP"/>
        </w:rPr>
        <w:t xml:space="preserve"> letters only (not in the form of </w:t>
      </w:r>
      <w:r w:rsidR="00AE377F">
        <w:rPr>
          <w:lang w:eastAsia="ja-JP"/>
        </w:rPr>
        <w:t>pronounceable</w:t>
      </w:r>
      <w:r w:rsidR="00AE377F">
        <w:rPr>
          <w:rFonts w:hint="eastAsia"/>
          <w:lang w:eastAsia="ja-JP"/>
        </w:rPr>
        <w:t xml:space="preserve"> words)</w:t>
      </w:r>
      <w:r w:rsidR="00AE377F">
        <w:rPr>
          <w:lang w:eastAsia="ja-JP"/>
        </w:rPr>
        <w:t xml:space="preserve">; </w:t>
      </w:r>
      <w:r w:rsidR="00AE377F">
        <w:rPr>
          <w:rFonts w:hint="eastAsia"/>
          <w:lang w:eastAsia="ja-JP"/>
        </w:rPr>
        <w:t xml:space="preserve"> letters and figures</w:t>
      </w:r>
      <w:r w:rsidR="00AE377F">
        <w:rPr>
          <w:lang w:eastAsia="ja-JP"/>
        </w:rPr>
        <w:t xml:space="preserve">; </w:t>
      </w:r>
      <w:r w:rsidR="00AE377F">
        <w:rPr>
          <w:rFonts w:hint="eastAsia"/>
          <w:lang w:eastAsia="ja-JP"/>
        </w:rPr>
        <w:t xml:space="preserve"> and figures only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sidR="00AE377F">
        <w:rPr>
          <w:rFonts w:hint="eastAsia"/>
          <w:lang w:eastAsia="ja-JP"/>
        </w:rPr>
        <w:t xml:space="preserve"> 7);</w:t>
      </w:r>
    </w:p>
    <w:p w:rsidR="00AE377F" w:rsidRDefault="00AE377F" w:rsidP="00AE377F">
      <w:pPr>
        <w:pStyle w:val="ListParagraph"/>
        <w:autoSpaceDE w:val="0"/>
        <w:autoSpaceDN w:val="0"/>
        <w:adjustRightInd w:val="0"/>
        <w:ind w:left="0"/>
        <w:contextualSpacing w:val="0"/>
        <w:rPr>
          <w:lang w:eastAsia="ja-JP"/>
        </w:rPr>
      </w:pPr>
    </w:p>
    <w:p w:rsidR="00AE377F" w:rsidRDefault="00AE377F" w:rsidP="00AE377F">
      <w:pPr>
        <w:pStyle w:val="ListParagraph"/>
        <w:autoSpaceDE w:val="0"/>
        <w:autoSpaceDN w:val="0"/>
        <w:adjustRightInd w:val="0"/>
        <w:ind w:left="0" w:firstLine="540"/>
        <w:contextualSpacing w:val="0"/>
        <w:rPr>
          <w:lang w:eastAsia="ja-JP"/>
        </w:rPr>
      </w:pPr>
      <w:r>
        <w:rPr>
          <w:rFonts w:hint="eastAsia"/>
          <w:lang w:eastAsia="ja-JP"/>
        </w:rPr>
        <w:t>(b)</w:t>
      </w:r>
      <w:r>
        <w:rPr>
          <w:rFonts w:hint="eastAsia"/>
          <w:lang w:eastAsia="ja-JP"/>
        </w:rPr>
        <w:tab/>
        <w:t xml:space="preserve">to add </w:t>
      </w:r>
      <w:r>
        <w:rPr>
          <w:lang w:eastAsia="ja-JP"/>
        </w:rPr>
        <w:t>“</w:t>
      </w:r>
      <w:r>
        <w:rPr>
          <w:rFonts w:hint="eastAsia"/>
          <w:lang w:eastAsia="ja-JP"/>
        </w:rPr>
        <w:t>genera</w:t>
      </w:r>
      <w:r>
        <w:rPr>
          <w:lang w:eastAsia="ja-JP"/>
        </w:rPr>
        <w:t>”</w:t>
      </w:r>
      <w:r>
        <w:rPr>
          <w:rFonts w:hint="eastAsia"/>
          <w:lang w:eastAsia="ja-JP"/>
        </w:rPr>
        <w:t xml:space="preserve"> in the text of Section 2.2.2 (b) as </w:t>
      </w:r>
      <w:r>
        <w:rPr>
          <w:lang w:eastAsia="ja-JP"/>
        </w:rPr>
        <w:t>follows</w:t>
      </w:r>
      <w:r>
        <w:rPr>
          <w:rFonts w:hint="eastAsia"/>
          <w:lang w:eastAsia="ja-JP"/>
        </w:rPr>
        <w:t xml:space="preserve">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Pr>
          <w:rFonts w:hint="eastAsia"/>
          <w:lang w:eastAsia="ja-JP"/>
        </w:rPr>
        <w:t xml:space="preserve"> 9):</w:t>
      </w:r>
    </w:p>
    <w:p w:rsidR="00AE377F" w:rsidRDefault="00AE377F" w:rsidP="00AE377F">
      <w:pPr>
        <w:pStyle w:val="ListParagraph"/>
        <w:autoSpaceDE w:val="0"/>
        <w:autoSpaceDN w:val="0"/>
        <w:adjustRightInd w:val="0"/>
        <w:ind w:left="0"/>
        <w:contextualSpacing w:val="0"/>
        <w:rPr>
          <w:lang w:eastAsia="ja-JP"/>
        </w:rPr>
      </w:pPr>
    </w:p>
    <w:p w:rsidR="00AE377F" w:rsidRDefault="00AE377F" w:rsidP="00A25776">
      <w:pPr>
        <w:pStyle w:val="ListParagraph"/>
        <w:autoSpaceDE w:val="0"/>
        <w:autoSpaceDN w:val="0"/>
        <w:adjustRightInd w:val="0"/>
        <w:ind w:left="1134" w:right="567"/>
        <w:contextualSpacing w:val="0"/>
        <w:rPr>
          <w:lang w:eastAsia="ja-JP"/>
        </w:rPr>
      </w:pPr>
      <w:r>
        <w:rPr>
          <w:lang w:eastAsia="ja-JP"/>
        </w:rPr>
        <w:t>“</w:t>
      </w:r>
      <w:r w:rsidRPr="00DE754B">
        <w:rPr>
          <w:sz w:val="18"/>
          <w:lang w:eastAsia="ja-JP"/>
        </w:rPr>
        <w:t>(b)</w:t>
      </w:r>
      <w:r w:rsidRPr="00DE754B">
        <w:rPr>
          <w:sz w:val="18"/>
          <w:lang w:eastAsia="ja-JP"/>
        </w:rPr>
        <w:tab/>
        <w:t xml:space="preserve">accepted market practices for particular variety types (e.g. hybrids) and particular </w:t>
      </w:r>
      <w:r w:rsidRPr="00DE754B">
        <w:rPr>
          <w:sz w:val="18"/>
          <w:u w:val="single"/>
          <w:lang w:eastAsia="ja-JP"/>
        </w:rPr>
        <w:t>genera/</w:t>
      </w:r>
      <w:r w:rsidRPr="00DE754B">
        <w:rPr>
          <w:sz w:val="18"/>
          <w:lang w:eastAsia="ja-JP"/>
        </w:rPr>
        <w:t>species (e.g. Medicago, Helianthus).</w:t>
      </w:r>
      <w:r w:rsidRPr="003036ED">
        <w:rPr>
          <w:lang w:eastAsia="ja-JP"/>
        </w:rPr>
        <w:t>”</w:t>
      </w:r>
    </w:p>
    <w:p w:rsidR="00AE377F" w:rsidRDefault="00AE377F" w:rsidP="00AE377F">
      <w:pPr>
        <w:pStyle w:val="ListParagraph"/>
        <w:autoSpaceDE w:val="0"/>
        <w:autoSpaceDN w:val="0"/>
        <w:adjustRightInd w:val="0"/>
        <w:ind w:left="0"/>
        <w:contextualSpacing w:val="0"/>
        <w:rPr>
          <w:lang w:eastAsia="ja-JP"/>
        </w:rPr>
      </w:pPr>
    </w:p>
    <w:p w:rsidR="00AE377F" w:rsidRDefault="00AE377F" w:rsidP="00AE377F">
      <w:pPr>
        <w:pStyle w:val="ListParagraph"/>
        <w:autoSpaceDE w:val="0"/>
        <w:autoSpaceDN w:val="0"/>
        <w:adjustRightInd w:val="0"/>
        <w:ind w:left="0" w:firstLine="540"/>
        <w:contextualSpacing w:val="0"/>
        <w:rPr>
          <w:lang w:eastAsia="ja-JP"/>
        </w:rPr>
      </w:pPr>
      <w:r>
        <w:rPr>
          <w:rFonts w:hint="eastAsia"/>
          <w:lang w:eastAsia="ja-JP"/>
        </w:rPr>
        <w:t>(c)</w:t>
      </w:r>
      <w:r w:rsidRPr="007B07B2">
        <w:tab/>
      </w:r>
      <w:r w:rsidR="00683D46">
        <w:t xml:space="preserve">to </w:t>
      </w:r>
      <w:r>
        <w:rPr>
          <w:rFonts w:hint="eastAsia"/>
          <w:lang w:eastAsia="ja-JP"/>
        </w:rPr>
        <w:t>add a new paragraph (c) in Section 2.2.2, as proposed by the CAJ-AG at its ninth session, held in Geneva, on October 14 and 17, 2014</w:t>
      </w:r>
      <w:r>
        <w:rPr>
          <w:lang w:eastAsia="ja-JP"/>
        </w:rPr>
        <w:t>,</w:t>
      </w:r>
      <w:r>
        <w:rPr>
          <w:rFonts w:hint="eastAsia"/>
          <w:lang w:eastAsia="ja-JP"/>
        </w:rPr>
        <w:t xml:space="preserve"> as follows (</w:t>
      </w:r>
      <w:r w:rsidR="00C27CCC">
        <w:rPr>
          <w:rFonts w:hint="eastAsia"/>
          <w:lang w:eastAsia="ja-JP"/>
        </w:rPr>
        <w:t xml:space="preserve">see document UPOV/WG-DEN/1/6 </w:t>
      </w:r>
      <w:r w:rsidR="00C27CCC">
        <w:rPr>
          <w:lang w:eastAsia="ja-JP"/>
        </w:rPr>
        <w:t>“</w:t>
      </w:r>
      <w:r w:rsidR="00C27CCC">
        <w:rPr>
          <w:rFonts w:hint="eastAsia"/>
          <w:lang w:eastAsia="ja-JP"/>
        </w:rPr>
        <w:t>Report</w:t>
      </w:r>
      <w:r w:rsidR="00C27CCC">
        <w:rPr>
          <w:lang w:eastAsia="ja-JP"/>
        </w:rPr>
        <w:t>”</w:t>
      </w:r>
      <w:r w:rsidR="00683D46">
        <w:rPr>
          <w:lang w:eastAsia="ja-JP"/>
        </w:rPr>
        <w:t>,</w:t>
      </w:r>
      <w:r w:rsidR="00683D46">
        <w:rPr>
          <w:rFonts w:hint="eastAsia"/>
          <w:lang w:eastAsia="ja-JP"/>
        </w:rPr>
        <w:t xml:space="preserve"> paragraph</w:t>
      </w:r>
      <w:r w:rsidR="00683D46">
        <w:rPr>
          <w:lang w:eastAsia="ja-JP"/>
        </w:rPr>
        <w:t> </w:t>
      </w:r>
      <w:r w:rsidR="00C27CCC">
        <w:rPr>
          <w:rFonts w:hint="eastAsia"/>
          <w:lang w:eastAsia="ja-JP"/>
        </w:rPr>
        <w:t>10):</w:t>
      </w:r>
    </w:p>
    <w:p w:rsidR="00AE377F" w:rsidRDefault="00AE377F" w:rsidP="00AE377F">
      <w:pPr>
        <w:pStyle w:val="ListParagraph"/>
        <w:autoSpaceDE w:val="0"/>
        <w:autoSpaceDN w:val="0"/>
        <w:adjustRightInd w:val="0"/>
        <w:ind w:left="0"/>
        <w:contextualSpacing w:val="0"/>
        <w:rPr>
          <w:lang w:eastAsia="ja-JP"/>
        </w:rPr>
      </w:pPr>
    </w:p>
    <w:p w:rsidR="00AE377F" w:rsidRDefault="00AE377F" w:rsidP="00A25776">
      <w:pPr>
        <w:pStyle w:val="ListParagraph"/>
        <w:autoSpaceDE w:val="0"/>
        <w:autoSpaceDN w:val="0"/>
        <w:adjustRightInd w:val="0"/>
        <w:ind w:left="1134" w:right="567"/>
        <w:contextualSpacing w:val="0"/>
        <w:rPr>
          <w:lang w:eastAsia="ja-JP"/>
        </w:rPr>
      </w:pPr>
      <w:r w:rsidRPr="00573E87">
        <w:rPr>
          <w:lang w:eastAsia="ja-JP"/>
        </w:rPr>
        <w:t>“</w:t>
      </w:r>
      <w:r w:rsidRPr="00DE754B">
        <w:rPr>
          <w:sz w:val="18"/>
          <w:lang w:eastAsia="ja-JP"/>
        </w:rPr>
        <w:t>(c)</w:t>
      </w:r>
      <w:r w:rsidRPr="00DE754B">
        <w:rPr>
          <w:sz w:val="18"/>
          <w:lang w:eastAsia="ja-JP"/>
        </w:rPr>
        <w:tab/>
        <w:t>‘established practice’ is determined to be when registration has been accepted for one species or group, so that it can be used in other species which have not yet registered any variety whose denomination consists solely of figures.</w:t>
      </w:r>
      <w:r w:rsidRPr="00573E87">
        <w:rPr>
          <w:lang w:eastAsia="ja-JP"/>
        </w:rPr>
        <w:t>”</w:t>
      </w:r>
    </w:p>
    <w:p w:rsidR="00AE377F" w:rsidRDefault="00AE377F" w:rsidP="00AE377F">
      <w:pPr>
        <w:pStyle w:val="ListParagraph"/>
        <w:autoSpaceDE w:val="0"/>
        <w:autoSpaceDN w:val="0"/>
        <w:adjustRightInd w:val="0"/>
        <w:ind w:left="0"/>
        <w:contextualSpacing w:val="0"/>
        <w:rPr>
          <w:lang w:eastAsia="ja-JP"/>
        </w:rPr>
      </w:pPr>
    </w:p>
    <w:p w:rsidR="00AE377F" w:rsidRDefault="00AE377F" w:rsidP="00AE377F">
      <w:pPr>
        <w:pStyle w:val="ListParagraph"/>
        <w:autoSpaceDE w:val="0"/>
        <w:autoSpaceDN w:val="0"/>
        <w:adjustRightInd w:val="0"/>
        <w:ind w:left="0"/>
        <w:contextualSpacing w:val="0"/>
        <w:rPr>
          <w:lang w:eastAsia="ja-JP"/>
        </w:rPr>
      </w:pPr>
      <w:r>
        <w:rPr>
          <w:rFonts w:hint="eastAsia"/>
          <w:lang w:eastAsia="ja-JP"/>
        </w:rPr>
        <w:tab/>
      </w:r>
      <w:r w:rsidR="00E02B4F">
        <w:rPr>
          <w:rFonts w:hint="eastAsia"/>
          <w:lang w:eastAsia="ja-JP"/>
        </w:rPr>
        <w:t>(d)</w:t>
      </w:r>
      <w:r w:rsidR="00E02B4F">
        <w:rPr>
          <w:rFonts w:hint="eastAsia"/>
          <w:lang w:eastAsia="ja-JP"/>
        </w:rPr>
        <w:tab/>
        <w:t xml:space="preserve">to delete </w:t>
      </w:r>
      <w:r w:rsidR="00E02B4F">
        <w:rPr>
          <w:lang w:eastAsia="ja-JP"/>
        </w:rPr>
        <w:t xml:space="preserve">Section 2.3.1 </w:t>
      </w:r>
      <w:r w:rsidR="00E02B4F">
        <w:rPr>
          <w:rFonts w:hint="eastAsia"/>
          <w:lang w:eastAsia="ja-JP"/>
        </w:rPr>
        <w:t xml:space="preserve">(c) from document UPOV/INF/12 because it was not feasible to assess the situation and noted that certain related issues were covered by </w:t>
      </w:r>
      <w:r w:rsidR="00E02B4F">
        <w:rPr>
          <w:lang w:eastAsia="ja-JP"/>
        </w:rPr>
        <w:t xml:space="preserve">Section </w:t>
      </w:r>
      <w:r w:rsidR="00E02B4F">
        <w:rPr>
          <w:rFonts w:hint="eastAsia"/>
          <w:lang w:eastAsia="ja-JP"/>
        </w:rPr>
        <w:t xml:space="preserve">2.3.4 </w:t>
      </w:r>
      <w:r w:rsidR="00E02B4F">
        <w:rPr>
          <w:lang w:eastAsia="ja-JP"/>
        </w:rPr>
        <w:t>“</w:t>
      </w:r>
      <w:r w:rsidR="00E02B4F">
        <w:rPr>
          <w:rFonts w:hint="eastAsia"/>
          <w:lang w:eastAsia="ja-JP"/>
        </w:rPr>
        <w:t>Identity of the breeder</w:t>
      </w:r>
      <w:r w:rsidR="00E02B4F">
        <w:rPr>
          <w:lang w:eastAsia="ja-JP"/>
        </w:rPr>
        <w:t>”</w:t>
      </w:r>
      <w:r w:rsidR="00E02B4F">
        <w:rPr>
          <w:rFonts w:hint="eastAsia"/>
          <w:lang w:eastAsia="ja-JP"/>
        </w:rPr>
        <w:t xml:space="preserve">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sidR="00C27CCC">
        <w:rPr>
          <w:rFonts w:hint="eastAsia"/>
          <w:lang w:eastAsia="ja-JP"/>
        </w:rPr>
        <w:t xml:space="preserve"> 15);</w:t>
      </w:r>
    </w:p>
    <w:p w:rsidR="00AE377F" w:rsidRDefault="00AE377F" w:rsidP="009D473D">
      <w:pPr>
        <w:rPr>
          <w:snapToGrid w:val="0"/>
          <w:lang w:eastAsia="ja-JP"/>
        </w:rPr>
      </w:pPr>
    </w:p>
    <w:p w:rsidR="00E02B4F" w:rsidRDefault="00E02B4F" w:rsidP="009D473D">
      <w:pPr>
        <w:ind w:firstLine="567"/>
        <w:rPr>
          <w:lang w:eastAsia="ja-JP"/>
        </w:rPr>
      </w:pPr>
      <w:r>
        <w:rPr>
          <w:rFonts w:hint="eastAsia"/>
          <w:lang w:eastAsia="ja-JP"/>
        </w:rPr>
        <w:t xml:space="preserve">(e) </w:t>
      </w:r>
      <w:r>
        <w:rPr>
          <w:rFonts w:hint="eastAsia"/>
          <w:lang w:eastAsia="ja-JP"/>
        </w:rPr>
        <w:tab/>
        <w:t>superlatives and comparatives should only be unacceptable if they misle</w:t>
      </w:r>
      <w:r w:rsidR="008E1682">
        <w:rPr>
          <w:rFonts w:hint="eastAsia"/>
          <w:lang w:eastAsia="ja-JP"/>
        </w:rPr>
        <w:t>a</w:t>
      </w:r>
      <w:r>
        <w:rPr>
          <w:rFonts w:hint="eastAsia"/>
          <w:lang w:eastAsia="ja-JP"/>
        </w:rPr>
        <w:t>d or cause confusion concerning the characteristics of the variety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Pr>
          <w:rFonts w:hint="eastAsia"/>
          <w:lang w:eastAsia="ja-JP"/>
        </w:rPr>
        <w:t xml:space="preserve"> 18)</w:t>
      </w:r>
      <w:r w:rsidR="00C27CCC">
        <w:rPr>
          <w:rFonts w:hint="eastAsia"/>
          <w:lang w:eastAsia="ja-JP"/>
        </w:rPr>
        <w:t>;</w:t>
      </w:r>
    </w:p>
    <w:p w:rsidR="00AE377F" w:rsidRDefault="00AE377F" w:rsidP="009D473D">
      <w:pPr>
        <w:ind w:firstLine="567"/>
        <w:rPr>
          <w:snapToGrid w:val="0"/>
          <w:lang w:eastAsia="ja-JP"/>
        </w:rPr>
      </w:pPr>
    </w:p>
    <w:p w:rsidR="00E02B4F" w:rsidRDefault="00E02B4F" w:rsidP="009D473D">
      <w:pPr>
        <w:ind w:firstLine="567"/>
        <w:rPr>
          <w:lang w:eastAsia="ja-JP"/>
        </w:rPr>
      </w:pPr>
      <w:r>
        <w:rPr>
          <w:rFonts w:hint="eastAsia"/>
          <w:lang w:eastAsia="ja-JP"/>
        </w:rPr>
        <w:t xml:space="preserve">(f) </w:t>
      </w:r>
      <w:r>
        <w:rPr>
          <w:rFonts w:hint="eastAsia"/>
          <w:lang w:eastAsia="ja-JP"/>
        </w:rPr>
        <w:tab/>
        <w:t>on Section 2.3.3 (a)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Pr>
          <w:rFonts w:hint="eastAsia"/>
          <w:lang w:eastAsia="ja-JP"/>
        </w:rPr>
        <w:t xml:space="preserve"> 22):</w:t>
      </w:r>
    </w:p>
    <w:p w:rsidR="00E02B4F" w:rsidRDefault="00E02B4F" w:rsidP="00E02B4F">
      <w:pPr>
        <w:pStyle w:val="ListParagraph"/>
        <w:autoSpaceDE w:val="0"/>
        <w:autoSpaceDN w:val="0"/>
        <w:adjustRightInd w:val="0"/>
        <w:ind w:left="567"/>
        <w:contextualSpacing w:val="0"/>
        <w:rPr>
          <w:lang w:eastAsia="ja-JP"/>
        </w:rPr>
      </w:pPr>
    </w:p>
    <w:p w:rsidR="00E02B4F" w:rsidRDefault="00E02B4F" w:rsidP="00A25776">
      <w:pPr>
        <w:pStyle w:val="ListParagraph"/>
        <w:numPr>
          <w:ilvl w:val="0"/>
          <w:numId w:val="8"/>
        </w:numPr>
        <w:autoSpaceDE w:val="0"/>
        <w:autoSpaceDN w:val="0"/>
        <w:adjustRightInd w:val="0"/>
        <w:ind w:left="567" w:firstLine="709"/>
        <w:contextualSpacing w:val="0"/>
        <w:rPr>
          <w:lang w:eastAsia="ja-JP"/>
        </w:rPr>
      </w:pPr>
      <w:r>
        <w:rPr>
          <w:rFonts w:hint="eastAsia"/>
          <w:lang w:eastAsia="ja-JP"/>
        </w:rPr>
        <w:t xml:space="preserve">delete the example of </w:t>
      </w:r>
      <w:r>
        <w:rPr>
          <w:lang w:eastAsia="ja-JP"/>
        </w:rPr>
        <w:t>“</w:t>
      </w:r>
      <w:r>
        <w:rPr>
          <w:rFonts w:hint="eastAsia"/>
          <w:lang w:eastAsia="ja-JP"/>
        </w:rPr>
        <w:t>Lion</w:t>
      </w:r>
      <w:r>
        <w:rPr>
          <w:lang w:eastAsia="ja-JP"/>
        </w:rPr>
        <w:t>”</w:t>
      </w:r>
      <w:r>
        <w:rPr>
          <w:rFonts w:hint="eastAsia"/>
          <w:lang w:eastAsia="ja-JP"/>
        </w:rPr>
        <w:t xml:space="preserve"> and </w:t>
      </w:r>
      <w:r>
        <w:rPr>
          <w:lang w:eastAsia="ja-JP"/>
        </w:rPr>
        <w:t>“</w:t>
      </w:r>
      <w:r>
        <w:rPr>
          <w:rFonts w:hint="eastAsia"/>
          <w:lang w:eastAsia="ja-JP"/>
        </w:rPr>
        <w:t>Raion</w:t>
      </w:r>
      <w:r>
        <w:rPr>
          <w:lang w:eastAsia="ja-JP"/>
        </w:rPr>
        <w:t>”</w:t>
      </w:r>
      <w:r w:rsidR="00A945DC">
        <w:rPr>
          <w:lang w:eastAsia="ja-JP"/>
        </w:rPr>
        <w:t>,</w:t>
      </w:r>
      <w:r w:rsidR="00143B7A">
        <w:rPr>
          <w:rFonts w:hint="eastAsia"/>
          <w:lang w:eastAsia="ja-JP"/>
        </w:rPr>
        <w:t xml:space="preserve"> and</w:t>
      </w:r>
    </w:p>
    <w:p w:rsidR="00E02B4F" w:rsidRDefault="00E02B4F" w:rsidP="00A25776">
      <w:pPr>
        <w:pStyle w:val="ListParagraph"/>
        <w:autoSpaceDE w:val="0"/>
        <w:autoSpaceDN w:val="0"/>
        <w:adjustRightInd w:val="0"/>
        <w:ind w:left="567" w:firstLine="709"/>
        <w:contextualSpacing w:val="0"/>
        <w:rPr>
          <w:lang w:eastAsia="ja-JP"/>
        </w:rPr>
      </w:pPr>
    </w:p>
    <w:p w:rsidR="00E02B4F" w:rsidRDefault="00E02B4F" w:rsidP="00A25776">
      <w:pPr>
        <w:pStyle w:val="ListParagraph"/>
        <w:numPr>
          <w:ilvl w:val="0"/>
          <w:numId w:val="8"/>
        </w:numPr>
        <w:autoSpaceDE w:val="0"/>
        <w:autoSpaceDN w:val="0"/>
        <w:adjustRightInd w:val="0"/>
        <w:ind w:left="567" w:firstLine="709"/>
        <w:contextualSpacing w:val="0"/>
        <w:rPr>
          <w:lang w:eastAsia="ja-JP"/>
        </w:rPr>
      </w:pPr>
      <w:r>
        <w:rPr>
          <w:rFonts w:hint="eastAsia"/>
          <w:lang w:eastAsia="ja-JP"/>
        </w:rPr>
        <w:t xml:space="preserve">add </w:t>
      </w:r>
      <w:r>
        <w:rPr>
          <w:lang w:eastAsia="ja-JP"/>
        </w:rPr>
        <w:t>“</w:t>
      </w:r>
      <w:r>
        <w:rPr>
          <w:rFonts w:hint="eastAsia"/>
          <w:lang w:eastAsia="ja-JP"/>
        </w:rPr>
        <w:t>Helena</w:t>
      </w:r>
      <w:r>
        <w:rPr>
          <w:lang w:eastAsia="ja-JP"/>
        </w:rPr>
        <w:t>”</w:t>
      </w:r>
      <w:r>
        <w:rPr>
          <w:rFonts w:hint="eastAsia"/>
          <w:lang w:eastAsia="ja-JP"/>
        </w:rPr>
        <w:t xml:space="preserve"> and </w:t>
      </w:r>
      <w:r>
        <w:rPr>
          <w:lang w:eastAsia="ja-JP"/>
        </w:rPr>
        <w:t>“</w:t>
      </w:r>
      <w:r>
        <w:rPr>
          <w:rFonts w:hint="eastAsia"/>
          <w:lang w:eastAsia="ja-JP"/>
        </w:rPr>
        <w:t>Elena</w:t>
      </w:r>
      <w:r>
        <w:rPr>
          <w:lang w:eastAsia="ja-JP"/>
        </w:rPr>
        <w:t>”</w:t>
      </w:r>
      <w:r>
        <w:rPr>
          <w:rFonts w:hint="eastAsia"/>
          <w:lang w:eastAsia="ja-JP"/>
        </w:rPr>
        <w:t xml:space="preserve"> as an example of a</w:t>
      </w:r>
      <w:r w:rsidRPr="00756757">
        <w:rPr>
          <w:lang w:eastAsia="ja-JP"/>
        </w:rPr>
        <w:t xml:space="preserve"> clear visual difference </w:t>
      </w:r>
      <w:r>
        <w:rPr>
          <w:rFonts w:hint="eastAsia"/>
          <w:lang w:eastAsia="ja-JP"/>
        </w:rPr>
        <w:t xml:space="preserve">that </w:t>
      </w:r>
      <w:r w:rsidRPr="00756757">
        <w:rPr>
          <w:lang w:eastAsia="ja-JP"/>
        </w:rPr>
        <w:t xml:space="preserve">may not provide a clear phonetic difference in a language </w:t>
      </w:r>
      <w:r>
        <w:rPr>
          <w:lang w:eastAsia="ja-JP"/>
        </w:rPr>
        <w:t>o</w:t>
      </w:r>
      <w:r w:rsidR="00143B7A">
        <w:rPr>
          <w:lang w:eastAsia="ja-JP"/>
        </w:rPr>
        <w:t>ther than English (in Spanish);</w:t>
      </w:r>
    </w:p>
    <w:p w:rsidR="00E02B4F" w:rsidRDefault="00E02B4F" w:rsidP="00E02B4F">
      <w:pPr>
        <w:pStyle w:val="ListParagraph"/>
        <w:autoSpaceDE w:val="0"/>
        <w:autoSpaceDN w:val="0"/>
        <w:adjustRightInd w:val="0"/>
        <w:ind w:left="567" w:firstLine="851"/>
        <w:contextualSpacing w:val="0"/>
        <w:rPr>
          <w:lang w:eastAsia="ja-JP"/>
        </w:rPr>
      </w:pPr>
    </w:p>
    <w:p w:rsidR="00376C8B" w:rsidRDefault="00376C8B" w:rsidP="00376C8B">
      <w:pPr>
        <w:pStyle w:val="ListParagraph"/>
        <w:autoSpaceDE w:val="0"/>
        <w:autoSpaceDN w:val="0"/>
        <w:adjustRightInd w:val="0"/>
        <w:ind w:left="0" w:firstLine="567"/>
        <w:contextualSpacing w:val="0"/>
        <w:rPr>
          <w:lang w:eastAsia="ja-JP"/>
        </w:rPr>
      </w:pPr>
      <w:r>
        <w:rPr>
          <w:rFonts w:hint="eastAsia"/>
          <w:lang w:eastAsia="ja-JP"/>
        </w:rPr>
        <w:t>(g)</w:t>
      </w:r>
      <w:r>
        <w:rPr>
          <w:rFonts w:hint="eastAsia"/>
          <w:lang w:eastAsia="ja-JP"/>
        </w:rPr>
        <w:tab/>
      </w:r>
      <w:r w:rsidR="008E1682">
        <w:rPr>
          <w:rFonts w:hint="eastAsia"/>
          <w:lang w:eastAsia="ja-JP"/>
        </w:rPr>
        <w:t xml:space="preserve">with regard to the term </w:t>
      </w:r>
      <w:r w:rsidR="008E1682">
        <w:rPr>
          <w:lang w:eastAsia="ja-JP"/>
        </w:rPr>
        <w:t>“</w:t>
      </w:r>
      <w:r w:rsidR="008E1682">
        <w:rPr>
          <w:rFonts w:hint="eastAsia"/>
          <w:lang w:eastAsia="ja-JP"/>
        </w:rPr>
        <w:t>variety</w:t>
      </w:r>
      <w:r w:rsidR="008E1682">
        <w:rPr>
          <w:lang w:eastAsia="ja-JP"/>
        </w:rPr>
        <w:t>”</w:t>
      </w:r>
      <w:r w:rsidR="008E1682">
        <w:rPr>
          <w:rFonts w:hint="eastAsia"/>
          <w:lang w:eastAsia="ja-JP"/>
        </w:rPr>
        <w:t xml:space="preserve"> contained in s</w:t>
      </w:r>
      <w:r w:rsidR="008E1682" w:rsidRPr="008E1682">
        <w:rPr>
          <w:lang w:eastAsia="ja-JP"/>
        </w:rPr>
        <w:t>ection 2.4</w:t>
      </w:r>
      <w:r w:rsidR="008E1682" w:rsidRPr="008E1682">
        <w:rPr>
          <w:lang w:eastAsia="ja-JP"/>
        </w:rPr>
        <w:tab/>
        <w:t>“Different from an existing variety of the same plant species or of a closely related species”</w:t>
      </w:r>
      <w:r w:rsidR="008E1682">
        <w:rPr>
          <w:rFonts w:hint="eastAsia"/>
          <w:lang w:eastAsia="ja-JP"/>
        </w:rPr>
        <w:t xml:space="preserve">, the WG-DEN clarified that </w:t>
      </w:r>
      <w:r>
        <w:rPr>
          <w:rFonts w:hint="eastAsia"/>
          <w:lang w:eastAsia="ja-JP"/>
        </w:rPr>
        <w:t>the term related to the definition of variety as defined in Article 1 (vi) of the 1991 Act of the UPOV Convention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sidR="00C27CCC">
        <w:rPr>
          <w:rFonts w:hint="eastAsia"/>
          <w:lang w:eastAsia="ja-JP"/>
        </w:rPr>
        <w:t xml:space="preserve"> 32);</w:t>
      </w:r>
    </w:p>
    <w:p w:rsidR="008E1682" w:rsidRDefault="008E1682" w:rsidP="00376C8B">
      <w:pPr>
        <w:pStyle w:val="ListParagraph"/>
        <w:autoSpaceDE w:val="0"/>
        <w:autoSpaceDN w:val="0"/>
        <w:adjustRightInd w:val="0"/>
        <w:ind w:left="0" w:firstLine="567"/>
        <w:contextualSpacing w:val="0"/>
        <w:rPr>
          <w:lang w:eastAsia="ja-JP"/>
        </w:rPr>
      </w:pPr>
    </w:p>
    <w:p w:rsidR="00376C8B" w:rsidRDefault="00376C8B" w:rsidP="00376C8B">
      <w:pPr>
        <w:pStyle w:val="ListParagraph"/>
        <w:autoSpaceDE w:val="0"/>
        <w:autoSpaceDN w:val="0"/>
        <w:adjustRightInd w:val="0"/>
        <w:ind w:left="0" w:firstLine="567"/>
        <w:contextualSpacing w:val="0"/>
        <w:rPr>
          <w:lang w:eastAsia="ja-JP"/>
        </w:rPr>
      </w:pPr>
      <w:r>
        <w:rPr>
          <w:rFonts w:hint="eastAsia"/>
          <w:lang w:eastAsia="ja-JP"/>
        </w:rPr>
        <w:t>(h)</w:t>
      </w:r>
      <w:r>
        <w:rPr>
          <w:rFonts w:hint="eastAsia"/>
          <w:lang w:eastAsia="ja-JP"/>
        </w:rPr>
        <w:tab/>
        <w:t>guidance concerning denominations belonging to the same denomination class should be the same, irrespective of whether the denomination class followed the general rule or was one of the exceptional classes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sidR="00C27CCC">
        <w:rPr>
          <w:rFonts w:hint="eastAsia"/>
          <w:lang w:eastAsia="ja-JP"/>
        </w:rPr>
        <w:t xml:space="preserve"> 33);</w:t>
      </w:r>
    </w:p>
    <w:p w:rsidR="00376C8B" w:rsidRDefault="00376C8B" w:rsidP="00376C8B">
      <w:pPr>
        <w:pStyle w:val="ListParagraph"/>
        <w:autoSpaceDE w:val="0"/>
        <w:autoSpaceDN w:val="0"/>
        <w:adjustRightInd w:val="0"/>
        <w:ind w:left="0" w:firstLine="567"/>
        <w:contextualSpacing w:val="0"/>
        <w:rPr>
          <w:lang w:eastAsia="ja-JP"/>
        </w:rPr>
      </w:pPr>
    </w:p>
    <w:p w:rsidR="00376C8B" w:rsidRDefault="00376C8B" w:rsidP="00376C8B">
      <w:pPr>
        <w:pStyle w:val="ListParagraph"/>
        <w:autoSpaceDE w:val="0"/>
        <w:autoSpaceDN w:val="0"/>
        <w:adjustRightInd w:val="0"/>
        <w:ind w:left="0" w:firstLine="567"/>
        <w:contextualSpacing w:val="0"/>
        <w:rPr>
          <w:lang w:eastAsia="ja-JP"/>
        </w:rPr>
      </w:pPr>
      <w:r>
        <w:rPr>
          <w:rFonts w:hint="eastAsia"/>
          <w:lang w:eastAsia="ja-JP"/>
        </w:rPr>
        <w:lastRenderedPageBreak/>
        <w:t>(i)</w:t>
      </w:r>
      <w:r>
        <w:rPr>
          <w:rFonts w:hint="eastAsia"/>
          <w:lang w:eastAsia="ja-JP"/>
        </w:rPr>
        <w:tab/>
        <w:t xml:space="preserve">the term </w:t>
      </w:r>
      <w:r>
        <w:rPr>
          <w:lang w:eastAsia="ja-JP"/>
        </w:rPr>
        <w:t>“</w:t>
      </w:r>
      <w:r>
        <w:rPr>
          <w:rFonts w:hint="eastAsia"/>
          <w:lang w:eastAsia="ja-JP"/>
        </w:rPr>
        <w:t>UPOV-ROM</w:t>
      </w:r>
      <w:r>
        <w:rPr>
          <w:lang w:eastAsia="ja-JP"/>
        </w:rPr>
        <w:t>”</w:t>
      </w:r>
      <w:r>
        <w:rPr>
          <w:rFonts w:hint="eastAsia"/>
          <w:lang w:eastAsia="ja-JP"/>
        </w:rPr>
        <w:t xml:space="preserve"> should be replaced by </w:t>
      </w:r>
      <w:r>
        <w:rPr>
          <w:lang w:eastAsia="ja-JP"/>
        </w:rPr>
        <w:t>“</w:t>
      </w:r>
      <w:r>
        <w:rPr>
          <w:rFonts w:hint="eastAsia"/>
          <w:lang w:eastAsia="ja-JP"/>
        </w:rPr>
        <w:t>PLUTO database</w:t>
      </w:r>
      <w:r>
        <w:rPr>
          <w:lang w:eastAsia="ja-JP"/>
        </w:rPr>
        <w:t>”</w:t>
      </w:r>
      <w:r>
        <w:rPr>
          <w:rFonts w:hint="eastAsia"/>
          <w:lang w:eastAsia="ja-JP"/>
        </w:rPr>
        <w:t xml:space="preserve"> </w:t>
      </w:r>
      <w:r w:rsidR="008E1682">
        <w:rPr>
          <w:rFonts w:hint="eastAsia"/>
          <w:lang w:eastAsia="ja-JP"/>
        </w:rPr>
        <w:t>i</w:t>
      </w:r>
      <w:r w:rsidR="009251B0">
        <w:rPr>
          <w:rFonts w:hint="eastAsia"/>
          <w:lang w:eastAsia="ja-JP"/>
        </w:rPr>
        <w:t>n S</w:t>
      </w:r>
      <w:r>
        <w:rPr>
          <w:rFonts w:hint="eastAsia"/>
          <w:lang w:eastAsia="ja-JP"/>
        </w:rPr>
        <w:t>ection 2.5.3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sidR="00C27CCC">
        <w:rPr>
          <w:rFonts w:hint="eastAsia"/>
          <w:lang w:eastAsia="ja-JP"/>
        </w:rPr>
        <w:t xml:space="preserve"> 36);</w:t>
      </w:r>
    </w:p>
    <w:p w:rsidR="00376C8B" w:rsidRDefault="00376C8B" w:rsidP="00376C8B">
      <w:pPr>
        <w:pStyle w:val="ListParagraph"/>
        <w:autoSpaceDE w:val="0"/>
        <w:autoSpaceDN w:val="0"/>
        <w:adjustRightInd w:val="0"/>
        <w:ind w:left="0"/>
        <w:contextualSpacing w:val="0"/>
        <w:rPr>
          <w:lang w:eastAsia="ja-JP"/>
        </w:rPr>
      </w:pPr>
    </w:p>
    <w:p w:rsidR="00376C8B" w:rsidRDefault="00376C8B" w:rsidP="00376C8B">
      <w:pPr>
        <w:pStyle w:val="ListParagraph"/>
        <w:autoSpaceDE w:val="0"/>
        <w:autoSpaceDN w:val="0"/>
        <w:adjustRightInd w:val="0"/>
        <w:ind w:left="0" w:firstLine="567"/>
        <w:contextualSpacing w:val="0"/>
        <w:rPr>
          <w:lang w:eastAsia="ja-JP"/>
        </w:rPr>
      </w:pPr>
      <w:r>
        <w:rPr>
          <w:rFonts w:hint="eastAsia"/>
          <w:lang w:eastAsia="ja-JP"/>
        </w:rPr>
        <w:t>(j)</w:t>
      </w:r>
      <w:r>
        <w:rPr>
          <w:rFonts w:hint="eastAsia"/>
          <w:lang w:eastAsia="ja-JP"/>
        </w:rPr>
        <w:tab/>
        <w:t>not to change the current text of the explanatory note on</w:t>
      </w:r>
      <w:r w:rsidRPr="00376C8B">
        <w:t xml:space="preserve"> </w:t>
      </w:r>
      <w:r w:rsidRPr="00376C8B">
        <w:rPr>
          <w:lang w:eastAsia="ja-JP"/>
        </w:rPr>
        <w:t>Section 3 “Registration of the denomination”</w:t>
      </w:r>
      <w:r>
        <w:rPr>
          <w:rFonts w:hint="eastAsia"/>
          <w:lang w:eastAsia="ja-JP"/>
        </w:rPr>
        <w:t xml:space="preserve">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sidR="00C27CCC">
        <w:rPr>
          <w:rFonts w:hint="eastAsia"/>
          <w:lang w:eastAsia="ja-JP"/>
        </w:rPr>
        <w:t xml:space="preserve"> 37);</w:t>
      </w:r>
    </w:p>
    <w:p w:rsidR="00376C8B" w:rsidRDefault="00376C8B" w:rsidP="009D473D">
      <w:pPr>
        <w:rPr>
          <w:snapToGrid w:val="0"/>
          <w:lang w:eastAsia="ja-JP"/>
        </w:rPr>
      </w:pPr>
    </w:p>
    <w:p w:rsidR="0035314A" w:rsidRDefault="0035314A" w:rsidP="0035314A">
      <w:pPr>
        <w:pStyle w:val="ListParagraph"/>
        <w:autoSpaceDE w:val="0"/>
        <w:autoSpaceDN w:val="0"/>
        <w:adjustRightInd w:val="0"/>
        <w:ind w:left="0" w:firstLine="540"/>
        <w:contextualSpacing w:val="0"/>
        <w:rPr>
          <w:lang w:eastAsia="ja-JP"/>
        </w:rPr>
      </w:pPr>
      <w:r>
        <w:rPr>
          <w:rFonts w:hint="eastAsia"/>
          <w:lang w:eastAsia="ja-JP"/>
        </w:rPr>
        <w:t>(k)</w:t>
      </w:r>
      <w:r>
        <w:rPr>
          <w:rFonts w:hint="eastAsia"/>
          <w:lang w:eastAsia="ja-JP"/>
        </w:rPr>
        <w:tab/>
        <w:t>a modification of the last sentence of Section 4(e)(i) as proposed by CAJ</w:t>
      </w:r>
      <w:r>
        <w:rPr>
          <w:lang w:eastAsia="ja-JP"/>
        </w:rPr>
        <w:noBreakHyphen/>
      </w:r>
      <w:r>
        <w:rPr>
          <w:rFonts w:hint="eastAsia"/>
          <w:lang w:eastAsia="ja-JP"/>
        </w:rPr>
        <w:t>AG, as follows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 40)</w:t>
      </w:r>
      <w:r w:rsidR="00683D46">
        <w:rPr>
          <w:lang w:eastAsia="ja-JP"/>
        </w:rPr>
        <w:t>:</w:t>
      </w:r>
    </w:p>
    <w:p w:rsidR="0035314A" w:rsidRDefault="0035314A" w:rsidP="0035314A">
      <w:pPr>
        <w:pStyle w:val="ListParagraph"/>
        <w:autoSpaceDE w:val="0"/>
        <w:autoSpaceDN w:val="0"/>
        <w:adjustRightInd w:val="0"/>
        <w:ind w:left="0"/>
        <w:contextualSpacing w:val="0"/>
        <w:rPr>
          <w:lang w:eastAsia="ja-JP"/>
        </w:rPr>
      </w:pPr>
    </w:p>
    <w:p w:rsidR="0035314A" w:rsidRDefault="0035314A" w:rsidP="00A25776">
      <w:pPr>
        <w:ind w:left="1134" w:right="567"/>
        <w:rPr>
          <w:sz w:val="18"/>
          <w:szCs w:val="18"/>
        </w:rPr>
      </w:pPr>
      <w:r w:rsidRPr="00BA5EEC">
        <w:rPr>
          <w:sz w:val="18"/>
          <w:szCs w:val="18"/>
        </w:rPr>
        <w:t xml:space="preserve">“In cases of mere similarity or small likelihood of </w:t>
      </w:r>
      <w:r w:rsidRPr="00BA5EEC">
        <w:rPr>
          <w:strike/>
          <w:sz w:val="18"/>
          <w:szCs w:val="18"/>
        </w:rPr>
        <w:t>association</w:t>
      </w:r>
      <w:r w:rsidRPr="00BA5EEC">
        <w:rPr>
          <w:sz w:val="18"/>
          <w:szCs w:val="18"/>
        </w:rPr>
        <w:t xml:space="preserve"> </w:t>
      </w:r>
      <w:r w:rsidRPr="00BA5EEC">
        <w:rPr>
          <w:sz w:val="18"/>
          <w:szCs w:val="18"/>
          <w:u w:val="single"/>
        </w:rPr>
        <w:t>confusion</w:t>
      </w:r>
      <w:r w:rsidRPr="00BA5EEC">
        <w:rPr>
          <w:sz w:val="18"/>
          <w:szCs w:val="18"/>
        </w:rPr>
        <w:t xml:space="preserve"> by users, waivers granted to breeders by prior trademark right holders could be a suitable solution.”</w:t>
      </w:r>
    </w:p>
    <w:p w:rsidR="00376C8B" w:rsidRDefault="00376C8B" w:rsidP="00683D46">
      <w:pPr>
        <w:rPr>
          <w:snapToGrid w:val="0"/>
          <w:lang w:eastAsia="ja-JP"/>
        </w:rPr>
      </w:pPr>
    </w:p>
    <w:p w:rsidR="00E02B4F" w:rsidRDefault="00E02B4F" w:rsidP="00683D46">
      <w:pPr>
        <w:rPr>
          <w:snapToGrid w:val="0"/>
          <w:lang w:eastAsia="ja-JP"/>
        </w:rPr>
      </w:pPr>
    </w:p>
    <w:p w:rsidR="00E02B4F" w:rsidRDefault="0035314A" w:rsidP="0035314A">
      <w:pPr>
        <w:pStyle w:val="Heading2"/>
        <w:rPr>
          <w:snapToGrid w:val="0"/>
          <w:lang w:eastAsia="ja-JP"/>
        </w:rPr>
      </w:pPr>
      <w:bookmarkStart w:id="17" w:name="_Toc463973121"/>
      <w:r>
        <w:rPr>
          <w:rFonts w:hint="eastAsia"/>
          <w:snapToGrid w:val="0"/>
          <w:lang w:eastAsia="ja-JP"/>
        </w:rPr>
        <w:t>Items agreed to consider further</w:t>
      </w:r>
      <w:bookmarkEnd w:id="17"/>
    </w:p>
    <w:p w:rsidR="00E02B4F" w:rsidRDefault="00E02B4F" w:rsidP="008767E4">
      <w:pPr>
        <w:keepNext/>
        <w:rPr>
          <w:rFonts w:cs="Arial"/>
          <w:snapToGrid w:val="0"/>
          <w:lang w:eastAsia="ja-JP"/>
        </w:rPr>
      </w:pPr>
    </w:p>
    <w:p w:rsidR="00AE377F" w:rsidRDefault="00AE377F" w:rsidP="008767E4">
      <w:pPr>
        <w:keepNext/>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sidRPr="00402121">
        <w:rPr>
          <w:rFonts w:cs="Arial"/>
          <w:snapToGrid w:val="0"/>
          <w:lang w:eastAsia="ja-JP"/>
        </w:rPr>
        <w:t>The WG-DEN</w:t>
      </w:r>
      <w:r>
        <w:rPr>
          <w:rFonts w:cs="Arial" w:hint="eastAsia"/>
          <w:snapToGrid w:val="0"/>
          <w:lang w:eastAsia="ja-JP"/>
        </w:rPr>
        <w:t xml:space="preserve"> agreed to consider </w:t>
      </w:r>
      <w:r w:rsidR="00683D46">
        <w:rPr>
          <w:rFonts w:cs="Arial"/>
          <w:snapToGrid w:val="0"/>
          <w:lang w:eastAsia="ja-JP"/>
        </w:rPr>
        <w:t xml:space="preserve">the </w:t>
      </w:r>
      <w:r>
        <w:rPr>
          <w:rFonts w:cs="Arial" w:hint="eastAsia"/>
          <w:snapToGrid w:val="0"/>
          <w:lang w:eastAsia="ja-JP"/>
        </w:rPr>
        <w:t>follow</w:t>
      </w:r>
      <w:r w:rsidR="00683D46">
        <w:rPr>
          <w:rFonts w:cs="Arial" w:hint="eastAsia"/>
          <w:snapToGrid w:val="0"/>
          <w:lang w:eastAsia="ja-JP"/>
        </w:rPr>
        <w:t>ing items at its second meeting</w:t>
      </w:r>
      <w:r w:rsidR="00683D46">
        <w:rPr>
          <w:rFonts w:cs="Arial"/>
          <w:snapToGrid w:val="0"/>
          <w:lang w:eastAsia="ja-JP"/>
        </w:rPr>
        <w:t>:</w:t>
      </w:r>
    </w:p>
    <w:p w:rsidR="00AE377F" w:rsidRDefault="00AE377F" w:rsidP="008767E4">
      <w:pPr>
        <w:keepNext/>
        <w:rPr>
          <w:rFonts w:cs="Arial"/>
          <w:snapToGrid w:val="0"/>
          <w:lang w:eastAsia="ja-JP"/>
        </w:rPr>
      </w:pPr>
    </w:p>
    <w:p w:rsidR="00AE377F" w:rsidRDefault="00C27CCC" w:rsidP="00C27CCC">
      <w:pPr>
        <w:keepNext/>
        <w:ind w:firstLine="567"/>
        <w:rPr>
          <w:rFonts w:cs="Arial"/>
          <w:snapToGrid w:val="0"/>
          <w:lang w:eastAsia="ja-JP"/>
        </w:rPr>
      </w:pPr>
      <w:r>
        <w:rPr>
          <w:rFonts w:hint="eastAsia"/>
          <w:lang w:eastAsia="ja-JP"/>
        </w:rPr>
        <w:t>(a)</w:t>
      </w:r>
      <w:r>
        <w:rPr>
          <w:rFonts w:hint="eastAsia"/>
          <w:lang w:eastAsia="ja-JP"/>
        </w:rPr>
        <w:tab/>
      </w:r>
      <w:r w:rsidR="00AE377F">
        <w:rPr>
          <w:szCs w:val="24"/>
          <w:lang w:eastAsia="ja-JP"/>
        </w:rPr>
        <w:t>“</w:t>
      </w:r>
      <w:r w:rsidR="00AE377F">
        <w:rPr>
          <w:rFonts w:hint="eastAsia"/>
          <w:szCs w:val="24"/>
          <w:lang w:eastAsia="ja-JP"/>
        </w:rPr>
        <w:t>fancy name</w:t>
      </w:r>
      <w:r w:rsidR="00AE377F">
        <w:rPr>
          <w:szCs w:val="24"/>
          <w:lang w:eastAsia="ja-JP"/>
        </w:rPr>
        <w:t>”</w:t>
      </w:r>
      <w:r w:rsidR="00AE377F">
        <w:rPr>
          <w:rFonts w:hint="eastAsia"/>
          <w:szCs w:val="24"/>
          <w:lang w:eastAsia="ja-JP"/>
        </w:rPr>
        <w:t xml:space="preserve"> and </w:t>
      </w:r>
      <w:r w:rsidR="00AE377F">
        <w:rPr>
          <w:szCs w:val="24"/>
          <w:lang w:eastAsia="ja-JP"/>
        </w:rPr>
        <w:t>“</w:t>
      </w:r>
      <w:r w:rsidR="00AE377F">
        <w:rPr>
          <w:rFonts w:hint="eastAsia"/>
          <w:szCs w:val="24"/>
          <w:lang w:eastAsia="ja-JP"/>
        </w:rPr>
        <w:t>code</w:t>
      </w:r>
      <w:r w:rsidR="00AE377F">
        <w:rPr>
          <w:szCs w:val="24"/>
          <w:lang w:eastAsia="ja-JP"/>
        </w:rPr>
        <w:t>”</w:t>
      </w:r>
      <w:r w:rsidR="00AE377F">
        <w:rPr>
          <w:rFonts w:hint="eastAsia"/>
          <w:szCs w:val="24"/>
          <w:lang w:eastAsia="ja-JP"/>
        </w:rPr>
        <w:t xml:space="preserve"> as used by the </w:t>
      </w:r>
      <w:r w:rsidR="00AE377F" w:rsidRPr="006C2A19">
        <w:rPr>
          <w:szCs w:val="24"/>
          <w:lang w:eastAsia="ja-JP"/>
        </w:rPr>
        <w:t>Community Plant Variety Office</w:t>
      </w:r>
      <w:r w:rsidR="00AE377F">
        <w:rPr>
          <w:rFonts w:hint="eastAsia"/>
          <w:szCs w:val="24"/>
          <w:lang w:eastAsia="ja-JP"/>
        </w:rPr>
        <w:t xml:space="preserve"> of the European Union</w:t>
      </w:r>
      <w:r w:rsidR="00AE377F" w:rsidRPr="006C2A19">
        <w:rPr>
          <w:szCs w:val="24"/>
          <w:lang w:eastAsia="ja-JP"/>
        </w:rPr>
        <w:t xml:space="preserve"> (CPVO)</w:t>
      </w:r>
      <w:r w:rsidR="00AF0857">
        <w:rPr>
          <w:rFonts w:hint="eastAsia"/>
          <w:szCs w:val="24"/>
          <w:lang w:eastAsia="ja-JP"/>
        </w:rPr>
        <w:t xml:space="preserve">:  </w:t>
      </w:r>
      <w:r w:rsidR="00AE377F">
        <w:rPr>
          <w:rFonts w:hint="eastAsia"/>
          <w:szCs w:val="24"/>
          <w:lang w:eastAsia="ja-JP"/>
        </w:rPr>
        <w:t xml:space="preserve">the CPVO </w:t>
      </w:r>
      <w:r w:rsidR="008E1682">
        <w:rPr>
          <w:rFonts w:hint="eastAsia"/>
          <w:szCs w:val="24"/>
          <w:lang w:eastAsia="ja-JP"/>
        </w:rPr>
        <w:t>to</w:t>
      </w:r>
      <w:r w:rsidR="00AE377F" w:rsidRPr="00565231">
        <w:rPr>
          <w:szCs w:val="24"/>
          <w:lang w:eastAsia="ja-JP"/>
        </w:rPr>
        <w:t xml:space="preserve"> provide further comments for consideration</w:t>
      </w:r>
      <w:r w:rsidR="00AF0857">
        <w:rPr>
          <w:rFonts w:hint="eastAsia"/>
          <w:szCs w:val="24"/>
          <w:lang w:eastAsia="ja-JP"/>
        </w:rPr>
        <w:t xml:space="preserve"> </w:t>
      </w:r>
      <w:r w:rsidR="00AE377F">
        <w:rPr>
          <w:rFonts w:hint="eastAsia"/>
          <w:szCs w:val="24"/>
          <w:lang w:eastAsia="ja-JP"/>
        </w:rPr>
        <w:t>(</w:t>
      </w:r>
      <w:r>
        <w:rPr>
          <w:rFonts w:hint="eastAsia"/>
          <w:lang w:eastAsia="ja-JP"/>
        </w:rPr>
        <w:t>see document</w:t>
      </w:r>
      <w:r w:rsidR="00AF0857">
        <w:rPr>
          <w:lang w:eastAsia="ja-JP"/>
        </w:rPr>
        <w:t> </w:t>
      </w:r>
      <w:r>
        <w:rPr>
          <w:rFonts w:hint="eastAsia"/>
          <w:lang w:eastAsia="ja-JP"/>
        </w:rPr>
        <w:t xml:space="preserve">UPOV/WG-DEN/1/6 </w:t>
      </w:r>
      <w:r>
        <w:rPr>
          <w:lang w:eastAsia="ja-JP"/>
        </w:rPr>
        <w:t>“</w:t>
      </w:r>
      <w:r>
        <w:rPr>
          <w:rFonts w:hint="eastAsia"/>
          <w:lang w:eastAsia="ja-JP"/>
        </w:rPr>
        <w:t>Report</w:t>
      </w:r>
      <w:r>
        <w:rPr>
          <w:lang w:eastAsia="ja-JP"/>
        </w:rPr>
        <w:t>”</w:t>
      </w:r>
      <w:r w:rsidR="00683D46">
        <w:rPr>
          <w:lang w:eastAsia="ja-JP"/>
        </w:rPr>
        <w:t>,</w:t>
      </w:r>
      <w:r>
        <w:rPr>
          <w:rFonts w:hint="eastAsia"/>
          <w:lang w:eastAsia="ja-JP"/>
        </w:rPr>
        <w:t xml:space="preserve"> paragraph</w:t>
      </w:r>
      <w:r w:rsidR="00AE377F">
        <w:rPr>
          <w:rFonts w:hint="eastAsia"/>
          <w:szCs w:val="24"/>
          <w:lang w:eastAsia="ja-JP"/>
        </w:rPr>
        <w:t xml:space="preserve"> 6)</w:t>
      </w:r>
      <w:r>
        <w:rPr>
          <w:rFonts w:hint="eastAsia"/>
          <w:szCs w:val="24"/>
          <w:lang w:eastAsia="ja-JP"/>
        </w:rPr>
        <w:t>;</w:t>
      </w:r>
    </w:p>
    <w:p w:rsidR="00AE377F" w:rsidRDefault="00AE377F" w:rsidP="008767E4">
      <w:pPr>
        <w:keepNext/>
        <w:rPr>
          <w:rFonts w:cs="Arial"/>
          <w:snapToGrid w:val="0"/>
          <w:lang w:eastAsia="ja-JP"/>
        </w:rPr>
      </w:pPr>
    </w:p>
    <w:p w:rsidR="00AE377F" w:rsidRDefault="00C27CCC" w:rsidP="00C27CCC">
      <w:pPr>
        <w:keepNext/>
        <w:ind w:firstLine="567"/>
        <w:rPr>
          <w:rFonts w:cs="Arial"/>
          <w:snapToGrid w:val="0"/>
          <w:lang w:eastAsia="ja-JP"/>
        </w:rPr>
      </w:pPr>
      <w:r>
        <w:rPr>
          <w:rFonts w:hint="eastAsia"/>
          <w:lang w:eastAsia="ja-JP"/>
        </w:rPr>
        <w:t>(b)</w:t>
      </w:r>
      <w:r>
        <w:rPr>
          <w:rFonts w:hint="eastAsia"/>
          <w:lang w:eastAsia="ja-JP"/>
        </w:rPr>
        <w:tab/>
      </w:r>
      <w:r w:rsidR="00E02B4F">
        <w:rPr>
          <w:rFonts w:hint="eastAsia"/>
          <w:lang w:eastAsia="ja-JP"/>
        </w:rPr>
        <w:t xml:space="preserve">the use of </w:t>
      </w:r>
      <w:r w:rsidR="00E02B4F">
        <w:rPr>
          <w:lang w:eastAsia="ja-JP"/>
        </w:rPr>
        <w:t>“</w:t>
      </w:r>
      <w:r w:rsidR="00E02B4F">
        <w:rPr>
          <w:rFonts w:hint="eastAsia"/>
          <w:lang w:eastAsia="ja-JP"/>
        </w:rPr>
        <w:t>first names</w:t>
      </w:r>
      <w:r w:rsidR="00E02B4F">
        <w:rPr>
          <w:lang w:eastAsia="ja-JP"/>
        </w:rPr>
        <w:t>”</w:t>
      </w:r>
      <w:r w:rsidR="00AF0857">
        <w:rPr>
          <w:rFonts w:hint="eastAsia"/>
          <w:lang w:eastAsia="ja-JP"/>
        </w:rPr>
        <w:t xml:space="preserve">: </w:t>
      </w:r>
      <w:r w:rsidR="00E02B4F">
        <w:rPr>
          <w:rFonts w:hint="eastAsia"/>
          <w:lang w:eastAsia="ja-JP"/>
        </w:rPr>
        <w:t xml:space="preserve">to </w:t>
      </w:r>
      <w:r w:rsidR="008E1682">
        <w:rPr>
          <w:rFonts w:hint="eastAsia"/>
          <w:lang w:eastAsia="ja-JP"/>
        </w:rPr>
        <w:t>refer</w:t>
      </w:r>
      <w:r w:rsidR="00E02B4F">
        <w:rPr>
          <w:rFonts w:hint="eastAsia"/>
          <w:lang w:eastAsia="ja-JP"/>
        </w:rPr>
        <w:t xml:space="preserve"> developments in the CPVO on that matter (</w:t>
      </w:r>
      <w:r>
        <w:rPr>
          <w:rFonts w:hint="eastAsia"/>
          <w:lang w:eastAsia="ja-JP"/>
        </w:rPr>
        <w:t>see document</w:t>
      </w:r>
      <w:r w:rsidR="00AF0857">
        <w:rPr>
          <w:lang w:eastAsia="ja-JP"/>
        </w:rPr>
        <w:t> </w:t>
      </w:r>
      <w:r>
        <w:rPr>
          <w:rFonts w:hint="eastAsia"/>
          <w:lang w:eastAsia="ja-JP"/>
        </w:rPr>
        <w:t xml:space="preserve">UPOV/WG-DEN/1/6 </w:t>
      </w:r>
      <w:r>
        <w:rPr>
          <w:lang w:eastAsia="ja-JP"/>
        </w:rPr>
        <w:t>“</w:t>
      </w:r>
      <w:r>
        <w:rPr>
          <w:rFonts w:hint="eastAsia"/>
          <w:lang w:eastAsia="ja-JP"/>
        </w:rPr>
        <w:t>Report</w:t>
      </w:r>
      <w:r>
        <w:rPr>
          <w:lang w:eastAsia="ja-JP"/>
        </w:rPr>
        <w:t>”</w:t>
      </w:r>
      <w:r w:rsidR="00683D46">
        <w:rPr>
          <w:lang w:eastAsia="ja-JP"/>
        </w:rPr>
        <w:t>,</w:t>
      </w:r>
      <w:r>
        <w:rPr>
          <w:rFonts w:hint="eastAsia"/>
          <w:lang w:eastAsia="ja-JP"/>
        </w:rPr>
        <w:t xml:space="preserve"> paragraph</w:t>
      </w:r>
      <w:r w:rsidR="00683D46">
        <w:rPr>
          <w:lang w:eastAsia="ja-JP"/>
        </w:rPr>
        <w:t> </w:t>
      </w:r>
      <w:r w:rsidR="00E02B4F">
        <w:rPr>
          <w:rFonts w:hint="eastAsia"/>
          <w:lang w:eastAsia="ja-JP"/>
        </w:rPr>
        <w:t>12)</w:t>
      </w:r>
      <w:r w:rsidR="006B5567">
        <w:rPr>
          <w:rFonts w:hint="eastAsia"/>
          <w:lang w:eastAsia="ja-JP"/>
        </w:rPr>
        <w:t>;</w:t>
      </w:r>
    </w:p>
    <w:p w:rsidR="00AE377F" w:rsidRDefault="00AE377F" w:rsidP="008767E4">
      <w:pPr>
        <w:keepNext/>
        <w:rPr>
          <w:lang w:eastAsia="ja-JP"/>
        </w:rPr>
      </w:pPr>
    </w:p>
    <w:p w:rsidR="00E02B4F" w:rsidRDefault="00AF0857" w:rsidP="00AF0857">
      <w:pPr>
        <w:pStyle w:val="ListParagraph"/>
        <w:autoSpaceDE w:val="0"/>
        <w:autoSpaceDN w:val="0"/>
        <w:adjustRightInd w:val="0"/>
        <w:ind w:left="0" w:firstLine="567"/>
        <w:contextualSpacing w:val="0"/>
        <w:rPr>
          <w:lang w:eastAsia="ja-JP"/>
        </w:rPr>
      </w:pPr>
      <w:r>
        <w:rPr>
          <w:rFonts w:hint="eastAsia"/>
          <w:lang w:eastAsia="ja-JP"/>
        </w:rPr>
        <w:t>(c)</w:t>
      </w:r>
      <w:r>
        <w:rPr>
          <w:rFonts w:hint="eastAsia"/>
          <w:lang w:eastAsia="ja-JP"/>
        </w:rPr>
        <w:tab/>
      </w:r>
      <w:r w:rsidR="00E02B4F">
        <w:rPr>
          <w:rFonts w:hint="eastAsia"/>
          <w:lang w:eastAsia="ja-JP"/>
        </w:rPr>
        <w:t>a variety name that consist</w:t>
      </w:r>
      <w:r w:rsidR="008E1682">
        <w:rPr>
          <w:rFonts w:hint="eastAsia"/>
          <w:lang w:eastAsia="ja-JP"/>
        </w:rPr>
        <w:t>s</w:t>
      </w:r>
      <w:r w:rsidR="00E02B4F">
        <w:rPr>
          <w:rFonts w:hint="eastAsia"/>
          <w:lang w:eastAsia="ja-JP"/>
        </w:rPr>
        <w:t xml:space="preserve"> solely of descriptive terms that misle</w:t>
      </w:r>
      <w:r w:rsidR="008E1682">
        <w:rPr>
          <w:rFonts w:hint="eastAsia"/>
          <w:lang w:eastAsia="ja-JP"/>
        </w:rPr>
        <w:t>a</w:t>
      </w:r>
      <w:r w:rsidR="00E02B4F">
        <w:rPr>
          <w:rFonts w:hint="eastAsia"/>
          <w:lang w:eastAsia="ja-JP"/>
        </w:rPr>
        <w:t xml:space="preserve">d or cause confusion concerning the characteristics, value or identity of </w:t>
      </w:r>
      <w:r w:rsidR="00E02B4F">
        <w:rPr>
          <w:lang w:eastAsia="ja-JP"/>
        </w:rPr>
        <w:t>the variety</w:t>
      </w:r>
      <w:r w:rsidR="00E02B4F">
        <w:rPr>
          <w:rFonts w:hint="eastAsia"/>
          <w:lang w:eastAsia="ja-JP"/>
        </w:rPr>
        <w:t xml:space="preserve"> or the identity of </w:t>
      </w:r>
      <w:r w:rsidR="008E1682">
        <w:rPr>
          <w:rFonts w:hint="eastAsia"/>
          <w:lang w:eastAsia="ja-JP"/>
        </w:rPr>
        <w:t>a</w:t>
      </w:r>
      <w:r w:rsidR="00E02B4F">
        <w:rPr>
          <w:rFonts w:hint="eastAsia"/>
          <w:lang w:eastAsia="ja-JP"/>
        </w:rPr>
        <w:t xml:space="preserve"> breeder</w:t>
      </w:r>
      <w:r>
        <w:rPr>
          <w:rFonts w:hint="eastAsia"/>
          <w:lang w:eastAsia="ja-JP"/>
        </w:rPr>
        <w:t xml:space="preserve">: </w:t>
      </w:r>
      <w:r w:rsidR="00E02B4F">
        <w:rPr>
          <w:rFonts w:hint="eastAsia"/>
          <w:lang w:eastAsia="ja-JP"/>
        </w:rPr>
        <w:t xml:space="preserve">examples for acceptable cases </w:t>
      </w:r>
      <w:r w:rsidR="008E1682">
        <w:rPr>
          <w:rFonts w:hint="eastAsia"/>
          <w:lang w:eastAsia="ja-JP"/>
        </w:rPr>
        <w:t>to</w:t>
      </w:r>
      <w:r w:rsidR="00E02B4F">
        <w:rPr>
          <w:rFonts w:hint="eastAsia"/>
          <w:lang w:eastAsia="ja-JP"/>
        </w:rPr>
        <w:t xml:space="preserve"> be provided (</w:t>
      </w:r>
      <w:r w:rsidR="00C27CCC">
        <w:rPr>
          <w:rFonts w:hint="eastAsia"/>
          <w:lang w:eastAsia="ja-JP"/>
        </w:rPr>
        <w:t xml:space="preserve">see document UPOV/WG-DEN/1/6 </w:t>
      </w:r>
      <w:r w:rsidR="00C27CCC">
        <w:rPr>
          <w:lang w:eastAsia="ja-JP"/>
        </w:rPr>
        <w:t>“</w:t>
      </w:r>
      <w:r w:rsidR="00C27CCC">
        <w:rPr>
          <w:rFonts w:hint="eastAsia"/>
          <w:lang w:eastAsia="ja-JP"/>
        </w:rPr>
        <w:t>Report</w:t>
      </w:r>
      <w:r w:rsidR="00C27CCC">
        <w:rPr>
          <w:lang w:eastAsia="ja-JP"/>
        </w:rPr>
        <w:t>”</w:t>
      </w:r>
      <w:r w:rsidR="00683D46">
        <w:rPr>
          <w:lang w:eastAsia="ja-JP"/>
        </w:rPr>
        <w:t>,</w:t>
      </w:r>
      <w:r w:rsidR="00C27CCC">
        <w:rPr>
          <w:rFonts w:hint="eastAsia"/>
          <w:lang w:eastAsia="ja-JP"/>
        </w:rPr>
        <w:t xml:space="preserve"> paragraph</w:t>
      </w:r>
      <w:r w:rsidR="00E02B4F">
        <w:rPr>
          <w:rFonts w:hint="eastAsia"/>
          <w:lang w:eastAsia="ja-JP"/>
        </w:rPr>
        <w:t xml:space="preserve"> </w:t>
      </w:r>
      <w:r w:rsidR="006B5567">
        <w:rPr>
          <w:rFonts w:hint="eastAsia"/>
          <w:lang w:eastAsia="ja-JP"/>
        </w:rPr>
        <w:t>13);</w:t>
      </w:r>
    </w:p>
    <w:p w:rsidR="00E02B4F" w:rsidRDefault="00E02B4F" w:rsidP="008767E4">
      <w:pPr>
        <w:keepNext/>
        <w:rPr>
          <w:lang w:eastAsia="ja-JP"/>
        </w:rPr>
      </w:pPr>
    </w:p>
    <w:p w:rsidR="00E02B4F" w:rsidRDefault="00AF0857" w:rsidP="00AF0857">
      <w:pPr>
        <w:pStyle w:val="ListParagraph"/>
        <w:autoSpaceDE w:val="0"/>
        <w:autoSpaceDN w:val="0"/>
        <w:adjustRightInd w:val="0"/>
        <w:ind w:left="0" w:firstLine="567"/>
        <w:contextualSpacing w:val="0"/>
        <w:rPr>
          <w:lang w:eastAsia="ja-JP"/>
        </w:rPr>
      </w:pPr>
      <w:r>
        <w:rPr>
          <w:rFonts w:hint="eastAsia"/>
          <w:lang w:eastAsia="ja-JP"/>
        </w:rPr>
        <w:t>(d)</w:t>
      </w:r>
      <w:r>
        <w:rPr>
          <w:rFonts w:hint="eastAsia"/>
          <w:lang w:eastAsia="ja-JP"/>
        </w:rPr>
        <w:tab/>
      </w:r>
      <w:r w:rsidR="00E02B4F">
        <w:rPr>
          <w:rFonts w:hint="eastAsia"/>
          <w:lang w:eastAsia="ja-JP"/>
        </w:rPr>
        <w:t xml:space="preserve">the following issues </w:t>
      </w:r>
      <w:r w:rsidR="00E02B4F">
        <w:rPr>
          <w:lang w:eastAsia="ja-JP"/>
        </w:rPr>
        <w:t xml:space="preserve">with regard to confusion </w:t>
      </w:r>
      <w:r w:rsidR="00E02B4F">
        <w:rPr>
          <w:rFonts w:hint="eastAsia"/>
          <w:lang w:eastAsia="ja-JP"/>
        </w:rPr>
        <w:t xml:space="preserve">concerning the use of botanical and common names </w:t>
      </w:r>
      <w:r w:rsidR="00E02B4F">
        <w:rPr>
          <w:lang w:eastAsia="ja-JP"/>
        </w:rPr>
        <w:t>in relation to denominations</w:t>
      </w:r>
      <w:r w:rsidR="00E02B4F">
        <w:rPr>
          <w:rFonts w:hint="eastAsia"/>
          <w:lang w:eastAsia="ja-JP"/>
        </w:rPr>
        <w:t xml:space="preserve"> (</w:t>
      </w:r>
      <w:r w:rsidR="00C27CCC">
        <w:rPr>
          <w:rFonts w:hint="eastAsia"/>
          <w:lang w:eastAsia="ja-JP"/>
        </w:rPr>
        <w:t xml:space="preserve">see document UPOV/WG-DEN/1/6 </w:t>
      </w:r>
      <w:r w:rsidR="00C27CCC">
        <w:rPr>
          <w:lang w:eastAsia="ja-JP"/>
        </w:rPr>
        <w:t>“</w:t>
      </w:r>
      <w:r w:rsidR="00C27CCC">
        <w:rPr>
          <w:rFonts w:hint="eastAsia"/>
          <w:lang w:eastAsia="ja-JP"/>
        </w:rPr>
        <w:t>Report</w:t>
      </w:r>
      <w:r w:rsidR="00C27CCC">
        <w:rPr>
          <w:lang w:eastAsia="ja-JP"/>
        </w:rPr>
        <w:t>”</w:t>
      </w:r>
      <w:r w:rsidR="00683D46">
        <w:rPr>
          <w:lang w:eastAsia="ja-JP"/>
        </w:rPr>
        <w:t>,</w:t>
      </w:r>
      <w:r w:rsidR="00C27CCC">
        <w:rPr>
          <w:rFonts w:hint="eastAsia"/>
          <w:lang w:eastAsia="ja-JP"/>
        </w:rPr>
        <w:t xml:space="preserve"> paragraph</w:t>
      </w:r>
      <w:r w:rsidR="00E02B4F">
        <w:rPr>
          <w:rFonts w:hint="eastAsia"/>
          <w:lang w:eastAsia="ja-JP"/>
        </w:rPr>
        <w:t xml:space="preserve"> 17):</w:t>
      </w:r>
    </w:p>
    <w:p w:rsidR="00E02B4F" w:rsidRDefault="00E02B4F" w:rsidP="00E02B4F">
      <w:pPr>
        <w:pStyle w:val="ListParagraph"/>
        <w:autoSpaceDE w:val="0"/>
        <w:autoSpaceDN w:val="0"/>
        <w:adjustRightInd w:val="0"/>
        <w:ind w:left="0"/>
        <w:contextualSpacing w:val="0"/>
        <w:rPr>
          <w:lang w:eastAsia="ja-JP"/>
        </w:rPr>
      </w:pPr>
    </w:p>
    <w:p w:rsidR="00E02B4F" w:rsidRPr="00F61A37" w:rsidRDefault="00E02B4F" w:rsidP="00F61A37">
      <w:pPr>
        <w:pStyle w:val="ListParagraph"/>
        <w:numPr>
          <w:ilvl w:val="0"/>
          <w:numId w:val="7"/>
        </w:numPr>
        <w:autoSpaceDE w:val="0"/>
        <w:autoSpaceDN w:val="0"/>
        <w:adjustRightInd w:val="0"/>
        <w:ind w:left="540" w:right="9" w:firstLine="851"/>
        <w:contextualSpacing w:val="0"/>
        <w:rPr>
          <w:lang w:eastAsia="ja-JP"/>
        </w:rPr>
      </w:pPr>
      <w:r w:rsidRPr="00F61A37">
        <w:rPr>
          <w:rFonts w:hint="eastAsia"/>
          <w:lang w:eastAsia="ja-JP"/>
        </w:rPr>
        <w:t xml:space="preserve">to consider the guidance </w:t>
      </w:r>
      <w:r w:rsidRPr="00F61A37">
        <w:rPr>
          <w:lang w:eastAsia="ja-JP"/>
        </w:rPr>
        <w:t xml:space="preserve">of the International Code for </w:t>
      </w:r>
      <w:r w:rsidRPr="00F61A37">
        <w:rPr>
          <w:rFonts w:cs="Arial"/>
          <w:snapToGrid w:val="0"/>
          <w:lang w:eastAsia="ja-JP"/>
        </w:rPr>
        <w:t>the Nomenclature of Cultivated Plants (ICNCP) of the International Commission for the Nomenclature of Cultivated Plants of the International Union for Biological Sciences (IUBS Commission)</w:t>
      </w:r>
      <w:r w:rsidRPr="00F61A37">
        <w:rPr>
          <w:rFonts w:hint="eastAsia"/>
          <w:lang w:eastAsia="ja-JP"/>
        </w:rPr>
        <w:t xml:space="preserve"> on the use of botanical and common names with a view to </w:t>
      </w:r>
      <w:r w:rsidRPr="00F61A37">
        <w:rPr>
          <w:lang w:eastAsia="ja-JP"/>
        </w:rPr>
        <w:t>exploring</w:t>
      </w:r>
      <w:r w:rsidRPr="00F61A37">
        <w:rPr>
          <w:rFonts w:hint="eastAsia"/>
          <w:lang w:eastAsia="ja-JP"/>
        </w:rPr>
        <w:t xml:space="preserve"> g</w:t>
      </w:r>
      <w:r w:rsidR="00A945DC">
        <w:rPr>
          <w:rFonts w:hint="eastAsia"/>
          <w:lang w:eastAsia="ja-JP"/>
        </w:rPr>
        <w:t>reater harmonization</w:t>
      </w:r>
      <w:r w:rsidR="00A945DC">
        <w:rPr>
          <w:lang w:eastAsia="ja-JP"/>
        </w:rPr>
        <w:t>,</w:t>
      </w:r>
    </w:p>
    <w:p w:rsidR="00E02B4F" w:rsidRPr="00F61A37" w:rsidRDefault="00E02B4F" w:rsidP="00F61A37">
      <w:pPr>
        <w:pStyle w:val="ListParagraph"/>
        <w:autoSpaceDE w:val="0"/>
        <w:autoSpaceDN w:val="0"/>
        <w:adjustRightInd w:val="0"/>
        <w:ind w:left="540" w:right="9" w:firstLine="851"/>
        <w:contextualSpacing w:val="0"/>
        <w:rPr>
          <w:lang w:eastAsia="ja-JP"/>
        </w:rPr>
      </w:pPr>
    </w:p>
    <w:p w:rsidR="00E02B4F" w:rsidRPr="00F61A37" w:rsidRDefault="00E02B4F" w:rsidP="00F61A37">
      <w:pPr>
        <w:pStyle w:val="ListParagraph"/>
        <w:numPr>
          <w:ilvl w:val="0"/>
          <w:numId w:val="7"/>
        </w:numPr>
        <w:autoSpaceDE w:val="0"/>
        <w:autoSpaceDN w:val="0"/>
        <w:adjustRightInd w:val="0"/>
        <w:ind w:left="540" w:right="9" w:firstLine="851"/>
        <w:contextualSpacing w:val="0"/>
        <w:rPr>
          <w:lang w:eastAsia="ja-JP"/>
        </w:rPr>
      </w:pPr>
      <w:r w:rsidRPr="00F61A37">
        <w:rPr>
          <w:rFonts w:hint="eastAsia"/>
          <w:lang w:eastAsia="ja-JP"/>
        </w:rPr>
        <w:t>whether to refuse the use of all botanical names and only acce</w:t>
      </w:r>
      <w:r w:rsidR="008E1682">
        <w:rPr>
          <w:rFonts w:hint="eastAsia"/>
          <w:lang w:eastAsia="ja-JP"/>
        </w:rPr>
        <w:t>pt certain common names that have</w:t>
      </w:r>
      <w:r w:rsidR="00A945DC">
        <w:rPr>
          <w:rFonts w:hint="eastAsia"/>
          <w:lang w:eastAsia="ja-JP"/>
        </w:rPr>
        <w:t xml:space="preserve"> a wider meaning</w:t>
      </w:r>
      <w:r w:rsidR="00A945DC">
        <w:rPr>
          <w:lang w:eastAsia="ja-JP"/>
        </w:rPr>
        <w:t>,</w:t>
      </w:r>
    </w:p>
    <w:p w:rsidR="00E02B4F" w:rsidRPr="00F61A37" w:rsidRDefault="00E02B4F" w:rsidP="00F61A37">
      <w:pPr>
        <w:pStyle w:val="ListParagraph"/>
        <w:autoSpaceDE w:val="0"/>
        <w:autoSpaceDN w:val="0"/>
        <w:adjustRightInd w:val="0"/>
        <w:ind w:left="540" w:right="9" w:firstLine="851"/>
        <w:contextualSpacing w:val="0"/>
        <w:rPr>
          <w:lang w:eastAsia="ja-JP"/>
        </w:rPr>
      </w:pPr>
    </w:p>
    <w:p w:rsidR="00E02B4F" w:rsidRPr="00F61A37" w:rsidRDefault="00E02B4F" w:rsidP="00F61A37">
      <w:pPr>
        <w:pStyle w:val="ListParagraph"/>
        <w:numPr>
          <w:ilvl w:val="0"/>
          <w:numId w:val="7"/>
        </w:numPr>
        <w:autoSpaceDE w:val="0"/>
        <w:autoSpaceDN w:val="0"/>
        <w:adjustRightInd w:val="0"/>
        <w:ind w:left="540" w:right="9" w:firstLine="851"/>
        <w:contextualSpacing w:val="0"/>
        <w:rPr>
          <w:lang w:eastAsia="ja-JP"/>
        </w:rPr>
      </w:pPr>
      <w:r w:rsidRPr="00F61A37">
        <w:rPr>
          <w:rFonts w:hint="eastAsia"/>
          <w:lang w:eastAsia="ja-JP"/>
        </w:rPr>
        <w:t>whether to broaden the guidance proposed by the WG-DST in new paragraph (d) to cover the use of any genus/species name that was covered by the same variety denomination class o</w:t>
      </w:r>
      <w:r w:rsidR="00A945DC">
        <w:rPr>
          <w:rFonts w:hint="eastAsia"/>
          <w:lang w:eastAsia="ja-JP"/>
        </w:rPr>
        <w:t>r was in the same crop category</w:t>
      </w:r>
      <w:r w:rsidR="00A945DC">
        <w:rPr>
          <w:lang w:eastAsia="ja-JP"/>
        </w:rPr>
        <w:t>,</w:t>
      </w:r>
    </w:p>
    <w:p w:rsidR="00E02B4F" w:rsidRPr="00F61A37" w:rsidRDefault="00E02B4F" w:rsidP="00F61A37">
      <w:pPr>
        <w:pStyle w:val="ListParagraph"/>
        <w:autoSpaceDE w:val="0"/>
        <w:autoSpaceDN w:val="0"/>
        <w:adjustRightInd w:val="0"/>
        <w:ind w:left="540" w:right="9" w:firstLine="851"/>
        <w:contextualSpacing w:val="0"/>
        <w:rPr>
          <w:lang w:eastAsia="ja-JP"/>
        </w:rPr>
      </w:pPr>
    </w:p>
    <w:p w:rsidR="00E02B4F" w:rsidRPr="00F61A37" w:rsidRDefault="00E02B4F" w:rsidP="00F61A37">
      <w:pPr>
        <w:pStyle w:val="ListParagraph"/>
        <w:numPr>
          <w:ilvl w:val="0"/>
          <w:numId w:val="7"/>
        </w:numPr>
        <w:autoSpaceDE w:val="0"/>
        <w:autoSpaceDN w:val="0"/>
        <w:adjustRightInd w:val="0"/>
        <w:ind w:left="540" w:right="9" w:firstLine="851"/>
        <w:contextualSpacing w:val="0"/>
        <w:rPr>
          <w:lang w:eastAsia="ja-JP"/>
        </w:rPr>
      </w:pPr>
      <w:r w:rsidRPr="00F61A37">
        <w:rPr>
          <w:rFonts w:hint="eastAsia"/>
          <w:lang w:eastAsia="ja-JP"/>
        </w:rPr>
        <w:t>whether to provide guidance on the use of part of the genus/species name or a slightly changed version of the genus/species name in a variety denomination</w:t>
      </w:r>
      <w:r w:rsidR="00A945DC">
        <w:rPr>
          <w:lang w:eastAsia="ja-JP"/>
        </w:rPr>
        <w:t>,</w:t>
      </w:r>
      <w:r w:rsidRPr="00F61A37">
        <w:rPr>
          <w:lang w:eastAsia="ja-JP"/>
        </w:rPr>
        <w:t xml:space="preserve"> and</w:t>
      </w:r>
    </w:p>
    <w:p w:rsidR="00E02B4F" w:rsidRPr="00F61A37" w:rsidRDefault="00E02B4F" w:rsidP="00F61A37">
      <w:pPr>
        <w:pStyle w:val="ListParagraph"/>
        <w:autoSpaceDE w:val="0"/>
        <w:autoSpaceDN w:val="0"/>
        <w:adjustRightInd w:val="0"/>
        <w:ind w:left="540" w:right="9" w:firstLine="851"/>
        <w:contextualSpacing w:val="0"/>
        <w:rPr>
          <w:highlight w:val="yellow"/>
          <w:lang w:eastAsia="ja-JP"/>
        </w:rPr>
      </w:pPr>
    </w:p>
    <w:p w:rsidR="00E02B4F" w:rsidRPr="00F61A37" w:rsidRDefault="00E02B4F" w:rsidP="00F61A37">
      <w:pPr>
        <w:pStyle w:val="ListParagraph"/>
        <w:numPr>
          <w:ilvl w:val="0"/>
          <w:numId w:val="7"/>
        </w:numPr>
        <w:autoSpaceDE w:val="0"/>
        <w:autoSpaceDN w:val="0"/>
        <w:adjustRightInd w:val="0"/>
        <w:ind w:left="540" w:right="9" w:firstLine="851"/>
        <w:contextualSpacing w:val="0"/>
        <w:rPr>
          <w:lang w:eastAsia="ja-JP"/>
        </w:rPr>
      </w:pPr>
      <w:r w:rsidRPr="00F61A37">
        <w:rPr>
          <w:rFonts w:hint="eastAsia"/>
          <w:lang w:eastAsia="ja-JP"/>
        </w:rPr>
        <w:t>whether to consider all languages of UPOV members in relation to common names of the genus to which a variety belongs</w:t>
      </w:r>
      <w:r w:rsidR="00A945DC">
        <w:rPr>
          <w:lang w:eastAsia="ja-JP"/>
        </w:rPr>
        <w:t>;</w:t>
      </w:r>
    </w:p>
    <w:p w:rsidR="00E02B4F" w:rsidRDefault="00E02B4F" w:rsidP="00683D46">
      <w:pPr>
        <w:rPr>
          <w:lang w:eastAsia="ja-JP"/>
        </w:rPr>
      </w:pPr>
    </w:p>
    <w:p w:rsidR="00E02B4F" w:rsidRDefault="00F61A37" w:rsidP="00F61A37">
      <w:pPr>
        <w:pStyle w:val="ListParagraph"/>
        <w:autoSpaceDE w:val="0"/>
        <w:autoSpaceDN w:val="0"/>
        <w:adjustRightInd w:val="0"/>
        <w:ind w:left="0" w:firstLine="540"/>
        <w:contextualSpacing w:val="0"/>
        <w:rPr>
          <w:lang w:eastAsia="ja-JP"/>
        </w:rPr>
      </w:pPr>
      <w:r>
        <w:rPr>
          <w:rFonts w:hint="eastAsia"/>
          <w:lang w:eastAsia="ja-JP"/>
        </w:rPr>
        <w:t>(e)</w:t>
      </w:r>
      <w:r>
        <w:rPr>
          <w:rFonts w:hint="eastAsia"/>
          <w:lang w:eastAsia="ja-JP"/>
        </w:rPr>
        <w:tab/>
      </w:r>
      <w:r w:rsidR="00E02B4F">
        <w:rPr>
          <w:rFonts w:hint="eastAsia"/>
          <w:lang w:eastAsia="ja-JP"/>
        </w:rPr>
        <w:t>examples of acceptable and unacceptable use of superlatives and comparatives</w:t>
      </w:r>
      <w:r>
        <w:rPr>
          <w:rFonts w:hint="eastAsia"/>
          <w:lang w:eastAsia="ja-JP"/>
        </w:rPr>
        <w:t>: examples</w:t>
      </w:r>
      <w:r w:rsidR="008E1682">
        <w:rPr>
          <w:rFonts w:hint="eastAsia"/>
          <w:lang w:eastAsia="ja-JP"/>
        </w:rPr>
        <w:t xml:space="preserve"> to</w:t>
      </w:r>
      <w:r w:rsidR="00E02B4F">
        <w:rPr>
          <w:rFonts w:hint="eastAsia"/>
          <w:lang w:eastAsia="ja-JP"/>
        </w:rPr>
        <w:t xml:space="preserve"> be provided in document UPOV/INF/12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sidR="006B5567">
        <w:rPr>
          <w:rFonts w:hint="eastAsia"/>
          <w:lang w:eastAsia="ja-JP"/>
        </w:rPr>
        <w:t xml:space="preserve"> 19);</w:t>
      </w:r>
    </w:p>
    <w:p w:rsidR="00E02B4F" w:rsidRDefault="00E02B4F" w:rsidP="00683D46">
      <w:pPr>
        <w:rPr>
          <w:lang w:eastAsia="ja-JP"/>
        </w:rPr>
      </w:pPr>
    </w:p>
    <w:p w:rsidR="00E02B4F" w:rsidRDefault="00F61A37" w:rsidP="009D473D">
      <w:pPr>
        <w:ind w:firstLine="567"/>
        <w:rPr>
          <w:lang w:eastAsia="ja-JP"/>
        </w:rPr>
      </w:pPr>
      <w:r>
        <w:rPr>
          <w:rFonts w:hint="eastAsia"/>
          <w:lang w:eastAsia="ja-JP"/>
        </w:rPr>
        <w:t>(f)</w:t>
      </w:r>
      <w:r>
        <w:rPr>
          <w:rFonts w:hint="eastAsia"/>
          <w:lang w:eastAsia="ja-JP"/>
        </w:rPr>
        <w:tab/>
      </w:r>
      <w:r w:rsidR="00E02B4F">
        <w:rPr>
          <w:rFonts w:hint="eastAsia"/>
          <w:lang w:eastAsia="ja-JP"/>
        </w:rPr>
        <w:t>CPVO to provide information on its guidance and experience on the use of color terms when examining variety denominations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sidR="006B5567">
        <w:rPr>
          <w:rFonts w:hint="eastAsia"/>
          <w:lang w:eastAsia="ja-JP"/>
        </w:rPr>
        <w:t xml:space="preserve"> 21);</w:t>
      </w:r>
    </w:p>
    <w:p w:rsidR="00143B7A" w:rsidRDefault="00143B7A" w:rsidP="00683D46">
      <w:pPr>
        <w:rPr>
          <w:lang w:eastAsia="ja-JP"/>
        </w:rPr>
      </w:pPr>
    </w:p>
    <w:p w:rsidR="00143B7A" w:rsidRDefault="00143B7A" w:rsidP="00143B7A">
      <w:pPr>
        <w:pStyle w:val="ListParagraph"/>
        <w:autoSpaceDE w:val="0"/>
        <w:autoSpaceDN w:val="0"/>
        <w:adjustRightInd w:val="0"/>
        <w:ind w:left="0" w:firstLine="567"/>
        <w:contextualSpacing w:val="0"/>
        <w:rPr>
          <w:lang w:eastAsia="ja-JP"/>
        </w:rPr>
      </w:pPr>
      <w:r>
        <w:rPr>
          <w:rFonts w:hint="eastAsia"/>
          <w:lang w:eastAsia="ja-JP"/>
        </w:rPr>
        <w:t xml:space="preserve">(g) </w:t>
      </w:r>
      <w:r>
        <w:rPr>
          <w:rFonts w:hint="eastAsia"/>
          <w:lang w:eastAsia="ja-JP"/>
        </w:rPr>
        <w:tab/>
        <w:t xml:space="preserve">Section 2.3.3 (a), </w:t>
      </w:r>
      <w:r w:rsidR="008E1682">
        <w:rPr>
          <w:rFonts w:hint="eastAsia"/>
          <w:lang w:eastAsia="ja-JP"/>
        </w:rPr>
        <w:t xml:space="preserve">to </w:t>
      </w:r>
      <w:r>
        <w:rPr>
          <w:rFonts w:hint="eastAsia"/>
          <w:lang w:eastAsia="ja-JP"/>
        </w:rPr>
        <w:t xml:space="preserve">consider the example of </w:t>
      </w:r>
      <w:r>
        <w:rPr>
          <w:lang w:eastAsia="ja-JP"/>
        </w:rPr>
        <w:t>“</w:t>
      </w:r>
      <w:r>
        <w:rPr>
          <w:rFonts w:hint="eastAsia"/>
          <w:lang w:eastAsia="ja-JP"/>
        </w:rPr>
        <w:t>Bow</w:t>
      </w:r>
      <w:r>
        <w:rPr>
          <w:lang w:eastAsia="ja-JP"/>
        </w:rPr>
        <w:t>”</w:t>
      </w:r>
      <w:r>
        <w:rPr>
          <w:rFonts w:hint="eastAsia"/>
          <w:lang w:eastAsia="ja-JP"/>
        </w:rPr>
        <w:t xml:space="preserve"> and </w:t>
      </w:r>
      <w:r>
        <w:rPr>
          <w:lang w:eastAsia="ja-JP"/>
        </w:rPr>
        <w:t>“</w:t>
      </w:r>
      <w:r>
        <w:rPr>
          <w:rFonts w:hint="eastAsia"/>
          <w:lang w:eastAsia="ja-JP"/>
        </w:rPr>
        <w:t>Bough</w:t>
      </w:r>
      <w:r>
        <w:rPr>
          <w:lang w:eastAsia="ja-JP"/>
        </w:rPr>
        <w:t>”</w:t>
      </w:r>
      <w:r>
        <w:rPr>
          <w:rFonts w:hint="eastAsia"/>
          <w:lang w:eastAsia="ja-JP"/>
        </w:rPr>
        <w:t xml:space="preserve"> (see document UPOV/WG</w:t>
      </w:r>
      <w:r>
        <w:rPr>
          <w:lang w:eastAsia="ja-JP"/>
        </w:rPr>
        <w:noBreakHyphen/>
      </w:r>
      <w:r>
        <w:rPr>
          <w:rFonts w:hint="eastAsia"/>
          <w:lang w:eastAsia="ja-JP"/>
        </w:rPr>
        <w:t xml:space="preserve">DEN/1/6 </w:t>
      </w:r>
      <w:r>
        <w:rPr>
          <w:lang w:eastAsia="ja-JP"/>
        </w:rPr>
        <w:t>“</w:t>
      </w:r>
      <w:r w:rsidR="00683D46">
        <w:rPr>
          <w:rFonts w:hint="eastAsia"/>
          <w:lang w:eastAsia="ja-JP"/>
        </w:rPr>
        <w:t>Report</w:t>
      </w:r>
      <w:r w:rsidR="00683D46">
        <w:rPr>
          <w:lang w:eastAsia="ja-JP"/>
        </w:rPr>
        <w:t>”</w:t>
      </w:r>
      <w:r w:rsidR="00683D46">
        <w:rPr>
          <w:rFonts w:hint="eastAsia"/>
          <w:lang w:eastAsia="ja-JP"/>
        </w:rPr>
        <w:t>, paragraph</w:t>
      </w:r>
      <w:r>
        <w:rPr>
          <w:rFonts w:hint="eastAsia"/>
          <w:lang w:eastAsia="ja-JP"/>
        </w:rPr>
        <w:t xml:space="preserve"> 22);</w:t>
      </w:r>
    </w:p>
    <w:p w:rsidR="00AE377F" w:rsidRDefault="00AE377F" w:rsidP="009D473D">
      <w:pPr>
        <w:rPr>
          <w:lang w:eastAsia="ja-JP"/>
        </w:rPr>
      </w:pPr>
    </w:p>
    <w:p w:rsidR="00E02B4F" w:rsidRDefault="00143B7A" w:rsidP="00F61A37">
      <w:pPr>
        <w:pStyle w:val="ListParagraph"/>
        <w:autoSpaceDE w:val="0"/>
        <w:autoSpaceDN w:val="0"/>
        <w:adjustRightInd w:val="0"/>
        <w:ind w:left="0" w:firstLine="540"/>
        <w:contextualSpacing w:val="0"/>
        <w:rPr>
          <w:lang w:eastAsia="ja-JP"/>
        </w:rPr>
      </w:pPr>
      <w:r>
        <w:rPr>
          <w:rFonts w:hint="eastAsia"/>
          <w:lang w:eastAsia="ja-JP"/>
        </w:rPr>
        <w:t>(h</w:t>
      </w:r>
      <w:r w:rsidR="00F61A37">
        <w:rPr>
          <w:rFonts w:hint="eastAsia"/>
          <w:lang w:eastAsia="ja-JP"/>
        </w:rPr>
        <w:t>)</w:t>
      </w:r>
      <w:r w:rsidR="00F61A37">
        <w:rPr>
          <w:rFonts w:hint="eastAsia"/>
          <w:lang w:eastAsia="ja-JP"/>
        </w:rPr>
        <w:tab/>
      </w:r>
      <w:r w:rsidR="00E02B4F">
        <w:rPr>
          <w:rFonts w:hint="eastAsia"/>
          <w:lang w:eastAsia="ja-JP"/>
        </w:rPr>
        <w:t xml:space="preserve">the proposal made by New Zealand that, for all categories of denominations including </w:t>
      </w:r>
      <w:r w:rsidR="00E02B4F">
        <w:rPr>
          <w:lang w:eastAsia="ja-JP"/>
        </w:rPr>
        <w:t>pronounceable</w:t>
      </w:r>
      <w:r w:rsidR="00E02B4F">
        <w:rPr>
          <w:rFonts w:hint="eastAsia"/>
          <w:lang w:eastAsia="ja-JP"/>
        </w:rPr>
        <w:t xml:space="preserve"> words, a difference of one letter or one figure should not be considered to be liable to mislead and cause confusion concerning the identity of the variety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sidR="00E02B4F">
        <w:rPr>
          <w:rFonts w:hint="eastAsia"/>
          <w:lang w:eastAsia="ja-JP"/>
        </w:rPr>
        <w:t xml:space="preserve"> 24)</w:t>
      </w:r>
      <w:r w:rsidR="006B5567">
        <w:rPr>
          <w:lang w:eastAsia="ja-JP"/>
        </w:rPr>
        <w:t>;</w:t>
      </w:r>
    </w:p>
    <w:p w:rsidR="00AE377F" w:rsidRDefault="00AE377F" w:rsidP="00683D46">
      <w:pPr>
        <w:rPr>
          <w:lang w:eastAsia="ja-JP"/>
        </w:rPr>
      </w:pPr>
    </w:p>
    <w:p w:rsidR="00376C8B" w:rsidRDefault="00143B7A" w:rsidP="00F61A37">
      <w:pPr>
        <w:pStyle w:val="ListParagraph"/>
        <w:autoSpaceDE w:val="0"/>
        <w:autoSpaceDN w:val="0"/>
        <w:adjustRightInd w:val="0"/>
        <w:ind w:left="0" w:firstLine="540"/>
        <w:contextualSpacing w:val="0"/>
        <w:rPr>
          <w:lang w:eastAsia="ja-JP"/>
        </w:rPr>
      </w:pPr>
      <w:r>
        <w:rPr>
          <w:rFonts w:hint="eastAsia"/>
          <w:lang w:eastAsia="ja-JP"/>
        </w:rPr>
        <w:t>(i</w:t>
      </w:r>
      <w:r w:rsidR="00F61A37">
        <w:rPr>
          <w:rFonts w:hint="eastAsia"/>
          <w:lang w:eastAsia="ja-JP"/>
        </w:rPr>
        <w:t>)</w:t>
      </w:r>
      <w:r w:rsidR="00F61A37">
        <w:rPr>
          <w:rFonts w:hint="eastAsia"/>
          <w:lang w:eastAsia="ja-JP"/>
        </w:rPr>
        <w:tab/>
      </w:r>
      <w:r w:rsidR="00376C8B">
        <w:rPr>
          <w:rFonts w:hint="eastAsia"/>
          <w:lang w:eastAsia="ja-JP"/>
        </w:rPr>
        <w:t>the WG-DST proposal</w:t>
      </w:r>
      <w:r w:rsidR="00376C8B" w:rsidRPr="00400A7D">
        <w:rPr>
          <w:rFonts w:hint="eastAsia"/>
          <w:lang w:eastAsia="ja-JP"/>
        </w:rPr>
        <w:t xml:space="preserve"> </w:t>
      </w:r>
      <w:r w:rsidR="00F61A37">
        <w:rPr>
          <w:rFonts w:hint="eastAsia"/>
          <w:lang w:eastAsia="ja-JP"/>
        </w:rPr>
        <w:t>(see below)</w:t>
      </w:r>
      <w:r w:rsidR="00376C8B">
        <w:rPr>
          <w:rFonts w:hint="eastAsia"/>
          <w:lang w:eastAsia="ja-JP"/>
        </w:rPr>
        <w:t xml:space="preserve"> while noting that Argentina would not accept a difference of one letter with the same number in the case of variety denomination category (iii) </w:t>
      </w:r>
      <w:r w:rsidR="00376C8B">
        <w:rPr>
          <w:lang w:eastAsia="ja-JP"/>
        </w:rPr>
        <w:t>“</w:t>
      </w:r>
      <w:r w:rsidR="00376C8B">
        <w:rPr>
          <w:rFonts w:hint="eastAsia"/>
          <w:lang w:eastAsia="ja-JP"/>
        </w:rPr>
        <w:t>Letters and figures</w:t>
      </w:r>
      <w:r w:rsidR="00376C8B">
        <w:rPr>
          <w:lang w:eastAsia="ja-JP"/>
        </w:rPr>
        <w:t>”</w:t>
      </w:r>
      <w:r w:rsidR="00376C8B">
        <w:rPr>
          <w:rFonts w:hint="eastAsia"/>
          <w:lang w:eastAsia="ja-JP"/>
        </w:rPr>
        <w:t xml:space="preserve">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sidR="006B5567">
        <w:rPr>
          <w:rFonts w:hint="eastAsia"/>
          <w:lang w:eastAsia="ja-JP"/>
        </w:rPr>
        <w:t xml:space="preserve"> 26):</w:t>
      </w:r>
    </w:p>
    <w:p w:rsidR="00376C8B" w:rsidRDefault="00376C8B" w:rsidP="00376C8B">
      <w:pPr>
        <w:pStyle w:val="ListParagraph"/>
        <w:autoSpaceDE w:val="0"/>
        <w:autoSpaceDN w:val="0"/>
        <w:adjustRightInd w:val="0"/>
        <w:ind w:left="0"/>
        <w:contextualSpacing w:val="0"/>
        <w:rPr>
          <w:lang w:eastAsia="ja-JP"/>
        </w:rPr>
      </w:pPr>
    </w:p>
    <w:p w:rsidR="00376C8B" w:rsidRPr="00995744" w:rsidRDefault="00376C8B" w:rsidP="00FD739D">
      <w:pPr>
        <w:pStyle w:val="ListParagraph"/>
        <w:autoSpaceDE w:val="0"/>
        <w:autoSpaceDN w:val="0"/>
        <w:adjustRightInd w:val="0"/>
        <w:spacing w:after="240"/>
        <w:ind w:left="1134" w:right="567"/>
        <w:contextualSpacing w:val="0"/>
        <w:rPr>
          <w:sz w:val="18"/>
          <w:lang w:eastAsia="ja-JP"/>
        </w:rPr>
      </w:pPr>
      <w:r w:rsidRPr="00995744">
        <w:rPr>
          <w:lang w:eastAsia="ja-JP"/>
        </w:rPr>
        <w:t>“</w:t>
      </w:r>
      <w:r w:rsidRPr="00995744">
        <w:rPr>
          <w:sz w:val="18"/>
          <w:lang w:eastAsia="ja-JP"/>
        </w:rPr>
        <w:t>The WG-DST agreed the need to differentiate between letters in the form of words and other cases, and agreed on the following:</w:t>
      </w:r>
    </w:p>
    <w:p w:rsidR="00376C8B" w:rsidRPr="00995744" w:rsidRDefault="00376C8B" w:rsidP="00FD739D">
      <w:pPr>
        <w:pStyle w:val="ListParagraph"/>
        <w:numPr>
          <w:ilvl w:val="0"/>
          <w:numId w:val="9"/>
        </w:numPr>
        <w:autoSpaceDE w:val="0"/>
        <w:autoSpaceDN w:val="0"/>
        <w:adjustRightInd w:val="0"/>
        <w:ind w:left="1134" w:right="567" w:firstLine="851"/>
        <w:contextualSpacing w:val="0"/>
        <w:rPr>
          <w:sz w:val="18"/>
          <w:lang w:eastAsia="ja-JP"/>
        </w:rPr>
      </w:pPr>
      <w:r w:rsidRPr="00995744">
        <w:rPr>
          <w:rFonts w:hint="eastAsia"/>
          <w:sz w:val="18"/>
          <w:lang w:eastAsia="ja-JP"/>
        </w:rPr>
        <w:t>i</w:t>
      </w:r>
      <w:r w:rsidRPr="00995744">
        <w:rPr>
          <w:sz w:val="18"/>
          <w:lang w:eastAsia="ja-JP"/>
        </w:rPr>
        <w:t>n the case of denominations consisting of letters not in the form of words, a difference of a single letter should be regarded as a clear difference, with examples to be provided;</w:t>
      </w:r>
    </w:p>
    <w:p w:rsidR="00376C8B" w:rsidRPr="00995744" w:rsidRDefault="00376C8B" w:rsidP="00FD739D">
      <w:pPr>
        <w:ind w:left="567" w:right="567"/>
        <w:rPr>
          <w:sz w:val="18"/>
          <w:lang w:eastAsia="ja-JP"/>
        </w:rPr>
      </w:pPr>
    </w:p>
    <w:p w:rsidR="00F61A37" w:rsidRPr="00F61A37" w:rsidRDefault="00376C8B" w:rsidP="00FD739D">
      <w:pPr>
        <w:pStyle w:val="ListParagraph"/>
        <w:keepNext/>
        <w:numPr>
          <w:ilvl w:val="0"/>
          <w:numId w:val="9"/>
        </w:numPr>
        <w:autoSpaceDE w:val="0"/>
        <w:autoSpaceDN w:val="0"/>
        <w:adjustRightInd w:val="0"/>
        <w:ind w:left="1134" w:right="567" w:firstLine="851"/>
        <w:contextualSpacing w:val="0"/>
        <w:rPr>
          <w:lang w:eastAsia="ja-JP"/>
        </w:rPr>
      </w:pPr>
      <w:r w:rsidRPr="00F61A37">
        <w:rPr>
          <w:sz w:val="18"/>
          <w:lang w:eastAsia="ja-JP"/>
        </w:rPr>
        <w:t>in the case of denominations consisting of figures, a difference of a single figure should be regarded as a clear difference, with examples to be provided; and</w:t>
      </w:r>
    </w:p>
    <w:p w:rsidR="00F61A37" w:rsidRPr="00F61A37" w:rsidRDefault="00F61A37" w:rsidP="00FD739D">
      <w:pPr>
        <w:pStyle w:val="ListParagraph"/>
        <w:keepNext/>
        <w:autoSpaceDE w:val="0"/>
        <w:autoSpaceDN w:val="0"/>
        <w:adjustRightInd w:val="0"/>
        <w:ind w:left="1985" w:right="567"/>
        <w:contextualSpacing w:val="0"/>
        <w:rPr>
          <w:lang w:eastAsia="ja-JP"/>
        </w:rPr>
      </w:pPr>
      <w:r>
        <w:rPr>
          <w:rFonts w:hint="eastAsia"/>
          <w:sz w:val="18"/>
          <w:lang w:eastAsia="ja-JP"/>
        </w:rPr>
        <w:t xml:space="preserve"> </w:t>
      </w:r>
    </w:p>
    <w:p w:rsidR="00E02B4F" w:rsidRDefault="00376C8B" w:rsidP="00FD739D">
      <w:pPr>
        <w:pStyle w:val="ListParagraph"/>
        <w:keepNext/>
        <w:numPr>
          <w:ilvl w:val="0"/>
          <w:numId w:val="9"/>
        </w:numPr>
        <w:autoSpaceDE w:val="0"/>
        <w:autoSpaceDN w:val="0"/>
        <w:adjustRightInd w:val="0"/>
        <w:ind w:left="1134" w:right="567" w:firstLine="851"/>
        <w:contextualSpacing w:val="0"/>
        <w:rPr>
          <w:lang w:eastAsia="ja-JP"/>
        </w:rPr>
      </w:pPr>
      <w:r w:rsidRPr="00F61A37">
        <w:rPr>
          <w:sz w:val="18"/>
          <w:lang w:eastAsia="ja-JP"/>
        </w:rPr>
        <w:t>in the case of denominations consisting of figures and letters, not in the form of words, one letter or figure difference should be regarded as clear difference, with examples to be provided.</w:t>
      </w:r>
      <w:r w:rsidRPr="00995744">
        <w:rPr>
          <w:lang w:eastAsia="ja-JP"/>
        </w:rPr>
        <w:t>”</w:t>
      </w:r>
    </w:p>
    <w:p w:rsidR="00E02B4F" w:rsidRDefault="00E02B4F" w:rsidP="008767E4">
      <w:pPr>
        <w:keepNext/>
        <w:rPr>
          <w:lang w:eastAsia="ja-JP"/>
        </w:rPr>
      </w:pPr>
    </w:p>
    <w:p w:rsidR="00376C8B" w:rsidRDefault="00143B7A" w:rsidP="00F61A37">
      <w:pPr>
        <w:pStyle w:val="ListParagraph"/>
        <w:autoSpaceDE w:val="0"/>
        <w:autoSpaceDN w:val="0"/>
        <w:adjustRightInd w:val="0"/>
        <w:ind w:left="0" w:firstLine="567"/>
        <w:contextualSpacing w:val="0"/>
        <w:rPr>
          <w:lang w:eastAsia="ja-JP"/>
        </w:rPr>
      </w:pPr>
      <w:r>
        <w:rPr>
          <w:rFonts w:hint="eastAsia"/>
          <w:lang w:eastAsia="ja-JP"/>
        </w:rPr>
        <w:t>(j</w:t>
      </w:r>
      <w:r w:rsidR="00F61A37">
        <w:rPr>
          <w:rFonts w:hint="eastAsia"/>
          <w:lang w:eastAsia="ja-JP"/>
        </w:rPr>
        <w:t>)</w:t>
      </w:r>
      <w:r w:rsidR="00F61A37">
        <w:rPr>
          <w:rFonts w:hint="eastAsia"/>
          <w:lang w:eastAsia="ja-JP"/>
        </w:rPr>
        <w:tab/>
      </w:r>
      <w:r w:rsidR="00376C8B">
        <w:rPr>
          <w:rFonts w:hint="eastAsia"/>
          <w:lang w:eastAsia="ja-JP"/>
        </w:rPr>
        <w:t>re-use of a denomination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sidR="00376C8B">
        <w:rPr>
          <w:rFonts w:hint="eastAsia"/>
          <w:lang w:eastAsia="ja-JP"/>
        </w:rPr>
        <w:t xml:space="preserve"> 27)</w:t>
      </w:r>
      <w:r w:rsidR="00376C8B">
        <w:rPr>
          <w:lang w:eastAsia="ja-JP"/>
        </w:rPr>
        <w:t>:</w:t>
      </w:r>
    </w:p>
    <w:p w:rsidR="00376C8B" w:rsidRDefault="00376C8B" w:rsidP="00376C8B">
      <w:pPr>
        <w:pStyle w:val="ListParagraph"/>
        <w:autoSpaceDE w:val="0"/>
        <w:autoSpaceDN w:val="0"/>
        <w:adjustRightInd w:val="0"/>
        <w:ind w:left="0"/>
        <w:contextualSpacing w:val="0"/>
        <w:rPr>
          <w:lang w:eastAsia="ja-JP"/>
        </w:rPr>
      </w:pPr>
    </w:p>
    <w:p w:rsidR="00376C8B" w:rsidRDefault="00F61A37" w:rsidP="009D473D">
      <w:pPr>
        <w:pStyle w:val="ListParagraph"/>
        <w:autoSpaceDE w:val="0"/>
        <w:autoSpaceDN w:val="0"/>
        <w:adjustRightInd w:val="0"/>
        <w:ind w:left="567"/>
        <w:contextualSpacing w:val="0"/>
        <w:rPr>
          <w:lang w:eastAsia="ja-JP"/>
        </w:rPr>
      </w:pPr>
      <w:r>
        <w:rPr>
          <w:rFonts w:hint="eastAsia"/>
          <w:lang w:eastAsia="ja-JP"/>
        </w:rPr>
        <w:tab/>
      </w:r>
      <w:r w:rsidRPr="009D473D">
        <w:rPr>
          <w:rFonts w:hint="eastAsia"/>
          <w:i/>
          <w:lang w:eastAsia="ja-JP"/>
        </w:rPr>
        <w:t>(a</w:t>
      </w:r>
      <w:r w:rsidR="00376C8B" w:rsidRPr="009D473D">
        <w:rPr>
          <w:rFonts w:hint="eastAsia"/>
          <w:i/>
          <w:lang w:eastAsia="ja-JP"/>
        </w:rPr>
        <w:t>)</w:t>
      </w:r>
      <w:r w:rsidR="00376C8B">
        <w:rPr>
          <w:rFonts w:hint="eastAsia"/>
          <w:lang w:eastAsia="ja-JP"/>
        </w:rPr>
        <w:tab/>
        <w:t>to clarify that the guidance only concern</w:t>
      </w:r>
      <w:r w:rsidR="008E1682">
        <w:rPr>
          <w:rFonts w:hint="eastAsia"/>
          <w:lang w:eastAsia="ja-JP"/>
        </w:rPr>
        <w:t>s</w:t>
      </w:r>
      <w:r w:rsidR="00376C8B">
        <w:rPr>
          <w:rFonts w:hint="eastAsia"/>
          <w:lang w:eastAsia="ja-JP"/>
        </w:rPr>
        <w:t xml:space="preserve"> the re-use of denominations</w:t>
      </w:r>
      <w:r w:rsidR="00A945DC">
        <w:rPr>
          <w:rFonts w:hint="eastAsia"/>
          <w:lang w:eastAsia="ja-JP"/>
        </w:rPr>
        <w:t xml:space="preserve"> in the same denomination class</w:t>
      </w:r>
      <w:r w:rsidR="00A945DC">
        <w:rPr>
          <w:lang w:eastAsia="ja-JP"/>
        </w:rPr>
        <w:t>,</w:t>
      </w:r>
    </w:p>
    <w:p w:rsidR="00376C8B" w:rsidRDefault="00376C8B" w:rsidP="00F61A37">
      <w:pPr>
        <w:pStyle w:val="ListParagraph"/>
        <w:autoSpaceDE w:val="0"/>
        <w:autoSpaceDN w:val="0"/>
        <w:adjustRightInd w:val="0"/>
        <w:ind w:left="540" w:right="-81"/>
        <w:contextualSpacing w:val="0"/>
        <w:rPr>
          <w:lang w:eastAsia="ja-JP"/>
        </w:rPr>
      </w:pPr>
    </w:p>
    <w:p w:rsidR="00376C8B" w:rsidRDefault="00376C8B" w:rsidP="009D473D">
      <w:pPr>
        <w:pStyle w:val="ListParagraph"/>
        <w:autoSpaceDE w:val="0"/>
        <w:autoSpaceDN w:val="0"/>
        <w:adjustRightInd w:val="0"/>
        <w:ind w:left="567"/>
        <w:contextualSpacing w:val="0"/>
        <w:rPr>
          <w:lang w:eastAsia="ja-JP"/>
        </w:rPr>
      </w:pPr>
      <w:r>
        <w:rPr>
          <w:rFonts w:hint="eastAsia"/>
          <w:lang w:eastAsia="ja-JP"/>
        </w:rPr>
        <w:tab/>
      </w:r>
      <w:r w:rsidR="00F61A37" w:rsidRPr="009D473D">
        <w:rPr>
          <w:rFonts w:hint="eastAsia"/>
          <w:i/>
          <w:lang w:eastAsia="ja-JP"/>
        </w:rPr>
        <w:t>(b</w:t>
      </w:r>
      <w:r w:rsidRPr="009D473D">
        <w:rPr>
          <w:rFonts w:hint="eastAsia"/>
          <w:i/>
          <w:lang w:eastAsia="ja-JP"/>
        </w:rPr>
        <w:t>)</w:t>
      </w:r>
      <w:r>
        <w:rPr>
          <w:rFonts w:hint="eastAsia"/>
          <w:lang w:eastAsia="ja-JP"/>
        </w:rPr>
        <w:tab/>
        <w:t>to c</w:t>
      </w:r>
      <w:r w:rsidR="008E1682">
        <w:rPr>
          <w:rFonts w:hint="eastAsia"/>
          <w:lang w:eastAsia="ja-JP"/>
        </w:rPr>
        <w:t xml:space="preserve">onsider </w:t>
      </w:r>
      <w:r>
        <w:rPr>
          <w:rFonts w:hint="eastAsia"/>
          <w:lang w:eastAsia="ja-JP"/>
        </w:rPr>
        <w:t>whether a time period of 10 years after the variety</w:t>
      </w:r>
      <w:r w:rsidR="0071426E">
        <w:rPr>
          <w:rFonts w:hint="eastAsia"/>
          <w:lang w:eastAsia="ja-JP"/>
        </w:rPr>
        <w:t xml:space="preserve"> was no longer commercialized i</w:t>
      </w:r>
      <w:r>
        <w:rPr>
          <w:rFonts w:hint="eastAsia"/>
          <w:lang w:eastAsia="ja-JP"/>
        </w:rPr>
        <w:t xml:space="preserve">s appropriate for international guidance, given: </w:t>
      </w:r>
    </w:p>
    <w:p w:rsidR="00376C8B" w:rsidRDefault="00376C8B" w:rsidP="00376C8B">
      <w:pPr>
        <w:pStyle w:val="ListParagraph"/>
        <w:autoSpaceDE w:val="0"/>
        <w:autoSpaceDN w:val="0"/>
        <w:adjustRightInd w:val="0"/>
        <w:ind w:left="0"/>
        <w:contextualSpacing w:val="0"/>
        <w:rPr>
          <w:lang w:eastAsia="ja-JP"/>
        </w:rPr>
      </w:pPr>
    </w:p>
    <w:p w:rsidR="00376C8B" w:rsidRDefault="00376C8B" w:rsidP="00F61A37">
      <w:pPr>
        <w:pStyle w:val="ListParagraph"/>
        <w:numPr>
          <w:ilvl w:val="0"/>
          <w:numId w:val="10"/>
        </w:numPr>
        <w:autoSpaceDE w:val="0"/>
        <w:autoSpaceDN w:val="0"/>
        <w:adjustRightInd w:val="0"/>
        <w:ind w:left="1170" w:firstLine="851"/>
        <w:contextualSpacing w:val="0"/>
        <w:rPr>
          <w:lang w:eastAsia="ja-JP"/>
        </w:rPr>
      </w:pPr>
      <w:r>
        <w:rPr>
          <w:rFonts w:hint="eastAsia"/>
          <w:lang w:eastAsia="ja-JP"/>
        </w:rPr>
        <w:t xml:space="preserve">the difficulty of obtaining information on commercialization in different territories, </w:t>
      </w:r>
    </w:p>
    <w:p w:rsidR="00376C8B" w:rsidRDefault="00376C8B" w:rsidP="00376C8B">
      <w:pPr>
        <w:pStyle w:val="ListParagraph"/>
        <w:autoSpaceDE w:val="0"/>
        <w:autoSpaceDN w:val="0"/>
        <w:adjustRightInd w:val="0"/>
        <w:ind w:left="567" w:firstLine="851"/>
        <w:contextualSpacing w:val="0"/>
        <w:rPr>
          <w:lang w:eastAsia="ja-JP"/>
        </w:rPr>
      </w:pPr>
    </w:p>
    <w:p w:rsidR="00F61A37" w:rsidRDefault="00376C8B" w:rsidP="00F61A37">
      <w:pPr>
        <w:pStyle w:val="ListParagraph"/>
        <w:numPr>
          <w:ilvl w:val="0"/>
          <w:numId w:val="10"/>
        </w:numPr>
        <w:autoSpaceDE w:val="0"/>
        <w:autoSpaceDN w:val="0"/>
        <w:adjustRightInd w:val="0"/>
        <w:ind w:left="1170" w:firstLine="851"/>
        <w:contextualSpacing w:val="0"/>
        <w:rPr>
          <w:lang w:eastAsia="ja-JP"/>
        </w:rPr>
      </w:pPr>
      <w:r>
        <w:rPr>
          <w:rFonts w:hint="eastAsia"/>
          <w:lang w:eastAsia="ja-JP"/>
        </w:rPr>
        <w:t>the presence of varieties in genebanks, and</w:t>
      </w:r>
      <w:r w:rsidR="00F61A37">
        <w:rPr>
          <w:rFonts w:hint="eastAsia"/>
          <w:lang w:eastAsia="ja-JP"/>
        </w:rPr>
        <w:t xml:space="preserve"> </w:t>
      </w:r>
    </w:p>
    <w:p w:rsidR="00F61A37" w:rsidRDefault="00F61A37" w:rsidP="00F61A37">
      <w:pPr>
        <w:pStyle w:val="ListParagraph"/>
        <w:autoSpaceDE w:val="0"/>
        <w:autoSpaceDN w:val="0"/>
        <w:adjustRightInd w:val="0"/>
        <w:ind w:left="2021"/>
        <w:contextualSpacing w:val="0"/>
        <w:rPr>
          <w:lang w:eastAsia="ja-JP"/>
        </w:rPr>
      </w:pPr>
    </w:p>
    <w:p w:rsidR="00376C8B" w:rsidRDefault="00376C8B" w:rsidP="00F61A37">
      <w:pPr>
        <w:pStyle w:val="ListParagraph"/>
        <w:numPr>
          <w:ilvl w:val="0"/>
          <w:numId w:val="10"/>
        </w:numPr>
        <w:autoSpaceDE w:val="0"/>
        <w:autoSpaceDN w:val="0"/>
        <w:adjustRightInd w:val="0"/>
        <w:ind w:left="1170" w:firstLine="851"/>
        <w:contextualSpacing w:val="0"/>
        <w:rPr>
          <w:lang w:eastAsia="ja-JP"/>
        </w:rPr>
      </w:pPr>
      <w:r>
        <w:rPr>
          <w:rFonts w:hint="eastAsia"/>
          <w:lang w:eastAsia="ja-JP"/>
        </w:rPr>
        <w:t xml:space="preserve">that farmers would probably </w:t>
      </w:r>
      <w:r>
        <w:rPr>
          <w:lang w:eastAsia="ja-JP"/>
        </w:rPr>
        <w:t>remember</w:t>
      </w:r>
      <w:r>
        <w:rPr>
          <w:rFonts w:hint="eastAsia"/>
          <w:lang w:eastAsia="ja-JP"/>
        </w:rPr>
        <w:t xml:space="preserve"> varieties over a considerably longer time than 10</w:t>
      </w:r>
      <w:r>
        <w:rPr>
          <w:lang w:eastAsia="ja-JP"/>
        </w:rPr>
        <w:t> </w:t>
      </w:r>
      <w:r w:rsidR="00A945DC">
        <w:rPr>
          <w:rFonts w:hint="eastAsia"/>
          <w:lang w:eastAsia="ja-JP"/>
        </w:rPr>
        <w:t>years</w:t>
      </w:r>
      <w:r w:rsidR="00A945DC">
        <w:rPr>
          <w:lang w:eastAsia="ja-JP"/>
        </w:rPr>
        <w:t>;</w:t>
      </w:r>
    </w:p>
    <w:p w:rsidR="00376C8B" w:rsidRDefault="00376C8B" w:rsidP="00F61A37">
      <w:pPr>
        <w:autoSpaceDE w:val="0"/>
        <w:autoSpaceDN w:val="0"/>
        <w:adjustRightInd w:val="0"/>
        <w:rPr>
          <w:lang w:eastAsia="ja-JP"/>
        </w:rPr>
      </w:pPr>
    </w:p>
    <w:p w:rsidR="00376C8B" w:rsidRDefault="00143B7A" w:rsidP="00F61A37">
      <w:pPr>
        <w:autoSpaceDE w:val="0"/>
        <w:autoSpaceDN w:val="0"/>
        <w:adjustRightInd w:val="0"/>
        <w:ind w:firstLine="567"/>
        <w:rPr>
          <w:lang w:eastAsia="ja-JP"/>
        </w:rPr>
      </w:pPr>
      <w:r>
        <w:rPr>
          <w:rFonts w:hint="eastAsia"/>
          <w:lang w:eastAsia="ja-JP"/>
        </w:rPr>
        <w:t>(k</w:t>
      </w:r>
      <w:r w:rsidR="00F61A37">
        <w:rPr>
          <w:rFonts w:hint="eastAsia"/>
          <w:lang w:eastAsia="ja-JP"/>
        </w:rPr>
        <w:t>)</w:t>
      </w:r>
      <w:r w:rsidR="00F61A37">
        <w:rPr>
          <w:rFonts w:hint="eastAsia"/>
          <w:lang w:eastAsia="ja-JP"/>
        </w:rPr>
        <w:tab/>
      </w:r>
      <w:r w:rsidR="00376C8B">
        <w:rPr>
          <w:rFonts w:hint="eastAsia"/>
          <w:lang w:eastAsia="ja-JP"/>
        </w:rPr>
        <w:t>the use of prefixes to identify the breeder and issues that could arise, on the basis of information to be provided by the members of the WG-DEN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sidR="00F61A37">
        <w:rPr>
          <w:rFonts w:hint="eastAsia"/>
          <w:lang w:eastAsia="ja-JP"/>
        </w:rPr>
        <w:t xml:space="preserve"> 30);</w:t>
      </w:r>
    </w:p>
    <w:p w:rsidR="00376C8B" w:rsidRDefault="00376C8B" w:rsidP="00683D46">
      <w:pPr>
        <w:rPr>
          <w:lang w:eastAsia="ja-JP"/>
        </w:rPr>
      </w:pPr>
    </w:p>
    <w:p w:rsidR="00376C8B" w:rsidRPr="009D473D" w:rsidRDefault="00F61A37" w:rsidP="009D473D">
      <w:pPr>
        <w:ind w:firstLine="567"/>
        <w:rPr>
          <w:lang w:eastAsia="ja-JP"/>
        </w:rPr>
      </w:pPr>
      <w:r w:rsidRPr="009D473D">
        <w:rPr>
          <w:rFonts w:hint="eastAsia"/>
          <w:lang w:eastAsia="ja-JP"/>
        </w:rPr>
        <w:t>(</w:t>
      </w:r>
      <w:r w:rsidR="00143B7A" w:rsidRPr="009D473D">
        <w:rPr>
          <w:rFonts w:hint="eastAsia"/>
          <w:lang w:eastAsia="ja-JP"/>
        </w:rPr>
        <w:t>l</w:t>
      </w:r>
      <w:r w:rsidRPr="009D473D">
        <w:rPr>
          <w:rFonts w:hint="eastAsia"/>
          <w:lang w:eastAsia="ja-JP"/>
        </w:rPr>
        <w:t>)</w:t>
      </w:r>
      <w:r w:rsidRPr="009D473D">
        <w:rPr>
          <w:rFonts w:hint="eastAsia"/>
          <w:lang w:eastAsia="ja-JP"/>
        </w:rPr>
        <w:tab/>
      </w:r>
      <w:r w:rsidR="00376C8B" w:rsidRPr="009D473D">
        <w:rPr>
          <w:rFonts w:hint="eastAsia"/>
          <w:lang w:eastAsia="ja-JP"/>
        </w:rPr>
        <w:t xml:space="preserve">the list of denomination classes in document UPOV/INF/12 Annex I </w:t>
      </w:r>
      <w:r w:rsidR="00376C8B" w:rsidRPr="009D473D">
        <w:rPr>
          <w:lang w:eastAsia="ja-JP"/>
        </w:rPr>
        <w:t>“</w:t>
      </w:r>
      <w:r w:rsidR="00376C8B" w:rsidRPr="009D473D">
        <w:rPr>
          <w:rFonts w:hint="eastAsia"/>
          <w:lang w:eastAsia="ja-JP"/>
        </w:rPr>
        <w:t>List of Classes</w:t>
      </w:r>
      <w:r w:rsidR="00376C8B" w:rsidRPr="009D473D">
        <w:rPr>
          <w:lang w:eastAsia="ja-JP"/>
        </w:rPr>
        <w:t>”</w:t>
      </w:r>
      <w:r w:rsidR="00376C8B" w:rsidRPr="009D473D">
        <w:rPr>
          <w:rFonts w:hint="eastAsia"/>
          <w:lang w:eastAsia="ja-JP"/>
        </w:rPr>
        <w:t xml:space="preserve"> to better reflect current practices of members</w:t>
      </w:r>
      <w:r w:rsidR="00376C8B" w:rsidRPr="009D473D">
        <w:rPr>
          <w:lang w:eastAsia="ja-JP"/>
        </w:rPr>
        <w:t xml:space="preserve"> of the Union</w:t>
      </w:r>
      <w:r w:rsidR="00376C8B" w:rsidRPr="009D473D">
        <w:rPr>
          <w:rFonts w:hint="eastAsia"/>
          <w:lang w:eastAsia="ja-JP"/>
        </w:rPr>
        <w:t xml:space="preserve"> (</w:t>
      </w:r>
      <w:r w:rsidR="00C27CCC" w:rsidRPr="009D473D">
        <w:rPr>
          <w:rFonts w:hint="eastAsia"/>
          <w:lang w:eastAsia="ja-JP"/>
        </w:rPr>
        <w:t>see document UPOV/WG</w:t>
      </w:r>
      <w:r w:rsidRPr="009D473D">
        <w:rPr>
          <w:lang w:eastAsia="ja-JP"/>
        </w:rPr>
        <w:noBreakHyphen/>
      </w:r>
      <w:r w:rsidR="00C27CCC" w:rsidRPr="009D473D">
        <w:rPr>
          <w:rFonts w:hint="eastAsia"/>
          <w:lang w:eastAsia="ja-JP"/>
        </w:rPr>
        <w:t xml:space="preserve">DEN/1/6 </w:t>
      </w:r>
      <w:r w:rsidR="00C27CCC" w:rsidRPr="009D473D">
        <w:rPr>
          <w:lang w:eastAsia="ja-JP"/>
        </w:rPr>
        <w:t>“</w:t>
      </w:r>
      <w:r w:rsidR="00683D46" w:rsidRPr="009D473D">
        <w:rPr>
          <w:rFonts w:hint="eastAsia"/>
          <w:lang w:eastAsia="ja-JP"/>
        </w:rPr>
        <w:t>Report</w:t>
      </w:r>
      <w:r w:rsidR="00683D46" w:rsidRPr="009D473D">
        <w:rPr>
          <w:lang w:eastAsia="ja-JP"/>
        </w:rPr>
        <w:t>”</w:t>
      </w:r>
      <w:r w:rsidR="00683D46" w:rsidRPr="009D473D">
        <w:rPr>
          <w:rFonts w:hint="eastAsia"/>
          <w:lang w:eastAsia="ja-JP"/>
        </w:rPr>
        <w:t>, paragraph</w:t>
      </w:r>
      <w:r w:rsidR="009D473D" w:rsidRPr="009D473D">
        <w:rPr>
          <w:lang w:eastAsia="ja-JP"/>
        </w:rPr>
        <w:t> </w:t>
      </w:r>
      <w:r w:rsidRPr="009D473D">
        <w:rPr>
          <w:rFonts w:hint="eastAsia"/>
          <w:lang w:eastAsia="ja-JP"/>
        </w:rPr>
        <w:t>34);</w:t>
      </w:r>
    </w:p>
    <w:p w:rsidR="00376C8B" w:rsidRDefault="00376C8B" w:rsidP="009D473D">
      <w:pPr>
        <w:ind w:firstLine="567"/>
        <w:rPr>
          <w:lang w:eastAsia="ja-JP"/>
        </w:rPr>
      </w:pPr>
    </w:p>
    <w:p w:rsidR="0035314A" w:rsidRDefault="00143B7A" w:rsidP="00F61A37">
      <w:pPr>
        <w:pStyle w:val="ListParagraph"/>
        <w:autoSpaceDE w:val="0"/>
        <w:autoSpaceDN w:val="0"/>
        <w:adjustRightInd w:val="0"/>
        <w:ind w:left="0" w:firstLine="567"/>
        <w:contextualSpacing w:val="0"/>
        <w:rPr>
          <w:lang w:eastAsia="ja-JP"/>
        </w:rPr>
      </w:pPr>
      <w:r>
        <w:rPr>
          <w:rFonts w:hint="eastAsia"/>
          <w:lang w:eastAsia="ja-JP"/>
        </w:rPr>
        <w:t>(m</w:t>
      </w:r>
      <w:r w:rsidR="00F61A37">
        <w:rPr>
          <w:rFonts w:hint="eastAsia"/>
          <w:lang w:eastAsia="ja-JP"/>
        </w:rPr>
        <w:t>)</w:t>
      </w:r>
      <w:r w:rsidR="00F61A37">
        <w:rPr>
          <w:rFonts w:hint="eastAsia"/>
          <w:lang w:eastAsia="ja-JP"/>
        </w:rPr>
        <w:tab/>
      </w:r>
      <w:r w:rsidR="0035314A">
        <w:rPr>
          <w:rFonts w:hint="eastAsia"/>
          <w:lang w:eastAsia="ja-JP"/>
        </w:rPr>
        <w:t>cases in which the denomination accepted in the first application was not the denomination used by other authorities when a different denomination was accepted by a second authority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sidR="00FD739D">
        <w:rPr>
          <w:lang w:eastAsia="ja-JP"/>
        </w:rPr>
        <w:t>s</w:t>
      </w:r>
      <w:r w:rsidR="0035314A">
        <w:rPr>
          <w:rFonts w:hint="eastAsia"/>
          <w:lang w:eastAsia="ja-JP"/>
        </w:rPr>
        <w:t xml:space="preserve"> 41</w:t>
      </w:r>
      <w:r w:rsidR="00847458">
        <w:rPr>
          <w:rFonts w:hint="eastAsia"/>
          <w:lang w:eastAsia="ja-JP"/>
        </w:rPr>
        <w:t xml:space="preserve"> and 44);</w:t>
      </w:r>
    </w:p>
    <w:p w:rsidR="00847458" w:rsidRDefault="00847458" w:rsidP="0035314A">
      <w:pPr>
        <w:pStyle w:val="ListParagraph"/>
        <w:autoSpaceDE w:val="0"/>
        <w:autoSpaceDN w:val="0"/>
        <w:adjustRightInd w:val="0"/>
        <w:ind w:left="0"/>
        <w:contextualSpacing w:val="0"/>
        <w:rPr>
          <w:lang w:eastAsia="ja-JP"/>
        </w:rPr>
      </w:pPr>
    </w:p>
    <w:p w:rsidR="0035314A" w:rsidRDefault="00143B7A" w:rsidP="00847458">
      <w:pPr>
        <w:pStyle w:val="ListParagraph"/>
        <w:autoSpaceDE w:val="0"/>
        <w:autoSpaceDN w:val="0"/>
        <w:adjustRightInd w:val="0"/>
        <w:ind w:left="0" w:firstLine="567"/>
        <w:contextualSpacing w:val="0"/>
        <w:rPr>
          <w:lang w:eastAsia="ja-JP"/>
        </w:rPr>
      </w:pPr>
      <w:r>
        <w:rPr>
          <w:rFonts w:hint="eastAsia"/>
          <w:lang w:eastAsia="ja-JP"/>
        </w:rPr>
        <w:t>(n</w:t>
      </w:r>
      <w:r w:rsidR="00847458">
        <w:rPr>
          <w:rFonts w:hint="eastAsia"/>
          <w:lang w:eastAsia="ja-JP"/>
        </w:rPr>
        <w:t>)</w:t>
      </w:r>
      <w:r w:rsidR="00847458">
        <w:rPr>
          <w:rFonts w:hint="eastAsia"/>
          <w:lang w:eastAsia="ja-JP"/>
        </w:rPr>
        <w:tab/>
      </w:r>
      <w:r w:rsidR="0035314A">
        <w:rPr>
          <w:rFonts w:hint="eastAsia"/>
          <w:lang w:eastAsia="ja-JP"/>
        </w:rPr>
        <w:t xml:space="preserve">document UPOV/INF/12 </w:t>
      </w:r>
      <w:r w:rsidR="0071426E">
        <w:rPr>
          <w:rFonts w:hint="eastAsia"/>
          <w:lang w:eastAsia="ja-JP"/>
        </w:rPr>
        <w:t>to</w:t>
      </w:r>
      <w:r w:rsidR="0035314A">
        <w:rPr>
          <w:rFonts w:hint="eastAsia"/>
          <w:lang w:eastAsia="ja-JP"/>
        </w:rPr>
        <w:t xml:space="preserve"> be amended to encourage members </w:t>
      </w:r>
      <w:r w:rsidR="0035314A">
        <w:rPr>
          <w:lang w:eastAsia="ja-JP"/>
        </w:rPr>
        <w:t xml:space="preserve">of the Union </w:t>
      </w:r>
      <w:r w:rsidR="0035314A">
        <w:rPr>
          <w:rFonts w:hint="eastAsia"/>
          <w:lang w:eastAsia="ja-JP"/>
        </w:rPr>
        <w:t>to contribute data to the PLUTO database in accordance with the guidance provided in document</w:t>
      </w:r>
      <w:r w:rsidR="0035314A">
        <w:rPr>
          <w:lang w:eastAsia="ja-JP"/>
        </w:rPr>
        <w:t> </w:t>
      </w:r>
      <w:r w:rsidR="0035314A">
        <w:rPr>
          <w:rFonts w:hint="eastAsia"/>
          <w:lang w:eastAsia="ja-JP"/>
        </w:rPr>
        <w:t xml:space="preserve">UPOV/INF/15 </w:t>
      </w:r>
      <w:r w:rsidR="0035314A">
        <w:rPr>
          <w:lang w:eastAsia="ja-JP"/>
        </w:rPr>
        <w:t>“</w:t>
      </w:r>
      <w:r w:rsidR="0035314A" w:rsidRPr="005A1170">
        <w:rPr>
          <w:lang w:eastAsia="ja-JP"/>
        </w:rPr>
        <w:t>G</w:t>
      </w:r>
      <w:r w:rsidR="0035314A">
        <w:rPr>
          <w:rFonts w:hint="eastAsia"/>
          <w:lang w:eastAsia="ja-JP"/>
        </w:rPr>
        <w:t>uidance for</w:t>
      </w:r>
      <w:r w:rsidR="0035314A" w:rsidRPr="005A1170">
        <w:rPr>
          <w:lang w:eastAsia="ja-JP"/>
        </w:rPr>
        <w:t xml:space="preserve"> </w:t>
      </w:r>
      <w:r w:rsidR="00683D46" w:rsidRPr="005A1170">
        <w:rPr>
          <w:lang w:eastAsia="ja-JP"/>
        </w:rPr>
        <w:t>m</w:t>
      </w:r>
      <w:r w:rsidR="00683D46">
        <w:rPr>
          <w:lang w:eastAsia="ja-JP"/>
        </w:rPr>
        <w:t>embers</w:t>
      </w:r>
      <w:r w:rsidR="00683D46" w:rsidRPr="005A1170">
        <w:rPr>
          <w:lang w:eastAsia="ja-JP"/>
        </w:rPr>
        <w:t xml:space="preserve"> </w:t>
      </w:r>
      <w:r w:rsidR="0035314A">
        <w:rPr>
          <w:rFonts w:hint="eastAsia"/>
          <w:lang w:eastAsia="ja-JP"/>
        </w:rPr>
        <w:t>of</w:t>
      </w:r>
      <w:r w:rsidR="0035314A" w:rsidRPr="005A1170">
        <w:rPr>
          <w:lang w:eastAsia="ja-JP"/>
        </w:rPr>
        <w:t xml:space="preserve"> UPOV</w:t>
      </w:r>
      <w:r w:rsidR="0035314A">
        <w:rPr>
          <w:lang w:eastAsia="ja-JP"/>
        </w:rPr>
        <w:t>”</w:t>
      </w:r>
      <w:r w:rsidR="0035314A">
        <w:rPr>
          <w:rFonts w:hint="eastAsia"/>
          <w:lang w:eastAsia="ja-JP"/>
        </w:rPr>
        <w:t xml:space="preserve">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sidR="00847458">
        <w:rPr>
          <w:rFonts w:hint="eastAsia"/>
          <w:lang w:eastAsia="ja-JP"/>
        </w:rPr>
        <w:t xml:space="preserve"> 45);</w:t>
      </w:r>
    </w:p>
    <w:p w:rsidR="00376C8B" w:rsidRDefault="00376C8B" w:rsidP="009D473D">
      <w:pPr>
        <w:rPr>
          <w:lang w:eastAsia="ja-JP"/>
        </w:rPr>
      </w:pPr>
    </w:p>
    <w:p w:rsidR="0035314A" w:rsidRDefault="00143B7A" w:rsidP="00847458">
      <w:pPr>
        <w:keepNext/>
        <w:ind w:firstLine="567"/>
        <w:rPr>
          <w:szCs w:val="24"/>
          <w:lang w:eastAsia="ja-JP"/>
        </w:rPr>
      </w:pPr>
      <w:r>
        <w:rPr>
          <w:rFonts w:hint="eastAsia"/>
          <w:lang w:eastAsia="ja-JP"/>
        </w:rPr>
        <w:t>(o</w:t>
      </w:r>
      <w:r w:rsidR="00847458">
        <w:rPr>
          <w:rFonts w:hint="eastAsia"/>
          <w:lang w:eastAsia="ja-JP"/>
        </w:rPr>
        <w:t>)</w:t>
      </w:r>
      <w:r w:rsidR="00847458">
        <w:rPr>
          <w:rFonts w:hint="eastAsia"/>
          <w:lang w:eastAsia="ja-JP"/>
        </w:rPr>
        <w:tab/>
      </w:r>
      <w:r w:rsidR="0035314A" w:rsidRPr="006B662B">
        <w:rPr>
          <w:szCs w:val="24"/>
          <w:lang w:eastAsia="ja-JP"/>
        </w:rPr>
        <w:t xml:space="preserve">to investigate the reasons that breeders used names other than variety denominations with a view to </w:t>
      </w:r>
      <w:r w:rsidR="0035314A">
        <w:rPr>
          <w:szCs w:val="24"/>
          <w:lang w:eastAsia="ja-JP"/>
        </w:rPr>
        <w:t>considering whether a change to document </w:t>
      </w:r>
      <w:r w:rsidR="0035314A" w:rsidRPr="006B662B">
        <w:rPr>
          <w:szCs w:val="24"/>
          <w:lang w:eastAsia="ja-JP"/>
        </w:rPr>
        <w:t xml:space="preserve">UPOV/INF/12 </w:t>
      </w:r>
      <w:r w:rsidR="0035314A">
        <w:rPr>
          <w:szCs w:val="24"/>
          <w:lang w:eastAsia="ja-JP"/>
        </w:rPr>
        <w:t>c</w:t>
      </w:r>
      <w:r w:rsidR="0035314A" w:rsidRPr="006B662B">
        <w:rPr>
          <w:szCs w:val="24"/>
          <w:lang w:eastAsia="ja-JP"/>
        </w:rPr>
        <w:t>ould reduce such practices</w:t>
      </w:r>
      <w:r w:rsidR="0035314A">
        <w:rPr>
          <w:rFonts w:hint="eastAsia"/>
          <w:szCs w:val="24"/>
          <w:lang w:eastAsia="ja-JP"/>
        </w:rPr>
        <w:t xml:space="preserve"> (</w:t>
      </w:r>
      <w:r w:rsidR="00C27CCC">
        <w:rPr>
          <w:rFonts w:hint="eastAsia"/>
          <w:lang w:eastAsia="ja-JP"/>
        </w:rPr>
        <w:t xml:space="preserve">see document UPOV/WG-DEN/1/6 </w:t>
      </w:r>
      <w:r w:rsidR="00C27CCC">
        <w:rPr>
          <w:lang w:eastAsia="ja-JP"/>
        </w:rPr>
        <w:t>“</w:t>
      </w:r>
      <w:r w:rsidR="00683D46">
        <w:rPr>
          <w:rFonts w:hint="eastAsia"/>
          <w:lang w:eastAsia="ja-JP"/>
        </w:rPr>
        <w:t>Report</w:t>
      </w:r>
      <w:r w:rsidR="00683D46">
        <w:rPr>
          <w:lang w:eastAsia="ja-JP"/>
        </w:rPr>
        <w:t>”</w:t>
      </w:r>
      <w:r w:rsidR="00683D46">
        <w:rPr>
          <w:rFonts w:hint="eastAsia"/>
          <w:lang w:eastAsia="ja-JP"/>
        </w:rPr>
        <w:t>, paragraph</w:t>
      </w:r>
      <w:r w:rsidR="00FD739D">
        <w:rPr>
          <w:lang w:eastAsia="ja-JP"/>
        </w:rPr>
        <w:t>s</w:t>
      </w:r>
      <w:r w:rsidR="0035314A">
        <w:rPr>
          <w:rFonts w:hint="eastAsia"/>
          <w:szCs w:val="24"/>
          <w:lang w:eastAsia="ja-JP"/>
        </w:rPr>
        <w:t xml:space="preserve"> 47</w:t>
      </w:r>
      <w:r w:rsidR="00847458">
        <w:rPr>
          <w:rFonts w:hint="eastAsia"/>
          <w:szCs w:val="24"/>
          <w:lang w:eastAsia="ja-JP"/>
        </w:rPr>
        <w:t xml:space="preserve"> and 48</w:t>
      </w:r>
      <w:r w:rsidR="0035314A">
        <w:rPr>
          <w:rFonts w:hint="eastAsia"/>
          <w:szCs w:val="24"/>
          <w:lang w:eastAsia="ja-JP"/>
        </w:rPr>
        <w:t>)</w:t>
      </w:r>
      <w:r w:rsidR="0035314A" w:rsidRPr="006B662B">
        <w:rPr>
          <w:szCs w:val="24"/>
          <w:lang w:eastAsia="ja-JP"/>
        </w:rPr>
        <w:t>.</w:t>
      </w:r>
    </w:p>
    <w:p w:rsidR="00376C8B" w:rsidRDefault="00376C8B" w:rsidP="006522CC">
      <w:pPr>
        <w:rPr>
          <w:lang w:eastAsia="ja-JP"/>
        </w:rPr>
      </w:pPr>
    </w:p>
    <w:p w:rsidR="00C27CCC" w:rsidRDefault="00C27CCC" w:rsidP="006522CC">
      <w:pPr>
        <w:rPr>
          <w:lang w:eastAsia="ja-JP"/>
        </w:rPr>
      </w:pPr>
    </w:p>
    <w:p w:rsidR="00376C8B" w:rsidRDefault="0071426E" w:rsidP="0035314A">
      <w:pPr>
        <w:pStyle w:val="Heading2"/>
        <w:rPr>
          <w:lang w:eastAsia="ja-JP"/>
        </w:rPr>
      </w:pPr>
      <w:bookmarkStart w:id="18" w:name="_Toc463973122"/>
      <w:r>
        <w:rPr>
          <w:rFonts w:hint="eastAsia"/>
          <w:lang w:eastAsia="ja-JP"/>
        </w:rPr>
        <w:t>F</w:t>
      </w:r>
      <w:r w:rsidR="0035314A">
        <w:rPr>
          <w:rFonts w:hint="eastAsia"/>
          <w:lang w:eastAsia="ja-JP"/>
        </w:rPr>
        <w:t>urther information</w:t>
      </w:r>
      <w:r>
        <w:rPr>
          <w:rFonts w:hint="eastAsia"/>
          <w:lang w:eastAsia="ja-JP"/>
        </w:rPr>
        <w:t xml:space="preserve"> to be provided</w:t>
      </w:r>
      <w:bookmarkEnd w:id="18"/>
    </w:p>
    <w:p w:rsidR="00AE377F" w:rsidRDefault="00AE377F" w:rsidP="008767E4">
      <w:pPr>
        <w:keepNext/>
        <w:rPr>
          <w:lang w:eastAsia="ja-JP"/>
        </w:rPr>
      </w:pPr>
    </w:p>
    <w:p w:rsidR="00402121" w:rsidRDefault="00A66C90" w:rsidP="00402121">
      <w:pPr>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sidR="00402121" w:rsidRPr="00402121">
        <w:rPr>
          <w:rFonts w:cs="Arial"/>
          <w:snapToGrid w:val="0"/>
          <w:lang w:eastAsia="ja-JP"/>
        </w:rPr>
        <w:t>The WG-DEN, at its first meeting</w:t>
      </w:r>
      <w:r w:rsidR="00402121">
        <w:rPr>
          <w:rFonts w:cs="Arial" w:hint="eastAsia"/>
          <w:snapToGrid w:val="0"/>
          <w:lang w:eastAsia="ja-JP"/>
        </w:rPr>
        <w:t>, held in Geneva, on March 18, 2016</w:t>
      </w:r>
      <w:r w:rsidR="00402121" w:rsidRPr="00402121">
        <w:rPr>
          <w:rFonts w:cs="Arial"/>
          <w:snapToGrid w:val="0"/>
          <w:lang w:eastAsia="ja-JP"/>
        </w:rPr>
        <w:t xml:space="preserve">, agreed to invite members of the WG-DEN to provide </w:t>
      </w:r>
      <w:r w:rsidR="00CD698D" w:rsidRPr="00CE4538">
        <w:rPr>
          <w:rFonts w:cs="Arial"/>
          <w:snapToGrid w:val="0"/>
          <w:lang w:eastAsia="ja-JP"/>
        </w:rPr>
        <w:t>the following</w:t>
      </w:r>
      <w:r w:rsidR="00CD698D">
        <w:rPr>
          <w:rFonts w:cs="Arial"/>
          <w:snapToGrid w:val="0"/>
          <w:lang w:eastAsia="ja-JP"/>
        </w:rPr>
        <w:t xml:space="preserve"> </w:t>
      </w:r>
      <w:r w:rsidR="00402121" w:rsidRPr="00402121">
        <w:rPr>
          <w:rFonts w:cs="Arial"/>
          <w:snapToGrid w:val="0"/>
          <w:lang w:eastAsia="ja-JP"/>
        </w:rPr>
        <w:t>information</w:t>
      </w:r>
      <w:r w:rsidR="00C05578">
        <w:rPr>
          <w:rFonts w:cs="Arial" w:hint="eastAsia"/>
          <w:snapToGrid w:val="0"/>
          <w:lang w:eastAsia="ja-JP"/>
        </w:rPr>
        <w:t xml:space="preserve"> by May 20,</w:t>
      </w:r>
      <w:r w:rsidR="002002CD">
        <w:rPr>
          <w:rFonts w:cs="Arial" w:hint="eastAsia"/>
          <w:snapToGrid w:val="0"/>
          <w:lang w:eastAsia="ja-JP"/>
        </w:rPr>
        <w:t xml:space="preserve"> </w:t>
      </w:r>
      <w:r w:rsidR="00C05578">
        <w:rPr>
          <w:rFonts w:cs="Arial" w:hint="eastAsia"/>
          <w:snapToGrid w:val="0"/>
          <w:lang w:eastAsia="ja-JP"/>
        </w:rPr>
        <w:t>2016,</w:t>
      </w:r>
      <w:r w:rsidR="00402121" w:rsidRPr="00402121">
        <w:rPr>
          <w:rFonts w:cs="Arial"/>
          <w:snapToGrid w:val="0"/>
          <w:lang w:eastAsia="ja-JP"/>
        </w:rPr>
        <w:t xml:space="preserve"> as provided in document UPOV/WG</w:t>
      </w:r>
      <w:r w:rsidR="00CD698D">
        <w:rPr>
          <w:rFonts w:cs="Arial"/>
          <w:snapToGrid w:val="0"/>
          <w:lang w:eastAsia="ja-JP"/>
        </w:rPr>
        <w:noBreakHyphen/>
      </w:r>
      <w:r w:rsidR="00402121" w:rsidRPr="00402121">
        <w:rPr>
          <w:rFonts w:cs="Arial"/>
          <w:snapToGrid w:val="0"/>
          <w:lang w:eastAsia="ja-JP"/>
        </w:rPr>
        <w:t>DEN/1/6</w:t>
      </w:r>
      <w:r w:rsidR="00EF4815">
        <w:rPr>
          <w:rFonts w:cs="Arial" w:hint="eastAsia"/>
          <w:snapToGrid w:val="0"/>
          <w:lang w:eastAsia="ja-JP"/>
        </w:rPr>
        <w:t xml:space="preserve"> </w:t>
      </w:r>
      <w:r w:rsidR="00EF4815">
        <w:rPr>
          <w:rFonts w:cs="Arial"/>
          <w:snapToGrid w:val="0"/>
          <w:lang w:eastAsia="ja-JP"/>
        </w:rPr>
        <w:t>“</w:t>
      </w:r>
      <w:r w:rsidR="00EF4815">
        <w:rPr>
          <w:rFonts w:cs="Arial" w:hint="eastAsia"/>
          <w:snapToGrid w:val="0"/>
          <w:lang w:eastAsia="ja-JP"/>
        </w:rPr>
        <w:t>Report</w:t>
      </w:r>
      <w:r w:rsidR="00EF4815">
        <w:rPr>
          <w:rFonts w:cs="Arial"/>
          <w:snapToGrid w:val="0"/>
          <w:lang w:eastAsia="ja-JP"/>
        </w:rPr>
        <w:t>”</w:t>
      </w:r>
      <w:r w:rsidR="00CD698D">
        <w:rPr>
          <w:rFonts w:cs="Arial"/>
          <w:snapToGrid w:val="0"/>
          <w:lang w:eastAsia="ja-JP"/>
        </w:rPr>
        <w:t>:</w:t>
      </w:r>
    </w:p>
    <w:p w:rsidR="00CE4538" w:rsidRDefault="00CE4538" w:rsidP="00402121">
      <w:pPr>
        <w:rPr>
          <w:rFonts w:cs="Arial"/>
          <w:snapToGrid w:val="0"/>
          <w:lang w:eastAsia="ja-JP"/>
        </w:rPr>
      </w:pPr>
    </w:p>
    <w:p w:rsidR="00CC75E9" w:rsidRPr="005677C3" w:rsidRDefault="00C05578" w:rsidP="006522CC">
      <w:pPr>
        <w:ind w:firstLine="540"/>
        <w:rPr>
          <w:rFonts w:cs="Arial"/>
          <w:snapToGrid w:val="0"/>
          <w:lang w:eastAsia="ja-JP"/>
        </w:rPr>
      </w:pPr>
      <w:r w:rsidRPr="005677C3">
        <w:rPr>
          <w:rFonts w:cs="Arial" w:hint="eastAsia"/>
          <w:snapToGrid w:val="0"/>
          <w:lang w:eastAsia="ja-JP"/>
        </w:rPr>
        <w:t xml:space="preserve">(a) </w:t>
      </w:r>
      <w:r w:rsidR="002002CD" w:rsidRPr="005677C3">
        <w:rPr>
          <w:rFonts w:cs="Arial" w:hint="eastAsia"/>
          <w:snapToGrid w:val="0"/>
          <w:lang w:eastAsia="ja-JP"/>
        </w:rPr>
        <w:tab/>
        <w:t xml:space="preserve">to provide </w:t>
      </w:r>
      <w:r w:rsidR="00CC75E9" w:rsidRPr="005677C3">
        <w:rPr>
          <w:rFonts w:cs="Arial"/>
          <w:snapToGrid w:val="0"/>
          <w:lang w:eastAsia="ja-JP"/>
        </w:rPr>
        <w:t>examples for acceptable cases of variety denominations that consisted solely of descriptive terms</w:t>
      </w:r>
      <w:r w:rsidRPr="005677C3">
        <w:rPr>
          <w:rFonts w:cs="Arial" w:hint="eastAsia"/>
          <w:snapToGrid w:val="0"/>
          <w:lang w:eastAsia="ja-JP"/>
        </w:rPr>
        <w:t xml:space="preserve"> (see</w:t>
      </w:r>
      <w:r w:rsidR="009251B0" w:rsidRPr="005677C3">
        <w:rPr>
          <w:rFonts w:cs="Arial"/>
          <w:snapToGrid w:val="0"/>
          <w:lang w:eastAsia="ja-JP"/>
        </w:rPr>
        <w:t xml:space="preserve"> document UPOV/WG</w:t>
      </w:r>
      <w:r w:rsidR="009251B0" w:rsidRPr="005677C3">
        <w:rPr>
          <w:rFonts w:cs="Arial"/>
          <w:snapToGrid w:val="0"/>
          <w:lang w:eastAsia="ja-JP"/>
        </w:rPr>
        <w:noBreakHyphen/>
        <w:t>DEN/1/6</w:t>
      </w:r>
      <w:r w:rsidR="009251B0" w:rsidRPr="005677C3">
        <w:rPr>
          <w:rFonts w:cs="Arial" w:hint="eastAsia"/>
          <w:snapToGrid w:val="0"/>
          <w:lang w:eastAsia="ja-JP"/>
        </w:rPr>
        <w:t xml:space="preserve"> </w:t>
      </w:r>
      <w:r w:rsidR="009251B0" w:rsidRPr="005677C3">
        <w:rPr>
          <w:rFonts w:cs="Arial"/>
          <w:snapToGrid w:val="0"/>
          <w:lang w:eastAsia="ja-JP"/>
        </w:rPr>
        <w:t>“</w:t>
      </w:r>
      <w:r w:rsidR="009251B0" w:rsidRPr="005677C3">
        <w:rPr>
          <w:rFonts w:cs="Arial" w:hint="eastAsia"/>
          <w:snapToGrid w:val="0"/>
          <w:lang w:eastAsia="ja-JP"/>
        </w:rPr>
        <w:t>Report</w:t>
      </w:r>
      <w:r w:rsidR="009251B0" w:rsidRPr="005677C3">
        <w:rPr>
          <w:rFonts w:cs="Arial"/>
          <w:snapToGrid w:val="0"/>
          <w:lang w:eastAsia="ja-JP"/>
        </w:rPr>
        <w:t>”</w:t>
      </w:r>
      <w:r w:rsidR="009251B0" w:rsidRPr="005677C3">
        <w:rPr>
          <w:rFonts w:cs="Arial" w:hint="eastAsia"/>
          <w:snapToGrid w:val="0"/>
          <w:lang w:eastAsia="ja-JP"/>
        </w:rPr>
        <w:t>,</w:t>
      </w:r>
      <w:r w:rsidRPr="005677C3">
        <w:rPr>
          <w:rFonts w:cs="Arial" w:hint="eastAsia"/>
          <w:snapToGrid w:val="0"/>
          <w:lang w:eastAsia="ja-JP"/>
        </w:rPr>
        <w:t xml:space="preserve"> paragraph 14)</w:t>
      </w:r>
      <w:r w:rsidR="002002CD" w:rsidRPr="005677C3">
        <w:rPr>
          <w:rFonts w:cs="Arial" w:hint="eastAsia"/>
          <w:snapToGrid w:val="0"/>
          <w:lang w:eastAsia="ja-JP"/>
        </w:rPr>
        <w:t>;</w:t>
      </w:r>
    </w:p>
    <w:p w:rsidR="00CC75E9" w:rsidRPr="005677C3" w:rsidRDefault="00CC75E9" w:rsidP="006522CC">
      <w:pPr>
        <w:ind w:firstLine="540"/>
        <w:rPr>
          <w:rFonts w:cs="Arial"/>
          <w:snapToGrid w:val="0"/>
          <w:lang w:eastAsia="ja-JP"/>
        </w:rPr>
      </w:pPr>
    </w:p>
    <w:p w:rsidR="00CC75E9" w:rsidRPr="005677C3" w:rsidRDefault="00C05578" w:rsidP="006522CC">
      <w:pPr>
        <w:ind w:firstLine="540"/>
        <w:rPr>
          <w:rFonts w:cs="Arial"/>
          <w:snapToGrid w:val="0"/>
          <w:lang w:eastAsia="ja-JP"/>
        </w:rPr>
      </w:pPr>
      <w:r w:rsidRPr="005677C3">
        <w:rPr>
          <w:rFonts w:cs="Arial" w:hint="eastAsia"/>
          <w:snapToGrid w:val="0"/>
          <w:lang w:eastAsia="ja-JP"/>
        </w:rPr>
        <w:t xml:space="preserve">(b) </w:t>
      </w:r>
      <w:r w:rsidR="002002CD" w:rsidRPr="005677C3">
        <w:rPr>
          <w:rFonts w:cs="Arial" w:hint="eastAsia"/>
          <w:snapToGrid w:val="0"/>
          <w:lang w:eastAsia="ja-JP"/>
        </w:rPr>
        <w:tab/>
      </w:r>
      <w:r w:rsidR="00CC75E9" w:rsidRPr="005677C3">
        <w:rPr>
          <w:rFonts w:cs="Arial"/>
          <w:snapToGrid w:val="0"/>
          <w:lang w:eastAsia="ja-JP"/>
        </w:rPr>
        <w:t>to submit examples of acceptable and unacceptable use o</w:t>
      </w:r>
      <w:r w:rsidRPr="005677C3">
        <w:rPr>
          <w:rFonts w:cs="Arial"/>
          <w:snapToGrid w:val="0"/>
          <w:lang w:eastAsia="ja-JP"/>
        </w:rPr>
        <w:t>f superlatives and comparatives</w:t>
      </w:r>
      <w:r w:rsidRPr="005677C3">
        <w:rPr>
          <w:rFonts w:cs="Arial" w:hint="eastAsia"/>
          <w:snapToGrid w:val="0"/>
          <w:lang w:eastAsia="ja-JP"/>
        </w:rPr>
        <w:t xml:space="preserve"> (see </w:t>
      </w:r>
      <w:r w:rsidR="009251B0" w:rsidRPr="005677C3">
        <w:rPr>
          <w:rFonts w:cs="Arial"/>
          <w:snapToGrid w:val="0"/>
          <w:lang w:eastAsia="ja-JP"/>
        </w:rPr>
        <w:t>document UPOV/WG</w:t>
      </w:r>
      <w:r w:rsidR="009251B0" w:rsidRPr="005677C3">
        <w:rPr>
          <w:rFonts w:cs="Arial"/>
          <w:snapToGrid w:val="0"/>
          <w:lang w:eastAsia="ja-JP"/>
        </w:rPr>
        <w:noBreakHyphen/>
        <w:t>DEN/1/6</w:t>
      </w:r>
      <w:r w:rsidR="009251B0" w:rsidRPr="005677C3">
        <w:rPr>
          <w:rFonts w:cs="Arial" w:hint="eastAsia"/>
          <w:snapToGrid w:val="0"/>
          <w:lang w:eastAsia="ja-JP"/>
        </w:rPr>
        <w:t xml:space="preserve"> </w:t>
      </w:r>
      <w:r w:rsidR="009251B0" w:rsidRPr="005677C3">
        <w:rPr>
          <w:rFonts w:cs="Arial"/>
          <w:snapToGrid w:val="0"/>
          <w:lang w:eastAsia="ja-JP"/>
        </w:rPr>
        <w:t>“</w:t>
      </w:r>
      <w:r w:rsidR="009251B0" w:rsidRPr="005677C3">
        <w:rPr>
          <w:rFonts w:cs="Arial" w:hint="eastAsia"/>
          <w:snapToGrid w:val="0"/>
          <w:lang w:eastAsia="ja-JP"/>
        </w:rPr>
        <w:t>Report</w:t>
      </w:r>
      <w:r w:rsidR="009251B0" w:rsidRPr="005677C3">
        <w:rPr>
          <w:rFonts w:cs="Arial"/>
          <w:snapToGrid w:val="0"/>
          <w:lang w:eastAsia="ja-JP"/>
        </w:rPr>
        <w:t>”</w:t>
      </w:r>
      <w:r w:rsidR="009251B0" w:rsidRPr="005677C3">
        <w:rPr>
          <w:rFonts w:cs="Arial" w:hint="eastAsia"/>
          <w:snapToGrid w:val="0"/>
          <w:lang w:eastAsia="ja-JP"/>
        </w:rPr>
        <w:t xml:space="preserve">, </w:t>
      </w:r>
      <w:r w:rsidRPr="005677C3">
        <w:rPr>
          <w:rFonts w:cs="Arial" w:hint="eastAsia"/>
          <w:snapToGrid w:val="0"/>
          <w:lang w:eastAsia="ja-JP"/>
        </w:rPr>
        <w:t>paragraph 20)</w:t>
      </w:r>
      <w:r w:rsidR="002002CD" w:rsidRPr="005677C3">
        <w:rPr>
          <w:rFonts w:cs="Arial" w:hint="eastAsia"/>
          <w:snapToGrid w:val="0"/>
          <w:lang w:eastAsia="ja-JP"/>
        </w:rPr>
        <w:t>;</w:t>
      </w:r>
    </w:p>
    <w:p w:rsidR="00CC75E9" w:rsidRPr="005677C3" w:rsidRDefault="00CC75E9" w:rsidP="006522CC">
      <w:pPr>
        <w:ind w:firstLine="540"/>
        <w:rPr>
          <w:rFonts w:cs="Arial"/>
          <w:snapToGrid w:val="0"/>
          <w:lang w:eastAsia="ja-JP"/>
        </w:rPr>
      </w:pPr>
    </w:p>
    <w:p w:rsidR="00CC75E9" w:rsidRPr="005677C3" w:rsidRDefault="00C05578" w:rsidP="006522CC">
      <w:pPr>
        <w:ind w:firstLine="540"/>
        <w:rPr>
          <w:rFonts w:cs="Arial"/>
          <w:snapToGrid w:val="0"/>
          <w:lang w:eastAsia="ja-JP"/>
        </w:rPr>
      </w:pPr>
      <w:r w:rsidRPr="005677C3">
        <w:rPr>
          <w:rFonts w:cs="Arial" w:hint="eastAsia"/>
          <w:snapToGrid w:val="0"/>
          <w:lang w:eastAsia="ja-JP"/>
        </w:rPr>
        <w:t>(c)</w:t>
      </w:r>
      <w:r w:rsidR="002002CD" w:rsidRPr="005677C3">
        <w:rPr>
          <w:rFonts w:cs="Arial" w:hint="eastAsia"/>
          <w:snapToGrid w:val="0"/>
          <w:lang w:eastAsia="ja-JP"/>
        </w:rPr>
        <w:tab/>
      </w:r>
      <w:r w:rsidR="00CC75E9" w:rsidRPr="005677C3">
        <w:rPr>
          <w:rFonts w:cs="Arial"/>
          <w:snapToGrid w:val="0"/>
          <w:lang w:eastAsia="ja-JP"/>
        </w:rPr>
        <w:t>to provide examples and information on the use of prefixes to identify the breeder and issues that could arise</w:t>
      </w:r>
      <w:r w:rsidRPr="005677C3">
        <w:rPr>
          <w:rFonts w:cs="Arial" w:hint="eastAsia"/>
          <w:snapToGrid w:val="0"/>
          <w:lang w:eastAsia="ja-JP"/>
        </w:rPr>
        <w:t xml:space="preserve"> (see </w:t>
      </w:r>
      <w:r w:rsidR="009251B0" w:rsidRPr="005677C3">
        <w:rPr>
          <w:rFonts w:cs="Arial"/>
          <w:snapToGrid w:val="0"/>
          <w:lang w:eastAsia="ja-JP"/>
        </w:rPr>
        <w:t>document UPOV/WG</w:t>
      </w:r>
      <w:r w:rsidR="009251B0" w:rsidRPr="005677C3">
        <w:rPr>
          <w:rFonts w:cs="Arial"/>
          <w:snapToGrid w:val="0"/>
          <w:lang w:eastAsia="ja-JP"/>
        </w:rPr>
        <w:noBreakHyphen/>
        <w:t>DEN/1/6</w:t>
      </w:r>
      <w:r w:rsidR="009251B0" w:rsidRPr="005677C3">
        <w:rPr>
          <w:rFonts w:cs="Arial" w:hint="eastAsia"/>
          <w:snapToGrid w:val="0"/>
          <w:lang w:eastAsia="ja-JP"/>
        </w:rPr>
        <w:t xml:space="preserve"> </w:t>
      </w:r>
      <w:r w:rsidR="009251B0" w:rsidRPr="005677C3">
        <w:rPr>
          <w:rFonts w:cs="Arial"/>
          <w:snapToGrid w:val="0"/>
          <w:lang w:eastAsia="ja-JP"/>
        </w:rPr>
        <w:t>“</w:t>
      </w:r>
      <w:r w:rsidR="009251B0" w:rsidRPr="005677C3">
        <w:rPr>
          <w:rFonts w:cs="Arial" w:hint="eastAsia"/>
          <w:snapToGrid w:val="0"/>
          <w:lang w:eastAsia="ja-JP"/>
        </w:rPr>
        <w:t>Report</w:t>
      </w:r>
      <w:r w:rsidR="009251B0" w:rsidRPr="005677C3">
        <w:rPr>
          <w:rFonts w:cs="Arial"/>
          <w:snapToGrid w:val="0"/>
          <w:lang w:eastAsia="ja-JP"/>
        </w:rPr>
        <w:t>”</w:t>
      </w:r>
      <w:r w:rsidR="009251B0" w:rsidRPr="005677C3">
        <w:rPr>
          <w:rFonts w:cs="Arial" w:hint="eastAsia"/>
          <w:snapToGrid w:val="0"/>
          <w:lang w:eastAsia="ja-JP"/>
        </w:rPr>
        <w:t xml:space="preserve">, </w:t>
      </w:r>
      <w:r w:rsidRPr="005677C3">
        <w:rPr>
          <w:rFonts w:cs="Arial" w:hint="eastAsia"/>
          <w:snapToGrid w:val="0"/>
          <w:lang w:eastAsia="ja-JP"/>
        </w:rPr>
        <w:t>paragraph 31)</w:t>
      </w:r>
      <w:r w:rsidR="002002CD" w:rsidRPr="005677C3">
        <w:rPr>
          <w:rFonts w:cs="Arial" w:hint="eastAsia"/>
          <w:snapToGrid w:val="0"/>
          <w:lang w:eastAsia="ja-JP"/>
        </w:rPr>
        <w:t>;</w:t>
      </w:r>
    </w:p>
    <w:p w:rsidR="00CC75E9" w:rsidRPr="005677C3" w:rsidRDefault="00CC75E9" w:rsidP="006522CC">
      <w:pPr>
        <w:ind w:firstLine="540"/>
        <w:rPr>
          <w:rFonts w:cs="Arial"/>
          <w:snapToGrid w:val="0"/>
          <w:lang w:eastAsia="ja-JP"/>
        </w:rPr>
      </w:pPr>
    </w:p>
    <w:p w:rsidR="00CC75E9" w:rsidRPr="005677C3" w:rsidRDefault="00C05578" w:rsidP="006522CC">
      <w:pPr>
        <w:ind w:firstLine="540"/>
        <w:rPr>
          <w:rFonts w:cs="Arial"/>
          <w:snapToGrid w:val="0"/>
          <w:lang w:eastAsia="ja-JP"/>
        </w:rPr>
      </w:pPr>
      <w:r w:rsidRPr="005677C3">
        <w:rPr>
          <w:rFonts w:cs="Arial" w:hint="eastAsia"/>
          <w:snapToGrid w:val="0"/>
          <w:lang w:eastAsia="ja-JP"/>
        </w:rPr>
        <w:t xml:space="preserve">(d) </w:t>
      </w:r>
      <w:r w:rsidR="002002CD" w:rsidRPr="005677C3">
        <w:rPr>
          <w:rFonts w:cs="Arial" w:hint="eastAsia"/>
          <w:snapToGrid w:val="0"/>
          <w:lang w:eastAsia="ja-JP"/>
        </w:rPr>
        <w:tab/>
      </w:r>
      <w:r w:rsidR="00CC75E9" w:rsidRPr="005677C3">
        <w:rPr>
          <w:rFonts w:cs="Arial"/>
          <w:snapToGrid w:val="0"/>
          <w:lang w:eastAsia="ja-JP"/>
        </w:rPr>
        <w:t>to make proposals concerning a possible revision of the variety denomi</w:t>
      </w:r>
      <w:r w:rsidRPr="005677C3">
        <w:rPr>
          <w:rFonts w:cs="Arial"/>
          <w:snapToGrid w:val="0"/>
          <w:lang w:eastAsia="ja-JP"/>
        </w:rPr>
        <w:t>nation classes</w:t>
      </w:r>
      <w:r w:rsidRPr="005677C3">
        <w:rPr>
          <w:rFonts w:cs="Arial" w:hint="eastAsia"/>
          <w:snapToGrid w:val="0"/>
          <w:lang w:eastAsia="ja-JP"/>
        </w:rPr>
        <w:t xml:space="preserve"> (see</w:t>
      </w:r>
      <w:r w:rsidR="009251B0" w:rsidRPr="005677C3">
        <w:rPr>
          <w:rFonts w:cs="Arial"/>
          <w:snapToGrid w:val="0"/>
          <w:lang w:eastAsia="ja-JP"/>
        </w:rPr>
        <w:t> document UPOV/WG</w:t>
      </w:r>
      <w:r w:rsidR="009251B0" w:rsidRPr="005677C3">
        <w:rPr>
          <w:rFonts w:cs="Arial"/>
          <w:snapToGrid w:val="0"/>
          <w:lang w:eastAsia="ja-JP"/>
        </w:rPr>
        <w:noBreakHyphen/>
        <w:t>DEN/1/6</w:t>
      </w:r>
      <w:r w:rsidR="009251B0" w:rsidRPr="005677C3">
        <w:rPr>
          <w:rFonts w:cs="Arial" w:hint="eastAsia"/>
          <w:snapToGrid w:val="0"/>
          <w:lang w:eastAsia="ja-JP"/>
        </w:rPr>
        <w:t xml:space="preserve"> </w:t>
      </w:r>
      <w:r w:rsidR="009251B0" w:rsidRPr="005677C3">
        <w:rPr>
          <w:rFonts w:cs="Arial"/>
          <w:snapToGrid w:val="0"/>
          <w:lang w:eastAsia="ja-JP"/>
        </w:rPr>
        <w:t>“</w:t>
      </w:r>
      <w:r w:rsidR="009251B0" w:rsidRPr="005677C3">
        <w:rPr>
          <w:rFonts w:cs="Arial" w:hint="eastAsia"/>
          <w:snapToGrid w:val="0"/>
          <w:lang w:eastAsia="ja-JP"/>
        </w:rPr>
        <w:t>Report</w:t>
      </w:r>
      <w:r w:rsidR="009251B0" w:rsidRPr="005677C3">
        <w:rPr>
          <w:rFonts w:cs="Arial"/>
          <w:snapToGrid w:val="0"/>
          <w:lang w:eastAsia="ja-JP"/>
        </w:rPr>
        <w:t>”</w:t>
      </w:r>
      <w:r w:rsidR="009251B0" w:rsidRPr="005677C3">
        <w:rPr>
          <w:rFonts w:cs="Arial" w:hint="eastAsia"/>
          <w:snapToGrid w:val="0"/>
          <w:lang w:eastAsia="ja-JP"/>
        </w:rPr>
        <w:t xml:space="preserve">, </w:t>
      </w:r>
      <w:r w:rsidRPr="005677C3">
        <w:rPr>
          <w:rFonts w:cs="Arial" w:hint="eastAsia"/>
          <w:snapToGrid w:val="0"/>
          <w:lang w:eastAsia="ja-JP"/>
        </w:rPr>
        <w:t>paragraph</w:t>
      </w:r>
      <w:r w:rsidR="002002CD" w:rsidRPr="005677C3">
        <w:rPr>
          <w:rFonts w:cs="Arial"/>
          <w:snapToGrid w:val="0"/>
          <w:lang w:eastAsia="ja-JP"/>
        </w:rPr>
        <w:t> </w:t>
      </w:r>
      <w:r w:rsidRPr="005677C3">
        <w:rPr>
          <w:rFonts w:cs="Arial" w:hint="eastAsia"/>
          <w:snapToGrid w:val="0"/>
          <w:lang w:eastAsia="ja-JP"/>
        </w:rPr>
        <w:t>35)</w:t>
      </w:r>
      <w:r w:rsidR="002002CD" w:rsidRPr="005677C3">
        <w:rPr>
          <w:rFonts w:cs="Arial" w:hint="eastAsia"/>
          <w:snapToGrid w:val="0"/>
          <w:lang w:eastAsia="ja-JP"/>
        </w:rPr>
        <w:t>;</w:t>
      </w:r>
    </w:p>
    <w:p w:rsidR="00CC75E9" w:rsidRPr="005677C3" w:rsidRDefault="00CC75E9" w:rsidP="006522CC">
      <w:pPr>
        <w:ind w:firstLine="540"/>
        <w:rPr>
          <w:rFonts w:cs="Arial"/>
          <w:snapToGrid w:val="0"/>
          <w:lang w:eastAsia="ja-JP"/>
        </w:rPr>
      </w:pPr>
    </w:p>
    <w:p w:rsidR="00CC75E9" w:rsidRPr="005677C3" w:rsidRDefault="00C05578" w:rsidP="006522CC">
      <w:pPr>
        <w:ind w:firstLine="540"/>
        <w:rPr>
          <w:rFonts w:cs="Arial"/>
          <w:snapToGrid w:val="0"/>
          <w:lang w:eastAsia="ja-JP"/>
        </w:rPr>
      </w:pPr>
      <w:r w:rsidRPr="005677C3">
        <w:rPr>
          <w:rFonts w:cs="Arial" w:hint="eastAsia"/>
          <w:snapToGrid w:val="0"/>
          <w:lang w:eastAsia="ja-JP"/>
        </w:rPr>
        <w:t xml:space="preserve">(e) </w:t>
      </w:r>
      <w:r w:rsidR="002002CD" w:rsidRPr="005677C3">
        <w:rPr>
          <w:rFonts w:cs="Arial" w:hint="eastAsia"/>
          <w:snapToGrid w:val="0"/>
          <w:lang w:eastAsia="ja-JP"/>
        </w:rPr>
        <w:tab/>
      </w:r>
      <w:r w:rsidR="00CC75E9" w:rsidRPr="005677C3">
        <w:rPr>
          <w:rFonts w:cs="Arial"/>
          <w:snapToGrid w:val="0"/>
          <w:lang w:eastAsia="ja-JP"/>
        </w:rPr>
        <w:t>to submi</w:t>
      </w:r>
      <w:r w:rsidR="00CD698D" w:rsidRPr="005677C3">
        <w:rPr>
          <w:rFonts w:cs="Arial"/>
          <w:snapToGrid w:val="0"/>
          <w:lang w:eastAsia="ja-JP"/>
        </w:rPr>
        <w:t>t comments/proposals on Section </w:t>
      </w:r>
      <w:r w:rsidR="00CC75E9" w:rsidRPr="005677C3">
        <w:rPr>
          <w:rFonts w:cs="Arial"/>
          <w:snapToGrid w:val="0"/>
          <w:lang w:eastAsia="ja-JP"/>
        </w:rPr>
        <w:t xml:space="preserve">4(a), </w:t>
      </w:r>
      <w:r w:rsidRPr="005677C3">
        <w:rPr>
          <w:rFonts w:cs="Arial" w:hint="eastAsia"/>
          <w:snapToGrid w:val="0"/>
          <w:lang w:eastAsia="ja-JP"/>
        </w:rPr>
        <w:t>regarding p</w:t>
      </w:r>
      <w:r w:rsidRPr="005677C3">
        <w:rPr>
          <w:rFonts w:cs="Arial"/>
          <w:snapToGrid w:val="0"/>
          <w:lang w:eastAsia="ja-JP"/>
        </w:rPr>
        <w:t>rior rights of third persons</w:t>
      </w:r>
      <w:r w:rsidRPr="005677C3">
        <w:rPr>
          <w:rFonts w:cs="Arial" w:hint="eastAsia"/>
          <w:snapToGrid w:val="0"/>
          <w:lang w:eastAsia="ja-JP"/>
        </w:rPr>
        <w:t>,</w:t>
      </w:r>
      <w:r w:rsidRPr="005677C3">
        <w:rPr>
          <w:rFonts w:cs="Arial"/>
          <w:snapToGrid w:val="0"/>
          <w:lang w:eastAsia="ja-JP"/>
        </w:rPr>
        <w:t xml:space="preserve"> </w:t>
      </w:r>
      <w:r w:rsidR="00CC75E9" w:rsidRPr="005677C3">
        <w:rPr>
          <w:rFonts w:cs="Arial"/>
          <w:snapToGrid w:val="0"/>
          <w:lang w:eastAsia="ja-JP"/>
        </w:rPr>
        <w:t>in relation to their practices concerning searches and measures concernin</w:t>
      </w:r>
      <w:r w:rsidRPr="005677C3">
        <w:rPr>
          <w:rFonts w:cs="Arial"/>
          <w:snapToGrid w:val="0"/>
          <w:lang w:eastAsia="ja-JP"/>
        </w:rPr>
        <w:t>g prior rights</w:t>
      </w:r>
      <w:r w:rsidRPr="005677C3">
        <w:rPr>
          <w:rFonts w:cs="Arial" w:hint="eastAsia"/>
          <w:snapToGrid w:val="0"/>
          <w:lang w:eastAsia="ja-JP"/>
        </w:rPr>
        <w:t xml:space="preserve"> (see </w:t>
      </w:r>
      <w:r w:rsidR="009251B0" w:rsidRPr="005677C3">
        <w:rPr>
          <w:rFonts w:cs="Arial"/>
          <w:snapToGrid w:val="0"/>
          <w:lang w:eastAsia="ja-JP"/>
        </w:rPr>
        <w:t>document UPOV/WG</w:t>
      </w:r>
      <w:r w:rsidR="009251B0" w:rsidRPr="005677C3">
        <w:rPr>
          <w:rFonts w:cs="Arial"/>
          <w:snapToGrid w:val="0"/>
          <w:lang w:eastAsia="ja-JP"/>
        </w:rPr>
        <w:noBreakHyphen/>
        <w:t>DEN/1/6</w:t>
      </w:r>
      <w:r w:rsidR="009251B0" w:rsidRPr="005677C3">
        <w:rPr>
          <w:rFonts w:cs="Arial" w:hint="eastAsia"/>
          <w:snapToGrid w:val="0"/>
          <w:lang w:eastAsia="ja-JP"/>
        </w:rPr>
        <w:t xml:space="preserve"> </w:t>
      </w:r>
      <w:r w:rsidR="009251B0" w:rsidRPr="005677C3">
        <w:rPr>
          <w:rFonts w:cs="Arial"/>
          <w:snapToGrid w:val="0"/>
          <w:lang w:eastAsia="ja-JP"/>
        </w:rPr>
        <w:t>“</w:t>
      </w:r>
      <w:r w:rsidR="009251B0" w:rsidRPr="005677C3">
        <w:rPr>
          <w:rFonts w:cs="Arial" w:hint="eastAsia"/>
          <w:snapToGrid w:val="0"/>
          <w:lang w:eastAsia="ja-JP"/>
        </w:rPr>
        <w:t>Report</w:t>
      </w:r>
      <w:r w:rsidR="009251B0" w:rsidRPr="005677C3">
        <w:rPr>
          <w:rFonts w:cs="Arial"/>
          <w:snapToGrid w:val="0"/>
          <w:lang w:eastAsia="ja-JP"/>
        </w:rPr>
        <w:t>”</w:t>
      </w:r>
      <w:r w:rsidR="009251B0" w:rsidRPr="005677C3">
        <w:rPr>
          <w:rFonts w:cs="Arial" w:hint="eastAsia"/>
          <w:snapToGrid w:val="0"/>
          <w:lang w:eastAsia="ja-JP"/>
        </w:rPr>
        <w:t xml:space="preserve">, </w:t>
      </w:r>
      <w:r w:rsidRPr="005677C3">
        <w:rPr>
          <w:rFonts w:cs="Arial" w:hint="eastAsia"/>
          <w:snapToGrid w:val="0"/>
          <w:lang w:eastAsia="ja-JP"/>
        </w:rPr>
        <w:t>paragraph 39)</w:t>
      </w:r>
      <w:r w:rsidR="002F0D55" w:rsidRPr="005677C3">
        <w:rPr>
          <w:rFonts w:cs="Arial" w:hint="eastAsia"/>
          <w:snapToGrid w:val="0"/>
          <w:lang w:eastAsia="ja-JP"/>
        </w:rPr>
        <w:t>; and</w:t>
      </w:r>
    </w:p>
    <w:p w:rsidR="00CC75E9" w:rsidRPr="005677C3" w:rsidRDefault="00CC75E9" w:rsidP="006522CC">
      <w:pPr>
        <w:ind w:right="549" w:firstLine="540"/>
        <w:rPr>
          <w:rFonts w:cs="Arial"/>
          <w:snapToGrid w:val="0"/>
          <w:lang w:eastAsia="ja-JP"/>
        </w:rPr>
      </w:pPr>
    </w:p>
    <w:p w:rsidR="00CC75E9" w:rsidRPr="005677C3" w:rsidRDefault="00C05578" w:rsidP="006522CC">
      <w:pPr>
        <w:ind w:firstLine="540"/>
      </w:pPr>
      <w:r w:rsidRPr="005677C3">
        <w:rPr>
          <w:rFonts w:cs="Arial" w:hint="eastAsia"/>
          <w:snapToGrid w:val="0"/>
          <w:lang w:eastAsia="ja-JP"/>
        </w:rPr>
        <w:t xml:space="preserve">(f) </w:t>
      </w:r>
      <w:r w:rsidR="002002CD" w:rsidRPr="005677C3">
        <w:rPr>
          <w:rFonts w:cs="Arial" w:hint="eastAsia"/>
          <w:snapToGrid w:val="0"/>
          <w:lang w:eastAsia="ja-JP"/>
        </w:rPr>
        <w:tab/>
      </w:r>
      <w:r w:rsidR="00CC75E9" w:rsidRPr="005677C3">
        <w:t>to provide information of cases in which the denomination accepted in the first application was not the denomination used by other authorities when a different denomination was accepted by a second authority</w:t>
      </w:r>
      <w:r w:rsidRPr="005677C3">
        <w:rPr>
          <w:rFonts w:hint="eastAsia"/>
        </w:rPr>
        <w:t xml:space="preserve"> (see </w:t>
      </w:r>
      <w:r w:rsidR="009251B0" w:rsidRPr="005677C3">
        <w:rPr>
          <w:rFonts w:cs="Arial"/>
          <w:snapToGrid w:val="0"/>
          <w:lang w:eastAsia="ja-JP"/>
        </w:rPr>
        <w:t>document UPOV/WG</w:t>
      </w:r>
      <w:r w:rsidR="009251B0" w:rsidRPr="005677C3">
        <w:rPr>
          <w:rFonts w:cs="Arial"/>
          <w:snapToGrid w:val="0"/>
          <w:lang w:eastAsia="ja-JP"/>
        </w:rPr>
        <w:noBreakHyphen/>
        <w:t>DEN/1/6</w:t>
      </w:r>
      <w:r w:rsidR="009251B0" w:rsidRPr="005677C3">
        <w:rPr>
          <w:rFonts w:cs="Arial" w:hint="eastAsia"/>
          <w:snapToGrid w:val="0"/>
          <w:lang w:eastAsia="ja-JP"/>
        </w:rPr>
        <w:t xml:space="preserve"> </w:t>
      </w:r>
      <w:r w:rsidR="009251B0" w:rsidRPr="005677C3">
        <w:rPr>
          <w:rFonts w:cs="Arial"/>
          <w:snapToGrid w:val="0"/>
          <w:lang w:eastAsia="ja-JP"/>
        </w:rPr>
        <w:t>“</w:t>
      </w:r>
      <w:r w:rsidR="009251B0" w:rsidRPr="005677C3">
        <w:rPr>
          <w:rFonts w:cs="Arial" w:hint="eastAsia"/>
          <w:snapToGrid w:val="0"/>
          <w:lang w:eastAsia="ja-JP"/>
        </w:rPr>
        <w:t>Report</w:t>
      </w:r>
      <w:r w:rsidR="009251B0" w:rsidRPr="005677C3">
        <w:rPr>
          <w:rFonts w:cs="Arial"/>
          <w:snapToGrid w:val="0"/>
          <w:lang w:eastAsia="ja-JP"/>
        </w:rPr>
        <w:t>”</w:t>
      </w:r>
      <w:r w:rsidR="009251B0" w:rsidRPr="005677C3">
        <w:rPr>
          <w:rFonts w:cs="Arial" w:hint="eastAsia"/>
          <w:snapToGrid w:val="0"/>
          <w:lang w:eastAsia="ja-JP"/>
        </w:rPr>
        <w:t xml:space="preserve">, </w:t>
      </w:r>
      <w:r w:rsidRPr="005677C3">
        <w:rPr>
          <w:rFonts w:hint="eastAsia"/>
        </w:rPr>
        <w:t>paragraph 43)</w:t>
      </w:r>
      <w:r w:rsidR="006522CC" w:rsidRPr="005677C3">
        <w:t>.</w:t>
      </w:r>
    </w:p>
    <w:p w:rsidR="00CC75E9" w:rsidRPr="005677C3" w:rsidRDefault="00CC75E9" w:rsidP="00402121">
      <w:pPr>
        <w:rPr>
          <w:rFonts w:cs="Arial"/>
          <w:snapToGrid w:val="0"/>
          <w:lang w:eastAsia="ja-JP"/>
        </w:rPr>
      </w:pPr>
    </w:p>
    <w:p w:rsidR="002002CD" w:rsidRDefault="00402121" w:rsidP="00C05578">
      <w:pPr>
        <w:rPr>
          <w:rFonts w:cs="Arial"/>
          <w:snapToGrid w:val="0"/>
          <w:lang w:eastAsia="ja-JP"/>
        </w:rPr>
      </w:pPr>
      <w:r w:rsidRPr="005677C3">
        <w:rPr>
          <w:rFonts w:cs="Arial"/>
          <w:snapToGrid w:val="0"/>
        </w:rPr>
        <w:fldChar w:fldCharType="begin"/>
      </w:r>
      <w:r w:rsidRPr="005677C3">
        <w:rPr>
          <w:rFonts w:cs="Arial"/>
          <w:snapToGrid w:val="0"/>
        </w:rPr>
        <w:instrText xml:space="preserve"> AUTONUM  </w:instrText>
      </w:r>
      <w:r w:rsidRPr="005677C3">
        <w:rPr>
          <w:rFonts w:cs="Arial"/>
          <w:snapToGrid w:val="0"/>
        </w:rPr>
        <w:fldChar w:fldCharType="end"/>
      </w:r>
      <w:r w:rsidRPr="005677C3">
        <w:rPr>
          <w:rFonts w:cs="Arial"/>
          <w:snapToGrid w:val="0"/>
        </w:rPr>
        <w:tab/>
      </w:r>
      <w:r w:rsidRPr="005677C3">
        <w:rPr>
          <w:rFonts w:cs="Arial" w:hint="eastAsia"/>
          <w:snapToGrid w:val="0"/>
          <w:lang w:eastAsia="ja-JP"/>
        </w:rPr>
        <w:t>T</w:t>
      </w:r>
      <w:r w:rsidR="004E7551" w:rsidRPr="005677C3">
        <w:rPr>
          <w:rFonts w:cs="Arial" w:hint="eastAsia"/>
          <w:snapToGrid w:val="0"/>
          <w:lang w:eastAsia="ja-JP"/>
        </w:rPr>
        <w:t xml:space="preserve">he Office of the Union issued </w:t>
      </w:r>
      <w:r w:rsidRPr="005677C3">
        <w:rPr>
          <w:rFonts w:cs="Arial"/>
          <w:snapToGrid w:val="0"/>
          <w:lang w:eastAsia="ja-JP"/>
        </w:rPr>
        <w:t>Circular E-16/088</w:t>
      </w:r>
      <w:r w:rsidRPr="005677C3">
        <w:rPr>
          <w:rFonts w:cs="Arial" w:hint="eastAsia"/>
          <w:snapToGrid w:val="0"/>
          <w:lang w:eastAsia="ja-JP"/>
        </w:rPr>
        <w:t xml:space="preserve"> on April 13</w:t>
      </w:r>
      <w:r w:rsidR="004E7551" w:rsidRPr="005677C3">
        <w:rPr>
          <w:rFonts w:cs="Arial" w:hint="eastAsia"/>
          <w:snapToGrid w:val="0"/>
          <w:lang w:eastAsia="ja-JP"/>
        </w:rPr>
        <w:t>, 2016,</w:t>
      </w:r>
      <w:r w:rsidRPr="005677C3">
        <w:rPr>
          <w:rFonts w:cs="Arial" w:hint="eastAsia"/>
          <w:snapToGrid w:val="0"/>
          <w:lang w:eastAsia="ja-JP"/>
        </w:rPr>
        <w:t xml:space="preserve"> invit</w:t>
      </w:r>
      <w:r w:rsidR="004E7551" w:rsidRPr="005677C3">
        <w:rPr>
          <w:rFonts w:cs="Arial" w:hint="eastAsia"/>
          <w:snapToGrid w:val="0"/>
          <w:lang w:eastAsia="ja-JP"/>
        </w:rPr>
        <w:t>ing</w:t>
      </w:r>
      <w:r w:rsidRPr="005677C3">
        <w:rPr>
          <w:rFonts w:cs="Arial" w:hint="eastAsia"/>
          <w:snapToGrid w:val="0"/>
          <w:lang w:eastAsia="ja-JP"/>
        </w:rPr>
        <w:t xml:space="preserve"> </w:t>
      </w:r>
      <w:r w:rsidR="009251B0" w:rsidRPr="005677C3">
        <w:rPr>
          <w:rFonts w:cs="Arial" w:hint="eastAsia"/>
          <w:snapToGrid w:val="0"/>
          <w:lang w:eastAsia="ja-JP"/>
        </w:rPr>
        <w:t xml:space="preserve">WG-DEN </w:t>
      </w:r>
      <w:r w:rsidRPr="005677C3">
        <w:rPr>
          <w:rFonts w:cs="Arial" w:hint="eastAsia"/>
          <w:snapToGrid w:val="0"/>
          <w:lang w:eastAsia="ja-JP"/>
        </w:rPr>
        <w:t>members</w:t>
      </w:r>
      <w:r w:rsidR="005A76A5">
        <w:rPr>
          <w:rFonts w:cs="Arial" w:hint="eastAsia"/>
          <w:snapToGrid w:val="0"/>
          <w:lang w:eastAsia="ja-JP"/>
        </w:rPr>
        <w:t xml:space="preserve"> </w:t>
      </w:r>
      <w:r w:rsidRPr="00402121">
        <w:rPr>
          <w:rFonts w:cs="Arial"/>
          <w:snapToGrid w:val="0"/>
          <w:lang w:eastAsia="ja-JP"/>
        </w:rPr>
        <w:t xml:space="preserve">to provide </w:t>
      </w:r>
      <w:r w:rsidR="00C05578">
        <w:rPr>
          <w:rFonts w:cs="Arial" w:hint="eastAsia"/>
          <w:snapToGrid w:val="0"/>
          <w:lang w:eastAsia="ja-JP"/>
        </w:rPr>
        <w:t xml:space="preserve">the requested </w:t>
      </w:r>
      <w:r w:rsidRPr="00402121">
        <w:rPr>
          <w:rFonts w:cs="Arial"/>
          <w:snapToGrid w:val="0"/>
          <w:lang w:eastAsia="ja-JP"/>
        </w:rPr>
        <w:t>information</w:t>
      </w:r>
      <w:r>
        <w:rPr>
          <w:rFonts w:cs="Arial" w:hint="eastAsia"/>
          <w:snapToGrid w:val="0"/>
          <w:lang w:eastAsia="ja-JP"/>
        </w:rPr>
        <w:t xml:space="preserve">.  The </w:t>
      </w:r>
      <w:r w:rsidR="00C05578">
        <w:rPr>
          <w:rFonts w:cs="Arial" w:hint="eastAsia"/>
          <w:snapToGrid w:val="0"/>
          <w:lang w:eastAsia="ja-JP"/>
        </w:rPr>
        <w:t>information</w:t>
      </w:r>
      <w:r>
        <w:rPr>
          <w:rFonts w:cs="Arial" w:hint="eastAsia"/>
          <w:snapToGrid w:val="0"/>
          <w:lang w:eastAsia="ja-JP"/>
        </w:rPr>
        <w:t xml:space="preserve"> </w:t>
      </w:r>
      <w:r w:rsidR="0071426E">
        <w:rPr>
          <w:rFonts w:cs="Arial" w:hint="eastAsia"/>
          <w:snapToGrid w:val="0"/>
          <w:lang w:eastAsia="ja-JP"/>
        </w:rPr>
        <w:t>provided</w:t>
      </w:r>
      <w:r w:rsidR="002002CD">
        <w:rPr>
          <w:rFonts w:cs="Arial" w:hint="eastAsia"/>
          <w:snapToGrid w:val="0"/>
          <w:lang w:eastAsia="ja-JP"/>
        </w:rPr>
        <w:t xml:space="preserve"> by </w:t>
      </w:r>
      <w:r w:rsidR="005076E5">
        <w:rPr>
          <w:rFonts w:cs="Arial" w:hint="eastAsia"/>
          <w:snapToGrid w:val="0"/>
          <w:lang w:eastAsia="ja-JP"/>
        </w:rPr>
        <w:t xml:space="preserve">France, </w:t>
      </w:r>
      <w:r w:rsidR="006522CC">
        <w:rPr>
          <w:rFonts w:cs="Arial"/>
          <w:snapToGrid w:val="0"/>
          <w:lang w:eastAsia="ja-JP"/>
        </w:rPr>
        <w:t xml:space="preserve">the </w:t>
      </w:r>
      <w:r w:rsidR="005076E5">
        <w:rPr>
          <w:rFonts w:cs="Arial" w:hint="eastAsia"/>
          <w:snapToGrid w:val="0"/>
          <w:lang w:eastAsia="ja-JP"/>
        </w:rPr>
        <w:t xml:space="preserve">Netherlands and </w:t>
      </w:r>
      <w:r>
        <w:rPr>
          <w:rFonts w:cs="Arial" w:hint="eastAsia"/>
          <w:snapToGrid w:val="0"/>
          <w:lang w:eastAsia="ja-JP"/>
        </w:rPr>
        <w:t>New Zealand</w:t>
      </w:r>
      <w:r w:rsidR="002002CD">
        <w:rPr>
          <w:rFonts w:cs="Arial" w:hint="eastAsia"/>
          <w:snapToGrid w:val="0"/>
          <w:lang w:eastAsia="ja-JP"/>
        </w:rPr>
        <w:t xml:space="preserve"> is</w:t>
      </w:r>
      <w:r w:rsidR="00C05578">
        <w:rPr>
          <w:rFonts w:cs="Arial" w:hint="eastAsia"/>
          <w:snapToGrid w:val="0"/>
          <w:lang w:eastAsia="ja-JP"/>
        </w:rPr>
        <w:t xml:space="preserve"> </w:t>
      </w:r>
      <w:r w:rsidR="002002CD">
        <w:rPr>
          <w:rFonts w:cs="Arial" w:hint="eastAsia"/>
          <w:snapToGrid w:val="0"/>
          <w:lang w:eastAsia="ja-JP"/>
        </w:rPr>
        <w:t>rep</w:t>
      </w:r>
      <w:r w:rsidR="000C17DF">
        <w:rPr>
          <w:rFonts w:cs="Arial" w:hint="eastAsia"/>
          <w:snapToGrid w:val="0"/>
          <w:lang w:eastAsia="ja-JP"/>
        </w:rPr>
        <w:t xml:space="preserve">roduced </w:t>
      </w:r>
      <w:r w:rsidR="006522CC">
        <w:rPr>
          <w:rFonts w:cs="Arial"/>
          <w:snapToGrid w:val="0"/>
          <w:lang w:eastAsia="ja-JP"/>
        </w:rPr>
        <w:t xml:space="preserve">in </w:t>
      </w:r>
      <w:r w:rsidR="00B167A8">
        <w:rPr>
          <w:rFonts w:cs="Arial" w:hint="eastAsia"/>
          <w:snapToGrid w:val="0"/>
          <w:lang w:eastAsia="ja-JP"/>
        </w:rPr>
        <w:t>Annex</w:t>
      </w:r>
      <w:r w:rsidR="00B167A8">
        <w:rPr>
          <w:rFonts w:cs="Arial"/>
          <w:snapToGrid w:val="0"/>
          <w:lang w:eastAsia="ja-JP"/>
        </w:rPr>
        <w:t xml:space="preserve">es I to III of </w:t>
      </w:r>
      <w:r w:rsidR="002002CD">
        <w:rPr>
          <w:rFonts w:cs="Arial" w:hint="eastAsia"/>
          <w:snapToGrid w:val="0"/>
          <w:lang w:eastAsia="ja-JP"/>
        </w:rPr>
        <w:t>this document.</w:t>
      </w:r>
    </w:p>
    <w:p w:rsidR="002002CD" w:rsidRDefault="002002CD" w:rsidP="00C05578">
      <w:pPr>
        <w:rPr>
          <w:rFonts w:cs="Arial"/>
          <w:snapToGrid w:val="0"/>
          <w:lang w:eastAsia="ja-JP"/>
        </w:rPr>
      </w:pPr>
    </w:p>
    <w:p w:rsidR="00402121" w:rsidRDefault="002002CD" w:rsidP="00C05578">
      <w:pPr>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sidR="004E7551">
        <w:rPr>
          <w:rFonts w:cs="Arial" w:hint="eastAsia"/>
          <w:snapToGrid w:val="0"/>
          <w:lang w:eastAsia="ja-JP"/>
        </w:rPr>
        <w:t>D</w:t>
      </w:r>
      <w:r w:rsidR="009251B0">
        <w:rPr>
          <w:rFonts w:cs="Arial" w:hint="eastAsia"/>
          <w:snapToGrid w:val="0"/>
          <w:lang w:eastAsia="ja-JP"/>
        </w:rPr>
        <w:t>ocument UPOV/IN/</w:t>
      </w:r>
      <w:r w:rsidR="00C05578">
        <w:rPr>
          <w:rFonts w:cs="Arial" w:hint="eastAsia"/>
          <w:snapToGrid w:val="0"/>
          <w:lang w:eastAsia="ja-JP"/>
        </w:rPr>
        <w:t xml:space="preserve">12/6 Draft 2 </w:t>
      </w:r>
      <w:r w:rsidR="00C05578">
        <w:rPr>
          <w:rFonts w:cs="Arial"/>
          <w:snapToGrid w:val="0"/>
          <w:lang w:eastAsia="ja-JP"/>
        </w:rPr>
        <w:t xml:space="preserve">“Explanatory Notes </w:t>
      </w:r>
      <w:r w:rsidR="00C05578">
        <w:rPr>
          <w:rFonts w:cs="Arial" w:hint="eastAsia"/>
          <w:snapToGrid w:val="0"/>
          <w:lang w:eastAsia="ja-JP"/>
        </w:rPr>
        <w:t>o</w:t>
      </w:r>
      <w:r w:rsidR="00C05578" w:rsidRPr="00C05578">
        <w:rPr>
          <w:rFonts w:cs="Arial"/>
          <w:snapToGrid w:val="0"/>
          <w:lang w:eastAsia="ja-JP"/>
        </w:rPr>
        <w:t>n Variety Denominations</w:t>
      </w:r>
      <w:r w:rsidR="00C05578">
        <w:rPr>
          <w:rFonts w:cs="Arial" w:hint="eastAsia"/>
          <w:snapToGrid w:val="0"/>
          <w:lang w:eastAsia="ja-JP"/>
        </w:rPr>
        <w:t xml:space="preserve"> u</w:t>
      </w:r>
      <w:r w:rsidR="00C05578">
        <w:rPr>
          <w:rFonts w:cs="Arial"/>
          <w:snapToGrid w:val="0"/>
          <w:lang w:eastAsia="ja-JP"/>
        </w:rPr>
        <w:t xml:space="preserve">nder </w:t>
      </w:r>
      <w:r w:rsidR="00C05578">
        <w:rPr>
          <w:rFonts w:cs="Arial" w:hint="eastAsia"/>
          <w:snapToGrid w:val="0"/>
          <w:lang w:eastAsia="ja-JP"/>
        </w:rPr>
        <w:t>t</w:t>
      </w:r>
      <w:r w:rsidR="00C05578" w:rsidRPr="00C05578">
        <w:rPr>
          <w:rFonts w:cs="Arial"/>
          <w:snapToGrid w:val="0"/>
          <w:lang w:eastAsia="ja-JP"/>
        </w:rPr>
        <w:t>he U</w:t>
      </w:r>
      <w:r w:rsidR="00C05578">
        <w:rPr>
          <w:rFonts w:cs="Arial" w:hint="eastAsia"/>
          <w:snapToGrid w:val="0"/>
          <w:lang w:eastAsia="ja-JP"/>
        </w:rPr>
        <w:t>POV</w:t>
      </w:r>
      <w:r w:rsidR="00C05578" w:rsidRPr="00C05578">
        <w:rPr>
          <w:rFonts w:cs="Arial"/>
          <w:snapToGrid w:val="0"/>
          <w:lang w:eastAsia="ja-JP"/>
        </w:rPr>
        <w:t xml:space="preserve"> Convention</w:t>
      </w:r>
      <w:r w:rsidR="009C2C82">
        <w:rPr>
          <w:rFonts w:cs="Arial"/>
          <w:snapToGrid w:val="0"/>
          <w:lang w:eastAsia="ja-JP"/>
        </w:rPr>
        <w:t>”</w:t>
      </w:r>
      <w:r w:rsidR="006522CC">
        <w:rPr>
          <w:rFonts w:cs="Arial"/>
          <w:snapToGrid w:val="0"/>
          <w:lang w:eastAsia="ja-JP"/>
        </w:rPr>
        <w:t>,</w:t>
      </w:r>
      <w:r>
        <w:rPr>
          <w:rFonts w:cs="Arial" w:hint="eastAsia"/>
          <w:snapToGrid w:val="0"/>
          <w:lang w:eastAsia="ja-JP"/>
        </w:rPr>
        <w:t xml:space="preserve"> </w:t>
      </w:r>
      <w:r w:rsidR="004E7551">
        <w:rPr>
          <w:rFonts w:cs="Arial" w:hint="eastAsia"/>
          <w:snapToGrid w:val="0"/>
          <w:lang w:eastAsia="ja-JP"/>
        </w:rPr>
        <w:t>which will be considered by the WG-DEN at its second meeting</w:t>
      </w:r>
      <w:r w:rsidR="006522CC">
        <w:rPr>
          <w:rFonts w:cs="Arial"/>
          <w:snapToGrid w:val="0"/>
          <w:lang w:eastAsia="ja-JP"/>
        </w:rPr>
        <w:t>,</w:t>
      </w:r>
      <w:r w:rsidR="004E7551">
        <w:rPr>
          <w:rFonts w:cs="Arial" w:hint="eastAsia"/>
          <w:snapToGrid w:val="0"/>
          <w:lang w:eastAsia="ja-JP"/>
        </w:rPr>
        <w:t xml:space="preserve"> incorporates</w:t>
      </w:r>
      <w:r>
        <w:rPr>
          <w:rFonts w:cs="Arial" w:hint="eastAsia"/>
          <w:snapToGrid w:val="0"/>
          <w:lang w:eastAsia="ja-JP"/>
        </w:rPr>
        <w:t xml:space="preserve"> information </w:t>
      </w:r>
      <w:r w:rsidR="002A2850">
        <w:rPr>
          <w:rFonts w:cs="Arial" w:hint="eastAsia"/>
          <w:snapToGrid w:val="0"/>
          <w:lang w:eastAsia="ja-JP"/>
        </w:rPr>
        <w:t xml:space="preserve">from WG-DEN, at its first meeting, and </w:t>
      </w:r>
      <w:r>
        <w:rPr>
          <w:rFonts w:cs="Arial" w:hint="eastAsia"/>
          <w:snapToGrid w:val="0"/>
          <w:lang w:eastAsia="ja-JP"/>
        </w:rPr>
        <w:t xml:space="preserve">submitted by </w:t>
      </w:r>
      <w:r w:rsidR="003B7D85">
        <w:rPr>
          <w:rFonts w:cs="Arial" w:hint="eastAsia"/>
          <w:snapToGrid w:val="0"/>
          <w:lang w:eastAsia="ja-JP"/>
        </w:rPr>
        <w:t xml:space="preserve">France, </w:t>
      </w:r>
      <w:r w:rsidR="006522CC">
        <w:rPr>
          <w:rFonts w:cs="Arial"/>
          <w:snapToGrid w:val="0"/>
          <w:lang w:eastAsia="ja-JP"/>
        </w:rPr>
        <w:t xml:space="preserve">the </w:t>
      </w:r>
      <w:r w:rsidR="003B7D85">
        <w:rPr>
          <w:rFonts w:cs="Arial" w:hint="eastAsia"/>
          <w:snapToGrid w:val="0"/>
          <w:lang w:eastAsia="ja-JP"/>
        </w:rPr>
        <w:t>Netherlands and New Zealand</w:t>
      </w:r>
      <w:r w:rsidR="009C2C82">
        <w:rPr>
          <w:rFonts w:cs="Arial" w:hint="eastAsia"/>
          <w:snapToGrid w:val="0"/>
          <w:lang w:eastAsia="ja-JP"/>
        </w:rPr>
        <w:t>.</w:t>
      </w:r>
    </w:p>
    <w:p w:rsidR="00CD698D" w:rsidRDefault="00CD698D" w:rsidP="00402121">
      <w:pPr>
        <w:rPr>
          <w:rFonts w:cs="Arial"/>
          <w:snapToGrid w:val="0"/>
          <w:lang w:eastAsia="ja-JP"/>
        </w:rPr>
      </w:pPr>
    </w:p>
    <w:p w:rsidR="00AE2032" w:rsidRDefault="000A3C60" w:rsidP="000A3C60">
      <w:pPr>
        <w:pStyle w:val="DecisionParagraphs"/>
        <w:keepLines/>
        <w:rPr>
          <w:iCs/>
          <w:spacing w:val="-4"/>
        </w:rPr>
      </w:pPr>
      <w:r w:rsidRPr="006B6D27">
        <w:fldChar w:fldCharType="begin"/>
      </w:r>
      <w:r w:rsidRPr="006B6D27">
        <w:instrText xml:space="preserve"> AUTONUM  </w:instrText>
      </w:r>
      <w:r w:rsidRPr="006B6D27">
        <w:fldChar w:fldCharType="end"/>
      </w:r>
      <w:r w:rsidRPr="006B6D27">
        <w:tab/>
      </w:r>
      <w:r w:rsidRPr="006B6D27">
        <w:rPr>
          <w:iCs/>
          <w:spacing w:val="-4"/>
        </w:rPr>
        <w:t xml:space="preserve">The </w:t>
      </w:r>
      <w:r w:rsidR="00AE2032">
        <w:rPr>
          <w:iCs/>
          <w:spacing w:val="-4"/>
        </w:rPr>
        <w:t>WG-DEN</w:t>
      </w:r>
      <w:r w:rsidRPr="006B6D27">
        <w:rPr>
          <w:iCs/>
          <w:spacing w:val="-4"/>
        </w:rPr>
        <w:t xml:space="preserve"> is</w:t>
      </w:r>
      <w:r w:rsidR="00AE2032">
        <w:rPr>
          <w:iCs/>
          <w:spacing w:val="-4"/>
        </w:rPr>
        <w:t xml:space="preserve"> invited to:</w:t>
      </w:r>
      <w:r w:rsidRPr="006B6D27">
        <w:rPr>
          <w:iCs/>
          <w:spacing w:val="-4"/>
        </w:rPr>
        <w:t xml:space="preserve"> </w:t>
      </w:r>
    </w:p>
    <w:p w:rsidR="00AE2032" w:rsidRDefault="00AE2032" w:rsidP="000A3C60">
      <w:pPr>
        <w:pStyle w:val="DecisionParagraphs"/>
        <w:keepLines/>
        <w:rPr>
          <w:iCs/>
          <w:spacing w:val="-4"/>
          <w:lang w:eastAsia="ja-JP"/>
        </w:rPr>
      </w:pPr>
    </w:p>
    <w:p w:rsidR="00847458" w:rsidRDefault="00847458" w:rsidP="00847458">
      <w:pPr>
        <w:pStyle w:val="DecisionParagraphs"/>
        <w:keepLines/>
        <w:tabs>
          <w:tab w:val="left" w:pos="5940"/>
        </w:tabs>
        <w:rPr>
          <w:iCs/>
          <w:spacing w:val="-4"/>
          <w:lang w:eastAsia="ja-JP"/>
        </w:rPr>
      </w:pPr>
      <w:r>
        <w:rPr>
          <w:rFonts w:hint="eastAsia"/>
          <w:iCs/>
          <w:spacing w:val="-4"/>
          <w:lang w:eastAsia="ja-JP"/>
        </w:rPr>
        <w:tab/>
        <w:t>(a)</w:t>
      </w:r>
      <w:r>
        <w:rPr>
          <w:rFonts w:hint="eastAsia"/>
          <w:iCs/>
          <w:spacing w:val="-4"/>
          <w:lang w:eastAsia="ja-JP"/>
        </w:rPr>
        <w:tab/>
      </w:r>
      <w:r w:rsidR="009251B0">
        <w:rPr>
          <w:rFonts w:hint="eastAsia"/>
          <w:iCs/>
          <w:spacing w:val="-4"/>
          <w:lang w:eastAsia="ja-JP"/>
        </w:rPr>
        <w:t xml:space="preserve">note </w:t>
      </w:r>
      <w:r w:rsidR="0038320A">
        <w:rPr>
          <w:iCs/>
          <w:spacing w:val="-4"/>
          <w:lang w:eastAsia="ja-JP"/>
        </w:rPr>
        <w:t xml:space="preserve">the </w:t>
      </w:r>
      <w:r>
        <w:rPr>
          <w:rFonts w:hint="eastAsia"/>
          <w:iCs/>
          <w:spacing w:val="-4"/>
          <w:lang w:eastAsia="ja-JP"/>
        </w:rPr>
        <w:t>matters ag</w:t>
      </w:r>
      <w:r w:rsidR="00257319">
        <w:rPr>
          <w:rFonts w:hint="eastAsia"/>
          <w:iCs/>
          <w:spacing w:val="-4"/>
          <w:lang w:eastAsia="ja-JP"/>
        </w:rPr>
        <w:t>reed by the WG-DEN as reported in paragraph 6</w:t>
      </w:r>
      <w:r>
        <w:rPr>
          <w:rFonts w:hint="eastAsia"/>
          <w:iCs/>
          <w:spacing w:val="-4"/>
          <w:lang w:eastAsia="ja-JP"/>
        </w:rPr>
        <w:t xml:space="preserve"> of this document;</w:t>
      </w:r>
    </w:p>
    <w:p w:rsidR="00847458" w:rsidRDefault="00847458" w:rsidP="00847458">
      <w:pPr>
        <w:pStyle w:val="DecisionParagraphs"/>
        <w:keepLines/>
        <w:tabs>
          <w:tab w:val="left" w:pos="5940"/>
        </w:tabs>
        <w:rPr>
          <w:iCs/>
          <w:spacing w:val="-4"/>
          <w:lang w:eastAsia="ja-JP"/>
        </w:rPr>
      </w:pPr>
    </w:p>
    <w:p w:rsidR="00847458" w:rsidRDefault="00847458" w:rsidP="00847458">
      <w:pPr>
        <w:pStyle w:val="DecisionParagraphs"/>
        <w:keepLines/>
        <w:tabs>
          <w:tab w:val="left" w:pos="5940"/>
        </w:tabs>
        <w:rPr>
          <w:iCs/>
          <w:spacing w:val="-4"/>
          <w:lang w:eastAsia="ja-JP"/>
        </w:rPr>
      </w:pPr>
      <w:r>
        <w:rPr>
          <w:rFonts w:hint="eastAsia"/>
          <w:iCs/>
          <w:spacing w:val="-4"/>
          <w:lang w:eastAsia="ja-JP"/>
        </w:rPr>
        <w:tab/>
      </w:r>
      <w:r w:rsidR="00257319">
        <w:rPr>
          <w:rFonts w:hint="eastAsia"/>
          <w:iCs/>
          <w:spacing w:val="-4"/>
          <w:lang w:eastAsia="ja-JP"/>
        </w:rPr>
        <w:t>(b)</w:t>
      </w:r>
      <w:r w:rsidR="00257319">
        <w:rPr>
          <w:rFonts w:hint="eastAsia"/>
          <w:iCs/>
          <w:spacing w:val="-4"/>
          <w:lang w:eastAsia="ja-JP"/>
        </w:rPr>
        <w:tab/>
      </w:r>
      <w:r w:rsidR="009251B0">
        <w:rPr>
          <w:rFonts w:hint="eastAsia"/>
          <w:iCs/>
          <w:spacing w:val="-4"/>
          <w:lang w:eastAsia="ja-JP"/>
        </w:rPr>
        <w:t xml:space="preserve">note </w:t>
      </w:r>
      <w:r w:rsidR="0038320A">
        <w:rPr>
          <w:iCs/>
          <w:spacing w:val="-4"/>
          <w:lang w:eastAsia="ja-JP"/>
        </w:rPr>
        <w:t xml:space="preserve">the </w:t>
      </w:r>
      <w:r>
        <w:rPr>
          <w:rFonts w:hint="eastAsia"/>
          <w:iCs/>
          <w:spacing w:val="-4"/>
          <w:lang w:eastAsia="ja-JP"/>
        </w:rPr>
        <w:t xml:space="preserve">matters agreed by the WG-DEN to be considered at the </w:t>
      </w:r>
      <w:r w:rsidR="00257319">
        <w:rPr>
          <w:rFonts w:hint="eastAsia"/>
          <w:iCs/>
          <w:spacing w:val="-4"/>
          <w:lang w:eastAsia="ja-JP"/>
        </w:rPr>
        <w:t>second meeting of the WG-DEN as reported in paragraph 7 of this document;</w:t>
      </w:r>
    </w:p>
    <w:p w:rsidR="00257319" w:rsidRDefault="00257319" w:rsidP="00847458">
      <w:pPr>
        <w:pStyle w:val="DecisionParagraphs"/>
        <w:keepLines/>
        <w:tabs>
          <w:tab w:val="left" w:pos="5940"/>
        </w:tabs>
        <w:rPr>
          <w:iCs/>
          <w:spacing w:val="-4"/>
          <w:lang w:eastAsia="ja-JP"/>
        </w:rPr>
      </w:pPr>
    </w:p>
    <w:p w:rsidR="00AE2032" w:rsidRDefault="00257319" w:rsidP="00AE2032">
      <w:pPr>
        <w:pStyle w:val="DecisionParagraphs"/>
        <w:keepLines/>
        <w:tabs>
          <w:tab w:val="clear" w:pos="5387"/>
          <w:tab w:val="left" w:pos="5400"/>
          <w:tab w:val="left" w:pos="5490"/>
          <w:tab w:val="left" w:pos="5940"/>
        </w:tabs>
        <w:rPr>
          <w:iCs/>
          <w:spacing w:val="-4"/>
          <w:lang w:eastAsia="ja-JP"/>
        </w:rPr>
      </w:pPr>
      <w:r>
        <w:rPr>
          <w:iCs/>
          <w:spacing w:val="-4"/>
        </w:rPr>
        <w:tab/>
        <w:t>(</w:t>
      </w:r>
      <w:r>
        <w:rPr>
          <w:rFonts w:hint="eastAsia"/>
          <w:iCs/>
          <w:spacing w:val="-4"/>
          <w:lang w:eastAsia="ja-JP"/>
        </w:rPr>
        <w:t>c</w:t>
      </w:r>
      <w:r w:rsidR="00AE2032">
        <w:rPr>
          <w:iCs/>
          <w:spacing w:val="-4"/>
        </w:rPr>
        <w:t>)</w:t>
      </w:r>
      <w:r w:rsidR="00AE2032">
        <w:rPr>
          <w:iCs/>
          <w:spacing w:val="-4"/>
        </w:rPr>
        <w:tab/>
      </w:r>
      <w:r w:rsidR="009251B0">
        <w:rPr>
          <w:rFonts w:hint="eastAsia"/>
          <w:iCs/>
          <w:spacing w:val="-4"/>
          <w:lang w:eastAsia="ja-JP"/>
        </w:rPr>
        <w:t xml:space="preserve">note </w:t>
      </w:r>
      <w:r w:rsidR="004C3469" w:rsidRPr="004C3469">
        <w:rPr>
          <w:iCs/>
          <w:spacing w:val="-4"/>
        </w:rPr>
        <w:t xml:space="preserve">the </w:t>
      </w:r>
      <w:r w:rsidR="004E7551">
        <w:rPr>
          <w:rFonts w:hint="eastAsia"/>
          <w:iCs/>
          <w:spacing w:val="-4"/>
          <w:lang w:eastAsia="ja-JP"/>
        </w:rPr>
        <w:t xml:space="preserve">information provided by </w:t>
      </w:r>
      <w:r w:rsidR="00847458">
        <w:rPr>
          <w:rFonts w:hint="eastAsia"/>
          <w:iCs/>
          <w:spacing w:val="-4"/>
          <w:lang w:eastAsia="ja-JP"/>
        </w:rPr>
        <w:t>m</w:t>
      </w:r>
      <w:r w:rsidR="004E7551">
        <w:rPr>
          <w:rFonts w:hint="eastAsia"/>
          <w:iCs/>
          <w:spacing w:val="-4"/>
          <w:lang w:eastAsia="ja-JP"/>
        </w:rPr>
        <w:t>ember</w:t>
      </w:r>
      <w:r w:rsidR="0038320A">
        <w:rPr>
          <w:iCs/>
          <w:spacing w:val="-4"/>
          <w:lang w:eastAsia="ja-JP"/>
        </w:rPr>
        <w:t>s</w:t>
      </w:r>
      <w:r w:rsidR="004E7551">
        <w:rPr>
          <w:rFonts w:hint="eastAsia"/>
          <w:iCs/>
          <w:spacing w:val="-4"/>
          <w:lang w:eastAsia="ja-JP"/>
        </w:rPr>
        <w:t xml:space="preserve"> of the WG-DEN, as </w:t>
      </w:r>
      <w:r>
        <w:rPr>
          <w:iCs/>
          <w:spacing w:val="-4"/>
        </w:rPr>
        <w:t>reported in</w:t>
      </w:r>
      <w:r>
        <w:rPr>
          <w:rFonts w:hint="eastAsia"/>
          <w:iCs/>
          <w:spacing w:val="-4"/>
          <w:lang w:eastAsia="ja-JP"/>
        </w:rPr>
        <w:t xml:space="preserve"> Annexes I to III of </w:t>
      </w:r>
      <w:r w:rsidR="004C3469" w:rsidRPr="004C3469">
        <w:rPr>
          <w:iCs/>
          <w:spacing w:val="-4"/>
        </w:rPr>
        <w:t>this document</w:t>
      </w:r>
      <w:r w:rsidR="00A97FA7">
        <w:rPr>
          <w:iCs/>
          <w:spacing w:val="-4"/>
        </w:rPr>
        <w:t>;</w:t>
      </w:r>
    </w:p>
    <w:p w:rsidR="00AE2032" w:rsidRDefault="00AE2032" w:rsidP="00AE2032">
      <w:pPr>
        <w:pStyle w:val="DecisionParagraphs"/>
        <w:keepLines/>
        <w:tabs>
          <w:tab w:val="clear" w:pos="5387"/>
          <w:tab w:val="left" w:pos="5400"/>
          <w:tab w:val="left" w:pos="5490"/>
          <w:tab w:val="left" w:pos="5940"/>
        </w:tabs>
        <w:rPr>
          <w:iCs/>
          <w:spacing w:val="-4"/>
        </w:rPr>
      </w:pPr>
    </w:p>
    <w:p w:rsidR="009251B0" w:rsidRDefault="00AE2032" w:rsidP="009D473D">
      <w:pPr>
        <w:pStyle w:val="DecisionParagraphs"/>
        <w:tabs>
          <w:tab w:val="left" w:pos="5490"/>
          <w:tab w:val="left" w:pos="5940"/>
        </w:tabs>
        <w:rPr>
          <w:iCs/>
          <w:spacing w:val="-4"/>
          <w:lang w:eastAsia="ja-JP"/>
        </w:rPr>
      </w:pPr>
      <w:r>
        <w:rPr>
          <w:iCs/>
          <w:spacing w:val="-4"/>
        </w:rPr>
        <w:tab/>
        <w:t>(</w:t>
      </w:r>
      <w:r w:rsidR="00307DA8">
        <w:rPr>
          <w:iCs/>
          <w:spacing w:val="-4"/>
        </w:rPr>
        <w:t>d</w:t>
      </w:r>
      <w:r>
        <w:rPr>
          <w:iCs/>
          <w:spacing w:val="-4"/>
        </w:rPr>
        <w:t>)</w:t>
      </w:r>
      <w:r>
        <w:rPr>
          <w:iCs/>
          <w:spacing w:val="-4"/>
        </w:rPr>
        <w:tab/>
      </w:r>
      <w:r w:rsidR="009251B0">
        <w:rPr>
          <w:rFonts w:hint="eastAsia"/>
          <w:iCs/>
          <w:spacing w:val="-4"/>
          <w:lang w:eastAsia="ja-JP"/>
        </w:rPr>
        <w:t xml:space="preserve">note </w:t>
      </w:r>
      <w:r w:rsidR="004E7551">
        <w:rPr>
          <w:rFonts w:hint="eastAsia"/>
          <w:iCs/>
          <w:spacing w:val="-4"/>
          <w:lang w:eastAsia="ja-JP"/>
        </w:rPr>
        <w:t xml:space="preserve">that the information provided in this document has been incorporated in </w:t>
      </w:r>
      <w:r w:rsidR="009219E3" w:rsidRPr="009219E3">
        <w:rPr>
          <w:iCs/>
          <w:spacing w:val="-4"/>
        </w:rPr>
        <w:t>document UPOV/INF/12/5 “Explanatory Notes on Variety Denominations under th</w:t>
      </w:r>
      <w:bookmarkStart w:id="19" w:name="_GoBack"/>
      <w:bookmarkEnd w:id="19"/>
      <w:r w:rsidR="009219E3" w:rsidRPr="009219E3">
        <w:rPr>
          <w:iCs/>
          <w:spacing w:val="-4"/>
        </w:rPr>
        <w:t>e UPOV Convention”</w:t>
      </w:r>
      <w:r w:rsidR="00B44915">
        <w:rPr>
          <w:rFonts w:hint="eastAsia"/>
          <w:iCs/>
          <w:spacing w:val="-4"/>
          <w:lang w:eastAsia="ja-JP"/>
        </w:rPr>
        <w:t xml:space="preserve"> as set out in</w:t>
      </w:r>
      <w:r w:rsidR="009219E3" w:rsidRPr="009219E3">
        <w:rPr>
          <w:iCs/>
          <w:spacing w:val="-4"/>
        </w:rPr>
        <w:t xml:space="preserve"> document UPOV/INF/12/6 Draft</w:t>
      </w:r>
      <w:r w:rsidR="009C6EBA">
        <w:rPr>
          <w:rFonts w:hint="eastAsia"/>
          <w:iCs/>
          <w:spacing w:val="-4"/>
          <w:lang w:eastAsia="ja-JP"/>
        </w:rPr>
        <w:t xml:space="preserve"> </w:t>
      </w:r>
      <w:r w:rsidR="009C428F">
        <w:rPr>
          <w:rFonts w:hint="eastAsia"/>
          <w:iCs/>
          <w:spacing w:val="-4"/>
          <w:lang w:eastAsia="ja-JP"/>
        </w:rPr>
        <w:t>2</w:t>
      </w:r>
      <w:r w:rsidR="009251B0">
        <w:rPr>
          <w:rFonts w:hint="eastAsia"/>
          <w:iCs/>
          <w:spacing w:val="-4"/>
          <w:lang w:eastAsia="ja-JP"/>
        </w:rPr>
        <w:t>; and</w:t>
      </w:r>
    </w:p>
    <w:p w:rsidR="009251B0" w:rsidRDefault="009251B0" w:rsidP="009D473D">
      <w:pPr>
        <w:pStyle w:val="DecisionParagraphs"/>
        <w:tabs>
          <w:tab w:val="left" w:pos="5490"/>
          <w:tab w:val="left" w:pos="5940"/>
        </w:tabs>
        <w:rPr>
          <w:iCs/>
          <w:spacing w:val="-4"/>
          <w:lang w:eastAsia="ja-JP"/>
        </w:rPr>
      </w:pPr>
    </w:p>
    <w:p w:rsidR="00744621" w:rsidRDefault="009251B0" w:rsidP="009D473D">
      <w:pPr>
        <w:pStyle w:val="DecisionParagraphs"/>
        <w:tabs>
          <w:tab w:val="left" w:pos="5490"/>
          <w:tab w:val="left" w:pos="5940"/>
        </w:tabs>
        <w:rPr>
          <w:iCs/>
          <w:spacing w:val="-4"/>
          <w:lang w:eastAsia="ja-JP"/>
        </w:rPr>
      </w:pPr>
      <w:r>
        <w:rPr>
          <w:rFonts w:hint="eastAsia"/>
          <w:iCs/>
          <w:spacing w:val="-4"/>
          <w:lang w:eastAsia="ja-JP"/>
        </w:rPr>
        <w:tab/>
      </w:r>
      <w:r w:rsidRPr="005677C3">
        <w:rPr>
          <w:rFonts w:hint="eastAsia"/>
          <w:iCs/>
          <w:spacing w:val="-4"/>
          <w:lang w:eastAsia="ja-JP"/>
        </w:rPr>
        <w:t>(e)</w:t>
      </w:r>
      <w:r w:rsidRPr="005677C3">
        <w:rPr>
          <w:rFonts w:hint="eastAsia"/>
          <w:iCs/>
          <w:spacing w:val="-4"/>
          <w:lang w:eastAsia="ja-JP"/>
        </w:rPr>
        <w:tab/>
        <w:t xml:space="preserve">consider the proposals for a revision of document </w:t>
      </w:r>
      <w:r w:rsidRPr="005677C3">
        <w:rPr>
          <w:iCs/>
          <w:spacing w:val="-4"/>
        </w:rPr>
        <w:t>UPOV/INF/12</w:t>
      </w:r>
      <w:r w:rsidRPr="005677C3">
        <w:rPr>
          <w:rFonts w:hint="eastAsia"/>
          <w:iCs/>
          <w:spacing w:val="-4"/>
          <w:lang w:eastAsia="ja-JP"/>
        </w:rPr>
        <w:t xml:space="preserve">/5 </w:t>
      </w:r>
      <w:r w:rsidRPr="005677C3">
        <w:rPr>
          <w:iCs/>
          <w:spacing w:val="-4"/>
          <w:lang w:eastAsia="ja-JP"/>
        </w:rPr>
        <w:t>“</w:t>
      </w:r>
      <w:r w:rsidRPr="005677C3">
        <w:rPr>
          <w:rFonts w:cs="Arial"/>
          <w:snapToGrid w:val="0"/>
          <w:lang w:eastAsia="ja-JP"/>
        </w:rPr>
        <w:t>Explanatory Notes on Variety Denominations under the UPOV Convention”</w:t>
      </w:r>
      <w:r w:rsidRPr="005677C3">
        <w:rPr>
          <w:rFonts w:cs="Arial" w:hint="eastAsia"/>
          <w:snapToGrid w:val="0"/>
          <w:lang w:eastAsia="ja-JP"/>
        </w:rPr>
        <w:t xml:space="preserve"> o</w:t>
      </w:r>
      <w:r w:rsidRPr="005677C3">
        <w:rPr>
          <w:rFonts w:hint="eastAsia"/>
          <w:iCs/>
          <w:spacing w:val="-4"/>
          <w:lang w:eastAsia="ja-JP"/>
        </w:rPr>
        <w:t xml:space="preserve">n the basis of document </w:t>
      </w:r>
      <w:r w:rsidRPr="005677C3">
        <w:rPr>
          <w:iCs/>
          <w:spacing w:val="-4"/>
        </w:rPr>
        <w:t>UPOV/INF/12/6 Draft</w:t>
      </w:r>
      <w:r w:rsidRPr="005677C3">
        <w:rPr>
          <w:rFonts w:hint="eastAsia"/>
          <w:iCs/>
          <w:spacing w:val="-4"/>
          <w:lang w:eastAsia="ja-JP"/>
        </w:rPr>
        <w:t xml:space="preserve"> 2</w:t>
      </w:r>
      <w:r w:rsidR="009219E3" w:rsidRPr="005677C3">
        <w:rPr>
          <w:iCs/>
          <w:spacing w:val="-4"/>
        </w:rPr>
        <w:t>.</w:t>
      </w:r>
    </w:p>
    <w:p w:rsidR="002002CD" w:rsidRPr="003B7D85" w:rsidRDefault="002002CD" w:rsidP="009D473D">
      <w:pPr>
        <w:pStyle w:val="DecisionParagraphs"/>
        <w:tabs>
          <w:tab w:val="left" w:pos="5490"/>
          <w:tab w:val="left" w:pos="5940"/>
        </w:tabs>
        <w:ind w:left="0"/>
        <w:jc w:val="left"/>
        <w:rPr>
          <w:i w:val="0"/>
          <w:iCs/>
          <w:spacing w:val="-4"/>
          <w:lang w:eastAsia="ja-JP"/>
        </w:rPr>
      </w:pPr>
    </w:p>
    <w:p w:rsidR="002002CD" w:rsidRDefault="002002CD" w:rsidP="009D473D">
      <w:pPr>
        <w:pStyle w:val="DecisionParagraphs"/>
        <w:tabs>
          <w:tab w:val="left" w:pos="5490"/>
          <w:tab w:val="left" w:pos="5940"/>
        </w:tabs>
        <w:ind w:left="0"/>
        <w:jc w:val="left"/>
        <w:rPr>
          <w:rFonts w:cs="Arial"/>
          <w:i w:val="0"/>
          <w:lang w:eastAsia="ja-JP"/>
        </w:rPr>
      </w:pPr>
    </w:p>
    <w:p w:rsidR="00A672A1" w:rsidRPr="003B7D85" w:rsidRDefault="00A672A1" w:rsidP="009D473D">
      <w:pPr>
        <w:pStyle w:val="DecisionParagraphs"/>
        <w:tabs>
          <w:tab w:val="left" w:pos="5490"/>
          <w:tab w:val="left" w:pos="5940"/>
        </w:tabs>
        <w:ind w:left="0"/>
        <w:jc w:val="left"/>
        <w:rPr>
          <w:rFonts w:cs="Arial"/>
          <w:i w:val="0"/>
          <w:lang w:eastAsia="ja-JP"/>
        </w:rPr>
      </w:pPr>
    </w:p>
    <w:p w:rsidR="000C17DF" w:rsidRDefault="00A672A1" w:rsidP="009D473D">
      <w:pPr>
        <w:pStyle w:val="DecisionParagraphs"/>
        <w:tabs>
          <w:tab w:val="left" w:pos="5490"/>
          <w:tab w:val="left" w:pos="5940"/>
        </w:tabs>
        <w:ind w:left="0"/>
        <w:jc w:val="right"/>
        <w:rPr>
          <w:rFonts w:cs="Arial"/>
          <w:i w:val="0"/>
          <w:lang w:eastAsia="ja-JP"/>
        </w:rPr>
        <w:sectPr w:rsidR="000C17DF" w:rsidSect="00046697">
          <w:headerReference w:type="default" r:id="rId10"/>
          <w:pgSz w:w="11907" w:h="16840" w:code="9"/>
          <w:pgMar w:top="510" w:right="1134" w:bottom="1134" w:left="1134" w:header="510" w:footer="680" w:gutter="0"/>
          <w:pgNumType w:start="1"/>
          <w:cols w:space="720"/>
          <w:titlePg/>
        </w:sectPr>
      </w:pPr>
      <w:r>
        <w:rPr>
          <w:rFonts w:cs="Arial" w:hint="eastAsia"/>
          <w:i w:val="0"/>
          <w:lang w:eastAsia="ja-JP"/>
        </w:rPr>
        <w:t>[Annex</w:t>
      </w:r>
      <w:r w:rsidR="00B167A8">
        <w:rPr>
          <w:rFonts w:cs="Arial"/>
          <w:i w:val="0"/>
          <w:lang w:eastAsia="ja-JP"/>
        </w:rPr>
        <w:t>es</w:t>
      </w:r>
      <w:r w:rsidR="00B37CCA">
        <w:rPr>
          <w:rFonts w:cs="Arial" w:hint="eastAsia"/>
          <w:i w:val="0"/>
          <w:lang w:eastAsia="ja-JP"/>
        </w:rPr>
        <w:t xml:space="preserve"> follow</w:t>
      </w:r>
      <w:r>
        <w:rPr>
          <w:rFonts w:cs="Arial" w:hint="eastAsia"/>
          <w:i w:val="0"/>
          <w:lang w:eastAsia="ja-JP"/>
        </w:rPr>
        <w:t>]</w:t>
      </w:r>
    </w:p>
    <w:p w:rsidR="000C17DF" w:rsidRDefault="000C17DF" w:rsidP="000C17DF">
      <w:pPr>
        <w:pStyle w:val="DecisionParagraphs"/>
        <w:keepLines/>
        <w:tabs>
          <w:tab w:val="left" w:pos="5490"/>
          <w:tab w:val="left" w:pos="5940"/>
        </w:tabs>
        <w:ind w:left="0"/>
        <w:jc w:val="center"/>
        <w:rPr>
          <w:rFonts w:cs="Arial"/>
          <w:i w:val="0"/>
          <w:lang w:eastAsia="ja-JP"/>
        </w:rPr>
      </w:pPr>
      <w:r>
        <w:rPr>
          <w:rFonts w:cs="Arial"/>
          <w:i w:val="0"/>
          <w:lang w:eastAsia="ja-JP"/>
        </w:rPr>
        <w:t>INFORMATION SUBMITTED BY FRANCE</w:t>
      </w:r>
    </w:p>
    <w:p w:rsidR="0035314A" w:rsidRDefault="0035314A" w:rsidP="000C17DF">
      <w:pPr>
        <w:pStyle w:val="DecisionParagraphs"/>
        <w:keepLines/>
        <w:tabs>
          <w:tab w:val="left" w:pos="5490"/>
          <w:tab w:val="left" w:pos="5940"/>
        </w:tabs>
        <w:ind w:left="0"/>
        <w:jc w:val="center"/>
        <w:rPr>
          <w:rFonts w:cs="Arial"/>
          <w:i w:val="0"/>
          <w:lang w:eastAsia="ja-JP"/>
        </w:rPr>
      </w:pPr>
    </w:p>
    <w:p w:rsidR="00885B6F" w:rsidRPr="000C16D6" w:rsidRDefault="00885B6F" w:rsidP="00856B49">
      <w:pPr>
        <w:pStyle w:val="ListParagraph"/>
        <w:numPr>
          <w:ilvl w:val="0"/>
          <w:numId w:val="11"/>
        </w:numPr>
        <w:ind w:left="426"/>
        <w:contextualSpacing w:val="0"/>
        <w:rPr>
          <w:rFonts w:cs="Arial"/>
        </w:rPr>
      </w:pPr>
      <w:r w:rsidRPr="000C16D6">
        <w:rPr>
          <w:rFonts w:cs="Arial"/>
        </w:rPr>
        <w:t xml:space="preserve">Regarding </w:t>
      </w:r>
      <w:r w:rsidRPr="000C16D6">
        <w:rPr>
          <w:rFonts w:cs="Arial"/>
          <w:u w:val="single"/>
        </w:rPr>
        <w:t>denominations that consist solely of descriptive terms</w:t>
      </w:r>
      <w:r w:rsidRPr="000C16D6">
        <w:rPr>
          <w:rFonts w:cs="Arial"/>
        </w:rPr>
        <w:t>, we are in the opinion that it should be avoided, never mind it is misleading or not. Actually, if misleading, it should be prescribed because of the 3</w:t>
      </w:r>
      <w:r w:rsidRPr="000C16D6">
        <w:rPr>
          <w:rFonts w:cs="Arial"/>
          <w:vertAlign w:val="superscript"/>
        </w:rPr>
        <w:t>rd</w:t>
      </w:r>
      <w:r w:rsidRPr="000C16D6">
        <w:rPr>
          <w:rFonts w:cs="Arial"/>
        </w:rPr>
        <w:t xml:space="preserve"> sentence of paragraph 2 of UPOV/INF/12/6 (“must not be liable to mislead…”). On the other hand, descriptive denominations should also be avoided even if not misleading, because it may prevent users to identify the variety among other that may possess the same characteristics (1</w:t>
      </w:r>
      <w:r w:rsidRPr="000C16D6">
        <w:rPr>
          <w:rFonts w:cs="Arial"/>
          <w:vertAlign w:val="superscript"/>
        </w:rPr>
        <w:t>st</w:t>
      </w:r>
      <w:r w:rsidRPr="000C16D6">
        <w:rPr>
          <w:rFonts w:cs="Arial"/>
        </w:rPr>
        <w:t xml:space="preserve"> sentence of paragraph 2 of UPOV/INF/12/6 “denomination must enable the variety to be identified”). For instance, a yellow tomato with big fruits should not be designated by the denomination ‘Yellowsteak’, because it will prevent users to identify this variety amongst other varieties with such characteristics (same for ‘Earlygreen’ for a early variety of green apple). </w:t>
      </w:r>
    </w:p>
    <w:p w:rsidR="000C16D6" w:rsidRPr="000C16D6" w:rsidRDefault="000C16D6" w:rsidP="00856B49">
      <w:pPr>
        <w:pStyle w:val="ListParagraph"/>
        <w:ind w:left="426"/>
        <w:contextualSpacing w:val="0"/>
        <w:rPr>
          <w:rFonts w:cs="Arial"/>
        </w:rPr>
      </w:pPr>
    </w:p>
    <w:p w:rsidR="00885B6F" w:rsidRPr="000C16D6" w:rsidRDefault="00885B6F" w:rsidP="00856B49">
      <w:pPr>
        <w:pStyle w:val="ListParagraph"/>
        <w:numPr>
          <w:ilvl w:val="0"/>
          <w:numId w:val="11"/>
        </w:numPr>
        <w:ind w:left="426"/>
        <w:contextualSpacing w:val="0"/>
        <w:rPr>
          <w:rFonts w:cs="Arial"/>
        </w:rPr>
      </w:pPr>
      <w:r w:rsidRPr="000C16D6">
        <w:rPr>
          <w:rFonts w:cs="Arial"/>
        </w:rPr>
        <w:t xml:space="preserve">Regarding the </w:t>
      </w:r>
      <w:r w:rsidRPr="000C16D6">
        <w:rPr>
          <w:rFonts w:cs="Arial"/>
          <w:u w:val="single"/>
        </w:rPr>
        <w:t>use of botanical names</w:t>
      </w:r>
      <w:r w:rsidRPr="000C16D6">
        <w:rPr>
          <w:rFonts w:cs="Arial"/>
        </w:rPr>
        <w:t xml:space="preserve">, we think it should be avoided if it may mislead concerning the identity of the variety, or if it prevents users from identifying the variety amongst others. Latin or common names of the species/genera which the variety belongs (as such, or with an evocating word) should not be the only word of the denomination. Example of non acceptable denominations because preventing from identifying the variety: ‘Lolius’ for </w:t>
      </w:r>
      <w:r w:rsidRPr="000C16D6">
        <w:rPr>
          <w:rFonts w:cs="Arial"/>
          <w:i/>
          <w:iCs/>
        </w:rPr>
        <w:t>a Lolium perenne</w:t>
      </w:r>
      <w:r w:rsidRPr="000C16D6">
        <w:rPr>
          <w:rFonts w:cs="Arial"/>
        </w:rPr>
        <w:t xml:space="preserve"> variety, ‘Sunflow’ for a sunflower variety. On the contrary, a denomination proposal ‘Pineapple’ or ‘Cherry’ for a tomato variety may be suitable, provided that it does not cause any confusion concerning the characteristics of the variety. In our opinion, the notion of “crop sector” used in the EU to authorize botanical name used as denomination as soon as it belongs to another crop sector that the one concerned by the variety works quite well (eg a botanical name of an ornamental species for a denomination of a agricultural variety).</w:t>
      </w:r>
    </w:p>
    <w:p w:rsidR="000C16D6" w:rsidRPr="000C16D6" w:rsidRDefault="000C16D6" w:rsidP="00856B49">
      <w:pPr>
        <w:pStyle w:val="ListParagraph"/>
        <w:ind w:left="426"/>
        <w:contextualSpacing w:val="0"/>
        <w:rPr>
          <w:rFonts w:cs="Arial"/>
        </w:rPr>
      </w:pPr>
    </w:p>
    <w:p w:rsidR="00885B6F" w:rsidRPr="000C16D6" w:rsidRDefault="00885B6F" w:rsidP="00856B49">
      <w:pPr>
        <w:pStyle w:val="ListParagraph"/>
        <w:numPr>
          <w:ilvl w:val="0"/>
          <w:numId w:val="11"/>
        </w:numPr>
        <w:ind w:left="426"/>
        <w:contextualSpacing w:val="0"/>
        <w:rPr>
          <w:rFonts w:cs="Arial"/>
        </w:rPr>
      </w:pPr>
      <w:r w:rsidRPr="000C16D6">
        <w:rPr>
          <w:rFonts w:cs="Arial"/>
        </w:rPr>
        <w:t xml:space="preserve">Concerning </w:t>
      </w:r>
      <w:r w:rsidRPr="000C16D6">
        <w:rPr>
          <w:rFonts w:cs="Arial"/>
          <w:u w:val="single"/>
        </w:rPr>
        <w:t>comparative/superlative</w:t>
      </w:r>
      <w:r w:rsidRPr="000C16D6">
        <w:rPr>
          <w:rFonts w:cs="Arial"/>
        </w:rPr>
        <w:t>, in general we do not accept denominations including this type of terms, provided that (specially for superlative terms) it has not been proved by the competent authority and may thus be misleading. Examples: ‘EXCELSIOR’, ‘EXCELLIUM’.</w:t>
      </w:r>
    </w:p>
    <w:p w:rsidR="000C16D6" w:rsidRPr="000C16D6" w:rsidRDefault="000C16D6" w:rsidP="00856B49">
      <w:pPr>
        <w:pStyle w:val="ListParagraph"/>
        <w:ind w:left="426"/>
        <w:contextualSpacing w:val="0"/>
        <w:rPr>
          <w:rFonts w:cs="Arial"/>
        </w:rPr>
      </w:pPr>
    </w:p>
    <w:p w:rsidR="00885B6F" w:rsidRPr="000C16D6" w:rsidRDefault="00885B6F" w:rsidP="00856B49">
      <w:pPr>
        <w:pStyle w:val="ListParagraph"/>
        <w:numPr>
          <w:ilvl w:val="0"/>
          <w:numId w:val="11"/>
        </w:numPr>
        <w:ind w:left="426"/>
        <w:contextualSpacing w:val="0"/>
        <w:rPr>
          <w:rFonts w:cs="Arial"/>
        </w:rPr>
      </w:pPr>
      <w:r w:rsidRPr="000C16D6">
        <w:rPr>
          <w:rFonts w:cs="Arial"/>
        </w:rPr>
        <w:t xml:space="preserve">Regarding the proposal made by NZ to consider as not misleading a difference of only 1 letter/figure, we do not support this amendment of paragraph 2.3.3 (a) of UPOV/INF/12/6. We recently had a discussion with national breeders, supporting the current European approach not considering, as a general principle, a difference of only 1 letter/figure as consistent not to create confusion. </w:t>
      </w:r>
    </w:p>
    <w:p w:rsidR="000C16D6" w:rsidRPr="000C16D6" w:rsidRDefault="000C16D6" w:rsidP="00856B49">
      <w:pPr>
        <w:pStyle w:val="ListParagraph"/>
        <w:ind w:left="426"/>
        <w:contextualSpacing w:val="0"/>
        <w:rPr>
          <w:rFonts w:cs="Arial"/>
        </w:rPr>
      </w:pPr>
    </w:p>
    <w:p w:rsidR="00885B6F" w:rsidRPr="000C16D6" w:rsidRDefault="00885B6F" w:rsidP="00856B49">
      <w:pPr>
        <w:pStyle w:val="ListParagraph"/>
        <w:numPr>
          <w:ilvl w:val="0"/>
          <w:numId w:val="11"/>
        </w:numPr>
        <w:ind w:left="426"/>
        <w:contextualSpacing w:val="0"/>
        <w:rPr>
          <w:rFonts w:cs="Arial"/>
        </w:rPr>
      </w:pPr>
      <w:r w:rsidRPr="000C16D6">
        <w:rPr>
          <w:rFonts w:cs="Arial"/>
        </w:rPr>
        <w:t xml:space="preserve">Regarding </w:t>
      </w:r>
      <w:r w:rsidRPr="000C16D6">
        <w:rPr>
          <w:rFonts w:cs="Arial"/>
          <w:u w:val="single"/>
        </w:rPr>
        <w:t>breeder’s identifier</w:t>
      </w:r>
      <w:r w:rsidRPr="000C16D6">
        <w:rPr>
          <w:rFonts w:cs="Arial"/>
        </w:rPr>
        <w:t xml:space="preserve"> in a denomination, France considers breeder as defined by the Art 1 of the UPOV Convention. Furthermore, as licensees may be different depending on the geographical areas concerned and may change depending on commercial strategy of companies and timeframe, we strongly support the necessity to stick to the following principle: a breeder’s identifier in a denomination should only refer to the original breeder or breeding company. The use of breeder’s identifier in a denomination is not compulsory, but when used, it should not be misleading regarding identity of the breeder </w:t>
      </w:r>
      <w:r w:rsidRPr="000C16D6">
        <w:rPr>
          <w:rFonts w:cs="Arial"/>
          <w:i/>
          <w:iCs/>
        </w:rPr>
        <w:t>sensus stricto</w:t>
      </w:r>
      <w:r w:rsidRPr="000C16D6">
        <w:rPr>
          <w:rFonts w:cs="Arial"/>
        </w:rPr>
        <w:t>. Example: ‘ABC’ is the prefixe commonly used by breeding company A, while ‘DEF’ is the one used by the breeding company D. For a said crop, A company gives some licenses to D company; for the consistency of D portfolio, A company propose ‘DEF Mano’ for one of the varieties bred by ABC and licensed to D company. From our point of view, this proposal is not acceptable because cause confusion regarding breeder’s identity.</w:t>
      </w:r>
    </w:p>
    <w:p w:rsidR="000C16D6" w:rsidRPr="000C16D6" w:rsidRDefault="000C16D6" w:rsidP="00856B49">
      <w:pPr>
        <w:pStyle w:val="ListParagraph"/>
        <w:ind w:left="426"/>
        <w:contextualSpacing w:val="0"/>
        <w:rPr>
          <w:rFonts w:cs="Arial"/>
        </w:rPr>
      </w:pPr>
    </w:p>
    <w:p w:rsidR="00885B6F" w:rsidRPr="000C16D6" w:rsidRDefault="00885B6F" w:rsidP="00856B49">
      <w:pPr>
        <w:pStyle w:val="ListParagraph"/>
        <w:numPr>
          <w:ilvl w:val="0"/>
          <w:numId w:val="11"/>
        </w:numPr>
        <w:ind w:left="426"/>
        <w:contextualSpacing w:val="0"/>
        <w:rPr>
          <w:rFonts w:cs="Arial"/>
        </w:rPr>
      </w:pPr>
      <w:r w:rsidRPr="000C16D6">
        <w:rPr>
          <w:rFonts w:cs="Arial"/>
        </w:rPr>
        <w:t>Concerning UPOV classes, we may comment later on (need for internal consultation).</w:t>
      </w:r>
    </w:p>
    <w:p w:rsidR="000C16D6" w:rsidRPr="000C16D6" w:rsidRDefault="000C16D6" w:rsidP="00856B49">
      <w:pPr>
        <w:pStyle w:val="ListParagraph"/>
        <w:ind w:left="426"/>
        <w:contextualSpacing w:val="0"/>
        <w:rPr>
          <w:rFonts w:cs="Arial"/>
        </w:rPr>
      </w:pPr>
    </w:p>
    <w:p w:rsidR="00885B6F" w:rsidRPr="000C16D6" w:rsidRDefault="00885B6F" w:rsidP="00856B49">
      <w:pPr>
        <w:pStyle w:val="ListParagraph"/>
        <w:numPr>
          <w:ilvl w:val="0"/>
          <w:numId w:val="11"/>
        </w:numPr>
        <w:ind w:left="426"/>
        <w:contextualSpacing w:val="0"/>
        <w:rPr>
          <w:rFonts w:cs="Arial"/>
        </w:rPr>
      </w:pPr>
      <w:r w:rsidRPr="000C16D6">
        <w:rPr>
          <w:rFonts w:cs="Arial"/>
        </w:rPr>
        <w:t xml:space="preserve">Regarding </w:t>
      </w:r>
      <w:r w:rsidRPr="000C16D6">
        <w:rPr>
          <w:rFonts w:cs="Arial"/>
          <w:u w:val="single"/>
        </w:rPr>
        <w:t>prior rights of third persons</w:t>
      </w:r>
      <w:r w:rsidRPr="000C16D6">
        <w:rPr>
          <w:rFonts w:cs="Arial"/>
        </w:rPr>
        <w:t xml:space="preserve">, French PBR Office INOV applies the following approach: assuming that a prior right of a third party may prevent users or PBR holder to use the denomination, we may not accept denomination identical to a trade mark on common products. A limited waiver may lead us to accept this denomination. For national listing purposes, a slightly different approach is followed, in line with CPVO’s one: in case of denomination proposal identical to a third person trade mark, applicant is informed of risk of confusion and likelihood of infringement, and therefore invited to take a conclusion whether to go on with this proposal or to propose another denomination. </w:t>
      </w:r>
    </w:p>
    <w:p w:rsidR="000C16D6" w:rsidRPr="000C16D6" w:rsidRDefault="000C16D6" w:rsidP="00856B49">
      <w:pPr>
        <w:pStyle w:val="ListParagraph"/>
        <w:ind w:left="426"/>
        <w:contextualSpacing w:val="0"/>
        <w:rPr>
          <w:rFonts w:cs="Arial"/>
        </w:rPr>
      </w:pPr>
    </w:p>
    <w:p w:rsidR="00856B49" w:rsidRDefault="00856B49" w:rsidP="00856B49">
      <w:pPr>
        <w:pStyle w:val="ListParagraph"/>
        <w:numPr>
          <w:ilvl w:val="0"/>
          <w:numId w:val="11"/>
        </w:numPr>
        <w:ind w:left="426"/>
        <w:contextualSpacing w:val="0"/>
        <w:rPr>
          <w:rFonts w:cs="Arial"/>
        </w:rPr>
      </w:pPr>
      <w:r w:rsidRPr="00856B49">
        <w:rPr>
          <w:rFonts w:cs="Arial"/>
          <w:noProof/>
        </w:rPr>
        <mc:AlternateContent>
          <mc:Choice Requires="wps">
            <w:drawing>
              <wp:anchor distT="0" distB="0" distL="114300" distR="114300" simplePos="0" relativeHeight="251659264" behindDoc="0" locked="0" layoutInCell="0" allowOverlap="1" wp14:anchorId="670B5125" wp14:editId="3834F845">
                <wp:simplePos x="0" y="0"/>
                <wp:positionH relativeFrom="column">
                  <wp:posOffset>4378960</wp:posOffset>
                </wp:positionH>
                <wp:positionV relativeFrom="paragraph">
                  <wp:posOffset>1079500</wp:posOffset>
                </wp:positionV>
                <wp:extent cx="1920875" cy="22860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B49" w:rsidRPr="009929A5" w:rsidRDefault="00856B49">
                            <w:pPr>
                              <w:ind w:right="53"/>
                              <w:jc w:val="right"/>
                              <w:rPr>
                                <w:rFonts w:cs="Arial"/>
                              </w:rPr>
                            </w:pPr>
                            <w:r>
                              <w:rPr>
                                <w:lang w:eastAsia="ja-JP"/>
                              </w:rPr>
                              <w:t>[Annex II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4.8pt;margin-top:8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e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L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" o:allowincell="f" filled="f" stroked="f">
                <v:textbox inset="0,0,0,0">
                  <w:txbxContent>
                    <w:p w:rsidR="00856B49" w:rsidRPr="009929A5" w:rsidRDefault="00856B49">
                      <w:pPr>
                        <w:ind w:right="53"/>
                        <w:jc w:val="right"/>
                        <w:rPr>
                          <w:rFonts w:cs="Arial"/>
                        </w:rPr>
                      </w:pPr>
                      <w:r>
                        <w:rPr>
                          <w:lang w:eastAsia="ja-JP"/>
                        </w:rPr>
                        <w:t>[Annex II follows]</w:t>
                      </w:r>
                    </w:p>
                  </w:txbxContent>
                </v:textbox>
              </v:shape>
            </w:pict>
          </mc:Fallback>
        </mc:AlternateContent>
      </w:r>
      <w:r w:rsidR="00885B6F" w:rsidRPr="00856B49">
        <w:rPr>
          <w:rFonts w:cs="Arial"/>
        </w:rPr>
        <w:t xml:space="preserve">Concerning </w:t>
      </w:r>
      <w:r w:rsidR="00885B6F" w:rsidRPr="00856B49">
        <w:rPr>
          <w:rFonts w:cs="Arial"/>
          <w:u w:val="single"/>
        </w:rPr>
        <w:t>same denominations in all members of the Union</w:t>
      </w:r>
      <w:r w:rsidR="00885B6F" w:rsidRPr="00856B49">
        <w:rPr>
          <w:rFonts w:cs="Arial"/>
        </w:rPr>
        <w:t>, we are in the opinion that necessity of synonyms should be limited to very specific cases (ie already existing variety of the same UPOV class with the same denomination registered/listed in UPOV Member territory or very clear non-acceptable denomination). Following this statement, it is necessary to act for a more harmonized guidance for denomination evaluation, and for an Pluto updating with national/regional consolidated data as soon as possible.</w:t>
      </w:r>
      <w:r>
        <w:rPr>
          <w:rFonts w:cs="Arial"/>
        </w:rPr>
        <w:t xml:space="preserve"> </w:t>
      </w:r>
    </w:p>
    <w:p w:rsidR="00856B49" w:rsidRDefault="00856B49" w:rsidP="000C17DF">
      <w:pPr>
        <w:pStyle w:val="DecisionParagraphs"/>
        <w:keepLines/>
        <w:tabs>
          <w:tab w:val="left" w:pos="5490"/>
          <w:tab w:val="left" w:pos="5940"/>
        </w:tabs>
        <w:ind w:left="0"/>
        <w:jc w:val="center"/>
        <w:rPr>
          <w:rFonts w:cs="Arial"/>
          <w:i w:val="0"/>
          <w:lang w:eastAsia="ja-JP"/>
        </w:rPr>
        <w:sectPr w:rsidR="00856B49" w:rsidSect="00046697">
          <w:headerReference w:type="default" r:id="rId11"/>
          <w:headerReference w:type="first" r:id="rId12"/>
          <w:pgSz w:w="11907" w:h="16840" w:code="9"/>
          <w:pgMar w:top="510" w:right="1134" w:bottom="1134" w:left="1134" w:header="510" w:footer="680" w:gutter="0"/>
          <w:pgNumType w:start="1"/>
          <w:cols w:space="720"/>
          <w:titlePg/>
        </w:sectPr>
      </w:pPr>
    </w:p>
    <w:p w:rsidR="000C16D6" w:rsidRDefault="000C16D6" w:rsidP="000C16D6">
      <w:pPr>
        <w:pStyle w:val="DecisionParagraphs"/>
        <w:keepLines/>
        <w:tabs>
          <w:tab w:val="left" w:pos="5490"/>
          <w:tab w:val="left" w:pos="5940"/>
        </w:tabs>
        <w:ind w:left="0"/>
        <w:jc w:val="center"/>
        <w:rPr>
          <w:rFonts w:cs="Arial"/>
          <w:i w:val="0"/>
          <w:lang w:eastAsia="ja-JP"/>
        </w:rPr>
      </w:pPr>
      <w:r>
        <w:rPr>
          <w:rFonts w:cs="Arial"/>
          <w:i w:val="0"/>
          <w:lang w:eastAsia="ja-JP"/>
        </w:rPr>
        <w:t xml:space="preserve">INFORMATION SUBMITTED BY </w:t>
      </w:r>
      <w:r>
        <w:rPr>
          <w:rFonts w:cs="Arial" w:hint="eastAsia"/>
          <w:i w:val="0"/>
          <w:lang w:eastAsia="ja-JP"/>
        </w:rPr>
        <w:t>THE</w:t>
      </w:r>
      <w:r>
        <w:rPr>
          <w:rFonts w:cs="Arial"/>
          <w:i w:val="0"/>
          <w:lang w:eastAsia="ja-JP"/>
        </w:rPr>
        <w:t xml:space="preserve"> </w:t>
      </w:r>
      <w:r w:rsidRPr="000C17DF">
        <w:rPr>
          <w:rFonts w:cs="Arial"/>
          <w:i w:val="0"/>
          <w:lang w:eastAsia="ja-JP"/>
        </w:rPr>
        <w:t>NETHERLANDS</w:t>
      </w:r>
    </w:p>
    <w:p w:rsidR="000C16D6" w:rsidRDefault="000C16D6" w:rsidP="000C16D6">
      <w:pPr>
        <w:pStyle w:val="DecisionParagraphs"/>
        <w:keepLines/>
        <w:tabs>
          <w:tab w:val="left" w:pos="5490"/>
          <w:tab w:val="left" w:pos="5940"/>
        </w:tabs>
        <w:ind w:left="0"/>
        <w:jc w:val="center"/>
        <w:rPr>
          <w:rFonts w:cs="Arial"/>
          <w:i w:val="0"/>
          <w:lang w:eastAsia="ja-JP"/>
        </w:rPr>
      </w:pPr>
    </w:p>
    <w:p w:rsidR="000C16D6" w:rsidRPr="000C16D6" w:rsidRDefault="000C16D6" w:rsidP="000C16D6">
      <w:pPr>
        <w:jc w:val="center"/>
      </w:pPr>
      <w:r w:rsidRPr="000C16D6">
        <w:t>Suggestions and comments on the draft report of the WG-DEN</w:t>
      </w:r>
    </w:p>
    <w:p w:rsidR="000C16D6" w:rsidRDefault="000C16D6" w:rsidP="000C16D6">
      <w:pPr>
        <w:rPr>
          <w:i/>
          <w:lang w:eastAsia="ja-JP"/>
        </w:rPr>
      </w:pPr>
    </w:p>
    <w:p w:rsidR="000C16D6" w:rsidRPr="000C16D6" w:rsidRDefault="000C16D6" w:rsidP="000C16D6">
      <w:pPr>
        <w:rPr>
          <w:rFonts w:cs="Arial"/>
          <w:i/>
        </w:rPr>
      </w:pPr>
      <w:r w:rsidRPr="000C16D6">
        <w:rPr>
          <w:rFonts w:cs="Arial"/>
          <w:i/>
        </w:rPr>
        <w:t>Naktuinbouw, Roelofarendsveen, The Netherlands</w:t>
      </w:r>
    </w:p>
    <w:p w:rsidR="000C16D6" w:rsidRPr="000C16D6" w:rsidRDefault="000C16D6" w:rsidP="000C16D6">
      <w:pPr>
        <w:rPr>
          <w:rFonts w:cs="Arial"/>
          <w:i/>
        </w:rPr>
      </w:pPr>
      <w:r w:rsidRPr="000C16D6">
        <w:rPr>
          <w:rFonts w:cs="Arial"/>
          <w:i/>
        </w:rPr>
        <w:t>Kees van Ettekoven &amp; Marco Hoffman</w:t>
      </w:r>
    </w:p>
    <w:p w:rsidR="000C16D6" w:rsidRPr="000C16D6" w:rsidRDefault="000C16D6" w:rsidP="000C16D6">
      <w:pPr>
        <w:rPr>
          <w:rFonts w:cs="Arial"/>
          <w:i/>
        </w:rPr>
      </w:pPr>
      <w:r w:rsidRPr="000C16D6">
        <w:rPr>
          <w:rFonts w:cs="Arial"/>
          <w:i/>
        </w:rPr>
        <w:t>19-5-2016</w:t>
      </w:r>
    </w:p>
    <w:p w:rsidR="000C16D6" w:rsidRPr="000C16D6" w:rsidRDefault="000C16D6" w:rsidP="000C16D6">
      <w:pPr>
        <w:rPr>
          <w:rFonts w:cs="Arial"/>
        </w:rPr>
      </w:pPr>
    </w:p>
    <w:p w:rsidR="000C16D6" w:rsidRPr="000C16D6" w:rsidRDefault="000C16D6" w:rsidP="000C16D6">
      <w:pPr>
        <w:rPr>
          <w:rFonts w:cs="Arial"/>
        </w:rPr>
      </w:pPr>
      <w:r w:rsidRPr="000C16D6">
        <w:rPr>
          <w:rFonts w:cs="Arial"/>
        </w:rPr>
        <w:t>14.. Acceptable denominations consisted of descriptive terms are:</w:t>
      </w:r>
    </w:p>
    <w:p w:rsidR="000C16D6" w:rsidRPr="000C16D6" w:rsidRDefault="000C16D6" w:rsidP="000C16D6">
      <w:pPr>
        <w:pStyle w:val="ListParagraph"/>
        <w:numPr>
          <w:ilvl w:val="0"/>
          <w:numId w:val="12"/>
        </w:numPr>
        <w:ind w:left="284" w:hanging="284"/>
        <w:jc w:val="left"/>
        <w:rPr>
          <w:rFonts w:cs="Arial"/>
        </w:rPr>
      </w:pPr>
      <w:r w:rsidRPr="000C16D6">
        <w:rPr>
          <w:rFonts w:cs="Arial"/>
        </w:rPr>
        <w:t>‘Little Blond’, ‘White Gold’, ‘Terracotta’</w:t>
      </w:r>
    </w:p>
    <w:p w:rsidR="000C16D6" w:rsidRPr="000C16D6" w:rsidRDefault="000C16D6" w:rsidP="000C16D6">
      <w:pPr>
        <w:rPr>
          <w:rFonts w:cs="Arial"/>
        </w:rPr>
      </w:pPr>
    </w:p>
    <w:p w:rsidR="000C16D6" w:rsidRPr="000C16D6" w:rsidRDefault="000C16D6" w:rsidP="000C16D6">
      <w:pPr>
        <w:rPr>
          <w:rFonts w:cs="Arial"/>
        </w:rPr>
      </w:pPr>
      <w:r w:rsidRPr="000C16D6">
        <w:rPr>
          <w:rFonts w:cs="Arial"/>
        </w:rPr>
        <w:t>17 i.. Guidance ICNCP</w:t>
      </w:r>
    </w:p>
    <w:p w:rsidR="000C16D6" w:rsidRPr="000C16D6" w:rsidRDefault="000C16D6" w:rsidP="000C16D6">
      <w:pPr>
        <w:pStyle w:val="ListParagraph"/>
        <w:numPr>
          <w:ilvl w:val="0"/>
          <w:numId w:val="12"/>
        </w:numPr>
        <w:ind w:left="284" w:hanging="284"/>
        <w:jc w:val="left"/>
        <w:rPr>
          <w:rFonts w:cs="Arial"/>
        </w:rPr>
      </w:pPr>
      <w:r w:rsidRPr="000C16D6">
        <w:rPr>
          <w:rFonts w:cs="Arial"/>
        </w:rPr>
        <w:t>Naktuinbouw offers to make a comparison between ICNCP and the UPOV Notes</w:t>
      </w:r>
    </w:p>
    <w:p w:rsidR="000C16D6" w:rsidRPr="000C16D6" w:rsidRDefault="000C16D6" w:rsidP="000C16D6">
      <w:pPr>
        <w:rPr>
          <w:rFonts w:cs="Arial"/>
        </w:rPr>
      </w:pPr>
    </w:p>
    <w:p w:rsidR="000C16D6" w:rsidRPr="000C16D6" w:rsidRDefault="000C16D6" w:rsidP="000C16D6">
      <w:pPr>
        <w:rPr>
          <w:rFonts w:cs="Arial"/>
        </w:rPr>
      </w:pPr>
      <w:r w:rsidRPr="000C16D6">
        <w:rPr>
          <w:rFonts w:cs="Arial"/>
        </w:rPr>
        <w:t>20.. Acceptable and unacceptable superlatives and comparatives</w:t>
      </w:r>
    </w:p>
    <w:p w:rsidR="000C16D6" w:rsidRPr="000C16D6" w:rsidRDefault="000C16D6" w:rsidP="000C16D6">
      <w:pPr>
        <w:rPr>
          <w:rFonts w:cs="Arial"/>
        </w:rPr>
      </w:pPr>
      <w:r w:rsidRPr="000C16D6">
        <w:rPr>
          <w:rFonts w:cs="Arial"/>
        </w:rPr>
        <w:t>Acceptable are:</w:t>
      </w:r>
    </w:p>
    <w:p w:rsidR="000C16D6" w:rsidRPr="000C16D6" w:rsidRDefault="000C16D6" w:rsidP="000C16D6">
      <w:pPr>
        <w:pStyle w:val="ListParagraph"/>
        <w:numPr>
          <w:ilvl w:val="0"/>
          <w:numId w:val="12"/>
        </w:numPr>
        <w:ind w:left="284" w:hanging="284"/>
        <w:jc w:val="left"/>
        <w:rPr>
          <w:rFonts w:cs="Arial"/>
        </w:rPr>
      </w:pPr>
      <w:r w:rsidRPr="000C16D6">
        <w:rPr>
          <w:rFonts w:cs="Arial"/>
        </w:rPr>
        <w:t>‘Excellent’, ‘Brilliant Taste’</w:t>
      </w:r>
    </w:p>
    <w:p w:rsidR="000C16D6" w:rsidRPr="000C16D6" w:rsidRDefault="000C16D6" w:rsidP="000C16D6">
      <w:pPr>
        <w:rPr>
          <w:rFonts w:cs="Arial"/>
        </w:rPr>
      </w:pPr>
      <w:r w:rsidRPr="000C16D6">
        <w:rPr>
          <w:rFonts w:cs="Arial"/>
        </w:rPr>
        <w:t>Unacceptable are:</w:t>
      </w:r>
    </w:p>
    <w:p w:rsidR="000C16D6" w:rsidRPr="000C16D6" w:rsidRDefault="000C16D6" w:rsidP="000C16D6">
      <w:pPr>
        <w:pStyle w:val="ListParagraph"/>
        <w:numPr>
          <w:ilvl w:val="0"/>
          <w:numId w:val="12"/>
        </w:numPr>
        <w:ind w:left="284" w:hanging="284"/>
        <w:jc w:val="left"/>
        <w:rPr>
          <w:rFonts w:cs="Arial"/>
        </w:rPr>
      </w:pPr>
      <w:r w:rsidRPr="000C16D6">
        <w:rPr>
          <w:rFonts w:cs="Arial"/>
        </w:rPr>
        <w:t>‘Longest of All’, ‘Best Ever’, ‘Germany’s Best’</w:t>
      </w:r>
    </w:p>
    <w:p w:rsidR="000C16D6" w:rsidRPr="000C16D6" w:rsidRDefault="000C16D6" w:rsidP="000C16D6">
      <w:pPr>
        <w:rPr>
          <w:rFonts w:cs="Arial"/>
        </w:rPr>
      </w:pPr>
    </w:p>
    <w:p w:rsidR="000C16D6" w:rsidRPr="000C16D6" w:rsidRDefault="000C16D6" w:rsidP="000C16D6">
      <w:pPr>
        <w:rPr>
          <w:rFonts w:cs="Arial"/>
        </w:rPr>
      </w:pPr>
      <w:r w:rsidRPr="000C16D6">
        <w:rPr>
          <w:rFonts w:cs="Arial"/>
        </w:rPr>
        <w:t>31.. Examples and use of prefixes to identify the breeder</w:t>
      </w:r>
    </w:p>
    <w:p w:rsidR="000C16D6" w:rsidRPr="000C16D6" w:rsidRDefault="000C16D6" w:rsidP="000C16D6">
      <w:pPr>
        <w:pStyle w:val="ListParagraph"/>
        <w:numPr>
          <w:ilvl w:val="0"/>
          <w:numId w:val="12"/>
        </w:numPr>
        <w:ind w:left="284" w:hanging="284"/>
        <w:jc w:val="left"/>
        <w:rPr>
          <w:rFonts w:cs="Arial"/>
        </w:rPr>
      </w:pPr>
      <w:r w:rsidRPr="000C16D6">
        <w:rPr>
          <w:rFonts w:cs="Arial"/>
        </w:rPr>
        <w:t>The German Rose breeder Kordes has KOR as the prefix for their varieties; e.g. ‘Korbin’, ‘Korgazell’ &amp; ‘Korkuma’. It would be misleading if other Rose breeders would use the same prefix.</w:t>
      </w:r>
    </w:p>
    <w:p w:rsidR="000C16D6" w:rsidRPr="000C16D6" w:rsidRDefault="000C16D6" w:rsidP="000C16D6">
      <w:pPr>
        <w:rPr>
          <w:rFonts w:cs="Arial"/>
        </w:rPr>
      </w:pPr>
    </w:p>
    <w:p w:rsidR="000C16D6" w:rsidRPr="000C16D6" w:rsidRDefault="000C16D6" w:rsidP="000C16D6">
      <w:pPr>
        <w:rPr>
          <w:rFonts w:cs="Arial"/>
        </w:rPr>
      </w:pPr>
      <w:r w:rsidRPr="000C16D6">
        <w:rPr>
          <w:rFonts w:cs="Arial"/>
        </w:rPr>
        <w:t>35.. Variety denomination classes</w:t>
      </w:r>
    </w:p>
    <w:p w:rsidR="000C16D6" w:rsidRPr="000C16D6" w:rsidRDefault="000C16D6" w:rsidP="000C16D6">
      <w:pPr>
        <w:pStyle w:val="ListParagraph"/>
        <w:numPr>
          <w:ilvl w:val="0"/>
          <w:numId w:val="12"/>
        </w:numPr>
        <w:ind w:left="284" w:hanging="284"/>
        <w:jc w:val="left"/>
        <w:rPr>
          <w:rFonts w:cs="Arial"/>
        </w:rPr>
      </w:pPr>
      <w:r w:rsidRPr="000C16D6">
        <w:rPr>
          <w:rFonts w:cs="Arial"/>
        </w:rPr>
        <w:t>For harmonization we suggest to follow de denomination classes of the ICNCP; see appendix V ICNCP. If wished Naktuinbouw can make a comparison and a list of relevant additions.</w:t>
      </w:r>
    </w:p>
    <w:p w:rsidR="000C16D6" w:rsidRPr="000C16D6" w:rsidRDefault="000C16D6" w:rsidP="000C16D6">
      <w:pPr>
        <w:rPr>
          <w:rFonts w:cs="Arial"/>
        </w:rPr>
      </w:pPr>
    </w:p>
    <w:p w:rsidR="000C16D6" w:rsidRPr="000C16D6" w:rsidRDefault="000C16D6" w:rsidP="000C16D6">
      <w:pPr>
        <w:rPr>
          <w:rFonts w:cs="Arial"/>
        </w:rPr>
      </w:pPr>
      <w:r w:rsidRPr="000C16D6">
        <w:rPr>
          <w:rFonts w:cs="Arial"/>
        </w:rPr>
        <w:t>39.. Practices concerning prior rights</w:t>
      </w:r>
    </w:p>
    <w:p w:rsidR="000C16D6" w:rsidRPr="000C16D6" w:rsidRDefault="000C16D6" w:rsidP="000C16D6">
      <w:pPr>
        <w:pStyle w:val="ListParagraph"/>
        <w:numPr>
          <w:ilvl w:val="0"/>
          <w:numId w:val="12"/>
        </w:numPr>
        <w:ind w:left="426"/>
        <w:jc w:val="left"/>
        <w:rPr>
          <w:rFonts w:cs="Arial"/>
        </w:rPr>
      </w:pPr>
      <w:r w:rsidRPr="000C16D6">
        <w:rPr>
          <w:rFonts w:cs="Arial"/>
        </w:rPr>
        <w:t xml:space="preserve">It often happens that a new variety denomination already registered by a trademark office in in class 31, but the trademark is not in use  for the crop concerned. E.g. Grand Bleu is a registered trademark since 1999 (WIPO 719128). In practice it is in use for </w:t>
      </w:r>
      <w:r w:rsidRPr="000C16D6">
        <w:rPr>
          <w:rFonts w:cs="Arial"/>
          <w:i/>
        </w:rPr>
        <w:t>Caryopteris ×clandonensis</w:t>
      </w:r>
      <w:r w:rsidRPr="000C16D6">
        <w:rPr>
          <w:rFonts w:cs="Arial"/>
        </w:rPr>
        <w:t xml:space="preserve"> ‘Inoveris’. When a Hydrangea breeder wants to use it as a variety denomination for </w:t>
      </w:r>
      <w:r w:rsidRPr="000C16D6">
        <w:rPr>
          <w:rFonts w:cs="Arial"/>
          <w:i/>
        </w:rPr>
        <w:t>Hydrangea macrophylla</w:t>
      </w:r>
      <w:r w:rsidRPr="000C16D6">
        <w:rPr>
          <w:rFonts w:cs="Arial"/>
        </w:rPr>
        <w:t xml:space="preserve"> , he should be able to use it when the trademark owner has no objection. </w:t>
      </w:r>
    </w:p>
    <w:p w:rsidR="000C16D6" w:rsidRPr="000C16D6" w:rsidRDefault="000C16D6" w:rsidP="000C16D6">
      <w:pPr>
        <w:rPr>
          <w:rFonts w:cs="Arial"/>
        </w:rPr>
      </w:pPr>
    </w:p>
    <w:p w:rsidR="000C16D6" w:rsidRDefault="000C16D6" w:rsidP="000C16D6">
      <w:pPr>
        <w:rPr>
          <w:rFonts w:cs="Arial"/>
          <w:lang w:eastAsia="ja-JP"/>
        </w:rPr>
      </w:pPr>
      <w:r w:rsidRPr="000C16D6">
        <w:rPr>
          <w:rFonts w:cs="Arial"/>
        </w:rPr>
        <w:t>43.. Examples of different denominations for the same variety</w:t>
      </w:r>
      <w:r w:rsidR="00923836">
        <w:rPr>
          <w:rFonts w:cs="Arial" w:hint="eastAsia"/>
          <w:lang w:eastAsia="ja-JP"/>
        </w:rPr>
        <w:t xml:space="preserve"> provided</w:t>
      </w:r>
    </w:p>
    <w:p w:rsidR="00923836" w:rsidRDefault="00923836" w:rsidP="000C16D6">
      <w:pPr>
        <w:rPr>
          <w:rFonts w:cs="Arial"/>
          <w:lang w:eastAsia="ja-JP"/>
        </w:rPr>
      </w:pPr>
    </w:p>
    <w:p w:rsidR="000C16D6" w:rsidRPr="000C16D6" w:rsidRDefault="000C16D6" w:rsidP="000C16D6">
      <w:pPr>
        <w:rPr>
          <w:rFonts w:cs="Arial"/>
          <w:lang w:eastAsia="ja-JP"/>
        </w:rPr>
      </w:pPr>
      <w:r w:rsidRPr="000C16D6">
        <w:rPr>
          <w:rFonts w:cs="Arial"/>
        </w:rPr>
        <w:t>47.. Reasons for breeders to use trademarks instead of variety denominations</w:t>
      </w:r>
      <w:r w:rsidR="00923836">
        <w:rPr>
          <w:rFonts w:cs="Arial" w:hint="eastAsia"/>
          <w:lang w:eastAsia="ja-JP"/>
        </w:rPr>
        <w:t xml:space="preserve"> provided</w:t>
      </w:r>
    </w:p>
    <w:p w:rsidR="000C16D6" w:rsidRDefault="000C16D6" w:rsidP="000C16D6">
      <w:pPr>
        <w:pStyle w:val="DecisionParagraphs"/>
        <w:keepLines/>
        <w:tabs>
          <w:tab w:val="left" w:pos="5490"/>
          <w:tab w:val="left" w:pos="5940"/>
        </w:tabs>
        <w:ind w:left="0"/>
        <w:jc w:val="center"/>
        <w:rPr>
          <w:rFonts w:cs="Arial"/>
          <w:i w:val="0"/>
          <w:lang w:eastAsia="ja-JP"/>
        </w:rPr>
      </w:pPr>
    </w:p>
    <w:p w:rsidR="000C16D6" w:rsidRDefault="000C16D6" w:rsidP="000C16D6">
      <w:pPr>
        <w:pStyle w:val="DecisionParagraphs"/>
        <w:keepLines/>
        <w:tabs>
          <w:tab w:val="left" w:pos="5490"/>
          <w:tab w:val="left" w:pos="5940"/>
        </w:tabs>
        <w:ind w:left="0"/>
        <w:jc w:val="center"/>
        <w:rPr>
          <w:rFonts w:cs="Arial"/>
          <w:i w:val="0"/>
          <w:lang w:eastAsia="ja-JP"/>
        </w:rPr>
      </w:pPr>
    </w:p>
    <w:p w:rsidR="00856B49" w:rsidRDefault="00856B49" w:rsidP="000C16D6">
      <w:pPr>
        <w:pStyle w:val="DecisionParagraphs"/>
        <w:keepLines/>
        <w:tabs>
          <w:tab w:val="left" w:pos="5490"/>
          <w:tab w:val="left" w:pos="5940"/>
        </w:tabs>
        <w:ind w:left="0"/>
        <w:jc w:val="center"/>
        <w:rPr>
          <w:rFonts w:cs="Arial"/>
          <w:i w:val="0"/>
          <w:lang w:eastAsia="ja-JP"/>
        </w:rPr>
      </w:pPr>
    </w:p>
    <w:p w:rsidR="00856B49" w:rsidRDefault="00856B49" w:rsidP="00856B49">
      <w:pPr>
        <w:pStyle w:val="DecisionParagraphs"/>
        <w:keepLines/>
        <w:tabs>
          <w:tab w:val="left" w:pos="5490"/>
          <w:tab w:val="left" w:pos="5940"/>
        </w:tabs>
        <w:ind w:left="0"/>
        <w:jc w:val="right"/>
        <w:rPr>
          <w:rFonts w:cs="Arial"/>
          <w:i w:val="0"/>
          <w:lang w:eastAsia="ja-JP"/>
        </w:rPr>
      </w:pPr>
      <w:r>
        <w:rPr>
          <w:rFonts w:cs="Arial"/>
          <w:i w:val="0"/>
          <w:lang w:eastAsia="ja-JP"/>
        </w:rPr>
        <w:t>[Annex III follows]</w:t>
      </w:r>
    </w:p>
    <w:p w:rsidR="000C16D6" w:rsidRDefault="000C16D6" w:rsidP="000C16D6">
      <w:pPr>
        <w:pStyle w:val="DecisionParagraphs"/>
        <w:keepLines/>
        <w:tabs>
          <w:tab w:val="left" w:pos="5490"/>
          <w:tab w:val="left" w:pos="5940"/>
        </w:tabs>
        <w:ind w:left="0"/>
        <w:jc w:val="center"/>
        <w:rPr>
          <w:rFonts w:cs="Arial"/>
          <w:i w:val="0"/>
          <w:lang w:eastAsia="ja-JP"/>
        </w:rPr>
        <w:sectPr w:rsidR="000C16D6" w:rsidSect="00046697">
          <w:headerReference w:type="first" r:id="rId13"/>
          <w:pgSz w:w="11907" w:h="16840" w:code="9"/>
          <w:pgMar w:top="510" w:right="1134" w:bottom="1134" w:left="1134" w:header="510" w:footer="680" w:gutter="0"/>
          <w:pgNumType w:start="1"/>
          <w:cols w:space="720"/>
          <w:titlePg/>
        </w:sectPr>
      </w:pPr>
    </w:p>
    <w:p w:rsidR="000C16D6" w:rsidRDefault="000C16D6" w:rsidP="000C16D6">
      <w:pPr>
        <w:pStyle w:val="DecisionParagraphs"/>
        <w:keepLines/>
        <w:tabs>
          <w:tab w:val="left" w:pos="5490"/>
          <w:tab w:val="left" w:pos="5940"/>
        </w:tabs>
        <w:ind w:left="0"/>
        <w:jc w:val="center"/>
        <w:rPr>
          <w:rFonts w:cs="Arial"/>
          <w:i w:val="0"/>
          <w:lang w:eastAsia="ja-JP"/>
        </w:rPr>
      </w:pPr>
      <w:r>
        <w:rPr>
          <w:rFonts w:cs="Arial"/>
          <w:i w:val="0"/>
          <w:lang w:eastAsia="ja-JP"/>
        </w:rPr>
        <w:t xml:space="preserve">INFORMATION SUBMITTED BY </w:t>
      </w:r>
      <w:r>
        <w:rPr>
          <w:rFonts w:cs="Arial" w:hint="eastAsia"/>
          <w:i w:val="0"/>
          <w:lang w:eastAsia="ja-JP"/>
        </w:rPr>
        <w:t>NEW ZEALAND</w:t>
      </w:r>
    </w:p>
    <w:p w:rsidR="000C16D6" w:rsidRDefault="000C16D6" w:rsidP="000C16D6">
      <w:pPr>
        <w:pStyle w:val="DecisionParagraphs"/>
        <w:keepLines/>
        <w:tabs>
          <w:tab w:val="left" w:pos="5490"/>
          <w:tab w:val="left" w:pos="5940"/>
        </w:tabs>
        <w:ind w:left="0"/>
        <w:jc w:val="center"/>
        <w:rPr>
          <w:rFonts w:cs="Arial"/>
          <w:i w:val="0"/>
          <w:lang w:eastAsia="ja-JP"/>
        </w:rPr>
      </w:pPr>
    </w:p>
    <w:p w:rsidR="000C16D6" w:rsidRDefault="000C16D6" w:rsidP="000C16D6">
      <w:pPr>
        <w:rPr>
          <w:lang w:eastAsia="ja-JP"/>
        </w:rPr>
      </w:pPr>
      <w:r>
        <w:t>Paragraph 14</w:t>
      </w:r>
    </w:p>
    <w:p w:rsidR="000C16D6" w:rsidRDefault="000C16D6" w:rsidP="000C16D6">
      <w:pPr>
        <w:rPr>
          <w:lang w:eastAsia="ja-JP"/>
        </w:rPr>
      </w:pPr>
    </w:p>
    <w:p w:rsidR="000C16D6" w:rsidRDefault="000C16D6" w:rsidP="000C16D6">
      <w:r>
        <w:rPr>
          <w:i/>
        </w:rPr>
        <w:t>Sophora</w:t>
      </w:r>
      <w:r>
        <w:t xml:space="preserve"> ‘Early Gold’  </w:t>
      </w:r>
      <w:r>
        <w:rPr>
          <w:i/>
        </w:rPr>
        <w:t>Prunus persica</w:t>
      </w:r>
      <w:r>
        <w:t xml:space="preserve"> ‘Early Gold’  the varieties have early flowering/fruiting and  yellow orange flowers/fruit.  Such a denomination is considered acceptable.</w:t>
      </w:r>
    </w:p>
    <w:p w:rsidR="000C16D6" w:rsidRDefault="000C16D6" w:rsidP="000C16D6">
      <w:pPr>
        <w:rPr>
          <w:lang w:eastAsia="ja-JP"/>
        </w:rPr>
      </w:pPr>
    </w:p>
    <w:p w:rsidR="000C16D6" w:rsidRDefault="000C16D6" w:rsidP="000C16D6">
      <w:pPr>
        <w:rPr>
          <w:lang w:eastAsia="ja-JP"/>
        </w:rPr>
      </w:pPr>
      <w:r>
        <w:t>Apple ‘Dennys Royal Gala’  Acceptable  Mr Denny developed the variety from a mutation he identified from ‘Royal Gala’</w:t>
      </w:r>
    </w:p>
    <w:p w:rsidR="000C16D6" w:rsidRDefault="000C16D6" w:rsidP="000C16D6">
      <w:pPr>
        <w:rPr>
          <w:lang w:eastAsia="ja-JP"/>
        </w:rPr>
      </w:pPr>
    </w:p>
    <w:p w:rsidR="000C16D6" w:rsidRDefault="000C16D6" w:rsidP="000C16D6">
      <w:pPr>
        <w:rPr>
          <w:lang w:eastAsia="ja-JP"/>
        </w:rPr>
      </w:pPr>
      <w:r>
        <w:t>Paragraph 20</w:t>
      </w:r>
    </w:p>
    <w:p w:rsidR="000C16D6" w:rsidRDefault="000C16D6" w:rsidP="000C16D6">
      <w:pPr>
        <w:rPr>
          <w:lang w:eastAsia="ja-JP"/>
        </w:rPr>
      </w:pPr>
    </w:p>
    <w:p w:rsidR="000C16D6" w:rsidRDefault="000C16D6" w:rsidP="000C16D6">
      <w:r>
        <w:t>Trachelium ‘Lake Superior’</w:t>
      </w:r>
      <w:r>
        <w:tab/>
        <w:t xml:space="preserve">the use of superior has no connection with value or worth. Acceptable. </w:t>
      </w:r>
    </w:p>
    <w:p w:rsidR="000C16D6" w:rsidRDefault="000C16D6" w:rsidP="000C16D6">
      <w:r>
        <w:t xml:space="preserve">Clematis ‘Best Wishes’ </w:t>
      </w:r>
      <w:r>
        <w:tab/>
      </w:r>
      <w:r>
        <w:tab/>
        <w:t>Best has no connection with value, worth. Acceptable</w:t>
      </w:r>
    </w:p>
    <w:p w:rsidR="000C16D6" w:rsidRDefault="000C16D6" w:rsidP="000C16D6">
      <w:pPr>
        <w:rPr>
          <w:lang w:eastAsia="ja-JP"/>
        </w:rPr>
      </w:pPr>
    </w:p>
    <w:p w:rsidR="000C16D6" w:rsidRDefault="000C16D6" w:rsidP="000C16D6">
      <w:r>
        <w:t xml:space="preserve">The superlative Supreme has been accepted in denominations, ‘Regal Supreme’, ‘Pink Supreme’, ‘Thai Supreme’ but note that the word order appears to significant because there are very few, if any, denominations where use of Supreme is acceptable when used first “Supreme XXX’ </w:t>
      </w:r>
    </w:p>
    <w:p w:rsidR="000C16D6" w:rsidRDefault="000C16D6" w:rsidP="000C16D6">
      <w:pPr>
        <w:rPr>
          <w:i/>
          <w:lang w:eastAsia="ja-JP"/>
        </w:rPr>
      </w:pPr>
    </w:p>
    <w:p w:rsidR="000C16D6" w:rsidRDefault="000C16D6" w:rsidP="000C16D6">
      <w:r>
        <w:rPr>
          <w:i/>
        </w:rPr>
        <w:t>Dahlia</w:t>
      </w:r>
      <w:r>
        <w:t xml:space="preserve"> Best Bet   a colloquial term in New Zealand for “the best”, “guaranteed” Not acceptable</w:t>
      </w:r>
    </w:p>
    <w:p w:rsidR="000C16D6" w:rsidRDefault="000C16D6" w:rsidP="000C16D6">
      <w:r>
        <w:rPr>
          <w:i/>
        </w:rPr>
        <w:t>Magnolia</w:t>
      </w:r>
      <w:r>
        <w:t xml:space="preserve"> Best Purple</w:t>
      </w:r>
      <w:r>
        <w:tab/>
        <w:t>implies the best purple Magnolia. Not acceptable.</w:t>
      </w:r>
    </w:p>
    <w:p w:rsidR="000C16D6" w:rsidRDefault="000C16D6" w:rsidP="000C16D6">
      <w:pPr>
        <w:rPr>
          <w:lang w:eastAsia="ja-JP"/>
        </w:rPr>
      </w:pPr>
    </w:p>
    <w:p w:rsidR="000C16D6" w:rsidRDefault="000C16D6" w:rsidP="000C16D6">
      <w:pPr>
        <w:rPr>
          <w:lang w:eastAsia="ja-JP"/>
        </w:rPr>
      </w:pPr>
      <w:r>
        <w:t>Paragraph 30</w:t>
      </w:r>
    </w:p>
    <w:p w:rsidR="000C16D6" w:rsidRDefault="000C16D6" w:rsidP="000C16D6">
      <w:pPr>
        <w:rPr>
          <w:lang w:eastAsia="ja-JP"/>
        </w:rPr>
      </w:pPr>
    </w:p>
    <w:p w:rsidR="000C16D6" w:rsidRDefault="000C16D6" w:rsidP="000C16D6">
      <w:r>
        <w:rPr>
          <w:i/>
        </w:rPr>
        <w:t xml:space="preserve">Eucomis  </w:t>
      </w:r>
      <w:r>
        <w:t>‘Eudun1’</w:t>
      </w:r>
      <w:r>
        <w:tab/>
        <w:t>The breeder of this variety is the first to use the prefix Eu, indicating the genus of the variety.  Does this also indicate the breeder?</w:t>
      </w:r>
    </w:p>
    <w:p w:rsidR="000C16D6" w:rsidRDefault="000C16D6" w:rsidP="000C16D6">
      <w:pPr>
        <w:rPr>
          <w:lang w:eastAsia="ja-JP"/>
        </w:rPr>
      </w:pPr>
    </w:p>
    <w:p w:rsidR="000C16D6" w:rsidRDefault="000C16D6" w:rsidP="000C16D6">
      <w:r>
        <w:t xml:space="preserve">Other examples  </w:t>
      </w:r>
      <w:r>
        <w:rPr>
          <w:i/>
        </w:rPr>
        <w:t>Agapanthus</w:t>
      </w:r>
      <w:r>
        <w:t xml:space="preserve"> ‘Agapetite’,  </w:t>
      </w:r>
      <w:r>
        <w:rPr>
          <w:i/>
        </w:rPr>
        <w:t>Carex</w:t>
      </w:r>
      <w:r>
        <w:t xml:space="preserve"> ‘Carfit01’, </w:t>
      </w:r>
      <w:r>
        <w:rPr>
          <w:i/>
        </w:rPr>
        <w:t>Westringia</w:t>
      </w:r>
      <w:r>
        <w:t xml:space="preserve"> ‘WES08’ </w:t>
      </w:r>
    </w:p>
    <w:p w:rsidR="000C16D6" w:rsidRDefault="000C16D6" w:rsidP="000C16D6">
      <w:pPr>
        <w:rPr>
          <w:lang w:eastAsia="ja-JP"/>
        </w:rPr>
      </w:pPr>
    </w:p>
    <w:p w:rsidR="000C16D6" w:rsidRDefault="000C16D6" w:rsidP="000C16D6">
      <w:r>
        <w:rPr>
          <w:rFonts w:hint="eastAsia"/>
          <w:lang w:eastAsia="ja-JP"/>
        </w:rPr>
        <w:t>\</w:t>
      </w:r>
      <w:r>
        <w:t>If a breeder is the first to use a genus prefix to identify their varieties, could this prevent other breeders of that genus from using the genus prefix?</w:t>
      </w:r>
    </w:p>
    <w:p w:rsidR="000C16D6" w:rsidRDefault="000C16D6" w:rsidP="000C16D6">
      <w:pPr>
        <w:rPr>
          <w:lang w:eastAsia="ja-JP"/>
        </w:rPr>
      </w:pPr>
    </w:p>
    <w:p w:rsidR="000C16D6" w:rsidRDefault="000C16D6" w:rsidP="000C16D6">
      <w:pPr>
        <w:rPr>
          <w:lang w:eastAsia="ja-JP"/>
        </w:rPr>
      </w:pPr>
      <w:r>
        <w:t>Paragraph 35</w:t>
      </w:r>
    </w:p>
    <w:p w:rsidR="000C16D6" w:rsidRDefault="000C16D6" w:rsidP="000C16D6">
      <w:pPr>
        <w:rPr>
          <w:lang w:eastAsia="ja-JP"/>
        </w:rPr>
      </w:pPr>
    </w:p>
    <w:p w:rsidR="000C16D6" w:rsidRDefault="000C16D6" w:rsidP="000C16D6">
      <w:r>
        <w:t>There currently exist more than one Prunus variety with the same denomination because there exists clear species divisions within the genus; plum, peach, apricot, cherry. Should there be classes within Prunus?</w:t>
      </w:r>
    </w:p>
    <w:p w:rsidR="000C16D6" w:rsidRDefault="000C16D6" w:rsidP="000C16D6">
      <w:r>
        <w:t xml:space="preserve"> In a similar way, should there be classes within Rubus; blackberry, raspberry, hybridberry?</w:t>
      </w:r>
    </w:p>
    <w:p w:rsidR="000C16D6" w:rsidRDefault="000C16D6" w:rsidP="000C16D6">
      <w:pPr>
        <w:rPr>
          <w:lang w:eastAsia="ja-JP"/>
        </w:rPr>
      </w:pPr>
    </w:p>
    <w:p w:rsidR="000C16D6" w:rsidRDefault="000C16D6" w:rsidP="000C16D6">
      <w:pPr>
        <w:rPr>
          <w:lang w:eastAsia="ja-JP"/>
        </w:rPr>
      </w:pPr>
      <w:r>
        <w:t>Paragraph 39</w:t>
      </w:r>
    </w:p>
    <w:p w:rsidR="000C16D6" w:rsidRDefault="000C16D6" w:rsidP="000C16D6">
      <w:pPr>
        <w:rPr>
          <w:lang w:eastAsia="ja-JP"/>
        </w:rPr>
      </w:pPr>
    </w:p>
    <w:p w:rsidR="000C16D6" w:rsidRDefault="000C16D6" w:rsidP="000C16D6">
      <w:r>
        <w:t>It is routine to search the NZ trade mark register Class 31 as part of the denomination examination. The search is made using a proprietary similarity search tool called ACSEPTO. If there is a conflict between a mark and the proposed denomination, the applicant is notified and given time to decide their position. When the Class 31 mark is in a goods or service category that differs from denomination usage, the denomination may be accepted.  For example, the denomination of a milling wheat variety may conflict with a Class 31 mark used to sell live animals or animal food. The denomination may be accepted because the two are unlikely to cross over in the market place. It is also advisable for the denomination proposer to communicate with the mark holder and if the applicant advises that the mark holder has no objection to the usage of the denomination, the proposed denomination may also be accepted.</w:t>
      </w:r>
    </w:p>
    <w:p w:rsidR="000C16D6" w:rsidRDefault="000C16D6" w:rsidP="000C16D6">
      <w:pPr>
        <w:rPr>
          <w:lang w:eastAsia="ja-JP"/>
        </w:rPr>
      </w:pPr>
    </w:p>
    <w:p w:rsidR="000C16D6" w:rsidRDefault="000C16D6" w:rsidP="000C16D6">
      <w:r>
        <w:t>Paragraph 43</w:t>
      </w:r>
    </w:p>
    <w:p w:rsidR="000C16D6" w:rsidRDefault="000C16D6" w:rsidP="000C16D6">
      <w:pPr>
        <w:pStyle w:val="DecisionParagraphs"/>
        <w:keepLines/>
        <w:tabs>
          <w:tab w:val="left" w:pos="5490"/>
          <w:tab w:val="left" w:pos="5940"/>
        </w:tabs>
        <w:ind w:left="0"/>
        <w:jc w:val="center"/>
        <w:rPr>
          <w:rFonts w:cs="Arial"/>
          <w:i w:val="0"/>
          <w:lang w:eastAsia="ja-JP"/>
        </w:rPr>
      </w:pPr>
    </w:p>
    <w:p w:rsidR="000C16D6" w:rsidRDefault="000C16D6" w:rsidP="000C16D6">
      <w:pPr>
        <w:rPr>
          <w:lang w:eastAsia="ja-JP"/>
        </w:rPr>
      </w:pPr>
      <w:r>
        <w:t xml:space="preserve">Case in which the denomination accepted in the first application was not the denomination accepted in all subsequent applications.  The acceptance of a subsequent denomination results in a single variety having more than one denomination.  </w:t>
      </w:r>
    </w:p>
    <w:p w:rsidR="00923836" w:rsidRDefault="00923836" w:rsidP="000C16D6">
      <w:pPr>
        <w:rPr>
          <w:lang w:eastAsia="ja-JP"/>
        </w:rPr>
      </w:pPr>
    </w:p>
    <w:p w:rsidR="000C16D6" w:rsidRDefault="00923836" w:rsidP="00923836">
      <w:pPr>
        <w:rPr>
          <w:rFonts w:cs="Arial"/>
          <w:i/>
          <w:lang w:eastAsia="ja-JP"/>
        </w:rPr>
      </w:pPr>
      <w:r>
        <w:rPr>
          <w:rFonts w:hint="eastAsia"/>
          <w:lang w:eastAsia="ja-JP"/>
        </w:rPr>
        <w:t>Examples provided.</w:t>
      </w:r>
    </w:p>
    <w:p w:rsidR="00A672A1" w:rsidRDefault="00A672A1" w:rsidP="009219E3">
      <w:pPr>
        <w:pStyle w:val="DecisionParagraphs"/>
        <w:keepLines/>
        <w:tabs>
          <w:tab w:val="left" w:pos="5490"/>
          <w:tab w:val="left" w:pos="5940"/>
        </w:tabs>
        <w:rPr>
          <w:rFonts w:cs="Arial"/>
          <w:lang w:eastAsia="ja-JP"/>
        </w:rPr>
      </w:pPr>
    </w:p>
    <w:p w:rsidR="00A672A1" w:rsidRDefault="00A672A1" w:rsidP="009219E3">
      <w:pPr>
        <w:pStyle w:val="DecisionParagraphs"/>
        <w:keepLines/>
        <w:tabs>
          <w:tab w:val="left" w:pos="5490"/>
          <w:tab w:val="left" w:pos="5940"/>
        </w:tabs>
        <w:rPr>
          <w:rFonts w:cs="Arial"/>
          <w:lang w:eastAsia="ja-JP"/>
        </w:rPr>
      </w:pPr>
    </w:p>
    <w:p w:rsidR="00900C26" w:rsidRDefault="002B3319" w:rsidP="002B3319">
      <w:pPr>
        <w:jc w:val="right"/>
        <w:rPr>
          <w:snapToGrid w:val="0"/>
        </w:rPr>
      </w:pPr>
      <w:r w:rsidRPr="00CA3196">
        <w:rPr>
          <w:snapToGrid w:val="0"/>
          <w:lang w:eastAsia="ja-JP"/>
        </w:rPr>
        <w:t xml:space="preserve"> </w:t>
      </w:r>
      <w:r w:rsidR="00532FB6" w:rsidRPr="00CA3196">
        <w:rPr>
          <w:snapToGrid w:val="0"/>
          <w:lang w:eastAsia="ja-JP"/>
        </w:rPr>
        <w:t>[End of</w:t>
      </w:r>
      <w:r w:rsidR="00A672A1">
        <w:rPr>
          <w:rFonts w:hint="eastAsia"/>
          <w:snapToGrid w:val="0"/>
          <w:lang w:eastAsia="ja-JP"/>
        </w:rPr>
        <w:t xml:space="preserve"> </w:t>
      </w:r>
      <w:r w:rsidR="003C7F21">
        <w:rPr>
          <w:rFonts w:hint="eastAsia"/>
          <w:snapToGrid w:val="0"/>
          <w:lang w:eastAsia="ja-JP"/>
        </w:rPr>
        <w:t>d</w:t>
      </w:r>
      <w:r w:rsidR="00532FB6" w:rsidRPr="00CA3196">
        <w:rPr>
          <w:snapToGrid w:val="0"/>
          <w:lang w:eastAsia="ja-JP"/>
        </w:rPr>
        <w:t>ocument]</w:t>
      </w:r>
    </w:p>
    <w:sectPr w:rsidR="00900C26" w:rsidSect="00046697">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D09" w:rsidRDefault="00C27D09">
      <w:r>
        <w:separator/>
      </w:r>
    </w:p>
    <w:p w:rsidR="00C27D09" w:rsidRDefault="00C27D09"/>
    <w:p w:rsidR="00C27D09" w:rsidRDefault="00C27D09"/>
  </w:endnote>
  <w:endnote w:type="continuationSeparator" w:id="0">
    <w:p w:rsidR="00C27D09" w:rsidRDefault="00C27D09">
      <w:r>
        <w:separator/>
      </w:r>
    </w:p>
    <w:p w:rsidR="00C27D09" w:rsidRPr="00664515" w:rsidRDefault="00C27D09">
      <w:pPr>
        <w:pStyle w:val="Footer"/>
        <w:spacing w:after="60"/>
        <w:rPr>
          <w:sz w:val="18"/>
          <w:lang w:val="fr-CH"/>
        </w:rPr>
      </w:pPr>
      <w:r w:rsidRPr="00664515">
        <w:rPr>
          <w:sz w:val="18"/>
          <w:lang w:val="fr-CH"/>
        </w:rPr>
        <w:t>[Suite de la note de la page précédente]</w:t>
      </w:r>
    </w:p>
    <w:p w:rsidR="00C27D09" w:rsidRPr="00664515" w:rsidRDefault="00C27D09">
      <w:pPr>
        <w:rPr>
          <w:lang w:val="fr-CH"/>
        </w:rPr>
      </w:pPr>
    </w:p>
    <w:p w:rsidR="00C27D09" w:rsidRPr="00664515" w:rsidRDefault="00C27D09">
      <w:pPr>
        <w:rPr>
          <w:lang w:val="fr-CH"/>
        </w:rPr>
      </w:pPr>
    </w:p>
  </w:endnote>
  <w:endnote w:type="continuationNotice" w:id="1">
    <w:p w:rsidR="00C27D09" w:rsidRPr="00664515" w:rsidRDefault="00C27D09">
      <w:pPr>
        <w:spacing w:before="60"/>
        <w:jc w:val="right"/>
        <w:rPr>
          <w:sz w:val="18"/>
          <w:lang w:val="fr-CH"/>
        </w:rPr>
      </w:pPr>
      <w:r w:rsidRPr="00664515">
        <w:rPr>
          <w:sz w:val="18"/>
          <w:lang w:val="fr-CH"/>
        </w:rPr>
        <w:t>[Suite de la note page suivante]</w:t>
      </w:r>
    </w:p>
    <w:p w:rsidR="00C27D09" w:rsidRPr="00664515" w:rsidRDefault="00C27D09">
      <w:pPr>
        <w:rPr>
          <w:lang w:val="fr-CH"/>
        </w:rPr>
      </w:pPr>
    </w:p>
    <w:p w:rsidR="00C27D09" w:rsidRPr="00664515" w:rsidRDefault="00C27D0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D09" w:rsidRDefault="00C27D09" w:rsidP="009D690D">
      <w:pPr>
        <w:spacing w:before="120"/>
      </w:pPr>
      <w:r>
        <w:separator/>
      </w:r>
    </w:p>
  </w:footnote>
  <w:footnote w:type="continuationSeparator" w:id="0">
    <w:p w:rsidR="00C27D09" w:rsidRDefault="00C27D09" w:rsidP="00520297">
      <w:pPr>
        <w:spacing w:before="120"/>
        <w:jc w:val="left"/>
      </w:pPr>
      <w:r>
        <w:separator/>
      </w:r>
    </w:p>
  </w:footnote>
  <w:footnote w:type="continuationNotice" w:id="1">
    <w:p w:rsidR="00C27D09" w:rsidRDefault="00C27D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CC" w:rsidRDefault="00C27CCC" w:rsidP="00E23920">
    <w:pPr>
      <w:jc w:val="center"/>
      <w:rPr>
        <w:rStyle w:val="PageNumber"/>
        <w:lang w:eastAsia="ja-JP"/>
      </w:rPr>
    </w:pPr>
    <w:r>
      <w:rPr>
        <w:rStyle w:val="PageNumber"/>
        <w:rFonts w:hint="eastAsia"/>
        <w:lang w:eastAsia="ja-JP"/>
      </w:rPr>
      <w:t>UPOV/WG-DEN/2/2</w:t>
    </w:r>
  </w:p>
  <w:p w:rsidR="00C27CCC" w:rsidRPr="00997029" w:rsidRDefault="00C27CCC"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B1DD5">
      <w:rPr>
        <w:rStyle w:val="PageNumber"/>
        <w:noProof/>
      </w:rPr>
      <w:t>5</w:t>
    </w:r>
    <w:r w:rsidRPr="00997029">
      <w:rPr>
        <w:rStyle w:val="PageNumber"/>
      </w:rPr>
      <w:fldChar w:fldCharType="end"/>
    </w:r>
  </w:p>
  <w:p w:rsidR="00C27CCC" w:rsidRPr="00997029" w:rsidRDefault="00C27CCC"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CC" w:rsidRDefault="006522CC" w:rsidP="00E23920">
    <w:pPr>
      <w:jc w:val="center"/>
      <w:rPr>
        <w:rStyle w:val="PageNumber"/>
        <w:lang w:eastAsia="ja-JP"/>
      </w:rPr>
    </w:pPr>
    <w:r>
      <w:rPr>
        <w:rStyle w:val="PageNumber"/>
        <w:rFonts w:hint="eastAsia"/>
        <w:lang w:eastAsia="ja-JP"/>
      </w:rPr>
      <w:t>UPOV/WG-DEN/2/2</w:t>
    </w:r>
  </w:p>
  <w:p w:rsidR="00C27CCC" w:rsidRPr="00997029" w:rsidRDefault="00C27CCC" w:rsidP="00E23920">
    <w:pPr>
      <w:jc w:val="center"/>
    </w:pPr>
    <w:r>
      <w:rPr>
        <w:rStyle w:val="PageNumber"/>
        <w:rFonts w:hint="eastAsia"/>
        <w:lang w:eastAsia="ja-JP"/>
      </w:rPr>
      <w:t>Annex</w:t>
    </w:r>
    <w:r w:rsidR="006522CC">
      <w:rPr>
        <w:rStyle w:val="PageNumber"/>
        <w:lang w:eastAsia="ja-JP"/>
      </w:rPr>
      <w:t xml:space="preserve">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B1DD5">
      <w:rPr>
        <w:rStyle w:val="PageNumber"/>
        <w:noProof/>
      </w:rPr>
      <w:t>4</w:t>
    </w:r>
    <w:r w:rsidRPr="00997029">
      <w:rPr>
        <w:rStyle w:val="PageNumber"/>
      </w:rPr>
      <w:fldChar w:fldCharType="end"/>
    </w:r>
  </w:p>
  <w:p w:rsidR="00C27CCC" w:rsidRPr="00997029" w:rsidRDefault="00C27CCC"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CC" w:rsidRDefault="006522CC">
    <w:pPr>
      <w:pStyle w:val="Header"/>
      <w:rPr>
        <w:rStyle w:val="PageNumber"/>
        <w:lang w:eastAsia="ja-JP"/>
      </w:rPr>
    </w:pPr>
    <w:r>
      <w:rPr>
        <w:rStyle w:val="PageNumber"/>
        <w:rFonts w:hint="eastAsia"/>
        <w:lang w:eastAsia="ja-JP"/>
      </w:rPr>
      <w:t>UPOV/WG-DEN/2/2</w:t>
    </w:r>
  </w:p>
  <w:p w:rsidR="006522CC" w:rsidRDefault="006522CC">
    <w:pPr>
      <w:pStyle w:val="Header"/>
      <w:rPr>
        <w:rStyle w:val="PageNumber"/>
        <w:lang w:eastAsia="ja-JP"/>
      </w:rPr>
    </w:pPr>
  </w:p>
  <w:p w:rsidR="00C27CCC" w:rsidRDefault="00C27CCC">
    <w:pPr>
      <w:pStyle w:val="Header"/>
      <w:rPr>
        <w:lang w:eastAsia="ja-JP"/>
      </w:rPr>
    </w:pPr>
    <w:r>
      <w:rPr>
        <w:rFonts w:hint="eastAsia"/>
        <w:lang w:eastAsia="ja-JP"/>
      </w:rPr>
      <w:t>ANNEX I</w:t>
    </w:r>
  </w:p>
  <w:p w:rsidR="00C27CCC" w:rsidRDefault="00C27CCC">
    <w:pPr>
      <w:pStyle w:val="Header"/>
      <w:rPr>
        <w:lang w:eastAsia="ja-JP"/>
      </w:rPr>
    </w:pPr>
  </w:p>
  <w:p w:rsidR="006522CC" w:rsidRDefault="006522CC">
    <w:pPr>
      <w:pStyle w:val="Header"/>
      <w:rPr>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CC" w:rsidRDefault="006522CC">
    <w:pPr>
      <w:pStyle w:val="Header"/>
      <w:rPr>
        <w:rStyle w:val="PageNumber"/>
        <w:lang w:eastAsia="ja-JP"/>
      </w:rPr>
    </w:pPr>
    <w:r>
      <w:rPr>
        <w:rStyle w:val="PageNumber"/>
        <w:rFonts w:hint="eastAsia"/>
        <w:lang w:eastAsia="ja-JP"/>
      </w:rPr>
      <w:t>UPOV/WG-DEN/2/2</w:t>
    </w:r>
  </w:p>
  <w:p w:rsidR="006522CC" w:rsidRDefault="006522CC">
    <w:pPr>
      <w:pStyle w:val="Header"/>
      <w:rPr>
        <w:rStyle w:val="PageNumber"/>
        <w:lang w:eastAsia="ja-JP"/>
      </w:rPr>
    </w:pPr>
  </w:p>
  <w:p w:rsidR="00C27CCC" w:rsidRDefault="00C27CCC">
    <w:pPr>
      <w:pStyle w:val="Header"/>
      <w:rPr>
        <w:lang w:eastAsia="ja-JP"/>
      </w:rPr>
    </w:pPr>
    <w:r>
      <w:rPr>
        <w:rFonts w:hint="eastAsia"/>
        <w:lang w:eastAsia="ja-JP"/>
      </w:rPr>
      <w:t>ANNEX II</w:t>
    </w:r>
  </w:p>
  <w:p w:rsidR="00C27CCC" w:rsidRDefault="00C27CCC">
    <w:pPr>
      <w:pStyle w:val="Header"/>
      <w:rPr>
        <w:lang w:eastAsia="ja-JP"/>
      </w:rPr>
    </w:pPr>
  </w:p>
  <w:p w:rsidR="006522CC" w:rsidRDefault="006522CC">
    <w:pPr>
      <w:pStyle w:val="Header"/>
      <w:rPr>
        <w:lang w:eastAsia="ja-JP"/>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CC" w:rsidRDefault="006522CC" w:rsidP="00E23920">
    <w:pPr>
      <w:jc w:val="center"/>
      <w:rPr>
        <w:rStyle w:val="PageNumber"/>
        <w:lang w:eastAsia="ja-JP"/>
      </w:rPr>
    </w:pPr>
    <w:r>
      <w:rPr>
        <w:rStyle w:val="PageNumber"/>
        <w:rFonts w:hint="eastAsia"/>
        <w:lang w:eastAsia="ja-JP"/>
      </w:rPr>
      <w:t>UPOV/WG-DEN/2/2</w:t>
    </w:r>
  </w:p>
  <w:p w:rsidR="00C27CCC" w:rsidRPr="00997029" w:rsidRDefault="00C27CCC" w:rsidP="00E23920">
    <w:pPr>
      <w:jc w:val="center"/>
    </w:pPr>
    <w:r>
      <w:rPr>
        <w:rStyle w:val="PageNumber"/>
        <w:rFonts w:hint="eastAsia"/>
        <w:lang w:eastAsia="ja-JP"/>
      </w:rPr>
      <w:t>Appendix</w:t>
    </w:r>
    <w:r w:rsidR="006522CC">
      <w:rPr>
        <w:rStyle w:val="PageNumber"/>
        <w:lang w:eastAsia="ja-JP"/>
      </w:rPr>
      <w:t xml:space="preserve">,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B1DD5">
      <w:rPr>
        <w:rStyle w:val="PageNumber"/>
        <w:noProof/>
      </w:rPr>
      <w:t>4</w:t>
    </w:r>
    <w:r w:rsidRPr="00997029">
      <w:rPr>
        <w:rStyle w:val="PageNumber"/>
      </w:rPr>
      <w:fldChar w:fldCharType="end"/>
    </w:r>
  </w:p>
  <w:p w:rsidR="00C27CCC" w:rsidRPr="00997029" w:rsidRDefault="00C27CCC" w:rsidP="00EB048E">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CC" w:rsidRDefault="006522CC">
    <w:pPr>
      <w:pStyle w:val="Header"/>
      <w:rPr>
        <w:rStyle w:val="PageNumber"/>
        <w:lang w:eastAsia="ja-JP"/>
      </w:rPr>
    </w:pPr>
    <w:r>
      <w:rPr>
        <w:rStyle w:val="PageNumber"/>
        <w:rFonts w:hint="eastAsia"/>
        <w:lang w:eastAsia="ja-JP"/>
      </w:rPr>
      <w:t>UPOV/WG-DEN/2/2</w:t>
    </w:r>
  </w:p>
  <w:p w:rsidR="006522CC" w:rsidRDefault="006522CC">
    <w:pPr>
      <w:pStyle w:val="Header"/>
      <w:rPr>
        <w:rStyle w:val="PageNumber"/>
        <w:lang w:eastAsia="ja-JP"/>
      </w:rPr>
    </w:pPr>
  </w:p>
  <w:p w:rsidR="00C27CCC" w:rsidRDefault="00923836">
    <w:pPr>
      <w:pStyle w:val="Header"/>
      <w:rPr>
        <w:lang w:eastAsia="ja-JP"/>
      </w:rPr>
    </w:pPr>
    <w:r>
      <w:rPr>
        <w:rFonts w:hint="eastAsia"/>
        <w:lang w:eastAsia="ja-JP"/>
      </w:rPr>
      <w:t>ANNEX III</w:t>
    </w:r>
  </w:p>
  <w:p w:rsidR="00C27CCC" w:rsidRDefault="00C27CCC">
    <w:pPr>
      <w:pStyle w:val="Header"/>
      <w:rPr>
        <w:lang w:eastAsia="ja-JP"/>
      </w:rPr>
    </w:pPr>
  </w:p>
  <w:p w:rsidR="006522CC" w:rsidRDefault="006522CC">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32C"/>
    <w:multiLevelType w:val="hybridMultilevel"/>
    <w:tmpl w:val="3E20B87E"/>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95628"/>
    <w:multiLevelType w:val="hybridMultilevel"/>
    <w:tmpl w:val="25F47BBE"/>
    <w:lvl w:ilvl="0" w:tplc="1B6688FC">
      <w:start w:val="1"/>
      <w:numFmt w:val="lowerRoman"/>
      <w:lvlText w:val="(%1)"/>
      <w:lvlJc w:val="right"/>
      <w:pPr>
        <w:ind w:left="2062" w:hanging="360"/>
      </w:pPr>
      <w:rPr>
        <w:rFonts w:cs="Times New Roman" w:hint="default"/>
        <w:color w:val="auto"/>
        <w:sz w:val="20"/>
        <w:szCs w:val="24"/>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
    <w:nsid w:val="07D535B4"/>
    <w:multiLevelType w:val="hybridMultilevel"/>
    <w:tmpl w:val="BB94D326"/>
    <w:lvl w:ilvl="0" w:tplc="E76CCB6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15F91C61"/>
    <w:multiLevelType w:val="hybridMultilevel"/>
    <w:tmpl w:val="DBB40C80"/>
    <w:lvl w:ilvl="0" w:tplc="E522DAF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1C9D5E0D"/>
    <w:multiLevelType w:val="hybridMultilevel"/>
    <w:tmpl w:val="CC08F4F8"/>
    <w:lvl w:ilvl="0" w:tplc="1B6688FC">
      <w:start w:val="1"/>
      <w:numFmt w:val="lowerRoman"/>
      <w:lvlText w:val="(%1)"/>
      <w:lvlJc w:val="right"/>
      <w:pPr>
        <w:ind w:left="1287" w:hanging="360"/>
      </w:pPr>
      <w:rPr>
        <w:rFonts w:cs="Times New Roman" w:hint="default"/>
        <w:color w:val="auto"/>
        <w:sz w:val="2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E956887"/>
    <w:multiLevelType w:val="hybridMultilevel"/>
    <w:tmpl w:val="A9F6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D290E"/>
    <w:multiLevelType w:val="hybridMultilevel"/>
    <w:tmpl w:val="562C46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3190282C"/>
    <w:multiLevelType w:val="hybridMultilevel"/>
    <w:tmpl w:val="9B22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4224C3"/>
    <w:multiLevelType w:val="hybridMultilevel"/>
    <w:tmpl w:val="C63805F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9">
    <w:nsid w:val="52CB7188"/>
    <w:multiLevelType w:val="hybridMultilevel"/>
    <w:tmpl w:val="F2D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17982"/>
    <w:multiLevelType w:val="hybridMultilevel"/>
    <w:tmpl w:val="68C49002"/>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8A65CC"/>
    <w:multiLevelType w:val="hybridMultilevel"/>
    <w:tmpl w:val="CC08F4F8"/>
    <w:lvl w:ilvl="0" w:tplc="1B6688FC">
      <w:start w:val="1"/>
      <w:numFmt w:val="lowerRoman"/>
      <w:lvlText w:val="(%1)"/>
      <w:lvlJc w:val="right"/>
      <w:pPr>
        <w:ind w:left="1287" w:hanging="360"/>
      </w:pPr>
      <w:rPr>
        <w:rFonts w:cs="Times New Roman" w:hint="default"/>
        <w:color w:val="auto"/>
        <w:sz w:val="2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76363E61"/>
    <w:multiLevelType w:val="hybridMultilevel"/>
    <w:tmpl w:val="BD5641A4"/>
    <w:lvl w:ilvl="0" w:tplc="85D4B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88043E"/>
    <w:multiLevelType w:val="hybridMultilevel"/>
    <w:tmpl w:val="34F6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67397E"/>
    <w:multiLevelType w:val="hybridMultilevel"/>
    <w:tmpl w:val="CF42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3"/>
  </w:num>
  <w:num w:numId="4">
    <w:abstractNumId w:val="5"/>
  </w:num>
  <w:num w:numId="5">
    <w:abstractNumId w:val="14"/>
  </w:num>
  <w:num w:numId="6">
    <w:abstractNumId w:val="8"/>
  </w:num>
  <w:num w:numId="7">
    <w:abstractNumId w:val="0"/>
  </w:num>
  <w:num w:numId="8">
    <w:abstractNumId w:val="4"/>
  </w:num>
  <w:num w:numId="9">
    <w:abstractNumId w:val="10"/>
  </w:num>
  <w:num w:numId="10">
    <w:abstractNumId w:val="1"/>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2"/>
  </w:num>
  <w:num w:numId="15">
    <w:abstractNumId w:val="1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4B"/>
    <w:rsid w:val="00001380"/>
    <w:rsid w:val="00001D48"/>
    <w:rsid w:val="000036AE"/>
    <w:rsid w:val="00004C35"/>
    <w:rsid w:val="0001076D"/>
    <w:rsid w:val="00010CF3"/>
    <w:rsid w:val="00011E27"/>
    <w:rsid w:val="000148BC"/>
    <w:rsid w:val="00020BFA"/>
    <w:rsid w:val="00021F4C"/>
    <w:rsid w:val="00024AB8"/>
    <w:rsid w:val="00036028"/>
    <w:rsid w:val="00037A85"/>
    <w:rsid w:val="00041C75"/>
    <w:rsid w:val="000446B9"/>
    <w:rsid w:val="00046697"/>
    <w:rsid w:val="00047E21"/>
    <w:rsid w:val="00056D81"/>
    <w:rsid w:val="0006472C"/>
    <w:rsid w:val="00072D17"/>
    <w:rsid w:val="000825CE"/>
    <w:rsid w:val="00085505"/>
    <w:rsid w:val="000861F9"/>
    <w:rsid w:val="00092F1C"/>
    <w:rsid w:val="000955BC"/>
    <w:rsid w:val="00097BB4"/>
    <w:rsid w:val="000A0F62"/>
    <w:rsid w:val="000A3C60"/>
    <w:rsid w:val="000C135E"/>
    <w:rsid w:val="000C16D6"/>
    <w:rsid w:val="000C17DF"/>
    <w:rsid w:val="000C4D17"/>
    <w:rsid w:val="000C7021"/>
    <w:rsid w:val="000D1B39"/>
    <w:rsid w:val="000D1EA8"/>
    <w:rsid w:val="000D492E"/>
    <w:rsid w:val="000D6BBC"/>
    <w:rsid w:val="000D7780"/>
    <w:rsid w:val="000E70AE"/>
    <w:rsid w:val="00105929"/>
    <w:rsid w:val="00110481"/>
    <w:rsid w:val="001131D5"/>
    <w:rsid w:val="00113300"/>
    <w:rsid w:val="00123458"/>
    <w:rsid w:val="00123C6E"/>
    <w:rsid w:val="001318E9"/>
    <w:rsid w:val="00140C66"/>
    <w:rsid w:val="00141DB8"/>
    <w:rsid w:val="00143B7A"/>
    <w:rsid w:val="001449AB"/>
    <w:rsid w:val="00145C8B"/>
    <w:rsid w:val="00155F6F"/>
    <w:rsid w:val="00171032"/>
    <w:rsid w:val="0017474A"/>
    <w:rsid w:val="001758C6"/>
    <w:rsid w:val="00177B4F"/>
    <w:rsid w:val="00180CB7"/>
    <w:rsid w:val="00197777"/>
    <w:rsid w:val="001A2505"/>
    <w:rsid w:val="001C3335"/>
    <w:rsid w:val="001C3DF3"/>
    <w:rsid w:val="001C4984"/>
    <w:rsid w:val="001D3124"/>
    <w:rsid w:val="001E1FCC"/>
    <w:rsid w:val="001F1F2A"/>
    <w:rsid w:val="001F38A2"/>
    <w:rsid w:val="001F5322"/>
    <w:rsid w:val="001F5558"/>
    <w:rsid w:val="002002CD"/>
    <w:rsid w:val="00201CBB"/>
    <w:rsid w:val="002113CC"/>
    <w:rsid w:val="0021332C"/>
    <w:rsid w:val="00213982"/>
    <w:rsid w:val="002341F7"/>
    <w:rsid w:val="00235C3C"/>
    <w:rsid w:val="00237C7D"/>
    <w:rsid w:val="0024416D"/>
    <w:rsid w:val="0025137D"/>
    <w:rsid w:val="00257319"/>
    <w:rsid w:val="00257ACE"/>
    <w:rsid w:val="0026077B"/>
    <w:rsid w:val="002627FF"/>
    <w:rsid w:val="00265B83"/>
    <w:rsid w:val="0027309C"/>
    <w:rsid w:val="002800A0"/>
    <w:rsid w:val="00280FCF"/>
    <w:rsid w:val="00281060"/>
    <w:rsid w:val="0029439F"/>
    <w:rsid w:val="002A2850"/>
    <w:rsid w:val="002A5BE3"/>
    <w:rsid w:val="002A6E50"/>
    <w:rsid w:val="002B2C4B"/>
    <w:rsid w:val="002B3319"/>
    <w:rsid w:val="002C0EEC"/>
    <w:rsid w:val="002C256A"/>
    <w:rsid w:val="002C7B60"/>
    <w:rsid w:val="002E04ED"/>
    <w:rsid w:val="002E2D47"/>
    <w:rsid w:val="002E7BA1"/>
    <w:rsid w:val="002F0D55"/>
    <w:rsid w:val="002F78FA"/>
    <w:rsid w:val="00300917"/>
    <w:rsid w:val="00305A7F"/>
    <w:rsid w:val="00307DA8"/>
    <w:rsid w:val="00313CFE"/>
    <w:rsid w:val="003152FE"/>
    <w:rsid w:val="00315B5E"/>
    <w:rsid w:val="00315CE8"/>
    <w:rsid w:val="00323801"/>
    <w:rsid w:val="00327436"/>
    <w:rsid w:val="00331016"/>
    <w:rsid w:val="00340A3C"/>
    <w:rsid w:val="00344BD6"/>
    <w:rsid w:val="0035314A"/>
    <w:rsid w:val="0035528D"/>
    <w:rsid w:val="00361821"/>
    <w:rsid w:val="00364346"/>
    <w:rsid w:val="00367A2E"/>
    <w:rsid w:val="00376C8B"/>
    <w:rsid w:val="0038194C"/>
    <w:rsid w:val="0038320A"/>
    <w:rsid w:val="0038410B"/>
    <w:rsid w:val="00390137"/>
    <w:rsid w:val="003A03F2"/>
    <w:rsid w:val="003A17C8"/>
    <w:rsid w:val="003B1DD5"/>
    <w:rsid w:val="003B7D85"/>
    <w:rsid w:val="003C563E"/>
    <w:rsid w:val="003C7F21"/>
    <w:rsid w:val="003D227C"/>
    <w:rsid w:val="003D2B4D"/>
    <w:rsid w:val="003E362A"/>
    <w:rsid w:val="003E5BDA"/>
    <w:rsid w:val="003E5E33"/>
    <w:rsid w:val="003F6136"/>
    <w:rsid w:val="00402121"/>
    <w:rsid w:val="00404517"/>
    <w:rsid w:val="00414FD1"/>
    <w:rsid w:val="00415F5E"/>
    <w:rsid w:val="00426A94"/>
    <w:rsid w:val="00427139"/>
    <w:rsid w:val="00432DA8"/>
    <w:rsid w:val="004375D4"/>
    <w:rsid w:val="00444A88"/>
    <w:rsid w:val="00447E49"/>
    <w:rsid w:val="004610BC"/>
    <w:rsid w:val="00461F5D"/>
    <w:rsid w:val="00466910"/>
    <w:rsid w:val="0046702B"/>
    <w:rsid w:val="00467ACD"/>
    <w:rsid w:val="00467CF9"/>
    <w:rsid w:val="00474DA4"/>
    <w:rsid w:val="00476E8D"/>
    <w:rsid w:val="004808B4"/>
    <w:rsid w:val="00481D3C"/>
    <w:rsid w:val="004912E4"/>
    <w:rsid w:val="00496092"/>
    <w:rsid w:val="004A07B1"/>
    <w:rsid w:val="004A26D1"/>
    <w:rsid w:val="004A34E0"/>
    <w:rsid w:val="004C0A39"/>
    <w:rsid w:val="004C3469"/>
    <w:rsid w:val="004D047D"/>
    <w:rsid w:val="004D41BA"/>
    <w:rsid w:val="004D773A"/>
    <w:rsid w:val="004E57E5"/>
    <w:rsid w:val="004E7551"/>
    <w:rsid w:val="004F305A"/>
    <w:rsid w:val="004F64ED"/>
    <w:rsid w:val="0050430E"/>
    <w:rsid w:val="00506F0C"/>
    <w:rsid w:val="005076E5"/>
    <w:rsid w:val="00511618"/>
    <w:rsid w:val="00512164"/>
    <w:rsid w:val="00514278"/>
    <w:rsid w:val="00520297"/>
    <w:rsid w:val="00524589"/>
    <w:rsid w:val="005249F3"/>
    <w:rsid w:val="0053127C"/>
    <w:rsid w:val="00532FB6"/>
    <w:rsid w:val="005338F9"/>
    <w:rsid w:val="00536BAB"/>
    <w:rsid w:val="0054281C"/>
    <w:rsid w:val="00551E76"/>
    <w:rsid w:val="0055268D"/>
    <w:rsid w:val="00556714"/>
    <w:rsid w:val="00560BC9"/>
    <w:rsid w:val="00562DEE"/>
    <w:rsid w:val="005677C3"/>
    <w:rsid w:val="00572E44"/>
    <w:rsid w:val="0057635F"/>
    <w:rsid w:val="00576BE4"/>
    <w:rsid w:val="00590C7D"/>
    <w:rsid w:val="005A3756"/>
    <w:rsid w:val="005A400A"/>
    <w:rsid w:val="005A76A5"/>
    <w:rsid w:val="005B5B69"/>
    <w:rsid w:val="005C7052"/>
    <w:rsid w:val="005C7998"/>
    <w:rsid w:val="005E165F"/>
    <w:rsid w:val="005E488D"/>
    <w:rsid w:val="005F4BFD"/>
    <w:rsid w:val="00612379"/>
    <w:rsid w:val="0061555F"/>
    <w:rsid w:val="0061574C"/>
    <w:rsid w:val="00641200"/>
    <w:rsid w:val="00644738"/>
    <w:rsid w:val="006522CC"/>
    <w:rsid w:val="00663ED8"/>
    <w:rsid w:val="00664515"/>
    <w:rsid w:val="00675FAE"/>
    <w:rsid w:val="00677BDB"/>
    <w:rsid w:val="00677FAA"/>
    <w:rsid w:val="00683D46"/>
    <w:rsid w:val="00687EB4"/>
    <w:rsid w:val="006964E4"/>
    <w:rsid w:val="006A4218"/>
    <w:rsid w:val="006B17D2"/>
    <w:rsid w:val="006B30BD"/>
    <w:rsid w:val="006B45FA"/>
    <w:rsid w:val="006B5567"/>
    <w:rsid w:val="006C224E"/>
    <w:rsid w:val="006C7A3D"/>
    <w:rsid w:val="006D3AAA"/>
    <w:rsid w:val="006D412B"/>
    <w:rsid w:val="006D7122"/>
    <w:rsid w:val="006E2BFB"/>
    <w:rsid w:val="006E4CC5"/>
    <w:rsid w:val="007000D8"/>
    <w:rsid w:val="0071426E"/>
    <w:rsid w:val="00716D3B"/>
    <w:rsid w:val="00723B71"/>
    <w:rsid w:val="0072795E"/>
    <w:rsid w:val="0073271C"/>
    <w:rsid w:val="00732DEC"/>
    <w:rsid w:val="00735BD5"/>
    <w:rsid w:val="00744621"/>
    <w:rsid w:val="0075102C"/>
    <w:rsid w:val="0075117E"/>
    <w:rsid w:val="007556F6"/>
    <w:rsid w:val="0075641B"/>
    <w:rsid w:val="00760EEF"/>
    <w:rsid w:val="0077424B"/>
    <w:rsid w:val="00775A95"/>
    <w:rsid w:val="00777EE5"/>
    <w:rsid w:val="00784836"/>
    <w:rsid w:val="0079023E"/>
    <w:rsid w:val="00795A00"/>
    <w:rsid w:val="007A04E8"/>
    <w:rsid w:val="007A6AF5"/>
    <w:rsid w:val="007B6853"/>
    <w:rsid w:val="007B6894"/>
    <w:rsid w:val="007C6639"/>
    <w:rsid w:val="007D0B9D"/>
    <w:rsid w:val="007D19B0"/>
    <w:rsid w:val="007F498F"/>
    <w:rsid w:val="007F6A17"/>
    <w:rsid w:val="007F7994"/>
    <w:rsid w:val="00803B84"/>
    <w:rsid w:val="0080679D"/>
    <w:rsid w:val="008108B0"/>
    <w:rsid w:val="00811B20"/>
    <w:rsid w:val="00812178"/>
    <w:rsid w:val="00820F72"/>
    <w:rsid w:val="0082296E"/>
    <w:rsid w:val="00824099"/>
    <w:rsid w:val="008327DC"/>
    <w:rsid w:val="00836E88"/>
    <w:rsid w:val="0084243C"/>
    <w:rsid w:val="008449A8"/>
    <w:rsid w:val="00847458"/>
    <w:rsid w:val="00852407"/>
    <w:rsid w:val="00855DBD"/>
    <w:rsid w:val="00856B49"/>
    <w:rsid w:val="00857C80"/>
    <w:rsid w:val="00863EBE"/>
    <w:rsid w:val="00867AC1"/>
    <w:rsid w:val="008767E4"/>
    <w:rsid w:val="00881B2B"/>
    <w:rsid w:val="00884CEA"/>
    <w:rsid w:val="00885B6F"/>
    <w:rsid w:val="00887048"/>
    <w:rsid w:val="008A395B"/>
    <w:rsid w:val="008A743F"/>
    <w:rsid w:val="008A7D42"/>
    <w:rsid w:val="008B291A"/>
    <w:rsid w:val="008B51D0"/>
    <w:rsid w:val="008B5ED9"/>
    <w:rsid w:val="008C0970"/>
    <w:rsid w:val="008D2CF7"/>
    <w:rsid w:val="008D769B"/>
    <w:rsid w:val="008E1682"/>
    <w:rsid w:val="008E6844"/>
    <w:rsid w:val="008E793E"/>
    <w:rsid w:val="008F3100"/>
    <w:rsid w:val="008F78FB"/>
    <w:rsid w:val="00900C26"/>
    <w:rsid w:val="0090197F"/>
    <w:rsid w:val="00906DDC"/>
    <w:rsid w:val="00911B1D"/>
    <w:rsid w:val="009175FC"/>
    <w:rsid w:val="009219E3"/>
    <w:rsid w:val="00923836"/>
    <w:rsid w:val="009251B0"/>
    <w:rsid w:val="00934E09"/>
    <w:rsid w:val="00936253"/>
    <w:rsid w:val="00937C60"/>
    <w:rsid w:val="00951463"/>
    <w:rsid w:val="00952258"/>
    <w:rsid w:val="0095578A"/>
    <w:rsid w:val="00962228"/>
    <w:rsid w:val="00970FED"/>
    <w:rsid w:val="00975AD5"/>
    <w:rsid w:val="00994913"/>
    <w:rsid w:val="00995C27"/>
    <w:rsid w:val="00997029"/>
    <w:rsid w:val="009B1DCB"/>
    <w:rsid w:val="009C2C82"/>
    <w:rsid w:val="009C428F"/>
    <w:rsid w:val="009C5A31"/>
    <w:rsid w:val="009C6EBA"/>
    <w:rsid w:val="009D0DE5"/>
    <w:rsid w:val="009D473D"/>
    <w:rsid w:val="009D690D"/>
    <w:rsid w:val="009E5345"/>
    <w:rsid w:val="009E65B6"/>
    <w:rsid w:val="009F1D52"/>
    <w:rsid w:val="009F2140"/>
    <w:rsid w:val="00A038CD"/>
    <w:rsid w:val="00A229BD"/>
    <w:rsid w:val="00A245C3"/>
    <w:rsid w:val="00A25776"/>
    <w:rsid w:val="00A42AC3"/>
    <w:rsid w:val="00A430CF"/>
    <w:rsid w:val="00A54309"/>
    <w:rsid w:val="00A62978"/>
    <w:rsid w:val="00A66C90"/>
    <w:rsid w:val="00A672A1"/>
    <w:rsid w:val="00A945DC"/>
    <w:rsid w:val="00A97FA7"/>
    <w:rsid w:val="00AA2C2B"/>
    <w:rsid w:val="00AA4DD8"/>
    <w:rsid w:val="00AB2B93"/>
    <w:rsid w:val="00AC07F1"/>
    <w:rsid w:val="00AE0EF1"/>
    <w:rsid w:val="00AE2032"/>
    <w:rsid w:val="00AE377F"/>
    <w:rsid w:val="00AE542E"/>
    <w:rsid w:val="00AF0857"/>
    <w:rsid w:val="00B01AE6"/>
    <w:rsid w:val="00B02C57"/>
    <w:rsid w:val="00B07301"/>
    <w:rsid w:val="00B167A8"/>
    <w:rsid w:val="00B224DE"/>
    <w:rsid w:val="00B26742"/>
    <w:rsid w:val="00B26C7E"/>
    <w:rsid w:val="00B27D4C"/>
    <w:rsid w:val="00B36D60"/>
    <w:rsid w:val="00B37CCA"/>
    <w:rsid w:val="00B44915"/>
    <w:rsid w:val="00B5271B"/>
    <w:rsid w:val="00B54AF2"/>
    <w:rsid w:val="00B563BD"/>
    <w:rsid w:val="00B608C7"/>
    <w:rsid w:val="00B70BD3"/>
    <w:rsid w:val="00B733FF"/>
    <w:rsid w:val="00B734CF"/>
    <w:rsid w:val="00B84BBD"/>
    <w:rsid w:val="00B85BFE"/>
    <w:rsid w:val="00B93464"/>
    <w:rsid w:val="00B93827"/>
    <w:rsid w:val="00B974BF"/>
    <w:rsid w:val="00BA2E7D"/>
    <w:rsid w:val="00BA43FB"/>
    <w:rsid w:val="00BC0049"/>
    <w:rsid w:val="00BC127D"/>
    <w:rsid w:val="00BC1FE6"/>
    <w:rsid w:val="00BC2AB9"/>
    <w:rsid w:val="00BD4C24"/>
    <w:rsid w:val="00BF009E"/>
    <w:rsid w:val="00BF1D30"/>
    <w:rsid w:val="00BF29F6"/>
    <w:rsid w:val="00BF786F"/>
    <w:rsid w:val="00C01892"/>
    <w:rsid w:val="00C05295"/>
    <w:rsid w:val="00C05578"/>
    <w:rsid w:val="00C061B6"/>
    <w:rsid w:val="00C118C9"/>
    <w:rsid w:val="00C147FB"/>
    <w:rsid w:val="00C151E1"/>
    <w:rsid w:val="00C20680"/>
    <w:rsid w:val="00C21DBF"/>
    <w:rsid w:val="00C2446C"/>
    <w:rsid w:val="00C27CCC"/>
    <w:rsid w:val="00C27D09"/>
    <w:rsid w:val="00C323B4"/>
    <w:rsid w:val="00C36907"/>
    <w:rsid w:val="00C36AE5"/>
    <w:rsid w:val="00C406C5"/>
    <w:rsid w:val="00C41F17"/>
    <w:rsid w:val="00C54BF4"/>
    <w:rsid w:val="00C5791C"/>
    <w:rsid w:val="00C66290"/>
    <w:rsid w:val="00C663DE"/>
    <w:rsid w:val="00C6768C"/>
    <w:rsid w:val="00C67C14"/>
    <w:rsid w:val="00C72B7A"/>
    <w:rsid w:val="00C86274"/>
    <w:rsid w:val="00C973F2"/>
    <w:rsid w:val="00CA3196"/>
    <w:rsid w:val="00CA774A"/>
    <w:rsid w:val="00CB4DA9"/>
    <w:rsid w:val="00CC11B0"/>
    <w:rsid w:val="00CC2302"/>
    <w:rsid w:val="00CC75E9"/>
    <w:rsid w:val="00CD6966"/>
    <w:rsid w:val="00CD698D"/>
    <w:rsid w:val="00CE31D5"/>
    <w:rsid w:val="00CE4538"/>
    <w:rsid w:val="00CF12A7"/>
    <w:rsid w:val="00CF19FE"/>
    <w:rsid w:val="00CF7E36"/>
    <w:rsid w:val="00D02B72"/>
    <w:rsid w:val="00D02FD2"/>
    <w:rsid w:val="00D06623"/>
    <w:rsid w:val="00D11830"/>
    <w:rsid w:val="00D201F5"/>
    <w:rsid w:val="00D233D8"/>
    <w:rsid w:val="00D24210"/>
    <w:rsid w:val="00D25672"/>
    <w:rsid w:val="00D25FF3"/>
    <w:rsid w:val="00D3670C"/>
    <w:rsid w:val="00D3708D"/>
    <w:rsid w:val="00D40426"/>
    <w:rsid w:val="00D404F3"/>
    <w:rsid w:val="00D511BA"/>
    <w:rsid w:val="00D568BE"/>
    <w:rsid w:val="00D57C96"/>
    <w:rsid w:val="00D66A5B"/>
    <w:rsid w:val="00D67433"/>
    <w:rsid w:val="00D82CA6"/>
    <w:rsid w:val="00D91203"/>
    <w:rsid w:val="00D95174"/>
    <w:rsid w:val="00D95A5C"/>
    <w:rsid w:val="00DA6F36"/>
    <w:rsid w:val="00DB10E5"/>
    <w:rsid w:val="00DB2E0B"/>
    <w:rsid w:val="00DC00EA"/>
    <w:rsid w:val="00DD24B7"/>
    <w:rsid w:val="00DD48E2"/>
    <w:rsid w:val="00DF196E"/>
    <w:rsid w:val="00E001AC"/>
    <w:rsid w:val="00E01260"/>
    <w:rsid w:val="00E02B4F"/>
    <w:rsid w:val="00E040B2"/>
    <w:rsid w:val="00E06FE1"/>
    <w:rsid w:val="00E10886"/>
    <w:rsid w:val="00E11E29"/>
    <w:rsid w:val="00E23329"/>
    <w:rsid w:val="00E23920"/>
    <w:rsid w:val="00E3024F"/>
    <w:rsid w:val="00E419C7"/>
    <w:rsid w:val="00E6173C"/>
    <w:rsid w:val="00E61B72"/>
    <w:rsid w:val="00E720D2"/>
    <w:rsid w:val="00E72D49"/>
    <w:rsid w:val="00E7593C"/>
    <w:rsid w:val="00E75A37"/>
    <w:rsid w:val="00E7678A"/>
    <w:rsid w:val="00E935F1"/>
    <w:rsid w:val="00E94A81"/>
    <w:rsid w:val="00E95D7F"/>
    <w:rsid w:val="00EA1089"/>
    <w:rsid w:val="00EA1FFB"/>
    <w:rsid w:val="00EA4CFC"/>
    <w:rsid w:val="00EB048E"/>
    <w:rsid w:val="00EB227C"/>
    <w:rsid w:val="00EB279B"/>
    <w:rsid w:val="00EB2DE0"/>
    <w:rsid w:val="00EB3EFA"/>
    <w:rsid w:val="00EB53E3"/>
    <w:rsid w:val="00EC19AA"/>
    <w:rsid w:val="00EC351F"/>
    <w:rsid w:val="00ED2BF6"/>
    <w:rsid w:val="00EF2F89"/>
    <w:rsid w:val="00EF4815"/>
    <w:rsid w:val="00F038C5"/>
    <w:rsid w:val="00F04DEB"/>
    <w:rsid w:val="00F1237A"/>
    <w:rsid w:val="00F21316"/>
    <w:rsid w:val="00F22CBD"/>
    <w:rsid w:val="00F30997"/>
    <w:rsid w:val="00F3408E"/>
    <w:rsid w:val="00F349B3"/>
    <w:rsid w:val="00F37961"/>
    <w:rsid w:val="00F45897"/>
    <w:rsid w:val="00F46B45"/>
    <w:rsid w:val="00F61A37"/>
    <w:rsid w:val="00F6334D"/>
    <w:rsid w:val="00F7324F"/>
    <w:rsid w:val="00F73F12"/>
    <w:rsid w:val="00F85186"/>
    <w:rsid w:val="00F91828"/>
    <w:rsid w:val="00F932DC"/>
    <w:rsid w:val="00FA4556"/>
    <w:rsid w:val="00FA49AB"/>
    <w:rsid w:val="00FB0D37"/>
    <w:rsid w:val="00FB19DE"/>
    <w:rsid w:val="00FB6651"/>
    <w:rsid w:val="00FC2B7F"/>
    <w:rsid w:val="00FC6CEF"/>
    <w:rsid w:val="00FD739D"/>
    <w:rsid w:val="00FE2A26"/>
    <w:rsid w:val="00FE39C7"/>
    <w:rsid w:val="00FE4AF3"/>
    <w:rsid w:val="00FF1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049"/>
    <w:pPr>
      <w:jc w:val="both"/>
    </w:pPr>
    <w:rPr>
      <w:rFonts w:ascii="Arial" w:hAnsi="Arial"/>
    </w:rPr>
  </w:style>
  <w:style w:type="paragraph" w:styleId="Heading1">
    <w:name w:val="heading 1"/>
    <w:next w:val="Normal"/>
    <w:link w:val="Heading1Char"/>
    <w:autoRedefine/>
    <w:qFormat/>
    <w:rsid w:val="009D473D"/>
    <w:pPr>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B01AE6"/>
    <w:pPr>
      <w:keepNext/>
      <w:ind w:left="567" w:hanging="567"/>
      <w:jc w:val="both"/>
      <w:outlineLvl w:val="2"/>
    </w:pPr>
    <w:rPr>
      <w:rFonts w:ascii="Arial" w:hAnsi="Arial"/>
      <w:i/>
    </w:rPr>
  </w:style>
  <w:style w:type="paragraph" w:styleId="Heading4">
    <w:name w:val="heading 4"/>
    <w:next w:val="Normal"/>
    <w:autoRedefine/>
    <w:qFormat/>
    <w:rsid w:val="00B01AE6"/>
    <w:pPr>
      <w:keepNext/>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64346"/>
    <w:pPr>
      <w:tabs>
        <w:tab w:val="right" w:leader="dot" w:pos="9639"/>
      </w:tabs>
      <w:spacing w:after="120"/>
      <w:ind w:left="284" w:right="851"/>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83D46"/>
    <w:pPr>
      <w:tabs>
        <w:tab w:val="right" w:leader="dot" w:pos="9639"/>
      </w:tabs>
      <w:spacing w:after="120"/>
      <w:ind w:left="284" w:right="850"/>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9D473D"/>
    <w:rPr>
      <w:rFonts w:ascii="Arial" w:hAnsi="Arial"/>
      <w:caps/>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FB6651"/>
    <w:rPr>
      <w:rFonts w:ascii="Arial" w:hAnsi="Arial"/>
      <w:sz w:val="16"/>
    </w:rPr>
  </w:style>
  <w:style w:type="paragraph" w:styleId="ListParagraph">
    <w:name w:val="List Paragraph"/>
    <w:basedOn w:val="Normal"/>
    <w:uiPriority w:val="34"/>
    <w:qFormat/>
    <w:rsid w:val="00F21316"/>
    <w:pPr>
      <w:ind w:left="720"/>
      <w:contextualSpacing/>
    </w:pPr>
  </w:style>
  <w:style w:type="character" w:customStyle="1" w:styleId="Heading2Char">
    <w:name w:val="Heading 2 Char"/>
    <w:basedOn w:val="DefaultParagraphFont"/>
    <w:link w:val="Heading2"/>
    <w:rsid w:val="00AE377F"/>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049"/>
    <w:pPr>
      <w:jc w:val="both"/>
    </w:pPr>
    <w:rPr>
      <w:rFonts w:ascii="Arial" w:hAnsi="Arial"/>
    </w:rPr>
  </w:style>
  <w:style w:type="paragraph" w:styleId="Heading1">
    <w:name w:val="heading 1"/>
    <w:next w:val="Normal"/>
    <w:link w:val="Heading1Char"/>
    <w:autoRedefine/>
    <w:qFormat/>
    <w:rsid w:val="009D473D"/>
    <w:pPr>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B01AE6"/>
    <w:pPr>
      <w:keepNext/>
      <w:ind w:left="567" w:hanging="567"/>
      <w:jc w:val="both"/>
      <w:outlineLvl w:val="2"/>
    </w:pPr>
    <w:rPr>
      <w:rFonts w:ascii="Arial" w:hAnsi="Arial"/>
      <w:i/>
    </w:rPr>
  </w:style>
  <w:style w:type="paragraph" w:styleId="Heading4">
    <w:name w:val="heading 4"/>
    <w:next w:val="Normal"/>
    <w:autoRedefine/>
    <w:qFormat/>
    <w:rsid w:val="00B01AE6"/>
    <w:pPr>
      <w:keepNext/>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64346"/>
    <w:pPr>
      <w:tabs>
        <w:tab w:val="right" w:leader="dot" w:pos="9639"/>
      </w:tabs>
      <w:spacing w:after="120"/>
      <w:ind w:left="284" w:right="851"/>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83D46"/>
    <w:pPr>
      <w:tabs>
        <w:tab w:val="right" w:leader="dot" w:pos="9639"/>
      </w:tabs>
      <w:spacing w:after="120"/>
      <w:ind w:left="284" w:right="850"/>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9D473D"/>
    <w:rPr>
      <w:rFonts w:ascii="Arial" w:hAnsi="Arial"/>
      <w:caps/>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FB6651"/>
    <w:rPr>
      <w:rFonts w:ascii="Arial" w:hAnsi="Arial"/>
      <w:sz w:val="16"/>
    </w:rPr>
  </w:style>
  <w:style w:type="paragraph" w:styleId="ListParagraph">
    <w:name w:val="List Paragraph"/>
    <w:basedOn w:val="Normal"/>
    <w:uiPriority w:val="34"/>
    <w:qFormat/>
    <w:rsid w:val="00F21316"/>
    <w:pPr>
      <w:ind w:left="720"/>
      <w:contextualSpacing/>
    </w:pPr>
  </w:style>
  <w:style w:type="character" w:customStyle="1" w:styleId="Heading2Char">
    <w:name w:val="Heading 2 Char"/>
    <w:basedOn w:val="DefaultParagraphFont"/>
    <w:link w:val="Heading2"/>
    <w:rsid w:val="00AE377F"/>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4085">
      <w:bodyDiv w:val="1"/>
      <w:marLeft w:val="0"/>
      <w:marRight w:val="0"/>
      <w:marTop w:val="0"/>
      <w:marBottom w:val="0"/>
      <w:divBdr>
        <w:top w:val="none" w:sz="0" w:space="0" w:color="auto"/>
        <w:left w:val="none" w:sz="0" w:space="0" w:color="auto"/>
        <w:bottom w:val="none" w:sz="0" w:space="0" w:color="auto"/>
        <w:right w:val="none" w:sz="0" w:space="0" w:color="auto"/>
      </w:divBdr>
    </w:div>
    <w:div w:id="801535747">
      <w:bodyDiv w:val="1"/>
      <w:marLeft w:val="0"/>
      <w:marRight w:val="0"/>
      <w:marTop w:val="0"/>
      <w:marBottom w:val="0"/>
      <w:divBdr>
        <w:top w:val="none" w:sz="0" w:space="0" w:color="auto"/>
        <w:left w:val="none" w:sz="0" w:space="0" w:color="auto"/>
        <w:bottom w:val="none" w:sz="0" w:space="0" w:color="auto"/>
        <w:right w:val="none" w:sz="0" w:space="0" w:color="auto"/>
      </w:divBdr>
    </w:div>
    <w:div w:id="1241795827">
      <w:bodyDiv w:val="1"/>
      <w:marLeft w:val="0"/>
      <w:marRight w:val="0"/>
      <w:marTop w:val="0"/>
      <w:marBottom w:val="0"/>
      <w:divBdr>
        <w:top w:val="none" w:sz="0" w:space="0" w:color="auto"/>
        <w:left w:val="none" w:sz="0" w:space="0" w:color="auto"/>
        <w:bottom w:val="none" w:sz="0" w:space="0" w:color="auto"/>
        <w:right w:val="none" w:sz="0" w:space="0" w:color="auto"/>
      </w:divBdr>
    </w:div>
    <w:div w:id="1271813252">
      <w:bodyDiv w:val="1"/>
      <w:marLeft w:val="0"/>
      <w:marRight w:val="0"/>
      <w:marTop w:val="0"/>
      <w:marBottom w:val="0"/>
      <w:divBdr>
        <w:top w:val="none" w:sz="0" w:space="0" w:color="auto"/>
        <w:left w:val="none" w:sz="0" w:space="0" w:color="auto"/>
        <w:bottom w:val="none" w:sz="0" w:space="0" w:color="auto"/>
        <w:right w:val="none" w:sz="0" w:space="0" w:color="auto"/>
      </w:divBdr>
    </w:div>
    <w:div w:id="1325814649">
      <w:bodyDiv w:val="1"/>
      <w:marLeft w:val="0"/>
      <w:marRight w:val="0"/>
      <w:marTop w:val="0"/>
      <w:marBottom w:val="0"/>
      <w:divBdr>
        <w:top w:val="none" w:sz="0" w:space="0" w:color="auto"/>
        <w:left w:val="none" w:sz="0" w:space="0" w:color="auto"/>
        <w:bottom w:val="none" w:sz="0" w:space="0" w:color="auto"/>
        <w:right w:val="none" w:sz="0" w:space="0" w:color="auto"/>
      </w:divBdr>
    </w:div>
    <w:div w:id="1735620601">
      <w:bodyDiv w:val="1"/>
      <w:marLeft w:val="0"/>
      <w:marRight w:val="0"/>
      <w:marTop w:val="0"/>
      <w:marBottom w:val="0"/>
      <w:divBdr>
        <w:top w:val="none" w:sz="0" w:space="0" w:color="auto"/>
        <w:left w:val="none" w:sz="0" w:space="0" w:color="auto"/>
        <w:bottom w:val="none" w:sz="0" w:space="0" w:color="auto"/>
        <w:right w:val="none" w:sz="0" w:space="0" w:color="auto"/>
      </w:divBdr>
    </w:div>
    <w:div w:id="1745489007">
      <w:bodyDiv w:val="1"/>
      <w:marLeft w:val="0"/>
      <w:marRight w:val="0"/>
      <w:marTop w:val="0"/>
      <w:marBottom w:val="0"/>
      <w:divBdr>
        <w:top w:val="none" w:sz="0" w:space="0" w:color="auto"/>
        <w:left w:val="none" w:sz="0" w:space="0" w:color="auto"/>
        <w:bottom w:val="none" w:sz="0" w:space="0" w:color="auto"/>
        <w:right w:val="none" w:sz="0" w:space="0" w:color="auto"/>
      </w:divBdr>
    </w:div>
    <w:div w:id="1833792790">
      <w:bodyDiv w:val="1"/>
      <w:marLeft w:val="0"/>
      <w:marRight w:val="0"/>
      <w:marTop w:val="0"/>
      <w:marBottom w:val="0"/>
      <w:divBdr>
        <w:top w:val="none" w:sz="0" w:space="0" w:color="auto"/>
        <w:left w:val="none" w:sz="0" w:space="0" w:color="auto"/>
        <w:bottom w:val="none" w:sz="0" w:space="0" w:color="auto"/>
        <w:right w:val="none" w:sz="0" w:space="0" w:color="auto"/>
      </w:divBdr>
    </w:div>
    <w:div w:id="1948191786">
      <w:bodyDiv w:val="1"/>
      <w:marLeft w:val="0"/>
      <w:marRight w:val="0"/>
      <w:marTop w:val="0"/>
      <w:marBottom w:val="0"/>
      <w:divBdr>
        <w:top w:val="none" w:sz="0" w:space="0" w:color="auto"/>
        <w:left w:val="none" w:sz="0" w:space="0" w:color="auto"/>
        <w:bottom w:val="none" w:sz="0" w:space="0" w:color="auto"/>
        <w:right w:val="none" w:sz="0" w:space="0" w:color="auto"/>
      </w:divBdr>
    </w:div>
    <w:div w:id="2129199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2\templates\CAJ_7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4F91-DF81-4D9C-A1D6-B5485778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CAJ_72_EN.dotx</Template>
  <TotalTime>13</TotalTime>
  <Pages>8</Pages>
  <Words>3578</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CAJ/72/3</vt:lpstr>
    </vt:vector>
  </TitlesOfParts>
  <Company>UPOV</Company>
  <LinksUpToDate>false</LinksUpToDate>
  <CharactersWithSpaces>23728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CAJ/72/3</dc:title>
  <dc:creator>KOIDE Jun</dc:creator>
  <cp:lastModifiedBy>BESSE Ariane</cp:lastModifiedBy>
  <cp:revision>13</cp:revision>
  <cp:lastPrinted>2016-10-12T09:09:00Z</cp:lastPrinted>
  <dcterms:created xsi:type="dcterms:W3CDTF">2016-10-12T05:57:00Z</dcterms:created>
  <dcterms:modified xsi:type="dcterms:W3CDTF">2016-10-12T09:09:00Z</dcterms:modified>
</cp:coreProperties>
</file>