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0365C" w:rsidRPr="00842AD2" w:rsidTr="00BE58AC">
        <w:trPr>
          <w:trHeight w:val="1760"/>
        </w:trPr>
        <w:tc>
          <w:tcPr>
            <w:tcW w:w="4243" w:type="dxa"/>
          </w:tcPr>
          <w:p w:rsidR="00F0365C" w:rsidRPr="00C5280D" w:rsidRDefault="00F0365C" w:rsidP="00BE58AC"/>
        </w:tc>
        <w:tc>
          <w:tcPr>
            <w:tcW w:w="1646" w:type="dxa"/>
            <w:vAlign w:val="center"/>
          </w:tcPr>
          <w:p w:rsidR="00F0365C" w:rsidRPr="00842AD2" w:rsidRDefault="00F0365C" w:rsidP="00BE58AC">
            <w:pPr>
              <w:pStyle w:val="LogoUPOV"/>
              <w:ind w:left="57"/>
            </w:pPr>
            <w:r>
              <w:rPr>
                <w:noProof/>
              </w:rPr>
              <w:drawing>
                <wp:inline distT="0" distB="0" distL="0" distR="0" wp14:anchorId="0B9AC80D" wp14:editId="4BF94A14">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F0365C" w:rsidRPr="00842AD2" w:rsidRDefault="00F0365C" w:rsidP="00BE58AC">
            <w:pPr>
              <w:pStyle w:val="Lettrine"/>
            </w:pPr>
            <w:r w:rsidRPr="00842AD2">
              <w:t>E</w:t>
            </w:r>
          </w:p>
          <w:p w:rsidR="00F0365C" w:rsidRPr="00C85B8C" w:rsidRDefault="00F0365C" w:rsidP="00C312F9">
            <w:pPr>
              <w:spacing w:before="120" w:line="280" w:lineRule="exact"/>
              <w:ind w:left="1304"/>
              <w:jc w:val="left"/>
              <w:rPr>
                <w:rFonts w:cs="Arial"/>
              </w:rPr>
            </w:pPr>
            <w:bookmarkStart w:id="0" w:name="Code"/>
            <w:bookmarkEnd w:id="0"/>
            <w:r>
              <w:rPr>
                <w:rFonts w:cs="Arial"/>
                <w:b/>
                <w:spacing w:val="10"/>
              </w:rPr>
              <w:t>UPOV/INF/</w:t>
            </w:r>
            <w:r w:rsidR="002573F0">
              <w:rPr>
                <w:rFonts w:cs="Arial"/>
                <w:b/>
                <w:spacing w:val="10"/>
              </w:rPr>
              <w:t xml:space="preserve">12/6 Draft </w:t>
            </w:r>
            <w:r w:rsidR="002573F0">
              <w:rPr>
                <w:rFonts w:cs="Arial" w:hint="eastAsia"/>
                <w:b/>
                <w:spacing w:val="10"/>
                <w:lang w:eastAsia="ja-JP"/>
              </w:rPr>
              <w:t>2</w:t>
            </w:r>
            <w:r w:rsidRPr="00C85B8C">
              <w:rPr>
                <w:rFonts w:cs="Arial"/>
                <w:b/>
                <w:spacing w:val="10"/>
              </w:rPr>
              <w:br/>
            </w:r>
            <w:r w:rsidRPr="00C85B8C">
              <w:rPr>
                <w:rFonts w:cs="Arial"/>
                <w:b/>
              </w:rPr>
              <w:t>ORIGINAL:</w:t>
            </w:r>
            <w:r w:rsidRPr="00C85B8C">
              <w:rPr>
                <w:rFonts w:cs="Arial"/>
              </w:rPr>
              <w:t xml:space="preserve">  English</w:t>
            </w:r>
          </w:p>
          <w:p w:rsidR="00F0365C" w:rsidRPr="00DD2A13" w:rsidRDefault="00F0365C" w:rsidP="002C0F7A">
            <w:pPr>
              <w:pStyle w:val="Docoriginal"/>
              <w:ind w:left="1304"/>
              <w:rPr>
                <w:spacing w:val="0"/>
              </w:rPr>
            </w:pPr>
            <w:r w:rsidRPr="00DD2A13">
              <w:rPr>
                <w:rFonts w:cs="Arial"/>
                <w:spacing w:val="0"/>
              </w:rPr>
              <w:t xml:space="preserve">DATE: </w:t>
            </w:r>
            <w:r w:rsidRPr="00DD2A13">
              <w:rPr>
                <w:rFonts w:cs="Arial"/>
                <w:b w:val="0"/>
                <w:spacing w:val="0"/>
              </w:rPr>
              <w:t xml:space="preserve"> </w:t>
            </w:r>
            <w:r w:rsidR="00CE073E">
              <w:rPr>
                <w:rFonts w:cs="Arial"/>
                <w:b w:val="0"/>
                <w:spacing w:val="0"/>
                <w:lang w:eastAsia="ja-JP"/>
              </w:rPr>
              <w:t xml:space="preserve">October </w:t>
            </w:r>
            <w:r w:rsidR="00405FE5">
              <w:rPr>
                <w:rFonts w:cs="Arial" w:hint="eastAsia"/>
                <w:b w:val="0"/>
                <w:spacing w:val="0"/>
                <w:lang w:eastAsia="ja-JP"/>
              </w:rPr>
              <w:t>1</w:t>
            </w:r>
            <w:r w:rsidR="002C0F7A">
              <w:rPr>
                <w:rFonts w:cs="Arial"/>
                <w:b w:val="0"/>
                <w:spacing w:val="0"/>
                <w:lang w:eastAsia="ja-JP"/>
              </w:rPr>
              <w:t>2</w:t>
            </w:r>
            <w:r w:rsidR="00EA6ED4">
              <w:rPr>
                <w:rFonts w:cs="Arial"/>
                <w:b w:val="0"/>
                <w:spacing w:val="0"/>
              </w:rPr>
              <w:t>, 2016</w:t>
            </w:r>
          </w:p>
        </w:tc>
      </w:tr>
      <w:tr w:rsidR="00F0365C" w:rsidRPr="00842AD2" w:rsidTr="00BE58AC">
        <w:tc>
          <w:tcPr>
            <w:tcW w:w="10131" w:type="dxa"/>
            <w:gridSpan w:val="3"/>
          </w:tcPr>
          <w:p w:rsidR="00F0365C" w:rsidRPr="00842AD2" w:rsidRDefault="00F0365C" w:rsidP="00BE58AC">
            <w:pPr>
              <w:pStyle w:val="upove"/>
              <w:rPr>
                <w:sz w:val="28"/>
              </w:rPr>
            </w:pPr>
            <w:r w:rsidRPr="00842AD2">
              <w:rPr>
                <w:snapToGrid w:val="0"/>
              </w:rPr>
              <w:t xml:space="preserve">INTERNATIONAL UNION FOR THE PROTECTION OF NEW VARIETIES OF PLANTS </w:t>
            </w:r>
          </w:p>
        </w:tc>
      </w:tr>
      <w:tr w:rsidR="00F0365C" w:rsidRPr="00842AD2" w:rsidTr="00BE58AC">
        <w:tc>
          <w:tcPr>
            <w:tcW w:w="10131" w:type="dxa"/>
            <w:gridSpan w:val="3"/>
          </w:tcPr>
          <w:p w:rsidR="00F0365C" w:rsidRPr="00842AD2" w:rsidRDefault="00F0365C" w:rsidP="00BE58AC">
            <w:pPr>
              <w:pStyle w:val="Country"/>
            </w:pPr>
            <w:r w:rsidRPr="00842AD2">
              <w:t>Geneva</w:t>
            </w:r>
          </w:p>
        </w:tc>
      </w:tr>
    </w:tbl>
    <w:p w:rsidR="00F0365C" w:rsidRPr="004229F4" w:rsidRDefault="00F0365C" w:rsidP="00F0365C">
      <w:pPr>
        <w:rPr>
          <w:rFonts w:cs="Arial"/>
          <w:sz w:val="12"/>
        </w:rPr>
      </w:pPr>
    </w:p>
    <w:p w:rsidR="00F0365C"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EA6ED4"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EA6ED4">
        <w:rPr>
          <w:rFonts w:cs="Arial"/>
        </w:rPr>
        <w:t>DRAFT</w:t>
      </w:r>
    </w:p>
    <w:p w:rsidR="00F0365C"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EA6ED4">
        <w:rPr>
          <w:rFonts w:cs="Arial"/>
        </w:rPr>
        <w:t>(REVISION)</w:t>
      </w:r>
    </w:p>
    <w:p w:rsidR="0067234E" w:rsidRPr="004229F4" w:rsidRDefault="0067234E"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61242" w:rsidRPr="00D27283" w:rsidRDefault="00EA6ED4" w:rsidP="00BE58AC">
      <w:pPr>
        <w:spacing w:before="1200" w:after="240"/>
        <w:jc w:val="center"/>
        <w:rPr>
          <w:rFonts w:cs="Arial"/>
          <w:caps/>
        </w:rPr>
      </w:pPr>
      <w:r w:rsidRPr="00855BA4">
        <w:t>EXPLANATORY NOTES ON VARIETY DENOMINATIONS</w:t>
      </w:r>
      <w:r w:rsidRPr="00855BA4">
        <w:br/>
      </w:r>
      <w:r w:rsidRPr="00855BA4">
        <w:br/>
        <w:t>UNDER THE UPOV CONVENTION</w:t>
      </w:r>
    </w:p>
    <w:p w:rsidR="00B61242" w:rsidRPr="00281B96" w:rsidRDefault="00B61242" w:rsidP="00EA6ED4">
      <w:pPr>
        <w:pStyle w:val="preparedby0"/>
        <w:spacing w:after="960"/>
        <w:rPr>
          <w:rFonts w:ascii="Arial" w:hAnsi="Arial" w:cs="Arial"/>
          <w:i w:val="0"/>
          <w:sz w:val="20"/>
        </w:rPr>
      </w:pPr>
      <w:r w:rsidRPr="00CA68F6">
        <w:rPr>
          <w:rFonts w:ascii="Arial" w:hAnsi="Arial" w:cs="Arial"/>
          <w:sz w:val="20"/>
        </w:rPr>
        <w:br/>
      </w:r>
      <w:r w:rsidRPr="004229F4">
        <w:rPr>
          <w:rFonts w:ascii="Arial" w:hAnsi="Arial" w:cs="Arial"/>
          <w:sz w:val="20"/>
        </w:rPr>
        <w:t>Document prepared by the Office of</w:t>
      </w:r>
      <w:r w:rsidR="0067234E">
        <w:rPr>
          <w:rFonts w:ascii="Arial" w:hAnsi="Arial" w:cs="Arial"/>
          <w:sz w:val="20"/>
        </w:rPr>
        <w:t xml:space="preserve"> the Union</w:t>
      </w:r>
      <w:r w:rsidR="0067234E">
        <w:rPr>
          <w:rFonts w:ascii="Arial" w:hAnsi="Arial" w:cs="Arial"/>
          <w:sz w:val="20"/>
        </w:rPr>
        <w:br/>
      </w:r>
      <w:r w:rsidR="0067234E">
        <w:rPr>
          <w:rFonts w:ascii="Arial" w:hAnsi="Arial" w:cs="Arial"/>
          <w:sz w:val="20"/>
        </w:rPr>
        <w:br/>
        <w:t>to be considered by</w:t>
      </w:r>
      <w:r w:rsidR="0067234E">
        <w:rPr>
          <w:rFonts w:ascii="Arial" w:hAnsi="Arial" w:cs="Arial"/>
          <w:sz w:val="20"/>
        </w:rPr>
        <w:br/>
      </w:r>
      <w:r w:rsidR="0067234E">
        <w:rPr>
          <w:rFonts w:ascii="Arial" w:hAnsi="Arial" w:cs="Arial"/>
          <w:sz w:val="20"/>
        </w:rPr>
        <w:br/>
      </w:r>
      <w:r w:rsidRPr="004229F4">
        <w:rPr>
          <w:rFonts w:ascii="Arial" w:hAnsi="Arial" w:cs="Arial"/>
          <w:sz w:val="20"/>
        </w:rPr>
        <w:t xml:space="preserve">the </w:t>
      </w:r>
      <w:r w:rsidR="00EA6ED4" w:rsidRPr="00EA6ED4">
        <w:rPr>
          <w:rFonts w:ascii="Arial" w:hAnsi="Arial" w:cs="Arial"/>
          <w:snapToGrid w:val="0"/>
          <w:sz w:val="20"/>
          <w:lang w:eastAsia="ja-JP"/>
        </w:rPr>
        <w:t>Working Group on Variety Denominations (WG</w:t>
      </w:r>
      <w:r w:rsidR="00EA6ED4" w:rsidRPr="00EA6ED4">
        <w:rPr>
          <w:rFonts w:ascii="Arial" w:hAnsi="Arial" w:cs="Arial"/>
          <w:snapToGrid w:val="0"/>
          <w:sz w:val="20"/>
          <w:lang w:eastAsia="ja-JP"/>
        </w:rPr>
        <w:noBreakHyphen/>
        <w:t>DEN)</w:t>
      </w:r>
      <w:r w:rsidR="0067234E">
        <w:rPr>
          <w:rFonts w:ascii="Arial" w:hAnsi="Arial" w:cs="Arial"/>
          <w:snapToGrid w:val="0"/>
          <w:sz w:val="20"/>
          <w:lang w:eastAsia="ja-JP"/>
        </w:rPr>
        <w:t xml:space="preserve"> </w:t>
      </w:r>
      <w:r w:rsidRPr="004229F4">
        <w:rPr>
          <w:rFonts w:ascii="Arial" w:hAnsi="Arial" w:cs="Arial"/>
          <w:sz w:val="20"/>
        </w:rPr>
        <w:t xml:space="preserve">at its </w:t>
      </w:r>
      <w:r w:rsidR="002573F0">
        <w:rPr>
          <w:rFonts w:ascii="Arial" w:hAnsi="Arial" w:cs="Arial" w:hint="eastAsia"/>
          <w:sz w:val="20"/>
          <w:lang w:eastAsia="ja-JP"/>
        </w:rPr>
        <w:t>second</w:t>
      </w:r>
      <w:r w:rsidRPr="004229F4">
        <w:rPr>
          <w:rFonts w:ascii="Arial" w:hAnsi="Arial" w:cs="Arial"/>
          <w:sz w:val="20"/>
        </w:rPr>
        <w:t xml:space="preserve"> </w:t>
      </w:r>
      <w:r w:rsidR="0067234E">
        <w:rPr>
          <w:rFonts w:ascii="Arial" w:hAnsi="Arial" w:cs="Arial"/>
          <w:sz w:val="20"/>
        </w:rPr>
        <w:t>meeting</w:t>
      </w:r>
      <w:r w:rsidR="0067234E">
        <w:rPr>
          <w:rFonts w:ascii="Arial" w:hAnsi="Arial" w:cs="Arial"/>
          <w:sz w:val="20"/>
        </w:rPr>
        <w:br/>
      </w:r>
      <w:r w:rsidRPr="004229F4">
        <w:rPr>
          <w:rFonts w:ascii="Arial" w:hAnsi="Arial" w:cs="Arial"/>
          <w:sz w:val="20"/>
        </w:rPr>
        <w:t xml:space="preserve">to be held in Geneva on </w:t>
      </w:r>
      <w:r w:rsidR="002573F0">
        <w:rPr>
          <w:rFonts w:ascii="Arial" w:hAnsi="Arial" w:cs="Arial" w:hint="eastAsia"/>
          <w:sz w:val="20"/>
          <w:lang w:eastAsia="ja-JP"/>
        </w:rPr>
        <w:t>October 25</w:t>
      </w:r>
      <w:r w:rsidR="00EA6ED4">
        <w:rPr>
          <w:rFonts w:ascii="Arial" w:hAnsi="Arial" w:cs="Arial"/>
          <w:sz w:val="20"/>
        </w:rPr>
        <w:t>, 2016</w:t>
      </w:r>
      <w:r>
        <w:rPr>
          <w:rFonts w:ascii="Arial" w:hAnsi="Arial" w:cs="Arial"/>
          <w:sz w:val="20"/>
        </w:rPr>
        <w:br/>
      </w:r>
      <w:r>
        <w:rPr>
          <w:rFonts w:ascii="Arial" w:hAnsi="Arial" w:cs="Arial"/>
          <w:sz w:val="20"/>
        </w:rPr>
        <w:br/>
      </w:r>
      <w:r w:rsidRPr="00281B96">
        <w:rPr>
          <w:rFonts w:ascii="Arial" w:hAnsi="Arial" w:cs="Arial"/>
          <w:color w:val="A6A6A6" w:themeColor="background1" w:themeShade="A6"/>
          <w:sz w:val="20"/>
        </w:rPr>
        <w:t>Disclaimer:  this document does not represent UPOV policies or guidance</w:t>
      </w:r>
    </w:p>
    <w:p w:rsidR="00B61242" w:rsidRPr="004229F4" w:rsidRDefault="00B61242" w:rsidP="00BE58AC">
      <w:pPr>
        <w:jc w:val="center"/>
        <w:rPr>
          <w:rFonts w:cs="Arial"/>
          <w:b/>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61242" w:rsidRPr="004229F4">
        <w:trPr>
          <w:cantSplit/>
          <w:jc w:val="center"/>
        </w:trPr>
        <w:tc>
          <w:tcPr>
            <w:tcW w:w="6664" w:type="dxa"/>
            <w:shd w:val="clear" w:color="auto" w:fill="E6E6E6"/>
          </w:tcPr>
          <w:p w:rsidR="00B61242" w:rsidRPr="00EA6ED4" w:rsidRDefault="00B61242" w:rsidP="00BE58AC">
            <w:pPr>
              <w:jc w:val="center"/>
              <w:rPr>
                <w:rFonts w:cs="Arial"/>
                <w:sz w:val="18"/>
                <w:szCs w:val="22"/>
                <w:u w:val="single"/>
              </w:rPr>
            </w:pPr>
            <w:r w:rsidRPr="00EA6ED4">
              <w:rPr>
                <w:rFonts w:cs="Arial"/>
                <w:sz w:val="18"/>
                <w:szCs w:val="22"/>
                <w:u w:val="single"/>
              </w:rPr>
              <w:t>Note for Draft version</w:t>
            </w:r>
          </w:p>
          <w:p w:rsidR="00B61242" w:rsidRPr="006F50E2" w:rsidRDefault="00B61242" w:rsidP="00BE58AC">
            <w:pPr>
              <w:rPr>
                <w:rFonts w:cs="Arial"/>
                <w:sz w:val="18"/>
                <w:szCs w:val="22"/>
                <w:highlight w:val="cyan"/>
                <w:u w:val="single"/>
              </w:rPr>
            </w:pPr>
          </w:p>
          <w:p w:rsidR="00EA6ED4" w:rsidRDefault="00EA6ED4" w:rsidP="00EA6ED4">
            <w:pPr>
              <w:rPr>
                <w:rFonts w:cs="Arial"/>
                <w:sz w:val="18"/>
                <w:szCs w:val="22"/>
              </w:rPr>
            </w:pPr>
          </w:p>
          <w:p w:rsidR="00EA6ED4" w:rsidRPr="00951A2C" w:rsidRDefault="00EA6ED4" w:rsidP="00EA6ED4">
            <w:pPr>
              <w:rPr>
                <w:rFonts w:cs="Arial"/>
                <w:sz w:val="18"/>
                <w:szCs w:val="22"/>
              </w:rPr>
            </w:pPr>
            <w:r w:rsidRPr="00951A2C">
              <w:rPr>
                <w:rFonts w:cs="Arial"/>
                <w:b/>
                <w:sz w:val="18"/>
                <w:szCs w:val="22"/>
              </w:rPr>
              <w:t>Footnotes</w:t>
            </w:r>
            <w:r w:rsidRPr="00951A2C">
              <w:rPr>
                <w:rFonts w:cs="Arial"/>
                <w:sz w:val="18"/>
                <w:szCs w:val="22"/>
              </w:rPr>
              <w:t xml:space="preserve"> will be retained in published document.</w:t>
            </w:r>
          </w:p>
          <w:p w:rsidR="00EA6ED4" w:rsidRPr="00951A2C" w:rsidRDefault="00EA6ED4" w:rsidP="00EA6ED4">
            <w:pPr>
              <w:rPr>
                <w:rFonts w:cs="Arial"/>
                <w:sz w:val="18"/>
                <w:szCs w:val="22"/>
              </w:rPr>
            </w:pPr>
          </w:p>
          <w:p w:rsidR="00B61242" w:rsidRDefault="00E807FE" w:rsidP="00EA6ED4">
            <w:pPr>
              <w:rPr>
                <w:rFonts w:cs="Arial"/>
                <w:sz w:val="18"/>
                <w:szCs w:val="18"/>
                <w:lang w:eastAsia="ja-JP"/>
              </w:rPr>
            </w:pPr>
            <w:r w:rsidRPr="00E807FE">
              <w:rPr>
                <w:rFonts w:cs="Arial"/>
                <w:b/>
                <w:sz w:val="18"/>
                <w:szCs w:val="18"/>
              </w:rPr>
              <w:t>Endnotes</w:t>
            </w:r>
            <w:r w:rsidR="00B449B9">
              <w:rPr>
                <w:rFonts w:cs="Arial"/>
                <w:sz w:val="18"/>
                <w:szCs w:val="18"/>
              </w:rPr>
              <w:t xml:space="preserve"> </w:t>
            </w:r>
            <w:r w:rsidR="00B449B9">
              <w:rPr>
                <w:rFonts w:cs="Arial" w:hint="eastAsia"/>
                <w:sz w:val="18"/>
                <w:szCs w:val="18"/>
                <w:lang w:eastAsia="ja-JP"/>
              </w:rPr>
              <w:t>are</w:t>
            </w:r>
            <w:r w:rsidRPr="00E807FE">
              <w:rPr>
                <w:rFonts w:cs="Arial"/>
                <w:sz w:val="18"/>
                <w:szCs w:val="18"/>
              </w:rPr>
              <w:t xml:space="preserve"> background information when considering this draft and will not appear in the final, published document</w:t>
            </w:r>
            <w:r w:rsidR="00EA6ED4" w:rsidRPr="00E807FE">
              <w:rPr>
                <w:rFonts w:cs="Arial"/>
                <w:sz w:val="18"/>
                <w:szCs w:val="18"/>
              </w:rPr>
              <w:t>.</w:t>
            </w:r>
          </w:p>
          <w:p w:rsidR="00CA75FB" w:rsidRDefault="00CA75FB" w:rsidP="00EA6ED4">
            <w:pPr>
              <w:rPr>
                <w:rFonts w:cs="Arial"/>
                <w:sz w:val="18"/>
                <w:szCs w:val="18"/>
                <w:lang w:eastAsia="ja-JP"/>
              </w:rPr>
            </w:pPr>
          </w:p>
          <w:p w:rsidR="00B449B9" w:rsidRDefault="00B449B9" w:rsidP="00EA6ED4">
            <w:pPr>
              <w:rPr>
                <w:rFonts w:cs="Arial"/>
                <w:sz w:val="18"/>
                <w:szCs w:val="18"/>
                <w:lang w:eastAsia="ja-JP"/>
              </w:rPr>
            </w:pPr>
            <w:r w:rsidRPr="00B449B9">
              <w:rPr>
                <w:rFonts w:cs="Arial" w:hint="eastAsia"/>
                <w:b/>
                <w:sz w:val="18"/>
                <w:szCs w:val="18"/>
                <w:lang w:eastAsia="ja-JP"/>
              </w:rPr>
              <w:t>Text</w:t>
            </w:r>
            <w:r>
              <w:rPr>
                <w:rFonts w:cs="Arial" w:hint="eastAsia"/>
                <w:sz w:val="18"/>
                <w:szCs w:val="18"/>
                <w:lang w:eastAsia="ja-JP"/>
              </w:rPr>
              <w:t xml:space="preserve"> agreed </w:t>
            </w:r>
            <w:r w:rsidR="00405FE5">
              <w:rPr>
                <w:rFonts w:cs="Arial" w:hint="eastAsia"/>
                <w:sz w:val="18"/>
                <w:szCs w:val="18"/>
                <w:lang w:eastAsia="ja-JP"/>
              </w:rPr>
              <w:t>by</w:t>
            </w:r>
            <w:r>
              <w:rPr>
                <w:rFonts w:cs="Arial" w:hint="eastAsia"/>
                <w:sz w:val="18"/>
                <w:szCs w:val="18"/>
                <w:lang w:eastAsia="ja-JP"/>
              </w:rPr>
              <w:t xml:space="preserve"> the WG-DEN to </w:t>
            </w:r>
            <w:r w:rsidRPr="00B449B9">
              <w:rPr>
                <w:rFonts w:cs="Arial" w:hint="eastAsia"/>
                <w:b/>
                <w:sz w:val="18"/>
                <w:szCs w:val="18"/>
                <w:lang w:eastAsia="ja-JP"/>
              </w:rPr>
              <w:t>add</w:t>
            </w:r>
            <w:r>
              <w:rPr>
                <w:rFonts w:cs="Arial" w:hint="eastAsia"/>
                <w:sz w:val="18"/>
                <w:szCs w:val="18"/>
                <w:lang w:eastAsia="ja-JP"/>
              </w:rPr>
              <w:t xml:space="preserve"> </w:t>
            </w:r>
            <w:r w:rsidR="00405FE5">
              <w:rPr>
                <w:rFonts w:cs="Arial" w:hint="eastAsia"/>
                <w:sz w:val="18"/>
                <w:szCs w:val="18"/>
                <w:lang w:eastAsia="ja-JP"/>
              </w:rPr>
              <w:t>is shown as</w:t>
            </w:r>
            <w:r>
              <w:rPr>
                <w:rFonts w:cs="Arial" w:hint="eastAsia"/>
                <w:sz w:val="18"/>
                <w:szCs w:val="18"/>
                <w:lang w:eastAsia="ja-JP"/>
              </w:rPr>
              <w:t xml:space="preserve"> </w:t>
            </w:r>
            <w:r w:rsidRPr="00B449B9">
              <w:rPr>
                <w:rFonts w:cs="Arial" w:hint="eastAsia"/>
                <w:sz w:val="18"/>
                <w:szCs w:val="18"/>
                <w:u w:val="single"/>
                <w:lang w:eastAsia="ja-JP"/>
              </w:rPr>
              <w:t>underlined</w:t>
            </w:r>
            <w:r>
              <w:rPr>
                <w:rFonts w:cs="Arial" w:hint="eastAsia"/>
                <w:sz w:val="18"/>
                <w:szCs w:val="18"/>
                <w:lang w:eastAsia="ja-JP"/>
              </w:rPr>
              <w:t xml:space="preserve">, and to </w:t>
            </w:r>
            <w:r w:rsidRPr="00B449B9">
              <w:rPr>
                <w:rFonts w:cs="Arial" w:hint="eastAsia"/>
                <w:b/>
                <w:sz w:val="18"/>
                <w:szCs w:val="18"/>
                <w:lang w:eastAsia="ja-JP"/>
              </w:rPr>
              <w:t>delete</w:t>
            </w:r>
            <w:r>
              <w:rPr>
                <w:rFonts w:cs="Arial" w:hint="eastAsia"/>
                <w:sz w:val="18"/>
                <w:szCs w:val="18"/>
                <w:lang w:eastAsia="ja-JP"/>
              </w:rPr>
              <w:t xml:space="preserve"> </w:t>
            </w:r>
            <w:r w:rsidR="00405FE5">
              <w:rPr>
                <w:rFonts w:cs="Arial" w:hint="eastAsia"/>
                <w:sz w:val="18"/>
                <w:szCs w:val="18"/>
                <w:lang w:eastAsia="ja-JP"/>
              </w:rPr>
              <w:t>as</w:t>
            </w:r>
            <w:r>
              <w:rPr>
                <w:rFonts w:cs="Arial" w:hint="eastAsia"/>
                <w:sz w:val="18"/>
                <w:szCs w:val="18"/>
                <w:lang w:eastAsia="ja-JP"/>
              </w:rPr>
              <w:t xml:space="preserve"> </w:t>
            </w:r>
            <w:r w:rsidRPr="00B449B9">
              <w:rPr>
                <w:rFonts w:cs="Arial" w:hint="eastAsia"/>
                <w:strike/>
                <w:sz w:val="18"/>
                <w:szCs w:val="18"/>
                <w:lang w:eastAsia="ja-JP"/>
              </w:rPr>
              <w:t>strikethrough</w:t>
            </w:r>
            <w:r w:rsidRPr="00B449B9">
              <w:rPr>
                <w:rFonts w:cs="Arial" w:hint="eastAsia"/>
                <w:sz w:val="18"/>
                <w:szCs w:val="18"/>
                <w:lang w:eastAsia="ja-JP"/>
              </w:rPr>
              <w:t xml:space="preserve"> </w:t>
            </w:r>
            <w:r w:rsidRPr="00B449B9">
              <w:rPr>
                <w:rFonts w:cs="Arial" w:hint="eastAsia"/>
                <w:sz w:val="18"/>
                <w:szCs w:val="18"/>
                <w:highlight w:val="yellow"/>
                <w:lang w:eastAsia="ja-JP"/>
              </w:rPr>
              <w:t>(yellow highlighted)</w:t>
            </w:r>
            <w:r>
              <w:rPr>
                <w:rFonts w:cs="Arial" w:hint="eastAsia"/>
                <w:sz w:val="18"/>
                <w:szCs w:val="18"/>
                <w:lang w:eastAsia="ja-JP"/>
              </w:rPr>
              <w:t>.</w:t>
            </w:r>
          </w:p>
          <w:p w:rsidR="00B449B9" w:rsidRDefault="00B449B9" w:rsidP="00EA6ED4">
            <w:pPr>
              <w:rPr>
                <w:rFonts w:cs="Arial"/>
                <w:sz w:val="18"/>
                <w:szCs w:val="18"/>
                <w:lang w:eastAsia="ja-JP"/>
              </w:rPr>
            </w:pPr>
          </w:p>
          <w:p w:rsidR="00B449B9" w:rsidRDefault="00B449B9" w:rsidP="00EA6ED4">
            <w:pPr>
              <w:rPr>
                <w:rFonts w:cs="Arial"/>
                <w:sz w:val="18"/>
                <w:szCs w:val="18"/>
                <w:lang w:eastAsia="ja-JP"/>
              </w:rPr>
            </w:pPr>
            <w:r>
              <w:rPr>
                <w:rFonts w:cs="Arial" w:hint="eastAsia"/>
                <w:b/>
                <w:sz w:val="18"/>
                <w:szCs w:val="18"/>
                <w:lang w:eastAsia="ja-JP"/>
              </w:rPr>
              <w:t>Text in</w:t>
            </w:r>
            <w:r w:rsidRPr="00B449B9">
              <w:rPr>
                <w:rFonts w:cs="Arial" w:hint="eastAsia"/>
                <w:b/>
                <w:sz w:val="18"/>
                <w:szCs w:val="18"/>
                <w:lang w:eastAsia="ja-JP"/>
              </w:rPr>
              <w:t xml:space="preserve"> boxes</w:t>
            </w:r>
            <w:r>
              <w:rPr>
                <w:rFonts w:cs="Arial" w:hint="eastAsia"/>
                <w:sz w:val="18"/>
                <w:szCs w:val="18"/>
                <w:lang w:eastAsia="ja-JP"/>
              </w:rPr>
              <w:t>:</w:t>
            </w:r>
          </w:p>
          <w:p w:rsidR="00B449B9" w:rsidRDefault="00B449B9" w:rsidP="00EA6ED4">
            <w:pPr>
              <w:rPr>
                <w:rFonts w:cs="Arial"/>
                <w:sz w:val="18"/>
                <w:szCs w:val="18"/>
                <w:lang w:eastAsia="ja-JP"/>
              </w:rPr>
            </w:pPr>
            <w:r>
              <w:rPr>
                <w:rFonts w:cs="Arial" w:hint="eastAsia"/>
                <w:sz w:val="18"/>
                <w:szCs w:val="18"/>
                <w:lang w:eastAsia="ja-JP"/>
              </w:rPr>
              <w:t xml:space="preserve">- Proposals at CAJ and </w:t>
            </w:r>
            <w:r w:rsidR="00405FE5">
              <w:rPr>
                <w:rFonts w:cs="Arial" w:hint="eastAsia"/>
                <w:sz w:val="18"/>
                <w:szCs w:val="18"/>
                <w:lang w:eastAsia="ja-JP"/>
              </w:rPr>
              <w:t>CAJ-AG (gre</w:t>
            </w:r>
            <w:r>
              <w:rPr>
                <w:rFonts w:cs="Arial" w:hint="eastAsia"/>
                <w:sz w:val="18"/>
                <w:szCs w:val="18"/>
                <w:lang w:eastAsia="ja-JP"/>
              </w:rPr>
              <w:t>y highlighted)</w:t>
            </w:r>
          </w:p>
          <w:p w:rsidR="00B449B9" w:rsidRDefault="00B449B9" w:rsidP="00EA6ED4">
            <w:pPr>
              <w:rPr>
                <w:rFonts w:cs="Arial"/>
                <w:sz w:val="18"/>
                <w:szCs w:val="18"/>
                <w:lang w:eastAsia="ja-JP"/>
              </w:rPr>
            </w:pPr>
            <w:r>
              <w:rPr>
                <w:rFonts w:cs="Arial" w:hint="eastAsia"/>
                <w:sz w:val="18"/>
                <w:szCs w:val="18"/>
                <w:lang w:eastAsia="ja-JP"/>
              </w:rPr>
              <w:t>- Proposals at WG-DST</w:t>
            </w:r>
            <w:r w:rsidR="001D48B5">
              <w:rPr>
                <w:rFonts w:cs="Arial" w:hint="eastAsia"/>
                <w:sz w:val="18"/>
                <w:szCs w:val="18"/>
                <w:lang w:eastAsia="ja-JP"/>
              </w:rPr>
              <w:t xml:space="preserve"> </w:t>
            </w:r>
            <w:r w:rsidR="00405FE5">
              <w:rPr>
                <w:rFonts w:cs="Arial" w:hint="eastAsia"/>
                <w:sz w:val="18"/>
                <w:szCs w:val="18"/>
                <w:lang w:eastAsia="ja-JP"/>
              </w:rPr>
              <w:t>(gre</w:t>
            </w:r>
            <w:r>
              <w:rPr>
                <w:rFonts w:cs="Arial" w:hint="eastAsia"/>
                <w:sz w:val="18"/>
                <w:szCs w:val="18"/>
                <w:lang w:eastAsia="ja-JP"/>
              </w:rPr>
              <w:t>y highlighted)</w:t>
            </w:r>
          </w:p>
          <w:p w:rsidR="00B449B9" w:rsidRDefault="00B449B9" w:rsidP="00EA6ED4">
            <w:pPr>
              <w:rPr>
                <w:rFonts w:cs="Arial"/>
                <w:sz w:val="18"/>
                <w:szCs w:val="18"/>
                <w:lang w:eastAsia="ja-JP"/>
              </w:rPr>
            </w:pPr>
            <w:r>
              <w:rPr>
                <w:rFonts w:cs="Arial" w:hint="eastAsia"/>
                <w:sz w:val="18"/>
                <w:szCs w:val="18"/>
                <w:lang w:eastAsia="ja-JP"/>
              </w:rPr>
              <w:t>- Proposals at WG-DEN and UPOV Circular E-16/088 of April 13, 2016 (</w:t>
            </w:r>
            <w:r w:rsidRPr="00B449B9">
              <w:rPr>
                <w:rFonts w:cs="Arial" w:hint="eastAsia"/>
                <w:sz w:val="18"/>
                <w:szCs w:val="18"/>
                <w:highlight w:val="yellow"/>
                <w:lang w:eastAsia="ja-JP"/>
              </w:rPr>
              <w:t>yellow highlighted</w:t>
            </w:r>
            <w:r>
              <w:rPr>
                <w:rFonts w:cs="Arial" w:hint="eastAsia"/>
                <w:sz w:val="18"/>
                <w:szCs w:val="18"/>
                <w:lang w:eastAsia="ja-JP"/>
              </w:rPr>
              <w:t>)</w:t>
            </w:r>
          </w:p>
          <w:p w:rsidR="00E807FE" w:rsidRPr="00E807FE" w:rsidRDefault="00F56921" w:rsidP="00F56921">
            <w:pPr>
              <w:rPr>
                <w:rFonts w:cs="Arial"/>
                <w:sz w:val="18"/>
                <w:szCs w:val="18"/>
              </w:rPr>
            </w:pPr>
            <w:r>
              <w:rPr>
                <w:rFonts w:cs="Arial" w:hint="eastAsia"/>
                <w:sz w:val="18"/>
                <w:szCs w:val="18"/>
                <w:lang w:eastAsia="ja-JP"/>
              </w:rPr>
              <w:t>- Information provided for consideration at the WG-DEN, at its second meeting (</w:t>
            </w:r>
            <w:r w:rsidRPr="00B449B9">
              <w:rPr>
                <w:rFonts w:cs="Arial" w:hint="eastAsia"/>
                <w:sz w:val="18"/>
                <w:szCs w:val="18"/>
                <w:highlight w:val="yellow"/>
                <w:lang w:eastAsia="ja-JP"/>
              </w:rPr>
              <w:t>yellow highlighted</w:t>
            </w:r>
            <w:r>
              <w:rPr>
                <w:rFonts w:cs="Arial" w:hint="eastAsia"/>
                <w:sz w:val="18"/>
                <w:szCs w:val="18"/>
                <w:lang w:eastAsia="ja-JP"/>
              </w:rPr>
              <w:t>)</w:t>
            </w:r>
          </w:p>
        </w:tc>
      </w:tr>
    </w:tbl>
    <w:p w:rsidR="00B61242" w:rsidRPr="004229F4" w:rsidRDefault="00B61242" w:rsidP="00BE58AC">
      <w:pPr>
        <w:rPr>
          <w:rFonts w:cs="Arial"/>
        </w:rPr>
      </w:pPr>
    </w:p>
    <w:p w:rsidR="00B61242" w:rsidRPr="004229F4" w:rsidRDefault="00B61242" w:rsidP="00BE58AC">
      <w:pPr>
        <w:rPr>
          <w:rFonts w:cs="Arial"/>
        </w:rPr>
      </w:pPr>
    </w:p>
    <w:p w:rsidR="00B61242" w:rsidRDefault="00B61242" w:rsidP="00BE58AC">
      <w:pPr>
        <w:jc w:val="center"/>
        <w:rPr>
          <w:rFonts w:cs="Arial"/>
        </w:rPr>
      </w:pPr>
      <w:r w:rsidRPr="004229F4">
        <w:rPr>
          <w:rFonts w:cs="Arial"/>
        </w:rPr>
        <w:br w:type="page"/>
      </w:r>
    </w:p>
    <w:p w:rsidR="000D59C2" w:rsidRPr="00407B23" w:rsidRDefault="000D59C2" w:rsidP="000D59C2">
      <w:pPr>
        <w:jc w:val="center"/>
      </w:pPr>
      <w:r w:rsidRPr="00407B23">
        <w:lastRenderedPageBreak/>
        <w:t>EXPLANATORY NOTES ON VARIETY DENOMINATIONS</w:t>
      </w:r>
    </w:p>
    <w:p w:rsidR="000D59C2" w:rsidRPr="00407B23" w:rsidRDefault="000D59C2" w:rsidP="000D59C2">
      <w:pPr>
        <w:jc w:val="center"/>
      </w:pPr>
      <w:r w:rsidRPr="00407B23">
        <w:t>UNDER THE UPOV CONVENTION</w:t>
      </w:r>
    </w:p>
    <w:p w:rsidR="000D59C2" w:rsidRPr="00407B23" w:rsidRDefault="000D59C2" w:rsidP="000D59C2"/>
    <w:p w:rsidR="000D59C2" w:rsidRPr="00407B23" w:rsidRDefault="000D59C2" w:rsidP="000D59C2">
      <w:pPr>
        <w:jc w:val="center"/>
        <w:rPr>
          <w:i/>
        </w:rPr>
      </w:pPr>
    </w:p>
    <w:p w:rsidR="000D59C2" w:rsidRPr="00407B23" w:rsidRDefault="000D59C2" w:rsidP="000D59C2">
      <w:pPr>
        <w:jc w:val="center"/>
        <w:rPr>
          <w:i/>
        </w:rPr>
      </w:pPr>
      <w:r w:rsidRPr="00407B23">
        <w:rPr>
          <w:i/>
        </w:rPr>
        <w:t>Preamble</w:t>
      </w:r>
    </w:p>
    <w:p w:rsidR="000D59C2" w:rsidRPr="00407B23" w:rsidRDefault="000D59C2" w:rsidP="0042091F"/>
    <w:p w:rsidR="000D59C2" w:rsidRPr="00407B23" w:rsidRDefault="000D59C2" w:rsidP="0042091F"/>
    <w:p w:rsidR="000D59C2" w:rsidRPr="00407B23" w:rsidRDefault="000D59C2" w:rsidP="000D59C2">
      <w:r w:rsidRPr="00407B23">
        <w:t>1.</w:t>
      </w:r>
      <w:r w:rsidRPr="00407B23">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0D59C2" w:rsidRPr="00407B23" w:rsidRDefault="000D59C2" w:rsidP="000D59C2"/>
    <w:p w:rsidR="000D59C2" w:rsidRPr="00407B23" w:rsidRDefault="000D59C2" w:rsidP="000D59C2">
      <w:r w:rsidRPr="00407B23">
        <w:t>2.</w:t>
      </w:r>
      <w:r w:rsidRPr="00407B23">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0D59C2" w:rsidRPr="00407B23" w:rsidRDefault="000D59C2" w:rsidP="000D59C2"/>
    <w:p w:rsidR="000D59C2" w:rsidRPr="00407B23" w:rsidRDefault="000D59C2" w:rsidP="000D59C2">
      <w:r w:rsidRPr="00407B23">
        <w:t>3.</w:t>
      </w:r>
      <w:r w:rsidRPr="00407B23">
        <w:tab/>
        <w:t>The Council emphasizes that the main purpose of these Explanatory Notes is to ensure that, as far as possible, protected varieties are designated in all members of the Union</w:t>
      </w:r>
      <w:r w:rsidRPr="00407B23">
        <w:rPr>
          <w:rStyle w:val="FootnoteReference"/>
        </w:rPr>
        <w:footnoteReference w:id="1"/>
      </w:r>
      <w:r w:rsidRPr="00407B23">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0D59C2" w:rsidRPr="00407B23" w:rsidRDefault="000D59C2" w:rsidP="000D59C2"/>
    <w:p w:rsidR="000D59C2" w:rsidRPr="00407B23" w:rsidRDefault="000D59C2" w:rsidP="000D59C2">
      <w:r w:rsidRPr="00407B23">
        <w:t>4.</w:t>
      </w:r>
      <w:r w:rsidRPr="00407B23">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0D59C2" w:rsidRPr="00407B23" w:rsidRDefault="000D59C2" w:rsidP="000D59C2"/>
    <w:p w:rsidR="000D59C2" w:rsidRPr="00407B23" w:rsidRDefault="000D59C2" w:rsidP="000D59C2">
      <w:r w:rsidRPr="00407B23">
        <w:t>5.</w:t>
      </w:r>
      <w:r w:rsidRPr="00407B23">
        <w:tab/>
        <w:t>The Council considers that the adoption of such Explanatory Notes for the uniform interpretation and application of the provisions on variety denominations will be of assistance not only to the authorities</w:t>
      </w:r>
      <w:r w:rsidRPr="00407B23">
        <w:rPr>
          <w:rStyle w:val="FootnoteReference"/>
        </w:rPr>
        <w:footnoteReference w:id="2"/>
      </w:r>
      <w:r w:rsidRPr="00407B23">
        <w:t xml:space="preserve"> of members of the Union but also to breeders in their selection of variety denominations.</w:t>
      </w:r>
    </w:p>
    <w:p w:rsidR="000D59C2" w:rsidRPr="00407B23" w:rsidRDefault="000D59C2" w:rsidP="000D59C2"/>
    <w:p w:rsidR="000D59C2" w:rsidRPr="00407B23" w:rsidRDefault="000D59C2" w:rsidP="000D59C2">
      <w:r w:rsidRPr="00407B23">
        <w:t>6.</w:t>
      </w:r>
      <w:r w:rsidRPr="00407B23">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0D59C2" w:rsidRPr="00407B23" w:rsidRDefault="000D59C2" w:rsidP="000D59C2"/>
    <w:p w:rsidR="000D59C2" w:rsidRPr="00407B23" w:rsidRDefault="000D59C2" w:rsidP="000D59C2">
      <w:pPr>
        <w:tabs>
          <w:tab w:val="right" w:pos="1134"/>
          <w:tab w:val="left" w:pos="1418"/>
        </w:tabs>
      </w:pPr>
      <w:r w:rsidRPr="00407B23">
        <w:tab/>
        <w:t>(i)</w:t>
      </w:r>
      <w:r w:rsidRPr="00407B23">
        <w:tab/>
        <w:t xml:space="preserve">base their decisions on the suitability of proposed variety denominations on these Explanatory Notes; </w:t>
      </w:r>
    </w:p>
    <w:p w:rsidR="000D59C2" w:rsidRPr="00407B23" w:rsidRDefault="000D59C2" w:rsidP="000D59C2">
      <w:pPr>
        <w:tabs>
          <w:tab w:val="right" w:pos="1134"/>
          <w:tab w:val="left" w:pos="1418"/>
        </w:tabs>
      </w:pPr>
    </w:p>
    <w:p w:rsidR="000D59C2" w:rsidRPr="00407B23" w:rsidRDefault="000D59C2" w:rsidP="000D59C2">
      <w:pPr>
        <w:tabs>
          <w:tab w:val="right" w:pos="1134"/>
          <w:tab w:val="left" w:pos="1418"/>
        </w:tabs>
      </w:pPr>
      <w:r w:rsidRPr="00407B23">
        <w:tab/>
        <w:t>(ii)</w:t>
      </w:r>
      <w:r w:rsidRPr="00407B23">
        <w:tab/>
        <w:t xml:space="preserve">take into account the guidance in these Explanatory Notes concerning the procedure for assessing the suitability of proposed variety denominations and the exchange of information; </w:t>
      </w:r>
    </w:p>
    <w:p w:rsidR="000D59C2" w:rsidRPr="00407B23" w:rsidRDefault="000D59C2" w:rsidP="000D59C2">
      <w:pPr>
        <w:tabs>
          <w:tab w:val="right" w:pos="1134"/>
          <w:tab w:val="left" w:pos="1418"/>
        </w:tabs>
      </w:pPr>
    </w:p>
    <w:p w:rsidR="000D59C2" w:rsidRPr="00407B23" w:rsidRDefault="000D59C2" w:rsidP="000D59C2">
      <w:pPr>
        <w:tabs>
          <w:tab w:val="right" w:pos="1134"/>
          <w:tab w:val="left" w:pos="1418"/>
        </w:tabs>
      </w:pPr>
      <w:r w:rsidRPr="00407B23">
        <w:tab/>
        <w:t>(iii)</w:t>
      </w:r>
      <w:r w:rsidRPr="00407B23">
        <w:tab/>
        <w:t xml:space="preserve">provide comprehensive information concerning these Explanatory Notes, to assist breeders when selecting variety denominations. </w:t>
      </w:r>
    </w:p>
    <w:p w:rsidR="000D59C2" w:rsidRPr="00407B23" w:rsidRDefault="000D59C2" w:rsidP="000D59C2"/>
    <w:p w:rsidR="000D59C2" w:rsidRPr="00407B23" w:rsidRDefault="000D59C2" w:rsidP="000D59C2">
      <w:r w:rsidRPr="00407B23">
        <w:t xml:space="preserve">Prior guidance on this matter, provided by the </w:t>
      </w:r>
      <w:r>
        <w:t>“</w:t>
      </w:r>
      <w:r w:rsidRPr="00407B23">
        <w:t>Explanatory Notes on Variety Denominations under the UPOV Con</w:t>
      </w:r>
      <w:r>
        <w:t>vention” (document UPOV/INF/12/3</w:t>
      </w:r>
      <w:r w:rsidRPr="00407B23">
        <w:t>), is superseded by these Explanatory Notes.</w:t>
      </w:r>
    </w:p>
    <w:p w:rsidR="000D59C2" w:rsidRPr="00407B23" w:rsidRDefault="000D59C2" w:rsidP="000D59C2"/>
    <w:p w:rsidR="000D59C2" w:rsidRPr="00407B23" w:rsidRDefault="000D59C2" w:rsidP="000D59C2">
      <w:pPr>
        <w:pStyle w:val="Style1"/>
        <w:tabs>
          <w:tab w:val="clear" w:pos="907"/>
          <w:tab w:val="clear" w:pos="1077"/>
        </w:tabs>
        <w:rPr>
          <w:highlight w:val="yellow"/>
        </w:rPr>
      </w:pPr>
    </w:p>
    <w:tbl>
      <w:tblPr>
        <w:tblW w:w="0" w:type="auto"/>
        <w:jc w:val="center"/>
        <w:tblLook w:val="0000" w:firstRow="0" w:lastRow="0" w:firstColumn="0" w:lastColumn="0" w:noHBand="0" w:noVBand="0"/>
      </w:tblPr>
      <w:tblGrid>
        <w:gridCol w:w="9287"/>
      </w:tblGrid>
      <w:tr w:rsidR="000D59C2" w:rsidRPr="00407B23" w:rsidTr="00BE58AC">
        <w:trPr>
          <w:jc w:val="center"/>
        </w:trPr>
        <w:tc>
          <w:tcPr>
            <w:tcW w:w="9287" w:type="dxa"/>
            <w:tcBorders>
              <w:top w:val="single" w:sz="4" w:space="0" w:color="auto"/>
              <w:left w:val="single" w:sz="4" w:space="0" w:color="auto"/>
              <w:bottom w:val="single" w:sz="4" w:space="0" w:color="auto"/>
              <w:right w:val="single" w:sz="4" w:space="0" w:color="auto"/>
            </w:tcBorders>
          </w:tcPr>
          <w:p w:rsidR="000D59C2" w:rsidRPr="00407B23" w:rsidRDefault="000D59C2" w:rsidP="00BE58AC">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0D59C2" w:rsidRPr="00407B23" w:rsidRDefault="000D59C2" w:rsidP="00BE58AC">
            <w:pPr>
              <w:pStyle w:val="Style1"/>
              <w:pageBreakBefore/>
              <w:jc w:val="center"/>
            </w:pPr>
          </w:p>
          <w:p w:rsidR="000D59C2" w:rsidRPr="00407B23" w:rsidRDefault="000D59C2" w:rsidP="00BE58AC">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0D59C2" w:rsidRPr="00407B23" w:rsidRDefault="000D59C2" w:rsidP="000D59C2">
      <w:pPr>
        <w:pStyle w:val="Style1"/>
        <w:tabs>
          <w:tab w:val="clear" w:pos="907"/>
          <w:tab w:val="clear" w:pos="1077"/>
        </w:tabs>
        <w:rPr>
          <w:highlight w:val="yellow"/>
        </w:rPr>
      </w:pPr>
    </w:p>
    <w:p w:rsidR="000D59C2" w:rsidRPr="00407B23" w:rsidRDefault="000D59C2" w:rsidP="000D59C2">
      <w:pPr>
        <w:rPr>
          <w:i/>
        </w:rPr>
      </w:pPr>
    </w:p>
    <w:p w:rsidR="000D59C2" w:rsidRPr="00407B23" w:rsidRDefault="000D59C2" w:rsidP="000D59C2">
      <w:pPr>
        <w:jc w:val="center"/>
        <w:rPr>
          <w:b/>
        </w:rPr>
      </w:pPr>
      <w:r w:rsidRPr="00407B23">
        <w:rPr>
          <w:b/>
        </w:rPr>
        <w:t>Paragraph 1</w:t>
      </w:r>
    </w:p>
    <w:p w:rsidR="000D59C2" w:rsidRPr="00407B23" w:rsidRDefault="000D59C2" w:rsidP="000D59C2">
      <w:pPr>
        <w:jc w:val="center"/>
      </w:pPr>
      <w:r w:rsidRPr="00407B23">
        <w:t>(Paragraphs 1 and 3 of Article 13 of the 1961 Convention)</w:t>
      </w:r>
    </w:p>
    <w:p w:rsidR="000D59C2" w:rsidRPr="00407B23" w:rsidRDefault="000D59C2" w:rsidP="000D59C2"/>
    <w:p w:rsidR="000D59C2" w:rsidRPr="00407B23" w:rsidRDefault="000D59C2" w:rsidP="000D59C2">
      <w:pPr>
        <w:ind w:firstLine="567"/>
        <w:rPr>
          <w:b/>
        </w:rPr>
      </w:pPr>
      <w:r w:rsidRPr="00407B23">
        <w:rPr>
          <w:b/>
        </w:rPr>
        <w:t>[</w:t>
      </w:r>
      <w:r w:rsidRPr="00407B23">
        <w:rPr>
          <w:b/>
          <w:i/>
        </w:rPr>
        <w:t>Designation of varieties by denominations;  use of the denomination</w:t>
      </w:r>
      <w:r w:rsidRPr="00407B23">
        <w:rPr>
          <w:b/>
        </w:rPr>
        <w:t xml:space="preserve">]  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0D59C2" w:rsidRPr="00407B23" w:rsidRDefault="000D59C2" w:rsidP="000D59C2">
      <w:pPr>
        <w:rPr>
          <w:b/>
        </w:rPr>
      </w:pPr>
    </w:p>
    <w:p w:rsidR="000D59C2" w:rsidRPr="00407B23" w:rsidRDefault="000D59C2" w:rsidP="000D59C2">
      <w:pPr>
        <w:rPr>
          <w:i/>
        </w:rPr>
      </w:pPr>
      <w:r w:rsidRPr="00407B23">
        <w:rPr>
          <w:i/>
        </w:rPr>
        <w:t>Explanatory Notes – Paragraph (1)</w:t>
      </w:r>
    </w:p>
    <w:p w:rsidR="000D59C2" w:rsidRPr="00407B23" w:rsidRDefault="000D59C2" w:rsidP="000D59C2"/>
    <w:p w:rsidR="000D59C2" w:rsidRPr="00407B23" w:rsidRDefault="000D59C2" w:rsidP="000D59C2">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0D59C2" w:rsidRPr="00407B23" w:rsidRDefault="000D59C2" w:rsidP="000D59C2">
      <w:pPr>
        <w:widowControl w:val="0"/>
        <w:tabs>
          <w:tab w:val="left" w:pos="567"/>
        </w:tabs>
      </w:pPr>
    </w:p>
    <w:p w:rsidR="000D59C2" w:rsidRPr="00407B23" w:rsidRDefault="000D59C2" w:rsidP="000D59C2">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3"/>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0D59C2" w:rsidRPr="00407B23" w:rsidRDefault="000D59C2" w:rsidP="000D59C2"/>
    <w:p w:rsidR="000D59C2" w:rsidRPr="00407B23" w:rsidRDefault="000D59C2" w:rsidP="000D59C2"/>
    <w:p w:rsidR="000D59C2" w:rsidRPr="00407B23" w:rsidRDefault="000D59C2" w:rsidP="000D59C2">
      <w:pPr>
        <w:keepNext/>
        <w:jc w:val="center"/>
        <w:rPr>
          <w:b/>
        </w:rPr>
      </w:pPr>
      <w:r>
        <w:rPr>
          <w:b/>
        </w:rPr>
        <w:br w:type="page"/>
      </w:r>
      <w:r w:rsidRPr="00407B23">
        <w:rPr>
          <w:b/>
        </w:rPr>
        <w:t>Paragraph 2</w:t>
      </w:r>
    </w:p>
    <w:p w:rsidR="000D59C2" w:rsidRPr="00407B23" w:rsidRDefault="000D59C2" w:rsidP="000D59C2">
      <w:pPr>
        <w:keepNext/>
        <w:jc w:val="center"/>
        <w:rPr>
          <w:b/>
        </w:rPr>
      </w:pPr>
    </w:p>
    <w:p w:rsidR="000D59C2" w:rsidRPr="00407B23" w:rsidRDefault="000D59C2" w:rsidP="000D59C2">
      <w:pPr>
        <w:ind w:firstLine="567"/>
        <w:rPr>
          <w:b/>
        </w:rPr>
      </w:pPr>
      <w:r w:rsidRPr="00407B23">
        <w:rPr>
          <w:b/>
        </w:rPr>
        <w:t>[</w:t>
      </w:r>
      <w:r w:rsidRPr="00407B23">
        <w:rPr>
          <w:b/>
          <w:i/>
        </w:rPr>
        <w:t>Characteristics of the denomination</w:t>
      </w:r>
      <w:r w:rsidRPr="00407B23">
        <w:rPr>
          <w:b/>
        </w:rPr>
        <w:t>]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0D59C2" w:rsidRPr="00407B23" w:rsidRDefault="000D59C2" w:rsidP="000D59C2"/>
    <w:p w:rsidR="000D59C2" w:rsidRPr="00407B23" w:rsidRDefault="000D59C2" w:rsidP="000D59C2">
      <w:pPr>
        <w:rPr>
          <w:i/>
        </w:rPr>
      </w:pPr>
      <w:r w:rsidRPr="00407B23">
        <w:rPr>
          <w:i/>
        </w:rPr>
        <w:t>Explanatory Notes – Paragraph (2)</w:t>
      </w:r>
    </w:p>
    <w:p w:rsidR="000D59C2" w:rsidRDefault="000D59C2" w:rsidP="000D59C2"/>
    <w:tbl>
      <w:tblPr>
        <w:tblStyle w:val="TableGrid"/>
        <w:tblW w:w="0" w:type="auto"/>
        <w:tblLook w:val="04A0" w:firstRow="1" w:lastRow="0" w:firstColumn="1" w:lastColumn="0" w:noHBand="0" w:noVBand="1"/>
      </w:tblPr>
      <w:tblGrid>
        <w:gridCol w:w="9855"/>
      </w:tblGrid>
      <w:tr w:rsidR="005F2452" w:rsidTr="009D2ED1">
        <w:tc>
          <w:tcPr>
            <w:tcW w:w="9855" w:type="dxa"/>
            <w:shd w:val="clear" w:color="auto" w:fill="D9D9D9" w:themeFill="background1" w:themeFillShade="D9"/>
          </w:tcPr>
          <w:p w:rsidR="005F2452" w:rsidRPr="005F2452" w:rsidRDefault="005F2452" w:rsidP="00FF105B">
            <w:pPr>
              <w:rPr>
                <w:sz w:val="18"/>
                <w:szCs w:val="18"/>
              </w:rPr>
            </w:pPr>
          </w:p>
          <w:p w:rsidR="005F2452" w:rsidRPr="005F2452" w:rsidRDefault="005F2452" w:rsidP="00FF105B">
            <w:pPr>
              <w:rPr>
                <w:color w:val="000000"/>
                <w:sz w:val="18"/>
                <w:szCs w:val="18"/>
                <w:u w:val="single"/>
              </w:rPr>
            </w:pPr>
            <w:r>
              <w:rPr>
                <w:color w:val="000000"/>
                <w:sz w:val="18"/>
                <w:szCs w:val="18"/>
                <w:u w:val="single"/>
              </w:rPr>
              <w:t xml:space="preserve">General </w:t>
            </w:r>
            <w:r w:rsidR="009D2ED1">
              <w:rPr>
                <w:color w:val="000000"/>
                <w:sz w:val="18"/>
                <w:szCs w:val="18"/>
                <w:u w:val="single"/>
              </w:rPr>
              <w:t>comment</w:t>
            </w:r>
            <w:r>
              <w:rPr>
                <w:color w:val="000000"/>
                <w:sz w:val="18"/>
                <w:szCs w:val="18"/>
                <w:u w:val="single"/>
              </w:rPr>
              <w:t xml:space="preserve"> </w:t>
            </w:r>
            <w:r w:rsidRPr="005F2452">
              <w:rPr>
                <w:color w:val="000000"/>
                <w:sz w:val="18"/>
                <w:szCs w:val="18"/>
                <w:u w:val="single"/>
              </w:rPr>
              <w:t xml:space="preserve">by </w:t>
            </w:r>
            <w:r w:rsidR="00982FF8">
              <w:rPr>
                <w:color w:val="000000"/>
                <w:sz w:val="18"/>
                <w:szCs w:val="18"/>
                <w:u w:val="single"/>
              </w:rPr>
              <w:t xml:space="preserve">the </w:t>
            </w:r>
            <w:r w:rsidRPr="005F2452">
              <w:rPr>
                <w:color w:val="000000"/>
                <w:sz w:val="18"/>
                <w:szCs w:val="18"/>
                <w:u w:val="single"/>
              </w:rPr>
              <w:t>European Union (CPVO)</w:t>
            </w:r>
            <w:bookmarkStart w:id="1" w:name="_Ref444268271"/>
            <w:bookmarkStart w:id="2" w:name="_Ref444268273"/>
            <w:bookmarkStart w:id="3" w:name="_Ref444268278"/>
            <w:bookmarkStart w:id="4" w:name="_Ref444268353"/>
            <w:r w:rsidR="00596EC4" w:rsidRPr="00932960">
              <w:rPr>
                <w:rStyle w:val="EndnoteReference"/>
                <w:color w:val="000000"/>
                <w:sz w:val="18"/>
                <w:szCs w:val="18"/>
              </w:rPr>
              <w:t xml:space="preserve"> </w:t>
            </w:r>
            <w:r w:rsidR="00596EC4" w:rsidRPr="00932960">
              <w:rPr>
                <w:rStyle w:val="EndnoteReference"/>
                <w:color w:val="000000"/>
                <w:sz w:val="18"/>
                <w:szCs w:val="18"/>
              </w:rPr>
              <w:endnoteReference w:id="1"/>
            </w:r>
            <w:bookmarkEnd w:id="1"/>
            <w:bookmarkEnd w:id="2"/>
            <w:bookmarkEnd w:id="3"/>
            <w:bookmarkEnd w:id="4"/>
          </w:p>
          <w:p w:rsidR="005F2452" w:rsidRPr="005F2452" w:rsidRDefault="005F2452" w:rsidP="00FF105B">
            <w:pPr>
              <w:rPr>
                <w:color w:val="000000"/>
                <w:sz w:val="18"/>
                <w:szCs w:val="18"/>
                <w:u w:val="single"/>
              </w:rPr>
            </w:pPr>
          </w:p>
          <w:p w:rsidR="005F2452" w:rsidRPr="005F2452" w:rsidRDefault="005F2452" w:rsidP="00FF105B">
            <w:pPr>
              <w:rPr>
                <w:sz w:val="18"/>
                <w:szCs w:val="18"/>
              </w:rPr>
            </w:pPr>
            <w:r w:rsidRPr="005F2452">
              <w:rPr>
                <w:sz w:val="18"/>
                <w:szCs w:val="18"/>
              </w:rPr>
              <w:t>Articles 3,</w:t>
            </w:r>
            <w:r w:rsidR="00543888">
              <w:rPr>
                <w:sz w:val="18"/>
                <w:szCs w:val="18"/>
              </w:rPr>
              <w:t xml:space="preserve"> </w:t>
            </w:r>
            <w:r w:rsidRPr="005F2452">
              <w:rPr>
                <w:sz w:val="18"/>
                <w:szCs w:val="18"/>
              </w:rPr>
              <w:t>4 and 7 of the CPVO Guidelines on variety denominations provide some more detailed guidance on this subject</w:t>
            </w:r>
            <w:r>
              <w:rPr>
                <w:sz w:val="18"/>
                <w:szCs w:val="18"/>
              </w:rPr>
              <w:t>.</w:t>
            </w:r>
          </w:p>
          <w:p w:rsidR="005F2452" w:rsidRPr="005F2452" w:rsidRDefault="005F2452" w:rsidP="00FF105B">
            <w:pPr>
              <w:rPr>
                <w:sz w:val="18"/>
                <w:szCs w:val="18"/>
              </w:rPr>
            </w:pPr>
          </w:p>
        </w:tc>
      </w:tr>
    </w:tbl>
    <w:p w:rsidR="006E7801" w:rsidRDefault="006E7801" w:rsidP="006E7801"/>
    <w:tbl>
      <w:tblPr>
        <w:tblStyle w:val="TableGrid"/>
        <w:tblW w:w="0" w:type="auto"/>
        <w:tblLook w:val="04A0" w:firstRow="1" w:lastRow="0" w:firstColumn="1" w:lastColumn="0" w:noHBand="0" w:noVBand="1"/>
      </w:tblPr>
      <w:tblGrid>
        <w:gridCol w:w="9855"/>
      </w:tblGrid>
      <w:tr w:rsidR="006E7801" w:rsidTr="00221105">
        <w:tc>
          <w:tcPr>
            <w:tcW w:w="9855" w:type="dxa"/>
            <w:shd w:val="clear" w:color="auto" w:fill="D9D9D9" w:themeFill="background1" w:themeFillShade="D9"/>
          </w:tcPr>
          <w:p w:rsidR="006E7801" w:rsidRPr="005F2452" w:rsidRDefault="006E7801" w:rsidP="00221105">
            <w:pPr>
              <w:rPr>
                <w:sz w:val="18"/>
                <w:szCs w:val="18"/>
              </w:rPr>
            </w:pPr>
          </w:p>
          <w:p w:rsidR="006E7801" w:rsidRPr="00EB2BB4" w:rsidRDefault="006E7801" w:rsidP="006E7801">
            <w:pPr>
              <w:tabs>
                <w:tab w:val="left" w:pos="567"/>
              </w:tabs>
              <w:rPr>
                <w:sz w:val="18"/>
                <w:szCs w:val="18"/>
                <w:highlight w:val="yellow"/>
                <w:lang w:eastAsia="ja-JP"/>
              </w:rPr>
            </w:pPr>
            <w:r w:rsidRPr="00EB2BB4">
              <w:rPr>
                <w:sz w:val="18"/>
                <w:szCs w:val="18"/>
                <w:highlight w:val="yellow"/>
                <w:u w:val="single"/>
              </w:rPr>
              <w:t>Agreed by the WG-DEN</w:t>
            </w:r>
            <w:r w:rsidRPr="0095486A">
              <w:rPr>
                <w:rStyle w:val="EndnoteReference"/>
                <w:sz w:val="18"/>
                <w:szCs w:val="18"/>
                <w:highlight w:val="yellow"/>
              </w:rPr>
              <w:endnoteReference w:id="2"/>
            </w:r>
          </w:p>
          <w:p w:rsidR="006E7801" w:rsidRPr="00EB2BB4" w:rsidRDefault="006E7801" w:rsidP="006E7801">
            <w:pPr>
              <w:rPr>
                <w:sz w:val="18"/>
                <w:szCs w:val="18"/>
                <w:highlight w:val="yellow"/>
              </w:rPr>
            </w:pPr>
          </w:p>
          <w:p w:rsidR="006E7801" w:rsidRPr="006E7801" w:rsidRDefault="006E7801" w:rsidP="006E7801">
            <w:pPr>
              <w:rPr>
                <w:sz w:val="16"/>
                <w:szCs w:val="18"/>
              </w:rPr>
            </w:pPr>
            <w:r w:rsidRPr="006E7801">
              <w:rPr>
                <w:rFonts w:hint="eastAsia"/>
                <w:sz w:val="18"/>
                <w:szCs w:val="18"/>
                <w:highlight w:val="yellow"/>
                <w:lang w:eastAsia="ja-JP"/>
              </w:rPr>
              <w:t>T</w:t>
            </w:r>
            <w:r w:rsidRPr="006E7801">
              <w:rPr>
                <w:rFonts w:hint="eastAsia"/>
                <w:sz w:val="18"/>
                <w:highlight w:val="yellow"/>
                <w:lang w:eastAsia="ja-JP"/>
              </w:rPr>
              <w:t>here are four categories of denominations</w:t>
            </w:r>
            <w:r w:rsidRPr="006E7801">
              <w:rPr>
                <w:sz w:val="18"/>
                <w:highlight w:val="yellow"/>
                <w:lang w:eastAsia="ja-JP"/>
              </w:rPr>
              <w:t xml:space="preserve">: </w:t>
            </w:r>
            <w:r w:rsidRPr="006E7801">
              <w:rPr>
                <w:rFonts w:hint="eastAsia"/>
                <w:sz w:val="18"/>
                <w:highlight w:val="yellow"/>
                <w:lang w:eastAsia="ja-JP"/>
              </w:rPr>
              <w:t xml:space="preserve"> </w:t>
            </w:r>
            <w:r w:rsidRPr="006E7801">
              <w:rPr>
                <w:sz w:val="18"/>
                <w:highlight w:val="yellow"/>
                <w:lang w:eastAsia="ja-JP"/>
              </w:rPr>
              <w:t>pronounceable</w:t>
            </w:r>
            <w:r w:rsidRPr="006E7801">
              <w:rPr>
                <w:rFonts w:hint="eastAsia"/>
                <w:sz w:val="18"/>
                <w:highlight w:val="yellow"/>
                <w:lang w:eastAsia="ja-JP"/>
              </w:rPr>
              <w:t xml:space="preserve"> words</w:t>
            </w:r>
            <w:r w:rsidRPr="006E7801">
              <w:rPr>
                <w:sz w:val="18"/>
                <w:highlight w:val="yellow"/>
                <w:lang w:eastAsia="ja-JP"/>
              </w:rPr>
              <w:t xml:space="preserve">; </w:t>
            </w:r>
            <w:r w:rsidRPr="006E7801">
              <w:rPr>
                <w:rFonts w:hint="eastAsia"/>
                <w:sz w:val="18"/>
                <w:highlight w:val="yellow"/>
                <w:lang w:eastAsia="ja-JP"/>
              </w:rPr>
              <w:t xml:space="preserve">letters only (not in the form of </w:t>
            </w:r>
            <w:r w:rsidRPr="006E7801">
              <w:rPr>
                <w:sz w:val="18"/>
                <w:highlight w:val="yellow"/>
                <w:lang w:eastAsia="ja-JP"/>
              </w:rPr>
              <w:t>pronounceable</w:t>
            </w:r>
            <w:r w:rsidRPr="006E7801">
              <w:rPr>
                <w:rFonts w:hint="eastAsia"/>
                <w:sz w:val="18"/>
                <w:highlight w:val="yellow"/>
                <w:lang w:eastAsia="ja-JP"/>
              </w:rPr>
              <w:t xml:space="preserve"> words)</w:t>
            </w:r>
            <w:r w:rsidRPr="006E7801">
              <w:rPr>
                <w:sz w:val="18"/>
                <w:highlight w:val="yellow"/>
                <w:lang w:eastAsia="ja-JP"/>
              </w:rPr>
              <w:t>;</w:t>
            </w:r>
            <w:r w:rsidRPr="006E7801">
              <w:rPr>
                <w:rFonts w:hint="eastAsia"/>
                <w:sz w:val="18"/>
                <w:highlight w:val="yellow"/>
                <w:lang w:eastAsia="ja-JP"/>
              </w:rPr>
              <w:t xml:space="preserve"> letters and figures</w:t>
            </w:r>
            <w:r w:rsidRPr="006E7801">
              <w:rPr>
                <w:sz w:val="18"/>
                <w:highlight w:val="yellow"/>
                <w:lang w:eastAsia="ja-JP"/>
              </w:rPr>
              <w:t xml:space="preserve">; </w:t>
            </w:r>
            <w:r w:rsidRPr="006E7801">
              <w:rPr>
                <w:rFonts w:hint="eastAsia"/>
                <w:sz w:val="18"/>
                <w:highlight w:val="yellow"/>
                <w:lang w:eastAsia="ja-JP"/>
              </w:rPr>
              <w:t>and figures only.</w:t>
            </w:r>
          </w:p>
          <w:p w:rsidR="006E7801" w:rsidRPr="005F2452" w:rsidRDefault="006E7801" w:rsidP="00221105">
            <w:pPr>
              <w:rPr>
                <w:sz w:val="18"/>
                <w:szCs w:val="18"/>
              </w:rPr>
            </w:pPr>
          </w:p>
        </w:tc>
      </w:tr>
    </w:tbl>
    <w:p w:rsidR="006E7801" w:rsidRDefault="006E7801" w:rsidP="000D59C2">
      <w:pPr>
        <w:rPr>
          <w:lang w:eastAsia="ja-JP"/>
        </w:rPr>
      </w:pPr>
    </w:p>
    <w:p w:rsidR="006E7801" w:rsidRDefault="006E7801" w:rsidP="000D59C2">
      <w:pPr>
        <w:rPr>
          <w:lang w:eastAsia="ja-JP"/>
        </w:rPr>
      </w:pPr>
    </w:p>
    <w:p w:rsidR="000D59C2" w:rsidRPr="00407B23" w:rsidRDefault="000D59C2" w:rsidP="000D59C2">
      <w:pPr>
        <w:rPr>
          <w:i/>
        </w:rPr>
      </w:pPr>
      <w:r w:rsidRPr="00407B23">
        <w:rPr>
          <w:i/>
        </w:rPr>
        <w:t>2.1</w:t>
      </w:r>
      <w:r w:rsidRPr="00407B23">
        <w:rPr>
          <w:i/>
        </w:rPr>
        <w:tab/>
        <w:t>Identification</w:t>
      </w:r>
    </w:p>
    <w:p w:rsidR="000D59C2" w:rsidRPr="00407B23" w:rsidRDefault="000D59C2" w:rsidP="000D59C2"/>
    <w:p w:rsidR="000D59C2" w:rsidRDefault="000D59C2" w:rsidP="000D59C2">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C46A71" w:rsidRDefault="00C46A71" w:rsidP="000D59C2">
      <w:pPr>
        <w:tabs>
          <w:tab w:val="left" w:pos="567"/>
        </w:tabs>
      </w:pPr>
    </w:p>
    <w:tbl>
      <w:tblPr>
        <w:tblStyle w:val="TableGrid"/>
        <w:tblW w:w="0" w:type="auto"/>
        <w:tblLook w:val="04A0" w:firstRow="1" w:lastRow="0" w:firstColumn="1" w:lastColumn="0" w:noHBand="0" w:noVBand="1"/>
      </w:tblPr>
      <w:tblGrid>
        <w:gridCol w:w="9855"/>
      </w:tblGrid>
      <w:tr w:rsidR="00C46A71" w:rsidTr="005A5C77">
        <w:trPr>
          <w:cantSplit/>
        </w:trPr>
        <w:tc>
          <w:tcPr>
            <w:tcW w:w="9855" w:type="dxa"/>
            <w:shd w:val="clear" w:color="auto" w:fill="D9D9D9" w:themeFill="background1" w:themeFillShade="D9"/>
          </w:tcPr>
          <w:p w:rsidR="00C46A71" w:rsidRPr="003101A8" w:rsidRDefault="00C46A71" w:rsidP="000D59C2">
            <w:pPr>
              <w:tabs>
                <w:tab w:val="left" w:pos="567"/>
              </w:tabs>
              <w:rPr>
                <w:sz w:val="18"/>
                <w:szCs w:val="18"/>
              </w:rPr>
            </w:pPr>
          </w:p>
          <w:p w:rsidR="00C46A71" w:rsidRPr="00C46A71" w:rsidRDefault="00C46A71" w:rsidP="000D59C2">
            <w:pPr>
              <w:tabs>
                <w:tab w:val="left" w:pos="567"/>
              </w:tabs>
              <w:rPr>
                <w:color w:val="000000"/>
                <w:sz w:val="18"/>
                <w:szCs w:val="18"/>
                <w:u w:val="single"/>
                <w:lang w:eastAsia="ja-JP"/>
              </w:rPr>
            </w:pPr>
            <w:r w:rsidRPr="00C46A71">
              <w:rPr>
                <w:color w:val="000000"/>
                <w:sz w:val="18"/>
                <w:szCs w:val="18"/>
                <w:u w:val="single"/>
              </w:rPr>
              <w:t xml:space="preserve">Proposal by </w:t>
            </w:r>
            <w:r w:rsidR="00982FF8">
              <w:rPr>
                <w:color w:val="000000"/>
                <w:sz w:val="18"/>
                <w:szCs w:val="18"/>
                <w:u w:val="single"/>
              </w:rPr>
              <w:t xml:space="preserve">the </w:t>
            </w:r>
            <w:r w:rsidRPr="00C46A71">
              <w:rPr>
                <w:color w:val="000000"/>
                <w:sz w:val="18"/>
                <w:szCs w:val="18"/>
                <w:u w:val="single"/>
              </w:rPr>
              <w:t>European Union (CPVO)</w:t>
            </w:r>
            <w:r w:rsidR="00596EC4" w:rsidRPr="00395671">
              <w:rPr>
                <w:rFonts w:hint="eastAsia"/>
                <w:color w:val="000000"/>
                <w:sz w:val="18"/>
                <w:szCs w:val="18"/>
                <w:vertAlign w:val="superscript"/>
                <w:lang w:eastAsia="ja-JP"/>
              </w:rPr>
              <w:t>a</w:t>
            </w:r>
          </w:p>
          <w:p w:rsidR="00C46A71" w:rsidRPr="003101A8" w:rsidRDefault="00C46A71" w:rsidP="000D59C2">
            <w:pPr>
              <w:tabs>
                <w:tab w:val="left" w:pos="567"/>
              </w:tabs>
              <w:rPr>
                <w:sz w:val="18"/>
                <w:szCs w:val="18"/>
              </w:rPr>
            </w:pPr>
          </w:p>
          <w:p w:rsidR="00C46A71" w:rsidRPr="00C46A71" w:rsidRDefault="00C46A71" w:rsidP="000D59C2">
            <w:pPr>
              <w:tabs>
                <w:tab w:val="left" w:pos="567"/>
              </w:tabs>
              <w:rPr>
                <w:sz w:val="18"/>
                <w:szCs w:val="18"/>
              </w:rPr>
            </w:pPr>
            <w:r w:rsidRPr="00C46A71">
              <w:rPr>
                <w:sz w:val="18"/>
                <w:szCs w:val="18"/>
              </w:rPr>
              <w:t>It would be important to mention the difference between fancy names and codes</w:t>
            </w:r>
            <w:r w:rsidR="00932960">
              <w:rPr>
                <w:sz w:val="18"/>
                <w:szCs w:val="18"/>
              </w:rPr>
              <w:t>.</w:t>
            </w:r>
          </w:p>
          <w:p w:rsidR="00C46A71" w:rsidRPr="003101A8" w:rsidRDefault="00C46A71" w:rsidP="000D59C2">
            <w:pPr>
              <w:tabs>
                <w:tab w:val="left" w:pos="567"/>
              </w:tabs>
              <w:rPr>
                <w:sz w:val="18"/>
                <w:szCs w:val="18"/>
              </w:rPr>
            </w:pPr>
          </w:p>
        </w:tc>
      </w:tr>
    </w:tbl>
    <w:p w:rsidR="00C46A71" w:rsidRDefault="00C46A71" w:rsidP="000D59C2">
      <w:pPr>
        <w:tabs>
          <w:tab w:val="left" w:pos="567"/>
        </w:tabs>
      </w:pPr>
    </w:p>
    <w:tbl>
      <w:tblPr>
        <w:tblStyle w:val="TableGrid"/>
        <w:tblW w:w="0" w:type="auto"/>
        <w:tblLook w:val="04A0" w:firstRow="1" w:lastRow="0" w:firstColumn="1" w:lastColumn="0" w:noHBand="0" w:noVBand="1"/>
      </w:tblPr>
      <w:tblGrid>
        <w:gridCol w:w="9855"/>
      </w:tblGrid>
      <w:tr w:rsidR="00FF105B" w:rsidTr="005A5C77">
        <w:trPr>
          <w:cantSplit/>
        </w:trPr>
        <w:tc>
          <w:tcPr>
            <w:tcW w:w="9855" w:type="dxa"/>
            <w:shd w:val="clear" w:color="auto" w:fill="D9D9D9" w:themeFill="background1" w:themeFillShade="D9"/>
          </w:tcPr>
          <w:p w:rsidR="00FF105B" w:rsidRPr="00AB5F07" w:rsidRDefault="00FF105B" w:rsidP="000D59C2">
            <w:pPr>
              <w:tabs>
                <w:tab w:val="left" w:pos="567"/>
              </w:tabs>
              <w:rPr>
                <w:sz w:val="18"/>
                <w:szCs w:val="18"/>
              </w:rPr>
            </w:pPr>
          </w:p>
          <w:p w:rsidR="00FF105B" w:rsidRPr="00AB5F07" w:rsidRDefault="00FF105B" w:rsidP="000D59C2">
            <w:pPr>
              <w:tabs>
                <w:tab w:val="left" w:pos="567"/>
              </w:tabs>
              <w:rPr>
                <w:sz w:val="18"/>
                <w:szCs w:val="18"/>
              </w:rPr>
            </w:pPr>
            <w:r w:rsidRPr="00AB5F07">
              <w:rPr>
                <w:sz w:val="18"/>
                <w:szCs w:val="18"/>
                <w:u w:val="single"/>
              </w:rPr>
              <w:t>Proposal by New Zealand</w:t>
            </w:r>
            <w:bookmarkStart w:id="5" w:name="_Ref444506077"/>
            <w:r w:rsidRPr="00AB5F07">
              <w:rPr>
                <w:rStyle w:val="EndnoteReference"/>
                <w:sz w:val="18"/>
                <w:szCs w:val="18"/>
              </w:rPr>
              <w:endnoteReference w:id="3"/>
            </w:r>
            <w:bookmarkEnd w:id="5"/>
          </w:p>
          <w:p w:rsidR="00FF105B" w:rsidRPr="00AB5F07" w:rsidRDefault="00FF105B" w:rsidP="000D59C2">
            <w:pPr>
              <w:tabs>
                <w:tab w:val="left" w:pos="567"/>
              </w:tabs>
              <w:rPr>
                <w:sz w:val="18"/>
                <w:szCs w:val="18"/>
              </w:rPr>
            </w:pPr>
          </w:p>
          <w:p w:rsidR="00FF105B" w:rsidRPr="00AB5F07" w:rsidRDefault="00B13244" w:rsidP="000D59C2">
            <w:pPr>
              <w:tabs>
                <w:tab w:val="left" w:pos="567"/>
              </w:tabs>
              <w:rPr>
                <w:sz w:val="18"/>
                <w:szCs w:val="18"/>
              </w:rPr>
            </w:pPr>
            <w:r w:rsidRPr="00AB5F07">
              <w:rPr>
                <w:sz w:val="18"/>
                <w:szCs w:val="18"/>
              </w:rPr>
              <w:t>Section 2.1 proposed</w:t>
            </w:r>
            <w:r w:rsidR="00AB5F07" w:rsidRPr="00AB5F07">
              <w:rPr>
                <w:sz w:val="18"/>
                <w:szCs w:val="18"/>
              </w:rPr>
              <w:t xml:space="preserve"> examples</w:t>
            </w:r>
            <w:r w:rsidRPr="00AB5F07">
              <w:rPr>
                <w:sz w:val="18"/>
                <w:szCs w:val="18"/>
              </w:rPr>
              <w:t>: Identification now includes the use of Genus or species prefixes Agapanthus ‘Agapetite’, Lavender ‘Lavang12’.</w:t>
            </w:r>
          </w:p>
          <w:p w:rsidR="00B13244" w:rsidRPr="00AB5F07" w:rsidRDefault="00B13244" w:rsidP="000D59C2">
            <w:pPr>
              <w:tabs>
                <w:tab w:val="left" w:pos="567"/>
              </w:tabs>
              <w:rPr>
                <w:sz w:val="18"/>
                <w:szCs w:val="18"/>
              </w:rPr>
            </w:pPr>
          </w:p>
        </w:tc>
      </w:tr>
    </w:tbl>
    <w:p w:rsidR="00FF105B" w:rsidRDefault="00FF105B" w:rsidP="000D59C2">
      <w:pPr>
        <w:tabs>
          <w:tab w:val="left" w:pos="567"/>
        </w:tabs>
        <w:rPr>
          <w:lang w:eastAsia="ja-JP"/>
        </w:rPr>
      </w:pPr>
    </w:p>
    <w:p w:rsidR="00EB6D51" w:rsidRDefault="00EB6D51" w:rsidP="000D59C2">
      <w:pPr>
        <w:tabs>
          <w:tab w:val="left" w:pos="567"/>
        </w:tabs>
        <w:rPr>
          <w:lang w:eastAsia="ja-JP"/>
        </w:rPr>
      </w:pPr>
    </w:p>
    <w:p w:rsidR="000D59C2" w:rsidRPr="00407B23" w:rsidRDefault="000D59C2" w:rsidP="000D59C2">
      <w:pPr>
        <w:rPr>
          <w:i/>
        </w:rPr>
      </w:pPr>
      <w:r w:rsidRPr="00407B23">
        <w:rPr>
          <w:i/>
        </w:rPr>
        <w:t>2.2.</w:t>
      </w:r>
      <w:r w:rsidRPr="00407B23">
        <w:rPr>
          <w:i/>
        </w:rPr>
        <w:tab/>
        <w:t>Solely of figures</w:t>
      </w:r>
    </w:p>
    <w:p w:rsidR="000D59C2" w:rsidRPr="00407B23" w:rsidRDefault="000D59C2" w:rsidP="000D59C2">
      <w:pPr>
        <w:rPr>
          <w:i/>
        </w:rPr>
      </w:pPr>
    </w:p>
    <w:p w:rsidR="000D59C2" w:rsidRPr="00407B23" w:rsidRDefault="000D59C2" w:rsidP="000D59C2">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0D59C2" w:rsidRPr="00407B23" w:rsidRDefault="000D59C2" w:rsidP="000D59C2"/>
    <w:p w:rsidR="000D59C2" w:rsidRPr="00407B23" w:rsidRDefault="000D59C2" w:rsidP="000D59C2">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0D59C2" w:rsidRPr="00407B23" w:rsidRDefault="000D59C2" w:rsidP="000D59C2"/>
    <w:p w:rsidR="000D59C2" w:rsidRPr="00407B23" w:rsidRDefault="000D59C2" w:rsidP="000D59C2">
      <w:pPr>
        <w:ind w:firstLine="567"/>
      </w:pPr>
      <w:r w:rsidRPr="00407B23">
        <w:t xml:space="preserve">(a)  </w:t>
      </w:r>
      <w:r w:rsidRPr="00407B23">
        <w:tab/>
        <w:t>for varieties used within a limited circle of specialists, the established practice should reflect that specialist circle (e.g. inbred lines);</w:t>
      </w:r>
    </w:p>
    <w:p w:rsidR="000D59C2" w:rsidRPr="00407B23" w:rsidRDefault="000D59C2" w:rsidP="000D59C2">
      <w:pPr>
        <w:ind w:firstLine="567"/>
      </w:pPr>
    </w:p>
    <w:p w:rsidR="000D59C2" w:rsidRPr="00407B23" w:rsidRDefault="000D59C2" w:rsidP="000D59C2">
      <w:pPr>
        <w:ind w:firstLine="567"/>
        <w:rPr>
          <w:color w:val="000000"/>
          <w:lang w:eastAsia="ja-JP"/>
        </w:rPr>
      </w:pPr>
      <w:r w:rsidRPr="00407B23">
        <w:rPr>
          <w:color w:val="000000"/>
        </w:rPr>
        <w:t xml:space="preserve">(b)  </w:t>
      </w:r>
      <w:r w:rsidRPr="00407B23">
        <w:rPr>
          <w:color w:val="000000"/>
        </w:rPr>
        <w:tab/>
        <w:t>accepted market practices for particular variety types (e.g. hybrid</w:t>
      </w:r>
      <w:r w:rsidR="0045251E">
        <w:rPr>
          <w:color w:val="000000"/>
        </w:rPr>
        <w:t xml:space="preserve">s) and particular </w:t>
      </w:r>
      <w:r w:rsidR="00EB6D51" w:rsidRPr="00CA75FB">
        <w:rPr>
          <w:rFonts w:hint="eastAsia"/>
          <w:color w:val="000000"/>
          <w:highlight w:val="yellow"/>
          <w:u w:val="single"/>
          <w:lang w:eastAsia="ja-JP"/>
        </w:rPr>
        <w:t>genera</w:t>
      </w:r>
      <w:r w:rsidR="008B7F43" w:rsidRPr="008B7F43">
        <w:rPr>
          <w:rStyle w:val="EndnoteReference"/>
          <w:color w:val="000000"/>
          <w:highlight w:val="yellow"/>
          <w:lang w:eastAsia="ja-JP"/>
        </w:rPr>
        <w:endnoteReference w:id="4"/>
      </w:r>
      <w:r w:rsidR="00EB6D51" w:rsidRPr="008B7F43">
        <w:rPr>
          <w:rFonts w:hint="eastAsia"/>
          <w:color w:val="000000"/>
          <w:lang w:eastAsia="ja-JP"/>
        </w:rPr>
        <w:t>/</w:t>
      </w:r>
      <w:r w:rsidR="0045251E" w:rsidRPr="0067129C">
        <w:rPr>
          <w:color w:val="000000"/>
        </w:rPr>
        <w:t>species</w:t>
      </w:r>
      <w:r w:rsidR="0045251E">
        <w:rPr>
          <w:color w:val="000000"/>
        </w:rPr>
        <w:t xml:space="preserve"> (e.g. </w:t>
      </w:r>
      <w:r w:rsidR="0067129C">
        <w:rPr>
          <w:color w:val="000000"/>
        </w:rPr>
        <w:t>Medicago, Helianthus)</w:t>
      </w:r>
      <w:r w:rsidR="0067129C">
        <w:rPr>
          <w:rFonts w:hint="eastAsia"/>
          <w:color w:val="000000"/>
          <w:lang w:eastAsia="ja-JP"/>
        </w:rPr>
        <w:t>;</w:t>
      </w:r>
    </w:p>
    <w:p w:rsidR="00D81391" w:rsidRDefault="00D81391" w:rsidP="00BE58AC">
      <w:pPr>
        <w:rPr>
          <w:color w:val="000000"/>
          <w:lang w:eastAsia="ja-JP"/>
        </w:rPr>
      </w:pPr>
    </w:p>
    <w:p w:rsidR="0067129C" w:rsidRDefault="0067129C" w:rsidP="0067129C">
      <w:pPr>
        <w:ind w:firstLine="567"/>
        <w:rPr>
          <w:color w:val="000000"/>
          <w:u w:val="single"/>
          <w:lang w:eastAsia="ja-JP"/>
        </w:rPr>
      </w:pPr>
      <w:r w:rsidRPr="00CA75FB">
        <w:rPr>
          <w:color w:val="000000"/>
          <w:highlight w:val="yellow"/>
          <w:u w:val="single"/>
          <w:lang w:eastAsia="ja-JP"/>
        </w:rPr>
        <w:t>(c)</w:t>
      </w:r>
      <w:r w:rsidRPr="00CA75FB">
        <w:rPr>
          <w:color w:val="000000"/>
          <w:highlight w:val="yellow"/>
          <w:u w:val="single"/>
          <w:lang w:eastAsia="ja-JP"/>
        </w:rPr>
        <w:tab/>
      </w:r>
      <w:r w:rsidR="006E7801">
        <w:rPr>
          <w:color w:val="000000"/>
          <w:highlight w:val="yellow"/>
          <w:u w:val="single"/>
          <w:lang w:eastAsia="ja-JP"/>
        </w:rPr>
        <w:t>“</w:t>
      </w:r>
      <w:r w:rsidRPr="00CA75FB">
        <w:rPr>
          <w:color w:val="000000"/>
          <w:highlight w:val="yellow"/>
          <w:u w:val="single"/>
          <w:lang w:eastAsia="ja-JP"/>
        </w:rPr>
        <w:t>established pract</w:t>
      </w:r>
      <w:r w:rsidR="006E7801">
        <w:rPr>
          <w:color w:val="000000"/>
          <w:highlight w:val="yellow"/>
          <w:u w:val="single"/>
          <w:lang w:eastAsia="ja-JP"/>
        </w:rPr>
        <w:t>ice”</w:t>
      </w:r>
      <w:r w:rsidRPr="00CA75FB">
        <w:rPr>
          <w:color w:val="000000"/>
          <w:highlight w:val="yellow"/>
          <w:u w:val="single"/>
          <w:lang w:eastAsia="ja-JP"/>
        </w:rPr>
        <w:t xml:space="preserve"> is determined to be when registration has been accepted for one species or group, so that it can be used in other species which have not yet registered any variety whose denomination consists solely of figures.</w:t>
      </w:r>
      <w:r w:rsidR="008B7F43" w:rsidRPr="00CA75FB">
        <w:rPr>
          <w:rStyle w:val="EndnoteReference"/>
          <w:color w:val="000000"/>
          <w:highlight w:val="yellow"/>
          <w:lang w:eastAsia="ja-JP"/>
        </w:rPr>
        <w:endnoteReference w:id="5"/>
      </w:r>
    </w:p>
    <w:p w:rsidR="000D59C2" w:rsidRPr="00407B23" w:rsidRDefault="000D59C2" w:rsidP="000D59C2">
      <w:pPr>
        <w:keepNext/>
        <w:rPr>
          <w:i/>
        </w:rPr>
      </w:pPr>
      <w:r w:rsidRPr="00407B23">
        <w:rPr>
          <w:i/>
        </w:rPr>
        <w:t>2.3.</w:t>
      </w:r>
      <w:r w:rsidRPr="00407B23">
        <w:rPr>
          <w:i/>
        </w:rPr>
        <w:tab/>
        <w:t>Liable to mislead or to cause confusion</w:t>
      </w:r>
    </w:p>
    <w:p w:rsidR="000D59C2" w:rsidRPr="00407B23" w:rsidRDefault="000D59C2" w:rsidP="000D59C2">
      <w:pPr>
        <w:keepNext/>
        <w:rPr>
          <w:i/>
        </w:rPr>
      </w:pPr>
    </w:p>
    <w:p w:rsidR="000D59C2" w:rsidRDefault="000D59C2" w:rsidP="000D59C2">
      <w:r w:rsidRPr="00407B23">
        <w:t>Paragraph (2) states that the denomination must not be liable to “mislead or to cause confusion concerning the characteristics, value or identity of the variety or the identity of the breeder.”  These aspects are considered below:</w:t>
      </w:r>
    </w:p>
    <w:p w:rsidR="003101A8" w:rsidRDefault="003101A8" w:rsidP="000D59C2"/>
    <w:tbl>
      <w:tblPr>
        <w:tblStyle w:val="TableGrid"/>
        <w:tblW w:w="0" w:type="auto"/>
        <w:tblLook w:val="04A0" w:firstRow="1" w:lastRow="0" w:firstColumn="1" w:lastColumn="0" w:noHBand="0" w:noVBand="1"/>
      </w:tblPr>
      <w:tblGrid>
        <w:gridCol w:w="9855"/>
      </w:tblGrid>
      <w:tr w:rsidR="003101A8" w:rsidTr="005A5C77">
        <w:trPr>
          <w:cantSplit/>
        </w:trPr>
        <w:tc>
          <w:tcPr>
            <w:tcW w:w="9855" w:type="dxa"/>
            <w:shd w:val="clear" w:color="auto" w:fill="D9D9D9" w:themeFill="background1" w:themeFillShade="D9"/>
          </w:tcPr>
          <w:p w:rsidR="003101A8" w:rsidRPr="003101A8" w:rsidRDefault="003101A8" w:rsidP="000D59C2">
            <w:pPr>
              <w:rPr>
                <w:sz w:val="18"/>
                <w:szCs w:val="18"/>
              </w:rPr>
            </w:pPr>
          </w:p>
          <w:p w:rsidR="003101A8" w:rsidRPr="003101A8" w:rsidRDefault="003101A8" w:rsidP="003101A8">
            <w:pPr>
              <w:tabs>
                <w:tab w:val="left" w:pos="567"/>
              </w:tabs>
              <w:rPr>
                <w:color w:val="000000"/>
                <w:sz w:val="18"/>
                <w:szCs w:val="18"/>
                <w:u w:val="single"/>
              </w:rPr>
            </w:pPr>
            <w:r w:rsidRPr="003101A8">
              <w:rPr>
                <w:color w:val="000000"/>
                <w:sz w:val="18"/>
                <w:szCs w:val="18"/>
                <w:u w:val="single"/>
              </w:rPr>
              <w:t xml:space="preserve">Proposal by </w:t>
            </w:r>
            <w:r w:rsidR="00B477BE">
              <w:rPr>
                <w:color w:val="000000"/>
                <w:sz w:val="18"/>
                <w:szCs w:val="18"/>
                <w:u w:val="single"/>
              </w:rPr>
              <w:t xml:space="preserve">the </w:t>
            </w:r>
            <w:r w:rsidRPr="003101A8">
              <w:rPr>
                <w:color w:val="000000"/>
                <w:sz w:val="18"/>
                <w:szCs w:val="18"/>
                <w:u w:val="single"/>
              </w:rPr>
              <w:t>European Union (CPVO)</w:t>
            </w:r>
            <w:r w:rsidR="00596EC4" w:rsidRPr="00395671">
              <w:rPr>
                <w:rFonts w:hint="eastAsia"/>
                <w:color w:val="000000"/>
                <w:sz w:val="18"/>
                <w:szCs w:val="18"/>
                <w:vertAlign w:val="superscript"/>
                <w:lang w:eastAsia="ja-JP"/>
              </w:rPr>
              <w:t>a</w:t>
            </w:r>
          </w:p>
          <w:p w:rsidR="003101A8" w:rsidRPr="003101A8" w:rsidRDefault="003101A8" w:rsidP="000D59C2">
            <w:pPr>
              <w:rPr>
                <w:sz w:val="18"/>
                <w:szCs w:val="18"/>
              </w:rPr>
            </w:pPr>
          </w:p>
          <w:p w:rsidR="003101A8" w:rsidRPr="003101A8" w:rsidRDefault="003101A8" w:rsidP="000D59C2">
            <w:pPr>
              <w:rPr>
                <w:sz w:val="18"/>
                <w:szCs w:val="18"/>
              </w:rPr>
            </w:pPr>
            <w:r w:rsidRPr="003101A8">
              <w:rPr>
                <w:sz w:val="18"/>
                <w:szCs w:val="18"/>
              </w:rPr>
              <w:t xml:space="preserve">In the draft proposal prepared by the CPVO for the revision of its own guidelines on VDs, we propose 3 criteria for assessment of similarity between VDs: </w:t>
            </w:r>
            <w:r w:rsidR="004423CB">
              <w:rPr>
                <w:sz w:val="18"/>
                <w:szCs w:val="18"/>
              </w:rPr>
              <w:t xml:space="preserve"> </w:t>
            </w:r>
            <w:r w:rsidRPr="003101A8">
              <w:rPr>
                <w:sz w:val="18"/>
                <w:szCs w:val="18"/>
              </w:rPr>
              <w:t xml:space="preserve">visual, phonetic and conceptual; such criteria are especially considered for the assessment of similarity between trademark. </w:t>
            </w:r>
            <w:r w:rsidR="004423CB">
              <w:rPr>
                <w:sz w:val="18"/>
                <w:szCs w:val="18"/>
              </w:rPr>
              <w:t xml:space="preserve"> </w:t>
            </w:r>
            <w:r w:rsidRPr="003101A8">
              <w:rPr>
                <w:sz w:val="18"/>
                <w:szCs w:val="18"/>
              </w:rPr>
              <w:t>We considered that the problematic is very similar in this other IP system and that this approach is the outcome of a huge experience with many court cases and judgements.</w:t>
            </w:r>
          </w:p>
          <w:p w:rsidR="003101A8" w:rsidRPr="003101A8" w:rsidRDefault="003101A8" w:rsidP="000D59C2">
            <w:pPr>
              <w:rPr>
                <w:sz w:val="18"/>
                <w:szCs w:val="18"/>
              </w:rPr>
            </w:pPr>
          </w:p>
        </w:tc>
      </w:tr>
    </w:tbl>
    <w:p w:rsidR="003101A8" w:rsidRDefault="003101A8" w:rsidP="000D59C2"/>
    <w:tbl>
      <w:tblPr>
        <w:tblStyle w:val="TableGrid"/>
        <w:tblW w:w="0" w:type="auto"/>
        <w:tblLook w:val="04A0" w:firstRow="1" w:lastRow="0" w:firstColumn="1" w:lastColumn="0" w:noHBand="0" w:noVBand="1"/>
      </w:tblPr>
      <w:tblGrid>
        <w:gridCol w:w="9855"/>
      </w:tblGrid>
      <w:tr w:rsidR="003101A8" w:rsidTr="005A5C77">
        <w:trPr>
          <w:cantSplit/>
        </w:trPr>
        <w:tc>
          <w:tcPr>
            <w:tcW w:w="9855" w:type="dxa"/>
            <w:shd w:val="clear" w:color="auto" w:fill="D9D9D9" w:themeFill="background1" w:themeFillShade="D9"/>
          </w:tcPr>
          <w:p w:rsidR="003101A8" w:rsidRPr="003101A8" w:rsidRDefault="003101A8" w:rsidP="000D59C2">
            <w:pPr>
              <w:rPr>
                <w:sz w:val="18"/>
                <w:szCs w:val="18"/>
              </w:rPr>
            </w:pPr>
          </w:p>
          <w:p w:rsidR="003101A8" w:rsidRPr="003101A8" w:rsidRDefault="003101A8" w:rsidP="003101A8">
            <w:pPr>
              <w:tabs>
                <w:tab w:val="left" w:pos="567"/>
              </w:tabs>
              <w:rPr>
                <w:color w:val="000000"/>
                <w:sz w:val="18"/>
                <w:szCs w:val="18"/>
                <w:u w:val="single"/>
              </w:rPr>
            </w:pPr>
            <w:r w:rsidRPr="003101A8">
              <w:rPr>
                <w:color w:val="000000"/>
                <w:sz w:val="18"/>
                <w:szCs w:val="18"/>
                <w:u w:val="single"/>
              </w:rPr>
              <w:t xml:space="preserve">Proposal by </w:t>
            </w:r>
            <w:r w:rsidR="00B477BE">
              <w:rPr>
                <w:color w:val="000000"/>
                <w:sz w:val="18"/>
                <w:szCs w:val="18"/>
                <w:u w:val="single"/>
              </w:rPr>
              <w:t xml:space="preserve">the </w:t>
            </w:r>
            <w:r w:rsidRPr="003101A8">
              <w:rPr>
                <w:color w:val="000000"/>
                <w:sz w:val="18"/>
                <w:szCs w:val="18"/>
                <w:u w:val="single"/>
              </w:rPr>
              <w:t>European Union (CPVO)</w:t>
            </w:r>
            <w:r w:rsidRPr="003101A8">
              <w:rPr>
                <w:sz w:val="18"/>
                <w:szCs w:val="18"/>
              </w:rPr>
              <w:fldChar w:fldCharType="begin"/>
            </w:r>
            <w:r w:rsidRPr="003101A8">
              <w:rPr>
                <w:sz w:val="18"/>
                <w:szCs w:val="18"/>
              </w:rPr>
              <w:instrText xml:space="preserve"> NOTEREF  _Ref444268353 \f </w:instrText>
            </w:r>
            <w:r>
              <w:rPr>
                <w:sz w:val="18"/>
                <w:szCs w:val="18"/>
              </w:rPr>
              <w:instrText xml:space="preserve"> \* MERGEFORMAT </w:instrText>
            </w:r>
            <w:r w:rsidRPr="003101A8">
              <w:rPr>
                <w:sz w:val="18"/>
                <w:szCs w:val="18"/>
              </w:rPr>
              <w:fldChar w:fldCharType="separate"/>
            </w:r>
            <w:r w:rsidR="00FF4493" w:rsidRPr="00FF4493">
              <w:rPr>
                <w:rStyle w:val="EndnoteReference"/>
                <w:sz w:val="18"/>
                <w:szCs w:val="18"/>
              </w:rPr>
              <w:t>a</w:t>
            </w:r>
            <w:r w:rsidRPr="003101A8">
              <w:rPr>
                <w:sz w:val="18"/>
                <w:szCs w:val="18"/>
              </w:rPr>
              <w:fldChar w:fldCharType="end"/>
            </w:r>
          </w:p>
          <w:p w:rsidR="003101A8" w:rsidRPr="00D81DF5" w:rsidRDefault="003101A8" w:rsidP="000D59C2">
            <w:pPr>
              <w:rPr>
                <w:spacing w:val="-2"/>
                <w:sz w:val="18"/>
                <w:szCs w:val="18"/>
              </w:rPr>
            </w:pPr>
          </w:p>
          <w:p w:rsidR="003101A8" w:rsidRPr="003101A8" w:rsidRDefault="003101A8" w:rsidP="000D59C2">
            <w:pPr>
              <w:rPr>
                <w:sz w:val="18"/>
                <w:szCs w:val="18"/>
              </w:rPr>
            </w:pPr>
            <w:r w:rsidRPr="00D81DF5">
              <w:rPr>
                <w:spacing w:val="-2"/>
                <w:sz w:val="18"/>
                <w:szCs w:val="18"/>
              </w:rPr>
              <w:t>To include a section providing guidance on the</w:t>
            </w:r>
            <w:r w:rsidR="00982FF8" w:rsidRPr="00D81DF5">
              <w:rPr>
                <w:spacing w:val="-2"/>
                <w:sz w:val="18"/>
                <w:szCs w:val="18"/>
              </w:rPr>
              <w:t xml:space="preserve"> assessment of similarity of variety denominations</w:t>
            </w:r>
            <w:r w:rsidRPr="00D81DF5">
              <w:rPr>
                <w:spacing w:val="-2"/>
                <w:sz w:val="18"/>
                <w:szCs w:val="18"/>
              </w:rPr>
              <w:t xml:space="preserve"> consisting of “first names”.</w:t>
            </w:r>
          </w:p>
          <w:p w:rsidR="003101A8" w:rsidRDefault="003101A8" w:rsidP="000D59C2"/>
        </w:tc>
      </w:tr>
    </w:tbl>
    <w:p w:rsidR="003101A8" w:rsidRPr="00407B23" w:rsidRDefault="003101A8" w:rsidP="000D59C2"/>
    <w:p w:rsidR="000D59C2" w:rsidRPr="00407B23" w:rsidRDefault="000D59C2" w:rsidP="000D59C2">
      <w:r w:rsidRPr="00407B23">
        <w:t>2.3.1</w:t>
      </w:r>
      <w:r w:rsidRPr="00407B23">
        <w:tab/>
        <w:t>Characteristics of the variety</w:t>
      </w:r>
    </w:p>
    <w:p w:rsidR="006E7801" w:rsidRDefault="006E7801" w:rsidP="006E7801"/>
    <w:tbl>
      <w:tblPr>
        <w:tblStyle w:val="TableGrid"/>
        <w:tblW w:w="0" w:type="auto"/>
        <w:tblLook w:val="04A0" w:firstRow="1" w:lastRow="0" w:firstColumn="1" w:lastColumn="0" w:noHBand="0" w:noVBand="1"/>
      </w:tblPr>
      <w:tblGrid>
        <w:gridCol w:w="9855"/>
      </w:tblGrid>
      <w:tr w:rsidR="006E7801" w:rsidTr="00221105">
        <w:trPr>
          <w:cantSplit/>
        </w:trPr>
        <w:tc>
          <w:tcPr>
            <w:tcW w:w="9855" w:type="dxa"/>
            <w:shd w:val="clear" w:color="auto" w:fill="D9D9D9" w:themeFill="background1" w:themeFillShade="D9"/>
          </w:tcPr>
          <w:p w:rsidR="006E7801" w:rsidRDefault="006E7801" w:rsidP="00221105"/>
          <w:p w:rsidR="006E7801" w:rsidRDefault="006E7801" w:rsidP="00221105">
            <w:pPr>
              <w:shd w:val="clear" w:color="auto" w:fill="D9D9D9" w:themeFill="background1" w:themeFillShade="D9"/>
              <w:rPr>
                <w:color w:val="000000"/>
                <w:sz w:val="18"/>
                <w:szCs w:val="18"/>
                <w:u w:val="single"/>
              </w:rPr>
            </w:pPr>
            <w:r w:rsidRPr="00C46A71">
              <w:rPr>
                <w:color w:val="000000"/>
                <w:sz w:val="18"/>
                <w:szCs w:val="18"/>
                <w:u w:val="single"/>
              </w:rPr>
              <w:t xml:space="preserve">Proposal by </w:t>
            </w:r>
            <w:r>
              <w:rPr>
                <w:color w:val="000000"/>
                <w:sz w:val="18"/>
                <w:szCs w:val="18"/>
                <w:u w:val="single"/>
              </w:rPr>
              <w:t xml:space="preserve">the </w:t>
            </w:r>
            <w:r w:rsidRPr="00C46A71">
              <w:rPr>
                <w:color w:val="000000"/>
                <w:sz w:val="18"/>
                <w:szCs w:val="18"/>
                <w:u w:val="single"/>
              </w:rPr>
              <w:t>European Union (CPVO)</w:t>
            </w:r>
            <w:fldSimple w:instr=" NOTEREF  _Ref444268353 \f  \* MERGEFORMAT ">
              <w:r w:rsidR="00FF4493" w:rsidRPr="00FF4493">
                <w:rPr>
                  <w:rStyle w:val="EndnoteReference"/>
                </w:rPr>
                <w:t>a</w:t>
              </w:r>
            </w:fldSimple>
          </w:p>
          <w:p w:rsidR="006E7801" w:rsidRDefault="006E7801" w:rsidP="00221105">
            <w:pPr>
              <w:shd w:val="clear" w:color="auto" w:fill="D9D9D9" w:themeFill="background1" w:themeFillShade="D9"/>
              <w:rPr>
                <w:color w:val="000000"/>
                <w:sz w:val="18"/>
                <w:szCs w:val="18"/>
                <w:u w:val="single"/>
              </w:rPr>
            </w:pPr>
          </w:p>
          <w:p w:rsidR="006E7801" w:rsidRPr="00932960" w:rsidRDefault="006E7801" w:rsidP="00221105">
            <w:pPr>
              <w:shd w:val="clear" w:color="auto" w:fill="D9D9D9" w:themeFill="background1" w:themeFillShade="D9"/>
              <w:rPr>
                <w:color w:val="000000"/>
                <w:sz w:val="18"/>
                <w:szCs w:val="18"/>
              </w:rPr>
            </w:pPr>
            <w:r>
              <w:rPr>
                <w:color w:val="000000"/>
                <w:sz w:val="18"/>
                <w:szCs w:val="18"/>
              </w:rPr>
              <w:t>Section 2.3.1 to provide more detailed guidance and provide clear examples of suitable and non-suitable proposals for VDs.</w:t>
            </w:r>
          </w:p>
          <w:p w:rsidR="006E7801" w:rsidRDefault="006E7801" w:rsidP="00221105"/>
        </w:tc>
      </w:tr>
    </w:tbl>
    <w:p w:rsidR="000D59C2" w:rsidRPr="00407B23" w:rsidRDefault="000D59C2" w:rsidP="000D59C2"/>
    <w:p w:rsidR="000D59C2" w:rsidRPr="00407B23" w:rsidRDefault="000D59C2" w:rsidP="000D59C2">
      <w:r w:rsidRPr="00407B23">
        <w:t>The denomination should not:</w:t>
      </w:r>
    </w:p>
    <w:p w:rsidR="000D59C2" w:rsidRPr="00407B23" w:rsidRDefault="000D59C2" w:rsidP="000D59C2"/>
    <w:p w:rsidR="000D59C2" w:rsidRPr="00407B23" w:rsidRDefault="000D59C2" w:rsidP="000D59C2">
      <w:pPr>
        <w:ind w:firstLine="567"/>
      </w:pPr>
      <w:r w:rsidRPr="00407B23">
        <w:t>(a)</w:t>
      </w:r>
      <w:r w:rsidRPr="00407B23">
        <w:tab/>
        <w:t xml:space="preserve">convey the impression that the variety has particular characteristics which, in reality, it does not have; </w:t>
      </w:r>
    </w:p>
    <w:p w:rsidR="000D59C2" w:rsidRPr="00407B23" w:rsidRDefault="000D59C2" w:rsidP="000D59C2">
      <w:pPr>
        <w:ind w:firstLine="567"/>
      </w:pPr>
    </w:p>
    <w:p w:rsidR="000D59C2" w:rsidRPr="00407B23" w:rsidRDefault="000D59C2" w:rsidP="000D59C2">
      <w:pPr>
        <w:ind w:left="567"/>
      </w:pPr>
      <w:r w:rsidRPr="00407B23">
        <w:rPr>
          <w:i/>
        </w:rPr>
        <w:t>Example:</w:t>
      </w:r>
      <w:r w:rsidRPr="00407B23">
        <w:t xml:space="preserve">  a variety denomination “dwarf” for a variety which is of normal height, when a dwarfness trait exists within the species, but is not possessed by the variety.</w:t>
      </w:r>
    </w:p>
    <w:p w:rsidR="000D59C2" w:rsidRDefault="000D59C2" w:rsidP="000D59C2"/>
    <w:p w:rsidR="00922DA9" w:rsidRDefault="00922DA9" w:rsidP="000D59C2"/>
    <w:p w:rsidR="000D59C2" w:rsidRPr="00407B23" w:rsidRDefault="000D59C2" w:rsidP="000D59C2">
      <w:pPr>
        <w:ind w:firstLine="567"/>
        <w:rPr>
          <w:color w:val="000000"/>
        </w:rPr>
      </w:pPr>
      <w:r w:rsidRPr="00407B23">
        <w:rPr>
          <w:color w:val="000000"/>
        </w:rPr>
        <w:t>(b)</w:t>
      </w:r>
      <w:r w:rsidRPr="00407B23">
        <w:rPr>
          <w:color w:val="000000"/>
        </w:rPr>
        <w:tab/>
        <w:t>refer to specific characteristics of the variety in such a way</w:t>
      </w:r>
      <w:r w:rsidRPr="00407B23">
        <w:rPr>
          <w:b/>
          <w:color w:val="000000"/>
        </w:rPr>
        <w:t xml:space="preserve"> </w:t>
      </w:r>
      <w:r w:rsidRPr="00407B23">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0D59C2" w:rsidRPr="00407B23" w:rsidRDefault="000D59C2" w:rsidP="000D59C2">
      <w:pPr>
        <w:ind w:firstLine="567"/>
        <w:rPr>
          <w:color w:val="000000"/>
          <w:u w:val="single"/>
        </w:rPr>
      </w:pPr>
    </w:p>
    <w:p w:rsidR="000D59C2" w:rsidRPr="00407B23" w:rsidRDefault="000D59C2" w:rsidP="000D59C2">
      <w:pPr>
        <w:ind w:firstLine="567"/>
        <w:jc w:val="left"/>
        <w:rPr>
          <w:color w:val="000000"/>
          <w:u w:val="single"/>
        </w:rPr>
      </w:pPr>
      <w:r w:rsidRPr="00407B23">
        <w:rPr>
          <w:i/>
        </w:rPr>
        <w:t>Example 1</w:t>
      </w:r>
      <w:r w:rsidRPr="00407B23">
        <w:t>:  “Sweet” for a fruit variety;</w:t>
      </w:r>
      <w:r w:rsidRPr="00407B23">
        <w:br/>
      </w:r>
    </w:p>
    <w:p w:rsidR="00A722E7" w:rsidRDefault="000D59C2" w:rsidP="00222FBE">
      <w:pPr>
        <w:ind w:firstLine="567"/>
        <w:jc w:val="left"/>
        <w:rPr>
          <w:lang w:eastAsia="ja-JP"/>
        </w:rPr>
      </w:pPr>
      <w:r w:rsidRPr="00407B23">
        <w:rPr>
          <w:i/>
        </w:rPr>
        <w:t>Example 2</w:t>
      </w:r>
      <w:r w:rsidRPr="00407B23">
        <w:t>:  “Large white” for a variety of chrysanthemum.</w:t>
      </w:r>
      <w:r w:rsidRPr="00407B23">
        <w:br/>
      </w:r>
    </w:p>
    <w:tbl>
      <w:tblPr>
        <w:tblStyle w:val="TableGrid"/>
        <w:tblW w:w="0" w:type="auto"/>
        <w:tblLook w:val="04A0" w:firstRow="1" w:lastRow="0" w:firstColumn="1" w:lastColumn="0" w:noHBand="0" w:noVBand="1"/>
      </w:tblPr>
      <w:tblGrid>
        <w:gridCol w:w="9855"/>
      </w:tblGrid>
      <w:tr w:rsidR="00596EC4" w:rsidTr="00221105">
        <w:trPr>
          <w:cantSplit/>
        </w:trPr>
        <w:tc>
          <w:tcPr>
            <w:tcW w:w="9855" w:type="dxa"/>
            <w:shd w:val="clear" w:color="auto" w:fill="D9D9D9" w:themeFill="background1" w:themeFillShade="D9"/>
          </w:tcPr>
          <w:p w:rsidR="00596EC4" w:rsidRPr="00922DA9" w:rsidRDefault="00596EC4" w:rsidP="00221105">
            <w:pPr>
              <w:rPr>
                <w:sz w:val="18"/>
                <w:szCs w:val="18"/>
              </w:rPr>
            </w:pPr>
          </w:p>
          <w:p w:rsidR="00596EC4" w:rsidRPr="00922DA9" w:rsidRDefault="00596EC4" w:rsidP="00221105">
            <w:pPr>
              <w:tabs>
                <w:tab w:val="left" w:pos="567"/>
              </w:tabs>
              <w:rPr>
                <w:sz w:val="18"/>
                <w:szCs w:val="18"/>
                <w:lang w:eastAsia="ja-JP"/>
              </w:rPr>
            </w:pPr>
            <w:r w:rsidRPr="00922DA9">
              <w:rPr>
                <w:sz w:val="18"/>
                <w:szCs w:val="18"/>
                <w:u w:val="single"/>
              </w:rPr>
              <w:t>Proposal by New Zealand</w:t>
            </w:r>
            <w:r w:rsidRPr="00596EC4">
              <w:rPr>
                <w:rFonts w:hint="eastAsia"/>
                <w:sz w:val="18"/>
                <w:szCs w:val="18"/>
                <w:vertAlign w:val="superscript"/>
                <w:lang w:eastAsia="ja-JP"/>
              </w:rPr>
              <w:t>c</w:t>
            </w:r>
          </w:p>
          <w:p w:rsidR="00596EC4" w:rsidRPr="00922DA9" w:rsidRDefault="00596EC4" w:rsidP="00221105">
            <w:pPr>
              <w:rPr>
                <w:sz w:val="18"/>
                <w:szCs w:val="18"/>
              </w:rPr>
            </w:pPr>
          </w:p>
          <w:p w:rsidR="00596EC4" w:rsidRDefault="00596EC4" w:rsidP="00221105">
            <w:pPr>
              <w:rPr>
                <w:sz w:val="18"/>
                <w:szCs w:val="18"/>
                <w:lang w:eastAsia="ja-JP"/>
              </w:rPr>
            </w:pPr>
            <w:r>
              <w:rPr>
                <w:sz w:val="18"/>
                <w:szCs w:val="18"/>
              </w:rPr>
              <w:t xml:space="preserve">Section 2.3.1 (a) </w:t>
            </w:r>
            <w:r w:rsidRPr="00922DA9">
              <w:rPr>
                <w:sz w:val="18"/>
                <w:szCs w:val="18"/>
              </w:rPr>
              <w:t xml:space="preserve">covers the key point that a denomination should not misrepresent characters of the variety. </w:t>
            </w:r>
            <w:r>
              <w:rPr>
                <w:sz w:val="18"/>
                <w:szCs w:val="18"/>
              </w:rPr>
              <w:t xml:space="preserve"> </w:t>
            </w:r>
            <w:r w:rsidRPr="00922DA9">
              <w:rPr>
                <w:sz w:val="18"/>
                <w:szCs w:val="18"/>
              </w:rPr>
              <w:t>Use of a range of words (</w:t>
            </w:r>
            <w:r>
              <w:rPr>
                <w:sz w:val="18"/>
                <w:szCs w:val="18"/>
              </w:rPr>
              <w:t>e.g.</w:t>
            </w:r>
            <w:r w:rsidRPr="00922DA9">
              <w:rPr>
                <w:sz w:val="18"/>
                <w:szCs w:val="18"/>
              </w:rPr>
              <w:t xml:space="preserve"> hybrid, mixture, grex) should be avoided but it is doubtful whether specifically singling out descriptive terms (2.3.1 b) is the best approach.</w:t>
            </w:r>
          </w:p>
          <w:p w:rsidR="00405FE5" w:rsidRDefault="00405FE5" w:rsidP="00221105">
            <w:pPr>
              <w:rPr>
                <w:sz w:val="18"/>
                <w:szCs w:val="18"/>
                <w:lang w:eastAsia="ja-JP"/>
              </w:rPr>
            </w:pPr>
          </w:p>
          <w:p w:rsidR="00405FE5" w:rsidRPr="00922DA9" w:rsidRDefault="00405FE5" w:rsidP="00221105">
            <w:pPr>
              <w:rPr>
                <w:sz w:val="18"/>
                <w:szCs w:val="18"/>
                <w:lang w:eastAsia="ja-JP"/>
              </w:rPr>
            </w:pPr>
            <w:r>
              <w:rPr>
                <w:sz w:val="18"/>
                <w:szCs w:val="18"/>
              </w:rPr>
              <w:t>Section 2.3.1 (b): t</w:t>
            </w:r>
            <w:r w:rsidRPr="0047703B">
              <w:rPr>
                <w:sz w:val="18"/>
                <w:szCs w:val="18"/>
              </w:rPr>
              <w:t xml:space="preserve">he section and examples to be reviewed, including possible deletion. </w:t>
            </w:r>
            <w:r>
              <w:rPr>
                <w:sz w:val="18"/>
                <w:szCs w:val="18"/>
              </w:rPr>
              <w:t xml:space="preserve"> </w:t>
            </w:r>
            <w:r w:rsidRPr="0047703B">
              <w:rPr>
                <w:sz w:val="18"/>
                <w:szCs w:val="18"/>
              </w:rPr>
              <w:t xml:space="preserve">The current wording implies that descriptive words (adjectives) are not acceptable. </w:t>
            </w:r>
            <w:r>
              <w:rPr>
                <w:sz w:val="18"/>
                <w:szCs w:val="18"/>
              </w:rPr>
              <w:t xml:space="preserve"> </w:t>
            </w:r>
            <w:r w:rsidRPr="0047703B">
              <w:rPr>
                <w:sz w:val="18"/>
                <w:szCs w:val="18"/>
              </w:rPr>
              <w:t>This is partially correct, but does not take account of descriptive word combinations and word orders that may be acceptable.</w:t>
            </w:r>
            <w:r>
              <w:rPr>
                <w:sz w:val="18"/>
                <w:szCs w:val="18"/>
              </w:rPr>
              <w:t xml:space="preserve"> </w:t>
            </w:r>
            <w:r w:rsidRPr="0047703B">
              <w:rPr>
                <w:sz w:val="18"/>
                <w:szCs w:val="18"/>
              </w:rPr>
              <w:t xml:space="preserve"> If a variety has sweet fruit or has large white flowers then those descriptive words as part of a denomination may well be acceptable.</w:t>
            </w:r>
          </w:p>
          <w:p w:rsidR="00596EC4" w:rsidRPr="00922DA9" w:rsidRDefault="00596EC4" w:rsidP="00221105">
            <w:pPr>
              <w:rPr>
                <w:sz w:val="18"/>
                <w:szCs w:val="18"/>
              </w:rPr>
            </w:pPr>
          </w:p>
        </w:tc>
      </w:tr>
    </w:tbl>
    <w:p w:rsidR="00596EC4" w:rsidRDefault="00596EC4" w:rsidP="00222FBE">
      <w:pPr>
        <w:ind w:firstLine="567"/>
        <w:jc w:val="left"/>
        <w:rPr>
          <w:lang w:eastAsia="ja-JP"/>
        </w:rPr>
      </w:pPr>
    </w:p>
    <w:p w:rsidR="00596EC4" w:rsidRDefault="00596EC4" w:rsidP="00222FBE">
      <w:pPr>
        <w:ind w:firstLine="567"/>
        <w:jc w:val="left"/>
        <w:rPr>
          <w:lang w:eastAsia="ja-JP"/>
        </w:rPr>
      </w:pPr>
    </w:p>
    <w:p w:rsidR="00AC7252" w:rsidRDefault="00AC7252" w:rsidP="00B22807">
      <w:pPr>
        <w:pStyle w:val="ListParagraph"/>
        <w:autoSpaceDE w:val="0"/>
        <w:autoSpaceDN w:val="0"/>
        <w:adjustRightInd w:val="0"/>
        <w:ind w:left="0"/>
        <w:contextualSpacing w:val="0"/>
        <w:rPr>
          <w:highlight w:val="yellow"/>
          <w:u w:val="single"/>
          <w:lang w:eastAsia="ja-JP"/>
        </w:rPr>
      </w:pPr>
    </w:p>
    <w:tbl>
      <w:tblPr>
        <w:tblStyle w:val="TableGrid"/>
        <w:tblW w:w="0" w:type="auto"/>
        <w:tblLook w:val="04A0" w:firstRow="1" w:lastRow="0" w:firstColumn="1" w:lastColumn="0" w:noHBand="0" w:noVBand="1"/>
      </w:tblPr>
      <w:tblGrid>
        <w:gridCol w:w="9855"/>
      </w:tblGrid>
      <w:tr w:rsidR="00EB2BB4" w:rsidTr="00EB2BB4">
        <w:trPr>
          <w:cantSplit/>
        </w:trPr>
        <w:tc>
          <w:tcPr>
            <w:tcW w:w="9855" w:type="dxa"/>
            <w:shd w:val="clear" w:color="auto" w:fill="D9D9D9" w:themeFill="background1" w:themeFillShade="D9"/>
          </w:tcPr>
          <w:p w:rsidR="00EB2BB4" w:rsidRPr="00922DA9" w:rsidRDefault="00EB2BB4" w:rsidP="008B7F43">
            <w:pPr>
              <w:rPr>
                <w:sz w:val="18"/>
                <w:szCs w:val="18"/>
              </w:rPr>
            </w:pPr>
          </w:p>
          <w:p w:rsidR="00EB2BB4" w:rsidRPr="00EB2BB4" w:rsidRDefault="00EB2BB4" w:rsidP="008B7F43">
            <w:pPr>
              <w:tabs>
                <w:tab w:val="left" w:pos="567"/>
              </w:tabs>
              <w:rPr>
                <w:sz w:val="18"/>
                <w:szCs w:val="18"/>
                <w:highlight w:val="yellow"/>
              </w:rPr>
            </w:pPr>
            <w:r w:rsidRPr="00EB2BB4">
              <w:rPr>
                <w:sz w:val="18"/>
                <w:szCs w:val="18"/>
                <w:highlight w:val="yellow"/>
                <w:u w:val="single"/>
              </w:rPr>
              <w:t>Agreed by the WG-DEN</w:t>
            </w:r>
            <w:r w:rsidRPr="0095486A">
              <w:rPr>
                <w:rStyle w:val="EndnoteReference"/>
                <w:sz w:val="18"/>
                <w:szCs w:val="18"/>
                <w:highlight w:val="yellow"/>
              </w:rPr>
              <w:endnoteReference w:id="6"/>
            </w:r>
          </w:p>
          <w:p w:rsidR="00EB2BB4" w:rsidRPr="00EB2BB4" w:rsidRDefault="00EB2BB4" w:rsidP="008B7F43">
            <w:pPr>
              <w:rPr>
                <w:sz w:val="18"/>
                <w:szCs w:val="18"/>
                <w:highlight w:val="yellow"/>
              </w:rPr>
            </w:pPr>
          </w:p>
          <w:p w:rsidR="00EB2BB4" w:rsidRDefault="00EB2BB4" w:rsidP="00596EC4">
            <w:pPr>
              <w:rPr>
                <w:sz w:val="18"/>
                <w:szCs w:val="18"/>
                <w:lang w:eastAsia="ja-JP"/>
              </w:rPr>
            </w:pPr>
            <w:r w:rsidRPr="00EB2BB4">
              <w:rPr>
                <w:sz w:val="18"/>
                <w:szCs w:val="18"/>
                <w:highlight w:val="yellow"/>
              </w:rPr>
              <w:t>A variety name that consisted solely of descriptive terms that misled or caused confusion concerning the characteristics, value or identity of the variety or the identity of the breeder should be avoided.  However, examples for acceptable cases should also be provided.</w:t>
            </w:r>
          </w:p>
          <w:p w:rsidR="00596EC4" w:rsidRDefault="00596EC4" w:rsidP="00596EC4">
            <w:pPr>
              <w:rPr>
                <w:sz w:val="18"/>
                <w:szCs w:val="18"/>
                <w:lang w:eastAsia="ja-JP"/>
              </w:rPr>
            </w:pPr>
          </w:p>
          <w:p w:rsidR="00A0274F" w:rsidRDefault="00A0274F" w:rsidP="00596EC4">
            <w:pPr>
              <w:rPr>
                <w:sz w:val="18"/>
                <w:szCs w:val="18"/>
                <w:lang w:eastAsia="ja-JP"/>
              </w:rPr>
            </w:pPr>
          </w:p>
          <w:p w:rsidR="00596EC4" w:rsidRDefault="00596EC4" w:rsidP="00596EC4">
            <w:pPr>
              <w:rPr>
                <w:sz w:val="18"/>
                <w:szCs w:val="18"/>
                <w:lang w:eastAsia="ja-JP"/>
              </w:rPr>
            </w:pPr>
            <w:r w:rsidRPr="00596EC4">
              <w:rPr>
                <w:sz w:val="18"/>
                <w:szCs w:val="18"/>
                <w:highlight w:val="yellow"/>
                <w:lang w:eastAsia="ja-JP"/>
              </w:rPr>
              <w:t>UPOV Circular E-16/088 of April 13, 2016</w:t>
            </w:r>
            <w:r w:rsidRPr="00596EC4">
              <w:rPr>
                <w:rFonts w:hint="eastAsia"/>
                <w:sz w:val="18"/>
                <w:szCs w:val="18"/>
                <w:highlight w:val="yellow"/>
                <w:lang w:eastAsia="ja-JP"/>
              </w:rPr>
              <w:t xml:space="preserve">, </w:t>
            </w:r>
            <w:r w:rsidRPr="00596EC4">
              <w:rPr>
                <w:sz w:val="18"/>
                <w:szCs w:val="18"/>
                <w:highlight w:val="yellow"/>
                <w:lang w:eastAsia="ja-JP"/>
              </w:rPr>
              <w:t>invite</w:t>
            </w:r>
            <w:r w:rsidRPr="00596EC4">
              <w:rPr>
                <w:rFonts w:hint="eastAsia"/>
                <w:sz w:val="18"/>
                <w:szCs w:val="18"/>
                <w:highlight w:val="yellow"/>
                <w:lang w:eastAsia="ja-JP"/>
              </w:rPr>
              <w:t>d</w:t>
            </w:r>
            <w:r w:rsidR="00A0274F">
              <w:rPr>
                <w:sz w:val="18"/>
                <w:szCs w:val="18"/>
                <w:highlight w:val="yellow"/>
                <w:lang w:eastAsia="ja-JP"/>
              </w:rPr>
              <w:t xml:space="preserve"> members of the WG</w:t>
            </w:r>
            <w:r w:rsidR="00A0274F">
              <w:rPr>
                <w:rFonts w:hint="eastAsia"/>
                <w:sz w:val="18"/>
                <w:szCs w:val="18"/>
                <w:highlight w:val="yellow"/>
                <w:lang w:eastAsia="ja-JP"/>
              </w:rPr>
              <w:t>-</w:t>
            </w:r>
            <w:r w:rsidRPr="00596EC4">
              <w:rPr>
                <w:sz w:val="18"/>
                <w:szCs w:val="18"/>
                <w:highlight w:val="yellow"/>
                <w:lang w:eastAsia="ja-JP"/>
              </w:rPr>
              <w:t>DEN to provide examples for acceptable cases of variety denominations that consisted solely of descriptive terms</w:t>
            </w:r>
            <w:r w:rsidRPr="00596EC4">
              <w:rPr>
                <w:rFonts w:hint="eastAsia"/>
                <w:sz w:val="18"/>
                <w:szCs w:val="18"/>
                <w:highlight w:val="yellow"/>
                <w:lang w:eastAsia="ja-JP"/>
              </w:rPr>
              <w:t>, an</w:t>
            </w:r>
            <w:r w:rsidR="0067234E">
              <w:rPr>
                <w:rFonts w:hint="eastAsia"/>
                <w:sz w:val="18"/>
                <w:szCs w:val="18"/>
                <w:highlight w:val="yellow"/>
                <w:lang w:eastAsia="ja-JP"/>
              </w:rPr>
              <w:t>d received proposals as follow</w:t>
            </w:r>
            <w:r w:rsidR="0067234E" w:rsidRPr="00395671">
              <w:rPr>
                <w:rFonts w:hint="eastAsia"/>
                <w:sz w:val="18"/>
                <w:szCs w:val="18"/>
                <w:highlight w:val="yellow"/>
                <w:lang w:eastAsia="ja-JP"/>
              </w:rPr>
              <w:t>s</w:t>
            </w:r>
            <w:r w:rsidR="0067234E" w:rsidRPr="00395671">
              <w:rPr>
                <w:sz w:val="18"/>
                <w:szCs w:val="18"/>
                <w:highlight w:val="yellow"/>
                <w:lang w:eastAsia="ja-JP"/>
              </w:rPr>
              <w:t>:</w:t>
            </w:r>
          </w:p>
          <w:p w:rsidR="0067234E" w:rsidRDefault="0067234E" w:rsidP="00395671">
            <w:pPr>
              <w:tabs>
                <w:tab w:val="left" w:pos="978"/>
              </w:tabs>
              <w:spacing w:line="360" w:lineRule="auto"/>
              <w:rPr>
                <w:sz w:val="18"/>
                <w:szCs w:val="18"/>
                <w:lang w:eastAsia="ja-JP"/>
              </w:rPr>
            </w:pPr>
          </w:p>
          <w:p w:rsidR="00596EC4" w:rsidRPr="00EB2BB4" w:rsidRDefault="00596EC4" w:rsidP="00596EC4">
            <w:pPr>
              <w:rPr>
                <w:sz w:val="18"/>
                <w:szCs w:val="18"/>
                <w:highlight w:val="yellow"/>
              </w:rPr>
            </w:pPr>
            <w:r w:rsidRPr="00EB2BB4">
              <w:rPr>
                <w:sz w:val="18"/>
                <w:szCs w:val="18"/>
                <w:highlight w:val="yellow"/>
                <w:u w:val="single"/>
              </w:rPr>
              <w:t>Proposal by France</w:t>
            </w:r>
          </w:p>
          <w:p w:rsidR="00596EC4" w:rsidRPr="00EB2BB4" w:rsidRDefault="00596EC4" w:rsidP="00596EC4">
            <w:pPr>
              <w:rPr>
                <w:sz w:val="18"/>
                <w:szCs w:val="18"/>
                <w:highlight w:val="yellow"/>
              </w:rPr>
            </w:pPr>
          </w:p>
          <w:p w:rsidR="00596EC4" w:rsidRPr="0047703B" w:rsidRDefault="00596EC4" w:rsidP="00596EC4">
            <w:pPr>
              <w:rPr>
                <w:sz w:val="18"/>
                <w:szCs w:val="18"/>
              </w:rPr>
            </w:pPr>
            <w:r w:rsidRPr="00EB2BB4">
              <w:rPr>
                <w:sz w:val="18"/>
                <w:szCs w:val="18"/>
                <w:highlight w:val="yellow"/>
              </w:rPr>
              <w:t>We are in the opinion that it should be avoided, never mind it is misleading or not.  Actually, if misleading, it should be prescribed because of the 3rd sentence of paragraph 2 of UPOV/INF/12/6 (“must not be liable to mislead…”).  On the other hand, descriptive denominations should also be avoided even if not misleading, because it may prevent users to identify the variety among other that may possess the same characteristics (1st sentence</w:t>
            </w:r>
            <w:r w:rsidR="00AF7D68">
              <w:rPr>
                <w:sz w:val="18"/>
                <w:szCs w:val="18"/>
                <w:highlight w:val="yellow"/>
              </w:rPr>
              <w:t xml:space="preserve"> of paragraph 2 of UPOV/INF/12</w:t>
            </w:r>
            <w:r w:rsidRPr="00EB2BB4">
              <w:rPr>
                <w:sz w:val="18"/>
                <w:szCs w:val="18"/>
                <w:highlight w:val="yellow"/>
              </w:rPr>
              <w:t xml:space="preserve"> “denomination must enable the variety to be identified”).  For instance, a yellow tomato with big fruits should not be designated by the denomination ‘Yellowsteak’, because it will prevent users to identify this variety amongst other varieties with such characteristics (same for ‘Earlygreen’ for an early variety of green apple).</w:t>
            </w:r>
          </w:p>
          <w:p w:rsidR="0067234E" w:rsidRDefault="0067234E" w:rsidP="00395671">
            <w:pPr>
              <w:spacing w:line="360" w:lineRule="auto"/>
              <w:rPr>
                <w:sz w:val="18"/>
                <w:szCs w:val="18"/>
                <w:lang w:eastAsia="ja-JP"/>
              </w:rPr>
            </w:pPr>
          </w:p>
          <w:p w:rsidR="00596EC4" w:rsidRPr="00EB2BB4" w:rsidRDefault="00596EC4" w:rsidP="00596EC4">
            <w:pPr>
              <w:rPr>
                <w:sz w:val="18"/>
                <w:szCs w:val="18"/>
                <w:highlight w:val="yellow"/>
              </w:rPr>
            </w:pPr>
            <w:r w:rsidRPr="00EB2BB4">
              <w:rPr>
                <w:sz w:val="18"/>
                <w:szCs w:val="18"/>
                <w:highlight w:val="yellow"/>
                <w:u w:val="single"/>
              </w:rPr>
              <w:t>Proposal by the Netherlands</w:t>
            </w:r>
          </w:p>
          <w:p w:rsidR="00596EC4" w:rsidRPr="00EB2BB4" w:rsidRDefault="00596EC4" w:rsidP="00596EC4">
            <w:pPr>
              <w:rPr>
                <w:sz w:val="18"/>
                <w:szCs w:val="18"/>
                <w:highlight w:val="yellow"/>
              </w:rPr>
            </w:pPr>
          </w:p>
          <w:p w:rsidR="00596EC4" w:rsidRPr="0047703B" w:rsidRDefault="00596EC4" w:rsidP="00596EC4">
            <w:pPr>
              <w:rPr>
                <w:sz w:val="18"/>
                <w:szCs w:val="18"/>
              </w:rPr>
            </w:pPr>
            <w:r w:rsidRPr="00EB2BB4">
              <w:rPr>
                <w:sz w:val="18"/>
                <w:szCs w:val="18"/>
                <w:highlight w:val="yellow"/>
              </w:rPr>
              <w:t>‘Little Blond’, ‘White Gold’, ‘Terracotta’</w:t>
            </w:r>
          </w:p>
          <w:p w:rsidR="0067234E" w:rsidRDefault="0067234E" w:rsidP="00907D20">
            <w:pPr>
              <w:spacing w:line="360" w:lineRule="auto"/>
              <w:rPr>
                <w:sz w:val="18"/>
                <w:szCs w:val="18"/>
                <w:lang w:eastAsia="ja-JP"/>
              </w:rPr>
            </w:pPr>
          </w:p>
          <w:p w:rsidR="00596EC4" w:rsidRPr="00EB2BB4" w:rsidRDefault="00596EC4" w:rsidP="00596EC4">
            <w:pPr>
              <w:rPr>
                <w:sz w:val="18"/>
                <w:szCs w:val="18"/>
                <w:highlight w:val="yellow"/>
              </w:rPr>
            </w:pPr>
            <w:r w:rsidRPr="00EB2BB4">
              <w:rPr>
                <w:sz w:val="18"/>
                <w:szCs w:val="18"/>
                <w:highlight w:val="yellow"/>
                <w:u w:val="single"/>
              </w:rPr>
              <w:t>Proposal by</w:t>
            </w:r>
            <w:r w:rsidRPr="00EB2BB4">
              <w:rPr>
                <w:highlight w:val="yellow"/>
                <w:u w:val="single"/>
              </w:rPr>
              <w:t xml:space="preserve"> </w:t>
            </w:r>
            <w:r w:rsidRPr="00EB2BB4">
              <w:rPr>
                <w:sz w:val="18"/>
                <w:szCs w:val="18"/>
                <w:highlight w:val="yellow"/>
                <w:u w:val="single"/>
              </w:rPr>
              <w:t>New Zealand</w:t>
            </w:r>
          </w:p>
          <w:p w:rsidR="00596EC4" w:rsidRPr="00EB2BB4" w:rsidRDefault="00596EC4" w:rsidP="00596EC4">
            <w:pPr>
              <w:rPr>
                <w:sz w:val="18"/>
                <w:szCs w:val="18"/>
                <w:highlight w:val="yellow"/>
              </w:rPr>
            </w:pPr>
          </w:p>
          <w:p w:rsidR="00596EC4" w:rsidRPr="00EB2BB4" w:rsidRDefault="00596EC4" w:rsidP="00596EC4">
            <w:pPr>
              <w:rPr>
                <w:sz w:val="18"/>
                <w:szCs w:val="18"/>
                <w:highlight w:val="yellow"/>
              </w:rPr>
            </w:pPr>
            <w:r w:rsidRPr="00EB2BB4">
              <w:rPr>
                <w:sz w:val="18"/>
                <w:szCs w:val="18"/>
                <w:highlight w:val="yellow"/>
              </w:rPr>
              <w:t>Sophora ‘Early Gold’, Prunus persica ‘Early Gold’: the varieties have early flowering/fruiting and  yellow orange flowers/fruit.  Such a denomination is considered acceptable.</w:t>
            </w:r>
          </w:p>
          <w:p w:rsidR="00596EC4" w:rsidRPr="00EB2BB4" w:rsidRDefault="00596EC4" w:rsidP="00596EC4">
            <w:pPr>
              <w:rPr>
                <w:sz w:val="18"/>
                <w:szCs w:val="18"/>
                <w:highlight w:val="yellow"/>
              </w:rPr>
            </w:pPr>
          </w:p>
          <w:p w:rsidR="00596EC4" w:rsidRPr="0047703B" w:rsidRDefault="00596EC4" w:rsidP="00596EC4">
            <w:pPr>
              <w:rPr>
                <w:sz w:val="18"/>
                <w:szCs w:val="18"/>
              </w:rPr>
            </w:pPr>
            <w:r w:rsidRPr="00EB2BB4">
              <w:rPr>
                <w:sz w:val="18"/>
                <w:szCs w:val="18"/>
                <w:highlight w:val="yellow"/>
              </w:rPr>
              <w:t>Apple ‘Dennys Royal Gala’: Acceptable.  Mr Denny developed the variety from a mutation he identified from ‘Royal Gala’.</w:t>
            </w:r>
          </w:p>
          <w:p w:rsidR="00596EC4" w:rsidRPr="00922DA9" w:rsidRDefault="00596EC4" w:rsidP="00596EC4">
            <w:pPr>
              <w:rPr>
                <w:sz w:val="18"/>
                <w:szCs w:val="18"/>
                <w:lang w:eastAsia="ja-JP"/>
              </w:rPr>
            </w:pPr>
          </w:p>
        </w:tc>
      </w:tr>
    </w:tbl>
    <w:p w:rsidR="00E7708B" w:rsidRDefault="00E7708B" w:rsidP="00B22807">
      <w:pPr>
        <w:jc w:val="left"/>
      </w:pPr>
    </w:p>
    <w:p w:rsidR="000D59C2" w:rsidRPr="00CA75FB" w:rsidRDefault="000D59C2" w:rsidP="000D59C2">
      <w:pPr>
        <w:keepNext/>
        <w:ind w:firstLine="567"/>
        <w:rPr>
          <w:strike/>
          <w:highlight w:val="yellow"/>
        </w:rPr>
      </w:pPr>
      <w:r w:rsidRPr="00CA75FB">
        <w:rPr>
          <w:strike/>
          <w:highlight w:val="yellow"/>
        </w:rPr>
        <w:t>(c)</w:t>
      </w:r>
      <w:r w:rsidRPr="00CA75FB">
        <w:rPr>
          <w:strike/>
          <w:highlight w:val="yellow"/>
        </w:rPr>
        <w:tab/>
        <w:t>convey the impression that the variety is derived from, or related to, another variety when that is not, in fact, the case;</w:t>
      </w:r>
    </w:p>
    <w:p w:rsidR="000D59C2" w:rsidRPr="00CA75FB" w:rsidRDefault="000D59C2" w:rsidP="000D59C2">
      <w:pPr>
        <w:keepNext/>
        <w:ind w:firstLine="567"/>
        <w:rPr>
          <w:strike/>
          <w:highlight w:val="yellow"/>
        </w:rPr>
      </w:pPr>
    </w:p>
    <w:p w:rsidR="000D59C2" w:rsidRPr="00634EB1" w:rsidRDefault="000D59C2" w:rsidP="000D59C2">
      <w:pPr>
        <w:ind w:left="567"/>
        <w:rPr>
          <w:strike/>
          <w:lang w:eastAsia="ja-JP"/>
        </w:rPr>
      </w:pPr>
      <w:r w:rsidRPr="00CA75FB">
        <w:rPr>
          <w:i/>
          <w:strike/>
          <w:highlight w:val="yellow"/>
        </w:rPr>
        <w:t>Example:</w:t>
      </w:r>
      <w:r w:rsidRPr="00CA75FB">
        <w:rPr>
          <w:strike/>
          <w:highlight w:val="yellow"/>
        </w:rPr>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r w:rsidR="0025153F" w:rsidRPr="00CA75FB">
        <w:rPr>
          <w:rStyle w:val="EndnoteReference"/>
          <w:strike/>
          <w:highlight w:val="yellow"/>
        </w:rPr>
        <w:endnoteReference w:id="7"/>
      </w:r>
    </w:p>
    <w:p w:rsidR="00030158" w:rsidRDefault="00030158" w:rsidP="00F455CA"/>
    <w:tbl>
      <w:tblPr>
        <w:tblStyle w:val="TableGrid"/>
        <w:tblW w:w="0" w:type="auto"/>
        <w:tblLook w:val="04A0" w:firstRow="1" w:lastRow="0" w:firstColumn="1" w:lastColumn="0" w:noHBand="0" w:noVBand="1"/>
      </w:tblPr>
      <w:tblGrid>
        <w:gridCol w:w="9855"/>
      </w:tblGrid>
      <w:tr w:rsidR="00F455CA" w:rsidTr="000F56E2">
        <w:tc>
          <w:tcPr>
            <w:tcW w:w="9855" w:type="dxa"/>
            <w:shd w:val="clear" w:color="auto" w:fill="D9D9D9" w:themeFill="background1" w:themeFillShade="D9"/>
          </w:tcPr>
          <w:p w:rsidR="00F455CA" w:rsidRPr="00690F90" w:rsidRDefault="00F455CA" w:rsidP="00C46A71">
            <w:pPr>
              <w:rPr>
                <w:sz w:val="18"/>
                <w:szCs w:val="18"/>
              </w:rPr>
            </w:pPr>
          </w:p>
          <w:p w:rsidR="00690F90" w:rsidRDefault="00690F90" w:rsidP="009D2ED1">
            <w:pPr>
              <w:shd w:val="clear" w:color="auto" w:fill="D9D9D9" w:themeFill="background1" w:themeFillShade="D9"/>
              <w:rPr>
                <w:color w:val="000000"/>
                <w:sz w:val="18"/>
                <w:szCs w:val="18"/>
                <w:u w:val="single"/>
              </w:rPr>
            </w:pPr>
            <w:r w:rsidRPr="00AA4B3B">
              <w:rPr>
                <w:color w:val="000000"/>
                <w:sz w:val="18"/>
                <w:szCs w:val="18"/>
                <w:u w:val="single"/>
              </w:rPr>
              <w:t>Proposal by WG-DST</w:t>
            </w:r>
            <w:bookmarkStart w:id="6" w:name="_Ref444083506"/>
            <w:r w:rsidR="00567901" w:rsidRPr="00567901">
              <w:rPr>
                <w:rStyle w:val="EndnoteReference"/>
                <w:color w:val="000000"/>
                <w:szCs w:val="18"/>
              </w:rPr>
              <w:endnoteReference w:id="8"/>
            </w:r>
            <w:bookmarkEnd w:id="6"/>
          </w:p>
          <w:p w:rsidR="00690F90" w:rsidRDefault="00690F90" w:rsidP="009D2ED1">
            <w:pPr>
              <w:shd w:val="clear" w:color="auto" w:fill="D9D9D9" w:themeFill="background1" w:themeFillShade="D9"/>
              <w:rPr>
                <w:sz w:val="18"/>
                <w:szCs w:val="18"/>
              </w:rPr>
            </w:pPr>
          </w:p>
          <w:p w:rsidR="00F17E25" w:rsidRPr="00F17E25" w:rsidRDefault="008D54E3" w:rsidP="009D2ED1">
            <w:pPr>
              <w:shd w:val="clear" w:color="auto" w:fill="D9D9D9" w:themeFill="background1" w:themeFillShade="D9"/>
              <w:rPr>
                <w:sz w:val="18"/>
                <w:szCs w:val="18"/>
              </w:rPr>
            </w:pPr>
            <w:r>
              <w:rPr>
                <w:sz w:val="18"/>
                <w:szCs w:val="18"/>
              </w:rPr>
              <w:t>T</w:t>
            </w:r>
            <w:r w:rsidR="00F17E25" w:rsidRPr="00F17E25">
              <w:rPr>
                <w:sz w:val="18"/>
                <w:szCs w:val="18"/>
              </w:rPr>
              <w:t>o add 2.3.1.(d) as follows:</w:t>
            </w:r>
          </w:p>
          <w:p w:rsidR="00F17E25" w:rsidRPr="00F17E25" w:rsidRDefault="00F17E25" w:rsidP="009D2ED1">
            <w:pPr>
              <w:shd w:val="clear" w:color="auto" w:fill="D9D9D9" w:themeFill="background1" w:themeFillShade="D9"/>
              <w:rPr>
                <w:sz w:val="18"/>
                <w:szCs w:val="18"/>
              </w:rPr>
            </w:pPr>
          </w:p>
          <w:p w:rsidR="005B7D20" w:rsidRDefault="00F17E25" w:rsidP="009D2ED1">
            <w:pPr>
              <w:shd w:val="clear" w:color="auto" w:fill="D9D9D9" w:themeFill="background1" w:themeFillShade="D9"/>
              <w:rPr>
                <w:sz w:val="18"/>
                <w:szCs w:val="18"/>
                <w:lang w:eastAsia="ja-JP"/>
              </w:rPr>
            </w:pPr>
            <w:r w:rsidRPr="00F17E25">
              <w:rPr>
                <w:sz w:val="18"/>
                <w:szCs w:val="18"/>
              </w:rPr>
              <w:t xml:space="preserve">“(d) </w:t>
            </w:r>
            <w:r w:rsidRPr="00F17E25">
              <w:rPr>
                <w:sz w:val="18"/>
                <w:szCs w:val="18"/>
              </w:rPr>
              <w:tab/>
              <w:t xml:space="preserve">contain the botanical or common name of the genus to which that variety belongs. </w:t>
            </w:r>
            <w:r w:rsidR="004423CB">
              <w:rPr>
                <w:sz w:val="18"/>
                <w:szCs w:val="18"/>
              </w:rPr>
              <w:t xml:space="preserve"> </w:t>
            </w:r>
            <w:r w:rsidRPr="00F17E25">
              <w:rPr>
                <w:sz w:val="18"/>
                <w:szCs w:val="18"/>
              </w:rPr>
              <w:t>The identity of the denomination and that of the genus to which it belongs could become unclear and confusing.”</w:t>
            </w:r>
          </w:p>
          <w:p w:rsidR="00A0274F" w:rsidRDefault="00A0274F" w:rsidP="009D2ED1">
            <w:pPr>
              <w:shd w:val="clear" w:color="auto" w:fill="D9D9D9" w:themeFill="background1" w:themeFillShade="D9"/>
              <w:rPr>
                <w:sz w:val="18"/>
                <w:szCs w:val="18"/>
                <w:lang w:eastAsia="ja-JP"/>
              </w:rPr>
            </w:pPr>
          </w:p>
          <w:p w:rsidR="00A0274F" w:rsidRDefault="00A0274F" w:rsidP="009D2ED1">
            <w:pPr>
              <w:shd w:val="clear" w:color="auto" w:fill="D9D9D9" w:themeFill="background1" w:themeFillShade="D9"/>
              <w:rPr>
                <w:sz w:val="18"/>
                <w:szCs w:val="18"/>
                <w:lang w:eastAsia="ja-JP"/>
              </w:rPr>
            </w:pPr>
            <w:r>
              <w:rPr>
                <w:color w:val="000000"/>
                <w:sz w:val="18"/>
                <w:szCs w:val="18"/>
              </w:rPr>
              <w:t xml:space="preserve">Example in section 2.3.1 (d): </w:t>
            </w:r>
            <w:r w:rsidRPr="008D54E3">
              <w:rPr>
                <w:i/>
                <w:color w:val="000000"/>
                <w:sz w:val="18"/>
                <w:szCs w:val="18"/>
              </w:rPr>
              <w:t>Carex</w:t>
            </w:r>
            <w:r w:rsidRPr="0056176B">
              <w:rPr>
                <w:color w:val="000000"/>
                <w:sz w:val="18"/>
                <w:szCs w:val="18"/>
              </w:rPr>
              <w:t xml:space="preserve"> </w:t>
            </w:r>
            <w:r w:rsidRPr="005A16B0">
              <w:rPr>
                <w:color w:val="000000"/>
                <w:sz w:val="18"/>
                <w:szCs w:val="18"/>
              </w:rPr>
              <w:t>variety “</w:t>
            </w:r>
            <w:r>
              <w:rPr>
                <w:color w:val="000000"/>
                <w:sz w:val="18"/>
                <w:szCs w:val="18"/>
              </w:rPr>
              <w:t>S</w:t>
            </w:r>
            <w:r w:rsidRPr="005A16B0">
              <w:rPr>
                <w:color w:val="000000"/>
                <w:sz w:val="18"/>
                <w:szCs w:val="18"/>
              </w:rPr>
              <w:t>edge”</w:t>
            </w:r>
            <w:r w:rsidRPr="00296117">
              <w:rPr>
                <w:i/>
                <w:color w:val="000000"/>
                <w:sz w:val="18"/>
                <w:szCs w:val="18"/>
              </w:rPr>
              <w:t>.</w:t>
            </w:r>
            <w:r>
              <w:rPr>
                <w:color w:val="000000"/>
                <w:sz w:val="18"/>
                <w:szCs w:val="18"/>
              </w:rPr>
              <w:t xml:space="preserve">  </w:t>
            </w:r>
            <w:r w:rsidRPr="00296117">
              <w:rPr>
                <w:i/>
                <w:color w:val="000000"/>
                <w:sz w:val="18"/>
                <w:szCs w:val="18"/>
              </w:rPr>
              <w:t>Carex</w:t>
            </w:r>
            <w:r>
              <w:rPr>
                <w:color w:val="000000"/>
                <w:sz w:val="18"/>
                <w:szCs w:val="18"/>
              </w:rPr>
              <w:t xml:space="preserve"> </w:t>
            </w:r>
            <w:r w:rsidRPr="0056176B">
              <w:rPr>
                <w:color w:val="000000"/>
                <w:sz w:val="18"/>
                <w:szCs w:val="18"/>
              </w:rPr>
              <w:t>is the botanical name of the genus, for which the common name is sedge.</w:t>
            </w:r>
          </w:p>
          <w:p w:rsidR="00F17E25" w:rsidRPr="005B7D20" w:rsidRDefault="00F17E25" w:rsidP="00F17E25">
            <w:pPr>
              <w:rPr>
                <w:sz w:val="18"/>
                <w:szCs w:val="18"/>
              </w:rPr>
            </w:pPr>
          </w:p>
        </w:tc>
      </w:tr>
    </w:tbl>
    <w:p w:rsidR="00030158" w:rsidRDefault="00030158" w:rsidP="00030158"/>
    <w:tbl>
      <w:tblPr>
        <w:tblStyle w:val="TableGrid"/>
        <w:tblW w:w="0" w:type="auto"/>
        <w:tblLook w:val="04A0" w:firstRow="1" w:lastRow="0" w:firstColumn="1" w:lastColumn="0" w:noHBand="0" w:noVBand="1"/>
      </w:tblPr>
      <w:tblGrid>
        <w:gridCol w:w="9855"/>
      </w:tblGrid>
      <w:tr w:rsidR="00030158" w:rsidTr="00567901">
        <w:trPr>
          <w:cantSplit/>
        </w:trPr>
        <w:tc>
          <w:tcPr>
            <w:tcW w:w="9855" w:type="dxa"/>
            <w:shd w:val="clear" w:color="auto" w:fill="D9D9D9" w:themeFill="background1" w:themeFillShade="D9"/>
          </w:tcPr>
          <w:p w:rsidR="00030158" w:rsidRPr="0047703B" w:rsidRDefault="00030158" w:rsidP="003838ED">
            <w:pPr>
              <w:rPr>
                <w:sz w:val="18"/>
                <w:szCs w:val="18"/>
              </w:rPr>
            </w:pPr>
          </w:p>
          <w:p w:rsidR="00030158" w:rsidRPr="0047703B" w:rsidRDefault="00030158" w:rsidP="003838ED">
            <w:pPr>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4493" w:rsidRPr="00FF4493">
              <w:rPr>
                <w:rStyle w:val="EndnoteReference"/>
                <w:sz w:val="18"/>
                <w:szCs w:val="18"/>
              </w:rPr>
              <w:t>c</w:t>
            </w:r>
            <w:r w:rsidRPr="0047703B">
              <w:rPr>
                <w:sz w:val="18"/>
                <w:szCs w:val="18"/>
              </w:rPr>
              <w:fldChar w:fldCharType="end"/>
            </w:r>
          </w:p>
          <w:p w:rsidR="00030158" w:rsidRPr="0047703B" w:rsidRDefault="00030158" w:rsidP="003838ED">
            <w:pPr>
              <w:rPr>
                <w:sz w:val="18"/>
                <w:szCs w:val="18"/>
              </w:rPr>
            </w:pPr>
          </w:p>
          <w:p w:rsidR="00030158" w:rsidRDefault="00030158" w:rsidP="003838ED">
            <w:pPr>
              <w:rPr>
                <w:sz w:val="18"/>
                <w:szCs w:val="18"/>
              </w:rPr>
            </w:pPr>
            <w:r>
              <w:rPr>
                <w:sz w:val="18"/>
                <w:szCs w:val="18"/>
              </w:rPr>
              <w:t xml:space="preserve">New Section 2.3.1 (d): </w:t>
            </w:r>
            <w:r w:rsidR="004423CB">
              <w:rPr>
                <w:sz w:val="18"/>
                <w:szCs w:val="18"/>
              </w:rPr>
              <w:t xml:space="preserve"> i</w:t>
            </w:r>
            <w:r>
              <w:rPr>
                <w:sz w:val="18"/>
                <w:szCs w:val="18"/>
              </w:rPr>
              <w:t xml:space="preserve">t should </w:t>
            </w:r>
            <w:r w:rsidRPr="00030158">
              <w:rPr>
                <w:sz w:val="18"/>
                <w:szCs w:val="18"/>
                <w:u w:val="single"/>
              </w:rPr>
              <w:t>not</w:t>
            </w:r>
            <w:r>
              <w:rPr>
                <w:sz w:val="18"/>
                <w:szCs w:val="18"/>
              </w:rPr>
              <w:t xml:space="preserve"> be acceptable for a denomination to contain the same botanical or common name of the genus to which the variety belongs as started in para 31. </w:t>
            </w:r>
            <w:r w:rsidR="004423CB">
              <w:rPr>
                <w:sz w:val="18"/>
                <w:szCs w:val="18"/>
              </w:rPr>
              <w:t xml:space="preserve"> </w:t>
            </w:r>
            <w:r>
              <w:rPr>
                <w:sz w:val="18"/>
                <w:szCs w:val="18"/>
              </w:rPr>
              <w:t xml:space="preserve">We should </w:t>
            </w:r>
            <w:r w:rsidRPr="00030158">
              <w:rPr>
                <w:sz w:val="18"/>
                <w:szCs w:val="18"/>
                <w:u w:val="single"/>
              </w:rPr>
              <w:t>not have</w:t>
            </w:r>
            <w:r>
              <w:rPr>
                <w:sz w:val="18"/>
                <w:szCs w:val="18"/>
              </w:rPr>
              <w:t xml:space="preserve"> </w:t>
            </w:r>
            <w:r w:rsidRPr="00030158">
              <w:rPr>
                <w:i/>
                <w:sz w:val="18"/>
                <w:szCs w:val="18"/>
              </w:rPr>
              <w:t>Malus</w:t>
            </w:r>
            <w:r>
              <w:rPr>
                <w:sz w:val="18"/>
                <w:szCs w:val="18"/>
              </w:rPr>
              <w:t xml:space="preserve"> variety ‘Apple’, </w:t>
            </w:r>
            <w:r w:rsidRPr="00030158">
              <w:rPr>
                <w:i/>
                <w:sz w:val="18"/>
                <w:szCs w:val="18"/>
              </w:rPr>
              <w:t>Carex</w:t>
            </w:r>
            <w:r>
              <w:rPr>
                <w:sz w:val="18"/>
                <w:szCs w:val="18"/>
              </w:rPr>
              <w:t xml:space="preserve"> variety ‘Sedge’. </w:t>
            </w:r>
            <w:r w:rsidR="004423CB">
              <w:rPr>
                <w:sz w:val="18"/>
                <w:szCs w:val="18"/>
              </w:rPr>
              <w:t xml:space="preserve"> </w:t>
            </w:r>
            <w:r>
              <w:rPr>
                <w:sz w:val="18"/>
                <w:szCs w:val="18"/>
              </w:rPr>
              <w:t>This is also consistent with ICNCP 19.23</w:t>
            </w:r>
          </w:p>
          <w:p w:rsidR="00030158" w:rsidRPr="0047703B" w:rsidRDefault="00030158" w:rsidP="00B85382">
            <w:pPr>
              <w:jc w:val="left"/>
              <w:rPr>
                <w:sz w:val="18"/>
                <w:szCs w:val="18"/>
              </w:rPr>
            </w:pPr>
          </w:p>
        </w:tc>
      </w:tr>
    </w:tbl>
    <w:p w:rsidR="009C5D8C" w:rsidRDefault="009C5D8C"/>
    <w:tbl>
      <w:tblPr>
        <w:tblStyle w:val="TableGrid"/>
        <w:tblW w:w="0" w:type="auto"/>
        <w:tblLook w:val="04A0" w:firstRow="1" w:lastRow="0" w:firstColumn="1" w:lastColumn="0" w:noHBand="0" w:noVBand="1"/>
      </w:tblPr>
      <w:tblGrid>
        <w:gridCol w:w="9855"/>
      </w:tblGrid>
      <w:tr w:rsidR="00F455CA" w:rsidTr="00567901">
        <w:trPr>
          <w:cantSplit/>
        </w:trPr>
        <w:tc>
          <w:tcPr>
            <w:tcW w:w="9855" w:type="dxa"/>
            <w:shd w:val="clear" w:color="auto" w:fill="D9D9D9" w:themeFill="background1" w:themeFillShade="D9"/>
          </w:tcPr>
          <w:p w:rsidR="008D54E3" w:rsidRDefault="008D54E3" w:rsidP="003838ED">
            <w:pPr>
              <w:rPr>
                <w:color w:val="000000"/>
                <w:sz w:val="18"/>
                <w:szCs w:val="18"/>
                <w:u w:val="single"/>
              </w:rPr>
            </w:pPr>
          </w:p>
          <w:p w:rsidR="008D54E3" w:rsidRDefault="008D54E3" w:rsidP="009D2ED1">
            <w:pPr>
              <w:shd w:val="clear" w:color="auto" w:fill="D9D9D9" w:themeFill="background1" w:themeFillShade="D9"/>
              <w:rPr>
                <w:color w:val="000000"/>
                <w:sz w:val="18"/>
                <w:szCs w:val="18"/>
                <w:u w:val="single"/>
                <w:lang w:eastAsia="ja-JP"/>
              </w:rPr>
            </w:pPr>
            <w:r w:rsidRPr="00AA4B3B">
              <w:rPr>
                <w:color w:val="000000"/>
                <w:sz w:val="18"/>
                <w:szCs w:val="18"/>
                <w:u w:val="single"/>
              </w:rPr>
              <w:t>Proposal by WG-DST</w:t>
            </w:r>
            <w:r w:rsidR="00A0274F" w:rsidRPr="00A0274F">
              <w:rPr>
                <w:rFonts w:hint="eastAsia"/>
                <w:color w:val="000000"/>
                <w:sz w:val="18"/>
                <w:szCs w:val="18"/>
                <w:vertAlign w:val="superscript"/>
                <w:lang w:eastAsia="ja-JP"/>
              </w:rPr>
              <w:t>h</w:t>
            </w:r>
          </w:p>
          <w:p w:rsidR="00F455CA" w:rsidRPr="008D54E3" w:rsidRDefault="00F455CA" w:rsidP="009D2ED1">
            <w:pPr>
              <w:shd w:val="clear" w:color="auto" w:fill="D9D9D9" w:themeFill="background1" w:themeFillShade="D9"/>
              <w:rPr>
                <w:sz w:val="18"/>
                <w:szCs w:val="18"/>
              </w:rPr>
            </w:pPr>
          </w:p>
          <w:p w:rsidR="008D54E3" w:rsidRDefault="008D54E3" w:rsidP="009D2ED1">
            <w:pPr>
              <w:shd w:val="clear" w:color="auto" w:fill="D9D9D9" w:themeFill="background1" w:themeFillShade="D9"/>
              <w:rPr>
                <w:sz w:val="18"/>
                <w:szCs w:val="18"/>
              </w:rPr>
            </w:pPr>
            <w:r>
              <w:rPr>
                <w:sz w:val="18"/>
                <w:szCs w:val="18"/>
              </w:rPr>
              <w:t>T</w:t>
            </w:r>
            <w:r w:rsidRPr="008D54E3">
              <w:rPr>
                <w:sz w:val="18"/>
                <w:szCs w:val="18"/>
              </w:rPr>
              <w:t>he use of the botanical or common name of a genus to which a variety does not belong should be avoided, unless the botanical name or common name had a wider meaning, e.g</w:t>
            </w:r>
            <w:r w:rsidR="004423CB">
              <w:rPr>
                <w:sz w:val="18"/>
                <w:szCs w:val="18"/>
              </w:rPr>
              <w:t>.</w:t>
            </w:r>
            <w:r w:rsidRPr="008D54E3">
              <w:rPr>
                <w:sz w:val="18"/>
                <w:szCs w:val="18"/>
              </w:rPr>
              <w:t xml:space="preserve"> “Rose”, “Cosmos”, “Lilac”, “Veronica” and “Bianca”.</w:t>
            </w:r>
          </w:p>
          <w:p w:rsidR="008D54E3" w:rsidRPr="00174EB3" w:rsidRDefault="008D54E3" w:rsidP="00C46A71">
            <w:pPr>
              <w:rPr>
                <w:sz w:val="18"/>
                <w:szCs w:val="18"/>
              </w:rPr>
            </w:pPr>
          </w:p>
        </w:tc>
      </w:tr>
      <w:tr w:rsidR="002C636C" w:rsidTr="005A5C77">
        <w:trPr>
          <w:cantSplit/>
        </w:trPr>
        <w:tc>
          <w:tcPr>
            <w:tcW w:w="9855" w:type="dxa"/>
            <w:shd w:val="clear" w:color="auto" w:fill="D9D9D9" w:themeFill="background1" w:themeFillShade="D9"/>
          </w:tcPr>
          <w:p w:rsidR="002C636C" w:rsidRPr="0047703B" w:rsidRDefault="002C636C" w:rsidP="00B85382">
            <w:pPr>
              <w:jc w:val="left"/>
              <w:rPr>
                <w:sz w:val="18"/>
                <w:szCs w:val="18"/>
              </w:rPr>
            </w:pPr>
          </w:p>
          <w:p w:rsidR="002C636C" w:rsidRPr="0047703B" w:rsidRDefault="002C636C" w:rsidP="009D2ED1">
            <w:pPr>
              <w:shd w:val="clear" w:color="auto" w:fill="D9D9D9" w:themeFill="background1" w:themeFillShade="D9"/>
              <w:rPr>
                <w:sz w:val="18"/>
                <w:szCs w:val="18"/>
              </w:rPr>
            </w:pPr>
            <w:r w:rsidRPr="0047703B">
              <w:rPr>
                <w:sz w:val="18"/>
                <w:szCs w:val="18"/>
                <w:u w:val="single"/>
              </w:rPr>
              <w:t>Proposal by New Zealand</w:t>
            </w:r>
            <w:r w:rsidR="00E30EE5">
              <w:rPr>
                <w:sz w:val="18"/>
                <w:szCs w:val="18"/>
                <w:u w:val="single"/>
              </w:rPr>
              <w:t xml:space="preserve"> in relation to the above proposal by</w:t>
            </w:r>
            <w:r w:rsidR="00E30EE5" w:rsidRPr="00AA4B3B">
              <w:rPr>
                <w:color w:val="000000"/>
                <w:sz w:val="18"/>
                <w:szCs w:val="18"/>
                <w:u w:val="single"/>
              </w:rPr>
              <w:t xml:space="preserve"> WG-DST</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4493" w:rsidRPr="00FF4493">
              <w:rPr>
                <w:rStyle w:val="EndnoteReference"/>
                <w:sz w:val="18"/>
                <w:szCs w:val="18"/>
              </w:rPr>
              <w:t>c</w:t>
            </w:r>
            <w:r w:rsidRPr="0047703B">
              <w:rPr>
                <w:sz w:val="18"/>
                <w:szCs w:val="18"/>
              </w:rPr>
              <w:fldChar w:fldCharType="end"/>
            </w:r>
          </w:p>
          <w:p w:rsidR="002C636C" w:rsidRPr="0047703B" w:rsidRDefault="002C636C" w:rsidP="009D2ED1">
            <w:pPr>
              <w:shd w:val="clear" w:color="auto" w:fill="D9D9D9" w:themeFill="background1" w:themeFillShade="D9"/>
              <w:rPr>
                <w:sz w:val="18"/>
                <w:szCs w:val="18"/>
              </w:rPr>
            </w:pPr>
          </w:p>
          <w:p w:rsidR="00366F9C" w:rsidRDefault="00E30EE5" w:rsidP="009D2ED1">
            <w:pPr>
              <w:shd w:val="clear" w:color="auto" w:fill="D9D9D9" w:themeFill="background1" w:themeFillShade="D9"/>
              <w:rPr>
                <w:sz w:val="18"/>
                <w:szCs w:val="18"/>
              </w:rPr>
            </w:pPr>
            <w:r>
              <w:rPr>
                <w:sz w:val="18"/>
                <w:szCs w:val="18"/>
              </w:rPr>
              <w:t>T</w:t>
            </w:r>
            <w:r w:rsidR="002C636C">
              <w:rPr>
                <w:sz w:val="18"/>
                <w:szCs w:val="18"/>
              </w:rPr>
              <w:t xml:space="preserve">he use of the botanical or common name of a genus to which a variety </w:t>
            </w:r>
            <w:r w:rsidR="002C636C" w:rsidRPr="00366F9C">
              <w:rPr>
                <w:sz w:val="18"/>
                <w:szCs w:val="18"/>
                <w:u w:val="single"/>
              </w:rPr>
              <w:t>does</w:t>
            </w:r>
            <w:r w:rsidR="002C636C">
              <w:rPr>
                <w:sz w:val="18"/>
                <w:szCs w:val="18"/>
              </w:rPr>
              <w:t xml:space="preserve"> belong should be avoided, unless the botanical name or common name had a wider meaning</w:t>
            </w:r>
            <w:r w:rsidR="00366F9C">
              <w:rPr>
                <w:sz w:val="18"/>
                <w:szCs w:val="18"/>
              </w:rPr>
              <w:t>,</w:t>
            </w:r>
            <w:r w:rsidR="002C636C">
              <w:rPr>
                <w:sz w:val="18"/>
                <w:szCs w:val="18"/>
              </w:rPr>
              <w:t xml:space="preserve"> </w:t>
            </w:r>
            <w:r w:rsidR="00366F9C">
              <w:rPr>
                <w:sz w:val="18"/>
                <w:szCs w:val="18"/>
              </w:rPr>
              <w:t>e</w:t>
            </w:r>
            <w:r w:rsidR="002C636C">
              <w:rPr>
                <w:sz w:val="18"/>
                <w:szCs w:val="18"/>
              </w:rPr>
              <w:t>.g</w:t>
            </w:r>
            <w:r w:rsidR="004423CB">
              <w:rPr>
                <w:sz w:val="18"/>
                <w:szCs w:val="18"/>
              </w:rPr>
              <w:t>.</w:t>
            </w:r>
            <w:r w:rsidR="002C636C">
              <w:rPr>
                <w:sz w:val="18"/>
                <w:szCs w:val="18"/>
              </w:rPr>
              <w:t xml:space="preserve"> “Rose”</w:t>
            </w:r>
            <w:r w:rsidR="00E47B6B">
              <w:rPr>
                <w:sz w:val="18"/>
                <w:szCs w:val="18"/>
              </w:rPr>
              <w:t xml:space="preserve">, </w:t>
            </w:r>
            <w:r w:rsidR="002C636C">
              <w:rPr>
                <w:sz w:val="18"/>
                <w:szCs w:val="18"/>
              </w:rPr>
              <w:t>”Cosmos”, “Lilac”, “Veronica”</w:t>
            </w:r>
            <w:r w:rsidR="00366F9C">
              <w:rPr>
                <w:sz w:val="18"/>
                <w:szCs w:val="18"/>
              </w:rPr>
              <w:t xml:space="preserve"> </w:t>
            </w:r>
            <w:r w:rsidR="002C636C">
              <w:rPr>
                <w:sz w:val="18"/>
                <w:szCs w:val="18"/>
              </w:rPr>
              <w:t>and “Bianca”.</w:t>
            </w:r>
            <w:r w:rsidR="00366F9C">
              <w:rPr>
                <w:sz w:val="18"/>
                <w:szCs w:val="18"/>
              </w:rPr>
              <w:t xml:space="preserve"> </w:t>
            </w:r>
          </w:p>
          <w:p w:rsidR="008D15AE" w:rsidRDefault="008D15AE" w:rsidP="009D2ED1">
            <w:pPr>
              <w:shd w:val="clear" w:color="auto" w:fill="D9D9D9" w:themeFill="background1" w:themeFillShade="D9"/>
              <w:rPr>
                <w:sz w:val="18"/>
                <w:szCs w:val="18"/>
              </w:rPr>
            </w:pPr>
          </w:p>
          <w:p w:rsidR="00E47B6B" w:rsidRDefault="00E47B6B" w:rsidP="009D2ED1">
            <w:pPr>
              <w:shd w:val="clear" w:color="auto" w:fill="D9D9D9" w:themeFill="background1" w:themeFillShade="D9"/>
              <w:rPr>
                <w:sz w:val="18"/>
                <w:szCs w:val="18"/>
              </w:rPr>
            </w:pPr>
            <w:r>
              <w:rPr>
                <w:sz w:val="18"/>
                <w:szCs w:val="18"/>
              </w:rPr>
              <w:t>This is also consistent with ICNCP 19.24</w:t>
            </w:r>
          </w:p>
          <w:p w:rsidR="00E47B6B" w:rsidRDefault="00E47B6B" w:rsidP="009D2ED1">
            <w:pPr>
              <w:shd w:val="clear" w:color="auto" w:fill="D9D9D9" w:themeFill="background1" w:themeFillShade="D9"/>
              <w:rPr>
                <w:sz w:val="18"/>
                <w:szCs w:val="18"/>
              </w:rPr>
            </w:pPr>
          </w:p>
          <w:p w:rsidR="00366F9C" w:rsidRDefault="00366F9C" w:rsidP="009D2ED1">
            <w:pPr>
              <w:shd w:val="clear" w:color="auto" w:fill="D9D9D9" w:themeFill="background1" w:themeFillShade="D9"/>
              <w:rPr>
                <w:sz w:val="18"/>
                <w:szCs w:val="18"/>
              </w:rPr>
            </w:pPr>
            <w:r>
              <w:rPr>
                <w:sz w:val="18"/>
                <w:szCs w:val="18"/>
              </w:rPr>
              <w:t xml:space="preserve">The comment proposal of WG-DST is not compatible with existing practice which permits a genus or common name in a denomination providing that it is </w:t>
            </w:r>
            <w:r w:rsidRPr="00366F9C">
              <w:rPr>
                <w:sz w:val="18"/>
                <w:szCs w:val="18"/>
                <w:u w:val="single"/>
              </w:rPr>
              <w:t>not</w:t>
            </w:r>
            <w:r>
              <w:rPr>
                <w:sz w:val="18"/>
                <w:szCs w:val="18"/>
              </w:rPr>
              <w:t xml:space="preserve"> the genus or common name assigned for that variety.</w:t>
            </w:r>
            <w:r w:rsidR="004423CB">
              <w:rPr>
                <w:sz w:val="18"/>
                <w:szCs w:val="18"/>
              </w:rPr>
              <w:t xml:space="preserve"> </w:t>
            </w:r>
            <w:r>
              <w:rPr>
                <w:sz w:val="18"/>
                <w:szCs w:val="18"/>
              </w:rPr>
              <w:t xml:space="preserve"> The following examples of approved denominations are in PLUTO.</w:t>
            </w:r>
          </w:p>
          <w:p w:rsidR="00366F9C" w:rsidRDefault="00366F9C" w:rsidP="009D2ED1">
            <w:pPr>
              <w:shd w:val="clear" w:color="auto" w:fill="D9D9D9" w:themeFill="background1" w:themeFillShade="D9"/>
              <w:rPr>
                <w:sz w:val="18"/>
                <w:szCs w:val="18"/>
              </w:rPr>
            </w:pPr>
          </w:p>
          <w:p w:rsidR="008D15AE" w:rsidRDefault="008D15AE" w:rsidP="009D2ED1">
            <w:pPr>
              <w:shd w:val="clear" w:color="auto" w:fill="D9D9D9" w:themeFill="background1" w:themeFillShade="D9"/>
              <w:rPr>
                <w:sz w:val="18"/>
                <w:szCs w:val="18"/>
              </w:rPr>
            </w:pPr>
            <w:r>
              <w:rPr>
                <w:sz w:val="18"/>
                <w:szCs w:val="18"/>
              </w:rPr>
              <w:t>Blueberry (</w:t>
            </w:r>
            <w:r w:rsidRPr="008D15AE">
              <w:rPr>
                <w:i/>
                <w:sz w:val="18"/>
                <w:szCs w:val="18"/>
              </w:rPr>
              <w:t>Vaccinium</w:t>
            </w:r>
            <w:r>
              <w:rPr>
                <w:sz w:val="18"/>
                <w:szCs w:val="18"/>
              </w:rPr>
              <w:t>) ‘Camellia’</w:t>
            </w:r>
          </w:p>
          <w:p w:rsidR="00D2687A" w:rsidRDefault="00D2687A" w:rsidP="009D2ED1">
            <w:pPr>
              <w:shd w:val="clear" w:color="auto" w:fill="D9D9D9" w:themeFill="background1" w:themeFillShade="D9"/>
              <w:rPr>
                <w:sz w:val="18"/>
                <w:szCs w:val="18"/>
              </w:rPr>
            </w:pPr>
          </w:p>
          <w:p w:rsidR="00D2687A" w:rsidRDefault="00D2687A" w:rsidP="009D2ED1">
            <w:pPr>
              <w:shd w:val="clear" w:color="auto" w:fill="D9D9D9" w:themeFill="background1" w:themeFillShade="D9"/>
              <w:rPr>
                <w:sz w:val="18"/>
                <w:szCs w:val="18"/>
              </w:rPr>
            </w:pPr>
            <w:r>
              <w:rPr>
                <w:sz w:val="18"/>
                <w:szCs w:val="18"/>
              </w:rPr>
              <w:t>Lavender (</w:t>
            </w:r>
            <w:r w:rsidRPr="00D2687A">
              <w:rPr>
                <w:i/>
                <w:sz w:val="18"/>
                <w:szCs w:val="18"/>
              </w:rPr>
              <w:t>Lavandula</w:t>
            </w:r>
            <w:r>
              <w:rPr>
                <w:sz w:val="18"/>
                <w:szCs w:val="18"/>
              </w:rPr>
              <w:t>) ‘Blueberry Ruffles’</w:t>
            </w:r>
          </w:p>
          <w:p w:rsidR="00D2687A" w:rsidRDefault="00D2687A" w:rsidP="009D2ED1">
            <w:pPr>
              <w:shd w:val="clear" w:color="auto" w:fill="D9D9D9" w:themeFill="background1" w:themeFillShade="D9"/>
              <w:rPr>
                <w:sz w:val="18"/>
                <w:szCs w:val="18"/>
              </w:rPr>
            </w:pPr>
          </w:p>
          <w:p w:rsidR="00D2687A" w:rsidRDefault="00D2687A" w:rsidP="009D2ED1">
            <w:pPr>
              <w:shd w:val="clear" w:color="auto" w:fill="D9D9D9" w:themeFill="background1" w:themeFillShade="D9"/>
              <w:rPr>
                <w:sz w:val="18"/>
                <w:szCs w:val="18"/>
              </w:rPr>
            </w:pPr>
            <w:r w:rsidRPr="00D2687A">
              <w:rPr>
                <w:i/>
                <w:sz w:val="18"/>
                <w:szCs w:val="18"/>
              </w:rPr>
              <w:t>Penstemon</w:t>
            </w:r>
            <w:r>
              <w:rPr>
                <w:sz w:val="18"/>
                <w:szCs w:val="18"/>
              </w:rPr>
              <w:t xml:space="preserve"> ‘Blueberry Taffy’</w:t>
            </w:r>
          </w:p>
          <w:p w:rsidR="00D2687A" w:rsidRDefault="00D2687A" w:rsidP="009D2ED1">
            <w:pPr>
              <w:shd w:val="clear" w:color="auto" w:fill="D9D9D9" w:themeFill="background1" w:themeFillShade="D9"/>
              <w:rPr>
                <w:sz w:val="18"/>
                <w:szCs w:val="18"/>
              </w:rPr>
            </w:pPr>
          </w:p>
          <w:p w:rsidR="00D2687A" w:rsidRDefault="00D2687A" w:rsidP="009D2ED1">
            <w:pPr>
              <w:shd w:val="clear" w:color="auto" w:fill="D9D9D9" w:themeFill="background1" w:themeFillShade="D9"/>
              <w:rPr>
                <w:sz w:val="18"/>
                <w:szCs w:val="18"/>
              </w:rPr>
            </w:pPr>
            <w:r w:rsidRPr="00D2687A">
              <w:rPr>
                <w:i/>
                <w:sz w:val="18"/>
                <w:szCs w:val="18"/>
              </w:rPr>
              <w:t>Dianthus</w:t>
            </w:r>
            <w:r>
              <w:rPr>
                <w:sz w:val="18"/>
                <w:szCs w:val="18"/>
              </w:rPr>
              <w:t xml:space="preserve"> ‘Erica’</w:t>
            </w:r>
          </w:p>
          <w:p w:rsidR="00366F9C" w:rsidRPr="0047703B" w:rsidRDefault="00366F9C" w:rsidP="00366F9C">
            <w:pPr>
              <w:jc w:val="left"/>
              <w:rPr>
                <w:sz w:val="18"/>
                <w:szCs w:val="18"/>
              </w:rPr>
            </w:pPr>
          </w:p>
        </w:tc>
      </w:tr>
    </w:tbl>
    <w:p w:rsidR="0062366F" w:rsidRDefault="0062366F" w:rsidP="0062366F"/>
    <w:tbl>
      <w:tblPr>
        <w:tblStyle w:val="TableGrid"/>
        <w:tblW w:w="0" w:type="auto"/>
        <w:tblLook w:val="04A0" w:firstRow="1" w:lastRow="0" w:firstColumn="1" w:lastColumn="0" w:noHBand="0" w:noVBand="1"/>
      </w:tblPr>
      <w:tblGrid>
        <w:gridCol w:w="9855"/>
      </w:tblGrid>
      <w:tr w:rsidR="0062366F" w:rsidTr="005A5C77">
        <w:trPr>
          <w:cantSplit/>
        </w:trPr>
        <w:tc>
          <w:tcPr>
            <w:tcW w:w="9855" w:type="dxa"/>
            <w:shd w:val="clear" w:color="auto" w:fill="D9D9D9" w:themeFill="background1" w:themeFillShade="D9"/>
          </w:tcPr>
          <w:p w:rsidR="0062366F" w:rsidRPr="0047703B" w:rsidRDefault="0062366F" w:rsidP="000D7327">
            <w:pPr>
              <w:jc w:val="left"/>
              <w:rPr>
                <w:sz w:val="18"/>
                <w:szCs w:val="18"/>
              </w:rPr>
            </w:pPr>
          </w:p>
          <w:p w:rsidR="0062366F" w:rsidRDefault="0062366F" w:rsidP="003838ED">
            <w:pPr>
              <w:rPr>
                <w:sz w:val="18"/>
                <w:szCs w:val="18"/>
                <w:u w:val="single"/>
              </w:rPr>
            </w:pPr>
            <w:r>
              <w:rPr>
                <w:sz w:val="18"/>
                <w:szCs w:val="18"/>
                <w:u w:val="single"/>
              </w:rPr>
              <w:t>Proposal by ESA/ISF</w:t>
            </w:r>
            <w:bookmarkStart w:id="7" w:name="_Ref444522410"/>
            <w:r w:rsidR="00C60977" w:rsidRPr="00B85382">
              <w:rPr>
                <w:rStyle w:val="EndnoteReference"/>
                <w:sz w:val="18"/>
                <w:szCs w:val="18"/>
              </w:rPr>
              <w:endnoteReference w:id="9"/>
            </w:r>
            <w:bookmarkEnd w:id="7"/>
          </w:p>
          <w:p w:rsidR="0062366F" w:rsidRDefault="0062366F" w:rsidP="003838ED">
            <w:pPr>
              <w:rPr>
                <w:sz w:val="18"/>
                <w:szCs w:val="18"/>
                <w:u w:val="single"/>
              </w:rPr>
            </w:pPr>
          </w:p>
          <w:p w:rsidR="0062366F" w:rsidRDefault="00E30EE5" w:rsidP="003838ED">
            <w:pPr>
              <w:rPr>
                <w:sz w:val="18"/>
                <w:szCs w:val="18"/>
              </w:rPr>
            </w:pPr>
            <w:r>
              <w:rPr>
                <w:sz w:val="18"/>
                <w:szCs w:val="18"/>
              </w:rPr>
              <w:t xml:space="preserve">Section 2.3.1 (d) </w:t>
            </w:r>
            <w:r w:rsidR="004423CB">
              <w:rPr>
                <w:sz w:val="18"/>
                <w:szCs w:val="18"/>
              </w:rPr>
              <w:t>s</w:t>
            </w:r>
            <w:r w:rsidR="0062366F">
              <w:rPr>
                <w:sz w:val="18"/>
                <w:szCs w:val="18"/>
              </w:rPr>
              <w:t>tates that the denomination should not “</w:t>
            </w:r>
            <w:r w:rsidR="0062366F" w:rsidRPr="00E9611B">
              <w:rPr>
                <w:i/>
                <w:sz w:val="18"/>
                <w:szCs w:val="18"/>
              </w:rPr>
              <w:t>contain the Latin or common name of the genus to which that variety belongs</w:t>
            </w:r>
            <w:r w:rsidR="0062366F">
              <w:rPr>
                <w:sz w:val="18"/>
                <w:szCs w:val="18"/>
              </w:rPr>
              <w:t>”.  In practice this would mean that Capsicum ‘pepper’ is not allowed, however, Solanum lycopersicon ‘pepper’ would be allowed.</w:t>
            </w:r>
            <w:r w:rsidR="004423CB">
              <w:rPr>
                <w:sz w:val="18"/>
                <w:szCs w:val="18"/>
              </w:rPr>
              <w:t xml:space="preserve"> </w:t>
            </w:r>
            <w:r w:rsidR="0062366F">
              <w:rPr>
                <w:sz w:val="18"/>
                <w:szCs w:val="18"/>
              </w:rPr>
              <w:t xml:space="preserve"> We doubt whether that is desirable.</w:t>
            </w:r>
            <w:r w:rsidR="004423CB">
              <w:rPr>
                <w:sz w:val="18"/>
                <w:szCs w:val="18"/>
              </w:rPr>
              <w:t xml:space="preserve"> </w:t>
            </w:r>
            <w:r w:rsidR="0062366F">
              <w:rPr>
                <w:sz w:val="18"/>
                <w:szCs w:val="18"/>
              </w:rPr>
              <w:t xml:space="preserve"> We would propose to rather follow the following approach:  a denomination should not contain the Latin or common name of a genus within the same crop group (i.e. ornamental, agriculture, vegetables).</w:t>
            </w:r>
          </w:p>
          <w:p w:rsidR="0062366F" w:rsidRPr="0047703B" w:rsidRDefault="0062366F" w:rsidP="000D7327">
            <w:pPr>
              <w:jc w:val="left"/>
              <w:rPr>
                <w:sz w:val="18"/>
                <w:szCs w:val="18"/>
              </w:rPr>
            </w:pPr>
          </w:p>
        </w:tc>
      </w:tr>
    </w:tbl>
    <w:p w:rsidR="005F2452" w:rsidRDefault="005F2452" w:rsidP="00F455CA">
      <w:pPr>
        <w:rPr>
          <w:lang w:eastAsia="ja-JP"/>
        </w:rPr>
      </w:pPr>
    </w:p>
    <w:tbl>
      <w:tblPr>
        <w:tblStyle w:val="TableGrid"/>
        <w:tblW w:w="0" w:type="auto"/>
        <w:tblLook w:val="04A0" w:firstRow="1" w:lastRow="0" w:firstColumn="1" w:lastColumn="0" w:noHBand="0" w:noVBand="1"/>
      </w:tblPr>
      <w:tblGrid>
        <w:gridCol w:w="9855"/>
      </w:tblGrid>
      <w:tr w:rsidR="00B343D1" w:rsidTr="005A5C77">
        <w:trPr>
          <w:cantSplit/>
        </w:trPr>
        <w:tc>
          <w:tcPr>
            <w:tcW w:w="9855" w:type="dxa"/>
            <w:shd w:val="clear" w:color="auto" w:fill="D9D9D9" w:themeFill="background1" w:themeFillShade="D9"/>
          </w:tcPr>
          <w:p w:rsidR="00B343D1" w:rsidRPr="00B343D1" w:rsidRDefault="00B343D1" w:rsidP="008B7F43">
            <w:pPr>
              <w:jc w:val="left"/>
              <w:rPr>
                <w:sz w:val="18"/>
                <w:szCs w:val="18"/>
              </w:rPr>
            </w:pPr>
          </w:p>
          <w:p w:rsidR="00B343D1" w:rsidRPr="00901570" w:rsidRDefault="00B343D1" w:rsidP="008B7F43">
            <w:pPr>
              <w:rPr>
                <w:sz w:val="18"/>
                <w:szCs w:val="18"/>
                <w:highlight w:val="yellow"/>
                <w:u w:val="single"/>
              </w:rPr>
            </w:pPr>
            <w:r w:rsidRPr="00901570">
              <w:rPr>
                <w:sz w:val="18"/>
                <w:szCs w:val="18"/>
                <w:highlight w:val="yellow"/>
                <w:u w:val="single"/>
              </w:rPr>
              <w:t>Agreed by the WG-DEN</w:t>
            </w:r>
            <w:r w:rsidRPr="0095486A">
              <w:rPr>
                <w:rStyle w:val="EndnoteReference"/>
                <w:sz w:val="18"/>
                <w:szCs w:val="18"/>
                <w:highlight w:val="yellow"/>
              </w:rPr>
              <w:endnoteReference w:id="10"/>
            </w:r>
          </w:p>
          <w:p w:rsidR="00B343D1" w:rsidRPr="00901570" w:rsidRDefault="00B343D1" w:rsidP="008B7F43">
            <w:pPr>
              <w:rPr>
                <w:sz w:val="18"/>
                <w:szCs w:val="18"/>
                <w:highlight w:val="yellow"/>
                <w:u w:val="single"/>
              </w:rPr>
            </w:pPr>
          </w:p>
          <w:p w:rsidR="00B343D1" w:rsidRPr="00901570" w:rsidRDefault="00B343D1" w:rsidP="00B343D1">
            <w:pPr>
              <w:rPr>
                <w:sz w:val="18"/>
                <w:szCs w:val="18"/>
                <w:highlight w:val="yellow"/>
              </w:rPr>
            </w:pPr>
            <w:r w:rsidRPr="00901570">
              <w:rPr>
                <w:sz w:val="18"/>
                <w:szCs w:val="18"/>
                <w:highlight w:val="yellow"/>
              </w:rPr>
              <w:t>To consider the following issues with regard to confusion concerning the use of botanical and common names in relation to denominations at the second meeting of the WG-DEN:</w:t>
            </w:r>
          </w:p>
          <w:p w:rsidR="00B343D1" w:rsidRPr="00901570" w:rsidRDefault="00B343D1" w:rsidP="00B343D1">
            <w:pPr>
              <w:rPr>
                <w:sz w:val="18"/>
                <w:szCs w:val="18"/>
                <w:highlight w:val="yellow"/>
              </w:rPr>
            </w:pPr>
          </w:p>
          <w:p w:rsidR="00B343D1" w:rsidRPr="00907D20" w:rsidRDefault="00B343D1" w:rsidP="00B343D1">
            <w:pPr>
              <w:pStyle w:val="ListParagraph"/>
              <w:numPr>
                <w:ilvl w:val="0"/>
                <w:numId w:val="5"/>
              </w:numPr>
              <w:tabs>
                <w:tab w:val="left" w:pos="881"/>
              </w:tabs>
              <w:ind w:left="0" w:firstLine="567"/>
              <w:rPr>
                <w:spacing w:val="-2"/>
                <w:sz w:val="18"/>
                <w:szCs w:val="18"/>
                <w:highlight w:val="yellow"/>
              </w:rPr>
            </w:pPr>
            <w:r w:rsidRPr="00907D20">
              <w:rPr>
                <w:spacing w:val="-2"/>
                <w:sz w:val="18"/>
                <w:szCs w:val="18"/>
                <w:highlight w:val="yellow"/>
              </w:rPr>
              <w:t>to consider the guidance of the International Code for the Nomenclature of Cultivated Plants (ICNCP) of the International Commission for the Nomenclature of Cultivated Plants of the International Union for Biological Sciences (IUBS Commission) on the use of botanical and common names with a view to exploring greater harmonization</w:t>
            </w:r>
            <w:r w:rsidR="00405FE5" w:rsidRPr="00907D20">
              <w:rPr>
                <w:rFonts w:hint="eastAsia"/>
                <w:spacing w:val="-2"/>
                <w:sz w:val="18"/>
                <w:szCs w:val="18"/>
                <w:highlight w:val="yellow"/>
                <w:lang w:eastAsia="ja-JP"/>
              </w:rPr>
              <w:t xml:space="preserve"> (see below)</w:t>
            </w:r>
            <w:r w:rsidRPr="00907D20">
              <w:rPr>
                <w:spacing w:val="-2"/>
                <w:sz w:val="18"/>
                <w:szCs w:val="18"/>
                <w:highlight w:val="yellow"/>
              </w:rPr>
              <w:t>;</w:t>
            </w:r>
          </w:p>
          <w:p w:rsidR="00B343D1" w:rsidRPr="00901570" w:rsidRDefault="00B343D1" w:rsidP="00B343D1">
            <w:pPr>
              <w:ind w:firstLine="567"/>
              <w:rPr>
                <w:sz w:val="18"/>
                <w:szCs w:val="18"/>
                <w:highlight w:val="yellow"/>
              </w:rPr>
            </w:pPr>
          </w:p>
          <w:p w:rsidR="00B343D1" w:rsidRPr="00901570" w:rsidRDefault="00B343D1" w:rsidP="00B343D1">
            <w:pPr>
              <w:pStyle w:val="ListParagraph"/>
              <w:numPr>
                <w:ilvl w:val="0"/>
                <w:numId w:val="5"/>
              </w:numPr>
              <w:tabs>
                <w:tab w:val="left" w:pos="881"/>
              </w:tabs>
              <w:ind w:left="0" w:firstLine="567"/>
              <w:rPr>
                <w:sz w:val="18"/>
                <w:szCs w:val="18"/>
                <w:highlight w:val="yellow"/>
              </w:rPr>
            </w:pPr>
            <w:r w:rsidRPr="00901570">
              <w:rPr>
                <w:sz w:val="18"/>
                <w:szCs w:val="18"/>
                <w:highlight w:val="yellow"/>
              </w:rPr>
              <w:t>whether to refuse the use of all botanical names and only accept certain common names that had a wider meaning;</w:t>
            </w:r>
          </w:p>
          <w:p w:rsidR="00B343D1" w:rsidRPr="00901570" w:rsidRDefault="00B343D1" w:rsidP="00B343D1">
            <w:pPr>
              <w:ind w:firstLine="567"/>
              <w:rPr>
                <w:sz w:val="18"/>
                <w:szCs w:val="18"/>
                <w:highlight w:val="yellow"/>
              </w:rPr>
            </w:pPr>
          </w:p>
          <w:p w:rsidR="00B343D1" w:rsidRPr="00901570" w:rsidRDefault="00B343D1" w:rsidP="00B343D1">
            <w:pPr>
              <w:pStyle w:val="ListParagraph"/>
              <w:numPr>
                <w:ilvl w:val="0"/>
                <w:numId w:val="5"/>
              </w:numPr>
              <w:tabs>
                <w:tab w:val="left" w:pos="881"/>
              </w:tabs>
              <w:ind w:left="0" w:firstLine="567"/>
              <w:rPr>
                <w:sz w:val="18"/>
                <w:szCs w:val="18"/>
                <w:highlight w:val="yellow"/>
              </w:rPr>
            </w:pPr>
            <w:r w:rsidRPr="00901570">
              <w:rPr>
                <w:sz w:val="18"/>
                <w:szCs w:val="18"/>
                <w:highlight w:val="yellow"/>
              </w:rPr>
              <w:t>whether to broaden the guidance proposed by the WG-DST in new paragraph (d) to cover the use of any genus/species name that was covered by the same variety denomination class or was in the same crop category;</w:t>
            </w:r>
          </w:p>
          <w:p w:rsidR="00B343D1" w:rsidRPr="00901570" w:rsidRDefault="00B343D1" w:rsidP="00B343D1">
            <w:pPr>
              <w:ind w:firstLine="567"/>
              <w:rPr>
                <w:sz w:val="18"/>
                <w:szCs w:val="18"/>
                <w:highlight w:val="yellow"/>
              </w:rPr>
            </w:pPr>
          </w:p>
          <w:p w:rsidR="00B343D1" w:rsidRPr="00901570" w:rsidRDefault="00B343D1" w:rsidP="00B343D1">
            <w:pPr>
              <w:pStyle w:val="ListParagraph"/>
              <w:numPr>
                <w:ilvl w:val="0"/>
                <w:numId w:val="5"/>
              </w:numPr>
              <w:tabs>
                <w:tab w:val="left" w:pos="881"/>
              </w:tabs>
              <w:ind w:left="0" w:firstLine="567"/>
              <w:rPr>
                <w:sz w:val="18"/>
                <w:szCs w:val="18"/>
                <w:highlight w:val="yellow"/>
              </w:rPr>
            </w:pPr>
            <w:r w:rsidRPr="00901570">
              <w:rPr>
                <w:sz w:val="18"/>
                <w:szCs w:val="18"/>
                <w:highlight w:val="yellow"/>
              </w:rPr>
              <w:t>whether to provide guidance on the use of part of the genus/species name or a slightly changed version of the genus/species name in a variety denomination;  and</w:t>
            </w:r>
          </w:p>
          <w:p w:rsidR="00B343D1" w:rsidRPr="00901570" w:rsidRDefault="00B343D1" w:rsidP="00B343D1">
            <w:pPr>
              <w:ind w:firstLine="567"/>
              <w:rPr>
                <w:sz w:val="18"/>
                <w:szCs w:val="18"/>
                <w:highlight w:val="yellow"/>
              </w:rPr>
            </w:pPr>
          </w:p>
          <w:p w:rsidR="00B343D1" w:rsidRPr="00901570" w:rsidRDefault="00B343D1" w:rsidP="00B343D1">
            <w:pPr>
              <w:pStyle w:val="ListParagraph"/>
              <w:numPr>
                <w:ilvl w:val="0"/>
                <w:numId w:val="5"/>
              </w:numPr>
              <w:tabs>
                <w:tab w:val="left" w:pos="881"/>
              </w:tabs>
              <w:ind w:left="0" w:firstLine="567"/>
              <w:rPr>
                <w:sz w:val="18"/>
                <w:szCs w:val="18"/>
                <w:highlight w:val="yellow"/>
              </w:rPr>
            </w:pPr>
            <w:r w:rsidRPr="00901570">
              <w:rPr>
                <w:sz w:val="18"/>
                <w:szCs w:val="18"/>
                <w:highlight w:val="yellow"/>
              </w:rPr>
              <w:t>whether to consider all languages of UPOV members in relation to common names of the genus to which a variety belongs.</w:t>
            </w:r>
          </w:p>
          <w:p w:rsidR="00B343D1" w:rsidRPr="00B343D1" w:rsidRDefault="00B343D1" w:rsidP="008B7F43">
            <w:pPr>
              <w:jc w:val="left"/>
              <w:rPr>
                <w:sz w:val="18"/>
                <w:szCs w:val="18"/>
              </w:rPr>
            </w:pPr>
          </w:p>
        </w:tc>
      </w:tr>
    </w:tbl>
    <w:p w:rsidR="00B343D1" w:rsidRDefault="00B343D1" w:rsidP="00F455CA">
      <w:pPr>
        <w:rPr>
          <w:lang w:eastAsia="ja-JP"/>
        </w:rPr>
      </w:pPr>
    </w:p>
    <w:tbl>
      <w:tblPr>
        <w:tblStyle w:val="TableGrid"/>
        <w:tblW w:w="0" w:type="auto"/>
        <w:tblLook w:val="04A0" w:firstRow="1" w:lastRow="0" w:firstColumn="1" w:lastColumn="0" w:noHBand="0" w:noVBand="1"/>
      </w:tblPr>
      <w:tblGrid>
        <w:gridCol w:w="9855"/>
      </w:tblGrid>
      <w:tr w:rsidR="00901570" w:rsidTr="005A5C77">
        <w:trPr>
          <w:cantSplit/>
        </w:trPr>
        <w:tc>
          <w:tcPr>
            <w:tcW w:w="9855" w:type="dxa"/>
            <w:shd w:val="clear" w:color="auto" w:fill="D9D9D9" w:themeFill="background1" w:themeFillShade="D9"/>
          </w:tcPr>
          <w:p w:rsidR="00901570" w:rsidRPr="0047703B" w:rsidRDefault="00901570" w:rsidP="008B7F43">
            <w:pPr>
              <w:jc w:val="left"/>
              <w:rPr>
                <w:sz w:val="18"/>
                <w:szCs w:val="18"/>
              </w:rPr>
            </w:pPr>
          </w:p>
          <w:p w:rsidR="00901570" w:rsidRPr="00901570" w:rsidRDefault="00F56921" w:rsidP="008B7F43">
            <w:pPr>
              <w:rPr>
                <w:sz w:val="18"/>
                <w:szCs w:val="18"/>
                <w:highlight w:val="yellow"/>
                <w:u w:val="single"/>
                <w:lang w:eastAsia="ja-JP"/>
              </w:rPr>
            </w:pPr>
            <w:r w:rsidRPr="00647151">
              <w:rPr>
                <w:sz w:val="18"/>
                <w:szCs w:val="18"/>
                <w:highlight w:val="yellow"/>
                <w:u w:val="single"/>
              </w:rPr>
              <w:t>Proposal by France</w:t>
            </w:r>
            <w:r w:rsidRPr="00C6215A">
              <w:rPr>
                <w:rFonts w:hint="eastAsia"/>
                <w:sz w:val="18"/>
                <w:szCs w:val="18"/>
                <w:highlight w:val="yellow"/>
                <w:u w:val="single"/>
                <w:lang w:eastAsia="ja-JP"/>
              </w:rPr>
              <w:t xml:space="preserve"> </w:t>
            </w:r>
            <w:r>
              <w:rPr>
                <w:rFonts w:hint="eastAsia"/>
                <w:sz w:val="18"/>
                <w:szCs w:val="18"/>
                <w:highlight w:val="yellow"/>
                <w:u w:val="single"/>
                <w:lang w:eastAsia="ja-JP"/>
              </w:rPr>
              <w:t xml:space="preserve">submitted </w:t>
            </w:r>
            <w:r w:rsidRPr="00C6215A">
              <w:rPr>
                <w:rFonts w:hint="eastAsia"/>
                <w:sz w:val="18"/>
                <w:szCs w:val="18"/>
                <w:highlight w:val="yellow"/>
                <w:u w:val="single"/>
                <w:lang w:eastAsia="ja-JP"/>
              </w:rPr>
              <w:t xml:space="preserve">in conjunction with </w:t>
            </w:r>
            <w:r>
              <w:rPr>
                <w:rFonts w:hint="eastAsia"/>
                <w:sz w:val="18"/>
                <w:szCs w:val="18"/>
                <w:highlight w:val="yellow"/>
                <w:u w:val="single"/>
                <w:lang w:eastAsia="ja-JP"/>
              </w:rPr>
              <w:t xml:space="preserve">other proposals for </w:t>
            </w:r>
            <w:r w:rsidRPr="00C6215A">
              <w:rPr>
                <w:sz w:val="18"/>
                <w:szCs w:val="18"/>
                <w:highlight w:val="yellow"/>
                <w:u w:val="single"/>
                <w:lang w:eastAsia="ja-JP"/>
              </w:rPr>
              <w:t>UPOV Circular E-16/088 of April 13, 2016</w:t>
            </w:r>
          </w:p>
          <w:p w:rsidR="00901570" w:rsidRPr="00901570" w:rsidRDefault="00901570" w:rsidP="008B7F43">
            <w:pPr>
              <w:rPr>
                <w:sz w:val="18"/>
                <w:szCs w:val="18"/>
                <w:highlight w:val="yellow"/>
                <w:u w:val="single"/>
              </w:rPr>
            </w:pPr>
          </w:p>
          <w:p w:rsidR="00901570" w:rsidRPr="00395671" w:rsidRDefault="00901570" w:rsidP="008B7F43">
            <w:pPr>
              <w:rPr>
                <w:spacing w:val="-2"/>
                <w:sz w:val="18"/>
                <w:szCs w:val="18"/>
              </w:rPr>
            </w:pPr>
            <w:r w:rsidRPr="00395671">
              <w:rPr>
                <w:spacing w:val="-2"/>
                <w:sz w:val="18"/>
                <w:szCs w:val="18"/>
                <w:highlight w:val="yellow"/>
              </w:rPr>
              <w:t>We think it should be avoided if it may mislead concerning the identity of the variety, or if it prevents users from identifying the variety amongst others. Latin or common names of the species/genera which the variety belongs (as such, or with an evocating word) should not be the only word of the denomination. Example of non-acceptable denominations because preventing from identifying the variety: ‘Lolius’ for a Lolium perenne variety, ‘Sunflow’ for a sunflower variety.  On the contrary, a denomination proposal ‘Pineapple’ or ‘Cherry’ for a tomato variety may be suitable, provided that it does not cause any confusion concerning the characteristics of the variety. In our opinion, the notion of “crop sector” used in the EU to authorize botanical name used as denomination as soon as it belongs to another crop sector that the one concerned by the variety works quite well (e.g. a botanical name of an ornamental species for a denomination of an agricultural variety).</w:t>
            </w:r>
          </w:p>
          <w:p w:rsidR="00901570" w:rsidRPr="0047703B" w:rsidRDefault="00901570" w:rsidP="008B7F43">
            <w:pPr>
              <w:jc w:val="left"/>
              <w:rPr>
                <w:sz w:val="18"/>
                <w:szCs w:val="18"/>
              </w:rPr>
            </w:pPr>
          </w:p>
        </w:tc>
      </w:tr>
    </w:tbl>
    <w:p w:rsidR="00634EB1" w:rsidRDefault="00634EB1" w:rsidP="00F455CA">
      <w:pPr>
        <w:rPr>
          <w:lang w:eastAsia="ja-JP"/>
        </w:rPr>
      </w:pPr>
    </w:p>
    <w:tbl>
      <w:tblPr>
        <w:tblStyle w:val="TableGrid"/>
        <w:tblW w:w="0" w:type="auto"/>
        <w:tblLook w:val="04A0" w:firstRow="1" w:lastRow="0" w:firstColumn="1" w:lastColumn="0" w:noHBand="0" w:noVBand="1"/>
      </w:tblPr>
      <w:tblGrid>
        <w:gridCol w:w="9855"/>
      </w:tblGrid>
      <w:tr w:rsidR="00F56921" w:rsidTr="00221105">
        <w:trPr>
          <w:cantSplit/>
        </w:trPr>
        <w:tc>
          <w:tcPr>
            <w:tcW w:w="9855" w:type="dxa"/>
            <w:shd w:val="clear" w:color="auto" w:fill="D9D9D9" w:themeFill="background1" w:themeFillShade="D9"/>
          </w:tcPr>
          <w:p w:rsidR="00F56921" w:rsidRPr="005F2452" w:rsidRDefault="00F56921" w:rsidP="00221105">
            <w:pPr>
              <w:rPr>
                <w:sz w:val="18"/>
                <w:szCs w:val="18"/>
              </w:rPr>
            </w:pPr>
          </w:p>
          <w:p w:rsidR="00F56921" w:rsidRPr="005F2452" w:rsidRDefault="00405FE5" w:rsidP="00221105">
            <w:pPr>
              <w:rPr>
                <w:color w:val="000000"/>
                <w:sz w:val="18"/>
                <w:szCs w:val="18"/>
                <w:u w:val="single"/>
              </w:rPr>
            </w:pPr>
            <w:r>
              <w:rPr>
                <w:rFonts w:hint="eastAsia"/>
                <w:color w:val="000000"/>
                <w:sz w:val="18"/>
                <w:szCs w:val="18"/>
                <w:highlight w:val="yellow"/>
                <w:u w:val="single"/>
                <w:lang w:eastAsia="ja-JP"/>
              </w:rPr>
              <w:t xml:space="preserve">Extract from </w:t>
            </w:r>
            <w:r w:rsidR="00F56921" w:rsidRPr="00F56921">
              <w:rPr>
                <w:rFonts w:hint="eastAsia"/>
                <w:color w:val="000000"/>
                <w:sz w:val="18"/>
                <w:szCs w:val="18"/>
                <w:highlight w:val="yellow"/>
                <w:u w:val="single"/>
                <w:lang w:eastAsia="ja-JP"/>
              </w:rPr>
              <w:t>ICNCP</w:t>
            </w:r>
            <w:r w:rsidR="00AF7D68">
              <w:rPr>
                <w:rFonts w:hint="eastAsia"/>
                <w:color w:val="000000"/>
                <w:sz w:val="18"/>
                <w:szCs w:val="18"/>
                <w:highlight w:val="yellow"/>
                <w:u w:val="single"/>
                <w:lang w:eastAsia="ja-JP"/>
              </w:rPr>
              <w:t xml:space="preserve"> </w:t>
            </w:r>
            <w:r w:rsidR="00AF7D68" w:rsidRPr="0067234E">
              <w:rPr>
                <w:rFonts w:hint="eastAsia"/>
                <w:color w:val="000000"/>
                <w:sz w:val="18"/>
                <w:szCs w:val="18"/>
                <w:highlight w:val="yellow"/>
                <w:u w:val="single"/>
                <w:lang w:eastAsia="ja-JP"/>
              </w:rPr>
              <w:t>provided by CPVO</w:t>
            </w:r>
          </w:p>
          <w:p w:rsidR="00F56921" w:rsidRDefault="00F56921" w:rsidP="00221105">
            <w:pPr>
              <w:tabs>
                <w:tab w:val="left" w:pos="380"/>
              </w:tabs>
              <w:rPr>
                <w:color w:val="000000"/>
                <w:sz w:val="18"/>
                <w:szCs w:val="18"/>
                <w:u w:val="single"/>
                <w:lang w:eastAsia="ja-JP"/>
              </w:rPr>
            </w:pP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21.20. Except where linguistic custom demands, a name is not established if on or after 1 January 1996 its cultivar epithet contains the Latin or common name(s) of the genus to which it is assigned.</w:t>
            </w:r>
          </w:p>
          <w:p w:rsidR="00F56921" w:rsidRPr="00F56921" w:rsidRDefault="00F56921" w:rsidP="00F56921">
            <w:pPr>
              <w:tabs>
                <w:tab w:val="left" w:pos="380"/>
              </w:tabs>
              <w:rPr>
                <w:color w:val="000000"/>
                <w:sz w:val="18"/>
                <w:szCs w:val="18"/>
                <w:highlight w:val="yellow"/>
                <w:lang w:eastAsia="ja-JP"/>
              </w:rPr>
            </w:pP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Ex. 33. Castanea ‘Pale Chestnut’, Gladiolus ‘Pink Gladiolus’, Narcissus ‘Davis Daff’, Narcissus ‘Granny’s Daffodil’, Paeonia ‘Sussex Peony’, Phlox ‘Phlox of Sheep’, and Rhododendron ‘Rhododendron Mad’ may not be established.</w:t>
            </w:r>
          </w:p>
          <w:p w:rsidR="00F56921" w:rsidRPr="00F56921" w:rsidRDefault="00F56921" w:rsidP="00F56921">
            <w:pPr>
              <w:tabs>
                <w:tab w:val="left" w:pos="380"/>
              </w:tabs>
              <w:rPr>
                <w:color w:val="000000"/>
                <w:sz w:val="18"/>
                <w:szCs w:val="18"/>
                <w:highlight w:val="yellow"/>
                <w:lang w:eastAsia="ja-JP"/>
              </w:rPr>
            </w:pP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Ex. 34. Dianthus ‘Rupert’s Pink’ is established; “pink” is not the common name for all plants in the genus Dianthus.</w:t>
            </w: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Ex. 35. Prunus ‘Sato-zakura’ is established; “zakura” is the Japanese word for flowering cherries, rather than a name for the whole genus.</w:t>
            </w:r>
          </w:p>
          <w:p w:rsidR="00F56921" w:rsidRPr="00F56921" w:rsidRDefault="00F56921" w:rsidP="00F56921">
            <w:pPr>
              <w:tabs>
                <w:tab w:val="left" w:pos="380"/>
              </w:tabs>
              <w:rPr>
                <w:color w:val="000000"/>
                <w:sz w:val="18"/>
                <w:szCs w:val="18"/>
                <w:highlight w:val="yellow"/>
                <w:lang w:eastAsia="ja-JP"/>
              </w:rPr>
            </w:pP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Ex. 36. Pyrus bretschneideri ‘Ya Li’ contains the word “li”, which is the Chinese common name for the genus Pyrus. According to Chinese linguistic custom, “li” is inseparable from “ya”, and its inclusion in the cultivar epithet is therefore necessary and acceptable.</w:t>
            </w:r>
          </w:p>
          <w:p w:rsidR="00F56921" w:rsidRPr="00F56921" w:rsidRDefault="00F56921" w:rsidP="00F56921">
            <w:pPr>
              <w:tabs>
                <w:tab w:val="left" w:pos="380"/>
              </w:tabs>
              <w:rPr>
                <w:color w:val="000000"/>
                <w:sz w:val="18"/>
                <w:szCs w:val="18"/>
                <w:highlight w:val="yellow"/>
                <w:lang w:eastAsia="ja-JP"/>
              </w:rPr>
            </w:pP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21.22. A name is not established if on or after 1 January 1959 its cultivar epithet is the name of a genus or the common name of a species or other denomination class if use of such epithets might lead to confusion.</w:t>
            </w:r>
          </w:p>
          <w:p w:rsidR="00F56921" w:rsidRPr="00F56921" w:rsidRDefault="00F56921" w:rsidP="00F56921">
            <w:pPr>
              <w:tabs>
                <w:tab w:val="left" w:pos="380"/>
              </w:tabs>
              <w:rPr>
                <w:color w:val="000000"/>
                <w:sz w:val="18"/>
                <w:szCs w:val="18"/>
                <w:highlight w:val="yellow"/>
                <w:lang w:eastAsia="ja-JP"/>
              </w:rPr>
            </w:pP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Ex. 39. The names Erica ‘Calluna’ and snowdrop ‘Snowflake’ may not be established since, by referring to them in the market place as ‘Calluna’ heather and ‘Snowflake’ snowdrop respectively, people might be confused. However names such as ash ‘Veronica’, Dianthus ‘Victoria’, Lilium ‘Erica’, Magnolia ‘Daphne’, and Rhododendron ‘Calypso’ would all be acceptable since, although the epithets are names of genera, they are unlikely to cause confusion if written ‘Veronica’ ash, ‘Victoria’ Dianthus, ‘Erica’ Lilium, ‘Daphne’ Magnolia, and ‘Calypso’ Rhododendron respectively.</w:t>
            </w:r>
          </w:p>
          <w:p w:rsidR="00F56921" w:rsidRPr="00F56921" w:rsidRDefault="00F56921" w:rsidP="00F56921">
            <w:pPr>
              <w:tabs>
                <w:tab w:val="left" w:pos="380"/>
              </w:tabs>
              <w:rPr>
                <w:color w:val="000000"/>
                <w:sz w:val="18"/>
                <w:szCs w:val="18"/>
                <w:highlight w:val="yellow"/>
                <w:lang w:eastAsia="ja-JP"/>
              </w:rPr>
            </w:pP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Ex. 40. Calluna ‘Heather’, Geranium ‘Herb Robert’, and Silene ‘Jupiterbloem’ could not be established since “heather” is the English common name for the genus Calluna, “herb robert” is an English common name for Geranium robertianum, and “jupiterbloem” is a Dutch common name for Silene flos-jovis.</w:t>
            </w:r>
          </w:p>
          <w:p w:rsidR="00F56921" w:rsidRPr="00F56921" w:rsidRDefault="00F56921" w:rsidP="00F56921">
            <w:pPr>
              <w:tabs>
                <w:tab w:val="left" w:pos="380"/>
              </w:tabs>
              <w:rPr>
                <w:color w:val="000000"/>
                <w:sz w:val="18"/>
                <w:szCs w:val="18"/>
                <w:highlight w:val="yellow"/>
                <w:lang w:eastAsia="ja-JP"/>
              </w:rPr>
            </w:pP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Ex. 41. The names of the plum cultivars ‘Apricot’ and ‘Peach’, or Prunus domestica ‘Apricot’ and Prunus domestica ‘Peach’ (Hogg, 1866), published well before 1959, can be considered established names.</w:t>
            </w:r>
          </w:p>
          <w:p w:rsidR="00F56921" w:rsidRPr="00F56921" w:rsidRDefault="00F56921" w:rsidP="00F56921">
            <w:pPr>
              <w:tabs>
                <w:tab w:val="left" w:pos="380"/>
              </w:tabs>
              <w:rPr>
                <w:color w:val="000000"/>
                <w:sz w:val="18"/>
                <w:szCs w:val="18"/>
                <w:highlight w:val="yellow"/>
                <w:lang w:eastAsia="ja-JP"/>
              </w:rPr>
            </w:pPr>
          </w:p>
          <w:p w:rsidR="00F56921" w:rsidRPr="00F56921" w:rsidRDefault="00F56921" w:rsidP="00F56921">
            <w:pPr>
              <w:tabs>
                <w:tab w:val="left" w:pos="380"/>
              </w:tabs>
              <w:rPr>
                <w:color w:val="000000"/>
                <w:sz w:val="18"/>
                <w:szCs w:val="18"/>
                <w:highlight w:val="yellow"/>
                <w:lang w:eastAsia="ja-JP"/>
              </w:rPr>
            </w:pPr>
            <w:r w:rsidRPr="00F56921">
              <w:rPr>
                <w:color w:val="000000"/>
                <w:sz w:val="18"/>
                <w:szCs w:val="18"/>
                <w:highlight w:val="yellow"/>
                <w:lang w:eastAsia="ja-JP"/>
              </w:rPr>
              <w:t xml:space="preserve">Ex. 42. Dahlia ‘Northwest Cosmos’ (named after the American baseball/football team), Dianthus ‘Giulia Viola’, and Rhododendron ‘Nancy Stipa’ are established names. </w:t>
            </w:r>
          </w:p>
          <w:p w:rsidR="00F56921" w:rsidRPr="00F56921" w:rsidRDefault="00F56921" w:rsidP="00F56921">
            <w:pPr>
              <w:tabs>
                <w:tab w:val="left" w:pos="380"/>
              </w:tabs>
              <w:rPr>
                <w:color w:val="000000"/>
                <w:sz w:val="18"/>
                <w:szCs w:val="18"/>
                <w:highlight w:val="yellow"/>
                <w:lang w:eastAsia="ja-JP"/>
              </w:rPr>
            </w:pPr>
          </w:p>
          <w:p w:rsidR="00F56921" w:rsidRPr="005F2452" w:rsidRDefault="00F56921" w:rsidP="00221105">
            <w:pPr>
              <w:tabs>
                <w:tab w:val="left" w:pos="380"/>
              </w:tabs>
              <w:rPr>
                <w:color w:val="000000"/>
                <w:sz w:val="18"/>
                <w:szCs w:val="18"/>
                <w:u w:val="single"/>
                <w:lang w:eastAsia="ja-JP"/>
              </w:rPr>
            </w:pPr>
            <w:r w:rsidRPr="00F56921">
              <w:rPr>
                <w:color w:val="000000"/>
                <w:sz w:val="18"/>
                <w:szCs w:val="18"/>
                <w:highlight w:val="yellow"/>
                <w:lang w:eastAsia="ja-JP"/>
              </w:rPr>
              <w:t>Ex. 43. Lilium ‘Henri’ is acceptable even though there is a Lilium henryi; Clematis ‘Florida Blue’ is acceptable even though there is a Clematis florida (“Florida” only forms part of the cultivar epithet and is a place name).</w:t>
            </w:r>
          </w:p>
          <w:p w:rsidR="00F56921" w:rsidRPr="005F2452" w:rsidRDefault="00F56921" w:rsidP="00F56921">
            <w:pPr>
              <w:rPr>
                <w:sz w:val="18"/>
                <w:szCs w:val="18"/>
              </w:rPr>
            </w:pPr>
          </w:p>
        </w:tc>
      </w:tr>
    </w:tbl>
    <w:p w:rsidR="00F56921" w:rsidRDefault="00F56921" w:rsidP="00F455CA">
      <w:pPr>
        <w:rPr>
          <w:lang w:eastAsia="ja-JP"/>
        </w:rPr>
      </w:pPr>
    </w:p>
    <w:p w:rsidR="000D59C2" w:rsidRPr="00407B23" w:rsidRDefault="000D59C2" w:rsidP="000D59C2">
      <w:r w:rsidRPr="00407B23">
        <w:t>2.3.2</w:t>
      </w:r>
      <w:r w:rsidRPr="00407B23">
        <w:tab/>
        <w:t>Value of the variety</w:t>
      </w:r>
    </w:p>
    <w:p w:rsidR="000D59C2" w:rsidRPr="00407B23" w:rsidRDefault="000D59C2" w:rsidP="000D59C2"/>
    <w:p w:rsidR="000D59C2" w:rsidRPr="00407B23" w:rsidRDefault="000D59C2" w:rsidP="000D59C2">
      <w:r w:rsidRPr="00407B23">
        <w:t xml:space="preserve">The denomination should not consist of, or contain, comparative or superlative designations. </w:t>
      </w:r>
    </w:p>
    <w:p w:rsidR="000D59C2" w:rsidRPr="00407B23" w:rsidRDefault="000D59C2" w:rsidP="000D59C2">
      <w:pPr>
        <w:ind w:firstLine="567"/>
      </w:pPr>
    </w:p>
    <w:p w:rsidR="000D59C2" w:rsidRPr="00407B23" w:rsidRDefault="000D59C2" w:rsidP="000D59C2">
      <w:pPr>
        <w:ind w:left="567"/>
      </w:pPr>
      <w:r w:rsidRPr="00407B23">
        <w:rPr>
          <w:i/>
        </w:rPr>
        <w:t>Example:</w:t>
      </w:r>
      <w:r w:rsidRPr="00407B23">
        <w:t xml:space="preserve">  a denomination which includes terms such as “Best”, “Superior”, “Sweeter”. </w:t>
      </w:r>
    </w:p>
    <w:p w:rsidR="000D59C2" w:rsidRDefault="000D59C2" w:rsidP="000D59C2"/>
    <w:tbl>
      <w:tblPr>
        <w:tblStyle w:val="TableGrid"/>
        <w:tblW w:w="0" w:type="auto"/>
        <w:tblLook w:val="04A0" w:firstRow="1" w:lastRow="0" w:firstColumn="1" w:lastColumn="0" w:noHBand="0" w:noVBand="1"/>
      </w:tblPr>
      <w:tblGrid>
        <w:gridCol w:w="9855"/>
      </w:tblGrid>
      <w:tr w:rsidR="005F2452" w:rsidTr="005A5C77">
        <w:trPr>
          <w:cantSplit/>
        </w:trPr>
        <w:tc>
          <w:tcPr>
            <w:tcW w:w="9855" w:type="dxa"/>
            <w:shd w:val="clear" w:color="auto" w:fill="D9D9D9" w:themeFill="background1" w:themeFillShade="D9"/>
          </w:tcPr>
          <w:p w:rsidR="005F2452" w:rsidRPr="005F2452" w:rsidRDefault="005F2452" w:rsidP="00FF105B">
            <w:pPr>
              <w:rPr>
                <w:sz w:val="18"/>
                <w:szCs w:val="18"/>
              </w:rPr>
            </w:pPr>
          </w:p>
          <w:p w:rsidR="005F2452" w:rsidRPr="005F2452" w:rsidRDefault="005F2452" w:rsidP="00FF105B">
            <w:pPr>
              <w:rPr>
                <w:color w:val="000000"/>
                <w:sz w:val="18"/>
                <w:szCs w:val="18"/>
                <w:u w:val="single"/>
              </w:rPr>
            </w:pPr>
            <w:r w:rsidRPr="005F2452">
              <w:rPr>
                <w:color w:val="000000"/>
                <w:sz w:val="18"/>
                <w:szCs w:val="18"/>
                <w:u w:val="single"/>
              </w:rPr>
              <w:t xml:space="preserve">Proposal by </w:t>
            </w:r>
            <w:r w:rsidR="00E30EE5">
              <w:rPr>
                <w:color w:val="000000"/>
                <w:sz w:val="18"/>
                <w:szCs w:val="18"/>
                <w:u w:val="single"/>
              </w:rPr>
              <w:t xml:space="preserve">the </w:t>
            </w:r>
            <w:r w:rsidRPr="005F2452">
              <w:rPr>
                <w:color w:val="000000"/>
                <w:sz w:val="18"/>
                <w:szCs w:val="18"/>
                <w:u w:val="single"/>
              </w:rPr>
              <w:t>European Union (CPVO)</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FF4493" w:rsidRPr="00FF4493">
              <w:rPr>
                <w:rStyle w:val="EndnoteReference"/>
                <w:sz w:val="18"/>
                <w:szCs w:val="18"/>
              </w:rPr>
              <w:t>a</w:t>
            </w:r>
            <w:r w:rsidRPr="005F2452">
              <w:rPr>
                <w:sz w:val="18"/>
                <w:szCs w:val="18"/>
              </w:rPr>
              <w:fldChar w:fldCharType="end"/>
            </w:r>
          </w:p>
          <w:p w:rsidR="005F2452" w:rsidRPr="005F2452" w:rsidRDefault="005F2452" w:rsidP="009D2ED1">
            <w:pPr>
              <w:tabs>
                <w:tab w:val="left" w:pos="380"/>
              </w:tabs>
              <w:rPr>
                <w:color w:val="000000"/>
                <w:sz w:val="18"/>
                <w:szCs w:val="18"/>
                <w:u w:val="single"/>
              </w:rPr>
            </w:pPr>
          </w:p>
          <w:p w:rsidR="005F2452" w:rsidRPr="005F2452" w:rsidRDefault="005F2452" w:rsidP="00FF105B">
            <w:pPr>
              <w:rPr>
                <w:sz w:val="18"/>
                <w:szCs w:val="18"/>
              </w:rPr>
            </w:pPr>
            <w:r w:rsidRPr="005F2452">
              <w:rPr>
                <w:sz w:val="18"/>
                <w:szCs w:val="18"/>
              </w:rPr>
              <w:t>More detaile</w:t>
            </w:r>
            <w:r w:rsidR="00E30EE5">
              <w:rPr>
                <w:sz w:val="18"/>
                <w:szCs w:val="18"/>
              </w:rPr>
              <w:t>d guidance and examples in the S</w:t>
            </w:r>
            <w:r w:rsidRPr="005F2452">
              <w:rPr>
                <w:sz w:val="18"/>
                <w:szCs w:val="18"/>
              </w:rPr>
              <w:t>ection 2.3.2 dealing with the value of the variety.</w:t>
            </w:r>
          </w:p>
          <w:p w:rsidR="005F2452" w:rsidRPr="005F2452" w:rsidRDefault="005F2452" w:rsidP="00FF105B">
            <w:pPr>
              <w:rPr>
                <w:sz w:val="18"/>
                <w:szCs w:val="18"/>
              </w:rPr>
            </w:pPr>
          </w:p>
        </w:tc>
      </w:tr>
    </w:tbl>
    <w:p w:rsidR="00E47B6B" w:rsidRDefault="00E47B6B" w:rsidP="00E47B6B"/>
    <w:tbl>
      <w:tblPr>
        <w:tblStyle w:val="TableGrid"/>
        <w:tblW w:w="0" w:type="auto"/>
        <w:tblLook w:val="04A0" w:firstRow="1" w:lastRow="0" w:firstColumn="1" w:lastColumn="0" w:noHBand="0" w:noVBand="1"/>
      </w:tblPr>
      <w:tblGrid>
        <w:gridCol w:w="9855"/>
      </w:tblGrid>
      <w:tr w:rsidR="00E47B6B" w:rsidTr="005A5C77">
        <w:trPr>
          <w:cantSplit/>
        </w:trPr>
        <w:tc>
          <w:tcPr>
            <w:tcW w:w="9855" w:type="dxa"/>
            <w:shd w:val="clear" w:color="auto" w:fill="D9D9D9" w:themeFill="background1" w:themeFillShade="D9"/>
          </w:tcPr>
          <w:p w:rsidR="00E47B6B" w:rsidRPr="0047703B" w:rsidRDefault="00E47B6B" w:rsidP="00B85382">
            <w:pPr>
              <w:jc w:val="left"/>
              <w:rPr>
                <w:sz w:val="18"/>
                <w:szCs w:val="18"/>
              </w:rPr>
            </w:pPr>
          </w:p>
          <w:p w:rsidR="00E47B6B" w:rsidRPr="0047703B" w:rsidRDefault="00E47B6B" w:rsidP="003838ED">
            <w:pPr>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4493" w:rsidRPr="00FF4493">
              <w:rPr>
                <w:rStyle w:val="EndnoteReference"/>
                <w:sz w:val="18"/>
                <w:szCs w:val="18"/>
              </w:rPr>
              <w:t>c</w:t>
            </w:r>
            <w:r w:rsidRPr="0047703B">
              <w:rPr>
                <w:sz w:val="18"/>
                <w:szCs w:val="18"/>
              </w:rPr>
              <w:fldChar w:fldCharType="end"/>
            </w:r>
          </w:p>
          <w:p w:rsidR="00E47B6B" w:rsidRPr="0047703B" w:rsidRDefault="00E47B6B" w:rsidP="003838ED">
            <w:pPr>
              <w:rPr>
                <w:sz w:val="18"/>
                <w:szCs w:val="18"/>
              </w:rPr>
            </w:pPr>
          </w:p>
          <w:p w:rsidR="00E47B6B" w:rsidRDefault="004423CB" w:rsidP="00A722E7">
            <w:pPr>
              <w:rPr>
                <w:sz w:val="18"/>
                <w:szCs w:val="18"/>
              </w:rPr>
            </w:pPr>
            <w:r>
              <w:rPr>
                <w:sz w:val="18"/>
                <w:szCs w:val="18"/>
              </w:rPr>
              <w:t>Section 2.3.2:  t</w:t>
            </w:r>
            <w:r w:rsidR="00E47B6B">
              <w:rPr>
                <w:sz w:val="18"/>
                <w:szCs w:val="18"/>
              </w:rPr>
              <w:t>he current guidance is too simplified.</w:t>
            </w:r>
            <w:r>
              <w:rPr>
                <w:sz w:val="18"/>
                <w:szCs w:val="18"/>
              </w:rPr>
              <w:t xml:space="preserve"> </w:t>
            </w:r>
            <w:r w:rsidR="00E47B6B">
              <w:rPr>
                <w:sz w:val="18"/>
                <w:szCs w:val="18"/>
              </w:rPr>
              <w:t xml:space="preserve"> It should not be enough </w:t>
            </w:r>
            <w:r w:rsidR="00E47B6B" w:rsidRPr="00E47B6B">
              <w:rPr>
                <w:sz w:val="18"/>
                <w:szCs w:val="18"/>
                <w:u w:val="single"/>
              </w:rPr>
              <w:t>just to include</w:t>
            </w:r>
            <w:r w:rsidR="00E47B6B">
              <w:rPr>
                <w:sz w:val="18"/>
                <w:szCs w:val="18"/>
              </w:rPr>
              <w:t xml:space="preserve"> superlatives or compar</w:t>
            </w:r>
            <w:r w:rsidR="009A305F">
              <w:rPr>
                <w:sz w:val="18"/>
                <w:szCs w:val="18"/>
              </w:rPr>
              <w:t>atives, a more complete evaluation should be used conside</w:t>
            </w:r>
            <w:r w:rsidR="00E47B6B">
              <w:rPr>
                <w:sz w:val="18"/>
                <w:szCs w:val="18"/>
              </w:rPr>
              <w:t>ring the whole context and presence and position of other wo</w:t>
            </w:r>
            <w:r w:rsidR="009A305F">
              <w:rPr>
                <w:sz w:val="18"/>
                <w:szCs w:val="18"/>
              </w:rPr>
              <w:t>r</w:t>
            </w:r>
            <w:r w:rsidR="00E47B6B">
              <w:rPr>
                <w:sz w:val="18"/>
                <w:szCs w:val="18"/>
              </w:rPr>
              <w:t>ds in the denomination.</w:t>
            </w:r>
            <w:r>
              <w:rPr>
                <w:sz w:val="18"/>
                <w:szCs w:val="18"/>
              </w:rPr>
              <w:t xml:space="preserve"> </w:t>
            </w:r>
            <w:r w:rsidR="00E47B6B">
              <w:rPr>
                <w:sz w:val="18"/>
                <w:szCs w:val="18"/>
              </w:rPr>
              <w:t xml:space="preserve"> ‘</w:t>
            </w:r>
            <w:r w:rsidR="009A305F">
              <w:rPr>
                <w:sz w:val="18"/>
                <w:szCs w:val="18"/>
              </w:rPr>
              <w:t>P</w:t>
            </w:r>
            <w:r w:rsidR="00E47B6B">
              <w:rPr>
                <w:sz w:val="18"/>
                <w:szCs w:val="18"/>
              </w:rPr>
              <w:t>in</w:t>
            </w:r>
            <w:r w:rsidR="009A305F">
              <w:rPr>
                <w:sz w:val="18"/>
                <w:szCs w:val="18"/>
              </w:rPr>
              <w:t>k</w:t>
            </w:r>
            <w:r w:rsidR="00E47B6B">
              <w:rPr>
                <w:sz w:val="18"/>
                <w:szCs w:val="18"/>
              </w:rPr>
              <w:t xml:space="preserve"> Supreme’, ‘Best Wishes’ and ‘Lake Superior’ contain superlatives but viewed as a whole, may be acceptable denominations.</w:t>
            </w:r>
          </w:p>
          <w:p w:rsidR="00E30EE5" w:rsidRPr="0047703B" w:rsidRDefault="00E30EE5" w:rsidP="00A722E7">
            <w:pPr>
              <w:rPr>
                <w:sz w:val="18"/>
                <w:szCs w:val="18"/>
              </w:rPr>
            </w:pPr>
          </w:p>
        </w:tc>
      </w:tr>
    </w:tbl>
    <w:p w:rsidR="00506F23" w:rsidRDefault="00506F23" w:rsidP="00901570">
      <w:pPr>
        <w:rPr>
          <w:lang w:eastAsia="ja-JP"/>
        </w:rPr>
      </w:pPr>
    </w:p>
    <w:tbl>
      <w:tblPr>
        <w:tblStyle w:val="TableGrid"/>
        <w:tblW w:w="0" w:type="auto"/>
        <w:tblLook w:val="04A0" w:firstRow="1" w:lastRow="0" w:firstColumn="1" w:lastColumn="0" w:noHBand="0" w:noVBand="1"/>
      </w:tblPr>
      <w:tblGrid>
        <w:gridCol w:w="9855"/>
      </w:tblGrid>
      <w:tr w:rsidR="00901570" w:rsidTr="00901570">
        <w:trPr>
          <w:cantSplit/>
        </w:trPr>
        <w:tc>
          <w:tcPr>
            <w:tcW w:w="9855" w:type="dxa"/>
            <w:shd w:val="clear" w:color="auto" w:fill="D9D9D9" w:themeFill="background1" w:themeFillShade="D9"/>
          </w:tcPr>
          <w:p w:rsidR="00901570" w:rsidRPr="00B343D1" w:rsidRDefault="00901570" w:rsidP="008B7F43">
            <w:pPr>
              <w:jc w:val="left"/>
              <w:rPr>
                <w:sz w:val="18"/>
                <w:szCs w:val="18"/>
              </w:rPr>
            </w:pPr>
          </w:p>
          <w:p w:rsidR="00901570" w:rsidRPr="00901570" w:rsidRDefault="00901570" w:rsidP="008B7F43">
            <w:pPr>
              <w:rPr>
                <w:sz w:val="18"/>
                <w:szCs w:val="18"/>
                <w:highlight w:val="yellow"/>
                <w:u w:val="single"/>
              </w:rPr>
            </w:pPr>
            <w:r w:rsidRPr="00901570">
              <w:rPr>
                <w:sz w:val="18"/>
                <w:szCs w:val="18"/>
                <w:highlight w:val="yellow"/>
                <w:u w:val="single"/>
              </w:rPr>
              <w:t>Agreed by the WG-DEN</w:t>
            </w:r>
            <w:r w:rsidRPr="0095486A">
              <w:rPr>
                <w:rStyle w:val="EndnoteReference"/>
                <w:sz w:val="18"/>
                <w:szCs w:val="18"/>
                <w:highlight w:val="yellow"/>
              </w:rPr>
              <w:endnoteReference w:id="11"/>
            </w:r>
          </w:p>
          <w:p w:rsidR="00901570" w:rsidRPr="00395671" w:rsidRDefault="00901570" w:rsidP="008B7F43">
            <w:pPr>
              <w:rPr>
                <w:sz w:val="16"/>
                <w:szCs w:val="18"/>
                <w:highlight w:val="yellow"/>
                <w:u w:val="single"/>
              </w:rPr>
            </w:pPr>
          </w:p>
          <w:p w:rsidR="00901570" w:rsidRPr="00901570" w:rsidRDefault="00901570" w:rsidP="00901570">
            <w:pPr>
              <w:ind w:left="567" w:hanging="567"/>
              <w:rPr>
                <w:sz w:val="18"/>
                <w:szCs w:val="18"/>
                <w:highlight w:val="yellow"/>
              </w:rPr>
            </w:pPr>
            <w:r w:rsidRPr="00901570">
              <w:rPr>
                <w:sz w:val="18"/>
                <w:szCs w:val="18"/>
                <w:highlight w:val="yellow"/>
              </w:rPr>
              <w:t>-</w:t>
            </w:r>
            <w:r w:rsidRPr="00901570">
              <w:rPr>
                <w:sz w:val="18"/>
                <w:szCs w:val="18"/>
                <w:highlight w:val="yellow"/>
              </w:rPr>
              <w:tab/>
              <w:t>Superlatives and comparatives should only be unacceptable if they misled or caused confusion concerning the characteristics of the variety.</w:t>
            </w:r>
          </w:p>
          <w:p w:rsidR="00901570" w:rsidRPr="00395671" w:rsidRDefault="00901570" w:rsidP="00901570">
            <w:pPr>
              <w:rPr>
                <w:sz w:val="16"/>
                <w:szCs w:val="18"/>
                <w:highlight w:val="yellow"/>
              </w:rPr>
            </w:pPr>
          </w:p>
          <w:p w:rsidR="00901570" w:rsidRDefault="00901570" w:rsidP="00901570">
            <w:pPr>
              <w:ind w:left="567" w:hanging="567"/>
              <w:jc w:val="left"/>
              <w:rPr>
                <w:sz w:val="18"/>
                <w:szCs w:val="18"/>
              </w:rPr>
            </w:pPr>
            <w:r w:rsidRPr="00901570">
              <w:rPr>
                <w:sz w:val="18"/>
                <w:szCs w:val="18"/>
                <w:highlight w:val="yellow"/>
              </w:rPr>
              <w:t>-</w:t>
            </w:r>
            <w:r w:rsidRPr="00901570">
              <w:rPr>
                <w:sz w:val="18"/>
                <w:szCs w:val="18"/>
                <w:highlight w:val="yellow"/>
              </w:rPr>
              <w:tab/>
              <w:t>Examples of acceptable and unacceptable use of superlatives and comparatives should be provided in document UPOV/INF/12.</w:t>
            </w:r>
          </w:p>
          <w:p w:rsidR="00A0274F" w:rsidRDefault="00A0274F" w:rsidP="00901570">
            <w:pPr>
              <w:ind w:left="567" w:hanging="567"/>
              <w:jc w:val="left"/>
              <w:rPr>
                <w:sz w:val="18"/>
                <w:szCs w:val="18"/>
                <w:lang w:eastAsia="ja-JP"/>
              </w:rPr>
            </w:pPr>
          </w:p>
          <w:p w:rsidR="00907D20" w:rsidRDefault="00907D20" w:rsidP="00901570">
            <w:pPr>
              <w:ind w:left="567" w:hanging="567"/>
              <w:jc w:val="left"/>
              <w:rPr>
                <w:sz w:val="18"/>
                <w:szCs w:val="18"/>
                <w:lang w:eastAsia="ja-JP"/>
              </w:rPr>
            </w:pPr>
          </w:p>
          <w:p w:rsidR="00A0274F" w:rsidRDefault="00A0274F" w:rsidP="00A0274F">
            <w:pPr>
              <w:rPr>
                <w:sz w:val="18"/>
                <w:szCs w:val="18"/>
                <w:lang w:eastAsia="ja-JP"/>
              </w:rPr>
            </w:pPr>
            <w:r w:rsidRPr="00596EC4">
              <w:rPr>
                <w:sz w:val="18"/>
                <w:szCs w:val="18"/>
                <w:highlight w:val="yellow"/>
                <w:lang w:eastAsia="ja-JP"/>
              </w:rPr>
              <w:t>UPOV Circular E-16/088 of April 13, 2016</w:t>
            </w:r>
            <w:r w:rsidRPr="00596EC4">
              <w:rPr>
                <w:rFonts w:hint="eastAsia"/>
                <w:sz w:val="18"/>
                <w:szCs w:val="18"/>
                <w:highlight w:val="yellow"/>
                <w:lang w:eastAsia="ja-JP"/>
              </w:rPr>
              <w:t xml:space="preserve">, </w:t>
            </w:r>
            <w:r w:rsidRPr="00596EC4">
              <w:rPr>
                <w:sz w:val="18"/>
                <w:szCs w:val="18"/>
                <w:highlight w:val="yellow"/>
                <w:lang w:eastAsia="ja-JP"/>
              </w:rPr>
              <w:t>invite</w:t>
            </w:r>
            <w:r w:rsidRPr="00596EC4">
              <w:rPr>
                <w:rFonts w:hint="eastAsia"/>
                <w:sz w:val="18"/>
                <w:szCs w:val="18"/>
                <w:highlight w:val="yellow"/>
                <w:lang w:eastAsia="ja-JP"/>
              </w:rPr>
              <w:t>d</w:t>
            </w:r>
            <w:r>
              <w:rPr>
                <w:sz w:val="18"/>
                <w:szCs w:val="18"/>
                <w:highlight w:val="yellow"/>
                <w:lang w:eastAsia="ja-JP"/>
              </w:rPr>
              <w:t xml:space="preserve"> </w:t>
            </w:r>
            <w:r w:rsidR="00C6215A">
              <w:rPr>
                <w:sz w:val="18"/>
                <w:szCs w:val="18"/>
                <w:highlight w:val="yellow"/>
                <w:lang w:eastAsia="ja-JP"/>
              </w:rPr>
              <w:t>members of the WG</w:t>
            </w:r>
            <w:r w:rsidR="00C6215A">
              <w:rPr>
                <w:rFonts w:hint="eastAsia"/>
                <w:sz w:val="18"/>
                <w:szCs w:val="18"/>
                <w:highlight w:val="yellow"/>
                <w:lang w:eastAsia="ja-JP"/>
              </w:rPr>
              <w:t>-</w:t>
            </w:r>
            <w:r w:rsidRPr="00A0274F">
              <w:rPr>
                <w:sz w:val="18"/>
                <w:szCs w:val="18"/>
                <w:highlight w:val="yellow"/>
                <w:lang w:eastAsia="ja-JP"/>
              </w:rPr>
              <w:t>DEN to submit examples of acceptable and unacceptable use of superlatives and comparatives</w:t>
            </w:r>
            <w:r w:rsidRPr="00A0274F">
              <w:rPr>
                <w:rFonts w:hint="eastAsia"/>
                <w:sz w:val="18"/>
                <w:szCs w:val="18"/>
                <w:highlight w:val="yellow"/>
                <w:lang w:eastAsia="ja-JP"/>
              </w:rPr>
              <w:t>, a</w:t>
            </w:r>
            <w:r w:rsidRPr="00596EC4">
              <w:rPr>
                <w:rFonts w:hint="eastAsia"/>
                <w:sz w:val="18"/>
                <w:szCs w:val="18"/>
                <w:highlight w:val="yellow"/>
                <w:lang w:eastAsia="ja-JP"/>
              </w:rPr>
              <w:t>n</w:t>
            </w:r>
            <w:r w:rsidR="0067234E">
              <w:rPr>
                <w:rFonts w:hint="eastAsia"/>
                <w:sz w:val="18"/>
                <w:szCs w:val="18"/>
                <w:highlight w:val="yellow"/>
                <w:lang w:eastAsia="ja-JP"/>
              </w:rPr>
              <w:t>d received proposals as follows</w:t>
            </w:r>
            <w:r w:rsidR="0067234E" w:rsidRPr="00395671">
              <w:rPr>
                <w:sz w:val="18"/>
                <w:szCs w:val="18"/>
                <w:highlight w:val="yellow"/>
                <w:lang w:eastAsia="ja-JP"/>
              </w:rPr>
              <w:t>:</w:t>
            </w:r>
          </w:p>
          <w:p w:rsidR="00A0274F" w:rsidRDefault="00A0274F" w:rsidP="00395671">
            <w:pPr>
              <w:spacing w:line="360" w:lineRule="auto"/>
              <w:ind w:left="567" w:hanging="567"/>
              <w:jc w:val="left"/>
              <w:rPr>
                <w:sz w:val="18"/>
                <w:szCs w:val="18"/>
                <w:lang w:eastAsia="ja-JP"/>
              </w:rPr>
            </w:pPr>
          </w:p>
          <w:p w:rsidR="00A0274F" w:rsidRPr="00901570" w:rsidRDefault="00A0274F" w:rsidP="00A0274F">
            <w:pPr>
              <w:rPr>
                <w:sz w:val="18"/>
                <w:szCs w:val="18"/>
                <w:highlight w:val="yellow"/>
                <w:lang w:eastAsia="ja-JP"/>
              </w:rPr>
            </w:pPr>
            <w:r w:rsidRPr="00901570">
              <w:rPr>
                <w:sz w:val="18"/>
                <w:szCs w:val="18"/>
                <w:highlight w:val="yellow"/>
                <w:u w:val="single"/>
              </w:rPr>
              <w:t>Proposal by France</w:t>
            </w:r>
          </w:p>
          <w:p w:rsidR="00A0274F" w:rsidRPr="00395671" w:rsidRDefault="00A0274F" w:rsidP="00A0274F">
            <w:pPr>
              <w:rPr>
                <w:sz w:val="16"/>
                <w:szCs w:val="18"/>
                <w:highlight w:val="yellow"/>
              </w:rPr>
            </w:pPr>
          </w:p>
          <w:p w:rsidR="00A0274F" w:rsidRDefault="00A0274F" w:rsidP="00A0274F">
            <w:pPr>
              <w:rPr>
                <w:sz w:val="18"/>
                <w:szCs w:val="18"/>
              </w:rPr>
            </w:pPr>
            <w:r w:rsidRPr="00901570">
              <w:rPr>
                <w:sz w:val="18"/>
                <w:szCs w:val="18"/>
                <w:highlight w:val="yellow"/>
              </w:rPr>
              <w:t>In general we do not accept denominations including this type of terms, provided that (specially for superlative terms) it has not been proved by the competent authority and may thus be misleading. Examples: ‘EXCELSIOR’, ‘EXCELLIUM’.</w:t>
            </w:r>
          </w:p>
          <w:p w:rsidR="00A0274F" w:rsidRDefault="00A0274F" w:rsidP="00395671">
            <w:pPr>
              <w:spacing w:line="360" w:lineRule="auto"/>
              <w:ind w:left="567" w:hanging="567"/>
              <w:jc w:val="left"/>
              <w:rPr>
                <w:sz w:val="18"/>
                <w:szCs w:val="18"/>
                <w:lang w:eastAsia="ja-JP"/>
              </w:rPr>
            </w:pPr>
          </w:p>
          <w:p w:rsidR="00A0274F" w:rsidRPr="00D1580B" w:rsidRDefault="00A0274F" w:rsidP="00A0274F">
            <w:pPr>
              <w:rPr>
                <w:sz w:val="18"/>
                <w:szCs w:val="18"/>
                <w:highlight w:val="yellow"/>
                <w:lang w:eastAsia="ja-JP"/>
              </w:rPr>
            </w:pPr>
            <w:r w:rsidRPr="00D1580B">
              <w:rPr>
                <w:sz w:val="18"/>
                <w:szCs w:val="18"/>
                <w:highlight w:val="yellow"/>
                <w:u w:val="single"/>
              </w:rPr>
              <w:t>Proposal by the Netherlands</w:t>
            </w:r>
          </w:p>
          <w:p w:rsidR="00A0274F" w:rsidRPr="00395671" w:rsidRDefault="00A0274F" w:rsidP="00A0274F">
            <w:pPr>
              <w:rPr>
                <w:sz w:val="16"/>
                <w:szCs w:val="18"/>
                <w:highlight w:val="yellow"/>
              </w:rPr>
            </w:pPr>
          </w:p>
          <w:p w:rsidR="00A0274F" w:rsidRPr="00D1580B" w:rsidRDefault="00A0274F" w:rsidP="00A0274F">
            <w:pPr>
              <w:rPr>
                <w:sz w:val="18"/>
                <w:szCs w:val="18"/>
                <w:highlight w:val="yellow"/>
              </w:rPr>
            </w:pPr>
            <w:r w:rsidRPr="00D1580B">
              <w:rPr>
                <w:sz w:val="18"/>
                <w:szCs w:val="18"/>
                <w:highlight w:val="yellow"/>
              </w:rPr>
              <w:t>Acceptable are:</w:t>
            </w:r>
          </w:p>
          <w:p w:rsidR="00A0274F" w:rsidRPr="00D1580B" w:rsidRDefault="00A0274F" w:rsidP="00A0274F">
            <w:pPr>
              <w:rPr>
                <w:sz w:val="18"/>
                <w:szCs w:val="18"/>
                <w:highlight w:val="yellow"/>
              </w:rPr>
            </w:pPr>
            <w:r w:rsidRPr="00D1580B">
              <w:rPr>
                <w:sz w:val="18"/>
                <w:szCs w:val="18"/>
                <w:highlight w:val="yellow"/>
              </w:rPr>
              <w:t>•</w:t>
            </w:r>
            <w:r w:rsidRPr="00D1580B">
              <w:rPr>
                <w:sz w:val="18"/>
                <w:szCs w:val="18"/>
                <w:highlight w:val="yellow"/>
              </w:rPr>
              <w:tab/>
              <w:t>‘Excellent’, ‘Brilliant Taste’.</w:t>
            </w:r>
          </w:p>
          <w:p w:rsidR="00A0274F" w:rsidRPr="00395671" w:rsidRDefault="00A0274F" w:rsidP="00A0274F">
            <w:pPr>
              <w:rPr>
                <w:sz w:val="16"/>
                <w:szCs w:val="18"/>
                <w:highlight w:val="yellow"/>
              </w:rPr>
            </w:pPr>
          </w:p>
          <w:p w:rsidR="00A0274F" w:rsidRPr="00D1580B" w:rsidRDefault="00A0274F" w:rsidP="00A0274F">
            <w:pPr>
              <w:rPr>
                <w:sz w:val="18"/>
                <w:szCs w:val="18"/>
                <w:highlight w:val="yellow"/>
              </w:rPr>
            </w:pPr>
            <w:r w:rsidRPr="00D1580B">
              <w:rPr>
                <w:sz w:val="18"/>
                <w:szCs w:val="18"/>
                <w:highlight w:val="yellow"/>
              </w:rPr>
              <w:t>Unacceptable are:</w:t>
            </w:r>
          </w:p>
          <w:p w:rsidR="00A0274F" w:rsidRDefault="00A0274F" w:rsidP="00A0274F">
            <w:pPr>
              <w:rPr>
                <w:sz w:val="18"/>
                <w:szCs w:val="18"/>
              </w:rPr>
            </w:pPr>
            <w:r w:rsidRPr="00D1580B">
              <w:rPr>
                <w:sz w:val="18"/>
                <w:szCs w:val="18"/>
                <w:highlight w:val="yellow"/>
              </w:rPr>
              <w:t>•</w:t>
            </w:r>
            <w:r w:rsidRPr="00D1580B">
              <w:rPr>
                <w:sz w:val="18"/>
                <w:szCs w:val="18"/>
                <w:highlight w:val="yellow"/>
              </w:rPr>
              <w:tab/>
              <w:t xml:space="preserve"> ‘Longest of All’, ‘Best Ever’, ‘Germany’s Best’.</w:t>
            </w:r>
          </w:p>
          <w:p w:rsidR="00A0274F" w:rsidRDefault="00A0274F" w:rsidP="00395671">
            <w:pPr>
              <w:spacing w:line="360" w:lineRule="auto"/>
              <w:ind w:left="567" w:hanging="567"/>
              <w:jc w:val="left"/>
              <w:rPr>
                <w:sz w:val="18"/>
                <w:szCs w:val="18"/>
                <w:lang w:eastAsia="ja-JP"/>
              </w:rPr>
            </w:pPr>
          </w:p>
          <w:p w:rsidR="00A0274F" w:rsidRPr="00284615" w:rsidRDefault="00A0274F" w:rsidP="00A0274F">
            <w:pPr>
              <w:rPr>
                <w:sz w:val="18"/>
                <w:szCs w:val="18"/>
                <w:highlight w:val="yellow"/>
                <w:lang w:eastAsia="ja-JP"/>
              </w:rPr>
            </w:pPr>
            <w:r w:rsidRPr="00284615">
              <w:rPr>
                <w:sz w:val="18"/>
                <w:szCs w:val="18"/>
                <w:highlight w:val="yellow"/>
                <w:u w:val="single"/>
              </w:rPr>
              <w:t>Proposal by New Zealand</w:t>
            </w:r>
          </w:p>
          <w:p w:rsidR="00A0274F" w:rsidRPr="00395671" w:rsidRDefault="00A0274F" w:rsidP="00A0274F">
            <w:pPr>
              <w:rPr>
                <w:sz w:val="16"/>
                <w:szCs w:val="18"/>
                <w:highlight w:val="yellow"/>
              </w:rPr>
            </w:pPr>
          </w:p>
          <w:p w:rsidR="00A0274F" w:rsidRPr="00284615" w:rsidRDefault="00A0274F" w:rsidP="00A0274F">
            <w:pPr>
              <w:tabs>
                <w:tab w:val="left" w:pos="2567"/>
              </w:tabs>
              <w:rPr>
                <w:sz w:val="18"/>
                <w:szCs w:val="18"/>
                <w:highlight w:val="yellow"/>
              </w:rPr>
            </w:pPr>
            <w:r w:rsidRPr="00284615">
              <w:rPr>
                <w:i/>
                <w:sz w:val="18"/>
                <w:szCs w:val="18"/>
                <w:highlight w:val="yellow"/>
              </w:rPr>
              <w:t xml:space="preserve">Trachelium </w:t>
            </w:r>
            <w:r w:rsidRPr="00284615">
              <w:rPr>
                <w:sz w:val="18"/>
                <w:szCs w:val="18"/>
                <w:highlight w:val="yellow"/>
              </w:rPr>
              <w:t xml:space="preserve"> ‘Lake Superior’</w:t>
            </w:r>
            <w:r w:rsidRPr="00284615">
              <w:rPr>
                <w:sz w:val="18"/>
                <w:szCs w:val="18"/>
                <w:highlight w:val="yellow"/>
              </w:rPr>
              <w:tab/>
              <w:t>The use of superior has no connection with value or worth.  Acceptable.</w:t>
            </w:r>
          </w:p>
          <w:p w:rsidR="00A0274F" w:rsidRPr="00395671" w:rsidRDefault="00A0274F" w:rsidP="00A0274F">
            <w:pPr>
              <w:tabs>
                <w:tab w:val="left" w:pos="2567"/>
              </w:tabs>
              <w:rPr>
                <w:sz w:val="16"/>
                <w:szCs w:val="18"/>
                <w:highlight w:val="yellow"/>
              </w:rPr>
            </w:pPr>
          </w:p>
          <w:p w:rsidR="00A0274F" w:rsidRPr="00284615" w:rsidRDefault="00A0274F" w:rsidP="00A0274F">
            <w:pPr>
              <w:tabs>
                <w:tab w:val="left" w:pos="2567"/>
              </w:tabs>
              <w:rPr>
                <w:sz w:val="18"/>
                <w:szCs w:val="18"/>
                <w:highlight w:val="yellow"/>
              </w:rPr>
            </w:pPr>
            <w:r w:rsidRPr="00284615">
              <w:rPr>
                <w:i/>
                <w:sz w:val="18"/>
                <w:szCs w:val="18"/>
                <w:highlight w:val="yellow"/>
              </w:rPr>
              <w:t>Clematis</w:t>
            </w:r>
            <w:r w:rsidRPr="00284615">
              <w:rPr>
                <w:sz w:val="18"/>
                <w:szCs w:val="18"/>
                <w:highlight w:val="yellow"/>
              </w:rPr>
              <w:t xml:space="preserve"> ‘Best Wishes’ </w:t>
            </w:r>
            <w:r w:rsidRPr="00284615">
              <w:rPr>
                <w:sz w:val="18"/>
                <w:szCs w:val="18"/>
                <w:highlight w:val="yellow"/>
              </w:rPr>
              <w:tab/>
              <w:t>Best has no connection with value, worth.  Acceptable.</w:t>
            </w:r>
          </w:p>
          <w:p w:rsidR="00A0274F" w:rsidRPr="00395671" w:rsidRDefault="00A0274F" w:rsidP="00A0274F">
            <w:pPr>
              <w:tabs>
                <w:tab w:val="left" w:pos="2567"/>
              </w:tabs>
              <w:rPr>
                <w:sz w:val="16"/>
                <w:szCs w:val="18"/>
                <w:highlight w:val="yellow"/>
              </w:rPr>
            </w:pPr>
          </w:p>
          <w:p w:rsidR="00A0274F" w:rsidRPr="00284615" w:rsidRDefault="00A0274F" w:rsidP="00A0274F">
            <w:pPr>
              <w:tabs>
                <w:tab w:val="left" w:pos="2567"/>
              </w:tabs>
              <w:rPr>
                <w:sz w:val="18"/>
                <w:szCs w:val="18"/>
                <w:highlight w:val="yellow"/>
              </w:rPr>
            </w:pPr>
            <w:r w:rsidRPr="00284615">
              <w:rPr>
                <w:sz w:val="18"/>
                <w:szCs w:val="18"/>
                <w:highlight w:val="yellow"/>
              </w:rPr>
              <w:t>The superlative ‘Supreme’ has been accepted in denominations, ‘Regal Supreme’, ‘Pink Supreme’, ‘Thai Supreme’ but note that the word order appears to significant because there are very few, if any, denominations where use of ‘Supreme’ is acceptable when used first ‘Supreme XXX’.</w:t>
            </w:r>
          </w:p>
          <w:p w:rsidR="00A0274F" w:rsidRPr="00395671" w:rsidRDefault="00A0274F" w:rsidP="00A0274F">
            <w:pPr>
              <w:tabs>
                <w:tab w:val="left" w:pos="2567"/>
              </w:tabs>
              <w:rPr>
                <w:sz w:val="16"/>
                <w:szCs w:val="18"/>
                <w:highlight w:val="yellow"/>
              </w:rPr>
            </w:pPr>
          </w:p>
          <w:p w:rsidR="00A0274F" w:rsidRPr="00284615" w:rsidRDefault="00A0274F" w:rsidP="00A0274F">
            <w:pPr>
              <w:tabs>
                <w:tab w:val="left" w:pos="2567"/>
              </w:tabs>
              <w:rPr>
                <w:sz w:val="18"/>
                <w:szCs w:val="18"/>
                <w:highlight w:val="yellow"/>
              </w:rPr>
            </w:pPr>
            <w:r w:rsidRPr="00284615">
              <w:rPr>
                <w:i/>
                <w:sz w:val="18"/>
                <w:szCs w:val="18"/>
                <w:highlight w:val="yellow"/>
              </w:rPr>
              <w:t>Dahlia</w:t>
            </w:r>
            <w:r w:rsidRPr="00284615">
              <w:rPr>
                <w:sz w:val="18"/>
                <w:szCs w:val="18"/>
                <w:highlight w:val="yellow"/>
              </w:rPr>
              <w:t xml:space="preserve"> ‘Best Bet’   </w:t>
            </w:r>
            <w:r w:rsidRPr="00284615">
              <w:rPr>
                <w:sz w:val="18"/>
                <w:szCs w:val="18"/>
                <w:highlight w:val="yellow"/>
              </w:rPr>
              <w:tab/>
              <w:t>A colloquial term in New Zealand for “the best”, “guaranteed”. Not acceptable</w:t>
            </w:r>
          </w:p>
          <w:p w:rsidR="00A0274F" w:rsidRPr="00395671" w:rsidRDefault="00A0274F" w:rsidP="00A0274F">
            <w:pPr>
              <w:tabs>
                <w:tab w:val="left" w:pos="2567"/>
              </w:tabs>
              <w:rPr>
                <w:sz w:val="16"/>
                <w:szCs w:val="18"/>
                <w:highlight w:val="yellow"/>
              </w:rPr>
            </w:pPr>
          </w:p>
          <w:p w:rsidR="00A0274F" w:rsidRDefault="00A0274F" w:rsidP="00A0274F">
            <w:pPr>
              <w:tabs>
                <w:tab w:val="left" w:pos="2567"/>
              </w:tabs>
              <w:rPr>
                <w:sz w:val="18"/>
                <w:szCs w:val="18"/>
                <w:lang w:eastAsia="ja-JP"/>
              </w:rPr>
            </w:pPr>
            <w:r w:rsidRPr="00284615">
              <w:rPr>
                <w:i/>
                <w:sz w:val="18"/>
                <w:szCs w:val="18"/>
                <w:highlight w:val="yellow"/>
              </w:rPr>
              <w:t>Magnolia</w:t>
            </w:r>
            <w:r w:rsidRPr="00284615">
              <w:rPr>
                <w:sz w:val="18"/>
                <w:szCs w:val="18"/>
                <w:highlight w:val="yellow"/>
              </w:rPr>
              <w:t xml:space="preserve"> ‘Best Purple’</w:t>
            </w:r>
            <w:r w:rsidRPr="00284615">
              <w:rPr>
                <w:sz w:val="18"/>
                <w:szCs w:val="18"/>
                <w:highlight w:val="yellow"/>
              </w:rPr>
              <w:tab/>
              <w:t>Implies the best purple Magnolia. Not acceptable.</w:t>
            </w:r>
          </w:p>
          <w:p w:rsidR="00A0274F" w:rsidRPr="00B343D1" w:rsidRDefault="00A0274F" w:rsidP="00901570">
            <w:pPr>
              <w:ind w:left="567" w:hanging="567"/>
              <w:jc w:val="left"/>
              <w:rPr>
                <w:sz w:val="18"/>
                <w:szCs w:val="18"/>
                <w:lang w:eastAsia="ja-JP"/>
              </w:rPr>
            </w:pPr>
          </w:p>
        </w:tc>
      </w:tr>
    </w:tbl>
    <w:p w:rsidR="00901570" w:rsidRPr="00395671" w:rsidRDefault="00901570" w:rsidP="00901570">
      <w:pPr>
        <w:rPr>
          <w:sz w:val="18"/>
          <w:lang w:eastAsia="ja-JP"/>
        </w:rPr>
      </w:pPr>
    </w:p>
    <w:p w:rsidR="000D59C2" w:rsidRPr="00407B23" w:rsidRDefault="000D59C2" w:rsidP="000D59C2">
      <w:pPr>
        <w:keepNext/>
        <w:keepLines/>
      </w:pPr>
      <w:r w:rsidRPr="00407B23">
        <w:t>2.3.3</w:t>
      </w:r>
      <w:r w:rsidRPr="00407B23">
        <w:tab/>
        <w:t>Identity of the variety</w:t>
      </w:r>
    </w:p>
    <w:p w:rsidR="000D59C2" w:rsidRPr="00407B23" w:rsidRDefault="000D59C2" w:rsidP="000D59C2">
      <w:pPr>
        <w:keepNext/>
        <w:keepLines/>
      </w:pPr>
    </w:p>
    <w:p w:rsidR="000D59C2" w:rsidRPr="00407B23" w:rsidRDefault="000D59C2" w:rsidP="00395671">
      <w:r w:rsidRPr="00407B23">
        <w:tab/>
        <w:t>(a)</w:t>
      </w:r>
      <w:r w:rsidRPr="00407B23">
        <w:tab/>
        <w:t xml:space="preserve">As a general recommendation, a difference of only one letter or one number may be considered to be liable to mislead or cause confusion concerning the identity of the variety, except where the:  </w:t>
      </w:r>
    </w:p>
    <w:p w:rsidR="000F56E2" w:rsidRDefault="000F56E2" w:rsidP="000F56E2"/>
    <w:tbl>
      <w:tblPr>
        <w:tblStyle w:val="TableGrid"/>
        <w:tblW w:w="0" w:type="auto"/>
        <w:tblLook w:val="04A0" w:firstRow="1" w:lastRow="0" w:firstColumn="1" w:lastColumn="0" w:noHBand="0" w:noVBand="1"/>
      </w:tblPr>
      <w:tblGrid>
        <w:gridCol w:w="9855"/>
      </w:tblGrid>
      <w:tr w:rsidR="000F56E2" w:rsidTr="00647151">
        <w:trPr>
          <w:cantSplit/>
        </w:trPr>
        <w:tc>
          <w:tcPr>
            <w:tcW w:w="9855" w:type="dxa"/>
            <w:shd w:val="clear" w:color="auto" w:fill="D9D9D9" w:themeFill="background1" w:themeFillShade="D9"/>
          </w:tcPr>
          <w:p w:rsidR="000F56E2" w:rsidRPr="00296117" w:rsidRDefault="000F56E2" w:rsidP="0042091F">
            <w:pPr>
              <w:rPr>
                <w:sz w:val="18"/>
                <w:szCs w:val="18"/>
              </w:rPr>
            </w:pPr>
          </w:p>
          <w:p w:rsidR="000F56E2" w:rsidRDefault="000F56E2" w:rsidP="0042091F">
            <w:pPr>
              <w:rPr>
                <w:color w:val="000000"/>
                <w:sz w:val="18"/>
                <w:szCs w:val="18"/>
                <w:u w:val="single"/>
              </w:rPr>
            </w:pPr>
            <w:r w:rsidRPr="00AA4B3B">
              <w:rPr>
                <w:color w:val="000000"/>
                <w:sz w:val="18"/>
                <w:szCs w:val="18"/>
                <w:u w:val="single"/>
              </w:rPr>
              <w:t>Proposal by WG-DST</w:t>
            </w:r>
            <w:r w:rsidR="008B7F43">
              <w:rPr>
                <w:color w:val="000000"/>
                <w:sz w:val="18"/>
                <w:szCs w:val="18"/>
                <w:vertAlign w:val="superscript"/>
              </w:rPr>
              <w:t>j</w:t>
            </w:r>
          </w:p>
          <w:p w:rsidR="000F56E2" w:rsidRPr="00395671" w:rsidRDefault="000F56E2" w:rsidP="0042091F">
            <w:pPr>
              <w:rPr>
                <w:color w:val="000000"/>
                <w:sz w:val="16"/>
                <w:szCs w:val="18"/>
                <w:u w:val="single"/>
              </w:rPr>
            </w:pPr>
          </w:p>
          <w:p w:rsidR="000F56E2" w:rsidRDefault="000F56E2" w:rsidP="0042091F">
            <w:pPr>
              <w:rPr>
                <w:color w:val="000000"/>
                <w:sz w:val="18"/>
                <w:szCs w:val="18"/>
              </w:rPr>
            </w:pPr>
            <w:r>
              <w:rPr>
                <w:color w:val="000000"/>
                <w:sz w:val="18"/>
                <w:szCs w:val="18"/>
              </w:rPr>
              <w:t xml:space="preserve">Section 2.3.3 (a): to differentiate </w:t>
            </w:r>
            <w:r w:rsidRPr="00234D9F">
              <w:rPr>
                <w:color w:val="000000"/>
                <w:sz w:val="18"/>
                <w:szCs w:val="18"/>
              </w:rPr>
              <w:t>between letters in the form of words and other cases</w:t>
            </w:r>
            <w:r>
              <w:rPr>
                <w:color w:val="000000"/>
                <w:sz w:val="18"/>
                <w:szCs w:val="18"/>
              </w:rPr>
              <w:t xml:space="preserve"> as follows:</w:t>
            </w:r>
          </w:p>
          <w:p w:rsidR="000F56E2" w:rsidRPr="00395671" w:rsidRDefault="000F56E2" w:rsidP="0042091F">
            <w:pPr>
              <w:rPr>
                <w:color w:val="000000"/>
                <w:sz w:val="16"/>
                <w:szCs w:val="18"/>
              </w:rPr>
            </w:pPr>
          </w:p>
          <w:p w:rsidR="000F56E2" w:rsidRPr="00234D9F" w:rsidRDefault="000F56E2" w:rsidP="0042091F">
            <w:pPr>
              <w:rPr>
                <w:color w:val="000000"/>
                <w:sz w:val="18"/>
                <w:szCs w:val="18"/>
              </w:rPr>
            </w:pPr>
            <w:r w:rsidRPr="00234D9F">
              <w:rPr>
                <w:color w:val="000000"/>
                <w:sz w:val="18"/>
                <w:szCs w:val="18"/>
              </w:rPr>
              <w:t>(i)</w:t>
            </w:r>
            <w:r w:rsidRPr="00234D9F">
              <w:rPr>
                <w:color w:val="000000"/>
                <w:sz w:val="18"/>
                <w:szCs w:val="18"/>
              </w:rPr>
              <w:tab/>
              <w:t>in the case of denominations consisting of letters not in the form of words, a difference of a single letter should be regarded as a clear difference, with examples to be provided;</w:t>
            </w:r>
          </w:p>
          <w:p w:rsidR="000F56E2" w:rsidRPr="00395671" w:rsidRDefault="000F56E2" w:rsidP="0042091F">
            <w:pPr>
              <w:rPr>
                <w:color w:val="000000"/>
                <w:sz w:val="16"/>
                <w:szCs w:val="18"/>
              </w:rPr>
            </w:pPr>
          </w:p>
          <w:p w:rsidR="000F56E2" w:rsidRPr="00234D9F" w:rsidRDefault="000F56E2" w:rsidP="0042091F">
            <w:pPr>
              <w:rPr>
                <w:color w:val="000000"/>
                <w:sz w:val="18"/>
                <w:szCs w:val="18"/>
              </w:rPr>
            </w:pPr>
            <w:r w:rsidRPr="00234D9F">
              <w:rPr>
                <w:color w:val="000000"/>
                <w:sz w:val="18"/>
                <w:szCs w:val="18"/>
              </w:rPr>
              <w:t xml:space="preserve">(ii) </w:t>
            </w:r>
            <w:r w:rsidRPr="00234D9F">
              <w:rPr>
                <w:color w:val="000000"/>
                <w:sz w:val="18"/>
                <w:szCs w:val="18"/>
              </w:rPr>
              <w:tab/>
              <w:t>in the case of denominations consisting of figures, a difference of a single figure should be regarded as a clear difference, with examples to be provided; and</w:t>
            </w:r>
          </w:p>
          <w:p w:rsidR="000F56E2" w:rsidRPr="00395671" w:rsidRDefault="000F56E2" w:rsidP="0042091F">
            <w:pPr>
              <w:rPr>
                <w:color w:val="000000"/>
                <w:sz w:val="16"/>
                <w:szCs w:val="18"/>
              </w:rPr>
            </w:pPr>
          </w:p>
          <w:p w:rsidR="000F56E2" w:rsidRPr="00234D9F" w:rsidRDefault="000F56E2" w:rsidP="0042091F">
            <w:pPr>
              <w:rPr>
                <w:color w:val="000000"/>
                <w:sz w:val="18"/>
                <w:szCs w:val="18"/>
              </w:rPr>
            </w:pPr>
            <w:r w:rsidRPr="00234D9F">
              <w:rPr>
                <w:color w:val="000000"/>
                <w:sz w:val="18"/>
                <w:szCs w:val="18"/>
              </w:rPr>
              <w:t xml:space="preserve">(iii) </w:t>
            </w:r>
            <w:r w:rsidRPr="00234D9F">
              <w:rPr>
                <w:color w:val="000000"/>
                <w:sz w:val="18"/>
                <w:szCs w:val="18"/>
              </w:rPr>
              <w:tab/>
              <w:t>in the case of denominations consisting of figures and letters, not in the form of words, one letter or figure difference should be regarded as clear difference, with examples to be provided</w:t>
            </w:r>
            <w:r>
              <w:rPr>
                <w:color w:val="000000"/>
                <w:sz w:val="18"/>
                <w:szCs w:val="18"/>
              </w:rPr>
              <w:t>.</w:t>
            </w:r>
          </w:p>
          <w:p w:rsidR="000F56E2" w:rsidRPr="00234D9F" w:rsidRDefault="000F56E2" w:rsidP="0042091F">
            <w:pPr>
              <w:rPr>
                <w:sz w:val="18"/>
                <w:szCs w:val="18"/>
              </w:rPr>
            </w:pPr>
          </w:p>
        </w:tc>
      </w:tr>
    </w:tbl>
    <w:p w:rsidR="00395671" w:rsidRDefault="00395671"/>
    <w:tbl>
      <w:tblPr>
        <w:tblStyle w:val="TableGrid"/>
        <w:tblW w:w="0" w:type="auto"/>
        <w:tblLook w:val="04A0" w:firstRow="1" w:lastRow="0" w:firstColumn="1" w:lastColumn="0" w:noHBand="0" w:noVBand="1"/>
      </w:tblPr>
      <w:tblGrid>
        <w:gridCol w:w="9855"/>
      </w:tblGrid>
      <w:tr w:rsidR="000F56E2" w:rsidTr="00647151">
        <w:trPr>
          <w:cantSplit/>
        </w:trPr>
        <w:tc>
          <w:tcPr>
            <w:tcW w:w="9855" w:type="dxa"/>
            <w:shd w:val="clear" w:color="auto" w:fill="D9D9D9" w:themeFill="background1" w:themeFillShade="D9"/>
          </w:tcPr>
          <w:p w:rsidR="000F56E2" w:rsidRPr="0047703B" w:rsidRDefault="000F56E2" w:rsidP="0042091F">
            <w:pPr>
              <w:jc w:val="left"/>
              <w:rPr>
                <w:sz w:val="18"/>
                <w:szCs w:val="18"/>
              </w:rPr>
            </w:pPr>
          </w:p>
          <w:p w:rsidR="000F56E2" w:rsidRPr="0047703B" w:rsidRDefault="000F56E2" w:rsidP="0042091F">
            <w:pPr>
              <w:shd w:val="clear" w:color="auto" w:fill="D9D9D9" w:themeFill="background1" w:themeFillShade="D9"/>
              <w:jc w:val="left"/>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4493" w:rsidRPr="00FF4493">
              <w:rPr>
                <w:rStyle w:val="EndnoteReference"/>
                <w:sz w:val="18"/>
                <w:szCs w:val="18"/>
              </w:rPr>
              <w:t>c</w:t>
            </w:r>
            <w:r w:rsidRPr="0047703B">
              <w:rPr>
                <w:sz w:val="18"/>
                <w:szCs w:val="18"/>
              </w:rPr>
              <w:fldChar w:fldCharType="end"/>
            </w:r>
          </w:p>
          <w:p w:rsidR="000F56E2" w:rsidRPr="0047703B" w:rsidRDefault="000F56E2" w:rsidP="0042091F">
            <w:pPr>
              <w:shd w:val="clear" w:color="auto" w:fill="D9D9D9" w:themeFill="background1" w:themeFillShade="D9"/>
              <w:jc w:val="left"/>
              <w:rPr>
                <w:sz w:val="18"/>
                <w:szCs w:val="18"/>
              </w:rPr>
            </w:pPr>
          </w:p>
          <w:p w:rsidR="000F56E2" w:rsidRDefault="000F56E2" w:rsidP="0042091F">
            <w:pPr>
              <w:shd w:val="clear" w:color="auto" w:fill="D9D9D9" w:themeFill="background1" w:themeFillShade="D9"/>
              <w:jc w:val="left"/>
              <w:rPr>
                <w:sz w:val="18"/>
                <w:szCs w:val="18"/>
              </w:rPr>
            </w:pPr>
            <w:r>
              <w:rPr>
                <w:sz w:val="18"/>
                <w:szCs w:val="18"/>
              </w:rPr>
              <w:t>Section 2.3.3 (a):  the same guidance should apply to alpha numeric combination denominations as it does to all other denominations containing letters and numbers.</w:t>
            </w:r>
          </w:p>
          <w:p w:rsidR="000F56E2" w:rsidRPr="0047703B" w:rsidRDefault="000F56E2" w:rsidP="0042091F">
            <w:pPr>
              <w:jc w:val="left"/>
              <w:rPr>
                <w:sz w:val="18"/>
                <w:szCs w:val="18"/>
              </w:rPr>
            </w:pPr>
          </w:p>
        </w:tc>
      </w:tr>
    </w:tbl>
    <w:p w:rsidR="000F56E2" w:rsidRDefault="000F56E2" w:rsidP="000F56E2"/>
    <w:tbl>
      <w:tblPr>
        <w:tblStyle w:val="TableGrid"/>
        <w:tblW w:w="0" w:type="auto"/>
        <w:tblLook w:val="04A0" w:firstRow="1" w:lastRow="0" w:firstColumn="1" w:lastColumn="0" w:noHBand="0" w:noVBand="1"/>
      </w:tblPr>
      <w:tblGrid>
        <w:gridCol w:w="9855"/>
      </w:tblGrid>
      <w:tr w:rsidR="000F56E2" w:rsidTr="00647151">
        <w:trPr>
          <w:cantSplit/>
        </w:trPr>
        <w:tc>
          <w:tcPr>
            <w:tcW w:w="9855" w:type="dxa"/>
            <w:shd w:val="clear" w:color="auto" w:fill="D9D9D9" w:themeFill="background1" w:themeFillShade="D9"/>
          </w:tcPr>
          <w:p w:rsidR="000F56E2" w:rsidRPr="005D7C20" w:rsidRDefault="000F56E2" w:rsidP="0042091F">
            <w:pPr>
              <w:rPr>
                <w:sz w:val="18"/>
                <w:szCs w:val="18"/>
              </w:rPr>
            </w:pPr>
          </w:p>
          <w:p w:rsidR="000F56E2" w:rsidRPr="005D7C20" w:rsidRDefault="000F56E2" w:rsidP="0042091F">
            <w:pPr>
              <w:jc w:val="left"/>
              <w:rPr>
                <w:sz w:val="18"/>
                <w:szCs w:val="18"/>
                <w:u w:val="single"/>
              </w:rPr>
            </w:pPr>
            <w:r w:rsidRPr="005D7C20">
              <w:rPr>
                <w:sz w:val="18"/>
                <w:szCs w:val="18"/>
                <w:u w:val="single"/>
              </w:rPr>
              <w:t>Proposal by ESA/ISF</w:t>
            </w:r>
            <w:r w:rsidR="00FE2E34">
              <w:rPr>
                <w:sz w:val="18"/>
                <w:szCs w:val="18"/>
                <w:vertAlign w:val="superscript"/>
              </w:rPr>
              <w:t>k</w:t>
            </w:r>
          </w:p>
          <w:p w:rsidR="000F56E2" w:rsidRPr="005D7C20" w:rsidRDefault="000F56E2" w:rsidP="0042091F">
            <w:pPr>
              <w:rPr>
                <w:sz w:val="18"/>
                <w:szCs w:val="18"/>
              </w:rPr>
            </w:pPr>
          </w:p>
          <w:p w:rsidR="000F56E2" w:rsidRPr="005D7C20" w:rsidRDefault="000F56E2" w:rsidP="0042091F">
            <w:pPr>
              <w:rPr>
                <w:sz w:val="18"/>
                <w:szCs w:val="18"/>
              </w:rPr>
            </w:pPr>
            <w:r>
              <w:rPr>
                <w:sz w:val="18"/>
                <w:szCs w:val="18"/>
              </w:rPr>
              <w:t xml:space="preserve">Section 2.3.3 </w:t>
            </w:r>
            <w:r w:rsidRPr="00A6443F">
              <w:rPr>
                <w:strike/>
                <w:sz w:val="18"/>
                <w:szCs w:val="18"/>
              </w:rPr>
              <w:t>(b)</w:t>
            </w:r>
            <w:r w:rsidRPr="00A6443F">
              <w:rPr>
                <w:sz w:val="18"/>
                <w:szCs w:val="18"/>
              </w:rPr>
              <w:t xml:space="preserve"> </w:t>
            </w:r>
            <w:r w:rsidRPr="00A6443F">
              <w:rPr>
                <w:sz w:val="18"/>
                <w:szCs w:val="18"/>
                <w:u w:val="single"/>
              </w:rPr>
              <w:t>(a)</w:t>
            </w:r>
            <w:r w:rsidRPr="00CC5743">
              <w:rPr>
                <w:sz w:val="18"/>
                <w:szCs w:val="18"/>
              </w:rPr>
              <w:t>:</w:t>
            </w:r>
            <w:r>
              <w:rPr>
                <w:sz w:val="18"/>
                <w:szCs w:val="18"/>
              </w:rPr>
              <w:t xml:space="preserve">  propose to simplify and thereby improve the readability of the first line of the sentence in the following way: “For denominations consisting solely of letters, as a general recommendation…”.</w:t>
            </w:r>
          </w:p>
          <w:p w:rsidR="000F56E2" w:rsidRPr="005D7C20" w:rsidRDefault="000F56E2" w:rsidP="0042091F">
            <w:pPr>
              <w:rPr>
                <w:sz w:val="18"/>
                <w:szCs w:val="18"/>
              </w:rPr>
            </w:pPr>
          </w:p>
        </w:tc>
      </w:tr>
    </w:tbl>
    <w:p w:rsidR="000D59C2" w:rsidRDefault="000D59C2" w:rsidP="00284615">
      <w:pPr>
        <w:rPr>
          <w:lang w:eastAsia="ja-JP"/>
        </w:rPr>
      </w:pPr>
    </w:p>
    <w:tbl>
      <w:tblPr>
        <w:tblStyle w:val="TableGrid"/>
        <w:tblW w:w="0" w:type="auto"/>
        <w:tblLook w:val="04A0" w:firstRow="1" w:lastRow="0" w:firstColumn="1" w:lastColumn="0" w:noHBand="0" w:noVBand="1"/>
      </w:tblPr>
      <w:tblGrid>
        <w:gridCol w:w="9855"/>
      </w:tblGrid>
      <w:tr w:rsidR="00284615" w:rsidTr="00647151">
        <w:trPr>
          <w:cantSplit/>
        </w:trPr>
        <w:tc>
          <w:tcPr>
            <w:tcW w:w="9855" w:type="dxa"/>
            <w:shd w:val="clear" w:color="auto" w:fill="D9D9D9" w:themeFill="background1" w:themeFillShade="D9"/>
          </w:tcPr>
          <w:p w:rsidR="00C6215A" w:rsidRDefault="00C6215A" w:rsidP="008B7F43">
            <w:pPr>
              <w:jc w:val="left"/>
              <w:rPr>
                <w:sz w:val="18"/>
                <w:szCs w:val="18"/>
                <w:highlight w:val="yellow"/>
                <w:u w:val="single"/>
                <w:lang w:eastAsia="ja-JP"/>
              </w:rPr>
            </w:pPr>
          </w:p>
          <w:p w:rsidR="00284615" w:rsidRPr="00647151" w:rsidRDefault="00284615" w:rsidP="008B7F43">
            <w:pPr>
              <w:jc w:val="left"/>
              <w:rPr>
                <w:sz w:val="18"/>
                <w:szCs w:val="18"/>
                <w:highlight w:val="yellow"/>
                <w:u w:val="single"/>
              </w:rPr>
            </w:pPr>
            <w:r w:rsidRPr="00647151">
              <w:rPr>
                <w:sz w:val="18"/>
                <w:szCs w:val="18"/>
                <w:highlight w:val="yellow"/>
                <w:u w:val="single"/>
              </w:rPr>
              <w:t>Proposal by New Zealand</w:t>
            </w:r>
            <w:r w:rsidRPr="00647151">
              <w:rPr>
                <w:rStyle w:val="EndnoteReference"/>
                <w:sz w:val="18"/>
                <w:szCs w:val="18"/>
                <w:highlight w:val="yellow"/>
              </w:rPr>
              <w:endnoteReference w:id="12"/>
            </w:r>
          </w:p>
          <w:p w:rsidR="00284615" w:rsidRPr="00647151" w:rsidRDefault="00284615" w:rsidP="008B7F43">
            <w:pPr>
              <w:rPr>
                <w:sz w:val="18"/>
                <w:szCs w:val="18"/>
                <w:highlight w:val="yellow"/>
              </w:rPr>
            </w:pPr>
          </w:p>
          <w:p w:rsidR="00284615" w:rsidRPr="005D7C20" w:rsidRDefault="00284615" w:rsidP="008B7F43">
            <w:pPr>
              <w:rPr>
                <w:sz w:val="18"/>
                <w:szCs w:val="18"/>
              </w:rPr>
            </w:pPr>
            <w:r w:rsidRPr="00647151">
              <w:rPr>
                <w:sz w:val="18"/>
                <w:szCs w:val="18"/>
                <w:highlight w:val="yellow"/>
              </w:rPr>
              <w:t>For all categories of denominations including pronounceable words, a difference of one letter or one figure should not be considered to be liable to mislead and cause confusion concerning the identity of the variety.</w:t>
            </w:r>
          </w:p>
          <w:p w:rsidR="00284615" w:rsidRPr="005D7C20" w:rsidRDefault="00284615" w:rsidP="008B7F43">
            <w:pPr>
              <w:rPr>
                <w:sz w:val="18"/>
                <w:szCs w:val="18"/>
              </w:rPr>
            </w:pPr>
          </w:p>
        </w:tc>
      </w:tr>
    </w:tbl>
    <w:p w:rsidR="00284615" w:rsidRDefault="00284615" w:rsidP="00284615">
      <w:pPr>
        <w:rPr>
          <w:lang w:eastAsia="ja-JP"/>
        </w:rPr>
      </w:pPr>
    </w:p>
    <w:tbl>
      <w:tblPr>
        <w:tblStyle w:val="TableGrid"/>
        <w:tblW w:w="0" w:type="auto"/>
        <w:tblLook w:val="04A0" w:firstRow="1" w:lastRow="0" w:firstColumn="1" w:lastColumn="0" w:noHBand="0" w:noVBand="1"/>
      </w:tblPr>
      <w:tblGrid>
        <w:gridCol w:w="9855"/>
      </w:tblGrid>
      <w:tr w:rsidR="00647151" w:rsidTr="008B7F43">
        <w:trPr>
          <w:cantSplit/>
        </w:trPr>
        <w:tc>
          <w:tcPr>
            <w:tcW w:w="9855" w:type="dxa"/>
            <w:shd w:val="clear" w:color="auto" w:fill="D9D9D9" w:themeFill="background1" w:themeFillShade="D9"/>
          </w:tcPr>
          <w:p w:rsidR="00647151" w:rsidRPr="005D7C20" w:rsidRDefault="00647151" w:rsidP="008B7F43">
            <w:pPr>
              <w:rPr>
                <w:sz w:val="18"/>
                <w:szCs w:val="18"/>
              </w:rPr>
            </w:pPr>
          </w:p>
          <w:p w:rsidR="00647151" w:rsidRPr="00647151" w:rsidRDefault="00647151" w:rsidP="008B7F43">
            <w:pPr>
              <w:jc w:val="left"/>
              <w:rPr>
                <w:sz w:val="18"/>
                <w:szCs w:val="18"/>
                <w:highlight w:val="yellow"/>
                <w:u w:val="single"/>
                <w:lang w:eastAsia="ja-JP"/>
              </w:rPr>
            </w:pPr>
            <w:r w:rsidRPr="00647151">
              <w:rPr>
                <w:sz w:val="18"/>
                <w:szCs w:val="18"/>
                <w:highlight w:val="yellow"/>
                <w:u w:val="single"/>
              </w:rPr>
              <w:t>Proposal by France</w:t>
            </w:r>
            <w:r w:rsidR="00C6215A" w:rsidRPr="00C6215A">
              <w:rPr>
                <w:rFonts w:hint="eastAsia"/>
                <w:sz w:val="18"/>
                <w:szCs w:val="18"/>
                <w:highlight w:val="yellow"/>
                <w:u w:val="single"/>
                <w:lang w:eastAsia="ja-JP"/>
              </w:rPr>
              <w:t xml:space="preserve"> </w:t>
            </w:r>
            <w:r w:rsidR="00C6215A">
              <w:rPr>
                <w:rFonts w:hint="eastAsia"/>
                <w:sz w:val="18"/>
                <w:szCs w:val="18"/>
                <w:highlight w:val="yellow"/>
                <w:u w:val="single"/>
                <w:lang w:eastAsia="ja-JP"/>
              </w:rPr>
              <w:t xml:space="preserve">submitted </w:t>
            </w:r>
            <w:r w:rsidR="00C6215A" w:rsidRPr="00C6215A">
              <w:rPr>
                <w:rFonts w:hint="eastAsia"/>
                <w:sz w:val="18"/>
                <w:szCs w:val="18"/>
                <w:highlight w:val="yellow"/>
                <w:u w:val="single"/>
                <w:lang w:eastAsia="ja-JP"/>
              </w:rPr>
              <w:t xml:space="preserve">in conjunction with </w:t>
            </w:r>
            <w:r w:rsidR="00C6215A">
              <w:rPr>
                <w:rFonts w:hint="eastAsia"/>
                <w:sz w:val="18"/>
                <w:szCs w:val="18"/>
                <w:highlight w:val="yellow"/>
                <w:u w:val="single"/>
                <w:lang w:eastAsia="ja-JP"/>
              </w:rPr>
              <w:t xml:space="preserve">other proposals for </w:t>
            </w:r>
            <w:r w:rsidR="00C6215A" w:rsidRPr="00C6215A">
              <w:rPr>
                <w:sz w:val="18"/>
                <w:szCs w:val="18"/>
                <w:highlight w:val="yellow"/>
                <w:u w:val="single"/>
                <w:lang w:eastAsia="ja-JP"/>
              </w:rPr>
              <w:t>UPOV Circular E-16/088 of April 13, 2016</w:t>
            </w:r>
          </w:p>
          <w:p w:rsidR="00647151" w:rsidRPr="00647151" w:rsidRDefault="00647151" w:rsidP="008B7F43">
            <w:pPr>
              <w:rPr>
                <w:sz w:val="18"/>
                <w:szCs w:val="18"/>
                <w:highlight w:val="yellow"/>
              </w:rPr>
            </w:pPr>
          </w:p>
          <w:p w:rsidR="00647151" w:rsidRPr="005D7C20" w:rsidRDefault="00647151" w:rsidP="008B7F43">
            <w:pPr>
              <w:rPr>
                <w:sz w:val="18"/>
                <w:szCs w:val="18"/>
              </w:rPr>
            </w:pPr>
            <w:r w:rsidRPr="00647151">
              <w:rPr>
                <w:sz w:val="18"/>
                <w:szCs w:val="18"/>
                <w:highlight w:val="yellow"/>
              </w:rPr>
              <w:t>Regarding the proposal made by NZ to consider as not misleading a difference of only 1 letter/figure, we do not support this amendment of paragraph 2.3.3 (a) of UPOV/INF/12/6. We recently had a discussion with national breeders, supporting the current European approach not considering, as a general principle, a difference of only 1 letter/figure as consistent not to create confusion.</w:t>
            </w:r>
          </w:p>
          <w:p w:rsidR="00647151" w:rsidRPr="005D7C20" w:rsidRDefault="00647151" w:rsidP="008B7F43">
            <w:pPr>
              <w:rPr>
                <w:sz w:val="18"/>
                <w:szCs w:val="18"/>
              </w:rPr>
            </w:pPr>
          </w:p>
        </w:tc>
      </w:tr>
    </w:tbl>
    <w:p w:rsidR="00647151" w:rsidRDefault="00647151" w:rsidP="00284615">
      <w:pPr>
        <w:rPr>
          <w:lang w:eastAsia="ja-JP"/>
        </w:rPr>
      </w:pPr>
    </w:p>
    <w:p w:rsidR="000D59C2" w:rsidRPr="00407B23" w:rsidRDefault="000D59C2" w:rsidP="00850EF6">
      <w:pPr>
        <w:keepNext/>
        <w:tabs>
          <w:tab w:val="right" w:pos="1134"/>
          <w:tab w:val="left" w:pos="1418"/>
        </w:tabs>
      </w:pPr>
      <w:r w:rsidRPr="00407B23">
        <w:tab/>
        <w:t>(i)</w:t>
      </w:r>
      <w:r w:rsidRPr="00407B23">
        <w:tab/>
        <w:t>difference of one letter provides for a clear visual or phonetic difference, e.g. if it concerns a letter at the beginning of a word:</w:t>
      </w:r>
    </w:p>
    <w:p w:rsidR="000D59C2" w:rsidRPr="00DE1471" w:rsidRDefault="000D59C2" w:rsidP="00850EF6">
      <w:pPr>
        <w:keepNext/>
      </w:pPr>
    </w:p>
    <w:p w:rsidR="000D59C2" w:rsidRPr="00407B23" w:rsidRDefault="000D59C2" w:rsidP="000D59C2">
      <w:pPr>
        <w:ind w:left="567"/>
        <w:rPr>
          <w:color w:val="000000"/>
        </w:rPr>
      </w:pPr>
      <w:r w:rsidRPr="00407B23">
        <w:rPr>
          <w:i/>
          <w:color w:val="000000"/>
        </w:rPr>
        <w:t>Example 1:</w:t>
      </w:r>
      <w:r w:rsidRPr="00407B23">
        <w:rPr>
          <w:color w:val="000000"/>
        </w:rPr>
        <w:t xml:space="preserve">  in the English language, ‘</w:t>
      </w:r>
      <w:r w:rsidRPr="00407B23">
        <w:rPr>
          <w:color w:val="000000"/>
          <w:u w:val="single"/>
        </w:rPr>
        <w:t>H</w:t>
      </w:r>
      <w:r w:rsidRPr="00407B23">
        <w:rPr>
          <w:color w:val="000000"/>
        </w:rPr>
        <w:t>arry’ and ‘</w:t>
      </w:r>
      <w:r w:rsidRPr="00407B23">
        <w:rPr>
          <w:color w:val="000000"/>
          <w:u w:val="single"/>
        </w:rPr>
        <w:t>L</w:t>
      </w:r>
      <w:r w:rsidRPr="00407B23">
        <w:rPr>
          <w:color w:val="000000"/>
        </w:rPr>
        <w:t>arry’ would not cause confusion;  However, ‘Bo</w:t>
      </w:r>
      <w:r w:rsidRPr="00407B23">
        <w:rPr>
          <w:color w:val="000000"/>
          <w:u w:val="single"/>
        </w:rPr>
        <w:t>ugh’</w:t>
      </w:r>
      <w:r w:rsidRPr="00407B23">
        <w:rPr>
          <w:color w:val="000000"/>
        </w:rPr>
        <w:t xml:space="preserve"> and ‘Bo</w:t>
      </w:r>
      <w:r w:rsidRPr="00407B23">
        <w:rPr>
          <w:color w:val="000000"/>
          <w:u w:val="single"/>
        </w:rPr>
        <w:t>w</w:t>
      </w:r>
      <w:r w:rsidRPr="00407B23">
        <w:rPr>
          <w:color w:val="000000"/>
        </w:rPr>
        <w:t>’ might cause confusion (in phonetic terms);</w:t>
      </w:r>
    </w:p>
    <w:p w:rsidR="000D59C2" w:rsidRPr="00F96023" w:rsidRDefault="000D59C2" w:rsidP="0042091F">
      <w:pPr>
        <w:spacing w:before="120"/>
        <w:ind w:left="567"/>
      </w:pPr>
      <w:r w:rsidRPr="00CA75FB">
        <w:rPr>
          <w:i/>
          <w:strike/>
          <w:highlight w:val="yellow"/>
        </w:rPr>
        <w:t xml:space="preserve">Example 2: </w:t>
      </w:r>
      <w:r w:rsidRPr="00CA75FB">
        <w:rPr>
          <w:strike/>
          <w:highlight w:val="yellow"/>
        </w:rPr>
        <w:t xml:space="preserve"> in the Japanese and Korean languages there is no difference between “L” and “R” sounds, thus “</w:t>
      </w:r>
      <w:r w:rsidRPr="00CA75FB">
        <w:rPr>
          <w:strike/>
          <w:highlight w:val="yellow"/>
          <w:u w:val="single"/>
        </w:rPr>
        <w:t>L</w:t>
      </w:r>
      <w:r w:rsidRPr="00CA75FB">
        <w:rPr>
          <w:strike/>
          <w:highlight w:val="yellow"/>
        </w:rPr>
        <w:t>ion” and “</w:t>
      </w:r>
      <w:r w:rsidRPr="00CA75FB">
        <w:rPr>
          <w:strike/>
          <w:highlight w:val="yellow"/>
          <w:u w:val="single"/>
        </w:rPr>
        <w:t>R</w:t>
      </w:r>
      <w:r w:rsidRPr="00CA75FB">
        <w:rPr>
          <w:strike/>
          <w:highlight w:val="yellow"/>
        </w:rPr>
        <w:t>aion” are exactly the same although these are distinguishable for English mother tongue speakers</w:t>
      </w:r>
      <w:r w:rsidRPr="00CA75FB">
        <w:rPr>
          <w:highlight w:val="yellow"/>
        </w:rPr>
        <w:t>;</w:t>
      </w:r>
      <w:r w:rsidR="0086743F" w:rsidRPr="0086743F">
        <w:rPr>
          <w:highlight w:val="yellow"/>
          <w:vertAlign w:val="superscript"/>
        </w:rPr>
        <w:t>l</w:t>
      </w:r>
    </w:p>
    <w:p w:rsidR="000F56E2" w:rsidRDefault="000F56E2" w:rsidP="000F56E2"/>
    <w:tbl>
      <w:tblPr>
        <w:tblStyle w:val="TableGrid"/>
        <w:tblW w:w="0" w:type="auto"/>
        <w:shd w:val="clear" w:color="auto" w:fill="95B3D7" w:themeFill="accent1" w:themeFillTint="99"/>
        <w:tblLook w:val="04A0" w:firstRow="1" w:lastRow="0" w:firstColumn="1" w:lastColumn="0" w:noHBand="0" w:noVBand="1"/>
      </w:tblPr>
      <w:tblGrid>
        <w:gridCol w:w="9855"/>
      </w:tblGrid>
      <w:tr w:rsidR="000F56E2" w:rsidTr="00850EF6">
        <w:trPr>
          <w:cantSplit/>
        </w:trPr>
        <w:tc>
          <w:tcPr>
            <w:tcW w:w="9855" w:type="dxa"/>
            <w:shd w:val="clear" w:color="auto" w:fill="D9D9D9" w:themeFill="background1" w:themeFillShade="D9"/>
          </w:tcPr>
          <w:p w:rsidR="000F56E2" w:rsidRPr="005D7C20" w:rsidRDefault="000F56E2" w:rsidP="0042091F">
            <w:pPr>
              <w:rPr>
                <w:sz w:val="18"/>
                <w:szCs w:val="18"/>
              </w:rPr>
            </w:pPr>
          </w:p>
          <w:p w:rsidR="000F56E2" w:rsidRPr="005D7C20" w:rsidRDefault="000F56E2" w:rsidP="0042091F">
            <w:pPr>
              <w:jc w:val="left"/>
              <w:rPr>
                <w:sz w:val="18"/>
                <w:szCs w:val="18"/>
                <w:u w:val="single"/>
              </w:rPr>
            </w:pPr>
            <w:r w:rsidRPr="005D7C20">
              <w:rPr>
                <w:sz w:val="18"/>
                <w:szCs w:val="18"/>
                <w:u w:val="single"/>
              </w:rPr>
              <w:t>Proposal by ESA/ISF</w:t>
            </w:r>
            <w:r w:rsidR="00FE2E34">
              <w:rPr>
                <w:sz w:val="18"/>
                <w:szCs w:val="18"/>
                <w:vertAlign w:val="superscript"/>
              </w:rPr>
              <w:t>k</w:t>
            </w:r>
          </w:p>
          <w:p w:rsidR="000F56E2" w:rsidRPr="005D7C20" w:rsidRDefault="000F56E2" w:rsidP="0042091F">
            <w:pPr>
              <w:rPr>
                <w:sz w:val="18"/>
                <w:szCs w:val="18"/>
              </w:rPr>
            </w:pPr>
          </w:p>
          <w:p w:rsidR="000F56E2" w:rsidRDefault="000F56E2" w:rsidP="0042091F">
            <w:pPr>
              <w:rPr>
                <w:sz w:val="18"/>
                <w:szCs w:val="18"/>
              </w:rPr>
            </w:pPr>
            <w:r>
              <w:rPr>
                <w:sz w:val="18"/>
                <w:szCs w:val="18"/>
              </w:rPr>
              <w:t xml:space="preserve">Section 2.3.3 </w:t>
            </w:r>
            <w:r w:rsidRPr="00A6443F">
              <w:rPr>
                <w:strike/>
                <w:sz w:val="18"/>
                <w:szCs w:val="18"/>
              </w:rPr>
              <w:t>(b) (iii)</w:t>
            </w:r>
            <w:r w:rsidRPr="00A6443F">
              <w:rPr>
                <w:sz w:val="18"/>
                <w:szCs w:val="18"/>
              </w:rPr>
              <w:t xml:space="preserve"> </w:t>
            </w:r>
            <w:r w:rsidR="0045251E">
              <w:rPr>
                <w:sz w:val="18"/>
                <w:szCs w:val="18"/>
                <w:u w:val="single"/>
              </w:rPr>
              <w:t xml:space="preserve">(a) </w:t>
            </w:r>
            <w:r w:rsidRPr="00A6443F">
              <w:rPr>
                <w:sz w:val="18"/>
                <w:szCs w:val="18"/>
                <w:u w:val="single"/>
              </w:rPr>
              <w:t>(i)</w:t>
            </w:r>
            <w:r>
              <w:rPr>
                <w:sz w:val="18"/>
                <w:szCs w:val="18"/>
              </w:rPr>
              <w:t>:  refers to a case where a difference of one letter at the beginning  may not provide a clear visual and phonetic difference.  The example given in the first bullet however does not have a difference of one letter in the beginning but of two letters and is therefore somewhat confusing.</w:t>
            </w:r>
          </w:p>
          <w:p w:rsidR="000F56E2" w:rsidRPr="005D7C20" w:rsidRDefault="000F56E2" w:rsidP="0042091F">
            <w:pPr>
              <w:rPr>
                <w:sz w:val="18"/>
                <w:szCs w:val="18"/>
              </w:rPr>
            </w:pPr>
          </w:p>
        </w:tc>
      </w:tr>
    </w:tbl>
    <w:p w:rsidR="000F56E2" w:rsidRDefault="000F56E2" w:rsidP="000F56E2">
      <w:pPr>
        <w:ind w:right="566"/>
        <w:rPr>
          <w:lang w:eastAsia="ja-JP"/>
        </w:rPr>
      </w:pPr>
    </w:p>
    <w:tbl>
      <w:tblPr>
        <w:tblStyle w:val="TableGrid"/>
        <w:tblW w:w="0" w:type="auto"/>
        <w:shd w:val="clear" w:color="auto" w:fill="95B3D7" w:themeFill="accent1" w:themeFillTint="99"/>
        <w:tblLook w:val="04A0" w:firstRow="1" w:lastRow="0" w:firstColumn="1" w:lastColumn="0" w:noHBand="0" w:noVBand="1"/>
      </w:tblPr>
      <w:tblGrid>
        <w:gridCol w:w="9855"/>
      </w:tblGrid>
      <w:tr w:rsidR="00850EF6" w:rsidTr="008B7F43">
        <w:trPr>
          <w:cantSplit/>
        </w:trPr>
        <w:tc>
          <w:tcPr>
            <w:tcW w:w="9855" w:type="dxa"/>
            <w:shd w:val="clear" w:color="auto" w:fill="D9D9D9" w:themeFill="background1" w:themeFillShade="D9"/>
          </w:tcPr>
          <w:p w:rsidR="00850EF6" w:rsidRPr="005D7C20" w:rsidRDefault="00850EF6" w:rsidP="008B7F43">
            <w:pPr>
              <w:rPr>
                <w:sz w:val="18"/>
                <w:szCs w:val="18"/>
              </w:rPr>
            </w:pPr>
          </w:p>
          <w:p w:rsidR="00850EF6" w:rsidRPr="00850EF6" w:rsidRDefault="00850EF6" w:rsidP="008B7F43">
            <w:pPr>
              <w:jc w:val="left"/>
              <w:rPr>
                <w:sz w:val="18"/>
                <w:szCs w:val="18"/>
                <w:highlight w:val="yellow"/>
                <w:u w:val="single"/>
              </w:rPr>
            </w:pPr>
            <w:r w:rsidRPr="00850EF6">
              <w:rPr>
                <w:sz w:val="18"/>
                <w:szCs w:val="18"/>
                <w:highlight w:val="yellow"/>
                <w:u w:val="single"/>
              </w:rPr>
              <w:t>Agreed by the WG-DEN</w:t>
            </w:r>
            <w:r w:rsidRPr="0095486A">
              <w:rPr>
                <w:rStyle w:val="EndnoteReference"/>
                <w:sz w:val="18"/>
                <w:szCs w:val="18"/>
                <w:highlight w:val="yellow"/>
              </w:rPr>
              <w:endnoteReference w:id="13"/>
            </w:r>
          </w:p>
          <w:p w:rsidR="00850EF6" w:rsidRPr="00850EF6" w:rsidRDefault="00850EF6" w:rsidP="008B7F43">
            <w:pPr>
              <w:rPr>
                <w:sz w:val="18"/>
                <w:szCs w:val="18"/>
                <w:highlight w:val="yellow"/>
              </w:rPr>
            </w:pPr>
          </w:p>
          <w:p w:rsidR="00850EF6" w:rsidRPr="00850EF6" w:rsidRDefault="00850EF6" w:rsidP="00850EF6">
            <w:pPr>
              <w:rPr>
                <w:sz w:val="18"/>
                <w:szCs w:val="18"/>
                <w:highlight w:val="yellow"/>
              </w:rPr>
            </w:pPr>
            <w:r w:rsidRPr="00850EF6">
              <w:rPr>
                <w:sz w:val="18"/>
                <w:szCs w:val="18"/>
                <w:highlight w:val="yellow"/>
              </w:rPr>
              <w:t>To add “Helena” and “Elena” as an example of a clear visual difference that may not provide a clear phonetic difference in a language other than English (in Spanish).</w:t>
            </w:r>
          </w:p>
          <w:p w:rsidR="00850EF6" w:rsidRPr="00850EF6" w:rsidRDefault="00850EF6" w:rsidP="00850EF6">
            <w:pPr>
              <w:rPr>
                <w:sz w:val="18"/>
                <w:szCs w:val="18"/>
                <w:highlight w:val="yellow"/>
              </w:rPr>
            </w:pPr>
          </w:p>
          <w:p w:rsidR="00850EF6" w:rsidRDefault="00850EF6" w:rsidP="00850EF6">
            <w:pPr>
              <w:rPr>
                <w:sz w:val="18"/>
                <w:szCs w:val="18"/>
              </w:rPr>
            </w:pPr>
            <w:r w:rsidRPr="00850EF6">
              <w:rPr>
                <w:sz w:val="18"/>
                <w:szCs w:val="18"/>
                <w:highlight w:val="yellow"/>
              </w:rPr>
              <w:t>To consider the example of “Bow” and “Bough” at the second meeting.</w:t>
            </w:r>
          </w:p>
          <w:p w:rsidR="00850EF6" w:rsidRPr="005D7C20" w:rsidRDefault="00850EF6" w:rsidP="008B7F43">
            <w:pPr>
              <w:rPr>
                <w:sz w:val="18"/>
                <w:szCs w:val="18"/>
              </w:rPr>
            </w:pPr>
          </w:p>
        </w:tc>
      </w:tr>
    </w:tbl>
    <w:p w:rsidR="00850EF6" w:rsidRDefault="00850EF6" w:rsidP="000F56E2">
      <w:pPr>
        <w:ind w:right="566"/>
        <w:rPr>
          <w:lang w:eastAsia="ja-JP"/>
        </w:rPr>
      </w:pPr>
    </w:p>
    <w:p w:rsidR="000D59C2" w:rsidRPr="00407B23" w:rsidRDefault="000D59C2" w:rsidP="000D59C2">
      <w:pPr>
        <w:tabs>
          <w:tab w:val="right" w:pos="1134"/>
          <w:tab w:val="left" w:pos="1418"/>
        </w:tabs>
      </w:pPr>
      <w:r w:rsidRPr="00407B23">
        <w:tab/>
        <w:t>(ii)</w:t>
      </w:r>
      <w:r w:rsidRPr="00407B23">
        <w:tab/>
        <w:t>denominations consist of a combination of letters and figures;</w:t>
      </w:r>
    </w:p>
    <w:p w:rsidR="000D59C2" w:rsidRDefault="000D59C2" w:rsidP="000D59C2">
      <w:pPr>
        <w:tabs>
          <w:tab w:val="right" w:pos="1134"/>
          <w:tab w:val="left" w:pos="1418"/>
        </w:tabs>
      </w:pPr>
    </w:p>
    <w:tbl>
      <w:tblPr>
        <w:tblStyle w:val="TableGrid"/>
        <w:tblW w:w="0" w:type="auto"/>
        <w:tblLook w:val="04A0" w:firstRow="1" w:lastRow="0" w:firstColumn="1" w:lastColumn="0" w:noHBand="0" w:noVBand="1"/>
      </w:tblPr>
      <w:tblGrid>
        <w:gridCol w:w="9855"/>
      </w:tblGrid>
      <w:tr w:rsidR="00865013" w:rsidTr="00C21114">
        <w:trPr>
          <w:cantSplit/>
        </w:trPr>
        <w:tc>
          <w:tcPr>
            <w:tcW w:w="9855" w:type="dxa"/>
            <w:shd w:val="clear" w:color="auto" w:fill="D9D9D9" w:themeFill="background1" w:themeFillShade="D9"/>
          </w:tcPr>
          <w:p w:rsidR="00865013" w:rsidRPr="0047703B" w:rsidRDefault="00865013" w:rsidP="00B85382">
            <w:pPr>
              <w:jc w:val="left"/>
              <w:rPr>
                <w:sz w:val="18"/>
                <w:szCs w:val="18"/>
              </w:rPr>
            </w:pPr>
          </w:p>
          <w:p w:rsidR="00865013" w:rsidRPr="0047703B" w:rsidRDefault="00865013" w:rsidP="00B85382">
            <w:pPr>
              <w:jc w:val="left"/>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4493" w:rsidRPr="00FF4493">
              <w:rPr>
                <w:rStyle w:val="EndnoteReference"/>
                <w:sz w:val="18"/>
                <w:szCs w:val="18"/>
              </w:rPr>
              <w:t>c</w:t>
            </w:r>
            <w:r w:rsidRPr="0047703B">
              <w:rPr>
                <w:sz w:val="18"/>
                <w:szCs w:val="18"/>
              </w:rPr>
              <w:fldChar w:fldCharType="end"/>
            </w:r>
          </w:p>
          <w:p w:rsidR="00865013" w:rsidRPr="0047703B" w:rsidRDefault="00865013" w:rsidP="00B85382">
            <w:pPr>
              <w:jc w:val="left"/>
              <w:rPr>
                <w:sz w:val="18"/>
                <w:szCs w:val="18"/>
              </w:rPr>
            </w:pPr>
          </w:p>
          <w:p w:rsidR="00865013" w:rsidRDefault="00865013" w:rsidP="00865013">
            <w:pPr>
              <w:jc w:val="left"/>
              <w:rPr>
                <w:sz w:val="18"/>
                <w:szCs w:val="18"/>
              </w:rPr>
            </w:pPr>
            <w:r>
              <w:rPr>
                <w:sz w:val="18"/>
                <w:szCs w:val="18"/>
              </w:rPr>
              <w:t xml:space="preserve">Section 2.3.3 (a) (ii): </w:t>
            </w:r>
            <w:r w:rsidR="004423CB">
              <w:rPr>
                <w:sz w:val="18"/>
                <w:szCs w:val="18"/>
              </w:rPr>
              <w:t xml:space="preserve"> c</w:t>
            </w:r>
            <w:r>
              <w:rPr>
                <w:sz w:val="18"/>
                <w:szCs w:val="18"/>
              </w:rPr>
              <w:t>onsider whether this exemption should continue from the general recommendation.</w:t>
            </w:r>
          </w:p>
          <w:p w:rsidR="00865013" w:rsidRPr="0047703B" w:rsidRDefault="00865013" w:rsidP="00865013">
            <w:pPr>
              <w:jc w:val="left"/>
              <w:rPr>
                <w:sz w:val="18"/>
                <w:szCs w:val="18"/>
              </w:rPr>
            </w:pPr>
          </w:p>
        </w:tc>
      </w:tr>
    </w:tbl>
    <w:p w:rsidR="00865013" w:rsidRPr="00407B23" w:rsidRDefault="00865013" w:rsidP="000D59C2">
      <w:pPr>
        <w:tabs>
          <w:tab w:val="right" w:pos="1134"/>
          <w:tab w:val="left" w:pos="1418"/>
        </w:tabs>
      </w:pPr>
    </w:p>
    <w:p w:rsidR="000D59C2" w:rsidRPr="00407B23" w:rsidRDefault="000D59C2" w:rsidP="000D59C2">
      <w:pPr>
        <w:tabs>
          <w:tab w:val="right" w:pos="1134"/>
          <w:tab w:val="left" w:pos="1418"/>
        </w:tabs>
      </w:pPr>
      <w:r w:rsidRPr="00407B23">
        <w:tab/>
        <w:t>(iii)</w:t>
      </w:r>
      <w:r w:rsidRPr="00407B23">
        <w:tab/>
        <w:t>denominations consist “solely of figures”.</w:t>
      </w:r>
    </w:p>
    <w:p w:rsidR="00865013" w:rsidRPr="00407B23" w:rsidRDefault="00865013" w:rsidP="000D59C2"/>
    <w:p w:rsidR="0039256F" w:rsidRDefault="000D59C2" w:rsidP="0042091F">
      <w:pPr>
        <w:keepNext/>
      </w:pPr>
      <w:r w:rsidRPr="00407B23">
        <w:tab/>
        <w:t>(b)</w:t>
      </w:r>
      <w:r w:rsidRPr="00407B23">
        <w:tab/>
        <w:t>The use of a denomination which is similar to that used for a variety of another species or genera in the same denomination class (see section 2.5) may cause confusion.</w:t>
      </w:r>
    </w:p>
    <w:p w:rsidR="00313218" w:rsidRPr="00407B23" w:rsidRDefault="00313218" w:rsidP="000D59C2"/>
    <w:p w:rsidR="000D59C2" w:rsidRPr="00407B23" w:rsidRDefault="000D59C2" w:rsidP="000D59C2">
      <w:pPr>
        <w:spacing w:line="240" w:lineRule="atLeast"/>
        <w:ind w:firstLine="567"/>
      </w:pPr>
      <w:r w:rsidRPr="00407B23">
        <w:t>(c)</w:t>
      </w:r>
      <w:r w:rsidRPr="00407B23">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0D59C2" w:rsidRDefault="000D59C2" w:rsidP="000D59C2"/>
    <w:tbl>
      <w:tblPr>
        <w:tblStyle w:val="TableGrid"/>
        <w:tblW w:w="0" w:type="auto"/>
        <w:tblLook w:val="04A0" w:firstRow="1" w:lastRow="0" w:firstColumn="1" w:lastColumn="0" w:noHBand="0" w:noVBand="1"/>
      </w:tblPr>
      <w:tblGrid>
        <w:gridCol w:w="9855"/>
      </w:tblGrid>
      <w:tr w:rsidR="00A442B5" w:rsidTr="0086743F">
        <w:trPr>
          <w:cantSplit/>
        </w:trPr>
        <w:tc>
          <w:tcPr>
            <w:tcW w:w="9855" w:type="dxa"/>
            <w:shd w:val="clear" w:color="auto" w:fill="D9D9D9" w:themeFill="background1" w:themeFillShade="D9"/>
          </w:tcPr>
          <w:p w:rsidR="00A442B5" w:rsidRPr="00A442B5" w:rsidRDefault="00A442B5" w:rsidP="000D59C2">
            <w:pPr>
              <w:rPr>
                <w:color w:val="000000"/>
                <w:sz w:val="18"/>
                <w:szCs w:val="18"/>
                <w:u w:val="single"/>
              </w:rPr>
            </w:pPr>
          </w:p>
          <w:p w:rsidR="00A442B5" w:rsidRPr="00A442B5" w:rsidRDefault="00A442B5" w:rsidP="003838ED">
            <w:pPr>
              <w:rPr>
                <w:color w:val="000000"/>
                <w:sz w:val="18"/>
                <w:szCs w:val="18"/>
                <w:u w:val="single"/>
              </w:rPr>
            </w:pPr>
            <w:r w:rsidRPr="00A442B5">
              <w:rPr>
                <w:color w:val="000000"/>
                <w:sz w:val="18"/>
                <w:szCs w:val="18"/>
                <w:u w:val="single"/>
              </w:rPr>
              <w:t>Proposal by WG-DST</w:t>
            </w:r>
            <w:r w:rsidR="008B7F43">
              <w:rPr>
                <w:color w:val="000000"/>
                <w:sz w:val="18"/>
                <w:szCs w:val="18"/>
                <w:vertAlign w:val="superscript"/>
              </w:rPr>
              <w:t>j</w:t>
            </w:r>
          </w:p>
          <w:p w:rsidR="00CD4979" w:rsidRPr="00A442B5" w:rsidRDefault="00CD4979" w:rsidP="003838ED">
            <w:pPr>
              <w:rPr>
                <w:color w:val="000000"/>
                <w:sz w:val="18"/>
                <w:szCs w:val="18"/>
                <w:u w:val="single"/>
              </w:rPr>
            </w:pPr>
          </w:p>
          <w:p w:rsidR="00A442B5" w:rsidRDefault="0039256F" w:rsidP="003838ED">
            <w:pPr>
              <w:rPr>
                <w:sz w:val="18"/>
                <w:szCs w:val="18"/>
              </w:rPr>
            </w:pPr>
            <w:r>
              <w:rPr>
                <w:sz w:val="18"/>
                <w:szCs w:val="18"/>
              </w:rPr>
              <w:t>New s</w:t>
            </w:r>
            <w:r w:rsidR="00CD4979">
              <w:rPr>
                <w:sz w:val="18"/>
                <w:szCs w:val="18"/>
              </w:rPr>
              <w:t xml:space="preserve">ection 2.3.3 (d): </w:t>
            </w:r>
            <w:r>
              <w:rPr>
                <w:sz w:val="18"/>
                <w:szCs w:val="18"/>
              </w:rPr>
              <w:t xml:space="preserve"> t</w:t>
            </w:r>
            <w:r w:rsidR="00A442B5" w:rsidRPr="00A442B5">
              <w:rPr>
                <w:sz w:val="18"/>
                <w:szCs w:val="18"/>
              </w:rPr>
              <w:t>o recommend that consideration be given to avoiding re-use of denominations in all cases.  However, it clarified that it would be important to consider only denominations of varieties (i.e. plant groupings that meet the definition of variety in Article 1 (vi) of the 1991 Act) and, in addition, to expand the content of PLUTO database to include all varieties, including those that had not been, or were no longer, registered/protected.</w:t>
            </w:r>
            <w:r w:rsidR="00A442B5">
              <w:rPr>
                <w:rStyle w:val="EndnoteReference"/>
                <w:sz w:val="18"/>
                <w:szCs w:val="18"/>
              </w:rPr>
              <w:endnoteReference w:id="14"/>
            </w:r>
          </w:p>
          <w:p w:rsidR="00A442B5" w:rsidRPr="00A442B5" w:rsidRDefault="00A442B5" w:rsidP="000D59C2">
            <w:pPr>
              <w:rPr>
                <w:sz w:val="18"/>
                <w:szCs w:val="18"/>
              </w:rPr>
            </w:pPr>
          </w:p>
        </w:tc>
      </w:tr>
    </w:tbl>
    <w:p w:rsidR="00A442B5" w:rsidRDefault="00A442B5" w:rsidP="000D59C2"/>
    <w:tbl>
      <w:tblPr>
        <w:tblStyle w:val="TableGrid"/>
        <w:tblW w:w="0" w:type="auto"/>
        <w:tblLook w:val="04A0" w:firstRow="1" w:lastRow="0" w:firstColumn="1" w:lastColumn="0" w:noHBand="0" w:noVBand="1"/>
      </w:tblPr>
      <w:tblGrid>
        <w:gridCol w:w="9855"/>
      </w:tblGrid>
      <w:tr w:rsidR="005F2452" w:rsidTr="0086743F">
        <w:trPr>
          <w:cantSplit/>
        </w:trPr>
        <w:tc>
          <w:tcPr>
            <w:tcW w:w="9855" w:type="dxa"/>
            <w:shd w:val="clear" w:color="auto" w:fill="D9D9D9" w:themeFill="background1" w:themeFillShade="D9"/>
          </w:tcPr>
          <w:p w:rsidR="005F2452" w:rsidRPr="005F2452" w:rsidRDefault="005F2452" w:rsidP="00FF105B">
            <w:pPr>
              <w:rPr>
                <w:sz w:val="18"/>
                <w:szCs w:val="18"/>
              </w:rPr>
            </w:pPr>
          </w:p>
          <w:p w:rsidR="005F2452" w:rsidRPr="005F2452" w:rsidRDefault="005F2452" w:rsidP="00FF105B">
            <w:pPr>
              <w:rPr>
                <w:color w:val="000000"/>
                <w:sz w:val="18"/>
                <w:szCs w:val="18"/>
                <w:u w:val="single"/>
              </w:rPr>
            </w:pPr>
            <w:r w:rsidRPr="005F2452">
              <w:rPr>
                <w:color w:val="000000"/>
                <w:sz w:val="18"/>
                <w:szCs w:val="18"/>
                <w:u w:val="single"/>
              </w:rPr>
              <w:t xml:space="preserve">Proposal by </w:t>
            </w:r>
            <w:r w:rsidR="00E30EE5">
              <w:rPr>
                <w:color w:val="000000"/>
                <w:sz w:val="18"/>
                <w:szCs w:val="18"/>
                <w:u w:val="single"/>
              </w:rPr>
              <w:t xml:space="preserve">the </w:t>
            </w:r>
            <w:r w:rsidRPr="005F2452">
              <w:rPr>
                <w:color w:val="000000"/>
                <w:sz w:val="18"/>
                <w:szCs w:val="18"/>
                <w:u w:val="single"/>
              </w:rPr>
              <w:t>European Union (CPVO)</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FF4493" w:rsidRPr="00FF4493">
              <w:rPr>
                <w:rStyle w:val="EndnoteReference"/>
                <w:sz w:val="18"/>
                <w:szCs w:val="18"/>
              </w:rPr>
              <w:t>a</w:t>
            </w:r>
            <w:r w:rsidRPr="005F2452">
              <w:rPr>
                <w:sz w:val="18"/>
                <w:szCs w:val="18"/>
              </w:rPr>
              <w:fldChar w:fldCharType="end"/>
            </w:r>
          </w:p>
          <w:p w:rsidR="005F2452" w:rsidRPr="005F2452" w:rsidRDefault="005F2452" w:rsidP="003838ED">
            <w:pPr>
              <w:rPr>
                <w:color w:val="000000"/>
                <w:sz w:val="18"/>
                <w:szCs w:val="18"/>
                <w:u w:val="single"/>
              </w:rPr>
            </w:pPr>
          </w:p>
          <w:p w:rsidR="005F2452" w:rsidRPr="005F2452" w:rsidRDefault="005F2452" w:rsidP="003838ED">
            <w:pPr>
              <w:rPr>
                <w:sz w:val="18"/>
                <w:szCs w:val="18"/>
              </w:rPr>
            </w:pPr>
            <w:r w:rsidRPr="005F2452">
              <w:rPr>
                <w:sz w:val="18"/>
                <w:szCs w:val="18"/>
              </w:rPr>
              <w:t>To make clear in section 2.3.3 dealing with the identity of the variety, that the re-use of the same or a similar VDs is possible under certain conditions, especially when an earlier variety has disappeared.</w:t>
            </w:r>
          </w:p>
          <w:p w:rsidR="005F2452" w:rsidRPr="005F2452" w:rsidRDefault="005F2452" w:rsidP="00FF105B">
            <w:pPr>
              <w:rPr>
                <w:sz w:val="18"/>
                <w:szCs w:val="18"/>
              </w:rPr>
            </w:pPr>
          </w:p>
        </w:tc>
      </w:tr>
    </w:tbl>
    <w:p w:rsidR="005F2452" w:rsidRDefault="005F2452" w:rsidP="000D59C2"/>
    <w:tbl>
      <w:tblPr>
        <w:tblStyle w:val="TableGrid"/>
        <w:tblW w:w="0" w:type="auto"/>
        <w:tblLook w:val="04A0" w:firstRow="1" w:lastRow="0" w:firstColumn="1" w:lastColumn="0" w:noHBand="0" w:noVBand="1"/>
      </w:tblPr>
      <w:tblGrid>
        <w:gridCol w:w="9855"/>
      </w:tblGrid>
      <w:tr w:rsidR="00E12D79" w:rsidTr="0086743F">
        <w:trPr>
          <w:cantSplit/>
        </w:trPr>
        <w:tc>
          <w:tcPr>
            <w:tcW w:w="9855" w:type="dxa"/>
            <w:shd w:val="clear" w:color="auto" w:fill="D9D9D9" w:themeFill="background1" w:themeFillShade="D9"/>
          </w:tcPr>
          <w:p w:rsidR="00E12D79" w:rsidRPr="0047703B" w:rsidRDefault="00E12D79" w:rsidP="00B85382">
            <w:pPr>
              <w:jc w:val="left"/>
              <w:rPr>
                <w:sz w:val="18"/>
                <w:szCs w:val="18"/>
              </w:rPr>
            </w:pPr>
          </w:p>
          <w:p w:rsidR="00E12D79" w:rsidRPr="0047703B" w:rsidRDefault="00E12D79" w:rsidP="003838ED">
            <w:pPr>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4493" w:rsidRPr="00FF4493">
              <w:rPr>
                <w:rStyle w:val="EndnoteReference"/>
                <w:sz w:val="18"/>
                <w:szCs w:val="18"/>
              </w:rPr>
              <w:t>c</w:t>
            </w:r>
            <w:r w:rsidRPr="0047703B">
              <w:rPr>
                <w:sz w:val="18"/>
                <w:szCs w:val="18"/>
              </w:rPr>
              <w:fldChar w:fldCharType="end"/>
            </w:r>
          </w:p>
          <w:p w:rsidR="00E12D79" w:rsidRDefault="00E12D79" w:rsidP="003838ED">
            <w:pPr>
              <w:rPr>
                <w:sz w:val="18"/>
                <w:szCs w:val="18"/>
              </w:rPr>
            </w:pPr>
          </w:p>
          <w:p w:rsidR="00A67241" w:rsidRDefault="0039256F" w:rsidP="003838ED">
            <w:pPr>
              <w:rPr>
                <w:sz w:val="18"/>
                <w:szCs w:val="18"/>
              </w:rPr>
            </w:pPr>
            <w:r>
              <w:rPr>
                <w:sz w:val="18"/>
                <w:szCs w:val="18"/>
              </w:rPr>
              <w:t>New section 2.3.3 (d):  t</w:t>
            </w:r>
            <w:r w:rsidR="00A01584">
              <w:rPr>
                <w:sz w:val="18"/>
                <w:szCs w:val="18"/>
              </w:rPr>
              <w:t>o re-</w:t>
            </w:r>
            <w:r w:rsidR="00A67241">
              <w:rPr>
                <w:sz w:val="18"/>
                <w:szCs w:val="18"/>
              </w:rPr>
              <w:t xml:space="preserve">use of denominations should be possible for genera that require </w:t>
            </w:r>
            <w:r w:rsidR="00A01584">
              <w:rPr>
                <w:sz w:val="18"/>
                <w:szCs w:val="18"/>
              </w:rPr>
              <w:t>ongoing</w:t>
            </w:r>
            <w:r w:rsidR="00A67241">
              <w:rPr>
                <w:sz w:val="18"/>
                <w:szCs w:val="18"/>
              </w:rPr>
              <w:t xml:space="preserve"> maintenance, such as annual seed crops.</w:t>
            </w:r>
            <w:r>
              <w:rPr>
                <w:sz w:val="18"/>
                <w:szCs w:val="18"/>
              </w:rPr>
              <w:t xml:space="preserve"> </w:t>
            </w:r>
            <w:r w:rsidR="00A67241">
              <w:rPr>
                <w:sz w:val="18"/>
                <w:szCs w:val="18"/>
              </w:rPr>
              <w:t xml:space="preserve"> It may be possible to sufficiently establish that a variety no longer exists. </w:t>
            </w:r>
            <w:r>
              <w:rPr>
                <w:sz w:val="18"/>
                <w:szCs w:val="18"/>
              </w:rPr>
              <w:t xml:space="preserve"> </w:t>
            </w:r>
            <w:r w:rsidR="00A67241">
              <w:rPr>
                <w:sz w:val="18"/>
                <w:szCs w:val="18"/>
              </w:rPr>
              <w:t xml:space="preserve">For vegetatively propagated species it may be much more difficult to adequately establish that a variety no longer exists. </w:t>
            </w:r>
            <w:r>
              <w:rPr>
                <w:sz w:val="18"/>
                <w:szCs w:val="18"/>
              </w:rPr>
              <w:t xml:space="preserve"> The re-</w:t>
            </w:r>
            <w:r w:rsidR="00A67241">
              <w:rPr>
                <w:sz w:val="18"/>
                <w:szCs w:val="18"/>
              </w:rPr>
              <w:t>use of denominations should not be entirely ruled out.</w:t>
            </w:r>
          </w:p>
          <w:p w:rsidR="00E12D79" w:rsidRPr="0047703B" w:rsidRDefault="00E12D79" w:rsidP="00E12D79">
            <w:pPr>
              <w:jc w:val="left"/>
              <w:rPr>
                <w:sz w:val="18"/>
                <w:szCs w:val="18"/>
              </w:rPr>
            </w:pPr>
          </w:p>
        </w:tc>
      </w:tr>
    </w:tbl>
    <w:p w:rsidR="00A01584" w:rsidRDefault="00A01584" w:rsidP="00A01584"/>
    <w:tbl>
      <w:tblPr>
        <w:tblStyle w:val="TableGrid"/>
        <w:tblW w:w="0" w:type="auto"/>
        <w:tblLook w:val="04A0" w:firstRow="1" w:lastRow="0" w:firstColumn="1" w:lastColumn="0" w:noHBand="0" w:noVBand="1"/>
      </w:tblPr>
      <w:tblGrid>
        <w:gridCol w:w="9855"/>
      </w:tblGrid>
      <w:tr w:rsidR="00A01584" w:rsidTr="0086743F">
        <w:trPr>
          <w:cantSplit/>
        </w:trPr>
        <w:tc>
          <w:tcPr>
            <w:tcW w:w="9855" w:type="dxa"/>
            <w:shd w:val="clear" w:color="auto" w:fill="D9D9D9" w:themeFill="background1" w:themeFillShade="D9"/>
          </w:tcPr>
          <w:p w:rsidR="00A01584" w:rsidRPr="005D7C20" w:rsidRDefault="00A01584" w:rsidP="000D7327">
            <w:pPr>
              <w:rPr>
                <w:sz w:val="18"/>
                <w:szCs w:val="18"/>
              </w:rPr>
            </w:pPr>
          </w:p>
          <w:p w:rsidR="00A01584" w:rsidRPr="005D7C20" w:rsidRDefault="00A01584" w:rsidP="003838ED">
            <w:pPr>
              <w:rPr>
                <w:sz w:val="18"/>
                <w:szCs w:val="18"/>
                <w:u w:val="single"/>
              </w:rPr>
            </w:pPr>
            <w:r w:rsidRPr="005D7C20">
              <w:rPr>
                <w:sz w:val="18"/>
                <w:szCs w:val="18"/>
                <w:u w:val="single"/>
              </w:rPr>
              <w:t>Proposal by ESA/ISF</w:t>
            </w:r>
            <w:r w:rsidR="00FE2E34">
              <w:rPr>
                <w:sz w:val="18"/>
                <w:szCs w:val="18"/>
                <w:vertAlign w:val="superscript"/>
              </w:rPr>
              <w:t>k</w:t>
            </w:r>
          </w:p>
          <w:p w:rsidR="00A01584" w:rsidRPr="005D7C20" w:rsidRDefault="00A01584" w:rsidP="003838ED">
            <w:pPr>
              <w:rPr>
                <w:sz w:val="18"/>
                <w:szCs w:val="18"/>
              </w:rPr>
            </w:pPr>
          </w:p>
          <w:p w:rsidR="00A01584" w:rsidRDefault="00A01584" w:rsidP="003838ED">
            <w:pPr>
              <w:rPr>
                <w:sz w:val="18"/>
                <w:szCs w:val="18"/>
              </w:rPr>
            </w:pPr>
            <w:r>
              <w:rPr>
                <w:sz w:val="18"/>
                <w:szCs w:val="18"/>
              </w:rPr>
              <w:t xml:space="preserve">Section: 2.3.3 (d): </w:t>
            </w:r>
            <w:r w:rsidR="0039256F">
              <w:rPr>
                <w:sz w:val="18"/>
                <w:szCs w:val="18"/>
              </w:rPr>
              <w:t xml:space="preserve"> p</w:t>
            </w:r>
            <w:r>
              <w:rPr>
                <w:sz w:val="18"/>
                <w:szCs w:val="18"/>
              </w:rPr>
              <w:t>ropose to mention 10 years as an example of suitable period.</w:t>
            </w:r>
            <w:r w:rsidR="0039256F">
              <w:rPr>
                <w:sz w:val="18"/>
                <w:szCs w:val="18"/>
              </w:rPr>
              <w:t xml:space="preserve"> </w:t>
            </w:r>
            <w:r>
              <w:rPr>
                <w:sz w:val="18"/>
                <w:szCs w:val="18"/>
              </w:rPr>
              <w:t xml:space="preserve"> This is what is indicated in the CPVO guidelines on variety denominations.</w:t>
            </w:r>
          </w:p>
          <w:p w:rsidR="00A01584" w:rsidRPr="005D7C20" w:rsidRDefault="00A01584" w:rsidP="000D7327">
            <w:pPr>
              <w:rPr>
                <w:sz w:val="18"/>
                <w:szCs w:val="18"/>
              </w:rPr>
            </w:pPr>
          </w:p>
        </w:tc>
      </w:tr>
    </w:tbl>
    <w:p w:rsidR="00E12D79" w:rsidRDefault="00E12D79" w:rsidP="000D59C2"/>
    <w:tbl>
      <w:tblPr>
        <w:tblStyle w:val="TableGrid"/>
        <w:tblW w:w="0" w:type="auto"/>
        <w:tblLook w:val="04A0" w:firstRow="1" w:lastRow="0" w:firstColumn="1" w:lastColumn="0" w:noHBand="0" w:noVBand="1"/>
      </w:tblPr>
      <w:tblGrid>
        <w:gridCol w:w="9855"/>
      </w:tblGrid>
      <w:tr w:rsidR="00A67241" w:rsidTr="0042091F">
        <w:trPr>
          <w:cantSplit/>
        </w:trPr>
        <w:tc>
          <w:tcPr>
            <w:tcW w:w="9855" w:type="dxa"/>
            <w:shd w:val="clear" w:color="auto" w:fill="D9D9D9" w:themeFill="background1" w:themeFillShade="D9"/>
          </w:tcPr>
          <w:p w:rsidR="00A67241" w:rsidRPr="0047703B" w:rsidRDefault="00A67241" w:rsidP="003838ED">
            <w:pPr>
              <w:rPr>
                <w:sz w:val="18"/>
                <w:szCs w:val="18"/>
              </w:rPr>
            </w:pPr>
          </w:p>
          <w:p w:rsidR="00474EF5" w:rsidRPr="005D7C20" w:rsidRDefault="00474EF5" w:rsidP="003838ED">
            <w:pPr>
              <w:rPr>
                <w:sz w:val="18"/>
                <w:szCs w:val="18"/>
                <w:u w:val="single"/>
              </w:rPr>
            </w:pPr>
            <w:r w:rsidRPr="005D7C20">
              <w:rPr>
                <w:sz w:val="18"/>
                <w:szCs w:val="18"/>
                <w:u w:val="single"/>
              </w:rPr>
              <w:t>Proposal by ESA/ISF</w:t>
            </w:r>
            <w:r w:rsidR="00FE2E34">
              <w:rPr>
                <w:sz w:val="18"/>
                <w:szCs w:val="18"/>
                <w:vertAlign w:val="superscript"/>
              </w:rPr>
              <w:t>k</w:t>
            </w:r>
          </w:p>
          <w:p w:rsidR="00A67241" w:rsidRDefault="00A67241" w:rsidP="003838ED">
            <w:pPr>
              <w:rPr>
                <w:sz w:val="18"/>
                <w:szCs w:val="18"/>
              </w:rPr>
            </w:pPr>
          </w:p>
          <w:p w:rsidR="00474EF5" w:rsidRDefault="00C27A94" w:rsidP="003838ED">
            <w:pPr>
              <w:rPr>
                <w:sz w:val="18"/>
                <w:szCs w:val="18"/>
              </w:rPr>
            </w:pPr>
            <w:r>
              <w:rPr>
                <w:sz w:val="18"/>
                <w:szCs w:val="18"/>
              </w:rPr>
              <w:t xml:space="preserve">WG-DST has proposed to include all varieties in PLUTO, also those which had not been or were no longer registered/ protected. </w:t>
            </w:r>
            <w:r w:rsidR="0039256F">
              <w:rPr>
                <w:sz w:val="18"/>
                <w:szCs w:val="18"/>
              </w:rPr>
              <w:t xml:space="preserve"> </w:t>
            </w:r>
            <w:r>
              <w:rPr>
                <w:sz w:val="18"/>
                <w:szCs w:val="18"/>
              </w:rPr>
              <w:t xml:space="preserve">We understand that this may cover varieties that may have been marketed under a “test-marketing regime” prior to registration. </w:t>
            </w:r>
            <w:r w:rsidR="0039256F">
              <w:rPr>
                <w:sz w:val="18"/>
                <w:szCs w:val="18"/>
              </w:rPr>
              <w:t xml:space="preserve"> </w:t>
            </w:r>
            <w:r>
              <w:rPr>
                <w:sz w:val="18"/>
                <w:szCs w:val="18"/>
              </w:rPr>
              <w:t xml:space="preserve">Breeders would like to be able to re-use names which have not yet been registered and not yet been marketed. </w:t>
            </w:r>
            <w:r w:rsidR="0039256F">
              <w:rPr>
                <w:sz w:val="18"/>
                <w:szCs w:val="18"/>
              </w:rPr>
              <w:t xml:space="preserve"> </w:t>
            </w:r>
            <w:r>
              <w:rPr>
                <w:sz w:val="18"/>
                <w:szCs w:val="18"/>
              </w:rPr>
              <w:t xml:space="preserve">These are rare cases but still too restrictive rules are not favored. </w:t>
            </w:r>
            <w:r w:rsidR="0039256F">
              <w:rPr>
                <w:sz w:val="18"/>
                <w:szCs w:val="18"/>
              </w:rPr>
              <w:t xml:space="preserve"> </w:t>
            </w:r>
            <w:r>
              <w:rPr>
                <w:sz w:val="18"/>
                <w:szCs w:val="18"/>
              </w:rPr>
              <w:t>As outlined also above, we propose to allow re-use of denominations after a period of 10 years.</w:t>
            </w:r>
          </w:p>
          <w:p w:rsidR="00A67241" w:rsidRPr="0047703B" w:rsidRDefault="00A67241" w:rsidP="00B85382">
            <w:pPr>
              <w:jc w:val="left"/>
              <w:rPr>
                <w:sz w:val="18"/>
                <w:szCs w:val="18"/>
              </w:rPr>
            </w:pPr>
          </w:p>
        </w:tc>
      </w:tr>
    </w:tbl>
    <w:p w:rsidR="00A67241" w:rsidRDefault="00A67241" w:rsidP="000D59C2"/>
    <w:tbl>
      <w:tblPr>
        <w:tblStyle w:val="TableGrid"/>
        <w:tblW w:w="0" w:type="auto"/>
        <w:tblLook w:val="04A0" w:firstRow="1" w:lastRow="0" w:firstColumn="1" w:lastColumn="0" w:noHBand="0" w:noVBand="1"/>
      </w:tblPr>
      <w:tblGrid>
        <w:gridCol w:w="9855"/>
      </w:tblGrid>
      <w:tr w:rsidR="0086743F" w:rsidTr="008B7F43">
        <w:trPr>
          <w:cantSplit/>
        </w:trPr>
        <w:tc>
          <w:tcPr>
            <w:tcW w:w="9855" w:type="dxa"/>
            <w:shd w:val="clear" w:color="auto" w:fill="D9D9D9" w:themeFill="background1" w:themeFillShade="D9"/>
          </w:tcPr>
          <w:p w:rsidR="0086743F" w:rsidRPr="0047703B" w:rsidRDefault="0086743F" w:rsidP="008B7F43">
            <w:pPr>
              <w:rPr>
                <w:sz w:val="18"/>
                <w:szCs w:val="18"/>
              </w:rPr>
            </w:pPr>
          </w:p>
          <w:p w:rsidR="0086743F" w:rsidRPr="00520284" w:rsidRDefault="0086743F" w:rsidP="008B7F43">
            <w:pPr>
              <w:rPr>
                <w:sz w:val="18"/>
                <w:szCs w:val="18"/>
                <w:highlight w:val="yellow"/>
                <w:u w:val="single"/>
              </w:rPr>
            </w:pPr>
            <w:r w:rsidRPr="00520284">
              <w:rPr>
                <w:sz w:val="18"/>
                <w:szCs w:val="18"/>
                <w:highlight w:val="yellow"/>
                <w:u w:val="single"/>
              </w:rPr>
              <w:t>Agreed by the WG-DEN</w:t>
            </w:r>
            <w:r w:rsidR="001A663F" w:rsidRPr="0095486A">
              <w:rPr>
                <w:rStyle w:val="EndnoteReference"/>
                <w:sz w:val="18"/>
                <w:szCs w:val="18"/>
                <w:highlight w:val="yellow"/>
              </w:rPr>
              <w:endnoteReference w:id="15"/>
            </w:r>
          </w:p>
          <w:p w:rsidR="0086743F" w:rsidRPr="00520284" w:rsidRDefault="0086743F" w:rsidP="008B7F43">
            <w:pPr>
              <w:rPr>
                <w:sz w:val="18"/>
                <w:szCs w:val="18"/>
                <w:highlight w:val="yellow"/>
              </w:rPr>
            </w:pPr>
          </w:p>
          <w:p w:rsidR="0086743F" w:rsidRPr="00520284" w:rsidRDefault="0086743F" w:rsidP="002F5048">
            <w:pPr>
              <w:tabs>
                <w:tab w:val="left" w:pos="301"/>
                <w:tab w:val="left" w:pos="689"/>
              </w:tabs>
              <w:rPr>
                <w:sz w:val="18"/>
                <w:szCs w:val="18"/>
                <w:highlight w:val="yellow"/>
              </w:rPr>
            </w:pPr>
            <w:r w:rsidRPr="00520284">
              <w:rPr>
                <w:sz w:val="18"/>
                <w:szCs w:val="18"/>
                <w:highlight w:val="yellow"/>
              </w:rPr>
              <w:tab/>
              <w:t>(a)</w:t>
            </w:r>
            <w:r w:rsidRPr="00520284">
              <w:rPr>
                <w:sz w:val="18"/>
                <w:szCs w:val="18"/>
                <w:highlight w:val="yellow"/>
              </w:rPr>
              <w:tab/>
              <w:t>to clarify that the guidance only concerned the re-use of denominations in the same denomination class;</w:t>
            </w:r>
          </w:p>
          <w:p w:rsidR="0086743F" w:rsidRPr="00520284" w:rsidRDefault="0086743F" w:rsidP="002F5048">
            <w:pPr>
              <w:tabs>
                <w:tab w:val="left" w:pos="301"/>
                <w:tab w:val="left" w:pos="689"/>
              </w:tabs>
              <w:rPr>
                <w:sz w:val="18"/>
                <w:szCs w:val="18"/>
                <w:highlight w:val="yellow"/>
              </w:rPr>
            </w:pPr>
          </w:p>
          <w:p w:rsidR="0086743F" w:rsidRPr="00520284" w:rsidRDefault="0086743F" w:rsidP="002F5048">
            <w:pPr>
              <w:tabs>
                <w:tab w:val="left" w:pos="301"/>
                <w:tab w:val="left" w:pos="689"/>
              </w:tabs>
              <w:rPr>
                <w:sz w:val="18"/>
                <w:szCs w:val="18"/>
                <w:highlight w:val="yellow"/>
              </w:rPr>
            </w:pPr>
            <w:r w:rsidRPr="00520284">
              <w:rPr>
                <w:sz w:val="18"/>
                <w:szCs w:val="18"/>
                <w:highlight w:val="yellow"/>
              </w:rPr>
              <w:tab/>
              <w:t>(b)</w:t>
            </w:r>
            <w:r w:rsidRPr="00520284">
              <w:rPr>
                <w:sz w:val="18"/>
                <w:szCs w:val="18"/>
                <w:highlight w:val="yellow"/>
              </w:rPr>
              <w:tab/>
              <w:t xml:space="preserve">to consider, at its second meeting, whether a time period of 10 years after the variety was no longer commercialized was appropriate for international guidance, given: </w:t>
            </w:r>
          </w:p>
          <w:p w:rsidR="0086743F" w:rsidRPr="00520284" w:rsidRDefault="0086743F" w:rsidP="0086743F">
            <w:pPr>
              <w:rPr>
                <w:sz w:val="18"/>
                <w:szCs w:val="18"/>
                <w:highlight w:val="yellow"/>
              </w:rPr>
            </w:pPr>
          </w:p>
          <w:p w:rsidR="0086743F" w:rsidRPr="00520284" w:rsidRDefault="0086743F" w:rsidP="002F5048">
            <w:pPr>
              <w:pStyle w:val="ListParagraph"/>
              <w:numPr>
                <w:ilvl w:val="0"/>
                <w:numId w:val="10"/>
              </w:numPr>
              <w:ind w:left="993" w:hanging="284"/>
              <w:rPr>
                <w:sz w:val="18"/>
                <w:szCs w:val="18"/>
                <w:highlight w:val="yellow"/>
              </w:rPr>
            </w:pPr>
            <w:r w:rsidRPr="00520284">
              <w:rPr>
                <w:sz w:val="18"/>
                <w:szCs w:val="18"/>
                <w:highlight w:val="yellow"/>
              </w:rPr>
              <w:t xml:space="preserve">the difficulty of obtaining information on commercialization in different territories, </w:t>
            </w:r>
          </w:p>
          <w:p w:rsidR="0086743F" w:rsidRPr="00520284" w:rsidRDefault="0086743F" w:rsidP="002F5048">
            <w:pPr>
              <w:ind w:left="993" w:hanging="284"/>
              <w:rPr>
                <w:sz w:val="18"/>
                <w:szCs w:val="18"/>
                <w:highlight w:val="yellow"/>
              </w:rPr>
            </w:pPr>
          </w:p>
          <w:p w:rsidR="0086743F" w:rsidRPr="00520284" w:rsidRDefault="0086743F" w:rsidP="002F5048">
            <w:pPr>
              <w:pStyle w:val="ListParagraph"/>
              <w:numPr>
                <w:ilvl w:val="0"/>
                <w:numId w:val="10"/>
              </w:numPr>
              <w:ind w:left="993" w:hanging="284"/>
              <w:rPr>
                <w:sz w:val="18"/>
                <w:szCs w:val="18"/>
                <w:highlight w:val="yellow"/>
              </w:rPr>
            </w:pPr>
            <w:r w:rsidRPr="00520284">
              <w:rPr>
                <w:sz w:val="18"/>
                <w:szCs w:val="18"/>
                <w:highlight w:val="yellow"/>
              </w:rPr>
              <w:t>the presence of varieties in genebanks, and</w:t>
            </w:r>
          </w:p>
          <w:p w:rsidR="0086743F" w:rsidRPr="00520284" w:rsidRDefault="0086743F" w:rsidP="002F5048">
            <w:pPr>
              <w:ind w:left="993" w:hanging="284"/>
              <w:rPr>
                <w:sz w:val="18"/>
                <w:szCs w:val="18"/>
                <w:highlight w:val="yellow"/>
              </w:rPr>
            </w:pPr>
          </w:p>
          <w:p w:rsidR="0086743F" w:rsidRPr="00520284" w:rsidRDefault="0086743F" w:rsidP="002F5048">
            <w:pPr>
              <w:pStyle w:val="ListParagraph"/>
              <w:numPr>
                <w:ilvl w:val="0"/>
                <w:numId w:val="10"/>
              </w:numPr>
              <w:ind w:left="993" w:hanging="284"/>
              <w:rPr>
                <w:sz w:val="18"/>
                <w:szCs w:val="18"/>
                <w:highlight w:val="yellow"/>
              </w:rPr>
            </w:pPr>
            <w:r w:rsidRPr="00520284">
              <w:rPr>
                <w:sz w:val="18"/>
                <w:szCs w:val="18"/>
                <w:highlight w:val="yellow"/>
              </w:rPr>
              <w:t>that farmers would probably remember varieties over a considerably longer time than 10 years.</w:t>
            </w:r>
          </w:p>
          <w:p w:rsidR="0086743F" w:rsidRPr="0047703B" w:rsidRDefault="0086743F" w:rsidP="008B7F43">
            <w:pPr>
              <w:jc w:val="left"/>
              <w:rPr>
                <w:sz w:val="18"/>
                <w:szCs w:val="18"/>
              </w:rPr>
            </w:pPr>
          </w:p>
        </w:tc>
      </w:tr>
    </w:tbl>
    <w:p w:rsidR="000D59C2" w:rsidRPr="00407B23" w:rsidRDefault="000D59C2" w:rsidP="000D59C2">
      <w:pPr>
        <w:keepNext/>
      </w:pPr>
      <w:r w:rsidRPr="00407B23">
        <w:t>2.3.4</w:t>
      </w:r>
      <w:r w:rsidRPr="00407B23">
        <w:tab/>
        <w:t>Identity of the breeder</w:t>
      </w:r>
    </w:p>
    <w:p w:rsidR="000D59C2" w:rsidRPr="00407B23" w:rsidRDefault="000D59C2" w:rsidP="00520284">
      <w:pPr>
        <w:keepNext/>
      </w:pPr>
    </w:p>
    <w:p w:rsidR="000D59C2" w:rsidRPr="00407B23" w:rsidRDefault="000D59C2" w:rsidP="00520284">
      <w:pPr>
        <w:keepNext/>
      </w:pPr>
      <w:r w:rsidRPr="00407B23">
        <w:t>The variety denomination should not mislead or cause confusion concerning the identity of the breeder.</w:t>
      </w:r>
    </w:p>
    <w:p w:rsidR="00484969" w:rsidRDefault="00484969" w:rsidP="00520284">
      <w:pPr>
        <w:keepNext/>
      </w:pPr>
    </w:p>
    <w:tbl>
      <w:tblPr>
        <w:tblStyle w:val="TableGrid"/>
        <w:tblW w:w="0" w:type="auto"/>
        <w:tblLook w:val="04A0" w:firstRow="1" w:lastRow="0" w:firstColumn="1" w:lastColumn="0" w:noHBand="0" w:noVBand="1"/>
      </w:tblPr>
      <w:tblGrid>
        <w:gridCol w:w="9855"/>
      </w:tblGrid>
      <w:tr w:rsidR="00484969" w:rsidTr="00520284">
        <w:trPr>
          <w:cantSplit/>
        </w:trPr>
        <w:tc>
          <w:tcPr>
            <w:tcW w:w="9855" w:type="dxa"/>
            <w:shd w:val="clear" w:color="auto" w:fill="D9D9D9" w:themeFill="background1" w:themeFillShade="D9"/>
          </w:tcPr>
          <w:p w:rsidR="00484969" w:rsidRPr="0047703B" w:rsidRDefault="00484969" w:rsidP="003838ED">
            <w:pPr>
              <w:rPr>
                <w:sz w:val="18"/>
                <w:szCs w:val="18"/>
              </w:rPr>
            </w:pPr>
          </w:p>
          <w:p w:rsidR="00484969" w:rsidRPr="0047703B" w:rsidRDefault="00484969" w:rsidP="003838ED">
            <w:pPr>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4493" w:rsidRPr="00FF4493">
              <w:rPr>
                <w:rStyle w:val="EndnoteReference"/>
                <w:sz w:val="18"/>
                <w:szCs w:val="18"/>
              </w:rPr>
              <w:t>c</w:t>
            </w:r>
            <w:r w:rsidRPr="0047703B">
              <w:rPr>
                <w:sz w:val="18"/>
                <w:szCs w:val="18"/>
              </w:rPr>
              <w:fldChar w:fldCharType="end"/>
            </w:r>
          </w:p>
          <w:p w:rsidR="00484969" w:rsidRPr="0047703B" w:rsidRDefault="00484969" w:rsidP="003838ED">
            <w:pPr>
              <w:rPr>
                <w:sz w:val="18"/>
                <w:szCs w:val="18"/>
              </w:rPr>
            </w:pPr>
          </w:p>
          <w:p w:rsidR="00484969" w:rsidRDefault="00484969" w:rsidP="003838ED">
            <w:pPr>
              <w:rPr>
                <w:sz w:val="18"/>
                <w:szCs w:val="18"/>
              </w:rPr>
            </w:pPr>
            <w:r>
              <w:rPr>
                <w:sz w:val="18"/>
                <w:szCs w:val="18"/>
              </w:rPr>
              <w:t>S</w:t>
            </w:r>
            <w:r w:rsidR="0039256F">
              <w:rPr>
                <w:sz w:val="18"/>
                <w:szCs w:val="18"/>
              </w:rPr>
              <w:t>ection 2.3.4 examples:  t</w:t>
            </w:r>
            <w:r>
              <w:rPr>
                <w:sz w:val="18"/>
                <w:szCs w:val="18"/>
              </w:rPr>
              <w:t>he identity of the breeder is often shown using prefixes of various kinds Apple ‘Scired’, Apple ‘Scifresh’, Rose ‘Macrexy’, Rose ‘Macgenev’.</w:t>
            </w:r>
          </w:p>
          <w:p w:rsidR="00484969" w:rsidRPr="0047703B" w:rsidRDefault="00484969" w:rsidP="00484969">
            <w:pPr>
              <w:jc w:val="left"/>
              <w:rPr>
                <w:sz w:val="18"/>
                <w:szCs w:val="18"/>
              </w:rPr>
            </w:pPr>
          </w:p>
        </w:tc>
      </w:tr>
    </w:tbl>
    <w:p w:rsidR="000D59C2" w:rsidRDefault="000D59C2" w:rsidP="000D59C2">
      <w:pPr>
        <w:rPr>
          <w:lang w:eastAsia="ja-JP"/>
        </w:rPr>
      </w:pPr>
    </w:p>
    <w:tbl>
      <w:tblPr>
        <w:tblStyle w:val="TableGrid"/>
        <w:tblW w:w="0" w:type="auto"/>
        <w:tblLook w:val="04A0" w:firstRow="1" w:lastRow="0" w:firstColumn="1" w:lastColumn="0" w:noHBand="0" w:noVBand="1"/>
      </w:tblPr>
      <w:tblGrid>
        <w:gridCol w:w="9855"/>
      </w:tblGrid>
      <w:tr w:rsidR="00520284" w:rsidTr="00520284">
        <w:trPr>
          <w:cantSplit/>
        </w:trPr>
        <w:tc>
          <w:tcPr>
            <w:tcW w:w="9855" w:type="dxa"/>
            <w:shd w:val="clear" w:color="auto" w:fill="D9D9D9" w:themeFill="background1" w:themeFillShade="D9"/>
          </w:tcPr>
          <w:p w:rsidR="00520284" w:rsidRDefault="00520284" w:rsidP="008B7F43">
            <w:pPr>
              <w:rPr>
                <w:sz w:val="18"/>
                <w:szCs w:val="18"/>
                <w:lang w:eastAsia="ja-JP"/>
              </w:rPr>
            </w:pPr>
          </w:p>
          <w:p w:rsidR="00C6215A" w:rsidRDefault="00C6215A" w:rsidP="00C6215A">
            <w:pPr>
              <w:rPr>
                <w:sz w:val="18"/>
                <w:szCs w:val="18"/>
                <w:lang w:eastAsia="ja-JP"/>
              </w:rPr>
            </w:pPr>
            <w:r w:rsidRPr="00596EC4">
              <w:rPr>
                <w:sz w:val="18"/>
                <w:szCs w:val="18"/>
                <w:highlight w:val="yellow"/>
                <w:lang w:eastAsia="ja-JP"/>
              </w:rPr>
              <w:t>UPOV Circular E-16/088 of April 13, 2016</w:t>
            </w:r>
            <w:r w:rsidRPr="00C6215A">
              <w:rPr>
                <w:rFonts w:hint="eastAsia"/>
                <w:sz w:val="18"/>
                <w:szCs w:val="18"/>
                <w:highlight w:val="yellow"/>
                <w:lang w:eastAsia="ja-JP"/>
              </w:rPr>
              <w:t xml:space="preserve">, </w:t>
            </w:r>
            <w:r w:rsidRPr="00C6215A">
              <w:rPr>
                <w:sz w:val="18"/>
                <w:szCs w:val="18"/>
                <w:highlight w:val="yellow"/>
                <w:lang w:eastAsia="ja-JP"/>
              </w:rPr>
              <w:t>invite</w:t>
            </w:r>
            <w:r w:rsidRPr="00C6215A">
              <w:rPr>
                <w:rFonts w:hint="eastAsia"/>
                <w:sz w:val="18"/>
                <w:szCs w:val="18"/>
                <w:highlight w:val="yellow"/>
                <w:lang w:eastAsia="ja-JP"/>
              </w:rPr>
              <w:t>d</w:t>
            </w:r>
            <w:r w:rsidRPr="00C6215A">
              <w:rPr>
                <w:sz w:val="18"/>
                <w:szCs w:val="18"/>
                <w:highlight w:val="yellow"/>
                <w:lang w:eastAsia="ja-JP"/>
              </w:rPr>
              <w:t xml:space="preserve"> </w:t>
            </w:r>
            <w:r>
              <w:rPr>
                <w:sz w:val="18"/>
                <w:szCs w:val="18"/>
                <w:highlight w:val="yellow"/>
                <w:lang w:eastAsia="ja-JP"/>
              </w:rPr>
              <w:t>members of the WG</w:t>
            </w:r>
            <w:r>
              <w:rPr>
                <w:rFonts w:hint="eastAsia"/>
                <w:sz w:val="18"/>
                <w:szCs w:val="18"/>
                <w:highlight w:val="yellow"/>
                <w:lang w:eastAsia="ja-JP"/>
              </w:rPr>
              <w:t>-</w:t>
            </w:r>
            <w:r w:rsidRPr="00C6215A">
              <w:rPr>
                <w:sz w:val="18"/>
                <w:szCs w:val="18"/>
                <w:highlight w:val="yellow"/>
                <w:lang w:eastAsia="ja-JP"/>
              </w:rPr>
              <w:t>DEN to provide examples and information on the use of prefixes to identify the breeder and issues that could arise</w:t>
            </w:r>
            <w:r w:rsidRPr="00A0274F">
              <w:rPr>
                <w:rFonts w:hint="eastAsia"/>
                <w:sz w:val="18"/>
                <w:szCs w:val="18"/>
                <w:highlight w:val="yellow"/>
                <w:lang w:eastAsia="ja-JP"/>
              </w:rPr>
              <w:t>, a</w:t>
            </w:r>
            <w:r w:rsidRPr="00596EC4">
              <w:rPr>
                <w:rFonts w:hint="eastAsia"/>
                <w:sz w:val="18"/>
                <w:szCs w:val="18"/>
                <w:highlight w:val="yellow"/>
                <w:lang w:eastAsia="ja-JP"/>
              </w:rPr>
              <w:t>nd received proposals as follows</w:t>
            </w:r>
            <w:r w:rsidR="00AF7D68">
              <w:rPr>
                <w:rFonts w:hint="eastAsia"/>
                <w:sz w:val="18"/>
                <w:szCs w:val="18"/>
                <w:highlight w:val="yellow"/>
                <w:lang w:eastAsia="ja-JP"/>
              </w:rPr>
              <w:t>:</w:t>
            </w:r>
          </w:p>
          <w:p w:rsidR="00C6215A" w:rsidRDefault="00C6215A" w:rsidP="00395671">
            <w:pPr>
              <w:spacing w:line="360" w:lineRule="auto"/>
              <w:rPr>
                <w:sz w:val="18"/>
                <w:szCs w:val="18"/>
                <w:lang w:eastAsia="ja-JP"/>
              </w:rPr>
            </w:pPr>
          </w:p>
          <w:p w:rsidR="00520284" w:rsidRPr="00520284" w:rsidRDefault="00520284" w:rsidP="008B7F43">
            <w:pPr>
              <w:rPr>
                <w:sz w:val="18"/>
                <w:szCs w:val="18"/>
                <w:highlight w:val="yellow"/>
                <w:lang w:eastAsia="ja-JP"/>
              </w:rPr>
            </w:pPr>
            <w:r w:rsidRPr="00520284">
              <w:rPr>
                <w:sz w:val="18"/>
                <w:szCs w:val="18"/>
                <w:highlight w:val="yellow"/>
                <w:u w:val="single"/>
              </w:rPr>
              <w:t>Proposal by France</w:t>
            </w:r>
          </w:p>
          <w:p w:rsidR="00520284" w:rsidRPr="00520284" w:rsidRDefault="00520284" w:rsidP="008B7F43">
            <w:pPr>
              <w:rPr>
                <w:sz w:val="18"/>
                <w:szCs w:val="18"/>
                <w:highlight w:val="yellow"/>
              </w:rPr>
            </w:pPr>
          </w:p>
          <w:p w:rsidR="00520284" w:rsidRDefault="00520284" w:rsidP="008B7F43">
            <w:pPr>
              <w:rPr>
                <w:sz w:val="18"/>
                <w:szCs w:val="18"/>
              </w:rPr>
            </w:pPr>
            <w:r w:rsidRPr="00520284">
              <w:rPr>
                <w:sz w:val="18"/>
                <w:szCs w:val="18"/>
                <w:highlight w:val="yellow"/>
              </w:rPr>
              <w:t>France considers breeder as defined by the Art 1 of the UPOV Convention.  Furthermore, as licensees may be different depending on the geographical areas concerned and may change depending on commercial strategy of companies and timeframe, we strongly support the necessity to stick to the following principle: a breeder’s identifier in a denomination should only refer to the original breeder or breeding company.  The use of breeder’s identifier in a denomination is not compulsory, but when used, it should not be misleading regarding identity of the breeder sensus stricto.  Example: ‘ABC’ is the prefix commonly used by breeding company A, while ‘DEF’ is the one used by the breeding company D.   For a said crop, A company gives some licenses to D company; for the consistency of D portfolio, A company propose ‘DEF Mano’ for one of the varieties bred by ABC and licensed to D company.  From our point of view, this proposal is not acceptable because cause confusion regarding breeder’s identity.</w:t>
            </w:r>
          </w:p>
          <w:p w:rsidR="00C6215A" w:rsidRDefault="00C6215A" w:rsidP="00395671">
            <w:pPr>
              <w:spacing w:line="360" w:lineRule="auto"/>
              <w:jc w:val="left"/>
              <w:rPr>
                <w:sz w:val="18"/>
                <w:szCs w:val="18"/>
                <w:lang w:eastAsia="ja-JP"/>
              </w:rPr>
            </w:pPr>
          </w:p>
          <w:p w:rsidR="00C6215A" w:rsidRPr="00504D1D" w:rsidRDefault="00C6215A" w:rsidP="00C6215A">
            <w:pPr>
              <w:jc w:val="left"/>
              <w:rPr>
                <w:sz w:val="18"/>
                <w:szCs w:val="18"/>
                <w:highlight w:val="yellow"/>
                <w:u w:val="single"/>
                <w:lang w:eastAsia="ja-JP"/>
              </w:rPr>
            </w:pPr>
            <w:r w:rsidRPr="00504D1D">
              <w:rPr>
                <w:sz w:val="18"/>
                <w:szCs w:val="18"/>
                <w:highlight w:val="yellow"/>
                <w:u w:val="single"/>
              </w:rPr>
              <w:t>Proposal by the Netherlands</w:t>
            </w:r>
          </w:p>
          <w:p w:rsidR="00C6215A" w:rsidRPr="00504D1D" w:rsidRDefault="00C6215A" w:rsidP="00C6215A">
            <w:pPr>
              <w:rPr>
                <w:sz w:val="18"/>
                <w:szCs w:val="18"/>
                <w:highlight w:val="yellow"/>
              </w:rPr>
            </w:pPr>
          </w:p>
          <w:p w:rsidR="00C6215A" w:rsidRPr="00504D1D" w:rsidRDefault="00C6215A" w:rsidP="00C6215A">
            <w:pPr>
              <w:rPr>
                <w:sz w:val="18"/>
                <w:szCs w:val="18"/>
              </w:rPr>
            </w:pPr>
            <w:r w:rsidRPr="00504D1D">
              <w:rPr>
                <w:sz w:val="18"/>
                <w:szCs w:val="18"/>
                <w:highlight w:val="yellow"/>
              </w:rPr>
              <w:t>The German Rose breeder Kordes has ‘KOR’ as the prefix for their varieties; e.g. ‘Korbin’, ‘Korgazell’ &amp; ‘Korkuma’.  It would be misleading if other Rose breeders would use the same prefix.</w:t>
            </w:r>
          </w:p>
          <w:p w:rsidR="00C6215A" w:rsidRDefault="00C6215A" w:rsidP="00395671">
            <w:pPr>
              <w:spacing w:line="360" w:lineRule="auto"/>
              <w:jc w:val="left"/>
              <w:rPr>
                <w:sz w:val="18"/>
                <w:szCs w:val="18"/>
                <w:lang w:eastAsia="ja-JP"/>
              </w:rPr>
            </w:pPr>
          </w:p>
          <w:p w:rsidR="00C6215A" w:rsidRPr="000E30A0" w:rsidRDefault="00C6215A" w:rsidP="00C6215A">
            <w:pPr>
              <w:jc w:val="left"/>
              <w:rPr>
                <w:sz w:val="18"/>
                <w:szCs w:val="18"/>
                <w:highlight w:val="yellow"/>
                <w:u w:val="single"/>
                <w:lang w:eastAsia="ja-JP"/>
              </w:rPr>
            </w:pPr>
            <w:r w:rsidRPr="000E30A0">
              <w:rPr>
                <w:sz w:val="18"/>
                <w:szCs w:val="18"/>
                <w:highlight w:val="yellow"/>
                <w:u w:val="single"/>
              </w:rPr>
              <w:t>Proposal by New Zealand</w:t>
            </w:r>
          </w:p>
          <w:p w:rsidR="00C6215A" w:rsidRPr="000E30A0" w:rsidRDefault="00C6215A" w:rsidP="00C6215A">
            <w:pPr>
              <w:rPr>
                <w:sz w:val="18"/>
                <w:szCs w:val="18"/>
                <w:highlight w:val="yellow"/>
              </w:rPr>
            </w:pPr>
          </w:p>
          <w:p w:rsidR="00C6215A" w:rsidRPr="000E30A0" w:rsidRDefault="00C6215A" w:rsidP="00C6215A">
            <w:pPr>
              <w:ind w:left="1701" w:hanging="1701"/>
              <w:rPr>
                <w:sz w:val="18"/>
                <w:szCs w:val="18"/>
                <w:highlight w:val="yellow"/>
              </w:rPr>
            </w:pPr>
            <w:r w:rsidRPr="000E30A0">
              <w:rPr>
                <w:i/>
                <w:sz w:val="18"/>
                <w:szCs w:val="18"/>
                <w:highlight w:val="yellow"/>
              </w:rPr>
              <w:t>Eucomis</w:t>
            </w:r>
            <w:r w:rsidRPr="000E30A0">
              <w:rPr>
                <w:sz w:val="18"/>
                <w:szCs w:val="18"/>
                <w:highlight w:val="yellow"/>
              </w:rPr>
              <w:t xml:space="preserve">  ‘Eudun1’</w:t>
            </w:r>
            <w:r w:rsidRPr="000E30A0">
              <w:rPr>
                <w:sz w:val="18"/>
                <w:szCs w:val="18"/>
                <w:highlight w:val="yellow"/>
              </w:rPr>
              <w:tab/>
              <w:t>The breeder of this variety is the first to use the prefix ‘Eu’, indicating the genus of the variety.  Does this also indicate the breeder?</w:t>
            </w:r>
          </w:p>
          <w:p w:rsidR="00C6215A" w:rsidRPr="000E30A0" w:rsidRDefault="00C6215A" w:rsidP="00C6215A">
            <w:pPr>
              <w:rPr>
                <w:sz w:val="18"/>
                <w:szCs w:val="18"/>
                <w:highlight w:val="yellow"/>
              </w:rPr>
            </w:pPr>
          </w:p>
          <w:p w:rsidR="00C6215A" w:rsidRPr="000E30A0" w:rsidRDefault="00C6215A" w:rsidP="00C6215A">
            <w:pPr>
              <w:rPr>
                <w:sz w:val="18"/>
                <w:szCs w:val="18"/>
                <w:highlight w:val="yellow"/>
              </w:rPr>
            </w:pPr>
            <w:r w:rsidRPr="000E30A0">
              <w:rPr>
                <w:sz w:val="18"/>
                <w:szCs w:val="18"/>
                <w:highlight w:val="yellow"/>
              </w:rPr>
              <w:t xml:space="preserve">Other examples  </w:t>
            </w:r>
            <w:r w:rsidRPr="000E30A0">
              <w:rPr>
                <w:i/>
                <w:sz w:val="18"/>
                <w:szCs w:val="18"/>
                <w:highlight w:val="yellow"/>
              </w:rPr>
              <w:t>Agapanthus</w:t>
            </w:r>
            <w:r w:rsidRPr="000E30A0">
              <w:rPr>
                <w:sz w:val="18"/>
                <w:szCs w:val="18"/>
                <w:highlight w:val="yellow"/>
              </w:rPr>
              <w:t xml:space="preserve"> ‘Agapetite’,  </w:t>
            </w:r>
            <w:r w:rsidRPr="000E30A0">
              <w:rPr>
                <w:i/>
                <w:sz w:val="18"/>
                <w:szCs w:val="18"/>
                <w:highlight w:val="yellow"/>
              </w:rPr>
              <w:t>Carex</w:t>
            </w:r>
            <w:r w:rsidRPr="000E30A0">
              <w:rPr>
                <w:sz w:val="18"/>
                <w:szCs w:val="18"/>
                <w:highlight w:val="yellow"/>
              </w:rPr>
              <w:t xml:space="preserve"> ‘Carfit01’, </w:t>
            </w:r>
            <w:r w:rsidRPr="000E30A0">
              <w:rPr>
                <w:i/>
                <w:sz w:val="18"/>
                <w:szCs w:val="18"/>
                <w:highlight w:val="yellow"/>
              </w:rPr>
              <w:t>Westringia</w:t>
            </w:r>
            <w:r w:rsidRPr="000E30A0">
              <w:rPr>
                <w:sz w:val="18"/>
                <w:szCs w:val="18"/>
                <w:highlight w:val="yellow"/>
              </w:rPr>
              <w:t xml:space="preserve"> ‘WES08’ </w:t>
            </w:r>
          </w:p>
          <w:p w:rsidR="00C6215A" w:rsidRPr="000E30A0" w:rsidRDefault="00C6215A" w:rsidP="00C6215A">
            <w:pPr>
              <w:rPr>
                <w:sz w:val="18"/>
                <w:szCs w:val="18"/>
                <w:highlight w:val="yellow"/>
              </w:rPr>
            </w:pPr>
          </w:p>
          <w:p w:rsidR="00C6215A" w:rsidRDefault="00C6215A" w:rsidP="00C6215A">
            <w:pPr>
              <w:jc w:val="left"/>
              <w:rPr>
                <w:sz w:val="18"/>
                <w:szCs w:val="18"/>
                <w:lang w:eastAsia="ja-JP"/>
              </w:rPr>
            </w:pPr>
            <w:r w:rsidRPr="000E30A0">
              <w:rPr>
                <w:sz w:val="18"/>
                <w:szCs w:val="18"/>
                <w:highlight w:val="yellow"/>
              </w:rPr>
              <w:t>If a breeder is the first to use a genus prefix to identify their varieties, could this prevent other breeders of that genus from using the genus prefix?</w:t>
            </w:r>
          </w:p>
          <w:p w:rsidR="00C6215A" w:rsidRPr="0047703B" w:rsidRDefault="00C6215A" w:rsidP="008B7F43">
            <w:pPr>
              <w:jc w:val="left"/>
              <w:rPr>
                <w:sz w:val="18"/>
                <w:szCs w:val="18"/>
                <w:lang w:eastAsia="ja-JP"/>
              </w:rPr>
            </w:pPr>
          </w:p>
        </w:tc>
      </w:tr>
    </w:tbl>
    <w:p w:rsidR="00395671" w:rsidRPr="00395671" w:rsidRDefault="00395671" w:rsidP="00395671">
      <w:pPr>
        <w:spacing w:line="360" w:lineRule="auto"/>
        <w:rPr>
          <w:sz w:val="18"/>
        </w:rPr>
      </w:pPr>
    </w:p>
    <w:p w:rsidR="000D59C2" w:rsidRPr="00407B23" w:rsidRDefault="000D59C2" w:rsidP="00395671">
      <w:pPr>
        <w:keepNext/>
        <w:ind w:left="567" w:hanging="567"/>
        <w:rPr>
          <w:i/>
        </w:rPr>
      </w:pPr>
      <w:r w:rsidRPr="00407B23">
        <w:rPr>
          <w:i/>
        </w:rPr>
        <w:t>2.4.</w:t>
      </w:r>
      <w:r w:rsidRPr="00407B23">
        <w:rPr>
          <w:i/>
        </w:rPr>
        <w:tab/>
        <w:t>Different from an existing variety of the same plant species or of a closely related species</w:t>
      </w:r>
    </w:p>
    <w:p w:rsidR="000D59C2" w:rsidRPr="00407B23" w:rsidRDefault="000D59C2" w:rsidP="00395671">
      <w:pPr>
        <w:keepNext/>
      </w:pPr>
    </w:p>
    <w:p w:rsidR="000D59C2" w:rsidRPr="00407B23" w:rsidRDefault="000D59C2" w:rsidP="000D59C2">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4"/>
      </w:r>
      <w:r w:rsidRPr="00407B23">
        <w:t xml:space="preserve">. </w:t>
      </w:r>
    </w:p>
    <w:p w:rsidR="000D7327" w:rsidRDefault="000D7327" w:rsidP="000D7327"/>
    <w:tbl>
      <w:tblPr>
        <w:tblStyle w:val="TableGrid"/>
        <w:tblW w:w="0" w:type="auto"/>
        <w:tblLook w:val="04A0" w:firstRow="1" w:lastRow="0" w:firstColumn="1" w:lastColumn="0" w:noHBand="0" w:noVBand="1"/>
      </w:tblPr>
      <w:tblGrid>
        <w:gridCol w:w="9855"/>
      </w:tblGrid>
      <w:tr w:rsidR="000D7327" w:rsidTr="0095486A">
        <w:trPr>
          <w:cantSplit/>
        </w:trPr>
        <w:tc>
          <w:tcPr>
            <w:tcW w:w="9855" w:type="dxa"/>
            <w:shd w:val="clear" w:color="auto" w:fill="D9D9D9" w:themeFill="background1" w:themeFillShade="D9"/>
          </w:tcPr>
          <w:p w:rsidR="000D7327" w:rsidRPr="005D7C20" w:rsidRDefault="000D7327" w:rsidP="000D7327">
            <w:pPr>
              <w:rPr>
                <w:sz w:val="18"/>
                <w:szCs w:val="18"/>
              </w:rPr>
            </w:pPr>
          </w:p>
          <w:p w:rsidR="000D7327" w:rsidRPr="005D7C20" w:rsidRDefault="000D7327" w:rsidP="000D7327">
            <w:pPr>
              <w:jc w:val="left"/>
              <w:rPr>
                <w:sz w:val="18"/>
                <w:szCs w:val="18"/>
                <w:u w:val="single"/>
              </w:rPr>
            </w:pPr>
            <w:r w:rsidRPr="005D7C20">
              <w:rPr>
                <w:sz w:val="18"/>
                <w:szCs w:val="18"/>
                <w:u w:val="single"/>
              </w:rPr>
              <w:t>Proposal by ESA/ISF</w:t>
            </w:r>
            <w:r w:rsidR="00FE2E34">
              <w:rPr>
                <w:sz w:val="18"/>
                <w:szCs w:val="18"/>
                <w:vertAlign w:val="superscript"/>
              </w:rPr>
              <w:t>k</w:t>
            </w:r>
          </w:p>
          <w:p w:rsidR="000D7327" w:rsidRPr="005D7C20" w:rsidRDefault="000D7327" w:rsidP="000D7327">
            <w:pPr>
              <w:rPr>
                <w:sz w:val="18"/>
                <w:szCs w:val="18"/>
              </w:rPr>
            </w:pPr>
          </w:p>
          <w:p w:rsidR="000D7327" w:rsidRDefault="00EC03B5" w:rsidP="000D7327">
            <w:pPr>
              <w:rPr>
                <w:sz w:val="18"/>
                <w:szCs w:val="18"/>
              </w:rPr>
            </w:pPr>
            <w:r>
              <w:rPr>
                <w:sz w:val="18"/>
                <w:szCs w:val="18"/>
              </w:rPr>
              <w:t xml:space="preserve">Section 2.4 is intended to provide guidance on what it means that the denomination has to be different from any other denomination designating an existing variety of the same plant species or of a closely related species. </w:t>
            </w:r>
            <w:r w:rsidR="0039256F">
              <w:rPr>
                <w:sz w:val="18"/>
                <w:szCs w:val="18"/>
              </w:rPr>
              <w:t xml:space="preserve"> </w:t>
            </w:r>
            <w:r>
              <w:rPr>
                <w:sz w:val="18"/>
                <w:szCs w:val="18"/>
              </w:rPr>
              <w:t>We propose to also specify here that this does not only refer to denominations used for protected varieties but also denominations registered under national variety registration laws.</w:t>
            </w:r>
          </w:p>
          <w:p w:rsidR="000D7327" w:rsidRPr="005D7C20" w:rsidRDefault="000D7327" w:rsidP="000D7327">
            <w:pPr>
              <w:rPr>
                <w:sz w:val="18"/>
                <w:szCs w:val="18"/>
              </w:rPr>
            </w:pPr>
          </w:p>
        </w:tc>
      </w:tr>
    </w:tbl>
    <w:p w:rsidR="000D59C2" w:rsidRDefault="000D59C2" w:rsidP="000D59C2">
      <w:pPr>
        <w:rPr>
          <w:lang w:eastAsia="ja-JP"/>
        </w:rPr>
      </w:pPr>
    </w:p>
    <w:tbl>
      <w:tblPr>
        <w:tblStyle w:val="TableGrid"/>
        <w:tblW w:w="0" w:type="auto"/>
        <w:tblLook w:val="04A0" w:firstRow="1" w:lastRow="0" w:firstColumn="1" w:lastColumn="0" w:noHBand="0" w:noVBand="1"/>
      </w:tblPr>
      <w:tblGrid>
        <w:gridCol w:w="9855"/>
      </w:tblGrid>
      <w:tr w:rsidR="0095486A" w:rsidTr="008B7F43">
        <w:trPr>
          <w:cantSplit/>
        </w:trPr>
        <w:tc>
          <w:tcPr>
            <w:tcW w:w="9855" w:type="dxa"/>
            <w:shd w:val="clear" w:color="auto" w:fill="D9D9D9" w:themeFill="background1" w:themeFillShade="D9"/>
          </w:tcPr>
          <w:p w:rsidR="0095486A" w:rsidRPr="005D7C20" w:rsidRDefault="0095486A" w:rsidP="008B7F43">
            <w:pPr>
              <w:rPr>
                <w:sz w:val="18"/>
                <w:szCs w:val="18"/>
              </w:rPr>
            </w:pPr>
          </w:p>
          <w:p w:rsidR="0095486A" w:rsidRPr="0095486A" w:rsidRDefault="0095486A" w:rsidP="008B7F43">
            <w:pPr>
              <w:jc w:val="left"/>
              <w:rPr>
                <w:sz w:val="18"/>
                <w:szCs w:val="18"/>
                <w:highlight w:val="yellow"/>
                <w:u w:val="single"/>
              </w:rPr>
            </w:pPr>
            <w:r w:rsidRPr="0095486A">
              <w:rPr>
                <w:sz w:val="18"/>
                <w:szCs w:val="18"/>
                <w:highlight w:val="yellow"/>
                <w:u w:val="single"/>
              </w:rPr>
              <w:t>Agreed by the WG-DEN</w:t>
            </w:r>
            <w:r w:rsidRPr="0095486A">
              <w:rPr>
                <w:rStyle w:val="EndnoteReference"/>
                <w:sz w:val="18"/>
                <w:szCs w:val="18"/>
                <w:highlight w:val="yellow"/>
              </w:rPr>
              <w:endnoteReference w:id="16"/>
            </w:r>
          </w:p>
          <w:p w:rsidR="0095486A" w:rsidRPr="0095486A" w:rsidRDefault="0095486A" w:rsidP="008B7F43">
            <w:pPr>
              <w:rPr>
                <w:sz w:val="18"/>
                <w:szCs w:val="18"/>
                <w:highlight w:val="yellow"/>
              </w:rPr>
            </w:pPr>
          </w:p>
          <w:p w:rsidR="0095486A" w:rsidRDefault="0095486A" w:rsidP="008B7F43">
            <w:pPr>
              <w:rPr>
                <w:sz w:val="18"/>
                <w:szCs w:val="18"/>
              </w:rPr>
            </w:pPr>
            <w:r w:rsidRPr="0095486A">
              <w:rPr>
                <w:sz w:val="18"/>
                <w:szCs w:val="18"/>
                <w:highlight w:val="yellow"/>
              </w:rPr>
              <w:t>The term “variety” related to the definition of variety as defined in Article 1 (vi) of the 1991 Act of the UPOV Convention.</w:t>
            </w:r>
          </w:p>
          <w:p w:rsidR="0095486A" w:rsidRPr="005D7C20" w:rsidRDefault="0095486A" w:rsidP="008B7F43">
            <w:pPr>
              <w:rPr>
                <w:sz w:val="18"/>
                <w:szCs w:val="18"/>
              </w:rPr>
            </w:pPr>
          </w:p>
        </w:tc>
      </w:tr>
    </w:tbl>
    <w:p w:rsidR="000D59C2" w:rsidRPr="00407B23" w:rsidRDefault="000D59C2" w:rsidP="00395671">
      <w:pPr>
        <w:spacing w:before="240"/>
      </w:pPr>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0D59C2" w:rsidRPr="00407B23" w:rsidRDefault="000D59C2" w:rsidP="0042091F">
      <w:pPr>
        <w:spacing w:line="360" w:lineRule="auto"/>
      </w:pPr>
    </w:p>
    <w:p w:rsidR="000D59C2" w:rsidRPr="00407B23" w:rsidRDefault="000D59C2" w:rsidP="000D59C2">
      <w:pPr>
        <w:keepNext/>
        <w:spacing w:line="240" w:lineRule="atLeast"/>
        <w:ind w:left="567" w:hanging="567"/>
        <w:rPr>
          <w:i/>
        </w:rPr>
      </w:pPr>
      <w:r w:rsidRPr="00407B23">
        <w:rPr>
          <w:i/>
        </w:rPr>
        <w:t>2.5.</w:t>
      </w:r>
      <w:r w:rsidRPr="00407B23">
        <w:rPr>
          <w:i/>
        </w:rPr>
        <w:tab/>
        <w:t>Variety denomination classes:  a variety denomination should not be used more than once in the same class</w:t>
      </w:r>
    </w:p>
    <w:p w:rsidR="00A43E45" w:rsidRPr="00407B23" w:rsidRDefault="00A43E45" w:rsidP="0025153F"/>
    <w:tbl>
      <w:tblPr>
        <w:tblStyle w:val="TableGrid"/>
        <w:tblW w:w="0" w:type="auto"/>
        <w:tblLook w:val="04A0" w:firstRow="1" w:lastRow="0" w:firstColumn="1" w:lastColumn="0" w:noHBand="0" w:noVBand="1"/>
      </w:tblPr>
      <w:tblGrid>
        <w:gridCol w:w="9855"/>
      </w:tblGrid>
      <w:tr w:rsidR="00A43E45" w:rsidTr="00E7708B">
        <w:tc>
          <w:tcPr>
            <w:tcW w:w="9855" w:type="dxa"/>
            <w:shd w:val="clear" w:color="auto" w:fill="D9D9D9" w:themeFill="background1" w:themeFillShade="D9"/>
          </w:tcPr>
          <w:p w:rsidR="00A43E45" w:rsidRPr="005F2452" w:rsidRDefault="00A43E45" w:rsidP="00E7708B">
            <w:pPr>
              <w:rPr>
                <w:sz w:val="18"/>
                <w:szCs w:val="18"/>
              </w:rPr>
            </w:pPr>
          </w:p>
          <w:p w:rsidR="00A43E45" w:rsidRPr="005F2452" w:rsidRDefault="00A43E45" w:rsidP="00E7708B">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FF4493" w:rsidRPr="00FF4493">
              <w:rPr>
                <w:rStyle w:val="EndnoteReference"/>
                <w:sz w:val="18"/>
                <w:szCs w:val="18"/>
              </w:rPr>
              <w:t>a</w:t>
            </w:r>
            <w:r w:rsidRPr="005F2452">
              <w:rPr>
                <w:sz w:val="18"/>
                <w:szCs w:val="18"/>
              </w:rPr>
              <w:fldChar w:fldCharType="end"/>
            </w:r>
          </w:p>
          <w:p w:rsidR="00A43E45" w:rsidRPr="005F2452" w:rsidRDefault="00A43E45" w:rsidP="00E7708B">
            <w:pPr>
              <w:rPr>
                <w:color w:val="000000"/>
                <w:sz w:val="18"/>
                <w:szCs w:val="18"/>
                <w:u w:val="single"/>
              </w:rPr>
            </w:pPr>
          </w:p>
          <w:p w:rsidR="00A43E45" w:rsidRPr="005F2452" w:rsidRDefault="00A43E45" w:rsidP="00E7708B">
            <w:pPr>
              <w:rPr>
                <w:sz w:val="18"/>
                <w:szCs w:val="18"/>
              </w:rPr>
            </w:pPr>
            <w:r>
              <w:rPr>
                <w:sz w:val="18"/>
                <w:szCs w:val="18"/>
              </w:rPr>
              <w:t>To make clear in S</w:t>
            </w:r>
            <w:r w:rsidRPr="005F2452">
              <w:rPr>
                <w:sz w:val="18"/>
                <w:szCs w:val="18"/>
              </w:rPr>
              <w:t xml:space="preserve">ection 2.5 dealing with variety denomination classes, in cases of UPOV classes containing more than one genus, that the situation where the genera are different is taken into account with a more lenient approach in respect of the similarity between VDs used for varieties belonging to different genera. </w:t>
            </w:r>
            <w:r>
              <w:rPr>
                <w:sz w:val="18"/>
                <w:szCs w:val="18"/>
              </w:rPr>
              <w:t xml:space="preserve"> </w:t>
            </w:r>
            <w:r w:rsidRPr="005F2452">
              <w:rPr>
                <w:sz w:val="18"/>
                <w:szCs w:val="18"/>
              </w:rPr>
              <w:t>This could also apply, in certain cases, to different species within a genus.</w:t>
            </w:r>
          </w:p>
          <w:p w:rsidR="00A43E45" w:rsidRPr="005F2452" w:rsidRDefault="00A43E45" w:rsidP="00E7708B">
            <w:pPr>
              <w:rPr>
                <w:sz w:val="18"/>
                <w:szCs w:val="18"/>
              </w:rPr>
            </w:pPr>
          </w:p>
        </w:tc>
      </w:tr>
    </w:tbl>
    <w:p w:rsidR="00A43E45" w:rsidRDefault="00A43E45" w:rsidP="0025153F">
      <w:pPr>
        <w:rPr>
          <w:lang w:eastAsia="ja-JP"/>
        </w:rPr>
      </w:pPr>
    </w:p>
    <w:p w:rsidR="000D59C2" w:rsidRPr="00407B23" w:rsidRDefault="000D59C2" w:rsidP="000D59C2">
      <w:pPr>
        <w:spacing w:line="240" w:lineRule="atLeast"/>
      </w:pPr>
      <w:r w:rsidRPr="00407B23">
        <w:t>2.5.1</w:t>
      </w:r>
      <w:r w:rsidRPr="00407B23">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FF1342" w:rsidRDefault="00FF1342" w:rsidP="00FF1342"/>
    <w:tbl>
      <w:tblPr>
        <w:tblStyle w:val="TableGrid"/>
        <w:tblW w:w="0" w:type="auto"/>
        <w:tblLook w:val="04A0" w:firstRow="1" w:lastRow="0" w:firstColumn="1" w:lastColumn="0" w:noHBand="0" w:noVBand="1"/>
      </w:tblPr>
      <w:tblGrid>
        <w:gridCol w:w="9855"/>
      </w:tblGrid>
      <w:tr w:rsidR="00FF1342" w:rsidTr="00C21114">
        <w:trPr>
          <w:cantSplit/>
        </w:trPr>
        <w:tc>
          <w:tcPr>
            <w:tcW w:w="9855" w:type="dxa"/>
            <w:shd w:val="clear" w:color="auto" w:fill="D9D9D9" w:themeFill="background1" w:themeFillShade="D9"/>
          </w:tcPr>
          <w:p w:rsidR="00FF1342" w:rsidRPr="0047703B" w:rsidRDefault="00FF1342" w:rsidP="003838ED">
            <w:pPr>
              <w:rPr>
                <w:sz w:val="18"/>
                <w:szCs w:val="18"/>
              </w:rPr>
            </w:pPr>
          </w:p>
          <w:p w:rsidR="00FF1342" w:rsidRPr="0047703B" w:rsidRDefault="00FF1342" w:rsidP="003838ED">
            <w:pPr>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4493" w:rsidRPr="00FF4493">
              <w:rPr>
                <w:rStyle w:val="EndnoteReference"/>
                <w:sz w:val="18"/>
                <w:szCs w:val="18"/>
              </w:rPr>
              <w:t>c</w:t>
            </w:r>
            <w:r w:rsidRPr="0047703B">
              <w:rPr>
                <w:sz w:val="18"/>
                <w:szCs w:val="18"/>
              </w:rPr>
              <w:fldChar w:fldCharType="end"/>
            </w:r>
          </w:p>
          <w:p w:rsidR="00FF1342" w:rsidRPr="0047703B" w:rsidRDefault="00FF1342" w:rsidP="003838ED">
            <w:pPr>
              <w:rPr>
                <w:sz w:val="18"/>
                <w:szCs w:val="18"/>
              </w:rPr>
            </w:pPr>
          </w:p>
          <w:p w:rsidR="00FF1342" w:rsidRDefault="0039256F" w:rsidP="003838ED">
            <w:pPr>
              <w:rPr>
                <w:sz w:val="18"/>
                <w:szCs w:val="18"/>
              </w:rPr>
            </w:pPr>
            <w:r>
              <w:rPr>
                <w:sz w:val="18"/>
                <w:szCs w:val="18"/>
              </w:rPr>
              <w:t>Section 2.5.1 a</w:t>
            </w:r>
            <w:r w:rsidR="00FF1342">
              <w:rPr>
                <w:sz w:val="18"/>
                <w:szCs w:val="18"/>
              </w:rPr>
              <w:t>dditional sentence proposed</w:t>
            </w:r>
            <w:r>
              <w:rPr>
                <w:sz w:val="18"/>
                <w:szCs w:val="18"/>
              </w:rPr>
              <w:t>:</w:t>
            </w:r>
          </w:p>
          <w:p w:rsidR="0039256F" w:rsidRDefault="0039256F" w:rsidP="003838ED">
            <w:pPr>
              <w:rPr>
                <w:sz w:val="18"/>
                <w:szCs w:val="18"/>
              </w:rPr>
            </w:pPr>
          </w:p>
          <w:p w:rsidR="00FF1342" w:rsidRDefault="00FF1342" w:rsidP="003838ED">
            <w:pPr>
              <w:rPr>
                <w:sz w:val="18"/>
                <w:szCs w:val="18"/>
              </w:rPr>
            </w:pPr>
            <w:r>
              <w:rPr>
                <w:sz w:val="18"/>
                <w:szCs w:val="18"/>
              </w:rPr>
              <w:t>For certain genera (e.g</w:t>
            </w:r>
            <w:r w:rsidR="0039256F">
              <w:rPr>
                <w:sz w:val="18"/>
                <w:szCs w:val="18"/>
              </w:rPr>
              <w:t>.</w:t>
            </w:r>
            <w:r>
              <w:rPr>
                <w:sz w:val="18"/>
                <w:szCs w:val="18"/>
              </w:rPr>
              <w:t xml:space="preserve"> Prunus) there may be sufficient botanical difference between species within the genus to permit the same denomination to exist in the same genus (class).  A cherry variety is generally considered not likely to be confused with an apricot varie</w:t>
            </w:r>
            <w:r w:rsidR="00E30EE5">
              <w:rPr>
                <w:sz w:val="18"/>
                <w:szCs w:val="18"/>
              </w:rPr>
              <w:t>ty.</w:t>
            </w:r>
          </w:p>
          <w:p w:rsidR="00FF1342" w:rsidRPr="0047703B" w:rsidRDefault="00FF1342" w:rsidP="00FF1342">
            <w:pPr>
              <w:jc w:val="left"/>
              <w:rPr>
                <w:sz w:val="18"/>
                <w:szCs w:val="18"/>
              </w:rPr>
            </w:pPr>
          </w:p>
        </w:tc>
      </w:tr>
    </w:tbl>
    <w:p w:rsidR="004A4F36" w:rsidRDefault="004A4F36" w:rsidP="0025153F">
      <w:pPr>
        <w:rPr>
          <w:lang w:eastAsia="ja-JP"/>
        </w:rPr>
      </w:pPr>
    </w:p>
    <w:tbl>
      <w:tblPr>
        <w:tblStyle w:val="TableGrid"/>
        <w:tblW w:w="0" w:type="auto"/>
        <w:tblLook w:val="04A0" w:firstRow="1" w:lastRow="0" w:firstColumn="1" w:lastColumn="0" w:noHBand="0" w:noVBand="1"/>
      </w:tblPr>
      <w:tblGrid>
        <w:gridCol w:w="9855"/>
      </w:tblGrid>
      <w:tr w:rsidR="0025153F" w:rsidTr="008B7F43">
        <w:trPr>
          <w:cantSplit/>
        </w:trPr>
        <w:tc>
          <w:tcPr>
            <w:tcW w:w="9855" w:type="dxa"/>
            <w:shd w:val="clear" w:color="auto" w:fill="D9D9D9" w:themeFill="background1" w:themeFillShade="D9"/>
          </w:tcPr>
          <w:p w:rsidR="0025153F" w:rsidRPr="005D7C20" w:rsidRDefault="0025153F" w:rsidP="008B7F43">
            <w:pPr>
              <w:rPr>
                <w:sz w:val="18"/>
                <w:szCs w:val="18"/>
              </w:rPr>
            </w:pPr>
          </w:p>
          <w:p w:rsidR="0025153F" w:rsidRPr="0095486A" w:rsidRDefault="0025153F" w:rsidP="008B7F43">
            <w:pPr>
              <w:jc w:val="left"/>
              <w:rPr>
                <w:sz w:val="18"/>
                <w:szCs w:val="18"/>
                <w:highlight w:val="yellow"/>
                <w:u w:val="single"/>
              </w:rPr>
            </w:pPr>
            <w:r w:rsidRPr="0095486A">
              <w:rPr>
                <w:sz w:val="18"/>
                <w:szCs w:val="18"/>
                <w:highlight w:val="yellow"/>
                <w:u w:val="single"/>
              </w:rPr>
              <w:t>Agreed by the WG-DEN</w:t>
            </w:r>
            <w:r>
              <w:rPr>
                <w:rStyle w:val="EndnoteReference"/>
                <w:sz w:val="18"/>
                <w:szCs w:val="18"/>
                <w:highlight w:val="yellow"/>
                <w:u w:val="single"/>
              </w:rPr>
              <w:endnoteReference w:id="17"/>
            </w:r>
          </w:p>
          <w:p w:rsidR="0025153F" w:rsidRPr="0095486A" w:rsidRDefault="0025153F" w:rsidP="008B7F43">
            <w:pPr>
              <w:rPr>
                <w:sz w:val="18"/>
                <w:szCs w:val="18"/>
                <w:highlight w:val="yellow"/>
              </w:rPr>
            </w:pPr>
          </w:p>
          <w:p w:rsidR="0025153F" w:rsidRPr="0025153F" w:rsidRDefault="0025153F" w:rsidP="0025153F">
            <w:pPr>
              <w:rPr>
                <w:sz w:val="18"/>
                <w:szCs w:val="18"/>
                <w:highlight w:val="yellow"/>
              </w:rPr>
            </w:pPr>
            <w:r w:rsidRPr="0025153F">
              <w:rPr>
                <w:sz w:val="18"/>
                <w:szCs w:val="18"/>
                <w:highlight w:val="yellow"/>
              </w:rPr>
              <w:t>The guidance concerning denominations belonging to the same denomination class should be the same, irrespective of whether the denomination class followed the general rule or was one of the exceptional classes.</w:t>
            </w:r>
          </w:p>
          <w:p w:rsidR="0025153F" w:rsidRPr="0025153F" w:rsidRDefault="0025153F" w:rsidP="0025153F">
            <w:pPr>
              <w:rPr>
                <w:sz w:val="18"/>
                <w:szCs w:val="18"/>
                <w:highlight w:val="yellow"/>
              </w:rPr>
            </w:pPr>
          </w:p>
          <w:p w:rsidR="0025153F" w:rsidRDefault="0025153F" w:rsidP="0025153F">
            <w:pPr>
              <w:rPr>
                <w:sz w:val="18"/>
                <w:szCs w:val="18"/>
                <w:lang w:eastAsia="ja-JP"/>
              </w:rPr>
            </w:pPr>
            <w:r w:rsidRPr="0025153F">
              <w:rPr>
                <w:sz w:val="18"/>
                <w:szCs w:val="18"/>
                <w:highlight w:val="yellow"/>
              </w:rPr>
              <w:t>The list of denomination classes in document UPOV/INF/12 Annex I “List of Classes” might be need to be reviewed to better reflect current practices of members of the Union.</w:t>
            </w:r>
          </w:p>
          <w:p w:rsidR="00C6215A" w:rsidRDefault="00C6215A" w:rsidP="0025153F">
            <w:pPr>
              <w:rPr>
                <w:sz w:val="18"/>
                <w:szCs w:val="18"/>
                <w:lang w:eastAsia="ja-JP"/>
              </w:rPr>
            </w:pPr>
          </w:p>
          <w:p w:rsidR="00C6215A" w:rsidRDefault="00C6215A" w:rsidP="0025153F">
            <w:pPr>
              <w:rPr>
                <w:sz w:val="18"/>
                <w:szCs w:val="18"/>
                <w:lang w:eastAsia="ja-JP"/>
              </w:rPr>
            </w:pPr>
          </w:p>
          <w:p w:rsidR="00C6215A" w:rsidRDefault="001D48B5" w:rsidP="0025153F">
            <w:pPr>
              <w:rPr>
                <w:sz w:val="18"/>
                <w:szCs w:val="18"/>
                <w:lang w:eastAsia="ja-JP"/>
              </w:rPr>
            </w:pPr>
            <w:r w:rsidRPr="00596EC4">
              <w:rPr>
                <w:sz w:val="18"/>
                <w:szCs w:val="18"/>
                <w:highlight w:val="yellow"/>
                <w:lang w:eastAsia="ja-JP"/>
              </w:rPr>
              <w:t>UPOV Circular E-16/088 of April 13, 2016</w:t>
            </w:r>
            <w:r w:rsidRPr="00C6215A">
              <w:rPr>
                <w:rFonts w:hint="eastAsia"/>
                <w:sz w:val="18"/>
                <w:szCs w:val="18"/>
                <w:highlight w:val="yellow"/>
                <w:lang w:eastAsia="ja-JP"/>
              </w:rPr>
              <w:t xml:space="preserve">, </w:t>
            </w:r>
            <w:r w:rsidRPr="001D48B5">
              <w:rPr>
                <w:sz w:val="18"/>
                <w:szCs w:val="18"/>
                <w:highlight w:val="yellow"/>
                <w:lang w:eastAsia="ja-JP"/>
              </w:rPr>
              <w:t>invite</w:t>
            </w:r>
            <w:r w:rsidRPr="001D48B5">
              <w:rPr>
                <w:rFonts w:hint="eastAsia"/>
                <w:sz w:val="18"/>
                <w:szCs w:val="18"/>
                <w:highlight w:val="yellow"/>
                <w:lang w:eastAsia="ja-JP"/>
              </w:rPr>
              <w:t>d</w:t>
            </w:r>
            <w:r w:rsidR="00AF7D68">
              <w:rPr>
                <w:sz w:val="18"/>
                <w:szCs w:val="18"/>
                <w:highlight w:val="yellow"/>
                <w:lang w:eastAsia="ja-JP"/>
              </w:rPr>
              <w:t xml:space="preserve"> members of the WG</w:t>
            </w:r>
            <w:r w:rsidR="00AF7D68">
              <w:rPr>
                <w:rFonts w:hint="eastAsia"/>
                <w:sz w:val="18"/>
                <w:szCs w:val="18"/>
                <w:highlight w:val="yellow"/>
                <w:lang w:eastAsia="ja-JP"/>
              </w:rPr>
              <w:t>-</w:t>
            </w:r>
            <w:r w:rsidRPr="001D48B5">
              <w:rPr>
                <w:sz w:val="18"/>
                <w:szCs w:val="18"/>
                <w:highlight w:val="yellow"/>
                <w:lang w:eastAsia="ja-JP"/>
              </w:rPr>
              <w:t>DEN to make proposals concerning a possible revision of the variety denomination classes</w:t>
            </w:r>
            <w:r w:rsidRPr="001D48B5">
              <w:rPr>
                <w:rFonts w:hint="eastAsia"/>
                <w:sz w:val="18"/>
                <w:szCs w:val="18"/>
                <w:highlight w:val="yellow"/>
                <w:lang w:eastAsia="ja-JP"/>
              </w:rPr>
              <w:t>, and re</w:t>
            </w:r>
            <w:r w:rsidR="0067234E">
              <w:rPr>
                <w:rFonts w:hint="eastAsia"/>
                <w:sz w:val="18"/>
                <w:szCs w:val="18"/>
                <w:highlight w:val="yellow"/>
                <w:lang w:eastAsia="ja-JP"/>
              </w:rPr>
              <w:t>ceived proposals as follow</w:t>
            </w:r>
            <w:r w:rsidR="0067234E" w:rsidRPr="00395671">
              <w:rPr>
                <w:rFonts w:hint="eastAsia"/>
                <w:sz w:val="18"/>
                <w:szCs w:val="18"/>
                <w:highlight w:val="yellow"/>
                <w:lang w:eastAsia="ja-JP"/>
              </w:rPr>
              <w:t>s</w:t>
            </w:r>
            <w:r w:rsidR="0067234E" w:rsidRPr="00395671">
              <w:rPr>
                <w:sz w:val="18"/>
                <w:szCs w:val="18"/>
                <w:highlight w:val="yellow"/>
                <w:lang w:eastAsia="ja-JP"/>
              </w:rPr>
              <w:t>:</w:t>
            </w:r>
          </w:p>
          <w:p w:rsidR="001D48B5" w:rsidRDefault="001D48B5" w:rsidP="00395671">
            <w:pPr>
              <w:spacing w:line="360" w:lineRule="auto"/>
              <w:rPr>
                <w:sz w:val="18"/>
                <w:szCs w:val="18"/>
                <w:lang w:eastAsia="ja-JP"/>
              </w:rPr>
            </w:pPr>
          </w:p>
          <w:p w:rsidR="001D48B5" w:rsidRPr="00504D1D" w:rsidRDefault="001D48B5" w:rsidP="001D48B5">
            <w:pPr>
              <w:jc w:val="left"/>
              <w:rPr>
                <w:sz w:val="18"/>
                <w:szCs w:val="18"/>
                <w:highlight w:val="yellow"/>
                <w:u w:val="single"/>
                <w:lang w:eastAsia="ja-JP"/>
              </w:rPr>
            </w:pPr>
            <w:r w:rsidRPr="00504D1D">
              <w:rPr>
                <w:sz w:val="18"/>
                <w:szCs w:val="18"/>
                <w:highlight w:val="yellow"/>
                <w:u w:val="single"/>
              </w:rPr>
              <w:t>Proposal by the Netherlands</w:t>
            </w:r>
          </w:p>
          <w:p w:rsidR="001D48B5" w:rsidRPr="00504D1D" w:rsidRDefault="001D48B5" w:rsidP="001D48B5">
            <w:pPr>
              <w:rPr>
                <w:sz w:val="18"/>
                <w:szCs w:val="18"/>
                <w:highlight w:val="yellow"/>
              </w:rPr>
            </w:pPr>
          </w:p>
          <w:p w:rsidR="001D48B5" w:rsidRPr="0067234E" w:rsidRDefault="001D48B5" w:rsidP="00405FE5">
            <w:pPr>
              <w:rPr>
                <w:sz w:val="18"/>
                <w:szCs w:val="18"/>
                <w:highlight w:val="yellow"/>
              </w:rPr>
            </w:pPr>
            <w:r w:rsidRPr="0067234E">
              <w:rPr>
                <w:sz w:val="18"/>
                <w:szCs w:val="18"/>
                <w:highlight w:val="yellow"/>
              </w:rPr>
              <w:t>For harmonization we suggest to follow the denomination classes of the International Code of Nomenclature for Cultivated Plants (ICNCP); see appendix V ICNCP.  If wished Naktuinbouw can make a comparison and a list of relevant additions.</w:t>
            </w:r>
            <w:r w:rsidR="00405FE5" w:rsidRPr="0067234E">
              <w:rPr>
                <w:rFonts w:hint="eastAsia"/>
                <w:sz w:val="18"/>
                <w:szCs w:val="18"/>
                <w:highlight w:val="yellow"/>
                <w:lang w:eastAsia="ja-JP"/>
              </w:rPr>
              <w:t xml:space="preserve">  A copy of appendix V of the ICNCP is </w:t>
            </w:r>
            <w:r w:rsidR="00405FE5" w:rsidRPr="0067234E">
              <w:rPr>
                <w:sz w:val="18"/>
                <w:szCs w:val="18"/>
                <w:highlight w:val="yellow"/>
                <w:lang w:eastAsia="ja-JP"/>
              </w:rPr>
              <w:t>attached</w:t>
            </w:r>
            <w:r w:rsidR="00405FE5" w:rsidRPr="0067234E">
              <w:rPr>
                <w:rFonts w:hint="eastAsia"/>
                <w:sz w:val="18"/>
                <w:szCs w:val="18"/>
                <w:highlight w:val="yellow"/>
                <w:lang w:eastAsia="ja-JP"/>
              </w:rPr>
              <w:t xml:space="preserve"> as Annex III to this document.</w:t>
            </w:r>
            <w:r w:rsidRPr="0067234E">
              <w:rPr>
                <w:rFonts w:hint="eastAsia"/>
                <w:sz w:val="18"/>
                <w:szCs w:val="18"/>
                <w:highlight w:val="yellow"/>
                <w:lang w:eastAsia="ja-JP"/>
              </w:rPr>
              <w:t xml:space="preserve"> </w:t>
            </w:r>
          </w:p>
          <w:p w:rsidR="001D48B5" w:rsidRDefault="001D48B5" w:rsidP="00395671">
            <w:pPr>
              <w:spacing w:line="360" w:lineRule="auto"/>
              <w:rPr>
                <w:sz w:val="18"/>
                <w:szCs w:val="18"/>
                <w:lang w:eastAsia="ja-JP"/>
              </w:rPr>
            </w:pPr>
          </w:p>
          <w:p w:rsidR="001D48B5" w:rsidRPr="0025153F" w:rsidRDefault="001D48B5" w:rsidP="001D48B5">
            <w:pPr>
              <w:jc w:val="left"/>
              <w:rPr>
                <w:sz w:val="18"/>
                <w:szCs w:val="18"/>
                <w:highlight w:val="yellow"/>
                <w:u w:val="single"/>
                <w:lang w:eastAsia="ja-JP"/>
              </w:rPr>
            </w:pPr>
            <w:r w:rsidRPr="0025153F">
              <w:rPr>
                <w:sz w:val="18"/>
                <w:szCs w:val="18"/>
                <w:highlight w:val="yellow"/>
                <w:u w:val="single"/>
              </w:rPr>
              <w:t>Proposal by New Zealand</w:t>
            </w:r>
          </w:p>
          <w:p w:rsidR="001D48B5" w:rsidRPr="0025153F" w:rsidRDefault="001D48B5" w:rsidP="001D48B5">
            <w:pPr>
              <w:rPr>
                <w:sz w:val="18"/>
                <w:szCs w:val="18"/>
                <w:highlight w:val="yellow"/>
              </w:rPr>
            </w:pPr>
          </w:p>
          <w:p w:rsidR="001D48B5" w:rsidRPr="0025153F" w:rsidRDefault="001D48B5" w:rsidP="001D48B5">
            <w:pPr>
              <w:rPr>
                <w:sz w:val="18"/>
                <w:szCs w:val="18"/>
                <w:highlight w:val="yellow"/>
              </w:rPr>
            </w:pPr>
            <w:r w:rsidRPr="0025153F">
              <w:rPr>
                <w:sz w:val="18"/>
                <w:szCs w:val="18"/>
                <w:highlight w:val="yellow"/>
              </w:rPr>
              <w:t xml:space="preserve">There currently exist more than one </w:t>
            </w:r>
            <w:r w:rsidRPr="0025153F">
              <w:rPr>
                <w:i/>
                <w:sz w:val="18"/>
                <w:szCs w:val="18"/>
                <w:highlight w:val="yellow"/>
              </w:rPr>
              <w:t>Prunus</w:t>
            </w:r>
            <w:r w:rsidRPr="0025153F">
              <w:rPr>
                <w:sz w:val="18"/>
                <w:szCs w:val="18"/>
                <w:highlight w:val="yellow"/>
              </w:rPr>
              <w:t xml:space="preserve"> variety with the same denomination because there exists clear species divisions within the genus;  plum, peach, apricot, cherry.  Should there be classes within Prunus?</w:t>
            </w:r>
          </w:p>
          <w:p w:rsidR="001D48B5" w:rsidRPr="0025153F" w:rsidRDefault="001D48B5" w:rsidP="001D48B5">
            <w:pPr>
              <w:ind w:left="1701" w:hanging="1701"/>
              <w:rPr>
                <w:sz w:val="18"/>
                <w:szCs w:val="18"/>
                <w:highlight w:val="yellow"/>
              </w:rPr>
            </w:pPr>
          </w:p>
          <w:p w:rsidR="001D48B5" w:rsidRDefault="001D48B5" w:rsidP="001D48B5">
            <w:pPr>
              <w:rPr>
                <w:sz w:val="18"/>
                <w:szCs w:val="18"/>
              </w:rPr>
            </w:pPr>
            <w:r w:rsidRPr="0025153F">
              <w:rPr>
                <w:sz w:val="18"/>
                <w:szCs w:val="18"/>
                <w:highlight w:val="yellow"/>
              </w:rPr>
              <w:t xml:space="preserve">In a similar way, should there be classes within </w:t>
            </w:r>
            <w:r w:rsidRPr="0025153F">
              <w:rPr>
                <w:i/>
                <w:sz w:val="18"/>
                <w:szCs w:val="18"/>
                <w:highlight w:val="yellow"/>
              </w:rPr>
              <w:t>Rubus</w:t>
            </w:r>
            <w:r w:rsidRPr="0025153F">
              <w:rPr>
                <w:sz w:val="18"/>
                <w:szCs w:val="18"/>
                <w:highlight w:val="yellow"/>
              </w:rPr>
              <w:t>; blackberry, raspberry, hybrid berry?</w:t>
            </w:r>
          </w:p>
          <w:p w:rsidR="0025153F" w:rsidRPr="005D7C20" w:rsidRDefault="0025153F" w:rsidP="008B7F43">
            <w:pPr>
              <w:rPr>
                <w:sz w:val="18"/>
                <w:szCs w:val="18"/>
              </w:rPr>
            </w:pPr>
          </w:p>
        </w:tc>
      </w:tr>
    </w:tbl>
    <w:p w:rsidR="0025153F" w:rsidRDefault="0025153F" w:rsidP="004A4F36">
      <w:pPr>
        <w:rPr>
          <w:rFonts w:cs="Arial"/>
          <w:snapToGrid w:val="0"/>
          <w:lang w:eastAsia="ja-JP"/>
        </w:rPr>
      </w:pPr>
    </w:p>
    <w:p w:rsidR="000D59C2" w:rsidRPr="00407B23" w:rsidRDefault="000D59C2" w:rsidP="000D59C2">
      <w:pPr>
        <w:keepNext/>
        <w:spacing w:line="240" w:lineRule="atLeast"/>
      </w:pPr>
      <w:r w:rsidRPr="00407B23">
        <w:t>2.5.2</w:t>
      </w:r>
      <w:r w:rsidRPr="00407B23">
        <w:tab/>
        <w:t xml:space="preserve">The variety denomination classes are as follows:  </w:t>
      </w:r>
    </w:p>
    <w:p w:rsidR="000D59C2" w:rsidRPr="00407B23" w:rsidRDefault="000D59C2" w:rsidP="000D59C2">
      <w:pPr>
        <w:keepNext/>
      </w:pPr>
    </w:p>
    <w:p w:rsidR="000D59C2" w:rsidRPr="00DE1471" w:rsidRDefault="000D59C2" w:rsidP="000D59C2">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0D59C2" w:rsidRPr="00DE1471" w:rsidRDefault="000D59C2" w:rsidP="000D59C2">
      <w:pPr>
        <w:pStyle w:val="BodyTextIndent"/>
        <w:ind w:left="0"/>
        <w:rPr>
          <w:lang w:val="en-US"/>
        </w:rPr>
      </w:pPr>
    </w:p>
    <w:p w:rsidR="000D59C2" w:rsidRPr="00DE1471" w:rsidRDefault="000D59C2" w:rsidP="000D59C2">
      <w:pPr>
        <w:pStyle w:val="BodyTextIndent"/>
        <w:ind w:left="0" w:firstLine="567"/>
        <w:rPr>
          <w:lang w:val="en-US"/>
        </w:rPr>
      </w:pPr>
      <w:r w:rsidRPr="00DE1471">
        <w:rPr>
          <w:lang w:val="en-US"/>
        </w:rPr>
        <w:t>(b)</w:t>
      </w:r>
      <w:r w:rsidRPr="00DE1471">
        <w:rPr>
          <w:lang w:val="en-US"/>
        </w:rPr>
        <w:tab/>
        <w:t xml:space="preserve">Exceptions to the General Rule (list of classes):  </w:t>
      </w:r>
    </w:p>
    <w:p w:rsidR="000D59C2" w:rsidRPr="00DE1471" w:rsidRDefault="000D59C2" w:rsidP="000D59C2">
      <w:pPr>
        <w:pStyle w:val="BodyTextIndent"/>
        <w:ind w:left="0"/>
        <w:rPr>
          <w:lang w:val="en-US"/>
        </w:rPr>
      </w:pPr>
    </w:p>
    <w:p w:rsidR="000D59C2" w:rsidRPr="00DE1471" w:rsidRDefault="000D59C2" w:rsidP="000D59C2">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0D59C2" w:rsidRPr="00DE1471" w:rsidRDefault="000D59C2" w:rsidP="000D59C2">
      <w:pPr>
        <w:pStyle w:val="BodyTextIndent"/>
        <w:tabs>
          <w:tab w:val="right" w:pos="1134"/>
          <w:tab w:val="left" w:pos="1418"/>
        </w:tabs>
        <w:ind w:left="0"/>
        <w:rPr>
          <w:lang w:val="en-US"/>
        </w:rPr>
      </w:pPr>
    </w:p>
    <w:p w:rsidR="000D59C2" w:rsidRPr="00DE1471" w:rsidRDefault="000D59C2" w:rsidP="000D59C2">
      <w:pPr>
        <w:pStyle w:val="Header"/>
        <w:tabs>
          <w:tab w:val="right" w:pos="1134"/>
          <w:tab w:val="left" w:pos="1418"/>
        </w:tabs>
        <w:jc w:val="left"/>
        <w:rPr>
          <w:lang w:val="en-US"/>
        </w:rPr>
      </w:pPr>
      <w:r w:rsidRPr="00DE1471">
        <w:rPr>
          <w:lang w:val="en-US"/>
        </w:rPr>
        <w:tab/>
        <w:t>(ii)</w:t>
      </w:r>
      <w:r w:rsidRPr="00DE1471">
        <w:rPr>
          <w:lang w:val="en-US"/>
        </w:rPr>
        <w:tab/>
        <w:t>classes encompassing more than one genus:  List of classes in Annex I:  Part II.</w:t>
      </w:r>
    </w:p>
    <w:p w:rsidR="000D59C2" w:rsidRPr="00407B23" w:rsidRDefault="000D59C2" w:rsidP="000D59C2"/>
    <w:p w:rsidR="000D59C2" w:rsidRPr="00407B23" w:rsidRDefault="000D59C2" w:rsidP="000D59C2">
      <w:pPr>
        <w:rPr>
          <w:color w:val="000000"/>
          <w:u w:val="single"/>
        </w:rPr>
      </w:pPr>
      <w:r w:rsidRPr="00407B23">
        <w:t>2.5.3</w:t>
      </w:r>
      <w:r w:rsidRPr="00407B23">
        <w:tab/>
      </w:r>
      <w:r w:rsidRPr="00407B23">
        <w:rPr>
          <w:color w:val="000000"/>
        </w:rPr>
        <w:t>It is recommended that th</w:t>
      </w:r>
      <w:r w:rsidR="003F7E2C">
        <w:rPr>
          <w:color w:val="000000"/>
        </w:rPr>
        <w:t>e UPOV Plant Variety Database (“</w:t>
      </w:r>
      <w:r w:rsidR="004A4F36" w:rsidRPr="004A4F36">
        <w:rPr>
          <w:rFonts w:hint="eastAsia"/>
          <w:color w:val="000000"/>
          <w:u w:val="single"/>
          <w:lang w:eastAsia="ja-JP"/>
        </w:rPr>
        <w:t>PLUTO database</w:t>
      </w:r>
      <w:r w:rsidR="004A4F36">
        <w:rPr>
          <w:rFonts w:hint="eastAsia"/>
          <w:color w:val="000000"/>
          <w:lang w:eastAsia="ja-JP"/>
        </w:rPr>
        <w:t xml:space="preserve"> </w:t>
      </w:r>
      <w:r w:rsidR="003F7E2C" w:rsidRPr="004A4F36">
        <w:rPr>
          <w:strike/>
          <w:color w:val="000000"/>
        </w:rPr>
        <w:t>UPOV-ROM</w:t>
      </w:r>
      <w:r w:rsidR="003F7E2C">
        <w:rPr>
          <w:color w:val="000000"/>
        </w:rPr>
        <w:t>”)</w:t>
      </w:r>
      <w:r w:rsidRPr="00407B23">
        <w:rPr>
          <w:color w:val="000000"/>
        </w:rPr>
        <w:t xml:space="preserve"> used in the process to check if, in the territory of any member of the Union, the proposed denomination is different from denominations of existing varieties of the same genus or, if appropriate, variety denomination class (see Annex I).  Attention is drawn to the “General Notice and Disclaimer” of </w:t>
      </w:r>
      <w:r w:rsidR="003F7E2C">
        <w:rPr>
          <w:color w:val="000000"/>
        </w:rPr>
        <w:t xml:space="preserve">the </w:t>
      </w:r>
      <w:r w:rsidR="00815B9D">
        <w:rPr>
          <w:color w:val="000000"/>
        </w:rPr>
        <w:t>UPOV-ROM</w:t>
      </w:r>
      <w:r w:rsidR="003F7E2C" w:rsidRPr="00407B23">
        <w:rPr>
          <w:color w:val="000000"/>
        </w:rPr>
        <w:t xml:space="preserve"> </w:t>
      </w:r>
      <w:r w:rsidRPr="00407B23">
        <w:rPr>
          <w:color w:val="000000"/>
        </w:rPr>
        <w:t xml:space="preserve">to ensure that the information contained in the </w:t>
      </w:r>
      <w:r w:rsidR="00815B9D">
        <w:rPr>
          <w:color w:val="000000"/>
        </w:rPr>
        <w:t>UPOV-ROM</w:t>
      </w:r>
      <w:r w:rsidR="003F7E2C" w:rsidRPr="00407B23">
        <w:rPr>
          <w:color w:val="000000"/>
        </w:rPr>
        <w:t xml:space="preserve"> </w:t>
      </w:r>
      <w:r w:rsidRPr="00407B23">
        <w:rPr>
          <w:color w:val="000000"/>
        </w:rPr>
        <w:t>is considered in an appropriate way.</w:t>
      </w:r>
    </w:p>
    <w:p w:rsidR="004A4F36" w:rsidRDefault="004A4F36" w:rsidP="000D59C2">
      <w:pPr>
        <w:rPr>
          <w:b/>
          <w:lang w:eastAsia="ja-JP"/>
        </w:rPr>
      </w:pPr>
    </w:p>
    <w:p w:rsidR="004A4F36" w:rsidRDefault="004A4F36" w:rsidP="000D59C2">
      <w:pPr>
        <w:rPr>
          <w:b/>
          <w:lang w:eastAsia="ja-JP"/>
        </w:rPr>
      </w:pPr>
    </w:p>
    <w:p w:rsidR="001D48B5" w:rsidRDefault="001D48B5">
      <w:pPr>
        <w:jc w:val="left"/>
        <w:rPr>
          <w:b/>
          <w:lang w:eastAsia="ja-JP"/>
        </w:rPr>
      </w:pPr>
      <w:r>
        <w:rPr>
          <w:b/>
          <w:lang w:eastAsia="ja-JP"/>
        </w:rPr>
        <w:br w:type="page"/>
      </w:r>
    </w:p>
    <w:p w:rsidR="000D59C2" w:rsidRPr="00407B23" w:rsidRDefault="000D59C2" w:rsidP="0025153F">
      <w:pPr>
        <w:keepNext/>
        <w:jc w:val="center"/>
        <w:rPr>
          <w:b/>
        </w:rPr>
      </w:pPr>
      <w:r w:rsidRPr="00407B23">
        <w:rPr>
          <w:b/>
        </w:rPr>
        <w:t>Paragraph 3</w:t>
      </w:r>
    </w:p>
    <w:p w:rsidR="000D59C2" w:rsidRPr="00407B23" w:rsidRDefault="000D59C2" w:rsidP="0025153F">
      <w:pPr>
        <w:keepNext/>
        <w:jc w:val="center"/>
      </w:pPr>
      <w:r w:rsidRPr="00407B23">
        <w:t>(Paragraph 4 of Article 13 of the 1961 Convention)</w:t>
      </w:r>
    </w:p>
    <w:p w:rsidR="000D59C2" w:rsidRPr="00407B23" w:rsidRDefault="000D59C2" w:rsidP="0025153F">
      <w:pPr>
        <w:keepNext/>
      </w:pPr>
    </w:p>
    <w:p w:rsidR="000D59C2" w:rsidRPr="00407B23" w:rsidRDefault="000D59C2" w:rsidP="0025153F">
      <w:pPr>
        <w:keepLines/>
        <w:rPr>
          <w:b/>
        </w:rPr>
      </w:pPr>
      <w:r w:rsidRPr="00407B23">
        <w:rPr>
          <w:b/>
        </w:rPr>
        <w:tab/>
        <w:t>[</w:t>
      </w:r>
      <w:r w:rsidRPr="00407B23">
        <w:rPr>
          <w:b/>
          <w:i/>
        </w:rPr>
        <w:t>Registration of the denomination</w:t>
      </w:r>
      <w:r w:rsidRPr="00407B23">
        <w:rPr>
          <w:b/>
        </w:rPr>
        <w:t>]  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0D59C2" w:rsidRPr="00407B23" w:rsidRDefault="000D59C2" w:rsidP="000D59C2">
      <w:pPr>
        <w:rPr>
          <w:b/>
        </w:rPr>
      </w:pPr>
    </w:p>
    <w:p w:rsidR="000D59C2" w:rsidRPr="00407B23" w:rsidRDefault="000D59C2" w:rsidP="000D59C2">
      <w:pPr>
        <w:rPr>
          <w:i/>
        </w:rPr>
      </w:pPr>
      <w:r w:rsidRPr="00407B23">
        <w:rPr>
          <w:i/>
        </w:rPr>
        <w:t>Explanatory Notes – Paragraph</w:t>
      </w:r>
      <w:r w:rsidRPr="00407B23">
        <w:t> </w:t>
      </w:r>
      <w:r w:rsidRPr="00407B23">
        <w:rPr>
          <w:i/>
        </w:rPr>
        <w:t>(3)</w:t>
      </w:r>
    </w:p>
    <w:p w:rsidR="000D59C2" w:rsidRPr="00407B23" w:rsidRDefault="000D59C2" w:rsidP="000D59C2"/>
    <w:p w:rsidR="000D59C2" w:rsidRPr="00407B23" w:rsidRDefault="000D59C2" w:rsidP="000D59C2">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0D59C2" w:rsidRPr="00407B23" w:rsidRDefault="000D59C2" w:rsidP="000D59C2"/>
    <w:p w:rsidR="000D59C2" w:rsidRPr="00407B23" w:rsidRDefault="000D59C2" w:rsidP="000D59C2">
      <w:r w:rsidRPr="00407B23">
        <w:t>3.2</w:t>
      </w:r>
      <w:r w:rsidRPr="00407B23">
        <w:tab/>
        <w:t>In the event of prior rights (par</w:t>
      </w:r>
      <w:bookmarkStart w:id="8" w:name="_GoBack"/>
      <w:bookmarkEnd w:id="8"/>
      <w:r w:rsidRPr="00407B23">
        <w:t>agraph (4)) or other grounds for refusal, any interested person may file an objection to the registration.  The authorities of the other members of the Union may submit observations (see Explanatory Notes of paragraph (6)).</w:t>
      </w:r>
    </w:p>
    <w:p w:rsidR="000D59C2" w:rsidRPr="00407B23" w:rsidRDefault="000D59C2" w:rsidP="000D59C2"/>
    <w:p w:rsidR="000D59C2" w:rsidRPr="00407B23" w:rsidRDefault="000D59C2" w:rsidP="000D59C2">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0D59C2" w:rsidRPr="00407B23" w:rsidRDefault="000D59C2" w:rsidP="000D59C2"/>
    <w:p w:rsidR="000D59C2" w:rsidRPr="00407B23" w:rsidRDefault="000D59C2" w:rsidP="000D59C2">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2224FD" w:rsidRDefault="002224FD" w:rsidP="002224FD"/>
    <w:tbl>
      <w:tblPr>
        <w:tblStyle w:val="TableGrid"/>
        <w:tblW w:w="0" w:type="auto"/>
        <w:tblLook w:val="04A0" w:firstRow="1" w:lastRow="0" w:firstColumn="1" w:lastColumn="0" w:noHBand="0" w:noVBand="1"/>
      </w:tblPr>
      <w:tblGrid>
        <w:gridCol w:w="9855"/>
      </w:tblGrid>
      <w:tr w:rsidR="002224FD" w:rsidTr="00A43E45">
        <w:tc>
          <w:tcPr>
            <w:tcW w:w="9855" w:type="dxa"/>
            <w:shd w:val="clear" w:color="auto" w:fill="D9D9D9" w:themeFill="background1" w:themeFillShade="D9"/>
          </w:tcPr>
          <w:p w:rsidR="002224FD" w:rsidRPr="005D7C20" w:rsidRDefault="002224FD" w:rsidP="00E807FE">
            <w:pPr>
              <w:rPr>
                <w:sz w:val="18"/>
                <w:szCs w:val="18"/>
              </w:rPr>
            </w:pPr>
          </w:p>
          <w:p w:rsidR="002224FD" w:rsidRPr="005D7C20" w:rsidRDefault="002224FD" w:rsidP="00E807FE">
            <w:pPr>
              <w:jc w:val="left"/>
              <w:rPr>
                <w:sz w:val="18"/>
                <w:szCs w:val="18"/>
                <w:u w:val="single"/>
              </w:rPr>
            </w:pPr>
            <w:r w:rsidRPr="005D7C20">
              <w:rPr>
                <w:sz w:val="18"/>
                <w:szCs w:val="18"/>
                <w:u w:val="single"/>
              </w:rPr>
              <w:t>Proposal by ESA/ISF</w:t>
            </w:r>
            <w:r w:rsidR="00FE2E34">
              <w:rPr>
                <w:sz w:val="18"/>
                <w:szCs w:val="18"/>
                <w:vertAlign w:val="superscript"/>
              </w:rPr>
              <w:t>k</w:t>
            </w:r>
          </w:p>
          <w:p w:rsidR="002224FD" w:rsidRPr="0042091F" w:rsidRDefault="002224FD" w:rsidP="00E807FE">
            <w:pPr>
              <w:rPr>
                <w:sz w:val="14"/>
                <w:szCs w:val="18"/>
              </w:rPr>
            </w:pPr>
          </w:p>
          <w:p w:rsidR="002224FD" w:rsidRDefault="002224FD" w:rsidP="00E807FE">
            <w:pPr>
              <w:rPr>
                <w:sz w:val="18"/>
                <w:szCs w:val="18"/>
              </w:rPr>
            </w:pPr>
            <w:r>
              <w:rPr>
                <w:sz w:val="18"/>
                <w:szCs w:val="18"/>
              </w:rPr>
              <w:t>Paragraph 3</w:t>
            </w:r>
          </w:p>
          <w:p w:rsidR="002224FD" w:rsidRPr="0042091F" w:rsidRDefault="002224FD" w:rsidP="00E807FE">
            <w:pPr>
              <w:rPr>
                <w:sz w:val="14"/>
                <w:szCs w:val="18"/>
              </w:rPr>
            </w:pPr>
          </w:p>
          <w:p w:rsidR="002224FD" w:rsidRDefault="002224FD" w:rsidP="00E807FE">
            <w:pPr>
              <w:rPr>
                <w:sz w:val="18"/>
                <w:szCs w:val="18"/>
              </w:rPr>
            </w:pPr>
            <w:r>
              <w:rPr>
                <w:sz w:val="18"/>
                <w:szCs w:val="18"/>
              </w:rPr>
              <w:t>In the introductory text it is stated that “</w:t>
            </w:r>
            <w:r w:rsidRPr="00474EF5">
              <w:rPr>
                <w:i/>
                <w:sz w:val="18"/>
                <w:szCs w:val="18"/>
              </w:rPr>
              <w:t>the authority shall refuse to register it and shall require the breeder to propose another denomination with a prescribed period</w:t>
            </w:r>
            <w:r>
              <w:rPr>
                <w:sz w:val="18"/>
                <w:szCs w:val="18"/>
              </w:rPr>
              <w:t xml:space="preserve">”. </w:t>
            </w:r>
            <w:r w:rsidR="0039256F">
              <w:rPr>
                <w:sz w:val="18"/>
                <w:szCs w:val="18"/>
              </w:rPr>
              <w:t xml:space="preserve"> </w:t>
            </w:r>
            <w:r>
              <w:rPr>
                <w:sz w:val="18"/>
                <w:szCs w:val="18"/>
              </w:rPr>
              <w:t xml:space="preserve">The words “prescribed period” indeed appear in Article 20(3) of the UPOV Convention but in practice the breeder may propose a new denomination at any time before the grant. </w:t>
            </w:r>
            <w:r w:rsidR="0039256F">
              <w:rPr>
                <w:sz w:val="18"/>
                <w:szCs w:val="18"/>
              </w:rPr>
              <w:t xml:space="preserve"> </w:t>
            </w:r>
            <w:r>
              <w:rPr>
                <w:sz w:val="18"/>
                <w:szCs w:val="18"/>
              </w:rPr>
              <w:t>In order to avoid confusion it would be useful to clarify that the “</w:t>
            </w:r>
            <w:r w:rsidRPr="00474EF5">
              <w:rPr>
                <w:i/>
                <w:sz w:val="18"/>
                <w:szCs w:val="18"/>
              </w:rPr>
              <w:t>prescribed period</w:t>
            </w:r>
            <w:r>
              <w:rPr>
                <w:sz w:val="18"/>
                <w:szCs w:val="18"/>
              </w:rPr>
              <w:t>” basically refers to before grant.</w:t>
            </w:r>
          </w:p>
          <w:p w:rsidR="002224FD" w:rsidRPr="005D7C20" w:rsidRDefault="002224FD" w:rsidP="00E807FE">
            <w:pPr>
              <w:rPr>
                <w:sz w:val="18"/>
                <w:szCs w:val="18"/>
              </w:rPr>
            </w:pPr>
          </w:p>
        </w:tc>
      </w:tr>
    </w:tbl>
    <w:p w:rsidR="00AC7252" w:rsidRDefault="00AC7252" w:rsidP="0025153F">
      <w:pPr>
        <w:rPr>
          <w:highlight w:val="yellow"/>
          <w:lang w:eastAsia="ja-JP"/>
        </w:rPr>
      </w:pPr>
    </w:p>
    <w:tbl>
      <w:tblPr>
        <w:tblStyle w:val="TableGrid"/>
        <w:tblW w:w="0" w:type="auto"/>
        <w:tblLook w:val="04A0" w:firstRow="1" w:lastRow="0" w:firstColumn="1" w:lastColumn="0" w:noHBand="0" w:noVBand="1"/>
      </w:tblPr>
      <w:tblGrid>
        <w:gridCol w:w="9855"/>
      </w:tblGrid>
      <w:tr w:rsidR="0025153F" w:rsidTr="008B7F43">
        <w:trPr>
          <w:cantSplit/>
        </w:trPr>
        <w:tc>
          <w:tcPr>
            <w:tcW w:w="9855" w:type="dxa"/>
            <w:shd w:val="clear" w:color="auto" w:fill="D9D9D9" w:themeFill="background1" w:themeFillShade="D9"/>
          </w:tcPr>
          <w:p w:rsidR="0025153F" w:rsidRPr="005D7C20" w:rsidRDefault="0025153F" w:rsidP="008B7F43">
            <w:pPr>
              <w:rPr>
                <w:sz w:val="18"/>
                <w:szCs w:val="18"/>
              </w:rPr>
            </w:pPr>
          </w:p>
          <w:p w:rsidR="0025153F" w:rsidRPr="0025153F" w:rsidRDefault="0025153F" w:rsidP="008B7F43">
            <w:pPr>
              <w:jc w:val="left"/>
              <w:rPr>
                <w:sz w:val="18"/>
                <w:szCs w:val="18"/>
                <w:highlight w:val="yellow"/>
                <w:u w:val="single"/>
              </w:rPr>
            </w:pPr>
            <w:r w:rsidRPr="0025153F">
              <w:rPr>
                <w:sz w:val="18"/>
                <w:szCs w:val="18"/>
                <w:highlight w:val="yellow"/>
                <w:u w:val="single"/>
              </w:rPr>
              <w:t>Agreed by the WG-DEN</w:t>
            </w:r>
            <w:r w:rsidR="00221105" w:rsidRPr="0067234E">
              <w:rPr>
                <w:rStyle w:val="EndnoteReference"/>
                <w:sz w:val="18"/>
                <w:szCs w:val="18"/>
                <w:highlight w:val="yellow"/>
              </w:rPr>
              <w:endnoteReference w:id="18"/>
            </w:r>
          </w:p>
          <w:p w:rsidR="0025153F" w:rsidRPr="0025153F" w:rsidRDefault="0025153F" w:rsidP="008B7F43">
            <w:pPr>
              <w:rPr>
                <w:sz w:val="18"/>
                <w:szCs w:val="18"/>
                <w:highlight w:val="yellow"/>
              </w:rPr>
            </w:pPr>
          </w:p>
          <w:p w:rsidR="0025153F" w:rsidRDefault="0025153F" w:rsidP="008B7F43">
            <w:pPr>
              <w:rPr>
                <w:sz w:val="18"/>
                <w:szCs w:val="18"/>
              </w:rPr>
            </w:pPr>
            <w:r w:rsidRPr="0025153F">
              <w:rPr>
                <w:sz w:val="18"/>
                <w:szCs w:val="18"/>
                <w:highlight w:val="yellow"/>
              </w:rPr>
              <w:t>Not to change the current text of the explanatory note.</w:t>
            </w:r>
          </w:p>
          <w:p w:rsidR="0025153F" w:rsidRPr="005D7C20" w:rsidRDefault="0025153F" w:rsidP="008B7F43">
            <w:pPr>
              <w:rPr>
                <w:sz w:val="18"/>
                <w:szCs w:val="18"/>
              </w:rPr>
            </w:pPr>
          </w:p>
        </w:tc>
      </w:tr>
    </w:tbl>
    <w:p w:rsidR="00A43E45" w:rsidRDefault="00A43E45" w:rsidP="0025153F">
      <w:pPr>
        <w:rPr>
          <w:lang w:eastAsia="ja-JP"/>
        </w:rPr>
      </w:pPr>
    </w:p>
    <w:p w:rsidR="00A43E45" w:rsidRDefault="00A43E45" w:rsidP="0025153F">
      <w:pPr>
        <w:rPr>
          <w:lang w:eastAsia="ja-JP"/>
        </w:rPr>
      </w:pPr>
    </w:p>
    <w:p w:rsidR="0025153F" w:rsidRDefault="0025153F" w:rsidP="0025153F">
      <w:pPr>
        <w:rPr>
          <w:lang w:eastAsia="ja-JP"/>
        </w:rPr>
      </w:pPr>
    </w:p>
    <w:p w:rsidR="00494FFB" w:rsidRDefault="00494FFB">
      <w:pPr>
        <w:jc w:val="left"/>
        <w:rPr>
          <w:b/>
        </w:rPr>
      </w:pPr>
      <w:r>
        <w:rPr>
          <w:b/>
        </w:rPr>
        <w:br w:type="page"/>
      </w:r>
    </w:p>
    <w:p w:rsidR="000D59C2" w:rsidRPr="00407B23" w:rsidRDefault="000D59C2" w:rsidP="000D59C2">
      <w:pPr>
        <w:keepNext/>
        <w:jc w:val="center"/>
        <w:rPr>
          <w:b/>
        </w:rPr>
      </w:pPr>
      <w:r w:rsidRPr="00407B23">
        <w:rPr>
          <w:b/>
        </w:rPr>
        <w:t>Paragraph 4</w:t>
      </w:r>
    </w:p>
    <w:p w:rsidR="000D59C2" w:rsidRPr="00407B23" w:rsidRDefault="000D59C2" w:rsidP="000D59C2">
      <w:pPr>
        <w:keepNext/>
        <w:jc w:val="center"/>
      </w:pPr>
      <w:r w:rsidRPr="00407B23">
        <w:t>(Paragraph 10 of Article 13 of the 1961 Convention)</w:t>
      </w:r>
    </w:p>
    <w:p w:rsidR="000D59C2" w:rsidRPr="00407B23" w:rsidRDefault="000D59C2" w:rsidP="000D59C2">
      <w:pPr>
        <w:keepNext/>
      </w:pPr>
    </w:p>
    <w:p w:rsidR="000D59C2" w:rsidRPr="00407B23" w:rsidRDefault="000D59C2" w:rsidP="0025153F">
      <w:pPr>
        <w:keepLines/>
        <w:rPr>
          <w:b/>
        </w:rPr>
      </w:pPr>
      <w:r w:rsidRPr="00407B23">
        <w:rPr>
          <w:b/>
        </w:rPr>
        <w:tab/>
        <w:t>[</w:t>
      </w:r>
      <w:r w:rsidRPr="00407B23">
        <w:rPr>
          <w:b/>
          <w:i/>
        </w:rPr>
        <w:t>Prior rights of third persons</w:t>
      </w:r>
      <w:r w:rsidRPr="00407B23">
        <w:rPr>
          <w:b/>
        </w:rPr>
        <w:t>]  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0D59C2" w:rsidRPr="00407B23" w:rsidRDefault="000D59C2" w:rsidP="000D59C2"/>
    <w:p w:rsidR="000D59C2" w:rsidRPr="00407B23" w:rsidRDefault="000D59C2" w:rsidP="000D59C2">
      <w:pPr>
        <w:rPr>
          <w:i/>
        </w:rPr>
      </w:pPr>
      <w:r w:rsidRPr="00407B23">
        <w:rPr>
          <w:i/>
        </w:rPr>
        <w:t>Explanatory Notes – Paragraph (4)</w:t>
      </w:r>
    </w:p>
    <w:p w:rsidR="000D59C2" w:rsidRPr="00407B23" w:rsidRDefault="000D59C2" w:rsidP="000D59C2"/>
    <w:p w:rsidR="000D59C2" w:rsidRPr="00407B23" w:rsidRDefault="000D59C2" w:rsidP="000D59C2">
      <w:r w:rsidRPr="00407B23">
        <w:t>4.</w:t>
      </w:r>
      <w:r w:rsidRPr="00407B23">
        <w:tab/>
        <w:t>In deciding on the suitability of the proposed denomination and examining objections and observations in relation to prior rights of third persons, the following are intended to assist authorities.</w:t>
      </w:r>
    </w:p>
    <w:p w:rsidR="000D59C2" w:rsidRPr="00407B23" w:rsidRDefault="000D59C2" w:rsidP="000D59C2">
      <w:pPr>
        <w:ind w:firstLine="567"/>
      </w:pPr>
    </w:p>
    <w:p w:rsidR="000C67D4" w:rsidRPr="000C67D4" w:rsidRDefault="000D59C2" w:rsidP="00131F58">
      <w:pPr>
        <w:pStyle w:val="ListParagraph"/>
        <w:numPr>
          <w:ilvl w:val="0"/>
          <w:numId w:val="1"/>
        </w:numPr>
        <w:ind w:left="1134" w:hanging="567"/>
        <w:rPr>
          <w:color w:val="000000"/>
        </w:rPr>
      </w:pPr>
      <w:r w:rsidRPr="00407B23">
        <w:t>An authority should not accept a variety denomination if a prior r</w:t>
      </w:r>
      <w:r w:rsidR="000C67D4">
        <w:t>ight, the exercise of which may</w:t>
      </w:r>
    </w:p>
    <w:p w:rsidR="000D59C2" w:rsidRPr="000C67D4" w:rsidRDefault="000D59C2" w:rsidP="000C67D4">
      <w:pPr>
        <w:tabs>
          <w:tab w:val="left" w:pos="567"/>
        </w:tabs>
        <w:rPr>
          <w:color w:val="000000"/>
        </w:rPr>
      </w:pPr>
      <w:r w:rsidRPr="00407B23">
        <w:t xml:space="preserve">prevent the use of the proposed denomination, has already been granted to a </w:t>
      </w:r>
      <w:r w:rsidRPr="000C67D4">
        <w:t xml:space="preserve">third party under plant breeder’s right law, trademark law or any other intellectual property legislation.  </w:t>
      </w:r>
      <w:r w:rsidRPr="00407B23">
        <w:t>It is the responsibility of the title holder of a prior right to assert his rights through the available objection or court procedures.  However, authorities are encouraged to make prior searches in relevant publications (e.g. official gazettes) and databases (e.g. </w:t>
      </w:r>
      <w:r w:rsidRPr="00815B9D">
        <w:rPr>
          <w:color w:val="000000"/>
        </w:rPr>
        <w:t>UPOV-ROM</w:t>
      </w:r>
      <w:r w:rsidR="000C67D4" w:rsidRPr="00815B9D">
        <w:rPr>
          <w:color w:val="000000"/>
        </w:rPr>
        <w:t>)</w:t>
      </w:r>
      <w:r w:rsidRPr="00407B23">
        <w:t xml:space="preserve"> to identify prior rights for variety denominations.  They may also make searches in other registers, such as trademark registers, before accepting a variety denomination.</w:t>
      </w:r>
    </w:p>
    <w:p w:rsidR="000D59C2" w:rsidRDefault="000D59C2" w:rsidP="000D59C2"/>
    <w:tbl>
      <w:tblPr>
        <w:tblStyle w:val="TableGrid"/>
        <w:tblW w:w="0" w:type="auto"/>
        <w:tblLook w:val="04A0" w:firstRow="1" w:lastRow="0" w:firstColumn="1" w:lastColumn="0" w:noHBand="0" w:noVBand="1"/>
      </w:tblPr>
      <w:tblGrid>
        <w:gridCol w:w="9855"/>
      </w:tblGrid>
      <w:tr w:rsidR="00E16318" w:rsidTr="00C60977">
        <w:trPr>
          <w:cantSplit/>
        </w:trPr>
        <w:tc>
          <w:tcPr>
            <w:tcW w:w="9855" w:type="dxa"/>
            <w:shd w:val="clear" w:color="auto" w:fill="D9D9D9" w:themeFill="background1" w:themeFillShade="D9"/>
          </w:tcPr>
          <w:p w:rsidR="00E16318" w:rsidRPr="004953AB" w:rsidRDefault="00E16318" w:rsidP="000D59C2">
            <w:pPr>
              <w:rPr>
                <w:sz w:val="18"/>
                <w:szCs w:val="18"/>
              </w:rPr>
            </w:pPr>
          </w:p>
          <w:p w:rsidR="00E16318" w:rsidRDefault="00BA5EEC" w:rsidP="000D59C2">
            <w:pPr>
              <w:rPr>
                <w:color w:val="000000"/>
                <w:sz w:val="18"/>
                <w:szCs w:val="18"/>
                <w:u w:val="single"/>
              </w:rPr>
            </w:pPr>
            <w:r>
              <w:rPr>
                <w:color w:val="000000"/>
                <w:sz w:val="18"/>
                <w:szCs w:val="18"/>
                <w:u w:val="single"/>
              </w:rPr>
              <w:t>Proposal by CAJ</w:t>
            </w:r>
            <w:r w:rsidR="00E16318" w:rsidRPr="005F5B46">
              <w:rPr>
                <w:color w:val="000000"/>
                <w:sz w:val="18"/>
                <w:szCs w:val="18"/>
                <w:u w:val="single"/>
              </w:rPr>
              <w:t>-AG</w:t>
            </w:r>
            <w:bookmarkStart w:id="9" w:name="_Ref444611543"/>
            <w:r w:rsidR="0079385A">
              <w:rPr>
                <w:rStyle w:val="EndnoteReference"/>
                <w:color w:val="000000"/>
                <w:sz w:val="18"/>
                <w:szCs w:val="18"/>
              </w:rPr>
              <w:endnoteReference w:id="19"/>
            </w:r>
            <w:bookmarkEnd w:id="9"/>
          </w:p>
          <w:p w:rsidR="00E16318" w:rsidRDefault="00E16318" w:rsidP="000D59C2">
            <w:pPr>
              <w:rPr>
                <w:color w:val="000000"/>
                <w:sz w:val="18"/>
                <w:szCs w:val="18"/>
                <w:u w:val="single"/>
              </w:rPr>
            </w:pPr>
          </w:p>
          <w:p w:rsidR="00BA5EEC" w:rsidRPr="00BA5EEC" w:rsidRDefault="00BA5EEC" w:rsidP="00BA5EEC">
            <w:pPr>
              <w:rPr>
                <w:snapToGrid w:val="0"/>
                <w:sz w:val="18"/>
                <w:szCs w:val="18"/>
              </w:rPr>
            </w:pPr>
            <w:r w:rsidRPr="00BA5EEC">
              <w:rPr>
                <w:snapToGrid w:val="0"/>
                <w:sz w:val="18"/>
                <w:szCs w:val="18"/>
              </w:rPr>
              <w:t>To modify 4(a) as follows:</w:t>
            </w:r>
          </w:p>
          <w:p w:rsidR="00BA5EEC" w:rsidRPr="00BA5EEC" w:rsidRDefault="00BA5EEC" w:rsidP="00BA5EEC">
            <w:pPr>
              <w:rPr>
                <w:snapToGrid w:val="0"/>
                <w:sz w:val="18"/>
                <w:szCs w:val="18"/>
              </w:rPr>
            </w:pPr>
          </w:p>
          <w:p w:rsidR="00BA5EEC" w:rsidRDefault="00BA5EEC" w:rsidP="00BA5EEC">
            <w:pPr>
              <w:rPr>
                <w:sz w:val="18"/>
                <w:szCs w:val="18"/>
              </w:rPr>
            </w:pPr>
            <w:r w:rsidRPr="00BA5EEC">
              <w:rPr>
                <w:sz w:val="18"/>
                <w:szCs w:val="18"/>
              </w:rPr>
              <w:t>“(a)</w:t>
            </w:r>
            <w:r w:rsidRPr="00BA5EEC">
              <w:rPr>
                <w:sz w:val="18"/>
                <w:szCs w:val="18"/>
              </w:rPr>
              <w:tab/>
              <w:t xml:space="preserve">An authority should not accept a variety denomination if </w:t>
            </w:r>
            <w:r w:rsidRPr="00BA5EEC">
              <w:rPr>
                <w:strike/>
                <w:sz w:val="18"/>
                <w:szCs w:val="18"/>
              </w:rPr>
              <w:t>a</w:t>
            </w:r>
            <w:r w:rsidRPr="00BA5EEC">
              <w:rPr>
                <w:sz w:val="18"/>
                <w:szCs w:val="18"/>
              </w:rPr>
              <w:t xml:space="preserve"> </w:t>
            </w:r>
            <w:r w:rsidRPr="00BA5EEC">
              <w:rPr>
                <w:sz w:val="18"/>
                <w:szCs w:val="18"/>
                <w:u w:val="single"/>
              </w:rPr>
              <w:t>there is an existing</w:t>
            </w:r>
            <w:r w:rsidRPr="00BA5EEC">
              <w:rPr>
                <w:sz w:val="18"/>
                <w:szCs w:val="18"/>
              </w:rPr>
              <w:t xml:space="preserve"> prior right, the exercise of which may prevent the use of the proposed denomination</w:t>
            </w:r>
            <w:r w:rsidRPr="00BA5EEC">
              <w:rPr>
                <w:strike/>
                <w:sz w:val="18"/>
                <w:szCs w:val="18"/>
              </w:rPr>
              <w:t>, has already been granted to a third party</w:t>
            </w:r>
            <w:r w:rsidRPr="00BA5EEC">
              <w:rPr>
                <w:sz w:val="18"/>
                <w:szCs w:val="18"/>
              </w:rPr>
              <w:t xml:space="preserve"> </w:t>
            </w:r>
            <w:r w:rsidRPr="00BA5EEC">
              <w:rPr>
                <w:strike/>
                <w:sz w:val="18"/>
                <w:szCs w:val="18"/>
              </w:rPr>
              <w:t>under plant breeder’s right law, trademark law or any other intellectual property legislation.</w:t>
            </w:r>
            <w:r w:rsidRPr="00BA5EEC">
              <w:rPr>
                <w:sz w:val="18"/>
                <w:szCs w:val="18"/>
              </w:rPr>
              <w:t xml:space="preserve"> </w:t>
            </w:r>
            <w:r w:rsidR="0039256F">
              <w:rPr>
                <w:sz w:val="18"/>
                <w:szCs w:val="18"/>
              </w:rPr>
              <w:t xml:space="preserve"> </w:t>
            </w:r>
            <w:r w:rsidRPr="00BA5EEC">
              <w:rPr>
                <w:sz w:val="18"/>
                <w:szCs w:val="18"/>
              </w:rPr>
              <w:t xml:space="preserve">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BA5EEC">
                <w:rPr>
                  <w:rStyle w:val="Hyperlink"/>
                  <w:sz w:val="18"/>
                  <w:szCs w:val="18"/>
                </w:rPr>
                <w:t>http://www.upov.int/pluto/en/</w:t>
              </w:r>
            </w:hyperlink>
            <w:r w:rsidRPr="00BA5EEC">
              <w:rPr>
                <w:sz w:val="18"/>
                <w:szCs w:val="18"/>
              </w:rPr>
              <w:t>) to identify prior rights for variety denominations.  They may also make searches in other registers, such as trademark registers, before accepting a variety denomination.”</w:t>
            </w:r>
          </w:p>
          <w:p w:rsidR="00BA5EEC" w:rsidRPr="004953AB" w:rsidRDefault="00BA5EEC" w:rsidP="00BA5EEC">
            <w:pPr>
              <w:rPr>
                <w:sz w:val="18"/>
                <w:szCs w:val="18"/>
              </w:rPr>
            </w:pPr>
          </w:p>
        </w:tc>
      </w:tr>
    </w:tbl>
    <w:p w:rsidR="00E16318" w:rsidRDefault="00E16318" w:rsidP="000D59C2"/>
    <w:tbl>
      <w:tblPr>
        <w:tblStyle w:val="TableGrid"/>
        <w:tblW w:w="0" w:type="auto"/>
        <w:tblLook w:val="04A0" w:firstRow="1" w:lastRow="0" w:firstColumn="1" w:lastColumn="0" w:noHBand="0" w:noVBand="1"/>
      </w:tblPr>
      <w:tblGrid>
        <w:gridCol w:w="9855"/>
      </w:tblGrid>
      <w:tr w:rsidR="0005301B" w:rsidTr="00C60977">
        <w:trPr>
          <w:cantSplit/>
        </w:trPr>
        <w:tc>
          <w:tcPr>
            <w:tcW w:w="9855" w:type="dxa"/>
            <w:shd w:val="clear" w:color="auto" w:fill="D9D9D9" w:themeFill="background1" w:themeFillShade="D9"/>
          </w:tcPr>
          <w:p w:rsidR="0005301B" w:rsidRPr="0005301B" w:rsidRDefault="0005301B" w:rsidP="00FF105B">
            <w:pPr>
              <w:rPr>
                <w:sz w:val="18"/>
                <w:szCs w:val="18"/>
              </w:rPr>
            </w:pPr>
          </w:p>
          <w:p w:rsidR="0005301B" w:rsidRPr="0005301B" w:rsidRDefault="0005301B" w:rsidP="00FF105B">
            <w:pPr>
              <w:rPr>
                <w:color w:val="000000"/>
                <w:sz w:val="18"/>
                <w:szCs w:val="18"/>
                <w:u w:val="single"/>
              </w:rPr>
            </w:pPr>
            <w:r w:rsidRPr="0005301B">
              <w:rPr>
                <w:color w:val="000000"/>
                <w:sz w:val="18"/>
                <w:szCs w:val="18"/>
                <w:u w:val="single"/>
              </w:rPr>
              <w:t xml:space="preserve">Proposal by </w:t>
            </w:r>
            <w:r w:rsidR="00E30EE5">
              <w:rPr>
                <w:color w:val="000000"/>
                <w:sz w:val="18"/>
                <w:szCs w:val="18"/>
                <w:u w:val="single"/>
              </w:rPr>
              <w:t xml:space="preserve">the </w:t>
            </w:r>
            <w:r w:rsidRPr="0005301B">
              <w:rPr>
                <w:color w:val="000000"/>
                <w:sz w:val="18"/>
                <w:szCs w:val="18"/>
                <w:u w:val="single"/>
              </w:rPr>
              <w:t>European Union (CPVO)</w:t>
            </w:r>
            <w:r w:rsidRPr="0005301B">
              <w:rPr>
                <w:sz w:val="18"/>
                <w:szCs w:val="18"/>
              </w:rPr>
              <w:fldChar w:fldCharType="begin"/>
            </w:r>
            <w:r w:rsidRPr="0005301B">
              <w:rPr>
                <w:sz w:val="18"/>
                <w:szCs w:val="18"/>
              </w:rPr>
              <w:instrText xml:space="preserve"> NOTEREF  _Ref444268353 \f </w:instrText>
            </w:r>
            <w:r>
              <w:rPr>
                <w:sz w:val="18"/>
                <w:szCs w:val="18"/>
              </w:rPr>
              <w:instrText xml:space="preserve"> \* MERGEFORMAT </w:instrText>
            </w:r>
            <w:r w:rsidRPr="0005301B">
              <w:rPr>
                <w:sz w:val="18"/>
                <w:szCs w:val="18"/>
              </w:rPr>
              <w:fldChar w:fldCharType="separate"/>
            </w:r>
            <w:r w:rsidR="00FF4493" w:rsidRPr="00FF4493">
              <w:rPr>
                <w:rStyle w:val="EndnoteReference"/>
                <w:sz w:val="18"/>
                <w:szCs w:val="18"/>
              </w:rPr>
              <w:t>a</w:t>
            </w:r>
            <w:r w:rsidRPr="0005301B">
              <w:rPr>
                <w:sz w:val="18"/>
                <w:szCs w:val="18"/>
              </w:rPr>
              <w:fldChar w:fldCharType="end"/>
            </w:r>
          </w:p>
          <w:p w:rsidR="0005301B" w:rsidRPr="0005301B" w:rsidRDefault="0005301B" w:rsidP="00FF105B">
            <w:pPr>
              <w:rPr>
                <w:color w:val="000000"/>
                <w:sz w:val="18"/>
                <w:szCs w:val="18"/>
                <w:u w:val="single"/>
              </w:rPr>
            </w:pPr>
          </w:p>
          <w:p w:rsidR="0005301B" w:rsidRPr="0005301B" w:rsidRDefault="0005301B" w:rsidP="00FF105B">
            <w:pPr>
              <w:rPr>
                <w:sz w:val="18"/>
                <w:szCs w:val="18"/>
              </w:rPr>
            </w:pPr>
            <w:r>
              <w:rPr>
                <w:sz w:val="18"/>
                <w:szCs w:val="18"/>
              </w:rPr>
              <w:t xml:space="preserve">It is stated that an authority should not accept a variety denomination if it exists already a prior right. </w:t>
            </w:r>
            <w:r w:rsidR="0039256F">
              <w:rPr>
                <w:sz w:val="18"/>
                <w:szCs w:val="18"/>
              </w:rPr>
              <w:t xml:space="preserve"> </w:t>
            </w:r>
            <w:r>
              <w:rPr>
                <w:sz w:val="18"/>
                <w:szCs w:val="18"/>
              </w:rPr>
              <w:t>In the opinion of the CPVO this paragraph should allow also other approaches, in the case of the CPVO, the office doesn’t refuse ex officio a proposal for VD in case of existence of an identical prior right (trade mark).</w:t>
            </w:r>
            <w:r w:rsidR="0039256F">
              <w:rPr>
                <w:sz w:val="18"/>
                <w:szCs w:val="18"/>
              </w:rPr>
              <w:t xml:space="preserve"> </w:t>
            </w:r>
            <w:r>
              <w:rPr>
                <w:sz w:val="18"/>
                <w:szCs w:val="18"/>
              </w:rPr>
              <w:t xml:space="preserve"> In such cases the CPVO informs the applicant about a situation of identity with a prior right (trade mark) and refuses the proposal only in case of formal objection by the owner of the prior right (trade mark).</w:t>
            </w:r>
          </w:p>
          <w:p w:rsidR="0005301B" w:rsidRPr="0005301B" w:rsidRDefault="0005301B" w:rsidP="00FF105B">
            <w:pPr>
              <w:rPr>
                <w:sz w:val="18"/>
                <w:szCs w:val="18"/>
              </w:rPr>
            </w:pPr>
          </w:p>
        </w:tc>
      </w:tr>
    </w:tbl>
    <w:p w:rsidR="0005301B" w:rsidRPr="00407B23" w:rsidRDefault="0005301B" w:rsidP="000D59C2"/>
    <w:tbl>
      <w:tblPr>
        <w:tblStyle w:val="TableGrid"/>
        <w:tblW w:w="0" w:type="auto"/>
        <w:tblLook w:val="04A0" w:firstRow="1" w:lastRow="0" w:firstColumn="1" w:lastColumn="0" w:noHBand="0" w:noVBand="1"/>
      </w:tblPr>
      <w:tblGrid>
        <w:gridCol w:w="9855"/>
      </w:tblGrid>
      <w:tr w:rsidR="001A041A" w:rsidTr="008B7F43">
        <w:trPr>
          <w:cantSplit/>
        </w:trPr>
        <w:tc>
          <w:tcPr>
            <w:tcW w:w="9855" w:type="dxa"/>
            <w:shd w:val="clear" w:color="auto" w:fill="D9D9D9" w:themeFill="background1" w:themeFillShade="D9"/>
          </w:tcPr>
          <w:p w:rsidR="001A041A" w:rsidRPr="005D7C20" w:rsidRDefault="001A041A" w:rsidP="008B7F43">
            <w:pPr>
              <w:rPr>
                <w:sz w:val="18"/>
                <w:szCs w:val="18"/>
              </w:rPr>
            </w:pPr>
          </w:p>
          <w:p w:rsidR="001D48B5" w:rsidRDefault="001D48B5" w:rsidP="001D48B5">
            <w:pPr>
              <w:rPr>
                <w:sz w:val="18"/>
                <w:szCs w:val="18"/>
                <w:lang w:eastAsia="ja-JP"/>
              </w:rPr>
            </w:pPr>
            <w:r w:rsidRPr="00596EC4">
              <w:rPr>
                <w:sz w:val="18"/>
                <w:szCs w:val="18"/>
                <w:highlight w:val="yellow"/>
                <w:lang w:eastAsia="ja-JP"/>
              </w:rPr>
              <w:t>UPOV Circular E-16/088 of April 13, 2016</w:t>
            </w:r>
            <w:r w:rsidRPr="00C6215A">
              <w:rPr>
                <w:rFonts w:hint="eastAsia"/>
                <w:sz w:val="18"/>
                <w:szCs w:val="18"/>
                <w:highlight w:val="yellow"/>
                <w:lang w:eastAsia="ja-JP"/>
              </w:rPr>
              <w:t xml:space="preserve">, </w:t>
            </w:r>
            <w:r w:rsidRPr="001D48B5">
              <w:rPr>
                <w:sz w:val="18"/>
                <w:szCs w:val="18"/>
                <w:highlight w:val="yellow"/>
                <w:lang w:eastAsia="ja-JP"/>
              </w:rPr>
              <w:t>invite</w:t>
            </w:r>
            <w:r w:rsidRPr="001D48B5">
              <w:rPr>
                <w:rFonts w:hint="eastAsia"/>
                <w:sz w:val="18"/>
                <w:szCs w:val="18"/>
                <w:highlight w:val="yellow"/>
                <w:lang w:eastAsia="ja-JP"/>
              </w:rPr>
              <w:t>d</w:t>
            </w:r>
            <w:r w:rsidRPr="001D48B5">
              <w:rPr>
                <w:sz w:val="18"/>
                <w:szCs w:val="18"/>
                <w:highlight w:val="yellow"/>
                <w:lang w:eastAsia="ja-JP"/>
              </w:rPr>
              <w:t xml:space="preserve"> members of the WG</w:t>
            </w:r>
            <w:r w:rsidRPr="001D48B5">
              <w:rPr>
                <w:rFonts w:hint="eastAsia"/>
                <w:sz w:val="18"/>
                <w:szCs w:val="18"/>
                <w:highlight w:val="yellow"/>
                <w:lang w:eastAsia="ja-JP"/>
              </w:rPr>
              <w:t>-</w:t>
            </w:r>
            <w:r w:rsidRPr="001D48B5">
              <w:rPr>
                <w:sz w:val="18"/>
                <w:szCs w:val="18"/>
                <w:highlight w:val="yellow"/>
                <w:lang w:eastAsia="ja-JP"/>
              </w:rPr>
              <w:t>DEN to submit comments/proposals on Section 4(a), in relation to their practices concerning searches and measures concerning prior rights</w:t>
            </w:r>
            <w:r w:rsidRPr="001D48B5">
              <w:rPr>
                <w:rFonts w:hint="eastAsia"/>
                <w:sz w:val="18"/>
                <w:szCs w:val="18"/>
                <w:highlight w:val="yellow"/>
                <w:lang w:eastAsia="ja-JP"/>
              </w:rPr>
              <w:t>, and re</w:t>
            </w:r>
            <w:r w:rsidRPr="00596EC4">
              <w:rPr>
                <w:rFonts w:hint="eastAsia"/>
                <w:sz w:val="18"/>
                <w:szCs w:val="18"/>
                <w:highlight w:val="yellow"/>
                <w:lang w:eastAsia="ja-JP"/>
              </w:rPr>
              <w:t xml:space="preserve">ceived </w:t>
            </w:r>
            <w:r w:rsidR="0067234E">
              <w:rPr>
                <w:rFonts w:hint="eastAsia"/>
                <w:sz w:val="18"/>
                <w:szCs w:val="18"/>
                <w:highlight w:val="yellow"/>
                <w:lang w:eastAsia="ja-JP"/>
              </w:rPr>
              <w:t>proposals as follows</w:t>
            </w:r>
            <w:r w:rsidR="0067234E" w:rsidRPr="00907D20">
              <w:rPr>
                <w:sz w:val="18"/>
                <w:szCs w:val="18"/>
                <w:highlight w:val="yellow"/>
                <w:lang w:eastAsia="ja-JP"/>
              </w:rPr>
              <w:t>:</w:t>
            </w:r>
          </w:p>
          <w:p w:rsidR="001D48B5" w:rsidRDefault="001D48B5" w:rsidP="00907D20">
            <w:pPr>
              <w:spacing w:line="360" w:lineRule="auto"/>
              <w:jc w:val="left"/>
              <w:rPr>
                <w:sz w:val="18"/>
                <w:szCs w:val="18"/>
                <w:highlight w:val="yellow"/>
                <w:u w:val="single"/>
                <w:lang w:eastAsia="ja-JP"/>
              </w:rPr>
            </w:pPr>
          </w:p>
          <w:p w:rsidR="001A041A" w:rsidRPr="00504D1D" w:rsidRDefault="001A041A" w:rsidP="008B7F43">
            <w:pPr>
              <w:jc w:val="left"/>
              <w:rPr>
                <w:sz w:val="18"/>
                <w:szCs w:val="18"/>
                <w:highlight w:val="yellow"/>
                <w:u w:val="single"/>
                <w:lang w:eastAsia="ja-JP"/>
              </w:rPr>
            </w:pPr>
            <w:r w:rsidRPr="00504D1D">
              <w:rPr>
                <w:sz w:val="18"/>
                <w:szCs w:val="18"/>
                <w:highlight w:val="yellow"/>
                <w:u w:val="single"/>
              </w:rPr>
              <w:t xml:space="preserve">Proposal by </w:t>
            </w:r>
            <w:r>
              <w:rPr>
                <w:sz w:val="18"/>
                <w:szCs w:val="18"/>
                <w:highlight w:val="yellow"/>
                <w:u w:val="single"/>
              </w:rPr>
              <w:t>France</w:t>
            </w:r>
          </w:p>
          <w:p w:rsidR="001A041A" w:rsidRPr="00504D1D" w:rsidRDefault="001A041A" w:rsidP="008B7F43">
            <w:pPr>
              <w:rPr>
                <w:sz w:val="18"/>
                <w:szCs w:val="18"/>
                <w:highlight w:val="yellow"/>
              </w:rPr>
            </w:pPr>
          </w:p>
          <w:p w:rsidR="001A041A" w:rsidRPr="00504D1D" w:rsidRDefault="001A041A" w:rsidP="008B7F43">
            <w:pPr>
              <w:rPr>
                <w:sz w:val="18"/>
                <w:szCs w:val="18"/>
              </w:rPr>
            </w:pPr>
            <w:r w:rsidRPr="001A041A">
              <w:rPr>
                <w:sz w:val="18"/>
                <w:szCs w:val="18"/>
                <w:highlight w:val="yellow"/>
              </w:rPr>
              <w:t>National Office for Plant Breeder’s Rights (INOV) applies the following approach: assuming that a prior right of a third party may prevent users or PBR holder to use the denomination, we may not accept denomination identical to a trade mark on common products.  A limited waiver may lead us to accept this denomination. For national listing purposes, a slightly different approach is followed, in line with Community Plant Variety Office’s (CPVO) one:  in case of denomination proposal identical to a third person trade mark, applicant is informed of risk of confusion and likelihood of infringement, and therefore invited to take a conclusion whether to go on with this proposal or to propose another denomination.</w:t>
            </w:r>
          </w:p>
          <w:p w:rsidR="001D48B5" w:rsidRDefault="001D48B5" w:rsidP="00907D20">
            <w:pPr>
              <w:spacing w:line="360" w:lineRule="auto"/>
              <w:rPr>
                <w:sz w:val="18"/>
                <w:szCs w:val="18"/>
                <w:lang w:eastAsia="ja-JP"/>
              </w:rPr>
            </w:pPr>
          </w:p>
          <w:p w:rsidR="001D48B5" w:rsidRPr="00504D1D" w:rsidRDefault="001D48B5" w:rsidP="001D48B5">
            <w:pPr>
              <w:jc w:val="left"/>
              <w:rPr>
                <w:sz w:val="18"/>
                <w:szCs w:val="18"/>
                <w:highlight w:val="yellow"/>
                <w:u w:val="single"/>
                <w:lang w:eastAsia="ja-JP"/>
              </w:rPr>
            </w:pPr>
            <w:r w:rsidRPr="00504D1D">
              <w:rPr>
                <w:sz w:val="18"/>
                <w:szCs w:val="18"/>
                <w:highlight w:val="yellow"/>
                <w:u w:val="single"/>
              </w:rPr>
              <w:t>Proposal by the Netherlands</w:t>
            </w:r>
          </w:p>
          <w:p w:rsidR="001D48B5" w:rsidRPr="00504D1D" w:rsidRDefault="001D48B5" w:rsidP="001D48B5">
            <w:pPr>
              <w:rPr>
                <w:sz w:val="18"/>
                <w:szCs w:val="18"/>
                <w:highlight w:val="yellow"/>
              </w:rPr>
            </w:pPr>
          </w:p>
          <w:p w:rsidR="001D48B5" w:rsidRPr="00504D1D" w:rsidRDefault="001D48B5" w:rsidP="001D48B5">
            <w:pPr>
              <w:rPr>
                <w:sz w:val="18"/>
                <w:szCs w:val="18"/>
              </w:rPr>
            </w:pPr>
            <w:r w:rsidRPr="001A041A">
              <w:rPr>
                <w:sz w:val="18"/>
                <w:szCs w:val="18"/>
                <w:highlight w:val="yellow"/>
              </w:rPr>
              <w:t>It often happens that a new variety denomination already registered by a trademark office in in class 31, but the trademark is not in use for the crop concerned. E.g. ‘Grand Bleu’ is a registered trademark since 1999 (WIPO 719128).  In practice it is in use for Caryopteris ×clandonensis ‘Inoveris’. When a Hydrangea breeder wants to use it as a variety denomination for Hydrangea macrophylla, he should be able to use it when the trademark owner has no objection.</w:t>
            </w:r>
          </w:p>
          <w:p w:rsidR="001D48B5" w:rsidRDefault="001D48B5" w:rsidP="00907D20">
            <w:pPr>
              <w:spacing w:line="360" w:lineRule="auto"/>
              <w:rPr>
                <w:sz w:val="18"/>
                <w:szCs w:val="18"/>
                <w:lang w:eastAsia="ja-JP"/>
              </w:rPr>
            </w:pPr>
          </w:p>
          <w:p w:rsidR="001D48B5" w:rsidRPr="00504D1D" w:rsidRDefault="001D48B5" w:rsidP="001D48B5">
            <w:pPr>
              <w:jc w:val="left"/>
              <w:rPr>
                <w:sz w:val="18"/>
                <w:szCs w:val="18"/>
                <w:highlight w:val="yellow"/>
                <w:u w:val="single"/>
                <w:lang w:eastAsia="ja-JP"/>
              </w:rPr>
            </w:pPr>
            <w:r w:rsidRPr="00504D1D">
              <w:rPr>
                <w:sz w:val="18"/>
                <w:szCs w:val="18"/>
                <w:highlight w:val="yellow"/>
                <w:u w:val="single"/>
              </w:rPr>
              <w:t xml:space="preserve">Proposal by </w:t>
            </w:r>
            <w:r>
              <w:rPr>
                <w:sz w:val="18"/>
                <w:szCs w:val="18"/>
                <w:highlight w:val="yellow"/>
                <w:u w:val="single"/>
              </w:rPr>
              <w:t>New Zealand</w:t>
            </w:r>
          </w:p>
          <w:p w:rsidR="001D48B5" w:rsidRPr="00504D1D" w:rsidRDefault="001D48B5" w:rsidP="001D48B5">
            <w:pPr>
              <w:rPr>
                <w:sz w:val="18"/>
                <w:szCs w:val="18"/>
                <w:highlight w:val="yellow"/>
              </w:rPr>
            </w:pPr>
          </w:p>
          <w:p w:rsidR="001D48B5" w:rsidRPr="00504D1D" w:rsidRDefault="001D48B5" w:rsidP="001D48B5">
            <w:pPr>
              <w:rPr>
                <w:sz w:val="18"/>
                <w:szCs w:val="18"/>
              </w:rPr>
            </w:pPr>
            <w:r w:rsidRPr="001A041A">
              <w:rPr>
                <w:sz w:val="18"/>
                <w:szCs w:val="18"/>
                <w:highlight w:val="yellow"/>
              </w:rPr>
              <w:t>It is routine to search the NZ trade mark register Class 31 as part of the denomination examination.  The search is made using a proprietary similarity search tool called ACSEPTO. If there is a conflict between a mark and the proposed denomination, the applicant is notified and given time to decide their position.  When the Class 31 mark is in a goods or service category that differs from denomination usage, the denomination may be accepted.  For example, the denomination of a milling wheat variety may conflict with a Class 31 mark used to sell live animals or animal food. The denomination may be accepted because the two are unlikely to cross over in the market place.  It is also advisable for the denomination proposer to communicate with the mark holder and if the applicant advises that the mark holder has no objection to the usage of the denomination, the proposed denomination may also be accepted.</w:t>
            </w:r>
          </w:p>
          <w:p w:rsidR="001D48B5" w:rsidRPr="001D48B5" w:rsidRDefault="001D48B5" w:rsidP="008B7F43">
            <w:pPr>
              <w:rPr>
                <w:lang w:eastAsia="ja-JP"/>
              </w:rPr>
            </w:pPr>
          </w:p>
        </w:tc>
      </w:tr>
    </w:tbl>
    <w:p w:rsidR="00A43E45" w:rsidRDefault="00A43E45" w:rsidP="001A041A"/>
    <w:p w:rsidR="000D59C2" w:rsidRPr="00407B23" w:rsidRDefault="000D59C2" w:rsidP="000D59C2">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0D59C2" w:rsidRPr="00407B23" w:rsidRDefault="000D59C2" w:rsidP="000D59C2">
      <w:pPr>
        <w:ind w:firstLine="567"/>
      </w:pPr>
    </w:p>
    <w:p w:rsidR="000D59C2" w:rsidRPr="00407B23" w:rsidRDefault="000D59C2" w:rsidP="000D59C2">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0D59C2" w:rsidRPr="00407B23" w:rsidRDefault="000D59C2" w:rsidP="000D59C2">
      <w:pPr>
        <w:ind w:firstLine="567"/>
      </w:pPr>
    </w:p>
    <w:p w:rsidR="000D59C2" w:rsidRPr="00407B23" w:rsidRDefault="000D59C2" w:rsidP="000D59C2">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0D59C2" w:rsidRPr="00407B23" w:rsidRDefault="000D59C2" w:rsidP="000D59C2"/>
    <w:p w:rsidR="000D59C2" w:rsidRPr="00407B23" w:rsidRDefault="000D59C2" w:rsidP="001A041A">
      <w:pPr>
        <w:ind w:firstLine="567"/>
      </w:pPr>
      <w:r w:rsidRPr="00407B23">
        <w:t>(e)</w:t>
      </w:r>
      <w:r w:rsidRPr="00407B23">
        <w:tab/>
        <w:t>The following items provide some guidance on what might constitute a “prior right”, the exercise of which may prevent the use of the proposed denomination:</w:t>
      </w:r>
    </w:p>
    <w:p w:rsidR="000D59C2" w:rsidRPr="00407B23" w:rsidRDefault="000D59C2" w:rsidP="000D59C2">
      <w:pPr>
        <w:ind w:left="567" w:firstLine="567"/>
      </w:pPr>
    </w:p>
    <w:p w:rsidR="000D59C2" w:rsidRPr="00407B23" w:rsidRDefault="000D59C2" w:rsidP="000D59C2">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5"/>
      </w:r>
      <w:r w:rsidRPr="00407B23">
        <w:t xml:space="preserve">,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judgments from a competent court.  In cases of mere similarity or small likelihood of </w:t>
      </w:r>
      <w:r w:rsidRPr="001D48B5">
        <w:rPr>
          <w:strike/>
          <w:highlight w:val="yellow"/>
        </w:rPr>
        <w:t>association</w:t>
      </w:r>
      <w:r w:rsidRPr="001D48B5">
        <w:rPr>
          <w:highlight w:val="yellow"/>
        </w:rPr>
        <w:t xml:space="preserve"> </w:t>
      </w:r>
      <w:r w:rsidR="00A43E45" w:rsidRPr="001D48B5">
        <w:rPr>
          <w:rFonts w:hint="eastAsia"/>
          <w:highlight w:val="yellow"/>
          <w:u w:val="single"/>
          <w:lang w:eastAsia="ja-JP"/>
        </w:rPr>
        <w:t>confusion</w:t>
      </w:r>
      <w:r w:rsidR="00A43E45">
        <w:rPr>
          <w:rFonts w:hint="eastAsia"/>
          <w:lang w:eastAsia="ja-JP"/>
        </w:rPr>
        <w:t xml:space="preserve"> </w:t>
      </w:r>
      <w:r w:rsidRPr="00407B23">
        <w:t>by users, waivers granted to breeders by prior trademark right holde</w:t>
      </w:r>
      <w:r w:rsidR="00907D20">
        <w:t>rs could be a suitable solution;</w:t>
      </w:r>
    </w:p>
    <w:p w:rsidR="00BA5EEC" w:rsidRPr="00407B23" w:rsidRDefault="00BA5EEC" w:rsidP="00BA5EEC"/>
    <w:p w:rsidR="000D59C2" w:rsidRPr="00407B23" w:rsidRDefault="000D59C2" w:rsidP="000D59C2">
      <w:pPr>
        <w:tabs>
          <w:tab w:val="right" w:pos="1134"/>
          <w:tab w:val="left" w:pos="1418"/>
        </w:tabs>
      </w:pPr>
      <w:r w:rsidRPr="00407B23">
        <w:tab/>
        <w:t>(ii)</w:t>
      </w:r>
      <w:r w:rsidRPr="00407B23">
        <w:tab/>
        <w:t>If the proposed denomination is identical with or similar to a well-known mark, it may be unsuitable, even if the well-known mark applies to goods other than those ap</w:t>
      </w:r>
      <w:r w:rsidR="0045251E">
        <w:t>pearing in Class 31 of the Nice </w:t>
      </w:r>
      <w:r w:rsidRPr="00407B23">
        <w:t>Classification</w:t>
      </w:r>
      <w:r w:rsidR="00907D20">
        <w:t>;</w:t>
      </w:r>
      <w:r w:rsidRPr="00407B23">
        <w:rPr>
          <w:rStyle w:val="FootnoteReference"/>
        </w:rPr>
        <w:footnoteReference w:id="6"/>
      </w:r>
    </w:p>
    <w:p w:rsidR="000D59C2" w:rsidRPr="00407B23" w:rsidRDefault="000D59C2" w:rsidP="000D59C2">
      <w:pPr>
        <w:tabs>
          <w:tab w:val="right" w:pos="1134"/>
        </w:tabs>
      </w:pPr>
    </w:p>
    <w:p w:rsidR="000D59C2" w:rsidRPr="00407B23" w:rsidRDefault="000D59C2" w:rsidP="000D59C2">
      <w:pPr>
        <w:tabs>
          <w:tab w:val="right" w:pos="1134"/>
          <w:tab w:val="left" w:pos="1418"/>
        </w:tabs>
      </w:pPr>
      <w:r w:rsidRPr="00407B23">
        <w:tab/>
        <w:t>(iii)</w:t>
      </w:r>
      <w:r w:rsidRPr="00407B23">
        <w:tab/>
        <w:t>Prior rights might also concern trade names</w:t>
      </w:r>
      <w:r w:rsidRPr="00407B23">
        <w:rPr>
          <w:rStyle w:val="FootnoteReference"/>
        </w:rPr>
        <w:footnoteReference w:id="7"/>
      </w:r>
      <w:r w:rsidRPr="00407B23">
        <w:t xml:space="preserve"> and names of famous persons;</w:t>
      </w:r>
    </w:p>
    <w:p w:rsidR="000D59C2" w:rsidRPr="00407B23" w:rsidRDefault="000D59C2" w:rsidP="000D59C2">
      <w:pPr>
        <w:tabs>
          <w:tab w:val="right" w:pos="1134"/>
        </w:tabs>
      </w:pPr>
    </w:p>
    <w:p w:rsidR="000D59C2" w:rsidRPr="00407B23" w:rsidRDefault="000D59C2" w:rsidP="000D59C2">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rsidR="00907D20">
        <w:t>;</w:t>
      </w:r>
      <w:r w:rsidRPr="00407B23">
        <w:rPr>
          <w:rStyle w:val="FootnoteReference"/>
        </w:rPr>
        <w:footnoteReference w:id="8"/>
      </w:r>
    </w:p>
    <w:p w:rsidR="000D59C2" w:rsidRPr="00407B23" w:rsidRDefault="000D59C2" w:rsidP="000D59C2">
      <w:pPr>
        <w:ind w:firstLine="1134"/>
      </w:pPr>
    </w:p>
    <w:p w:rsidR="000D59C2" w:rsidRPr="00407B23" w:rsidRDefault="000D59C2" w:rsidP="000D59C2">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rsidR="00907D20">
        <w:t>;</w:t>
      </w:r>
      <w:r w:rsidRPr="00407B23">
        <w:rPr>
          <w:rStyle w:val="FootnoteReference"/>
        </w:rPr>
        <w:footnoteReference w:id="9"/>
      </w:r>
    </w:p>
    <w:p w:rsidR="000D59C2" w:rsidRPr="00407B23" w:rsidRDefault="000D59C2" w:rsidP="000D59C2">
      <w:pPr>
        <w:tabs>
          <w:tab w:val="right" w:pos="1134"/>
        </w:tabs>
      </w:pPr>
    </w:p>
    <w:p w:rsidR="000D59C2" w:rsidRPr="00407B23" w:rsidRDefault="000D59C2" w:rsidP="000D59C2">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0D59C2" w:rsidRPr="00407B23" w:rsidRDefault="000D59C2" w:rsidP="000D59C2">
      <w:pPr>
        <w:jc w:val="center"/>
      </w:pPr>
    </w:p>
    <w:p w:rsidR="000D59C2" w:rsidRPr="00407B23" w:rsidRDefault="000D59C2" w:rsidP="000D59C2">
      <w:pPr>
        <w:jc w:val="center"/>
      </w:pPr>
    </w:p>
    <w:p w:rsidR="00494FFB" w:rsidRDefault="00494FFB">
      <w:pPr>
        <w:jc w:val="left"/>
        <w:rPr>
          <w:b/>
        </w:rPr>
      </w:pPr>
      <w:r>
        <w:rPr>
          <w:b/>
        </w:rPr>
        <w:br w:type="page"/>
      </w:r>
    </w:p>
    <w:p w:rsidR="000D59C2" w:rsidRPr="00407B23" w:rsidRDefault="000D59C2" w:rsidP="000D59C2">
      <w:pPr>
        <w:keepNext/>
        <w:keepLines/>
        <w:jc w:val="center"/>
        <w:rPr>
          <w:b/>
        </w:rPr>
      </w:pPr>
      <w:r w:rsidRPr="00407B23">
        <w:rPr>
          <w:b/>
        </w:rPr>
        <w:t>Paragraph 5</w:t>
      </w:r>
    </w:p>
    <w:p w:rsidR="000D59C2" w:rsidRPr="00407B23" w:rsidRDefault="000D59C2" w:rsidP="000D59C2">
      <w:pPr>
        <w:keepNext/>
        <w:keepLines/>
        <w:ind w:firstLine="567"/>
      </w:pPr>
    </w:p>
    <w:p w:rsidR="000D59C2" w:rsidRPr="00407B23" w:rsidRDefault="000D59C2" w:rsidP="001A041A">
      <w:pPr>
        <w:keepNext/>
        <w:ind w:firstLine="567"/>
        <w:rPr>
          <w:b/>
        </w:rPr>
      </w:pPr>
      <w:r w:rsidRPr="00407B23">
        <w:rPr>
          <w:b/>
        </w:rPr>
        <w:t>[</w:t>
      </w:r>
      <w:r w:rsidRPr="00407B23">
        <w:rPr>
          <w:b/>
          <w:i/>
        </w:rPr>
        <w:t>Same denomination in all members of the Union</w:t>
      </w:r>
      <w:r w:rsidRPr="00407B23">
        <w:rPr>
          <w:b/>
        </w:rPr>
        <w:t xml:space="preserve">]  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0D59C2" w:rsidRPr="00407B23" w:rsidRDefault="000D59C2" w:rsidP="001A041A">
      <w:pPr>
        <w:keepNext/>
        <w:rPr>
          <w:i/>
        </w:rPr>
      </w:pPr>
    </w:p>
    <w:p w:rsidR="000D59C2" w:rsidRPr="00407B23" w:rsidRDefault="000D59C2" w:rsidP="000D59C2">
      <w:r w:rsidRPr="00407B23">
        <w:rPr>
          <w:i/>
        </w:rPr>
        <w:t>Explanatory Notes – Paragraph (5)</w:t>
      </w:r>
      <w:r w:rsidRPr="00407B23">
        <w:t xml:space="preserve"> </w:t>
      </w:r>
    </w:p>
    <w:p w:rsidR="000D59C2" w:rsidRPr="00407B23" w:rsidRDefault="000D59C2" w:rsidP="000D59C2"/>
    <w:p w:rsidR="000D59C2" w:rsidRPr="00407B23" w:rsidRDefault="000D59C2" w:rsidP="000D59C2">
      <w:r w:rsidRPr="00407B23">
        <w:t>5.1</w:t>
      </w:r>
      <w:r w:rsidRPr="00407B23">
        <w:tab/>
        <w:t xml:space="preserve">This provision reflects the importance of a single variety denomination for the effective operation of the UPOV system.  </w:t>
      </w:r>
    </w:p>
    <w:p w:rsidR="000D59C2" w:rsidRPr="00407B23" w:rsidRDefault="000D59C2" w:rsidP="000D59C2"/>
    <w:p w:rsidR="000D59C2" w:rsidRPr="00407B23" w:rsidRDefault="000D59C2" w:rsidP="000D59C2">
      <w:r w:rsidRPr="00407B23">
        <w:t>5.2</w:t>
      </w:r>
      <w:r w:rsidRPr="00407B23">
        <w:tab/>
      </w:r>
      <w:r w:rsidRPr="00407B23">
        <w:rPr>
          <w:i/>
        </w:rPr>
        <w:t>Paragraph</w:t>
      </w:r>
      <w:r w:rsidRPr="00407B23">
        <w:t> (5) provides clear directions both for breeders and authorities:</w:t>
      </w:r>
    </w:p>
    <w:p w:rsidR="000D59C2" w:rsidRPr="00407B23" w:rsidRDefault="000D59C2" w:rsidP="000D59C2"/>
    <w:p w:rsidR="000D59C2" w:rsidRPr="00407B23" w:rsidRDefault="000D59C2" w:rsidP="000D59C2">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0D59C2" w:rsidRPr="00407B23" w:rsidRDefault="000D59C2" w:rsidP="000D59C2"/>
    <w:p w:rsidR="000D59C2" w:rsidRPr="00407B23" w:rsidRDefault="000D59C2" w:rsidP="000D59C2">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0D59C2" w:rsidRDefault="000D59C2" w:rsidP="000D59C2">
      <w:pPr>
        <w:ind w:firstLine="567"/>
        <w:rPr>
          <w:lang w:eastAsia="ja-JP"/>
        </w:rPr>
      </w:pPr>
    </w:p>
    <w:tbl>
      <w:tblPr>
        <w:tblStyle w:val="TableGrid"/>
        <w:tblW w:w="0" w:type="auto"/>
        <w:tblLook w:val="04A0" w:firstRow="1" w:lastRow="0" w:firstColumn="1" w:lastColumn="0" w:noHBand="0" w:noVBand="1"/>
      </w:tblPr>
      <w:tblGrid>
        <w:gridCol w:w="9855"/>
      </w:tblGrid>
      <w:tr w:rsidR="001A041A" w:rsidTr="008B7F43">
        <w:trPr>
          <w:cantSplit/>
        </w:trPr>
        <w:tc>
          <w:tcPr>
            <w:tcW w:w="9855" w:type="dxa"/>
            <w:shd w:val="clear" w:color="auto" w:fill="D9D9D9" w:themeFill="background1" w:themeFillShade="D9"/>
          </w:tcPr>
          <w:p w:rsidR="001A041A" w:rsidRDefault="001A041A" w:rsidP="008B7F43">
            <w:pPr>
              <w:rPr>
                <w:sz w:val="18"/>
                <w:szCs w:val="18"/>
                <w:lang w:eastAsia="ja-JP"/>
              </w:rPr>
            </w:pPr>
          </w:p>
          <w:p w:rsidR="001D48B5" w:rsidRDefault="001D48B5" w:rsidP="001D48B5">
            <w:pPr>
              <w:rPr>
                <w:sz w:val="18"/>
                <w:szCs w:val="18"/>
                <w:lang w:eastAsia="ja-JP"/>
              </w:rPr>
            </w:pPr>
            <w:r w:rsidRPr="00596EC4">
              <w:rPr>
                <w:sz w:val="18"/>
                <w:szCs w:val="18"/>
                <w:highlight w:val="yellow"/>
                <w:lang w:eastAsia="ja-JP"/>
              </w:rPr>
              <w:t>UPOV Circular E-16/088 of April 13, 2016</w:t>
            </w:r>
            <w:r w:rsidRPr="00C6215A">
              <w:rPr>
                <w:rFonts w:hint="eastAsia"/>
                <w:sz w:val="18"/>
                <w:szCs w:val="18"/>
                <w:highlight w:val="yellow"/>
                <w:lang w:eastAsia="ja-JP"/>
              </w:rPr>
              <w:t xml:space="preserve">, </w:t>
            </w:r>
            <w:r w:rsidRPr="001D48B5">
              <w:rPr>
                <w:sz w:val="18"/>
                <w:szCs w:val="18"/>
                <w:highlight w:val="yellow"/>
                <w:lang w:eastAsia="ja-JP"/>
              </w:rPr>
              <w:t>invite</w:t>
            </w:r>
            <w:r w:rsidRPr="001D48B5">
              <w:rPr>
                <w:rFonts w:hint="eastAsia"/>
                <w:sz w:val="18"/>
                <w:szCs w:val="18"/>
                <w:highlight w:val="yellow"/>
                <w:lang w:eastAsia="ja-JP"/>
              </w:rPr>
              <w:t>d</w:t>
            </w:r>
            <w:r w:rsidRPr="001D48B5">
              <w:rPr>
                <w:sz w:val="18"/>
                <w:szCs w:val="18"/>
                <w:highlight w:val="yellow"/>
                <w:lang w:eastAsia="ja-JP"/>
              </w:rPr>
              <w:t xml:space="preserve"> New Zealand and other members of the WG-DEN to provide information of cases in which the denomination accepted in the first application was not the denomination used by other authorities when a different denomination was accepted by a second authority</w:t>
            </w:r>
            <w:r w:rsidRPr="001D48B5">
              <w:rPr>
                <w:rFonts w:hint="eastAsia"/>
                <w:sz w:val="18"/>
                <w:szCs w:val="18"/>
                <w:highlight w:val="yellow"/>
                <w:lang w:eastAsia="ja-JP"/>
              </w:rPr>
              <w:t>, and re</w:t>
            </w:r>
            <w:r w:rsidRPr="00596EC4">
              <w:rPr>
                <w:rFonts w:hint="eastAsia"/>
                <w:sz w:val="18"/>
                <w:szCs w:val="18"/>
                <w:highlight w:val="yellow"/>
                <w:lang w:eastAsia="ja-JP"/>
              </w:rPr>
              <w:t>ceived proposals as follows;</w:t>
            </w:r>
          </w:p>
          <w:p w:rsidR="001D48B5" w:rsidRPr="005D7C20" w:rsidRDefault="001D48B5" w:rsidP="00907D20">
            <w:pPr>
              <w:spacing w:line="360" w:lineRule="auto"/>
              <w:rPr>
                <w:sz w:val="18"/>
                <w:szCs w:val="18"/>
                <w:lang w:eastAsia="ja-JP"/>
              </w:rPr>
            </w:pPr>
          </w:p>
          <w:p w:rsidR="001A041A" w:rsidRPr="001A041A" w:rsidRDefault="001A041A" w:rsidP="008B7F43">
            <w:pPr>
              <w:jc w:val="left"/>
              <w:rPr>
                <w:sz w:val="18"/>
                <w:szCs w:val="18"/>
                <w:highlight w:val="yellow"/>
                <w:u w:val="single"/>
                <w:lang w:eastAsia="ja-JP"/>
              </w:rPr>
            </w:pPr>
            <w:r w:rsidRPr="001A041A">
              <w:rPr>
                <w:sz w:val="18"/>
                <w:szCs w:val="18"/>
                <w:highlight w:val="yellow"/>
                <w:u w:val="single"/>
              </w:rPr>
              <w:t>Proposal by France</w:t>
            </w:r>
          </w:p>
          <w:p w:rsidR="001A041A" w:rsidRPr="001A041A" w:rsidRDefault="001A041A" w:rsidP="008B7F43">
            <w:pPr>
              <w:rPr>
                <w:sz w:val="18"/>
                <w:szCs w:val="18"/>
                <w:highlight w:val="yellow"/>
              </w:rPr>
            </w:pPr>
          </w:p>
          <w:p w:rsidR="001A041A" w:rsidRPr="00504D1D" w:rsidRDefault="001A041A" w:rsidP="008B7F43">
            <w:pPr>
              <w:rPr>
                <w:sz w:val="18"/>
                <w:szCs w:val="18"/>
              </w:rPr>
            </w:pPr>
            <w:r w:rsidRPr="001A041A">
              <w:rPr>
                <w:sz w:val="18"/>
                <w:szCs w:val="18"/>
                <w:highlight w:val="yellow"/>
              </w:rPr>
              <w:t>We are in the opinion that necessity of synonyms should be limited to very specific cases (i.e. already existing variety of the same UPOV class with the same denomination registered/listed in UPOV Member territory or very clear non-acceptable denomination).  Following this statement, it is necessary to act for a more harmonized guidance for denomination evaluation, and for a Pluto updating with national/regional consolidated data as soon as possible.</w:t>
            </w:r>
          </w:p>
          <w:p w:rsidR="001D48B5" w:rsidRDefault="001D48B5" w:rsidP="00907D20">
            <w:pPr>
              <w:spacing w:line="360" w:lineRule="auto"/>
              <w:rPr>
                <w:sz w:val="18"/>
                <w:szCs w:val="18"/>
                <w:lang w:eastAsia="ja-JP"/>
              </w:rPr>
            </w:pPr>
          </w:p>
          <w:p w:rsidR="001D48B5" w:rsidRDefault="001D48B5" w:rsidP="008B7F43">
            <w:pPr>
              <w:rPr>
                <w:sz w:val="18"/>
                <w:szCs w:val="18"/>
                <w:lang w:eastAsia="ja-JP"/>
              </w:rPr>
            </w:pPr>
            <w:r w:rsidRPr="001D48B5">
              <w:rPr>
                <w:rFonts w:hint="eastAsia"/>
                <w:sz w:val="18"/>
                <w:szCs w:val="18"/>
                <w:highlight w:val="yellow"/>
                <w:u w:val="single"/>
                <w:lang w:eastAsia="ja-JP"/>
              </w:rPr>
              <w:t xml:space="preserve">Examples provided by Netherlands and </w:t>
            </w:r>
            <w:r w:rsidR="007323A2">
              <w:rPr>
                <w:rFonts w:hint="eastAsia"/>
                <w:sz w:val="18"/>
                <w:szCs w:val="18"/>
                <w:highlight w:val="yellow"/>
                <w:u w:val="single"/>
                <w:lang w:eastAsia="ja-JP"/>
              </w:rPr>
              <w:t>New Zealand</w:t>
            </w:r>
          </w:p>
          <w:p w:rsidR="001D48B5" w:rsidRPr="005D7C20" w:rsidRDefault="001D48B5" w:rsidP="008B7F43">
            <w:pPr>
              <w:rPr>
                <w:sz w:val="18"/>
                <w:szCs w:val="18"/>
                <w:lang w:eastAsia="ja-JP"/>
              </w:rPr>
            </w:pPr>
          </w:p>
        </w:tc>
      </w:tr>
    </w:tbl>
    <w:p w:rsidR="00A43E45" w:rsidRDefault="00A43E45" w:rsidP="00A43E45">
      <w:pPr>
        <w:rPr>
          <w:rFonts w:cs="Arial"/>
          <w:snapToGrid w:val="0"/>
          <w:lang w:eastAsia="ja-JP"/>
        </w:rPr>
      </w:pPr>
    </w:p>
    <w:p w:rsidR="000D59C2" w:rsidRPr="00407B23" w:rsidRDefault="000D59C2" w:rsidP="000D59C2">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0D59C2" w:rsidRPr="00407B23" w:rsidRDefault="000D59C2" w:rsidP="000D59C2"/>
    <w:p w:rsidR="000D59C2" w:rsidRPr="00407B23" w:rsidRDefault="000D59C2" w:rsidP="000D59C2">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0D59C2" w:rsidRPr="00407B23" w:rsidRDefault="000D59C2" w:rsidP="000D59C2"/>
    <w:p w:rsidR="000D59C2" w:rsidRPr="00407B23" w:rsidRDefault="000D59C2" w:rsidP="000D59C2">
      <w:pPr>
        <w:ind w:firstLine="567"/>
      </w:pPr>
      <w:r w:rsidRPr="00407B23">
        <w:t xml:space="preserve">(a)  </w:t>
      </w:r>
      <w:r w:rsidRPr="00407B23">
        <w:tab/>
        <w:t>it does not conform to the provisions in paragraphs (2) and (4); or</w:t>
      </w:r>
    </w:p>
    <w:p w:rsidR="000D59C2" w:rsidRPr="00407B23" w:rsidRDefault="000D59C2" w:rsidP="000D59C2">
      <w:pPr>
        <w:ind w:firstLine="567"/>
      </w:pPr>
    </w:p>
    <w:p w:rsidR="000D59C2" w:rsidRPr="00407B23" w:rsidRDefault="000D59C2" w:rsidP="000D59C2">
      <w:pPr>
        <w:ind w:firstLine="567"/>
      </w:pPr>
      <w:r w:rsidRPr="00407B23">
        <w:t xml:space="preserve">(b)  </w:t>
      </w:r>
      <w:r w:rsidRPr="00407B23">
        <w:tab/>
        <w:t>it is contrary to public policy.</w:t>
      </w:r>
    </w:p>
    <w:p w:rsidR="000D59C2" w:rsidRPr="00407B23" w:rsidRDefault="000D59C2" w:rsidP="000D59C2">
      <w:pPr>
        <w:ind w:firstLine="567"/>
      </w:pPr>
    </w:p>
    <w:p w:rsidR="000D59C2" w:rsidRPr="00407B23" w:rsidRDefault="000D59C2" w:rsidP="000D59C2">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42091F" w:rsidRDefault="0042091F" w:rsidP="000D59C2"/>
    <w:p w:rsidR="000D59C2" w:rsidRPr="00407B23" w:rsidRDefault="000D59C2" w:rsidP="000D59C2">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UPOV Plant Variety Database.  Members of the Union may also choose to provide customized variety denomination checking services.  Members of the Union are encouraged to use the UPOV website to provide information on, and links to, such resources. </w:t>
      </w:r>
    </w:p>
    <w:p w:rsidR="006A464D" w:rsidRDefault="006A464D" w:rsidP="006A464D"/>
    <w:tbl>
      <w:tblPr>
        <w:tblStyle w:val="TableGrid"/>
        <w:tblW w:w="0" w:type="auto"/>
        <w:tblLook w:val="04A0" w:firstRow="1" w:lastRow="0" w:firstColumn="1" w:lastColumn="0" w:noHBand="0" w:noVBand="1"/>
      </w:tblPr>
      <w:tblGrid>
        <w:gridCol w:w="9855"/>
      </w:tblGrid>
      <w:tr w:rsidR="006A464D" w:rsidTr="00C21114">
        <w:trPr>
          <w:cantSplit/>
        </w:trPr>
        <w:tc>
          <w:tcPr>
            <w:tcW w:w="9855" w:type="dxa"/>
            <w:shd w:val="clear" w:color="auto" w:fill="D9D9D9" w:themeFill="background1" w:themeFillShade="D9"/>
          </w:tcPr>
          <w:p w:rsidR="006A464D" w:rsidRPr="0047703B" w:rsidRDefault="006A464D" w:rsidP="003838ED">
            <w:pPr>
              <w:rPr>
                <w:sz w:val="18"/>
                <w:szCs w:val="18"/>
              </w:rPr>
            </w:pPr>
          </w:p>
          <w:p w:rsidR="006A464D" w:rsidRPr="0047703B" w:rsidRDefault="006A464D" w:rsidP="003838ED">
            <w:pPr>
              <w:rPr>
                <w:sz w:val="18"/>
                <w:szCs w:val="18"/>
                <w:lang w:eastAsia="ja-JP"/>
              </w:rPr>
            </w:pPr>
            <w:r w:rsidRPr="0047703B">
              <w:rPr>
                <w:sz w:val="18"/>
                <w:szCs w:val="18"/>
                <w:u w:val="single"/>
              </w:rPr>
              <w:t>Proposal by New Zealand</w:t>
            </w:r>
            <w:r w:rsidR="007323A2" w:rsidRPr="007323A2">
              <w:rPr>
                <w:rFonts w:hint="eastAsia"/>
                <w:sz w:val="18"/>
                <w:szCs w:val="18"/>
                <w:vertAlign w:val="superscript"/>
                <w:lang w:eastAsia="ja-JP"/>
              </w:rPr>
              <w:t>c</w:t>
            </w:r>
          </w:p>
          <w:p w:rsidR="006A464D" w:rsidRPr="0047703B" w:rsidRDefault="006A464D" w:rsidP="003838ED">
            <w:pPr>
              <w:rPr>
                <w:sz w:val="18"/>
                <w:szCs w:val="18"/>
              </w:rPr>
            </w:pPr>
          </w:p>
          <w:p w:rsidR="006A464D" w:rsidRDefault="0039256F" w:rsidP="003838ED">
            <w:pPr>
              <w:rPr>
                <w:sz w:val="18"/>
                <w:szCs w:val="18"/>
              </w:rPr>
            </w:pPr>
            <w:r>
              <w:rPr>
                <w:sz w:val="18"/>
                <w:szCs w:val="18"/>
              </w:rPr>
              <w:t>Paragraph 5</w:t>
            </w:r>
          </w:p>
          <w:p w:rsidR="006A464D" w:rsidRDefault="006A464D" w:rsidP="003838ED">
            <w:pPr>
              <w:rPr>
                <w:sz w:val="18"/>
                <w:szCs w:val="18"/>
              </w:rPr>
            </w:pPr>
          </w:p>
          <w:p w:rsidR="006A464D" w:rsidRDefault="006A464D" w:rsidP="003838ED">
            <w:pPr>
              <w:rPr>
                <w:sz w:val="18"/>
                <w:szCs w:val="18"/>
              </w:rPr>
            </w:pPr>
            <w:r>
              <w:rPr>
                <w:sz w:val="18"/>
                <w:szCs w:val="18"/>
              </w:rPr>
              <w:t xml:space="preserve">The principle of one denomination per variety worldwide should not be diminished however it could be helpful to provide guidance for an approved approach where two denominations exist. </w:t>
            </w:r>
            <w:r w:rsidR="005B586D">
              <w:rPr>
                <w:sz w:val="18"/>
                <w:szCs w:val="18"/>
              </w:rPr>
              <w:t xml:space="preserve"> </w:t>
            </w:r>
            <w:r>
              <w:rPr>
                <w:sz w:val="18"/>
                <w:szCs w:val="18"/>
              </w:rPr>
              <w:t xml:space="preserve">Such guidance goes against Article 20(5), the principle of a single denomination, but unfortunately this does occur all too frequently. </w:t>
            </w:r>
            <w:r w:rsidR="005B586D">
              <w:rPr>
                <w:sz w:val="18"/>
                <w:szCs w:val="18"/>
              </w:rPr>
              <w:t xml:space="preserve"> </w:t>
            </w:r>
            <w:r>
              <w:rPr>
                <w:sz w:val="18"/>
                <w:szCs w:val="18"/>
              </w:rPr>
              <w:t>Should an authority following a number of other denomination proposals or approvals for earlier foreign applications, accept the first approved denomination or accept the most common denomination?</w:t>
            </w:r>
          </w:p>
          <w:p w:rsidR="006A464D" w:rsidRPr="0047703B" w:rsidRDefault="006A464D" w:rsidP="006A464D">
            <w:pPr>
              <w:jc w:val="left"/>
              <w:rPr>
                <w:sz w:val="18"/>
                <w:szCs w:val="18"/>
              </w:rPr>
            </w:pPr>
          </w:p>
        </w:tc>
      </w:tr>
    </w:tbl>
    <w:p w:rsidR="006A464D" w:rsidRPr="00407B23" w:rsidRDefault="006A464D" w:rsidP="000D59C2">
      <w:pPr>
        <w:rPr>
          <w:b/>
        </w:rPr>
      </w:pPr>
    </w:p>
    <w:p w:rsidR="000D59C2" w:rsidRPr="00407B23" w:rsidRDefault="000D59C2" w:rsidP="00494FFB"/>
    <w:p w:rsidR="0042091F" w:rsidRDefault="0042091F">
      <w:pPr>
        <w:jc w:val="left"/>
        <w:rPr>
          <w:b/>
        </w:rPr>
      </w:pPr>
    </w:p>
    <w:p w:rsidR="00494FFB" w:rsidRDefault="00494FFB">
      <w:pPr>
        <w:jc w:val="left"/>
        <w:rPr>
          <w:b/>
        </w:rPr>
      </w:pPr>
      <w:r>
        <w:rPr>
          <w:b/>
        </w:rPr>
        <w:br w:type="page"/>
      </w:r>
    </w:p>
    <w:p w:rsidR="000D59C2" w:rsidRPr="00407B23" w:rsidRDefault="000D59C2" w:rsidP="000D59C2">
      <w:pPr>
        <w:jc w:val="center"/>
        <w:rPr>
          <w:b/>
        </w:rPr>
      </w:pPr>
      <w:r w:rsidRPr="00407B23">
        <w:rPr>
          <w:b/>
        </w:rPr>
        <w:t>Paragraph 6</w:t>
      </w:r>
    </w:p>
    <w:p w:rsidR="000D59C2" w:rsidRPr="00407B23" w:rsidRDefault="000D59C2" w:rsidP="000D59C2"/>
    <w:p w:rsidR="000D59C2" w:rsidRPr="00407B23" w:rsidRDefault="000D59C2" w:rsidP="000D59C2">
      <w:pPr>
        <w:rPr>
          <w:b/>
        </w:rPr>
      </w:pPr>
      <w:r w:rsidRPr="00407B23">
        <w:tab/>
      </w:r>
      <w:r w:rsidRPr="00407B23">
        <w:rPr>
          <w:b/>
        </w:rPr>
        <w:t>[</w:t>
      </w:r>
      <w:r w:rsidRPr="00407B23">
        <w:rPr>
          <w:b/>
          <w:i/>
        </w:rPr>
        <w:t>Information among the authorities of members of the Union</w:t>
      </w:r>
      <w:r w:rsidRPr="00407B23">
        <w:rPr>
          <w:b/>
        </w:rPr>
        <w:t>]  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0D59C2" w:rsidRPr="00407B23" w:rsidRDefault="000D59C2" w:rsidP="000D59C2"/>
    <w:p w:rsidR="000D59C2" w:rsidRPr="00407B23" w:rsidRDefault="000D59C2" w:rsidP="000D59C2">
      <w:pPr>
        <w:rPr>
          <w:i/>
        </w:rPr>
      </w:pPr>
      <w:r w:rsidRPr="00407B23">
        <w:rPr>
          <w:i/>
        </w:rPr>
        <w:t>Explanatory Notes – Paragraph (6)</w:t>
      </w:r>
    </w:p>
    <w:p w:rsidR="000D59C2" w:rsidRPr="00407B23" w:rsidRDefault="000D59C2" w:rsidP="000D59C2"/>
    <w:p w:rsidR="000D59C2" w:rsidRPr="00407B23" w:rsidRDefault="000D59C2" w:rsidP="000D59C2">
      <w:r w:rsidRPr="00407B23">
        <w:t>6.1</w:t>
      </w:r>
      <w:r w:rsidRPr="00407B23">
        <w:tab/>
        <w:t xml:space="preserve">Provisions of paragraph (6) indicate the importance of cooperation and exchange of information among authorities.  </w:t>
      </w:r>
    </w:p>
    <w:p w:rsidR="000D59C2" w:rsidRPr="00407B23" w:rsidRDefault="000D59C2" w:rsidP="000D59C2"/>
    <w:p w:rsidR="000D59C2" w:rsidRPr="00407B23" w:rsidRDefault="000D59C2" w:rsidP="000D59C2">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UPOV Plant Variety Database is an important mechanism by which to maximize the availability of information for members of the Union concerning variety denominations in a practical form.  </w:t>
      </w:r>
    </w:p>
    <w:p w:rsidR="000D59C2" w:rsidRPr="00407B23" w:rsidRDefault="000D59C2" w:rsidP="000D59C2"/>
    <w:p w:rsidR="000D59C2" w:rsidRPr="00407B23" w:rsidRDefault="000D59C2" w:rsidP="000D59C2">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0D59C2" w:rsidRPr="00407B23" w:rsidRDefault="000D59C2" w:rsidP="000D59C2"/>
    <w:p w:rsidR="000D59C2" w:rsidRPr="00407B23" w:rsidRDefault="000D59C2" w:rsidP="000D59C2">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0D59C2" w:rsidRPr="00407B23" w:rsidRDefault="000D59C2" w:rsidP="000D59C2"/>
    <w:p w:rsidR="000D59C2" w:rsidRPr="00407B23" w:rsidRDefault="000D59C2" w:rsidP="000D59C2">
      <w:r w:rsidRPr="00407B23">
        <w:t>6.5</w:t>
      </w:r>
      <w:r w:rsidRPr="00407B23">
        <w:tab/>
        <w:t xml:space="preserve">It is recommended that a communication of the final decision be addressed to any authority which has transmitted an observation. </w:t>
      </w:r>
    </w:p>
    <w:p w:rsidR="000D59C2" w:rsidRPr="00407B23" w:rsidRDefault="000D59C2" w:rsidP="000D59C2"/>
    <w:p w:rsidR="000D59C2" w:rsidRPr="00407B23" w:rsidRDefault="000D59C2" w:rsidP="000D59C2">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0D59C2" w:rsidRPr="00407B23" w:rsidRDefault="000D59C2" w:rsidP="000D59C2"/>
    <w:p w:rsidR="000D59C2" w:rsidRPr="00407B23" w:rsidRDefault="000D59C2" w:rsidP="000D59C2">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645FB4" w:rsidRDefault="00645FB4" w:rsidP="00645FB4"/>
    <w:tbl>
      <w:tblPr>
        <w:tblStyle w:val="TableGrid"/>
        <w:tblW w:w="0" w:type="auto"/>
        <w:tblLook w:val="04A0" w:firstRow="1" w:lastRow="0" w:firstColumn="1" w:lastColumn="0" w:noHBand="0" w:noVBand="1"/>
      </w:tblPr>
      <w:tblGrid>
        <w:gridCol w:w="9855"/>
      </w:tblGrid>
      <w:tr w:rsidR="00645FB4" w:rsidTr="00C21114">
        <w:trPr>
          <w:cantSplit/>
        </w:trPr>
        <w:tc>
          <w:tcPr>
            <w:tcW w:w="9855" w:type="dxa"/>
            <w:shd w:val="clear" w:color="auto" w:fill="D9D9D9" w:themeFill="background1" w:themeFillShade="D9"/>
          </w:tcPr>
          <w:p w:rsidR="00645FB4" w:rsidRPr="0047703B" w:rsidRDefault="00645FB4" w:rsidP="003838ED">
            <w:pPr>
              <w:rPr>
                <w:sz w:val="18"/>
                <w:szCs w:val="18"/>
              </w:rPr>
            </w:pPr>
          </w:p>
          <w:p w:rsidR="00645FB4" w:rsidRPr="0047703B" w:rsidRDefault="00645FB4" w:rsidP="003838ED">
            <w:pPr>
              <w:rPr>
                <w:sz w:val="18"/>
                <w:szCs w:val="18"/>
              </w:rPr>
            </w:pPr>
            <w:r w:rsidRPr="0047703B">
              <w:rPr>
                <w:sz w:val="18"/>
                <w:szCs w:val="18"/>
                <w:u w:val="single"/>
              </w:rPr>
              <w:t>Proposal by New Zealand</w:t>
            </w:r>
            <w:r w:rsidR="007323A2" w:rsidRPr="007323A2">
              <w:rPr>
                <w:rFonts w:hint="eastAsia"/>
                <w:sz w:val="18"/>
                <w:szCs w:val="18"/>
                <w:vertAlign w:val="superscript"/>
                <w:lang w:eastAsia="ja-JP"/>
              </w:rPr>
              <w:t>c</w:t>
            </w:r>
          </w:p>
          <w:p w:rsidR="00645FB4" w:rsidRPr="0047703B" w:rsidRDefault="00645FB4" w:rsidP="003838ED">
            <w:pPr>
              <w:rPr>
                <w:sz w:val="18"/>
                <w:szCs w:val="18"/>
              </w:rPr>
            </w:pPr>
          </w:p>
          <w:p w:rsidR="00645FB4" w:rsidRDefault="00645FB4" w:rsidP="003838ED">
            <w:pPr>
              <w:rPr>
                <w:sz w:val="18"/>
                <w:szCs w:val="18"/>
                <w:lang w:eastAsia="ja-JP"/>
              </w:rPr>
            </w:pPr>
            <w:r>
              <w:rPr>
                <w:sz w:val="18"/>
                <w:szCs w:val="18"/>
              </w:rPr>
              <w:t>Paragraph 6</w:t>
            </w:r>
          </w:p>
          <w:p w:rsidR="00221105" w:rsidRDefault="00221105" w:rsidP="003838ED">
            <w:pPr>
              <w:rPr>
                <w:sz w:val="18"/>
                <w:szCs w:val="18"/>
                <w:lang w:eastAsia="ja-JP"/>
              </w:rPr>
            </w:pPr>
          </w:p>
          <w:p w:rsidR="00645FB4" w:rsidRDefault="00645FB4" w:rsidP="003838ED">
            <w:pPr>
              <w:rPr>
                <w:sz w:val="18"/>
                <w:szCs w:val="18"/>
              </w:rPr>
            </w:pPr>
            <w:r>
              <w:rPr>
                <w:sz w:val="18"/>
                <w:szCs w:val="18"/>
              </w:rPr>
              <w:t xml:space="preserve">The current explanatory notes are correct in a broad sense with cooperation and exchange of information still of importance, but do not reflect current operational practice for many authorities. </w:t>
            </w:r>
            <w:r w:rsidR="0039256F">
              <w:rPr>
                <w:sz w:val="18"/>
                <w:szCs w:val="18"/>
              </w:rPr>
              <w:t xml:space="preserve"> </w:t>
            </w:r>
            <w:r>
              <w:rPr>
                <w:sz w:val="18"/>
                <w:szCs w:val="18"/>
              </w:rPr>
              <w:t xml:space="preserve">PLUTO and in the future similarity search tools are now the key resources and not structured observation or notification between authorities. </w:t>
            </w:r>
            <w:r w:rsidR="0039256F">
              <w:rPr>
                <w:sz w:val="18"/>
                <w:szCs w:val="18"/>
              </w:rPr>
              <w:t xml:space="preserve"> </w:t>
            </w:r>
            <w:r>
              <w:rPr>
                <w:sz w:val="18"/>
                <w:szCs w:val="18"/>
              </w:rPr>
              <w:t>Journals and Gazette remain important for legal publication requirements however their role in informing about denominations between authorities has decreased.</w:t>
            </w:r>
          </w:p>
          <w:p w:rsidR="00645FB4" w:rsidRPr="0047703B" w:rsidRDefault="00645FB4" w:rsidP="00645FB4">
            <w:pPr>
              <w:jc w:val="left"/>
              <w:rPr>
                <w:sz w:val="18"/>
                <w:szCs w:val="18"/>
              </w:rPr>
            </w:pPr>
          </w:p>
        </w:tc>
      </w:tr>
    </w:tbl>
    <w:p w:rsidR="000D59C2" w:rsidRDefault="000D59C2" w:rsidP="000D59C2"/>
    <w:tbl>
      <w:tblPr>
        <w:tblStyle w:val="TableGrid"/>
        <w:tblW w:w="0" w:type="auto"/>
        <w:tblLook w:val="04A0" w:firstRow="1" w:lastRow="0" w:firstColumn="1" w:lastColumn="0" w:noHBand="0" w:noVBand="1"/>
      </w:tblPr>
      <w:tblGrid>
        <w:gridCol w:w="9855"/>
      </w:tblGrid>
      <w:tr w:rsidR="00221105" w:rsidRPr="0047703B" w:rsidTr="00221105">
        <w:trPr>
          <w:cantSplit/>
        </w:trPr>
        <w:tc>
          <w:tcPr>
            <w:tcW w:w="9855" w:type="dxa"/>
            <w:shd w:val="clear" w:color="auto" w:fill="D9D9D9" w:themeFill="background1" w:themeFillShade="D9"/>
          </w:tcPr>
          <w:p w:rsidR="00221105" w:rsidRPr="0047703B" w:rsidRDefault="00221105" w:rsidP="00221105">
            <w:pPr>
              <w:rPr>
                <w:sz w:val="18"/>
                <w:szCs w:val="18"/>
              </w:rPr>
            </w:pPr>
          </w:p>
          <w:p w:rsidR="00221105" w:rsidRPr="0047703B" w:rsidRDefault="00221105" w:rsidP="00221105">
            <w:pPr>
              <w:rPr>
                <w:sz w:val="18"/>
                <w:szCs w:val="18"/>
              </w:rPr>
            </w:pPr>
            <w:r w:rsidRPr="0025153F">
              <w:rPr>
                <w:sz w:val="18"/>
                <w:szCs w:val="18"/>
                <w:highlight w:val="yellow"/>
                <w:u w:val="single"/>
              </w:rPr>
              <w:t>Agreed by the WG-DEN</w:t>
            </w:r>
            <w:r w:rsidRPr="00907D20">
              <w:rPr>
                <w:rStyle w:val="EndnoteReference"/>
                <w:sz w:val="18"/>
                <w:szCs w:val="18"/>
                <w:highlight w:val="yellow"/>
              </w:rPr>
              <w:endnoteReference w:id="20"/>
            </w:r>
          </w:p>
          <w:p w:rsidR="00221105" w:rsidRPr="0047703B" w:rsidRDefault="00221105" w:rsidP="00221105">
            <w:pPr>
              <w:rPr>
                <w:sz w:val="18"/>
                <w:szCs w:val="18"/>
              </w:rPr>
            </w:pPr>
          </w:p>
          <w:p w:rsidR="00221105" w:rsidRDefault="00221105" w:rsidP="00221105">
            <w:pPr>
              <w:jc w:val="left"/>
              <w:rPr>
                <w:sz w:val="18"/>
                <w:szCs w:val="18"/>
                <w:lang w:eastAsia="ja-JP"/>
              </w:rPr>
            </w:pPr>
            <w:r w:rsidRPr="00221105">
              <w:rPr>
                <w:sz w:val="18"/>
                <w:szCs w:val="18"/>
                <w:highlight w:val="yellow"/>
              </w:rPr>
              <w:t>The document UPOV/INF/12 should be amended to encourage members of the Union to contribute data to the PLUTO database in accordance with the guidance provided in document UPOV/INF/15 “Guidance for Members of UPOV”.</w:t>
            </w:r>
          </w:p>
          <w:p w:rsidR="00221105" w:rsidRDefault="00221105" w:rsidP="00221105">
            <w:pPr>
              <w:jc w:val="left"/>
              <w:rPr>
                <w:sz w:val="18"/>
                <w:szCs w:val="18"/>
                <w:lang w:eastAsia="ja-JP"/>
              </w:rPr>
            </w:pPr>
          </w:p>
          <w:p w:rsidR="00221105" w:rsidRDefault="00221105" w:rsidP="00221105">
            <w:pPr>
              <w:jc w:val="left"/>
              <w:rPr>
                <w:sz w:val="18"/>
                <w:szCs w:val="18"/>
                <w:lang w:eastAsia="ja-JP"/>
              </w:rPr>
            </w:pPr>
          </w:p>
          <w:p w:rsidR="00221105" w:rsidRPr="00C50078" w:rsidRDefault="00221105" w:rsidP="00221105">
            <w:pPr>
              <w:jc w:val="left"/>
              <w:rPr>
                <w:sz w:val="18"/>
                <w:szCs w:val="18"/>
                <w:lang w:eastAsia="ja-JP"/>
              </w:rPr>
            </w:pPr>
            <w:r w:rsidRPr="00C50078">
              <w:rPr>
                <w:rFonts w:hint="eastAsia"/>
                <w:sz w:val="18"/>
                <w:szCs w:val="18"/>
                <w:lang w:eastAsia="ja-JP"/>
              </w:rPr>
              <w:t xml:space="preserve">Quote from document UPOV/INF/15 </w:t>
            </w:r>
            <w:r w:rsidRPr="00C50078">
              <w:rPr>
                <w:sz w:val="18"/>
                <w:szCs w:val="18"/>
              </w:rPr>
              <w:t>“Guidance for Members of UPOV”</w:t>
            </w:r>
          </w:p>
          <w:p w:rsidR="00221105" w:rsidRPr="00C50078" w:rsidRDefault="00221105" w:rsidP="00221105">
            <w:pPr>
              <w:ind w:left="450"/>
              <w:jc w:val="left"/>
              <w:rPr>
                <w:sz w:val="18"/>
                <w:szCs w:val="18"/>
                <w:lang w:eastAsia="ja-JP"/>
              </w:rPr>
            </w:pPr>
          </w:p>
          <w:p w:rsidR="00221105" w:rsidRPr="00C50078" w:rsidRDefault="00221105" w:rsidP="00221105">
            <w:pPr>
              <w:ind w:left="450"/>
              <w:jc w:val="left"/>
              <w:rPr>
                <w:i/>
                <w:sz w:val="18"/>
                <w:szCs w:val="18"/>
                <w:lang w:eastAsia="ja-JP"/>
              </w:rPr>
            </w:pPr>
            <w:r w:rsidRPr="00C50078">
              <w:rPr>
                <w:i/>
                <w:sz w:val="18"/>
                <w:szCs w:val="18"/>
                <w:lang w:eastAsia="ja-JP"/>
              </w:rPr>
              <w:t>“Variety Denominations (PLUTO database)</w:t>
            </w:r>
          </w:p>
          <w:p w:rsidR="00221105" w:rsidRPr="00C50078" w:rsidRDefault="00221105" w:rsidP="00221105">
            <w:pPr>
              <w:ind w:left="450"/>
              <w:jc w:val="left"/>
              <w:rPr>
                <w:i/>
                <w:sz w:val="18"/>
                <w:szCs w:val="18"/>
                <w:lang w:eastAsia="ja-JP"/>
              </w:rPr>
            </w:pPr>
          </w:p>
          <w:p w:rsidR="00221105" w:rsidRPr="00C50078" w:rsidRDefault="00221105" w:rsidP="00C50078">
            <w:pPr>
              <w:ind w:left="450"/>
              <w:rPr>
                <w:sz w:val="18"/>
                <w:szCs w:val="18"/>
                <w:lang w:eastAsia="ja-JP"/>
              </w:rPr>
            </w:pPr>
            <w:r w:rsidRPr="00C50078">
              <w:rPr>
                <w:sz w:val="18"/>
                <w:szCs w:val="18"/>
                <w:lang w:eastAsia="ja-JP"/>
              </w:rPr>
              <w:t>24. The contribution of data by members of the Union to the PLUTO Plant Variety Database provides support in particular for the examination of variety denominations.</w:t>
            </w:r>
          </w:p>
          <w:p w:rsidR="00221105" w:rsidRPr="00C50078" w:rsidRDefault="00221105" w:rsidP="00221105">
            <w:pPr>
              <w:ind w:left="450"/>
              <w:jc w:val="left"/>
              <w:rPr>
                <w:sz w:val="18"/>
                <w:szCs w:val="18"/>
                <w:lang w:eastAsia="ja-JP"/>
              </w:rPr>
            </w:pPr>
          </w:p>
          <w:p w:rsidR="00221105" w:rsidRDefault="00221105" w:rsidP="00C50078">
            <w:pPr>
              <w:ind w:left="450"/>
              <w:rPr>
                <w:sz w:val="18"/>
                <w:szCs w:val="18"/>
                <w:lang w:eastAsia="ja-JP"/>
              </w:rPr>
            </w:pPr>
            <w:r w:rsidRPr="00C50078">
              <w:rPr>
                <w:sz w:val="18"/>
                <w:szCs w:val="18"/>
                <w:lang w:eastAsia="ja-JP"/>
              </w:rPr>
              <w:t>25. 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221105" w:rsidRPr="0047703B" w:rsidRDefault="00221105" w:rsidP="00221105">
            <w:pPr>
              <w:jc w:val="left"/>
              <w:rPr>
                <w:sz w:val="18"/>
                <w:szCs w:val="18"/>
                <w:lang w:eastAsia="ja-JP"/>
              </w:rPr>
            </w:pPr>
          </w:p>
        </w:tc>
      </w:tr>
    </w:tbl>
    <w:p w:rsidR="00645FB4" w:rsidRPr="00407B23" w:rsidRDefault="00645FB4" w:rsidP="000D59C2"/>
    <w:p w:rsidR="0042091F" w:rsidRDefault="0042091F">
      <w:pPr>
        <w:jc w:val="left"/>
        <w:rPr>
          <w:b/>
        </w:rPr>
      </w:pPr>
    </w:p>
    <w:p w:rsidR="00494FFB" w:rsidRDefault="00494FFB">
      <w:pPr>
        <w:jc w:val="left"/>
        <w:rPr>
          <w:b/>
        </w:rPr>
      </w:pPr>
      <w:r>
        <w:rPr>
          <w:b/>
        </w:rPr>
        <w:br w:type="page"/>
      </w:r>
    </w:p>
    <w:p w:rsidR="000D59C2" w:rsidRPr="00294914" w:rsidRDefault="000D59C2" w:rsidP="00494FFB">
      <w:pPr>
        <w:keepNext/>
        <w:jc w:val="center"/>
        <w:rPr>
          <w:b/>
        </w:rPr>
      </w:pPr>
      <w:r w:rsidRPr="00294914">
        <w:rPr>
          <w:b/>
        </w:rPr>
        <w:t>Paragraph 7</w:t>
      </w:r>
    </w:p>
    <w:p w:rsidR="000D59C2" w:rsidRPr="00294914" w:rsidRDefault="000D59C2" w:rsidP="00494FFB">
      <w:pPr>
        <w:keepNext/>
        <w:rPr>
          <w:b/>
        </w:rPr>
      </w:pPr>
    </w:p>
    <w:p w:rsidR="000D59C2" w:rsidRPr="00294914" w:rsidRDefault="000D59C2" w:rsidP="000D59C2">
      <w:pPr>
        <w:rPr>
          <w:b/>
        </w:rPr>
      </w:pPr>
      <w:r w:rsidRPr="00294914">
        <w:rPr>
          <w:b/>
        </w:rPr>
        <w:tab/>
        <w:t>[</w:t>
      </w:r>
      <w:r w:rsidRPr="00294914">
        <w:rPr>
          <w:b/>
          <w:i/>
        </w:rPr>
        <w:t>Obligation to use the denomination</w:t>
      </w:r>
      <w:r w:rsidRPr="00294914">
        <w:rPr>
          <w:b/>
        </w:rPr>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0D59C2" w:rsidRPr="00294914" w:rsidRDefault="000D59C2" w:rsidP="000D59C2"/>
    <w:p w:rsidR="000D59C2" w:rsidRPr="00294914" w:rsidRDefault="000D59C2" w:rsidP="000D59C2">
      <w:pPr>
        <w:rPr>
          <w:i/>
        </w:rPr>
      </w:pPr>
      <w:r w:rsidRPr="00294914">
        <w:rPr>
          <w:i/>
        </w:rPr>
        <w:t>Explanatory Note – Paragraph (7)</w:t>
      </w:r>
    </w:p>
    <w:p w:rsidR="000D59C2" w:rsidRPr="00294914" w:rsidRDefault="000D59C2" w:rsidP="000D59C2"/>
    <w:p w:rsidR="000D59C2" w:rsidRPr="00795648" w:rsidRDefault="000D59C2" w:rsidP="000D59C2">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0D59C2" w:rsidRPr="00795648" w:rsidRDefault="000D59C2" w:rsidP="000D59C2"/>
    <w:p w:rsidR="000D59C2" w:rsidRPr="00294914" w:rsidRDefault="000D59C2" w:rsidP="000D59C2">
      <w:r w:rsidRPr="00795648">
        <w:t>7.2</w:t>
      </w:r>
      <w:r w:rsidRPr="00795648">
        <w:tab/>
        <w:t>The following items provide guidance in relation to changes of registered variety denominations:</w:t>
      </w:r>
    </w:p>
    <w:p w:rsidR="000D59C2" w:rsidRPr="00294914" w:rsidRDefault="000D59C2" w:rsidP="000D59C2"/>
    <w:p w:rsidR="000D59C2" w:rsidRPr="00294914" w:rsidRDefault="000D59C2" w:rsidP="000D59C2">
      <w:pPr>
        <w:ind w:firstLine="567"/>
      </w:pPr>
      <w:r w:rsidRPr="00294914">
        <w:t>(a)</w:t>
      </w:r>
      <w:r w:rsidRPr="00294914">
        <w:tab/>
        <w:t xml:space="preserve">The UPOV Convention requires a change of the registered denomination where the denomination of the variety is cancelled after the grant of the right.  The competent authority should cancel a variety denomination if: </w:t>
      </w:r>
    </w:p>
    <w:p w:rsidR="000D59C2" w:rsidRPr="00294914" w:rsidRDefault="000D59C2" w:rsidP="000D59C2">
      <w:pPr>
        <w:pStyle w:val="ListParagraph"/>
      </w:pPr>
    </w:p>
    <w:p w:rsidR="000D59C2" w:rsidRPr="00294914" w:rsidRDefault="000D59C2" w:rsidP="00494FFB">
      <w:pPr>
        <w:pStyle w:val="ListParagraph"/>
        <w:numPr>
          <w:ilvl w:val="0"/>
          <w:numId w:val="11"/>
        </w:numPr>
        <w:tabs>
          <w:tab w:val="left" w:pos="1418"/>
        </w:tabs>
        <w:ind w:left="0" w:firstLine="1134"/>
      </w:pPr>
      <w:r w:rsidRPr="00294914">
        <w:t xml:space="preserve">by reason of a prior right, the use of the denomination of a variety is forbidden to a person who, in accordance with the provisions of paragraph (7), is obliged to use it (see paragraph (4) “Prior rights of third persons”); </w:t>
      </w:r>
    </w:p>
    <w:p w:rsidR="000D59C2" w:rsidRPr="00294914" w:rsidRDefault="000D59C2" w:rsidP="00494FFB">
      <w:pPr>
        <w:tabs>
          <w:tab w:val="left" w:pos="1418"/>
        </w:tabs>
        <w:ind w:firstLine="1134"/>
      </w:pPr>
    </w:p>
    <w:p w:rsidR="000D59C2" w:rsidRPr="00294914" w:rsidRDefault="000D59C2" w:rsidP="00494FFB">
      <w:pPr>
        <w:pStyle w:val="ListParagraph"/>
        <w:numPr>
          <w:ilvl w:val="0"/>
          <w:numId w:val="11"/>
        </w:numPr>
        <w:tabs>
          <w:tab w:val="left" w:pos="1418"/>
        </w:tabs>
        <w:ind w:left="0" w:firstLine="1134"/>
      </w:pPr>
      <w:r w:rsidRPr="00294914">
        <w:t xml:space="preserve">the denomination is unsuitable because it is contrary to the provisions in paragraph (2) “Characteristics of the denomination”; </w:t>
      </w:r>
    </w:p>
    <w:p w:rsidR="000D59C2" w:rsidRPr="00294914" w:rsidRDefault="000D59C2" w:rsidP="000D59C2">
      <w:pPr>
        <w:pStyle w:val="ListParagraph"/>
        <w:ind w:left="1854"/>
      </w:pPr>
    </w:p>
    <w:p w:rsidR="000D59C2" w:rsidRPr="00294914" w:rsidRDefault="000D59C2" w:rsidP="000D59C2">
      <w:pPr>
        <w:ind w:firstLine="567"/>
      </w:pPr>
      <w:r w:rsidRPr="00294914">
        <w:t>(b)</w:t>
      </w:r>
      <w:r w:rsidRPr="00294914">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0D59C2" w:rsidRPr="00294914" w:rsidRDefault="000D59C2" w:rsidP="000D59C2"/>
    <w:p w:rsidR="000D59C2" w:rsidRPr="00294914" w:rsidRDefault="000D59C2" w:rsidP="000D59C2">
      <w:pPr>
        <w:ind w:firstLine="567"/>
      </w:pPr>
      <w:r w:rsidRPr="00294914">
        <w:t>(c)</w:t>
      </w:r>
      <w:r w:rsidRPr="00294914">
        <w:tab/>
        <w:t>In general, subject to (a) and (b) above, it would not be appropriate for the authority to change a registered denomination following a request by the breeder.</w:t>
      </w:r>
      <w:r w:rsidR="004C3A6E">
        <w:t xml:space="preserve"> </w:t>
      </w:r>
      <w:r w:rsidR="004C3A6E">
        <w:rPr>
          <w:rStyle w:val="EndnoteReference"/>
        </w:rPr>
        <w:endnoteReference w:id="21"/>
      </w:r>
    </w:p>
    <w:p w:rsidR="000D59C2" w:rsidRPr="00294914" w:rsidRDefault="000D59C2" w:rsidP="000D59C2"/>
    <w:p w:rsidR="000D59C2" w:rsidRPr="00407B23" w:rsidRDefault="000D59C2" w:rsidP="000D59C2"/>
    <w:p w:rsidR="00494FFB" w:rsidRDefault="00494FFB">
      <w:pPr>
        <w:jc w:val="left"/>
        <w:rPr>
          <w:b/>
        </w:rPr>
      </w:pPr>
      <w:r>
        <w:rPr>
          <w:b/>
        </w:rPr>
        <w:br w:type="page"/>
      </w:r>
    </w:p>
    <w:p w:rsidR="000D59C2" w:rsidRPr="00407B23" w:rsidRDefault="000D59C2" w:rsidP="000D59C2">
      <w:pPr>
        <w:jc w:val="center"/>
        <w:rPr>
          <w:b/>
        </w:rPr>
      </w:pPr>
      <w:r w:rsidRPr="00407B23">
        <w:rPr>
          <w:b/>
        </w:rPr>
        <w:t>Paragraph 8</w:t>
      </w:r>
    </w:p>
    <w:p w:rsidR="000D59C2" w:rsidRPr="00407B23" w:rsidRDefault="000D59C2" w:rsidP="000D59C2"/>
    <w:p w:rsidR="000D59C2" w:rsidRPr="00407B23" w:rsidRDefault="000D59C2" w:rsidP="000D59C2">
      <w:pPr>
        <w:rPr>
          <w:b/>
        </w:rPr>
      </w:pPr>
      <w:r w:rsidRPr="00407B23">
        <w:tab/>
      </w:r>
      <w:r w:rsidRPr="00407B23">
        <w:rPr>
          <w:b/>
        </w:rPr>
        <w:t>[</w:t>
      </w:r>
      <w:r w:rsidRPr="00407B23">
        <w:rPr>
          <w:b/>
          <w:i/>
        </w:rPr>
        <w:t>Indications used in association with denominations</w:t>
      </w:r>
      <w:r w:rsidRPr="00407B23">
        <w:rPr>
          <w:b/>
        </w:rPr>
        <w:t>]  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0D59C2" w:rsidRPr="00407B23" w:rsidRDefault="000D59C2" w:rsidP="000D59C2"/>
    <w:p w:rsidR="000D59C2" w:rsidRDefault="000D59C2" w:rsidP="000D59C2">
      <w:r w:rsidRPr="00407B23">
        <w:tab/>
        <w:t>This provision is self-explanatory.</w:t>
      </w:r>
    </w:p>
    <w:p w:rsidR="00370BF0" w:rsidRDefault="00370BF0" w:rsidP="00370BF0"/>
    <w:tbl>
      <w:tblPr>
        <w:tblStyle w:val="TableGrid"/>
        <w:tblW w:w="0" w:type="auto"/>
        <w:tblLook w:val="04A0" w:firstRow="1" w:lastRow="0" w:firstColumn="1" w:lastColumn="0" w:noHBand="0" w:noVBand="1"/>
      </w:tblPr>
      <w:tblGrid>
        <w:gridCol w:w="9855"/>
      </w:tblGrid>
      <w:tr w:rsidR="00370BF0" w:rsidTr="00C21114">
        <w:trPr>
          <w:cantSplit/>
        </w:trPr>
        <w:tc>
          <w:tcPr>
            <w:tcW w:w="9855" w:type="dxa"/>
            <w:shd w:val="clear" w:color="auto" w:fill="D9D9D9" w:themeFill="background1" w:themeFillShade="D9"/>
          </w:tcPr>
          <w:p w:rsidR="00370BF0" w:rsidRPr="0047703B" w:rsidRDefault="00370BF0" w:rsidP="003838ED">
            <w:pPr>
              <w:rPr>
                <w:sz w:val="18"/>
                <w:szCs w:val="18"/>
              </w:rPr>
            </w:pPr>
          </w:p>
          <w:p w:rsidR="00370BF0" w:rsidRPr="0047703B" w:rsidRDefault="00370BF0" w:rsidP="003838ED">
            <w:pPr>
              <w:rPr>
                <w:sz w:val="18"/>
                <w:szCs w:val="18"/>
              </w:rPr>
            </w:pPr>
            <w:r w:rsidRPr="0047703B">
              <w:rPr>
                <w:sz w:val="18"/>
                <w:szCs w:val="18"/>
                <w:u w:val="single"/>
              </w:rPr>
              <w:t>Proposal by New Zealand</w:t>
            </w:r>
            <w:r w:rsidR="007323A2" w:rsidRPr="007323A2">
              <w:rPr>
                <w:rFonts w:hint="eastAsia"/>
                <w:sz w:val="18"/>
                <w:szCs w:val="18"/>
                <w:vertAlign w:val="superscript"/>
                <w:lang w:eastAsia="ja-JP"/>
              </w:rPr>
              <w:t>c</w:t>
            </w:r>
          </w:p>
          <w:p w:rsidR="00370BF0" w:rsidRPr="0047703B" w:rsidRDefault="00370BF0" w:rsidP="003838ED">
            <w:pPr>
              <w:rPr>
                <w:sz w:val="18"/>
                <w:szCs w:val="18"/>
              </w:rPr>
            </w:pPr>
          </w:p>
          <w:p w:rsidR="00370BF0" w:rsidRDefault="00370BF0" w:rsidP="003838ED">
            <w:pPr>
              <w:rPr>
                <w:sz w:val="18"/>
                <w:szCs w:val="18"/>
              </w:rPr>
            </w:pPr>
            <w:r>
              <w:rPr>
                <w:sz w:val="18"/>
                <w:szCs w:val="18"/>
              </w:rPr>
              <w:t>Paragraph 8</w:t>
            </w:r>
          </w:p>
          <w:p w:rsidR="00370BF0" w:rsidRDefault="00370BF0" w:rsidP="003838ED">
            <w:pPr>
              <w:rPr>
                <w:sz w:val="18"/>
                <w:szCs w:val="18"/>
              </w:rPr>
            </w:pPr>
          </w:p>
          <w:p w:rsidR="00370BF0" w:rsidRDefault="00370BF0" w:rsidP="003838ED">
            <w:pPr>
              <w:rPr>
                <w:sz w:val="18"/>
                <w:szCs w:val="18"/>
              </w:rPr>
            </w:pPr>
            <w:r>
              <w:rPr>
                <w:sz w:val="18"/>
                <w:szCs w:val="18"/>
              </w:rPr>
              <w:t xml:space="preserve">Explanatory notes could be helpful because commercial synonyms often become the effective variety identifier. </w:t>
            </w:r>
            <w:r w:rsidR="0039256F">
              <w:rPr>
                <w:sz w:val="18"/>
                <w:szCs w:val="18"/>
              </w:rPr>
              <w:t xml:space="preserve"> </w:t>
            </w:r>
            <w:r>
              <w:rPr>
                <w:sz w:val="18"/>
                <w:szCs w:val="18"/>
              </w:rPr>
              <w:t>Commercial synonyms, other than registered trademarks, have no legal standing and are not covered by UPOV guidance, but there are many examples where protected varieties effectively have two names, but only one being the approved denomination.  UPOV guidance should resemble practical reality and further elaboration should be considered.</w:t>
            </w:r>
          </w:p>
          <w:p w:rsidR="00370BF0" w:rsidRPr="0047703B" w:rsidRDefault="00370BF0" w:rsidP="00B85382">
            <w:pPr>
              <w:jc w:val="left"/>
              <w:rPr>
                <w:sz w:val="18"/>
                <w:szCs w:val="18"/>
              </w:rPr>
            </w:pPr>
          </w:p>
        </w:tc>
      </w:tr>
    </w:tbl>
    <w:p w:rsidR="00370BF0" w:rsidRDefault="00370BF0" w:rsidP="000D59C2"/>
    <w:tbl>
      <w:tblPr>
        <w:tblStyle w:val="TableGrid"/>
        <w:tblW w:w="0" w:type="auto"/>
        <w:tblLook w:val="04A0" w:firstRow="1" w:lastRow="0" w:firstColumn="1" w:lastColumn="0" w:noHBand="0" w:noVBand="1"/>
      </w:tblPr>
      <w:tblGrid>
        <w:gridCol w:w="9855"/>
      </w:tblGrid>
      <w:tr w:rsidR="00494FFB" w:rsidRPr="00494FFB" w:rsidTr="008B7F43">
        <w:trPr>
          <w:cantSplit/>
        </w:trPr>
        <w:tc>
          <w:tcPr>
            <w:tcW w:w="9855" w:type="dxa"/>
            <w:shd w:val="clear" w:color="auto" w:fill="D9D9D9" w:themeFill="background1" w:themeFillShade="D9"/>
          </w:tcPr>
          <w:p w:rsidR="00C50078" w:rsidRDefault="00C50078" w:rsidP="007323A2">
            <w:pPr>
              <w:jc w:val="left"/>
              <w:rPr>
                <w:sz w:val="18"/>
                <w:szCs w:val="18"/>
                <w:highlight w:val="yellow"/>
                <w:u w:val="single"/>
                <w:lang w:eastAsia="ja-JP"/>
              </w:rPr>
            </w:pPr>
          </w:p>
          <w:p w:rsidR="00C50078" w:rsidRPr="0047703B" w:rsidRDefault="00C50078" w:rsidP="00C50078">
            <w:pPr>
              <w:rPr>
                <w:sz w:val="18"/>
                <w:szCs w:val="18"/>
              </w:rPr>
            </w:pPr>
            <w:r w:rsidRPr="0025153F">
              <w:rPr>
                <w:sz w:val="18"/>
                <w:szCs w:val="18"/>
                <w:highlight w:val="yellow"/>
                <w:u w:val="single"/>
              </w:rPr>
              <w:t>Agreed by the WG-DEN</w:t>
            </w:r>
            <w:r w:rsidRPr="00907D20">
              <w:rPr>
                <w:rStyle w:val="EndnoteReference"/>
                <w:sz w:val="18"/>
                <w:szCs w:val="18"/>
                <w:highlight w:val="yellow"/>
              </w:rPr>
              <w:endnoteReference w:id="22"/>
            </w:r>
          </w:p>
          <w:p w:rsidR="00C50078" w:rsidRDefault="00C50078" w:rsidP="007323A2">
            <w:pPr>
              <w:jc w:val="left"/>
              <w:rPr>
                <w:sz w:val="18"/>
                <w:szCs w:val="18"/>
                <w:highlight w:val="yellow"/>
                <w:u w:val="single"/>
                <w:lang w:eastAsia="ja-JP"/>
              </w:rPr>
            </w:pPr>
          </w:p>
          <w:p w:rsidR="00C50078" w:rsidRPr="00C50078" w:rsidRDefault="00C50078" w:rsidP="00C50078">
            <w:pPr>
              <w:rPr>
                <w:sz w:val="18"/>
                <w:szCs w:val="18"/>
                <w:highlight w:val="yellow"/>
                <w:lang w:eastAsia="ja-JP"/>
              </w:rPr>
            </w:pPr>
            <w:r>
              <w:rPr>
                <w:rFonts w:hint="eastAsia"/>
                <w:sz w:val="18"/>
                <w:szCs w:val="18"/>
                <w:highlight w:val="yellow"/>
                <w:lang w:eastAsia="ja-JP"/>
              </w:rPr>
              <w:t>T</w:t>
            </w:r>
            <w:r>
              <w:rPr>
                <w:sz w:val="18"/>
                <w:szCs w:val="18"/>
                <w:highlight w:val="yellow"/>
                <w:lang w:eastAsia="ja-JP"/>
              </w:rPr>
              <w:t>o</w:t>
            </w:r>
            <w:r w:rsidRPr="00C50078">
              <w:rPr>
                <w:sz w:val="18"/>
                <w:szCs w:val="18"/>
                <w:highlight w:val="yellow"/>
                <w:lang w:eastAsia="ja-JP"/>
              </w:rPr>
              <w:t xml:space="preserve"> investigate the reasons that breeders used names other than variety denominations with a view to considering whether a change to document UPOV/INF/12 could reduce such practices.</w:t>
            </w:r>
          </w:p>
          <w:p w:rsidR="00C50078" w:rsidRDefault="00C50078" w:rsidP="007323A2">
            <w:pPr>
              <w:jc w:val="left"/>
              <w:rPr>
                <w:sz w:val="18"/>
                <w:szCs w:val="18"/>
                <w:highlight w:val="yellow"/>
                <w:u w:val="single"/>
                <w:lang w:eastAsia="ja-JP"/>
              </w:rPr>
            </w:pPr>
          </w:p>
          <w:p w:rsidR="00C50078" w:rsidRDefault="00C50078" w:rsidP="007323A2">
            <w:pPr>
              <w:jc w:val="left"/>
              <w:rPr>
                <w:sz w:val="18"/>
                <w:szCs w:val="18"/>
                <w:highlight w:val="yellow"/>
                <w:u w:val="single"/>
                <w:lang w:eastAsia="ja-JP"/>
              </w:rPr>
            </w:pPr>
          </w:p>
          <w:p w:rsidR="007323A2" w:rsidRPr="00647151" w:rsidRDefault="007323A2" w:rsidP="007323A2">
            <w:pPr>
              <w:jc w:val="left"/>
              <w:rPr>
                <w:sz w:val="18"/>
                <w:szCs w:val="18"/>
                <w:highlight w:val="yellow"/>
                <w:u w:val="single"/>
                <w:lang w:eastAsia="ja-JP"/>
              </w:rPr>
            </w:pPr>
            <w:r>
              <w:rPr>
                <w:rFonts w:hint="eastAsia"/>
                <w:sz w:val="18"/>
                <w:szCs w:val="18"/>
                <w:highlight w:val="yellow"/>
                <w:u w:val="single"/>
                <w:lang w:eastAsia="ja-JP"/>
              </w:rPr>
              <w:t>Reasons provided</w:t>
            </w:r>
            <w:r w:rsidRPr="00647151">
              <w:rPr>
                <w:sz w:val="18"/>
                <w:szCs w:val="18"/>
                <w:highlight w:val="yellow"/>
                <w:u w:val="single"/>
              </w:rPr>
              <w:t xml:space="preserve"> by </w:t>
            </w:r>
            <w:r>
              <w:rPr>
                <w:rFonts w:hint="eastAsia"/>
                <w:sz w:val="18"/>
                <w:szCs w:val="18"/>
                <w:highlight w:val="yellow"/>
                <w:u w:val="single"/>
                <w:lang w:eastAsia="ja-JP"/>
              </w:rPr>
              <w:t>Netherlands</w:t>
            </w:r>
            <w:r w:rsidRPr="00C6215A">
              <w:rPr>
                <w:rFonts w:hint="eastAsia"/>
                <w:sz w:val="18"/>
                <w:szCs w:val="18"/>
                <w:highlight w:val="yellow"/>
                <w:u w:val="single"/>
                <w:lang w:eastAsia="ja-JP"/>
              </w:rPr>
              <w:t xml:space="preserve"> </w:t>
            </w:r>
            <w:r>
              <w:rPr>
                <w:rFonts w:hint="eastAsia"/>
                <w:sz w:val="18"/>
                <w:szCs w:val="18"/>
                <w:highlight w:val="yellow"/>
                <w:u w:val="single"/>
                <w:lang w:eastAsia="ja-JP"/>
              </w:rPr>
              <w:t xml:space="preserve">submitted </w:t>
            </w:r>
            <w:r w:rsidRPr="00C6215A">
              <w:rPr>
                <w:rFonts w:hint="eastAsia"/>
                <w:sz w:val="18"/>
                <w:szCs w:val="18"/>
                <w:highlight w:val="yellow"/>
                <w:u w:val="single"/>
                <w:lang w:eastAsia="ja-JP"/>
              </w:rPr>
              <w:t xml:space="preserve">in conjunction with </w:t>
            </w:r>
            <w:r>
              <w:rPr>
                <w:rFonts w:hint="eastAsia"/>
                <w:sz w:val="18"/>
                <w:szCs w:val="18"/>
                <w:highlight w:val="yellow"/>
                <w:u w:val="single"/>
                <w:lang w:eastAsia="ja-JP"/>
              </w:rPr>
              <w:t xml:space="preserve">other proposals for </w:t>
            </w:r>
            <w:r w:rsidRPr="00C6215A">
              <w:rPr>
                <w:sz w:val="18"/>
                <w:szCs w:val="18"/>
                <w:highlight w:val="yellow"/>
                <w:u w:val="single"/>
                <w:lang w:eastAsia="ja-JP"/>
              </w:rPr>
              <w:t>UPOV Circular E-16/088 of April 13, 2016</w:t>
            </w:r>
          </w:p>
          <w:p w:rsidR="00494FFB" w:rsidRPr="00494FFB" w:rsidRDefault="00494FFB" w:rsidP="00C52382">
            <w:pPr>
              <w:rPr>
                <w:sz w:val="18"/>
                <w:szCs w:val="18"/>
              </w:rPr>
            </w:pPr>
          </w:p>
        </w:tc>
      </w:tr>
    </w:tbl>
    <w:p w:rsidR="00494FFB" w:rsidRDefault="00494FFB" w:rsidP="000D59C2"/>
    <w:p w:rsidR="000D59C2" w:rsidRPr="00407B23" w:rsidRDefault="000D59C2" w:rsidP="000D59C2">
      <w:pPr>
        <w:jc w:val="right"/>
      </w:pPr>
    </w:p>
    <w:p w:rsidR="000D59C2" w:rsidRPr="00407B23" w:rsidRDefault="000D59C2" w:rsidP="000D59C2">
      <w:pPr>
        <w:jc w:val="right"/>
      </w:pPr>
    </w:p>
    <w:p w:rsidR="000D59C2" w:rsidRPr="00407B23" w:rsidRDefault="000D59C2" w:rsidP="000D59C2">
      <w:pPr>
        <w:jc w:val="right"/>
      </w:pPr>
      <w:r w:rsidRPr="00407B23">
        <w:t>[Annexes follow]</w:t>
      </w:r>
    </w:p>
    <w:p w:rsidR="006E1AD8" w:rsidRPr="00407B23" w:rsidRDefault="006E1AD8" w:rsidP="000D59C2"/>
    <w:p w:rsidR="000D59C2" w:rsidRPr="00407B23" w:rsidRDefault="000D59C2" w:rsidP="000D59C2">
      <w:pPr>
        <w:jc w:val="right"/>
        <w:sectPr w:rsidR="000D59C2" w:rsidRPr="00407B23" w:rsidSect="00C43812">
          <w:headerReference w:type="default" r:id="rId11"/>
          <w:endnotePr>
            <w:numFmt w:val="lowerLetter"/>
          </w:endnotePr>
          <w:type w:val="continuous"/>
          <w:pgSz w:w="11907" w:h="16840" w:code="9"/>
          <w:pgMar w:top="510" w:right="1134" w:bottom="1134" w:left="1134" w:header="510" w:footer="113" w:gutter="0"/>
          <w:pgNumType w:start="1"/>
          <w:cols w:space="720"/>
          <w:titlePg/>
        </w:sectPr>
      </w:pPr>
    </w:p>
    <w:p w:rsidR="000D59C2" w:rsidRPr="00DE1471" w:rsidRDefault="000D59C2" w:rsidP="000D59C2">
      <w:pPr>
        <w:spacing w:line="240" w:lineRule="atLeast"/>
        <w:jc w:val="center"/>
        <w:rPr>
          <w:u w:val="single"/>
        </w:rPr>
      </w:pPr>
      <w:r w:rsidRPr="00DE1471">
        <w:rPr>
          <w:u w:val="single"/>
        </w:rPr>
        <w:t xml:space="preserve">UPOV Variety Denomination Classes:  </w:t>
      </w:r>
      <w:r w:rsidRPr="00DE1471">
        <w:rPr>
          <w:u w:val="single"/>
        </w:rPr>
        <w:br/>
        <w:t>A Variety Denomination Should not be Used More than Once in the Same Class</w:t>
      </w:r>
    </w:p>
    <w:p w:rsidR="000D59C2" w:rsidRPr="00407B23" w:rsidRDefault="000D59C2" w:rsidP="000D59C2">
      <w:pPr>
        <w:spacing w:line="240" w:lineRule="atLeast"/>
        <w:rPr>
          <w:b/>
        </w:rPr>
      </w:pPr>
    </w:p>
    <w:p w:rsidR="000D59C2" w:rsidRPr="00407B23" w:rsidRDefault="000D59C2" w:rsidP="000D59C2">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0D59C2" w:rsidRPr="00407B23" w:rsidRDefault="000D59C2" w:rsidP="000D59C2">
      <w:pPr>
        <w:spacing w:line="240" w:lineRule="atLeast"/>
      </w:pPr>
    </w:p>
    <w:p w:rsidR="000D59C2" w:rsidRPr="00407B23" w:rsidRDefault="000D59C2" w:rsidP="000D59C2">
      <w:pPr>
        <w:spacing w:line="240" w:lineRule="atLeast"/>
      </w:pPr>
      <w:r w:rsidRPr="00407B23">
        <w:t xml:space="preserve">The variety denomination classes are as follows:  </w:t>
      </w:r>
    </w:p>
    <w:p w:rsidR="000D59C2" w:rsidRPr="00407B23" w:rsidRDefault="000D59C2" w:rsidP="000D59C2">
      <w:pPr>
        <w:spacing w:line="240" w:lineRule="atLeast"/>
      </w:pPr>
    </w:p>
    <w:p w:rsidR="000D59C2" w:rsidRPr="00DE1471" w:rsidRDefault="000D59C2" w:rsidP="000D59C2">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0D59C2" w:rsidRPr="00DE1471" w:rsidRDefault="000D59C2" w:rsidP="000D59C2">
      <w:pPr>
        <w:pStyle w:val="BodyTextIndent"/>
        <w:ind w:left="0"/>
        <w:rPr>
          <w:lang w:val="en-US"/>
        </w:rPr>
      </w:pPr>
    </w:p>
    <w:p w:rsidR="000D59C2" w:rsidRPr="00DE1471" w:rsidRDefault="000D59C2" w:rsidP="000D59C2">
      <w:pPr>
        <w:pStyle w:val="BodyTextIndent"/>
        <w:ind w:left="0" w:firstLine="567"/>
        <w:rPr>
          <w:lang w:val="en-US"/>
        </w:rPr>
      </w:pPr>
      <w:r w:rsidRPr="00DE1471">
        <w:rPr>
          <w:lang w:val="en-US"/>
        </w:rPr>
        <w:t>(b)</w:t>
      </w:r>
      <w:r w:rsidRPr="00DE1471">
        <w:rPr>
          <w:lang w:val="en-US"/>
        </w:rPr>
        <w:tab/>
        <w:t xml:space="preserve">Exceptions to the General Rule (list of classes):  </w:t>
      </w:r>
    </w:p>
    <w:p w:rsidR="000D59C2" w:rsidRPr="00DE1471" w:rsidRDefault="000D59C2" w:rsidP="000D59C2">
      <w:pPr>
        <w:pStyle w:val="BodyTextIndent"/>
        <w:tabs>
          <w:tab w:val="right" w:pos="1134"/>
        </w:tabs>
        <w:ind w:left="0"/>
        <w:rPr>
          <w:lang w:val="en-US"/>
        </w:rPr>
      </w:pPr>
    </w:p>
    <w:p w:rsidR="000D59C2" w:rsidRPr="00407B23" w:rsidRDefault="000D59C2" w:rsidP="000D59C2">
      <w:pPr>
        <w:tabs>
          <w:tab w:val="right" w:pos="1134"/>
          <w:tab w:val="left" w:pos="1418"/>
        </w:tabs>
      </w:pPr>
      <w:r w:rsidRPr="00407B23">
        <w:tab/>
        <w:t>(i)</w:t>
      </w:r>
      <w:r w:rsidRPr="00407B23">
        <w:tab/>
        <w:t xml:space="preserve">classes within a genus:  List of classes in this Annex:  Part I;  </w:t>
      </w:r>
    </w:p>
    <w:p w:rsidR="000D59C2" w:rsidRPr="00407B23" w:rsidRDefault="000D59C2" w:rsidP="000D59C2">
      <w:pPr>
        <w:tabs>
          <w:tab w:val="right" w:pos="1134"/>
          <w:tab w:val="left" w:pos="1418"/>
        </w:tabs>
      </w:pPr>
    </w:p>
    <w:p w:rsidR="000D59C2" w:rsidRPr="00407B23" w:rsidRDefault="000D59C2" w:rsidP="000D59C2">
      <w:pPr>
        <w:tabs>
          <w:tab w:val="right" w:pos="1134"/>
          <w:tab w:val="left" w:pos="1418"/>
        </w:tabs>
      </w:pPr>
      <w:r w:rsidRPr="00407B23">
        <w:tab/>
        <w:t>(ii)</w:t>
      </w:r>
      <w:r w:rsidRPr="00407B23">
        <w:tab/>
        <w:t>classes encompassing more than one genus:  List of classes in this Annex:  Part II.</w:t>
      </w:r>
    </w:p>
    <w:p w:rsidR="000D59C2" w:rsidRDefault="000D59C2" w:rsidP="000D59C2">
      <w:pPr>
        <w:pStyle w:val="BodyTextIndent"/>
        <w:ind w:left="0"/>
        <w:rPr>
          <w:lang w:val="en-US"/>
        </w:rPr>
      </w:pPr>
    </w:p>
    <w:p w:rsidR="000D59C2" w:rsidRPr="00DE1471" w:rsidRDefault="000D59C2" w:rsidP="000D59C2">
      <w:pPr>
        <w:pStyle w:val="BodyTextIndent"/>
        <w:ind w:left="0"/>
        <w:rPr>
          <w:lang w:val="en-US"/>
        </w:rPr>
      </w:pPr>
    </w:p>
    <w:p w:rsidR="000D59C2" w:rsidRPr="00407B23" w:rsidRDefault="000D59C2" w:rsidP="000D59C2">
      <w:pPr>
        <w:jc w:val="center"/>
      </w:pPr>
      <w:r w:rsidRPr="00407B23">
        <w:t>LIST OF CLASSES</w:t>
      </w:r>
    </w:p>
    <w:p w:rsidR="000D59C2" w:rsidRPr="00DE1471" w:rsidRDefault="000D59C2" w:rsidP="000D59C2">
      <w:pPr>
        <w:rPr>
          <w:u w:val="single"/>
        </w:rPr>
      </w:pPr>
    </w:p>
    <w:p w:rsidR="000D59C2" w:rsidRPr="00DE1471" w:rsidRDefault="000D59C2" w:rsidP="000D59C2">
      <w:pPr>
        <w:pStyle w:val="Heading8"/>
      </w:pPr>
      <w:r w:rsidRPr="00DE1471">
        <w:t>Part I</w:t>
      </w:r>
    </w:p>
    <w:p w:rsidR="000D59C2" w:rsidRPr="00DE1471" w:rsidRDefault="000D59C2" w:rsidP="000D59C2">
      <w:pPr>
        <w:pStyle w:val="EndnoteText"/>
      </w:pPr>
    </w:p>
    <w:p w:rsidR="000D59C2" w:rsidRPr="00DE1471" w:rsidRDefault="000D59C2" w:rsidP="000D59C2">
      <w:pPr>
        <w:jc w:val="center"/>
        <w:rPr>
          <w:i/>
        </w:rPr>
      </w:pPr>
      <w:r w:rsidRPr="00DE1471">
        <w:rPr>
          <w:i/>
        </w:rPr>
        <w:t>Classes within a genus</w:t>
      </w:r>
    </w:p>
    <w:p w:rsidR="000D59C2" w:rsidRDefault="000D59C2" w:rsidP="000D59C2">
      <w:pPr>
        <w:pStyle w:val="Style1"/>
        <w:tabs>
          <w:tab w:val="clear" w:pos="907"/>
          <w:tab w:val="clear" w:pos="1077"/>
        </w:tabs>
        <w:rPr>
          <w:szCs w:val="20"/>
        </w:rPr>
      </w:pPr>
    </w:p>
    <w:p w:rsidR="000D59C2" w:rsidRPr="00DE1471" w:rsidRDefault="000D59C2" w:rsidP="000D59C2">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0D59C2" w:rsidRPr="00A6443F" w:rsidTr="00A6443F">
        <w:trPr>
          <w:cantSplit/>
          <w:tblHeader/>
        </w:trPr>
        <w:tc>
          <w:tcPr>
            <w:tcW w:w="1418" w:type="dxa"/>
            <w:shd w:val="clear" w:color="auto" w:fill="D9D9D9" w:themeFill="background1" w:themeFillShade="D9"/>
            <w:vAlign w:val="center"/>
          </w:tcPr>
          <w:p w:rsidR="000D59C2" w:rsidRPr="00A6443F" w:rsidRDefault="000D59C2" w:rsidP="00BE58AC">
            <w:pPr>
              <w:spacing w:before="40" w:after="60"/>
              <w:jc w:val="left"/>
              <w:rPr>
                <w:sz w:val="18"/>
                <w:u w:val="single"/>
              </w:rPr>
            </w:pPr>
          </w:p>
        </w:tc>
        <w:tc>
          <w:tcPr>
            <w:tcW w:w="5670" w:type="dxa"/>
            <w:shd w:val="clear" w:color="auto" w:fill="D9D9D9" w:themeFill="background1" w:themeFillShade="D9"/>
            <w:vAlign w:val="center"/>
          </w:tcPr>
          <w:p w:rsidR="000D59C2" w:rsidRPr="00A6443F" w:rsidRDefault="000D59C2" w:rsidP="00BE58AC">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0D59C2" w:rsidRPr="00A6443F" w:rsidRDefault="000D59C2" w:rsidP="00BE58AC">
            <w:pPr>
              <w:spacing w:before="40" w:after="60"/>
              <w:jc w:val="center"/>
              <w:rPr>
                <w:sz w:val="18"/>
                <w:u w:val="single"/>
              </w:rPr>
            </w:pPr>
            <w:r w:rsidRPr="00A6443F">
              <w:rPr>
                <w:sz w:val="18"/>
                <w:u w:val="single"/>
              </w:rPr>
              <w:t>UPOV codes</w:t>
            </w:r>
          </w:p>
        </w:tc>
      </w:tr>
      <w:tr w:rsidR="000D59C2" w:rsidRPr="00A6443F" w:rsidTr="00BE58AC">
        <w:trPr>
          <w:cantSplit/>
          <w:tblHeader/>
        </w:trPr>
        <w:tc>
          <w:tcPr>
            <w:tcW w:w="1418" w:type="dxa"/>
            <w:tcBorders>
              <w:left w:val="nil"/>
              <w:right w:val="nil"/>
            </w:tcBorders>
          </w:tcPr>
          <w:p w:rsidR="000D59C2" w:rsidRPr="00A6443F" w:rsidRDefault="000D59C2" w:rsidP="00BE58AC">
            <w:pPr>
              <w:jc w:val="left"/>
              <w:rPr>
                <w:sz w:val="18"/>
              </w:rPr>
            </w:pPr>
          </w:p>
        </w:tc>
        <w:tc>
          <w:tcPr>
            <w:tcW w:w="5670" w:type="dxa"/>
            <w:tcBorders>
              <w:left w:val="nil"/>
              <w:right w:val="nil"/>
            </w:tcBorders>
          </w:tcPr>
          <w:p w:rsidR="000D59C2" w:rsidRPr="00A6443F" w:rsidRDefault="000D59C2" w:rsidP="00BE58AC">
            <w:pPr>
              <w:jc w:val="left"/>
              <w:rPr>
                <w:sz w:val="18"/>
              </w:rPr>
            </w:pPr>
          </w:p>
        </w:tc>
        <w:tc>
          <w:tcPr>
            <w:tcW w:w="2551" w:type="dxa"/>
            <w:tcBorders>
              <w:left w:val="nil"/>
              <w:right w:val="nil"/>
            </w:tcBorders>
          </w:tcPr>
          <w:p w:rsidR="000D59C2" w:rsidRPr="00A6443F" w:rsidRDefault="000D59C2" w:rsidP="00BE58AC">
            <w:pPr>
              <w:jc w:val="left"/>
              <w:rPr>
                <w:sz w:val="18"/>
              </w:rPr>
            </w:pPr>
          </w:p>
        </w:tc>
      </w:tr>
      <w:tr w:rsidR="000D59C2" w:rsidRPr="00A6443F" w:rsidTr="00BE58AC">
        <w:trPr>
          <w:cantSplit/>
        </w:trPr>
        <w:tc>
          <w:tcPr>
            <w:tcW w:w="1418" w:type="dxa"/>
          </w:tcPr>
          <w:p w:rsidR="000D59C2" w:rsidRPr="00A6443F" w:rsidRDefault="000D59C2" w:rsidP="00BE58AC">
            <w:pPr>
              <w:spacing w:before="40" w:after="40"/>
              <w:jc w:val="left"/>
              <w:rPr>
                <w:sz w:val="18"/>
              </w:rPr>
            </w:pPr>
            <w:r w:rsidRPr="00A6443F">
              <w:rPr>
                <w:sz w:val="18"/>
              </w:rPr>
              <w:t>Class 1.1</w:t>
            </w:r>
          </w:p>
        </w:tc>
        <w:tc>
          <w:tcPr>
            <w:tcW w:w="5670" w:type="dxa"/>
          </w:tcPr>
          <w:p w:rsidR="000D59C2" w:rsidRPr="00A6443F" w:rsidRDefault="000D59C2" w:rsidP="00BE58AC">
            <w:pPr>
              <w:spacing w:before="40" w:after="40"/>
              <w:jc w:val="left"/>
              <w:rPr>
                <w:sz w:val="18"/>
              </w:rPr>
            </w:pPr>
            <w:r w:rsidRPr="00A6443F">
              <w:rPr>
                <w:sz w:val="18"/>
              </w:rPr>
              <w:t>Brassica oleracea</w:t>
            </w:r>
          </w:p>
        </w:tc>
        <w:tc>
          <w:tcPr>
            <w:tcW w:w="2551" w:type="dxa"/>
          </w:tcPr>
          <w:p w:rsidR="000D59C2" w:rsidRPr="00A6443F" w:rsidRDefault="000D59C2" w:rsidP="00BE58AC">
            <w:pPr>
              <w:spacing w:before="40" w:after="40"/>
              <w:jc w:val="left"/>
              <w:rPr>
                <w:sz w:val="18"/>
              </w:rPr>
            </w:pPr>
            <w:r w:rsidRPr="00A6443F">
              <w:rPr>
                <w:sz w:val="18"/>
              </w:rPr>
              <w:t>BRASS_OLE</w:t>
            </w:r>
          </w:p>
        </w:tc>
      </w:tr>
      <w:tr w:rsidR="000D59C2" w:rsidRPr="00A6443F" w:rsidTr="00BE58AC">
        <w:trPr>
          <w:cantSplit/>
        </w:trPr>
        <w:tc>
          <w:tcPr>
            <w:tcW w:w="1418" w:type="dxa"/>
            <w:tcBorders>
              <w:bottom w:val="nil"/>
            </w:tcBorders>
          </w:tcPr>
          <w:p w:rsidR="000D59C2" w:rsidRPr="00A6443F" w:rsidRDefault="000D59C2" w:rsidP="00BE58AC">
            <w:pPr>
              <w:spacing w:before="40" w:after="40"/>
              <w:jc w:val="left"/>
              <w:rPr>
                <w:sz w:val="18"/>
              </w:rPr>
            </w:pPr>
            <w:r w:rsidRPr="00A6443F">
              <w:rPr>
                <w:sz w:val="18"/>
              </w:rPr>
              <w:t>Class 1.2</w:t>
            </w:r>
          </w:p>
        </w:tc>
        <w:tc>
          <w:tcPr>
            <w:tcW w:w="5670" w:type="dxa"/>
            <w:tcBorders>
              <w:bottom w:val="nil"/>
            </w:tcBorders>
          </w:tcPr>
          <w:p w:rsidR="000D59C2" w:rsidRPr="00A6443F" w:rsidRDefault="000D59C2" w:rsidP="00BE58AC">
            <w:pPr>
              <w:spacing w:before="40" w:after="40"/>
              <w:jc w:val="left"/>
              <w:rPr>
                <w:sz w:val="18"/>
              </w:rPr>
            </w:pPr>
            <w:r w:rsidRPr="00A6443F">
              <w:rPr>
                <w:sz w:val="18"/>
              </w:rPr>
              <w:t>Brassica other than Brassica oleracea</w:t>
            </w:r>
          </w:p>
        </w:tc>
        <w:tc>
          <w:tcPr>
            <w:tcW w:w="2551" w:type="dxa"/>
            <w:tcBorders>
              <w:bottom w:val="nil"/>
            </w:tcBorders>
          </w:tcPr>
          <w:p w:rsidR="000D59C2" w:rsidRPr="00A6443F" w:rsidRDefault="000D59C2" w:rsidP="00BE58AC">
            <w:pPr>
              <w:spacing w:before="40" w:after="40"/>
              <w:jc w:val="left"/>
              <w:rPr>
                <w:sz w:val="18"/>
              </w:rPr>
            </w:pPr>
            <w:r w:rsidRPr="00A6443F">
              <w:rPr>
                <w:sz w:val="18"/>
              </w:rPr>
              <w:t>other than BRASS_OLE</w:t>
            </w:r>
          </w:p>
        </w:tc>
      </w:tr>
      <w:tr w:rsidR="000D59C2" w:rsidRPr="00A6443F" w:rsidTr="00BE58AC">
        <w:trPr>
          <w:cantSplit/>
        </w:trPr>
        <w:tc>
          <w:tcPr>
            <w:tcW w:w="1418" w:type="dxa"/>
            <w:tcBorders>
              <w:left w:val="nil"/>
              <w:right w:val="nil"/>
            </w:tcBorders>
          </w:tcPr>
          <w:p w:rsidR="000D59C2" w:rsidRPr="00A6443F" w:rsidRDefault="000D59C2" w:rsidP="00BE58AC">
            <w:pPr>
              <w:jc w:val="left"/>
              <w:rPr>
                <w:sz w:val="18"/>
              </w:rPr>
            </w:pPr>
          </w:p>
        </w:tc>
        <w:tc>
          <w:tcPr>
            <w:tcW w:w="5670" w:type="dxa"/>
            <w:tcBorders>
              <w:left w:val="nil"/>
              <w:right w:val="nil"/>
            </w:tcBorders>
          </w:tcPr>
          <w:p w:rsidR="000D59C2" w:rsidRPr="00A6443F" w:rsidRDefault="000D59C2" w:rsidP="00BE58AC">
            <w:pPr>
              <w:jc w:val="left"/>
              <w:rPr>
                <w:sz w:val="18"/>
              </w:rPr>
            </w:pPr>
          </w:p>
        </w:tc>
        <w:tc>
          <w:tcPr>
            <w:tcW w:w="2551" w:type="dxa"/>
            <w:tcBorders>
              <w:left w:val="nil"/>
              <w:right w:val="nil"/>
            </w:tcBorders>
          </w:tcPr>
          <w:p w:rsidR="000D59C2" w:rsidRPr="00A6443F" w:rsidRDefault="000D59C2" w:rsidP="00BE58AC">
            <w:pPr>
              <w:jc w:val="left"/>
              <w:rPr>
                <w:sz w:val="18"/>
              </w:rPr>
            </w:pPr>
          </w:p>
        </w:tc>
      </w:tr>
      <w:tr w:rsidR="000D59C2" w:rsidRPr="00113724" w:rsidTr="00BE58AC">
        <w:trPr>
          <w:cantSplit/>
        </w:trPr>
        <w:tc>
          <w:tcPr>
            <w:tcW w:w="1418" w:type="dxa"/>
          </w:tcPr>
          <w:p w:rsidR="000D59C2" w:rsidRPr="00A6443F" w:rsidRDefault="000D59C2" w:rsidP="00BE58AC">
            <w:pPr>
              <w:spacing w:before="40" w:after="40"/>
              <w:jc w:val="left"/>
              <w:rPr>
                <w:sz w:val="18"/>
              </w:rPr>
            </w:pPr>
            <w:r w:rsidRPr="00A6443F">
              <w:rPr>
                <w:sz w:val="18"/>
              </w:rPr>
              <w:t>Class 2.1</w:t>
            </w:r>
          </w:p>
        </w:tc>
        <w:tc>
          <w:tcPr>
            <w:tcW w:w="5670" w:type="dxa"/>
          </w:tcPr>
          <w:p w:rsidR="000D59C2" w:rsidRPr="00A6443F" w:rsidRDefault="000D59C2" w:rsidP="00BE58AC">
            <w:pPr>
              <w:spacing w:before="40" w:after="40"/>
              <w:jc w:val="left"/>
              <w:rPr>
                <w:sz w:val="18"/>
                <w:lang w:val="es-ES"/>
              </w:rPr>
            </w:pPr>
            <w:r w:rsidRPr="00A6443F">
              <w:rPr>
                <w:sz w:val="18"/>
                <w:lang w:val="es-ES"/>
              </w:rPr>
              <w:t xml:space="preserve">Beta vulgaris L. var. alba DC., </w:t>
            </w:r>
            <w:r w:rsidRPr="00A6443F">
              <w:rPr>
                <w:sz w:val="18"/>
                <w:lang w:val="es-ES"/>
              </w:rPr>
              <w:br/>
              <w:t>Beta vulgaris L. var. altissima</w:t>
            </w:r>
          </w:p>
        </w:tc>
        <w:tc>
          <w:tcPr>
            <w:tcW w:w="2551" w:type="dxa"/>
          </w:tcPr>
          <w:p w:rsidR="000D59C2" w:rsidRPr="00A6443F" w:rsidRDefault="000D59C2" w:rsidP="00BE58AC">
            <w:pPr>
              <w:spacing w:before="40" w:after="40"/>
              <w:jc w:val="left"/>
              <w:rPr>
                <w:sz w:val="18"/>
                <w:lang w:val="nl-NL"/>
              </w:rPr>
            </w:pPr>
            <w:r w:rsidRPr="00A6443F">
              <w:rPr>
                <w:sz w:val="18"/>
                <w:lang w:val="nl-NL"/>
              </w:rPr>
              <w:t>BETAA_VUL_GVA;  BETAA_VUL_GVS</w:t>
            </w:r>
          </w:p>
        </w:tc>
      </w:tr>
      <w:tr w:rsidR="000D59C2" w:rsidRPr="00113724" w:rsidTr="00BE58AC">
        <w:trPr>
          <w:cantSplit/>
        </w:trPr>
        <w:tc>
          <w:tcPr>
            <w:tcW w:w="1418" w:type="dxa"/>
          </w:tcPr>
          <w:p w:rsidR="000D59C2" w:rsidRPr="00A6443F" w:rsidRDefault="000D59C2" w:rsidP="00BE58AC">
            <w:pPr>
              <w:spacing w:before="40" w:after="40"/>
              <w:jc w:val="left"/>
              <w:rPr>
                <w:sz w:val="18"/>
              </w:rPr>
            </w:pPr>
            <w:r w:rsidRPr="00A6443F">
              <w:rPr>
                <w:sz w:val="18"/>
              </w:rPr>
              <w:t>Class 2.2</w:t>
            </w:r>
          </w:p>
        </w:tc>
        <w:tc>
          <w:tcPr>
            <w:tcW w:w="5670" w:type="dxa"/>
          </w:tcPr>
          <w:p w:rsidR="000D59C2" w:rsidRPr="00A6443F" w:rsidRDefault="000D59C2" w:rsidP="00BE58AC">
            <w:pPr>
              <w:spacing w:before="40" w:after="40"/>
              <w:jc w:val="left"/>
              <w:rPr>
                <w:sz w:val="18"/>
                <w:lang w:val="es-ES"/>
              </w:rPr>
            </w:pPr>
            <w:r w:rsidRPr="00A6443F">
              <w:rPr>
                <w:sz w:val="18"/>
                <w:lang w:val="es-ES"/>
              </w:rPr>
              <w:t>Beta vulgaris ssp. vulgaris var. conditiva Alef. (syn.:  B. vulgaris L. var. rubra L.), B. vulgaris L. var. cicla L., B. vulgaris L. ssp. vulgaris var. vulgaris</w:t>
            </w:r>
          </w:p>
        </w:tc>
        <w:tc>
          <w:tcPr>
            <w:tcW w:w="2551" w:type="dxa"/>
          </w:tcPr>
          <w:p w:rsidR="000D59C2" w:rsidRPr="00A6443F" w:rsidRDefault="000D59C2" w:rsidP="00BE58AC">
            <w:pPr>
              <w:spacing w:before="40" w:after="40"/>
              <w:jc w:val="left"/>
              <w:rPr>
                <w:sz w:val="18"/>
                <w:lang w:val="nl-NL"/>
              </w:rPr>
            </w:pPr>
            <w:r w:rsidRPr="00A6443F">
              <w:rPr>
                <w:sz w:val="18"/>
                <w:lang w:val="nl-NL"/>
              </w:rPr>
              <w:t>BETAA_VUL_GVC; BETAA_VUL_GVF</w:t>
            </w:r>
          </w:p>
        </w:tc>
      </w:tr>
      <w:tr w:rsidR="000D59C2" w:rsidRPr="00A6443F" w:rsidTr="00BE58AC">
        <w:trPr>
          <w:cantSplit/>
        </w:trPr>
        <w:tc>
          <w:tcPr>
            <w:tcW w:w="1418" w:type="dxa"/>
            <w:tcBorders>
              <w:bottom w:val="nil"/>
            </w:tcBorders>
          </w:tcPr>
          <w:p w:rsidR="000D59C2" w:rsidRPr="00A6443F" w:rsidRDefault="000D59C2" w:rsidP="00BE58AC">
            <w:pPr>
              <w:spacing w:before="40" w:after="40"/>
              <w:jc w:val="left"/>
              <w:rPr>
                <w:sz w:val="18"/>
              </w:rPr>
            </w:pPr>
            <w:r w:rsidRPr="00A6443F">
              <w:rPr>
                <w:sz w:val="18"/>
              </w:rPr>
              <w:t>Class 2.3</w:t>
            </w:r>
          </w:p>
        </w:tc>
        <w:tc>
          <w:tcPr>
            <w:tcW w:w="5670" w:type="dxa"/>
            <w:tcBorders>
              <w:bottom w:val="nil"/>
            </w:tcBorders>
          </w:tcPr>
          <w:p w:rsidR="000D59C2" w:rsidRPr="00A6443F" w:rsidRDefault="000D59C2" w:rsidP="00BE58AC">
            <w:pPr>
              <w:spacing w:before="40" w:after="40"/>
              <w:jc w:val="left"/>
              <w:rPr>
                <w:sz w:val="18"/>
              </w:rPr>
            </w:pPr>
            <w:r w:rsidRPr="00A6443F">
              <w:rPr>
                <w:sz w:val="18"/>
              </w:rPr>
              <w:t>Beta other than classes 2.1 and 2.2.</w:t>
            </w:r>
          </w:p>
        </w:tc>
        <w:tc>
          <w:tcPr>
            <w:tcW w:w="2551" w:type="dxa"/>
            <w:tcBorders>
              <w:bottom w:val="nil"/>
            </w:tcBorders>
          </w:tcPr>
          <w:p w:rsidR="000D59C2" w:rsidRPr="00A6443F" w:rsidRDefault="000D59C2" w:rsidP="00BE58AC">
            <w:pPr>
              <w:spacing w:before="40" w:after="40"/>
              <w:jc w:val="left"/>
              <w:rPr>
                <w:sz w:val="18"/>
              </w:rPr>
            </w:pPr>
            <w:r w:rsidRPr="00A6443F">
              <w:rPr>
                <w:sz w:val="18"/>
              </w:rPr>
              <w:t>other than classes 2.1</w:t>
            </w:r>
            <w:r w:rsidRPr="00A6443F">
              <w:rPr>
                <w:sz w:val="18"/>
              </w:rPr>
              <w:br/>
              <w:t>and 2.2</w:t>
            </w:r>
          </w:p>
        </w:tc>
      </w:tr>
      <w:tr w:rsidR="000D59C2" w:rsidRPr="00A6443F" w:rsidTr="00BE58AC">
        <w:trPr>
          <w:cantSplit/>
        </w:trPr>
        <w:tc>
          <w:tcPr>
            <w:tcW w:w="1418" w:type="dxa"/>
            <w:tcBorders>
              <w:left w:val="nil"/>
              <w:bottom w:val="nil"/>
              <w:right w:val="nil"/>
            </w:tcBorders>
          </w:tcPr>
          <w:p w:rsidR="000D59C2" w:rsidRPr="00A6443F" w:rsidRDefault="000D59C2" w:rsidP="00BE58AC">
            <w:pPr>
              <w:jc w:val="left"/>
              <w:rPr>
                <w:sz w:val="18"/>
              </w:rPr>
            </w:pPr>
          </w:p>
        </w:tc>
        <w:tc>
          <w:tcPr>
            <w:tcW w:w="5670" w:type="dxa"/>
            <w:tcBorders>
              <w:left w:val="nil"/>
              <w:bottom w:val="nil"/>
              <w:right w:val="nil"/>
            </w:tcBorders>
          </w:tcPr>
          <w:p w:rsidR="000D59C2" w:rsidRPr="00A6443F" w:rsidRDefault="000D59C2" w:rsidP="00BE58AC">
            <w:pPr>
              <w:jc w:val="left"/>
              <w:rPr>
                <w:sz w:val="18"/>
              </w:rPr>
            </w:pPr>
          </w:p>
        </w:tc>
        <w:tc>
          <w:tcPr>
            <w:tcW w:w="2551" w:type="dxa"/>
            <w:tcBorders>
              <w:left w:val="nil"/>
              <w:bottom w:val="nil"/>
              <w:right w:val="nil"/>
            </w:tcBorders>
          </w:tcPr>
          <w:p w:rsidR="000D59C2" w:rsidRPr="00A6443F" w:rsidRDefault="000D59C2" w:rsidP="00BE58AC">
            <w:pPr>
              <w:jc w:val="left"/>
              <w:rPr>
                <w:sz w:val="18"/>
              </w:rPr>
            </w:pPr>
          </w:p>
        </w:tc>
      </w:tr>
      <w:tr w:rsidR="000D59C2" w:rsidRPr="00A6443F" w:rsidTr="00BE58AC">
        <w:trPr>
          <w:cantSplit/>
        </w:trPr>
        <w:tc>
          <w:tcPr>
            <w:tcW w:w="1418" w:type="dxa"/>
            <w:tcBorders>
              <w:top w:val="single" w:sz="4" w:space="0" w:color="auto"/>
            </w:tcBorders>
          </w:tcPr>
          <w:p w:rsidR="000D59C2" w:rsidRPr="00A6443F" w:rsidRDefault="000D59C2" w:rsidP="00BE58AC">
            <w:pPr>
              <w:spacing w:before="40" w:after="40"/>
              <w:jc w:val="left"/>
              <w:rPr>
                <w:sz w:val="18"/>
              </w:rPr>
            </w:pPr>
            <w:r w:rsidRPr="00A6443F">
              <w:rPr>
                <w:sz w:val="18"/>
              </w:rPr>
              <w:t>Class 3.1</w:t>
            </w:r>
          </w:p>
        </w:tc>
        <w:tc>
          <w:tcPr>
            <w:tcW w:w="5670" w:type="dxa"/>
            <w:tcBorders>
              <w:top w:val="single" w:sz="4" w:space="0" w:color="auto"/>
            </w:tcBorders>
          </w:tcPr>
          <w:p w:rsidR="000D59C2" w:rsidRPr="00A6443F" w:rsidRDefault="000D59C2" w:rsidP="00BE58AC">
            <w:pPr>
              <w:spacing w:before="40" w:after="40"/>
              <w:jc w:val="left"/>
              <w:rPr>
                <w:sz w:val="18"/>
              </w:rPr>
            </w:pPr>
            <w:r w:rsidRPr="00A6443F">
              <w:rPr>
                <w:sz w:val="18"/>
              </w:rPr>
              <w:t>Cucumis sativus</w:t>
            </w:r>
          </w:p>
        </w:tc>
        <w:tc>
          <w:tcPr>
            <w:tcW w:w="2551" w:type="dxa"/>
            <w:tcBorders>
              <w:top w:val="single" w:sz="4" w:space="0" w:color="auto"/>
            </w:tcBorders>
          </w:tcPr>
          <w:p w:rsidR="000D59C2" w:rsidRPr="00A6443F" w:rsidRDefault="000D59C2" w:rsidP="00BE58AC">
            <w:pPr>
              <w:spacing w:before="40" w:after="40"/>
              <w:jc w:val="left"/>
              <w:rPr>
                <w:sz w:val="18"/>
              </w:rPr>
            </w:pPr>
            <w:r w:rsidRPr="00A6443F">
              <w:rPr>
                <w:sz w:val="18"/>
              </w:rPr>
              <w:t>CUCUM_SAT</w:t>
            </w:r>
          </w:p>
        </w:tc>
      </w:tr>
      <w:tr w:rsidR="000D59C2" w:rsidRPr="00A6443F" w:rsidTr="00BE58AC">
        <w:trPr>
          <w:cantSplit/>
        </w:trPr>
        <w:tc>
          <w:tcPr>
            <w:tcW w:w="1418" w:type="dxa"/>
          </w:tcPr>
          <w:p w:rsidR="000D59C2" w:rsidRPr="00A6443F" w:rsidRDefault="000D59C2" w:rsidP="00BE58AC">
            <w:pPr>
              <w:spacing w:before="40" w:after="40"/>
              <w:jc w:val="left"/>
              <w:rPr>
                <w:sz w:val="18"/>
              </w:rPr>
            </w:pPr>
            <w:r w:rsidRPr="00A6443F">
              <w:rPr>
                <w:sz w:val="18"/>
              </w:rPr>
              <w:t>Class 3.2</w:t>
            </w:r>
          </w:p>
        </w:tc>
        <w:tc>
          <w:tcPr>
            <w:tcW w:w="5670" w:type="dxa"/>
          </w:tcPr>
          <w:p w:rsidR="000D59C2" w:rsidRPr="00A6443F" w:rsidRDefault="000D59C2" w:rsidP="00BE58AC">
            <w:pPr>
              <w:spacing w:before="40" w:after="40"/>
              <w:jc w:val="left"/>
              <w:rPr>
                <w:sz w:val="18"/>
              </w:rPr>
            </w:pPr>
            <w:r w:rsidRPr="00A6443F">
              <w:rPr>
                <w:sz w:val="18"/>
              </w:rPr>
              <w:t>Cucumis melo</w:t>
            </w:r>
          </w:p>
        </w:tc>
        <w:tc>
          <w:tcPr>
            <w:tcW w:w="2551" w:type="dxa"/>
          </w:tcPr>
          <w:p w:rsidR="000D59C2" w:rsidRPr="00A6443F" w:rsidRDefault="000D59C2" w:rsidP="00BE58AC">
            <w:pPr>
              <w:spacing w:before="40" w:after="40"/>
              <w:jc w:val="left"/>
              <w:rPr>
                <w:sz w:val="18"/>
              </w:rPr>
            </w:pPr>
            <w:r w:rsidRPr="00A6443F">
              <w:rPr>
                <w:sz w:val="18"/>
              </w:rPr>
              <w:t>CUCUM_MEL</w:t>
            </w:r>
          </w:p>
        </w:tc>
      </w:tr>
      <w:tr w:rsidR="000D59C2" w:rsidRPr="00A6443F" w:rsidTr="00BE58AC">
        <w:trPr>
          <w:cantSplit/>
        </w:trPr>
        <w:tc>
          <w:tcPr>
            <w:tcW w:w="1418" w:type="dxa"/>
          </w:tcPr>
          <w:p w:rsidR="000D59C2" w:rsidRPr="00A6443F" w:rsidRDefault="000D59C2" w:rsidP="00BE58AC">
            <w:pPr>
              <w:spacing w:before="40" w:after="40"/>
              <w:jc w:val="left"/>
              <w:rPr>
                <w:sz w:val="18"/>
              </w:rPr>
            </w:pPr>
            <w:r w:rsidRPr="00A6443F">
              <w:rPr>
                <w:sz w:val="18"/>
              </w:rPr>
              <w:t>Class 3.3</w:t>
            </w:r>
          </w:p>
        </w:tc>
        <w:tc>
          <w:tcPr>
            <w:tcW w:w="5670" w:type="dxa"/>
          </w:tcPr>
          <w:p w:rsidR="000D59C2" w:rsidRPr="00A6443F" w:rsidRDefault="000D59C2" w:rsidP="00BE58AC">
            <w:pPr>
              <w:spacing w:before="40" w:after="40"/>
              <w:jc w:val="left"/>
              <w:rPr>
                <w:sz w:val="18"/>
              </w:rPr>
            </w:pPr>
            <w:r w:rsidRPr="00A6443F">
              <w:rPr>
                <w:sz w:val="18"/>
              </w:rPr>
              <w:t>Cucumis other than classes 3.1 and 3.2</w:t>
            </w:r>
          </w:p>
        </w:tc>
        <w:tc>
          <w:tcPr>
            <w:tcW w:w="2551" w:type="dxa"/>
          </w:tcPr>
          <w:p w:rsidR="000D59C2" w:rsidRPr="00A6443F" w:rsidRDefault="000D59C2" w:rsidP="00BE58AC">
            <w:pPr>
              <w:spacing w:before="40" w:after="40"/>
              <w:jc w:val="left"/>
              <w:rPr>
                <w:sz w:val="18"/>
              </w:rPr>
            </w:pPr>
            <w:r w:rsidRPr="00A6443F">
              <w:rPr>
                <w:sz w:val="18"/>
              </w:rPr>
              <w:t>other than classes 3.1</w:t>
            </w:r>
            <w:r w:rsidRPr="00A6443F">
              <w:rPr>
                <w:sz w:val="18"/>
              </w:rPr>
              <w:br/>
              <w:t>and 3.2</w:t>
            </w:r>
          </w:p>
        </w:tc>
      </w:tr>
      <w:tr w:rsidR="000D59C2" w:rsidRPr="00A6443F" w:rsidTr="00BE58AC">
        <w:trPr>
          <w:cantSplit/>
        </w:trPr>
        <w:tc>
          <w:tcPr>
            <w:tcW w:w="1418" w:type="dxa"/>
            <w:tcBorders>
              <w:left w:val="nil"/>
              <w:bottom w:val="nil"/>
              <w:right w:val="nil"/>
            </w:tcBorders>
          </w:tcPr>
          <w:p w:rsidR="000D59C2" w:rsidRPr="00A6443F" w:rsidRDefault="000D59C2" w:rsidP="00BE58AC">
            <w:pPr>
              <w:jc w:val="left"/>
              <w:rPr>
                <w:sz w:val="18"/>
              </w:rPr>
            </w:pPr>
          </w:p>
        </w:tc>
        <w:tc>
          <w:tcPr>
            <w:tcW w:w="5670" w:type="dxa"/>
            <w:tcBorders>
              <w:left w:val="nil"/>
              <w:bottom w:val="nil"/>
              <w:right w:val="nil"/>
            </w:tcBorders>
          </w:tcPr>
          <w:p w:rsidR="000D59C2" w:rsidRPr="00A6443F" w:rsidRDefault="000D59C2" w:rsidP="00BE58AC">
            <w:pPr>
              <w:jc w:val="left"/>
              <w:rPr>
                <w:sz w:val="18"/>
              </w:rPr>
            </w:pPr>
          </w:p>
        </w:tc>
        <w:tc>
          <w:tcPr>
            <w:tcW w:w="2551" w:type="dxa"/>
            <w:tcBorders>
              <w:left w:val="nil"/>
              <w:bottom w:val="nil"/>
              <w:right w:val="nil"/>
            </w:tcBorders>
          </w:tcPr>
          <w:p w:rsidR="000D59C2" w:rsidRPr="00A6443F" w:rsidRDefault="000D59C2" w:rsidP="00BE58AC">
            <w:pPr>
              <w:jc w:val="left"/>
              <w:rPr>
                <w:sz w:val="18"/>
              </w:rPr>
            </w:pPr>
          </w:p>
        </w:tc>
      </w:tr>
      <w:tr w:rsidR="000D59C2" w:rsidRPr="00A6443F" w:rsidTr="00BE58AC">
        <w:trPr>
          <w:cantSplit/>
        </w:trPr>
        <w:tc>
          <w:tcPr>
            <w:tcW w:w="1418" w:type="dxa"/>
            <w:tcBorders>
              <w:top w:val="single" w:sz="4" w:space="0" w:color="auto"/>
              <w:left w:val="single" w:sz="4" w:space="0" w:color="auto"/>
              <w:bottom w:val="single" w:sz="4" w:space="0" w:color="auto"/>
            </w:tcBorders>
          </w:tcPr>
          <w:p w:rsidR="000D59C2" w:rsidRPr="00A6443F" w:rsidRDefault="000D59C2" w:rsidP="00BE58AC">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0D59C2" w:rsidRPr="00A6443F" w:rsidRDefault="000D59C2" w:rsidP="00BE58AC">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0D59C2" w:rsidRPr="00A6443F" w:rsidRDefault="000D59C2" w:rsidP="00BE58AC">
            <w:pPr>
              <w:keepNext/>
              <w:spacing w:before="40" w:after="40"/>
              <w:rPr>
                <w:color w:val="000000"/>
                <w:sz w:val="18"/>
              </w:rPr>
            </w:pPr>
            <w:r w:rsidRPr="00A6443F">
              <w:rPr>
                <w:color w:val="000000"/>
                <w:sz w:val="18"/>
              </w:rPr>
              <w:t>SOLAN_TUB</w:t>
            </w:r>
          </w:p>
        </w:tc>
      </w:tr>
      <w:tr w:rsidR="000D59C2" w:rsidRPr="00A6443F" w:rsidTr="00BE58AC">
        <w:trPr>
          <w:cantSplit/>
        </w:trPr>
        <w:tc>
          <w:tcPr>
            <w:tcW w:w="1418" w:type="dxa"/>
            <w:tcBorders>
              <w:top w:val="single"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ind w:left="340" w:hanging="170"/>
              <w:jc w:val="left"/>
              <w:rPr>
                <w:iCs/>
                <w:color w:val="000000"/>
                <w:sz w:val="18"/>
              </w:rPr>
            </w:pPr>
            <w:r w:rsidRPr="00A6443F">
              <w:rPr>
                <w:iCs/>
                <w:color w:val="000000"/>
                <w:sz w:val="18"/>
              </w:rPr>
              <w:t>Solanum lycopersicum L.</w:t>
            </w:r>
            <w:r w:rsidRPr="00A6443F">
              <w:rPr>
                <w:color w:val="000000"/>
                <w:sz w:val="18"/>
              </w:rPr>
              <w:t xml:space="preserve"> </w:t>
            </w:r>
            <w:r w:rsidRPr="00A6443F">
              <w:rPr>
                <w:iCs/>
                <w:strike/>
                <w:color w:val="000000"/>
                <w:sz w:val="18"/>
              </w:rPr>
              <w:br/>
            </w:r>
            <w:r w:rsidRPr="00A6443F">
              <w:rPr>
                <w:iCs/>
                <w:color w:val="000000"/>
                <w:sz w:val="18"/>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bookmarkStart w:id="10" w:name="OLE_LINK1"/>
            <w:bookmarkStart w:id="11" w:name="OLE_LINK2"/>
            <w:r w:rsidRPr="00A6443F">
              <w:rPr>
                <w:color w:val="000000"/>
                <w:sz w:val="18"/>
              </w:rPr>
              <w:t>SOLAN_</w:t>
            </w:r>
            <w:bookmarkEnd w:id="10"/>
            <w:bookmarkEnd w:id="11"/>
            <w:r w:rsidRPr="00A6443F">
              <w:rPr>
                <w:color w:val="000000"/>
                <w:sz w:val="18"/>
              </w:rPr>
              <w:t>LYC</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ind w:left="340" w:hanging="170"/>
              <w:jc w:val="left"/>
              <w:rPr>
                <w:iCs/>
                <w:color w:val="000000"/>
                <w:sz w:val="18"/>
                <w:lang w:val="en-GB"/>
              </w:rPr>
            </w:pPr>
            <w:r w:rsidRPr="00A6443F">
              <w:rPr>
                <w:sz w:val="18"/>
                <w:lang w:val="en-GB"/>
              </w:rPr>
              <w:t xml:space="preserve">Solanum cheesmaniae (L. Ridley) Fosberg </w:t>
            </w:r>
            <w:r w:rsidRPr="00A6443F">
              <w:rPr>
                <w:sz w:val="18"/>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r w:rsidRPr="00A6443F">
              <w:rPr>
                <w:color w:val="000000"/>
                <w:sz w:val="18"/>
              </w:rPr>
              <w:t>SOLAN_CHE</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r w:rsidRPr="00A6443F">
              <w:rPr>
                <w:color w:val="000000"/>
                <w:sz w:val="18"/>
              </w:rPr>
              <w:t>SOLAN_CHI</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SOLAN_CHM</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rPr>
            </w:pPr>
            <w:r w:rsidRPr="00A6443F">
              <w:rPr>
                <w:sz w:val="18"/>
              </w:rPr>
              <w:t>Solanum galapagense S.C. Darwin &amp; Peralta</w:t>
            </w:r>
            <w:r w:rsidRPr="00A6443F">
              <w:rPr>
                <w:sz w:val="18"/>
              </w:rPr>
              <w:br/>
              <w:t>(Lycopersicon cheesmaniae f. minor (Hook. f.) C. H. Müll.)</w:t>
            </w:r>
            <w:r w:rsidRPr="00A6443F">
              <w:rPr>
                <w:sz w:val="18"/>
              </w:rPr>
              <w:br/>
              <w:t>(Lycopersicon cheesmaniae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SOLAN_GAL</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rPr>
            </w:pPr>
            <w:r w:rsidRPr="00A6443F">
              <w:rPr>
                <w:sz w:val="18"/>
              </w:rPr>
              <w:t>Solanum habrochaites S. Knapp &amp; D.M. Spooner</w:t>
            </w:r>
            <w:r w:rsidRPr="00A6443F">
              <w:rPr>
                <w:sz w:val="18"/>
              </w:rPr>
              <w:br/>
              <w:t>(Lycopersicon agrimoniifolium Dunal)</w:t>
            </w:r>
            <w:r w:rsidRPr="00A6443F">
              <w:rPr>
                <w:sz w:val="18"/>
              </w:rPr>
              <w:br/>
              <w:t>(Lycopersicon hirsutum Dunal)</w:t>
            </w:r>
            <w:r w:rsidRPr="00A6443F">
              <w:rPr>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SOLAN_HAB</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lang w:val="fr-FR"/>
              </w:rPr>
            </w:pPr>
            <w:r w:rsidRPr="00A6443F">
              <w:rPr>
                <w:color w:val="000000"/>
                <w:sz w:val="18"/>
              </w:rPr>
              <w:t>SOLAN_PEN</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SOLAN_PER</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rPr>
            </w:pPr>
            <w:r w:rsidRPr="002573F0">
              <w:rPr>
                <w:sz w:val="18"/>
                <w:lang w:val="es-ES_tradnl"/>
              </w:rPr>
              <w:t>Solanum pimpinellifolium L.</w:t>
            </w:r>
            <w:r w:rsidRPr="002573F0">
              <w:rPr>
                <w:sz w:val="18"/>
                <w:lang w:val="es-ES_tradnl"/>
              </w:rPr>
              <w:br/>
              <w:t xml:space="preserve">(Lycopersicon pimpinellifolium (L.) </w:t>
            </w:r>
            <w:r w:rsidRPr="00A6443F">
              <w:rPr>
                <w:sz w:val="18"/>
              </w:rPr>
              <w:t>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SOLAN_PIM</w:t>
            </w:r>
          </w:p>
        </w:tc>
      </w:tr>
      <w:tr w:rsidR="000D59C2" w:rsidRPr="00A6443F" w:rsidTr="00BE58AC">
        <w:trPr>
          <w:cantSplit/>
        </w:trPr>
        <w:tc>
          <w:tcPr>
            <w:tcW w:w="1418" w:type="dxa"/>
            <w:tcBorders>
              <w:top w:val="dotted" w:sz="4" w:space="0" w:color="auto"/>
              <w:left w:val="single" w:sz="4" w:space="0" w:color="auto"/>
              <w:bottom w:val="single" w:sz="4" w:space="0" w:color="auto"/>
              <w:right w:val="single" w:sz="4" w:space="0" w:color="auto"/>
            </w:tcBorders>
          </w:tcPr>
          <w:p w:rsidR="000D59C2" w:rsidRPr="00A6443F" w:rsidRDefault="000D59C2" w:rsidP="00BE58AC">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0D59C2" w:rsidRPr="00A6443F" w:rsidRDefault="000D59C2" w:rsidP="00BE58AC">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0D59C2" w:rsidRPr="00A6443F" w:rsidRDefault="000D59C2" w:rsidP="00BE58AC">
            <w:pPr>
              <w:spacing w:before="40" w:after="40"/>
              <w:rPr>
                <w:color w:val="000000"/>
                <w:sz w:val="18"/>
              </w:rPr>
            </w:pPr>
          </w:p>
        </w:tc>
      </w:tr>
      <w:tr w:rsidR="000D59C2" w:rsidRPr="00A6443F" w:rsidTr="00BE58AC">
        <w:trPr>
          <w:cantSplit/>
        </w:trPr>
        <w:tc>
          <w:tcPr>
            <w:tcW w:w="1418"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SOLAN_MEL</w:t>
            </w:r>
          </w:p>
        </w:tc>
      </w:tr>
      <w:tr w:rsidR="000D59C2" w:rsidRPr="00A6443F" w:rsidTr="00BE58AC">
        <w:trPr>
          <w:cantSplit/>
        </w:trPr>
        <w:tc>
          <w:tcPr>
            <w:tcW w:w="1418"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other than classes 4.1, 4.2 and 4.3</w:t>
            </w:r>
          </w:p>
        </w:tc>
      </w:tr>
    </w:tbl>
    <w:p w:rsidR="000D59C2" w:rsidRDefault="000D59C2" w:rsidP="000D59C2"/>
    <w:p w:rsidR="000D59C2" w:rsidRPr="00407B23" w:rsidRDefault="000D59C2" w:rsidP="000D59C2"/>
    <w:p w:rsidR="000D59C2" w:rsidRPr="00407B23" w:rsidRDefault="000D59C2" w:rsidP="000D59C2">
      <w:pPr>
        <w:jc w:val="center"/>
      </w:pPr>
      <w:r w:rsidRPr="00407B23">
        <w:br w:type="page"/>
        <w:t>LIST OF CLASSES (Continuation)</w:t>
      </w:r>
    </w:p>
    <w:p w:rsidR="000D59C2" w:rsidRPr="00407B23" w:rsidRDefault="000D59C2" w:rsidP="000D59C2"/>
    <w:p w:rsidR="000D59C2" w:rsidRPr="00407B23" w:rsidRDefault="000D59C2" w:rsidP="000D59C2">
      <w:pPr>
        <w:keepNext/>
        <w:jc w:val="center"/>
        <w:rPr>
          <w:u w:val="single"/>
        </w:rPr>
      </w:pPr>
      <w:r w:rsidRPr="00407B23">
        <w:rPr>
          <w:u w:val="single"/>
        </w:rPr>
        <w:t>Part II</w:t>
      </w:r>
    </w:p>
    <w:p w:rsidR="000D59C2" w:rsidRPr="00407B23" w:rsidRDefault="000D59C2" w:rsidP="000D59C2"/>
    <w:p w:rsidR="000D59C2" w:rsidRDefault="000D59C2" w:rsidP="000D59C2">
      <w:pPr>
        <w:jc w:val="center"/>
        <w:rPr>
          <w:i/>
        </w:rPr>
      </w:pPr>
      <w:r w:rsidRPr="00407B23">
        <w:rPr>
          <w:i/>
        </w:rPr>
        <w:t>Classes encompassing more than one genus</w:t>
      </w:r>
      <w:r w:rsidRPr="00407B23">
        <w:rPr>
          <w:i/>
        </w:rPr>
        <w:br/>
      </w:r>
    </w:p>
    <w:p w:rsidR="000D59C2" w:rsidRPr="00407B23" w:rsidRDefault="000D59C2" w:rsidP="000D59C2">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677"/>
        <w:gridCol w:w="3830"/>
      </w:tblGrid>
      <w:tr w:rsidR="000D59C2" w:rsidRPr="00A6443F" w:rsidTr="00A6443F">
        <w:trPr>
          <w:cantSplit/>
          <w:tblHeader/>
        </w:trPr>
        <w:tc>
          <w:tcPr>
            <w:tcW w:w="1277" w:type="dxa"/>
            <w:shd w:val="clear" w:color="auto" w:fill="D9D9D9" w:themeFill="background1" w:themeFillShade="D9"/>
            <w:vAlign w:val="center"/>
          </w:tcPr>
          <w:p w:rsidR="000D59C2" w:rsidRPr="00A6443F" w:rsidRDefault="000D59C2" w:rsidP="00BE58AC">
            <w:pPr>
              <w:spacing w:before="40" w:after="40"/>
              <w:jc w:val="left"/>
              <w:rPr>
                <w:sz w:val="18"/>
                <w:szCs w:val="18"/>
                <w:u w:val="single"/>
              </w:rPr>
            </w:pPr>
          </w:p>
        </w:tc>
        <w:tc>
          <w:tcPr>
            <w:tcW w:w="4677" w:type="dxa"/>
            <w:shd w:val="clear" w:color="auto" w:fill="D9D9D9" w:themeFill="background1" w:themeFillShade="D9"/>
            <w:vAlign w:val="center"/>
          </w:tcPr>
          <w:p w:rsidR="000D59C2" w:rsidRPr="00A6443F" w:rsidRDefault="000D59C2" w:rsidP="00BE58AC">
            <w:pPr>
              <w:spacing w:before="40" w:after="40"/>
              <w:jc w:val="center"/>
              <w:rPr>
                <w:sz w:val="18"/>
                <w:szCs w:val="18"/>
                <w:u w:val="single"/>
              </w:rPr>
            </w:pPr>
            <w:r w:rsidRPr="00A6443F">
              <w:rPr>
                <w:sz w:val="18"/>
                <w:szCs w:val="18"/>
                <w:u w:val="single"/>
              </w:rPr>
              <w:t>Botanical names</w:t>
            </w:r>
          </w:p>
        </w:tc>
        <w:tc>
          <w:tcPr>
            <w:tcW w:w="3830" w:type="dxa"/>
            <w:shd w:val="clear" w:color="auto" w:fill="D9D9D9" w:themeFill="background1" w:themeFillShade="D9"/>
            <w:vAlign w:val="center"/>
          </w:tcPr>
          <w:p w:rsidR="000D59C2" w:rsidRPr="00A6443F" w:rsidRDefault="000D59C2" w:rsidP="00BE58AC">
            <w:pPr>
              <w:spacing w:before="40" w:after="40"/>
              <w:jc w:val="center"/>
              <w:rPr>
                <w:sz w:val="18"/>
                <w:szCs w:val="18"/>
                <w:u w:val="single"/>
              </w:rPr>
            </w:pPr>
            <w:r w:rsidRPr="00A6443F">
              <w:rPr>
                <w:sz w:val="18"/>
                <w:szCs w:val="18"/>
                <w:u w:val="single"/>
              </w:rPr>
              <w:t>UPOV codes</w:t>
            </w:r>
          </w:p>
        </w:tc>
      </w:tr>
      <w:tr w:rsidR="000D59C2" w:rsidRPr="00A6443F" w:rsidTr="00A6443F">
        <w:trPr>
          <w:cantSplit/>
          <w:tblHeader/>
        </w:trPr>
        <w:tc>
          <w:tcPr>
            <w:tcW w:w="1277" w:type="dxa"/>
            <w:tcBorders>
              <w:top w:val="nil"/>
              <w:left w:val="nil"/>
              <w:bottom w:val="nil"/>
              <w:right w:val="nil"/>
            </w:tcBorders>
          </w:tcPr>
          <w:p w:rsidR="000D59C2" w:rsidRPr="00A6443F" w:rsidRDefault="000D59C2" w:rsidP="00BE58AC">
            <w:pPr>
              <w:keepNext/>
              <w:spacing w:before="40" w:after="40"/>
              <w:jc w:val="left"/>
              <w:rPr>
                <w:sz w:val="10"/>
                <w:szCs w:val="18"/>
              </w:rPr>
            </w:pPr>
          </w:p>
        </w:tc>
        <w:tc>
          <w:tcPr>
            <w:tcW w:w="4677" w:type="dxa"/>
            <w:tcBorders>
              <w:top w:val="nil"/>
              <w:left w:val="nil"/>
              <w:bottom w:val="nil"/>
              <w:right w:val="nil"/>
            </w:tcBorders>
          </w:tcPr>
          <w:p w:rsidR="000D59C2" w:rsidRPr="00A6443F" w:rsidRDefault="000D59C2" w:rsidP="00BE58AC">
            <w:pPr>
              <w:keepNext/>
              <w:spacing w:before="40" w:after="40"/>
              <w:jc w:val="left"/>
              <w:rPr>
                <w:sz w:val="10"/>
                <w:szCs w:val="18"/>
              </w:rPr>
            </w:pPr>
          </w:p>
        </w:tc>
        <w:tc>
          <w:tcPr>
            <w:tcW w:w="3830" w:type="dxa"/>
            <w:tcBorders>
              <w:top w:val="nil"/>
              <w:left w:val="nil"/>
              <w:bottom w:val="nil"/>
              <w:right w:val="nil"/>
            </w:tcBorders>
          </w:tcPr>
          <w:p w:rsidR="000D59C2" w:rsidRPr="00A6443F" w:rsidRDefault="000D59C2" w:rsidP="00BE58AC">
            <w:pPr>
              <w:keepNext/>
              <w:spacing w:before="40" w:after="40"/>
              <w:jc w:val="left"/>
              <w:rPr>
                <w:sz w:val="10"/>
                <w:szCs w:val="18"/>
              </w:rPr>
            </w:pPr>
          </w:p>
        </w:tc>
      </w:tr>
      <w:tr w:rsidR="000D59C2" w:rsidRPr="00A6443F" w:rsidTr="00A6443F">
        <w:trPr>
          <w:cantSplit/>
        </w:trPr>
        <w:tc>
          <w:tcPr>
            <w:tcW w:w="1277" w:type="dxa"/>
            <w:tcBorders>
              <w:top w:val="single" w:sz="4" w:space="0" w:color="auto"/>
            </w:tcBorders>
          </w:tcPr>
          <w:p w:rsidR="000D59C2" w:rsidRPr="00A6443F" w:rsidRDefault="000D59C2" w:rsidP="00BE58AC">
            <w:pPr>
              <w:spacing w:before="40" w:after="40"/>
              <w:jc w:val="left"/>
              <w:rPr>
                <w:sz w:val="18"/>
                <w:szCs w:val="18"/>
              </w:rPr>
            </w:pPr>
            <w:r w:rsidRPr="00A6443F">
              <w:rPr>
                <w:sz w:val="18"/>
                <w:szCs w:val="18"/>
              </w:rPr>
              <w:t>Class 201</w:t>
            </w:r>
          </w:p>
        </w:tc>
        <w:tc>
          <w:tcPr>
            <w:tcW w:w="4677" w:type="dxa"/>
            <w:tcBorders>
              <w:top w:val="single" w:sz="4" w:space="0" w:color="auto"/>
            </w:tcBorders>
          </w:tcPr>
          <w:p w:rsidR="000D59C2" w:rsidRPr="00A6443F" w:rsidRDefault="000D59C2" w:rsidP="00BE58AC">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3830" w:type="dxa"/>
            <w:tcBorders>
              <w:top w:val="single" w:sz="4" w:space="0" w:color="auto"/>
            </w:tcBorders>
          </w:tcPr>
          <w:p w:rsidR="000D59C2" w:rsidRPr="00A6443F" w:rsidRDefault="000D59C2" w:rsidP="00BE58AC">
            <w:pPr>
              <w:keepNext/>
              <w:spacing w:before="40" w:after="40"/>
              <w:jc w:val="left"/>
              <w:rPr>
                <w:sz w:val="18"/>
                <w:szCs w:val="18"/>
              </w:rPr>
            </w:pPr>
            <w:r w:rsidRPr="00A6443F">
              <w:rPr>
                <w:sz w:val="18"/>
                <w:szCs w:val="18"/>
              </w:rPr>
              <w:t>SECAL;  TRITL;  TRITI</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202</w:t>
            </w:r>
          </w:p>
        </w:tc>
        <w:tc>
          <w:tcPr>
            <w:tcW w:w="4677" w:type="dxa"/>
          </w:tcPr>
          <w:p w:rsidR="000D59C2" w:rsidRPr="00A6443F" w:rsidRDefault="000D59C2" w:rsidP="00BE58AC">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3830" w:type="dxa"/>
          </w:tcPr>
          <w:p w:rsidR="000D59C2" w:rsidRPr="00A6443F" w:rsidRDefault="000D59C2" w:rsidP="00BE58AC">
            <w:pPr>
              <w:keepNext/>
              <w:spacing w:before="40" w:after="40"/>
              <w:jc w:val="left"/>
              <w:rPr>
                <w:sz w:val="18"/>
                <w:szCs w:val="18"/>
              </w:rPr>
            </w:pPr>
            <w:r w:rsidRPr="00A6443F">
              <w:rPr>
                <w:sz w:val="18"/>
                <w:szCs w:val="18"/>
              </w:rPr>
              <w:t>MEGAT;  PANIC;  SETAR;  STEIN</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10"/>
              <w:t>*</w:t>
            </w:r>
          </w:p>
        </w:tc>
        <w:tc>
          <w:tcPr>
            <w:tcW w:w="4677" w:type="dxa"/>
          </w:tcPr>
          <w:p w:rsidR="000D59C2" w:rsidRPr="00A6443F" w:rsidRDefault="000D59C2" w:rsidP="00BE58AC">
            <w:pPr>
              <w:keepNext/>
              <w:spacing w:before="40" w:after="40"/>
              <w:jc w:val="left"/>
              <w:rPr>
                <w:sz w:val="18"/>
                <w:szCs w:val="18"/>
              </w:rPr>
            </w:pPr>
            <w:r w:rsidRPr="00A6443F">
              <w:rPr>
                <w:sz w:val="18"/>
                <w:szCs w:val="18"/>
              </w:rPr>
              <w:t>Agrostis, Dactylis, Festuca, Festulolium, Lolium, Phalaris, Phleum and Poa</w:t>
            </w:r>
          </w:p>
        </w:tc>
        <w:tc>
          <w:tcPr>
            <w:tcW w:w="3830" w:type="dxa"/>
          </w:tcPr>
          <w:p w:rsidR="000D59C2" w:rsidRPr="00A6443F" w:rsidRDefault="000D59C2" w:rsidP="00BE58AC">
            <w:pPr>
              <w:keepNext/>
              <w:spacing w:before="40" w:after="40"/>
              <w:jc w:val="left"/>
              <w:rPr>
                <w:sz w:val="18"/>
                <w:szCs w:val="18"/>
              </w:rPr>
            </w:pPr>
            <w:r w:rsidRPr="00A6443F">
              <w:rPr>
                <w:sz w:val="18"/>
                <w:szCs w:val="18"/>
              </w:rPr>
              <w:t xml:space="preserve">AGROS;  DCTLS;  FESTU;  FESTL;  LOLIU;  PHALR;  PHLEU;  POAAA </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204</w:t>
            </w:r>
            <w:r w:rsidRPr="00A6443F">
              <w:rPr>
                <w:sz w:val="18"/>
                <w:szCs w:val="18"/>
                <w:vertAlign w:val="superscript"/>
              </w:rPr>
              <w:t>*</w:t>
            </w:r>
          </w:p>
        </w:tc>
        <w:tc>
          <w:tcPr>
            <w:tcW w:w="4677" w:type="dxa"/>
          </w:tcPr>
          <w:p w:rsidR="000D59C2" w:rsidRPr="00A6443F" w:rsidRDefault="000D59C2" w:rsidP="00BE58AC">
            <w:pPr>
              <w:keepNext/>
              <w:spacing w:before="40" w:after="40"/>
              <w:jc w:val="left"/>
              <w:rPr>
                <w:sz w:val="18"/>
                <w:szCs w:val="18"/>
              </w:rPr>
            </w:pPr>
            <w:r w:rsidRPr="00A6443F">
              <w:rPr>
                <w:sz w:val="18"/>
                <w:szCs w:val="18"/>
              </w:rPr>
              <w:t>Lotus, Medicago, Ornithopus, Onobrychis, Trifolium</w:t>
            </w:r>
          </w:p>
        </w:tc>
        <w:tc>
          <w:tcPr>
            <w:tcW w:w="3830" w:type="dxa"/>
          </w:tcPr>
          <w:p w:rsidR="000D59C2" w:rsidRPr="00A6443F" w:rsidRDefault="000D59C2" w:rsidP="00BE58AC">
            <w:pPr>
              <w:keepNext/>
              <w:spacing w:before="40" w:after="40"/>
              <w:jc w:val="left"/>
              <w:rPr>
                <w:sz w:val="18"/>
                <w:szCs w:val="18"/>
              </w:rPr>
            </w:pPr>
            <w:r w:rsidRPr="00A6443F">
              <w:rPr>
                <w:sz w:val="18"/>
                <w:szCs w:val="18"/>
              </w:rPr>
              <w:t>LOTUS;  MEDIC;  ORNTP;  ONOBR;  TRFOL</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205</w:t>
            </w:r>
          </w:p>
        </w:tc>
        <w:tc>
          <w:tcPr>
            <w:tcW w:w="4677" w:type="dxa"/>
          </w:tcPr>
          <w:p w:rsidR="000D59C2" w:rsidRPr="00A6443F" w:rsidRDefault="000D59C2" w:rsidP="00BE58AC">
            <w:pPr>
              <w:keepNext/>
              <w:spacing w:before="40" w:after="40"/>
              <w:jc w:val="left"/>
              <w:rPr>
                <w:sz w:val="18"/>
                <w:szCs w:val="18"/>
              </w:rPr>
            </w:pPr>
            <w:r w:rsidRPr="00A6443F">
              <w:rPr>
                <w:sz w:val="18"/>
                <w:szCs w:val="18"/>
              </w:rPr>
              <w:t xml:space="preserve">Cichorium, Lactuca </w:t>
            </w:r>
          </w:p>
        </w:tc>
        <w:tc>
          <w:tcPr>
            <w:tcW w:w="3830" w:type="dxa"/>
          </w:tcPr>
          <w:p w:rsidR="000D59C2" w:rsidRPr="00A6443F" w:rsidRDefault="000D59C2" w:rsidP="00BE58AC">
            <w:pPr>
              <w:keepNext/>
              <w:spacing w:before="40" w:after="40"/>
              <w:jc w:val="left"/>
              <w:rPr>
                <w:sz w:val="18"/>
                <w:szCs w:val="18"/>
              </w:rPr>
            </w:pPr>
            <w:r w:rsidRPr="00A6443F">
              <w:rPr>
                <w:sz w:val="18"/>
                <w:szCs w:val="18"/>
              </w:rPr>
              <w:t>CICHO;  LACTU</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206</w:t>
            </w:r>
          </w:p>
        </w:tc>
        <w:tc>
          <w:tcPr>
            <w:tcW w:w="4677" w:type="dxa"/>
          </w:tcPr>
          <w:p w:rsidR="000D59C2" w:rsidRPr="00A6443F" w:rsidRDefault="000D59C2" w:rsidP="00BE58AC">
            <w:pPr>
              <w:keepNext/>
              <w:spacing w:before="40" w:after="40"/>
              <w:jc w:val="left"/>
              <w:rPr>
                <w:sz w:val="18"/>
                <w:szCs w:val="18"/>
              </w:rPr>
            </w:pPr>
            <w:r w:rsidRPr="00A6443F">
              <w:rPr>
                <w:sz w:val="18"/>
                <w:szCs w:val="18"/>
              </w:rPr>
              <w:t>Petunia and Calibrachoa</w:t>
            </w:r>
          </w:p>
        </w:tc>
        <w:tc>
          <w:tcPr>
            <w:tcW w:w="3830" w:type="dxa"/>
          </w:tcPr>
          <w:p w:rsidR="000D59C2" w:rsidRPr="00A6443F" w:rsidRDefault="000D59C2" w:rsidP="00BE58AC">
            <w:pPr>
              <w:keepNext/>
              <w:spacing w:before="40" w:after="40"/>
              <w:jc w:val="left"/>
              <w:rPr>
                <w:sz w:val="18"/>
                <w:szCs w:val="18"/>
              </w:rPr>
            </w:pPr>
            <w:r w:rsidRPr="00A6443F">
              <w:rPr>
                <w:sz w:val="18"/>
                <w:szCs w:val="18"/>
              </w:rPr>
              <w:t>PETUN;  CALIB</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207</w:t>
            </w:r>
          </w:p>
        </w:tc>
        <w:tc>
          <w:tcPr>
            <w:tcW w:w="4677" w:type="dxa"/>
          </w:tcPr>
          <w:p w:rsidR="000D59C2" w:rsidRPr="00A6443F" w:rsidRDefault="000D59C2" w:rsidP="00BE58AC">
            <w:pPr>
              <w:keepNext/>
              <w:spacing w:before="40" w:after="40"/>
              <w:jc w:val="left"/>
              <w:rPr>
                <w:sz w:val="18"/>
                <w:szCs w:val="18"/>
              </w:rPr>
            </w:pPr>
            <w:r w:rsidRPr="00A6443F">
              <w:rPr>
                <w:sz w:val="18"/>
                <w:szCs w:val="18"/>
              </w:rPr>
              <w:t>Chrysanthemum and Ajania</w:t>
            </w:r>
          </w:p>
        </w:tc>
        <w:tc>
          <w:tcPr>
            <w:tcW w:w="3830" w:type="dxa"/>
          </w:tcPr>
          <w:p w:rsidR="000D59C2" w:rsidRPr="00A6443F" w:rsidRDefault="000D59C2" w:rsidP="00BE58AC">
            <w:pPr>
              <w:keepNext/>
              <w:spacing w:before="40" w:after="40"/>
              <w:jc w:val="left"/>
              <w:rPr>
                <w:sz w:val="18"/>
                <w:szCs w:val="18"/>
              </w:rPr>
            </w:pPr>
            <w:r w:rsidRPr="00A6443F">
              <w:rPr>
                <w:sz w:val="18"/>
                <w:szCs w:val="18"/>
              </w:rPr>
              <w:t>CHRYS;  AJANI</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208</w:t>
            </w:r>
          </w:p>
        </w:tc>
        <w:tc>
          <w:tcPr>
            <w:tcW w:w="4677" w:type="dxa"/>
          </w:tcPr>
          <w:p w:rsidR="000D59C2" w:rsidRPr="00A6443F" w:rsidRDefault="000D59C2" w:rsidP="00BE58AC">
            <w:pPr>
              <w:keepNext/>
              <w:spacing w:before="40" w:after="40"/>
              <w:jc w:val="left"/>
              <w:rPr>
                <w:sz w:val="18"/>
                <w:szCs w:val="18"/>
              </w:rPr>
            </w:pPr>
            <w:r w:rsidRPr="00A6443F">
              <w:rPr>
                <w:sz w:val="18"/>
                <w:szCs w:val="18"/>
              </w:rPr>
              <w:t>(Statice) Goniolimon, Limonium, Psylliostachys</w:t>
            </w:r>
          </w:p>
        </w:tc>
        <w:tc>
          <w:tcPr>
            <w:tcW w:w="3830" w:type="dxa"/>
          </w:tcPr>
          <w:p w:rsidR="000D59C2" w:rsidRPr="00A6443F" w:rsidRDefault="000D59C2" w:rsidP="00BE58AC">
            <w:pPr>
              <w:keepNext/>
              <w:spacing w:before="40" w:after="40"/>
              <w:jc w:val="left"/>
              <w:rPr>
                <w:sz w:val="18"/>
                <w:szCs w:val="18"/>
              </w:rPr>
            </w:pPr>
            <w:r w:rsidRPr="00A6443F">
              <w:rPr>
                <w:sz w:val="18"/>
                <w:szCs w:val="18"/>
              </w:rPr>
              <w:t>GONIO;  LIMON;  PSYLL</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209</w:t>
            </w:r>
          </w:p>
        </w:tc>
        <w:tc>
          <w:tcPr>
            <w:tcW w:w="4677" w:type="dxa"/>
          </w:tcPr>
          <w:p w:rsidR="000D59C2" w:rsidRPr="00A6443F" w:rsidRDefault="000D59C2" w:rsidP="00BE58AC">
            <w:pPr>
              <w:keepNext/>
              <w:spacing w:before="40" w:after="40"/>
              <w:jc w:val="left"/>
              <w:rPr>
                <w:sz w:val="18"/>
                <w:szCs w:val="18"/>
              </w:rPr>
            </w:pPr>
            <w:r w:rsidRPr="00A6443F">
              <w:rPr>
                <w:sz w:val="18"/>
                <w:szCs w:val="18"/>
              </w:rPr>
              <w:t>(Waxflower) Chamelaucium, Verticordia</w:t>
            </w:r>
          </w:p>
        </w:tc>
        <w:tc>
          <w:tcPr>
            <w:tcW w:w="3830" w:type="dxa"/>
          </w:tcPr>
          <w:p w:rsidR="000D59C2" w:rsidRPr="00A6443F" w:rsidRDefault="000D59C2" w:rsidP="00BE58AC">
            <w:pPr>
              <w:keepNext/>
              <w:spacing w:before="40" w:after="40"/>
              <w:jc w:val="left"/>
              <w:rPr>
                <w:sz w:val="18"/>
                <w:szCs w:val="18"/>
              </w:rPr>
            </w:pPr>
            <w:r w:rsidRPr="00A6443F">
              <w:rPr>
                <w:sz w:val="18"/>
                <w:szCs w:val="18"/>
              </w:rPr>
              <w:t>CHMLC;  VERTI;  VECHM</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210</w:t>
            </w:r>
          </w:p>
        </w:tc>
        <w:tc>
          <w:tcPr>
            <w:tcW w:w="4677" w:type="dxa"/>
          </w:tcPr>
          <w:p w:rsidR="000D59C2" w:rsidRPr="00A6443F" w:rsidRDefault="000D59C2" w:rsidP="00BE58AC">
            <w:pPr>
              <w:keepNext/>
              <w:spacing w:before="40" w:after="40"/>
              <w:jc w:val="left"/>
              <w:rPr>
                <w:sz w:val="18"/>
                <w:szCs w:val="18"/>
              </w:rPr>
            </w:pPr>
            <w:r w:rsidRPr="00A6443F">
              <w:rPr>
                <w:sz w:val="18"/>
                <w:szCs w:val="18"/>
              </w:rPr>
              <w:t>Jamesbrittania and Sutera</w:t>
            </w:r>
          </w:p>
        </w:tc>
        <w:tc>
          <w:tcPr>
            <w:tcW w:w="3830" w:type="dxa"/>
          </w:tcPr>
          <w:p w:rsidR="000D59C2" w:rsidRPr="00A6443F" w:rsidRDefault="000D59C2" w:rsidP="00BE58AC">
            <w:pPr>
              <w:keepNext/>
              <w:spacing w:before="40" w:after="40"/>
              <w:jc w:val="left"/>
              <w:rPr>
                <w:sz w:val="18"/>
                <w:szCs w:val="18"/>
              </w:rPr>
            </w:pPr>
            <w:r w:rsidRPr="00A6443F">
              <w:rPr>
                <w:sz w:val="18"/>
                <w:szCs w:val="18"/>
              </w:rPr>
              <w:t>JAMES; SUTER</w:t>
            </w:r>
          </w:p>
        </w:tc>
      </w:tr>
      <w:tr w:rsidR="000D59C2" w:rsidRPr="00A6443F" w:rsidTr="00A6443F">
        <w:trPr>
          <w:cantSplit/>
        </w:trPr>
        <w:tc>
          <w:tcPr>
            <w:tcW w:w="1277" w:type="dxa"/>
          </w:tcPr>
          <w:p w:rsidR="000D59C2" w:rsidRPr="00A6443F" w:rsidRDefault="000D59C2" w:rsidP="00BE58AC">
            <w:pPr>
              <w:spacing w:before="40" w:after="40"/>
              <w:ind w:left="567" w:right="113" w:hanging="567"/>
              <w:jc w:val="left"/>
              <w:rPr>
                <w:sz w:val="18"/>
                <w:szCs w:val="18"/>
              </w:rPr>
            </w:pPr>
            <w:r w:rsidRPr="00A6443F">
              <w:rPr>
                <w:sz w:val="18"/>
                <w:szCs w:val="18"/>
              </w:rPr>
              <w:t>Class 211</w:t>
            </w:r>
          </w:p>
        </w:tc>
        <w:tc>
          <w:tcPr>
            <w:tcW w:w="4677" w:type="dxa"/>
          </w:tcPr>
          <w:p w:rsidR="000D59C2" w:rsidRPr="00A6443F" w:rsidRDefault="000D59C2" w:rsidP="00BE58AC">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3830" w:type="dxa"/>
          </w:tcPr>
          <w:p w:rsidR="000D59C2" w:rsidRPr="00A6443F" w:rsidRDefault="000D59C2" w:rsidP="00BE58AC">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0D59C2" w:rsidRPr="00A6443F" w:rsidTr="00A6443F">
        <w:trPr>
          <w:cantSplit/>
        </w:trPr>
        <w:tc>
          <w:tcPr>
            <w:tcW w:w="1277" w:type="dxa"/>
          </w:tcPr>
          <w:p w:rsidR="000D59C2" w:rsidRPr="00A6443F" w:rsidRDefault="000D59C2" w:rsidP="00BE58AC">
            <w:pPr>
              <w:spacing w:before="40" w:after="40"/>
              <w:ind w:left="567" w:right="113" w:hanging="567"/>
              <w:jc w:val="left"/>
              <w:rPr>
                <w:sz w:val="18"/>
                <w:szCs w:val="18"/>
              </w:rPr>
            </w:pPr>
            <w:r w:rsidRPr="00A6443F">
              <w:rPr>
                <w:snapToGrid w:val="0"/>
                <w:sz w:val="18"/>
                <w:szCs w:val="18"/>
              </w:rPr>
              <w:t>Class 212</w:t>
            </w:r>
          </w:p>
        </w:tc>
        <w:tc>
          <w:tcPr>
            <w:tcW w:w="4677" w:type="dxa"/>
          </w:tcPr>
          <w:p w:rsidR="000D59C2" w:rsidRPr="00A6443F" w:rsidRDefault="000D59C2" w:rsidP="00A6443F">
            <w:pPr>
              <w:tabs>
                <w:tab w:val="left" w:pos="6373"/>
                <w:tab w:val="left" w:pos="9066"/>
              </w:tabs>
              <w:spacing w:before="40" w:after="40"/>
              <w:ind w:left="301" w:right="113" w:hanging="301"/>
              <w:jc w:val="left"/>
              <w:rPr>
                <w:sz w:val="18"/>
                <w:szCs w:val="18"/>
              </w:rPr>
            </w:pPr>
            <w:r w:rsidRPr="00A6443F">
              <w:rPr>
                <w:sz w:val="18"/>
                <w:szCs w:val="18"/>
              </w:rPr>
              <w:t>Verbena L. and Glandularia J. F. Gmel.</w:t>
            </w:r>
          </w:p>
        </w:tc>
        <w:tc>
          <w:tcPr>
            <w:tcW w:w="3830" w:type="dxa"/>
          </w:tcPr>
          <w:p w:rsidR="000D59C2" w:rsidRPr="00A6443F" w:rsidRDefault="000D59C2" w:rsidP="00BE58AC">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0D59C2" w:rsidRPr="00A6443F" w:rsidTr="00A6443F">
        <w:tblPrEx>
          <w:tblCellMar>
            <w:left w:w="56" w:type="dxa"/>
            <w:right w:w="56" w:type="dxa"/>
          </w:tblCellMar>
        </w:tblPrEx>
        <w:trPr>
          <w:cantSplit/>
        </w:trPr>
        <w:tc>
          <w:tcPr>
            <w:tcW w:w="1277" w:type="dxa"/>
            <w:tcBorders>
              <w:top w:val="single" w:sz="4" w:space="0" w:color="auto"/>
              <w:left w:val="single" w:sz="4" w:space="0" w:color="auto"/>
              <w:bottom w:val="nil"/>
              <w:right w:val="single" w:sz="4" w:space="0" w:color="auto"/>
            </w:tcBorders>
            <w:shd w:val="clear" w:color="auto" w:fill="auto"/>
          </w:tcPr>
          <w:p w:rsidR="000D59C2" w:rsidRPr="00A6443F" w:rsidRDefault="000D59C2" w:rsidP="00A6443F">
            <w:pPr>
              <w:spacing w:before="40"/>
              <w:ind w:left="301" w:right="113" w:hanging="301"/>
              <w:jc w:val="left"/>
              <w:rPr>
                <w:sz w:val="18"/>
                <w:szCs w:val="18"/>
              </w:rPr>
            </w:pPr>
            <w:r w:rsidRPr="00A6443F">
              <w:rPr>
                <w:sz w:val="18"/>
                <w:szCs w:val="18"/>
              </w:rPr>
              <w:t>Class 213</w:t>
            </w:r>
          </w:p>
        </w:tc>
        <w:tc>
          <w:tcPr>
            <w:tcW w:w="4677" w:type="dxa"/>
            <w:tcBorders>
              <w:top w:val="single" w:sz="4" w:space="0" w:color="auto"/>
              <w:left w:val="single" w:sz="4" w:space="0" w:color="auto"/>
              <w:bottom w:val="nil"/>
              <w:right w:val="single" w:sz="4" w:space="0" w:color="auto"/>
            </w:tcBorders>
            <w:shd w:val="clear" w:color="auto" w:fill="auto"/>
          </w:tcPr>
          <w:p w:rsidR="000D59C2" w:rsidRPr="00A6443F" w:rsidRDefault="000D59C2" w:rsidP="00A6443F">
            <w:pPr>
              <w:spacing w:before="40"/>
              <w:ind w:left="301" w:right="113" w:hanging="301"/>
              <w:jc w:val="left"/>
              <w:rPr>
                <w:color w:val="000000"/>
                <w:sz w:val="18"/>
                <w:szCs w:val="18"/>
              </w:rPr>
            </w:pPr>
            <w:r w:rsidRPr="00A6443F">
              <w:rPr>
                <w:color w:val="000000"/>
                <w:sz w:val="18"/>
                <w:szCs w:val="18"/>
              </w:rPr>
              <w:t>Eupatorium L.</w:t>
            </w:r>
          </w:p>
        </w:tc>
        <w:tc>
          <w:tcPr>
            <w:tcW w:w="3830" w:type="dxa"/>
            <w:tcBorders>
              <w:top w:val="single" w:sz="4" w:space="0" w:color="auto"/>
              <w:left w:val="single" w:sz="4" w:space="0" w:color="auto"/>
              <w:bottom w:val="nil"/>
              <w:right w:val="single" w:sz="4" w:space="0" w:color="auto"/>
            </w:tcBorders>
            <w:shd w:val="clear" w:color="auto" w:fill="auto"/>
          </w:tcPr>
          <w:p w:rsidR="000D59C2" w:rsidRPr="00A6443F" w:rsidRDefault="000D59C2" w:rsidP="00A6443F">
            <w:pPr>
              <w:spacing w:before="40"/>
              <w:ind w:left="301" w:right="113" w:hanging="301"/>
              <w:jc w:val="left"/>
              <w:rPr>
                <w:sz w:val="18"/>
                <w:szCs w:val="18"/>
              </w:rPr>
            </w:pPr>
            <w:r w:rsidRPr="00A6443F">
              <w:rPr>
                <w:sz w:val="18"/>
                <w:szCs w:val="18"/>
              </w:rPr>
              <w:t>EUPAT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color w:val="000000"/>
                <w:sz w:val="18"/>
                <w:szCs w:val="18"/>
              </w:rPr>
              <w:t>Acanthostyles R. M. King &amp; H. Rob.</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iCs/>
                <w:color w:val="000000"/>
                <w:sz w:val="18"/>
                <w:szCs w:val="18"/>
              </w:rPr>
              <w:t>Ageratina Spach</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AGERT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Asplundianthus R. M. King &amp; H. Rob.</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Bartlettina R. M. King &amp; H. Rob.</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Campuloclinium DC.</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Chromolaena DC.</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Conoclinium DC.</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Cronquistianthus R. M. King &amp; H. Rob.</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iCs/>
                <w:color w:val="000000"/>
                <w:sz w:val="18"/>
                <w:szCs w:val="18"/>
              </w:rPr>
              <w:t>Eutrochium Raf.</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EUTRO</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spacing w:before="10" w:after="10"/>
              <w:ind w:firstLine="305"/>
              <w:jc w:val="left"/>
              <w:rPr>
                <w:color w:val="000000"/>
                <w:sz w:val="18"/>
                <w:szCs w:val="18"/>
              </w:rPr>
            </w:pPr>
            <w:r w:rsidRPr="00A6443F">
              <w:rPr>
                <w:sz w:val="18"/>
                <w:szCs w:val="18"/>
              </w:rPr>
              <w:t>Fleischmannia Sch. Bip.</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spacing w:before="10" w:after="10"/>
              <w:ind w:firstLine="305"/>
              <w:jc w:val="left"/>
              <w:rPr>
                <w:sz w:val="18"/>
                <w:szCs w:val="18"/>
              </w:rPr>
            </w:pPr>
            <w:r w:rsidRPr="00A6443F">
              <w:rPr>
                <w:sz w:val="18"/>
                <w:szCs w:val="18"/>
              </w:rPr>
              <w:t>Praxelis Cass.</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single" w:sz="4" w:space="0" w:color="auto"/>
              <w:right w:val="single" w:sz="4" w:space="0" w:color="auto"/>
            </w:tcBorders>
            <w:shd w:val="clear" w:color="auto" w:fill="auto"/>
          </w:tcPr>
          <w:p w:rsidR="000D59C2" w:rsidRPr="00A6443F" w:rsidRDefault="000D59C2" w:rsidP="00BE58AC">
            <w:pPr>
              <w:spacing w:before="10" w:after="10"/>
              <w:jc w:val="left"/>
              <w:rPr>
                <w:sz w:val="18"/>
                <w:szCs w:val="18"/>
              </w:rPr>
            </w:pPr>
          </w:p>
        </w:tc>
        <w:tc>
          <w:tcPr>
            <w:tcW w:w="4677" w:type="dxa"/>
            <w:tcBorders>
              <w:top w:val="nil"/>
              <w:left w:val="single" w:sz="4" w:space="0" w:color="auto"/>
              <w:bottom w:val="single" w:sz="4" w:space="0" w:color="auto"/>
              <w:right w:val="single" w:sz="4" w:space="0" w:color="auto"/>
            </w:tcBorders>
            <w:shd w:val="clear" w:color="auto" w:fill="auto"/>
          </w:tcPr>
          <w:p w:rsidR="000D59C2" w:rsidRPr="00A6443F" w:rsidRDefault="000D59C2" w:rsidP="00A6443F">
            <w:pPr>
              <w:spacing w:before="10" w:after="10"/>
              <w:ind w:firstLine="305"/>
              <w:jc w:val="left"/>
              <w:rPr>
                <w:color w:val="000000"/>
                <w:sz w:val="18"/>
                <w:szCs w:val="18"/>
              </w:rPr>
            </w:pPr>
            <w:r w:rsidRPr="00A6443F">
              <w:rPr>
                <w:rFonts w:cs="Arial"/>
                <w:sz w:val="18"/>
                <w:szCs w:val="18"/>
              </w:rPr>
              <w:t>Viereckia R. M. King &amp; H. Rob.</w:t>
            </w:r>
          </w:p>
        </w:tc>
        <w:tc>
          <w:tcPr>
            <w:tcW w:w="3830" w:type="dxa"/>
            <w:tcBorders>
              <w:top w:val="nil"/>
              <w:left w:val="single" w:sz="4" w:space="0" w:color="auto"/>
              <w:bottom w:val="single" w:sz="4" w:space="0" w:color="auto"/>
              <w:right w:val="single" w:sz="4" w:space="0" w:color="auto"/>
            </w:tcBorders>
            <w:shd w:val="clear" w:color="auto" w:fill="auto"/>
          </w:tcPr>
          <w:p w:rsidR="000D59C2" w:rsidRPr="00A6443F" w:rsidRDefault="000D59C2" w:rsidP="00BE58AC">
            <w:pPr>
              <w:spacing w:before="10" w:after="10"/>
              <w:jc w:val="left"/>
              <w:rPr>
                <w:sz w:val="18"/>
                <w:szCs w:val="18"/>
              </w:rPr>
            </w:pPr>
            <w:r w:rsidRPr="00A6443F">
              <w:rPr>
                <w:sz w:val="18"/>
                <w:szCs w:val="18"/>
              </w:rPr>
              <w:t>-</w:t>
            </w:r>
          </w:p>
        </w:tc>
      </w:tr>
    </w:tbl>
    <w:p w:rsidR="000D59C2" w:rsidRDefault="000D59C2" w:rsidP="000D59C2">
      <w:pPr>
        <w:jc w:val="right"/>
      </w:pPr>
    </w:p>
    <w:p w:rsidR="000D59C2" w:rsidRDefault="000D59C2" w:rsidP="000D59C2">
      <w:pPr>
        <w:jc w:val="right"/>
      </w:pPr>
    </w:p>
    <w:p w:rsidR="000D59C2" w:rsidRDefault="000D59C2" w:rsidP="000D59C2">
      <w:pPr>
        <w:jc w:val="right"/>
      </w:pPr>
      <w:r>
        <w:t>[Annex II follows]</w:t>
      </w:r>
    </w:p>
    <w:p w:rsidR="000D59C2" w:rsidRPr="00407B23" w:rsidRDefault="000D59C2" w:rsidP="000D59C2">
      <w:pPr>
        <w:jc w:val="right"/>
        <w:sectPr w:rsidR="000D59C2" w:rsidRPr="00407B23" w:rsidSect="00BE58AC">
          <w:headerReference w:type="default" r:id="rId12"/>
          <w:headerReference w:type="first" r:id="rId13"/>
          <w:footerReference w:type="first" r:id="rId14"/>
          <w:pgSz w:w="11907" w:h="16840" w:code="9"/>
          <w:pgMar w:top="510" w:right="1134" w:bottom="1134" w:left="1134" w:header="510" w:footer="113" w:gutter="0"/>
          <w:pgNumType w:start="1"/>
          <w:cols w:space="720"/>
          <w:titlePg/>
        </w:sectPr>
      </w:pPr>
    </w:p>
    <w:p w:rsidR="000D59C2" w:rsidRPr="00407B23" w:rsidRDefault="000D59C2" w:rsidP="000D59C2">
      <w:pPr>
        <w:jc w:val="center"/>
        <w:rPr>
          <w:u w:val="single"/>
        </w:rPr>
      </w:pPr>
      <w:r w:rsidRPr="00407B23">
        <w:rPr>
          <w:u w:val="single"/>
        </w:rPr>
        <w:t>Model Form for Observations on Proposed Variety Denominations Submitted</w:t>
      </w:r>
    </w:p>
    <w:p w:rsidR="000D59C2" w:rsidRPr="00407B23" w:rsidRDefault="000D59C2" w:rsidP="000D59C2">
      <w:pPr>
        <w:jc w:val="center"/>
        <w:rPr>
          <w:u w:val="single"/>
        </w:rPr>
      </w:pPr>
      <w:r w:rsidRPr="00407B23">
        <w:rPr>
          <w:u w:val="single"/>
        </w:rPr>
        <w:t>to Another Member of the Union</w:t>
      </w:r>
    </w:p>
    <w:p w:rsidR="000D59C2" w:rsidRPr="00407B23" w:rsidRDefault="000D59C2" w:rsidP="000D59C2"/>
    <w:p w:rsidR="000D59C2" w:rsidRPr="00407B23" w:rsidRDefault="000D59C2" w:rsidP="000D59C2">
      <w:r w:rsidRPr="00407B23">
        <w:t>From:</w:t>
      </w:r>
    </w:p>
    <w:p w:rsidR="000D59C2" w:rsidRPr="00407B23" w:rsidRDefault="000D59C2" w:rsidP="000D59C2">
      <w:pPr>
        <w:tabs>
          <w:tab w:val="right" w:leader="underscore" w:pos="9639"/>
        </w:tabs>
        <w:ind w:left="4678"/>
        <w:jc w:val="center"/>
      </w:pPr>
      <w:r w:rsidRPr="00407B23">
        <w:tab/>
      </w:r>
    </w:p>
    <w:p w:rsidR="000D59C2" w:rsidRPr="00407B23" w:rsidRDefault="000D59C2" w:rsidP="000D59C2">
      <w:pPr>
        <w:tabs>
          <w:tab w:val="left" w:pos="4678"/>
          <w:tab w:val="right" w:leader="underscore" w:pos="9072"/>
        </w:tabs>
        <w:ind w:left="4678"/>
        <w:jc w:val="center"/>
      </w:pPr>
      <w:r w:rsidRPr="00407B23">
        <w:t>Your ref.</w:t>
      </w:r>
    </w:p>
    <w:p w:rsidR="000D59C2" w:rsidRPr="00407B23" w:rsidRDefault="000D59C2" w:rsidP="000D59C2">
      <w:pPr>
        <w:tabs>
          <w:tab w:val="left" w:pos="4678"/>
          <w:tab w:val="right" w:leader="underscore" w:pos="9639"/>
        </w:tabs>
        <w:ind w:left="4678"/>
        <w:jc w:val="center"/>
      </w:pPr>
      <w:r w:rsidRPr="00407B23">
        <w:tab/>
      </w:r>
    </w:p>
    <w:p w:rsidR="000D59C2" w:rsidRPr="00407B23" w:rsidRDefault="000D59C2" w:rsidP="000D59C2">
      <w:pPr>
        <w:tabs>
          <w:tab w:val="left" w:pos="4678"/>
          <w:tab w:val="right" w:leader="underscore" w:pos="9072"/>
        </w:tabs>
        <w:ind w:left="4678"/>
        <w:jc w:val="center"/>
      </w:pPr>
      <w:r w:rsidRPr="00407B23">
        <w:t>Our ref.</w:t>
      </w:r>
    </w:p>
    <w:p w:rsidR="000D59C2" w:rsidRPr="00407B23" w:rsidRDefault="000D59C2" w:rsidP="000D59C2"/>
    <w:p w:rsidR="000D59C2" w:rsidRPr="00407B23" w:rsidRDefault="000D59C2" w:rsidP="000D59C2"/>
    <w:p w:rsidR="000D59C2" w:rsidRPr="00407B23" w:rsidRDefault="000D59C2" w:rsidP="000D59C2">
      <w:pPr>
        <w:jc w:val="center"/>
        <w:rPr>
          <w:b/>
        </w:rPr>
      </w:pPr>
      <w:r w:rsidRPr="00407B23">
        <w:rPr>
          <w:b/>
        </w:rPr>
        <w:t>Observations on a Submitted Variety Denomination</w:t>
      </w:r>
    </w:p>
    <w:p w:rsidR="000D59C2" w:rsidRPr="00407B23" w:rsidRDefault="000D59C2" w:rsidP="000D59C2">
      <w:pPr>
        <w:jc w:val="center"/>
        <w:rPr>
          <w:b/>
        </w:rPr>
      </w:pPr>
    </w:p>
    <w:p w:rsidR="000D59C2" w:rsidRPr="00407B23" w:rsidRDefault="000D59C2" w:rsidP="000D59C2">
      <w:r w:rsidRPr="00407B23">
        <w:t xml:space="preserve">To:  </w:t>
      </w:r>
    </w:p>
    <w:p w:rsidR="000D59C2" w:rsidRPr="00407B23" w:rsidRDefault="000D59C2" w:rsidP="000D59C2"/>
    <w:p w:rsidR="000D59C2" w:rsidRPr="00407B23" w:rsidRDefault="000D59C2" w:rsidP="000D59C2"/>
    <w:p w:rsidR="000D59C2" w:rsidRPr="00407B23" w:rsidRDefault="000D59C2" w:rsidP="000D59C2">
      <w:pPr>
        <w:tabs>
          <w:tab w:val="right" w:leader="underscore" w:pos="9639"/>
        </w:tabs>
      </w:pPr>
      <w:r w:rsidRPr="00407B23">
        <w:t xml:space="preserve">Submitted Variety Denomination:  </w:t>
      </w: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 xml:space="preserve">Gazette:  </w:t>
      </w:r>
      <w:r w:rsidRPr="00407B23">
        <w:tab/>
      </w:r>
    </w:p>
    <w:p w:rsidR="000D59C2" w:rsidRPr="00407B23" w:rsidRDefault="000D59C2" w:rsidP="000D59C2">
      <w:pPr>
        <w:tabs>
          <w:tab w:val="right" w:leader="underscore" w:pos="9072"/>
        </w:tabs>
        <w:jc w:val="center"/>
      </w:pPr>
      <w:r w:rsidRPr="00407B23">
        <w:t>(number/year)</w:t>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 xml:space="preserve">Applicant:  </w:t>
      </w: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 xml:space="preserve">Observations: </w:t>
      </w:r>
      <w:r w:rsidRPr="00407B23">
        <w:tab/>
      </w: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ab/>
      </w:r>
    </w:p>
    <w:p w:rsidR="000D59C2" w:rsidRPr="00407B23" w:rsidRDefault="000D59C2" w:rsidP="000D59C2">
      <w:pPr>
        <w:tabs>
          <w:tab w:val="right" w:leader="underscore" w:pos="9072"/>
        </w:tabs>
      </w:pPr>
    </w:p>
    <w:p w:rsidR="000D59C2" w:rsidRPr="00407B23" w:rsidRDefault="000D59C2" w:rsidP="000D59C2">
      <w:pPr>
        <w:pStyle w:val="BodyText"/>
        <w:tabs>
          <w:tab w:val="right" w:leader="underscore" w:pos="9072"/>
        </w:tabs>
      </w:pPr>
      <w:r w:rsidRPr="00407B23">
        <w:t>If the observations refer to a trademark or another right, name and ad</w:t>
      </w:r>
      <w:r>
        <w:t>dress of the holder thereof (if </w:t>
      </w:r>
      <w:r w:rsidRPr="00407B23">
        <w:t>possible):</w:t>
      </w:r>
    </w:p>
    <w:p w:rsidR="000D59C2" w:rsidRPr="00407B23" w:rsidRDefault="000D59C2" w:rsidP="000D59C2">
      <w:pPr>
        <w:tabs>
          <w:tab w:val="right" w:leader="underscore" w:pos="9639"/>
        </w:tabs>
        <w:ind w:right="-568"/>
      </w:pPr>
      <w:r w:rsidRPr="00407B23">
        <w:tab/>
      </w:r>
    </w:p>
    <w:p w:rsidR="000D59C2" w:rsidRPr="00407B23" w:rsidRDefault="000D59C2" w:rsidP="000D59C2">
      <w:pPr>
        <w:tabs>
          <w:tab w:val="right" w:leader="underscore" w:pos="9072"/>
          <w:tab w:val="left" w:pos="10773"/>
        </w:tabs>
        <w:ind w:right="-1"/>
      </w:pPr>
    </w:p>
    <w:p w:rsidR="000D59C2" w:rsidRPr="00407B23" w:rsidRDefault="000D59C2" w:rsidP="000D59C2">
      <w:pPr>
        <w:pStyle w:val="BodyText"/>
        <w:tabs>
          <w:tab w:val="right" w:leader="underscore" w:pos="9639"/>
        </w:tabs>
      </w:pPr>
      <w:r w:rsidRPr="00407B23">
        <w:tab/>
      </w:r>
    </w:p>
    <w:p w:rsidR="000D59C2" w:rsidRPr="00407B23" w:rsidRDefault="000D59C2" w:rsidP="000D59C2">
      <w:pPr>
        <w:tabs>
          <w:tab w:val="right" w:leader="underscore" w:pos="9072"/>
          <w:tab w:val="left" w:pos="10773"/>
        </w:tabs>
        <w:ind w:right="-1"/>
      </w:pPr>
    </w:p>
    <w:p w:rsidR="000D59C2" w:rsidRPr="00407B23" w:rsidRDefault="000D59C2" w:rsidP="000D59C2">
      <w:pPr>
        <w:tabs>
          <w:tab w:val="right" w:leader="underscore" w:pos="9639"/>
        </w:tabs>
        <w:ind w:right="-568"/>
      </w:pPr>
      <w:r w:rsidRPr="00407B23">
        <w:tab/>
      </w:r>
    </w:p>
    <w:p w:rsidR="000D59C2" w:rsidRPr="00407B23" w:rsidRDefault="000D59C2" w:rsidP="000D59C2">
      <w:pPr>
        <w:tabs>
          <w:tab w:val="right" w:leader="underscore" w:pos="9639"/>
        </w:tabs>
      </w:pPr>
    </w:p>
    <w:p w:rsidR="000D59C2" w:rsidRPr="00407B23" w:rsidRDefault="000D59C2" w:rsidP="000D59C2">
      <w:pPr>
        <w:tabs>
          <w:tab w:val="right" w:leader="underscore" w:pos="9072"/>
        </w:tabs>
        <w:jc w:val="center"/>
      </w:pPr>
      <w:r w:rsidRPr="00407B23">
        <w:t>Copies sent to the authorities of the other members of the Union</w:t>
      </w:r>
    </w:p>
    <w:p w:rsidR="000D59C2" w:rsidRPr="00407B23" w:rsidRDefault="000D59C2" w:rsidP="000D59C2">
      <w:pPr>
        <w:tabs>
          <w:tab w:val="right" w:leader="underscore" w:pos="9072"/>
        </w:tabs>
      </w:pPr>
    </w:p>
    <w:p w:rsidR="000D59C2" w:rsidRPr="00407B23" w:rsidRDefault="000D59C2" w:rsidP="000D59C2">
      <w:pPr>
        <w:tabs>
          <w:tab w:val="right" w:leader="underscore" w:pos="9072"/>
        </w:tabs>
      </w:pPr>
    </w:p>
    <w:p w:rsidR="000D59C2" w:rsidRPr="00407B23" w:rsidRDefault="000D59C2" w:rsidP="000D59C2">
      <w:pPr>
        <w:tabs>
          <w:tab w:val="right" w:leader="underscore" w:pos="9072"/>
        </w:tabs>
      </w:pPr>
    </w:p>
    <w:p w:rsidR="000D59C2" w:rsidRPr="00407B23" w:rsidRDefault="000D59C2" w:rsidP="000D59C2">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0D59C2" w:rsidRPr="00DE1471" w:rsidRDefault="000D59C2" w:rsidP="000D59C2">
      <w:pPr>
        <w:pStyle w:val="Header"/>
        <w:tabs>
          <w:tab w:val="right" w:leader="underscore" w:pos="9072"/>
        </w:tabs>
        <w:rPr>
          <w:lang w:val="en-US"/>
        </w:rPr>
      </w:pPr>
    </w:p>
    <w:p w:rsidR="000D59C2" w:rsidRDefault="000D59C2" w:rsidP="000D59C2">
      <w:pPr>
        <w:pStyle w:val="Header"/>
        <w:tabs>
          <w:tab w:val="right" w:leader="underscore" w:pos="9072"/>
        </w:tabs>
        <w:rPr>
          <w:lang w:val="en-US"/>
        </w:rPr>
      </w:pPr>
    </w:p>
    <w:p w:rsidR="000D59C2" w:rsidRPr="00DE1471" w:rsidRDefault="000D59C2" w:rsidP="000D59C2">
      <w:pPr>
        <w:pStyle w:val="Header"/>
        <w:tabs>
          <w:tab w:val="right" w:leader="underscore" w:pos="9072"/>
        </w:tabs>
        <w:rPr>
          <w:lang w:val="en-US"/>
        </w:rPr>
      </w:pPr>
    </w:p>
    <w:p w:rsidR="000D59C2" w:rsidRPr="00407B23" w:rsidRDefault="000D59C2" w:rsidP="000D59C2">
      <w:pPr>
        <w:jc w:val="right"/>
      </w:pPr>
      <w:r w:rsidRPr="00407B23">
        <w:sym w:font="Symbol" w:char="F05B"/>
      </w:r>
      <w:r w:rsidRPr="00407B23">
        <w:t>Annex III follows</w:t>
      </w:r>
      <w:r w:rsidRPr="00407B23">
        <w:sym w:font="Symbol" w:char="F05D"/>
      </w:r>
    </w:p>
    <w:p w:rsidR="000D59C2" w:rsidRPr="00407B23" w:rsidRDefault="000D59C2" w:rsidP="000D59C2">
      <w:pPr>
        <w:jc w:val="center"/>
        <w:sectPr w:rsidR="000D59C2" w:rsidRPr="00407B23" w:rsidSect="00BE58AC">
          <w:headerReference w:type="default" r:id="rId15"/>
          <w:headerReference w:type="first" r:id="rId16"/>
          <w:pgSz w:w="11907" w:h="16840" w:code="9"/>
          <w:pgMar w:top="510" w:right="1134" w:bottom="1134" w:left="1134" w:header="510" w:footer="113" w:gutter="0"/>
          <w:pgNumType w:start="1"/>
          <w:cols w:space="720"/>
          <w:titlePg/>
        </w:sectPr>
      </w:pPr>
    </w:p>
    <w:p w:rsidR="000D59C2" w:rsidRPr="00407B23" w:rsidRDefault="000D59C2" w:rsidP="000D59C2">
      <w:pPr>
        <w:jc w:val="center"/>
        <w:rPr>
          <w:u w:val="single"/>
        </w:rPr>
      </w:pPr>
      <w:r w:rsidRPr="00407B23">
        <w:rPr>
          <w:u w:val="single"/>
        </w:rPr>
        <w:t>Model Reply to Observations on Proposed Variety Denominations</w:t>
      </w:r>
      <w:r w:rsidRPr="00407B23">
        <w:rPr>
          <w:u w:val="single"/>
        </w:rPr>
        <w:br/>
        <w:t>Submitted to Another Member of the Union</w:t>
      </w:r>
    </w:p>
    <w:p w:rsidR="000D59C2" w:rsidRPr="00DE1471" w:rsidRDefault="000D59C2" w:rsidP="000D59C2">
      <w:pPr>
        <w:pStyle w:val="Header"/>
        <w:rPr>
          <w:u w:val="single"/>
          <w:lang w:val="en-US"/>
        </w:rPr>
      </w:pPr>
    </w:p>
    <w:p w:rsidR="000D59C2" w:rsidRPr="00407B23" w:rsidRDefault="000D59C2" w:rsidP="000D59C2">
      <w:r w:rsidRPr="00407B23">
        <w:t>From:</w:t>
      </w:r>
    </w:p>
    <w:p w:rsidR="000D59C2" w:rsidRPr="00407B23" w:rsidRDefault="000D59C2" w:rsidP="000D59C2">
      <w:pPr>
        <w:tabs>
          <w:tab w:val="left" w:pos="4678"/>
          <w:tab w:val="right" w:leader="underscore" w:pos="9639"/>
        </w:tabs>
        <w:ind w:left="4678"/>
        <w:jc w:val="center"/>
      </w:pPr>
      <w:r w:rsidRPr="00407B23">
        <w:tab/>
      </w:r>
    </w:p>
    <w:p w:rsidR="000D59C2" w:rsidRPr="00407B23" w:rsidRDefault="000D59C2" w:rsidP="000D59C2">
      <w:pPr>
        <w:tabs>
          <w:tab w:val="left" w:pos="4678"/>
          <w:tab w:val="right" w:leader="underscore" w:pos="9072"/>
        </w:tabs>
        <w:ind w:left="4678"/>
        <w:jc w:val="center"/>
      </w:pPr>
      <w:r w:rsidRPr="00407B23">
        <w:t>Your ref.</w:t>
      </w:r>
    </w:p>
    <w:p w:rsidR="000D59C2" w:rsidRPr="00407B23" w:rsidRDefault="000D59C2" w:rsidP="000D59C2">
      <w:pPr>
        <w:tabs>
          <w:tab w:val="left" w:pos="4678"/>
          <w:tab w:val="right" w:leader="underscore" w:pos="9639"/>
        </w:tabs>
        <w:ind w:left="4678"/>
        <w:jc w:val="center"/>
      </w:pPr>
      <w:r w:rsidRPr="00407B23">
        <w:tab/>
      </w:r>
    </w:p>
    <w:p w:rsidR="000D59C2" w:rsidRPr="00407B23" w:rsidRDefault="000D59C2" w:rsidP="000D59C2">
      <w:pPr>
        <w:tabs>
          <w:tab w:val="left" w:pos="4678"/>
          <w:tab w:val="right" w:leader="underscore" w:pos="9639"/>
        </w:tabs>
        <w:ind w:left="4678"/>
        <w:jc w:val="center"/>
      </w:pPr>
      <w:r w:rsidRPr="00407B23">
        <w:t>Our ref.</w:t>
      </w:r>
    </w:p>
    <w:p w:rsidR="000D59C2" w:rsidRPr="00407B23" w:rsidRDefault="000D59C2" w:rsidP="000D59C2"/>
    <w:p w:rsidR="000D59C2" w:rsidRPr="00407B23" w:rsidRDefault="000D59C2" w:rsidP="000D59C2"/>
    <w:p w:rsidR="000D59C2" w:rsidRPr="00407B23" w:rsidRDefault="000D59C2" w:rsidP="000D59C2">
      <w:pPr>
        <w:jc w:val="center"/>
        <w:rPr>
          <w:b/>
          <w:bCs/>
        </w:rPr>
      </w:pPr>
      <w:r w:rsidRPr="00407B23">
        <w:rPr>
          <w:b/>
          <w:bCs/>
        </w:rPr>
        <w:t>Reply to Observations on a Submitted Variety Denomination</w:t>
      </w:r>
    </w:p>
    <w:p w:rsidR="000D59C2" w:rsidRPr="00407B23" w:rsidRDefault="000D59C2" w:rsidP="000D59C2">
      <w:pPr>
        <w:jc w:val="center"/>
        <w:rPr>
          <w:b/>
        </w:rPr>
      </w:pPr>
    </w:p>
    <w:p w:rsidR="000D59C2" w:rsidRPr="00407B23" w:rsidRDefault="000D59C2" w:rsidP="000D59C2">
      <w:r w:rsidRPr="00407B23">
        <w:t>To:</w:t>
      </w:r>
    </w:p>
    <w:p w:rsidR="000D59C2" w:rsidRPr="00407B23" w:rsidRDefault="000D59C2" w:rsidP="000D59C2"/>
    <w:p w:rsidR="000D59C2" w:rsidRPr="00407B23" w:rsidRDefault="000D59C2" w:rsidP="000D59C2">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0D59C2" w:rsidRPr="00407B23" w:rsidRDefault="000D59C2" w:rsidP="000D59C2"/>
    <w:p w:rsidR="000D59C2" w:rsidRPr="00407B23" w:rsidRDefault="000D59C2" w:rsidP="000D59C2">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0D59C2" w:rsidRPr="00407B23" w:rsidRDefault="000D59C2" w:rsidP="000D59C2">
      <w:pPr>
        <w:ind w:left="851" w:hanging="851"/>
        <w:rPr>
          <w:sz w:val="16"/>
        </w:rPr>
      </w:pPr>
    </w:p>
    <w:p w:rsidR="000D59C2" w:rsidRPr="00407B23" w:rsidRDefault="000D59C2" w:rsidP="000D59C2">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0D59C2" w:rsidRPr="00407B23" w:rsidRDefault="000D59C2" w:rsidP="000D59C2">
      <w:pPr>
        <w:rPr>
          <w:sz w:val="16"/>
        </w:rPr>
      </w:pPr>
    </w:p>
    <w:p w:rsidR="000D59C2" w:rsidRPr="00407B23" w:rsidRDefault="000D59C2" w:rsidP="000D59C2">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0D59C2" w:rsidRPr="00407B23" w:rsidRDefault="000D59C2" w:rsidP="000D59C2">
      <w:pPr>
        <w:rPr>
          <w:sz w:val="16"/>
        </w:rPr>
      </w:pPr>
    </w:p>
    <w:p w:rsidR="000D59C2" w:rsidRPr="00407B23" w:rsidRDefault="000D59C2" w:rsidP="000D59C2">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0D59C2" w:rsidRPr="00407B23" w:rsidRDefault="000D59C2" w:rsidP="000D59C2">
      <w:pPr>
        <w:tabs>
          <w:tab w:val="left" w:pos="851"/>
        </w:tabs>
        <w:ind w:left="851" w:hanging="851"/>
        <w:rPr>
          <w:sz w:val="16"/>
        </w:rPr>
      </w:pPr>
    </w:p>
    <w:p w:rsidR="000D59C2" w:rsidRPr="00407B23" w:rsidRDefault="000D59C2" w:rsidP="000D59C2">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0D59C2" w:rsidRPr="00407B23" w:rsidRDefault="000D59C2" w:rsidP="000D59C2">
      <w:pPr>
        <w:rPr>
          <w:sz w:val="16"/>
        </w:rPr>
      </w:pPr>
    </w:p>
    <w:p w:rsidR="000D59C2" w:rsidRPr="00407B23" w:rsidRDefault="000D59C2" w:rsidP="000D59C2">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0D59C2" w:rsidRPr="00407B23" w:rsidRDefault="000D59C2" w:rsidP="000D59C2">
      <w:pPr>
        <w:rPr>
          <w:sz w:val="16"/>
        </w:rPr>
      </w:pPr>
    </w:p>
    <w:p w:rsidR="000D59C2" w:rsidRPr="00407B23" w:rsidRDefault="000D59C2" w:rsidP="000D59C2">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0D59C2" w:rsidRPr="00407B23" w:rsidRDefault="000D59C2" w:rsidP="000D59C2">
      <w:pPr>
        <w:rPr>
          <w:sz w:val="16"/>
        </w:rPr>
      </w:pPr>
    </w:p>
    <w:p w:rsidR="000D59C2" w:rsidRPr="00407B23" w:rsidRDefault="000D59C2" w:rsidP="000D59C2">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0D59C2" w:rsidRPr="00407B23" w:rsidRDefault="000D59C2" w:rsidP="000D59C2">
      <w:pPr>
        <w:rPr>
          <w:sz w:val="16"/>
        </w:rPr>
      </w:pPr>
    </w:p>
    <w:p w:rsidR="000D59C2" w:rsidRPr="00407B23" w:rsidRDefault="000D59C2" w:rsidP="000D59C2">
      <w:pPr>
        <w:tabs>
          <w:tab w:val="left" w:pos="392"/>
          <w:tab w:val="left" w:pos="851"/>
        </w:tabs>
        <w:ind w:left="851" w:hanging="851"/>
      </w:pPr>
      <w:r w:rsidRPr="00407B23">
        <w:t>9.</w:t>
      </w:r>
      <w:r w:rsidRPr="00407B23">
        <w:rPr>
          <w:sz w:val="40"/>
        </w:rPr>
        <w:tab/>
        <w:t>□</w:t>
      </w:r>
      <w:r w:rsidRPr="00407B23">
        <w:rPr>
          <w:sz w:val="40"/>
        </w:rPr>
        <w:tab/>
      </w:r>
      <w:r w:rsidRPr="00407B23">
        <w:t>Other</w:t>
      </w:r>
    </w:p>
    <w:p w:rsidR="000D59C2" w:rsidRPr="00407B23" w:rsidRDefault="000D59C2" w:rsidP="000D59C2"/>
    <w:p w:rsidR="000D59C2" w:rsidRPr="00407B23" w:rsidRDefault="000D59C2" w:rsidP="000D59C2">
      <w:pPr>
        <w:tabs>
          <w:tab w:val="right" w:leader="underscore" w:pos="9072"/>
        </w:tabs>
        <w:jc w:val="center"/>
      </w:pPr>
      <w:r w:rsidRPr="00407B23">
        <w:t>Copies sent to the authorities of the other members of the Union</w:t>
      </w:r>
    </w:p>
    <w:p w:rsidR="000D59C2" w:rsidRPr="00407B23" w:rsidRDefault="000D59C2" w:rsidP="000D59C2">
      <w:pPr>
        <w:tabs>
          <w:tab w:val="right" w:leader="underscore" w:pos="9072"/>
        </w:tabs>
      </w:pPr>
    </w:p>
    <w:p w:rsidR="000D59C2" w:rsidRPr="00407B23" w:rsidRDefault="000D59C2" w:rsidP="000D59C2">
      <w:pPr>
        <w:tabs>
          <w:tab w:val="right" w:leader="underscore" w:pos="9072"/>
        </w:tabs>
      </w:pPr>
    </w:p>
    <w:p w:rsidR="000D59C2" w:rsidRPr="00407B23" w:rsidRDefault="000D59C2" w:rsidP="000D59C2">
      <w:pPr>
        <w:tabs>
          <w:tab w:val="right" w:leader="underscore" w:pos="9072"/>
        </w:tabs>
      </w:pPr>
    </w:p>
    <w:p w:rsidR="000D59C2" w:rsidRPr="00407B23" w:rsidRDefault="000D59C2" w:rsidP="000D59C2">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0D59C2" w:rsidRPr="00DE1471" w:rsidRDefault="000D59C2" w:rsidP="000D59C2">
      <w:pPr>
        <w:pStyle w:val="Header"/>
        <w:tabs>
          <w:tab w:val="right" w:leader="underscore" w:pos="9072"/>
        </w:tabs>
        <w:rPr>
          <w:lang w:val="en-US"/>
        </w:rPr>
      </w:pPr>
    </w:p>
    <w:p w:rsidR="000D59C2" w:rsidRDefault="000D59C2" w:rsidP="000D59C2">
      <w:pPr>
        <w:jc w:val="right"/>
      </w:pPr>
    </w:p>
    <w:p w:rsidR="000D59C2" w:rsidRDefault="000D59C2" w:rsidP="000D59C2">
      <w:pPr>
        <w:jc w:val="right"/>
        <w:rPr>
          <w:lang w:eastAsia="ja-JP"/>
        </w:rPr>
      </w:pPr>
    </w:p>
    <w:p w:rsidR="00405FE5" w:rsidRDefault="00405FE5" w:rsidP="000D59C2">
      <w:pPr>
        <w:jc w:val="right"/>
        <w:rPr>
          <w:lang w:eastAsia="ja-JP"/>
        </w:rPr>
        <w:sectPr w:rsidR="00405FE5" w:rsidSect="00BE58AC">
          <w:headerReference w:type="even" r:id="rId17"/>
          <w:headerReference w:type="default" r:id="rId18"/>
          <w:headerReference w:type="first" r:id="rId19"/>
          <w:pgSz w:w="11907" w:h="16840" w:code="9"/>
          <w:pgMar w:top="510" w:right="1134" w:bottom="1134" w:left="1134" w:header="510" w:footer="624" w:gutter="0"/>
          <w:cols w:space="720"/>
          <w:titlePg/>
        </w:sectPr>
      </w:pPr>
    </w:p>
    <w:p w:rsidR="00405FE5" w:rsidRDefault="00405FE5" w:rsidP="00405FE5">
      <w:pPr>
        <w:pStyle w:val="DecisionParagraphs"/>
        <w:keepLines/>
        <w:tabs>
          <w:tab w:val="left" w:pos="5490"/>
          <w:tab w:val="left" w:pos="5940"/>
        </w:tabs>
        <w:ind w:left="0"/>
        <w:jc w:val="center"/>
        <w:rPr>
          <w:rFonts w:cs="Arial"/>
          <w:i w:val="0"/>
          <w:lang w:eastAsia="ja-JP"/>
        </w:rPr>
      </w:pPr>
      <w:r w:rsidRPr="00A672A1">
        <w:rPr>
          <w:rFonts w:cs="Arial"/>
          <w:i w:val="0"/>
          <w:lang w:eastAsia="ja-JP"/>
        </w:rPr>
        <w:t>INTERNATIONAL CODE OF NOMENCLATURE FOR CULTIVATED PLANTS (ICNCP)</w:t>
      </w:r>
    </w:p>
    <w:p w:rsidR="00405FE5" w:rsidRPr="00AF7D68" w:rsidRDefault="00405FE5" w:rsidP="00405FE5">
      <w:pPr>
        <w:pStyle w:val="DecisionParagraphs"/>
        <w:keepLines/>
        <w:tabs>
          <w:tab w:val="left" w:pos="5490"/>
          <w:tab w:val="left" w:pos="5940"/>
        </w:tabs>
        <w:ind w:left="0"/>
        <w:jc w:val="center"/>
        <w:rPr>
          <w:rFonts w:eastAsia="MS Mincho" w:cs="Arial"/>
          <w:i w:val="0"/>
          <w:lang w:eastAsia="ja-JP"/>
        </w:rPr>
      </w:pPr>
      <w:r>
        <w:rPr>
          <w:rFonts w:cs="Arial"/>
          <w:i w:val="0"/>
          <w:lang w:eastAsia="ja-JP"/>
        </w:rPr>
        <w:t>APPENDIX V SPECIAL DENOMINATION CLASSES</w:t>
      </w:r>
      <w:r w:rsidR="00AF7D68">
        <w:rPr>
          <w:rFonts w:eastAsia="MS Mincho" w:cs="Arial" w:hint="eastAsia"/>
          <w:i w:val="0"/>
          <w:lang w:eastAsia="ja-JP"/>
        </w:rPr>
        <w:t xml:space="preserve"> </w:t>
      </w:r>
      <w:r w:rsidR="00AF7D68" w:rsidRPr="007A7BE2">
        <w:rPr>
          <w:rFonts w:eastAsia="MS Mincho" w:cs="Arial" w:hint="eastAsia"/>
          <w:i w:val="0"/>
          <w:lang w:eastAsia="ja-JP"/>
        </w:rPr>
        <w:t>(8</w:t>
      </w:r>
      <w:r w:rsidR="00AF7D68" w:rsidRPr="007A7BE2">
        <w:rPr>
          <w:rFonts w:eastAsia="MS Mincho" w:cs="Arial" w:hint="eastAsia"/>
          <w:i w:val="0"/>
          <w:vertAlign w:val="superscript"/>
          <w:lang w:eastAsia="ja-JP"/>
        </w:rPr>
        <w:t xml:space="preserve">TH </w:t>
      </w:r>
      <w:r w:rsidR="00AF7D68" w:rsidRPr="007A7BE2">
        <w:rPr>
          <w:rFonts w:eastAsia="MS Mincho" w:cs="Arial" w:hint="eastAsia"/>
          <w:i w:val="0"/>
          <w:lang w:eastAsia="ja-JP"/>
        </w:rPr>
        <w:t>EDITION)</w:t>
      </w:r>
    </w:p>
    <w:p w:rsidR="000D0F12" w:rsidRDefault="00AF7D68" w:rsidP="00405FE5">
      <w:pPr>
        <w:pStyle w:val="DecisionParagraphs"/>
        <w:keepLines/>
        <w:tabs>
          <w:tab w:val="left" w:pos="5490"/>
          <w:tab w:val="left" w:pos="5940"/>
        </w:tabs>
        <w:ind w:left="0"/>
        <w:jc w:val="center"/>
        <w:rPr>
          <w:rFonts w:eastAsia="MS Mincho" w:cs="Arial"/>
          <w:i w:val="0"/>
          <w:lang w:eastAsia="ja-JP"/>
        </w:rPr>
      </w:pPr>
      <w:r w:rsidRPr="007A7BE2">
        <w:rPr>
          <w:rFonts w:eastAsia="MS Mincho" w:cs="Arial" w:hint="eastAsia"/>
          <w:i w:val="0"/>
          <w:highlight w:val="yellow"/>
          <w:lang w:eastAsia="ja-JP"/>
        </w:rPr>
        <w:t>[This Annex is not a part of document UPOV/INF/12/5]</w:t>
      </w:r>
    </w:p>
    <w:p w:rsidR="000D0F12" w:rsidRDefault="000D0F12" w:rsidP="00405FE5">
      <w:pPr>
        <w:pStyle w:val="DecisionParagraphs"/>
        <w:keepLines/>
        <w:tabs>
          <w:tab w:val="left" w:pos="5490"/>
          <w:tab w:val="left" w:pos="5940"/>
        </w:tabs>
        <w:ind w:left="0"/>
        <w:jc w:val="center"/>
        <w:rPr>
          <w:rFonts w:eastAsia="MS Mincho" w:cs="Arial"/>
          <w:i w:val="0"/>
          <w:lang w:eastAsia="ja-JP"/>
        </w:rPr>
      </w:pPr>
      <w:r>
        <w:rPr>
          <w:noProof/>
        </w:rPr>
        <w:drawing>
          <wp:inline distT="0" distB="0" distL="0" distR="0" wp14:anchorId="29C3144C" wp14:editId="3BEE75C3">
            <wp:extent cx="5539022" cy="84684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45012" cy="8477593"/>
                    </a:xfrm>
                    <a:prstGeom prst="rect">
                      <a:avLst/>
                    </a:prstGeom>
                  </pic:spPr>
                </pic:pic>
              </a:graphicData>
            </a:graphic>
          </wp:inline>
        </w:drawing>
      </w:r>
    </w:p>
    <w:p w:rsidR="000D0F12" w:rsidRPr="000D0F12" w:rsidRDefault="000D0F12" w:rsidP="00405FE5">
      <w:pPr>
        <w:pStyle w:val="DecisionParagraphs"/>
        <w:keepLines/>
        <w:tabs>
          <w:tab w:val="left" w:pos="5490"/>
          <w:tab w:val="left" w:pos="5940"/>
        </w:tabs>
        <w:ind w:left="0"/>
        <w:jc w:val="center"/>
        <w:rPr>
          <w:rFonts w:eastAsia="MS Mincho" w:cs="Arial"/>
          <w:i w:val="0"/>
          <w:lang w:eastAsia="ja-JP"/>
        </w:rPr>
      </w:pPr>
    </w:p>
    <w:p w:rsidR="000D0F12" w:rsidRPr="000D0F12" w:rsidRDefault="000D0F12" w:rsidP="00405FE5">
      <w:pPr>
        <w:pStyle w:val="DecisionParagraphs"/>
        <w:keepLines/>
        <w:tabs>
          <w:tab w:val="left" w:pos="5490"/>
          <w:tab w:val="left" w:pos="5940"/>
        </w:tabs>
        <w:ind w:left="0"/>
        <w:jc w:val="center"/>
        <w:rPr>
          <w:rFonts w:eastAsia="MS Mincho" w:cs="Arial"/>
          <w:i w:val="0"/>
          <w:lang w:eastAsia="ja-JP"/>
        </w:rPr>
      </w:pPr>
      <w:r>
        <w:rPr>
          <w:noProof/>
        </w:rPr>
        <w:drawing>
          <wp:inline distT="0" distB="0" distL="0" distR="0" wp14:anchorId="6A3FBB36" wp14:editId="29FE0506">
            <wp:extent cx="5733461" cy="492001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3596" cy="4920134"/>
                    </a:xfrm>
                    <a:prstGeom prst="rect">
                      <a:avLst/>
                    </a:prstGeom>
                  </pic:spPr>
                </pic:pic>
              </a:graphicData>
            </a:graphic>
          </wp:inline>
        </w:drawing>
      </w:r>
    </w:p>
    <w:p w:rsidR="00405FE5" w:rsidRDefault="00405FE5" w:rsidP="000D59C2">
      <w:pPr>
        <w:jc w:val="right"/>
        <w:rPr>
          <w:lang w:eastAsia="ja-JP"/>
        </w:rPr>
      </w:pPr>
    </w:p>
    <w:p w:rsidR="00405FE5" w:rsidRDefault="00405FE5" w:rsidP="000D59C2">
      <w:pPr>
        <w:jc w:val="right"/>
        <w:rPr>
          <w:lang w:eastAsia="ja-JP"/>
        </w:rPr>
      </w:pPr>
    </w:p>
    <w:p w:rsidR="00405FE5" w:rsidRDefault="00405FE5" w:rsidP="000D59C2">
      <w:pPr>
        <w:jc w:val="right"/>
        <w:rPr>
          <w:lang w:eastAsia="ja-JP"/>
        </w:rPr>
      </w:pPr>
    </w:p>
    <w:p w:rsidR="000D59C2" w:rsidRPr="00DE1471" w:rsidRDefault="00405FE5" w:rsidP="000D59C2">
      <w:pPr>
        <w:jc w:val="right"/>
      </w:pPr>
      <w:r>
        <w:t xml:space="preserve">[End of Annex </w:t>
      </w:r>
      <w:r w:rsidR="000D0F12">
        <w:rPr>
          <w:rFonts w:hint="eastAsia"/>
          <w:lang w:eastAsia="ja-JP"/>
        </w:rPr>
        <w:t>I</w:t>
      </w:r>
      <w:r w:rsidR="000D59C2" w:rsidRPr="00DE1471">
        <w:t>II and of document]</w:t>
      </w:r>
    </w:p>
    <w:p w:rsidR="00BF296B" w:rsidRDefault="00BF296B">
      <w:pPr>
        <w:jc w:val="left"/>
        <w:rPr>
          <w:rFonts w:cs="Arial"/>
        </w:rPr>
        <w:sectPr w:rsidR="00BF296B" w:rsidSect="00AF7D68">
          <w:headerReference w:type="default" r:id="rId22"/>
          <w:headerReference w:type="first" r:id="rId23"/>
          <w:pgSz w:w="11907" w:h="16840" w:code="9"/>
          <w:pgMar w:top="510" w:right="1134" w:bottom="1134" w:left="1134" w:header="510" w:footer="624" w:gutter="0"/>
          <w:pgNumType w:start="1"/>
          <w:cols w:space="720"/>
          <w:titlePg/>
        </w:sectPr>
      </w:pPr>
    </w:p>
    <w:p w:rsidR="00BF296B" w:rsidRDefault="00BF296B">
      <w:pPr>
        <w:jc w:val="left"/>
        <w:rPr>
          <w:rFonts w:cs="Arial"/>
        </w:rPr>
      </w:pPr>
    </w:p>
    <w:sectPr w:rsidR="00BF296B" w:rsidSect="00BE58AC">
      <w:headerReference w:type="first" r:id="rId24"/>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671" w:rsidRDefault="00395671">
      <w:r>
        <w:separator/>
      </w:r>
    </w:p>
  </w:endnote>
  <w:endnote w:type="continuationSeparator" w:id="0">
    <w:p w:rsidR="00395671" w:rsidRDefault="00395671">
      <w:r>
        <w:continuationSeparator/>
      </w:r>
    </w:p>
  </w:endnote>
  <w:endnote w:id="1">
    <w:p w:rsidR="00395671" w:rsidRDefault="00395671" w:rsidP="00596EC4">
      <w:pPr>
        <w:pStyle w:val="EndnoteText"/>
      </w:pPr>
      <w:r>
        <w:rPr>
          <w:rStyle w:val="EndnoteReference"/>
        </w:rPr>
        <w:endnoteRef/>
      </w:r>
      <w:r>
        <w:t xml:space="preserve"> </w:t>
      </w:r>
      <w:r>
        <w:tab/>
        <w:t>Proposal by the European Union (CPVO) in reply to UPOV circular E-15/276 of December 3, 2015 (see document CAJ/72/9 “Report”, paragraph 23 (d))</w:t>
      </w:r>
    </w:p>
  </w:endnote>
  <w:endnote w:id="2">
    <w:p w:rsidR="00395671" w:rsidRDefault="00395671" w:rsidP="006E7801">
      <w:pPr>
        <w:pStyle w:val="EndnoteText"/>
      </w:pPr>
      <w:r w:rsidRPr="00EB2BB4">
        <w:rPr>
          <w:rStyle w:val="EndnoteReference"/>
          <w:highlight w:val="yellow"/>
        </w:rPr>
        <w:endnoteRef/>
      </w:r>
      <w:r w:rsidRPr="00EB2BB4">
        <w:rPr>
          <w:highlight w:val="yellow"/>
        </w:rPr>
        <w:t xml:space="preserve"> </w:t>
      </w:r>
      <w:r w:rsidRPr="00EB2BB4">
        <w:rPr>
          <w:highlight w:val="yellow"/>
        </w:rPr>
        <w:tab/>
      </w:r>
      <w:r w:rsidRPr="00EB2BB4">
        <w:rPr>
          <w:rFonts w:hint="eastAsia"/>
          <w:highlight w:val="yellow"/>
          <w:lang w:eastAsia="ja-JP"/>
        </w:rPr>
        <w:t xml:space="preserve">See document </w:t>
      </w:r>
      <w:hyperlink r:id="rId1" w:history="1">
        <w:r w:rsidRPr="00EB2BB4">
          <w:rPr>
            <w:rStyle w:val="Hyperlink"/>
            <w:rFonts w:hint="eastAsia"/>
            <w:highlight w:val="yellow"/>
            <w:lang w:eastAsia="ja-JP"/>
          </w:rPr>
          <w:t>UPOV/WG-DEN/1/6</w:t>
        </w:r>
      </w:hyperlink>
      <w:r w:rsidRPr="00EB2BB4">
        <w:rPr>
          <w:rFonts w:hint="eastAsia"/>
          <w:highlight w:val="yellow"/>
          <w:lang w:eastAsia="ja-JP"/>
        </w:rPr>
        <w:t xml:space="preserve"> </w:t>
      </w:r>
      <w:r w:rsidRPr="00EB2BB4">
        <w:rPr>
          <w:highlight w:val="yellow"/>
          <w:lang w:eastAsia="ja-JP"/>
        </w:rPr>
        <w:t>“</w:t>
      </w:r>
      <w:r w:rsidRPr="00EB2BB4">
        <w:rPr>
          <w:rFonts w:hint="eastAsia"/>
          <w:highlight w:val="yellow"/>
          <w:lang w:eastAsia="ja-JP"/>
        </w:rPr>
        <w:t>Report</w:t>
      </w:r>
      <w:r w:rsidRPr="00EB2BB4">
        <w:rPr>
          <w:highlight w:val="yellow"/>
          <w:lang w:eastAsia="ja-JP"/>
        </w:rPr>
        <w:t>”</w:t>
      </w:r>
      <w:r w:rsidRPr="00EB2BB4">
        <w:rPr>
          <w:rFonts w:hint="eastAsia"/>
          <w:highlight w:val="yellow"/>
          <w:lang w:eastAsia="ja-JP"/>
        </w:rPr>
        <w:t xml:space="preserve">, paragraph </w:t>
      </w:r>
      <w:r>
        <w:rPr>
          <w:rFonts w:hint="eastAsia"/>
          <w:highlight w:val="yellow"/>
          <w:lang w:eastAsia="ja-JP"/>
        </w:rPr>
        <w:t>7</w:t>
      </w:r>
      <w:r w:rsidRPr="00EB2BB4">
        <w:rPr>
          <w:highlight w:val="yellow"/>
          <w:lang w:eastAsia="ja-JP"/>
        </w:rPr>
        <w:t>.</w:t>
      </w:r>
    </w:p>
  </w:endnote>
  <w:endnote w:id="3">
    <w:p w:rsidR="00395671" w:rsidRDefault="00395671" w:rsidP="00FF105B">
      <w:pPr>
        <w:pStyle w:val="EndnoteText"/>
      </w:pPr>
      <w:r>
        <w:rPr>
          <w:rStyle w:val="EndnoteReference"/>
        </w:rPr>
        <w:endnoteRef/>
      </w:r>
      <w:r>
        <w:t xml:space="preserve"> </w:t>
      </w:r>
      <w:r>
        <w:tab/>
        <w:t>Proposal by New Zealand in reply to UPOV circular E-15/276 of December 3, 2015 (see document CAJ/72/9 “Report”, paragraph 23 (d))</w:t>
      </w:r>
    </w:p>
  </w:endnote>
  <w:endnote w:id="4">
    <w:p w:rsidR="00395671" w:rsidRDefault="00395671">
      <w:pPr>
        <w:pStyle w:val="EndnoteText"/>
      </w:pPr>
      <w:r w:rsidRPr="008B7F43">
        <w:rPr>
          <w:rStyle w:val="EndnoteReference"/>
          <w:highlight w:val="yellow"/>
        </w:rPr>
        <w:endnoteRef/>
      </w:r>
      <w:r w:rsidRPr="008B7F43">
        <w:rPr>
          <w:highlight w:val="yellow"/>
        </w:rPr>
        <w:t xml:space="preserve"> </w:t>
      </w:r>
      <w:r w:rsidRPr="008B7F43">
        <w:rPr>
          <w:highlight w:val="yellow"/>
        </w:rPr>
        <w:tab/>
      </w:r>
      <w:r w:rsidRPr="008B7F43">
        <w:rPr>
          <w:rFonts w:hint="eastAsia"/>
          <w:highlight w:val="yellow"/>
          <w:lang w:eastAsia="ja-JP"/>
        </w:rPr>
        <w:t xml:space="preserve">See document </w:t>
      </w:r>
      <w:hyperlink r:id="rId2" w:history="1">
        <w:r w:rsidRPr="008B7F43">
          <w:rPr>
            <w:rStyle w:val="Hyperlink"/>
            <w:rFonts w:hint="eastAsia"/>
            <w:highlight w:val="yellow"/>
            <w:lang w:eastAsia="ja-JP"/>
          </w:rPr>
          <w:t>UPOV/WG-DEN/1/6</w:t>
        </w:r>
      </w:hyperlink>
      <w:r w:rsidRPr="008B7F43">
        <w:rPr>
          <w:rFonts w:hint="eastAsia"/>
          <w:highlight w:val="yellow"/>
          <w:lang w:eastAsia="ja-JP"/>
        </w:rPr>
        <w:t xml:space="preserve"> </w:t>
      </w:r>
      <w:r w:rsidRPr="008B7F43">
        <w:rPr>
          <w:highlight w:val="yellow"/>
          <w:lang w:eastAsia="ja-JP"/>
        </w:rPr>
        <w:t>“</w:t>
      </w:r>
      <w:r w:rsidRPr="008B7F43">
        <w:rPr>
          <w:rFonts w:hint="eastAsia"/>
          <w:highlight w:val="yellow"/>
          <w:lang w:eastAsia="ja-JP"/>
        </w:rPr>
        <w:t>Report</w:t>
      </w:r>
      <w:r w:rsidRPr="008B7F43">
        <w:rPr>
          <w:highlight w:val="yellow"/>
          <w:lang w:eastAsia="ja-JP"/>
        </w:rPr>
        <w:t>”</w:t>
      </w:r>
      <w:r w:rsidRPr="008B7F43">
        <w:rPr>
          <w:rFonts w:hint="eastAsia"/>
          <w:highlight w:val="yellow"/>
          <w:lang w:eastAsia="ja-JP"/>
        </w:rPr>
        <w:t>, paragraph 9</w:t>
      </w:r>
      <w:r w:rsidRPr="008B7F43">
        <w:rPr>
          <w:highlight w:val="yellow"/>
          <w:lang w:eastAsia="ja-JP"/>
        </w:rPr>
        <w:t>.</w:t>
      </w:r>
    </w:p>
  </w:endnote>
  <w:endnote w:id="5">
    <w:p w:rsidR="00395671" w:rsidRDefault="00395671">
      <w:pPr>
        <w:pStyle w:val="EndnoteText"/>
      </w:pPr>
      <w:r w:rsidRPr="008B7F43">
        <w:rPr>
          <w:rStyle w:val="EndnoteReference"/>
          <w:highlight w:val="yellow"/>
        </w:rPr>
        <w:endnoteRef/>
      </w:r>
      <w:r w:rsidRPr="008B7F43">
        <w:rPr>
          <w:highlight w:val="yellow"/>
        </w:rPr>
        <w:t xml:space="preserve"> </w:t>
      </w:r>
      <w:r w:rsidRPr="008B7F43">
        <w:rPr>
          <w:highlight w:val="yellow"/>
        </w:rPr>
        <w:tab/>
      </w:r>
      <w:r w:rsidRPr="008B7F43">
        <w:rPr>
          <w:rFonts w:hint="eastAsia"/>
          <w:highlight w:val="yellow"/>
          <w:lang w:eastAsia="ja-JP"/>
        </w:rPr>
        <w:t xml:space="preserve">See document </w:t>
      </w:r>
      <w:hyperlink r:id="rId3" w:history="1">
        <w:r w:rsidRPr="008B7F43">
          <w:rPr>
            <w:rStyle w:val="Hyperlink"/>
            <w:rFonts w:hint="eastAsia"/>
            <w:highlight w:val="yellow"/>
            <w:lang w:eastAsia="ja-JP"/>
          </w:rPr>
          <w:t>UPOV/WG-DEN/1/6</w:t>
        </w:r>
      </w:hyperlink>
      <w:r w:rsidRPr="008B7F43">
        <w:rPr>
          <w:rFonts w:hint="eastAsia"/>
          <w:highlight w:val="yellow"/>
          <w:lang w:eastAsia="ja-JP"/>
        </w:rPr>
        <w:t xml:space="preserve"> </w:t>
      </w:r>
      <w:r w:rsidRPr="008B7F43">
        <w:rPr>
          <w:highlight w:val="yellow"/>
          <w:lang w:eastAsia="ja-JP"/>
        </w:rPr>
        <w:t>“</w:t>
      </w:r>
      <w:r w:rsidRPr="008B7F43">
        <w:rPr>
          <w:rFonts w:hint="eastAsia"/>
          <w:highlight w:val="yellow"/>
          <w:lang w:eastAsia="ja-JP"/>
        </w:rPr>
        <w:t>Report</w:t>
      </w:r>
      <w:r w:rsidRPr="008B7F43">
        <w:rPr>
          <w:highlight w:val="yellow"/>
          <w:lang w:eastAsia="ja-JP"/>
        </w:rPr>
        <w:t>”</w:t>
      </w:r>
      <w:r w:rsidRPr="008B7F43">
        <w:rPr>
          <w:rFonts w:hint="eastAsia"/>
          <w:highlight w:val="yellow"/>
          <w:lang w:eastAsia="ja-JP"/>
        </w:rPr>
        <w:t>, paragraph 10</w:t>
      </w:r>
      <w:r w:rsidRPr="008B7F43">
        <w:rPr>
          <w:highlight w:val="yellow"/>
          <w:lang w:eastAsia="ja-JP"/>
        </w:rPr>
        <w:t>.</w:t>
      </w:r>
    </w:p>
  </w:endnote>
  <w:endnote w:id="6">
    <w:p w:rsidR="00395671" w:rsidRDefault="00395671">
      <w:pPr>
        <w:pStyle w:val="EndnoteText"/>
      </w:pPr>
      <w:r w:rsidRPr="00EB2BB4">
        <w:rPr>
          <w:rStyle w:val="EndnoteReference"/>
          <w:highlight w:val="yellow"/>
        </w:rPr>
        <w:endnoteRef/>
      </w:r>
      <w:r w:rsidRPr="00EB2BB4">
        <w:rPr>
          <w:highlight w:val="yellow"/>
        </w:rPr>
        <w:t xml:space="preserve"> </w:t>
      </w:r>
      <w:r w:rsidRPr="00EB2BB4">
        <w:rPr>
          <w:highlight w:val="yellow"/>
        </w:rPr>
        <w:tab/>
      </w:r>
      <w:r w:rsidRPr="00EB2BB4">
        <w:rPr>
          <w:rFonts w:hint="eastAsia"/>
          <w:highlight w:val="yellow"/>
          <w:lang w:eastAsia="ja-JP"/>
        </w:rPr>
        <w:t xml:space="preserve">See document </w:t>
      </w:r>
      <w:hyperlink r:id="rId4" w:history="1">
        <w:r w:rsidRPr="00EB2BB4">
          <w:rPr>
            <w:rStyle w:val="Hyperlink"/>
            <w:rFonts w:hint="eastAsia"/>
            <w:highlight w:val="yellow"/>
            <w:lang w:eastAsia="ja-JP"/>
          </w:rPr>
          <w:t>UPOV/WG-DEN/1/6</w:t>
        </w:r>
      </w:hyperlink>
      <w:r w:rsidRPr="00EB2BB4">
        <w:rPr>
          <w:rFonts w:hint="eastAsia"/>
          <w:highlight w:val="yellow"/>
          <w:lang w:eastAsia="ja-JP"/>
        </w:rPr>
        <w:t xml:space="preserve"> </w:t>
      </w:r>
      <w:r w:rsidRPr="00EB2BB4">
        <w:rPr>
          <w:highlight w:val="yellow"/>
          <w:lang w:eastAsia="ja-JP"/>
        </w:rPr>
        <w:t>“</w:t>
      </w:r>
      <w:r w:rsidRPr="00EB2BB4">
        <w:rPr>
          <w:rFonts w:hint="eastAsia"/>
          <w:highlight w:val="yellow"/>
          <w:lang w:eastAsia="ja-JP"/>
        </w:rPr>
        <w:t>Report</w:t>
      </w:r>
      <w:r w:rsidRPr="00EB2BB4">
        <w:rPr>
          <w:highlight w:val="yellow"/>
          <w:lang w:eastAsia="ja-JP"/>
        </w:rPr>
        <w:t>”</w:t>
      </w:r>
      <w:r w:rsidRPr="00EB2BB4">
        <w:rPr>
          <w:rFonts w:hint="eastAsia"/>
          <w:highlight w:val="yellow"/>
          <w:lang w:eastAsia="ja-JP"/>
        </w:rPr>
        <w:t>, paragraph 13</w:t>
      </w:r>
      <w:r w:rsidRPr="00EB2BB4">
        <w:rPr>
          <w:highlight w:val="yellow"/>
          <w:lang w:eastAsia="ja-JP"/>
        </w:rPr>
        <w:t>.</w:t>
      </w:r>
    </w:p>
  </w:endnote>
  <w:endnote w:id="7">
    <w:p w:rsidR="00395671" w:rsidRDefault="00395671">
      <w:pPr>
        <w:pStyle w:val="EndnoteText"/>
      </w:pPr>
      <w:r w:rsidRPr="0025153F">
        <w:rPr>
          <w:rStyle w:val="EndnoteReference"/>
          <w:highlight w:val="yellow"/>
        </w:rPr>
        <w:endnoteRef/>
      </w:r>
      <w:r w:rsidRPr="0025153F">
        <w:rPr>
          <w:highlight w:val="yellow"/>
        </w:rPr>
        <w:t xml:space="preserve"> </w:t>
      </w:r>
      <w:r w:rsidRPr="0025153F">
        <w:rPr>
          <w:highlight w:val="yellow"/>
        </w:rPr>
        <w:tab/>
      </w:r>
      <w:r w:rsidRPr="0025153F">
        <w:rPr>
          <w:rFonts w:hint="eastAsia"/>
          <w:highlight w:val="yellow"/>
          <w:lang w:eastAsia="ja-JP"/>
        </w:rPr>
        <w:t xml:space="preserve">See </w:t>
      </w:r>
      <w:r w:rsidRPr="0025153F">
        <w:rPr>
          <w:highlight w:val="yellow"/>
          <w:lang w:eastAsia="ja-JP"/>
        </w:rPr>
        <w:t>document</w:t>
      </w:r>
      <w:r w:rsidRPr="0025153F">
        <w:rPr>
          <w:rFonts w:hint="eastAsia"/>
          <w:highlight w:val="yellow"/>
          <w:lang w:eastAsia="ja-JP"/>
        </w:rPr>
        <w:t xml:space="preserve"> </w:t>
      </w:r>
      <w:hyperlink r:id="rId5" w:history="1">
        <w:r w:rsidRPr="0025153F">
          <w:rPr>
            <w:rStyle w:val="Hyperlink"/>
            <w:rFonts w:hint="eastAsia"/>
            <w:highlight w:val="yellow"/>
            <w:lang w:eastAsia="ja-JP"/>
          </w:rPr>
          <w:t>UPOV/WG_DEN/1/6</w:t>
        </w:r>
      </w:hyperlink>
      <w:r w:rsidRPr="0025153F">
        <w:rPr>
          <w:rFonts w:hint="eastAsia"/>
          <w:highlight w:val="yellow"/>
          <w:lang w:eastAsia="ja-JP"/>
        </w:rPr>
        <w:t xml:space="preserve"> </w:t>
      </w:r>
      <w:r w:rsidRPr="0025153F">
        <w:rPr>
          <w:highlight w:val="yellow"/>
          <w:lang w:eastAsia="ja-JP"/>
        </w:rPr>
        <w:t>“</w:t>
      </w:r>
      <w:r w:rsidRPr="0025153F">
        <w:rPr>
          <w:rFonts w:hint="eastAsia"/>
          <w:highlight w:val="yellow"/>
          <w:lang w:eastAsia="ja-JP"/>
        </w:rPr>
        <w:t>Report</w:t>
      </w:r>
      <w:r w:rsidRPr="0025153F">
        <w:rPr>
          <w:highlight w:val="yellow"/>
          <w:lang w:eastAsia="ja-JP"/>
        </w:rPr>
        <w:t>”</w:t>
      </w:r>
      <w:r w:rsidRPr="0025153F">
        <w:rPr>
          <w:rFonts w:hint="eastAsia"/>
          <w:highlight w:val="yellow"/>
          <w:lang w:eastAsia="ja-JP"/>
        </w:rPr>
        <w:t>, paragraph 15</w:t>
      </w:r>
      <w:r w:rsidRPr="0025153F">
        <w:rPr>
          <w:highlight w:val="yellow"/>
          <w:lang w:eastAsia="ja-JP"/>
        </w:rPr>
        <w:t>.</w:t>
      </w:r>
    </w:p>
  </w:endnote>
  <w:endnote w:id="8">
    <w:p w:rsidR="00395671" w:rsidRDefault="00395671" w:rsidP="00567901">
      <w:pPr>
        <w:pStyle w:val="EndnoteText"/>
      </w:pPr>
      <w:r>
        <w:rPr>
          <w:rStyle w:val="EndnoteReference"/>
        </w:rPr>
        <w:endnoteRef/>
      </w:r>
      <w:r>
        <w:t xml:space="preserve"> </w:t>
      </w:r>
      <w:r>
        <w:tab/>
        <w:t>Proposal by WG-DST at its second meeting held in Geneva, on June 9, 2015 (see document CAJ/72/9 “Report”, paragraph 23 (d))</w:t>
      </w:r>
    </w:p>
  </w:endnote>
  <w:endnote w:id="9">
    <w:p w:rsidR="00395671" w:rsidRDefault="00395671" w:rsidP="00C60977">
      <w:pPr>
        <w:pStyle w:val="EndnoteText"/>
      </w:pPr>
      <w:r>
        <w:rPr>
          <w:rStyle w:val="EndnoteReference"/>
        </w:rPr>
        <w:endnoteRef/>
      </w:r>
      <w:r>
        <w:t xml:space="preserve"> </w:t>
      </w:r>
      <w:r>
        <w:tab/>
        <w:t>Proposal by ESA/ISF in reply to UPOV Circular E-15/276 of December 3, 2015 (see document CAJ/72/9 “Report”, paragraph 23 (d))</w:t>
      </w:r>
    </w:p>
  </w:endnote>
  <w:endnote w:id="10">
    <w:p w:rsidR="00395671" w:rsidRDefault="00395671">
      <w:pPr>
        <w:pStyle w:val="EndnoteText"/>
      </w:pPr>
      <w:r w:rsidRPr="00B343D1">
        <w:rPr>
          <w:rStyle w:val="EndnoteReference"/>
          <w:highlight w:val="yellow"/>
        </w:rPr>
        <w:endnoteRef/>
      </w:r>
      <w:r w:rsidRPr="00B343D1">
        <w:rPr>
          <w:highlight w:val="yellow"/>
        </w:rPr>
        <w:t xml:space="preserve"> </w:t>
      </w:r>
      <w:r w:rsidRPr="00B343D1">
        <w:rPr>
          <w:highlight w:val="yellow"/>
        </w:rPr>
        <w:tab/>
      </w:r>
      <w:r w:rsidRPr="00B343D1">
        <w:rPr>
          <w:rFonts w:hint="eastAsia"/>
          <w:highlight w:val="yellow"/>
          <w:lang w:eastAsia="ja-JP"/>
        </w:rPr>
        <w:t xml:space="preserve">See document </w:t>
      </w:r>
      <w:hyperlink r:id="rId6" w:history="1">
        <w:r w:rsidRPr="00B343D1">
          <w:rPr>
            <w:rStyle w:val="Hyperlink"/>
            <w:rFonts w:hint="eastAsia"/>
            <w:highlight w:val="yellow"/>
            <w:lang w:eastAsia="ja-JP"/>
          </w:rPr>
          <w:t>UPOV/WG-DEN/1/6</w:t>
        </w:r>
      </w:hyperlink>
      <w:r w:rsidRPr="00B343D1">
        <w:rPr>
          <w:rFonts w:hint="eastAsia"/>
          <w:highlight w:val="yellow"/>
          <w:lang w:eastAsia="ja-JP"/>
        </w:rPr>
        <w:t xml:space="preserve"> </w:t>
      </w:r>
      <w:r w:rsidRPr="00B343D1">
        <w:rPr>
          <w:highlight w:val="yellow"/>
          <w:lang w:eastAsia="ja-JP"/>
        </w:rPr>
        <w:t>“</w:t>
      </w:r>
      <w:r w:rsidRPr="00B343D1">
        <w:rPr>
          <w:rFonts w:hint="eastAsia"/>
          <w:highlight w:val="yellow"/>
          <w:lang w:eastAsia="ja-JP"/>
        </w:rPr>
        <w:t>Report</w:t>
      </w:r>
      <w:r w:rsidRPr="00B343D1">
        <w:rPr>
          <w:highlight w:val="yellow"/>
          <w:lang w:eastAsia="ja-JP"/>
        </w:rPr>
        <w:t>”</w:t>
      </w:r>
      <w:r w:rsidRPr="00B343D1">
        <w:rPr>
          <w:rFonts w:hint="eastAsia"/>
          <w:highlight w:val="yellow"/>
          <w:lang w:eastAsia="ja-JP"/>
        </w:rPr>
        <w:t>, paragraph 17</w:t>
      </w:r>
      <w:r w:rsidRPr="00B343D1">
        <w:rPr>
          <w:highlight w:val="yellow"/>
          <w:lang w:eastAsia="ja-JP"/>
        </w:rPr>
        <w:t>.</w:t>
      </w:r>
    </w:p>
  </w:endnote>
  <w:endnote w:id="11">
    <w:p w:rsidR="00395671" w:rsidRDefault="00395671">
      <w:pPr>
        <w:pStyle w:val="EndnoteText"/>
      </w:pPr>
      <w:r w:rsidRPr="00901570">
        <w:rPr>
          <w:rStyle w:val="EndnoteReference"/>
          <w:highlight w:val="yellow"/>
        </w:rPr>
        <w:endnoteRef/>
      </w:r>
      <w:r w:rsidRPr="00901570">
        <w:rPr>
          <w:highlight w:val="yellow"/>
        </w:rPr>
        <w:t xml:space="preserve"> </w:t>
      </w:r>
      <w:r w:rsidRPr="00901570">
        <w:rPr>
          <w:highlight w:val="yellow"/>
        </w:rPr>
        <w:tab/>
      </w:r>
      <w:r w:rsidRPr="00901570">
        <w:rPr>
          <w:rFonts w:hint="eastAsia"/>
          <w:highlight w:val="yellow"/>
          <w:lang w:eastAsia="ja-JP"/>
        </w:rPr>
        <w:t xml:space="preserve">Seed document </w:t>
      </w:r>
      <w:hyperlink r:id="rId7" w:history="1">
        <w:r w:rsidRPr="00901570">
          <w:rPr>
            <w:rStyle w:val="Hyperlink"/>
            <w:rFonts w:hint="eastAsia"/>
            <w:highlight w:val="yellow"/>
            <w:lang w:eastAsia="ja-JP"/>
          </w:rPr>
          <w:t>UPOV/WG-DEN/1/6</w:t>
        </w:r>
      </w:hyperlink>
      <w:r w:rsidRPr="00901570">
        <w:rPr>
          <w:rFonts w:hint="eastAsia"/>
          <w:highlight w:val="yellow"/>
          <w:lang w:eastAsia="ja-JP"/>
        </w:rPr>
        <w:t xml:space="preserve"> </w:t>
      </w:r>
      <w:r w:rsidRPr="00901570">
        <w:rPr>
          <w:highlight w:val="yellow"/>
          <w:lang w:eastAsia="ja-JP"/>
        </w:rPr>
        <w:t>“</w:t>
      </w:r>
      <w:r w:rsidRPr="00901570">
        <w:rPr>
          <w:rFonts w:hint="eastAsia"/>
          <w:highlight w:val="yellow"/>
          <w:lang w:eastAsia="ja-JP"/>
        </w:rPr>
        <w:t>Report</w:t>
      </w:r>
      <w:r w:rsidRPr="00901570">
        <w:rPr>
          <w:highlight w:val="yellow"/>
          <w:lang w:eastAsia="ja-JP"/>
        </w:rPr>
        <w:t>”</w:t>
      </w:r>
      <w:r w:rsidRPr="00901570">
        <w:rPr>
          <w:rFonts w:hint="eastAsia"/>
          <w:highlight w:val="yellow"/>
          <w:lang w:eastAsia="ja-JP"/>
        </w:rPr>
        <w:t>, paragraph</w:t>
      </w:r>
      <w:r w:rsidRPr="00901570">
        <w:rPr>
          <w:highlight w:val="yellow"/>
          <w:lang w:eastAsia="ja-JP"/>
        </w:rPr>
        <w:t>s</w:t>
      </w:r>
      <w:r w:rsidRPr="00901570">
        <w:rPr>
          <w:rFonts w:hint="eastAsia"/>
          <w:highlight w:val="yellow"/>
          <w:lang w:eastAsia="ja-JP"/>
        </w:rPr>
        <w:t xml:space="preserve"> 18 and 19</w:t>
      </w:r>
      <w:r w:rsidRPr="00901570">
        <w:rPr>
          <w:highlight w:val="yellow"/>
          <w:lang w:eastAsia="ja-JP"/>
        </w:rPr>
        <w:t>.</w:t>
      </w:r>
    </w:p>
  </w:endnote>
  <w:endnote w:id="12">
    <w:p w:rsidR="00395671" w:rsidRDefault="00395671">
      <w:pPr>
        <w:pStyle w:val="EndnoteText"/>
      </w:pPr>
      <w:r w:rsidRPr="00647151">
        <w:rPr>
          <w:rStyle w:val="EndnoteReference"/>
          <w:highlight w:val="yellow"/>
        </w:rPr>
        <w:endnoteRef/>
      </w:r>
      <w:r w:rsidRPr="00647151">
        <w:rPr>
          <w:highlight w:val="yellow"/>
        </w:rPr>
        <w:t xml:space="preserve"> </w:t>
      </w:r>
      <w:r w:rsidRPr="00647151">
        <w:rPr>
          <w:highlight w:val="yellow"/>
        </w:rPr>
        <w:tab/>
      </w:r>
      <w:r w:rsidRPr="00647151">
        <w:rPr>
          <w:rFonts w:hint="eastAsia"/>
          <w:highlight w:val="yellow"/>
          <w:lang w:eastAsia="ja-JP"/>
        </w:rPr>
        <w:t xml:space="preserve">See document </w:t>
      </w:r>
      <w:hyperlink r:id="rId8" w:history="1">
        <w:r w:rsidRPr="00647151">
          <w:rPr>
            <w:rStyle w:val="Hyperlink"/>
            <w:rFonts w:hint="eastAsia"/>
            <w:highlight w:val="yellow"/>
            <w:lang w:eastAsia="ja-JP"/>
          </w:rPr>
          <w:t>UPOV/WG-DEN/1/6</w:t>
        </w:r>
      </w:hyperlink>
      <w:r w:rsidRPr="00647151">
        <w:rPr>
          <w:rFonts w:hint="eastAsia"/>
          <w:highlight w:val="yellow"/>
          <w:lang w:eastAsia="ja-JP"/>
        </w:rPr>
        <w:t xml:space="preserve"> </w:t>
      </w:r>
      <w:r w:rsidRPr="00647151">
        <w:rPr>
          <w:highlight w:val="yellow"/>
          <w:lang w:eastAsia="ja-JP"/>
        </w:rPr>
        <w:t>“</w:t>
      </w:r>
      <w:r w:rsidRPr="00647151">
        <w:rPr>
          <w:rFonts w:hint="eastAsia"/>
          <w:highlight w:val="yellow"/>
          <w:lang w:eastAsia="ja-JP"/>
        </w:rPr>
        <w:t>Report</w:t>
      </w:r>
      <w:r w:rsidRPr="00647151">
        <w:rPr>
          <w:highlight w:val="yellow"/>
          <w:lang w:eastAsia="ja-JP"/>
        </w:rPr>
        <w:t>”</w:t>
      </w:r>
      <w:r w:rsidRPr="00647151">
        <w:rPr>
          <w:rFonts w:hint="eastAsia"/>
          <w:highlight w:val="yellow"/>
          <w:lang w:eastAsia="ja-JP"/>
        </w:rPr>
        <w:t>, paragraph 24</w:t>
      </w:r>
      <w:r w:rsidRPr="00647151">
        <w:rPr>
          <w:highlight w:val="yellow"/>
          <w:lang w:eastAsia="ja-JP"/>
        </w:rPr>
        <w:t>.</w:t>
      </w:r>
    </w:p>
  </w:endnote>
  <w:endnote w:id="13">
    <w:p w:rsidR="00395671" w:rsidRDefault="00395671">
      <w:pPr>
        <w:pStyle w:val="EndnoteText"/>
      </w:pPr>
      <w:r w:rsidRPr="00850EF6">
        <w:rPr>
          <w:rStyle w:val="EndnoteReference"/>
          <w:highlight w:val="yellow"/>
        </w:rPr>
        <w:endnoteRef/>
      </w:r>
      <w:r w:rsidRPr="00850EF6">
        <w:rPr>
          <w:highlight w:val="yellow"/>
        </w:rPr>
        <w:t xml:space="preserve"> </w:t>
      </w:r>
      <w:r w:rsidRPr="00850EF6">
        <w:rPr>
          <w:highlight w:val="yellow"/>
        </w:rPr>
        <w:tab/>
      </w:r>
      <w:r w:rsidRPr="00850EF6">
        <w:rPr>
          <w:rFonts w:hint="eastAsia"/>
          <w:highlight w:val="yellow"/>
          <w:lang w:eastAsia="ja-JP"/>
        </w:rPr>
        <w:t xml:space="preserve">See document </w:t>
      </w:r>
      <w:hyperlink r:id="rId9" w:history="1">
        <w:r w:rsidRPr="00850EF6">
          <w:rPr>
            <w:rStyle w:val="Hyperlink"/>
            <w:rFonts w:hint="eastAsia"/>
            <w:highlight w:val="yellow"/>
            <w:lang w:eastAsia="ja-JP"/>
          </w:rPr>
          <w:t>UPOV/WG-DEN/1/6</w:t>
        </w:r>
      </w:hyperlink>
      <w:r w:rsidRPr="00850EF6">
        <w:rPr>
          <w:rFonts w:hint="eastAsia"/>
          <w:highlight w:val="yellow"/>
          <w:lang w:eastAsia="ja-JP"/>
        </w:rPr>
        <w:t xml:space="preserve"> </w:t>
      </w:r>
      <w:r w:rsidRPr="00850EF6">
        <w:rPr>
          <w:highlight w:val="yellow"/>
          <w:lang w:eastAsia="ja-JP"/>
        </w:rPr>
        <w:t>“</w:t>
      </w:r>
      <w:r w:rsidRPr="00850EF6">
        <w:rPr>
          <w:rFonts w:hint="eastAsia"/>
          <w:highlight w:val="yellow"/>
          <w:lang w:eastAsia="ja-JP"/>
        </w:rPr>
        <w:t>Report</w:t>
      </w:r>
      <w:r w:rsidRPr="00850EF6">
        <w:rPr>
          <w:highlight w:val="yellow"/>
          <w:lang w:eastAsia="ja-JP"/>
        </w:rPr>
        <w:t>”</w:t>
      </w:r>
      <w:r w:rsidRPr="00850EF6">
        <w:rPr>
          <w:rFonts w:hint="eastAsia"/>
          <w:highlight w:val="yellow"/>
          <w:lang w:eastAsia="ja-JP"/>
        </w:rPr>
        <w:t>, paragraph 22</w:t>
      </w:r>
      <w:r w:rsidRPr="00850EF6">
        <w:rPr>
          <w:highlight w:val="yellow"/>
          <w:lang w:eastAsia="ja-JP"/>
        </w:rPr>
        <w:t>.</w:t>
      </w:r>
    </w:p>
  </w:endnote>
  <w:endnote w:id="14">
    <w:p w:rsidR="00395671" w:rsidRPr="0076450A" w:rsidRDefault="00395671">
      <w:pPr>
        <w:pStyle w:val="EndnoteText"/>
      </w:pPr>
      <w:r>
        <w:rPr>
          <w:rStyle w:val="EndnoteReference"/>
        </w:rPr>
        <w:endnoteRef/>
      </w:r>
      <w:r>
        <w:t xml:space="preserve"> </w:t>
      </w:r>
      <w:r>
        <w:tab/>
      </w:r>
      <w:r w:rsidRPr="0076450A">
        <w:rPr>
          <w:rFonts w:hint="eastAsia"/>
          <w:lang w:eastAsia="ja-JP"/>
        </w:rPr>
        <w:t>See document UPOV/WG-D</w:t>
      </w:r>
      <w:r w:rsidRPr="0076450A">
        <w:rPr>
          <w:lang w:eastAsia="ja-JP"/>
        </w:rPr>
        <w:t>EN/1/4</w:t>
      </w:r>
      <w:r w:rsidRPr="0076450A">
        <w:rPr>
          <w:rFonts w:hint="eastAsia"/>
          <w:lang w:eastAsia="ja-JP"/>
        </w:rPr>
        <w:t xml:space="preserve"> </w:t>
      </w:r>
      <w:r w:rsidRPr="0076450A">
        <w:rPr>
          <w:lang w:eastAsia="ja-JP"/>
        </w:rPr>
        <w:t>“Expansion of the content of PLUTO Database”.</w:t>
      </w:r>
    </w:p>
  </w:endnote>
  <w:endnote w:id="15">
    <w:p w:rsidR="00395671" w:rsidRDefault="00395671">
      <w:pPr>
        <w:pStyle w:val="EndnoteText"/>
      </w:pPr>
      <w:r w:rsidRPr="001A663F">
        <w:rPr>
          <w:rStyle w:val="EndnoteReference"/>
          <w:highlight w:val="yellow"/>
        </w:rPr>
        <w:endnoteRef/>
      </w:r>
      <w:r w:rsidRPr="001A663F">
        <w:rPr>
          <w:highlight w:val="yellow"/>
        </w:rPr>
        <w:t xml:space="preserve"> </w:t>
      </w:r>
      <w:r w:rsidRPr="001A663F">
        <w:rPr>
          <w:highlight w:val="yellow"/>
        </w:rPr>
        <w:tab/>
      </w:r>
      <w:r w:rsidRPr="001A663F">
        <w:rPr>
          <w:rFonts w:hint="eastAsia"/>
          <w:highlight w:val="yellow"/>
          <w:lang w:eastAsia="ja-JP"/>
        </w:rPr>
        <w:t xml:space="preserve">See document </w:t>
      </w:r>
      <w:hyperlink r:id="rId10" w:history="1">
        <w:r w:rsidRPr="001A663F">
          <w:rPr>
            <w:rStyle w:val="Hyperlink"/>
            <w:rFonts w:hint="eastAsia"/>
            <w:highlight w:val="yellow"/>
            <w:lang w:eastAsia="ja-JP"/>
          </w:rPr>
          <w:t>UPOV/WG-DEN/1/6</w:t>
        </w:r>
      </w:hyperlink>
      <w:r w:rsidRPr="001A663F">
        <w:rPr>
          <w:rFonts w:hint="eastAsia"/>
          <w:highlight w:val="yellow"/>
          <w:lang w:eastAsia="ja-JP"/>
        </w:rPr>
        <w:t xml:space="preserve"> </w:t>
      </w:r>
      <w:r w:rsidRPr="001A663F">
        <w:rPr>
          <w:highlight w:val="yellow"/>
          <w:lang w:eastAsia="ja-JP"/>
        </w:rPr>
        <w:t>“</w:t>
      </w:r>
      <w:r w:rsidRPr="001A663F">
        <w:rPr>
          <w:rFonts w:hint="eastAsia"/>
          <w:highlight w:val="yellow"/>
          <w:lang w:eastAsia="ja-JP"/>
        </w:rPr>
        <w:t>Report</w:t>
      </w:r>
      <w:r w:rsidRPr="001A663F">
        <w:rPr>
          <w:highlight w:val="yellow"/>
          <w:lang w:eastAsia="ja-JP"/>
        </w:rPr>
        <w:t>”</w:t>
      </w:r>
      <w:r w:rsidRPr="001A663F">
        <w:rPr>
          <w:rFonts w:hint="eastAsia"/>
          <w:highlight w:val="yellow"/>
          <w:lang w:eastAsia="ja-JP"/>
        </w:rPr>
        <w:t>, paragraph 27</w:t>
      </w:r>
      <w:r w:rsidRPr="001A663F">
        <w:rPr>
          <w:highlight w:val="yellow"/>
          <w:lang w:eastAsia="ja-JP"/>
        </w:rPr>
        <w:t>.</w:t>
      </w:r>
    </w:p>
  </w:endnote>
  <w:endnote w:id="16">
    <w:p w:rsidR="00395671" w:rsidRDefault="00395671">
      <w:pPr>
        <w:pStyle w:val="EndnoteText"/>
      </w:pPr>
      <w:r w:rsidRPr="0095486A">
        <w:rPr>
          <w:rStyle w:val="EndnoteReference"/>
          <w:highlight w:val="yellow"/>
        </w:rPr>
        <w:endnoteRef/>
      </w:r>
      <w:r w:rsidRPr="0095486A">
        <w:rPr>
          <w:highlight w:val="yellow"/>
        </w:rPr>
        <w:t xml:space="preserve"> </w:t>
      </w:r>
      <w:r w:rsidRPr="0095486A">
        <w:rPr>
          <w:highlight w:val="yellow"/>
        </w:rPr>
        <w:tab/>
      </w:r>
      <w:r w:rsidRPr="0095486A">
        <w:rPr>
          <w:rFonts w:hint="eastAsia"/>
          <w:highlight w:val="yellow"/>
          <w:lang w:eastAsia="ja-JP"/>
        </w:rPr>
        <w:t xml:space="preserve">See document </w:t>
      </w:r>
      <w:hyperlink r:id="rId11" w:history="1">
        <w:r w:rsidRPr="0095486A">
          <w:rPr>
            <w:rStyle w:val="Hyperlink"/>
            <w:rFonts w:hint="eastAsia"/>
            <w:highlight w:val="yellow"/>
            <w:lang w:eastAsia="ja-JP"/>
          </w:rPr>
          <w:t>UPOV/WG-DEN/1/6</w:t>
        </w:r>
      </w:hyperlink>
      <w:r w:rsidRPr="0095486A">
        <w:rPr>
          <w:rFonts w:hint="eastAsia"/>
          <w:highlight w:val="yellow"/>
          <w:lang w:eastAsia="ja-JP"/>
        </w:rPr>
        <w:t xml:space="preserve"> </w:t>
      </w:r>
      <w:r w:rsidRPr="0095486A">
        <w:rPr>
          <w:highlight w:val="yellow"/>
          <w:lang w:eastAsia="ja-JP"/>
        </w:rPr>
        <w:t>“</w:t>
      </w:r>
      <w:r w:rsidRPr="0095486A">
        <w:rPr>
          <w:rFonts w:hint="eastAsia"/>
          <w:highlight w:val="yellow"/>
          <w:lang w:eastAsia="ja-JP"/>
        </w:rPr>
        <w:t>Report</w:t>
      </w:r>
      <w:r w:rsidRPr="0095486A">
        <w:rPr>
          <w:highlight w:val="yellow"/>
          <w:lang w:eastAsia="ja-JP"/>
        </w:rPr>
        <w:t>”</w:t>
      </w:r>
      <w:r w:rsidRPr="0095486A">
        <w:rPr>
          <w:rFonts w:hint="eastAsia"/>
          <w:highlight w:val="yellow"/>
          <w:lang w:eastAsia="ja-JP"/>
        </w:rPr>
        <w:t>, paragraph 32</w:t>
      </w:r>
      <w:r w:rsidRPr="0095486A">
        <w:rPr>
          <w:highlight w:val="yellow"/>
          <w:lang w:eastAsia="ja-JP"/>
        </w:rPr>
        <w:t>.</w:t>
      </w:r>
    </w:p>
  </w:endnote>
  <w:endnote w:id="17">
    <w:p w:rsidR="00395671" w:rsidRDefault="00395671">
      <w:pPr>
        <w:pStyle w:val="EndnoteText"/>
      </w:pPr>
      <w:r w:rsidRPr="0025153F">
        <w:rPr>
          <w:rStyle w:val="EndnoteReference"/>
          <w:highlight w:val="yellow"/>
        </w:rPr>
        <w:endnoteRef/>
      </w:r>
      <w:r w:rsidRPr="0025153F">
        <w:rPr>
          <w:highlight w:val="yellow"/>
        </w:rPr>
        <w:t xml:space="preserve"> </w:t>
      </w:r>
      <w:r w:rsidRPr="0025153F">
        <w:rPr>
          <w:highlight w:val="yellow"/>
        </w:rPr>
        <w:tab/>
      </w:r>
      <w:r w:rsidRPr="0025153F">
        <w:rPr>
          <w:rFonts w:hint="eastAsia"/>
          <w:highlight w:val="yellow"/>
          <w:lang w:eastAsia="ja-JP"/>
        </w:rPr>
        <w:t xml:space="preserve">See document </w:t>
      </w:r>
      <w:hyperlink r:id="rId12" w:history="1">
        <w:r w:rsidRPr="0025153F">
          <w:rPr>
            <w:rStyle w:val="Hyperlink"/>
            <w:rFonts w:hint="eastAsia"/>
            <w:highlight w:val="yellow"/>
            <w:lang w:eastAsia="ja-JP"/>
          </w:rPr>
          <w:t>UPOV/WG-DEN/1/6</w:t>
        </w:r>
      </w:hyperlink>
      <w:r w:rsidRPr="0025153F">
        <w:rPr>
          <w:rFonts w:hint="eastAsia"/>
          <w:highlight w:val="yellow"/>
          <w:lang w:eastAsia="ja-JP"/>
        </w:rPr>
        <w:t xml:space="preserve"> </w:t>
      </w:r>
      <w:r w:rsidRPr="0025153F">
        <w:rPr>
          <w:highlight w:val="yellow"/>
          <w:lang w:eastAsia="ja-JP"/>
        </w:rPr>
        <w:t>“</w:t>
      </w:r>
      <w:r w:rsidRPr="0025153F">
        <w:rPr>
          <w:rFonts w:hint="eastAsia"/>
          <w:highlight w:val="yellow"/>
          <w:lang w:eastAsia="ja-JP"/>
        </w:rPr>
        <w:t>Report</w:t>
      </w:r>
      <w:r w:rsidRPr="0025153F">
        <w:rPr>
          <w:highlight w:val="yellow"/>
          <w:lang w:eastAsia="ja-JP"/>
        </w:rPr>
        <w:t>”</w:t>
      </w:r>
      <w:r w:rsidRPr="0025153F">
        <w:rPr>
          <w:rFonts w:hint="eastAsia"/>
          <w:highlight w:val="yellow"/>
          <w:lang w:eastAsia="ja-JP"/>
        </w:rPr>
        <w:t>, paragraph</w:t>
      </w:r>
      <w:r w:rsidRPr="0025153F">
        <w:rPr>
          <w:highlight w:val="yellow"/>
          <w:lang w:eastAsia="ja-JP"/>
        </w:rPr>
        <w:t>s</w:t>
      </w:r>
      <w:r w:rsidRPr="0025153F">
        <w:rPr>
          <w:rFonts w:hint="eastAsia"/>
          <w:highlight w:val="yellow"/>
          <w:lang w:eastAsia="ja-JP"/>
        </w:rPr>
        <w:t xml:space="preserve"> 33 and 34</w:t>
      </w:r>
      <w:r w:rsidRPr="0025153F">
        <w:rPr>
          <w:highlight w:val="yellow"/>
          <w:lang w:eastAsia="ja-JP"/>
        </w:rPr>
        <w:t>.</w:t>
      </w:r>
    </w:p>
  </w:endnote>
  <w:endnote w:id="18">
    <w:p w:rsidR="00395671" w:rsidRDefault="00395671" w:rsidP="00221105">
      <w:pPr>
        <w:pStyle w:val="EndnoteText"/>
      </w:pPr>
      <w:r w:rsidRPr="0025153F">
        <w:rPr>
          <w:rStyle w:val="EndnoteReference"/>
          <w:highlight w:val="yellow"/>
        </w:rPr>
        <w:endnoteRef/>
      </w:r>
      <w:r w:rsidRPr="0025153F">
        <w:rPr>
          <w:highlight w:val="yellow"/>
        </w:rPr>
        <w:t xml:space="preserve"> </w:t>
      </w:r>
      <w:r w:rsidRPr="0025153F">
        <w:rPr>
          <w:highlight w:val="yellow"/>
        </w:rPr>
        <w:tab/>
      </w:r>
      <w:r w:rsidRPr="0025153F">
        <w:rPr>
          <w:rFonts w:hint="eastAsia"/>
          <w:highlight w:val="yellow"/>
          <w:lang w:eastAsia="ja-JP"/>
        </w:rPr>
        <w:t xml:space="preserve">See document </w:t>
      </w:r>
      <w:hyperlink r:id="rId13" w:history="1">
        <w:r w:rsidRPr="0025153F">
          <w:rPr>
            <w:rStyle w:val="Hyperlink"/>
            <w:rFonts w:hint="eastAsia"/>
            <w:highlight w:val="yellow"/>
            <w:lang w:eastAsia="ja-JP"/>
          </w:rPr>
          <w:t>UPOV/WG-DEN/1/6</w:t>
        </w:r>
      </w:hyperlink>
      <w:r w:rsidRPr="0025153F">
        <w:rPr>
          <w:rFonts w:hint="eastAsia"/>
          <w:highlight w:val="yellow"/>
          <w:lang w:eastAsia="ja-JP"/>
        </w:rPr>
        <w:t xml:space="preserve"> </w:t>
      </w:r>
      <w:r w:rsidRPr="0025153F">
        <w:rPr>
          <w:highlight w:val="yellow"/>
          <w:lang w:eastAsia="ja-JP"/>
        </w:rPr>
        <w:t>“</w:t>
      </w:r>
      <w:r w:rsidRPr="0025153F">
        <w:rPr>
          <w:rFonts w:hint="eastAsia"/>
          <w:highlight w:val="yellow"/>
          <w:lang w:eastAsia="ja-JP"/>
        </w:rPr>
        <w:t>Report</w:t>
      </w:r>
      <w:r w:rsidRPr="0025153F">
        <w:rPr>
          <w:highlight w:val="yellow"/>
          <w:lang w:eastAsia="ja-JP"/>
        </w:rPr>
        <w:t>”</w:t>
      </w:r>
      <w:r w:rsidRPr="0025153F">
        <w:rPr>
          <w:rFonts w:hint="eastAsia"/>
          <w:highlight w:val="yellow"/>
          <w:lang w:eastAsia="ja-JP"/>
        </w:rPr>
        <w:t xml:space="preserve">, paragraph </w:t>
      </w:r>
      <w:r>
        <w:rPr>
          <w:rFonts w:hint="eastAsia"/>
          <w:highlight w:val="yellow"/>
          <w:lang w:eastAsia="ja-JP"/>
        </w:rPr>
        <w:t>37</w:t>
      </w:r>
      <w:r w:rsidRPr="0025153F">
        <w:rPr>
          <w:highlight w:val="yellow"/>
          <w:lang w:eastAsia="ja-JP"/>
        </w:rPr>
        <w:t>.</w:t>
      </w:r>
    </w:p>
  </w:endnote>
  <w:endnote w:id="19">
    <w:p w:rsidR="00395671" w:rsidRPr="00982FF8" w:rsidRDefault="00395671" w:rsidP="004C3A6E">
      <w:pPr>
        <w:pStyle w:val="EndnoteText"/>
      </w:pPr>
      <w:r>
        <w:rPr>
          <w:rStyle w:val="EndnoteReference"/>
        </w:rPr>
        <w:endnoteRef/>
      </w:r>
      <w:r>
        <w:t xml:space="preserve"> </w:t>
      </w:r>
      <w:r>
        <w:tab/>
      </w:r>
      <w:r w:rsidRPr="00982FF8">
        <w:t xml:space="preserve">Proposal by CAJ-AG based on an initial proposal by ESA of </w:t>
      </w:r>
      <w:r>
        <w:t>June 25, 2014</w:t>
      </w:r>
      <w:r w:rsidRPr="00982FF8">
        <w:t xml:space="preserve"> and submitted </w:t>
      </w:r>
      <w:r>
        <w:t>by ESA</w:t>
      </w:r>
      <w:r w:rsidRPr="00982FF8">
        <w:t xml:space="preserve"> in the reply to </w:t>
      </w:r>
      <w:r>
        <w:t>UPOV C</w:t>
      </w:r>
      <w:r w:rsidRPr="00982FF8">
        <w:t xml:space="preserve">ircular E-15/276 of December 3, 2015 (see document </w:t>
      </w:r>
      <w:r>
        <w:t>CAJ/72/9 “Report”, paragraph 23</w:t>
      </w:r>
      <w:r w:rsidRPr="00982FF8">
        <w:t>(d))</w:t>
      </w:r>
    </w:p>
  </w:endnote>
  <w:endnote w:id="20">
    <w:p w:rsidR="00395671" w:rsidRDefault="00395671" w:rsidP="00221105">
      <w:pPr>
        <w:pStyle w:val="EndnoteText"/>
      </w:pPr>
      <w:r w:rsidRPr="0025153F">
        <w:rPr>
          <w:rStyle w:val="EndnoteReference"/>
          <w:highlight w:val="yellow"/>
        </w:rPr>
        <w:endnoteRef/>
      </w:r>
      <w:r w:rsidRPr="0025153F">
        <w:rPr>
          <w:highlight w:val="yellow"/>
        </w:rPr>
        <w:t xml:space="preserve"> </w:t>
      </w:r>
      <w:r w:rsidRPr="0025153F">
        <w:rPr>
          <w:highlight w:val="yellow"/>
        </w:rPr>
        <w:tab/>
      </w:r>
      <w:r w:rsidRPr="0025153F">
        <w:rPr>
          <w:rFonts w:hint="eastAsia"/>
          <w:highlight w:val="yellow"/>
          <w:lang w:eastAsia="ja-JP"/>
        </w:rPr>
        <w:t xml:space="preserve">See document </w:t>
      </w:r>
      <w:hyperlink r:id="rId14" w:history="1">
        <w:r w:rsidRPr="0025153F">
          <w:rPr>
            <w:rStyle w:val="Hyperlink"/>
            <w:rFonts w:hint="eastAsia"/>
            <w:highlight w:val="yellow"/>
            <w:lang w:eastAsia="ja-JP"/>
          </w:rPr>
          <w:t>UPOV/WG-DEN/1/6</w:t>
        </w:r>
      </w:hyperlink>
      <w:r w:rsidRPr="0025153F">
        <w:rPr>
          <w:rFonts w:hint="eastAsia"/>
          <w:highlight w:val="yellow"/>
          <w:lang w:eastAsia="ja-JP"/>
        </w:rPr>
        <w:t xml:space="preserve"> </w:t>
      </w:r>
      <w:r w:rsidRPr="0025153F">
        <w:rPr>
          <w:highlight w:val="yellow"/>
          <w:lang w:eastAsia="ja-JP"/>
        </w:rPr>
        <w:t>“</w:t>
      </w:r>
      <w:r w:rsidRPr="0025153F">
        <w:rPr>
          <w:rFonts w:hint="eastAsia"/>
          <w:highlight w:val="yellow"/>
          <w:lang w:eastAsia="ja-JP"/>
        </w:rPr>
        <w:t>Report</w:t>
      </w:r>
      <w:r w:rsidRPr="0025153F">
        <w:rPr>
          <w:highlight w:val="yellow"/>
          <w:lang w:eastAsia="ja-JP"/>
        </w:rPr>
        <w:t>”</w:t>
      </w:r>
      <w:r w:rsidRPr="0025153F">
        <w:rPr>
          <w:rFonts w:hint="eastAsia"/>
          <w:highlight w:val="yellow"/>
          <w:lang w:eastAsia="ja-JP"/>
        </w:rPr>
        <w:t xml:space="preserve">, paragraph </w:t>
      </w:r>
      <w:r>
        <w:rPr>
          <w:rFonts w:hint="eastAsia"/>
          <w:highlight w:val="yellow"/>
          <w:lang w:eastAsia="ja-JP"/>
        </w:rPr>
        <w:t>45</w:t>
      </w:r>
      <w:r w:rsidRPr="0025153F">
        <w:rPr>
          <w:highlight w:val="yellow"/>
          <w:lang w:eastAsia="ja-JP"/>
        </w:rPr>
        <w:t>.</w:t>
      </w:r>
    </w:p>
  </w:endnote>
  <w:endnote w:id="21">
    <w:p w:rsidR="00395671" w:rsidRPr="00B477BE" w:rsidRDefault="00395671">
      <w:pPr>
        <w:pStyle w:val="EndnoteText"/>
      </w:pPr>
      <w:r>
        <w:rPr>
          <w:rStyle w:val="EndnoteReference"/>
        </w:rPr>
        <w:endnoteRef/>
      </w:r>
      <w:r>
        <w:t xml:space="preserve"> </w:t>
      </w:r>
      <w:r>
        <w:tab/>
      </w:r>
      <w:r w:rsidRPr="00B477BE">
        <w:t xml:space="preserve">In reply to UPOV Circular E-15/276 of December 3, 2015, ESA made the following comment on a proposed </w:t>
      </w:r>
      <w:r>
        <w:t xml:space="preserve">text for Section 7.2(c) </w:t>
      </w:r>
      <w:r w:rsidRPr="00B477BE">
        <w:t>made by APBREBES to the CAJ-AG on October 24, 2014:</w:t>
      </w:r>
    </w:p>
    <w:p w:rsidR="00395671" w:rsidRPr="00B477BE" w:rsidRDefault="00395671" w:rsidP="00B477BE">
      <w:pPr>
        <w:pStyle w:val="EndnoteText"/>
        <w:ind w:firstLine="0"/>
      </w:pPr>
      <w:r w:rsidRPr="00B477BE">
        <w:t>“Under point 7.2 (c) a proposal from Ap</w:t>
      </w:r>
      <w:r>
        <w:t>b</w:t>
      </w:r>
      <w:r w:rsidRPr="00B477BE">
        <w:t>rebes has been inserted. In general, we believe that the scenario described by point 7.2(c) would be very seldom since points (a) and (b) already cover the scenarios in which normally a breeder would request a change of the denomination. Further on, we do not fully understand whether the last sentence of the proposal (starting with “If the denomination is changed…”) refers only to a change under point (c) or would also apply to points (a) and (b). If this would be the case, we would like to point out that it would not be possible to continue to mention the old name next to the new name since under (a) this would still constitute</w:t>
      </w:r>
      <w:r>
        <w:t xml:space="preserve"> </w:t>
      </w:r>
      <w:r w:rsidRPr="00B477BE">
        <w:t>an infringement of the trademark and under (b) the breeder would certainly not want to continue mentioning a name next to the new name which may be offensive for example.”</w:t>
      </w:r>
    </w:p>
    <w:p w:rsidR="00395671" w:rsidRDefault="00395671">
      <w:pPr>
        <w:pStyle w:val="EndnoteText"/>
      </w:pPr>
      <w:r w:rsidRPr="00B477BE">
        <w:t xml:space="preserve">  </w:t>
      </w:r>
      <w:r w:rsidRPr="00B477BE">
        <w:tab/>
        <w:t xml:space="preserve">The proposed text by APBREBES was not retained in the version adopted by the Council in October 29, 2015. Therefore, the </w:t>
      </w:r>
      <w:r>
        <w:t xml:space="preserve">above </w:t>
      </w:r>
      <w:r w:rsidRPr="00B477BE">
        <w:t xml:space="preserve">comment made by ESA is not relevant for </w:t>
      </w:r>
      <w:r>
        <w:t>the present text of Section 7.2</w:t>
      </w:r>
      <w:r w:rsidRPr="00B477BE">
        <w:t>(c).</w:t>
      </w:r>
    </w:p>
  </w:endnote>
  <w:endnote w:id="22">
    <w:p w:rsidR="00395671" w:rsidRDefault="00395671" w:rsidP="00C50078">
      <w:pPr>
        <w:pStyle w:val="EndnoteText"/>
      </w:pPr>
      <w:r w:rsidRPr="0025153F">
        <w:rPr>
          <w:rStyle w:val="EndnoteReference"/>
          <w:highlight w:val="yellow"/>
        </w:rPr>
        <w:endnoteRef/>
      </w:r>
      <w:r w:rsidRPr="0025153F">
        <w:rPr>
          <w:highlight w:val="yellow"/>
        </w:rPr>
        <w:t xml:space="preserve"> </w:t>
      </w:r>
      <w:r w:rsidRPr="0025153F">
        <w:rPr>
          <w:highlight w:val="yellow"/>
        </w:rPr>
        <w:tab/>
      </w:r>
      <w:r w:rsidRPr="0025153F">
        <w:rPr>
          <w:rFonts w:hint="eastAsia"/>
          <w:highlight w:val="yellow"/>
          <w:lang w:eastAsia="ja-JP"/>
        </w:rPr>
        <w:t xml:space="preserve">See document </w:t>
      </w:r>
      <w:hyperlink r:id="rId15" w:history="1">
        <w:r w:rsidRPr="0025153F">
          <w:rPr>
            <w:rStyle w:val="Hyperlink"/>
            <w:rFonts w:hint="eastAsia"/>
            <w:highlight w:val="yellow"/>
            <w:lang w:eastAsia="ja-JP"/>
          </w:rPr>
          <w:t>UPOV/WG-DEN/1/6</w:t>
        </w:r>
      </w:hyperlink>
      <w:r w:rsidRPr="0025153F">
        <w:rPr>
          <w:rFonts w:hint="eastAsia"/>
          <w:highlight w:val="yellow"/>
          <w:lang w:eastAsia="ja-JP"/>
        </w:rPr>
        <w:t xml:space="preserve"> </w:t>
      </w:r>
      <w:r w:rsidRPr="0025153F">
        <w:rPr>
          <w:highlight w:val="yellow"/>
          <w:lang w:eastAsia="ja-JP"/>
        </w:rPr>
        <w:t>“</w:t>
      </w:r>
      <w:r w:rsidRPr="0025153F">
        <w:rPr>
          <w:rFonts w:hint="eastAsia"/>
          <w:highlight w:val="yellow"/>
          <w:lang w:eastAsia="ja-JP"/>
        </w:rPr>
        <w:t>Report</w:t>
      </w:r>
      <w:r w:rsidRPr="0025153F">
        <w:rPr>
          <w:highlight w:val="yellow"/>
          <w:lang w:eastAsia="ja-JP"/>
        </w:rPr>
        <w:t>”</w:t>
      </w:r>
      <w:r w:rsidRPr="0025153F">
        <w:rPr>
          <w:rFonts w:hint="eastAsia"/>
          <w:highlight w:val="yellow"/>
          <w:lang w:eastAsia="ja-JP"/>
        </w:rPr>
        <w:t>, paragraph</w:t>
      </w:r>
      <w:r w:rsidRPr="0025153F">
        <w:rPr>
          <w:highlight w:val="yellow"/>
          <w:lang w:eastAsia="ja-JP"/>
        </w:rPr>
        <w:t>s</w:t>
      </w:r>
      <w:r w:rsidRPr="0025153F">
        <w:rPr>
          <w:rFonts w:hint="eastAsia"/>
          <w:highlight w:val="yellow"/>
          <w:lang w:eastAsia="ja-JP"/>
        </w:rPr>
        <w:t xml:space="preserve"> </w:t>
      </w:r>
      <w:r>
        <w:rPr>
          <w:rFonts w:hint="eastAsia"/>
          <w:highlight w:val="yellow"/>
          <w:lang w:eastAsia="ja-JP"/>
        </w:rPr>
        <w:t>47</w:t>
      </w:r>
      <w:r w:rsidRPr="0025153F">
        <w:rPr>
          <w:rFonts w:hint="eastAsia"/>
          <w:highlight w:val="yellow"/>
          <w:lang w:eastAsia="ja-JP"/>
        </w:rPr>
        <w:t xml:space="preserve"> and </w:t>
      </w:r>
      <w:r>
        <w:rPr>
          <w:rFonts w:hint="eastAsia"/>
          <w:highlight w:val="yellow"/>
          <w:lang w:eastAsia="ja-JP"/>
        </w:rPr>
        <w:t>48</w:t>
      </w:r>
      <w:r w:rsidRPr="0025153F">
        <w:rPr>
          <w:highlight w:val="yellow"/>
          <w:lang w:eastAsia="ja-JP"/>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52466B" w:rsidRDefault="00395671" w:rsidP="00BE5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671" w:rsidRDefault="00395671">
      <w:r>
        <w:separator/>
      </w:r>
    </w:p>
  </w:footnote>
  <w:footnote w:type="continuationSeparator" w:id="0">
    <w:p w:rsidR="00395671" w:rsidRDefault="00395671">
      <w:r>
        <w:continuationSeparator/>
      </w:r>
    </w:p>
  </w:footnote>
  <w:footnote w:id="1">
    <w:p w:rsidR="00395671" w:rsidRDefault="00395671" w:rsidP="000D59C2">
      <w:pPr>
        <w:pStyle w:val="FootnoteText"/>
      </w:pPr>
      <w:r>
        <w:rPr>
          <w:rStyle w:val="FootnoteReference"/>
        </w:rPr>
        <w:footnoteRef/>
      </w:r>
      <w:r>
        <w:tab/>
        <w:t>“Member of the Union” means a State party to the 1961Convention/1972 Act, the 1978 Act or a State or intergovernmental organization party to the 1991 Act (Article 1(xi) of the 1991 Act).</w:t>
      </w:r>
    </w:p>
  </w:footnote>
  <w:footnote w:id="2">
    <w:p w:rsidR="00395671" w:rsidRDefault="00395671" w:rsidP="000D59C2">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3">
    <w:p w:rsidR="00395671" w:rsidRDefault="00395671" w:rsidP="000D59C2">
      <w:pPr>
        <w:pStyle w:val="FootnoteText"/>
        <w:rPr>
          <w:rStyle w:val="FootnoteTextChar"/>
        </w:rPr>
      </w:pPr>
      <w:r>
        <w:rPr>
          <w:rStyle w:val="FootnoteReference"/>
          <w:sz w:val="20"/>
        </w:rPr>
        <w:footnoteRef/>
      </w:r>
      <w:r>
        <w:t xml:space="preserve"> </w:t>
      </w:r>
      <w:r>
        <w:tab/>
      </w:r>
      <w:r w:rsidRPr="00DE1471">
        <w:rPr>
          <w:rStyle w:val="FootnoteTextChar"/>
        </w:rPr>
        <w:t>WIPO Publication No 489 “WIPO Intellectual Property Handbook</w:t>
      </w:r>
    </w:p>
    <w:p w:rsidR="00395671" w:rsidRPr="00DE1471" w:rsidRDefault="00395671" w:rsidP="009C5D8C">
      <w:pPr>
        <w:pStyle w:val="FootnoteText"/>
        <w:spacing w:before="0"/>
        <w:rPr>
          <w:rStyle w:val="FootnoteTextChar"/>
        </w:rPr>
      </w:pPr>
      <w:r w:rsidRPr="00DE1471">
        <w:rPr>
          <w:rStyle w:val="FootnoteTextChar"/>
        </w:rPr>
        <w:br/>
      </w:r>
      <w:r w:rsidRPr="00DE1471">
        <w:rPr>
          <w:rStyle w:val="FootnoteTextChar"/>
          <w:u w:val="single"/>
        </w:rPr>
        <w:t>Proper Use of Trademarks</w:t>
      </w:r>
    </w:p>
    <w:p w:rsidR="00395671" w:rsidRPr="00DE1471" w:rsidRDefault="00395671" w:rsidP="000D59C2">
      <w:pPr>
        <w:pStyle w:val="FootnoteText"/>
        <w:tabs>
          <w:tab w:val="left" w:pos="851"/>
        </w:tabs>
        <w:ind w:firstLine="0"/>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395671" w:rsidRPr="00DE1471" w:rsidRDefault="00395671" w:rsidP="000D59C2">
      <w:pPr>
        <w:pStyle w:val="FootnoteText"/>
        <w:tabs>
          <w:tab w:val="left" w:pos="851"/>
        </w:tabs>
        <w:ind w:firstLine="0"/>
      </w:pPr>
      <w:r w:rsidRPr="00DE1471">
        <w:t>2.398</w:t>
      </w:r>
      <w:r w:rsidRPr="00DE1471">
        <w:tab/>
        <w:t>Basically, two things can cause genericness:  namely, improper use by the owner, provoking transformation of the mark into a generic term, and improper use by third parties that is tolerated by the owner.  […]</w:t>
      </w:r>
    </w:p>
    <w:p w:rsidR="00395671" w:rsidRPr="00DE1471" w:rsidRDefault="00395671" w:rsidP="000D59C2">
      <w:pPr>
        <w:pStyle w:val="FootnoteText"/>
        <w:tabs>
          <w:tab w:val="left" w:pos="851"/>
        </w:tabs>
        <w:ind w:firstLine="0"/>
      </w:pPr>
      <w:r w:rsidRPr="00DE1471">
        <w:t>2.400</w:t>
      </w:r>
      <w:r w:rsidRPr="00DE1471">
        <w:tab/>
        <w:t>The basic rule is that the trademark should not be used as, or instead of, the product designation.  [...]</w:t>
      </w:r>
    </w:p>
    <w:p w:rsidR="00395671" w:rsidRPr="00DE1471" w:rsidRDefault="00395671" w:rsidP="000D59C2">
      <w:pPr>
        <w:pStyle w:val="FootnoteText"/>
        <w:tabs>
          <w:tab w:val="left" w:pos="851"/>
        </w:tabs>
        <w:ind w:firstLine="0"/>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4">
    <w:p w:rsidR="00395671" w:rsidRDefault="00395671" w:rsidP="000D59C2">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5">
    <w:p w:rsidR="00395671" w:rsidRDefault="00395671" w:rsidP="000D59C2">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 Registration of Marks, of June 15, 1957, as revised in Stockholm on July 14, 1967, and Geneva on May 13, 1977, and amended on September 28, 1979.</w:t>
      </w:r>
    </w:p>
  </w:footnote>
  <w:footnote w:id="6">
    <w:p w:rsidR="00395671" w:rsidRDefault="00395671" w:rsidP="000D59C2">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7">
    <w:p w:rsidR="00395671" w:rsidRDefault="00395671" w:rsidP="000D59C2">
      <w:pPr>
        <w:pStyle w:val="FootnoteText"/>
      </w:pPr>
      <w:r>
        <w:rPr>
          <w:rStyle w:val="FootnoteReference"/>
        </w:rPr>
        <w:footnoteRef/>
      </w:r>
      <w:r>
        <w:t xml:space="preserve"> </w:t>
      </w:r>
      <w:r>
        <w:tab/>
        <w:t>Article 8 of the Paris Convention.</w:t>
      </w:r>
    </w:p>
  </w:footnote>
  <w:footnote w:id="8">
    <w:p w:rsidR="00395671" w:rsidRDefault="00395671" w:rsidP="000D59C2">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9">
    <w:p w:rsidR="00395671" w:rsidRDefault="00395671" w:rsidP="000D59C2">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10">
    <w:p w:rsidR="00395671" w:rsidRPr="00917B01" w:rsidRDefault="00395671" w:rsidP="000D59C2">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Default="00395671">
    <w:pPr>
      <w:jc w:val="center"/>
      <w:rPr>
        <w:b/>
        <w:lang w:eastAsia="ja-JP"/>
      </w:rPr>
    </w:pPr>
    <w:r>
      <w:t xml:space="preserve">UPOV/INF/12/6 Draft </w:t>
    </w:r>
    <w:r>
      <w:rPr>
        <w:rFonts w:hint="eastAsia"/>
        <w:lang w:eastAsia="ja-JP"/>
      </w:rPr>
      <w:t>2</w:t>
    </w:r>
  </w:p>
  <w:p w:rsidR="00395671" w:rsidRDefault="00395671">
    <w:pPr>
      <w:jc w:val="center"/>
    </w:pPr>
    <w:r>
      <w:t xml:space="preserve">page </w:t>
    </w:r>
    <w:r>
      <w:fldChar w:fldCharType="begin"/>
    </w:r>
    <w:r>
      <w:instrText xml:space="preserve"> PAGE  \* MERGEFORMAT </w:instrText>
    </w:r>
    <w:r>
      <w:fldChar w:fldCharType="separate"/>
    </w:r>
    <w:r w:rsidR="00FF4493">
      <w:rPr>
        <w:noProof/>
      </w:rPr>
      <w:t>24</w:t>
    </w:r>
    <w:r>
      <w:fldChar w:fldCharType="end"/>
    </w:r>
  </w:p>
  <w:p w:rsidR="00395671" w:rsidRDefault="00395671">
    <w:pP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Default="00395671" w:rsidP="00A424A9">
    <w:pPr>
      <w:jc w:val="center"/>
      <w:rPr>
        <w:lang w:eastAsia="ja-JP"/>
      </w:rPr>
    </w:pPr>
    <w:r>
      <w:t>UPOV/INF/12/6 Draft 2</w:t>
    </w:r>
  </w:p>
  <w:p w:rsidR="00395671" w:rsidRPr="00527219" w:rsidRDefault="00395671" w:rsidP="00A424A9">
    <w:pPr>
      <w:jc w:val="center"/>
      <w:rPr>
        <w:lang w:eastAsia="ja-JP"/>
      </w:rPr>
    </w:pPr>
  </w:p>
  <w:p w:rsidR="00395671" w:rsidRDefault="00395671">
    <w:pPr>
      <w:jc w:val="center"/>
      <w:rPr>
        <w:lang w:eastAsia="ja-JP"/>
      </w:rPr>
    </w:pPr>
    <w:r>
      <w:t>A</w:t>
    </w:r>
    <w:r>
      <w:rPr>
        <w:rFonts w:hint="eastAsia"/>
        <w:lang w:eastAsia="ja-JP"/>
      </w:rPr>
      <w:t>NNEX</w:t>
    </w:r>
    <w:r>
      <w:t xml:space="preserve"> II</w:t>
    </w:r>
    <w:r>
      <w:rPr>
        <w:rFonts w:hint="eastAsia"/>
        <w:lang w:eastAsia="ja-JP"/>
      </w:rPr>
      <w:t>I</w:t>
    </w:r>
  </w:p>
  <w:p w:rsidR="00395671" w:rsidRDefault="00395671">
    <w:pPr>
      <w:jc w:val="center"/>
    </w:pPr>
  </w:p>
  <w:p w:rsidR="00395671" w:rsidRDefault="00395671">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527219" w:rsidRDefault="00395671" w:rsidP="00A424A9">
    <w:pPr>
      <w:jc w:val="center"/>
    </w:pPr>
    <w:r>
      <w:t>UPOV/INF/12/6 Draft 2</w:t>
    </w:r>
  </w:p>
  <w:p w:rsidR="00395671" w:rsidRDefault="00395671">
    <w:pPr>
      <w:jc w:val="center"/>
    </w:pPr>
  </w:p>
  <w:p w:rsidR="00395671" w:rsidRDefault="00395671">
    <w:pPr>
      <w:jc w:val="center"/>
    </w:pPr>
    <w:r>
      <w:t>Endnotes</w:t>
    </w:r>
  </w:p>
  <w:p w:rsidR="00395671" w:rsidRDefault="0039567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527219" w:rsidRDefault="00395671" w:rsidP="00A424A9">
    <w:pPr>
      <w:jc w:val="center"/>
    </w:pPr>
    <w:r>
      <w:t>UPOV/INF/12/6 Draft 2</w:t>
    </w:r>
  </w:p>
  <w:p w:rsidR="00395671" w:rsidRDefault="00395671">
    <w:pPr>
      <w:jc w:val="center"/>
    </w:pPr>
    <w:r>
      <w:t xml:space="preserve">Annex I, page </w:t>
    </w:r>
    <w:r>
      <w:fldChar w:fldCharType="begin"/>
    </w:r>
    <w:r>
      <w:instrText xml:space="preserve"> PAGE  \* MERGEFORMAT </w:instrText>
    </w:r>
    <w:r>
      <w:fldChar w:fldCharType="separate"/>
    </w:r>
    <w:r w:rsidR="00FF4493">
      <w:rPr>
        <w:noProof/>
      </w:rPr>
      <w:t>3</w:t>
    </w:r>
    <w:r>
      <w:fldChar w:fldCharType="end"/>
    </w:r>
  </w:p>
  <w:p w:rsidR="00395671" w:rsidRPr="00B62109" w:rsidRDefault="00395671" w:rsidP="00BE58A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527219" w:rsidRDefault="00395671" w:rsidP="00BE58AC">
    <w:pPr>
      <w:jc w:val="center"/>
    </w:pPr>
    <w:r>
      <w:t>UPOV/INF/12/6 Draft 2</w:t>
    </w:r>
  </w:p>
  <w:p w:rsidR="00395671" w:rsidRPr="00527219" w:rsidRDefault="00395671" w:rsidP="00BE58AC">
    <w:pPr>
      <w:jc w:val="center"/>
    </w:pPr>
  </w:p>
  <w:p w:rsidR="00395671" w:rsidRPr="00527219" w:rsidRDefault="00395671" w:rsidP="00BE58AC">
    <w:pPr>
      <w:jc w:val="center"/>
    </w:pPr>
    <w:r w:rsidRPr="00527219">
      <w:t>ANNEX I</w:t>
    </w:r>
  </w:p>
  <w:p w:rsidR="00395671" w:rsidRPr="00527219" w:rsidRDefault="00395671" w:rsidP="00BE58AC">
    <w:pPr>
      <w:jc w:val="center"/>
    </w:pPr>
  </w:p>
  <w:p w:rsidR="00395671" w:rsidRPr="00A424A9" w:rsidRDefault="00395671" w:rsidP="00BE58AC">
    <w:pPr>
      <w:pStyle w:val="Header"/>
      <w:rPr>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B62109" w:rsidRDefault="00395671">
    <w:pPr>
      <w:jc w:val="center"/>
      <w:rPr>
        <w:b/>
        <w:lang w:val="fr-FR"/>
      </w:rPr>
    </w:pPr>
    <w:r w:rsidRPr="00B62109">
      <w:rPr>
        <w:lang w:val="fr-FR"/>
      </w:rPr>
      <w:t>UPOV/INF/12/4</w:t>
    </w:r>
  </w:p>
  <w:p w:rsidR="00395671" w:rsidRPr="00B62109" w:rsidRDefault="00395671">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Pr>
        <w:noProof/>
        <w:lang w:val="fr-FR"/>
      </w:rPr>
      <w:t>1</w:t>
    </w:r>
    <w:r>
      <w:fldChar w:fldCharType="end"/>
    </w:r>
  </w:p>
  <w:p w:rsidR="00395671" w:rsidRPr="00B62109" w:rsidRDefault="00395671">
    <w:pPr>
      <w:jc w:val="center"/>
      <w:rPr>
        <w:szCs w:val="24"/>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527219" w:rsidRDefault="00395671" w:rsidP="00A424A9">
    <w:pPr>
      <w:jc w:val="center"/>
    </w:pPr>
    <w:r>
      <w:t>UPOV/INF/12/6 Draft 2</w:t>
    </w:r>
  </w:p>
  <w:p w:rsidR="00395671" w:rsidRDefault="00395671">
    <w:pPr>
      <w:jc w:val="center"/>
    </w:pPr>
  </w:p>
  <w:p w:rsidR="00395671" w:rsidRDefault="00395671">
    <w:pPr>
      <w:jc w:val="center"/>
    </w:pPr>
    <w:r>
      <w:t>ANNEX II</w:t>
    </w:r>
  </w:p>
  <w:p w:rsidR="00395671" w:rsidRDefault="00395671">
    <w:pPr>
      <w:jc w:val="center"/>
    </w:pPr>
  </w:p>
  <w:p w:rsidR="00395671" w:rsidRDefault="00395671">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F106BE" w:rsidRDefault="00395671" w:rsidP="00BE58AC">
    <w:pPr>
      <w:pStyle w:val="Enttepair"/>
    </w:pPr>
    <w:r>
      <w:t>NOTES — ARTICLE 30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9929A5" w:rsidRDefault="00395671" w:rsidP="00BE58AC">
    <w:pPr>
      <w:pStyle w:val="Header"/>
      <w:rPr>
        <w:rFonts w:cs="Arial"/>
      </w:rPr>
    </w:pPr>
    <w:r>
      <w:rPr>
        <w:rFonts w:cs="Arial"/>
      </w:rPr>
      <w:t>UPOV/INF/12/6 Draft 1</w:t>
    </w:r>
  </w:p>
  <w:p w:rsidR="00395671" w:rsidRPr="009929A5" w:rsidRDefault="00395671" w:rsidP="00BE58AC">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w:t>
    </w:r>
    <w:r w:rsidRPr="009929A5">
      <w:rPr>
        <w:rStyle w:val="PageNumber"/>
        <w:rFonts w:cs="Arial"/>
      </w:rPr>
      <w:fldChar w:fldCharType="end"/>
    </w:r>
  </w:p>
  <w:p w:rsidR="00395671" w:rsidRPr="009929A5" w:rsidRDefault="00395671" w:rsidP="00BE58AC">
    <w:pPr>
      <w:pStyle w:val="Head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527219" w:rsidRDefault="00395671" w:rsidP="00A424A9">
    <w:pPr>
      <w:jc w:val="center"/>
    </w:pPr>
    <w:r>
      <w:t>UPOV/INF/12/6 Draft 2</w:t>
    </w:r>
  </w:p>
  <w:p w:rsidR="00395671" w:rsidRDefault="00395671">
    <w:pPr>
      <w:jc w:val="center"/>
      <w:rPr>
        <w:lang w:eastAsia="ja-JP"/>
      </w:rPr>
    </w:pPr>
    <w:r>
      <w:t>A</w:t>
    </w:r>
    <w:r>
      <w:rPr>
        <w:rFonts w:hint="eastAsia"/>
        <w:lang w:eastAsia="ja-JP"/>
      </w:rPr>
      <w:t>nnex</w:t>
    </w:r>
    <w:r>
      <w:t xml:space="preserve"> II</w:t>
    </w:r>
    <w:r>
      <w:rPr>
        <w:rFonts w:hint="eastAsia"/>
        <w:lang w:eastAsia="ja-JP"/>
      </w:rPr>
      <w:t>, page 2</w:t>
    </w:r>
  </w:p>
  <w:p w:rsidR="00395671" w:rsidRDefault="00395671">
    <w:pPr>
      <w:jc w:val="center"/>
    </w:pPr>
  </w:p>
  <w:p w:rsidR="00395671" w:rsidRDefault="00395671">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1" w:rsidRPr="009929A5" w:rsidRDefault="00395671" w:rsidP="00BE58AC">
    <w:pPr>
      <w:pStyle w:val="Header"/>
      <w:rPr>
        <w:rFonts w:cs="Arial"/>
        <w:lang w:eastAsia="ja-JP"/>
      </w:rPr>
    </w:pPr>
    <w:r>
      <w:rPr>
        <w:rFonts w:cs="Arial"/>
      </w:rPr>
      <w:t xml:space="preserve">UPOV/INF/12/6 Draft </w:t>
    </w:r>
    <w:r>
      <w:rPr>
        <w:rFonts w:cs="Arial" w:hint="eastAsia"/>
        <w:lang w:eastAsia="ja-JP"/>
      </w:rPr>
      <w:t>2</w:t>
    </w:r>
  </w:p>
  <w:p w:rsidR="00395671" w:rsidRPr="009929A5" w:rsidRDefault="00395671" w:rsidP="00BE58AC">
    <w:pPr>
      <w:pStyle w:val="Header"/>
      <w:rPr>
        <w:rStyle w:val="PageNumber"/>
        <w:rFonts w:cs="Arial"/>
      </w:rPr>
    </w:pPr>
    <w:r>
      <w:rPr>
        <w:rFonts w:cs="Arial" w:hint="eastAsia"/>
        <w:lang w:eastAsia="ja-JP"/>
      </w:rPr>
      <w:t xml:space="preserve">Annex III, </w:t>
    </w: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FF4493">
      <w:rPr>
        <w:rStyle w:val="PageNumber"/>
        <w:rFonts w:cs="Arial"/>
        <w:noProof/>
      </w:rPr>
      <w:t>2</w:t>
    </w:r>
    <w:r w:rsidRPr="009929A5">
      <w:rPr>
        <w:rStyle w:val="PageNumber"/>
        <w:rFonts w:cs="Arial"/>
      </w:rPr>
      <w:fldChar w:fldCharType="end"/>
    </w:r>
  </w:p>
  <w:p w:rsidR="00395671" w:rsidRPr="009929A5" w:rsidRDefault="00395671" w:rsidP="00BE58AC">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32C"/>
    <w:multiLevelType w:val="hybridMultilevel"/>
    <w:tmpl w:val="3E20B87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5628"/>
    <w:multiLevelType w:val="hybridMultilevel"/>
    <w:tmpl w:val="25F47BB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F1B47"/>
    <w:multiLevelType w:val="hybridMultilevel"/>
    <w:tmpl w:val="6B0ACC5A"/>
    <w:lvl w:ilvl="0" w:tplc="37A88172">
      <w:start w:val="1"/>
      <w:numFmt w:val="lowerRoman"/>
      <w:lvlText w:val="(%1)"/>
      <w:lvlJc w:val="right"/>
      <w:pPr>
        <w:ind w:left="1080" w:hanging="72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01BD7"/>
    <w:multiLevelType w:val="hybridMultilevel"/>
    <w:tmpl w:val="D2C0AFF8"/>
    <w:lvl w:ilvl="0" w:tplc="71B842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32407"/>
    <w:multiLevelType w:val="hybridMultilevel"/>
    <w:tmpl w:val="E14EEA48"/>
    <w:lvl w:ilvl="0" w:tplc="9056AE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224C3"/>
    <w:multiLevelType w:val="hybridMultilevel"/>
    <w:tmpl w:val="C63805F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6">
    <w:nsid w:val="44A406C3"/>
    <w:multiLevelType w:val="hybridMultilevel"/>
    <w:tmpl w:val="E3ACD892"/>
    <w:lvl w:ilvl="0" w:tplc="37A88172">
      <w:start w:val="1"/>
      <w:numFmt w:val="lowerRoman"/>
      <w:lvlText w:val="(%1)"/>
      <w:lvlJc w:val="right"/>
      <w:pPr>
        <w:ind w:left="720" w:hanging="36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BB1BCE"/>
    <w:multiLevelType w:val="hybridMultilevel"/>
    <w:tmpl w:val="E3ACD892"/>
    <w:lvl w:ilvl="0" w:tplc="37A88172">
      <w:start w:val="1"/>
      <w:numFmt w:val="lowerRoman"/>
      <w:lvlText w:val="(%1)"/>
      <w:lvlJc w:val="right"/>
      <w:pPr>
        <w:ind w:left="720" w:hanging="36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B550871"/>
    <w:multiLevelType w:val="hybridMultilevel"/>
    <w:tmpl w:val="3F8095E2"/>
    <w:lvl w:ilvl="0" w:tplc="CAA48802">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79A56B3"/>
    <w:multiLevelType w:val="hybridMultilevel"/>
    <w:tmpl w:val="E020E126"/>
    <w:lvl w:ilvl="0" w:tplc="0C22DF74">
      <w:start w:val="1"/>
      <w:numFmt w:val="lowerRoman"/>
      <w:lvlText w:val="(%1)"/>
      <w:lvlJc w:val="left"/>
      <w:pPr>
        <w:ind w:left="2262" w:hanging="1065"/>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1">
    <w:nsid w:val="6C1B2567"/>
    <w:multiLevelType w:val="hybridMultilevel"/>
    <w:tmpl w:val="1270B222"/>
    <w:lvl w:ilvl="0" w:tplc="37A88172">
      <w:start w:val="1"/>
      <w:numFmt w:val="lowerRoman"/>
      <w:lvlText w:val="(%1)"/>
      <w:lvlJc w:val="right"/>
      <w:pPr>
        <w:ind w:left="720" w:hanging="36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
  </w:num>
  <w:num w:numId="5">
    <w:abstractNumId w:val="7"/>
  </w:num>
  <w:num w:numId="6">
    <w:abstractNumId w:val="3"/>
  </w:num>
  <w:num w:numId="7">
    <w:abstractNumId w:val="6"/>
  </w:num>
  <w:num w:numId="8">
    <w:abstractNumId w:val="11"/>
  </w:num>
  <w:num w:numId="9">
    <w:abstractNumId w:val="4"/>
  </w:num>
  <w:num w:numId="10">
    <w:abstractNumId w:val="2"/>
  </w:num>
  <w:num w:numId="11">
    <w:abstractNumId w:val="8"/>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numFmt w:val="lowerLette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C"/>
    <w:rsid w:val="00000531"/>
    <w:rsid w:val="000031A2"/>
    <w:rsid w:val="00004E4E"/>
    <w:rsid w:val="00005853"/>
    <w:rsid w:val="0000682E"/>
    <w:rsid w:val="00006D0B"/>
    <w:rsid w:val="00010D9E"/>
    <w:rsid w:val="000119CD"/>
    <w:rsid w:val="000126EB"/>
    <w:rsid w:val="000134B6"/>
    <w:rsid w:val="000162E4"/>
    <w:rsid w:val="0001787D"/>
    <w:rsid w:val="000208DA"/>
    <w:rsid w:val="000215D1"/>
    <w:rsid w:val="000232E8"/>
    <w:rsid w:val="00023EDE"/>
    <w:rsid w:val="00025909"/>
    <w:rsid w:val="000267B9"/>
    <w:rsid w:val="00026914"/>
    <w:rsid w:val="000271F8"/>
    <w:rsid w:val="00027E91"/>
    <w:rsid w:val="00030158"/>
    <w:rsid w:val="0003057A"/>
    <w:rsid w:val="00031095"/>
    <w:rsid w:val="000313D2"/>
    <w:rsid w:val="00032099"/>
    <w:rsid w:val="000351A2"/>
    <w:rsid w:val="00035D04"/>
    <w:rsid w:val="00036210"/>
    <w:rsid w:val="000362B4"/>
    <w:rsid w:val="00036566"/>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301B"/>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49B3"/>
    <w:rsid w:val="0008525F"/>
    <w:rsid w:val="000855FB"/>
    <w:rsid w:val="00085885"/>
    <w:rsid w:val="00085A1E"/>
    <w:rsid w:val="00086DA8"/>
    <w:rsid w:val="0009063D"/>
    <w:rsid w:val="000906CD"/>
    <w:rsid w:val="00091F9C"/>
    <w:rsid w:val="00092143"/>
    <w:rsid w:val="0009226C"/>
    <w:rsid w:val="00093556"/>
    <w:rsid w:val="00094A83"/>
    <w:rsid w:val="00095525"/>
    <w:rsid w:val="00095A20"/>
    <w:rsid w:val="00096CB4"/>
    <w:rsid w:val="000A0D14"/>
    <w:rsid w:val="000A16C8"/>
    <w:rsid w:val="000A1D0F"/>
    <w:rsid w:val="000A2039"/>
    <w:rsid w:val="000A242A"/>
    <w:rsid w:val="000A2F5D"/>
    <w:rsid w:val="000A3293"/>
    <w:rsid w:val="000A4E01"/>
    <w:rsid w:val="000A6D32"/>
    <w:rsid w:val="000B011B"/>
    <w:rsid w:val="000B087C"/>
    <w:rsid w:val="000B12C2"/>
    <w:rsid w:val="000B2607"/>
    <w:rsid w:val="000B3512"/>
    <w:rsid w:val="000B408C"/>
    <w:rsid w:val="000B4F2D"/>
    <w:rsid w:val="000B5B01"/>
    <w:rsid w:val="000B6276"/>
    <w:rsid w:val="000C280F"/>
    <w:rsid w:val="000C2BB7"/>
    <w:rsid w:val="000C3824"/>
    <w:rsid w:val="000C4CE7"/>
    <w:rsid w:val="000C4FCF"/>
    <w:rsid w:val="000C5B2E"/>
    <w:rsid w:val="000C67D4"/>
    <w:rsid w:val="000D05CF"/>
    <w:rsid w:val="000D07B9"/>
    <w:rsid w:val="000D0F12"/>
    <w:rsid w:val="000D19BA"/>
    <w:rsid w:val="000D21CC"/>
    <w:rsid w:val="000D376A"/>
    <w:rsid w:val="000D39F0"/>
    <w:rsid w:val="000D53B7"/>
    <w:rsid w:val="000D59C2"/>
    <w:rsid w:val="000D625B"/>
    <w:rsid w:val="000D7327"/>
    <w:rsid w:val="000E0AA8"/>
    <w:rsid w:val="000E0F67"/>
    <w:rsid w:val="000E2062"/>
    <w:rsid w:val="000E24C5"/>
    <w:rsid w:val="000E2537"/>
    <w:rsid w:val="000E30A0"/>
    <w:rsid w:val="000E37F8"/>
    <w:rsid w:val="000E3FE3"/>
    <w:rsid w:val="000E4221"/>
    <w:rsid w:val="000E491C"/>
    <w:rsid w:val="000E562B"/>
    <w:rsid w:val="000E5C22"/>
    <w:rsid w:val="000E5D84"/>
    <w:rsid w:val="000F0195"/>
    <w:rsid w:val="000F1555"/>
    <w:rsid w:val="000F1FE7"/>
    <w:rsid w:val="000F33F2"/>
    <w:rsid w:val="000F365E"/>
    <w:rsid w:val="000F4703"/>
    <w:rsid w:val="000F507E"/>
    <w:rsid w:val="000F50C6"/>
    <w:rsid w:val="000F56E2"/>
    <w:rsid w:val="000F7485"/>
    <w:rsid w:val="00100D18"/>
    <w:rsid w:val="00101FD5"/>
    <w:rsid w:val="00103274"/>
    <w:rsid w:val="00104864"/>
    <w:rsid w:val="001051F1"/>
    <w:rsid w:val="00105420"/>
    <w:rsid w:val="00106091"/>
    <w:rsid w:val="00111C96"/>
    <w:rsid w:val="00113724"/>
    <w:rsid w:val="00115C01"/>
    <w:rsid w:val="001166FC"/>
    <w:rsid w:val="00120461"/>
    <w:rsid w:val="00122F6C"/>
    <w:rsid w:val="0013000A"/>
    <w:rsid w:val="00130571"/>
    <w:rsid w:val="00131413"/>
    <w:rsid w:val="00131973"/>
    <w:rsid w:val="00131F58"/>
    <w:rsid w:val="00133122"/>
    <w:rsid w:val="00133DEF"/>
    <w:rsid w:val="001350AE"/>
    <w:rsid w:val="0013633B"/>
    <w:rsid w:val="001401B9"/>
    <w:rsid w:val="00142FE8"/>
    <w:rsid w:val="001449B7"/>
    <w:rsid w:val="00145232"/>
    <w:rsid w:val="00150252"/>
    <w:rsid w:val="001503D6"/>
    <w:rsid w:val="00150A66"/>
    <w:rsid w:val="00151207"/>
    <w:rsid w:val="001514DC"/>
    <w:rsid w:val="00151E6C"/>
    <w:rsid w:val="00152C1F"/>
    <w:rsid w:val="00153DB6"/>
    <w:rsid w:val="00154CD6"/>
    <w:rsid w:val="0015629B"/>
    <w:rsid w:val="00157840"/>
    <w:rsid w:val="001619D7"/>
    <w:rsid w:val="00161C39"/>
    <w:rsid w:val="00162273"/>
    <w:rsid w:val="001623A0"/>
    <w:rsid w:val="001641C6"/>
    <w:rsid w:val="00165579"/>
    <w:rsid w:val="00167EC8"/>
    <w:rsid w:val="001703F3"/>
    <w:rsid w:val="001706B9"/>
    <w:rsid w:val="00174EB3"/>
    <w:rsid w:val="00176502"/>
    <w:rsid w:val="001769B8"/>
    <w:rsid w:val="00177001"/>
    <w:rsid w:val="00177708"/>
    <w:rsid w:val="0017786C"/>
    <w:rsid w:val="00180802"/>
    <w:rsid w:val="001811B0"/>
    <w:rsid w:val="001815F2"/>
    <w:rsid w:val="0018405B"/>
    <w:rsid w:val="00185DEA"/>
    <w:rsid w:val="00187D87"/>
    <w:rsid w:val="00190569"/>
    <w:rsid w:val="001915D4"/>
    <w:rsid w:val="00191F38"/>
    <w:rsid w:val="0019350E"/>
    <w:rsid w:val="00193803"/>
    <w:rsid w:val="00193CA6"/>
    <w:rsid w:val="00193FF2"/>
    <w:rsid w:val="00194374"/>
    <w:rsid w:val="00195503"/>
    <w:rsid w:val="001956F6"/>
    <w:rsid w:val="00195704"/>
    <w:rsid w:val="00197074"/>
    <w:rsid w:val="001976BB"/>
    <w:rsid w:val="001A0105"/>
    <w:rsid w:val="001A041A"/>
    <w:rsid w:val="001A08A2"/>
    <w:rsid w:val="001A1679"/>
    <w:rsid w:val="001A1940"/>
    <w:rsid w:val="001A387A"/>
    <w:rsid w:val="001A4181"/>
    <w:rsid w:val="001A44D2"/>
    <w:rsid w:val="001A59D0"/>
    <w:rsid w:val="001A663F"/>
    <w:rsid w:val="001A7075"/>
    <w:rsid w:val="001B22CC"/>
    <w:rsid w:val="001B2D4A"/>
    <w:rsid w:val="001B370C"/>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48B5"/>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105"/>
    <w:rsid w:val="0022130B"/>
    <w:rsid w:val="002224FD"/>
    <w:rsid w:val="00222FBE"/>
    <w:rsid w:val="00224933"/>
    <w:rsid w:val="002254B1"/>
    <w:rsid w:val="00225596"/>
    <w:rsid w:val="002256DE"/>
    <w:rsid w:val="00225B1B"/>
    <w:rsid w:val="0022607D"/>
    <w:rsid w:val="00226F25"/>
    <w:rsid w:val="00226F26"/>
    <w:rsid w:val="00230491"/>
    <w:rsid w:val="002334C6"/>
    <w:rsid w:val="00233B80"/>
    <w:rsid w:val="00233F1F"/>
    <w:rsid w:val="00234D9F"/>
    <w:rsid w:val="00236F3A"/>
    <w:rsid w:val="002403C8"/>
    <w:rsid w:val="00240860"/>
    <w:rsid w:val="002432FA"/>
    <w:rsid w:val="00243953"/>
    <w:rsid w:val="002453DC"/>
    <w:rsid w:val="00245FF4"/>
    <w:rsid w:val="0024755E"/>
    <w:rsid w:val="002509D7"/>
    <w:rsid w:val="0025153F"/>
    <w:rsid w:val="00255928"/>
    <w:rsid w:val="002560D7"/>
    <w:rsid w:val="00256210"/>
    <w:rsid w:val="002573F0"/>
    <w:rsid w:val="00260B84"/>
    <w:rsid w:val="00260F87"/>
    <w:rsid w:val="00261F07"/>
    <w:rsid w:val="002629CA"/>
    <w:rsid w:val="00262D64"/>
    <w:rsid w:val="002668EC"/>
    <w:rsid w:val="00266AE7"/>
    <w:rsid w:val="00267280"/>
    <w:rsid w:val="00270479"/>
    <w:rsid w:val="00270CF1"/>
    <w:rsid w:val="0027136B"/>
    <w:rsid w:val="0027174A"/>
    <w:rsid w:val="002730CC"/>
    <w:rsid w:val="00275D7F"/>
    <w:rsid w:val="00275EF2"/>
    <w:rsid w:val="00276166"/>
    <w:rsid w:val="002777B8"/>
    <w:rsid w:val="00280406"/>
    <w:rsid w:val="00280426"/>
    <w:rsid w:val="00280BF5"/>
    <w:rsid w:val="0028205E"/>
    <w:rsid w:val="00283FE8"/>
    <w:rsid w:val="00284615"/>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6117"/>
    <w:rsid w:val="00297213"/>
    <w:rsid w:val="002973EA"/>
    <w:rsid w:val="00297B8D"/>
    <w:rsid w:val="002A07D0"/>
    <w:rsid w:val="002A0A33"/>
    <w:rsid w:val="002A29A5"/>
    <w:rsid w:val="002A3501"/>
    <w:rsid w:val="002A35A1"/>
    <w:rsid w:val="002A3736"/>
    <w:rsid w:val="002A3D46"/>
    <w:rsid w:val="002A56B5"/>
    <w:rsid w:val="002A5A71"/>
    <w:rsid w:val="002A5ECE"/>
    <w:rsid w:val="002A60E6"/>
    <w:rsid w:val="002A7756"/>
    <w:rsid w:val="002B3CB7"/>
    <w:rsid w:val="002B52E9"/>
    <w:rsid w:val="002B5E56"/>
    <w:rsid w:val="002B5EB6"/>
    <w:rsid w:val="002B6038"/>
    <w:rsid w:val="002C0F7A"/>
    <w:rsid w:val="002C5439"/>
    <w:rsid w:val="002C636C"/>
    <w:rsid w:val="002C6605"/>
    <w:rsid w:val="002D0C29"/>
    <w:rsid w:val="002D0ED1"/>
    <w:rsid w:val="002D2714"/>
    <w:rsid w:val="002D3B17"/>
    <w:rsid w:val="002D4388"/>
    <w:rsid w:val="002D516E"/>
    <w:rsid w:val="002D5C64"/>
    <w:rsid w:val="002D6048"/>
    <w:rsid w:val="002E0B31"/>
    <w:rsid w:val="002E1869"/>
    <w:rsid w:val="002E1F19"/>
    <w:rsid w:val="002E216C"/>
    <w:rsid w:val="002E3CF7"/>
    <w:rsid w:val="002E4C89"/>
    <w:rsid w:val="002E6989"/>
    <w:rsid w:val="002E6D07"/>
    <w:rsid w:val="002F1D59"/>
    <w:rsid w:val="002F1E5B"/>
    <w:rsid w:val="002F36CE"/>
    <w:rsid w:val="002F5048"/>
    <w:rsid w:val="002F5834"/>
    <w:rsid w:val="002F7C69"/>
    <w:rsid w:val="002F7F8A"/>
    <w:rsid w:val="00300EB9"/>
    <w:rsid w:val="003012F6"/>
    <w:rsid w:val="0030281F"/>
    <w:rsid w:val="0030435A"/>
    <w:rsid w:val="00305903"/>
    <w:rsid w:val="00305D05"/>
    <w:rsid w:val="00306247"/>
    <w:rsid w:val="003077CA"/>
    <w:rsid w:val="00307AC6"/>
    <w:rsid w:val="003101A8"/>
    <w:rsid w:val="0031187D"/>
    <w:rsid w:val="003127A5"/>
    <w:rsid w:val="003131F8"/>
    <w:rsid w:val="00313218"/>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287B"/>
    <w:rsid w:val="00354B79"/>
    <w:rsid w:val="0035533A"/>
    <w:rsid w:val="003624A3"/>
    <w:rsid w:val="00363DAC"/>
    <w:rsid w:val="00364D90"/>
    <w:rsid w:val="003664C3"/>
    <w:rsid w:val="00366F9C"/>
    <w:rsid w:val="0036717D"/>
    <w:rsid w:val="003703D6"/>
    <w:rsid w:val="003709D6"/>
    <w:rsid w:val="00370BF0"/>
    <w:rsid w:val="003711CB"/>
    <w:rsid w:val="00371545"/>
    <w:rsid w:val="00371C65"/>
    <w:rsid w:val="00371FFE"/>
    <w:rsid w:val="00372C60"/>
    <w:rsid w:val="00372EAA"/>
    <w:rsid w:val="00372F0B"/>
    <w:rsid w:val="003730E9"/>
    <w:rsid w:val="003772B8"/>
    <w:rsid w:val="003774DA"/>
    <w:rsid w:val="00380A87"/>
    <w:rsid w:val="00380AE4"/>
    <w:rsid w:val="00381DEE"/>
    <w:rsid w:val="00381F37"/>
    <w:rsid w:val="00382B96"/>
    <w:rsid w:val="003838ED"/>
    <w:rsid w:val="003839BE"/>
    <w:rsid w:val="00383CA3"/>
    <w:rsid w:val="003868FD"/>
    <w:rsid w:val="003911C4"/>
    <w:rsid w:val="003911FB"/>
    <w:rsid w:val="00391411"/>
    <w:rsid w:val="00391A76"/>
    <w:rsid w:val="0039256F"/>
    <w:rsid w:val="00394208"/>
    <w:rsid w:val="00395671"/>
    <w:rsid w:val="00396AC0"/>
    <w:rsid w:val="003A002F"/>
    <w:rsid w:val="003A1164"/>
    <w:rsid w:val="003A128B"/>
    <w:rsid w:val="003A16CD"/>
    <w:rsid w:val="003A2018"/>
    <w:rsid w:val="003A359E"/>
    <w:rsid w:val="003A3DB3"/>
    <w:rsid w:val="003A4336"/>
    <w:rsid w:val="003A465F"/>
    <w:rsid w:val="003A7078"/>
    <w:rsid w:val="003A70A0"/>
    <w:rsid w:val="003A7AD9"/>
    <w:rsid w:val="003A7F50"/>
    <w:rsid w:val="003A7FC2"/>
    <w:rsid w:val="003B001D"/>
    <w:rsid w:val="003B0B59"/>
    <w:rsid w:val="003B0D81"/>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3F7E2C"/>
    <w:rsid w:val="004003DA"/>
    <w:rsid w:val="004017C9"/>
    <w:rsid w:val="004021C1"/>
    <w:rsid w:val="004043BA"/>
    <w:rsid w:val="00405FE5"/>
    <w:rsid w:val="00406070"/>
    <w:rsid w:val="00406878"/>
    <w:rsid w:val="00407739"/>
    <w:rsid w:val="0041053C"/>
    <w:rsid w:val="00411203"/>
    <w:rsid w:val="004126B6"/>
    <w:rsid w:val="00412E09"/>
    <w:rsid w:val="00414E05"/>
    <w:rsid w:val="00415150"/>
    <w:rsid w:val="004174EA"/>
    <w:rsid w:val="00417703"/>
    <w:rsid w:val="0042091F"/>
    <w:rsid w:val="00420A31"/>
    <w:rsid w:val="0042110A"/>
    <w:rsid w:val="004229F3"/>
    <w:rsid w:val="00422D17"/>
    <w:rsid w:val="004241E7"/>
    <w:rsid w:val="00425EA8"/>
    <w:rsid w:val="00430280"/>
    <w:rsid w:val="00431391"/>
    <w:rsid w:val="004316B8"/>
    <w:rsid w:val="00431CE0"/>
    <w:rsid w:val="00434FEF"/>
    <w:rsid w:val="004401FC"/>
    <w:rsid w:val="004423CB"/>
    <w:rsid w:val="00443537"/>
    <w:rsid w:val="00443CED"/>
    <w:rsid w:val="00445492"/>
    <w:rsid w:val="004454BC"/>
    <w:rsid w:val="00445ACB"/>
    <w:rsid w:val="00450C7C"/>
    <w:rsid w:val="00450EA5"/>
    <w:rsid w:val="00450F56"/>
    <w:rsid w:val="0045152B"/>
    <w:rsid w:val="0045251E"/>
    <w:rsid w:val="00453467"/>
    <w:rsid w:val="00454DA1"/>
    <w:rsid w:val="00455A72"/>
    <w:rsid w:val="00455E1A"/>
    <w:rsid w:val="00456782"/>
    <w:rsid w:val="004568CB"/>
    <w:rsid w:val="00457BE7"/>
    <w:rsid w:val="00460BD6"/>
    <w:rsid w:val="00460E18"/>
    <w:rsid w:val="00460EA3"/>
    <w:rsid w:val="004610F3"/>
    <w:rsid w:val="0046292B"/>
    <w:rsid w:val="00462AA7"/>
    <w:rsid w:val="00462D11"/>
    <w:rsid w:val="00463180"/>
    <w:rsid w:val="00464F66"/>
    <w:rsid w:val="004663DB"/>
    <w:rsid w:val="004665EE"/>
    <w:rsid w:val="00466F95"/>
    <w:rsid w:val="00470205"/>
    <w:rsid w:val="00472A58"/>
    <w:rsid w:val="00473812"/>
    <w:rsid w:val="00474590"/>
    <w:rsid w:val="00474EF5"/>
    <w:rsid w:val="004757E7"/>
    <w:rsid w:val="0047691A"/>
    <w:rsid w:val="0047703B"/>
    <w:rsid w:val="00477F73"/>
    <w:rsid w:val="00480B41"/>
    <w:rsid w:val="00480D6B"/>
    <w:rsid w:val="0048167C"/>
    <w:rsid w:val="00481A1E"/>
    <w:rsid w:val="00481D6D"/>
    <w:rsid w:val="0048404E"/>
    <w:rsid w:val="00484969"/>
    <w:rsid w:val="00484AF6"/>
    <w:rsid w:val="0048553F"/>
    <w:rsid w:val="004859F7"/>
    <w:rsid w:val="004861E2"/>
    <w:rsid w:val="00486C46"/>
    <w:rsid w:val="004902C6"/>
    <w:rsid w:val="0049068E"/>
    <w:rsid w:val="004928F6"/>
    <w:rsid w:val="004935D7"/>
    <w:rsid w:val="00494FFB"/>
    <w:rsid w:val="004953AB"/>
    <w:rsid w:val="004969E0"/>
    <w:rsid w:val="0049701E"/>
    <w:rsid w:val="004A1370"/>
    <w:rsid w:val="004A1CBD"/>
    <w:rsid w:val="004A3B6F"/>
    <w:rsid w:val="004A3C70"/>
    <w:rsid w:val="004A42D1"/>
    <w:rsid w:val="004A42F5"/>
    <w:rsid w:val="004A47F9"/>
    <w:rsid w:val="004A4F36"/>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3A6E"/>
    <w:rsid w:val="004C4565"/>
    <w:rsid w:val="004C5D3A"/>
    <w:rsid w:val="004C6532"/>
    <w:rsid w:val="004C7C43"/>
    <w:rsid w:val="004C7ECF"/>
    <w:rsid w:val="004D1C79"/>
    <w:rsid w:val="004D1C9F"/>
    <w:rsid w:val="004D2ACE"/>
    <w:rsid w:val="004D2D37"/>
    <w:rsid w:val="004D56F6"/>
    <w:rsid w:val="004D58D5"/>
    <w:rsid w:val="004D6051"/>
    <w:rsid w:val="004D6C61"/>
    <w:rsid w:val="004D7637"/>
    <w:rsid w:val="004D7A17"/>
    <w:rsid w:val="004E0B41"/>
    <w:rsid w:val="004E0C17"/>
    <w:rsid w:val="004E1AF5"/>
    <w:rsid w:val="004E3C65"/>
    <w:rsid w:val="004E4FEB"/>
    <w:rsid w:val="004E64A0"/>
    <w:rsid w:val="004E7EFC"/>
    <w:rsid w:val="004F3210"/>
    <w:rsid w:val="004F32FC"/>
    <w:rsid w:val="004F389E"/>
    <w:rsid w:val="004F3F7A"/>
    <w:rsid w:val="004F5285"/>
    <w:rsid w:val="004F53E9"/>
    <w:rsid w:val="004F5D28"/>
    <w:rsid w:val="004F6D1E"/>
    <w:rsid w:val="004F7021"/>
    <w:rsid w:val="004F7230"/>
    <w:rsid w:val="004F750B"/>
    <w:rsid w:val="004F7D56"/>
    <w:rsid w:val="005020B7"/>
    <w:rsid w:val="00503BCB"/>
    <w:rsid w:val="0050486A"/>
    <w:rsid w:val="00504D1D"/>
    <w:rsid w:val="00504E63"/>
    <w:rsid w:val="005050CC"/>
    <w:rsid w:val="005056FC"/>
    <w:rsid w:val="00506F23"/>
    <w:rsid w:val="0050710E"/>
    <w:rsid w:val="005074D8"/>
    <w:rsid w:val="00507E04"/>
    <w:rsid w:val="00511731"/>
    <w:rsid w:val="00512FC9"/>
    <w:rsid w:val="005131CD"/>
    <w:rsid w:val="005146C4"/>
    <w:rsid w:val="00517B9F"/>
    <w:rsid w:val="00520284"/>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888"/>
    <w:rsid w:val="00543F37"/>
    <w:rsid w:val="00546DB4"/>
    <w:rsid w:val="00546F4D"/>
    <w:rsid w:val="00547816"/>
    <w:rsid w:val="00547E3C"/>
    <w:rsid w:val="0055162D"/>
    <w:rsid w:val="00552A3B"/>
    <w:rsid w:val="005572B4"/>
    <w:rsid w:val="005576D1"/>
    <w:rsid w:val="0056176B"/>
    <w:rsid w:val="0056302B"/>
    <w:rsid w:val="00566214"/>
    <w:rsid w:val="0056728C"/>
    <w:rsid w:val="00567901"/>
    <w:rsid w:val="00567EC5"/>
    <w:rsid w:val="00567F47"/>
    <w:rsid w:val="0057006E"/>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6EC4"/>
    <w:rsid w:val="00597AD5"/>
    <w:rsid w:val="00597E91"/>
    <w:rsid w:val="005A16B0"/>
    <w:rsid w:val="005A2310"/>
    <w:rsid w:val="005A291D"/>
    <w:rsid w:val="005A2C11"/>
    <w:rsid w:val="005A368F"/>
    <w:rsid w:val="005A398D"/>
    <w:rsid w:val="005A5C77"/>
    <w:rsid w:val="005A654E"/>
    <w:rsid w:val="005B1117"/>
    <w:rsid w:val="005B3875"/>
    <w:rsid w:val="005B3F9D"/>
    <w:rsid w:val="005B414B"/>
    <w:rsid w:val="005B4488"/>
    <w:rsid w:val="005B586D"/>
    <w:rsid w:val="005B6087"/>
    <w:rsid w:val="005B6E11"/>
    <w:rsid w:val="005B7D20"/>
    <w:rsid w:val="005C214D"/>
    <w:rsid w:val="005C2F2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C20"/>
    <w:rsid w:val="005D7FD2"/>
    <w:rsid w:val="005E0696"/>
    <w:rsid w:val="005E0A80"/>
    <w:rsid w:val="005E1E3E"/>
    <w:rsid w:val="005E20A2"/>
    <w:rsid w:val="005E233F"/>
    <w:rsid w:val="005E3ECF"/>
    <w:rsid w:val="005E40F4"/>
    <w:rsid w:val="005E532E"/>
    <w:rsid w:val="005E6790"/>
    <w:rsid w:val="005F0328"/>
    <w:rsid w:val="005F03EB"/>
    <w:rsid w:val="005F16FB"/>
    <w:rsid w:val="005F2452"/>
    <w:rsid w:val="005F3142"/>
    <w:rsid w:val="005F4D73"/>
    <w:rsid w:val="005F56C7"/>
    <w:rsid w:val="005F5B46"/>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24B0"/>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66F"/>
    <w:rsid w:val="006237B6"/>
    <w:rsid w:val="00626B9D"/>
    <w:rsid w:val="00627F3C"/>
    <w:rsid w:val="006319D6"/>
    <w:rsid w:val="00631DB2"/>
    <w:rsid w:val="006333EC"/>
    <w:rsid w:val="00633793"/>
    <w:rsid w:val="00634761"/>
    <w:rsid w:val="00634C7E"/>
    <w:rsid w:val="00634EB1"/>
    <w:rsid w:val="006357C0"/>
    <w:rsid w:val="00635959"/>
    <w:rsid w:val="006376C3"/>
    <w:rsid w:val="0064223D"/>
    <w:rsid w:val="00642A0D"/>
    <w:rsid w:val="00642B0B"/>
    <w:rsid w:val="006443ED"/>
    <w:rsid w:val="0064485D"/>
    <w:rsid w:val="00645B98"/>
    <w:rsid w:val="00645F6B"/>
    <w:rsid w:val="00645FB4"/>
    <w:rsid w:val="00646C3A"/>
    <w:rsid w:val="00646EBF"/>
    <w:rsid w:val="00647151"/>
    <w:rsid w:val="00647286"/>
    <w:rsid w:val="006477D2"/>
    <w:rsid w:val="006502C7"/>
    <w:rsid w:val="00650370"/>
    <w:rsid w:val="006531B5"/>
    <w:rsid w:val="0065384D"/>
    <w:rsid w:val="0065458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129C"/>
    <w:rsid w:val="0067234E"/>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0F90"/>
    <w:rsid w:val="006918DA"/>
    <w:rsid w:val="00691FA2"/>
    <w:rsid w:val="00691FE9"/>
    <w:rsid w:val="006923B5"/>
    <w:rsid w:val="00692CBF"/>
    <w:rsid w:val="00692EEE"/>
    <w:rsid w:val="00693143"/>
    <w:rsid w:val="006956FA"/>
    <w:rsid w:val="0069682F"/>
    <w:rsid w:val="00696DEB"/>
    <w:rsid w:val="006A0D81"/>
    <w:rsid w:val="006A1CD0"/>
    <w:rsid w:val="006A464D"/>
    <w:rsid w:val="006A46EF"/>
    <w:rsid w:val="006A59E4"/>
    <w:rsid w:val="006A5CF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2B8E"/>
    <w:rsid w:val="006D313F"/>
    <w:rsid w:val="006D3C53"/>
    <w:rsid w:val="006D6A67"/>
    <w:rsid w:val="006D6C74"/>
    <w:rsid w:val="006D7782"/>
    <w:rsid w:val="006E1474"/>
    <w:rsid w:val="006E193B"/>
    <w:rsid w:val="006E1AD8"/>
    <w:rsid w:val="006E2B83"/>
    <w:rsid w:val="006E2C68"/>
    <w:rsid w:val="006E3A5F"/>
    <w:rsid w:val="006E3A8E"/>
    <w:rsid w:val="006E4DE0"/>
    <w:rsid w:val="006E4E4E"/>
    <w:rsid w:val="006E5537"/>
    <w:rsid w:val="006E5D43"/>
    <w:rsid w:val="006E752D"/>
    <w:rsid w:val="006E757B"/>
    <w:rsid w:val="006E7801"/>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58DA"/>
    <w:rsid w:val="00716705"/>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23A2"/>
    <w:rsid w:val="00733008"/>
    <w:rsid w:val="007369D4"/>
    <w:rsid w:val="00736D73"/>
    <w:rsid w:val="00736FE8"/>
    <w:rsid w:val="007372E2"/>
    <w:rsid w:val="00740108"/>
    <w:rsid w:val="00740E84"/>
    <w:rsid w:val="00744567"/>
    <w:rsid w:val="00744A8F"/>
    <w:rsid w:val="00744F57"/>
    <w:rsid w:val="007465E7"/>
    <w:rsid w:val="0074690D"/>
    <w:rsid w:val="00746A78"/>
    <w:rsid w:val="00747C42"/>
    <w:rsid w:val="00751D55"/>
    <w:rsid w:val="0075406E"/>
    <w:rsid w:val="0075571A"/>
    <w:rsid w:val="00757526"/>
    <w:rsid w:val="007623E3"/>
    <w:rsid w:val="0076450A"/>
    <w:rsid w:val="00766AAD"/>
    <w:rsid w:val="00766F6F"/>
    <w:rsid w:val="00767D20"/>
    <w:rsid w:val="00770A36"/>
    <w:rsid w:val="00770F98"/>
    <w:rsid w:val="00773385"/>
    <w:rsid w:val="00774F51"/>
    <w:rsid w:val="00777AEF"/>
    <w:rsid w:val="00781062"/>
    <w:rsid w:val="00782E26"/>
    <w:rsid w:val="00782F3D"/>
    <w:rsid w:val="0078367A"/>
    <w:rsid w:val="007840C6"/>
    <w:rsid w:val="00787C20"/>
    <w:rsid w:val="00791384"/>
    <w:rsid w:val="00793503"/>
    <w:rsid w:val="0079385A"/>
    <w:rsid w:val="00793C46"/>
    <w:rsid w:val="00793DE5"/>
    <w:rsid w:val="00795B36"/>
    <w:rsid w:val="00795BDE"/>
    <w:rsid w:val="00795E44"/>
    <w:rsid w:val="00796002"/>
    <w:rsid w:val="007975E8"/>
    <w:rsid w:val="007A0033"/>
    <w:rsid w:val="007A004A"/>
    <w:rsid w:val="007A5B13"/>
    <w:rsid w:val="007A5B1D"/>
    <w:rsid w:val="007A720D"/>
    <w:rsid w:val="007A7BE2"/>
    <w:rsid w:val="007B0E4D"/>
    <w:rsid w:val="007B170B"/>
    <w:rsid w:val="007B38F5"/>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12A"/>
    <w:rsid w:val="007C5670"/>
    <w:rsid w:val="007C72DC"/>
    <w:rsid w:val="007D1805"/>
    <w:rsid w:val="007D2262"/>
    <w:rsid w:val="007D3FD7"/>
    <w:rsid w:val="007D4460"/>
    <w:rsid w:val="007D5525"/>
    <w:rsid w:val="007D670E"/>
    <w:rsid w:val="007E01DE"/>
    <w:rsid w:val="007E0283"/>
    <w:rsid w:val="007E07C1"/>
    <w:rsid w:val="007E18DD"/>
    <w:rsid w:val="007E210D"/>
    <w:rsid w:val="007E24D0"/>
    <w:rsid w:val="007E2583"/>
    <w:rsid w:val="007E297C"/>
    <w:rsid w:val="007E29DB"/>
    <w:rsid w:val="007E560A"/>
    <w:rsid w:val="007E6C5A"/>
    <w:rsid w:val="007E7836"/>
    <w:rsid w:val="007E7869"/>
    <w:rsid w:val="007F08A1"/>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6292"/>
    <w:rsid w:val="0080722A"/>
    <w:rsid w:val="00807C6D"/>
    <w:rsid w:val="008103F4"/>
    <w:rsid w:val="00810ACE"/>
    <w:rsid w:val="00811135"/>
    <w:rsid w:val="00813E1B"/>
    <w:rsid w:val="00814B1B"/>
    <w:rsid w:val="00814F3A"/>
    <w:rsid w:val="00815B9D"/>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835"/>
    <w:rsid w:val="00840A4A"/>
    <w:rsid w:val="00840B87"/>
    <w:rsid w:val="00841060"/>
    <w:rsid w:val="0084156B"/>
    <w:rsid w:val="008422BE"/>
    <w:rsid w:val="00842ED0"/>
    <w:rsid w:val="008435C1"/>
    <w:rsid w:val="008443DD"/>
    <w:rsid w:val="00845340"/>
    <w:rsid w:val="00845AEB"/>
    <w:rsid w:val="00846987"/>
    <w:rsid w:val="00847140"/>
    <w:rsid w:val="00850DA2"/>
    <w:rsid w:val="00850EF6"/>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013"/>
    <w:rsid w:val="00865514"/>
    <w:rsid w:val="00865A5E"/>
    <w:rsid w:val="00867058"/>
    <w:rsid w:val="0086743F"/>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2B3"/>
    <w:rsid w:val="008919ED"/>
    <w:rsid w:val="00891E1F"/>
    <w:rsid w:val="008926B9"/>
    <w:rsid w:val="00892D44"/>
    <w:rsid w:val="00892D72"/>
    <w:rsid w:val="00892F87"/>
    <w:rsid w:val="008933F8"/>
    <w:rsid w:val="00894CA0"/>
    <w:rsid w:val="00895711"/>
    <w:rsid w:val="00895DF6"/>
    <w:rsid w:val="00896568"/>
    <w:rsid w:val="00896CBF"/>
    <w:rsid w:val="0089763A"/>
    <w:rsid w:val="0089783C"/>
    <w:rsid w:val="008A01D5"/>
    <w:rsid w:val="008A0287"/>
    <w:rsid w:val="008A0491"/>
    <w:rsid w:val="008A1460"/>
    <w:rsid w:val="008A19FD"/>
    <w:rsid w:val="008A222B"/>
    <w:rsid w:val="008A3A2F"/>
    <w:rsid w:val="008A3AAF"/>
    <w:rsid w:val="008A628C"/>
    <w:rsid w:val="008A7EAB"/>
    <w:rsid w:val="008A7F78"/>
    <w:rsid w:val="008B0494"/>
    <w:rsid w:val="008B2198"/>
    <w:rsid w:val="008B37C2"/>
    <w:rsid w:val="008B3B75"/>
    <w:rsid w:val="008B40D3"/>
    <w:rsid w:val="008B5358"/>
    <w:rsid w:val="008B56C1"/>
    <w:rsid w:val="008B5F0B"/>
    <w:rsid w:val="008B7F43"/>
    <w:rsid w:val="008B7FA7"/>
    <w:rsid w:val="008C039F"/>
    <w:rsid w:val="008C04F9"/>
    <w:rsid w:val="008C1DFC"/>
    <w:rsid w:val="008C31B9"/>
    <w:rsid w:val="008C4616"/>
    <w:rsid w:val="008C50B8"/>
    <w:rsid w:val="008C529A"/>
    <w:rsid w:val="008C547D"/>
    <w:rsid w:val="008C5F38"/>
    <w:rsid w:val="008C6058"/>
    <w:rsid w:val="008C6DDE"/>
    <w:rsid w:val="008C7833"/>
    <w:rsid w:val="008C7AE6"/>
    <w:rsid w:val="008D0254"/>
    <w:rsid w:val="008D09CC"/>
    <w:rsid w:val="008D15AE"/>
    <w:rsid w:val="008D1BC4"/>
    <w:rsid w:val="008D4B4B"/>
    <w:rsid w:val="008D4BA5"/>
    <w:rsid w:val="008D54E3"/>
    <w:rsid w:val="008D5A54"/>
    <w:rsid w:val="008D7A68"/>
    <w:rsid w:val="008D7E42"/>
    <w:rsid w:val="008D7F3E"/>
    <w:rsid w:val="008E3A89"/>
    <w:rsid w:val="008E563B"/>
    <w:rsid w:val="008E79E0"/>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1570"/>
    <w:rsid w:val="00903BF7"/>
    <w:rsid w:val="00903C78"/>
    <w:rsid w:val="009044A3"/>
    <w:rsid w:val="00904F43"/>
    <w:rsid w:val="00906363"/>
    <w:rsid w:val="00906724"/>
    <w:rsid w:val="009067A6"/>
    <w:rsid w:val="00907D20"/>
    <w:rsid w:val="00910F50"/>
    <w:rsid w:val="00913A3A"/>
    <w:rsid w:val="00917FDC"/>
    <w:rsid w:val="00920F12"/>
    <w:rsid w:val="00922848"/>
    <w:rsid w:val="00922DA9"/>
    <w:rsid w:val="00923494"/>
    <w:rsid w:val="00923BDF"/>
    <w:rsid w:val="00924180"/>
    <w:rsid w:val="0092431D"/>
    <w:rsid w:val="00924CB7"/>
    <w:rsid w:val="0092588D"/>
    <w:rsid w:val="0092691C"/>
    <w:rsid w:val="0092698E"/>
    <w:rsid w:val="00926AB1"/>
    <w:rsid w:val="00927687"/>
    <w:rsid w:val="00930C2D"/>
    <w:rsid w:val="009320D7"/>
    <w:rsid w:val="00932824"/>
    <w:rsid w:val="00932960"/>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D06"/>
    <w:rsid w:val="00947E43"/>
    <w:rsid w:val="00953EEC"/>
    <w:rsid w:val="0095486A"/>
    <w:rsid w:val="00955A00"/>
    <w:rsid w:val="00955EDA"/>
    <w:rsid w:val="00956325"/>
    <w:rsid w:val="009577A3"/>
    <w:rsid w:val="0096097B"/>
    <w:rsid w:val="00960B61"/>
    <w:rsid w:val="00961FF5"/>
    <w:rsid w:val="009629A3"/>
    <w:rsid w:val="00964C3A"/>
    <w:rsid w:val="00967341"/>
    <w:rsid w:val="00967446"/>
    <w:rsid w:val="00967F0D"/>
    <w:rsid w:val="00967F23"/>
    <w:rsid w:val="00967FC7"/>
    <w:rsid w:val="00970C66"/>
    <w:rsid w:val="00970FC7"/>
    <w:rsid w:val="00971567"/>
    <w:rsid w:val="009718A3"/>
    <w:rsid w:val="00971F8A"/>
    <w:rsid w:val="00972394"/>
    <w:rsid w:val="009724B7"/>
    <w:rsid w:val="00972C6C"/>
    <w:rsid w:val="009731FC"/>
    <w:rsid w:val="00974339"/>
    <w:rsid w:val="009745AD"/>
    <w:rsid w:val="00974ADD"/>
    <w:rsid w:val="00974C12"/>
    <w:rsid w:val="00975C27"/>
    <w:rsid w:val="00980571"/>
    <w:rsid w:val="00980E7F"/>
    <w:rsid w:val="00982FF8"/>
    <w:rsid w:val="00984840"/>
    <w:rsid w:val="00985CF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147E"/>
    <w:rsid w:val="009A305F"/>
    <w:rsid w:val="009A313B"/>
    <w:rsid w:val="009A3512"/>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5D8C"/>
    <w:rsid w:val="009C69AA"/>
    <w:rsid w:val="009C7EAA"/>
    <w:rsid w:val="009D0795"/>
    <w:rsid w:val="009D08E6"/>
    <w:rsid w:val="009D1F95"/>
    <w:rsid w:val="009D2983"/>
    <w:rsid w:val="009D2ED1"/>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4"/>
    <w:rsid w:val="00A0158B"/>
    <w:rsid w:val="00A01A22"/>
    <w:rsid w:val="00A021A8"/>
    <w:rsid w:val="00A0274F"/>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24A9"/>
    <w:rsid w:val="00A43E45"/>
    <w:rsid w:val="00A4427E"/>
    <w:rsid w:val="00A442B5"/>
    <w:rsid w:val="00A4437A"/>
    <w:rsid w:val="00A45A82"/>
    <w:rsid w:val="00A47257"/>
    <w:rsid w:val="00A477DA"/>
    <w:rsid w:val="00A51DA2"/>
    <w:rsid w:val="00A527F9"/>
    <w:rsid w:val="00A53C7D"/>
    <w:rsid w:val="00A54849"/>
    <w:rsid w:val="00A55E34"/>
    <w:rsid w:val="00A57659"/>
    <w:rsid w:val="00A576CB"/>
    <w:rsid w:val="00A6033F"/>
    <w:rsid w:val="00A60ADC"/>
    <w:rsid w:val="00A6443F"/>
    <w:rsid w:val="00A650B6"/>
    <w:rsid w:val="00A651D1"/>
    <w:rsid w:val="00A65BD4"/>
    <w:rsid w:val="00A65E61"/>
    <w:rsid w:val="00A661C3"/>
    <w:rsid w:val="00A67241"/>
    <w:rsid w:val="00A676AD"/>
    <w:rsid w:val="00A70197"/>
    <w:rsid w:val="00A70B2E"/>
    <w:rsid w:val="00A722E7"/>
    <w:rsid w:val="00A76972"/>
    <w:rsid w:val="00A76D35"/>
    <w:rsid w:val="00A803FE"/>
    <w:rsid w:val="00A80569"/>
    <w:rsid w:val="00A80775"/>
    <w:rsid w:val="00A80B62"/>
    <w:rsid w:val="00A8140D"/>
    <w:rsid w:val="00A823A0"/>
    <w:rsid w:val="00A82EE3"/>
    <w:rsid w:val="00A8417F"/>
    <w:rsid w:val="00A867C5"/>
    <w:rsid w:val="00A870D7"/>
    <w:rsid w:val="00A872F7"/>
    <w:rsid w:val="00A901CC"/>
    <w:rsid w:val="00A91152"/>
    <w:rsid w:val="00A921B2"/>
    <w:rsid w:val="00A92C23"/>
    <w:rsid w:val="00A9313D"/>
    <w:rsid w:val="00A94A1A"/>
    <w:rsid w:val="00A94C29"/>
    <w:rsid w:val="00A95126"/>
    <w:rsid w:val="00AA271B"/>
    <w:rsid w:val="00AA2C95"/>
    <w:rsid w:val="00AA3949"/>
    <w:rsid w:val="00AA39B0"/>
    <w:rsid w:val="00AA3B3A"/>
    <w:rsid w:val="00AA4720"/>
    <w:rsid w:val="00AA4B3B"/>
    <w:rsid w:val="00AA55F7"/>
    <w:rsid w:val="00AA5ECB"/>
    <w:rsid w:val="00AA6D37"/>
    <w:rsid w:val="00AA7A19"/>
    <w:rsid w:val="00AA7E74"/>
    <w:rsid w:val="00AA7EDC"/>
    <w:rsid w:val="00AB0360"/>
    <w:rsid w:val="00AB1816"/>
    <w:rsid w:val="00AB393D"/>
    <w:rsid w:val="00AB3B90"/>
    <w:rsid w:val="00AB510A"/>
    <w:rsid w:val="00AB5E30"/>
    <w:rsid w:val="00AB5F07"/>
    <w:rsid w:val="00AB640C"/>
    <w:rsid w:val="00AB66B2"/>
    <w:rsid w:val="00AB6DDB"/>
    <w:rsid w:val="00AB74C7"/>
    <w:rsid w:val="00AC0154"/>
    <w:rsid w:val="00AC028C"/>
    <w:rsid w:val="00AC040C"/>
    <w:rsid w:val="00AC40A2"/>
    <w:rsid w:val="00AC49C5"/>
    <w:rsid w:val="00AC4CDA"/>
    <w:rsid w:val="00AC71D2"/>
    <w:rsid w:val="00AC725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0454"/>
    <w:rsid w:val="00AF17BA"/>
    <w:rsid w:val="00AF203C"/>
    <w:rsid w:val="00AF20F9"/>
    <w:rsid w:val="00AF2159"/>
    <w:rsid w:val="00AF28B1"/>
    <w:rsid w:val="00AF30E2"/>
    <w:rsid w:val="00AF34F8"/>
    <w:rsid w:val="00AF3AB8"/>
    <w:rsid w:val="00AF3D34"/>
    <w:rsid w:val="00AF41EB"/>
    <w:rsid w:val="00AF51D4"/>
    <w:rsid w:val="00AF7060"/>
    <w:rsid w:val="00AF7D68"/>
    <w:rsid w:val="00B0149B"/>
    <w:rsid w:val="00B03319"/>
    <w:rsid w:val="00B04844"/>
    <w:rsid w:val="00B06A49"/>
    <w:rsid w:val="00B07134"/>
    <w:rsid w:val="00B0742F"/>
    <w:rsid w:val="00B074DF"/>
    <w:rsid w:val="00B10805"/>
    <w:rsid w:val="00B10F67"/>
    <w:rsid w:val="00B11044"/>
    <w:rsid w:val="00B11198"/>
    <w:rsid w:val="00B118C5"/>
    <w:rsid w:val="00B13244"/>
    <w:rsid w:val="00B1354A"/>
    <w:rsid w:val="00B148EF"/>
    <w:rsid w:val="00B14C11"/>
    <w:rsid w:val="00B14EC9"/>
    <w:rsid w:val="00B14F4A"/>
    <w:rsid w:val="00B16A3E"/>
    <w:rsid w:val="00B16B53"/>
    <w:rsid w:val="00B17D1E"/>
    <w:rsid w:val="00B17D9E"/>
    <w:rsid w:val="00B21B55"/>
    <w:rsid w:val="00B21DB0"/>
    <w:rsid w:val="00B223F1"/>
    <w:rsid w:val="00B2254F"/>
    <w:rsid w:val="00B22807"/>
    <w:rsid w:val="00B2424B"/>
    <w:rsid w:val="00B24352"/>
    <w:rsid w:val="00B24B81"/>
    <w:rsid w:val="00B24E75"/>
    <w:rsid w:val="00B257C7"/>
    <w:rsid w:val="00B25ED5"/>
    <w:rsid w:val="00B26915"/>
    <w:rsid w:val="00B2787C"/>
    <w:rsid w:val="00B27B20"/>
    <w:rsid w:val="00B27D46"/>
    <w:rsid w:val="00B30130"/>
    <w:rsid w:val="00B31E30"/>
    <w:rsid w:val="00B32406"/>
    <w:rsid w:val="00B32FE5"/>
    <w:rsid w:val="00B33046"/>
    <w:rsid w:val="00B343D1"/>
    <w:rsid w:val="00B34E39"/>
    <w:rsid w:val="00B3636D"/>
    <w:rsid w:val="00B36B1E"/>
    <w:rsid w:val="00B37C2B"/>
    <w:rsid w:val="00B41620"/>
    <w:rsid w:val="00B426C8"/>
    <w:rsid w:val="00B449B9"/>
    <w:rsid w:val="00B4518D"/>
    <w:rsid w:val="00B451EF"/>
    <w:rsid w:val="00B473E7"/>
    <w:rsid w:val="00B477BE"/>
    <w:rsid w:val="00B50EF0"/>
    <w:rsid w:val="00B511B9"/>
    <w:rsid w:val="00B51AF6"/>
    <w:rsid w:val="00B52158"/>
    <w:rsid w:val="00B5225B"/>
    <w:rsid w:val="00B5336B"/>
    <w:rsid w:val="00B55331"/>
    <w:rsid w:val="00B5584E"/>
    <w:rsid w:val="00B55FDA"/>
    <w:rsid w:val="00B565A2"/>
    <w:rsid w:val="00B56C0C"/>
    <w:rsid w:val="00B56CC7"/>
    <w:rsid w:val="00B5731A"/>
    <w:rsid w:val="00B60A3C"/>
    <w:rsid w:val="00B60A6A"/>
    <w:rsid w:val="00B61242"/>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224F"/>
    <w:rsid w:val="00B829C1"/>
    <w:rsid w:val="00B82F2F"/>
    <w:rsid w:val="00B85382"/>
    <w:rsid w:val="00B86C64"/>
    <w:rsid w:val="00B87546"/>
    <w:rsid w:val="00B87757"/>
    <w:rsid w:val="00B878BF"/>
    <w:rsid w:val="00B90C15"/>
    <w:rsid w:val="00B911F8"/>
    <w:rsid w:val="00B91610"/>
    <w:rsid w:val="00B92748"/>
    <w:rsid w:val="00B93F7B"/>
    <w:rsid w:val="00B95D55"/>
    <w:rsid w:val="00B96A14"/>
    <w:rsid w:val="00B96EC5"/>
    <w:rsid w:val="00BA15C6"/>
    <w:rsid w:val="00BA2625"/>
    <w:rsid w:val="00BA2B2D"/>
    <w:rsid w:val="00BA4641"/>
    <w:rsid w:val="00BA567B"/>
    <w:rsid w:val="00BA5798"/>
    <w:rsid w:val="00BA5EEC"/>
    <w:rsid w:val="00BA7FCD"/>
    <w:rsid w:val="00BB0148"/>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0F8D"/>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58AC"/>
    <w:rsid w:val="00BE6025"/>
    <w:rsid w:val="00BE7AA6"/>
    <w:rsid w:val="00BE7BB8"/>
    <w:rsid w:val="00BE7DE8"/>
    <w:rsid w:val="00BF1AB0"/>
    <w:rsid w:val="00BF234A"/>
    <w:rsid w:val="00BF296B"/>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114"/>
    <w:rsid w:val="00C217A9"/>
    <w:rsid w:val="00C24935"/>
    <w:rsid w:val="00C26397"/>
    <w:rsid w:val="00C26A76"/>
    <w:rsid w:val="00C26BDF"/>
    <w:rsid w:val="00C27A94"/>
    <w:rsid w:val="00C30D3E"/>
    <w:rsid w:val="00C312F9"/>
    <w:rsid w:val="00C31D02"/>
    <w:rsid w:val="00C32075"/>
    <w:rsid w:val="00C359EE"/>
    <w:rsid w:val="00C35BFF"/>
    <w:rsid w:val="00C35EB6"/>
    <w:rsid w:val="00C36121"/>
    <w:rsid w:val="00C36F0D"/>
    <w:rsid w:val="00C37F76"/>
    <w:rsid w:val="00C40CC6"/>
    <w:rsid w:val="00C415A0"/>
    <w:rsid w:val="00C4236B"/>
    <w:rsid w:val="00C43812"/>
    <w:rsid w:val="00C43D5D"/>
    <w:rsid w:val="00C43FA9"/>
    <w:rsid w:val="00C43FF3"/>
    <w:rsid w:val="00C443D6"/>
    <w:rsid w:val="00C44D5E"/>
    <w:rsid w:val="00C45DCD"/>
    <w:rsid w:val="00C46212"/>
    <w:rsid w:val="00C46A14"/>
    <w:rsid w:val="00C46A71"/>
    <w:rsid w:val="00C47150"/>
    <w:rsid w:val="00C47327"/>
    <w:rsid w:val="00C50078"/>
    <w:rsid w:val="00C50938"/>
    <w:rsid w:val="00C517B7"/>
    <w:rsid w:val="00C52382"/>
    <w:rsid w:val="00C52D0E"/>
    <w:rsid w:val="00C533CF"/>
    <w:rsid w:val="00C53682"/>
    <w:rsid w:val="00C573B6"/>
    <w:rsid w:val="00C57837"/>
    <w:rsid w:val="00C60977"/>
    <w:rsid w:val="00C61A07"/>
    <w:rsid w:val="00C61B29"/>
    <w:rsid w:val="00C61DC9"/>
    <w:rsid w:val="00C6215A"/>
    <w:rsid w:val="00C62C12"/>
    <w:rsid w:val="00C63273"/>
    <w:rsid w:val="00C64052"/>
    <w:rsid w:val="00C64C44"/>
    <w:rsid w:val="00C651F3"/>
    <w:rsid w:val="00C65BF2"/>
    <w:rsid w:val="00C6607E"/>
    <w:rsid w:val="00C66C59"/>
    <w:rsid w:val="00C66C92"/>
    <w:rsid w:val="00C66F0A"/>
    <w:rsid w:val="00C6772D"/>
    <w:rsid w:val="00C70347"/>
    <w:rsid w:val="00C70975"/>
    <w:rsid w:val="00C71355"/>
    <w:rsid w:val="00C718A9"/>
    <w:rsid w:val="00C718EE"/>
    <w:rsid w:val="00C724BC"/>
    <w:rsid w:val="00C73463"/>
    <w:rsid w:val="00C739A9"/>
    <w:rsid w:val="00C73B00"/>
    <w:rsid w:val="00C74461"/>
    <w:rsid w:val="00C74925"/>
    <w:rsid w:val="00C74B6C"/>
    <w:rsid w:val="00C74C82"/>
    <w:rsid w:val="00C74F27"/>
    <w:rsid w:val="00C75EA4"/>
    <w:rsid w:val="00C76F04"/>
    <w:rsid w:val="00C8001A"/>
    <w:rsid w:val="00C819E1"/>
    <w:rsid w:val="00C822C1"/>
    <w:rsid w:val="00C8242B"/>
    <w:rsid w:val="00C82A7F"/>
    <w:rsid w:val="00C83163"/>
    <w:rsid w:val="00C842C9"/>
    <w:rsid w:val="00C84786"/>
    <w:rsid w:val="00C84BF3"/>
    <w:rsid w:val="00C8642D"/>
    <w:rsid w:val="00C87AE7"/>
    <w:rsid w:val="00C90854"/>
    <w:rsid w:val="00C925A2"/>
    <w:rsid w:val="00C92AD8"/>
    <w:rsid w:val="00C9338B"/>
    <w:rsid w:val="00C95441"/>
    <w:rsid w:val="00C95E67"/>
    <w:rsid w:val="00C977F5"/>
    <w:rsid w:val="00CA1047"/>
    <w:rsid w:val="00CA1F73"/>
    <w:rsid w:val="00CA2398"/>
    <w:rsid w:val="00CA28E2"/>
    <w:rsid w:val="00CA2A84"/>
    <w:rsid w:val="00CA2E85"/>
    <w:rsid w:val="00CA3469"/>
    <w:rsid w:val="00CA4100"/>
    <w:rsid w:val="00CA75FB"/>
    <w:rsid w:val="00CB03B3"/>
    <w:rsid w:val="00CB0ED3"/>
    <w:rsid w:val="00CB1B4B"/>
    <w:rsid w:val="00CB24CE"/>
    <w:rsid w:val="00CB38C8"/>
    <w:rsid w:val="00CB44BE"/>
    <w:rsid w:val="00CB5C6B"/>
    <w:rsid w:val="00CB5DC7"/>
    <w:rsid w:val="00CB708E"/>
    <w:rsid w:val="00CB70B3"/>
    <w:rsid w:val="00CC0A54"/>
    <w:rsid w:val="00CC13C4"/>
    <w:rsid w:val="00CC1D2F"/>
    <w:rsid w:val="00CC3C0E"/>
    <w:rsid w:val="00CC3E64"/>
    <w:rsid w:val="00CC5743"/>
    <w:rsid w:val="00CC5E74"/>
    <w:rsid w:val="00CC6D28"/>
    <w:rsid w:val="00CD303E"/>
    <w:rsid w:val="00CD311A"/>
    <w:rsid w:val="00CD4979"/>
    <w:rsid w:val="00CD4C21"/>
    <w:rsid w:val="00CD5C79"/>
    <w:rsid w:val="00CD6470"/>
    <w:rsid w:val="00CD7696"/>
    <w:rsid w:val="00CE073E"/>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1321A"/>
    <w:rsid w:val="00D1331B"/>
    <w:rsid w:val="00D1580B"/>
    <w:rsid w:val="00D16200"/>
    <w:rsid w:val="00D1700C"/>
    <w:rsid w:val="00D17854"/>
    <w:rsid w:val="00D17CE8"/>
    <w:rsid w:val="00D22717"/>
    <w:rsid w:val="00D22A27"/>
    <w:rsid w:val="00D236BB"/>
    <w:rsid w:val="00D237FE"/>
    <w:rsid w:val="00D2496A"/>
    <w:rsid w:val="00D25C59"/>
    <w:rsid w:val="00D2687A"/>
    <w:rsid w:val="00D27283"/>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57595"/>
    <w:rsid w:val="00D6291D"/>
    <w:rsid w:val="00D6384D"/>
    <w:rsid w:val="00D639E6"/>
    <w:rsid w:val="00D65283"/>
    <w:rsid w:val="00D65662"/>
    <w:rsid w:val="00D66E61"/>
    <w:rsid w:val="00D66EC3"/>
    <w:rsid w:val="00D67921"/>
    <w:rsid w:val="00D701C8"/>
    <w:rsid w:val="00D74999"/>
    <w:rsid w:val="00D75105"/>
    <w:rsid w:val="00D7565F"/>
    <w:rsid w:val="00D75AEA"/>
    <w:rsid w:val="00D75E39"/>
    <w:rsid w:val="00D76BF6"/>
    <w:rsid w:val="00D76C18"/>
    <w:rsid w:val="00D772D1"/>
    <w:rsid w:val="00D80D6D"/>
    <w:rsid w:val="00D80F7C"/>
    <w:rsid w:val="00D81391"/>
    <w:rsid w:val="00D8149D"/>
    <w:rsid w:val="00D81DF5"/>
    <w:rsid w:val="00D84DA8"/>
    <w:rsid w:val="00D85717"/>
    <w:rsid w:val="00D85BEA"/>
    <w:rsid w:val="00D86873"/>
    <w:rsid w:val="00D871BF"/>
    <w:rsid w:val="00D874BE"/>
    <w:rsid w:val="00D90E1A"/>
    <w:rsid w:val="00D9184F"/>
    <w:rsid w:val="00D94636"/>
    <w:rsid w:val="00D9463E"/>
    <w:rsid w:val="00D957E8"/>
    <w:rsid w:val="00D95B0C"/>
    <w:rsid w:val="00D962A5"/>
    <w:rsid w:val="00D96B33"/>
    <w:rsid w:val="00DA0254"/>
    <w:rsid w:val="00DA224C"/>
    <w:rsid w:val="00DA26AF"/>
    <w:rsid w:val="00DA3AFC"/>
    <w:rsid w:val="00DA425D"/>
    <w:rsid w:val="00DA5844"/>
    <w:rsid w:val="00DA58AF"/>
    <w:rsid w:val="00DA5CE4"/>
    <w:rsid w:val="00DA750B"/>
    <w:rsid w:val="00DA76BA"/>
    <w:rsid w:val="00DB01FF"/>
    <w:rsid w:val="00DB064F"/>
    <w:rsid w:val="00DB1EFA"/>
    <w:rsid w:val="00DB4050"/>
    <w:rsid w:val="00DB48F1"/>
    <w:rsid w:val="00DB7AC3"/>
    <w:rsid w:val="00DC0029"/>
    <w:rsid w:val="00DC046F"/>
    <w:rsid w:val="00DC0F4D"/>
    <w:rsid w:val="00DC0FA7"/>
    <w:rsid w:val="00DC18FF"/>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BBF"/>
    <w:rsid w:val="00DF222E"/>
    <w:rsid w:val="00DF4C84"/>
    <w:rsid w:val="00DF5916"/>
    <w:rsid w:val="00DF6361"/>
    <w:rsid w:val="00DF6863"/>
    <w:rsid w:val="00DF70A3"/>
    <w:rsid w:val="00DF741A"/>
    <w:rsid w:val="00E00032"/>
    <w:rsid w:val="00E0074A"/>
    <w:rsid w:val="00E02C96"/>
    <w:rsid w:val="00E03F0C"/>
    <w:rsid w:val="00E044EF"/>
    <w:rsid w:val="00E06103"/>
    <w:rsid w:val="00E074AB"/>
    <w:rsid w:val="00E07777"/>
    <w:rsid w:val="00E07AE8"/>
    <w:rsid w:val="00E07D50"/>
    <w:rsid w:val="00E109B6"/>
    <w:rsid w:val="00E12D79"/>
    <w:rsid w:val="00E13395"/>
    <w:rsid w:val="00E160EB"/>
    <w:rsid w:val="00E162C5"/>
    <w:rsid w:val="00E16318"/>
    <w:rsid w:val="00E170AC"/>
    <w:rsid w:val="00E1764D"/>
    <w:rsid w:val="00E17919"/>
    <w:rsid w:val="00E2034B"/>
    <w:rsid w:val="00E208B6"/>
    <w:rsid w:val="00E208C7"/>
    <w:rsid w:val="00E21B5C"/>
    <w:rsid w:val="00E24B06"/>
    <w:rsid w:val="00E24BCC"/>
    <w:rsid w:val="00E25E0E"/>
    <w:rsid w:val="00E306E0"/>
    <w:rsid w:val="00E30EE5"/>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47B6B"/>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7708B"/>
    <w:rsid w:val="00E807FE"/>
    <w:rsid w:val="00E81422"/>
    <w:rsid w:val="00E829D3"/>
    <w:rsid w:val="00E83635"/>
    <w:rsid w:val="00E83D9D"/>
    <w:rsid w:val="00E87873"/>
    <w:rsid w:val="00E9044C"/>
    <w:rsid w:val="00E909B8"/>
    <w:rsid w:val="00E916F0"/>
    <w:rsid w:val="00E91B86"/>
    <w:rsid w:val="00E926EB"/>
    <w:rsid w:val="00E93E63"/>
    <w:rsid w:val="00E947CD"/>
    <w:rsid w:val="00E948D0"/>
    <w:rsid w:val="00E94AED"/>
    <w:rsid w:val="00E94C6D"/>
    <w:rsid w:val="00E94C6E"/>
    <w:rsid w:val="00E9611B"/>
    <w:rsid w:val="00E96962"/>
    <w:rsid w:val="00E96D9F"/>
    <w:rsid w:val="00E97E0B"/>
    <w:rsid w:val="00EA046B"/>
    <w:rsid w:val="00EA4817"/>
    <w:rsid w:val="00EA54D5"/>
    <w:rsid w:val="00EA6590"/>
    <w:rsid w:val="00EA6ED4"/>
    <w:rsid w:val="00EA7BC3"/>
    <w:rsid w:val="00EB01AC"/>
    <w:rsid w:val="00EB02D6"/>
    <w:rsid w:val="00EB06C5"/>
    <w:rsid w:val="00EB1C72"/>
    <w:rsid w:val="00EB2520"/>
    <w:rsid w:val="00EB2752"/>
    <w:rsid w:val="00EB2BB4"/>
    <w:rsid w:val="00EB313E"/>
    <w:rsid w:val="00EB35DA"/>
    <w:rsid w:val="00EB3983"/>
    <w:rsid w:val="00EB6D51"/>
    <w:rsid w:val="00EC03B5"/>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E3E"/>
    <w:rsid w:val="00EF1BC6"/>
    <w:rsid w:val="00EF383F"/>
    <w:rsid w:val="00EF5516"/>
    <w:rsid w:val="00EF5988"/>
    <w:rsid w:val="00EF5EEC"/>
    <w:rsid w:val="00EF7982"/>
    <w:rsid w:val="00F014B0"/>
    <w:rsid w:val="00F01745"/>
    <w:rsid w:val="00F0365C"/>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7E25"/>
    <w:rsid w:val="00F2055A"/>
    <w:rsid w:val="00F20EE0"/>
    <w:rsid w:val="00F215AD"/>
    <w:rsid w:val="00F23560"/>
    <w:rsid w:val="00F25056"/>
    <w:rsid w:val="00F25844"/>
    <w:rsid w:val="00F261B4"/>
    <w:rsid w:val="00F26EC8"/>
    <w:rsid w:val="00F27171"/>
    <w:rsid w:val="00F312B1"/>
    <w:rsid w:val="00F319AC"/>
    <w:rsid w:val="00F331D4"/>
    <w:rsid w:val="00F333D5"/>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5CA"/>
    <w:rsid w:val="00F45715"/>
    <w:rsid w:val="00F46B57"/>
    <w:rsid w:val="00F47390"/>
    <w:rsid w:val="00F47494"/>
    <w:rsid w:val="00F47AB6"/>
    <w:rsid w:val="00F51237"/>
    <w:rsid w:val="00F513B7"/>
    <w:rsid w:val="00F514B5"/>
    <w:rsid w:val="00F540BB"/>
    <w:rsid w:val="00F5461E"/>
    <w:rsid w:val="00F54A74"/>
    <w:rsid w:val="00F55344"/>
    <w:rsid w:val="00F56921"/>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798"/>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5686"/>
    <w:rsid w:val="00F96023"/>
    <w:rsid w:val="00F96285"/>
    <w:rsid w:val="00F96CB3"/>
    <w:rsid w:val="00FA07DA"/>
    <w:rsid w:val="00FA37E5"/>
    <w:rsid w:val="00FA3CC3"/>
    <w:rsid w:val="00FA5C99"/>
    <w:rsid w:val="00FA731B"/>
    <w:rsid w:val="00FA75EC"/>
    <w:rsid w:val="00FB0FED"/>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369A"/>
    <w:rsid w:val="00FC4A02"/>
    <w:rsid w:val="00FC4E77"/>
    <w:rsid w:val="00FC64C4"/>
    <w:rsid w:val="00FC773B"/>
    <w:rsid w:val="00FC7DBB"/>
    <w:rsid w:val="00FD00EA"/>
    <w:rsid w:val="00FD38D5"/>
    <w:rsid w:val="00FD4EBC"/>
    <w:rsid w:val="00FE0B0B"/>
    <w:rsid w:val="00FE10C9"/>
    <w:rsid w:val="00FE117A"/>
    <w:rsid w:val="00FE19DA"/>
    <w:rsid w:val="00FE2E34"/>
    <w:rsid w:val="00FE3CB7"/>
    <w:rsid w:val="00FE503B"/>
    <w:rsid w:val="00FF00C2"/>
    <w:rsid w:val="00FF0C09"/>
    <w:rsid w:val="00FF0E7B"/>
    <w:rsid w:val="00FF0F4E"/>
    <w:rsid w:val="00FF101C"/>
    <w:rsid w:val="00FF105B"/>
    <w:rsid w:val="00FF1342"/>
    <w:rsid w:val="00FF14B5"/>
    <w:rsid w:val="00FF4493"/>
    <w:rsid w:val="00FF471E"/>
    <w:rsid w:val="00FF47F7"/>
    <w:rsid w:val="00FF540A"/>
    <w:rsid w:val="00FF56AB"/>
    <w:rsid w:val="00FF61AE"/>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21105"/>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B22807"/>
    <w:pPr>
      <w:keepNext/>
      <w:jc w:val="both"/>
      <w:outlineLvl w:val="2"/>
    </w:pPr>
    <w:rPr>
      <w:rFonts w:ascii="Arial" w:hAnsi="Arial"/>
      <w:snapToGrid w:val="0"/>
      <w:u w:val="single"/>
      <w:lang w:eastAsia="ja-JP"/>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paragraph" w:customStyle="1" w:styleId="Style1">
    <w:name w:val="Style1"/>
    <w:basedOn w:val="Normal"/>
    <w:rsid w:val="000D59C2"/>
    <w:pPr>
      <w:tabs>
        <w:tab w:val="decimal" w:pos="907"/>
        <w:tab w:val="left" w:pos="1077"/>
      </w:tabs>
    </w:pPr>
    <w:rPr>
      <w:szCs w:val="24"/>
      <w:lang w:eastAsia="ja-JP"/>
    </w:rPr>
  </w:style>
  <w:style w:type="character" w:customStyle="1" w:styleId="FootnoteTextChar">
    <w:name w:val="Footnote Text Char"/>
    <w:basedOn w:val="DefaultParagraphFont"/>
    <w:link w:val="FootnoteText"/>
    <w:rsid w:val="000D59C2"/>
    <w:rPr>
      <w:rFonts w:ascii="Arial" w:hAnsi="Arial"/>
      <w:sz w:val="16"/>
    </w:rPr>
  </w:style>
  <w:style w:type="character" w:customStyle="1" w:styleId="EndnoteTextChar">
    <w:name w:val="Endnote Text Char"/>
    <w:basedOn w:val="DefaultParagraphFont"/>
    <w:link w:val="EndnoteText"/>
    <w:rsid w:val="000D59C2"/>
    <w:rPr>
      <w:rFonts w:ascii="Arial" w:hAnsi="Arial"/>
      <w:sz w:val="16"/>
    </w:rPr>
  </w:style>
  <w:style w:type="paragraph" w:styleId="ListParagraph">
    <w:name w:val="List Paragraph"/>
    <w:basedOn w:val="Normal"/>
    <w:uiPriority w:val="34"/>
    <w:qFormat/>
    <w:rsid w:val="000D59C2"/>
    <w:pPr>
      <w:ind w:left="720"/>
      <w:contextualSpacing/>
    </w:pPr>
  </w:style>
  <w:style w:type="character" w:customStyle="1" w:styleId="BodyTextChar">
    <w:name w:val="Body Text Char"/>
    <w:basedOn w:val="DefaultParagraphFont"/>
    <w:link w:val="BodyText"/>
    <w:rsid w:val="006E1AD8"/>
    <w:rPr>
      <w:rFonts w:ascii="Arial" w:hAnsi="Arial"/>
    </w:rPr>
  </w:style>
  <w:style w:type="character" w:customStyle="1" w:styleId="BodyTextIndentChar">
    <w:name w:val="Body Text Indent Char"/>
    <w:basedOn w:val="DefaultParagraphFont"/>
    <w:link w:val="BodyTextIndent"/>
    <w:rsid w:val="006E1AD8"/>
    <w:rPr>
      <w:rFonts w:ascii="Arial" w:hAnsi="Arial"/>
      <w:lang w:val="es-ES_tradnl"/>
    </w:rPr>
  </w:style>
  <w:style w:type="character" w:customStyle="1" w:styleId="CommentTextChar">
    <w:name w:val="Comment Text Char"/>
    <w:basedOn w:val="DefaultParagraphFont"/>
    <w:link w:val="CommentText"/>
    <w:semiHidden/>
    <w:rsid w:val="006E1AD8"/>
    <w:rPr>
      <w:rFonts w:ascii="Arial" w:hAnsi="Arial"/>
      <w:sz w:val="22"/>
      <w:lang w:val="es-ES_tradnl"/>
    </w:rPr>
  </w:style>
  <w:style w:type="paragraph" w:customStyle="1" w:styleId="DecisionParagraphs">
    <w:name w:val="DecisionParagraphs"/>
    <w:basedOn w:val="Normal"/>
    <w:rsid w:val="00405FE5"/>
    <w:pPr>
      <w:tabs>
        <w:tab w:val="left" w:pos="5387"/>
      </w:tabs>
      <w:ind w:left="4820"/>
    </w:pPr>
    <w:rPr>
      <w:rFonts w:eastAsiaTheme="minorEastAsia"/>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21105"/>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B22807"/>
    <w:pPr>
      <w:keepNext/>
      <w:jc w:val="both"/>
      <w:outlineLvl w:val="2"/>
    </w:pPr>
    <w:rPr>
      <w:rFonts w:ascii="Arial" w:hAnsi="Arial"/>
      <w:snapToGrid w:val="0"/>
      <w:u w:val="single"/>
      <w:lang w:eastAsia="ja-JP"/>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paragraph" w:customStyle="1" w:styleId="Style1">
    <w:name w:val="Style1"/>
    <w:basedOn w:val="Normal"/>
    <w:rsid w:val="000D59C2"/>
    <w:pPr>
      <w:tabs>
        <w:tab w:val="decimal" w:pos="907"/>
        <w:tab w:val="left" w:pos="1077"/>
      </w:tabs>
    </w:pPr>
    <w:rPr>
      <w:szCs w:val="24"/>
      <w:lang w:eastAsia="ja-JP"/>
    </w:rPr>
  </w:style>
  <w:style w:type="character" w:customStyle="1" w:styleId="FootnoteTextChar">
    <w:name w:val="Footnote Text Char"/>
    <w:basedOn w:val="DefaultParagraphFont"/>
    <w:link w:val="FootnoteText"/>
    <w:rsid w:val="000D59C2"/>
    <w:rPr>
      <w:rFonts w:ascii="Arial" w:hAnsi="Arial"/>
      <w:sz w:val="16"/>
    </w:rPr>
  </w:style>
  <w:style w:type="character" w:customStyle="1" w:styleId="EndnoteTextChar">
    <w:name w:val="Endnote Text Char"/>
    <w:basedOn w:val="DefaultParagraphFont"/>
    <w:link w:val="EndnoteText"/>
    <w:rsid w:val="000D59C2"/>
    <w:rPr>
      <w:rFonts w:ascii="Arial" w:hAnsi="Arial"/>
      <w:sz w:val="16"/>
    </w:rPr>
  </w:style>
  <w:style w:type="paragraph" w:styleId="ListParagraph">
    <w:name w:val="List Paragraph"/>
    <w:basedOn w:val="Normal"/>
    <w:uiPriority w:val="34"/>
    <w:qFormat/>
    <w:rsid w:val="000D59C2"/>
    <w:pPr>
      <w:ind w:left="720"/>
      <w:contextualSpacing/>
    </w:pPr>
  </w:style>
  <w:style w:type="character" w:customStyle="1" w:styleId="BodyTextChar">
    <w:name w:val="Body Text Char"/>
    <w:basedOn w:val="DefaultParagraphFont"/>
    <w:link w:val="BodyText"/>
    <w:rsid w:val="006E1AD8"/>
    <w:rPr>
      <w:rFonts w:ascii="Arial" w:hAnsi="Arial"/>
    </w:rPr>
  </w:style>
  <w:style w:type="character" w:customStyle="1" w:styleId="BodyTextIndentChar">
    <w:name w:val="Body Text Indent Char"/>
    <w:basedOn w:val="DefaultParagraphFont"/>
    <w:link w:val="BodyTextIndent"/>
    <w:rsid w:val="006E1AD8"/>
    <w:rPr>
      <w:rFonts w:ascii="Arial" w:hAnsi="Arial"/>
      <w:lang w:val="es-ES_tradnl"/>
    </w:rPr>
  </w:style>
  <w:style w:type="character" w:customStyle="1" w:styleId="CommentTextChar">
    <w:name w:val="Comment Text Char"/>
    <w:basedOn w:val="DefaultParagraphFont"/>
    <w:link w:val="CommentText"/>
    <w:semiHidden/>
    <w:rsid w:val="006E1AD8"/>
    <w:rPr>
      <w:rFonts w:ascii="Arial" w:hAnsi="Arial"/>
      <w:sz w:val="22"/>
      <w:lang w:val="es-ES_tradnl"/>
    </w:rPr>
  </w:style>
  <w:style w:type="paragraph" w:customStyle="1" w:styleId="DecisionParagraphs">
    <w:name w:val="DecisionParagraphs"/>
    <w:basedOn w:val="Normal"/>
    <w:rsid w:val="00405FE5"/>
    <w:pPr>
      <w:tabs>
        <w:tab w:val="left" w:pos="5387"/>
      </w:tabs>
      <w:ind w:left="4820"/>
    </w:pPr>
    <w:rPr>
      <w:rFonts w:eastAsiaTheme="minorEastAsi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yperlink" Target="http://www.upov.int/pluto/en/"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9.xml"/></Relationships>
</file>

<file path=word/_rels/endnotes.xml.rels><?xml version="1.0" encoding="UTF-8" standalone="yes"?>
<Relationships xmlns="http://schemas.openxmlformats.org/package/2006/relationships"><Relationship Id="rId8" Type="http://schemas.openxmlformats.org/officeDocument/2006/relationships/hyperlink" Target="http://www.upov.int/edocs/mdocs/upov/en/upov_wg_den_1/upov_wg_den_1_6.pdf" TargetMode="External"/><Relationship Id="rId13" Type="http://schemas.openxmlformats.org/officeDocument/2006/relationships/hyperlink" Target="http://www.upov.int/edocs/mdocs/upov/en/upov_wg_den_1/upov_wg_den_1_6.pdf" TargetMode="External"/><Relationship Id="rId3" Type="http://schemas.openxmlformats.org/officeDocument/2006/relationships/hyperlink" Target="http://www.upov.int/edocs/mdocs/upov/en/upov_wg_den_1/upov_wg_den_1_6.pdf" TargetMode="External"/><Relationship Id="rId7" Type="http://schemas.openxmlformats.org/officeDocument/2006/relationships/hyperlink" Target="http://www.upov.int/edocs/mdocs/upov/en/upov_wg_den_1/upov_wg_den_1_6.pdf" TargetMode="External"/><Relationship Id="rId12" Type="http://schemas.openxmlformats.org/officeDocument/2006/relationships/hyperlink" Target="http://www.upov.int/edocs/mdocs/upov/en/upov_wg_den_1/upov_wg_den_1_6.pdf" TargetMode="External"/><Relationship Id="rId2" Type="http://schemas.openxmlformats.org/officeDocument/2006/relationships/hyperlink" Target="http://www.upov.int/edocs/mdocs/upov/en/upov_wg_den_1/upov_wg_den_1_6.pdf" TargetMode="External"/><Relationship Id="rId1" Type="http://schemas.openxmlformats.org/officeDocument/2006/relationships/hyperlink" Target="http://www.upov.int/edocs/mdocs/upov/en/upov_wg_den_1/upov_wg_den_1_6.pdf" TargetMode="External"/><Relationship Id="rId6" Type="http://schemas.openxmlformats.org/officeDocument/2006/relationships/hyperlink" Target="http://www.upov.int/edocs/mdocs/upov/en/upov_wg_den_1/upov_wg_den_1_6.pdf" TargetMode="External"/><Relationship Id="rId11" Type="http://schemas.openxmlformats.org/officeDocument/2006/relationships/hyperlink" Target="http://www.upov.int/edocs/mdocs/upov/en/upov_wg_den_1/upov_wg_den_1_6.pdf" TargetMode="External"/><Relationship Id="rId5" Type="http://schemas.openxmlformats.org/officeDocument/2006/relationships/hyperlink" Target="http://www.upov.int/edocs/mdocs/upov/en/upov_wg_den_1/upov_wg_den_1_6.pdf" TargetMode="External"/><Relationship Id="rId15" Type="http://schemas.openxmlformats.org/officeDocument/2006/relationships/hyperlink" Target="http://www.upov.int/edocs/mdocs/upov/en/upov_wg_den_1/upov_wg_den_1_6.pdf" TargetMode="External"/><Relationship Id="rId10" Type="http://schemas.openxmlformats.org/officeDocument/2006/relationships/hyperlink" Target="http://www.upov.int/edocs/mdocs/upov/en/upov_wg_den_1/upov_wg_den_1_6.pdf" TargetMode="External"/><Relationship Id="rId4" Type="http://schemas.openxmlformats.org/officeDocument/2006/relationships/hyperlink" Target="http://www.upov.int/edocs/mdocs/upov/en/upov_wg_den_1/upov_wg_den_1_6.pdf" TargetMode="External"/><Relationship Id="rId9" Type="http://schemas.openxmlformats.org/officeDocument/2006/relationships/hyperlink" Target="http://www.upov.int/edocs/mdocs/upov/en/upov_wg_den_1/upov_wg_den_1_6.pdf" TargetMode="External"/><Relationship Id="rId14" Type="http://schemas.openxmlformats.org/officeDocument/2006/relationships/hyperlink" Target="http://www.upov.int/edocs/mdocs/upov/en/upov_wg_den_1/upov_wg_den_1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AD96-B002-43E8-9F10-4EF7DEDC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template_INF_EN.dotx</Template>
  <TotalTime>33</TotalTime>
  <Pages>32</Pages>
  <Words>10697</Words>
  <Characters>59276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9</cp:revision>
  <cp:lastPrinted>2016-10-12T09:44:00Z</cp:lastPrinted>
  <dcterms:created xsi:type="dcterms:W3CDTF">2016-10-11T16:30:00Z</dcterms:created>
  <dcterms:modified xsi:type="dcterms:W3CDTF">2016-10-12T09:44:00Z</dcterms:modified>
</cp:coreProperties>
</file>