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eastAsia="ja-JP"/>
              </w:rPr>
              <w:drawing>
                <wp:inline distT="0" distB="0" distL="0" distR="0" wp14:anchorId="47FD26BC" wp14:editId="55C3D0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4A26D1" w:rsidP="00474DA4">
            <w:pPr>
              <w:pStyle w:val="Docoriginal"/>
              <w:jc w:val="left"/>
            </w:pPr>
            <w:r>
              <w:rPr>
                <w:rFonts w:hint="eastAsia"/>
                <w:lang w:eastAsia="ja-JP"/>
              </w:rPr>
              <w:t>UPOV/WG-DEN/1/</w:t>
            </w:r>
            <w:bookmarkStart w:id="0" w:name="Code"/>
            <w:bookmarkEnd w:id="0"/>
            <w:r w:rsidR="00774F2C">
              <w:rPr>
                <w:rFonts w:hint="eastAsia"/>
                <w:lang w:eastAsia="ja-JP"/>
              </w:rPr>
              <w:t>5</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5D17BF">
            <w:pPr>
              <w:pStyle w:val="Docoriginal"/>
              <w:jc w:val="left"/>
              <w:rPr>
                <w:b w:val="0"/>
                <w:spacing w:val="0"/>
                <w:highlight w:val="cyan"/>
                <w:lang w:eastAsia="ja-JP"/>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4232F3">
              <w:rPr>
                <w:rStyle w:val="StyleDocoriginalNotBold1"/>
                <w:rFonts w:hint="eastAsia"/>
                <w:spacing w:val="0"/>
                <w:lang w:eastAsia="ja-JP"/>
              </w:rPr>
              <w:t>March 3</w:t>
            </w:r>
            <w:r w:rsidR="00155F6F" w:rsidRPr="00265B83">
              <w:rPr>
                <w:rStyle w:val="StyleDocoriginalNotBold1"/>
                <w:spacing w:val="0"/>
              </w:rPr>
              <w:t>, 201</w:t>
            </w:r>
            <w:r w:rsidR="004A26D1">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4A26D1" w:rsidRPr="00C5280D" w:rsidRDefault="004A26D1" w:rsidP="004A26D1">
      <w:pPr>
        <w:pStyle w:val="Sessiontc"/>
      </w:pPr>
      <w:bookmarkStart w:id="3" w:name="TitleOfDoc"/>
      <w:bookmarkEnd w:id="3"/>
      <w:r w:rsidRPr="00C342A7">
        <w:rPr>
          <w:lang w:eastAsia="ja-JP"/>
        </w:rPr>
        <w:t xml:space="preserve">Working Group </w:t>
      </w:r>
      <w:r>
        <w:rPr>
          <w:rFonts w:hint="eastAsia"/>
          <w:lang w:eastAsia="ja-JP"/>
        </w:rPr>
        <w:t xml:space="preserve">on variety </w:t>
      </w:r>
      <w:r w:rsidRPr="00C342A7">
        <w:rPr>
          <w:lang w:eastAsia="ja-JP"/>
        </w:rPr>
        <w:t>Denomination</w:t>
      </w:r>
      <w:r w:rsidR="005D17BF">
        <w:rPr>
          <w:rFonts w:hint="eastAsia"/>
          <w:lang w:eastAsia="ja-JP"/>
        </w:rPr>
        <w:t>s</w:t>
      </w:r>
    </w:p>
    <w:p w:rsidR="004A26D1" w:rsidRDefault="004A26D1" w:rsidP="004A26D1">
      <w:pPr>
        <w:pStyle w:val="Sessiontcplacedate"/>
        <w:rPr>
          <w:lang w:eastAsia="ja-JP"/>
        </w:rPr>
      </w:pPr>
      <w:r>
        <w:rPr>
          <w:rFonts w:hint="eastAsia"/>
          <w:lang w:eastAsia="ja-JP"/>
        </w:rPr>
        <w:t>First</w:t>
      </w:r>
      <w:r>
        <w:t xml:space="preserve"> Meeting</w:t>
      </w:r>
      <w:r>
        <w:br/>
      </w:r>
      <w:r>
        <w:rPr>
          <w:rFonts w:cs="Arial" w:hint="eastAsia"/>
          <w:lang w:eastAsia="ja-JP"/>
        </w:rPr>
        <w:t>Geneva</w:t>
      </w:r>
      <w:r w:rsidRPr="00C5280D">
        <w:t>,</w:t>
      </w:r>
      <w:r>
        <w:t xml:space="preserve"> </w:t>
      </w:r>
      <w:r>
        <w:rPr>
          <w:rFonts w:hint="eastAsia"/>
          <w:lang w:eastAsia="ja-JP"/>
        </w:rPr>
        <w:t>March 18</w:t>
      </w:r>
      <w:r>
        <w:t>, 201</w:t>
      </w:r>
      <w:r>
        <w:rPr>
          <w:rFonts w:hint="eastAsia"/>
          <w:lang w:eastAsia="ja-JP"/>
        </w:rPr>
        <w:t>6</w:t>
      </w:r>
    </w:p>
    <w:p w:rsidR="000D7780" w:rsidRPr="00997029" w:rsidRDefault="00774F2C" w:rsidP="0080679D">
      <w:pPr>
        <w:pStyle w:val="Titleofdoc0"/>
        <w:rPr>
          <w:lang w:eastAsia="ja-JP"/>
        </w:rPr>
      </w:pPr>
      <w:r w:rsidRPr="00774F2C">
        <w:rPr>
          <w:kern w:val="28"/>
        </w:rPr>
        <w:t>NON-ACCEPTABLE TERMS</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774F2C" w:rsidRDefault="00774F2C" w:rsidP="00774F2C">
      <w:pPr>
        <w:pStyle w:val="Heading1"/>
        <w:rPr>
          <w:lang w:eastAsia="ja-JP"/>
        </w:rPr>
      </w:pPr>
      <w:bookmarkStart w:id="5" w:name="_Toc427161606"/>
      <w:bookmarkStart w:id="6" w:name="_Toc444267994"/>
      <w:bookmarkStart w:id="7" w:name="_Toc387757149"/>
      <w:bookmarkStart w:id="8" w:name="_Toc404931496"/>
      <w:bookmarkStart w:id="9" w:name="_Toc404931550"/>
      <w:bookmarkStart w:id="10" w:name="_Toc404931721"/>
      <w:bookmarkStart w:id="11" w:name="_Toc404932170"/>
      <w:bookmarkStart w:id="12" w:name="_Toc404935671"/>
      <w:bookmarkStart w:id="13" w:name="_Toc410717532"/>
      <w:bookmarkStart w:id="14" w:name="_Toc427161605"/>
      <w:r w:rsidRPr="00F349B3">
        <w:rPr>
          <w:rStyle w:val="Heading1Char"/>
        </w:rPr>
        <w:t>PURPOS</w:t>
      </w:r>
      <w:r>
        <w:t>E</w:t>
      </w:r>
      <w:bookmarkEnd w:id="5"/>
      <w:bookmarkEnd w:id="6"/>
      <w:r>
        <w:t xml:space="preserve"> </w:t>
      </w:r>
    </w:p>
    <w:p w:rsidR="00774F2C" w:rsidRPr="00F349B3" w:rsidRDefault="00774F2C" w:rsidP="00774F2C">
      <w:pPr>
        <w:rPr>
          <w:lang w:eastAsia="ja-JP"/>
        </w:rPr>
      </w:pPr>
    </w:p>
    <w:p w:rsidR="00774F2C" w:rsidRDefault="00774F2C" w:rsidP="00774F2C">
      <w:pPr>
        <w:rPr>
          <w:snapToGrid w:val="0"/>
          <w:highlight w:val="cyan"/>
          <w:lang w:eastAsia="ja-JP"/>
        </w:rPr>
      </w:pPr>
      <w:r w:rsidRPr="009B48EB">
        <w:fldChar w:fldCharType="begin"/>
      </w:r>
      <w:r w:rsidRPr="009B48EB">
        <w:instrText xml:space="preserve"> AUTONUM  </w:instrText>
      </w:r>
      <w:r w:rsidRPr="009B48EB">
        <w:fldChar w:fldCharType="end"/>
      </w:r>
      <w:r w:rsidRPr="009B48EB">
        <w:tab/>
      </w:r>
      <w:r w:rsidRPr="00774F2C">
        <w:rPr>
          <w:rFonts w:cs="Arial"/>
        </w:rPr>
        <w:t xml:space="preserve">The purpose of this document is to present proposals concerning a list of botanical names of genera and, in addition, a list of botanical and common names of genera that have a wider meaning, and concerning the feasibility of including a list of comparatives/superlatives as non-acceptable terms.  </w:t>
      </w:r>
    </w:p>
    <w:p w:rsidR="00774F2C" w:rsidRDefault="00774F2C" w:rsidP="009175FC">
      <w:pPr>
        <w:pStyle w:val="Heading1"/>
        <w:rPr>
          <w:lang w:eastAsia="ja-JP"/>
        </w:rPr>
      </w:pPr>
    </w:p>
    <w:p w:rsidR="00774F2C" w:rsidRDefault="00774F2C" w:rsidP="009175FC">
      <w:pPr>
        <w:pStyle w:val="Heading1"/>
        <w:rPr>
          <w:lang w:eastAsia="ja-JP"/>
        </w:rPr>
      </w:pPr>
    </w:p>
    <w:p w:rsidR="00B734CF" w:rsidRPr="00E10886" w:rsidRDefault="00B734CF" w:rsidP="009175FC">
      <w:pPr>
        <w:pStyle w:val="Heading1"/>
        <w:rPr>
          <w:lang w:eastAsia="ja-JP"/>
        </w:rPr>
      </w:pPr>
      <w:bookmarkStart w:id="15" w:name="_Toc444267995"/>
      <w:r w:rsidRPr="00E10886">
        <w:t>Executive summary</w:t>
      </w:r>
      <w:bookmarkEnd w:id="7"/>
      <w:bookmarkEnd w:id="8"/>
      <w:bookmarkEnd w:id="9"/>
      <w:bookmarkEnd w:id="10"/>
      <w:bookmarkEnd w:id="11"/>
      <w:bookmarkEnd w:id="12"/>
      <w:bookmarkEnd w:id="13"/>
      <w:bookmarkEnd w:id="14"/>
      <w:bookmarkEnd w:id="15"/>
    </w:p>
    <w:p w:rsidR="00B734CF" w:rsidRPr="00822A3B" w:rsidRDefault="00B734CF" w:rsidP="00B734CF"/>
    <w:p w:rsidR="008B5ED9" w:rsidRPr="008B5ED9" w:rsidRDefault="00B734CF" w:rsidP="008B5ED9">
      <w:pPr>
        <w:rPr>
          <w:iCs/>
          <w:spacing w:val="-4"/>
        </w:rPr>
      </w:pPr>
      <w:r w:rsidRPr="00CA3196">
        <w:fldChar w:fldCharType="begin"/>
      </w:r>
      <w:r w:rsidRPr="00CA3196">
        <w:instrText xml:space="preserve"> AUTONUM  </w:instrText>
      </w:r>
      <w:r w:rsidRPr="00CA3196">
        <w:fldChar w:fldCharType="end"/>
      </w:r>
      <w:r w:rsidRPr="00CA3196">
        <w:tab/>
      </w:r>
      <w:r w:rsidR="004610BC">
        <w:rPr>
          <w:iCs/>
          <w:spacing w:val="-4"/>
        </w:rPr>
        <w:t xml:space="preserve">The </w:t>
      </w:r>
      <w:r w:rsidR="004610BC">
        <w:rPr>
          <w:rFonts w:hint="eastAsia"/>
          <w:iCs/>
          <w:spacing w:val="-4"/>
          <w:lang w:eastAsia="ja-JP"/>
        </w:rPr>
        <w:t>WG-DEN</w:t>
      </w:r>
      <w:r w:rsidR="008B5ED9" w:rsidRPr="008B5ED9">
        <w:rPr>
          <w:iCs/>
          <w:spacing w:val="-4"/>
        </w:rPr>
        <w:t xml:space="preserve"> is invited to:</w:t>
      </w:r>
    </w:p>
    <w:p w:rsidR="008B5ED9" w:rsidRPr="008B5ED9" w:rsidRDefault="008B5ED9" w:rsidP="008B5ED9">
      <w:pPr>
        <w:rPr>
          <w:iCs/>
          <w:spacing w:val="-4"/>
        </w:rPr>
      </w:pPr>
    </w:p>
    <w:p w:rsidR="00651FF1" w:rsidRPr="00651FF1" w:rsidRDefault="0077424B" w:rsidP="00651FF1">
      <w:pPr>
        <w:rPr>
          <w:iCs/>
          <w:spacing w:val="-4"/>
        </w:rPr>
      </w:pPr>
      <w:r>
        <w:rPr>
          <w:iCs/>
          <w:spacing w:val="-4"/>
        </w:rPr>
        <w:tab/>
      </w:r>
      <w:r w:rsidR="00651FF1" w:rsidRPr="00651FF1">
        <w:rPr>
          <w:iCs/>
          <w:spacing w:val="-4"/>
        </w:rPr>
        <w:t>(</w:t>
      </w:r>
      <w:proofErr w:type="gramStart"/>
      <w:r w:rsidR="00651FF1" w:rsidRPr="00651FF1">
        <w:rPr>
          <w:iCs/>
          <w:spacing w:val="-4"/>
        </w:rPr>
        <w:t>a</w:t>
      </w:r>
      <w:proofErr w:type="gramEnd"/>
      <w:r w:rsidR="00651FF1" w:rsidRPr="00651FF1">
        <w:rPr>
          <w:iCs/>
          <w:spacing w:val="-4"/>
        </w:rPr>
        <w:t>)</w:t>
      </w:r>
      <w:r w:rsidR="00651FF1" w:rsidRPr="00651FF1">
        <w:rPr>
          <w:iCs/>
          <w:spacing w:val="-4"/>
        </w:rPr>
        <w:tab/>
        <w:t>note the developments reported in this document;</w:t>
      </w:r>
    </w:p>
    <w:p w:rsidR="00651FF1" w:rsidRPr="00651FF1" w:rsidRDefault="00651FF1" w:rsidP="00651FF1">
      <w:pPr>
        <w:rPr>
          <w:iCs/>
          <w:spacing w:val="-4"/>
        </w:rPr>
      </w:pPr>
    </w:p>
    <w:p w:rsidR="00651FF1" w:rsidRPr="00651FF1" w:rsidRDefault="00651FF1" w:rsidP="00651FF1">
      <w:pPr>
        <w:rPr>
          <w:iCs/>
          <w:spacing w:val="-4"/>
        </w:rPr>
      </w:pPr>
      <w:r w:rsidRPr="00651FF1">
        <w:rPr>
          <w:iCs/>
          <w:spacing w:val="-4"/>
        </w:rPr>
        <w:tab/>
        <w:t>(b)</w:t>
      </w:r>
      <w:r w:rsidRPr="00651FF1">
        <w:rPr>
          <w:iCs/>
          <w:spacing w:val="-4"/>
        </w:rPr>
        <w:tab/>
        <w:t>propose to defer a survey to create a list of botanical and common names of genera that have a wider meaning addressed to members of the Union until the development of a UPOV denomination similarity search tool nears completion;</w:t>
      </w:r>
      <w:r>
        <w:rPr>
          <w:rFonts w:hint="eastAsia"/>
          <w:iCs/>
          <w:spacing w:val="-4"/>
          <w:lang w:eastAsia="ja-JP"/>
        </w:rPr>
        <w:t xml:space="preserve"> </w:t>
      </w:r>
      <w:r w:rsidRPr="00651FF1">
        <w:rPr>
          <w:iCs/>
          <w:spacing w:val="-4"/>
        </w:rPr>
        <w:t>and</w:t>
      </w:r>
    </w:p>
    <w:p w:rsidR="00651FF1" w:rsidRPr="00651FF1" w:rsidRDefault="00651FF1" w:rsidP="00651FF1">
      <w:pPr>
        <w:rPr>
          <w:iCs/>
          <w:spacing w:val="-4"/>
        </w:rPr>
      </w:pPr>
    </w:p>
    <w:p w:rsidR="009175FC" w:rsidRDefault="00651FF1" w:rsidP="00651FF1">
      <w:pPr>
        <w:rPr>
          <w:rFonts w:cs="Arial"/>
          <w:snapToGrid w:val="0"/>
          <w:lang w:eastAsia="ja-JP"/>
        </w:rPr>
      </w:pPr>
      <w:r w:rsidRPr="00651FF1">
        <w:rPr>
          <w:iCs/>
          <w:spacing w:val="-4"/>
        </w:rPr>
        <w:tab/>
        <w:t>(c)</w:t>
      </w:r>
      <w:r w:rsidRPr="00651FF1">
        <w:rPr>
          <w:iCs/>
          <w:spacing w:val="-4"/>
        </w:rPr>
        <w:tab/>
      </w:r>
      <w:proofErr w:type="gramStart"/>
      <w:r w:rsidRPr="00651FF1">
        <w:rPr>
          <w:iCs/>
          <w:spacing w:val="-4"/>
        </w:rPr>
        <w:t>consider</w:t>
      </w:r>
      <w:proofErr w:type="gramEnd"/>
      <w:r w:rsidRPr="00651FF1">
        <w:rPr>
          <w:iCs/>
          <w:spacing w:val="-4"/>
        </w:rPr>
        <w:t xml:space="preserve"> whether to investigate further the availability of a list of common comparatives/superlatives.</w:t>
      </w:r>
    </w:p>
    <w:p w:rsidR="00E129F7" w:rsidRDefault="00E129F7">
      <w:pPr>
        <w:jc w:val="left"/>
        <w:rPr>
          <w:rFonts w:cs="Arial"/>
          <w:snapToGrid w:val="0"/>
          <w:lang w:eastAsia="ja-JP"/>
        </w:rPr>
      </w:pPr>
    </w:p>
    <w:p w:rsidR="00E129F7" w:rsidRDefault="00E129F7">
      <w:pPr>
        <w:jc w:val="left"/>
        <w:rPr>
          <w:rFonts w:cs="Arial"/>
          <w:snapToGrid w:val="0"/>
          <w:lang w:eastAsia="ja-JP"/>
        </w:rPr>
      </w:pPr>
    </w:p>
    <w:p w:rsidR="00B734CF" w:rsidRDefault="00B734CF" w:rsidP="00B734CF">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734CF" w:rsidRDefault="00B734CF" w:rsidP="00B734CF">
      <w:pPr>
        <w:keepNext/>
        <w:rPr>
          <w:rFonts w:cs="Arial"/>
          <w:snapToGrid w:val="0"/>
          <w:lang w:eastAsia="ja-JP"/>
        </w:rPr>
      </w:pPr>
    </w:p>
    <w:p w:rsidR="008D4E83" w:rsidRDefault="00B734CF">
      <w:pPr>
        <w:pStyle w:val="TOC1"/>
        <w:rPr>
          <w:rFonts w:asciiTheme="minorHAnsi" w:hAnsiTheme="minorHAnsi" w:cstheme="minorBidi"/>
          <w:caps w:val="0"/>
          <w:sz w:val="22"/>
          <w:szCs w:val="22"/>
          <w:lang w:eastAsia="ja-JP"/>
        </w:rPr>
      </w:pPr>
      <w:r>
        <w:rPr>
          <w:rFonts w:cs="Arial"/>
          <w:bCs/>
          <w:noProof w:val="0"/>
          <w:snapToGrid w:val="0"/>
          <w:sz w:val="18"/>
        </w:rPr>
        <w:fldChar w:fldCharType="begin"/>
      </w:r>
      <w:r>
        <w:rPr>
          <w:rFonts w:cs="Arial"/>
          <w:bCs/>
          <w:snapToGrid w:val="0"/>
          <w:sz w:val="18"/>
        </w:rPr>
        <w:instrText xml:space="preserve"> TOC \o "1-3" \h \z \u </w:instrText>
      </w:r>
      <w:r>
        <w:rPr>
          <w:rFonts w:cs="Arial"/>
          <w:bCs/>
          <w:noProof w:val="0"/>
          <w:snapToGrid w:val="0"/>
          <w:sz w:val="18"/>
        </w:rPr>
        <w:fldChar w:fldCharType="separate"/>
      </w:r>
      <w:hyperlink w:anchor="_Toc444267994" w:history="1">
        <w:r w:rsidR="008D4E83" w:rsidRPr="007859AB">
          <w:rPr>
            <w:rStyle w:val="Hyperlink"/>
          </w:rPr>
          <w:t>PURPOSE</w:t>
        </w:r>
        <w:r w:rsidR="008D4E83">
          <w:rPr>
            <w:webHidden/>
          </w:rPr>
          <w:tab/>
        </w:r>
        <w:r w:rsidR="008D4E83">
          <w:rPr>
            <w:webHidden/>
          </w:rPr>
          <w:fldChar w:fldCharType="begin"/>
        </w:r>
        <w:r w:rsidR="008D4E83">
          <w:rPr>
            <w:webHidden/>
          </w:rPr>
          <w:instrText xml:space="preserve"> PAGEREF _Toc444267994 \h </w:instrText>
        </w:r>
        <w:r w:rsidR="008D4E83">
          <w:rPr>
            <w:webHidden/>
          </w:rPr>
        </w:r>
        <w:r w:rsidR="008D4E83">
          <w:rPr>
            <w:webHidden/>
          </w:rPr>
          <w:fldChar w:fldCharType="separate"/>
        </w:r>
        <w:r w:rsidR="00C10AEE">
          <w:rPr>
            <w:webHidden/>
          </w:rPr>
          <w:t>1</w:t>
        </w:r>
        <w:r w:rsidR="008D4E83">
          <w:rPr>
            <w:webHidden/>
          </w:rPr>
          <w:fldChar w:fldCharType="end"/>
        </w:r>
      </w:hyperlink>
    </w:p>
    <w:p w:rsidR="008D4E83" w:rsidRDefault="00C10AEE">
      <w:pPr>
        <w:pStyle w:val="TOC1"/>
        <w:rPr>
          <w:rFonts w:asciiTheme="minorHAnsi" w:hAnsiTheme="minorHAnsi" w:cstheme="minorBidi"/>
          <w:caps w:val="0"/>
          <w:sz w:val="22"/>
          <w:szCs w:val="22"/>
          <w:lang w:eastAsia="ja-JP"/>
        </w:rPr>
      </w:pPr>
      <w:hyperlink w:anchor="_Toc444267995" w:history="1">
        <w:r w:rsidR="008D4E83" w:rsidRPr="007859AB">
          <w:rPr>
            <w:rStyle w:val="Hyperlink"/>
          </w:rPr>
          <w:t>Executive summary</w:t>
        </w:r>
        <w:r w:rsidR="008D4E83">
          <w:rPr>
            <w:webHidden/>
          </w:rPr>
          <w:tab/>
        </w:r>
        <w:r w:rsidR="008D4E83">
          <w:rPr>
            <w:webHidden/>
          </w:rPr>
          <w:fldChar w:fldCharType="begin"/>
        </w:r>
        <w:r w:rsidR="008D4E83">
          <w:rPr>
            <w:webHidden/>
          </w:rPr>
          <w:instrText xml:space="preserve"> PAGEREF _Toc444267995 \h </w:instrText>
        </w:r>
        <w:r w:rsidR="008D4E83">
          <w:rPr>
            <w:webHidden/>
          </w:rPr>
        </w:r>
        <w:r w:rsidR="008D4E83">
          <w:rPr>
            <w:webHidden/>
          </w:rPr>
          <w:fldChar w:fldCharType="separate"/>
        </w:r>
        <w:r>
          <w:rPr>
            <w:webHidden/>
          </w:rPr>
          <w:t>1</w:t>
        </w:r>
        <w:r w:rsidR="008D4E83">
          <w:rPr>
            <w:webHidden/>
          </w:rPr>
          <w:fldChar w:fldCharType="end"/>
        </w:r>
      </w:hyperlink>
    </w:p>
    <w:p w:rsidR="008D4E83" w:rsidRDefault="00C10AEE">
      <w:pPr>
        <w:pStyle w:val="TOC1"/>
        <w:rPr>
          <w:rFonts w:asciiTheme="minorHAnsi" w:hAnsiTheme="minorHAnsi" w:cstheme="minorBidi"/>
          <w:caps w:val="0"/>
          <w:sz w:val="22"/>
          <w:szCs w:val="22"/>
          <w:lang w:eastAsia="ja-JP"/>
        </w:rPr>
      </w:pPr>
      <w:hyperlink w:anchor="_Toc444267996" w:history="1">
        <w:r w:rsidR="008D4E83" w:rsidRPr="007859AB">
          <w:rPr>
            <w:rStyle w:val="Hyperlink"/>
          </w:rPr>
          <w:t>Botanical names</w:t>
        </w:r>
        <w:r w:rsidR="008D4E83">
          <w:rPr>
            <w:webHidden/>
          </w:rPr>
          <w:tab/>
        </w:r>
        <w:r w:rsidR="008D4E83">
          <w:rPr>
            <w:webHidden/>
          </w:rPr>
          <w:fldChar w:fldCharType="begin"/>
        </w:r>
        <w:r w:rsidR="008D4E83">
          <w:rPr>
            <w:webHidden/>
          </w:rPr>
          <w:instrText xml:space="preserve"> PAGEREF _Toc444267996 \h </w:instrText>
        </w:r>
        <w:r w:rsidR="008D4E83">
          <w:rPr>
            <w:webHidden/>
          </w:rPr>
        </w:r>
        <w:r w:rsidR="008D4E83">
          <w:rPr>
            <w:webHidden/>
          </w:rPr>
          <w:fldChar w:fldCharType="separate"/>
        </w:r>
        <w:r>
          <w:rPr>
            <w:webHidden/>
          </w:rPr>
          <w:t>2</w:t>
        </w:r>
        <w:r w:rsidR="008D4E83">
          <w:rPr>
            <w:webHidden/>
          </w:rPr>
          <w:fldChar w:fldCharType="end"/>
        </w:r>
      </w:hyperlink>
    </w:p>
    <w:p w:rsidR="008D4E83" w:rsidRDefault="00C10AEE">
      <w:pPr>
        <w:pStyle w:val="TOC1"/>
        <w:rPr>
          <w:rFonts w:asciiTheme="minorHAnsi" w:hAnsiTheme="minorHAnsi" w:cstheme="minorBidi"/>
          <w:caps w:val="0"/>
          <w:sz w:val="22"/>
          <w:szCs w:val="22"/>
          <w:lang w:eastAsia="ja-JP"/>
        </w:rPr>
      </w:pPr>
      <w:hyperlink w:anchor="_Toc444267997" w:history="1">
        <w:r w:rsidR="008D4E83" w:rsidRPr="007859AB">
          <w:rPr>
            <w:rStyle w:val="Hyperlink"/>
            <w:lang w:eastAsia="ja-JP"/>
          </w:rPr>
          <w:t>Offensive terms</w:t>
        </w:r>
        <w:r w:rsidR="008D4E83">
          <w:rPr>
            <w:webHidden/>
          </w:rPr>
          <w:tab/>
        </w:r>
        <w:r w:rsidR="008D4E83">
          <w:rPr>
            <w:webHidden/>
          </w:rPr>
          <w:fldChar w:fldCharType="begin"/>
        </w:r>
        <w:r w:rsidR="008D4E83">
          <w:rPr>
            <w:webHidden/>
          </w:rPr>
          <w:instrText xml:space="preserve"> PAGEREF _Toc444267997 \h </w:instrText>
        </w:r>
        <w:r w:rsidR="008D4E83">
          <w:rPr>
            <w:webHidden/>
          </w:rPr>
        </w:r>
        <w:r w:rsidR="008D4E83">
          <w:rPr>
            <w:webHidden/>
          </w:rPr>
          <w:fldChar w:fldCharType="separate"/>
        </w:r>
        <w:r>
          <w:rPr>
            <w:webHidden/>
          </w:rPr>
          <w:t>2</w:t>
        </w:r>
        <w:r w:rsidR="008D4E83">
          <w:rPr>
            <w:webHidden/>
          </w:rPr>
          <w:fldChar w:fldCharType="end"/>
        </w:r>
      </w:hyperlink>
    </w:p>
    <w:p w:rsidR="008D4E83" w:rsidRDefault="00C10AEE">
      <w:pPr>
        <w:pStyle w:val="TOC1"/>
        <w:rPr>
          <w:rFonts w:asciiTheme="minorHAnsi" w:hAnsiTheme="minorHAnsi" w:cstheme="minorBidi"/>
          <w:caps w:val="0"/>
          <w:sz w:val="22"/>
          <w:szCs w:val="22"/>
          <w:lang w:eastAsia="ja-JP"/>
        </w:rPr>
      </w:pPr>
      <w:hyperlink w:anchor="_Toc444267998" w:history="1">
        <w:r w:rsidR="008D4E83" w:rsidRPr="007859AB">
          <w:rPr>
            <w:rStyle w:val="Hyperlink"/>
            <w:lang w:eastAsia="ja-JP"/>
          </w:rPr>
          <w:t>Comparatives and superlatives</w:t>
        </w:r>
        <w:r w:rsidR="008D4E83">
          <w:rPr>
            <w:webHidden/>
          </w:rPr>
          <w:tab/>
        </w:r>
        <w:r w:rsidR="008D4E83">
          <w:rPr>
            <w:webHidden/>
          </w:rPr>
          <w:fldChar w:fldCharType="begin"/>
        </w:r>
        <w:r w:rsidR="008D4E83">
          <w:rPr>
            <w:webHidden/>
          </w:rPr>
          <w:instrText xml:space="preserve"> PAGEREF _Toc444267998 \h </w:instrText>
        </w:r>
        <w:r w:rsidR="008D4E83">
          <w:rPr>
            <w:webHidden/>
          </w:rPr>
        </w:r>
        <w:r w:rsidR="008D4E83">
          <w:rPr>
            <w:webHidden/>
          </w:rPr>
          <w:fldChar w:fldCharType="separate"/>
        </w:r>
        <w:r>
          <w:rPr>
            <w:webHidden/>
          </w:rPr>
          <w:t>2</w:t>
        </w:r>
        <w:r w:rsidR="008D4E83">
          <w:rPr>
            <w:webHidden/>
          </w:rPr>
          <w:fldChar w:fldCharType="end"/>
        </w:r>
      </w:hyperlink>
    </w:p>
    <w:p w:rsidR="008D4E83" w:rsidRDefault="00C10AEE">
      <w:pPr>
        <w:pStyle w:val="TOC1"/>
        <w:rPr>
          <w:rFonts w:asciiTheme="minorHAnsi" w:hAnsiTheme="minorHAnsi" w:cstheme="minorBidi"/>
          <w:caps w:val="0"/>
          <w:sz w:val="22"/>
          <w:szCs w:val="22"/>
          <w:lang w:eastAsia="ja-JP"/>
        </w:rPr>
      </w:pPr>
      <w:hyperlink w:anchor="_Toc444267999" w:history="1">
        <w:r w:rsidR="008D4E83" w:rsidRPr="007859AB">
          <w:rPr>
            <w:rStyle w:val="Hyperlink"/>
            <w:lang w:eastAsia="ja-JP"/>
          </w:rPr>
          <w:t>Use of Figures where this is not an Established Practice</w:t>
        </w:r>
        <w:r w:rsidR="008D4E83">
          <w:rPr>
            <w:webHidden/>
          </w:rPr>
          <w:tab/>
        </w:r>
        <w:r w:rsidR="008D4E83">
          <w:rPr>
            <w:webHidden/>
          </w:rPr>
          <w:fldChar w:fldCharType="begin"/>
        </w:r>
        <w:r w:rsidR="008D4E83">
          <w:rPr>
            <w:webHidden/>
          </w:rPr>
          <w:instrText xml:space="preserve"> PAGEREF _Toc444267999 \h </w:instrText>
        </w:r>
        <w:r w:rsidR="008D4E83">
          <w:rPr>
            <w:webHidden/>
          </w:rPr>
        </w:r>
        <w:r w:rsidR="008D4E83">
          <w:rPr>
            <w:webHidden/>
          </w:rPr>
          <w:fldChar w:fldCharType="separate"/>
        </w:r>
        <w:r>
          <w:rPr>
            <w:webHidden/>
          </w:rPr>
          <w:t>3</w:t>
        </w:r>
        <w:r w:rsidR="008D4E83">
          <w:rPr>
            <w:webHidden/>
          </w:rPr>
          <w:fldChar w:fldCharType="end"/>
        </w:r>
      </w:hyperlink>
    </w:p>
    <w:p w:rsidR="002A5BE3" w:rsidRPr="002A5BE3" w:rsidRDefault="00B734CF" w:rsidP="00E129F7">
      <w:pPr>
        <w:pStyle w:val="Heading1"/>
        <w:rPr>
          <w:lang w:eastAsia="ja-JP"/>
        </w:rPr>
      </w:pPr>
      <w:r>
        <w:rPr>
          <w:noProof/>
          <w:snapToGrid w:val="0"/>
        </w:rPr>
        <w:fldChar w:fldCharType="end"/>
      </w:r>
    </w:p>
    <w:p w:rsidR="00B734CF" w:rsidRPr="009B48EB" w:rsidRDefault="00B734CF" w:rsidP="00B734CF">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4A34E0" w:rsidRPr="00822A3B" w:rsidRDefault="004A34E0" w:rsidP="004A34E0">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F73F12" w:rsidRDefault="00F73F12" w:rsidP="009175FC">
      <w:pPr>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84CEA" w:rsidRDefault="00884CEA" w:rsidP="00884CEA">
      <w:pPr>
        <w:rPr>
          <w:rFonts w:cs="Arial"/>
          <w:szCs w:val="24"/>
          <w:lang w:eastAsia="ja-JP"/>
        </w:rPr>
      </w:pPr>
    </w:p>
    <w:p w:rsidR="00774F2C" w:rsidRPr="00774F2C" w:rsidRDefault="00774F2C" w:rsidP="00774F2C">
      <w:pPr>
        <w:rPr>
          <w:lang w:eastAsia="ja-JP"/>
        </w:rPr>
      </w:pPr>
    </w:p>
    <w:p w:rsidR="00774F2C" w:rsidRPr="00774F2C" w:rsidRDefault="00774F2C" w:rsidP="00774F2C">
      <w:pPr>
        <w:keepNext/>
        <w:jc w:val="left"/>
        <w:outlineLvl w:val="0"/>
        <w:rPr>
          <w:caps/>
        </w:rPr>
      </w:pPr>
      <w:bookmarkStart w:id="16" w:name="_Toc442113038"/>
      <w:bookmarkStart w:id="17" w:name="_Toc444267996"/>
      <w:r w:rsidRPr="00774F2C">
        <w:rPr>
          <w:caps/>
        </w:rPr>
        <w:t>Botanical names</w:t>
      </w:r>
      <w:bookmarkEnd w:id="16"/>
      <w:bookmarkEnd w:id="17"/>
    </w:p>
    <w:p w:rsidR="00774F2C" w:rsidRDefault="00774F2C" w:rsidP="00774F2C">
      <w:pPr>
        <w:tabs>
          <w:tab w:val="left" w:pos="960"/>
        </w:tabs>
        <w:autoSpaceDE w:val="0"/>
        <w:autoSpaceDN w:val="0"/>
        <w:adjustRightInd w:val="0"/>
        <w:rPr>
          <w:lang w:eastAsia="ja-JP"/>
        </w:rPr>
      </w:pPr>
    </w:p>
    <w:p w:rsidR="005D17BF" w:rsidRDefault="005D17BF" w:rsidP="005D17BF">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Pr>
          <w:rFonts w:hint="eastAsia"/>
          <w:lang w:eastAsia="ja-JP"/>
        </w:rPr>
        <w:tab/>
        <w:t xml:space="preserve">The background to this matter is provided in document CAJ/72/3 </w:t>
      </w:r>
      <w:r>
        <w:rPr>
          <w:lang w:eastAsia="ja-JP"/>
        </w:rPr>
        <w:t>“</w:t>
      </w:r>
      <w:r>
        <w:rPr>
          <w:rFonts w:hint="eastAsia"/>
          <w:lang w:eastAsia="ja-JP"/>
        </w:rPr>
        <w:t>Variety Denominations</w:t>
      </w:r>
      <w:r>
        <w:rPr>
          <w:lang w:eastAsia="ja-JP"/>
        </w:rPr>
        <w:t>”</w:t>
      </w:r>
      <w:r>
        <w:rPr>
          <w:rFonts w:hint="eastAsia"/>
          <w:lang w:eastAsia="ja-JP"/>
        </w:rPr>
        <w:t>.</w:t>
      </w:r>
    </w:p>
    <w:p w:rsidR="005D17BF" w:rsidRPr="00774F2C" w:rsidRDefault="005D17BF" w:rsidP="00774F2C">
      <w:pPr>
        <w:tabs>
          <w:tab w:val="left" w:pos="960"/>
        </w:tabs>
        <w:autoSpaceDE w:val="0"/>
        <w:autoSpaceDN w:val="0"/>
        <w:adjustRightInd w:val="0"/>
        <w:rPr>
          <w:lang w:eastAsia="ja-JP"/>
        </w:rPr>
      </w:pPr>
    </w:p>
    <w:p w:rsidR="00774F2C" w:rsidRPr="00774F2C" w:rsidRDefault="00774F2C" w:rsidP="00774F2C">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sidRPr="00774F2C">
        <w:tab/>
      </w:r>
      <w:r w:rsidRPr="00774F2C">
        <w:rPr>
          <w:rFonts w:hint="eastAsia"/>
          <w:lang w:eastAsia="ja-JP"/>
        </w:rPr>
        <w:t xml:space="preserve">The WG-DST, at its third meeting, held in Geneva, on October 2, 2015, agreed that </w:t>
      </w:r>
      <w:r w:rsidRPr="00774F2C">
        <w:rPr>
          <w:lang w:eastAsia="ja-JP"/>
        </w:rPr>
        <w:t>it would be useful to develop a list of botanical names of genera and, in addition, a list of botanical and common names of genera that have a wider meaning through a survey addressed to members of the Union</w:t>
      </w:r>
      <w:r w:rsidR="00754431">
        <w:rPr>
          <w:rFonts w:hint="eastAsia"/>
          <w:lang w:eastAsia="ja-JP"/>
        </w:rPr>
        <w:t xml:space="preserve"> (see document UPOV/WG-DST/3/6 </w:t>
      </w:r>
      <w:r w:rsidR="00754431">
        <w:rPr>
          <w:lang w:eastAsia="ja-JP"/>
        </w:rPr>
        <w:t>“</w:t>
      </w:r>
      <w:r w:rsidR="00754431">
        <w:rPr>
          <w:rFonts w:hint="eastAsia"/>
          <w:lang w:eastAsia="ja-JP"/>
        </w:rPr>
        <w:t>Report</w:t>
      </w:r>
      <w:r w:rsidR="00754431">
        <w:rPr>
          <w:lang w:eastAsia="ja-JP"/>
        </w:rPr>
        <w:t>”</w:t>
      </w:r>
      <w:r w:rsidR="00754431">
        <w:rPr>
          <w:rFonts w:hint="eastAsia"/>
          <w:lang w:eastAsia="ja-JP"/>
        </w:rPr>
        <w:t>, paragraph 11)</w:t>
      </w:r>
      <w:r w:rsidRPr="00774F2C">
        <w:rPr>
          <w:lang w:eastAsia="ja-JP"/>
        </w:rPr>
        <w:t>.</w:t>
      </w:r>
    </w:p>
    <w:p w:rsidR="00774F2C" w:rsidRPr="00774F2C" w:rsidRDefault="00774F2C" w:rsidP="00774F2C">
      <w:pPr>
        <w:tabs>
          <w:tab w:val="left" w:pos="540"/>
        </w:tabs>
        <w:autoSpaceDE w:val="0"/>
        <w:autoSpaceDN w:val="0"/>
        <w:adjustRightInd w:val="0"/>
        <w:rPr>
          <w:lang w:eastAsia="ja-JP"/>
        </w:rPr>
      </w:pPr>
    </w:p>
    <w:p w:rsidR="00774F2C" w:rsidRPr="00774F2C" w:rsidRDefault="00774F2C" w:rsidP="00774F2C">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sidRPr="00774F2C">
        <w:rPr>
          <w:rFonts w:hint="eastAsia"/>
          <w:lang w:eastAsia="ja-JP"/>
        </w:rPr>
        <w:tab/>
      </w:r>
      <w:r w:rsidRPr="00774F2C">
        <w:t xml:space="preserve">In the case of common names, </w:t>
      </w:r>
      <w:r w:rsidRPr="00774F2C">
        <w:rPr>
          <w:rFonts w:hint="eastAsia"/>
          <w:lang w:eastAsia="ja-JP"/>
        </w:rPr>
        <w:t>the WG-DST, at its third meeting,</w:t>
      </w:r>
      <w:r w:rsidRPr="00774F2C">
        <w:t xml:space="preserve"> agreed that it would be necessary to restrict the common names, perhaps to those in the GENIE database and for selected crops/species only</w:t>
      </w:r>
      <w:r w:rsidR="00754431">
        <w:rPr>
          <w:rFonts w:hint="eastAsia"/>
          <w:lang w:eastAsia="ja-JP"/>
        </w:rPr>
        <w:t xml:space="preserve"> (see document UPOV/WG-DST/3/6 </w:t>
      </w:r>
      <w:r w:rsidR="00754431">
        <w:rPr>
          <w:lang w:eastAsia="ja-JP"/>
        </w:rPr>
        <w:t>“</w:t>
      </w:r>
      <w:r w:rsidR="00754431">
        <w:rPr>
          <w:rFonts w:hint="eastAsia"/>
          <w:lang w:eastAsia="ja-JP"/>
        </w:rPr>
        <w:t>Report</w:t>
      </w:r>
      <w:r w:rsidR="00754431">
        <w:rPr>
          <w:lang w:eastAsia="ja-JP"/>
        </w:rPr>
        <w:t>”</w:t>
      </w:r>
      <w:r w:rsidR="00754431">
        <w:rPr>
          <w:rFonts w:hint="eastAsia"/>
          <w:lang w:eastAsia="ja-JP"/>
        </w:rPr>
        <w:t>, paragraph 12)</w:t>
      </w:r>
      <w:r w:rsidRPr="00774F2C">
        <w:rPr>
          <w:rFonts w:hint="eastAsia"/>
          <w:lang w:eastAsia="ja-JP"/>
        </w:rPr>
        <w:t>.</w:t>
      </w:r>
    </w:p>
    <w:p w:rsidR="00774F2C" w:rsidRPr="00774F2C" w:rsidRDefault="00774F2C" w:rsidP="00774F2C">
      <w:pPr>
        <w:tabs>
          <w:tab w:val="left" w:pos="960"/>
        </w:tabs>
        <w:autoSpaceDE w:val="0"/>
        <w:autoSpaceDN w:val="0"/>
        <w:adjustRightInd w:val="0"/>
        <w:rPr>
          <w:lang w:eastAsia="ja-JP"/>
        </w:rPr>
      </w:pPr>
    </w:p>
    <w:p w:rsidR="00774F2C" w:rsidRPr="00774F2C" w:rsidRDefault="00774F2C" w:rsidP="00774F2C">
      <w:pPr>
        <w:rPr>
          <w:snapToGrid w:val="0"/>
          <w:lang w:eastAsia="ja-JP"/>
        </w:rPr>
      </w:pPr>
      <w:r w:rsidRPr="00774F2C">
        <w:rPr>
          <w:snapToGrid w:val="0"/>
          <w:lang w:eastAsia="ja-JP"/>
        </w:rPr>
        <w:fldChar w:fldCharType="begin"/>
      </w:r>
      <w:r w:rsidRPr="00774F2C">
        <w:rPr>
          <w:snapToGrid w:val="0"/>
          <w:lang w:eastAsia="ja-JP"/>
        </w:rPr>
        <w:instrText xml:space="preserve"> AUTONUM  </w:instrText>
      </w:r>
      <w:r w:rsidRPr="00774F2C">
        <w:rPr>
          <w:snapToGrid w:val="0"/>
          <w:lang w:eastAsia="ja-JP"/>
        </w:rPr>
        <w:fldChar w:fldCharType="end"/>
      </w:r>
      <w:r w:rsidRPr="00774F2C">
        <w:rPr>
          <w:snapToGrid w:val="0"/>
          <w:lang w:eastAsia="ja-JP"/>
        </w:rPr>
        <w:tab/>
        <w:t>The CAJ</w:t>
      </w:r>
      <w:r w:rsidRPr="00774F2C">
        <w:rPr>
          <w:rFonts w:hint="eastAsia"/>
          <w:snapToGrid w:val="0"/>
          <w:lang w:eastAsia="ja-JP"/>
        </w:rPr>
        <w:t>, at its seventy-second session, held in Geneva, on October 26 and 27, 2015,</w:t>
      </w:r>
      <w:r w:rsidRPr="00774F2C">
        <w:rPr>
          <w:snapToGrid w:val="0"/>
          <w:lang w:eastAsia="ja-JP"/>
        </w:rPr>
        <w:t xml:space="preserve"> noted the oral report by the Vice Secretary</w:t>
      </w:r>
      <w:r w:rsidRPr="00774F2C">
        <w:rPr>
          <w:snapToGrid w:val="0"/>
          <w:lang w:eastAsia="ja-JP"/>
        </w:rPr>
        <w:noBreakHyphen/>
        <w:t>General</w:t>
      </w:r>
      <w:r w:rsidRPr="00774F2C">
        <w:rPr>
          <w:rFonts w:hint="eastAsia"/>
          <w:snapToGrid w:val="0"/>
          <w:lang w:eastAsia="ja-JP"/>
        </w:rPr>
        <w:t xml:space="preserve"> that, at its</w:t>
      </w:r>
      <w:r w:rsidRPr="00774F2C">
        <w:rPr>
          <w:snapToGrid w:val="0"/>
          <w:lang w:eastAsia="ja-JP"/>
        </w:rPr>
        <w:t xml:space="preserve"> third meeting of the WG-DST, held in Geneva on October 2, 2015</w:t>
      </w:r>
      <w:r w:rsidRPr="00774F2C">
        <w:rPr>
          <w:rFonts w:hint="eastAsia"/>
          <w:snapToGrid w:val="0"/>
          <w:lang w:eastAsia="ja-JP"/>
        </w:rPr>
        <w:t>, the WG-DST, w</w:t>
      </w:r>
      <w:r w:rsidRPr="00774F2C">
        <w:t xml:space="preserve">ith regard to non-acceptable terms, </w:t>
      </w:r>
      <w:r w:rsidRPr="00774F2C">
        <w:rPr>
          <w:rFonts w:hint="eastAsia"/>
          <w:lang w:eastAsia="ja-JP"/>
        </w:rPr>
        <w:t xml:space="preserve">had </w:t>
      </w:r>
      <w:r w:rsidRPr="00774F2C">
        <w:t>proposed to consider botanical and common names as non-acceptable terms.  In the case of common names, it had agreed that it would be necessary to restrict the common names, perhaps to those in the GENIE database and for selected crops/species only</w:t>
      </w:r>
      <w:r w:rsidRPr="00774F2C">
        <w:rPr>
          <w:rFonts w:hint="eastAsia"/>
          <w:snapToGrid w:val="0"/>
          <w:lang w:eastAsia="ja-JP"/>
        </w:rPr>
        <w:t xml:space="preserve"> (see document CAJ/72/9 </w:t>
      </w:r>
      <w:r w:rsidRPr="00774F2C">
        <w:rPr>
          <w:snapToGrid w:val="0"/>
          <w:lang w:eastAsia="ja-JP"/>
        </w:rPr>
        <w:t>“</w:t>
      </w:r>
      <w:r w:rsidRPr="00774F2C">
        <w:rPr>
          <w:rFonts w:hint="eastAsia"/>
          <w:snapToGrid w:val="0"/>
          <w:lang w:eastAsia="ja-JP"/>
        </w:rPr>
        <w:t>Report on the Conclusions</w:t>
      </w:r>
      <w:r w:rsidRPr="00774F2C">
        <w:rPr>
          <w:snapToGrid w:val="0"/>
          <w:lang w:eastAsia="ja-JP"/>
        </w:rPr>
        <w:t>”</w:t>
      </w:r>
      <w:r w:rsidRPr="00774F2C">
        <w:rPr>
          <w:rFonts w:hint="eastAsia"/>
          <w:snapToGrid w:val="0"/>
          <w:lang w:eastAsia="ja-JP"/>
        </w:rPr>
        <w:t>, paragraph 22).</w:t>
      </w:r>
    </w:p>
    <w:p w:rsidR="00774F2C" w:rsidRDefault="00774F2C" w:rsidP="00774F2C">
      <w:pPr>
        <w:rPr>
          <w:lang w:eastAsia="ja-JP"/>
        </w:rPr>
      </w:pPr>
    </w:p>
    <w:p w:rsidR="00C05087" w:rsidRDefault="00C05087" w:rsidP="00C05087">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at its forth meeting, held in Geneva, on February 4, agreed </w:t>
      </w:r>
      <w:r w:rsidRPr="005708BA">
        <w:rPr>
          <w:lang w:eastAsia="ja-JP"/>
        </w:rPr>
        <w:t xml:space="preserve">to defer a survey </w:t>
      </w:r>
      <w:r>
        <w:rPr>
          <w:lang w:eastAsia="ja-JP"/>
        </w:rPr>
        <w:t>to create</w:t>
      </w:r>
      <w:r w:rsidRPr="0082044D">
        <w:rPr>
          <w:lang w:eastAsia="ja-JP"/>
        </w:rPr>
        <w:t xml:space="preserve"> a list of botanical and common names of genera that have a wider meaning</w:t>
      </w:r>
      <w:r>
        <w:rPr>
          <w:lang w:eastAsia="ja-JP"/>
        </w:rPr>
        <w:t xml:space="preserve"> </w:t>
      </w:r>
      <w:r w:rsidRPr="005708BA">
        <w:rPr>
          <w:lang w:eastAsia="ja-JP"/>
        </w:rPr>
        <w:t>addressed to members of the Union until the development of a UPOV denomination similarity search tool nears</w:t>
      </w:r>
      <w:r>
        <w:rPr>
          <w:rFonts w:hint="eastAsia"/>
          <w:lang w:eastAsia="ja-JP"/>
        </w:rPr>
        <w:t>.</w:t>
      </w:r>
    </w:p>
    <w:p w:rsidR="00774F2C" w:rsidRPr="00774F2C" w:rsidRDefault="00774F2C" w:rsidP="00774F2C">
      <w:pPr>
        <w:rPr>
          <w:lang w:eastAsia="ja-JP"/>
        </w:rPr>
      </w:pPr>
    </w:p>
    <w:p w:rsidR="00774F2C" w:rsidRPr="00774F2C" w:rsidRDefault="00774F2C" w:rsidP="00774F2C">
      <w:pPr>
        <w:rPr>
          <w:lang w:eastAsia="ja-JP"/>
        </w:rPr>
      </w:pPr>
    </w:p>
    <w:p w:rsidR="00774F2C" w:rsidRPr="00774F2C" w:rsidRDefault="00774F2C" w:rsidP="00774F2C">
      <w:pPr>
        <w:keepNext/>
        <w:jc w:val="left"/>
        <w:outlineLvl w:val="0"/>
        <w:rPr>
          <w:caps/>
          <w:lang w:eastAsia="ja-JP"/>
        </w:rPr>
      </w:pPr>
      <w:bookmarkStart w:id="18" w:name="_Toc442113039"/>
      <w:bookmarkStart w:id="19" w:name="_Toc444267997"/>
      <w:r w:rsidRPr="00774F2C">
        <w:rPr>
          <w:rFonts w:hint="eastAsia"/>
          <w:caps/>
          <w:lang w:eastAsia="ja-JP"/>
        </w:rPr>
        <w:t>Offensive terms</w:t>
      </w:r>
      <w:bookmarkEnd w:id="18"/>
      <w:bookmarkEnd w:id="19"/>
    </w:p>
    <w:p w:rsidR="00774F2C" w:rsidRDefault="00774F2C" w:rsidP="00774F2C">
      <w:pPr>
        <w:tabs>
          <w:tab w:val="left" w:pos="960"/>
        </w:tabs>
        <w:autoSpaceDE w:val="0"/>
        <w:autoSpaceDN w:val="0"/>
        <w:adjustRightInd w:val="0"/>
        <w:rPr>
          <w:lang w:eastAsia="ja-JP"/>
        </w:rPr>
      </w:pPr>
    </w:p>
    <w:p w:rsidR="005D17BF" w:rsidRDefault="005D17BF" w:rsidP="005D17BF">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Pr>
          <w:rFonts w:hint="eastAsia"/>
          <w:lang w:eastAsia="ja-JP"/>
        </w:rPr>
        <w:tab/>
        <w:t xml:space="preserve">The background to this matter is provided in document CAJ/72/3 </w:t>
      </w:r>
      <w:r>
        <w:rPr>
          <w:lang w:eastAsia="ja-JP"/>
        </w:rPr>
        <w:t>“</w:t>
      </w:r>
      <w:r>
        <w:rPr>
          <w:rFonts w:hint="eastAsia"/>
          <w:lang w:eastAsia="ja-JP"/>
        </w:rPr>
        <w:t>Variety Denominations</w:t>
      </w:r>
      <w:r>
        <w:rPr>
          <w:lang w:eastAsia="ja-JP"/>
        </w:rPr>
        <w:t>”</w:t>
      </w:r>
      <w:r>
        <w:rPr>
          <w:rFonts w:hint="eastAsia"/>
          <w:lang w:eastAsia="ja-JP"/>
        </w:rPr>
        <w:t>.</w:t>
      </w:r>
    </w:p>
    <w:p w:rsidR="00887DC5" w:rsidRDefault="00887DC5" w:rsidP="00774F2C">
      <w:pPr>
        <w:tabs>
          <w:tab w:val="left" w:pos="960"/>
        </w:tabs>
        <w:autoSpaceDE w:val="0"/>
        <w:autoSpaceDN w:val="0"/>
        <w:adjustRightInd w:val="0"/>
        <w:rPr>
          <w:lang w:eastAsia="ja-JP"/>
        </w:rPr>
      </w:pPr>
    </w:p>
    <w:p w:rsidR="00754431" w:rsidRPr="00774F2C" w:rsidRDefault="00774F2C" w:rsidP="00754431">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sidRPr="00774F2C">
        <w:tab/>
      </w:r>
      <w:r w:rsidRPr="00774F2C">
        <w:rPr>
          <w:rFonts w:hint="eastAsia"/>
          <w:lang w:eastAsia="ja-JP"/>
        </w:rPr>
        <w:t xml:space="preserve">The WG-DST, at its third meeting, agreed </w:t>
      </w:r>
      <w:r w:rsidRPr="00774F2C">
        <w:rPr>
          <w:lang w:eastAsia="ja-JP"/>
        </w:rPr>
        <w:t xml:space="preserve">that it </w:t>
      </w:r>
      <w:r w:rsidRPr="00774F2C">
        <w:rPr>
          <w:rFonts w:hint="eastAsia"/>
          <w:lang w:eastAsia="ja-JP"/>
        </w:rPr>
        <w:t>would</w:t>
      </w:r>
      <w:r w:rsidRPr="00774F2C">
        <w:rPr>
          <w:lang w:eastAsia="ja-JP"/>
        </w:rPr>
        <w:t xml:space="preserve"> be problematic to develop a list</w:t>
      </w:r>
      <w:r w:rsidRPr="00774F2C">
        <w:rPr>
          <w:rFonts w:hint="eastAsia"/>
          <w:lang w:eastAsia="ja-JP"/>
        </w:rPr>
        <w:t xml:space="preserve"> of offensive terms and agreed that this matter should not be considered further</w:t>
      </w:r>
      <w:r w:rsidR="00754431" w:rsidRPr="00754431">
        <w:rPr>
          <w:rFonts w:hint="eastAsia"/>
          <w:lang w:eastAsia="ja-JP"/>
        </w:rPr>
        <w:t xml:space="preserve"> </w:t>
      </w:r>
      <w:r w:rsidR="00754431">
        <w:rPr>
          <w:rFonts w:hint="eastAsia"/>
          <w:lang w:eastAsia="ja-JP"/>
        </w:rPr>
        <w:t xml:space="preserve">(see document UPOV/WG-DST/3/6 </w:t>
      </w:r>
      <w:r w:rsidR="00754431">
        <w:rPr>
          <w:lang w:eastAsia="ja-JP"/>
        </w:rPr>
        <w:t>“</w:t>
      </w:r>
      <w:r w:rsidR="00754431">
        <w:rPr>
          <w:rFonts w:hint="eastAsia"/>
          <w:lang w:eastAsia="ja-JP"/>
        </w:rPr>
        <w:t>Report</w:t>
      </w:r>
      <w:r w:rsidR="00754431">
        <w:rPr>
          <w:lang w:eastAsia="ja-JP"/>
        </w:rPr>
        <w:t>”</w:t>
      </w:r>
      <w:r w:rsidR="00754431">
        <w:rPr>
          <w:rFonts w:hint="eastAsia"/>
          <w:lang w:eastAsia="ja-JP"/>
        </w:rPr>
        <w:t>, paragraph 13)</w:t>
      </w:r>
      <w:r w:rsidR="00754431" w:rsidRPr="00774F2C">
        <w:rPr>
          <w:rFonts w:hint="eastAsia"/>
          <w:lang w:eastAsia="ja-JP"/>
        </w:rPr>
        <w:t>.</w:t>
      </w:r>
    </w:p>
    <w:p w:rsidR="00774F2C" w:rsidRPr="00774F2C" w:rsidRDefault="00774F2C" w:rsidP="00774F2C">
      <w:pPr>
        <w:rPr>
          <w:snapToGrid w:val="0"/>
          <w:lang w:eastAsia="ja-JP"/>
        </w:rPr>
      </w:pPr>
    </w:p>
    <w:p w:rsidR="00774F2C" w:rsidRPr="00774F2C" w:rsidRDefault="00774F2C" w:rsidP="00774F2C">
      <w:pPr>
        <w:rPr>
          <w:lang w:eastAsia="ja-JP"/>
        </w:rPr>
      </w:pPr>
    </w:p>
    <w:p w:rsidR="00774F2C" w:rsidRPr="00774F2C" w:rsidRDefault="00774F2C" w:rsidP="00774F2C">
      <w:pPr>
        <w:keepNext/>
        <w:jc w:val="left"/>
        <w:outlineLvl w:val="0"/>
        <w:rPr>
          <w:caps/>
          <w:lang w:eastAsia="ja-JP"/>
        </w:rPr>
      </w:pPr>
      <w:bookmarkStart w:id="20" w:name="_Toc442113040"/>
      <w:bookmarkStart w:id="21" w:name="_Toc444267998"/>
      <w:r w:rsidRPr="00774F2C">
        <w:rPr>
          <w:caps/>
          <w:lang w:eastAsia="ja-JP"/>
        </w:rPr>
        <w:t>Comparatives and superlatives</w:t>
      </w:r>
      <w:bookmarkEnd w:id="20"/>
      <w:bookmarkEnd w:id="21"/>
    </w:p>
    <w:p w:rsidR="00774F2C" w:rsidRDefault="00774F2C" w:rsidP="00774F2C">
      <w:pPr>
        <w:tabs>
          <w:tab w:val="left" w:pos="540"/>
        </w:tabs>
        <w:autoSpaceDE w:val="0"/>
        <w:autoSpaceDN w:val="0"/>
        <w:adjustRightInd w:val="0"/>
        <w:rPr>
          <w:lang w:eastAsia="ja-JP"/>
        </w:rPr>
      </w:pPr>
    </w:p>
    <w:p w:rsidR="00DD7A3C" w:rsidRDefault="00DD7A3C" w:rsidP="00DD7A3C">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Pr>
          <w:rFonts w:hint="eastAsia"/>
          <w:lang w:eastAsia="ja-JP"/>
        </w:rPr>
        <w:tab/>
        <w:t xml:space="preserve">The background to this matter is provided in document CAJ/72/3 </w:t>
      </w:r>
      <w:r>
        <w:rPr>
          <w:lang w:eastAsia="ja-JP"/>
        </w:rPr>
        <w:t>“</w:t>
      </w:r>
      <w:r>
        <w:rPr>
          <w:rFonts w:hint="eastAsia"/>
          <w:lang w:eastAsia="ja-JP"/>
        </w:rPr>
        <w:t>Variety Denominations</w:t>
      </w:r>
      <w:r>
        <w:rPr>
          <w:lang w:eastAsia="ja-JP"/>
        </w:rPr>
        <w:t>”</w:t>
      </w:r>
      <w:r>
        <w:rPr>
          <w:rFonts w:hint="eastAsia"/>
          <w:lang w:eastAsia="ja-JP"/>
        </w:rPr>
        <w:t>.</w:t>
      </w:r>
    </w:p>
    <w:p w:rsidR="00DD7A3C" w:rsidRPr="00774F2C" w:rsidRDefault="00DD7A3C" w:rsidP="00774F2C">
      <w:pPr>
        <w:tabs>
          <w:tab w:val="left" w:pos="540"/>
        </w:tabs>
        <w:autoSpaceDE w:val="0"/>
        <w:autoSpaceDN w:val="0"/>
        <w:adjustRightInd w:val="0"/>
        <w:rPr>
          <w:lang w:eastAsia="ja-JP"/>
        </w:rPr>
      </w:pPr>
    </w:p>
    <w:p w:rsidR="00774F2C" w:rsidRPr="00774F2C" w:rsidRDefault="00774F2C" w:rsidP="009B1E28">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sidRPr="00774F2C">
        <w:tab/>
        <w:t>The WG-DST</w:t>
      </w:r>
      <w:r w:rsidRPr="00774F2C">
        <w:rPr>
          <w:rFonts w:hint="eastAsia"/>
          <w:lang w:eastAsia="ja-JP"/>
        </w:rPr>
        <w:t>, at its third meeting, agreed that</w:t>
      </w:r>
      <w:r w:rsidRPr="00774F2C">
        <w:t xml:space="preserve"> it would be useful to develop a list of comparatives and superlatives on the basis that </w:t>
      </w:r>
      <w:r w:rsidRPr="00774F2C">
        <w:rPr>
          <w:lang w:eastAsia="ja-JP"/>
        </w:rPr>
        <w:t>denomination</w:t>
      </w:r>
      <w:r w:rsidRPr="00774F2C">
        <w:rPr>
          <w:rFonts w:hint="eastAsia"/>
          <w:lang w:eastAsia="ja-JP"/>
        </w:rPr>
        <w:t>s</w:t>
      </w:r>
      <w:r w:rsidRPr="00774F2C">
        <w:rPr>
          <w:lang w:eastAsia="ja-JP"/>
        </w:rPr>
        <w:t xml:space="preserve"> should not consist of, or contain, comparative or superlative designations</w:t>
      </w:r>
      <w:r w:rsidRPr="00774F2C">
        <w:rPr>
          <w:rFonts w:hint="eastAsia"/>
          <w:lang w:eastAsia="ja-JP"/>
        </w:rPr>
        <w:t xml:space="preserve"> (see document UPOV/INF/12 </w:t>
      </w:r>
      <w:r w:rsidRPr="00774F2C">
        <w:rPr>
          <w:lang w:eastAsia="ja-JP"/>
        </w:rPr>
        <w:t xml:space="preserve">“Explanatory Notes </w:t>
      </w:r>
      <w:r w:rsidRPr="00774F2C">
        <w:rPr>
          <w:rFonts w:hint="eastAsia"/>
          <w:lang w:eastAsia="ja-JP"/>
        </w:rPr>
        <w:t>o</w:t>
      </w:r>
      <w:r w:rsidRPr="00774F2C">
        <w:rPr>
          <w:lang w:eastAsia="ja-JP"/>
        </w:rPr>
        <w:t>n Variety Denominations</w:t>
      </w:r>
      <w:r w:rsidRPr="00774F2C">
        <w:rPr>
          <w:rFonts w:hint="eastAsia"/>
          <w:lang w:eastAsia="ja-JP"/>
        </w:rPr>
        <w:t xml:space="preserve"> u</w:t>
      </w:r>
      <w:r w:rsidRPr="00774F2C">
        <w:rPr>
          <w:lang w:eastAsia="ja-JP"/>
        </w:rPr>
        <w:t xml:space="preserve">nder </w:t>
      </w:r>
      <w:r w:rsidRPr="00774F2C">
        <w:rPr>
          <w:rFonts w:hint="eastAsia"/>
          <w:lang w:eastAsia="ja-JP"/>
        </w:rPr>
        <w:t>t</w:t>
      </w:r>
      <w:r w:rsidRPr="00774F2C">
        <w:rPr>
          <w:lang w:eastAsia="ja-JP"/>
        </w:rPr>
        <w:t>he U</w:t>
      </w:r>
      <w:r w:rsidRPr="00774F2C">
        <w:rPr>
          <w:rFonts w:hint="eastAsia"/>
          <w:lang w:eastAsia="ja-JP"/>
        </w:rPr>
        <w:t>POV</w:t>
      </w:r>
      <w:r w:rsidRPr="00774F2C">
        <w:rPr>
          <w:lang w:eastAsia="ja-JP"/>
        </w:rPr>
        <w:t xml:space="preserve"> Convention”</w:t>
      </w:r>
      <w:r w:rsidRPr="00774F2C">
        <w:rPr>
          <w:rFonts w:hint="eastAsia"/>
          <w:lang w:eastAsia="ja-JP"/>
        </w:rPr>
        <w:t xml:space="preserve"> section</w:t>
      </w:r>
      <w:r w:rsidRPr="00774F2C">
        <w:rPr>
          <w:lang w:eastAsia="ja-JP"/>
        </w:rPr>
        <w:t> </w:t>
      </w:r>
      <w:r w:rsidRPr="00774F2C">
        <w:rPr>
          <w:rFonts w:hint="eastAsia"/>
          <w:lang w:eastAsia="ja-JP"/>
        </w:rPr>
        <w:t>2.3.2)</w:t>
      </w:r>
      <w:r w:rsidRPr="00774F2C">
        <w:rPr>
          <w:lang w:eastAsia="ja-JP"/>
        </w:rPr>
        <w:t>.</w:t>
      </w:r>
      <w:r w:rsidRPr="00774F2C">
        <w:rPr>
          <w:rFonts w:hint="eastAsia"/>
          <w:lang w:eastAsia="ja-JP"/>
        </w:rPr>
        <w:t xml:space="preserve">  </w:t>
      </w:r>
      <w:r w:rsidRPr="00774F2C">
        <w:t xml:space="preserve">Given that the potential list of comparatives and superlatives would be very large, the WG-DST </w:t>
      </w:r>
      <w:r w:rsidRPr="00774F2C">
        <w:rPr>
          <w:rFonts w:hint="eastAsia"/>
          <w:lang w:eastAsia="ja-JP"/>
        </w:rPr>
        <w:t>agreed to</w:t>
      </w:r>
      <w:r w:rsidRPr="00774F2C">
        <w:t xml:space="preserve"> </w:t>
      </w:r>
      <w:r w:rsidRPr="00774F2C">
        <w:rPr>
          <w:rFonts w:hint="eastAsia"/>
          <w:lang w:eastAsia="ja-JP"/>
        </w:rPr>
        <w:t xml:space="preserve">search for </w:t>
      </w:r>
      <w:r w:rsidRPr="00774F2C">
        <w:t>a list of commonly used comparatives and superlatives</w:t>
      </w:r>
      <w:r w:rsidRPr="00774F2C">
        <w:rPr>
          <w:rFonts w:hint="eastAsia"/>
          <w:lang w:eastAsia="ja-JP"/>
        </w:rPr>
        <w:t>,</w:t>
      </w:r>
      <w:r w:rsidR="009B1E28">
        <w:t xml:space="preserve"> in the first instance</w:t>
      </w:r>
      <w:r w:rsidR="009B1E28">
        <w:rPr>
          <w:rFonts w:hint="eastAsia"/>
          <w:lang w:eastAsia="ja-JP"/>
        </w:rPr>
        <w:t xml:space="preserve"> (see document UPOV/WG-DST/3/6 </w:t>
      </w:r>
      <w:r w:rsidR="009B1E28">
        <w:rPr>
          <w:lang w:eastAsia="ja-JP"/>
        </w:rPr>
        <w:t>“</w:t>
      </w:r>
      <w:r w:rsidR="009B1E28">
        <w:rPr>
          <w:rFonts w:hint="eastAsia"/>
          <w:lang w:eastAsia="ja-JP"/>
        </w:rPr>
        <w:t>Report</w:t>
      </w:r>
      <w:r w:rsidR="009B1E28">
        <w:rPr>
          <w:lang w:eastAsia="ja-JP"/>
        </w:rPr>
        <w:t>”</w:t>
      </w:r>
      <w:r w:rsidR="009B1E28">
        <w:rPr>
          <w:rFonts w:hint="eastAsia"/>
          <w:lang w:eastAsia="ja-JP"/>
        </w:rPr>
        <w:t>, paragraph 14)</w:t>
      </w:r>
      <w:r w:rsidR="009B1E28" w:rsidRPr="00774F2C">
        <w:rPr>
          <w:rFonts w:hint="eastAsia"/>
          <w:lang w:eastAsia="ja-JP"/>
        </w:rPr>
        <w:t>.</w:t>
      </w:r>
    </w:p>
    <w:p w:rsidR="00774F2C" w:rsidRPr="00774F2C" w:rsidRDefault="00774F2C" w:rsidP="00774F2C">
      <w:pPr>
        <w:rPr>
          <w:lang w:eastAsia="ja-JP"/>
        </w:rPr>
      </w:pPr>
    </w:p>
    <w:p w:rsidR="00774F2C" w:rsidRPr="00774F2C" w:rsidRDefault="00774F2C" w:rsidP="00774F2C">
      <w:pPr>
        <w:rPr>
          <w:snapToGrid w:val="0"/>
          <w:lang w:eastAsia="ja-JP"/>
        </w:rPr>
      </w:pPr>
      <w:r w:rsidRPr="00774F2C">
        <w:rPr>
          <w:snapToGrid w:val="0"/>
          <w:lang w:eastAsia="ja-JP"/>
        </w:rPr>
        <w:fldChar w:fldCharType="begin"/>
      </w:r>
      <w:r w:rsidRPr="00774F2C">
        <w:rPr>
          <w:snapToGrid w:val="0"/>
          <w:lang w:eastAsia="ja-JP"/>
        </w:rPr>
        <w:instrText xml:space="preserve"> AUTONUM  </w:instrText>
      </w:r>
      <w:r w:rsidRPr="00774F2C">
        <w:rPr>
          <w:snapToGrid w:val="0"/>
          <w:lang w:eastAsia="ja-JP"/>
        </w:rPr>
        <w:fldChar w:fldCharType="end"/>
      </w:r>
      <w:r w:rsidRPr="00774F2C">
        <w:rPr>
          <w:snapToGrid w:val="0"/>
          <w:lang w:eastAsia="ja-JP"/>
        </w:rPr>
        <w:tab/>
        <w:t>The CAJ</w:t>
      </w:r>
      <w:r w:rsidRPr="00774F2C">
        <w:rPr>
          <w:rFonts w:hint="eastAsia"/>
          <w:snapToGrid w:val="0"/>
          <w:lang w:eastAsia="ja-JP"/>
        </w:rPr>
        <w:t xml:space="preserve">, at its seventy-second session, </w:t>
      </w:r>
      <w:r w:rsidRPr="00774F2C">
        <w:rPr>
          <w:snapToGrid w:val="0"/>
          <w:lang w:eastAsia="ja-JP"/>
        </w:rPr>
        <w:t xml:space="preserve">noted the </w:t>
      </w:r>
      <w:r w:rsidRPr="00774F2C">
        <w:rPr>
          <w:rFonts w:hint="eastAsia"/>
          <w:snapToGrid w:val="0"/>
          <w:lang w:eastAsia="ja-JP"/>
        </w:rPr>
        <w:t xml:space="preserve">oral </w:t>
      </w:r>
      <w:r w:rsidRPr="00774F2C">
        <w:rPr>
          <w:snapToGrid w:val="0"/>
          <w:lang w:eastAsia="ja-JP"/>
        </w:rPr>
        <w:t>report by the Vice Secretary</w:t>
      </w:r>
      <w:r w:rsidRPr="00774F2C">
        <w:rPr>
          <w:snapToGrid w:val="0"/>
          <w:lang w:eastAsia="ja-JP"/>
        </w:rPr>
        <w:noBreakHyphen/>
        <w:t xml:space="preserve">General </w:t>
      </w:r>
      <w:r w:rsidRPr="00774F2C">
        <w:rPr>
          <w:rFonts w:hint="eastAsia"/>
          <w:snapToGrid w:val="0"/>
          <w:lang w:eastAsia="ja-JP"/>
        </w:rPr>
        <w:t>that, at its</w:t>
      </w:r>
      <w:r w:rsidRPr="00774F2C">
        <w:rPr>
          <w:snapToGrid w:val="0"/>
          <w:lang w:eastAsia="ja-JP"/>
        </w:rPr>
        <w:t xml:space="preserve"> third meeting</w:t>
      </w:r>
      <w:r w:rsidRPr="00774F2C">
        <w:rPr>
          <w:rFonts w:hint="eastAsia"/>
          <w:snapToGrid w:val="0"/>
          <w:lang w:eastAsia="ja-JP"/>
        </w:rPr>
        <w:t>, the WG-DST, w</w:t>
      </w:r>
      <w:r w:rsidRPr="00774F2C">
        <w:t>ith regard to comparatives/superlatives, had agreed to investigate the feasibility of including a list of comparatives/superlatives as non-acceptable terms.  That possibility would be reviewed by the WG-DST at its fourth meeting</w:t>
      </w:r>
      <w:r w:rsidRPr="00774F2C">
        <w:rPr>
          <w:rFonts w:hint="eastAsia"/>
          <w:snapToGrid w:val="0"/>
          <w:lang w:eastAsia="ja-JP"/>
        </w:rPr>
        <w:t xml:space="preserve"> (see document</w:t>
      </w:r>
      <w:r w:rsidRPr="00774F2C">
        <w:rPr>
          <w:snapToGrid w:val="0"/>
          <w:lang w:eastAsia="ja-JP"/>
        </w:rPr>
        <w:t> </w:t>
      </w:r>
      <w:r w:rsidRPr="00774F2C">
        <w:rPr>
          <w:rFonts w:hint="eastAsia"/>
          <w:snapToGrid w:val="0"/>
          <w:lang w:eastAsia="ja-JP"/>
        </w:rPr>
        <w:t xml:space="preserve">CAJ/72/9 </w:t>
      </w:r>
      <w:r w:rsidRPr="00774F2C">
        <w:rPr>
          <w:snapToGrid w:val="0"/>
          <w:lang w:eastAsia="ja-JP"/>
        </w:rPr>
        <w:t>“</w:t>
      </w:r>
      <w:r w:rsidRPr="00774F2C">
        <w:rPr>
          <w:rFonts w:hint="eastAsia"/>
          <w:snapToGrid w:val="0"/>
          <w:lang w:eastAsia="ja-JP"/>
        </w:rPr>
        <w:t>Report on the Conclusions</w:t>
      </w:r>
      <w:r w:rsidRPr="00774F2C">
        <w:rPr>
          <w:snapToGrid w:val="0"/>
          <w:lang w:eastAsia="ja-JP"/>
        </w:rPr>
        <w:t>”</w:t>
      </w:r>
      <w:r w:rsidRPr="00774F2C">
        <w:rPr>
          <w:rFonts w:hint="eastAsia"/>
          <w:snapToGrid w:val="0"/>
          <w:lang w:eastAsia="ja-JP"/>
        </w:rPr>
        <w:t>, paragraph 22).</w:t>
      </w:r>
    </w:p>
    <w:p w:rsidR="00774F2C" w:rsidRPr="00774F2C" w:rsidRDefault="00774F2C" w:rsidP="00774F2C">
      <w:pPr>
        <w:rPr>
          <w:lang w:eastAsia="ja-JP"/>
        </w:rPr>
      </w:pPr>
    </w:p>
    <w:p w:rsidR="000B67FF" w:rsidRDefault="000B67FF" w:rsidP="000B67FF">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 at its fo</w:t>
      </w:r>
      <w:r w:rsidR="00DD7A3C">
        <w:rPr>
          <w:rFonts w:hint="eastAsia"/>
          <w:lang w:eastAsia="ja-JP"/>
        </w:rPr>
        <w:t>u</w:t>
      </w:r>
      <w:r>
        <w:rPr>
          <w:rFonts w:hint="eastAsia"/>
          <w:lang w:eastAsia="ja-JP"/>
        </w:rPr>
        <w:t xml:space="preserve">rth meeting, </w:t>
      </w:r>
      <w:r w:rsidRPr="005708BA">
        <w:rPr>
          <w:lang w:eastAsia="ja-JP"/>
        </w:rPr>
        <w:t>note</w:t>
      </w:r>
      <w:r>
        <w:rPr>
          <w:rFonts w:hint="eastAsia"/>
          <w:lang w:eastAsia="ja-JP"/>
        </w:rPr>
        <w:t>d</w:t>
      </w:r>
      <w:r w:rsidRPr="005708BA">
        <w:t xml:space="preserve"> that a report on the feasibility of developing a list of comparatives/superlatives w</w:t>
      </w:r>
      <w:r>
        <w:t>ould</w:t>
      </w:r>
      <w:r w:rsidRPr="005708BA">
        <w:t xml:space="preserve"> be presented to the WG-DEN at its first meeting, to be held in Geneva, on March 18, 2016</w:t>
      </w:r>
      <w:r>
        <w:rPr>
          <w:rFonts w:hint="eastAsia"/>
          <w:lang w:eastAsia="ja-JP"/>
        </w:rPr>
        <w:t>.</w:t>
      </w:r>
    </w:p>
    <w:p w:rsidR="00B010D9" w:rsidRDefault="00B010D9" w:rsidP="00774F2C">
      <w:pPr>
        <w:rPr>
          <w:lang w:eastAsia="ja-JP"/>
        </w:rPr>
      </w:pPr>
    </w:p>
    <w:p w:rsidR="00BF0056" w:rsidRDefault="00B010D9" w:rsidP="00774F2C">
      <w:pPr>
        <w:rPr>
          <w:lang w:eastAsia="ja-JP"/>
        </w:rPr>
      </w:pPr>
      <w:r w:rsidRPr="00651FF1">
        <w:fldChar w:fldCharType="begin"/>
      </w:r>
      <w:r w:rsidRPr="00651FF1">
        <w:instrText xml:space="preserve"> AUTONUM  </w:instrText>
      </w:r>
      <w:r w:rsidRPr="00651FF1">
        <w:fldChar w:fldCharType="end"/>
      </w:r>
      <w:r>
        <w:tab/>
      </w:r>
      <w:r>
        <w:rPr>
          <w:rFonts w:hint="eastAsia"/>
          <w:lang w:eastAsia="ja-JP"/>
        </w:rPr>
        <w:t xml:space="preserve">A dictionary-like database, WordNet, was </w:t>
      </w:r>
      <w:r w:rsidR="00DD7A3C">
        <w:rPr>
          <w:rFonts w:hint="eastAsia"/>
          <w:lang w:eastAsia="ja-JP"/>
        </w:rPr>
        <w:t xml:space="preserve">investigated as a possible source of a </w:t>
      </w:r>
      <w:r>
        <w:rPr>
          <w:rFonts w:hint="eastAsia"/>
          <w:lang w:eastAsia="ja-JP"/>
        </w:rPr>
        <w:t xml:space="preserve">list of </w:t>
      </w:r>
      <w:r w:rsidR="00DD7A3C">
        <w:rPr>
          <w:rFonts w:hint="eastAsia"/>
          <w:lang w:eastAsia="ja-JP"/>
        </w:rPr>
        <w:t xml:space="preserve">common </w:t>
      </w:r>
      <w:r>
        <w:rPr>
          <w:rFonts w:hint="eastAsia"/>
          <w:lang w:eastAsia="ja-JP"/>
        </w:rPr>
        <w:t>comparatives/superlatives</w:t>
      </w:r>
      <w:r w:rsidR="00DD7A3C">
        <w:rPr>
          <w:rFonts w:hint="eastAsia"/>
          <w:lang w:eastAsia="ja-JP"/>
        </w:rPr>
        <w:t xml:space="preserve"> (in English)</w:t>
      </w:r>
      <w:r>
        <w:rPr>
          <w:rFonts w:hint="eastAsia"/>
          <w:lang w:eastAsia="ja-JP"/>
        </w:rPr>
        <w:t xml:space="preserve">.  </w:t>
      </w:r>
      <w:r w:rsidR="00DD7A3C">
        <w:rPr>
          <w:rFonts w:hint="eastAsia"/>
          <w:lang w:eastAsia="ja-JP"/>
        </w:rPr>
        <w:t>However, i</w:t>
      </w:r>
      <w:r>
        <w:rPr>
          <w:rFonts w:hint="eastAsia"/>
          <w:lang w:eastAsia="ja-JP"/>
        </w:rPr>
        <w:t xml:space="preserve">t was found that </w:t>
      </w:r>
      <w:r>
        <w:rPr>
          <w:lang w:eastAsia="ja-JP"/>
        </w:rPr>
        <w:t>WordNet does</w:t>
      </w:r>
      <w:r>
        <w:rPr>
          <w:rFonts w:hint="eastAsia"/>
          <w:lang w:eastAsia="ja-JP"/>
        </w:rPr>
        <w:t xml:space="preserve"> not</w:t>
      </w:r>
      <w:r w:rsidRPr="00221A83">
        <w:rPr>
          <w:lang w:eastAsia="ja-JP"/>
        </w:rPr>
        <w:t xml:space="preserve"> contain a list of comparative and superlatives</w:t>
      </w:r>
      <w:r w:rsidR="002E5E44">
        <w:rPr>
          <w:rFonts w:hint="eastAsia"/>
          <w:lang w:eastAsia="ja-JP"/>
        </w:rPr>
        <w:t xml:space="preserve"> as such</w:t>
      </w:r>
      <w:r w:rsidRPr="00221A83">
        <w:rPr>
          <w:lang w:eastAsia="ja-JP"/>
        </w:rPr>
        <w:t xml:space="preserve">, and relies on a stemming algorithm for most words in this category (e.g. </w:t>
      </w:r>
      <w:r w:rsidR="00DD7A3C">
        <w:rPr>
          <w:rFonts w:hint="eastAsia"/>
          <w:lang w:eastAsia="ja-JP"/>
        </w:rPr>
        <w:t>smaller/</w:t>
      </w:r>
      <w:r w:rsidRPr="00221A83">
        <w:rPr>
          <w:lang w:eastAsia="ja-JP"/>
        </w:rPr>
        <w:t xml:space="preserve">smallest, </w:t>
      </w:r>
      <w:r w:rsidR="00B43A89">
        <w:rPr>
          <w:rFonts w:hint="eastAsia"/>
          <w:lang w:eastAsia="ja-JP"/>
        </w:rPr>
        <w:t xml:space="preserve">greater/greatest, </w:t>
      </w:r>
      <w:r w:rsidRPr="00221A83">
        <w:rPr>
          <w:lang w:eastAsia="ja-JP"/>
        </w:rPr>
        <w:t>etc. are list</w:t>
      </w:r>
      <w:r w:rsidR="00DD7A3C">
        <w:rPr>
          <w:rFonts w:hint="eastAsia"/>
          <w:lang w:eastAsia="ja-JP"/>
        </w:rPr>
        <w:t>ed</w:t>
      </w:r>
      <w:r w:rsidRPr="00221A83">
        <w:rPr>
          <w:lang w:eastAsia="ja-JP"/>
        </w:rPr>
        <w:t xml:space="preserve"> because they </w:t>
      </w:r>
      <w:r w:rsidR="002E5E44">
        <w:rPr>
          <w:rFonts w:hint="eastAsia"/>
          <w:lang w:eastAsia="ja-JP"/>
        </w:rPr>
        <w:t>have</w:t>
      </w:r>
      <w:r w:rsidRPr="00221A83">
        <w:rPr>
          <w:lang w:eastAsia="ja-JP"/>
        </w:rPr>
        <w:t xml:space="preserve"> </w:t>
      </w:r>
      <w:r w:rsidR="00DD7A3C">
        <w:rPr>
          <w:lang w:eastAsia="ja-JP"/>
        </w:rPr>
        <w:t>“</w:t>
      </w:r>
      <w:proofErr w:type="spellStart"/>
      <w:r w:rsidR="00DD7A3C">
        <w:rPr>
          <w:rFonts w:hint="eastAsia"/>
          <w:lang w:eastAsia="ja-JP"/>
        </w:rPr>
        <w:t>er</w:t>
      </w:r>
      <w:proofErr w:type="spellEnd"/>
      <w:r w:rsidR="00DD7A3C">
        <w:rPr>
          <w:lang w:eastAsia="ja-JP"/>
        </w:rPr>
        <w:t>”</w:t>
      </w:r>
      <w:r w:rsidR="00DD7A3C">
        <w:rPr>
          <w:rFonts w:hint="eastAsia"/>
          <w:lang w:eastAsia="ja-JP"/>
        </w:rPr>
        <w:t xml:space="preserve"> and </w:t>
      </w:r>
      <w:r w:rsidRPr="00221A83">
        <w:rPr>
          <w:lang w:eastAsia="ja-JP"/>
        </w:rPr>
        <w:t>“</w:t>
      </w:r>
      <w:proofErr w:type="spellStart"/>
      <w:r w:rsidRPr="00221A83">
        <w:rPr>
          <w:lang w:eastAsia="ja-JP"/>
        </w:rPr>
        <w:t>est</w:t>
      </w:r>
      <w:proofErr w:type="spellEnd"/>
      <w:r w:rsidRPr="00221A83">
        <w:rPr>
          <w:lang w:eastAsia="ja-JP"/>
        </w:rPr>
        <w:t>”</w:t>
      </w:r>
      <w:r w:rsidR="00B43A89">
        <w:rPr>
          <w:rFonts w:hint="eastAsia"/>
          <w:lang w:eastAsia="ja-JP"/>
        </w:rPr>
        <w:t xml:space="preserve"> </w:t>
      </w:r>
      <w:r w:rsidR="002E5E44">
        <w:rPr>
          <w:rFonts w:hint="eastAsia"/>
          <w:lang w:eastAsia="ja-JP"/>
        </w:rPr>
        <w:t>at</w:t>
      </w:r>
      <w:r w:rsidR="00B43A89">
        <w:rPr>
          <w:rFonts w:hint="eastAsia"/>
          <w:lang w:eastAsia="ja-JP"/>
        </w:rPr>
        <w:t xml:space="preserve"> the end of </w:t>
      </w:r>
      <w:r w:rsidR="002E5E44">
        <w:rPr>
          <w:rFonts w:hint="eastAsia"/>
          <w:lang w:eastAsia="ja-JP"/>
        </w:rPr>
        <w:t>the words</w:t>
      </w:r>
      <w:r w:rsidRPr="00221A83">
        <w:rPr>
          <w:lang w:eastAsia="ja-JP"/>
        </w:rPr>
        <w:t xml:space="preserve">).  </w:t>
      </w:r>
      <w:r w:rsidR="00BF0056">
        <w:rPr>
          <w:rFonts w:hint="eastAsia"/>
          <w:lang w:eastAsia="ja-JP"/>
        </w:rPr>
        <w:t>A list of common co</w:t>
      </w:r>
      <w:r w:rsidR="002D06F6">
        <w:rPr>
          <w:rFonts w:hint="eastAsia"/>
          <w:lang w:eastAsia="ja-JP"/>
        </w:rPr>
        <w:t xml:space="preserve">mparatives/superlatives </w:t>
      </w:r>
      <w:r w:rsidR="00BF0056">
        <w:rPr>
          <w:rFonts w:hint="eastAsia"/>
          <w:lang w:eastAsia="ja-JP"/>
        </w:rPr>
        <w:t xml:space="preserve">should </w:t>
      </w:r>
      <w:r w:rsidR="002E5E44">
        <w:rPr>
          <w:rFonts w:hint="eastAsia"/>
          <w:lang w:eastAsia="ja-JP"/>
        </w:rPr>
        <w:t xml:space="preserve">also </w:t>
      </w:r>
      <w:r w:rsidR="00BF0056">
        <w:rPr>
          <w:rFonts w:hint="eastAsia"/>
          <w:lang w:eastAsia="ja-JP"/>
        </w:rPr>
        <w:t xml:space="preserve">include words </w:t>
      </w:r>
      <w:r w:rsidR="002D06F6">
        <w:rPr>
          <w:rFonts w:hint="eastAsia"/>
          <w:lang w:eastAsia="ja-JP"/>
        </w:rPr>
        <w:t>that do not follow the general rule</w:t>
      </w:r>
      <w:r>
        <w:rPr>
          <w:rFonts w:hint="eastAsia"/>
          <w:lang w:eastAsia="ja-JP"/>
        </w:rPr>
        <w:t xml:space="preserve"> </w:t>
      </w:r>
      <w:r w:rsidR="002E5E44">
        <w:rPr>
          <w:rFonts w:hint="eastAsia"/>
          <w:lang w:eastAsia="ja-JP"/>
        </w:rPr>
        <w:t>(e.g. good/better</w:t>
      </w:r>
      <w:r w:rsidR="00BA50FB">
        <w:rPr>
          <w:rFonts w:hint="eastAsia"/>
          <w:lang w:eastAsia="ja-JP"/>
        </w:rPr>
        <w:t>)</w:t>
      </w:r>
      <w:r w:rsidR="00076126">
        <w:rPr>
          <w:rFonts w:hint="eastAsia"/>
          <w:lang w:eastAsia="ja-JP"/>
        </w:rPr>
        <w:t xml:space="preserve"> and such words would not be collected by the stemming algorithm</w:t>
      </w:r>
      <w:r w:rsidR="00BF0056">
        <w:rPr>
          <w:rFonts w:hint="eastAsia"/>
          <w:lang w:eastAsia="ja-JP"/>
        </w:rPr>
        <w:t xml:space="preserve">. </w:t>
      </w:r>
    </w:p>
    <w:p w:rsidR="00BF0056" w:rsidRDefault="00BF0056" w:rsidP="00774F2C">
      <w:pPr>
        <w:rPr>
          <w:lang w:eastAsia="ja-JP"/>
        </w:rPr>
      </w:pPr>
    </w:p>
    <w:p w:rsidR="002D06F6" w:rsidRDefault="002D000D" w:rsidP="002D000D">
      <w:pPr>
        <w:pStyle w:val="Heading2"/>
        <w:rPr>
          <w:lang w:eastAsia="ja-JP"/>
        </w:rPr>
      </w:pPr>
      <w:r>
        <w:rPr>
          <w:rFonts w:hint="eastAsia"/>
          <w:lang w:eastAsia="ja-JP"/>
        </w:rPr>
        <w:t>Proposal</w:t>
      </w:r>
    </w:p>
    <w:p w:rsidR="00B010D9" w:rsidRDefault="00B010D9" w:rsidP="00774F2C">
      <w:pPr>
        <w:rPr>
          <w:lang w:eastAsia="ja-JP"/>
        </w:rPr>
      </w:pPr>
    </w:p>
    <w:p w:rsidR="00B010D9" w:rsidRDefault="00BA50FB" w:rsidP="00774F2C">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WG-DEN</w:t>
      </w:r>
      <w:r w:rsidR="002D000D">
        <w:rPr>
          <w:rFonts w:hint="eastAsia"/>
          <w:lang w:eastAsia="ja-JP"/>
        </w:rPr>
        <w:t xml:space="preserve"> is invited to consider whether </w:t>
      </w:r>
      <w:r>
        <w:rPr>
          <w:rFonts w:hint="eastAsia"/>
          <w:lang w:eastAsia="ja-JP"/>
        </w:rPr>
        <w:t xml:space="preserve">to </w:t>
      </w:r>
      <w:r w:rsidR="002D000D">
        <w:rPr>
          <w:rFonts w:hint="eastAsia"/>
          <w:lang w:eastAsia="ja-JP"/>
        </w:rPr>
        <w:t xml:space="preserve">investigate further </w:t>
      </w:r>
      <w:r w:rsidR="004232F3">
        <w:rPr>
          <w:rFonts w:hint="eastAsia"/>
          <w:lang w:eastAsia="ja-JP"/>
        </w:rPr>
        <w:t>the availability of a list of common comparatives/superlatives</w:t>
      </w:r>
      <w:r>
        <w:rPr>
          <w:rFonts w:hint="eastAsia"/>
          <w:lang w:eastAsia="ja-JP"/>
        </w:rPr>
        <w:t>.</w:t>
      </w:r>
    </w:p>
    <w:p w:rsidR="00BA50FB" w:rsidRDefault="00BA50FB" w:rsidP="00774F2C">
      <w:pPr>
        <w:rPr>
          <w:lang w:eastAsia="ja-JP"/>
        </w:rPr>
      </w:pPr>
    </w:p>
    <w:p w:rsidR="00E129F7" w:rsidRPr="00774F2C" w:rsidRDefault="00E129F7" w:rsidP="00774F2C">
      <w:pPr>
        <w:rPr>
          <w:lang w:eastAsia="ja-JP"/>
        </w:rPr>
      </w:pPr>
    </w:p>
    <w:p w:rsidR="00774F2C" w:rsidRPr="00774F2C" w:rsidRDefault="00774F2C" w:rsidP="00774F2C">
      <w:pPr>
        <w:keepNext/>
        <w:jc w:val="left"/>
        <w:outlineLvl w:val="0"/>
        <w:rPr>
          <w:caps/>
          <w:lang w:eastAsia="ja-JP"/>
        </w:rPr>
      </w:pPr>
      <w:bookmarkStart w:id="22" w:name="_Toc442113041"/>
      <w:bookmarkStart w:id="23" w:name="_Toc444267999"/>
      <w:r w:rsidRPr="00774F2C">
        <w:rPr>
          <w:caps/>
          <w:lang w:eastAsia="ja-JP"/>
        </w:rPr>
        <w:t xml:space="preserve">Use </w:t>
      </w:r>
      <w:r w:rsidRPr="00774F2C">
        <w:rPr>
          <w:rFonts w:hint="eastAsia"/>
          <w:caps/>
          <w:lang w:eastAsia="ja-JP"/>
        </w:rPr>
        <w:t>o</w:t>
      </w:r>
      <w:r w:rsidRPr="00774F2C">
        <w:rPr>
          <w:caps/>
          <w:lang w:eastAsia="ja-JP"/>
        </w:rPr>
        <w:t xml:space="preserve">f Figures </w:t>
      </w:r>
      <w:r w:rsidRPr="00774F2C">
        <w:rPr>
          <w:rFonts w:hint="eastAsia"/>
          <w:caps/>
          <w:lang w:eastAsia="ja-JP"/>
        </w:rPr>
        <w:t>w</w:t>
      </w:r>
      <w:r w:rsidRPr="00774F2C">
        <w:rPr>
          <w:caps/>
          <w:lang w:eastAsia="ja-JP"/>
        </w:rPr>
        <w:t xml:space="preserve">here </w:t>
      </w:r>
      <w:r w:rsidRPr="00774F2C">
        <w:rPr>
          <w:rFonts w:hint="eastAsia"/>
          <w:caps/>
          <w:lang w:eastAsia="ja-JP"/>
        </w:rPr>
        <w:t>t</w:t>
      </w:r>
      <w:r w:rsidRPr="00774F2C">
        <w:rPr>
          <w:caps/>
          <w:lang w:eastAsia="ja-JP"/>
        </w:rPr>
        <w:t xml:space="preserve">his </w:t>
      </w:r>
      <w:r w:rsidRPr="00774F2C">
        <w:rPr>
          <w:rFonts w:hint="eastAsia"/>
          <w:caps/>
          <w:lang w:eastAsia="ja-JP"/>
        </w:rPr>
        <w:t>i</w:t>
      </w:r>
      <w:r w:rsidRPr="00774F2C">
        <w:rPr>
          <w:caps/>
          <w:lang w:eastAsia="ja-JP"/>
        </w:rPr>
        <w:t xml:space="preserve">s </w:t>
      </w:r>
      <w:r w:rsidRPr="00774F2C">
        <w:rPr>
          <w:rFonts w:hint="eastAsia"/>
          <w:caps/>
          <w:lang w:eastAsia="ja-JP"/>
        </w:rPr>
        <w:t>n</w:t>
      </w:r>
      <w:r w:rsidRPr="00774F2C">
        <w:rPr>
          <w:caps/>
          <w:lang w:eastAsia="ja-JP"/>
        </w:rPr>
        <w:t xml:space="preserve">ot </w:t>
      </w:r>
      <w:r w:rsidRPr="00774F2C">
        <w:rPr>
          <w:rFonts w:hint="eastAsia"/>
          <w:caps/>
          <w:lang w:eastAsia="ja-JP"/>
        </w:rPr>
        <w:t>a</w:t>
      </w:r>
      <w:r w:rsidRPr="00774F2C">
        <w:rPr>
          <w:caps/>
          <w:lang w:eastAsia="ja-JP"/>
        </w:rPr>
        <w:t>n Established Practice</w:t>
      </w:r>
      <w:bookmarkEnd w:id="22"/>
      <w:bookmarkEnd w:id="23"/>
    </w:p>
    <w:p w:rsidR="00774F2C" w:rsidRPr="00774F2C" w:rsidRDefault="00774F2C" w:rsidP="00774F2C">
      <w:pPr>
        <w:tabs>
          <w:tab w:val="left" w:pos="540"/>
        </w:tabs>
        <w:autoSpaceDE w:val="0"/>
        <w:autoSpaceDN w:val="0"/>
        <w:adjustRightInd w:val="0"/>
        <w:rPr>
          <w:lang w:eastAsia="ja-JP"/>
        </w:rPr>
      </w:pPr>
    </w:p>
    <w:p w:rsidR="00754431" w:rsidRPr="00774F2C" w:rsidRDefault="00774F2C" w:rsidP="00754431">
      <w:pPr>
        <w:tabs>
          <w:tab w:val="left" w:pos="540"/>
        </w:tabs>
        <w:autoSpaceDE w:val="0"/>
        <w:autoSpaceDN w:val="0"/>
        <w:adjustRightInd w:val="0"/>
        <w:rPr>
          <w:lang w:eastAsia="ja-JP"/>
        </w:rPr>
      </w:pPr>
      <w:r w:rsidRPr="00774F2C">
        <w:fldChar w:fldCharType="begin"/>
      </w:r>
      <w:r w:rsidRPr="00774F2C">
        <w:instrText xml:space="preserve"> AUTONUM  </w:instrText>
      </w:r>
      <w:r w:rsidRPr="00774F2C">
        <w:fldChar w:fldCharType="end"/>
      </w:r>
      <w:r w:rsidRPr="00774F2C">
        <w:tab/>
      </w:r>
      <w:r w:rsidRPr="00774F2C">
        <w:tab/>
        <w:t>The WG-DST</w:t>
      </w:r>
      <w:r w:rsidRPr="00774F2C">
        <w:rPr>
          <w:rFonts w:hint="eastAsia"/>
          <w:lang w:eastAsia="ja-JP"/>
        </w:rPr>
        <w:t>, at its third meeting,</w:t>
      </w:r>
      <w:r w:rsidRPr="00774F2C">
        <w:t xml:space="preserve"> concluded that it would not be feasible to address “established practice” with regard to the use of denominations consisting solely of figures and noted that this was not a difficult matter for members</w:t>
      </w:r>
      <w:r w:rsidR="00754431">
        <w:t xml:space="preserve"> of the Union to implement</w:t>
      </w:r>
      <w:r w:rsidR="00754431">
        <w:rPr>
          <w:rFonts w:hint="eastAsia"/>
          <w:lang w:eastAsia="ja-JP"/>
        </w:rPr>
        <w:t xml:space="preserve"> (see document UPOV/WG-DST/3/6 </w:t>
      </w:r>
      <w:r w:rsidR="00754431">
        <w:rPr>
          <w:lang w:eastAsia="ja-JP"/>
        </w:rPr>
        <w:t>“</w:t>
      </w:r>
      <w:r w:rsidR="00754431">
        <w:rPr>
          <w:rFonts w:hint="eastAsia"/>
          <w:lang w:eastAsia="ja-JP"/>
        </w:rPr>
        <w:t>Report</w:t>
      </w:r>
      <w:r w:rsidR="00754431">
        <w:rPr>
          <w:lang w:eastAsia="ja-JP"/>
        </w:rPr>
        <w:t>”</w:t>
      </w:r>
      <w:r w:rsidR="00754431">
        <w:rPr>
          <w:rFonts w:hint="eastAsia"/>
          <w:lang w:eastAsia="ja-JP"/>
        </w:rPr>
        <w:t>, paragraph 16)</w:t>
      </w:r>
      <w:r w:rsidR="00754431" w:rsidRPr="00774F2C">
        <w:rPr>
          <w:rFonts w:hint="eastAsia"/>
          <w:lang w:eastAsia="ja-JP"/>
        </w:rPr>
        <w:t>.</w:t>
      </w:r>
    </w:p>
    <w:p w:rsidR="00774F2C" w:rsidRPr="00774F2C" w:rsidRDefault="00774F2C" w:rsidP="00774F2C">
      <w:pPr>
        <w:rPr>
          <w:snapToGrid w:val="0"/>
          <w:lang w:eastAsia="ja-JP"/>
        </w:rPr>
      </w:pPr>
    </w:p>
    <w:p w:rsidR="00774F2C" w:rsidRPr="00774F2C" w:rsidRDefault="00774F2C" w:rsidP="00774F2C">
      <w:pPr>
        <w:rPr>
          <w:snapToGrid w:val="0"/>
          <w:lang w:eastAsia="ja-JP"/>
        </w:rPr>
      </w:pPr>
      <w:r w:rsidRPr="00774F2C">
        <w:rPr>
          <w:snapToGrid w:val="0"/>
          <w:lang w:eastAsia="ja-JP"/>
        </w:rPr>
        <w:fldChar w:fldCharType="begin"/>
      </w:r>
      <w:r w:rsidRPr="00774F2C">
        <w:rPr>
          <w:snapToGrid w:val="0"/>
          <w:lang w:eastAsia="ja-JP"/>
        </w:rPr>
        <w:instrText xml:space="preserve"> AUTONUM  </w:instrText>
      </w:r>
      <w:r w:rsidRPr="00774F2C">
        <w:rPr>
          <w:snapToGrid w:val="0"/>
          <w:lang w:eastAsia="ja-JP"/>
        </w:rPr>
        <w:fldChar w:fldCharType="end"/>
      </w:r>
      <w:r w:rsidRPr="00774F2C">
        <w:rPr>
          <w:snapToGrid w:val="0"/>
          <w:lang w:eastAsia="ja-JP"/>
        </w:rPr>
        <w:tab/>
        <w:t>The CAJ</w:t>
      </w:r>
      <w:r w:rsidRPr="00774F2C">
        <w:rPr>
          <w:rFonts w:hint="eastAsia"/>
          <w:snapToGrid w:val="0"/>
          <w:lang w:eastAsia="ja-JP"/>
        </w:rPr>
        <w:t xml:space="preserve">, at its seventy-second session </w:t>
      </w:r>
      <w:r w:rsidRPr="00774F2C">
        <w:rPr>
          <w:snapToGrid w:val="0"/>
          <w:lang w:eastAsia="ja-JP"/>
        </w:rPr>
        <w:t>noted the oral report by the Vice Secretary</w:t>
      </w:r>
      <w:r w:rsidRPr="00774F2C">
        <w:rPr>
          <w:snapToGrid w:val="0"/>
          <w:lang w:eastAsia="ja-JP"/>
        </w:rPr>
        <w:noBreakHyphen/>
        <w:t>General</w:t>
      </w:r>
      <w:r w:rsidRPr="00774F2C">
        <w:rPr>
          <w:rFonts w:hint="eastAsia"/>
          <w:snapToGrid w:val="0"/>
          <w:lang w:eastAsia="ja-JP"/>
        </w:rPr>
        <w:t xml:space="preserve"> that, at its</w:t>
      </w:r>
      <w:r w:rsidRPr="00774F2C">
        <w:rPr>
          <w:snapToGrid w:val="0"/>
          <w:lang w:eastAsia="ja-JP"/>
        </w:rPr>
        <w:t xml:space="preserve"> third meeting</w:t>
      </w:r>
      <w:r w:rsidRPr="00774F2C">
        <w:rPr>
          <w:rFonts w:hint="eastAsia"/>
          <w:snapToGrid w:val="0"/>
          <w:lang w:eastAsia="ja-JP"/>
        </w:rPr>
        <w:t>,</w:t>
      </w:r>
      <w:r w:rsidRPr="00774F2C">
        <w:rPr>
          <w:snapToGrid w:val="0"/>
          <w:lang w:eastAsia="ja-JP"/>
        </w:rPr>
        <w:t xml:space="preserve"> the WG-DST</w:t>
      </w:r>
      <w:r w:rsidRPr="00774F2C">
        <w:t xml:space="preserve"> had concluded that it would not be feasible to address “established practice” with regard to the use of denominations consisting solely of figures and had noted that this was not a difficult matter for members of the Union to implement</w:t>
      </w:r>
      <w:r w:rsidRPr="00774F2C">
        <w:rPr>
          <w:rFonts w:hint="eastAsia"/>
          <w:lang w:eastAsia="ja-JP"/>
        </w:rPr>
        <w:t xml:space="preserve"> </w:t>
      </w:r>
      <w:r w:rsidRPr="00774F2C">
        <w:rPr>
          <w:rFonts w:hint="eastAsia"/>
          <w:snapToGrid w:val="0"/>
          <w:lang w:eastAsia="ja-JP"/>
        </w:rPr>
        <w:t xml:space="preserve">(see document CAJ/72/9 </w:t>
      </w:r>
      <w:r w:rsidRPr="00774F2C">
        <w:rPr>
          <w:snapToGrid w:val="0"/>
          <w:lang w:eastAsia="ja-JP"/>
        </w:rPr>
        <w:t>“</w:t>
      </w:r>
      <w:r w:rsidRPr="00774F2C">
        <w:rPr>
          <w:rFonts w:hint="eastAsia"/>
          <w:snapToGrid w:val="0"/>
          <w:lang w:eastAsia="ja-JP"/>
        </w:rPr>
        <w:t>Report on the Conclusions</w:t>
      </w:r>
      <w:r w:rsidRPr="00774F2C">
        <w:rPr>
          <w:snapToGrid w:val="0"/>
          <w:lang w:eastAsia="ja-JP"/>
        </w:rPr>
        <w:t>”</w:t>
      </w:r>
      <w:r w:rsidRPr="00774F2C">
        <w:rPr>
          <w:rFonts w:hint="eastAsia"/>
          <w:snapToGrid w:val="0"/>
          <w:lang w:eastAsia="ja-JP"/>
        </w:rPr>
        <w:t>, paragraph 22).</w:t>
      </w:r>
    </w:p>
    <w:p w:rsidR="00774F2C" w:rsidRPr="00774F2C" w:rsidRDefault="00774F2C" w:rsidP="0080679D">
      <w:pPr>
        <w:rPr>
          <w:snapToGrid w:val="0"/>
          <w:lang w:eastAsia="ja-JP"/>
        </w:rPr>
      </w:pPr>
    </w:p>
    <w:p w:rsidR="00774F2C" w:rsidRPr="00774F2C" w:rsidRDefault="00774F2C" w:rsidP="0080679D">
      <w:pPr>
        <w:rPr>
          <w:snapToGrid w:val="0"/>
          <w:lang w:eastAsia="ja-JP"/>
        </w:rPr>
      </w:pPr>
    </w:p>
    <w:p w:rsidR="000A3C60" w:rsidRDefault="000A3C60" w:rsidP="000A3C60">
      <w:pPr>
        <w:rPr>
          <w:lang w:eastAsia="ja-JP"/>
        </w:rPr>
      </w:pPr>
    </w:p>
    <w:p w:rsidR="000A3C60" w:rsidRDefault="000A3C60" w:rsidP="000A3C60">
      <w:pPr>
        <w:pStyle w:val="DecisionParagraphs"/>
        <w:keepLines/>
        <w:rPr>
          <w:iCs/>
          <w:spacing w:val="-4"/>
          <w:lang w:eastAsia="ja-JP"/>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sidR="000C4B48">
        <w:rPr>
          <w:rFonts w:hint="eastAsia"/>
          <w:iCs/>
          <w:spacing w:val="-4"/>
          <w:lang w:eastAsia="ja-JP"/>
        </w:rPr>
        <w:t>WG-DEN</w:t>
      </w:r>
      <w:r w:rsidRPr="006B6D27">
        <w:rPr>
          <w:iCs/>
          <w:spacing w:val="-4"/>
        </w:rPr>
        <w:t xml:space="preserve"> is invited</w:t>
      </w:r>
      <w:r>
        <w:rPr>
          <w:iCs/>
          <w:spacing w:val="-4"/>
        </w:rPr>
        <w:t xml:space="preserve"> to:</w:t>
      </w:r>
    </w:p>
    <w:p w:rsidR="002E5E44" w:rsidRDefault="002E5E44" w:rsidP="000A3C60">
      <w:pPr>
        <w:pStyle w:val="DecisionParagraphs"/>
        <w:keepLines/>
        <w:rPr>
          <w:iCs/>
          <w:spacing w:val="-4"/>
          <w:lang w:eastAsia="ja-JP"/>
        </w:rPr>
      </w:pPr>
    </w:p>
    <w:p w:rsidR="002E5E44" w:rsidRDefault="002E5E44" w:rsidP="002E5E44">
      <w:pPr>
        <w:pStyle w:val="DecisionParagraphs"/>
        <w:keepLines/>
        <w:tabs>
          <w:tab w:val="left" w:pos="5940"/>
        </w:tabs>
        <w:rPr>
          <w:iCs/>
          <w:spacing w:val="-4"/>
          <w:lang w:eastAsia="ja-JP"/>
        </w:rPr>
      </w:pPr>
      <w:r>
        <w:rPr>
          <w:rFonts w:hint="eastAsia"/>
          <w:iCs/>
          <w:spacing w:val="-4"/>
          <w:lang w:eastAsia="ja-JP"/>
        </w:rPr>
        <w:tab/>
        <w:t>(</w:t>
      </w:r>
      <w:proofErr w:type="gramStart"/>
      <w:r>
        <w:rPr>
          <w:rFonts w:hint="eastAsia"/>
          <w:iCs/>
          <w:spacing w:val="-4"/>
          <w:lang w:eastAsia="ja-JP"/>
        </w:rPr>
        <w:t>a</w:t>
      </w:r>
      <w:proofErr w:type="gramEnd"/>
      <w:r>
        <w:rPr>
          <w:rFonts w:hint="eastAsia"/>
          <w:iCs/>
          <w:spacing w:val="-4"/>
          <w:lang w:eastAsia="ja-JP"/>
        </w:rPr>
        <w:t>)</w:t>
      </w:r>
      <w:r>
        <w:rPr>
          <w:rFonts w:hint="eastAsia"/>
          <w:iCs/>
          <w:spacing w:val="-4"/>
          <w:lang w:eastAsia="ja-JP"/>
        </w:rPr>
        <w:tab/>
        <w:t>note the developments reported in this document;</w:t>
      </w:r>
    </w:p>
    <w:p w:rsidR="000A3C60" w:rsidRDefault="000A3C60" w:rsidP="000A3C60">
      <w:pPr>
        <w:pStyle w:val="DecisionParagraphs"/>
        <w:keepLines/>
        <w:rPr>
          <w:iCs/>
          <w:spacing w:val="-4"/>
        </w:rPr>
      </w:pPr>
    </w:p>
    <w:p w:rsidR="00B97A4A" w:rsidRDefault="002E5E44" w:rsidP="000A3C60">
      <w:pPr>
        <w:pStyle w:val="DecisionParagraphs"/>
        <w:keepLines/>
        <w:tabs>
          <w:tab w:val="left" w:pos="5954"/>
        </w:tabs>
        <w:rPr>
          <w:iCs/>
          <w:spacing w:val="-4"/>
          <w:lang w:eastAsia="ja-JP"/>
        </w:rPr>
      </w:pPr>
      <w:r>
        <w:rPr>
          <w:iCs/>
          <w:spacing w:val="-4"/>
        </w:rPr>
        <w:tab/>
        <w:t>(</w:t>
      </w:r>
      <w:r>
        <w:rPr>
          <w:rFonts w:hint="eastAsia"/>
          <w:iCs/>
          <w:spacing w:val="-4"/>
          <w:lang w:eastAsia="ja-JP"/>
        </w:rPr>
        <w:t>b</w:t>
      </w:r>
      <w:r w:rsidR="000A3C60">
        <w:rPr>
          <w:iCs/>
          <w:spacing w:val="-4"/>
        </w:rPr>
        <w:t>)</w:t>
      </w:r>
      <w:r w:rsidR="000A3C60">
        <w:rPr>
          <w:iCs/>
          <w:spacing w:val="-4"/>
          <w:lang w:eastAsia="ja-JP"/>
        </w:rPr>
        <w:tab/>
      </w:r>
      <w:r>
        <w:rPr>
          <w:rFonts w:hint="eastAsia"/>
          <w:iCs/>
          <w:spacing w:val="-4"/>
          <w:lang w:eastAsia="ja-JP"/>
        </w:rPr>
        <w:t>propose</w:t>
      </w:r>
      <w:r w:rsidR="00AF0CF9" w:rsidRPr="00AF0CF9">
        <w:rPr>
          <w:iCs/>
          <w:spacing w:val="-4"/>
          <w:lang w:eastAsia="ja-JP"/>
        </w:rPr>
        <w:t xml:space="preserve"> to defer a survey to create a list of botanical and common names of genera that have a wider meaning addressed to members of the Union until the development of a UPOV denomination similarity search tool nears completion</w:t>
      </w:r>
      <w:bookmarkStart w:id="24" w:name="_GoBack"/>
      <w:bookmarkEnd w:id="24"/>
      <w:r w:rsidR="00AF0CF9">
        <w:rPr>
          <w:rFonts w:hint="eastAsia"/>
          <w:iCs/>
          <w:spacing w:val="-4"/>
          <w:lang w:eastAsia="ja-JP"/>
        </w:rPr>
        <w:t>;</w:t>
      </w:r>
      <w:r w:rsidR="00823CDD">
        <w:rPr>
          <w:rFonts w:hint="eastAsia"/>
          <w:iCs/>
          <w:spacing w:val="-4"/>
          <w:lang w:eastAsia="ja-JP"/>
        </w:rPr>
        <w:t xml:space="preserve"> </w:t>
      </w:r>
      <w:r>
        <w:rPr>
          <w:rFonts w:hint="eastAsia"/>
          <w:iCs/>
          <w:spacing w:val="-4"/>
          <w:lang w:eastAsia="ja-JP"/>
        </w:rPr>
        <w:t>and</w:t>
      </w:r>
    </w:p>
    <w:p w:rsidR="002E5E44" w:rsidRDefault="002E5E44" w:rsidP="000A3C60">
      <w:pPr>
        <w:pStyle w:val="DecisionParagraphs"/>
        <w:keepLines/>
        <w:tabs>
          <w:tab w:val="left" w:pos="5954"/>
        </w:tabs>
        <w:rPr>
          <w:iCs/>
          <w:spacing w:val="-4"/>
          <w:lang w:eastAsia="ja-JP"/>
        </w:rPr>
      </w:pPr>
    </w:p>
    <w:p w:rsidR="002E5E44" w:rsidRDefault="002E5E44" w:rsidP="000A3C60">
      <w:pPr>
        <w:pStyle w:val="DecisionParagraphs"/>
        <w:keepLines/>
        <w:tabs>
          <w:tab w:val="left" w:pos="5954"/>
        </w:tabs>
        <w:rPr>
          <w:lang w:eastAsia="ja-JP"/>
        </w:rPr>
      </w:pPr>
      <w:r>
        <w:rPr>
          <w:rFonts w:hint="eastAsia"/>
          <w:iCs/>
          <w:spacing w:val="-4"/>
          <w:lang w:eastAsia="ja-JP"/>
        </w:rPr>
        <w:tab/>
        <w:t>(c</w:t>
      </w:r>
      <w:r w:rsidR="00B97A4A">
        <w:rPr>
          <w:rFonts w:hint="eastAsia"/>
          <w:iCs/>
          <w:spacing w:val="-4"/>
          <w:lang w:eastAsia="ja-JP"/>
        </w:rPr>
        <w:t>)</w:t>
      </w:r>
      <w:r w:rsidR="00B97A4A">
        <w:rPr>
          <w:rFonts w:hint="eastAsia"/>
          <w:iCs/>
          <w:spacing w:val="-4"/>
          <w:lang w:eastAsia="ja-JP"/>
        </w:rPr>
        <w:tab/>
      </w:r>
      <w:proofErr w:type="gramStart"/>
      <w:r w:rsidR="001A7A88">
        <w:rPr>
          <w:rFonts w:hint="eastAsia"/>
          <w:lang w:eastAsia="ja-JP"/>
        </w:rPr>
        <w:t>consider</w:t>
      </w:r>
      <w:proofErr w:type="gramEnd"/>
      <w:r w:rsidR="001A7A88">
        <w:rPr>
          <w:rFonts w:hint="eastAsia"/>
          <w:lang w:eastAsia="ja-JP"/>
        </w:rPr>
        <w:t xml:space="preserve"> whether </w:t>
      </w:r>
      <w:r w:rsidR="00D50768" w:rsidRPr="00D50768">
        <w:rPr>
          <w:lang w:eastAsia="ja-JP"/>
        </w:rPr>
        <w:t xml:space="preserve">to investigate further </w:t>
      </w:r>
      <w:r>
        <w:rPr>
          <w:rFonts w:hint="eastAsia"/>
          <w:lang w:eastAsia="ja-JP"/>
        </w:rPr>
        <w:t xml:space="preserve">the availability of </w:t>
      </w:r>
      <w:r w:rsidR="00D50768">
        <w:rPr>
          <w:rFonts w:hint="eastAsia"/>
          <w:lang w:eastAsia="ja-JP"/>
        </w:rPr>
        <w:t xml:space="preserve">a </w:t>
      </w:r>
      <w:r w:rsidR="00D50768" w:rsidRPr="00D50768">
        <w:rPr>
          <w:lang w:eastAsia="ja-JP"/>
        </w:rPr>
        <w:t>list</w:t>
      </w:r>
      <w:r>
        <w:rPr>
          <w:rFonts w:hint="eastAsia"/>
          <w:lang w:eastAsia="ja-JP"/>
        </w:rPr>
        <w:t xml:space="preserve"> of common comparatives/superlatives.</w:t>
      </w:r>
    </w:p>
    <w:p w:rsidR="002E5E44" w:rsidRDefault="002E5E44" w:rsidP="000A3C60">
      <w:pPr>
        <w:pStyle w:val="DecisionParagraphs"/>
        <w:keepLines/>
        <w:tabs>
          <w:tab w:val="left" w:pos="5954"/>
        </w:tabs>
        <w:rPr>
          <w:lang w:eastAsia="ja-JP"/>
        </w:rPr>
      </w:pPr>
    </w:p>
    <w:p w:rsidR="002E5E44" w:rsidRDefault="002E5E44" w:rsidP="000A3C60">
      <w:pPr>
        <w:pStyle w:val="DecisionParagraphs"/>
        <w:keepLines/>
        <w:tabs>
          <w:tab w:val="left" w:pos="5954"/>
        </w:tabs>
        <w:rPr>
          <w:lang w:eastAsia="ja-JP"/>
        </w:rPr>
      </w:pPr>
    </w:p>
    <w:p w:rsidR="002E5E44" w:rsidRDefault="002E5E44" w:rsidP="000A3C60">
      <w:pPr>
        <w:pStyle w:val="DecisionParagraphs"/>
        <w:keepLines/>
        <w:tabs>
          <w:tab w:val="left" w:pos="5954"/>
        </w:tabs>
        <w:rPr>
          <w:lang w:eastAsia="ja-JP"/>
        </w:rPr>
      </w:pPr>
    </w:p>
    <w:p w:rsidR="004808B4" w:rsidRDefault="002E5E44" w:rsidP="004808B4">
      <w:pPr>
        <w:jc w:val="right"/>
        <w:rPr>
          <w:snapToGrid w:val="0"/>
          <w:lang w:eastAsia="ja-JP"/>
        </w:rPr>
      </w:pPr>
      <w:r>
        <w:rPr>
          <w:snapToGrid w:val="0"/>
          <w:lang w:eastAsia="ja-JP"/>
        </w:rPr>
        <w:t xml:space="preserve"> </w:t>
      </w:r>
      <w:r w:rsidR="004808B4">
        <w:rPr>
          <w:snapToGrid w:val="0"/>
          <w:lang w:eastAsia="ja-JP"/>
        </w:rPr>
        <w:t>[</w:t>
      </w:r>
      <w:r w:rsidR="00D50768">
        <w:rPr>
          <w:rFonts w:hint="eastAsia"/>
          <w:snapToGrid w:val="0"/>
          <w:lang w:eastAsia="ja-JP"/>
        </w:rPr>
        <w:t>End of document</w:t>
      </w:r>
      <w:r w:rsidR="004808B4">
        <w:rPr>
          <w:snapToGrid w:val="0"/>
          <w:lang w:eastAsia="ja-JP"/>
        </w:rPr>
        <w:t>]</w:t>
      </w:r>
    </w:p>
    <w:p w:rsidR="004808B4" w:rsidRDefault="004808B4" w:rsidP="004808B4">
      <w:pPr>
        <w:jc w:val="right"/>
        <w:rPr>
          <w:snapToGrid w:val="0"/>
          <w:lang w:eastAsia="ja-JP"/>
        </w:rPr>
      </w:pPr>
    </w:p>
    <w:p w:rsidR="00E129F7" w:rsidRDefault="00E129F7" w:rsidP="004808B4">
      <w:pPr>
        <w:jc w:val="right"/>
        <w:rPr>
          <w:snapToGrid w:val="0"/>
          <w:lang w:eastAsia="ja-JP"/>
        </w:rPr>
      </w:pPr>
    </w:p>
    <w:sectPr w:rsidR="00E129F7" w:rsidSect="00E129F7">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31" w:rsidRDefault="00754431">
      <w:r>
        <w:separator/>
      </w:r>
    </w:p>
    <w:p w:rsidR="00754431" w:rsidRDefault="00754431"/>
    <w:p w:rsidR="00754431" w:rsidRDefault="00754431"/>
  </w:endnote>
  <w:endnote w:type="continuationSeparator" w:id="0">
    <w:p w:rsidR="00754431" w:rsidRDefault="00754431">
      <w:r>
        <w:separator/>
      </w:r>
    </w:p>
    <w:p w:rsidR="00754431" w:rsidRPr="00664515" w:rsidRDefault="00754431">
      <w:pPr>
        <w:pStyle w:val="Footer"/>
        <w:spacing w:after="60"/>
        <w:rPr>
          <w:sz w:val="18"/>
          <w:lang w:val="fr-CH"/>
        </w:rPr>
      </w:pPr>
      <w:r w:rsidRPr="00664515">
        <w:rPr>
          <w:sz w:val="18"/>
          <w:lang w:val="fr-CH"/>
        </w:rPr>
        <w:t>[Suite de la note de la page précédente]</w:t>
      </w:r>
    </w:p>
    <w:p w:rsidR="00754431" w:rsidRPr="00664515" w:rsidRDefault="00754431">
      <w:pPr>
        <w:rPr>
          <w:lang w:val="fr-CH"/>
        </w:rPr>
      </w:pPr>
    </w:p>
    <w:p w:rsidR="00754431" w:rsidRPr="00664515" w:rsidRDefault="00754431">
      <w:pPr>
        <w:rPr>
          <w:lang w:val="fr-CH"/>
        </w:rPr>
      </w:pPr>
    </w:p>
  </w:endnote>
  <w:endnote w:type="continuationNotice" w:id="1">
    <w:p w:rsidR="00754431" w:rsidRPr="00664515" w:rsidRDefault="00754431">
      <w:pPr>
        <w:spacing w:before="60"/>
        <w:jc w:val="right"/>
        <w:rPr>
          <w:sz w:val="18"/>
          <w:lang w:val="fr-CH"/>
        </w:rPr>
      </w:pPr>
      <w:r w:rsidRPr="00664515">
        <w:rPr>
          <w:sz w:val="18"/>
          <w:lang w:val="fr-CH"/>
        </w:rPr>
        <w:t>[Suite de la note page suivante]</w:t>
      </w:r>
    </w:p>
    <w:p w:rsidR="00754431" w:rsidRPr="00664515" w:rsidRDefault="00754431">
      <w:pPr>
        <w:rPr>
          <w:lang w:val="fr-CH"/>
        </w:rPr>
      </w:pPr>
    </w:p>
    <w:p w:rsidR="00754431" w:rsidRPr="00664515" w:rsidRDefault="0075443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31" w:rsidRDefault="00754431" w:rsidP="009D690D">
      <w:pPr>
        <w:spacing w:before="120"/>
      </w:pPr>
      <w:r>
        <w:separator/>
      </w:r>
    </w:p>
  </w:footnote>
  <w:footnote w:type="continuationSeparator" w:id="0">
    <w:p w:rsidR="00754431" w:rsidRDefault="00754431" w:rsidP="00520297">
      <w:pPr>
        <w:spacing w:before="120"/>
        <w:jc w:val="left"/>
      </w:pPr>
      <w:r>
        <w:separator/>
      </w:r>
    </w:p>
  </w:footnote>
  <w:footnote w:type="continuationNotice" w:id="1">
    <w:p w:rsidR="00754431" w:rsidRDefault="00754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31" w:rsidRDefault="00754431" w:rsidP="00E23920">
    <w:pPr>
      <w:jc w:val="center"/>
      <w:rPr>
        <w:rStyle w:val="PageNumber"/>
        <w:lang w:eastAsia="ja-JP"/>
      </w:rPr>
    </w:pPr>
    <w:r>
      <w:rPr>
        <w:rStyle w:val="PageNumber"/>
        <w:rFonts w:hint="eastAsia"/>
        <w:lang w:eastAsia="ja-JP"/>
      </w:rPr>
      <w:t>UPOV/WG-DEN/1/</w:t>
    </w:r>
    <w:r w:rsidR="00E129F7">
      <w:rPr>
        <w:rStyle w:val="PageNumber"/>
        <w:rFonts w:hint="eastAsia"/>
        <w:lang w:eastAsia="ja-JP"/>
      </w:rPr>
      <w:t>5</w:t>
    </w:r>
  </w:p>
  <w:p w:rsidR="00754431" w:rsidRPr="00997029" w:rsidRDefault="00754431"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10AEE">
      <w:rPr>
        <w:rStyle w:val="PageNumber"/>
        <w:noProof/>
      </w:rPr>
      <w:t>3</w:t>
    </w:r>
    <w:r w:rsidRPr="00997029">
      <w:rPr>
        <w:rStyle w:val="PageNumber"/>
      </w:rPr>
      <w:fldChar w:fldCharType="end"/>
    </w:r>
  </w:p>
  <w:p w:rsidR="00754431" w:rsidRPr="00997029" w:rsidRDefault="00754431"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282C"/>
    <w:multiLevelType w:val="hybridMultilevel"/>
    <w:tmpl w:val="9B2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B7188"/>
    <w:multiLevelType w:val="hybridMultilevel"/>
    <w:tmpl w:val="F2D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1076D"/>
    <w:rsid w:val="00010CF3"/>
    <w:rsid w:val="00011E27"/>
    <w:rsid w:val="000148BC"/>
    <w:rsid w:val="00020BFA"/>
    <w:rsid w:val="00024AB8"/>
    <w:rsid w:val="00036028"/>
    <w:rsid w:val="00037A85"/>
    <w:rsid w:val="00041C75"/>
    <w:rsid w:val="000446B9"/>
    <w:rsid w:val="00046697"/>
    <w:rsid w:val="00047E21"/>
    <w:rsid w:val="0006472C"/>
    <w:rsid w:val="00076126"/>
    <w:rsid w:val="000825CE"/>
    <w:rsid w:val="00085505"/>
    <w:rsid w:val="000861F9"/>
    <w:rsid w:val="00092F1C"/>
    <w:rsid w:val="000955BC"/>
    <w:rsid w:val="00097BB4"/>
    <w:rsid w:val="000A3C60"/>
    <w:rsid w:val="000B67FF"/>
    <w:rsid w:val="000C4B48"/>
    <w:rsid w:val="000C4D17"/>
    <w:rsid w:val="000C7021"/>
    <w:rsid w:val="000D1B39"/>
    <w:rsid w:val="000D1EA8"/>
    <w:rsid w:val="000D492E"/>
    <w:rsid w:val="000D6BBC"/>
    <w:rsid w:val="000D7780"/>
    <w:rsid w:val="00105929"/>
    <w:rsid w:val="00110481"/>
    <w:rsid w:val="001131D5"/>
    <w:rsid w:val="00123458"/>
    <w:rsid w:val="001318E9"/>
    <w:rsid w:val="00140C66"/>
    <w:rsid w:val="00141DB8"/>
    <w:rsid w:val="001449AB"/>
    <w:rsid w:val="00145C8B"/>
    <w:rsid w:val="00155F6F"/>
    <w:rsid w:val="00171032"/>
    <w:rsid w:val="0017474A"/>
    <w:rsid w:val="001758C6"/>
    <w:rsid w:val="00180CB7"/>
    <w:rsid w:val="00197777"/>
    <w:rsid w:val="001A2505"/>
    <w:rsid w:val="001A7A88"/>
    <w:rsid w:val="001C3335"/>
    <w:rsid w:val="001C3DF3"/>
    <w:rsid w:val="001C4984"/>
    <w:rsid w:val="001D3124"/>
    <w:rsid w:val="001E1FCC"/>
    <w:rsid w:val="001F1F2A"/>
    <w:rsid w:val="001F5558"/>
    <w:rsid w:val="00201CBB"/>
    <w:rsid w:val="002113CC"/>
    <w:rsid w:val="0021332C"/>
    <w:rsid w:val="00213982"/>
    <w:rsid w:val="00221A83"/>
    <w:rsid w:val="002341F7"/>
    <w:rsid w:val="00237C7D"/>
    <w:rsid w:val="0024416D"/>
    <w:rsid w:val="00257ACE"/>
    <w:rsid w:val="002627FF"/>
    <w:rsid w:val="00265B83"/>
    <w:rsid w:val="0027309C"/>
    <w:rsid w:val="002800A0"/>
    <w:rsid w:val="00280FCF"/>
    <w:rsid w:val="00281060"/>
    <w:rsid w:val="0029439F"/>
    <w:rsid w:val="002A5BE3"/>
    <w:rsid w:val="002A6E50"/>
    <w:rsid w:val="002B2C4B"/>
    <w:rsid w:val="002C256A"/>
    <w:rsid w:val="002C7B60"/>
    <w:rsid w:val="002D000D"/>
    <w:rsid w:val="002D06F6"/>
    <w:rsid w:val="002E04ED"/>
    <w:rsid w:val="002E2D47"/>
    <w:rsid w:val="002E5E44"/>
    <w:rsid w:val="002E7BA1"/>
    <w:rsid w:val="002F78FA"/>
    <w:rsid w:val="00300917"/>
    <w:rsid w:val="00305A7F"/>
    <w:rsid w:val="00313CFE"/>
    <w:rsid w:val="003152FE"/>
    <w:rsid w:val="00315B5E"/>
    <w:rsid w:val="00327436"/>
    <w:rsid w:val="00331016"/>
    <w:rsid w:val="00344BD6"/>
    <w:rsid w:val="0035528D"/>
    <w:rsid w:val="00361821"/>
    <w:rsid w:val="00364346"/>
    <w:rsid w:val="00367A2E"/>
    <w:rsid w:val="0038194C"/>
    <w:rsid w:val="0038410B"/>
    <w:rsid w:val="003A17C8"/>
    <w:rsid w:val="003C563E"/>
    <w:rsid w:val="003C7F21"/>
    <w:rsid w:val="003D227C"/>
    <w:rsid w:val="003D2B4D"/>
    <w:rsid w:val="003E362A"/>
    <w:rsid w:val="003E5E33"/>
    <w:rsid w:val="003F6136"/>
    <w:rsid w:val="00414FD1"/>
    <w:rsid w:val="00415F5E"/>
    <w:rsid w:val="00420575"/>
    <w:rsid w:val="004232F3"/>
    <w:rsid w:val="00427139"/>
    <w:rsid w:val="00432DA8"/>
    <w:rsid w:val="004375D4"/>
    <w:rsid w:val="00444A88"/>
    <w:rsid w:val="00447E49"/>
    <w:rsid w:val="004610BC"/>
    <w:rsid w:val="00461F5D"/>
    <w:rsid w:val="00466910"/>
    <w:rsid w:val="00467ACD"/>
    <w:rsid w:val="00467CF9"/>
    <w:rsid w:val="00474DA4"/>
    <w:rsid w:val="00476E8D"/>
    <w:rsid w:val="004808B4"/>
    <w:rsid w:val="004A26D1"/>
    <w:rsid w:val="004A34E0"/>
    <w:rsid w:val="004C0A39"/>
    <w:rsid w:val="004D047D"/>
    <w:rsid w:val="004D41BA"/>
    <w:rsid w:val="004D773A"/>
    <w:rsid w:val="004F305A"/>
    <w:rsid w:val="0050430E"/>
    <w:rsid w:val="00506F0C"/>
    <w:rsid w:val="00512164"/>
    <w:rsid w:val="00514278"/>
    <w:rsid w:val="00520297"/>
    <w:rsid w:val="00524589"/>
    <w:rsid w:val="005249F3"/>
    <w:rsid w:val="00532FB6"/>
    <w:rsid w:val="005338F9"/>
    <w:rsid w:val="00536BAB"/>
    <w:rsid w:val="0054281C"/>
    <w:rsid w:val="00551E76"/>
    <w:rsid w:val="0055268D"/>
    <w:rsid w:val="00556714"/>
    <w:rsid w:val="00560BC9"/>
    <w:rsid w:val="00562DEE"/>
    <w:rsid w:val="00572E44"/>
    <w:rsid w:val="00576BE4"/>
    <w:rsid w:val="00590C7D"/>
    <w:rsid w:val="00592E77"/>
    <w:rsid w:val="005A400A"/>
    <w:rsid w:val="005B5B69"/>
    <w:rsid w:val="005C7052"/>
    <w:rsid w:val="005C7998"/>
    <w:rsid w:val="005D17BF"/>
    <w:rsid w:val="005E165F"/>
    <w:rsid w:val="005E488D"/>
    <w:rsid w:val="00612379"/>
    <w:rsid w:val="0061555F"/>
    <w:rsid w:val="0061574C"/>
    <w:rsid w:val="00641200"/>
    <w:rsid w:val="00644738"/>
    <w:rsid w:val="00651FF1"/>
    <w:rsid w:val="00663ED8"/>
    <w:rsid w:val="00664515"/>
    <w:rsid w:val="00677BDB"/>
    <w:rsid w:val="00687EB4"/>
    <w:rsid w:val="006964E4"/>
    <w:rsid w:val="006A4218"/>
    <w:rsid w:val="006B17D2"/>
    <w:rsid w:val="006B45FA"/>
    <w:rsid w:val="006C224E"/>
    <w:rsid w:val="006C7A3D"/>
    <w:rsid w:val="006D412B"/>
    <w:rsid w:val="007000D8"/>
    <w:rsid w:val="00716D3B"/>
    <w:rsid w:val="0073271C"/>
    <w:rsid w:val="00732DEC"/>
    <w:rsid w:val="00735BD5"/>
    <w:rsid w:val="0075117E"/>
    <w:rsid w:val="00754431"/>
    <w:rsid w:val="007556F6"/>
    <w:rsid w:val="00760EEF"/>
    <w:rsid w:val="0077424B"/>
    <w:rsid w:val="00774F2C"/>
    <w:rsid w:val="00775A95"/>
    <w:rsid w:val="00777EE5"/>
    <w:rsid w:val="00784836"/>
    <w:rsid w:val="0079023E"/>
    <w:rsid w:val="007A04E8"/>
    <w:rsid w:val="007A6AF5"/>
    <w:rsid w:val="007B6853"/>
    <w:rsid w:val="007B6894"/>
    <w:rsid w:val="007C6639"/>
    <w:rsid w:val="007D0B9D"/>
    <w:rsid w:val="007D19B0"/>
    <w:rsid w:val="007E1372"/>
    <w:rsid w:val="007F498F"/>
    <w:rsid w:val="007F6A17"/>
    <w:rsid w:val="0080679D"/>
    <w:rsid w:val="008108B0"/>
    <w:rsid w:val="00811B20"/>
    <w:rsid w:val="00812178"/>
    <w:rsid w:val="00820F72"/>
    <w:rsid w:val="0082296E"/>
    <w:rsid w:val="00823CDD"/>
    <w:rsid w:val="00824099"/>
    <w:rsid w:val="008327DC"/>
    <w:rsid w:val="00836E88"/>
    <w:rsid w:val="00852407"/>
    <w:rsid w:val="00855DBD"/>
    <w:rsid w:val="00863EBE"/>
    <w:rsid w:val="00867AC1"/>
    <w:rsid w:val="00881B2B"/>
    <w:rsid w:val="00884CEA"/>
    <w:rsid w:val="00887048"/>
    <w:rsid w:val="00887DC5"/>
    <w:rsid w:val="008903DE"/>
    <w:rsid w:val="008A395B"/>
    <w:rsid w:val="008A743F"/>
    <w:rsid w:val="008A7D42"/>
    <w:rsid w:val="008B291A"/>
    <w:rsid w:val="008B51D0"/>
    <w:rsid w:val="008B5ED9"/>
    <w:rsid w:val="008C0970"/>
    <w:rsid w:val="008D2CF7"/>
    <w:rsid w:val="008D4E83"/>
    <w:rsid w:val="008D769B"/>
    <w:rsid w:val="008E793E"/>
    <w:rsid w:val="008F4A4F"/>
    <w:rsid w:val="00900C26"/>
    <w:rsid w:val="0090197F"/>
    <w:rsid w:val="00906DDC"/>
    <w:rsid w:val="00911B1D"/>
    <w:rsid w:val="009175FC"/>
    <w:rsid w:val="00934E09"/>
    <w:rsid w:val="00936253"/>
    <w:rsid w:val="00937C60"/>
    <w:rsid w:val="00952258"/>
    <w:rsid w:val="0095578A"/>
    <w:rsid w:val="00970FED"/>
    <w:rsid w:val="00975AD5"/>
    <w:rsid w:val="00987428"/>
    <w:rsid w:val="00994913"/>
    <w:rsid w:val="00997029"/>
    <w:rsid w:val="009B1DCB"/>
    <w:rsid w:val="009B1E28"/>
    <w:rsid w:val="009C3F49"/>
    <w:rsid w:val="009C5A31"/>
    <w:rsid w:val="009D0DE5"/>
    <w:rsid w:val="009D690D"/>
    <w:rsid w:val="009E65B6"/>
    <w:rsid w:val="009F1D52"/>
    <w:rsid w:val="009F2140"/>
    <w:rsid w:val="00A229BD"/>
    <w:rsid w:val="00A42AC3"/>
    <w:rsid w:val="00A430CF"/>
    <w:rsid w:val="00A5407B"/>
    <w:rsid w:val="00A54309"/>
    <w:rsid w:val="00A62978"/>
    <w:rsid w:val="00A92D79"/>
    <w:rsid w:val="00AA2C2B"/>
    <w:rsid w:val="00AA4DD8"/>
    <w:rsid w:val="00AB2B93"/>
    <w:rsid w:val="00AE0EF1"/>
    <w:rsid w:val="00AE542E"/>
    <w:rsid w:val="00AF0CF9"/>
    <w:rsid w:val="00AF35AD"/>
    <w:rsid w:val="00B010D9"/>
    <w:rsid w:val="00B02C57"/>
    <w:rsid w:val="00B07301"/>
    <w:rsid w:val="00B224DE"/>
    <w:rsid w:val="00B26742"/>
    <w:rsid w:val="00B36D60"/>
    <w:rsid w:val="00B43A89"/>
    <w:rsid w:val="00B5271B"/>
    <w:rsid w:val="00B608C7"/>
    <w:rsid w:val="00B70BD3"/>
    <w:rsid w:val="00B734CF"/>
    <w:rsid w:val="00B84BBD"/>
    <w:rsid w:val="00B93464"/>
    <w:rsid w:val="00B974BF"/>
    <w:rsid w:val="00B97A4A"/>
    <w:rsid w:val="00BA2E7D"/>
    <w:rsid w:val="00BA43FB"/>
    <w:rsid w:val="00BA50FB"/>
    <w:rsid w:val="00BC127D"/>
    <w:rsid w:val="00BC1FE6"/>
    <w:rsid w:val="00BC2AB9"/>
    <w:rsid w:val="00BD4C24"/>
    <w:rsid w:val="00BF0056"/>
    <w:rsid w:val="00BF009E"/>
    <w:rsid w:val="00BF29F6"/>
    <w:rsid w:val="00BF786F"/>
    <w:rsid w:val="00C01892"/>
    <w:rsid w:val="00C05087"/>
    <w:rsid w:val="00C05295"/>
    <w:rsid w:val="00C061B6"/>
    <w:rsid w:val="00C10AEE"/>
    <w:rsid w:val="00C118C9"/>
    <w:rsid w:val="00C147FB"/>
    <w:rsid w:val="00C151E1"/>
    <w:rsid w:val="00C20680"/>
    <w:rsid w:val="00C21DBF"/>
    <w:rsid w:val="00C2446C"/>
    <w:rsid w:val="00C271B7"/>
    <w:rsid w:val="00C36907"/>
    <w:rsid w:val="00C36AE5"/>
    <w:rsid w:val="00C406C5"/>
    <w:rsid w:val="00C41F17"/>
    <w:rsid w:val="00C54BF4"/>
    <w:rsid w:val="00C5791C"/>
    <w:rsid w:val="00C66290"/>
    <w:rsid w:val="00C663DE"/>
    <w:rsid w:val="00C72B7A"/>
    <w:rsid w:val="00C86274"/>
    <w:rsid w:val="00C973F2"/>
    <w:rsid w:val="00CA3196"/>
    <w:rsid w:val="00CA774A"/>
    <w:rsid w:val="00CB4DA9"/>
    <w:rsid w:val="00CC11B0"/>
    <w:rsid w:val="00CC2302"/>
    <w:rsid w:val="00CD6966"/>
    <w:rsid w:val="00CF7E36"/>
    <w:rsid w:val="00D02B72"/>
    <w:rsid w:val="00D02FD2"/>
    <w:rsid w:val="00D06623"/>
    <w:rsid w:val="00D201F5"/>
    <w:rsid w:val="00D233D8"/>
    <w:rsid w:val="00D24210"/>
    <w:rsid w:val="00D3708D"/>
    <w:rsid w:val="00D40426"/>
    <w:rsid w:val="00D50768"/>
    <w:rsid w:val="00D511BA"/>
    <w:rsid w:val="00D57C96"/>
    <w:rsid w:val="00D67433"/>
    <w:rsid w:val="00D82CA6"/>
    <w:rsid w:val="00D91203"/>
    <w:rsid w:val="00D95174"/>
    <w:rsid w:val="00D95A5C"/>
    <w:rsid w:val="00DA6F36"/>
    <w:rsid w:val="00DB10E5"/>
    <w:rsid w:val="00DB2E0B"/>
    <w:rsid w:val="00DC00EA"/>
    <w:rsid w:val="00DD7A3C"/>
    <w:rsid w:val="00E040B2"/>
    <w:rsid w:val="00E10886"/>
    <w:rsid w:val="00E129F7"/>
    <w:rsid w:val="00E23920"/>
    <w:rsid w:val="00E3024F"/>
    <w:rsid w:val="00E419C7"/>
    <w:rsid w:val="00E6173C"/>
    <w:rsid w:val="00E72D49"/>
    <w:rsid w:val="00E7593C"/>
    <w:rsid w:val="00E75A37"/>
    <w:rsid w:val="00E7678A"/>
    <w:rsid w:val="00E935F1"/>
    <w:rsid w:val="00E94A81"/>
    <w:rsid w:val="00E95D7F"/>
    <w:rsid w:val="00EA1089"/>
    <w:rsid w:val="00EA1FFB"/>
    <w:rsid w:val="00EA4CFC"/>
    <w:rsid w:val="00EB048E"/>
    <w:rsid w:val="00EB2DE0"/>
    <w:rsid w:val="00EB3EFA"/>
    <w:rsid w:val="00EB53E3"/>
    <w:rsid w:val="00EC351F"/>
    <w:rsid w:val="00EF2F89"/>
    <w:rsid w:val="00F038C5"/>
    <w:rsid w:val="00F04DEB"/>
    <w:rsid w:val="00F1237A"/>
    <w:rsid w:val="00F21316"/>
    <w:rsid w:val="00F22CBD"/>
    <w:rsid w:val="00F30997"/>
    <w:rsid w:val="00F349B3"/>
    <w:rsid w:val="00F37961"/>
    <w:rsid w:val="00F45897"/>
    <w:rsid w:val="00F6334D"/>
    <w:rsid w:val="00F73F12"/>
    <w:rsid w:val="00F85186"/>
    <w:rsid w:val="00F91828"/>
    <w:rsid w:val="00F932DC"/>
    <w:rsid w:val="00FA4556"/>
    <w:rsid w:val="00FA49AB"/>
    <w:rsid w:val="00FB0D37"/>
    <w:rsid w:val="00FB19DE"/>
    <w:rsid w:val="00FB6651"/>
    <w:rsid w:val="00FC6CEF"/>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8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16C2-150A-47EB-8DDF-821668B4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474</TotalTime>
  <Pages>3</Pages>
  <Words>1074</Words>
  <Characters>6423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KOIDE Jun</cp:lastModifiedBy>
  <cp:revision>21</cp:revision>
  <cp:lastPrinted>2016-03-03T08:08:00Z</cp:lastPrinted>
  <dcterms:created xsi:type="dcterms:W3CDTF">2016-02-16T07:30:00Z</dcterms:created>
  <dcterms:modified xsi:type="dcterms:W3CDTF">2016-03-03T08:09:00Z</dcterms:modified>
</cp:coreProperties>
</file>