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997029" w:rsidTr="00FB0D37">
        <w:trPr>
          <w:trHeight w:val="1760"/>
        </w:trPr>
        <w:tc>
          <w:tcPr>
            <w:tcW w:w="4243" w:type="dxa"/>
          </w:tcPr>
          <w:p w:rsidR="000D7780" w:rsidRPr="00997029" w:rsidRDefault="000D7780" w:rsidP="007D0B9D"/>
        </w:tc>
        <w:tc>
          <w:tcPr>
            <w:tcW w:w="1646" w:type="dxa"/>
            <w:vAlign w:val="center"/>
          </w:tcPr>
          <w:p w:rsidR="000D7780" w:rsidRPr="00576BE4" w:rsidRDefault="00110481" w:rsidP="00576BE4">
            <w:pPr>
              <w:pStyle w:val="LogoUPOV"/>
            </w:pPr>
            <w:r>
              <w:rPr>
                <w:noProof/>
              </w:rPr>
              <w:drawing>
                <wp:inline distT="0" distB="0" distL="0" distR="0" wp14:anchorId="47FD26BC" wp14:editId="55C3D0D7">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997029" w:rsidRDefault="0024416D" w:rsidP="00576BE4">
            <w:pPr>
              <w:pStyle w:val="Lettrine"/>
            </w:pPr>
            <w:r w:rsidRPr="00997029">
              <w:t>E</w:t>
            </w:r>
          </w:p>
          <w:p w:rsidR="000D7780" w:rsidRPr="00997029" w:rsidRDefault="004A26D1" w:rsidP="00474DA4">
            <w:pPr>
              <w:pStyle w:val="Docoriginal"/>
              <w:jc w:val="left"/>
            </w:pPr>
            <w:r>
              <w:rPr>
                <w:rFonts w:hint="eastAsia"/>
                <w:lang w:eastAsia="ja-JP"/>
              </w:rPr>
              <w:t>UPOV/WG-DEN/1/2</w:t>
            </w:r>
            <w:bookmarkStart w:id="0" w:name="Code"/>
            <w:bookmarkEnd w:id="0"/>
          </w:p>
          <w:p w:rsidR="000D7780" w:rsidRPr="00735BD5" w:rsidRDefault="0061555F" w:rsidP="00474DA4">
            <w:pPr>
              <w:pStyle w:val="Docoriginal"/>
              <w:jc w:val="left"/>
            </w:pPr>
            <w:r w:rsidRPr="00CA774A">
              <w:rPr>
                <w:rStyle w:val="StyleDoclangBold"/>
                <w:b/>
                <w:bCs/>
                <w:spacing w:val="0"/>
              </w:rPr>
              <w:t>ORIGINAL</w:t>
            </w:r>
            <w:r w:rsidR="000D7780" w:rsidRPr="00CA774A">
              <w:rPr>
                <w:rStyle w:val="StyleDoclangBold"/>
                <w:b/>
                <w:bCs/>
                <w:spacing w:val="0"/>
              </w:rPr>
              <w:t>:</w:t>
            </w:r>
            <w:r w:rsidRPr="00CA774A">
              <w:rPr>
                <w:rStyle w:val="StyleDocoriginalNotBold1"/>
                <w:spacing w:val="0"/>
              </w:rPr>
              <w:t xml:space="preserve"> </w:t>
            </w:r>
            <w:r w:rsidR="000D7780" w:rsidRPr="00CA774A">
              <w:rPr>
                <w:rStyle w:val="StyleDocoriginalNotBold1"/>
                <w:spacing w:val="0"/>
              </w:rPr>
              <w:t xml:space="preserve"> </w:t>
            </w:r>
            <w:bookmarkStart w:id="1" w:name="Original"/>
            <w:bookmarkEnd w:id="1"/>
            <w:r w:rsidR="0024416D" w:rsidRPr="00CA774A">
              <w:rPr>
                <w:b w:val="0"/>
                <w:spacing w:val="0"/>
              </w:rPr>
              <w:t>English</w:t>
            </w:r>
          </w:p>
          <w:p w:rsidR="000D7780" w:rsidRPr="00EB3EFA" w:rsidRDefault="000D7780" w:rsidP="009219E3">
            <w:pPr>
              <w:pStyle w:val="Docoriginal"/>
              <w:jc w:val="left"/>
              <w:rPr>
                <w:b w:val="0"/>
                <w:spacing w:val="0"/>
                <w:highlight w:val="cyan"/>
                <w:lang w:eastAsia="ja-JP"/>
              </w:rPr>
            </w:pPr>
            <w:r w:rsidRPr="00CA774A">
              <w:rPr>
                <w:spacing w:val="0"/>
              </w:rPr>
              <w:t>DATE:</w:t>
            </w:r>
            <w:r w:rsidR="0061555F" w:rsidRPr="00CA774A">
              <w:rPr>
                <w:b w:val="0"/>
                <w:spacing w:val="0"/>
              </w:rPr>
              <w:t xml:space="preserve"> </w:t>
            </w:r>
            <w:r w:rsidRPr="00CA774A">
              <w:rPr>
                <w:rStyle w:val="StyleDocoriginalNotBold1"/>
                <w:spacing w:val="0"/>
              </w:rPr>
              <w:t xml:space="preserve"> </w:t>
            </w:r>
            <w:bookmarkStart w:id="2" w:name="Date"/>
            <w:bookmarkEnd w:id="2"/>
            <w:r w:rsidR="005F4BFD">
              <w:rPr>
                <w:rStyle w:val="StyleDocoriginalNotBold1"/>
                <w:rFonts w:hint="eastAsia"/>
                <w:spacing w:val="0"/>
                <w:lang w:eastAsia="ja-JP"/>
              </w:rPr>
              <w:t xml:space="preserve">March </w:t>
            </w:r>
            <w:r w:rsidR="009219E3">
              <w:rPr>
                <w:rStyle w:val="StyleDocoriginalNotBold1"/>
                <w:spacing w:val="0"/>
                <w:lang w:eastAsia="ja-JP"/>
              </w:rPr>
              <w:t>11</w:t>
            </w:r>
            <w:r w:rsidR="00155F6F" w:rsidRPr="00265B83">
              <w:rPr>
                <w:rStyle w:val="StyleDocoriginalNotBold1"/>
                <w:spacing w:val="0"/>
              </w:rPr>
              <w:t>, 201</w:t>
            </w:r>
            <w:r w:rsidR="004A26D1">
              <w:rPr>
                <w:rStyle w:val="StyleDocoriginalNotBold1"/>
                <w:rFonts w:hint="eastAsia"/>
                <w:spacing w:val="0"/>
                <w:lang w:eastAsia="ja-JP"/>
              </w:rPr>
              <w:t>6</w:t>
            </w:r>
          </w:p>
        </w:tc>
      </w:tr>
      <w:tr w:rsidR="000D7780" w:rsidRPr="00997029" w:rsidTr="00FB0D37">
        <w:tc>
          <w:tcPr>
            <w:tcW w:w="10131" w:type="dxa"/>
            <w:gridSpan w:val="3"/>
          </w:tcPr>
          <w:p w:rsidR="000D7780" w:rsidRPr="00997029" w:rsidRDefault="0024416D" w:rsidP="0080679D">
            <w:pPr>
              <w:pStyle w:val="upove"/>
              <w:rPr>
                <w:sz w:val="28"/>
              </w:rPr>
            </w:pPr>
            <w:r w:rsidRPr="00997029">
              <w:rPr>
                <w:snapToGrid w:val="0"/>
              </w:rPr>
              <w:t xml:space="preserve">INTERNATIONAL UNION FOR THE PROTECTION OF NEW VARIETIES OF PLANTS </w:t>
            </w:r>
          </w:p>
        </w:tc>
      </w:tr>
      <w:tr w:rsidR="000D7780" w:rsidRPr="00997029" w:rsidTr="00FB0D37">
        <w:tc>
          <w:tcPr>
            <w:tcW w:w="10131" w:type="dxa"/>
            <w:gridSpan w:val="3"/>
          </w:tcPr>
          <w:p w:rsidR="000D7780" w:rsidRPr="00997029" w:rsidRDefault="00867AC1" w:rsidP="0080679D">
            <w:pPr>
              <w:pStyle w:val="Country"/>
            </w:pPr>
            <w:r w:rsidRPr="00997029">
              <w:t>Gen</w:t>
            </w:r>
            <w:r w:rsidR="0061555F" w:rsidRPr="00997029">
              <w:t>e</w:t>
            </w:r>
            <w:r w:rsidRPr="00997029">
              <w:t>v</w:t>
            </w:r>
            <w:r w:rsidR="0061555F" w:rsidRPr="00997029">
              <w:t>a</w:t>
            </w:r>
          </w:p>
        </w:tc>
      </w:tr>
    </w:tbl>
    <w:p w:rsidR="004A26D1" w:rsidRPr="00C5280D" w:rsidRDefault="004A26D1" w:rsidP="004A26D1">
      <w:pPr>
        <w:pStyle w:val="Sessiontc"/>
      </w:pPr>
      <w:bookmarkStart w:id="3" w:name="TitleOfDoc"/>
      <w:bookmarkEnd w:id="3"/>
      <w:r w:rsidRPr="00C342A7">
        <w:rPr>
          <w:lang w:eastAsia="ja-JP"/>
        </w:rPr>
        <w:t xml:space="preserve">Working Group </w:t>
      </w:r>
      <w:r>
        <w:rPr>
          <w:rFonts w:hint="eastAsia"/>
          <w:lang w:eastAsia="ja-JP"/>
        </w:rPr>
        <w:t xml:space="preserve">on variety </w:t>
      </w:r>
      <w:r w:rsidRPr="00C342A7">
        <w:rPr>
          <w:lang w:eastAsia="ja-JP"/>
        </w:rPr>
        <w:t>Denomination</w:t>
      </w:r>
    </w:p>
    <w:p w:rsidR="004A26D1" w:rsidRDefault="004A26D1" w:rsidP="004A26D1">
      <w:pPr>
        <w:pStyle w:val="Sessiontcplacedate"/>
        <w:rPr>
          <w:lang w:eastAsia="ja-JP"/>
        </w:rPr>
      </w:pPr>
      <w:r>
        <w:rPr>
          <w:rFonts w:hint="eastAsia"/>
          <w:lang w:eastAsia="ja-JP"/>
        </w:rPr>
        <w:t>First</w:t>
      </w:r>
      <w:r>
        <w:t xml:space="preserve"> Meeting</w:t>
      </w:r>
      <w:r>
        <w:br/>
      </w:r>
      <w:r>
        <w:rPr>
          <w:rFonts w:cs="Arial" w:hint="eastAsia"/>
          <w:lang w:eastAsia="ja-JP"/>
        </w:rPr>
        <w:t>Geneva</w:t>
      </w:r>
      <w:r w:rsidRPr="00C5280D">
        <w:t>,</w:t>
      </w:r>
      <w:r>
        <w:t xml:space="preserve"> </w:t>
      </w:r>
      <w:r>
        <w:rPr>
          <w:rFonts w:hint="eastAsia"/>
          <w:lang w:eastAsia="ja-JP"/>
        </w:rPr>
        <w:t>March 18</w:t>
      </w:r>
      <w:r>
        <w:t>, 201</w:t>
      </w:r>
      <w:r>
        <w:rPr>
          <w:rFonts w:hint="eastAsia"/>
          <w:lang w:eastAsia="ja-JP"/>
        </w:rPr>
        <w:t>6</w:t>
      </w:r>
    </w:p>
    <w:p w:rsidR="000D7780" w:rsidRPr="00997029" w:rsidRDefault="000036AE" w:rsidP="0080679D">
      <w:pPr>
        <w:pStyle w:val="Titleofdoc0"/>
        <w:rPr>
          <w:lang w:eastAsia="ja-JP"/>
        </w:rPr>
      </w:pPr>
      <w:r>
        <w:rPr>
          <w:rFonts w:cs="Arial"/>
          <w:sz w:val="19"/>
          <w:szCs w:val="19"/>
        </w:rPr>
        <w:t xml:space="preserve">Revision of document UPOV/INF/12/5 “Explanatory </w:t>
      </w:r>
      <w:r w:rsidR="00962228">
        <w:rPr>
          <w:rFonts w:cs="Arial"/>
          <w:sz w:val="19"/>
          <w:szCs w:val="19"/>
        </w:rPr>
        <w:t>Notes on Variety DenominatiO</w:t>
      </w:r>
      <w:r w:rsidR="00E11E29">
        <w:rPr>
          <w:rFonts w:cs="Arial"/>
          <w:sz w:val="19"/>
          <w:szCs w:val="19"/>
        </w:rPr>
        <w:t>ns</w:t>
      </w:r>
      <w:r w:rsidR="008767E4">
        <w:rPr>
          <w:rFonts w:cs="Arial"/>
          <w:sz w:val="19"/>
          <w:szCs w:val="19"/>
        </w:rPr>
        <w:br/>
      </w:r>
      <w:r w:rsidR="00962228">
        <w:rPr>
          <w:rFonts w:cs="Arial"/>
          <w:sz w:val="19"/>
          <w:szCs w:val="19"/>
        </w:rPr>
        <w:t>under the UPOv ConVention</w:t>
      </w:r>
      <w:r w:rsidR="00E11E29">
        <w:rPr>
          <w:rFonts w:cs="Arial"/>
          <w:sz w:val="19"/>
          <w:szCs w:val="19"/>
        </w:rPr>
        <w:t>”</w:t>
      </w:r>
    </w:p>
    <w:p w:rsidR="000D7780" w:rsidRPr="00997029" w:rsidRDefault="00AE0EF1" w:rsidP="0080679D">
      <w:pPr>
        <w:pStyle w:val="preparedby1"/>
      </w:pPr>
      <w:bookmarkStart w:id="4" w:name="Prepared"/>
      <w:bookmarkEnd w:id="4"/>
      <w:r w:rsidRPr="001C4984">
        <w:t xml:space="preserve">Document </w:t>
      </w:r>
      <w:r w:rsidR="0061555F" w:rsidRPr="001C4984">
        <w:t>prepared by the Office of the Union</w:t>
      </w:r>
      <w:r w:rsidR="00836E88">
        <w:br/>
      </w:r>
      <w:r w:rsidR="00836E88">
        <w:br/>
      </w:r>
      <w:r w:rsidR="00836E88" w:rsidRPr="00B62F85">
        <w:rPr>
          <w:color w:val="A6A6A6" w:themeColor="background1" w:themeShade="A6"/>
        </w:rPr>
        <w:t>Disclaimer:  this document does not repr</w:t>
      </w:r>
      <w:r w:rsidR="00C21DBF">
        <w:rPr>
          <w:color w:val="A6A6A6" w:themeColor="background1" w:themeShade="A6"/>
        </w:rPr>
        <w:t>esent UPOV policies or guidance</w:t>
      </w:r>
    </w:p>
    <w:p w:rsidR="00B734CF" w:rsidRPr="00E10886" w:rsidRDefault="00B734CF" w:rsidP="009175FC">
      <w:pPr>
        <w:pStyle w:val="Heading1"/>
        <w:rPr>
          <w:lang w:eastAsia="ja-JP"/>
        </w:rPr>
      </w:pPr>
      <w:bookmarkStart w:id="5" w:name="_Toc387757149"/>
      <w:bookmarkStart w:id="6" w:name="_Toc404931496"/>
      <w:bookmarkStart w:id="7" w:name="_Toc404931550"/>
      <w:bookmarkStart w:id="8" w:name="_Toc404931721"/>
      <w:bookmarkStart w:id="9" w:name="_Toc404932170"/>
      <w:bookmarkStart w:id="10" w:name="_Toc404935671"/>
      <w:bookmarkStart w:id="11" w:name="_Toc410717532"/>
      <w:bookmarkStart w:id="12" w:name="_Toc427161605"/>
      <w:bookmarkStart w:id="13" w:name="_Toc445493355"/>
      <w:r w:rsidRPr="00E10886">
        <w:t>Executive summary</w:t>
      </w:r>
      <w:bookmarkEnd w:id="5"/>
      <w:bookmarkEnd w:id="6"/>
      <w:bookmarkEnd w:id="7"/>
      <w:bookmarkEnd w:id="8"/>
      <w:bookmarkEnd w:id="9"/>
      <w:bookmarkEnd w:id="10"/>
      <w:bookmarkEnd w:id="11"/>
      <w:bookmarkEnd w:id="12"/>
      <w:bookmarkEnd w:id="13"/>
    </w:p>
    <w:p w:rsidR="00B734CF" w:rsidRDefault="00B734CF" w:rsidP="0080679D">
      <w:pPr>
        <w:rPr>
          <w:snapToGrid w:val="0"/>
          <w:highlight w:val="cyan"/>
          <w:lang w:eastAsia="ja-JP"/>
        </w:rPr>
      </w:pPr>
    </w:p>
    <w:p w:rsidR="00E10886" w:rsidRDefault="00B734CF" w:rsidP="00B734CF">
      <w:pPr>
        <w:rPr>
          <w:rFonts w:cs="Arial"/>
          <w:lang w:eastAsia="ja-JP"/>
        </w:rPr>
      </w:pPr>
      <w:r w:rsidRPr="00822A3B">
        <w:rPr>
          <w:rFonts w:cs="Arial"/>
        </w:rPr>
        <w:fldChar w:fldCharType="begin"/>
      </w:r>
      <w:r w:rsidRPr="00822A3B">
        <w:rPr>
          <w:rFonts w:cs="Arial"/>
        </w:rPr>
        <w:instrText xml:space="preserve"> AUTONUM  </w:instrText>
      </w:r>
      <w:r w:rsidRPr="00822A3B">
        <w:rPr>
          <w:rFonts w:cs="Arial"/>
        </w:rPr>
        <w:fldChar w:fldCharType="end"/>
      </w:r>
      <w:r w:rsidR="00E10886">
        <w:rPr>
          <w:rFonts w:cs="Arial" w:hint="eastAsia"/>
          <w:lang w:eastAsia="ja-JP"/>
        </w:rPr>
        <w:tab/>
      </w:r>
      <w:r w:rsidR="00E10886" w:rsidRPr="00E10886">
        <w:rPr>
          <w:rFonts w:cs="Arial"/>
        </w:rPr>
        <w:t xml:space="preserve">The purpose of this document is </w:t>
      </w:r>
      <w:r w:rsidR="00962228" w:rsidRPr="0028743B">
        <w:t xml:space="preserve">to provide background information to assist the </w:t>
      </w:r>
      <w:r w:rsidR="00962228">
        <w:rPr>
          <w:snapToGrid w:val="0"/>
        </w:rPr>
        <w:t xml:space="preserve">Working Group on Variety Denominations (WG-DEN) </w:t>
      </w:r>
      <w:r w:rsidR="00962228" w:rsidRPr="0028743B">
        <w:t>in its consideration of</w:t>
      </w:r>
      <w:r w:rsidR="00962228" w:rsidRPr="00E10886">
        <w:rPr>
          <w:rFonts w:cs="Arial"/>
        </w:rPr>
        <w:t xml:space="preserve"> </w:t>
      </w:r>
      <w:r w:rsidR="00F46B45">
        <w:rPr>
          <w:rFonts w:cs="Arial"/>
        </w:rPr>
        <w:t xml:space="preserve">the proposals for </w:t>
      </w:r>
      <w:r w:rsidR="00B44915">
        <w:rPr>
          <w:rFonts w:cs="Arial" w:hint="eastAsia"/>
          <w:lang w:eastAsia="ja-JP"/>
        </w:rPr>
        <w:t>a</w:t>
      </w:r>
      <w:r w:rsidR="00F46B45">
        <w:rPr>
          <w:rFonts w:cs="Arial"/>
          <w:lang w:eastAsia="ja-JP"/>
        </w:rPr>
        <w:t xml:space="preserve"> </w:t>
      </w:r>
      <w:r w:rsidR="00E10886" w:rsidRPr="00E10886">
        <w:rPr>
          <w:rFonts w:cs="Arial"/>
        </w:rPr>
        <w:t xml:space="preserve">revision of document </w:t>
      </w:r>
      <w:r w:rsidR="00F46B45">
        <w:rPr>
          <w:rFonts w:cs="Arial"/>
        </w:rPr>
        <w:t> </w:t>
      </w:r>
      <w:r w:rsidR="00E10886" w:rsidRPr="00E10886">
        <w:rPr>
          <w:rFonts w:cs="Arial"/>
        </w:rPr>
        <w:t>UPOV/INF/12</w:t>
      </w:r>
      <w:r w:rsidR="00F46B45">
        <w:rPr>
          <w:rFonts w:cs="Arial"/>
        </w:rPr>
        <w:t>/5</w:t>
      </w:r>
      <w:r w:rsidR="00E10886" w:rsidRPr="00E10886">
        <w:rPr>
          <w:rFonts w:cs="Arial"/>
        </w:rPr>
        <w:t xml:space="preserve"> “Explanatory Notes on Variety Denominations under the UPOV Convention”</w:t>
      </w:r>
      <w:r w:rsidR="00F46B45">
        <w:rPr>
          <w:rFonts w:cs="Arial"/>
        </w:rPr>
        <w:t xml:space="preserve"> (see document UPOV/INF/12/6 Draft</w:t>
      </w:r>
      <w:r w:rsidR="009C6EBA">
        <w:rPr>
          <w:rFonts w:cs="Arial" w:hint="eastAsia"/>
          <w:lang w:eastAsia="ja-JP"/>
        </w:rPr>
        <w:t xml:space="preserve"> </w:t>
      </w:r>
      <w:r w:rsidR="00F46B45">
        <w:rPr>
          <w:rFonts w:cs="Arial"/>
        </w:rPr>
        <w:t>1).</w:t>
      </w:r>
    </w:p>
    <w:p w:rsidR="00B734CF" w:rsidRPr="00822A3B" w:rsidRDefault="00B734CF" w:rsidP="00B734CF"/>
    <w:p w:rsidR="008B5ED9" w:rsidRPr="008B5ED9" w:rsidRDefault="00B734CF" w:rsidP="008B5ED9">
      <w:pPr>
        <w:rPr>
          <w:iCs/>
          <w:spacing w:val="-4"/>
        </w:rPr>
      </w:pPr>
      <w:r w:rsidRPr="00CA3196">
        <w:fldChar w:fldCharType="begin"/>
      </w:r>
      <w:r w:rsidRPr="00CA3196">
        <w:instrText xml:space="preserve"> AUTONUM  </w:instrText>
      </w:r>
      <w:r w:rsidRPr="00CA3196">
        <w:fldChar w:fldCharType="end"/>
      </w:r>
      <w:r w:rsidRPr="00CA3196">
        <w:tab/>
      </w:r>
      <w:r w:rsidR="004610BC">
        <w:rPr>
          <w:iCs/>
          <w:spacing w:val="-4"/>
        </w:rPr>
        <w:t xml:space="preserve">The </w:t>
      </w:r>
      <w:r w:rsidR="004610BC">
        <w:rPr>
          <w:rFonts w:hint="eastAsia"/>
          <w:iCs/>
          <w:spacing w:val="-4"/>
          <w:lang w:eastAsia="ja-JP"/>
        </w:rPr>
        <w:t>WG-DEN</w:t>
      </w:r>
      <w:r w:rsidR="008B5ED9" w:rsidRPr="008B5ED9">
        <w:rPr>
          <w:iCs/>
          <w:spacing w:val="-4"/>
        </w:rPr>
        <w:t xml:space="preserve"> is invited to:</w:t>
      </w:r>
    </w:p>
    <w:p w:rsidR="008B5ED9" w:rsidRPr="008B5ED9" w:rsidRDefault="008B5ED9" w:rsidP="008B5ED9">
      <w:pPr>
        <w:rPr>
          <w:iCs/>
          <w:spacing w:val="-4"/>
        </w:rPr>
      </w:pPr>
    </w:p>
    <w:p w:rsidR="009219E3" w:rsidRPr="009219E3" w:rsidRDefault="0077424B" w:rsidP="009219E3">
      <w:pPr>
        <w:rPr>
          <w:iCs/>
          <w:spacing w:val="-4"/>
        </w:rPr>
      </w:pPr>
      <w:r>
        <w:rPr>
          <w:iCs/>
          <w:spacing w:val="-4"/>
        </w:rPr>
        <w:tab/>
        <w:t>(a</w:t>
      </w:r>
      <w:r w:rsidR="009219E3">
        <w:rPr>
          <w:iCs/>
          <w:spacing w:val="-4"/>
        </w:rPr>
        <w:t>)</w:t>
      </w:r>
      <w:r w:rsidR="009219E3">
        <w:rPr>
          <w:iCs/>
          <w:spacing w:val="-4"/>
        </w:rPr>
        <w:tab/>
      </w:r>
      <w:r w:rsidR="009219E3" w:rsidRPr="009219E3">
        <w:rPr>
          <w:iCs/>
          <w:spacing w:val="-4"/>
        </w:rPr>
        <w:t xml:space="preserve">note the developments reported in this document; and </w:t>
      </w:r>
    </w:p>
    <w:p w:rsidR="009219E3" w:rsidRPr="009219E3" w:rsidRDefault="009219E3" w:rsidP="009219E3">
      <w:pPr>
        <w:rPr>
          <w:iCs/>
          <w:spacing w:val="-4"/>
        </w:rPr>
      </w:pPr>
    </w:p>
    <w:p w:rsidR="008B5ED9" w:rsidRPr="008B5ED9" w:rsidRDefault="009219E3" w:rsidP="009219E3">
      <w:pPr>
        <w:rPr>
          <w:iCs/>
          <w:spacing w:val="-4"/>
        </w:rPr>
      </w:pPr>
      <w:r w:rsidRPr="009219E3">
        <w:rPr>
          <w:iCs/>
          <w:spacing w:val="-4"/>
        </w:rPr>
        <w:tab/>
        <w:t>(b)</w:t>
      </w:r>
      <w:r w:rsidRPr="009219E3">
        <w:rPr>
          <w:iCs/>
          <w:spacing w:val="-4"/>
        </w:rPr>
        <w:tab/>
        <w:t>consider the proposals for the revision of document  UPOV/INF/12/5 “Explanatory Notes on Variety Denominations under the UPOV Convention”</w:t>
      </w:r>
      <w:r w:rsidR="00B44915">
        <w:rPr>
          <w:rFonts w:hint="eastAsia"/>
          <w:iCs/>
          <w:spacing w:val="-4"/>
          <w:lang w:eastAsia="ja-JP"/>
        </w:rPr>
        <w:t xml:space="preserve"> as set out in </w:t>
      </w:r>
      <w:r w:rsidRPr="009219E3">
        <w:rPr>
          <w:iCs/>
          <w:spacing w:val="-4"/>
        </w:rPr>
        <w:t>document UPOV/INF/12/6 Draft1.</w:t>
      </w:r>
    </w:p>
    <w:p w:rsidR="00E11E29" w:rsidRDefault="00E11E29">
      <w:pPr>
        <w:jc w:val="left"/>
        <w:rPr>
          <w:rFonts w:cs="Arial"/>
          <w:snapToGrid w:val="0"/>
        </w:rPr>
      </w:pPr>
    </w:p>
    <w:p w:rsidR="00B734CF" w:rsidRDefault="00B734CF" w:rsidP="00B734CF">
      <w:pPr>
        <w:keepNext/>
        <w:rPr>
          <w:rFonts w:cs="Arial"/>
          <w:snapToGrid w:val="0"/>
          <w:lang w:eastAsia="ja-JP"/>
        </w:rPr>
      </w:pPr>
      <w:r w:rsidRPr="00C920D5">
        <w:rPr>
          <w:rFonts w:cs="Arial"/>
          <w:snapToGrid w:val="0"/>
        </w:rPr>
        <w:fldChar w:fldCharType="begin"/>
      </w:r>
      <w:r w:rsidRPr="00C920D5">
        <w:rPr>
          <w:rFonts w:cs="Arial"/>
          <w:snapToGrid w:val="0"/>
        </w:rPr>
        <w:instrText xml:space="preserve"> AUTONUM  </w:instrText>
      </w:r>
      <w:r w:rsidRPr="00C920D5">
        <w:rPr>
          <w:rFonts w:cs="Arial"/>
          <w:snapToGrid w:val="0"/>
        </w:rPr>
        <w:fldChar w:fldCharType="end"/>
      </w:r>
      <w:r w:rsidRPr="00C920D5">
        <w:rPr>
          <w:rFonts w:cs="Arial"/>
          <w:snapToGrid w:val="0"/>
        </w:rPr>
        <w:tab/>
      </w:r>
      <w:r>
        <w:rPr>
          <w:rFonts w:cs="Arial" w:hint="eastAsia"/>
          <w:snapToGrid w:val="0"/>
          <w:lang w:eastAsia="ja-JP"/>
        </w:rPr>
        <w:t>The structure of this document is as follows:</w:t>
      </w:r>
    </w:p>
    <w:p w:rsidR="00B734CF" w:rsidRPr="008767E4" w:rsidRDefault="00B734CF" w:rsidP="00B734CF">
      <w:pPr>
        <w:keepNext/>
        <w:rPr>
          <w:rFonts w:cs="Arial"/>
          <w:snapToGrid w:val="0"/>
          <w:sz w:val="18"/>
          <w:lang w:eastAsia="ja-JP"/>
        </w:rPr>
      </w:pPr>
    </w:p>
    <w:p w:rsidR="009C6EBA" w:rsidRPr="008767E4" w:rsidRDefault="00B734CF" w:rsidP="00DD24B7">
      <w:pPr>
        <w:pStyle w:val="TOC1"/>
        <w:rPr>
          <w:rFonts w:asciiTheme="minorHAnsi" w:hAnsiTheme="minorHAnsi" w:cstheme="minorBidi"/>
          <w:szCs w:val="22"/>
          <w:lang w:eastAsia="ja-JP"/>
        </w:rPr>
      </w:pPr>
      <w:r w:rsidRPr="008767E4">
        <w:rPr>
          <w:rFonts w:cs="Arial"/>
          <w:bCs/>
          <w:noProof w:val="0"/>
          <w:snapToGrid w:val="0"/>
          <w:sz w:val="16"/>
        </w:rPr>
        <w:fldChar w:fldCharType="begin"/>
      </w:r>
      <w:r w:rsidRPr="008767E4">
        <w:rPr>
          <w:rFonts w:cs="Arial"/>
          <w:bCs/>
          <w:snapToGrid w:val="0"/>
          <w:sz w:val="16"/>
        </w:rPr>
        <w:instrText xml:space="preserve"> TOC \o "1-3" \h \z \u </w:instrText>
      </w:r>
      <w:r w:rsidRPr="008767E4">
        <w:rPr>
          <w:rFonts w:cs="Arial"/>
          <w:bCs/>
          <w:noProof w:val="0"/>
          <w:snapToGrid w:val="0"/>
          <w:sz w:val="16"/>
        </w:rPr>
        <w:fldChar w:fldCharType="separate"/>
      </w:r>
      <w:hyperlink w:anchor="_Toc445493355" w:history="1">
        <w:r w:rsidR="009C6EBA" w:rsidRPr="008767E4">
          <w:rPr>
            <w:rStyle w:val="Hyperlink"/>
            <w:sz w:val="18"/>
          </w:rPr>
          <w:t>Executive summary</w:t>
        </w:r>
        <w:r w:rsidR="009C6EBA" w:rsidRPr="008767E4">
          <w:rPr>
            <w:webHidden/>
          </w:rPr>
          <w:tab/>
        </w:r>
        <w:r w:rsidR="009C6EBA" w:rsidRPr="008767E4">
          <w:rPr>
            <w:webHidden/>
          </w:rPr>
          <w:fldChar w:fldCharType="begin"/>
        </w:r>
        <w:r w:rsidR="009C6EBA" w:rsidRPr="008767E4">
          <w:rPr>
            <w:webHidden/>
          </w:rPr>
          <w:instrText xml:space="preserve"> PAGEREF _Toc445493355 \h </w:instrText>
        </w:r>
        <w:r w:rsidR="009C6EBA" w:rsidRPr="008767E4">
          <w:rPr>
            <w:webHidden/>
          </w:rPr>
        </w:r>
        <w:r w:rsidR="009C6EBA" w:rsidRPr="008767E4">
          <w:rPr>
            <w:webHidden/>
          </w:rPr>
          <w:fldChar w:fldCharType="separate"/>
        </w:r>
        <w:r w:rsidR="00E01260">
          <w:rPr>
            <w:webHidden/>
          </w:rPr>
          <w:t>1</w:t>
        </w:r>
        <w:r w:rsidR="009C6EBA" w:rsidRPr="008767E4">
          <w:rPr>
            <w:webHidden/>
          </w:rPr>
          <w:fldChar w:fldCharType="end"/>
        </w:r>
      </w:hyperlink>
    </w:p>
    <w:p w:rsidR="009C6EBA" w:rsidRPr="008767E4" w:rsidRDefault="00E01260" w:rsidP="00DD24B7">
      <w:pPr>
        <w:pStyle w:val="TOC1"/>
        <w:rPr>
          <w:rFonts w:asciiTheme="minorHAnsi" w:hAnsiTheme="minorHAnsi" w:cstheme="minorBidi"/>
          <w:szCs w:val="22"/>
          <w:lang w:eastAsia="ja-JP"/>
        </w:rPr>
      </w:pPr>
      <w:hyperlink w:anchor="_Toc445493356" w:history="1">
        <w:r w:rsidR="009C6EBA" w:rsidRPr="008767E4">
          <w:rPr>
            <w:rStyle w:val="Hyperlink"/>
            <w:sz w:val="18"/>
            <w:lang w:eastAsia="ja-JP"/>
          </w:rPr>
          <w:t>background</w:t>
        </w:r>
        <w:r w:rsidR="009C6EBA" w:rsidRPr="008767E4">
          <w:rPr>
            <w:webHidden/>
          </w:rPr>
          <w:tab/>
        </w:r>
        <w:r w:rsidR="009C6EBA" w:rsidRPr="008767E4">
          <w:rPr>
            <w:webHidden/>
          </w:rPr>
          <w:fldChar w:fldCharType="begin"/>
        </w:r>
        <w:r w:rsidR="009C6EBA" w:rsidRPr="008767E4">
          <w:rPr>
            <w:webHidden/>
          </w:rPr>
          <w:instrText xml:space="preserve"> PAGEREF _Toc445493356 \h </w:instrText>
        </w:r>
        <w:r w:rsidR="009C6EBA" w:rsidRPr="008767E4">
          <w:rPr>
            <w:webHidden/>
          </w:rPr>
        </w:r>
        <w:r w:rsidR="009C6EBA" w:rsidRPr="008767E4">
          <w:rPr>
            <w:webHidden/>
          </w:rPr>
          <w:fldChar w:fldCharType="separate"/>
        </w:r>
        <w:r>
          <w:rPr>
            <w:webHidden/>
          </w:rPr>
          <w:t>2</w:t>
        </w:r>
        <w:r w:rsidR="009C6EBA" w:rsidRPr="008767E4">
          <w:rPr>
            <w:webHidden/>
          </w:rPr>
          <w:fldChar w:fldCharType="end"/>
        </w:r>
      </w:hyperlink>
    </w:p>
    <w:p w:rsidR="009C6EBA" w:rsidRPr="008767E4" w:rsidRDefault="00E01260" w:rsidP="00DD24B7">
      <w:pPr>
        <w:pStyle w:val="TOC1"/>
        <w:rPr>
          <w:rFonts w:asciiTheme="minorHAnsi" w:hAnsiTheme="minorHAnsi" w:cstheme="minorBidi"/>
          <w:szCs w:val="22"/>
          <w:lang w:eastAsia="ja-JP"/>
        </w:rPr>
      </w:pPr>
      <w:hyperlink w:anchor="_Toc445493357" w:history="1">
        <w:r w:rsidR="009C6EBA" w:rsidRPr="008767E4">
          <w:rPr>
            <w:rStyle w:val="Hyperlink"/>
            <w:rFonts w:cs="Arial"/>
            <w:sz w:val="18"/>
          </w:rPr>
          <w:t xml:space="preserve">proposals for </w:t>
        </w:r>
        <w:r w:rsidR="009C6EBA" w:rsidRPr="008767E4">
          <w:rPr>
            <w:rStyle w:val="Hyperlink"/>
            <w:rFonts w:cs="Arial"/>
            <w:sz w:val="18"/>
            <w:lang w:eastAsia="ja-JP"/>
          </w:rPr>
          <w:t xml:space="preserve">the </w:t>
        </w:r>
        <w:r w:rsidR="009C6EBA" w:rsidRPr="008767E4">
          <w:rPr>
            <w:rStyle w:val="Hyperlink"/>
            <w:rFonts w:cs="Arial"/>
            <w:sz w:val="18"/>
          </w:rPr>
          <w:t>revision of document UPOV</w:t>
        </w:r>
        <w:r w:rsidR="00DD24B7">
          <w:rPr>
            <w:rStyle w:val="Hyperlink"/>
            <w:rFonts w:cs="Arial"/>
            <w:sz w:val="18"/>
          </w:rPr>
          <w:t>/INF/12/5 “Explanatory Notes on </w:t>
        </w:r>
        <w:bookmarkStart w:id="14" w:name="_GoBack"/>
        <w:bookmarkEnd w:id="14"/>
        <w:r w:rsidR="009C6EBA" w:rsidRPr="008767E4">
          <w:rPr>
            <w:rStyle w:val="Hyperlink"/>
            <w:rFonts w:cs="Arial"/>
            <w:sz w:val="18"/>
          </w:rPr>
          <w:t>Variety Denominations under the UPOV Convention” (</w:t>
        </w:r>
        <w:r w:rsidR="00DD24B7">
          <w:rPr>
            <w:rStyle w:val="Hyperlink"/>
            <w:sz w:val="18"/>
          </w:rPr>
          <w:t>document UPOV/INF/12/6 </w:t>
        </w:r>
        <w:r w:rsidR="009C6EBA" w:rsidRPr="008767E4">
          <w:rPr>
            <w:rStyle w:val="Hyperlink"/>
            <w:sz w:val="18"/>
          </w:rPr>
          <w:t>Draft 1)</w:t>
        </w:r>
        <w:r w:rsidR="009C6EBA" w:rsidRPr="008767E4">
          <w:rPr>
            <w:webHidden/>
          </w:rPr>
          <w:tab/>
        </w:r>
        <w:r w:rsidR="009C6EBA" w:rsidRPr="008767E4">
          <w:rPr>
            <w:webHidden/>
          </w:rPr>
          <w:fldChar w:fldCharType="begin"/>
        </w:r>
        <w:r w:rsidR="009C6EBA" w:rsidRPr="008767E4">
          <w:rPr>
            <w:webHidden/>
          </w:rPr>
          <w:instrText xml:space="preserve"> PAGEREF _Toc445493357 \h </w:instrText>
        </w:r>
        <w:r w:rsidR="009C6EBA" w:rsidRPr="008767E4">
          <w:rPr>
            <w:webHidden/>
          </w:rPr>
        </w:r>
        <w:r w:rsidR="009C6EBA" w:rsidRPr="008767E4">
          <w:rPr>
            <w:webHidden/>
          </w:rPr>
          <w:fldChar w:fldCharType="separate"/>
        </w:r>
        <w:r>
          <w:rPr>
            <w:webHidden/>
          </w:rPr>
          <w:t>2</w:t>
        </w:r>
        <w:r w:rsidR="009C6EBA" w:rsidRPr="008767E4">
          <w:rPr>
            <w:webHidden/>
          </w:rPr>
          <w:fldChar w:fldCharType="end"/>
        </w:r>
      </w:hyperlink>
    </w:p>
    <w:p w:rsidR="00B734CF" w:rsidRPr="008767E4" w:rsidRDefault="00B734CF" w:rsidP="00DD24B7">
      <w:pPr>
        <w:pStyle w:val="Heading1"/>
        <w:ind w:left="567"/>
        <w:rPr>
          <w:noProof/>
          <w:snapToGrid w:val="0"/>
          <w:sz w:val="18"/>
          <w:lang w:eastAsia="ja-JP"/>
        </w:rPr>
      </w:pPr>
      <w:r w:rsidRPr="008767E4">
        <w:rPr>
          <w:noProof/>
          <w:snapToGrid w:val="0"/>
          <w:sz w:val="18"/>
        </w:rPr>
        <w:fldChar w:fldCharType="end"/>
      </w:r>
    </w:p>
    <w:p w:rsidR="002A5BE3" w:rsidRPr="008767E4" w:rsidRDefault="002A5BE3" w:rsidP="00DD24B7">
      <w:pPr>
        <w:ind w:left="567"/>
        <w:rPr>
          <w:snapToGrid w:val="0"/>
          <w:sz w:val="18"/>
          <w:lang w:eastAsia="ja-JP"/>
        </w:rPr>
      </w:pPr>
      <w:r w:rsidRPr="008767E4">
        <w:rPr>
          <w:rFonts w:hint="eastAsia"/>
          <w:snapToGrid w:val="0"/>
          <w:sz w:val="18"/>
          <w:lang w:eastAsia="ja-JP"/>
        </w:rPr>
        <w:t>ANNEX I:</w:t>
      </w:r>
      <w:r w:rsidRPr="008767E4">
        <w:rPr>
          <w:rFonts w:hint="eastAsia"/>
          <w:snapToGrid w:val="0"/>
          <w:sz w:val="18"/>
          <w:lang w:eastAsia="ja-JP"/>
        </w:rPr>
        <w:tab/>
      </w:r>
      <w:r w:rsidRPr="008767E4">
        <w:rPr>
          <w:snapToGrid w:val="0"/>
          <w:sz w:val="18"/>
          <w:lang w:eastAsia="ja-JP"/>
        </w:rPr>
        <w:t xml:space="preserve">Comments </w:t>
      </w:r>
      <w:r w:rsidR="009219E3" w:rsidRPr="008767E4">
        <w:rPr>
          <w:snapToGrid w:val="0"/>
          <w:sz w:val="18"/>
          <w:lang w:eastAsia="ja-JP"/>
        </w:rPr>
        <w:t xml:space="preserve">from </w:t>
      </w:r>
      <w:r w:rsidR="009219E3" w:rsidRPr="008767E4">
        <w:rPr>
          <w:rFonts w:cs="Arial"/>
          <w:snapToGrid w:val="0"/>
          <w:sz w:val="18"/>
        </w:rPr>
        <w:t>the Community Plant Variety Office of the European Union (CPVO)</w:t>
      </w:r>
    </w:p>
    <w:p w:rsidR="002A5BE3" w:rsidRPr="008767E4" w:rsidRDefault="002A5BE3" w:rsidP="00DD24B7">
      <w:pPr>
        <w:ind w:left="567"/>
        <w:rPr>
          <w:snapToGrid w:val="0"/>
          <w:sz w:val="18"/>
          <w:lang w:eastAsia="ja-JP"/>
        </w:rPr>
      </w:pPr>
      <w:r w:rsidRPr="008767E4">
        <w:rPr>
          <w:rFonts w:hint="eastAsia"/>
          <w:snapToGrid w:val="0"/>
          <w:sz w:val="18"/>
          <w:lang w:eastAsia="ja-JP"/>
        </w:rPr>
        <w:t>ANNEX II:</w:t>
      </w:r>
      <w:r w:rsidRPr="008767E4">
        <w:rPr>
          <w:rFonts w:hint="eastAsia"/>
          <w:snapToGrid w:val="0"/>
          <w:sz w:val="18"/>
          <w:lang w:eastAsia="ja-JP"/>
        </w:rPr>
        <w:tab/>
      </w:r>
      <w:r w:rsidRPr="008767E4">
        <w:rPr>
          <w:snapToGrid w:val="0"/>
          <w:sz w:val="18"/>
          <w:lang w:eastAsia="ja-JP"/>
        </w:rPr>
        <w:t xml:space="preserve">Comments </w:t>
      </w:r>
      <w:r w:rsidR="009219E3" w:rsidRPr="008767E4">
        <w:rPr>
          <w:snapToGrid w:val="0"/>
          <w:sz w:val="18"/>
          <w:lang w:eastAsia="ja-JP"/>
        </w:rPr>
        <w:t>from</w:t>
      </w:r>
      <w:r w:rsidRPr="008767E4">
        <w:rPr>
          <w:rFonts w:hint="eastAsia"/>
          <w:snapToGrid w:val="0"/>
          <w:sz w:val="18"/>
          <w:lang w:eastAsia="ja-JP"/>
        </w:rPr>
        <w:t xml:space="preserve"> New Zealand</w:t>
      </w:r>
    </w:p>
    <w:p w:rsidR="00B5271B" w:rsidRPr="008767E4" w:rsidRDefault="002A5BE3" w:rsidP="00DD24B7">
      <w:pPr>
        <w:ind w:left="567"/>
        <w:rPr>
          <w:snapToGrid w:val="0"/>
          <w:sz w:val="18"/>
          <w:lang w:eastAsia="ja-JP"/>
        </w:rPr>
      </w:pPr>
      <w:r w:rsidRPr="008767E4">
        <w:rPr>
          <w:rFonts w:hint="eastAsia"/>
          <w:snapToGrid w:val="0"/>
          <w:sz w:val="18"/>
          <w:lang w:eastAsia="ja-JP"/>
        </w:rPr>
        <w:t>ANNEX III:</w:t>
      </w:r>
      <w:r w:rsidRPr="008767E4">
        <w:rPr>
          <w:rFonts w:hint="eastAsia"/>
          <w:snapToGrid w:val="0"/>
          <w:sz w:val="18"/>
          <w:lang w:eastAsia="ja-JP"/>
        </w:rPr>
        <w:tab/>
      </w:r>
      <w:r w:rsidRPr="008767E4">
        <w:rPr>
          <w:snapToGrid w:val="0"/>
          <w:sz w:val="18"/>
          <w:lang w:eastAsia="ja-JP"/>
        </w:rPr>
        <w:t xml:space="preserve">Comments </w:t>
      </w:r>
      <w:r w:rsidR="009219E3" w:rsidRPr="008767E4">
        <w:rPr>
          <w:snapToGrid w:val="0"/>
          <w:sz w:val="18"/>
          <w:lang w:eastAsia="ja-JP"/>
        </w:rPr>
        <w:t>from the</w:t>
      </w:r>
      <w:r w:rsidRPr="008767E4">
        <w:rPr>
          <w:rFonts w:hint="eastAsia"/>
          <w:snapToGrid w:val="0"/>
          <w:sz w:val="18"/>
          <w:lang w:eastAsia="ja-JP"/>
        </w:rPr>
        <w:t xml:space="preserve"> </w:t>
      </w:r>
      <w:r w:rsidR="00B5271B" w:rsidRPr="008767E4">
        <w:rPr>
          <w:snapToGrid w:val="0"/>
          <w:sz w:val="18"/>
          <w:lang w:eastAsia="ja-JP"/>
        </w:rPr>
        <w:t>E</w:t>
      </w:r>
      <w:r w:rsidR="00B5271B" w:rsidRPr="008767E4">
        <w:rPr>
          <w:rFonts w:hint="eastAsia"/>
          <w:snapToGrid w:val="0"/>
          <w:sz w:val="18"/>
          <w:lang w:eastAsia="ja-JP"/>
        </w:rPr>
        <w:t>uropean</w:t>
      </w:r>
      <w:r w:rsidR="00B5271B" w:rsidRPr="008767E4">
        <w:rPr>
          <w:snapToGrid w:val="0"/>
          <w:sz w:val="18"/>
          <w:lang w:eastAsia="ja-JP"/>
        </w:rPr>
        <w:t xml:space="preserve"> S</w:t>
      </w:r>
      <w:r w:rsidR="00B5271B" w:rsidRPr="008767E4">
        <w:rPr>
          <w:rFonts w:hint="eastAsia"/>
          <w:snapToGrid w:val="0"/>
          <w:sz w:val="18"/>
          <w:lang w:eastAsia="ja-JP"/>
        </w:rPr>
        <w:t>eed</w:t>
      </w:r>
      <w:r w:rsidR="00B5271B" w:rsidRPr="008767E4">
        <w:rPr>
          <w:snapToGrid w:val="0"/>
          <w:sz w:val="18"/>
          <w:lang w:eastAsia="ja-JP"/>
        </w:rPr>
        <w:t xml:space="preserve"> A</w:t>
      </w:r>
      <w:r w:rsidR="00B5271B" w:rsidRPr="008767E4">
        <w:rPr>
          <w:rFonts w:hint="eastAsia"/>
          <w:snapToGrid w:val="0"/>
          <w:sz w:val="18"/>
          <w:lang w:eastAsia="ja-JP"/>
        </w:rPr>
        <w:t>ssociation</w:t>
      </w:r>
      <w:r w:rsidR="00B5271B" w:rsidRPr="008767E4">
        <w:rPr>
          <w:snapToGrid w:val="0"/>
          <w:sz w:val="18"/>
          <w:lang w:eastAsia="ja-JP"/>
        </w:rPr>
        <w:t xml:space="preserve"> (ESA) </w:t>
      </w:r>
      <w:r w:rsidR="00B5271B" w:rsidRPr="008767E4">
        <w:rPr>
          <w:rFonts w:hint="eastAsia"/>
          <w:snapToGrid w:val="0"/>
          <w:sz w:val="18"/>
          <w:lang w:eastAsia="ja-JP"/>
        </w:rPr>
        <w:t>and</w:t>
      </w:r>
      <w:r w:rsidR="00B5271B" w:rsidRPr="008767E4">
        <w:rPr>
          <w:snapToGrid w:val="0"/>
          <w:sz w:val="18"/>
          <w:lang w:eastAsia="ja-JP"/>
        </w:rPr>
        <w:t xml:space="preserve"> </w:t>
      </w:r>
      <w:r w:rsidR="009219E3" w:rsidRPr="008767E4">
        <w:rPr>
          <w:snapToGrid w:val="0"/>
          <w:sz w:val="18"/>
          <w:lang w:eastAsia="ja-JP"/>
        </w:rPr>
        <w:t xml:space="preserve">the </w:t>
      </w:r>
      <w:r w:rsidR="00B5271B" w:rsidRPr="008767E4">
        <w:rPr>
          <w:snapToGrid w:val="0"/>
          <w:sz w:val="18"/>
          <w:lang w:eastAsia="ja-JP"/>
        </w:rPr>
        <w:t>International Seed Federation (ISF)</w:t>
      </w:r>
    </w:p>
    <w:p w:rsidR="002A5BE3" w:rsidRDefault="002A5BE3" w:rsidP="002A5BE3">
      <w:pPr>
        <w:rPr>
          <w:lang w:eastAsia="ja-JP"/>
        </w:rPr>
      </w:pPr>
    </w:p>
    <w:p w:rsidR="008767E4" w:rsidRPr="002A5BE3" w:rsidRDefault="008767E4" w:rsidP="002A5BE3">
      <w:pPr>
        <w:rPr>
          <w:lang w:eastAsia="ja-JP"/>
        </w:rPr>
      </w:pPr>
    </w:p>
    <w:p w:rsidR="00B734CF" w:rsidRPr="009B48EB" w:rsidRDefault="00B734CF" w:rsidP="00B734CF">
      <w:pPr>
        <w:keepNext/>
        <w:jc w:val="left"/>
        <w:rPr>
          <w:rFonts w:cs="Arial"/>
          <w:color w:val="000000"/>
        </w:rPr>
      </w:pPr>
      <w:r w:rsidRPr="009B48EB">
        <w:fldChar w:fldCharType="begin"/>
      </w:r>
      <w:r w:rsidRPr="009B48EB">
        <w:instrText xml:space="preserve"> AUTONUM  </w:instrText>
      </w:r>
      <w:r w:rsidRPr="009B48EB">
        <w:fldChar w:fldCharType="end"/>
      </w:r>
      <w:r w:rsidRPr="009B48EB">
        <w:tab/>
      </w:r>
      <w:r w:rsidRPr="009B48EB">
        <w:rPr>
          <w:rFonts w:cs="Arial"/>
          <w:color w:val="000000"/>
        </w:rPr>
        <w:t>The following abbreviations are used in this document:</w:t>
      </w:r>
    </w:p>
    <w:p w:rsidR="00B734CF" w:rsidRPr="009B48EB" w:rsidRDefault="00B734CF" w:rsidP="009175FC">
      <w:pPr>
        <w:keepNext/>
        <w:rPr>
          <w:rFonts w:cs="Arial"/>
          <w:color w:val="000000"/>
        </w:rPr>
      </w:pPr>
    </w:p>
    <w:p w:rsidR="00F73F12" w:rsidRPr="00822A3B" w:rsidRDefault="00F73F12" w:rsidP="00F73F12">
      <w:pPr>
        <w:keepNext/>
        <w:ind w:left="567"/>
        <w:rPr>
          <w:rFonts w:cs="Arial"/>
          <w:snapToGrid w:val="0"/>
        </w:rPr>
      </w:pPr>
      <w:r w:rsidRPr="00822A3B">
        <w:rPr>
          <w:rFonts w:cs="Arial"/>
          <w:snapToGrid w:val="0"/>
          <w:color w:val="000000"/>
        </w:rPr>
        <w:t xml:space="preserve">CAJ:  </w:t>
      </w:r>
      <w:r w:rsidRPr="00822A3B">
        <w:rPr>
          <w:rFonts w:cs="Arial" w:hint="eastAsia"/>
          <w:snapToGrid w:val="0"/>
          <w:color w:val="000000"/>
          <w:lang w:eastAsia="ja-JP"/>
        </w:rPr>
        <w:tab/>
      </w:r>
      <w:r w:rsidRPr="00822A3B">
        <w:rPr>
          <w:rFonts w:cs="Arial" w:hint="eastAsia"/>
          <w:snapToGrid w:val="0"/>
          <w:color w:val="000000"/>
          <w:lang w:eastAsia="ja-JP"/>
        </w:rPr>
        <w:tab/>
      </w:r>
      <w:r w:rsidRPr="00822A3B">
        <w:rPr>
          <w:rFonts w:cs="Arial"/>
          <w:snapToGrid w:val="0"/>
          <w:color w:val="000000"/>
        </w:rPr>
        <w:t xml:space="preserve">Administrative and Legal Committee </w:t>
      </w:r>
    </w:p>
    <w:p w:rsidR="004A34E0" w:rsidRPr="00822A3B" w:rsidRDefault="004A34E0" w:rsidP="004A34E0">
      <w:pPr>
        <w:keepNext/>
        <w:ind w:left="567"/>
        <w:rPr>
          <w:rFonts w:cs="Arial"/>
          <w:snapToGrid w:val="0"/>
        </w:rPr>
      </w:pPr>
      <w:r w:rsidRPr="00822A3B">
        <w:rPr>
          <w:rFonts w:cs="Arial"/>
          <w:snapToGrid w:val="0"/>
        </w:rPr>
        <w:t xml:space="preserve">CAJ-AG:  </w:t>
      </w:r>
      <w:r w:rsidRPr="00822A3B">
        <w:rPr>
          <w:rFonts w:cs="Arial" w:hint="eastAsia"/>
          <w:snapToGrid w:val="0"/>
          <w:lang w:eastAsia="ja-JP"/>
        </w:rPr>
        <w:tab/>
      </w:r>
      <w:r w:rsidRPr="00822A3B">
        <w:rPr>
          <w:rFonts w:cs="Arial"/>
          <w:snapToGrid w:val="0"/>
        </w:rPr>
        <w:t xml:space="preserve">Administrative and Legal Committee Advisory Group </w:t>
      </w:r>
    </w:p>
    <w:p w:rsidR="00F73F12" w:rsidRDefault="00F73F12" w:rsidP="009175FC">
      <w:pPr>
        <w:ind w:left="567"/>
        <w:rPr>
          <w:snapToGrid w:val="0"/>
          <w:lang w:eastAsia="ja-JP"/>
        </w:rPr>
      </w:pPr>
      <w:r w:rsidRPr="00822A3B">
        <w:rPr>
          <w:snapToGrid w:val="0"/>
          <w:lang w:eastAsia="ja-JP"/>
        </w:rPr>
        <w:t>WG</w:t>
      </w:r>
      <w:r w:rsidRPr="00822A3B">
        <w:rPr>
          <w:rFonts w:hint="eastAsia"/>
          <w:snapToGrid w:val="0"/>
          <w:lang w:eastAsia="ja-JP"/>
        </w:rPr>
        <w:t>-</w:t>
      </w:r>
      <w:r w:rsidRPr="00822A3B">
        <w:rPr>
          <w:snapToGrid w:val="0"/>
          <w:lang w:eastAsia="ja-JP"/>
        </w:rPr>
        <w:t>DST</w:t>
      </w:r>
      <w:r w:rsidRPr="00822A3B">
        <w:rPr>
          <w:rFonts w:hint="eastAsia"/>
          <w:snapToGrid w:val="0"/>
          <w:lang w:eastAsia="ja-JP"/>
        </w:rPr>
        <w:t>:</w:t>
      </w:r>
      <w:r w:rsidRPr="00822A3B">
        <w:rPr>
          <w:rFonts w:hint="eastAsia"/>
          <w:snapToGrid w:val="0"/>
          <w:lang w:eastAsia="ja-JP"/>
        </w:rPr>
        <w:tab/>
      </w:r>
      <w:r w:rsidRPr="00822A3B">
        <w:rPr>
          <w:snapToGrid w:val="0"/>
          <w:lang w:eastAsia="ja-JP"/>
        </w:rPr>
        <w:t>Working Group for Variety Denomination Search Tool</w:t>
      </w:r>
    </w:p>
    <w:p w:rsidR="00E11E29" w:rsidRDefault="00E11E29" w:rsidP="009175FC">
      <w:pPr>
        <w:ind w:left="567"/>
        <w:rPr>
          <w:snapToGrid w:val="0"/>
          <w:lang w:eastAsia="ja-JP"/>
        </w:rPr>
      </w:pPr>
      <w:r>
        <w:rPr>
          <w:snapToGrid w:val="0"/>
          <w:lang w:eastAsia="ja-JP"/>
        </w:rPr>
        <w:t>WG-DEN</w:t>
      </w:r>
      <w:r w:rsidR="009219E3">
        <w:rPr>
          <w:snapToGrid w:val="0"/>
          <w:lang w:eastAsia="ja-JP"/>
        </w:rPr>
        <w:t>:</w:t>
      </w:r>
      <w:r>
        <w:rPr>
          <w:snapToGrid w:val="0"/>
          <w:lang w:eastAsia="ja-JP"/>
        </w:rPr>
        <w:tab/>
        <w:t>Working Group on Denomination</w:t>
      </w:r>
    </w:p>
    <w:p w:rsidR="00884CEA" w:rsidRDefault="00884CEA" w:rsidP="00884CEA">
      <w:pPr>
        <w:rPr>
          <w:rFonts w:cs="Arial"/>
          <w:szCs w:val="24"/>
          <w:lang w:eastAsia="ja-JP"/>
        </w:rPr>
      </w:pPr>
    </w:p>
    <w:p w:rsidR="00E10886" w:rsidRDefault="00E10886" w:rsidP="00E10886">
      <w:pPr>
        <w:rPr>
          <w:snapToGrid w:val="0"/>
          <w:lang w:eastAsia="ja-JP"/>
        </w:rPr>
      </w:pPr>
    </w:p>
    <w:p w:rsidR="00E720D2" w:rsidRDefault="00B44915" w:rsidP="008767E4">
      <w:pPr>
        <w:pStyle w:val="Heading1"/>
        <w:keepNext/>
        <w:rPr>
          <w:lang w:eastAsia="ja-JP"/>
        </w:rPr>
      </w:pPr>
      <w:bookmarkStart w:id="15" w:name="_Toc445493356"/>
      <w:r>
        <w:rPr>
          <w:rFonts w:hint="eastAsia"/>
          <w:lang w:eastAsia="ja-JP"/>
        </w:rPr>
        <w:lastRenderedPageBreak/>
        <w:t>background</w:t>
      </w:r>
      <w:bookmarkEnd w:id="15"/>
    </w:p>
    <w:p w:rsidR="00E720D2" w:rsidRDefault="00E720D2" w:rsidP="008767E4">
      <w:pPr>
        <w:keepNext/>
        <w:rPr>
          <w:lang w:eastAsia="ja-JP"/>
        </w:rPr>
      </w:pPr>
    </w:p>
    <w:p w:rsidR="008F3100" w:rsidRDefault="00A66C90" w:rsidP="008F3100">
      <w:r w:rsidRPr="00C920D5">
        <w:rPr>
          <w:rFonts w:cs="Arial"/>
          <w:snapToGrid w:val="0"/>
        </w:rPr>
        <w:fldChar w:fldCharType="begin"/>
      </w:r>
      <w:r w:rsidRPr="00C920D5">
        <w:rPr>
          <w:rFonts w:cs="Arial"/>
          <w:snapToGrid w:val="0"/>
        </w:rPr>
        <w:instrText xml:space="preserve"> AUTONUM  </w:instrText>
      </w:r>
      <w:r w:rsidRPr="00C920D5">
        <w:rPr>
          <w:rFonts w:cs="Arial"/>
          <w:snapToGrid w:val="0"/>
        </w:rPr>
        <w:fldChar w:fldCharType="end"/>
      </w:r>
      <w:r w:rsidRPr="00C920D5">
        <w:rPr>
          <w:rFonts w:cs="Arial"/>
          <w:snapToGrid w:val="0"/>
        </w:rPr>
        <w:tab/>
      </w:r>
      <w:r w:rsidR="008F3100">
        <w:rPr>
          <w:color w:val="000000"/>
        </w:rPr>
        <w:t>The Administrative and Legal Committee (CAJ), at its seventy-second session, held in Geneva, on October 26 and 27, 2015,</w:t>
      </w:r>
      <w:r w:rsidR="008F3100">
        <w:t xml:space="preserve"> agreed the following next steps for the revision of the “Explanatory Notes on Variety Denominations under the UPOV Convention” (see document CAJ/72/9 “Report on the Conclusions”, paragraph 23):</w:t>
      </w:r>
    </w:p>
    <w:p w:rsidR="008F3100" w:rsidRDefault="008F3100" w:rsidP="008F3100">
      <w:r>
        <w:t> </w:t>
      </w:r>
    </w:p>
    <w:p w:rsidR="008F3100" w:rsidRDefault="00A66C90" w:rsidP="00F3408E">
      <w:pPr>
        <w:ind w:left="540" w:firstLine="630"/>
      </w:pPr>
      <w:r>
        <w:rPr>
          <w:lang w:eastAsia="ja-JP"/>
        </w:rPr>
        <w:t>“</w:t>
      </w:r>
      <w:r w:rsidR="00F3408E">
        <w:rPr>
          <w:rFonts w:hint="eastAsia"/>
          <w:lang w:eastAsia="ja-JP"/>
        </w:rPr>
        <w:t>(</w:t>
      </w:r>
      <w:r w:rsidR="00F3408E">
        <w:t>a)</w:t>
      </w:r>
      <w:r w:rsidR="00F3408E">
        <w:rPr>
          <w:rFonts w:hint="eastAsia"/>
          <w:lang w:eastAsia="ja-JP"/>
        </w:rPr>
        <w:tab/>
      </w:r>
      <w:r w:rsidR="008F3100">
        <w:t xml:space="preserve">to expand the mandate and the composition of the </w:t>
      </w:r>
      <w:r w:rsidR="008F3100">
        <w:rPr>
          <w:snapToGrid w:val="0"/>
        </w:rPr>
        <w:t>Working Group for the Development of a UPOV Denomination Similarity Search Tool (WG-DST) to prepare recommendations for the CAJ concerning the revision of document UPOV/INF/12 “Explanatory Notes on Variety Denominations under the UPOV Convention” (Working Group on Variety Denominations (WG-DEN));</w:t>
      </w:r>
    </w:p>
    <w:p w:rsidR="008F3100" w:rsidRDefault="008F3100" w:rsidP="00F3408E">
      <w:pPr>
        <w:ind w:left="540" w:firstLine="630"/>
      </w:pPr>
      <w:r>
        <w:t> </w:t>
      </w:r>
    </w:p>
    <w:p w:rsidR="008F3100" w:rsidRDefault="00F3408E" w:rsidP="00F3408E">
      <w:pPr>
        <w:ind w:left="540" w:firstLine="630"/>
      </w:pPr>
      <w:r>
        <w:t>(b)</w:t>
      </w:r>
      <w:r>
        <w:rPr>
          <w:rFonts w:hint="eastAsia"/>
          <w:lang w:eastAsia="ja-JP"/>
        </w:rPr>
        <w:tab/>
      </w:r>
      <w:r w:rsidR="008F3100">
        <w:t xml:space="preserve">the Office of the Union to issue a circular with a request to CAJ members and observers to participate in the WG-DEN and, if appropriate, to present proposals for revisions of document UPOV/INF/12, </w:t>
      </w:r>
      <w:r w:rsidR="008F3100" w:rsidRPr="00F3408E">
        <w:t>by January 20, 2016;</w:t>
      </w:r>
    </w:p>
    <w:p w:rsidR="008F3100" w:rsidRDefault="008F3100" w:rsidP="00F3408E">
      <w:pPr>
        <w:ind w:left="540" w:firstLine="630"/>
      </w:pPr>
      <w:r>
        <w:t> </w:t>
      </w:r>
    </w:p>
    <w:p w:rsidR="008F3100" w:rsidRDefault="00F3408E" w:rsidP="00F3408E">
      <w:pPr>
        <w:ind w:left="540" w:firstLine="630"/>
      </w:pPr>
      <w:r>
        <w:t>(c)</w:t>
      </w:r>
      <w:r>
        <w:rPr>
          <w:rFonts w:hint="eastAsia"/>
          <w:lang w:eastAsia="ja-JP"/>
        </w:rPr>
        <w:tab/>
      </w:r>
      <w:r w:rsidR="008F3100">
        <w:t>the WG-DEN to meet during the week of the UPOV sessions in March 2016;</w:t>
      </w:r>
    </w:p>
    <w:p w:rsidR="008F3100" w:rsidRDefault="008F3100" w:rsidP="00F3408E">
      <w:pPr>
        <w:ind w:left="540" w:firstLine="630"/>
      </w:pPr>
      <w:r>
        <w:t> </w:t>
      </w:r>
    </w:p>
    <w:p w:rsidR="008F3100" w:rsidRDefault="008F3100" w:rsidP="00F3408E">
      <w:pPr>
        <w:ind w:left="540" w:firstLine="630"/>
      </w:pPr>
      <w:r>
        <w:t>(d)</w:t>
      </w:r>
      <w:r w:rsidR="00F3408E">
        <w:rPr>
          <w:rFonts w:hint="eastAsia"/>
          <w:lang w:eastAsia="ja-JP"/>
        </w:rPr>
        <w:tab/>
      </w:r>
      <w:r>
        <w:t xml:space="preserve">the WG-DEN to consider the proposals received in response to the circular in paragraph (b) above and the proposals in paragraphs </w:t>
      </w:r>
      <w:r w:rsidRPr="00677FAA">
        <w:t>28</w:t>
      </w:r>
      <w:r>
        <w:t xml:space="preserve"> to 37 and 41 of document CAJ/72/3 in conjunction with the work on the development of an effective UPOV similarity search tool;</w:t>
      </w:r>
    </w:p>
    <w:p w:rsidR="008F3100" w:rsidRDefault="008F3100" w:rsidP="00F3408E">
      <w:pPr>
        <w:ind w:left="540" w:firstLine="630"/>
      </w:pPr>
      <w:r>
        <w:t> </w:t>
      </w:r>
    </w:p>
    <w:p w:rsidR="008F3100" w:rsidRDefault="008F3100" w:rsidP="00F3408E">
      <w:pPr>
        <w:ind w:left="540" w:firstLine="630"/>
        <w:rPr>
          <w:lang w:eastAsia="ja-JP"/>
        </w:rPr>
      </w:pPr>
      <w:r>
        <w:t>(e)</w:t>
      </w:r>
      <w:r w:rsidR="00F3408E">
        <w:rPr>
          <w:rFonts w:hint="eastAsia"/>
          <w:lang w:eastAsia="ja-JP"/>
        </w:rPr>
        <w:tab/>
      </w:r>
      <w:r>
        <w:t>the WG-DEN to consider proposals for the expansion of the content of PLUTO database to include all recognized varieties, including those that had not been, or were no longer, registered/protected (see document CAJ/72/6 “UPOV Information Databases”, paragraph 38).</w:t>
      </w:r>
      <w:r w:rsidR="00A66C90">
        <w:rPr>
          <w:lang w:eastAsia="ja-JP"/>
        </w:rPr>
        <w:t>”</w:t>
      </w:r>
    </w:p>
    <w:p w:rsidR="008F3100" w:rsidRDefault="008F3100" w:rsidP="008F3100">
      <w:pPr>
        <w:rPr>
          <w:lang w:eastAsia="ja-JP"/>
        </w:rPr>
      </w:pPr>
    </w:p>
    <w:p w:rsidR="008F3100" w:rsidRDefault="00A66C90" w:rsidP="008F3100">
      <w:r w:rsidRPr="00C920D5">
        <w:rPr>
          <w:rFonts w:cs="Arial"/>
          <w:snapToGrid w:val="0"/>
        </w:rPr>
        <w:fldChar w:fldCharType="begin"/>
      </w:r>
      <w:r w:rsidRPr="00C920D5">
        <w:rPr>
          <w:rFonts w:cs="Arial"/>
          <w:snapToGrid w:val="0"/>
        </w:rPr>
        <w:instrText xml:space="preserve"> AUTONUM  </w:instrText>
      </w:r>
      <w:r w:rsidRPr="00C920D5">
        <w:rPr>
          <w:rFonts w:cs="Arial"/>
          <w:snapToGrid w:val="0"/>
        </w:rPr>
        <w:fldChar w:fldCharType="end"/>
      </w:r>
      <w:r w:rsidRPr="00C920D5">
        <w:rPr>
          <w:rFonts w:cs="Arial"/>
          <w:snapToGrid w:val="0"/>
        </w:rPr>
        <w:tab/>
      </w:r>
      <w:r w:rsidR="008F3100">
        <w:t>On December 3, 2015, the Office of the Union issued Circular E-15/276 “</w:t>
      </w:r>
      <w:r w:rsidR="008F3100" w:rsidRPr="00825DC7">
        <w:t>Working Group on Variety Denominations (WG-DEN)</w:t>
      </w:r>
      <w:r w:rsidR="008F3100">
        <w:t xml:space="preserve">” to CAJ members and observers with an invitation to express interest to participate in the </w:t>
      </w:r>
      <w:r w:rsidR="008F3100" w:rsidRPr="00825DC7">
        <w:t>WG-DEN</w:t>
      </w:r>
      <w:r w:rsidR="00F46B45">
        <w:t xml:space="preserve"> </w:t>
      </w:r>
      <w:r w:rsidR="00F46B45" w:rsidRPr="00F46B45">
        <w:t>and, if appropriate, to present proposals for revisions of document U</w:t>
      </w:r>
      <w:r w:rsidR="00F46B45">
        <w:t>POV/INF/12, by January 20, 2016.</w:t>
      </w:r>
    </w:p>
    <w:p w:rsidR="008F3100" w:rsidRDefault="008F3100" w:rsidP="008F3100">
      <w:pPr>
        <w:rPr>
          <w:lang w:eastAsia="ja-JP"/>
        </w:rPr>
      </w:pPr>
    </w:p>
    <w:p w:rsidR="008F3100" w:rsidRDefault="00A66C90" w:rsidP="008F3100">
      <w:r w:rsidRPr="00C920D5">
        <w:rPr>
          <w:rFonts w:cs="Arial"/>
          <w:snapToGrid w:val="0"/>
        </w:rPr>
        <w:fldChar w:fldCharType="begin"/>
      </w:r>
      <w:r w:rsidRPr="00C920D5">
        <w:rPr>
          <w:rFonts w:cs="Arial"/>
          <w:snapToGrid w:val="0"/>
        </w:rPr>
        <w:instrText xml:space="preserve"> AUTONUM  </w:instrText>
      </w:r>
      <w:r w:rsidRPr="00C920D5">
        <w:rPr>
          <w:rFonts w:cs="Arial"/>
          <w:snapToGrid w:val="0"/>
        </w:rPr>
        <w:fldChar w:fldCharType="end"/>
      </w:r>
      <w:r w:rsidRPr="00C920D5">
        <w:rPr>
          <w:rFonts w:cs="Arial"/>
          <w:snapToGrid w:val="0"/>
        </w:rPr>
        <w:tab/>
      </w:r>
      <w:r w:rsidR="008F3100" w:rsidRPr="00C03389">
        <w:t xml:space="preserve">On </w:t>
      </w:r>
      <w:r w:rsidR="008F3100">
        <w:t xml:space="preserve">the </w:t>
      </w:r>
      <w:r w:rsidR="008F3100" w:rsidRPr="00C03389">
        <w:t>basis</w:t>
      </w:r>
      <w:r w:rsidR="008F3100">
        <w:t xml:space="preserve"> of the replies to Circular E-15/276</w:t>
      </w:r>
      <w:r w:rsidR="00B44915">
        <w:rPr>
          <w:rFonts w:hint="eastAsia"/>
          <w:lang w:eastAsia="ja-JP"/>
        </w:rPr>
        <w:t>, combined with</w:t>
      </w:r>
      <w:r w:rsidR="008F3100">
        <w:t xml:space="preserve"> the existing members of the </w:t>
      </w:r>
      <w:r w:rsidR="008F3100" w:rsidRPr="00825DC7">
        <w:t>WG-DST</w:t>
      </w:r>
      <w:r w:rsidR="008F3100" w:rsidRPr="00C03389">
        <w:t xml:space="preserve">, </w:t>
      </w:r>
      <w:r w:rsidR="008F3100">
        <w:t xml:space="preserve">the composition of the </w:t>
      </w:r>
      <w:r w:rsidR="008F3100" w:rsidRPr="00825DC7">
        <w:t>WG-DEN</w:t>
      </w:r>
      <w:r w:rsidR="008F3100">
        <w:t xml:space="preserve"> is as follows:  Australia, </w:t>
      </w:r>
      <w:r w:rsidR="008F3100" w:rsidRPr="00EA1569">
        <w:t>Chile</w:t>
      </w:r>
      <w:r w:rsidR="008F3100">
        <w:t xml:space="preserve">, China, </w:t>
      </w:r>
      <w:r w:rsidR="008F3100" w:rsidRPr="00EA1569">
        <w:t>Croatia</w:t>
      </w:r>
      <w:r w:rsidR="008F3100">
        <w:t xml:space="preserve">, European Union, </w:t>
      </w:r>
      <w:r w:rsidR="008F3100" w:rsidRPr="00EA1569">
        <w:t>France</w:t>
      </w:r>
      <w:r w:rsidR="008F3100">
        <w:t>, Japan, Netherlands, New Zealand, South </w:t>
      </w:r>
      <w:r w:rsidR="008F3100" w:rsidRPr="00EA1569">
        <w:t>Africa</w:t>
      </w:r>
      <w:r w:rsidR="008F3100">
        <w:t xml:space="preserve">, Spain, </w:t>
      </w:r>
      <w:r w:rsidR="008F3100" w:rsidRPr="00EA1569">
        <w:t>United States of America</w:t>
      </w:r>
      <w:r w:rsidR="008F3100">
        <w:t>, European </w:t>
      </w:r>
      <w:r w:rsidR="008F3100" w:rsidRPr="00EA1569">
        <w:t>Seed Association (ESA)</w:t>
      </w:r>
      <w:r w:rsidR="008F3100">
        <w:t xml:space="preserve"> and the </w:t>
      </w:r>
      <w:r w:rsidR="008F3100" w:rsidRPr="00EA1569">
        <w:t>International Seed Federation (ISF)</w:t>
      </w:r>
      <w:r w:rsidR="008F3100">
        <w:t>.</w:t>
      </w:r>
    </w:p>
    <w:p w:rsidR="00F46B45" w:rsidRDefault="00F46B45" w:rsidP="008F3100"/>
    <w:p w:rsidR="00B44915" w:rsidRDefault="00B563BD" w:rsidP="008E6844">
      <w:pPr>
        <w:rPr>
          <w:lang w:eastAsia="ja-JP"/>
        </w:rPr>
      </w:pPr>
      <w:r w:rsidRPr="00C920D5">
        <w:rPr>
          <w:rFonts w:cs="Arial"/>
          <w:snapToGrid w:val="0"/>
        </w:rPr>
        <w:fldChar w:fldCharType="begin"/>
      </w:r>
      <w:r w:rsidRPr="00C920D5">
        <w:rPr>
          <w:rFonts w:cs="Arial"/>
          <w:snapToGrid w:val="0"/>
        </w:rPr>
        <w:instrText xml:space="preserve"> AUTONUM  </w:instrText>
      </w:r>
      <w:r w:rsidRPr="00C920D5">
        <w:rPr>
          <w:rFonts w:cs="Arial"/>
          <w:snapToGrid w:val="0"/>
        </w:rPr>
        <w:fldChar w:fldCharType="end"/>
      </w:r>
      <w:r w:rsidRPr="00C920D5">
        <w:rPr>
          <w:rFonts w:cs="Arial"/>
          <w:snapToGrid w:val="0"/>
        </w:rPr>
        <w:tab/>
      </w:r>
      <w:r w:rsidR="00404517">
        <w:rPr>
          <w:rFonts w:hint="eastAsia"/>
          <w:lang w:eastAsia="ja-JP"/>
        </w:rPr>
        <w:t>On February 23</w:t>
      </w:r>
      <w:r w:rsidR="0075102C">
        <w:rPr>
          <w:rFonts w:hint="eastAsia"/>
          <w:lang w:eastAsia="ja-JP"/>
        </w:rPr>
        <w:t xml:space="preserve">, 2016, the </w:t>
      </w:r>
      <w:r w:rsidR="0075102C">
        <w:t>Office of the Union issued</w:t>
      </w:r>
      <w:r w:rsidR="00072D17">
        <w:rPr>
          <w:rFonts w:hint="eastAsia"/>
          <w:lang w:eastAsia="ja-JP"/>
        </w:rPr>
        <w:t xml:space="preserve"> an </w:t>
      </w:r>
      <w:r w:rsidR="00072D17" w:rsidRPr="00072D17">
        <w:rPr>
          <w:rFonts w:hint="eastAsia"/>
          <w:i/>
          <w:lang w:eastAsia="ja-JP"/>
        </w:rPr>
        <w:t xml:space="preserve">ad </w:t>
      </w:r>
      <w:r w:rsidR="00072D17" w:rsidRPr="00072D17">
        <w:rPr>
          <w:i/>
          <w:lang w:eastAsia="ja-JP"/>
        </w:rPr>
        <w:t>h</w:t>
      </w:r>
      <w:r w:rsidR="0075102C" w:rsidRPr="00072D17">
        <w:rPr>
          <w:rFonts w:hint="eastAsia"/>
          <w:i/>
          <w:lang w:eastAsia="ja-JP"/>
        </w:rPr>
        <w:t>oc</w:t>
      </w:r>
      <w:r w:rsidR="0075102C">
        <w:rPr>
          <w:rFonts w:hint="eastAsia"/>
          <w:lang w:eastAsia="ja-JP"/>
        </w:rPr>
        <w:t xml:space="preserve"> invitation to t</w:t>
      </w:r>
      <w:r w:rsidR="0075102C">
        <w:t>he International Commission for the Nomenclature of Cultivated Plants of the International Union for Biological</w:t>
      </w:r>
      <w:r w:rsidR="0075102C">
        <w:rPr>
          <w:rFonts w:hint="eastAsia"/>
          <w:lang w:eastAsia="ja-JP"/>
        </w:rPr>
        <w:t xml:space="preserve"> </w:t>
      </w:r>
      <w:r w:rsidR="0075102C">
        <w:rPr>
          <w:lang w:eastAsia="ja-JP"/>
        </w:rPr>
        <w:t>Sciences (IUBS Commission)</w:t>
      </w:r>
      <w:r w:rsidR="0075102C">
        <w:rPr>
          <w:rFonts w:hint="eastAsia"/>
          <w:lang w:eastAsia="ja-JP"/>
        </w:rPr>
        <w:t xml:space="preserve"> to participate</w:t>
      </w:r>
      <w:r>
        <w:rPr>
          <w:rFonts w:hint="eastAsia"/>
          <w:lang w:eastAsia="ja-JP"/>
        </w:rPr>
        <w:t xml:space="preserve"> </w:t>
      </w:r>
      <w:r w:rsidR="00426A94">
        <w:rPr>
          <w:lang w:eastAsia="ja-JP"/>
        </w:rPr>
        <w:t xml:space="preserve">in the </w:t>
      </w:r>
      <w:r>
        <w:rPr>
          <w:rFonts w:hint="eastAsia"/>
          <w:lang w:eastAsia="ja-JP"/>
        </w:rPr>
        <w:t xml:space="preserve">WG-DEN.  </w:t>
      </w:r>
      <w:r w:rsidR="008E6844">
        <w:rPr>
          <w:lang w:eastAsia="ja-JP"/>
        </w:rPr>
        <w:t>The IUBS Commission</w:t>
      </w:r>
      <w:r w:rsidR="008E6844">
        <w:rPr>
          <w:rFonts w:hint="eastAsia"/>
          <w:lang w:eastAsia="ja-JP"/>
        </w:rPr>
        <w:t xml:space="preserve"> </w:t>
      </w:r>
      <w:r w:rsidR="008E6844">
        <w:rPr>
          <w:lang w:eastAsia="ja-JP"/>
        </w:rPr>
        <w:t xml:space="preserve">is responsible for the revision of the International Code of Nomenclature for Cultivated Plants (ICNCP).  </w:t>
      </w:r>
    </w:p>
    <w:p w:rsidR="00677FAA" w:rsidRDefault="00677FAA" w:rsidP="00677FAA">
      <w:pPr>
        <w:rPr>
          <w:lang w:eastAsia="ja-JP"/>
        </w:rPr>
      </w:pPr>
    </w:p>
    <w:p w:rsidR="00677FAA" w:rsidRPr="00677FAA" w:rsidRDefault="00677FAA" w:rsidP="00677FAA">
      <w:pPr>
        <w:rPr>
          <w:lang w:eastAsia="ja-JP"/>
        </w:rPr>
      </w:pPr>
    </w:p>
    <w:p w:rsidR="00B26C7E" w:rsidRDefault="00426A94" w:rsidP="00B26C7E">
      <w:pPr>
        <w:pStyle w:val="Heading1"/>
      </w:pPr>
      <w:bookmarkStart w:id="16" w:name="_Toc445493357"/>
      <w:r>
        <w:rPr>
          <w:rFonts w:cs="Arial"/>
        </w:rPr>
        <w:t xml:space="preserve">proposals for </w:t>
      </w:r>
      <w:r>
        <w:rPr>
          <w:rFonts w:cs="Arial"/>
          <w:lang w:eastAsia="ja-JP"/>
        </w:rPr>
        <w:t xml:space="preserve">the </w:t>
      </w:r>
      <w:r w:rsidR="0026077B">
        <w:rPr>
          <w:rFonts w:cs="Arial"/>
        </w:rPr>
        <w:t xml:space="preserve">revision of document </w:t>
      </w:r>
      <w:r w:rsidRPr="00E10886">
        <w:rPr>
          <w:rFonts w:cs="Arial"/>
        </w:rPr>
        <w:t>UPOV/INF/12</w:t>
      </w:r>
      <w:r>
        <w:rPr>
          <w:rFonts w:cs="Arial"/>
        </w:rPr>
        <w:t>/5</w:t>
      </w:r>
      <w:r w:rsidRPr="00E10886">
        <w:rPr>
          <w:rFonts w:cs="Arial"/>
        </w:rPr>
        <w:t xml:space="preserve"> “Explanatory Notes on Variety Denominations under the UPOV Convention</w:t>
      </w:r>
      <w:r>
        <w:rPr>
          <w:rFonts w:cs="Arial"/>
        </w:rPr>
        <w:t>”</w:t>
      </w:r>
      <w:r w:rsidR="00C323B4">
        <w:rPr>
          <w:rFonts w:cs="Arial"/>
        </w:rPr>
        <w:t xml:space="preserve"> (</w:t>
      </w:r>
      <w:r w:rsidR="00C323B4">
        <w:t>document UPOV/INF/12/6 Draft 1)</w:t>
      </w:r>
      <w:bookmarkEnd w:id="16"/>
    </w:p>
    <w:p w:rsidR="00B26C7E" w:rsidRDefault="00B26C7E" w:rsidP="006D3AAA"/>
    <w:p w:rsidR="00E11E29" w:rsidRDefault="00426A94" w:rsidP="003E5BDA">
      <w:r w:rsidRPr="00C920D5">
        <w:rPr>
          <w:rFonts w:cs="Arial"/>
          <w:snapToGrid w:val="0"/>
        </w:rPr>
        <w:fldChar w:fldCharType="begin"/>
      </w:r>
      <w:r w:rsidRPr="00C920D5">
        <w:rPr>
          <w:rFonts w:cs="Arial"/>
          <w:snapToGrid w:val="0"/>
        </w:rPr>
        <w:instrText xml:space="preserve"> AUTONUM  </w:instrText>
      </w:r>
      <w:r w:rsidRPr="00C920D5">
        <w:rPr>
          <w:rFonts w:cs="Arial"/>
          <w:snapToGrid w:val="0"/>
        </w:rPr>
        <w:fldChar w:fldCharType="end"/>
      </w:r>
      <w:r w:rsidRPr="00C920D5">
        <w:rPr>
          <w:rFonts w:cs="Arial"/>
          <w:snapToGrid w:val="0"/>
        </w:rPr>
        <w:tab/>
      </w:r>
      <w:r>
        <w:rPr>
          <w:color w:val="000000"/>
        </w:rPr>
        <w:t>The CAJ, at its seventy-second session,</w:t>
      </w:r>
      <w:r>
        <w:t xml:space="preserve"> agreed that the WG-DEN,</w:t>
      </w:r>
      <w:r w:rsidR="00B44915">
        <w:t xml:space="preserve"> at its first meeting, </w:t>
      </w:r>
      <w:r w:rsidR="00B44915">
        <w:rPr>
          <w:rFonts w:hint="eastAsia"/>
          <w:lang w:eastAsia="ja-JP"/>
        </w:rPr>
        <w:t xml:space="preserve">should </w:t>
      </w:r>
      <w:r w:rsidR="00B44915">
        <w:t>consider</w:t>
      </w:r>
      <w:r>
        <w:t xml:space="preserve"> the proposals received in response to the Circular E-15/276 and the proposals in paragraphs 28 to 37 and 41 of document CAJ/72/3 in conjunction with the work on the development of an effective UPOV similarity search tool (see paragraph </w:t>
      </w:r>
      <w:r w:rsidR="00B44915">
        <w:rPr>
          <w:rFonts w:hint="eastAsia"/>
          <w:lang w:eastAsia="ja-JP"/>
        </w:rPr>
        <w:t>5</w:t>
      </w:r>
      <w:r>
        <w:t>).</w:t>
      </w:r>
      <w:r w:rsidR="00CF12A7">
        <w:t xml:space="preserve">  </w:t>
      </w:r>
      <w:r w:rsidRPr="0026077B">
        <w:t>Proposals in paragraphs 28 to 37 and 41 of document CAJ/72/3</w:t>
      </w:r>
      <w:r w:rsidR="0026077B" w:rsidRPr="0026077B">
        <w:t xml:space="preserve"> have been introduced</w:t>
      </w:r>
      <w:r w:rsidR="0026077B">
        <w:t xml:space="preserve"> </w:t>
      </w:r>
      <w:r w:rsidR="00C323B4">
        <w:t>in highlighted boxes in the relevant sections of document UPOV/INF/12/6 Draft 1 for consideration by the WG-DEN, at its first meeting.</w:t>
      </w:r>
    </w:p>
    <w:p w:rsidR="00795A00" w:rsidRDefault="00795A00" w:rsidP="00BC0049">
      <w:pPr>
        <w:rPr>
          <w:snapToGrid w:val="0"/>
          <w:lang w:eastAsia="ja-JP"/>
        </w:rPr>
      </w:pPr>
    </w:p>
    <w:p w:rsidR="00677FAA" w:rsidRDefault="00677FAA" w:rsidP="00677FAA">
      <w:r w:rsidRPr="00C920D5">
        <w:rPr>
          <w:rFonts w:cs="Arial"/>
          <w:snapToGrid w:val="0"/>
        </w:rPr>
        <w:fldChar w:fldCharType="begin"/>
      </w:r>
      <w:r w:rsidRPr="00C920D5">
        <w:rPr>
          <w:rFonts w:cs="Arial"/>
          <w:snapToGrid w:val="0"/>
        </w:rPr>
        <w:instrText xml:space="preserve"> AUTONUM  </w:instrText>
      </w:r>
      <w:r w:rsidRPr="00C920D5">
        <w:rPr>
          <w:rFonts w:cs="Arial"/>
          <w:snapToGrid w:val="0"/>
        </w:rPr>
        <w:fldChar w:fldCharType="end"/>
      </w:r>
      <w:r w:rsidRPr="00C920D5">
        <w:rPr>
          <w:rFonts w:cs="Arial"/>
          <w:snapToGrid w:val="0"/>
        </w:rPr>
        <w:tab/>
      </w:r>
      <w:r>
        <w:rPr>
          <w:rFonts w:cs="Arial"/>
          <w:snapToGrid w:val="0"/>
        </w:rPr>
        <w:t xml:space="preserve">In reply to </w:t>
      </w:r>
      <w:r>
        <w:t xml:space="preserve">Circular E-15/276, </w:t>
      </w:r>
      <w:r>
        <w:rPr>
          <w:rFonts w:cs="Arial"/>
          <w:snapToGrid w:val="0"/>
        </w:rPr>
        <w:t xml:space="preserve">the Office of the Union received comments from the Community Plant Variety Office of the European Union (CPVO), New Zealand, and </w:t>
      </w:r>
      <w:r w:rsidRPr="00E11E29">
        <w:rPr>
          <w:rFonts w:cs="Arial"/>
          <w:snapToGrid w:val="0"/>
        </w:rPr>
        <w:t>joint comments</w:t>
      </w:r>
      <w:r>
        <w:rPr>
          <w:rFonts w:cs="Arial"/>
          <w:snapToGrid w:val="0"/>
        </w:rPr>
        <w:t xml:space="preserve"> from the</w:t>
      </w:r>
      <w:r w:rsidRPr="00E11E29">
        <w:rPr>
          <w:rFonts w:cs="Arial"/>
          <w:snapToGrid w:val="0"/>
        </w:rPr>
        <w:t xml:space="preserve"> European Seed Association</w:t>
      </w:r>
      <w:r w:rsidR="00B44915">
        <w:rPr>
          <w:rFonts w:cs="Arial" w:hint="eastAsia"/>
          <w:snapToGrid w:val="0"/>
          <w:lang w:eastAsia="ja-JP"/>
        </w:rPr>
        <w:t xml:space="preserve"> (ESA)</w:t>
      </w:r>
      <w:r>
        <w:rPr>
          <w:rFonts w:cs="Arial"/>
          <w:snapToGrid w:val="0"/>
        </w:rPr>
        <w:t xml:space="preserve"> and the </w:t>
      </w:r>
      <w:r w:rsidRPr="00E11E29">
        <w:rPr>
          <w:rFonts w:cs="Arial"/>
          <w:snapToGrid w:val="0"/>
        </w:rPr>
        <w:t>International Seed Federation</w:t>
      </w:r>
      <w:r w:rsidR="00B44915">
        <w:rPr>
          <w:rFonts w:cs="Arial" w:hint="eastAsia"/>
          <w:snapToGrid w:val="0"/>
          <w:lang w:eastAsia="ja-JP"/>
        </w:rPr>
        <w:t xml:space="preserve"> (ISF).  The comments of the CPVO, New Zealand,</w:t>
      </w:r>
      <w:r w:rsidR="009C6EBA">
        <w:rPr>
          <w:rFonts w:cs="Arial" w:hint="eastAsia"/>
          <w:snapToGrid w:val="0"/>
          <w:lang w:eastAsia="ja-JP"/>
        </w:rPr>
        <w:t xml:space="preserve"> </w:t>
      </w:r>
      <w:r w:rsidR="00B44915">
        <w:rPr>
          <w:rFonts w:cs="Arial" w:hint="eastAsia"/>
          <w:snapToGrid w:val="0"/>
          <w:lang w:eastAsia="ja-JP"/>
        </w:rPr>
        <w:t>ESA and ISF are presented in</w:t>
      </w:r>
      <w:r>
        <w:rPr>
          <w:rFonts w:cs="Arial"/>
          <w:snapToGrid w:val="0"/>
        </w:rPr>
        <w:t xml:space="preserve"> Annexes I to III to this document</w:t>
      </w:r>
      <w:r w:rsidR="00B44915">
        <w:rPr>
          <w:rFonts w:cs="Arial" w:hint="eastAsia"/>
          <w:snapToGrid w:val="0"/>
          <w:lang w:eastAsia="ja-JP"/>
        </w:rPr>
        <w:t>, respectively</w:t>
      </w:r>
      <w:r>
        <w:rPr>
          <w:rFonts w:cs="Arial"/>
          <w:snapToGrid w:val="0"/>
        </w:rPr>
        <w:t xml:space="preserve">.  </w:t>
      </w:r>
      <w:r w:rsidR="00B44915">
        <w:rPr>
          <w:rFonts w:cs="Arial" w:hint="eastAsia"/>
          <w:snapToGrid w:val="0"/>
          <w:lang w:eastAsia="ja-JP"/>
        </w:rPr>
        <w:t>In addition, t</w:t>
      </w:r>
      <w:r>
        <w:rPr>
          <w:rFonts w:cs="Arial"/>
          <w:snapToGrid w:val="0"/>
        </w:rPr>
        <w:t xml:space="preserve">he comments received </w:t>
      </w:r>
      <w:r w:rsidRPr="0026077B">
        <w:t>have been introduced</w:t>
      </w:r>
      <w:r>
        <w:t xml:space="preserve"> in highlighted boxes in the relevant sections of document UPOV/INF/12/6 Draft 1 for consideration by the WG-DEN, at its first meeting.</w:t>
      </w:r>
    </w:p>
    <w:p w:rsidR="00677FAA" w:rsidRDefault="00677FAA" w:rsidP="00677FAA">
      <w:pPr>
        <w:rPr>
          <w:rFonts w:cs="Arial"/>
          <w:snapToGrid w:val="0"/>
          <w:lang w:eastAsia="ja-JP"/>
        </w:rPr>
      </w:pPr>
    </w:p>
    <w:p w:rsidR="00B44915" w:rsidRDefault="00B44915" w:rsidP="00B44915">
      <w:pPr>
        <w:rPr>
          <w:lang w:eastAsia="ja-JP"/>
        </w:rPr>
      </w:pPr>
      <w:r w:rsidRPr="00C920D5">
        <w:rPr>
          <w:rFonts w:cs="Arial"/>
          <w:snapToGrid w:val="0"/>
        </w:rPr>
        <w:fldChar w:fldCharType="begin"/>
      </w:r>
      <w:r w:rsidRPr="00C920D5">
        <w:rPr>
          <w:rFonts w:cs="Arial"/>
          <w:snapToGrid w:val="0"/>
        </w:rPr>
        <w:instrText xml:space="preserve"> AUTONUM  </w:instrText>
      </w:r>
      <w:r w:rsidRPr="00C920D5">
        <w:rPr>
          <w:rFonts w:cs="Arial"/>
          <w:snapToGrid w:val="0"/>
        </w:rPr>
        <w:fldChar w:fldCharType="end"/>
      </w:r>
      <w:r w:rsidRPr="00C920D5">
        <w:rPr>
          <w:rFonts w:cs="Arial"/>
          <w:snapToGrid w:val="0"/>
        </w:rPr>
        <w:tab/>
      </w:r>
      <w:r>
        <w:rPr>
          <w:lang w:eastAsia="ja-JP"/>
        </w:rPr>
        <w:t xml:space="preserve">The </w:t>
      </w:r>
      <w:r w:rsidRPr="003A03F2">
        <w:rPr>
          <w:i/>
          <w:lang w:eastAsia="ja-JP"/>
        </w:rPr>
        <w:t>ad hoc</w:t>
      </w:r>
      <w:r>
        <w:rPr>
          <w:lang w:eastAsia="ja-JP"/>
        </w:rPr>
        <w:t xml:space="preserve"> invitation to the IUBS Commission contained an invitation to </w:t>
      </w:r>
      <w:r w:rsidRPr="003A03F2">
        <w:rPr>
          <w:lang w:eastAsia="ja-JP"/>
        </w:rPr>
        <w:t xml:space="preserve">submit proposals for </w:t>
      </w:r>
      <w:r>
        <w:rPr>
          <w:lang w:eastAsia="ja-JP"/>
        </w:rPr>
        <w:t>a revision</w:t>
      </w:r>
      <w:r w:rsidRPr="003A03F2">
        <w:rPr>
          <w:lang w:eastAsia="ja-JP"/>
        </w:rPr>
        <w:t xml:space="preserve"> of document UPOV/INF/12/5 by March 4, 2016</w:t>
      </w:r>
      <w:r>
        <w:rPr>
          <w:rFonts w:hint="eastAsia"/>
          <w:lang w:eastAsia="ja-JP"/>
        </w:rPr>
        <w:t>.</w:t>
      </w:r>
      <w:r w:rsidRPr="003A03F2">
        <w:rPr>
          <w:lang w:eastAsia="ja-JP"/>
        </w:rPr>
        <w:t xml:space="preserve"> </w:t>
      </w:r>
      <w:r>
        <w:rPr>
          <w:lang w:eastAsia="ja-JP"/>
        </w:rPr>
        <w:t xml:space="preserve"> No proposals ha</w:t>
      </w:r>
      <w:r>
        <w:rPr>
          <w:rFonts w:hint="eastAsia"/>
          <w:lang w:eastAsia="ja-JP"/>
        </w:rPr>
        <w:t>d</w:t>
      </w:r>
      <w:r>
        <w:rPr>
          <w:lang w:eastAsia="ja-JP"/>
        </w:rPr>
        <w:t xml:space="preserve"> been received from the IUBS</w:t>
      </w:r>
      <w:r w:rsidR="009C6EBA">
        <w:rPr>
          <w:lang w:eastAsia="ja-JP"/>
        </w:rPr>
        <w:t> </w:t>
      </w:r>
      <w:r>
        <w:rPr>
          <w:lang w:eastAsia="ja-JP"/>
        </w:rPr>
        <w:t>Commission</w:t>
      </w:r>
      <w:r>
        <w:rPr>
          <w:rFonts w:hint="eastAsia"/>
          <w:lang w:eastAsia="ja-JP"/>
        </w:rPr>
        <w:t xml:space="preserve"> by March 11, 2016</w:t>
      </w:r>
      <w:r>
        <w:rPr>
          <w:lang w:eastAsia="ja-JP"/>
        </w:rPr>
        <w:t>.</w:t>
      </w:r>
    </w:p>
    <w:p w:rsidR="00B44915" w:rsidRDefault="00B44915" w:rsidP="00677FAA">
      <w:pPr>
        <w:rPr>
          <w:rFonts w:cs="Arial"/>
          <w:snapToGrid w:val="0"/>
          <w:lang w:eastAsia="ja-JP"/>
        </w:rPr>
      </w:pPr>
    </w:p>
    <w:p w:rsidR="00AE2032" w:rsidRDefault="000A3C60" w:rsidP="000A3C60">
      <w:pPr>
        <w:pStyle w:val="DecisionParagraphs"/>
        <w:keepLines/>
        <w:rPr>
          <w:iCs/>
          <w:spacing w:val="-4"/>
        </w:rPr>
      </w:pPr>
      <w:r w:rsidRPr="006B6D27">
        <w:lastRenderedPageBreak/>
        <w:fldChar w:fldCharType="begin"/>
      </w:r>
      <w:r w:rsidRPr="006B6D27">
        <w:instrText xml:space="preserve"> AUTONUM  </w:instrText>
      </w:r>
      <w:r w:rsidRPr="006B6D27">
        <w:fldChar w:fldCharType="end"/>
      </w:r>
      <w:r w:rsidRPr="006B6D27">
        <w:tab/>
      </w:r>
      <w:r w:rsidRPr="006B6D27">
        <w:rPr>
          <w:iCs/>
          <w:spacing w:val="-4"/>
        </w:rPr>
        <w:t xml:space="preserve">The </w:t>
      </w:r>
      <w:r w:rsidR="00AE2032">
        <w:rPr>
          <w:iCs/>
          <w:spacing w:val="-4"/>
        </w:rPr>
        <w:t>WG-DEN</w:t>
      </w:r>
      <w:r w:rsidRPr="006B6D27">
        <w:rPr>
          <w:iCs/>
          <w:spacing w:val="-4"/>
        </w:rPr>
        <w:t xml:space="preserve"> is</w:t>
      </w:r>
      <w:r w:rsidR="00AE2032">
        <w:rPr>
          <w:iCs/>
          <w:spacing w:val="-4"/>
        </w:rPr>
        <w:t xml:space="preserve"> invited to:</w:t>
      </w:r>
      <w:r w:rsidRPr="006B6D27">
        <w:rPr>
          <w:iCs/>
          <w:spacing w:val="-4"/>
        </w:rPr>
        <w:t xml:space="preserve"> </w:t>
      </w:r>
    </w:p>
    <w:p w:rsidR="00AE2032" w:rsidRDefault="00AE2032" w:rsidP="000A3C60">
      <w:pPr>
        <w:pStyle w:val="DecisionParagraphs"/>
        <w:keepLines/>
        <w:rPr>
          <w:iCs/>
          <w:spacing w:val="-4"/>
        </w:rPr>
      </w:pPr>
    </w:p>
    <w:p w:rsidR="00AE2032" w:rsidRDefault="00AE2032" w:rsidP="00AE2032">
      <w:pPr>
        <w:pStyle w:val="DecisionParagraphs"/>
        <w:keepLines/>
        <w:tabs>
          <w:tab w:val="clear" w:pos="5387"/>
          <w:tab w:val="left" w:pos="5400"/>
          <w:tab w:val="left" w:pos="5490"/>
          <w:tab w:val="left" w:pos="5940"/>
        </w:tabs>
        <w:rPr>
          <w:iCs/>
          <w:spacing w:val="-4"/>
        </w:rPr>
      </w:pPr>
      <w:r>
        <w:rPr>
          <w:iCs/>
          <w:spacing w:val="-4"/>
        </w:rPr>
        <w:tab/>
        <w:t>(a)</w:t>
      </w:r>
      <w:r>
        <w:rPr>
          <w:iCs/>
          <w:spacing w:val="-4"/>
        </w:rPr>
        <w:tab/>
        <w:t xml:space="preserve">note </w:t>
      </w:r>
      <w:r w:rsidR="009219E3">
        <w:rPr>
          <w:iCs/>
          <w:spacing w:val="-4"/>
        </w:rPr>
        <w:t xml:space="preserve">the developments reported in this document; and </w:t>
      </w:r>
    </w:p>
    <w:p w:rsidR="00AE2032" w:rsidRDefault="00AE2032" w:rsidP="00AE2032">
      <w:pPr>
        <w:pStyle w:val="DecisionParagraphs"/>
        <w:keepLines/>
        <w:tabs>
          <w:tab w:val="clear" w:pos="5387"/>
          <w:tab w:val="left" w:pos="5400"/>
          <w:tab w:val="left" w:pos="5490"/>
          <w:tab w:val="left" w:pos="5940"/>
        </w:tabs>
        <w:rPr>
          <w:iCs/>
          <w:spacing w:val="-4"/>
        </w:rPr>
      </w:pPr>
    </w:p>
    <w:p w:rsidR="00744621" w:rsidRDefault="00AE2032" w:rsidP="009219E3">
      <w:pPr>
        <w:pStyle w:val="DecisionParagraphs"/>
        <w:keepLines/>
        <w:tabs>
          <w:tab w:val="left" w:pos="5490"/>
          <w:tab w:val="left" w:pos="5940"/>
        </w:tabs>
        <w:rPr>
          <w:rFonts w:cs="Arial"/>
          <w:lang w:eastAsia="ja-JP"/>
        </w:rPr>
      </w:pPr>
      <w:r>
        <w:rPr>
          <w:iCs/>
          <w:spacing w:val="-4"/>
        </w:rPr>
        <w:tab/>
        <w:t>(b)</w:t>
      </w:r>
      <w:r>
        <w:rPr>
          <w:iCs/>
          <w:spacing w:val="-4"/>
        </w:rPr>
        <w:tab/>
        <w:t xml:space="preserve">consider </w:t>
      </w:r>
      <w:r w:rsidR="009219E3" w:rsidRPr="009219E3">
        <w:rPr>
          <w:iCs/>
          <w:spacing w:val="-4"/>
        </w:rPr>
        <w:t>the proposals for the revision of document UPOV/INF/12/5 “Explanatory Notes on Variety Denominations under the UPOV Convention”</w:t>
      </w:r>
      <w:r w:rsidR="00B44915">
        <w:rPr>
          <w:rFonts w:hint="eastAsia"/>
          <w:iCs/>
          <w:spacing w:val="-4"/>
          <w:lang w:eastAsia="ja-JP"/>
        </w:rPr>
        <w:t xml:space="preserve"> as set out in</w:t>
      </w:r>
      <w:r w:rsidR="009219E3" w:rsidRPr="009219E3">
        <w:rPr>
          <w:iCs/>
          <w:spacing w:val="-4"/>
        </w:rPr>
        <w:t xml:space="preserve"> document UPOV/INF/12/6 Draft</w:t>
      </w:r>
      <w:r w:rsidR="009C6EBA">
        <w:rPr>
          <w:rFonts w:hint="eastAsia"/>
          <w:iCs/>
          <w:spacing w:val="-4"/>
          <w:lang w:eastAsia="ja-JP"/>
        </w:rPr>
        <w:t xml:space="preserve"> </w:t>
      </w:r>
      <w:r w:rsidR="009219E3" w:rsidRPr="009219E3">
        <w:rPr>
          <w:iCs/>
          <w:spacing w:val="-4"/>
        </w:rPr>
        <w:t>1.</w:t>
      </w:r>
    </w:p>
    <w:p w:rsidR="00744621" w:rsidRDefault="00744621" w:rsidP="00AE2032">
      <w:pPr>
        <w:pStyle w:val="DecisionParagraphs"/>
        <w:keepLines/>
        <w:tabs>
          <w:tab w:val="clear" w:pos="5387"/>
          <w:tab w:val="left" w:pos="5400"/>
          <w:tab w:val="left" w:pos="5490"/>
          <w:tab w:val="left" w:pos="5940"/>
        </w:tabs>
        <w:rPr>
          <w:iCs/>
          <w:spacing w:val="-4"/>
        </w:rPr>
      </w:pPr>
    </w:p>
    <w:p w:rsidR="008767E4" w:rsidRDefault="008767E4" w:rsidP="00AE2032">
      <w:pPr>
        <w:pStyle w:val="DecisionParagraphs"/>
        <w:keepLines/>
        <w:tabs>
          <w:tab w:val="clear" w:pos="5387"/>
          <w:tab w:val="left" w:pos="5400"/>
          <w:tab w:val="left" w:pos="5490"/>
          <w:tab w:val="left" w:pos="5940"/>
        </w:tabs>
        <w:rPr>
          <w:iCs/>
          <w:spacing w:val="-4"/>
        </w:rPr>
      </w:pPr>
    </w:p>
    <w:p w:rsidR="0077424B" w:rsidRDefault="0077424B" w:rsidP="00E10886">
      <w:pPr>
        <w:rPr>
          <w:snapToGrid w:val="0"/>
          <w:lang w:eastAsia="ja-JP"/>
        </w:rPr>
      </w:pPr>
    </w:p>
    <w:p w:rsidR="004808B4" w:rsidRDefault="004808B4" w:rsidP="004808B4">
      <w:pPr>
        <w:jc w:val="right"/>
        <w:rPr>
          <w:snapToGrid w:val="0"/>
          <w:lang w:eastAsia="ja-JP"/>
        </w:rPr>
      </w:pPr>
      <w:r>
        <w:rPr>
          <w:snapToGrid w:val="0"/>
          <w:lang w:eastAsia="ja-JP"/>
        </w:rPr>
        <w:t>[Annex</w:t>
      </w:r>
      <w:r w:rsidR="009C6EBA">
        <w:rPr>
          <w:rFonts w:hint="eastAsia"/>
          <w:snapToGrid w:val="0"/>
          <w:lang w:eastAsia="ja-JP"/>
        </w:rPr>
        <w:t>es</w:t>
      </w:r>
      <w:r>
        <w:rPr>
          <w:snapToGrid w:val="0"/>
          <w:lang w:eastAsia="ja-JP"/>
        </w:rPr>
        <w:t xml:space="preserve"> follow]</w:t>
      </w:r>
    </w:p>
    <w:p w:rsidR="004808B4" w:rsidRDefault="004808B4" w:rsidP="004808B4">
      <w:pPr>
        <w:jc w:val="right"/>
        <w:rPr>
          <w:snapToGrid w:val="0"/>
          <w:lang w:eastAsia="ja-JP"/>
        </w:rPr>
      </w:pPr>
    </w:p>
    <w:p w:rsidR="004808B4" w:rsidRDefault="004808B4" w:rsidP="004808B4">
      <w:pPr>
        <w:jc w:val="right"/>
        <w:rPr>
          <w:snapToGrid w:val="0"/>
          <w:lang w:eastAsia="ja-JP"/>
        </w:rPr>
        <w:sectPr w:rsidR="004808B4" w:rsidSect="00906DDC">
          <w:headerReference w:type="default" r:id="rId10"/>
          <w:pgSz w:w="11907" w:h="16840" w:code="9"/>
          <w:pgMar w:top="510" w:right="1134" w:bottom="1134" w:left="1134" w:header="510" w:footer="680" w:gutter="0"/>
          <w:cols w:space="720"/>
          <w:titlePg/>
        </w:sectPr>
      </w:pPr>
    </w:p>
    <w:p w:rsidR="004808B4" w:rsidRDefault="004808B4" w:rsidP="00C20680">
      <w:pPr>
        <w:jc w:val="left"/>
        <w:rPr>
          <w:snapToGrid w:val="0"/>
          <w:lang w:eastAsia="ja-JP"/>
        </w:rPr>
      </w:pPr>
    </w:p>
    <w:p w:rsidR="008767E4" w:rsidRDefault="008767E4" w:rsidP="00C20680">
      <w:pPr>
        <w:jc w:val="left"/>
        <w:rPr>
          <w:snapToGrid w:val="0"/>
          <w:lang w:eastAsia="ja-JP"/>
        </w:rPr>
      </w:pPr>
    </w:p>
    <w:p w:rsidR="00C20680" w:rsidRDefault="00C20680" w:rsidP="00C20680">
      <w:pPr>
        <w:jc w:val="center"/>
        <w:rPr>
          <w:snapToGrid w:val="0"/>
          <w:lang w:eastAsia="ja-JP"/>
        </w:rPr>
      </w:pPr>
      <w:r>
        <w:rPr>
          <w:snapToGrid w:val="0"/>
          <w:lang w:eastAsia="ja-JP"/>
        </w:rPr>
        <w:t>COMMENTS</w:t>
      </w:r>
      <w:r w:rsidR="00B563BD">
        <w:rPr>
          <w:snapToGrid w:val="0"/>
          <w:lang w:eastAsia="ja-JP"/>
        </w:rPr>
        <w:t xml:space="preserve"> FROM</w:t>
      </w:r>
      <w:r w:rsidR="004375D4">
        <w:rPr>
          <w:snapToGrid w:val="0"/>
          <w:lang w:eastAsia="ja-JP"/>
        </w:rPr>
        <w:t xml:space="preserve"> </w:t>
      </w:r>
      <w:r w:rsidR="00E61B72">
        <w:rPr>
          <w:snapToGrid w:val="0"/>
          <w:lang w:eastAsia="ja-JP"/>
        </w:rPr>
        <w:t xml:space="preserve">THE </w:t>
      </w:r>
      <w:r w:rsidR="00B563BD">
        <w:rPr>
          <w:rFonts w:hint="eastAsia"/>
          <w:snapToGrid w:val="0"/>
          <w:lang w:eastAsia="ja-JP"/>
        </w:rPr>
        <w:t xml:space="preserve">COMMUNITY PLANT VARIETY OFFICE OF THE </w:t>
      </w:r>
      <w:r w:rsidR="004375D4">
        <w:rPr>
          <w:snapToGrid w:val="0"/>
          <w:lang w:eastAsia="ja-JP"/>
        </w:rPr>
        <w:t>EUROPEAN UNION</w:t>
      </w:r>
    </w:p>
    <w:p w:rsidR="00B563BD" w:rsidRDefault="00B563BD" w:rsidP="00C20680">
      <w:pPr>
        <w:jc w:val="left"/>
        <w:rPr>
          <w:snapToGrid w:val="0"/>
          <w:lang w:eastAsia="ja-JP"/>
        </w:rPr>
      </w:pPr>
    </w:p>
    <w:p w:rsidR="00B563BD" w:rsidRDefault="00B563BD" w:rsidP="00C20680">
      <w:pPr>
        <w:jc w:val="left"/>
        <w:rPr>
          <w:snapToGrid w:val="0"/>
          <w:lang w:eastAsia="ja-JP"/>
        </w:rPr>
      </w:pPr>
      <w:r w:rsidRPr="00B563BD">
        <w:rPr>
          <w:snapToGrid w:val="0"/>
          <w:lang w:eastAsia="ja-JP"/>
        </w:rPr>
        <w:t>Please find underneath the first CPVO reaction concerning the revision of document UPOV INF/12/5.</w:t>
      </w:r>
    </w:p>
    <w:p w:rsidR="00C20680" w:rsidRDefault="00C20680" w:rsidP="00C20680">
      <w:pPr>
        <w:jc w:val="left"/>
        <w:rPr>
          <w:snapToGrid w:val="0"/>
          <w:lang w:eastAsia="ja-JP"/>
        </w:rPr>
      </w:pPr>
    </w:p>
    <w:p w:rsidR="00B563BD" w:rsidRPr="00B563BD" w:rsidRDefault="00B563BD" w:rsidP="00B563BD">
      <w:pPr>
        <w:rPr>
          <w:snapToGrid w:val="0"/>
          <w:lang w:eastAsia="ja-JP"/>
        </w:rPr>
      </w:pPr>
      <w:r w:rsidRPr="00B563BD">
        <w:rPr>
          <w:snapToGrid w:val="0"/>
          <w:lang w:eastAsia="ja-JP"/>
        </w:rPr>
        <w:t>We would like to welcome the initiative taken by UPOV to revise the “Explanatory notes on variety denominations under the UPOV convention” (doc. INF/12/5) and the invitation addressed to the CPVO to make comments and suggestions in the frame of such procedure. It happens that the CPVO has also initiated a revision of its own guidelines and explanatory notes on variety denominations, as the UPOV Secretariat has been informed. For this reason our contribution for the revision of the UPOV document INF12/5, will be limited to comments of more general nature, since we don’t know yet the modifications that will be made to our actual guidelines on variety denominations. We are finalizing a draft proposal to be discussed in the first meeting of the CPVO working group that will meet on the 30th March and for which UPOV will be invited. We are planning to send this draft to the participants of the CPVO working group in the first half of February, including the UPOV Office.</w:t>
      </w:r>
    </w:p>
    <w:p w:rsidR="00B563BD" w:rsidRDefault="00B563BD" w:rsidP="00B563BD">
      <w:pPr>
        <w:rPr>
          <w:snapToGrid w:val="0"/>
          <w:lang w:eastAsia="ja-JP"/>
        </w:rPr>
      </w:pPr>
    </w:p>
    <w:p w:rsidR="00B563BD" w:rsidRPr="00B563BD" w:rsidRDefault="00B563BD" w:rsidP="00B563BD">
      <w:pPr>
        <w:rPr>
          <w:snapToGrid w:val="0"/>
          <w:lang w:eastAsia="ja-JP"/>
        </w:rPr>
      </w:pPr>
    </w:p>
    <w:p w:rsidR="00B563BD" w:rsidRPr="00B563BD" w:rsidRDefault="00B563BD" w:rsidP="00B563BD">
      <w:pPr>
        <w:rPr>
          <w:snapToGrid w:val="0"/>
          <w:lang w:eastAsia="ja-JP"/>
        </w:rPr>
      </w:pPr>
      <w:r w:rsidRPr="00B563BD">
        <w:rPr>
          <w:snapToGrid w:val="0"/>
          <w:lang w:eastAsia="ja-JP"/>
        </w:rPr>
        <w:t>CPVO comments to UPOV doc. INF/12/5</w:t>
      </w:r>
    </w:p>
    <w:p w:rsidR="00B563BD" w:rsidRPr="00B563BD" w:rsidRDefault="00B563BD" w:rsidP="00B563BD">
      <w:pPr>
        <w:rPr>
          <w:snapToGrid w:val="0"/>
          <w:lang w:eastAsia="ja-JP"/>
        </w:rPr>
      </w:pPr>
    </w:p>
    <w:p w:rsidR="00B563BD" w:rsidRDefault="00B563BD" w:rsidP="00B563BD">
      <w:pPr>
        <w:rPr>
          <w:snapToGrid w:val="0"/>
          <w:lang w:eastAsia="ja-JP"/>
        </w:rPr>
      </w:pPr>
      <w:r w:rsidRPr="00B563BD">
        <w:rPr>
          <w:snapToGrid w:val="0"/>
          <w:lang w:eastAsia="ja-JP"/>
        </w:rPr>
        <w:t xml:space="preserve">We consider that some parts of the document could be more detailed and clear in order to provide a better guidance to the authorities taking decisions on variety denominations (VD). The advantage would be to achieve a higher degree of harmonisation in the rules used for the assessment of proposed VD, aiming to reduce the number of situations leading to the creation of synonyms due to a refusal by non-compliance of the original VD with the rules on VDs adopted by authorities in UPOV member states. We also think that more examples could be provided in order to better illustrate the different criteria used in the assessment of VDs. The CPVO is also aware that there must be a balance between the level of details and various practices in the UPOV world. </w:t>
      </w:r>
    </w:p>
    <w:p w:rsidR="00B563BD" w:rsidRDefault="00B563BD" w:rsidP="00B563BD">
      <w:pPr>
        <w:rPr>
          <w:snapToGrid w:val="0"/>
          <w:lang w:eastAsia="ja-JP"/>
        </w:rPr>
      </w:pPr>
    </w:p>
    <w:p w:rsidR="00B563BD" w:rsidRPr="00B563BD" w:rsidRDefault="00B563BD" w:rsidP="00B563BD">
      <w:pPr>
        <w:rPr>
          <w:snapToGrid w:val="0"/>
          <w:lang w:eastAsia="ja-JP"/>
        </w:rPr>
      </w:pPr>
    </w:p>
    <w:p w:rsidR="00B563BD" w:rsidRPr="00B563BD" w:rsidRDefault="00B563BD" w:rsidP="00B563BD">
      <w:pPr>
        <w:rPr>
          <w:snapToGrid w:val="0"/>
          <w:lang w:eastAsia="ja-JP"/>
        </w:rPr>
      </w:pPr>
      <w:r w:rsidRPr="00B563BD">
        <w:rPr>
          <w:snapToGrid w:val="0"/>
          <w:lang w:eastAsia="ja-JP"/>
        </w:rPr>
        <w:t>We’ll refer now to some paragraphs that we think could benefit from such amendments:</w:t>
      </w:r>
    </w:p>
    <w:p w:rsidR="00B563BD" w:rsidRDefault="00B563BD" w:rsidP="00B563BD">
      <w:pPr>
        <w:rPr>
          <w:snapToGrid w:val="0"/>
          <w:lang w:eastAsia="ja-JP"/>
        </w:rPr>
      </w:pPr>
    </w:p>
    <w:p w:rsidR="00B563BD" w:rsidRPr="00B563BD" w:rsidRDefault="00B563BD" w:rsidP="00B563BD">
      <w:pPr>
        <w:rPr>
          <w:snapToGrid w:val="0"/>
          <w:lang w:eastAsia="ja-JP"/>
        </w:rPr>
      </w:pPr>
      <w:r w:rsidRPr="00B563BD">
        <w:rPr>
          <w:snapToGrid w:val="0"/>
          <w:lang w:eastAsia="ja-JP"/>
        </w:rPr>
        <w:t>Paragraph 2</w:t>
      </w:r>
    </w:p>
    <w:p w:rsidR="00B563BD" w:rsidRDefault="00B563BD" w:rsidP="00B563BD">
      <w:pPr>
        <w:rPr>
          <w:snapToGrid w:val="0"/>
          <w:lang w:eastAsia="ja-JP"/>
        </w:rPr>
      </w:pPr>
    </w:p>
    <w:p w:rsidR="00B563BD" w:rsidRPr="00B563BD" w:rsidRDefault="00B563BD" w:rsidP="00B563BD">
      <w:pPr>
        <w:rPr>
          <w:snapToGrid w:val="0"/>
          <w:lang w:eastAsia="ja-JP"/>
        </w:rPr>
      </w:pPr>
      <w:r w:rsidRPr="00B563BD">
        <w:rPr>
          <w:snapToGrid w:val="0"/>
          <w:lang w:eastAsia="ja-JP"/>
        </w:rPr>
        <w:t>1.</w:t>
      </w:r>
      <w:r w:rsidR="008767E4">
        <w:rPr>
          <w:snapToGrid w:val="0"/>
          <w:lang w:eastAsia="ja-JP"/>
        </w:rPr>
        <w:tab/>
      </w:r>
      <w:r w:rsidRPr="00B563BD">
        <w:rPr>
          <w:snapToGrid w:val="0"/>
          <w:lang w:eastAsia="ja-JP"/>
        </w:rPr>
        <w:t>The CPVO is of the opinion that it would be important to mention the difference between fancy names and codes;</w:t>
      </w:r>
    </w:p>
    <w:p w:rsidR="00B563BD" w:rsidRDefault="00B563BD" w:rsidP="00B563BD">
      <w:pPr>
        <w:rPr>
          <w:snapToGrid w:val="0"/>
          <w:lang w:eastAsia="ja-JP"/>
        </w:rPr>
      </w:pPr>
    </w:p>
    <w:p w:rsidR="00B563BD" w:rsidRPr="00B563BD" w:rsidRDefault="00B563BD" w:rsidP="00B563BD">
      <w:pPr>
        <w:rPr>
          <w:snapToGrid w:val="0"/>
          <w:lang w:eastAsia="ja-JP"/>
        </w:rPr>
      </w:pPr>
      <w:r w:rsidRPr="00B563BD">
        <w:rPr>
          <w:snapToGrid w:val="0"/>
          <w:lang w:eastAsia="ja-JP"/>
        </w:rPr>
        <w:t>2.</w:t>
      </w:r>
      <w:r w:rsidR="008767E4">
        <w:rPr>
          <w:snapToGrid w:val="0"/>
          <w:lang w:eastAsia="ja-JP"/>
        </w:rPr>
        <w:tab/>
      </w:r>
      <w:r w:rsidRPr="00B563BD">
        <w:rPr>
          <w:snapToGrid w:val="0"/>
          <w:lang w:eastAsia="ja-JP"/>
        </w:rPr>
        <w:t>This paragraph should provide more detailed guidance in section 2.3.1 dealing with “characteristics of the variety” and provide clear examples of suitable and non-suitable proposals for VDs;</w:t>
      </w:r>
    </w:p>
    <w:p w:rsidR="00B563BD" w:rsidRDefault="00B563BD" w:rsidP="00B563BD">
      <w:pPr>
        <w:rPr>
          <w:snapToGrid w:val="0"/>
          <w:lang w:eastAsia="ja-JP"/>
        </w:rPr>
      </w:pPr>
    </w:p>
    <w:p w:rsidR="00B563BD" w:rsidRPr="00B563BD" w:rsidRDefault="00B563BD" w:rsidP="00B563BD">
      <w:pPr>
        <w:rPr>
          <w:snapToGrid w:val="0"/>
          <w:lang w:eastAsia="ja-JP"/>
        </w:rPr>
      </w:pPr>
      <w:r w:rsidRPr="00B563BD">
        <w:rPr>
          <w:snapToGrid w:val="0"/>
          <w:lang w:eastAsia="ja-JP"/>
        </w:rPr>
        <w:t>3.</w:t>
      </w:r>
      <w:r w:rsidR="008767E4">
        <w:rPr>
          <w:snapToGrid w:val="0"/>
          <w:lang w:eastAsia="ja-JP"/>
        </w:rPr>
        <w:tab/>
      </w:r>
      <w:r w:rsidRPr="00B563BD">
        <w:rPr>
          <w:snapToGrid w:val="0"/>
          <w:lang w:eastAsia="ja-JP"/>
        </w:rPr>
        <w:t xml:space="preserve">In the draft proposal prepared by the CPVO for the revision of its own guidelines on VDs, </w:t>
      </w:r>
      <w:r w:rsidR="008767E4">
        <w:rPr>
          <w:snapToGrid w:val="0"/>
          <w:lang w:eastAsia="ja-JP"/>
        </w:rPr>
        <w:t xml:space="preserve">we propose </w:t>
      </w:r>
      <w:r w:rsidRPr="00B563BD">
        <w:rPr>
          <w:snapToGrid w:val="0"/>
          <w:lang w:eastAsia="ja-JP"/>
        </w:rPr>
        <w:t>3</w:t>
      </w:r>
      <w:r w:rsidR="008767E4">
        <w:rPr>
          <w:snapToGrid w:val="0"/>
          <w:lang w:eastAsia="ja-JP"/>
        </w:rPr>
        <w:t> </w:t>
      </w:r>
      <w:r w:rsidRPr="00B563BD">
        <w:rPr>
          <w:snapToGrid w:val="0"/>
          <w:lang w:eastAsia="ja-JP"/>
        </w:rPr>
        <w:t>criteria for assessment of similarity between VDs: visual, phonetic and conceptual; such criteria are especially considered for the assessment of similarity between trademark. We considered that the problematic is very similar in this other IP system and that this approach is the outcome of a huge experience with many court cases and judgements;</w:t>
      </w:r>
    </w:p>
    <w:p w:rsidR="00B563BD" w:rsidRDefault="00B563BD" w:rsidP="00B563BD">
      <w:pPr>
        <w:rPr>
          <w:snapToGrid w:val="0"/>
          <w:lang w:eastAsia="ja-JP"/>
        </w:rPr>
      </w:pPr>
    </w:p>
    <w:p w:rsidR="00B563BD" w:rsidRPr="00B563BD" w:rsidRDefault="00B563BD" w:rsidP="00B563BD">
      <w:pPr>
        <w:rPr>
          <w:snapToGrid w:val="0"/>
          <w:lang w:eastAsia="ja-JP"/>
        </w:rPr>
      </w:pPr>
      <w:r w:rsidRPr="00B563BD">
        <w:rPr>
          <w:snapToGrid w:val="0"/>
          <w:lang w:eastAsia="ja-JP"/>
        </w:rPr>
        <w:t>4.</w:t>
      </w:r>
      <w:r w:rsidR="008767E4">
        <w:rPr>
          <w:snapToGrid w:val="0"/>
          <w:lang w:eastAsia="ja-JP"/>
        </w:rPr>
        <w:tab/>
      </w:r>
      <w:r w:rsidRPr="00B563BD">
        <w:rPr>
          <w:snapToGrid w:val="0"/>
          <w:lang w:eastAsia="ja-JP"/>
        </w:rPr>
        <w:t xml:space="preserve">To include a section providing guidance on the assessment of similarity of VDs consisting of “first names”; </w:t>
      </w:r>
    </w:p>
    <w:p w:rsidR="00B563BD" w:rsidRDefault="00B563BD" w:rsidP="00B563BD">
      <w:pPr>
        <w:rPr>
          <w:snapToGrid w:val="0"/>
          <w:lang w:eastAsia="ja-JP"/>
        </w:rPr>
      </w:pPr>
    </w:p>
    <w:p w:rsidR="00B563BD" w:rsidRPr="00B563BD" w:rsidRDefault="00B563BD" w:rsidP="00B563BD">
      <w:pPr>
        <w:rPr>
          <w:snapToGrid w:val="0"/>
          <w:lang w:eastAsia="ja-JP"/>
        </w:rPr>
      </w:pPr>
      <w:r w:rsidRPr="00B563BD">
        <w:rPr>
          <w:snapToGrid w:val="0"/>
          <w:lang w:eastAsia="ja-JP"/>
        </w:rPr>
        <w:t>5.</w:t>
      </w:r>
      <w:r w:rsidR="008767E4">
        <w:rPr>
          <w:snapToGrid w:val="0"/>
          <w:lang w:eastAsia="ja-JP"/>
        </w:rPr>
        <w:tab/>
      </w:r>
      <w:r w:rsidRPr="00B563BD">
        <w:rPr>
          <w:snapToGrid w:val="0"/>
          <w:lang w:eastAsia="ja-JP"/>
        </w:rPr>
        <w:t>More detailed guidance and examples in the section 2.3.2 dealing with the value of the variety;</w:t>
      </w:r>
    </w:p>
    <w:p w:rsidR="00B563BD" w:rsidRDefault="00B563BD" w:rsidP="00B563BD">
      <w:pPr>
        <w:rPr>
          <w:snapToGrid w:val="0"/>
          <w:lang w:eastAsia="ja-JP"/>
        </w:rPr>
      </w:pPr>
    </w:p>
    <w:p w:rsidR="00B563BD" w:rsidRPr="00B563BD" w:rsidRDefault="00B563BD" w:rsidP="00B563BD">
      <w:pPr>
        <w:rPr>
          <w:snapToGrid w:val="0"/>
          <w:lang w:eastAsia="ja-JP"/>
        </w:rPr>
      </w:pPr>
      <w:r w:rsidRPr="00B563BD">
        <w:rPr>
          <w:snapToGrid w:val="0"/>
          <w:lang w:eastAsia="ja-JP"/>
        </w:rPr>
        <w:t>6.</w:t>
      </w:r>
      <w:r w:rsidR="008767E4">
        <w:rPr>
          <w:snapToGrid w:val="0"/>
          <w:lang w:eastAsia="ja-JP"/>
        </w:rPr>
        <w:tab/>
      </w:r>
      <w:r w:rsidRPr="00B563BD">
        <w:rPr>
          <w:snapToGrid w:val="0"/>
          <w:lang w:eastAsia="ja-JP"/>
        </w:rPr>
        <w:t>To make clear in section 2.3.3 dealing with the identity of the variety, that the re-use of the same or a similar VDs is possible under certain conditions, especially when an earlier variety has disappeared;</w:t>
      </w:r>
    </w:p>
    <w:p w:rsidR="00B563BD" w:rsidRDefault="00B563BD" w:rsidP="00B563BD">
      <w:pPr>
        <w:rPr>
          <w:snapToGrid w:val="0"/>
          <w:lang w:eastAsia="ja-JP"/>
        </w:rPr>
      </w:pPr>
    </w:p>
    <w:p w:rsidR="00B563BD" w:rsidRPr="00B563BD" w:rsidRDefault="00B563BD" w:rsidP="00B563BD">
      <w:pPr>
        <w:rPr>
          <w:snapToGrid w:val="0"/>
          <w:lang w:eastAsia="ja-JP"/>
        </w:rPr>
      </w:pPr>
      <w:r w:rsidRPr="00B563BD">
        <w:rPr>
          <w:snapToGrid w:val="0"/>
          <w:lang w:eastAsia="ja-JP"/>
        </w:rPr>
        <w:t>7.</w:t>
      </w:r>
      <w:r w:rsidR="008767E4">
        <w:rPr>
          <w:snapToGrid w:val="0"/>
          <w:lang w:eastAsia="ja-JP"/>
        </w:rPr>
        <w:tab/>
      </w:r>
      <w:r w:rsidRPr="00B563BD">
        <w:rPr>
          <w:snapToGrid w:val="0"/>
          <w:lang w:eastAsia="ja-JP"/>
        </w:rPr>
        <w:t xml:space="preserve">To make clear in section 2.5 dealing with variety denomination classes, in cases of UPOV classes containing more than one genus, that the situation where the genera are different is taken into account with a more lenient approach in respect of the similarity between VDs used for varieties belonging to different genera. This could also apply, in certain cases,  to different species within a genus. </w:t>
      </w:r>
    </w:p>
    <w:p w:rsidR="00B563BD" w:rsidRPr="00B563BD" w:rsidRDefault="00B563BD" w:rsidP="00B563BD">
      <w:pPr>
        <w:rPr>
          <w:snapToGrid w:val="0"/>
          <w:lang w:eastAsia="ja-JP"/>
        </w:rPr>
      </w:pPr>
    </w:p>
    <w:p w:rsidR="00B563BD" w:rsidRPr="00B563BD" w:rsidRDefault="00B563BD" w:rsidP="00B563BD">
      <w:pPr>
        <w:rPr>
          <w:snapToGrid w:val="0"/>
          <w:lang w:eastAsia="ja-JP"/>
        </w:rPr>
      </w:pPr>
      <w:r w:rsidRPr="00B563BD">
        <w:rPr>
          <w:snapToGrid w:val="0"/>
          <w:lang w:eastAsia="ja-JP"/>
        </w:rPr>
        <w:t>(Articles 3, 4 &amp; 7 of the CPVO Guidelines on variety denominations provide some more detailed guidance on this subjects)</w:t>
      </w:r>
    </w:p>
    <w:p w:rsidR="00B563BD" w:rsidRPr="00B563BD" w:rsidRDefault="00B563BD" w:rsidP="00B563BD">
      <w:pPr>
        <w:rPr>
          <w:snapToGrid w:val="0"/>
          <w:lang w:eastAsia="ja-JP"/>
        </w:rPr>
      </w:pPr>
    </w:p>
    <w:p w:rsidR="00B563BD" w:rsidRDefault="00B563BD" w:rsidP="00B563BD">
      <w:pPr>
        <w:rPr>
          <w:snapToGrid w:val="0"/>
          <w:lang w:eastAsia="ja-JP"/>
        </w:rPr>
      </w:pPr>
    </w:p>
    <w:p w:rsidR="00B563BD" w:rsidRPr="00B563BD" w:rsidRDefault="00B563BD" w:rsidP="00B563BD">
      <w:pPr>
        <w:rPr>
          <w:snapToGrid w:val="0"/>
          <w:lang w:eastAsia="ja-JP"/>
        </w:rPr>
      </w:pPr>
      <w:r w:rsidRPr="00B563BD">
        <w:rPr>
          <w:snapToGrid w:val="0"/>
          <w:lang w:eastAsia="ja-JP"/>
        </w:rPr>
        <w:t>Paragraph 4</w:t>
      </w:r>
    </w:p>
    <w:p w:rsidR="00B563BD" w:rsidRDefault="00B563BD" w:rsidP="00B563BD">
      <w:pPr>
        <w:rPr>
          <w:snapToGrid w:val="0"/>
          <w:lang w:eastAsia="ja-JP"/>
        </w:rPr>
      </w:pPr>
    </w:p>
    <w:p w:rsidR="00B563BD" w:rsidRPr="00B563BD" w:rsidRDefault="00B563BD" w:rsidP="00B563BD">
      <w:pPr>
        <w:rPr>
          <w:snapToGrid w:val="0"/>
          <w:lang w:eastAsia="ja-JP"/>
        </w:rPr>
      </w:pPr>
      <w:r w:rsidRPr="00B563BD">
        <w:rPr>
          <w:snapToGrid w:val="0"/>
          <w:lang w:eastAsia="ja-JP"/>
        </w:rPr>
        <w:t>In a) it is stated that an authority should not accept a variety denomination if it exists already a prior right. In the opinion of the CPVO this paragraph should allow also other approaches, in the case of the CPVO, the office doesn’t refuse ex officio a proposal for VD in case of existence of an identical prior right (trade mark). In such cases the CPVO informs the applicant about a situation of identity with a prior right (trade mark) and refuses the proposal only in case of formal objection by the owner of the prior right (trade mark).</w:t>
      </w:r>
    </w:p>
    <w:p w:rsidR="00B563BD" w:rsidRPr="00B563BD" w:rsidRDefault="00B563BD" w:rsidP="00B563BD">
      <w:pPr>
        <w:rPr>
          <w:snapToGrid w:val="0"/>
          <w:lang w:eastAsia="ja-JP"/>
        </w:rPr>
      </w:pPr>
    </w:p>
    <w:p w:rsidR="004375D4" w:rsidRDefault="00B563BD" w:rsidP="00B563BD">
      <w:pPr>
        <w:rPr>
          <w:snapToGrid w:val="0"/>
          <w:lang w:eastAsia="ja-JP"/>
        </w:rPr>
      </w:pPr>
      <w:r w:rsidRPr="00B563BD">
        <w:rPr>
          <w:snapToGrid w:val="0"/>
          <w:lang w:eastAsia="ja-JP"/>
        </w:rPr>
        <w:t>This are the comments that we think are opportune to submit for the time being. In case of interest the CPVO could prepare a presentation for the meeting of UPOV working group on the 18th March, providing some concrete examples showing the interest of a more clear guidance in some paragraphs of the document</w:t>
      </w:r>
      <w:r>
        <w:rPr>
          <w:snapToGrid w:val="0"/>
          <w:lang w:eastAsia="ja-JP"/>
        </w:rPr>
        <w:t> </w:t>
      </w:r>
      <w:r w:rsidRPr="00B563BD">
        <w:rPr>
          <w:snapToGrid w:val="0"/>
          <w:lang w:eastAsia="ja-JP"/>
        </w:rPr>
        <w:t>INF/12/5.</w:t>
      </w:r>
    </w:p>
    <w:p w:rsidR="008767E4" w:rsidRDefault="008767E4" w:rsidP="00B563BD">
      <w:pPr>
        <w:rPr>
          <w:snapToGrid w:val="0"/>
          <w:lang w:eastAsia="ja-JP"/>
        </w:rPr>
      </w:pPr>
    </w:p>
    <w:p w:rsidR="008767E4" w:rsidRDefault="008767E4" w:rsidP="00B563BD">
      <w:pPr>
        <w:rPr>
          <w:snapToGrid w:val="0"/>
          <w:lang w:eastAsia="ja-JP"/>
        </w:rPr>
      </w:pPr>
    </w:p>
    <w:p w:rsidR="008767E4" w:rsidRDefault="008767E4" w:rsidP="00B563BD">
      <w:pPr>
        <w:rPr>
          <w:snapToGrid w:val="0"/>
          <w:lang w:eastAsia="ja-JP"/>
        </w:rPr>
      </w:pPr>
    </w:p>
    <w:p w:rsidR="004375D4" w:rsidRDefault="004375D4" w:rsidP="004375D4">
      <w:pPr>
        <w:jc w:val="right"/>
        <w:rPr>
          <w:snapToGrid w:val="0"/>
          <w:lang w:eastAsia="ja-JP"/>
        </w:rPr>
      </w:pPr>
      <w:r>
        <w:rPr>
          <w:rFonts w:hint="eastAsia"/>
          <w:snapToGrid w:val="0"/>
          <w:lang w:eastAsia="ja-JP"/>
        </w:rPr>
        <w:t>[Annex II follows]</w:t>
      </w:r>
    </w:p>
    <w:p w:rsidR="004375D4" w:rsidRDefault="004375D4" w:rsidP="00C20680">
      <w:pPr>
        <w:jc w:val="left"/>
        <w:rPr>
          <w:snapToGrid w:val="0"/>
          <w:lang w:eastAsia="ja-JP"/>
        </w:rPr>
        <w:sectPr w:rsidR="004375D4" w:rsidSect="00046697">
          <w:headerReference w:type="default" r:id="rId11"/>
          <w:headerReference w:type="first" r:id="rId12"/>
          <w:pgSz w:w="11907" w:h="16840" w:code="9"/>
          <w:pgMar w:top="510" w:right="1134" w:bottom="1134" w:left="1134" w:header="510" w:footer="680" w:gutter="0"/>
          <w:pgNumType w:start="1"/>
          <w:cols w:space="720"/>
          <w:titlePg/>
        </w:sectPr>
      </w:pPr>
    </w:p>
    <w:p w:rsidR="004375D4" w:rsidRDefault="004375D4" w:rsidP="00C20680">
      <w:pPr>
        <w:jc w:val="left"/>
        <w:rPr>
          <w:snapToGrid w:val="0"/>
          <w:lang w:eastAsia="ja-JP"/>
        </w:rPr>
      </w:pPr>
    </w:p>
    <w:p w:rsidR="008767E4" w:rsidRDefault="008767E4" w:rsidP="00C20680">
      <w:pPr>
        <w:jc w:val="left"/>
        <w:rPr>
          <w:snapToGrid w:val="0"/>
          <w:lang w:eastAsia="ja-JP"/>
        </w:rPr>
      </w:pPr>
    </w:p>
    <w:p w:rsidR="004375D4" w:rsidRDefault="004375D4" w:rsidP="004375D4">
      <w:pPr>
        <w:jc w:val="center"/>
        <w:rPr>
          <w:snapToGrid w:val="0"/>
          <w:lang w:eastAsia="ja-JP"/>
        </w:rPr>
      </w:pPr>
      <w:r>
        <w:rPr>
          <w:snapToGrid w:val="0"/>
          <w:lang w:eastAsia="ja-JP"/>
        </w:rPr>
        <w:t xml:space="preserve">COMMENTS </w:t>
      </w:r>
      <w:r w:rsidR="00B563BD">
        <w:rPr>
          <w:rFonts w:hint="eastAsia"/>
          <w:snapToGrid w:val="0"/>
          <w:lang w:eastAsia="ja-JP"/>
        </w:rPr>
        <w:t xml:space="preserve">FROM </w:t>
      </w:r>
      <w:r>
        <w:rPr>
          <w:snapToGrid w:val="0"/>
          <w:lang w:eastAsia="ja-JP"/>
        </w:rPr>
        <w:t>NEW ZEALAND</w:t>
      </w:r>
    </w:p>
    <w:p w:rsidR="00B563BD" w:rsidRDefault="00B563BD" w:rsidP="00C20680">
      <w:pPr>
        <w:rPr>
          <w:snapToGrid w:val="0"/>
          <w:u w:val="single"/>
          <w:lang w:eastAsia="ja-JP"/>
        </w:rPr>
      </w:pPr>
    </w:p>
    <w:p w:rsidR="00B54AF2" w:rsidRPr="00B54AF2" w:rsidRDefault="00B54AF2" w:rsidP="00B54AF2">
      <w:pPr>
        <w:spacing w:after="200" w:line="276" w:lineRule="auto"/>
        <w:rPr>
          <w:rFonts w:eastAsia="Calibri" w:cs="Arial"/>
          <w:lang w:val="en-NZ"/>
        </w:rPr>
      </w:pPr>
      <w:r w:rsidRPr="00B54AF2">
        <w:rPr>
          <w:rFonts w:eastAsia="Calibri" w:cs="Arial"/>
          <w:lang w:val="en-NZ"/>
        </w:rPr>
        <w:t>NZ proposals for consideration by the WG-DEN</w:t>
      </w:r>
    </w:p>
    <w:p w:rsidR="00B54AF2" w:rsidRPr="00B54AF2" w:rsidRDefault="00B54AF2" w:rsidP="00B54AF2">
      <w:pPr>
        <w:spacing w:after="200" w:line="276" w:lineRule="auto"/>
        <w:rPr>
          <w:rFonts w:eastAsia="Calibri" w:cs="Arial"/>
          <w:lang w:val="en-NZ"/>
        </w:rPr>
      </w:pPr>
      <w:r w:rsidRPr="00B54AF2">
        <w:rPr>
          <w:rFonts w:eastAsia="Calibri" w:cs="Arial"/>
          <w:lang w:val="en-NZ"/>
        </w:rPr>
        <w:t xml:space="preserve">1. Confirm the proposal already stated in CAJ/72/3 Paragraph 26 </w:t>
      </w:r>
      <w:r w:rsidRPr="00B54AF2">
        <w:rPr>
          <w:rFonts w:eastAsia="Calibri" w:cs="Arial"/>
          <w:lang w:val="en-NZ"/>
        </w:rPr>
        <w:tab/>
        <w:t xml:space="preserve"> </w:t>
      </w:r>
    </w:p>
    <w:p w:rsidR="00B54AF2" w:rsidRPr="00B54AF2" w:rsidRDefault="00B54AF2" w:rsidP="00B54AF2">
      <w:pPr>
        <w:spacing w:after="200" w:line="276" w:lineRule="auto"/>
        <w:rPr>
          <w:rFonts w:eastAsia="Calibri" w:cs="Arial"/>
          <w:lang w:val="en-NZ"/>
        </w:rPr>
      </w:pPr>
      <w:r w:rsidRPr="00B54AF2">
        <w:rPr>
          <w:rFonts w:eastAsia="Calibri" w:cs="Arial"/>
          <w:lang w:val="en-NZ"/>
        </w:rPr>
        <w:t>In addition  CAJ/72/3 paragraphs 31 and 32 require further consideration.</w:t>
      </w:r>
    </w:p>
    <w:p w:rsidR="00B54AF2" w:rsidRPr="00B54AF2" w:rsidRDefault="00B54AF2" w:rsidP="00B54AF2">
      <w:pPr>
        <w:spacing w:after="200" w:line="276" w:lineRule="auto"/>
        <w:rPr>
          <w:rFonts w:eastAsia="Calibri" w:cs="Arial"/>
          <w:lang w:val="en-NZ"/>
        </w:rPr>
      </w:pPr>
      <w:r w:rsidRPr="00B54AF2">
        <w:rPr>
          <w:rFonts w:eastAsia="Calibri" w:cs="Arial"/>
          <w:lang w:val="en-NZ"/>
        </w:rPr>
        <w:t xml:space="preserve">It should </w:t>
      </w:r>
      <w:r w:rsidRPr="00B54AF2">
        <w:rPr>
          <w:rFonts w:eastAsia="Calibri" w:cs="Arial"/>
          <w:u w:val="single"/>
          <w:lang w:val="en-NZ"/>
        </w:rPr>
        <w:t xml:space="preserve">not </w:t>
      </w:r>
      <w:r w:rsidRPr="00B54AF2">
        <w:rPr>
          <w:rFonts w:eastAsia="Calibri" w:cs="Arial"/>
          <w:lang w:val="en-NZ"/>
        </w:rPr>
        <w:t xml:space="preserve">be acceptable for a denomination to contain the same botanical or common name of the genus to which the variety belongs as stated in para 31. We should </w:t>
      </w:r>
      <w:r w:rsidRPr="00B54AF2">
        <w:rPr>
          <w:rFonts w:eastAsia="Calibri" w:cs="Arial"/>
          <w:u w:val="single"/>
          <w:lang w:val="en-NZ"/>
        </w:rPr>
        <w:t>not have</w:t>
      </w:r>
      <w:r w:rsidRPr="00B54AF2">
        <w:rPr>
          <w:rFonts w:eastAsia="Calibri" w:cs="Arial"/>
          <w:lang w:val="en-NZ"/>
        </w:rPr>
        <w:t xml:space="preserve"> </w:t>
      </w:r>
      <w:r w:rsidRPr="00B54AF2">
        <w:rPr>
          <w:rFonts w:eastAsia="Calibri" w:cs="Arial"/>
          <w:i/>
          <w:iCs/>
          <w:lang w:val="en-NZ"/>
        </w:rPr>
        <w:t>Malus</w:t>
      </w:r>
      <w:r w:rsidRPr="00B54AF2">
        <w:rPr>
          <w:rFonts w:eastAsia="Calibri" w:cs="Arial"/>
          <w:lang w:val="en-NZ"/>
        </w:rPr>
        <w:t xml:space="preserve"> variety ‘Apple’, </w:t>
      </w:r>
      <w:r w:rsidRPr="00B54AF2">
        <w:rPr>
          <w:rFonts w:eastAsia="Calibri" w:cs="Arial"/>
          <w:i/>
          <w:iCs/>
          <w:lang w:val="en-NZ"/>
        </w:rPr>
        <w:t>Carex</w:t>
      </w:r>
      <w:r w:rsidRPr="00B54AF2">
        <w:rPr>
          <w:rFonts w:eastAsia="Calibri" w:cs="Arial"/>
          <w:lang w:val="en-NZ"/>
        </w:rPr>
        <w:t xml:space="preserve"> variety ‘Sedge’. This is also consistent with ICNCP 19.23</w:t>
      </w:r>
    </w:p>
    <w:p w:rsidR="00B54AF2" w:rsidRPr="00B54AF2" w:rsidRDefault="00B54AF2" w:rsidP="00B54AF2">
      <w:pPr>
        <w:autoSpaceDE w:val="0"/>
        <w:autoSpaceDN w:val="0"/>
        <w:spacing w:after="200" w:line="276" w:lineRule="auto"/>
        <w:rPr>
          <w:rFonts w:eastAsia="Calibri" w:cs="Arial"/>
          <w:lang w:val="en-NZ"/>
        </w:rPr>
      </w:pPr>
      <w:r w:rsidRPr="00B54AF2">
        <w:rPr>
          <w:rFonts w:eastAsia="Calibri" w:cs="Arial"/>
          <w:lang w:val="en-NZ"/>
        </w:rPr>
        <w:t xml:space="preserve">Para 32 should read “The WG-DST agreed that the use of the botanical or common name of a genus to which a variety </w:t>
      </w:r>
      <w:r w:rsidRPr="00B54AF2">
        <w:rPr>
          <w:rFonts w:eastAsia="Calibri" w:cs="Arial"/>
          <w:u w:val="single"/>
          <w:lang w:val="en-NZ"/>
        </w:rPr>
        <w:t>does</w:t>
      </w:r>
      <w:r w:rsidRPr="00B54AF2">
        <w:rPr>
          <w:rFonts w:eastAsia="Calibri" w:cs="Arial"/>
          <w:lang w:val="en-NZ"/>
        </w:rPr>
        <w:t xml:space="preserve"> belong should be avoided, unless the botanical name or common name had a wider meaning. e.g “Rose”, “Cosmos”, “Lilac”, “Veronica” and “Bianca”.23</w:t>
      </w:r>
    </w:p>
    <w:p w:rsidR="00B54AF2" w:rsidRPr="00B54AF2" w:rsidRDefault="00B54AF2" w:rsidP="00B54AF2">
      <w:pPr>
        <w:spacing w:after="200" w:line="276" w:lineRule="auto"/>
        <w:rPr>
          <w:rFonts w:eastAsia="Calibri" w:cs="Arial"/>
          <w:lang w:val="en-NZ"/>
        </w:rPr>
      </w:pPr>
      <w:r w:rsidRPr="00B54AF2">
        <w:rPr>
          <w:rFonts w:eastAsia="Calibri" w:cs="Arial"/>
          <w:lang w:val="en-NZ"/>
        </w:rPr>
        <w:t>This is also consistent with ICNCP 19.24</w:t>
      </w:r>
    </w:p>
    <w:p w:rsidR="00B54AF2" w:rsidRPr="00B54AF2" w:rsidRDefault="00B54AF2" w:rsidP="00B54AF2">
      <w:pPr>
        <w:spacing w:after="200" w:line="276" w:lineRule="auto"/>
        <w:rPr>
          <w:rFonts w:eastAsia="Calibri" w:cs="Arial"/>
          <w:lang w:val="en-NZ"/>
        </w:rPr>
      </w:pPr>
      <w:r w:rsidRPr="00B54AF2">
        <w:rPr>
          <w:rFonts w:eastAsia="Calibri" w:cs="Arial"/>
          <w:lang w:val="en-NZ"/>
        </w:rPr>
        <w:t xml:space="preserve">Current 32 is not compatible with existing practice which permits a genus or common name in a denomination providing that it is </w:t>
      </w:r>
      <w:r w:rsidRPr="00B54AF2">
        <w:rPr>
          <w:rFonts w:eastAsia="Calibri" w:cs="Arial"/>
          <w:u w:val="single"/>
          <w:lang w:val="en-NZ"/>
        </w:rPr>
        <w:t>not</w:t>
      </w:r>
      <w:r w:rsidRPr="00B54AF2">
        <w:rPr>
          <w:rFonts w:eastAsia="Calibri" w:cs="Arial"/>
          <w:lang w:val="en-NZ"/>
        </w:rPr>
        <w:t xml:space="preserve"> the genus or common name assigned for that variety. The following examples of approved denominations are in PLUTO.</w:t>
      </w:r>
    </w:p>
    <w:p w:rsidR="00B54AF2" w:rsidRPr="00B54AF2" w:rsidRDefault="00B54AF2" w:rsidP="00B54AF2">
      <w:pPr>
        <w:spacing w:after="200" w:line="276" w:lineRule="auto"/>
        <w:rPr>
          <w:rFonts w:eastAsia="Calibri" w:cs="Arial"/>
          <w:lang w:val="en-NZ"/>
        </w:rPr>
      </w:pPr>
      <w:r w:rsidRPr="00B54AF2">
        <w:rPr>
          <w:rFonts w:eastAsia="Calibri" w:cs="Arial"/>
          <w:lang w:val="en-NZ"/>
        </w:rPr>
        <w:t>Blueberry (</w:t>
      </w:r>
      <w:r w:rsidRPr="00B54AF2">
        <w:rPr>
          <w:rFonts w:eastAsia="Calibri" w:cs="Arial"/>
          <w:i/>
          <w:iCs/>
          <w:lang w:val="en-NZ"/>
        </w:rPr>
        <w:t>Vaccinium</w:t>
      </w:r>
      <w:r w:rsidRPr="00B54AF2">
        <w:rPr>
          <w:rFonts w:eastAsia="Calibri" w:cs="Arial"/>
          <w:lang w:val="en-NZ"/>
        </w:rPr>
        <w:t>) ‘Camellia’</w:t>
      </w:r>
    </w:p>
    <w:p w:rsidR="00B54AF2" w:rsidRPr="00B54AF2" w:rsidRDefault="00B54AF2" w:rsidP="00B54AF2">
      <w:pPr>
        <w:spacing w:after="200" w:line="276" w:lineRule="auto"/>
        <w:rPr>
          <w:rFonts w:eastAsia="Calibri" w:cs="Arial"/>
          <w:lang w:val="en-NZ"/>
        </w:rPr>
      </w:pPr>
      <w:r w:rsidRPr="00B54AF2">
        <w:rPr>
          <w:rFonts w:eastAsia="Calibri" w:cs="Arial"/>
          <w:lang w:val="en-NZ"/>
        </w:rPr>
        <w:t>Lavender (</w:t>
      </w:r>
      <w:r w:rsidRPr="00B54AF2">
        <w:rPr>
          <w:rFonts w:eastAsia="Calibri" w:cs="Arial"/>
          <w:i/>
          <w:iCs/>
          <w:lang w:val="en-NZ"/>
        </w:rPr>
        <w:t>Lavandula</w:t>
      </w:r>
      <w:r w:rsidRPr="00B54AF2">
        <w:rPr>
          <w:rFonts w:eastAsia="Calibri" w:cs="Arial"/>
          <w:lang w:val="en-NZ"/>
        </w:rPr>
        <w:t>) ‘Blueberry Ruffles’</w:t>
      </w:r>
    </w:p>
    <w:p w:rsidR="00B54AF2" w:rsidRPr="00B54AF2" w:rsidRDefault="00B54AF2" w:rsidP="00B54AF2">
      <w:pPr>
        <w:spacing w:after="200" w:line="276" w:lineRule="auto"/>
        <w:rPr>
          <w:rFonts w:eastAsia="Calibri" w:cs="Arial"/>
          <w:lang w:val="en-NZ"/>
        </w:rPr>
      </w:pPr>
      <w:r w:rsidRPr="00B54AF2">
        <w:rPr>
          <w:rFonts w:eastAsia="Calibri" w:cs="Arial"/>
          <w:i/>
          <w:iCs/>
          <w:lang w:val="en-NZ"/>
        </w:rPr>
        <w:t>Penstemon</w:t>
      </w:r>
      <w:r w:rsidRPr="00B54AF2">
        <w:rPr>
          <w:rFonts w:eastAsia="Calibri" w:cs="Arial"/>
          <w:lang w:val="en-NZ"/>
        </w:rPr>
        <w:t xml:space="preserve"> ‘Blueberry Taffy’</w:t>
      </w:r>
    </w:p>
    <w:p w:rsidR="00B54AF2" w:rsidRPr="00B54AF2" w:rsidRDefault="00B54AF2" w:rsidP="00B54AF2">
      <w:pPr>
        <w:spacing w:after="200" w:line="276" w:lineRule="auto"/>
        <w:rPr>
          <w:rFonts w:eastAsia="Calibri" w:cs="Arial"/>
          <w:lang w:val="en-NZ"/>
        </w:rPr>
      </w:pPr>
      <w:r w:rsidRPr="00B54AF2">
        <w:rPr>
          <w:rFonts w:eastAsia="Calibri" w:cs="Arial"/>
          <w:i/>
          <w:iCs/>
          <w:lang w:val="en-NZ"/>
        </w:rPr>
        <w:t xml:space="preserve">Dianthus </w:t>
      </w:r>
      <w:r w:rsidRPr="00B54AF2">
        <w:rPr>
          <w:rFonts w:eastAsia="Calibri" w:cs="Arial"/>
          <w:lang w:val="en-NZ"/>
        </w:rPr>
        <w:t> ‘Erica’</w:t>
      </w:r>
    </w:p>
    <w:p w:rsidR="00B54AF2" w:rsidRDefault="00B54AF2" w:rsidP="00B54AF2">
      <w:pPr>
        <w:spacing w:after="200" w:line="276" w:lineRule="auto"/>
        <w:rPr>
          <w:rFonts w:cs="Arial"/>
          <w:b/>
          <w:lang w:val="en-NZ" w:eastAsia="ja-JP"/>
        </w:rPr>
      </w:pPr>
    </w:p>
    <w:p w:rsidR="00B54AF2" w:rsidRPr="00B54AF2" w:rsidRDefault="00B54AF2" w:rsidP="00B54AF2">
      <w:pPr>
        <w:spacing w:after="200" w:line="276" w:lineRule="auto"/>
        <w:rPr>
          <w:rFonts w:eastAsia="Calibri" w:cs="Arial"/>
          <w:lang w:val="en-NZ"/>
        </w:rPr>
      </w:pPr>
      <w:r w:rsidRPr="00B54AF2">
        <w:rPr>
          <w:rFonts w:eastAsia="Calibri" w:cs="Arial"/>
          <w:lang w:val="en-NZ"/>
        </w:rPr>
        <w:t>Revision of UPOV/INF/12/5</w:t>
      </w:r>
    </w:p>
    <w:p w:rsidR="00B54AF2" w:rsidRPr="00B54AF2" w:rsidRDefault="00B54AF2" w:rsidP="00B54AF2">
      <w:pPr>
        <w:spacing w:after="200" w:line="276" w:lineRule="auto"/>
        <w:rPr>
          <w:rFonts w:eastAsia="Calibri" w:cs="Arial"/>
          <w:lang w:val="en-NZ"/>
        </w:rPr>
      </w:pPr>
      <w:r w:rsidRPr="00B54AF2">
        <w:rPr>
          <w:rFonts w:eastAsia="Calibri" w:cs="Arial"/>
          <w:lang w:val="en-NZ"/>
        </w:rPr>
        <w:t xml:space="preserve">2. Paragraph Two </w:t>
      </w:r>
    </w:p>
    <w:p w:rsidR="00B54AF2" w:rsidRPr="00B54AF2" w:rsidRDefault="00B54AF2" w:rsidP="00B54AF2">
      <w:pPr>
        <w:spacing w:after="200" w:line="276" w:lineRule="auto"/>
        <w:rPr>
          <w:rFonts w:eastAsia="Calibri" w:cs="Arial"/>
          <w:lang w:val="en-NZ"/>
        </w:rPr>
      </w:pPr>
      <w:r w:rsidRPr="00B54AF2">
        <w:rPr>
          <w:rFonts w:eastAsia="Calibri" w:cs="Arial"/>
          <w:lang w:val="en-NZ"/>
        </w:rPr>
        <w:t xml:space="preserve">Examples under 2.1 </w:t>
      </w:r>
      <w:r w:rsidRPr="00B54AF2">
        <w:rPr>
          <w:rFonts w:eastAsia="Calibri" w:cs="Arial"/>
          <w:lang w:val="en-NZ"/>
        </w:rPr>
        <w:tab/>
        <w:t>Identification now includes the use of Genus or species prefixes Agapanthus ‘Agapetite’ , Lavender ‘Lavang12’</w:t>
      </w:r>
    </w:p>
    <w:p w:rsidR="00B54AF2" w:rsidRPr="00B54AF2" w:rsidRDefault="00B54AF2" w:rsidP="00B54AF2">
      <w:pPr>
        <w:spacing w:after="200" w:line="276" w:lineRule="auto"/>
        <w:rPr>
          <w:rFonts w:eastAsia="Calibri" w:cs="Arial"/>
          <w:lang w:val="en-NZ"/>
        </w:rPr>
      </w:pPr>
      <w:r w:rsidRPr="00B54AF2">
        <w:rPr>
          <w:rFonts w:eastAsia="Calibri" w:cs="Arial"/>
          <w:lang w:val="en-NZ"/>
        </w:rPr>
        <w:t>2.3.1</w:t>
      </w:r>
      <w:r w:rsidRPr="00B54AF2">
        <w:rPr>
          <w:rFonts w:eastAsia="Calibri" w:cs="Arial"/>
          <w:lang w:val="en-NZ"/>
        </w:rPr>
        <w:tab/>
        <w:t>a) covers the key point that a denomination should not misrepresent characters of the variety. Use of a range of words (e.g hybrid, mixture, grex) should be avoided but it is doubtful whether specifically singling out descriptive terms</w:t>
      </w:r>
      <w:r>
        <w:rPr>
          <w:rFonts w:cs="Arial" w:hint="eastAsia"/>
          <w:lang w:val="en-NZ" w:eastAsia="ja-JP"/>
        </w:rPr>
        <w:t xml:space="preserve"> </w:t>
      </w:r>
      <w:r w:rsidRPr="00B54AF2">
        <w:rPr>
          <w:rFonts w:eastAsia="Calibri" w:cs="Arial"/>
          <w:lang w:val="en-NZ"/>
        </w:rPr>
        <w:t xml:space="preserve">(2.3.1 b) is the best approach. </w:t>
      </w:r>
    </w:p>
    <w:p w:rsidR="00B54AF2" w:rsidRPr="00B54AF2" w:rsidRDefault="00B54AF2" w:rsidP="00B54AF2">
      <w:pPr>
        <w:spacing w:after="200" w:line="276" w:lineRule="auto"/>
        <w:rPr>
          <w:rFonts w:eastAsia="Calibri" w:cs="Arial"/>
          <w:lang w:val="en-NZ"/>
        </w:rPr>
      </w:pPr>
      <w:r w:rsidRPr="00B54AF2">
        <w:rPr>
          <w:rFonts w:eastAsia="Calibri" w:cs="Arial"/>
          <w:lang w:val="en-NZ"/>
        </w:rPr>
        <w:t>b)  The section and examples to be reviewed, including possible deletion. The current wording implies that descriptive words (adjectives) are not acceptable. This is partially correct, but does not take account of descriptive word combinations and word orders that may be acceptable. If a variety has sweet fruit or has large white flowers then those descriptive words as part of a denomination may well be acceptable.</w:t>
      </w:r>
    </w:p>
    <w:p w:rsidR="00B54AF2" w:rsidRPr="00B54AF2" w:rsidRDefault="00B54AF2" w:rsidP="00B54AF2">
      <w:pPr>
        <w:spacing w:after="200" w:line="276" w:lineRule="auto"/>
        <w:rPr>
          <w:rFonts w:eastAsia="Calibri" w:cs="Arial"/>
          <w:lang w:val="en-NZ"/>
        </w:rPr>
      </w:pPr>
      <w:r w:rsidRPr="00B54AF2">
        <w:rPr>
          <w:rFonts w:eastAsia="Calibri" w:cs="Arial"/>
          <w:lang w:val="en-NZ"/>
        </w:rPr>
        <w:t>2.3.2</w:t>
      </w:r>
      <w:r w:rsidRPr="00B54AF2">
        <w:rPr>
          <w:rFonts w:eastAsia="Calibri" w:cs="Arial"/>
          <w:lang w:val="en-NZ"/>
        </w:rPr>
        <w:tab/>
        <w:t xml:space="preserve">The current guidance is too simplified.  It should not be enough </w:t>
      </w:r>
      <w:r w:rsidRPr="00B54AF2">
        <w:rPr>
          <w:rFonts w:eastAsia="Calibri" w:cs="Arial"/>
          <w:u w:val="single"/>
          <w:lang w:val="en-NZ"/>
        </w:rPr>
        <w:t>just to include</w:t>
      </w:r>
      <w:r w:rsidRPr="00B54AF2">
        <w:rPr>
          <w:rFonts w:eastAsia="Calibri" w:cs="Arial"/>
          <w:lang w:val="en-NZ"/>
        </w:rPr>
        <w:t xml:space="preserve"> superlatives or comparatives, a more complete evaluation should be used considering the the whole context and presence and position of other words in the denomination.  ‘Pink Supreme’, ‘Best Wishes’ and ‘Lake Superior’ contain superlatives but viewed as a whole, may be acceptable denominations. </w:t>
      </w:r>
    </w:p>
    <w:p w:rsidR="00B54AF2" w:rsidRPr="00B54AF2" w:rsidRDefault="00B54AF2" w:rsidP="00B54AF2">
      <w:pPr>
        <w:spacing w:after="200" w:line="276" w:lineRule="auto"/>
        <w:rPr>
          <w:rFonts w:eastAsia="Calibri" w:cs="Arial"/>
          <w:lang w:val="en-NZ"/>
        </w:rPr>
      </w:pPr>
      <w:r w:rsidRPr="00B54AF2">
        <w:rPr>
          <w:rFonts w:eastAsia="Calibri" w:cs="Arial"/>
          <w:lang w:val="en-NZ"/>
        </w:rPr>
        <w:t xml:space="preserve">2.3.3 (a)(ii) Consider whether this exemption should continue from the general recommendation 2.3.3(a)  The same guidance should apply to alpha numeric combination denominations as it does to all other denominations containing letters and numbers </w:t>
      </w:r>
    </w:p>
    <w:p w:rsidR="00B54AF2" w:rsidRPr="00B54AF2" w:rsidRDefault="00B54AF2" w:rsidP="00B54AF2">
      <w:pPr>
        <w:spacing w:after="200" w:line="276" w:lineRule="auto"/>
        <w:rPr>
          <w:rFonts w:eastAsia="Calibri" w:cs="Arial"/>
          <w:lang w:val="en-NZ"/>
        </w:rPr>
      </w:pPr>
      <w:r w:rsidRPr="00B54AF2">
        <w:rPr>
          <w:rFonts w:eastAsia="Calibri" w:cs="Arial"/>
          <w:lang w:val="en-NZ"/>
        </w:rPr>
        <w:t>Agree with proposed new wording in CAJ/72/3 para 33</w:t>
      </w:r>
    </w:p>
    <w:p w:rsidR="00B54AF2" w:rsidRPr="00B54AF2" w:rsidRDefault="00B54AF2" w:rsidP="00B54AF2">
      <w:pPr>
        <w:spacing w:after="200" w:line="276" w:lineRule="auto"/>
        <w:rPr>
          <w:rFonts w:eastAsia="Calibri" w:cs="Arial"/>
          <w:lang w:val="en-NZ"/>
        </w:rPr>
      </w:pPr>
      <w:r w:rsidRPr="00B54AF2">
        <w:rPr>
          <w:rFonts w:eastAsia="Calibri" w:cs="Arial"/>
          <w:lang w:val="en-NZ"/>
        </w:rPr>
        <w:t>2.3.3 d) + CAJ/72/3 para 37   The reuse of denominations should be possible for genera that require on gong maintenance, such as annual seed crops. It may be possible to sufficiently establish that a variety no longer exists. For vegetatively propagated species it may be much more difficult to adequately establish that a variety no longer exists. The re use of denominations should not be entirely ruled out.</w:t>
      </w:r>
    </w:p>
    <w:p w:rsidR="00B54AF2" w:rsidRPr="00B54AF2" w:rsidRDefault="00B54AF2" w:rsidP="00B54AF2">
      <w:pPr>
        <w:spacing w:after="200" w:line="276" w:lineRule="auto"/>
        <w:rPr>
          <w:rFonts w:eastAsia="Calibri" w:cs="Arial"/>
          <w:lang w:val="en-NZ"/>
        </w:rPr>
      </w:pPr>
      <w:r w:rsidRPr="00B54AF2">
        <w:rPr>
          <w:rFonts w:eastAsia="Calibri" w:cs="Arial"/>
          <w:lang w:val="en-NZ"/>
        </w:rPr>
        <w:t xml:space="preserve">2.3.4  Examples </w:t>
      </w:r>
      <w:r w:rsidRPr="00B54AF2">
        <w:rPr>
          <w:rFonts w:eastAsia="Calibri" w:cs="Arial"/>
          <w:lang w:val="en-NZ"/>
        </w:rPr>
        <w:tab/>
        <w:t>The identity of the breeder is often shown using prefixes of various kinds   Apple ‘Scired’, Apple ‘Scifresh’ Rose ‘Macrexy’ Rose ‘Macgenev’</w:t>
      </w:r>
    </w:p>
    <w:p w:rsidR="00B54AF2" w:rsidRPr="00B54AF2" w:rsidRDefault="00B54AF2" w:rsidP="00B54AF2">
      <w:pPr>
        <w:spacing w:after="200" w:line="276" w:lineRule="auto"/>
        <w:rPr>
          <w:rFonts w:eastAsia="Calibri" w:cs="Arial"/>
          <w:lang w:val="en-NZ"/>
        </w:rPr>
      </w:pPr>
      <w:r w:rsidRPr="00B54AF2">
        <w:rPr>
          <w:rFonts w:eastAsia="Calibri" w:cs="Arial"/>
          <w:lang w:val="en-NZ"/>
        </w:rPr>
        <w:t>2.5.1  Additional sentence proposed.</w:t>
      </w:r>
    </w:p>
    <w:p w:rsidR="00B54AF2" w:rsidRPr="00B54AF2" w:rsidRDefault="00B54AF2" w:rsidP="00B54AF2">
      <w:pPr>
        <w:spacing w:after="200" w:line="276" w:lineRule="auto"/>
        <w:rPr>
          <w:rFonts w:eastAsia="Calibri" w:cs="Arial"/>
          <w:lang w:val="en-NZ"/>
        </w:rPr>
      </w:pPr>
      <w:r w:rsidRPr="00B54AF2">
        <w:rPr>
          <w:rFonts w:eastAsia="Calibri" w:cs="Arial"/>
          <w:lang w:val="en-NZ"/>
        </w:rPr>
        <w:t xml:space="preserve">“For certain genera (e.g Prunus) there may be sufficient botanical difference between species within the genus to permit the same denomination to exist in the same genus (class). A cherry variety is generally considered not likely to be confused with an apricot variety.” </w:t>
      </w:r>
    </w:p>
    <w:p w:rsidR="00B54AF2" w:rsidRPr="00B54AF2" w:rsidRDefault="00B54AF2" w:rsidP="00B54AF2">
      <w:pPr>
        <w:spacing w:after="200" w:line="276" w:lineRule="auto"/>
        <w:rPr>
          <w:rFonts w:eastAsia="Calibri" w:cs="Arial"/>
          <w:lang w:val="en-NZ"/>
        </w:rPr>
      </w:pPr>
      <w:r w:rsidRPr="00B54AF2">
        <w:rPr>
          <w:rFonts w:eastAsia="Calibri" w:cs="Arial"/>
          <w:lang w:val="en-NZ"/>
        </w:rPr>
        <w:t>3. Paragraph 5</w:t>
      </w:r>
      <w:r w:rsidRPr="00B54AF2">
        <w:rPr>
          <w:rFonts w:eastAsia="Calibri" w:cs="Arial"/>
          <w:lang w:val="en-NZ"/>
        </w:rPr>
        <w:tab/>
        <w:t xml:space="preserve">The principle of one denomination per variety worldwide should not be diminished however it could be helpful to provide guidance for an approved approach where two denominations exist. Such guidance goes against Article 20(5), the principle of a single denomination, but unfortunately this does occur all too frequently.  Should an authority following a number of other denomination proposals or approvals for earlier foreign applications, accept the first approved denomination or </w:t>
      </w:r>
      <w:r w:rsidRPr="00B54AF2">
        <w:rPr>
          <w:rFonts w:eastAsia="Calibri" w:cs="Arial"/>
          <w:lang w:val="en-NZ"/>
        </w:rPr>
        <w:tab/>
        <w:t>accept the most common denomination?</w:t>
      </w:r>
    </w:p>
    <w:p w:rsidR="00B54AF2" w:rsidRPr="00B54AF2" w:rsidRDefault="00B54AF2" w:rsidP="00B54AF2">
      <w:pPr>
        <w:spacing w:after="200" w:line="276" w:lineRule="auto"/>
        <w:rPr>
          <w:rFonts w:eastAsia="Calibri" w:cs="Arial"/>
          <w:lang w:val="en-NZ"/>
        </w:rPr>
      </w:pPr>
      <w:r w:rsidRPr="00B54AF2">
        <w:rPr>
          <w:rFonts w:eastAsia="Calibri" w:cs="Arial"/>
          <w:lang w:val="en-NZ"/>
        </w:rPr>
        <w:t>4. Paragraph 6</w:t>
      </w:r>
      <w:r w:rsidRPr="00B54AF2">
        <w:rPr>
          <w:rFonts w:eastAsia="Calibri" w:cs="Arial"/>
          <w:lang w:val="en-NZ"/>
        </w:rPr>
        <w:tab/>
        <w:t>The current explanatory notes are correct in a broad sense with cooperation and exchange of information still of importance, but do not reflect current operational practice for many authorities. PLUTO and in the future similarity search tools are now the key resources and not structured observation or notification between authorities. Journals and Gazette remain important for legal publication requirements however their role in informing about denominations between authorities has decreased.</w:t>
      </w:r>
    </w:p>
    <w:p w:rsidR="00B54AF2" w:rsidRPr="00B54AF2" w:rsidRDefault="00B54AF2" w:rsidP="00B54AF2">
      <w:pPr>
        <w:spacing w:after="200" w:line="276" w:lineRule="auto"/>
        <w:rPr>
          <w:rFonts w:eastAsia="Calibri" w:cs="Arial"/>
          <w:lang w:val="en-NZ"/>
        </w:rPr>
      </w:pPr>
      <w:r w:rsidRPr="00B54AF2">
        <w:rPr>
          <w:rFonts w:eastAsia="Calibri" w:cs="Arial"/>
          <w:lang w:val="en-NZ"/>
        </w:rPr>
        <w:t xml:space="preserve">5. Paragraph 8  </w:t>
      </w:r>
      <w:r w:rsidRPr="00B54AF2">
        <w:rPr>
          <w:rFonts w:eastAsia="Calibri" w:cs="Arial"/>
          <w:lang w:val="en-NZ"/>
        </w:rPr>
        <w:tab/>
        <w:t>Explanatory notes could be helpful because commercial synonyms often become the effective variety identifier. Commercial synonyms, other than registered trademarks, have no legal standing and are not covered by UPOV guidance, but there are many examples where protected varieties effectively have two names, but only one being the approved denomination. UPOV guidance should resemble practical reality and further elaboration should be considered.</w:t>
      </w:r>
    </w:p>
    <w:p w:rsidR="00C20680" w:rsidRPr="00B54AF2" w:rsidRDefault="00C20680" w:rsidP="00E10886">
      <w:pPr>
        <w:rPr>
          <w:snapToGrid w:val="0"/>
          <w:lang w:val="en-NZ" w:eastAsia="ja-JP"/>
        </w:rPr>
      </w:pPr>
    </w:p>
    <w:p w:rsidR="00C20680" w:rsidRDefault="00E3024F" w:rsidP="00E3024F">
      <w:pPr>
        <w:jc w:val="right"/>
        <w:rPr>
          <w:snapToGrid w:val="0"/>
          <w:lang w:eastAsia="ja-JP"/>
        </w:rPr>
      </w:pPr>
      <w:r>
        <w:rPr>
          <w:snapToGrid w:val="0"/>
          <w:lang w:eastAsia="ja-JP"/>
        </w:rPr>
        <w:t xml:space="preserve">[Annex </w:t>
      </w:r>
      <w:r w:rsidR="004375D4">
        <w:rPr>
          <w:rFonts w:hint="eastAsia"/>
          <w:snapToGrid w:val="0"/>
          <w:lang w:eastAsia="ja-JP"/>
        </w:rPr>
        <w:t>I</w:t>
      </w:r>
      <w:r>
        <w:rPr>
          <w:snapToGrid w:val="0"/>
          <w:lang w:eastAsia="ja-JP"/>
        </w:rPr>
        <w:t>II follows]</w:t>
      </w:r>
    </w:p>
    <w:p w:rsidR="00C20680" w:rsidRDefault="00C20680" w:rsidP="00E10886">
      <w:pPr>
        <w:rPr>
          <w:snapToGrid w:val="0"/>
          <w:lang w:eastAsia="ja-JP"/>
        </w:rPr>
      </w:pPr>
    </w:p>
    <w:p w:rsidR="00E3024F" w:rsidRDefault="00F21316">
      <w:pPr>
        <w:jc w:val="left"/>
        <w:rPr>
          <w:snapToGrid w:val="0"/>
          <w:lang w:eastAsia="ja-JP"/>
        </w:rPr>
        <w:sectPr w:rsidR="00E3024F" w:rsidSect="00046697">
          <w:headerReference w:type="default" r:id="rId13"/>
          <w:headerReference w:type="first" r:id="rId14"/>
          <w:pgSz w:w="11907" w:h="16840" w:code="9"/>
          <w:pgMar w:top="510" w:right="1134" w:bottom="1134" w:left="1134" w:header="510" w:footer="680" w:gutter="0"/>
          <w:pgNumType w:start="1"/>
          <w:cols w:space="720"/>
          <w:titlePg/>
        </w:sectPr>
      </w:pPr>
      <w:r>
        <w:rPr>
          <w:snapToGrid w:val="0"/>
          <w:lang w:eastAsia="ja-JP"/>
        </w:rPr>
        <w:br w:type="page"/>
      </w:r>
    </w:p>
    <w:p w:rsidR="00F21316" w:rsidRDefault="00F21316">
      <w:pPr>
        <w:jc w:val="left"/>
        <w:rPr>
          <w:snapToGrid w:val="0"/>
          <w:lang w:eastAsia="ja-JP"/>
        </w:rPr>
      </w:pPr>
    </w:p>
    <w:p w:rsidR="008767E4" w:rsidRDefault="008767E4">
      <w:pPr>
        <w:jc w:val="left"/>
        <w:rPr>
          <w:snapToGrid w:val="0"/>
          <w:lang w:eastAsia="ja-JP"/>
        </w:rPr>
      </w:pPr>
    </w:p>
    <w:p w:rsidR="00E3024F" w:rsidRDefault="00E3024F" w:rsidP="00E3024F">
      <w:pPr>
        <w:jc w:val="center"/>
        <w:rPr>
          <w:snapToGrid w:val="0"/>
          <w:lang w:eastAsia="ja-JP"/>
        </w:rPr>
      </w:pPr>
      <w:r>
        <w:rPr>
          <w:snapToGrid w:val="0"/>
          <w:lang w:eastAsia="ja-JP"/>
        </w:rPr>
        <w:t xml:space="preserve">COMMENTS </w:t>
      </w:r>
      <w:r w:rsidR="00B54AF2">
        <w:rPr>
          <w:rFonts w:hint="eastAsia"/>
          <w:snapToGrid w:val="0"/>
          <w:lang w:eastAsia="ja-JP"/>
        </w:rPr>
        <w:t>FROM</w:t>
      </w:r>
      <w:r w:rsidR="00B5271B">
        <w:rPr>
          <w:snapToGrid w:val="0"/>
          <w:lang w:eastAsia="ja-JP"/>
        </w:rPr>
        <w:t xml:space="preserve"> </w:t>
      </w:r>
      <w:r w:rsidR="009219E3">
        <w:rPr>
          <w:snapToGrid w:val="0"/>
          <w:lang w:eastAsia="ja-JP"/>
        </w:rPr>
        <w:t xml:space="preserve">THE </w:t>
      </w:r>
      <w:r w:rsidR="00B5271B" w:rsidRPr="00B5271B">
        <w:rPr>
          <w:snapToGrid w:val="0"/>
          <w:lang w:eastAsia="ja-JP"/>
        </w:rPr>
        <w:t>EUROPEAN SEED ASSOCIATION</w:t>
      </w:r>
      <w:r w:rsidR="008767E4">
        <w:rPr>
          <w:snapToGrid w:val="0"/>
          <w:lang w:eastAsia="ja-JP"/>
        </w:rPr>
        <w:t xml:space="preserve"> (ESA)</w:t>
      </w:r>
      <w:r w:rsidR="008767E4">
        <w:rPr>
          <w:snapToGrid w:val="0"/>
          <w:lang w:eastAsia="ja-JP"/>
        </w:rPr>
        <w:br/>
      </w:r>
      <w:r w:rsidR="00B5271B">
        <w:rPr>
          <w:snapToGrid w:val="0"/>
          <w:lang w:eastAsia="ja-JP"/>
        </w:rPr>
        <w:t xml:space="preserve">AND </w:t>
      </w:r>
      <w:r w:rsidR="009219E3">
        <w:rPr>
          <w:snapToGrid w:val="0"/>
          <w:lang w:eastAsia="ja-JP"/>
        </w:rPr>
        <w:t xml:space="preserve">THE </w:t>
      </w:r>
      <w:r w:rsidR="00B5271B">
        <w:rPr>
          <w:snapToGrid w:val="0"/>
          <w:lang w:eastAsia="ja-JP"/>
        </w:rPr>
        <w:t>INTERNATIONAL SEED FEDERATION (ISF)</w:t>
      </w:r>
    </w:p>
    <w:p w:rsidR="00C20680" w:rsidRPr="00F21316" w:rsidRDefault="00C20680" w:rsidP="00E10886">
      <w:pPr>
        <w:rPr>
          <w:rFonts w:cs="Arial"/>
          <w:snapToGrid w:val="0"/>
          <w:lang w:eastAsia="ja-JP"/>
        </w:rPr>
      </w:pPr>
    </w:p>
    <w:p w:rsidR="00B54AF2" w:rsidRPr="00B54AF2" w:rsidRDefault="00B54AF2" w:rsidP="00B54AF2">
      <w:pPr>
        <w:autoSpaceDE w:val="0"/>
        <w:autoSpaceDN w:val="0"/>
        <w:adjustRightInd w:val="0"/>
        <w:rPr>
          <w:rFonts w:cs="Arial"/>
          <w:color w:val="000000"/>
        </w:rPr>
      </w:pPr>
      <w:r w:rsidRPr="00B54AF2">
        <w:rPr>
          <w:rFonts w:cs="Arial"/>
          <w:color w:val="000000"/>
        </w:rPr>
        <w:t>In response to the UPOV circular mentioned in the subject of the present letter the European Seed</w:t>
      </w:r>
      <w:r>
        <w:rPr>
          <w:rFonts w:cs="Arial" w:hint="eastAsia"/>
          <w:color w:val="000000"/>
          <w:lang w:eastAsia="ja-JP"/>
        </w:rPr>
        <w:t xml:space="preserve"> </w:t>
      </w:r>
      <w:r w:rsidRPr="00B54AF2">
        <w:rPr>
          <w:rFonts w:cs="Arial"/>
          <w:color w:val="000000"/>
        </w:rPr>
        <w:t>Association and the International Seed Federation nominated one joint representative in the person of Mrs.</w:t>
      </w:r>
      <w:r w:rsidR="005F4BFD">
        <w:rPr>
          <w:rFonts w:cs="Arial"/>
          <w:color w:val="000000"/>
        </w:rPr>
        <w:t> </w:t>
      </w:r>
      <w:r w:rsidRPr="00B54AF2">
        <w:rPr>
          <w:rFonts w:cs="Arial"/>
          <w:color w:val="000000"/>
        </w:rPr>
        <w:t>Astrid Schenkeveld to represent the positions of both organizations in the UPOV Working Group on Variety</w:t>
      </w:r>
      <w:r>
        <w:rPr>
          <w:rFonts w:cs="Arial" w:hint="eastAsia"/>
          <w:color w:val="000000"/>
          <w:lang w:eastAsia="ja-JP"/>
        </w:rPr>
        <w:t xml:space="preserve"> </w:t>
      </w:r>
      <w:r w:rsidRPr="00B54AF2">
        <w:rPr>
          <w:rFonts w:cs="Arial"/>
          <w:color w:val="000000"/>
        </w:rPr>
        <w:t>Denominations (WG-DEN). By the present letter we wish to submit our joint comments on documents</w:t>
      </w:r>
      <w:r>
        <w:rPr>
          <w:rFonts w:cs="Arial" w:hint="eastAsia"/>
          <w:color w:val="000000"/>
          <w:lang w:eastAsia="ja-JP"/>
        </w:rPr>
        <w:t xml:space="preserve"> </w:t>
      </w:r>
      <w:r w:rsidRPr="00B54AF2">
        <w:rPr>
          <w:rFonts w:cs="Arial"/>
          <w:color w:val="000000"/>
        </w:rPr>
        <w:t>UPOV/INF/12/5 Draft 2 and CAJ/72/3 for consideration by the WG-DEN at its meeting scheduled for Friday,</w:t>
      </w:r>
      <w:r>
        <w:rPr>
          <w:rFonts w:cs="Arial" w:hint="eastAsia"/>
          <w:color w:val="000000"/>
          <w:lang w:eastAsia="ja-JP"/>
        </w:rPr>
        <w:t xml:space="preserve"> </w:t>
      </w:r>
      <w:r w:rsidRPr="00B54AF2">
        <w:rPr>
          <w:rFonts w:cs="Arial"/>
          <w:color w:val="000000"/>
        </w:rPr>
        <w:t xml:space="preserve">March 18, 2016. </w:t>
      </w:r>
    </w:p>
    <w:p w:rsidR="00B54AF2" w:rsidRDefault="00B54AF2" w:rsidP="00B54AF2">
      <w:pPr>
        <w:autoSpaceDE w:val="0"/>
        <w:autoSpaceDN w:val="0"/>
        <w:adjustRightInd w:val="0"/>
        <w:jc w:val="left"/>
        <w:rPr>
          <w:rFonts w:cs="Arial"/>
          <w:color w:val="000000"/>
          <w:lang w:eastAsia="ja-JP"/>
        </w:rPr>
      </w:pPr>
    </w:p>
    <w:p w:rsidR="00B54AF2" w:rsidRDefault="00B54AF2" w:rsidP="00B54AF2">
      <w:pPr>
        <w:autoSpaceDE w:val="0"/>
        <w:autoSpaceDN w:val="0"/>
        <w:adjustRightInd w:val="0"/>
        <w:rPr>
          <w:rFonts w:cs="Arial"/>
          <w:color w:val="000000"/>
          <w:lang w:eastAsia="ja-JP"/>
        </w:rPr>
      </w:pPr>
      <w:r w:rsidRPr="00B54AF2">
        <w:rPr>
          <w:rFonts w:cs="Arial"/>
          <w:color w:val="000000"/>
        </w:rPr>
        <w:t xml:space="preserve">Comments on document UPOV/INF/12/5 Draft 2: </w:t>
      </w:r>
    </w:p>
    <w:p w:rsidR="00B54AF2" w:rsidRDefault="00B54AF2" w:rsidP="00B54AF2">
      <w:pPr>
        <w:autoSpaceDE w:val="0"/>
        <w:autoSpaceDN w:val="0"/>
        <w:adjustRightInd w:val="0"/>
        <w:rPr>
          <w:rFonts w:cs="Arial"/>
          <w:color w:val="000000"/>
          <w:lang w:eastAsia="ja-JP"/>
        </w:rPr>
      </w:pPr>
    </w:p>
    <w:p w:rsidR="00B54AF2" w:rsidRPr="005F4BFD" w:rsidRDefault="00B54AF2" w:rsidP="005F4BFD">
      <w:pPr>
        <w:pStyle w:val="ListParagraph"/>
        <w:numPr>
          <w:ilvl w:val="0"/>
          <w:numId w:val="4"/>
        </w:numPr>
        <w:autoSpaceDE w:val="0"/>
        <w:autoSpaceDN w:val="0"/>
        <w:adjustRightInd w:val="0"/>
        <w:rPr>
          <w:rFonts w:cs="Arial"/>
          <w:color w:val="000000"/>
          <w:lang w:eastAsia="ja-JP"/>
        </w:rPr>
      </w:pPr>
      <w:r w:rsidRPr="005F4BFD">
        <w:rPr>
          <w:rFonts w:cs="Arial"/>
          <w:color w:val="000000"/>
        </w:rPr>
        <w:t xml:space="preserve">Point 2.3.1 (c) relates to the situation where a denomination is used which is similar or very close to the denomination of another variety of the same species or closely related species. In practice, breeders sometimes “re-use” variety names for runner-up varieties with an addition to the original name. In these cases there is indeed a relation between the varieties and we believe that this practice should be allowed (as it is allowed in the EU). Therefore, we propose to add in this paragraph the following sentence: "When varieties belong to the same breeder, one can assume a relation between the varieties and in that case similar denominations as given in the examples are allowed." </w:t>
      </w:r>
    </w:p>
    <w:p w:rsidR="00B54AF2" w:rsidRDefault="00B54AF2" w:rsidP="00B54AF2">
      <w:pPr>
        <w:autoSpaceDE w:val="0"/>
        <w:autoSpaceDN w:val="0"/>
        <w:adjustRightInd w:val="0"/>
        <w:rPr>
          <w:rFonts w:cs="Arial"/>
          <w:color w:val="000000"/>
          <w:lang w:eastAsia="ja-JP"/>
        </w:rPr>
      </w:pPr>
    </w:p>
    <w:p w:rsidR="00B54AF2" w:rsidRPr="005F4BFD" w:rsidRDefault="00B54AF2" w:rsidP="005F4BFD">
      <w:pPr>
        <w:pStyle w:val="ListParagraph"/>
        <w:numPr>
          <w:ilvl w:val="0"/>
          <w:numId w:val="4"/>
        </w:numPr>
        <w:autoSpaceDE w:val="0"/>
        <w:autoSpaceDN w:val="0"/>
        <w:adjustRightInd w:val="0"/>
        <w:rPr>
          <w:rFonts w:cs="Arial"/>
          <w:color w:val="000000"/>
        </w:rPr>
      </w:pPr>
      <w:r w:rsidRPr="005F4BFD">
        <w:rPr>
          <w:rFonts w:cs="Arial"/>
          <w:color w:val="000000"/>
        </w:rPr>
        <w:t>Point 2.3.1 (d) states that the denomination should not "</w:t>
      </w:r>
      <w:r w:rsidRPr="005F4BFD">
        <w:rPr>
          <w:rFonts w:cs="Arial"/>
          <w:i/>
          <w:iCs/>
          <w:color w:val="000000"/>
        </w:rPr>
        <w:t>contain the Latin or common name of the genus to which that variety belongs</w:t>
      </w:r>
      <w:r w:rsidRPr="005F4BFD">
        <w:rPr>
          <w:rFonts w:cs="Arial"/>
          <w:color w:val="000000"/>
        </w:rPr>
        <w:t>". In practice this would mean that Capsicum 'pepper' is not</w:t>
      </w:r>
      <w:r w:rsidRPr="005F4BFD">
        <w:rPr>
          <w:rFonts w:cs="Arial" w:hint="eastAsia"/>
          <w:color w:val="000000"/>
          <w:lang w:eastAsia="ja-JP"/>
        </w:rPr>
        <w:t xml:space="preserve"> </w:t>
      </w:r>
      <w:r w:rsidRPr="005F4BFD">
        <w:rPr>
          <w:rFonts w:cs="Arial"/>
          <w:color w:val="000000"/>
        </w:rPr>
        <w:t xml:space="preserve">allowed, however, Solanum lycopersicon 'pepper' would be allowed. We doubt whether that is desirable. We would propose to rather follow the following approach: a denomination should not contain the Latin or common name of a genus within the same crop group (i.e. ornamental, agriculture, vegetables). </w:t>
      </w:r>
    </w:p>
    <w:p w:rsidR="00B54AF2" w:rsidRDefault="00B54AF2" w:rsidP="00B54AF2">
      <w:pPr>
        <w:autoSpaceDE w:val="0"/>
        <w:autoSpaceDN w:val="0"/>
        <w:adjustRightInd w:val="0"/>
        <w:rPr>
          <w:rFonts w:cs="Arial"/>
          <w:color w:val="000000"/>
          <w:lang w:eastAsia="ja-JP"/>
        </w:rPr>
      </w:pPr>
    </w:p>
    <w:p w:rsidR="00B54AF2" w:rsidRPr="005F4BFD" w:rsidRDefault="00B54AF2" w:rsidP="005F4BFD">
      <w:pPr>
        <w:pStyle w:val="ListParagraph"/>
        <w:numPr>
          <w:ilvl w:val="0"/>
          <w:numId w:val="4"/>
        </w:numPr>
        <w:autoSpaceDE w:val="0"/>
        <w:autoSpaceDN w:val="0"/>
        <w:adjustRightInd w:val="0"/>
        <w:rPr>
          <w:rFonts w:cs="Arial"/>
          <w:color w:val="000000"/>
        </w:rPr>
      </w:pPr>
      <w:r w:rsidRPr="005F4BFD">
        <w:rPr>
          <w:rFonts w:cs="Arial"/>
          <w:color w:val="000000"/>
        </w:rPr>
        <w:t xml:space="preserve">In point 2.3.3. (b) we propose to simplify and thereby improve the readability of the first line of the sentence in the following way: "For denominations consisting solely of letters, as a general recommendation ....". </w:t>
      </w:r>
    </w:p>
    <w:p w:rsidR="00B54AF2" w:rsidRDefault="00B54AF2" w:rsidP="00B54AF2">
      <w:pPr>
        <w:autoSpaceDE w:val="0"/>
        <w:autoSpaceDN w:val="0"/>
        <w:adjustRightInd w:val="0"/>
        <w:rPr>
          <w:rFonts w:cs="Arial"/>
          <w:color w:val="000000"/>
          <w:lang w:eastAsia="ja-JP"/>
        </w:rPr>
      </w:pPr>
    </w:p>
    <w:p w:rsidR="00B54AF2" w:rsidRPr="005F4BFD" w:rsidRDefault="00B54AF2" w:rsidP="005F4BFD">
      <w:pPr>
        <w:pStyle w:val="ListParagraph"/>
        <w:numPr>
          <w:ilvl w:val="0"/>
          <w:numId w:val="4"/>
        </w:numPr>
        <w:autoSpaceDE w:val="0"/>
        <w:autoSpaceDN w:val="0"/>
        <w:adjustRightInd w:val="0"/>
        <w:rPr>
          <w:rFonts w:cs="Arial"/>
          <w:color w:val="000000"/>
        </w:rPr>
      </w:pPr>
      <w:r w:rsidRPr="005F4BFD">
        <w:rPr>
          <w:rFonts w:cs="Arial"/>
          <w:color w:val="000000"/>
        </w:rPr>
        <w:t xml:space="preserve">Point 2.3.3 (b) (iii) refers to a case where a difference of one letter at the beginning may not provide a clear visual and phonetic difference. The example given in the first bullet however does not have a difference of one letter in the beginning but of two letters and is therefore somewhat confusing. </w:t>
      </w:r>
    </w:p>
    <w:p w:rsidR="00B54AF2" w:rsidRDefault="00B54AF2" w:rsidP="00B54AF2">
      <w:pPr>
        <w:autoSpaceDE w:val="0"/>
        <w:autoSpaceDN w:val="0"/>
        <w:adjustRightInd w:val="0"/>
        <w:rPr>
          <w:rFonts w:cs="Arial"/>
          <w:color w:val="000000"/>
          <w:lang w:eastAsia="ja-JP"/>
        </w:rPr>
      </w:pPr>
    </w:p>
    <w:p w:rsidR="00B54AF2" w:rsidRPr="005F4BFD" w:rsidRDefault="00B54AF2" w:rsidP="005F4BFD">
      <w:pPr>
        <w:pStyle w:val="ListParagraph"/>
        <w:numPr>
          <w:ilvl w:val="0"/>
          <w:numId w:val="4"/>
        </w:numPr>
        <w:autoSpaceDE w:val="0"/>
        <w:autoSpaceDN w:val="0"/>
        <w:adjustRightInd w:val="0"/>
        <w:rPr>
          <w:rFonts w:cs="Arial"/>
          <w:color w:val="000000"/>
        </w:rPr>
      </w:pPr>
      <w:r w:rsidRPr="005F4BFD">
        <w:rPr>
          <w:rFonts w:cs="Arial"/>
          <w:color w:val="000000"/>
        </w:rPr>
        <w:t xml:space="preserve">In point 2.3.3 (d) we propose to mention 10 years as an example of suitable period. This is what is indicated in the CPVO guidelines on variety denominations. </w:t>
      </w:r>
    </w:p>
    <w:p w:rsidR="00B54AF2" w:rsidRDefault="00B54AF2" w:rsidP="00B54AF2">
      <w:pPr>
        <w:autoSpaceDE w:val="0"/>
        <w:autoSpaceDN w:val="0"/>
        <w:adjustRightInd w:val="0"/>
        <w:rPr>
          <w:rFonts w:cs="Arial"/>
          <w:color w:val="000000"/>
          <w:lang w:eastAsia="ja-JP"/>
        </w:rPr>
      </w:pPr>
    </w:p>
    <w:p w:rsidR="00B54AF2" w:rsidRPr="005F4BFD" w:rsidRDefault="00B54AF2" w:rsidP="005F4BFD">
      <w:pPr>
        <w:pStyle w:val="ListParagraph"/>
        <w:numPr>
          <w:ilvl w:val="0"/>
          <w:numId w:val="4"/>
        </w:numPr>
        <w:autoSpaceDE w:val="0"/>
        <w:autoSpaceDN w:val="0"/>
        <w:adjustRightInd w:val="0"/>
        <w:rPr>
          <w:rFonts w:cs="Arial"/>
          <w:color w:val="000000"/>
        </w:rPr>
      </w:pPr>
      <w:r w:rsidRPr="005F4BFD">
        <w:rPr>
          <w:rFonts w:cs="Arial"/>
          <w:color w:val="000000"/>
        </w:rPr>
        <w:t xml:space="preserve">We understand that point 2.4 is intended to provide guidance on what it means that the denomination has to be different from any other denomination designating an existing variety of the same plant species or of a closely related species. We propose to also specify here that this does not only refer to denominations used for protected varieties but also denominations registered under national variety registration laws. </w:t>
      </w:r>
    </w:p>
    <w:p w:rsidR="00B54AF2" w:rsidRDefault="00B54AF2" w:rsidP="00B54AF2">
      <w:pPr>
        <w:autoSpaceDE w:val="0"/>
        <w:autoSpaceDN w:val="0"/>
        <w:adjustRightInd w:val="0"/>
        <w:rPr>
          <w:rFonts w:cs="Arial"/>
          <w:color w:val="000000"/>
          <w:lang w:eastAsia="ja-JP"/>
        </w:rPr>
      </w:pPr>
    </w:p>
    <w:p w:rsidR="00B54AF2" w:rsidRPr="005F4BFD" w:rsidRDefault="00B54AF2" w:rsidP="005F4BFD">
      <w:pPr>
        <w:pStyle w:val="ListParagraph"/>
        <w:numPr>
          <w:ilvl w:val="0"/>
          <w:numId w:val="4"/>
        </w:numPr>
        <w:autoSpaceDE w:val="0"/>
        <w:autoSpaceDN w:val="0"/>
        <w:adjustRightInd w:val="0"/>
        <w:rPr>
          <w:rFonts w:cs="Arial"/>
          <w:color w:val="000000"/>
        </w:rPr>
      </w:pPr>
      <w:r w:rsidRPr="005F4BFD">
        <w:rPr>
          <w:rFonts w:cs="Arial"/>
          <w:color w:val="000000"/>
        </w:rPr>
        <w:t>In paragraph 3, in the introductory text it is stated that “</w:t>
      </w:r>
      <w:r w:rsidRPr="005F4BFD">
        <w:rPr>
          <w:rFonts w:cs="Arial"/>
          <w:i/>
          <w:iCs/>
          <w:color w:val="000000"/>
        </w:rPr>
        <w:t>the authority shall refuse to register it and shall require the breeder to propose another denomination with a prescribed period</w:t>
      </w:r>
      <w:r w:rsidRPr="005F4BFD">
        <w:rPr>
          <w:rFonts w:cs="Arial"/>
          <w:color w:val="000000"/>
        </w:rPr>
        <w:t>”. The words “prescribed period” indeed appear in Article 20(3) of the UPOV Convention but in practice the breeder may propose a new denomination at any time before the grant. In order to avoid confusion it would be useful to clarify that the “</w:t>
      </w:r>
      <w:r w:rsidRPr="005F4BFD">
        <w:rPr>
          <w:rFonts w:cs="Arial"/>
          <w:i/>
          <w:iCs/>
          <w:color w:val="000000"/>
        </w:rPr>
        <w:t>prescribed period</w:t>
      </w:r>
      <w:r w:rsidRPr="005F4BFD">
        <w:rPr>
          <w:rFonts w:cs="Arial"/>
          <w:color w:val="000000"/>
        </w:rPr>
        <w:t xml:space="preserve">” basically refers to before grant. </w:t>
      </w:r>
    </w:p>
    <w:p w:rsidR="00B54AF2" w:rsidRDefault="00B54AF2" w:rsidP="00B54AF2">
      <w:pPr>
        <w:autoSpaceDE w:val="0"/>
        <w:autoSpaceDN w:val="0"/>
        <w:adjustRightInd w:val="0"/>
        <w:rPr>
          <w:rFonts w:cs="Arial"/>
          <w:color w:val="000000"/>
          <w:lang w:eastAsia="ja-JP"/>
        </w:rPr>
      </w:pPr>
    </w:p>
    <w:p w:rsidR="00B54AF2" w:rsidRPr="005F4BFD" w:rsidRDefault="00B54AF2" w:rsidP="005F4BFD">
      <w:pPr>
        <w:pStyle w:val="ListParagraph"/>
        <w:numPr>
          <w:ilvl w:val="0"/>
          <w:numId w:val="4"/>
        </w:numPr>
        <w:autoSpaceDE w:val="0"/>
        <w:autoSpaceDN w:val="0"/>
        <w:adjustRightInd w:val="0"/>
        <w:rPr>
          <w:rFonts w:cs="Arial"/>
          <w:color w:val="000000"/>
        </w:rPr>
      </w:pPr>
      <w:r w:rsidRPr="005F4BFD">
        <w:rPr>
          <w:rFonts w:cs="Arial"/>
          <w:color w:val="000000"/>
        </w:rPr>
        <w:t>In point 4(a) the first sentence of this point seems to suggest that prior rights can only be intellectual property rights (“</w:t>
      </w:r>
      <w:r w:rsidRPr="005F4BFD">
        <w:rPr>
          <w:rFonts w:cs="Arial"/>
          <w:i/>
          <w:iCs/>
          <w:color w:val="000000"/>
        </w:rPr>
        <w:t>under plant breeder’s rights law, trademark law or any other intellectual property legislation</w:t>
      </w:r>
      <w:r w:rsidRPr="005F4BFD">
        <w:rPr>
          <w:rFonts w:cs="Arial"/>
          <w:color w:val="000000"/>
        </w:rPr>
        <w:t xml:space="preserve">”). This is however not necessarily the case. For example trade names can be prior rights but they are not considered to be IP rights under all national legislations. In point (e) of this same point 4 there are examples of prior rights given where also trade names are mentioned (sub (iii)). This, in our view, is correct but may be inconsistent with what is stated under point (a). Therefore we propose to delete the mentioned sentence under point (a) and instead refer only to the list of examples in point (e). </w:t>
      </w:r>
    </w:p>
    <w:p w:rsidR="00B54AF2" w:rsidRDefault="00B54AF2" w:rsidP="00B54AF2">
      <w:pPr>
        <w:autoSpaceDE w:val="0"/>
        <w:autoSpaceDN w:val="0"/>
        <w:adjustRightInd w:val="0"/>
        <w:rPr>
          <w:rFonts w:cs="Arial"/>
          <w:color w:val="000000"/>
          <w:lang w:eastAsia="ja-JP"/>
        </w:rPr>
      </w:pPr>
    </w:p>
    <w:p w:rsidR="00B54AF2" w:rsidRPr="005F4BFD" w:rsidRDefault="00B54AF2" w:rsidP="005F4BFD">
      <w:pPr>
        <w:pStyle w:val="ListParagraph"/>
        <w:numPr>
          <w:ilvl w:val="0"/>
          <w:numId w:val="4"/>
        </w:numPr>
        <w:autoSpaceDE w:val="0"/>
        <w:autoSpaceDN w:val="0"/>
        <w:adjustRightInd w:val="0"/>
        <w:rPr>
          <w:rFonts w:cs="Arial"/>
          <w:color w:val="000000"/>
        </w:rPr>
      </w:pPr>
      <w:r w:rsidRPr="005F4BFD">
        <w:rPr>
          <w:rFonts w:cs="Arial"/>
          <w:color w:val="000000"/>
        </w:rPr>
        <w:t>In point 4(e) sub point (i) the last sentence reads: “</w:t>
      </w:r>
      <w:r w:rsidRPr="005F4BFD">
        <w:rPr>
          <w:rFonts w:cs="Arial"/>
          <w:i/>
          <w:iCs/>
          <w:color w:val="000000"/>
        </w:rPr>
        <w:t>In cases of mere similarity or small likelihood of association by users, waivers granted to breeders by prior trademark right holders could be a suitable solution.</w:t>
      </w:r>
      <w:r w:rsidRPr="005F4BFD">
        <w:rPr>
          <w:rFonts w:cs="Arial"/>
          <w:color w:val="000000"/>
        </w:rPr>
        <w:t>” In trademark law the commonly used terminology is “</w:t>
      </w:r>
      <w:r w:rsidRPr="005F4BFD">
        <w:rPr>
          <w:rFonts w:cs="Arial"/>
          <w:i/>
          <w:iCs/>
          <w:color w:val="000000"/>
        </w:rPr>
        <w:t xml:space="preserve">likelihood of </w:t>
      </w:r>
      <w:r w:rsidRPr="005F4BFD">
        <w:rPr>
          <w:rFonts w:cs="Arial"/>
          <w:b/>
          <w:bCs/>
          <w:i/>
          <w:iCs/>
          <w:color w:val="000000"/>
        </w:rPr>
        <w:t>confusion</w:t>
      </w:r>
      <w:r w:rsidRPr="005F4BFD">
        <w:rPr>
          <w:rFonts w:cs="Arial"/>
          <w:color w:val="000000"/>
        </w:rPr>
        <w:t xml:space="preserve">” therefore we propose to also use “likelihood of confusion” here instead of “likelihood of association”. </w:t>
      </w:r>
    </w:p>
    <w:p w:rsidR="00B54AF2" w:rsidRDefault="00B54AF2" w:rsidP="00B54AF2">
      <w:pPr>
        <w:autoSpaceDE w:val="0"/>
        <w:autoSpaceDN w:val="0"/>
        <w:adjustRightInd w:val="0"/>
        <w:rPr>
          <w:rFonts w:cs="Arial"/>
          <w:color w:val="000000"/>
          <w:lang w:eastAsia="ja-JP"/>
        </w:rPr>
      </w:pPr>
    </w:p>
    <w:p w:rsidR="00B54AF2" w:rsidRPr="005F4BFD" w:rsidRDefault="00B54AF2" w:rsidP="005F4BFD">
      <w:pPr>
        <w:pStyle w:val="ListParagraph"/>
        <w:numPr>
          <w:ilvl w:val="0"/>
          <w:numId w:val="4"/>
        </w:numPr>
        <w:autoSpaceDE w:val="0"/>
        <w:autoSpaceDN w:val="0"/>
        <w:adjustRightInd w:val="0"/>
        <w:rPr>
          <w:rFonts w:cs="Arial"/>
          <w:color w:val="000000"/>
        </w:rPr>
      </w:pPr>
      <w:r w:rsidRPr="005F4BFD">
        <w:rPr>
          <w:rFonts w:cs="Arial"/>
          <w:color w:val="000000"/>
        </w:rPr>
        <w:t xml:space="preserve">Under point 7.2 (c) a proposal from Aprebes has been inserted. In general, we believe that the scenario described by point 7.2 (c) would be very seldom since points (a) and (b) already cover the scenarios in which normally a breeder would request a change of the denomination. Further on, we do not fully understand whether the last sentence of the proposal (starting with “If the denomination is changed…”) refers only to a change under point (c) or would also apply to points (a) and (b). If this would be the case, we would like to point out that it would not be possible to continue to mention the old name next to the new name since under (a) this would still constitute an infringement of the trademark and under (b) the breeder would certainly not want to continue mentioning a name next to the new name which may be offensive for example. </w:t>
      </w:r>
    </w:p>
    <w:p w:rsidR="00B54AF2" w:rsidRPr="00B54AF2" w:rsidRDefault="00B54AF2" w:rsidP="00B54AF2">
      <w:pPr>
        <w:autoSpaceDE w:val="0"/>
        <w:autoSpaceDN w:val="0"/>
        <w:adjustRightInd w:val="0"/>
        <w:rPr>
          <w:rFonts w:cs="Arial"/>
          <w:color w:val="000000"/>
        </w:rPr>
      </w:pPr>
    </w:p>
    <w:p w:rsidR="00B54AF2" w:rsidRPr="005F4BFD" w:rsidRDefault="00B54AF2" w:rsidP="005F4BFD">
      <w:pPr>
        <w:pStyle w:val="ListParagraph"/>
        <w:numPr>
          <w:ilvl w:val="0"/>
          <w:numId w:val="4"/>
        </w:numPr>
        <w:autoSpaceDE w:val="0"/>
        <w:autoSpaceDN w:val="0"/>
        <w:adjustRightInd w:val="0"/>
        <w:rPr>
          <w:rFonts w:cs="Arial"/>
          <w:color w:val="000000"/>
          <w:lang w:eastAsia="ja-JP"/>
        </w:rPr>
      </w:pPr>
      <w:r w:rsidRPr="005F4BFD">
        <w:rPr>
          <w:rFonts w:cs="Arial"/>
          <w:color w:val="000000"/>
        </w:rPr>
        <w:t xml:space="preserve">ESA has already commented on UPOV/INF/12/5 Draft 1 in June 2014 and those comments have been incorporated in document UPOV/ONF/12/5 Draft 2. However, we would like to retain only the comments as outlined here above. </w:t>
      </w:r>
    </w:p>
    <w:p w:rsidR="005F4BFD" w:rsidRDefault="005F4BFD" w:rsidP="00B54AF2">
      <w:pPr>
        <w:autoSpaceDE w:val="0"/>
        <w:autoSpaceDN w:val="0"/>
        <w:adjustRightInd w:val="0"/>
        <w:rPr>
          <w:rFonts w:cs="Arial"/>
          <w:color w:val="000000"/>
          <w:lang w:eastAsia="ja-JP"/>
        </w:rPr>
      </w:pPr>
    </w:p>
    <w:p w:rsidR="005F4BFD" w:rsidRPr="00B54AF2" w:rsidRDefault="005F4BFD" w:rsidP="00B54AF2">
      <w:pPr>
        <w:autoSpaceDE w:val="0"/>
        <w:autoSpaceDN w:val="0"/>
        <w:adjustRightInd w:val="0"/>
        <w:rPr>
          <w:rFonts w:cs="Arial"/>
          <w:color w:val="000000"/>
          <w:lang w:eastAsia="ja-JP"/>
        </w:rPr>
      </w:pPr>
    </w:p>
    <w:p w:rsidR="00B54AF2" w:rsidRPr="00B54AF2" w:rsidRDefault="00B54AF2" w:rsidP="00B54AF2">
      <w:pPr>
        <w:autoSpaceDE w:val="0"/>
        <w:autoSpaceDN w:val="0"/>
        <w:adjustRightInd w:val="0"/>
        <w:rPr>
          <w:rFonts w:cs="Arial"/>
          <w:color w:val="000000"/>
        </w:rPr>
      </w:pPr>
      <w:r w:rsidRPr="00B54AF2">
        <w:rPr>
          <w:rFonts w:cs="Arial"/>
          <w:color w:val="000000"/>
        </w:rPr>
        <w:t xml:space="preserve">Comments on document CAJ/72/3 Variety Denominations: </w:t>
      </w:r>
    </w:p>
    <w:p w:rsidR="005F4BFD" w:rsidRDefault="005F4BFD" w:rsidP="00B54AF2">
      <w:pPr>
        <w:autoSpaceDE w:val="0"/>
        <w:autoSpaceDN w:val="0"/>
        <w:adjustRightInd w:val="0"/>
        <w:rPr>
          <w:rFonts w:cs="Arial"/>
          <w:color w:val="000000"/>
          <w:lang w:eastAsia="ja-JP"/>
        </w:rPr>
      </w:pPr>
    </w:p>
    <w:p w:rsidR="00B54AF2" w:rsidRPr="005F4BFD" w:rsidRDefault="00B54AF2" w:rsidP="005F4BFD">
      <w:pPr>
        <w:pStyle w:val="ListParagraph"/>
        <w:numPr>
          <w:ilvl w:val="0"/>
          <w:numId w:val="5"/>
        </w:numPr>
        <w:autoSpaceDE w:val="0"/>
        <w:autoSpaceDN w:val="0"/>
        <w:adjustRightInd w:val="0"/>
        <w:rPr>
          <w:rFonts w:cs="Arial"/>
          <w:color w:val="000000"/>
        </w:rPr>
      </w:pPr>
      <w:r w:rsidRPr="005F4BFD">
        <w:rPr>
          <w:rFonts w:cs="Arial"/>
          <w:color w:val="000000"/>
        </w:rPr>
        <w:t xml:space="preserve">In paragraphs 19 to 21 the idea to develop a list of non-acceptable terms is discussed. In principle we are of the view that it will be very difficult to define such a list and in the event that this exercise is in the end pursued, we believe that it should be made very clear that such list is only providing some examples but cannot be interpreted as an exhaustive list. </w:t>
      </w:r>
    </w:p>
    <w:p w:rsidR="005F4BFD" w:rsidRDefault="005F4BFD" w:rsidP="00B54AF2">
      <w:pPr>
        <w:autoSpaceDE w:val="0"/>
        <w:autoSpaceDN w:val="0"/>
        <w:adjustRightInd w:val="0"/>
        <w:rPr>
          <w:rFonts w:cs="Arial"/>
          <w:color w:val="000000"/>
          <w:lang w:eastAsia="ja-JP"/>
        </w:rPr>
      </w:pPr>
    </w:p>
    <w:p w:rsidR="00B54AF2" w:rsidRPr="005F4BFD" w:rsidRDefault="00B54AF2" w:rsidP="005F4BFD">
      <w:pPr>
        <w:pStyle w:val="ListParagraph"/>
        <w:numPr>
          <w:ilvl w:val="0"/>
          <w:numId w:val="5"/>
        </w:numPr>
        <w:autoSpaceDE w:val="0"/>
        <w:autoSpaceDN w:val="0"/>
        <w:adjustRightInd w:val="0"/>
        <w:rPr>
          <w:rFonts w:cs="Arial"/>
          <w:color w:val="000000"/>
        </w:rPr>
      </w:pPr>
      <w:r w:rsidRPr="005F4BFD">
        <w:rPr>
          <w:rFonts w:cs="Arial"/>
          <w:color w:val="000000"/>
        </w:rPr>
        <w:t>In paragraph 20 and in paragraph 22(b) of the Report on the conclusions of the UPOV CAJ session in October 2015 (CAJ/72/9) it is noted that it is proposed to consider botanical and common names as non-acceptable terms. In this respect we would like to reiterate ou</w:t>
      </w:r>
      <w:r w:rsidR="008767E4">
        <w:rPr>
          <w:rFonts w:cs="Arial"/>
          <w:color w:val="000000"/>
        </w:rPr>
        <w:t>r comment regarding point 2.3.1 </w:t>
      </w:r>
      <w:r w:rsidRPr="005F4BFD">
        <w:rPr>
          <w:rFonts w:cs="Arial"/>
          <w:color w:val="000000"/>
        </w:rPr>
        <w:t xml:space="preserve">(d) of UPOV/INF/12/5 Draft 2 as outlined above. </w:t>
      </w:r>
    </w:p>
    <w:p w:rsidR="005F4BFD" w:rsidRDefault="005F4BFD" w:rsidP="00B54AF2">
      <w:pPr>
        <w:autoSpaceDE w:val="0"/>
        <w:autoSpaceDN w:val="0"/>
        <w:adjustRightInd w:val="0"/>
        <w:rPr>
          <w:rFonts w:cs="Arial"/>
          <w:color w:val="000000"/>
          <w:lang w:eastAsia="ja-JP"/>
        </w:rPr>
      </w:pPr>
    </w:p>
    <w:p w:rsidR="00B54AF2" w:rsidRPr="005F4BFD" w:rsidRDefault="00B54AF2" w:rsidP="005F4BFD">
      <w:pPr>
        <w:pStyle w:val="ListParagraph"/>
        <w:numPr>
          <w:ilvl w:val="0"/>
          <w:numId w:val="5"/>
        </w:numPr>
        <w:autoSpaceDE w:val="0"/>
        <w:autoSpaceDN w:val="0"/>
        <w:adjustRightInd w:val="0"/>
        <w:rPr>
          <w:rFonts w:cs="Arial"/>
          <w:color w:val="000000"/>
          <w:lang w:eastAsia="ja-JP"/>
        </w:rPr>
      </w:pPr>
      <w:r w:rsidRPr="005F4BFD">
        <w:rPr>
          <w:rFonts w:cs="Arial"/>
          <w:color w:val="000000"/>
        </w:rPr>
        <w:t>In paragraph 37 it is proposed that re-use of denominations should be avoided in all cases. So far, point 2.3.3. (d) of UPOV/INF/12/5 Draft 2 states that in certain cases after a certain period of time such re-use should be possible. Further on, in the same paragraph it is also proposed to include all varieties in PLUTO, also those which had not been or were no longer registered/protected. We understand that this may cover varieties that may have been marketed under a “test-marketing regime” prior to registration. Breeders would like to be able to re-use names which have not yet been registered and not yet been marketed. These are rare cases but still too restr</w:t>
      </w:r>
      <w:r w:rsidR="005F4BFD" w:rsidRPr="005F4BFD">
        <w:rPr>
          <w:rFonts w:cs="Arial"/>
          <w:color w:val="000000"/>
        </w:rPr>
        <w:t xml:space="preserve">ictive rules are not favored. </w:t>
      </w:r>
      <w:r w:rsidRPr="005F4BFD">
        <w:rPr>
          <w:rFonts w:cs="Arial"/>
          <w:color w:val="000000"/>
        </w:rPr>
        <w:t>As outlined also above, we propose to allow re-use of denominat</w:t>
      </w:r>
      <w:r w:rsidR="008767E4">
        <w:rPr>
          <w:rFonts w:cs="Arial"/>
          <w:color w:val="000000"/>
        </w:rPr>
        <w:t>ions after a period of 10 </w:t>
      </w:r>
      <w:r w:rsidR="005F4BFD" w:rsidRPr="005F4BFD">
        <w:rPr>
          <w:rFonts w:cs="Arial"/>
          <w:color w:val="000000"/>
        </w:rPr>
        <w:t>years</w:t>
      </w:r>
      <w:r w:rsidR="005F4BFD" w:rsidRPr="005F4BFD">
        <w:rPr>
          <w:rFonts w:cs="Arial" w:hint="eastAsia"/>
          <w:color w:val="000000"/>
          <w:lang w:eastAsia="ja-JP"/>
        </w:rPr>
        <w:t>.</w:t>
      </w:r>
    </w:p>
    <w:p w:rsidR="00F21316" w:rsidRPr="00B54AF2" w:rsidRDefault="00F21316" w:rsidP="00B54AF2">
      <w:pPr>
        <w:autoSpaceDE w:val="0"/>
        <w:autoSpaceDN w:val="0"/>
        <w:adjustRightInd w:val="0"/>
        <w:rPr>
          <w:rFonts w:cs="Arial"/>
          <w:color w:val="000000"/>
        </w:rPr>
      </w:pPr>
    </w:p>
    <w:p w:rsidR="00F21316" w:rsidRPr="00B54AF2" w:rsidRDefault="00F21316" w:rsidP="00B54AF2">
      <w:pPr>
        <w:rPr>
          <w:rFonts w:cs="Arial"/>
          <w:snapToGrid w:val="0"/>
          <w:lang w:eastAsia="ja-JP"/>
        </w:rPr>
      </w:pPr>
    </w:p>
    <w:p w:rsidR="00C20680" w:rsidRDefault="00C20680" w:rsidP="00E10886">
      <w:pPr>
        <w:rPr>
          <w:snapToGrid w:val="0"/>
          <w:lang w:eastAsia="ja-JP"/>
        </w:rPr>
      </w:pPr>
    </w:p>
    <w:p w:rsidR="00E10886" w:rsidRPr="00CA3196" w:rsidRDefault="00532FB6" w:rsidP="00532FB6">
      <w:pPr>
        <w:jc w:val="right"/>
        <w:rPr>
          <w:snapToGrid w:val="0"/>
          <w:lang w:eastAsia="ja-JP"/>
        </w:rPr>
      </w:pPr>
      <w:r w:rsidRPr="00CA3196">
        <w:rPr>
          <w:snapToGrid w:val="0"/>
          <w:lang w:eastAsia="ja-JP"/>
        </w:rPr>
        <w:t xml:space="preserve">[End of </w:t>
      </w:r>
      <w:r w:rsidR="009219E3">
        <w:rPr>
          <w:snapToGrid w:val="0"/>
          <w:lang w:eastAsia="ja-JP"/>
        </w:rPr>
        <w:t xml:space="preserve">Annex III and of </w:t>
      </w:r>
      <w:r w:rsidR="003C7F21">
        <w:rPr>
          <w:rFonts w:hint="eastAsia"/>
          <w:snapToGrid w:val="0"/>
          <w:lang w:eastAsia="ja-JP"/>
        </w:rPr>
        <w:t>d</w:t>
      </w:r>
      <w:r w:rsidRPr="00CA3196">
        <w:rPr>
          <w:snapToGrid w:val="0"/>
          <w:lang w:eastAsia="ja-JP"/>
        </w:rPr>
        <w:t>ocument]</w:t>
      </w:r>
    </w:p>
    <w:p w:rsidR="00900C26" w:rsidRDefault="00900C26" w:rsidP="00664515">
      <w:pPr>
        <w:jc w:val="left"/>
        <w:rPr>
          <w:snapToGrid w:val="0"/>
        </w:rPr>
      </w:pPr>
    </w:p>
    <w:sectPr w:rsidR="00900C26" w:rsidSect="00046697">
      <w:headerReference w:type="default" r:id="rId15"/>
      <w:headerReference w:type="first" r:id="rId16"/>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B2B" w:rsidRDefault="00881B2B">
      <w:r>
        <w:separator/>
      </w:r>
    </w:p>
    <w:p w:rsidR="00881B2B" w:rsidRDefault="00881B2B"/>
    <w:p w:rsidR="00881B2B" w:rsidRDefault="00881B2B"/>
  </w:endnote>
  <w:endnote w:type="continuationSeparator" w:id="0">
    <w:p w:rsidR="00881B2B" w:rsidRDefault="00881B2B">
      <w:r>
        <w:separator/>
      </w:r>
    </w:p>
    <w:p w:rsidR="00881B2B" w:rsidRPr="00664515" w:rsidRDefault="00881B2B">
      <w:pPr>
        <w:pStyle w:val="Footer"/>
        <w:spacing w:after="60"/>
        <w:rPr>
          <w:sz w:val="18"/>
          <w:lang w:val="fr-CH"/>
        </w:rPr>
      </w:pPr>
      <w:r w:rsidRPr="00664515">
        <w:rPr>
          <w:sz w:val="18"/>
          <w:lang w:val="fr-CH"/>
        </w:rPr>
        <w:t>[Suite de la note de la page précédente]</w:t>
      </w:r>
    </w:p>
    <w:p w:rsidR="00881B2B" w:rsidRPr="00664515" w:rsidRDefault="00881B2B">
      <w:pPr>
        <w:rPr>
          <w:lang w:val="fr-CH"/>
        </w:rPr>
      </w:pPr>
    </w:p>
    <w:p w:rsidR="00881B2B" w:rsidRPr="00664515" w:rsidRDefault="00881B2B">
      <w:pPr>
        <w:rPr>
          <w:lang w:val="fr-CH"/>
        </w:rPr>
      </w:pPr>
    </w:p>
  </w:endnote>
  <w:endnote w:type="continuationNotice" w:id="1">
    <w:p w:rsidR="00881B2B" w:rsidRPr="00664515" w:rsidRDefault="00881B2B">
      <w:pPr>
        <w:spacing w:before="60"/>
        <w:jc w:val="right"/>
        <w:rPr>
          <w:sz w:val="18"/>
          <w:lang w:val="fr-CH"/>
        </w:rPr>
      </w:pPr>
      <w:r w:rsidRPr="00664515">
        <w:rPr>
          <w:sz w:val="18"/>
          <w:lang w:val="fr-CH"/>
        </w:rPr>
        <w:t>[Suite de la note page suivante]</w:t>
      </w:r>
    </w:p>
    <w:p w:rsidR="00881B2B" w:rsidRPr="00664515" w:rsidRDefault="00881B2B">
      <w:pPr>
        <w:rPr>
          <w:lang w:val="fr-CH"/>
        </w:rPr>
      </w:pPr>
    </w:p>
    <w:p w:rsidR="00881B2B" w:rsidRPr="00664515" w:rsidRDefault="00881B2B">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B2B" w:rsidRDefault="00881B2B" w:rsidP="009D690D">
      <w:pPr>
        <w:spacing w:before="120"/>
      </w:pPr>
      <w:r>
        <w:separator/>
      </w:r>
    </w:p>
  </w:footnote>
  <w:footnote w:type="continuationSeparator" w:id="0">
    <w:p w:rsidR="00881B2B" w:rsidRDefault="00881B2B" w:rsidP="00520297">
      <w:pPr>
        <w:spacing w:before="120"/>
        <w:jc w:val="left"/>
      </w:pPr>
      <w:r>
        <w:separator/>
      </w:r>
    </w:p>
  </w:footnote>
  <w:footnote w:type="continuationNotice" w:id="1">
    <w:p w:rsidR="00881B2B" w:rsidRDefault="00881B2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B2B" w:rsidRPr="00997029" w:rsidRDefault="00881B2B" w:rsidP="00E23920">
    <w:pPr>
      <w:jc w:val="center"/>
      <w:rPr>
        <w:rStyle w:val="PageNumber"/>
      </w:rPr>
    </w:pPr>
    <w:r>
      <w:rPr>
        <w:rStyle w:val="PageNumber"/>
        <w:rFonts w:hint="eastAsia"/>
        <w:lang w:eastAsia="ja-JP"/>
      </w:rPr>
      <w:t>UPOV/WG-DEN/1/2</w:t>
    </w:r>
  </w:p>
  <w:p w:rsidR="00881B2B" w:rsidRPr="00997029" w:rsidRDefault="00881B2B" w:rsidP="00E23920">
    <w:pPr>
      <w:jc w:val="center"/>
    </w:pP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E01260">
      <w:rPr>
        <w:rStyle w:val="PageNumber"/>
        <w:noProof/>
      </w:rPr>
      <w:t>3</w:t>
    </w:r>
    <w:r w:rsidRPr="00997029">
      <w:rPr>
        <w:rStyle w:val="PageNumber"/>
      </w:rPr>
      <w:fldChar w:fldCharType="end"/>
    </w:r>
  </w:p>
  <w:p w:rsidR="00881B2B" w:rsidRPr="00997029" w:rsidRDefault="00881B2B" w:rsidP="00EB048E">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B2B" w:rsidRDefault="00881B2B" w:rsidP="00E23920">
    <w:pPr>
      <w:jc w:val="center"/>
      <w:rPr>
        <w:rStyle w:val="PageNumber"/>
        <w:lang w:eastAsia="ja-JP"/>
      </w:rPr>
    </w:pPr>
    <w:r>
      <w:rPr>
        <w:rStyle w:val="PageNumber"/>
        <w:rFonts w:hint="eastAsia"/>
        <w:lang w:eastAsia="ja-JP"/>
      </w:rPr>
      <w:t>UPOV/WG-DEN/1/2</w:t>
    </w:r>
  </w:p>
  <w:p w:rsidR="00881B2B" w:rsidRPr="00997029" w:rsidRDefault="00881B2B" w:rsidP="00E23920">
    <w:pPr>
      <w:jc w:val="center"/>
    </w:pPr>
    <w:r>
      <w:rPr>
        <w:rStyle w:val="PageNumber"/>
        <w:lang w:eastAsia="ja-JP"/>
      </w:rPr>
      <w:t xml:space="preserve">Annex I, </w:t>
    </w: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E01260">
      <w:rPr>
        <w:rStyle w:val="PageNumber"/>
        <w:noProof/>
      </w:rPr>
      <w:t>2</w:t>
    </w:r>
    <w:r w:rsidRPr="00997029">
      <w:rPr>
        <w:rStyle w:val="PageNumber"/>
      </w:rPr>
      <w:fldChar w:fldCharType="end"/>
    </w:r>
  </w:p>
  <w:p w:rsidR="00881B2B" w:rsidRPr="00997029" w:rsidRDefault="00881B2B" w:rsidP="00EB048E">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B2B" w:rsidRDefault="00881B2B">
    <w:pPr>
      <w:pStyle w:val="Header"/>
      <w:rPr>
        <w:lang w:val="en-US"/>
      </w:rPr>
    </w:pPr>
    <w:r>
      <w:rPr>
        <w:lang w:val="en-US"/>
      </w:rPr>
      <w:t>UPOV/WG-DEN/1/2</w:t>
    </w:r>
  </w:p>
  <w:p w:rsidR="00881B2B" w:rsidRDefault="00881B2B">
    <w:pPr>
      <w:pStyle w:val="Header"/>
      <w:rPr>
        <w:lang w:val="en-US"/>
      </w:rPr>
    </w:pPr>
  </w:p>
  <w:p w:rsidR="00881B2B" w:rsidRPr="00C20680" w:rsidRDefault="00881B2B">
    <w:pPr>
      <w:pStyle w:val="Header"/>
      <w:rPr>
        <w:lang w:val="en-US"/>
      </w:rPr>
    </w:pPr>
    <w:r>
      <w:rPr>
        <w:lang w:val="en-US"/>
      </w:rPr>
      <w:t>ANNEX 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B2B" w:rsidRDefault="00881B2B" w:rsidP="00E23920">
    <w:pPr>
      <w:jc w:val="center"/>
      <w:rPr>
        <w:rStyle w:val="PageNumber"/>
        <w:lang w:eastAsia="ja-JP"/>
      </w:rPr>
    </w:pPr>
    <w:r>
      <w:rPr>
        <w:rStyle w:val="PageNumber"/>
        <w:rFonts w:hint="eastAsia"/>
        <w:lang w:eastAsia="ja-JP"/>
      </w:rPr>
      <w:t>UPOV/WG-DEN/1/2</w:t>
    </w:r>
  </w:p>
  <w:p w:rsidR="00881B2B" w:rsidRPr="00997029" w:rsidRDefault="00881B2B" w:rsidP="00E23920">
    <w:pPr>
      <w:jc w:val="center"/>
    </w:pPr>
    <w:r>
      <w:rPr>
        <w:rStyle w:val="PageNumber"/>
        <w:lang w:eastAsia="ja-JP"/>
      </w:rPr>
      <w:t xml:space="preserve">Annex </w:t>
    </w:r>
    <w:r>
      <w:rPr>
        <w:rStyle w:val="PageNumber"/>
        <w:rFonts w:hint="eastAsia"/>
        <w:lang w:eastAsia="ja-JP"/>
      </w:rPr>
      <w:t>I</w:t>
    </w:r>
    <w:r>
      <w:rPr>
        <w:rStyle w:val="PageNumber"/>
        <w:lang w:eastAsia="ja-JP"/>
      </w:rPr>
      <w:t xml:space="preserve">I, </w:t>
    </w: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E01260">
      <w:rPr>
        <w:rStyle w:val="PageNumber"/>
        <w:noProof/>
      </w:rPr>
      <w:t>2</w:t>
    </w:r>
    <w:r w:rsidRPr="00997029">
      <w:rPr>
        <w:rStyle w:val="PageNumber"/>
      </w:rPr>
      <w:fldChar w:fldCharType="end"/>
    </w:r>
  </w:p>
  <w:p w:rsidR="00881B2B" w:rsidRPr="00997029" w:rsidRDefault="00881B2B" w:rsidP="00EB048E">
    <w:pP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B2B" w:rsidRDefault="00881B2B">
    <w:pPr>
      <w:pStyle w:val="Header"/>
      <w:rPr>
        <w:lang w:val="en-US"/>
      </w:rPr>
    </w:pPr>
    <w:r>
      <w:rPr>
        <w:lang w:val="en-US"/>
      </w:rPr>
      <w:t>UPOV/WG-DEN/1/2</w:t>
    </w:r>
  </w:p>
  <w:p w:rsidR="00881B2B" w:rsidRDefault="00881B2B">
    <w:pPr>
      <w:pStyle w:val="Header"/>
      <w:rPr>
        <w:lang w:val="en-US"/>
      </w:rPr>
    </w:pPr>
  </w:p>
  <w:p w:rsidR="00881B2B" w:rsidRPr="00C20680" w:rsidRDefault="00881B2B">
    <w:pPr>
      <w:pStyle w:val="Header"/>
      <w:rPr>
        <w:lang w:val="en-US" w:eastAsia="ja-JP"/>
      </w:rPr>
    </w:pPr>
    <w:r>
      <w:rPr>
        <w:lang w:val="en-US"/>
      </w:rPr>
      <w:t>ANNEX I</w:t>
    </w:r>
    <w:r>
      <w:rPr>
        <w:rFonts w:hint="eastAsia"/>
        <w:lang w:val="en-US" w:eastAsia="ja-JP"/>
      </w:rPr>
      <w:t>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B2B" w:rsidRDefault="00881B2B" w:rsidP="00E23920">
    <w:pPr>
      <w:jc w:val="center"/>
      <w:rPr>
        <w:rStyle w:val="PageNumber"/>
        <w:lang w:eastAsia="ja-JP"/>
      </w:rPr>
    </w:pPr>
    <w:r>
      <w:rPr>
        <w:rStyle w:val="PageNumber"/>
        <w:rFonts w:hint="eastAsia"/>
        <w:lang w:eastAsia="ja-JP"/>
      </w:rPr>
      <w:t>UPOV/WG-DEN/1/2</w:t>
    </w:r>
  </w:p>
  <w:p w:rsidR="00881B2B" w:rsidRPr="00997029" w:rsidRDefault="00881B2B" w:rsidP="00E23920">
    <w:pPr>
      <w:jc w:val="center"/>
    </w:pPr>
    <w:r>
      <w:rPr>
        <w:rStyle w:val="PageNumber"/>
        <w:lang w:eastAsia="ja-JP"/>
      </w:rPr>
      <w:t xml:space="preserve">Annex </w:t>
    </w:r>
    <w:r>
      <w:rPr>
        <w:rStyle w:val="PageNumber"/>
        <w:rFonts w:hint="eastAsia"/>
        <w:lang w:eastAsia="ja-JP"/>
      </w:rPr>
      <w:t>I</w:t>
    </w:r>
    <w:r>
      <w:rPr>
        <w:rStyle w:val="PageNumber"/>
        <w:lang w:eastAsia="ja-JP"/>
      </w:rPr>
      <w:t xml:space="preserve">II, </w:t>
    </w: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E01260">
      <w:rPr>
        <w:rStyle w:val="PageNumber"/>
        <w:noProof/>
      </w:rPr>
      <w:t>2</w:t>
    </w:r>
    <w:r w:rsidRPr="00997029">
      <w:rPr>
        <w:rStyle w:val="PageNumber"/>
      </w:rPr>
      <w:fldChar w:fldCharType="end"/>
    </w:r>
  </w:p>
  <w:p w:rsidR="00881B2B" w:rsidRPr="00997029" w:rsidRDefault="00881B2B" w:rsidP="00EB048E">
    <w:pPr>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B2B" w:rsidRDefault="00881B2B">
    <w:pPr>
      <w:pStyle w:val="Header"/>
      <w:rPr>
        <w:lang w:val="en-US"/>
      </w:rPr>
    </w:pPr>
    <w:r>
      <w:rPr>
        <w:lang w:val="en-US"/>
      </w:rPr>
      <w:t>UPOV/WG-DEN/1/2</w:t>
    </w:r>
  </w:p>
  <w:p w:rsidR="00881B2B" w:rsidRDefault="00881B2B">
    <w:pPr>
      <w:pStyle w:val="Header"/>
      <w:rPr>
        <w:lang w:val="en-US"/>
      </w:rPr>
    </w:pPr>
  </w:p>
  <w:p w:rsidR="00881B2B" w:rsidRPr="00C20680" w:rsidRDefault="00881B2B">
    <w:pPr>
      <w:pStyle w:val="Header"/>
      <w:rPr>
        <w:lang w:val="en-US" w:eastAsia="ja-JP"/>
      </w:rPr>
    </w:pPr>
    <w:r>
      <w:rPr>
        <w:lang w:val="en-US"/>
      </w:rPr>
      <w:t>ANNEX II</w:t>
    </w:r>
    <w:r>
      <w:rPr>
        <w:rFonts w:hint="eastAsia"/>
        <w:lang w:val="en-US" w:eastAsia="ja-JP"/>
      </w:rPr>
      <w:t>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56887"/>
    <w:multiLevelType w:val="hybridMultilevel"/>
    <w:tmpl w:val="A9F6C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0282C"/>
    <w:multiLevelType w:val="hybridMultilevel"/>
    <w:tmpl w:val="9B22F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CB7188"/>
    <w:multiLevelType w:val="hybridMultilevel"/>
    <w:tmpl w:val="F2DEF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688043E"/>
    <w:multiLevelType w:val="hybridMultilevel"/>
    <w:tmpl w:val="34F62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67397E"/>
    <w:multiLevelType w:val="hybridMultilevel"/>
    <w:tmpl w:val="CF42A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75777"/>
  </w:hdrShapeDefaults>
  <w:footnotePr>
    <w:footnote w:id="-1"/>
    <w:footnote w:id="0"/>
    <w:footnote w:id="1"/>
  </w:footnotePr>
  <w:endnotePr>
    <w:endnote w:id="-1"/>
    <w:endnote w:id="0"/>
    <w:endnote w:id="1"/>
  </w:endnotePr>
  <w:compat>
    <w:suppressSpBfAfterPgBrk/>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C4B"/>
    <w:rsid w:val="00001380"/>
    <w:rsid w:val="00001D48"/>
    <w:rsid w:val="000036AE"/>
    <w:rsid w:val="00004C35"/>
    <w:rsid w:val="0001076D"/>
    <w:rsid w:val="00010CF3"/>
    <w:rsid w:val="00011E27"/>
    <w:rsid w:val="000148BC"/>
    <w:rsid w:val="00020BFA"/>
    <w:rsid w:val="00021F4C"/>
    <w:rsid w:val="00024AB8"/>
    <w:rsid w:val="00036028"/>
    <w:rsid w:val="00037A85"/>
    <w:rsid w:val="00041C75"/>
    <w:rsid w:val="000446B9"/>
    <w:rsid w:val="00046697"/>
    <w:rsid w:val="00047E21"/>
    <w:rsid w:val="0006472C"/>
    <w:rsid w:val="00072D17"/>
    <w:rsid w:val="000825CE"/>
    <w:rsid w:val="00085505"/>
    <w:rsid w:val="000861F9"/>
    <w:rsid w:val="00092F1C"/>
    <w:rsid w:val="000955BC"/>
    <w:rsid w:val="00097BB4"/>
    <w:rsid w:val="000A3C60"/>
    <w:rsid w:val="000C135E"/>
    <w:rsid w:val="000C4D17"/>
    <w:rsid w:val="000C7021"/>
    <w:rsid w:val="000D1B39"/>
    <w:rsid w:val="000D1EA8"/>
    <w:rsid w:val="000D492E"/>
    <w:rsid w:val="000D6BBC"/>
    <w:rsid w:val="000D7780"/>
    <w:rsid w:val="000E70AE"/>
    <w:rsid w:val="00105929"/>
    <w:rsid w:val="00110481"/>
    <w:rsid w:val="001131D5"/>
    <w:rsid w:val="00113300"/>
    <w:rsid w:val="00123458"/>
    <w:rsid w:val="001318E9"/>
    <w:rsid w:val="00140C66"/>
    <w:rsid w:val="00141DB8"/>
    <w:rsid w:val="001449AB"/>
    <w:rsid w:val="00145C8B"/>
    <w:rsid w:val="00155F6F"/>
    <w:rsid w:val="00171032"/>
    <w:rsid w:val="0017474A"/>
    <w:rsid w:val="001758C6"/>
    <w:rsid w:val="00177B4F"/>
    <w:rsid w:val="00180CB7"/>
    <w:rsid w:val="00197777"/>
    <w:rsid w:val="001A2505"/>
    <w:rsid w:val="001C3335"/>
    <w:rsid w:val="001C3DF3"/>
    <w:rsid w:val="001C4984"/>
    <w:rsid w:val="001D3124"/>
    <w:rsid w:val="001E1FCC"/>
    <w:rsid w:val="001F1F2A"/>
    <w:rsid w:val="001F5558"/>
    <w:rsid w:val="00201CBB"/>
    <w:rsid w:val="002113CC"/>
    <w:rsid w:val="0021332C"/>
    <w:rsid w:val="00213982"/>
    <w:rsid w:val="002341F7"/>
    <w:rsid w:val="00235C3C"/>
    <w:rsid w:val="00237C7D"/>
    <w:rsid w:val="0024416D"/>
    <w:rsid w:val="00257ACE"/>
    <w:rsid w:val="0026077B"/>
    <w:rsid w:val="002627FF"/>
    <w:rsid w:val="00265B83"/>
    <w:rsid w:val="0027309C"/>
    <w:rsid w:val="002800A0"/>
    <w:rsid w:val="00280FCF"/>
    <w:rsid w:val="00281060"/>
    <w:rsid w:val="0029439F"/>
    <w:rsid w:val="002A5BE3"/>
    <w:rsid w:val="002A6E50"/>
    <w:rsid w:val="002B2C4B"/>
    <w:rsid w:val="002C256A"/>
    <w:rsid w:val="002C7B60"/>
    <w:rsid w:val="002E04ED"/>
    <w:rsid w:val="002E2D47"/>
    <w:rsid w:val="002E7BA1"/>
    <w:rsid w:val="002F78FA"/>
    <w:rsid w:val="00300917"/>
    <w:rsid w:val="00305A7F"/>
    <w:rsid w:val="00313CFE"/>
    <w:rsid w:val="003152FE"/>
    <w:rsid w:val="00315B5E"/>
    <w:rsid w:val="00327436"/>
    <w:rsid w:val="00331016"/>
    <w:rsid w:val="00344BD6"/>
    <w:rsid w:val="0035528D"/>
    <w:rsid w:val="00361821"/>
    <w:rsid w:val="00364346"/>
    <w:rsid w:val="00367A2E"/>
    <w:rsid w:val="0038194C"/>
    <w:rsid w:val="0038410B"/>
    <w:rsid w:val="003A03F2"/>
    <w:rsid w:val="003A17C8"/>
    <w:rsid w:val="003C563E"/>
    <w:rsid w:val="003C7F21"/>
    <w:rsid w:val="003D227C"/>
    <w:rsid w:val="003D2B4D"/>
    <w:rsid w:val="003E362A"/>
    <w:rsid w:val="003E5BDA"/>
    <w:rsid w:val="003E5E33"/>
    <w:rsid w:val="003F6136"/>
    <w:rsid w:val="00404517"/>
    <w:rsid w:val="00414FD1"/>
    <w:rsid w:val="00415F5E"/>
    <w:rsid w:val="00426A94"/>
    <w:rsid w:val="00427139"/>
    <w:rsid w:val="00432DA8"/>
    <w:rsid w:val="004375D4"/>
    <w:rsid w:val="00444A88"/>
    <w:rsid w:val="00447E49"/>
    <w:rsid w:val="004610BC"/>
    <w:rsid w:val="00461F5D"/>
    <w:rsid w:val="00466910"/>
    <w:rsid w:val="00467ACD"/>
    <w:rsid w:val="00467CF9"/>
    <w:rsid w:val="00474DA4"/>
    <w:rsid w:val="00476E8D"/>
    <w:rsid w:val="004808B4"/>
    <w:rsid w:val="004A07B1"/>
    <w:rsid w:val="004A26D1"/>
    <w:rsid w:val="004A34E0"/>
    <w:rsid w:val="004C0A39"/>
    <w:rsid w:val="004D047D"/>
    <w:rsid w:val="004D41BA"/>
    <w:rsid w:val="004D773A"/>
    <w:rsid w:val="004F305A"/>
    <w:rsid w:val="0050430E"/>
    <w:rsid w:val="00506F0C"/>
    <w:rsid w:val="00512164"/>
    <w:rsid w:val="00514278"/>
    <w:rsid w:val="00520297"/>
    <w:rsid w:val="00524589"/>
    <w:rsid w:val="005249F3"/>
    <w:rsid w:val="00532FB6"/>
    <w:rsid w:val="005338F9"/>
    <w:rsid w:val="00536BAB"/>
    <w:rsid w:val="0054281C"/>
    <w:rsid w:val="00551E76"/>
    <w:rsid w:val="0055268D"/>
    <w:rsid w:val="00556714"/>
    <w:rsid w:val="00560BC9"/>
    <w:rsid w:val="00562DEE"/>
    <w:rsid w:val="00572E44"/>
    <w:rsid w:val="0057635F"/>
    <w:rsid w:val="00576BE4"/>
    <w:rsid w:val="00590C7D"/>
    <w:rsid w:val="005A3756"/>
    <w:rsid w:val="005A400A"/>
    <w:rsid w:val="005B5B69"/>
    <w:rsid w:val="005C7052"/>
    <w:rsid w:val="005C7998"/>
    <w:rsid w:val="005E165F"/>
    <w:rsid w:val="005E488D"/>
    <w:rsid w:val="005F4BFD"/>
    <w:rsid w:val="00612379"/>
    <w:rsid w:val="0061555F"/>
    <w:rsid w:val="0061574C"/>
    <w:rsid w:val="00641200"/>
    <w:rsid w:val="00644738"/>
    <w:rsid w:val="00663ED8"/>
    <w:rsid w:val="00664515"/>
    <w:rsid w:val="00675FAE"/>
    <w:rsid w:val="00677BDB"/>
    <w:rsid w:val="00677FAA"/>
    <w:rsid w:val="00687EB4"/>
    <w:rsid w:val="006964E4"/>
    <w:rsid w:val="006A4218"/>
    <w:rsid w:val="006B17D2"/>
    <w:rsid w:val="006B45FA"/>
    <w:rsid w:val="006C224E"/>
    <w:rsid w:val="006C7A3D"/>
    <w:rsid w:val="006D3AAA"/>
    <w:rsid w:val="006D412B"/>
    <w:rsid w:val="007000D8"/>
    <w:rsid w:val="00716D3B"/>
    <w:rsid w:val="0072795E"/>
    <w:rsid w:val="0073271C"/>
    <w:rsid w:val="00732DEC"/>
    <w:rsid w:val="00735BD5"/>
    <w:rsid w:val="00744621"/>
    <w:rsid w:val="0075102C"/>
    <w:rsid w:val="0075117E"/>
    <w:rsid w:val="007556F6"/>
    <w:rsid w:val="00760EEF"/>
    <w:rsid w:val="0077424B"/>
    <w:rsid w:val="00775A95"/>
    <w:rsid w:val="00777EE5"/>
    <w:rsid w:val="00784836"/>
    <w:rsid w:val="0079023E"/>
    <w:rsid w:val="00795A00"/>
    <w:rsid w:val="007A04E8"/>
    <w:rsid w:val="007A6AF5"/>
    <w:rsid w:val="007B6853"/>
    <w:rsid w:val="007B6894"/>
    <w:rsid w:val="007C6639"/>
    <w:rsid w:val="007D0B9D"/>
    <w:rsid w:val="007D19B0"/>
    <w:rsid w:val="007F498F"/>
    <w:rsid w:val="007F6A17"/>
    <w:rsid w:val="0080679D"/>
    <w:rsid w:val="008108B0"/>
    <w:rsid w:val="00811B20"/>
    <w:rsid w:val="00812178"/>
    <w:rsid w:val="00820F72"/>
    <w:rsid w:val="0082296E"/>
    <w:rsid w:val="00824099"/>
    <w:rsid w:val="008327DC"/>
    <w:rsid w:val="00836E88"/>
    <w:rsid w:val="00852407"/>
    <w:rsid w:val="00855DBD"/>
    <w:rsid w:val="00863EBE"/>
    <w:rsid w:val="00867AC1"/>
    <w:rsid w:val="008767E4"/>
    <w:rsid w:val="00881B2B"/>
    <w:rsid w:val="00884CEA"/>
    <w:rsid w:val="00887048"/>
    <w:rsid w:val="008A395B"/>
    <w:rsid w:val="008A743F"/>
    <w:rsid w:val="008A7D42"/>
    <w:rsid w:val="008B291A"/>
    <w:rsid w:val="008B51D0"/>
    <w:rsid w:val="008B5ED9"/>
    <w:rsid w:val="008C0970"/>
    <w:rsid w:val="008D2CF7"/>
    <w:rsid w:val="008D769B"/>
    <w:rsid w:val="008E6844"/>
    <w:rsid w:val="008E793E"/>
    <w:rsid w:val="008F3100"/>
    <w:rsid w:val="00900C26"/>
    <w:rsid w:val="0090197F"/>
    <w:rsid w:val="00906DDC"/>
    <w:rsid w:val="00911B1D"/>
    <w:rsid w:val="009175FC"/>
    <w:rsid w:val="009219E3"/>
    <w:rsid w:val="00934E09"/>
    <w:rsid w:val="00936253"/>
    <w:rsid w:val="00937C60"/>
    <w:rsid w:val="00952258"/>
    <w:rsid w:val="0095578A"/>
    <w:rsid w:val="00962228"/>
    <w:rsid w:val="00970FED"/>
    <w:rsid w:val="00975AD5"/>
    <w:rsid w:val="00994913"/>
    <w:rsid w:val="00997029"/>
    <w:rsid w:val="009B1DCB"/>
    <w:rsid w:val="009C5A31"/>
    <w:rsid w:val="009C6EBA"/>
    <w:rsid w:val="009D0DE5"/>
    <w:rsid w:val="009D690D"/>
    <w:rsid w:val="009E65B6"/>
    <w:rsid w:val="009F1D52"/>
    <w:rsid w:val="009F2140"/>
    <w:rsid w:val="00A038CD"/>
    <w:rsid w:val="00A229BD"/>
    <w:rsid w:val="00A42AC3"/>
    <w:rsid w:val="00A430CF"/>
    <w:rsid w:val="00A54309"/>
    <w:rsid w:val="00A62978"/>
    <w:rsid w:val="00A66C90"/>
    <w:rsid w:val="00AA2C2B"/>
    <w:rsid w:val="00AA4DD8"/>
    <w:rsid w:val="00AB2B93"/>
    <w:rsid w:val="00AE0EF1"/>
    <w:rsid w:val="00AE2032"/>
    <w:rsid w:val="00AE542E"/>
    <w:rsid w:val="00B02C57"/>
    <w:rsid w:val="00B07301"/>
    <w:rsid w:val="00B224DE"/>
    <w:rsid w:val="00B26742"/>
    <w:rsid w:val="00B26C7E"/>
    <w:rsid w:val="00B36D60"/>
    <w:rsid w:val="00B44915"/>
    <w:rsid w:val="00B5271B"/>
    <w:rsid w:val="00B54AF2"/>
    <w:rsid w:val="00B563BD"/>
    <w:rsid w:val="00B608C7"/>
    <w:rsid w:val="00B70BD3"/>
    <w:rsid w:val="00B734CF"/>
    <w:rsid w:val="00B84BBD"/>
    <w:rsid w:val="00B93464"/>
    <w:rsid w:val="00B974BF"/>
    <w:rsid w:val="00BA2E7D"/>
    <w:rsid w:val="00BA43FB"/>
    <w:rsid w:val="00BC0049"/>
    <w:rsid w:val="00BC127D"/>
    <w:rsid w:val="00BC1FE6"/>
    <w:rsid w:val="00BC2AB9"/>
    <w:rsid w:val="00BD4C24"/>
    <w:rsid w:val="00BF009E"/>
    <w:rsid w:val="00BF29F6"/>
    <w:rsid w:val="00BF786F"/>
    <w:rsid w:val="00C01892"/>
    <w:rsid w:val="00C05295"/>
    <w:rsid w:val="00C061B6"/>
    <w:rsid w:val="00C118C9"/>
    <w:rsid w:val="00C147FB"/>
    <w:rsid w:val="00C151E1"/>
    <w:rsid w:val="00C20680"/>
    <w:rsid w:val="00C21DBF"/>
    <w:rsid w:val="00C2446C"/>
    <w:rsid w:val="00C323B4"/>
    <w:rsid w:val="00C36907"/>
    <w:rsid w:val="00C36AE5"/>
    <w:rsid w:val="00C406C5"/>
    <w:rsid w:val="00C41F17"/>
    <w:rsid w:val="00C54BF4"/>
    <w:rsid w:val="00C5791C"/>
    <w:rsid w:val="00C66290"/>
    <w:rsid w:val="00C663DE"/>
    <w:rsid w:val="00C67C14"/>
    <w:rsid w:val="00C72B7A"/>
    <w:rsid w:val="00C86274"/>
    <w:rsid w:val="00C973F2"/>
    <w:rsid w:val="00CA3196"/>
    <w:rsid w:val="00CA774A"/>
    <w:rsid w:val="00CB4DA9"/>
    <w:rsid w:val="00CC11B0"/>
    <w:rsid w:val="00CC2302"/>
    <w:rsid w:val="00CD6966"/>
    <w:rsid w:val="00CF12A7"/>
    <w:rsid w:val="00CF7E36"/>
    <w:rsid w:val="00D02B72"/>
    <w:rsid w:val="00D02FD2"/>
    <w:rsid w:val="00D06623"/>
    <w:rsid w:val="00D201F5"/>
    <w:rsid w:val="00D233D8"/>
    <w:rsid w:val="00D24210"/>
    <w:rsid w:val="00D25672"/>
    <w:rsid w:val="00D3708D"/>
    <w:rsid w:val="00D40426"/>
    <w:rsid w:val="00D511BA"/>
    <w:rsid w:val="00D568BE"/>
    <w:rsid w:val="00D57C96"/>
    <w:rsid w:val="00D67433"/>
    <w:rsid w:val="00D82CA6"/>
    <w:rsid w:val="00D91203"/>
    <w:rsid w:val="00D95174"/>
    <w:rsid w:val="00D95A5C"/>
    <w:rsid w:val="00DA6F36"/>
    <w:rsid w:val="00DB10E5"/>
    <w:rsid w:val="00DB2E0B"/>
    <w:rsid w:val="00DC00EA"/>
    <w:rsid w:val="00DD24B7"/>
    <w:rsid w:val="00DF196E"/>
    <w:rsid w:val="00E01260"/>
    <w:rsid w:val="00E040B2"/>
    <w:rsid w:val="00E10886"/>
    <w:rsid w:val="00E11E29"/>
    <w:rsid w:val="00E23329"/>
    <w:rsid w:val="00E23920"/>
    <w:rsid w:val="00E3024F"/>
    <w:rsid w:val="00E419C7"/>
    <w:rsid w:val="00E6173C"/>
    <w:rsid w:val="00E61B72"/>
    <w:rsid w:val="00E720D2"/>
    <w:rsid w:val="00E72D49"/>
    <w:rsid w:val="00E7593C"/>
    <w:rsid w:val="00E75A37"/>
    <w:rsid w:val="00E7678A"/>
    <w:rsid w:val="00E935F1"/>
    <w:rsid w:val="00E94A81"/>
    <w:rsid w:val="00E95D7F"/>
    <w:rsid w:val="00EA1089"/>
    <w:rsid w:val="00EA1FFB"/>
    <w:rsid w:val="00EA4CFC"/>
    <w:rsid w:val="00EB048E"/>
    <w:rsid w:val="00EB279B"/>
    <w:rsid w:val="00EB2DE0"/>
    <w:rsid w:val="00EB3EFA"/>
    <w:rsid w:val="00EB53E3"/>
    <w:rsid w:val="00EC19AA"/>
    <w:rsid w:val="00EC351F"/>
    <w:rsid w:val="00EF2F89"/>
    <w:rsid w:val="00F038C5"/>
    <w:rsid w:val="00F04DEB"/>
    <w:rsid w:val="00F1237A"/>
    <w:rsid w:val="00F21316"/>
    <w:rsid w:val="00F22CBD"/>
    <w:rsid w:val="00F30997"/>
    <w:rsid w:val="00F3408E"/>
    <w:rsid w:val="00F349B3"/>
    <w:rsid w:val="00F37961"/>
    <w:rsid w:val="00F45897"/>
    <w:rsid w:val="00F46B45"/>
    <w:rsid w:val="00F6334D"/>
    <w:rsid w:val="00F73F12"/>
    <w:rsid w:val="00F85186"/>
    <w:rsid w:val="00F91828"/>
    <w:rsid w:val="00F932DC"/>
    <w:rsid w:val="00FA4556"/>
    <w:rsid w:val="00FA49AB"/>
    <w:rsid w:val="00FB0D37"/>
    <w:rsid w:val="00FB19DE"/>
    <w:rsid w:val="00FB6651"/>
    <w:rsid w:val="00FC6CEF"/>
    <w:rsid w:val="00FE39C7"/>
    <w:rsid w:val="00FE4AF3"/>
    <w:rsid w:val="00FF1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0049"/>
    <w:pPr>
      <w:jc w:val="both"/>
    </w:pPr>
    <w:rPr>
      <w:rFonts w:ascii="Arial" w:hAnsi="Arial"/>
    </w:rPr>
  </w:style>
  <w:style w:type="paragraph" w:styleId="Heading1">
    <w:name w:val="heading 1"/>
    <w:next w:val="Normal"/>
    <w:link w:val="Heading1Char"/>
    <w:autoRedefine/>
    <w:qFormat/>
    <w:rsid w:val="009175FC"/>
    <w:pPr>
      <w:jc w:val="both"/>
      <w:outlineLvl w:val="0"/>
    </w:pPr>
    <w:rPr>
      <w:rFonts w:ascii="Arial" w:hAnsi="Arial"/>
      <w:caps/>
    </w:rPr>
  </w:style>
  <w:style w:type="paragraph" w:styleId="Heading2">
    <w:name w:val="heading 2"/>
    <w:next w:val="Normal"/>
    <w:autoRedefine/>
    <w:qFormat/>
    <w:rsid w:val="00F37961"/>
    <w:pPr>
      <w:keepNext/>
      <w:jc w:val="both"/>
      <w:outlineLvl w:val="1"/>
    </w:pPr>
    <w:rPr>
      <w:rFonts w:ascii="Arial" w:hAnsi="Arial"/>
      <w:u w:val="single"/>
    </w:rPr>
  </w:style>
  <w:style w:type="paragraph" w:styleId="Heading3">
    <w:name w:val="heading 3"/>
    <w:next w:val="Normal"/>
    <w:autoRedefine/>
    <w:qFormat/>
    <w:rsid w:val="008B5ED9"/>
    <w:pPr>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link w:val="FootnoteTextChar"/>
    <w:autoRedefine/>
    <w:rsid w:val="00F37961"/>
    <w:pPr>
      <w:spacing w:before="60"/>
      <w:ind w:left="567" w:hanging="567"/>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364346"/>
    <w:pPr>
      <w:tabs>
        <w:tab w:val="right" w:leader="dot" w:pos="9639"/>
      </w:tabs>
      <w:spacing w:after="120"/>
      <w:ind w:left="284" w:right="851"/>
      <w:contextualSpacing/>
    </w:pPr>
    <w:rPr>
      <w:rFonts w:ascii="Arial" w:hAnsi="Arial"/>
      <w:noProof/>
    </w:rPr>
  </w:style>
  <w:style w:type="paragraph" w:styleId="TOC3">
    <w:name w:val="toc 3"/>
    <w:next w:val="Normal"/>
    <w:autoRedefine/>
    <w:uiPriority w:val="39"/>
    <w:rsid w:val="00364346"/>
    <w:pPr>
      <w:tabs>
        <w:tab w:val="right" w:leader="dot" w:pos="9639"/>
      </w:tabs>
      <w:spacing w:after="120"/>
      <w:ind w:left="567" w:right="851"/>
      <w:contextualSpacing/>
    </w:pPr>
    <w:rPr>
      <w:rFonts w:ascii="Arial" w:hAnsi="Arial"/>
      <w:i/>
      <w:noProof/>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DD24B7"/>
    <w:pPr>
      <w:tabs>
        <w:tab w:val="right" w:leader="dot" w:pos="9639"/>
      </w:tabs>
      <w:spacing w:after="120"/>
      <w:ind w:left="567" w:right="850"/>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Heading1Char">
    <w:name w:val="Heading 1 Char"/>
    <w:basedOn w:val="DefaultParagraphFont"/>
    <w:link w:val="Heading1"/>
    <w:rsid w:val="009175FC"/>
    <w:rPr>
      <w:rFonts w:ascii="Arial" w:hAnsi="Arial"/>
      <w:caps/>
    </w:rPr>
  </w:style>
  <w:style w:type="paragraph" w:customStyle="1" w:styleId="Default">
    <w:name w:val="Default"/>
    <w:rsid w:val="00E10886"/>
    <w:pPr>
      <w:autoSpaceDE w:val="0"/>
      <w:autoSpaceDN w:val="0"/>
      <w:adjustRightInd w:val="0"/>
    </w:pPr>
    <w:rPr>
      <w:rFonts w:ascii="Arial" w:hAnsi="Arial" w:cs="Arial"/>
      <w:color w:val="000000"/>
      <w:sz w:val="24"/>
      <w:szCs w:val="24"/>
    </w:rPr>
  </w:style>
  <w:style w:type="character" w:customStyle="1" w:styleId="FootnoteTextChar">
    <w:name w:val="Footnote Text Char"/>
    <w:link w:val="FootnoteText"/>
    <w:rsid w:val="00FB6651"/>
    <w:rPr>
      <w:rFonts w:ascii="Arial" w:hAnsi="Arial"/>
      <w:sz w:val="16"/>
    </w:rPr>
  </w:style>
  <w:style w:type="paragraph" w:styleId="ListParagraph">
    <w:name w:val="List Paragraph"/>
    <w:basedOn w:val="Normal"/>
    <w:uiPriority w:val="34"/>
    <w:qFormat/>
    <w:rsid w:val="00F213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0049"/>
    <w:pPr>
      <w:jc w:val="both"/>
    </w:pPr>
    <w:rPr>
      <w:rFonts w:ascii="Arial" w:hAnsi="Arial"/>
    </w:rPr>
  </w:style>
  <w:style w:type="paragraph" w:styleId="Heading1">
    <w:name w:val="heading 1"/>
    <w:next w:val="Normal"/>
    <w:link w:val="Heading1Char"/>
    <w:autoRedefine/>
    <w:qFormat/>
    <w:rsid w:val="009175FC"/>
    <w:pPr>
      <w:jc w:val="both"/>
      <w:outlineLvl w:val="0"/>
    </w:pPr>
    <w:rPr>
      <w:rFonts w:ascii="Arial" w:hAnsi="Arial"/>
      <w:caps/>
    </w:rPr>
  </w:style>
  <w:style w:type="paragraph" w:styleId="Heading2">
    <w:name w:val="heading 2"/>
    <w:next w:val="Normal"/>
    <w:autoRedefine/>
    <w:qFormat/>
    <w:rsid w:val="00F37961"/>
    <w:pPr>
      <w:keepNext/>
      <w:jc w:val="both"/>
      <w:outlineLvl w:val="1"/>
    </w:pPr>
    <w:rPr>
      <w:rFonts w:ascii="Arial" w:hAnsi="Arial"/>
      <w:u w:val="single"/>
    </w:rPr>
  </w:style>
  <w:style w:type="paragraph" w:styleId="Heading3">
    <w:name w:val="heading 3"/>
    <w:next w:val="Normal"/>
    <w:autoRedefine/>
    <w:qFormat/>
    <w:rsid w:val="008B5ED9"/>
    <w:pPr>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link w:val="FootnoteTextChar"/>
    <w:autoRedefine/>
    <w:rsid w:val="00F37961"/>
    <w:pPr>
      <w:spacing w:before="60"/>
      <w:ind w:left="567" w:hanging="567"/>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364346"/>
    <w:pPr>
      <w:tabs>
        <w:tab w:val="right" w:leader="dot" w:pos="9639"/>
      </w:tabs>
      <w:spacing w:after="120"/>
      <w:ind w:left="284" w:right="851"/>
      <w:contextualSpacing/>
    </w:pPr>
    <w:rPr>
      <w:rFonts w:ascii="Arial" w:hAnsi="Arial"/>
      <w:noProof/>
    </w:rPr>
  </w:style>
  <w:style w:type="paragraph" w:styleId="TOC3">
    <w:name w:val="toc 3"/>
    <w:next w:val="Normal"/>
    <w:autoRedefine/>
    <w:uiPriority w:val="39"/>
    <w:rsid w:val="00364346"/>
    <w:pPr>
      <w:tabs>
        <w:tab w:val="right" w:leader="dot" w:pos="9639"/>
      </w:tabs>
      <w:spacing w:after="120"/>
      <w:ind w:left="567" w:right="851"/>
      <w:contextualSpacing/>
    </w:pPr>
    <w:rPr>
      <w:rFonts w:ascii="Arial" w:hAnsi="Arial"/>
      <w:i/>
      <w:noProof/>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DD24B7"/>
    <w:pPr>
      <w:tabs>
        <w:tab w:val="right" w:leader="dot" w:pos="9639"/>
      </w:tabs>
      <w:spacing w:after="120"/>
      <w:ind w:left="567" w:right="850"/>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Heading1Char">
    <w:name w:val="Heading 1 Char"/>
    <w:basedOn w:val="DefaultParagraphFont"/>
    <w:link w:val="Heading1"/>
    <w:rsid w:val="009175FC"/>
    <w:rPr>
      <w:rFonts w:ascii="Arial" w:hAnsi="Arial"/>
      <w:caps/>
    </w:rPr>
  </w:style>
  <w:style w:type="paragraph" w:customStyle="1" w:styleId="Default">
    <w:name w:val="Default"/>
    <w:rsid w:val="00E10886"/>
    <w:pPr>
      <w:autoSpaceDE w:val="0"/>
      <w:autoSpaceDN w:val="0"/>
      <w:adjustRightInd w:val="0"/>
    </w:pPr>
    <w:rPr>
      <w:rFonts w:ascii="Arial" w:hAnsi="Arial" w:cs="Arial"/>
      <w:color w:val="000000"/>
      <w:sz w:val="24"/>
      <w:szCs w:val="24"/>
    </w:rPr>
  </w:style>
  <w:style w:type="character" w:customStyle="1" w:styleId="FootnoteTextChar">
    <w:name w:val="Footnote Text Char"/>
    <w:link w:val="FootnoteText"/>
    <w:rsid w:val="00FB6651"/>
    <w:rPr>
      <w:rFonts w:ascii="Arial" w:hAnsi="Arial"/>
      <w:sz w:val="16"/>
    </w:rPr>
  </w:style>
  <w:style w:type="paragraph" w:styleId="ListParagraph">
    <w:name w:val="List Paragraph"/>
    <w:basedOn w:val="Normal"/>
    <w:uiPriority w:val="34"/>
    <w:qFormat/>
    <w:rsid w:val="00F213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795827">
      <w:bodyDiv w:val="1"/>
      <w:marLeft w:val="0"/>
      <w:marRight w:val="0"/>
      <w:marTop w:val="0"/>
      <w:marBottom w:val="0"/>
      <w:divBdr>
        <w:top w:val="none" w:sz="0" w:space="0" w:color="auto"/>
        <w:left w:val="none" w:sz="0" w:space="0" w:color="auto"/>
        <w:bottom w:val="none" w:sz="0" w:space="0" w:color="auto"/>
        <w:right w:val="none" w:sz="0" w:space="0" w:color="auto"/>
      </w:divBdr>
    </w:div>
    <w:div w:id="1271813252">
      <w:bodyDiv w:val="1"/>
      <w:marLeft w:val="0"/>
      <w:marRight w:val="0"/>
      <w:marTop w:val="0"/>
      <w:marBottom w:val="0"/>
      <w:divBdr>
        <w:top w:val="none" w:sz="0" w:space="0" w:color="auto"/>
        <w:left w:val="none" w:sz="0" w:space="0" w:color="auto"/>
        <w:bottom w:val="none" w:sz="0" w:space="0" w:color="auto"/>
        <w:right w:val="none" w:sz="0" w:space="0" w:color="auto"/>
      </w:divBdr>
    </w:div>
    <w:div w:id="1745489007">
      <w:bodyDiv w:val="1"/>
      <w:marLeft w:val="0"/>
      <w:marRight w:val="0"/>
      <w:marTop w:val="0"/>
      <w:marBottom w:val="0"/>
      <w:divBdr>
        <w:top w:val="none" w:sz="0" w:space="0" w:color="auto"/>
        <w:left w:val="none" w:sz="0" w:space="0" w:color="auto"/>
        <w:bottom w:val="none" w:sz="0" w:space="0" w:color="auto"/>
        <w:right w:val="none" w:sz="0" w:space="0" w:color="auto"/>
      </w:divBdr>
    </w:div>
    <w:div w:id="1948191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72\templates\CAJ_72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3C149-769B-4C66-ABE1-F40CBF4E3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CAJ_72_EN.dotx</Template>
  <TotalTime>40</TotalTime>
  <Pages>9</Pages>
  <Words>3708</Words>
  <Characters>19906</Characters>
  <Application>Microsoft Office Word</Application>
  <DocSecurity>0</DocSecurity>
  <Lines>165</Lines>
  <Paragraphs>47</Paragraphs>
  <ScaleCrop>false</ScaleCrop>
  <HeadingPairs>
    <vt:vector size="2" baseType="variant">
      <vt:variant>
        <vt:lpstr>Title</vt:lpstr>
      </vt:variant>
      <vt:variant>
        <vt:i4>1</vt:i4>
      </vt:variant>
    </vt:vector>
  </HeadingPairs>
  <TitlesOfParts>
    <vt:vector size="1" baseType="lpstr">
      <vt:lpstr>CAJ/72/3</vt:lpstr>
    </vt:vector>
  </TitlesOfParts>
  <Company>UPOV</Company>
  <LinksUpToDate>false</LinksUpToDate>
  <CharactersWithSpaces>23567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CAJ/72/3</dc:title>
  <dc:creator>KOIDE Jun</dc:creator>
  <cp:lastModifiedBy>BESSE Ariane</cp:lastModifiedBy>
  <cp:revision>9</cp:revision>
  <cp:lastPrinted>2016-03-12T07:38:00Z</cp:lastPrinted>
  <dcterms:created xsi:type="dcterms:W3CDTF">2016-03-11T19:59:00Z</dcterms:created>
  <dcterms:modified xsi:type="dcterms:W3CDTF">2016-03-12T07:38:00Z</dcterms:modified>
</cp:coreProperties>
</file>