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64E9C076" wp14:editId="76895BC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610585" w:rsidRPr="00BF2E7F" w:rsidRDefault="00610585" w:rsidP="00610585">
            <w:pPr>
              <w:pStyle w:val="Docoriginal"/>
              <w:jc w:val="left"/>
              <w:rPr>
                <w:rFonts w:cs="Arial"/>
              </w:rPr>
            </w:pPr>
            <w:r>
              <w:rPr>
                <w:rFonts w:cs="Arial"/>
                <w:spacing w:val="0"/>
              </w:rPr>
              <w:t>EAF/4</w:t>
            </w:r>
            <w:r w:rsidRPr="00BF2E7F">
              <w:rPr>
                <w:rFonts w:cs="Arial"/>
                <w:spacing w:val="0"/>
              </w:rPr>
              <w:t>/2</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0" w:name="Original"/>
            <w:bookmarkEnd w:id="0"/>
            <w:r w:rsidR="0024416D" w:rsidRPr="00CA774A">
              <w:rPr>
                <w:b w:val="0"/>
                <w:spacing w:val="0"/>
              </w:rPr>
              <w:t>English</w:t>
            </w:r>
          </w:p>
          <w:p w:rsidR="000D7780" w:rsidRPr="00EB3EFA" w:rsidRDefault="000D7780" w:rsidP="001704EE">
            <w:pPr>
              <w:pStyle w:val="Docoriginal"/>
              <w:jc w:val="left"/>
              <w:rPr>
                <w:b w:val="0"/>
                <w:spacing w:val="0"/>
                <w:highlight w:val="cyan"/>
              </w:rPr>
            </w:pPr>
            <w:r w:rsidRPr="00CA774A">
              <w:rPr>
                <w:spacing w:val="0"/>
              </w:rPr>
              <w:t>DATE:</w:t>
            </w:r>
            <w:r w:rsidR="00D636C6">
              <w:rPr>
                <w:spacing w:val="0"/>
              </w:rPr>
              <w:t xml:space="preserve"> </w:t>
            </w:r>
            <w:r w:rsidR="0061555F" w:rsidRPr="00CA774A">
              <w:rPr>
                <w:b w:val="0"/>
                <w:spacing w:val="0"/>
              </w:rPr>
              <w:t xml:space="preserve"> </w:t>
            </w:r>
            <w:r w:rsidR="00610585" w:rsidRPr="001704EE">
              <w:rPr>
                <w:rFonts w:cs="Arial"/>
                <w:b w:val="0"/>
                <w:spacing w:val="0"/>
              </w:rPr>
              <w:t xml:space="preserve">October </w:t>
            </w:r>
            <w:r w:rsidR="001704EE" w:rsidRPr="001704EE">
              <w:rPr>
                <w:rFonts w:cs="Arial"/>
                <w:b w:val="0"/>
                <w:spacing w:val="0"/>
              </w:rPr>
              <w:t>10</w:t>
            </w:r>
            <w:r w:rsidR="00610585" w:rsidRPr="001704EE">
              <w:rPr>
                <w:rFonts w:cs="Arial"/>
                <w:b w:val="0"/>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610585" w:rsidRPr="00BF2E7F" w:rsidRDefault="00610585" w:rsidP="00610585">
      <w:pPr>
        <w:pStyle w:val="Sessiontc"/>
        <w:rPr>
          <w:rFonts w:cs="Arial"/>
        </w:rPr>
      </w:pPr>
      <w:r w:rsidRPr="00BF2E7F">
        <w:rPr>
          <w:rFonts w:cs="Arial"/>
          <w:sz w:val="22"/>
        </w:rPr>
        <w:t>MEETING ON THE DEVELOPMENT OF A PROTOTYPE ELECTRONIC FORM</w:t>
      </w:r>
    </w:p>
    <w:p w:rsidR="00610585" w:rsidRPr="00D82884" w:rsidRDefault="00610585" w:rsidP="00610585">
      <w:pPr>
        <w:pStyle w:val="Sessiontcplacedate"/>
      </w:pPr>
      <w:r>
        <w:t>Fourth Meeting</w:t>
      </w:r>
      <w:r w:rsidRPr="00D82884">
        <w:br/>
        <w:t xml:space="preserve">Geneva, </w:t>
      </w:r>
      <w:r>
        <w:t>October 14, 2014</w:t>
      </w:r>
    </w:p>
    <w:p w:rsidR="00610585" w:rsidRDefault="00610585" w:rsidP="0080679D">
      <w:pPr>
        <w:pStyle w:val="Titleofdoc0"/>
        <w:rPr>
          <w:kern w:val="28"/>
        </w:rPr>
      </w:pPr>
      <w:bookmarkStart w:id="1" w:name="TitleOfDoc"/>
      <w:bookmarkEnd w:id="1"/>
      <w:r>
        <w:rPr>
          <w:rFonts w:cs="Arial"/>
          <w:color w:val="000000"/>
        </w:rPr>
        <w:t xml:space="preserve">Overview of the </w:t>
      </w:r>
      <w:r w:rsidR="000D736E">
        <w:rPr>
          <w:rFonts w:cs="Arial"/>
          <w:color w:val="000000"/>
        </w:rPr>
        <w:t xml:space="preserve">PROTOTYPE </w:t>
      </w:r>
      <w:r>
        <w:rPr>
          <w:rFonts w:cs="Arial"/>
        </w:rPr>
        <w:t>Electro</w:t>
      </w:r>
      <w:r w:rsidRPr="009F5B62">
        <w:rPr>
          <w:rFonts w:cs="Arial"/>
        </w:rPr>
        <w:t xml:space="preserve">nic </w:t>
      </w:r>
      <w:r w:rsidR="000D736E">
        <w:rPr>
          <w:rFonts w:cs="Arial"/>
        </w:rPr>
        <w:t>FORM</w:t>
      </w:r>
      <w:r w:rsidRPr="009F5B62">
        <w:rPr>
          <w:rFonts w:cs="Arial"/>
        </w:rPr>
        <w:t xml:space="preserve"> Project</w:t>
      </w:r>
      <w:r w:rsidRPr="003638B2">
        <w:rPr>
          <w:kern w:val="28"/>
        </w:rPr>
        <w:t xml:space="preserve"> </w:t>
      </w:r>
    </w:p>
    <w:p w:rsidR="000D7780" w:rsidRPr="00997029" w:rsidRDefault="00AE0EF1" w:rsidP="0080679D">
      <w:pPr>
        <w:pStyle w:val="preparedby1"/>
      </w:pPr>
      <w:bookmarkStart w:id="2" w:name="Prepared"/>
      <w:bookmarkEnd w:id="2"/>
      <w:r w:rsidRPr="003C5C62">
        <w:t xml:space="preserve">Document </w:t>
      </w:r>
      <w:r w:rsidR="0061555F" w:rsidRPr="003C5C62">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170906" w:rsidRPr="00DF74BA" w:rsidRDefault="00170906" w:rsidP="00170906">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r>
      <w:r w:rsidR="00610585" w:rsidRPr="007844C5">
        <w:rPr>
          <w:rFonts w:cs="Arial"/>
          <w:snapToGrid w:val="0"/>
          <w:spacing w:val="-2"/>
        </w:rPr>
        <w:t xml:space="preserve">The purpose of this document is to </w:t>
      </w:r>
      <w:r w:rsidR="00610585">
        <w:rPr>
          <w:rFonts w:cs="Arial"/>
          <w:snapToGrid w:val="0"/>
          <w:spacing w:val="-2"/>
        </w:rPr>
        <w:t xml:space="preserve">provide an overview of the </w:t>
      </w:r>
      <w:r w:rsidR="000D736E">
        <w:rPr>
          <w:rFonts w:cs="Arial"/>
          <w:snapToGrid w:val="0"/>
          <w:spacing w:val="-2"/>
        </w:rPr>
        <w:t>prototype electronic form p</w:t>
      </w:r>
      <w:r w:rsidR="00610585">
        <w:rPr>
          <w:rFonts w:cs="Arial"/>
          <w:snapToGrid w:val="0"/>
          <w:spacing w:val="-2"/>
        </w:rPr>
        <w:t>roject and to report on development</w:t>
      </w:r>
      <w:r w:rsidR="00FC245A">
        <w:rPr>
          <w:rFonts w:cs="Arial"/>
          <w:snapToGrid w:val="0"/>
          <w:spacing w:val="-2"/>
        </w:rPr>
        <w:t>s</w:t>
      </w:r>
      <w:r w:rsidR="00610585">
        <w:rPr>
          <w:rFonts w:cs="Arial"/>
          <w:spacing w:val="-2"/>
        </w:rPr>
        <w:t xml:space="preserve"> since the third</w:t>
      </w:r>
      <w:r w:rsidR="00610585" w:rsidRPr="007844C5">
        <w:rPr>
          <w:rFonts w:cs="Arial"/>
          <w:spacing w:val="-2"/>
        </w:rPr>
        <w:t xml:space="preserve"> meeting on the development of a prototype electronic form, held in Geneva on </w:t>
      </w:r>
      <w:r w:rsidR="00610585">
        <w:rPr>
          <w:rFonts w:cs="Arial"/>
          <w:spacing w:val="-2"/>
        </w:rPr>
        <w:t>April 9, </w:t>
      </w:r>
      <w:r w:rsidR="00610585" w:rsidRPr="007844C5">
        <w:rPr>
          <w:rFonts w:cs="Arial"/>
          <w:spacing w:val="-2"/>
        </w:rPr>
        <w:t>201</w:t>
      </w:r>
      <w:r w:rsidR="00610585">
        <w:rPr>
          <w:rFonts w:cs="Arial"/>
          <w:spacing w:val="-2"/>
        </w:rPr>
        <w:t>4.</w:t>
      </w:r>
    </w:p>
    <w:p w:rsidR="00170906" w:rsidRDefault="00170906" w:rsidP="00170906">
      <w:pPr>
        <w:rPr>
          <w:snapToGrid w:val="0"/>
        </w:rPr>
      </w:pPr>
    </w:p>
    <w:p w:rsidR="00011058" w:rsidRDefault="00011058" w:rsidP="00170906">
      <w:pPr>
        <w:rPr>
          <w:snapToGrid w:val="0"/>
        </w:rPr>
      </w:pPr>
    </w:p>
    <w:p w:rsidR="00011058" w:rsidRDefault="00011058" w:rsidP="00170906">
      <w:pPr>
        <w:rPr>
          <w:snapToGrid w:val="0"/>
        </w:rPr>
      </w:pPr>
    </w:p>
    <w:p w:rsidR="00FC245A" w:rsidRDefault="00FC245A" w:rsidP="008F787E">
      <w:pPr>
        <w:pStyle w:val="Heading1"/>
      </w:pPr>
      <w:r>
        <w:t>BACKGROUND</w:t>
      </w:r>
    </w:p>
    <w:p w:rsidR="00FC245A" w:rsidRDefault="00FC245A" w:rsidP="008F787E">
      <w:pPr>
        <w:pStyle w:val="Heading1"/>
      </w:pPr>
    </w:p>
    <w:p w:rsidR="00C4545B" w:rsidRPr="00FC245A" w:rsidRDefault="00FC245A" w:rsidP="008F787E">
      <w:pPr>
        <w:pStyle w:val="Heading2"/>
      </w:pPr>
      <w:r w:rsidRPr="00FC245A">
        <w:t>Aim</w:t>
      </w:r>
    </w:p>
    <w:p w:rsidR="006E12B1" w:rsidRPr="008261BF" w:rsidRDefault="006E12B1" w:rsidP="006E12B1"/>
    <w:p w:rsidR="00170906" w:rsidRDefault="00170906" w:rsidP="00170906">
      <w:r w:rsidRPr="00DF74BA">
        <w:fldChar w:fldCharType="begin"/>
      </w:r>
      <w:r w:rsidRPr="00DF74BA">
        <w:instrText xml:space="preserve"> AUTONUM  </w:instrText>
      </w:r>
      <w:r w:rsidRPr="00DF74BA">
        <w:fldChar w:fldCharType="end"/>
      </w:r>
      <w:r w:rsidRPr="00DF74BA">
        <w:tab/>
      </w:r>
      <w:r>
        <w:t>T</w:t>
      </w:r>
      <w:r w:rsidRPr="003A08C7">
        <w:t xml:space="preserve">he </w:t>
      </w:r>
      <w:r w:rsidR="00610585">
        <w:t xml:space="preserve">original description of the </w:t>
      </w:r>
      <w:r>
        <w:t xml:space="preserve">aim of the </w:t>
      </w:r>
      <w:r w:rsidRPr="003A08C7">
        <w:t xml:space="preserve">project </w:t>
      </w:r>
      <w:r>
        <w:t xml:space="preserve">on a </w:t>
      </w:r>
      <w:r w:rsidRPr="00DF74BA">
        <w:t>prototype electronic form</w:t>
      </w:r>
      <w:r w:rsidRPr="003A08C7">
        <w:t xml:space="preserve"> </w:t>
      </w:r>
      <w:r w:rsidR="00610585">
        <w:t>wa</w:t>
      </w:r>
      <w:r>
        <w:t xml:space="preserve">s </w:t>
      </w:r>
      <w:r w:rsidRPr="003A08C7">
        <w:t xml:space="preserve">to develop a multilingual, electronic form containing questions relevant for plant breeders’ rights (PBRs) applications. </w:t>
      </w:r>
      <w:r>
        <w:t>T</w:t>
      </w:r>
      <w:r w:rsidRPr="003A08C7">
        <w:t>he aim of the prototype would be to develop an electronic form covering all relevant information required for a PBR application in the members of the Union concerned and with questions translated in the relevant languages for the members of the Union concerned</w:t>
      </w:r>
      <w:r>
        <w:t xml:space="preserve"> (see </w:t>
      </w:r>
      <w:r w:rsidRPr="00DF74BA">
        <w:t>document CAJ/66/5</w:t>
      </w:r>
      <w:r>
        <w:t xml:space="preserve"> “</w:t>
      </w:r>
      <w:r w:rsidRPr="003A08C7">
        <w:t>Electronic Application Systems</w:t>
      </w:r>
      <w:r>
        <w:t>”, paragraph 2)</w:t>
      </w:r>
      <w:r w:rsidRPr="00DF74BA">
        <w:t>.</w:t>
      </w:r>
    </w:p>
    <w:p w:rsidR="00C4545B" w:rsidRPr="00DF74BA" w:rsidRDefault="00C4545B" w:rsidP="00170906"/>
    <w:p w:rsidR="00C4545B" w:rsidRDefault="00C4545B" w:rsidP="00C4545B">
      <w:pPr>
        <w:rPr>
          <w:snapToGrid w:val="0"/>
        </w:rPr>
      </w:pPr>
    </w:p>
    <w:p w:rsidR="00C4545B" w:rsidRDefault="008261BF" w:rsidP="008261BF">
      <w:pPr>
        <w:pStyle w:val="Heading2"/>
        <w:rPr>
          <w:snapToGrid w:val="0"/>
        </w:rPr>
      </w:pPr>
      <w:r>
        <w:rPr>
          <w:snapToGrid w:val="0"/>
        </w:rPr>
        <w:t>Prototype</w:t>
      </w:r>
    </w:p>
    <w:p w:rsidR="00170906" w:rsidRDefault="00170906" w:rsidP="00170906">
      <w:pPr>
        <w:rPr>
          <w:snapToGrid w:val="0"/>
        </w:rPr>
      </w:pPr>
    </w:p>
    <w:p w:rsidR="00610585" w:rsidRPr="007E405F" w:rsidRDefault="00610585" w:rsidP="00610585">
      <w:pPr>
        <w:rPr>
          <w:rFonts w:cs="Arial"/>
        </w:rPr>
      </w:pPr>
      <w:r w:rsidRPr="007E405F">
        <w:fldChar w:fldCharType="begin"/>
      </w:r>
      <w:r w:rsidRPr="007E405F">
        <w:instrText xml:space="preserve"> AUTONUM  </w:instrText>
      </w:r>
      <w:r w:rsidRPr="007E405F">
        <w:fldChar w:fldCharType="end"/>
      </w:r>
      <w:r w:rsidRPr="007E405F">
        <w:tab/>
        <w:t xml:space="preserve">At its </w:t>
      </w:r>
      <w:r w:rsidRPr="007E405F">
        <w:rPr>
          <w:bCs/>
          <w:snapToGrid w:val="0"/>
        </w:rPr>
        <w:t>sixty-third session, held on April 7, 2011, t</w:t>
      </w:r>
      <w:r w:rsidRPr="007E405F">
        <w:t xml:space="preserve">he CAJ expressed its support to develop a </w:t>
      </w:r>
      <w:r w:rsidRPr="007E405F">
        <w:rPr>
          <w:rFonts w:cs="Arial"/>
        </w:rPr>
        <w:t>Linear Blank Form for PBR Applications with the following features (</w:t>
      </w:r>
      <w:r w:rsidRPr="007E405F">
        <w:rPr>
          <w:rFonts w:cs="Arial"/>
          <w:bCs/>
          <w:snapToGrid w:val="0"/>
        </w:rPr>
        <w:t xml:space="preserve">see </w:t>
      </w:r>
      <w:r w:rsidRPr="007E405F">
        <w:rPr>
          <w:rFonts w:eastAsia="MS Mincho" w:cs="Arial"/>
          <w:bCs/>
          <w:snapToGrid w:val="0"/>
          <w:szCs w:val="24"/>
          <w:lang w:eastAsia="ja-JP"/>
        </w:rPr>
        <w:t>document CAJ/63/10 “Report”, paragraphs 61 to 63)</w:t>
      </w:r>
      <w:r w:rsidRPr="007E405F">
        <w:rPr>
          <w:rFonts w:cs="Arial"/>
        </w:rPr>
        <w:t>:</w:t>
      </w:r>
    </w:p>
    <w:p w:rsidR="00610585" w:rsidRPr="007E405F" w:rsidRDefault="00610585" w:rsidP="00610585">
      <w:pPr>
        <w:rPr>
          <w:rFonts w:cs="Arial"/>
        </w:rPr>
      </w:pPr>
    </w:p>
    <w:p w:rsidR="00610585" w:rsidRPr="007D7455" w:rsidRDefault="00610585" w:rsidP="008F787E">
      <w:pPr>
        <w:pStyle w:val="ListParagraph"/>
        <w:numPr>
          <w:ilvl w:val="0"/>
          <w:numId w:val="11"/>
        </w:numPr>
        <w:rPr>
          <w:lang w:val="en-US"/>
        </w:rPr>
      </w:pPr>
      <w:r w:rsidRPr="007D7455">
        <w:rPr>
          <w:lang w:val="en-US"/>
        </w:rPr>
        <w:t>users</w:t>
      </w:r>
      <w:r w:rsidRPr="007D7455">
        <w:rPr>
          <w:rStyle w:val="FootnoteReference"/>
          <w:lang w:val="en-US"/>
        </w:rPr>
        <w:footnoteReference w:customMarkFollows="1" w:id="2"/>
        <w:t>*</w:t>
      </w:r>
      <w:r w:rsidRPr="007D7455">
        <w:rPr>
          <w:lang w:val="en-US"/>
        </w:rPr>
        <w:t xml:space="preserve"> could select the language in which the items in the Linear Blank Form for PBR Applications would be presented (Input Template language);</w:t>
      </w:r>
    </w:p>
    <w:p w:rsidR="00610585" w:rsidRPr="007E405F" w:rsidRDefault="00610585" w:rsidP="00610585">
      <w:pPr>
        <w:ind w:firstLine="567"/>
      </w:pPr>
    </w:p>
    <w:p w:rsidR="00610585" w:rsidRPr="007D7455" w:rsidRDefault="00610585" w:rsidP="008F787E">
      <w:pPr>
        <w:pStyle w:val="ListParagraph"/>
        <w:numPr>
          <w:ilvl w:val="0"/>
          <w:numId w:val="11"/>
        </w:numPr>
        <w:rPr>
          <w:lang w:val="en-US"/>
        </w:rPr>
      </w:pPr>
      <w:r w:rsidRPr="007D7455">
        <w:rPr>
          <w:lang w:val="en-US"/>
        </w:rPr>
        <w:t>users could select (a) language(s) in which the completed Linear Form for PBR Applications could be downloaded (Output Template language);</w:t>
      </w:r>
    </w:p>
    <w:p w:rsidR="00610585" w:rsidRPr="007E405F" w:rsidRDefault="00610585" w:rsidP="00610585">
      <w:pPr>
        <w:ind w:firstLine="567"/>
      </w:pPr>
    </w:p>
    <w:p w:rsidR="00610585" w:rsidRPr="007D7455" w:rsidRDefault="00610585" w:rsidP="008F787E">
      <w:pPr>
        <w:pStyle w:val="ListParagraph"/>
        <w:numPr>
          <w:ilvl w:val="0"/>
          <w:numId w:val="11"/>
        </w:numPr>
        <w:rPr>
          <w:lang w:val="en-US"/>
        </w:rPr>
      </w:pPr>
      <w:r w:rsidRPr="007D7455">
        <w:rPr>
          <w:lang w:val="en-US"/>
        </w:rPr>
        <w:t>users could choose the format in which to download the completed Linear Form for PBR Applications:  Word, Excel, XML and/or PDF;</w:t>
      </w:r>
    </w:p>
    <w:p w:rsidR="00610585" w:rsidRPr="007E405F" w:rsidRDefault="00610585" w:rsidP="00610585">
      <w:pPr>
        <w:ind w:firstLine="567"/>
      </w:pPr>
    </w:p>
    <w:p w:rsidR="00610585" w:rsidRPr="008261BF" w:rsidRDefault="00610585" w:rsidP="008F787E">
      <w:pPr>
        <w:pStyle w:val="ListParagraph"/>
        <w:numPr>
          <w:ilvl w:val="0"/>
          <w:numId w:val="11"/>
        </w:numPr>
        <w:rPr>
          <w:lang w:val="en-US"/>
        </w:rPr>
      </w:pPr>
      <w:r w:rsidRPr="007D7455">
        <w:rPr>
          <w:lang w:val="en-US"/>
        </w:rPr>
        <w:lastRenderedPageBreak/>
        <w:t xml:space="preserve">users could choose to store the input data in an associated database (hosted by UPOV), in order, for example, to allow further downloading in different languages and/or formats.  </w:t>
      </w:r>
      <w:r w:rsidRPr="008261BF">
        <w:rPr>
          <w:lang w:val="en-US"/>
        </w:rPr>
        <w:t>The data would be password protected and the password would only be issued to the user concerned;  and</w:t>
      </w:r>
    </w:p>
    <w:p w:rsidR="00610585" w:rsidRPr="007E405F" w:rsidRDefault="00610585" w:rsidP="00610585">
      <w:pPr>
        <w:ind w:firstLine="567"/>
      </w:pPr>
    </w:p>
    <w:p w:rsidR="00610585" w:rsidRPr="007D7455" w:rsidRDefault="00610585" w:rsidP="008F787E">
      <w:pPr>
        <w:pStyle w:val="ListParagraph"/>
        <w:numPr>
          <w:ilvl w:val="0"/>
          <w:numId w:val="11"/>
        </w:numPr>
        <w:rPr>
          <w:lang w:val="en-US"/>
        </w:rPr>
      </w:pPr>
      <w:r w:rsidRPr="007D7455">
        <w:rPr>
          <w:lang w:val="en-US"/>
        </w:rPr>
        <w:t>a disclaimer that the use of the information associated with the Linear Blank Form for the filing of an application for a breeder’s right with the authority of a member of the Union would be the responsibility of the user.</w:t>
      </w:r>
    </w:p>
    <w:p w:rsidR="00610585" w:rsidRPr="007E405F" w:rsidRDefault="00610585" w:rsidP="00610585"/>
    <w:p w:rsidR="00610585" w:rsidRPr="007E405F" w:rsidRDefault="00610585" w:rsidP="00610585">
      <w:r w:rsidRPr="007E405F">
        <w:fldChar w:fldCharType="begin"/>
      </w:r>
      <w:r w:rsidRPr="007E405F">
        <w:instrText xml:space="preserve"> AUTONUM  </w:instrText>
      </w:r>
      <w:r w:rsidRPr="007E405F">
        <w:fldChar w:fldCharType="end"/>
      </w:r>
      <w:r w:rsidRPr="007E405F">
        <w:tab/>
        <w:t xml:space="preserve">The CAJ noted that the languages in which the Linear Blank Form for PBR Applications would be developed would be prioritized on the basis of discussions with the international breeders’ organizations and according to available resources.  In the case of languages other than English, French, German and Spanish, interested members of the </w:t>
      </w:r>
      <w:smartTag w:uri="urn:schemas-microsoft-com:office:smarttags" w:element="place">
        <w:r w:rsidRPr="007E405F">
          <w:t>Union</w:t>
        </w:r>
      </w:smartTag>
      <w:r w:rsidRPr="007E405F">
        <w:t xml:space="preserve"> would be consulted before the relevant language versions were made available on the </w:t>
      </w:r>
      <w:smartTag w:uri="urn:schemas-microsoft-com:office:smarttags" w:element="PersonName">
        <w:r w:rsidRPr="007E405F">
          <w:t>UPOV</w:t>
        </w:r>
      </w:smartTag>
      <w:r w:rsidRPr="007E405F">
        <w:t xml:space="preserve"> website.  In addition, there would be an explanation that the </w:t>
      </w:r>
      <w:smartTag w:uri="urn:schemas-microsoft-com:office:smarttags" w:element="PersonName">
        <w:r w:rsidRPr="007E405F">
          <w:t>translation</w:t>
        </w:r>
      </w:smartTag>
      <w:r w:rsidRPr="007E405F">
        <w:t>s had not been adopted by the Council.</w:t>
      </w:r>
    </w:p>
    <w:p w:rsidR="00610585" w:rsidRPr="007E405F" w:rsidRDefault="00610585" w:rsidP="00610585"/>
    <w:p w:rsidR="00610585" w:rsidRPr="007E405F" w:rsidRDefault="00610585" w:rsidP="00610585">
      <w:r w:rsidRPr="007E405F">
        <w:fldChar w:fldCharType="begin"/>
      </w:r>
      <w:r w:rsidRPr="007E405F">
        <w:instrText xml:space="preserve"> AUTONUM  </w:instrText>
      </w:r>
      <w:r w:rsidRPr="007E405F">
        <w:fldChar w:fldCharType="end"/>
      </w:r>
      <w:r w:rsidRPr="007E405F">
        <w:tab/>
        <w:t xml:space="preserve">The CAJ noted that ISF would be willing to contribute financial resources to the development of the Linear Blank Form for PBR Applications on the basis of the concept set out above.  The development of a Linear Blank Form for PBR Applications on the basis of the concept set out above is henceforth referred to as the “Electronic Blank Form”.  Since the </w:t>
      </w:r>
      <w:r w:rsidRPr="007E405F">
        <w:rPr>
          <w:bCs/>
          <w:snapToGrid w:val="0"/>
        </w:rPr>
        <w:t>sixty-third session of the CAJ, ISF has confirmed that it would contribute 7,500 Swiss Francs to the development of the Electronic Blank Form.</w:t>
      </w:r>
    </w:p>
    <w:p w:rsidR="00170906" w:rsidRPr="00DF74BA" w:rsidRDefault="00170906" w:rsidP="00170906">
      <w:pPr>
        <w:pStyle w:val="Heading2"/>
      </w:pPr>
    </w:p>
    <w:p w:rsidR="00170906" w:rsidRPr="003A08C7" w:rsidRDefault="00170906" w:rsidP="00170906">
      <w:r w:rsidRPr="00DF74BA">
        <w:fldChar w:fldCharType="begin"/>
      </w:r>
      <w:r w:rsidRPr="00DF74BA">
        <w:instrText xml:space="preserve"> AUTONUM  </w:instrText>
      </w:r>
      <w:r w:rsidRPr="00DF74BA">
        <w:fldChar w:fldCharType="end"/>
      </w:r>
      <w:r w:rsidRPr="00DF74BA">
        <w:tab/>
        <w:t xml:space="preserve">The </w:t>
      </w:r>
      <w:r w:rsidRPr="005571F0">
        <w:t xml:space="preserve">Administrative and Legal Committee </w:t>
      </w:r>
      <w:r>
        <w:t>(</w:t>
      </w:r>
      <w:r w:rsidRPr="00DF74BA">
        <w:t>CAJ</w:t>
      </w:r>
      <w:r>
        <w:t>)</w:t>
      </w:r>
      <w:r w:rsidRPr="00DF74BA">
        <w:t xml:space="preserve"> </w:t>
      </w:r>
      <w:r>
        <w:t>at</w:t>
      </w:r>
      <w:r w:rsidRPr="008C1AFB">
        <w:t xml:space="preserve"> its sixty-sixth session in Geneva on October 29, 2012</w:t>
      </w:r>
      <w:r>
        <w:t>,</w:t>
      </w:r>
      <w:r w:rsidRPr="00DF74BA">
        <w:t xml:space="preserve"> </w:t>
      </w:r>
      <w:r w:rsidRPr="00DF74BA">
        <w:rPr>
          <w:bCs/>
          <w:snapToGrid w:val="0"/>
        </w:rPr>
        <w:t>endorsed the development of a prototype electronic form for interested members of the Union and agreed that the key aspects of the prototype from the perspective of members of the Union would be as follows</w:t>
      </w:r>
      <w:r w:rsidRPr="00DF74BA">
        <w:t xml:space="preserve"> (see document CAJ/66/8 “Report on the Conclusions”, paragraphs 22 and 23)</w:t>
      </w:r>
      <w:r w:rsidRPr="00DF74BA">
        <w:rPr>
          <w:bCs/>
          <w:snapToGrid w:val="0"/>
        </w:rPr>
        <w:t>:</w:t>
      </w:r>
    </w:p>
    <w:p w:rsidR="00170906" w:rsidRPr="00DF74BA" w:rsidRDefault="00170906" w:rsidP="00170906">
      <w:pPr>
        <w:ind w:left="567"/>
        <w:rPr>
          <w:bCs/>
          <w:snapToGrid w:val="0"/>
        </w:rPr>
      </w:pPr>
    </w:p>
    <w:p w:rsidR="00170906" w:rsidRPr="00DF74BA" w:rsidRDefault="00170906" w:rsidP="00170906">
      <w:pPr>
        <w:ind w:left="1800" w:right="708" w:hanging="1200"/>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Pr>
          <w:bCs/>
          <w:snapToGrid w:val="0"/>
        </w:rPr>
        <w:t xml:space="preserve"> concerned. </w:t>
      </w:r>
      <w:r w:rsidRPr="00DF74BA">
        <w:rPr>
          <w:bCs/>
          <w:snapToGrid w:val="0"/>
        </w:rPr>
        <w:t>Applicants would select the members of the Union in which they wish to make an application and all relevant items for the selected members of the Union would be presented for completion.</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170906" w:rsidRPr="00DF74BA" w:rsidRDefault="00170906" w:rsidP="00170906">
      <w:pPr>
        <w:ind w:left="1800" w:right="708" w:hanging="1200"/>
        <w:rPr>
          <w:bCs/>
          <w:snapToGrid w:val="0"/>
        </w:rPr>
      </w:pPr>
    </w:p>
    <w:p w:rsidR="00170906" w:rsidRPr="00DF74BA" w:rsidRDefault="00170906" w:rsidP="00D636C6">
      <w:pPr>
        <w:spacing w:after="240"/>
        <w:ind w:left="1803" w:right="709" w:hanging="1202"/>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w:t>
      </w:r>
      <w:r>
        <w:rPr>
          <w:bCs/>
          <w:snapToGrid w:val="0"/>
        </w:rPr>
        <w:t xml:space="preserve">rd, Excel, PDF or XML format. </w:t>
      </w:r>
      <w:r w:rsidRPr="00DF74BA">
        <w:rPr>
          <w:bCs/>
          <w:snapToGrid w:val="0"/>
        </w:rPr>
        <w:t>The participating members of the Union would decide in which format(s) to accept data.  In the case of XML format, a standard format would be developed, based on WIPO standard ST.96.</w:t>
      </w:r>
    </w:p>
    <w:p w:rsidR="00170906" w:rsidRPr="00DF74BA" w:rsidRDefault="00170906" w:rsidP="00170906">
      <w:pPr>
        <w:ind w:left="1800" w:right="708" w:hanging="1200"/>
        <w:rPr>
          <w:bCs/>
          <w:snapToGrid w:val="0"/>
        </w:rPr>
      </w:pPr>
      <w:r w:rsidRPr="00DF74BA">
        <w:rPr>
          <w:bCs/>
          <w:snapToGrid w:val="0"/>
        </w:rPr>
        <w:t>Languages:</w:t>
      </w:r>
      <w:r w:rsidRPr="00DF74BA">
        <w:rPr>
          <w:bCs/>
          <w:snapToGrid w:val="0"/>
        </w:rPr>
        <w:tab/>
        <w:t>The UPOV electronic form would present all items (questions) in Englis</w:t>
      </w:r>
      <w:r>
        <w:rPr>
          <w:bCs/>
          <w:snapToGrid w:val="0"/>
        </w:rPr>
        <w:t xml:space="preserve">h, French, German and Spanish. </w:t>
      </w:r>
      <w:r w:rsidRPr="00DF74BA">
        <w:rPr>
          <w:bCs/>
          <w:snapToGrid w:val="0"/>
        </w:rPr>
        <w:t>Translations for all items (questions) in other languages would be provided by the participating members of the Union, with a suitable disclaimer.</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sidRPr="00DF74BA">
        <w:rPr>
          <w:bCs/>
          <w:snapToGrid w:val="0"/>
        </w:rPr>
        <w:t>Wheat (</w:t>
      </w:r>
      <w:r w:rsidRPr="00DF74BA">
        <w:rPr>
          <w:i/>
        </w:rPr>
        <w:t>Triticum aestivum</w:t>
      </w:r>
      <w:r w:rsidRPr="00DF74BA">
        <w:t xml:space="preserve"> L.)</w:t>
      </w:r>
      <w:r w:rsidRPr="00DF74BA">
        <w:rPr>
          <w:bCs/>
          <w:snapToGrid w:val="0"/>
        </w:rPr>
        <w:t>;  Maize (</w:t>
      </w:r>
      <w:r w:rsidRPr="00DF74BA">
        <w:rPr>
          <w:bCs/>
          <w:i/>
          <w:snapToGrid w:val="0"/>
        </w:rPr>
        <w:t>Zea mays</w:t>
      </w:r>
      <w:r w:rsidRPr="00DF74BA">
        <w:rPr>
          <w:bCs/>
          <w:snapToGrid w:val="0"/>
        </w:rPr>
        <w:t xml:space="preserve"> L.); </w:t>
      </w:r>
    </w:p>
    <w:p w:rsidR="00170906" w:rsidRPr="00DF74BA" w:rsidRDefault="00170906" w:rsidP="00170906">
      <w:pPr>
        <w:ind w:left="1800" w:right="708"/>
        <w:rPr>
          <w:bCs/>
          <w:snapToGrid w:val="0"/>
          <w:lang w:val="pt-BR"/>
        </w:rPr>
      </w:pPr>
      <w:r w:rsidRPr="00DF74BA">
        <w:rPr>
          <w:bCs/>
          <w:snapToGrid w:val="0"/>
          <w:lang w:val="pt-BR"/>
        </w:rPr>
        <w:t>Potato (</w:t>
      </w:r>
      <w:r w:rsidRPr="00DF74BA">
        <w:rPr>
          <w:bCs/>
          <w:i/>
          <w:snapToGrid w:val="0"/>
          <w:lang w:val="pt-BR"/>
        </w:rPr>
        <w:t>Solanum tuberosum</w:t>
      </w:r>
      <w:r w:rsidRPr="00DF74BA">
        <w:rPr>
          <w:bCs/>
          <w:snapToGrid w:val="0"/>
          <w:lang w:val="pt-BR"/>
        </w:rPr>
        <w:t xml:space="preserve"> L.);  Lettuce (</w:t>
      </w:r>
      <w:r w:rsidRPr="00DF74BA">
        <w:rPr>
          <w:bCs/>
          <w:i/>
          <w:snapToGrid w:val="0"/>
          <w:lang w:val="pt-BR"/>
        </w:rPr>
        <w:t>Lactuca sativa</w:t>
      </w:r>
      <w:r w:rsidRPr="00DF74BA">
        <w:rPr>
          <w:bCs/>
          <w:snapToGrid w:val="0"/>
          <w:lang w:val="pt-BR"/>
        </w:rPr>
        <w:t xml:space="preserve"> L.); </w:t>
      </w:r>
    </w:p>
    <w:p w:rsidR="00170906" w:rsidRPr="00DF74BA" w:rsidRDefault="00170906" w:rsidP="00170906">
      <w:pPr>
        <w:ind w:left="1800" w:right="708"/>
        <w:rPr>
          <w:bCs/>
          <w:snapToGrid w:val="0"/>
          <w:lang w:val="pt-BR"/>
        </w:rPr>
      </w:pPr>
      <w:r w:rsidRPr="00DF74BA">
        <w:rPr>
          <w:bCs/>
          <w:snapToGrid w:val="0"/>
          <w:lang w:val="pt-BR"/>
        </w:rPr>
        <w:t>Tomato (</w:t>
      </w:r>
      <w:r w:rsidRPr="00DF74BA">
        <w:rPr>
          <w:bCs/>
          <w:i/>
          <w:snapToGrid w:val="0"/>
          <w:lang w:val="pt-BR"/>
        </w:rPr>
        <w:t>Solanum lycopersicum</w:t>
      </w:r>
      <w:r w:rsidRPr="00DF74BA">
        <w:rPr>
          <w:bCs/>
          <w:snapToGrid w:val="0"/>
          <w:lang w:val="pt-BR"/>
        </w:rPr>
        <w:t xml:space="preserve"> L.);  Pea (</w:t>
      </w:r>
      <w:r w:rsidRPr="00DF74BA">
        <w:rPr>
          <w:bCs/>
          <w:i/>
          <w:snapToGrid w:val="0"/>
          <w:lang w:val="pt-BR"/>
        </w:rPr>
        <w:t>Pisum sativum</w:t>
      </w:r>
      <w:r w:rsidRPr="00DF74BA">
        <w:rPr>
          <w:bCs/>
          <w:snapToGrid w:val="0"/>
          <w:lang w:val="pt-BR"/>
        </w:rPr>
        <w:t xml:space="preserve"> L.);</w:t>
      </w:r>
    </w:p>
    <w:p w:rsidR="00170906" w:rsidRPr="00DF74BA" w:rsidRDefault="00170906" w:rsidP="00170906">
      <w:pPr>
        <w:ind w:left="1800" w:right="708"/>
        <w:rPr>
          <w:bCs/>
          <w:snapToGrid w:val="0"/>
          <w:lang w:val="pt-BR"/>
        </w:rPr>
      </w:pPr>
      <w:r w:rsidRPr="00DF74BA">
        <w:rPr>
          <w:bCs/>
          <w:snapToGrid w:val="0"/>
          <w:lang w:val="pt-BR"/>
        </w:rPr>
        <w:t>and Ryegrass (</w:t>
      </w:r>
      <w:r w:rsidRPr="00DF74BA">
        <w:rPr>
          <w:bCs/>
          <w:i/>
          <w:snapToGrid w:val="0"/>
          <w:lang w:val="pt-BR"/>
        </w:rPr>
        <w:t>Lolium</w:t>
      </w:r>
      <w:r w:rsidRPr="00DF74BA">
        <w:rPr>
          <w:bCs/>
          <w:snapToGrid w:val="0"/>
          <w:lang w:val="pt-BR"/>
        </w:rPr>
        <w:t xml:space="preserve"> L.);</w:t>
      </w:r>
    </w:p>
    <w:p w:rsidR="00170906" w:rsidRPr="00DF74BA" w:rsidRDefault="00170906" w:rsidP="00170906">
      <w:pPr>
        <w:ind w:left="1800" w:right="708"/>
        <w:rPr>
          <w:bCs/>
          <w:snapToGrid w:val="0"/>
          <w:lang w:val="pt-BR"/>
        </w:rPr>
      </w:pPr>
    </w:p>
    <w:p w:rsidR="00170906" w:rsidRPr="00DF74BA" w:rsidRDefault="00170906" w:rsidP="00170906">
      <w:pPr>
        <w:ind w:left="1800" w:right="708"/>
        <w:rPr>
          <w:bCs/>
          <w:snapToGrid w:val="0"/>
        </w:rPr>
      </w:pPr>
      <w:r w:rsidRPr="00DF74BA">
        <w:rPr>
          <w:bCs/>
          <w:snapToGrid w:val="0"/>
        </w:rPr>
        <w:t xml:space="preserve">and one or more of: </w:t>
      </w:r>
    </w:p>
    <w:p w:rsidR="00170906" w:rsidRPr="00DF74BA" w:rsidRDefault="00170906" w:rsidP="00170906">
      <w:pPr>
        <w:ind w:left="1800" w:right="708"/>
        <w:rPr>
          <w:bCs/>
          <w:snapToGrid w:val="0"/>
        </w:rPr>
      </w:pPr>
    </w:p>
    <w:p w:rsidR="00170906" w:rsidRPr="003E7A02" w:rsidRDefault="00170906" w:rsidP="00170906">
      <w:pPr>
        <w:ind w:left="1800" w:right="708"/>
        <w:rPr>
          <w:bCs/>
          <w:snapToGrid w:val="0"/>
          <w:lang w:val="fr-FR"/>
        </w:rPr>
      </w:pPr>
      <w:r w:rsidRPr="003E7A02">
        <w:rPr>
          <w:bCs/>
          <w:snapToGrid w:val="0"/>
          <w:lang w:val="fr-FR"/>
        </w:rPr>
        <w:t>Rose (</w:t>
      </w:r>
      <w:r w:rsidRPr="003E7A02">
        <w:rPr>
          <w:bCs/>
          <w:i/>
          <w:snapToGrid w:val="0"/>
          <w:lang w:val="fr-FR"/>
        </w:rPr>
        <w:t>Rosa</w:t>
      </w:r>
      <w:r w:rsidRPr="003E7A02">
        <w:rPr>
          <w:bCs/>
          <w:snapToGrid w:val="0"/>
          <w:lang w:val="fr-FR"/>
        </w:rPr>
        <w:t xml:space="preserve"> L.);  Chrysanthemum (</w:t>
      </w:r>
      <w:r w:rsidRPr="003E7A02">
        <w:rPr>
          <w:i/>
          <w:lang w:val="fr-FR"/>
        </w:rPr>
        <w:t>Chrysanthemum</w:t>
      </w:r>
      <w:r w:rsidRPr="003E7A02">
        <w:rPr>
          <w:lang w:val="fr-FR"/>
        </w:rPr>
        <w:t xml:space="preserve"> L.)</w:t>
      </w:r>
      <w:r w:rsidRPr="003E7A02">
        <w:rPr>
          <w:bCs/>
          <w:snapToGrid w:val="0"/>
          <w:lang w:val="fr-FR"/>
        </w:rPr>
        <w:t xml:space="preserve">; </w:t>
      </w:r>
    </w:p>
    <w:p w:rsidR="00170906" w:rsidRPr="003E7A02" w:rsidRDefault="00170906" w:rsidP="00170906">
      <w:pPr>
        <w:ind w:left="1800" w:right="708"/>
        <w:rPr>
          <w:bCs/>
          <w:snapToGrid w:val="0"/>
          <w:lang w:val="fr-FR"/>
        </w:rPr>
      </w:pPr>
      <w:r w:rsidRPr="003E7A02">
        <w:rPr>
          <w:bCs/>
          <w:snapToGrid w:val="0"/>
          <w:lang w:val="fr-FR"/>
        </w:rPr>
        <w:t>Carnation (</w:t>
      </w:r>
      <w:r w:rsidRPr="003E7A02">
        <w:rPr>
          <w:bCs/>
          <w:i/>
          <w:snapToGrid w:val="0"/>
          <w:lang w:val="fr-FR"/>
        </w:rPr>
        <w:t>Dianthus</w:t>
      </w:r>
      <w:r w:rsidRPr="003E7A02">
        <w:rPr>
          <w:bCs/>
          <w:snapToGrid w:val="0"/>
          <w:lang w:val="fr-FR"/>
        </w:rPr>
        <w:t xml:space="preserve"> L.);  Pelargonium (</w:t>
      </w:r>
      <w:r w:rsidRPr="003E7A02">
        <w:rPr>
          <w:bCs/>
          <w:i/>
          <w:snapToGrid w:val="0"/>
          <w:lang w:val="fr-FR"/>
        </w:rPr>
        <w:t>Pelargonium</w:t>
      </w:r>
      <w:r w:rsidRPr="003E7A02">
        <w:rPr>
          <w:bCs/>
          <w:snapToGrid w:val="0"/>
          <w:lang w:val="fr-FR"/>
        </w:rPr>
        <w:t xml:space="preserve"> L'Hér. ex Ait.);</w:t>
      </w:r>
    </w:p>
    <w:p w:rsidR="00170906" w:rsidRPr="00DF74BA" w:rsidRDefault="00170906" w:rsidP="00170906">
      <w:pPr>
        <w:ind w:left="1800" w:right="708"/>
        <w:rPr>
          <w:bCs/>
          <w:snapToGrid w:val="0"/>
        </w:rPr>
      </w:pPr>
      <w:r w:rsidRPr="00DF74BA">
        <w:rPr>
          <w:bCs/>
          <w:snapToGrid w:val="0"/>
        </w:rPr>
        <w:t>Petunia (</w:t>
      </w:r>
      <w:r w:rsidRPr="00DF74BA">
        <w:rPr>
          <w:bCs/>
          <w:i/>
          <w:snapToGrid w:val="0"/>
        </w:rPr>
        <w:t>Petunia</w:t>
      </w:r>
      <w:r w:rsidRPr="00DF74BA">
        <w:rPr>
          <w:bCs/>
          <w:snapToGrid w:val="0"/>
        </w:rPr>
        <w:t xml:space="preserve"> Juss.);  Peach (</w:t>
      </w:r>
      <w:r w:rsidRPr="00DF74BA">
        <w:rPr>
          <w:bCs/>
          <w:i/>
          <w:snapToGrid w:val="0"/>
        </w:rPr>
        <w:t>Prunus persica</w:t>
      </w:r>
      <w:r w:rsidRPr="00DF74BA">
        <w:rPr>
          <w:bCs/>
          <w:snapToGrid w:val="0"/>
        </w:rPr>
        <w:t xml:space="preserve"> (L.) Batsch);</w:t>
      </w:r>
    </w:p>
    <w:p w:rsidR="00170906" w:rsidRPr="00DF74BA" w:rsidRDefault="00170906" w:rsidP="00170906">
      <w:pPr>
        <w:ind w:left="1800" w:right="708"/>
        <w:rPr>
          <w:bCs/>
          <w:snapToGrid w:val="0"/>
        </w:rPr>
      </w:pPr>
      <w:r w:rsidRPr="00DF74BA">
        <w:rPr>
          <w:bCs/>
          <w:snapToGrid w:val="0"/>
        </w:rPr>
        <w:t>and Apple (</w:t>
      </w:r>
      <w:r w:rsidRPr="00DF74BA">
        <w:rPr>
          <w:bCs/>
          <w:i/>
          <w:snapToGrid w:val="0"/>
        </w:rPr>
        <w:t>Malus domestica</w:t>
      </w:r>
      <w:r w:rsidRPr="00DF74BA">
        <w:rPr>
          <w:bCs/>
          <w:snapToGrid w:val="0"/>
        </w:rPr>
        <w:t xml:space="preserve"> Borkh.).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sidRPr="00DF74BA">
        <w:rPr>
          <w:bCs/>
          <w:snapToGrid w:val="0"/>
        </w:rPr>
        <w:t xml:space="preserve">Participating members of the Union would be able to select the crops/species in which to participate, i.e. the UPOV electronic form for each crop/species could </w:t>
      </w:r>
      <w:r w:rsidRPr="00DF74BA">
        <w:rPr>
          <w:bCs/>
          <w:snapToGrid w:val="0"/>
        </w:rPr>
        <w:lastRenderedPageBreak/>
        <w:t xml:space="preserve">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w:t>
      </w:r>
      <w:r>
        <w:rPr>
          <w:bCs/>
          <w:snapToGrid w:val="0"/>
        </w:rPr>
        <w:t>of the Union, ISF and CIOPORA.</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170906" w:rsidRPr="00DF74BA" w:rsidRDefault="00170906" w:rsidP="00170906">
      <w:pPr>
        <w:ind w:left="2694" w:right="708" w:hanging="1560"/>
        <w:rPr>
          <w:bCs/>
          <w:snapToGrid w:val="0"/>
        </w:rPr>
      </w:pPr>
    </w:p>
    <w:p w:rsidR="00170906" w:rsidRPr="00DF74BA" w:rsidRDefault="00170906" w:rsidP="00170906">
      <w:pPr>
        <w:ind w:left="1800" w:hanging="1200"/>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170906" w:rsidRPr="00DF74BA" w:rsidRDefault="00170906" w:rsidP="00170906">
      <w:pPr>
        <w:ind w:left="600"/>
      </w:pPr>
    </w:p>
    <w:p w:rsidR="00170906" w:rsidRPr="00DF74BA" w:rsidRDefault="00170906" w:rsidP="00170906">
      <w:r w:rsidRPr="00DF74BA">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170906" w:rsidRPr="00DF74BA" w:rsidRDefault="00170906" w:rsidP="00170906"/>
    <w:p w:rsidR="00170906" w:rsidRDefault="00170906" w:rsidP="00170906">
      <w:r w:rsidRPr="005571F0">
        <w:rPr>
          <w:szCs w:val="24"/>
        </w:rPr>
        <w:fldChar w:fldCharType="begin"/>
      </w:r>
      <w:r w:rsidRPr="005571F0">
        <w:rPr>
          <w:szCs w:val="24"/>
        </w:rPr>
        <w:instrText xml:space="preserve"> AUTONUM  </w:instrText>
      </w:r>
      <w:r w:rsidRPr="005571F0">
        <w:rPr>
          <w:szCs w:val="24"/>
        </w:rPr>
        <w:fldChar w:fldCharType="end"/>
      </w:r>
      <w:r w:rsidRPr="005571F0">
        <w:tab/>
        <w:t xml:space="preserve">The CAJ </w:t>
      </w:r>
      <w:r>
        <w:t>at</w:t>
      </w:r>
      <w:r w:rsidRPr="005571F0">
        <w:t xml:space="preserve"> its sixty-seventh session in Geneva on March 21, 2013</w:t>
      </w:r>
      <w:r>
        <w:t>,</w:t>
      </w:r>
      <w:r w:rsidRPr="00D16B98">
        <w:t xml:space="preserve"> </w:t>
      </w:r>
      <w:r w:rsidRPr="005571F0">
        <w:t>considered documents CAJ/67/8</w:t>
      </w:r>
      <w:r>
        <w:t xml:space="preserve"> “Electronic application systems”</w:t>
      </w:r>
      <w:r w:rsidRPr="005571F0">
        <w:t xml:space="preserve"> and CAJ/67/13</w:t>
      </w:r>
      <w:r>
        <w:t xml:space="preserve"> “Report on developments in the Technical Committee”. </w:t>
      </w:r>
      <w:r w:rsidRPr="005571F0">
        <w:rPr>
          <w:snapToGrid w:val="0"/>
        </w:rPr>
        <w:t>The CAJ noted the oral report by the Office of the Union of the meeting on the development of a prototype electronic form, held in Geneva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Union con</w:t>
      </w:r>
      <w:r>
        <w:rPr>
          <w:snapToGrid w:val="0"/>
        </w:rPr>
        <w:t xml:space="preserve">cerned for their own questions </w:t>
      </w:r>
      <w:r w:rsidRPr="00DF74BA">
        <w:rPr>
          <w:spacing w:val="-2"/>
        </w:rPr>
        <w:t>(see document CAJ/6</w:t>
      </w:r>
      <w:r>
        <w:rPr>
          <w:spacing w:val="-2"/>
        </w:rPr>
        <w:t>7</w:t>
      </w:r>
      <w:r w:rsidRPr="00DF74BA">
        <w:rPr>
          <w:spacing w:val="-2"/>
        </w:rPr>
        <w:t>/</w:t>
      </w:r>
      <w:r>
        <w:rPr>
          <w:spacing w:val="-2"/>
        </w:rPr>
        <w:t>15 “Report</w:t>
      </w:r>
      <w:r w:rsidRPr="00DF74BA">
        <w:rPr>
          <w:spacing w:val="-2"/>
        </w:rPr>
        <w:t>”, paragraph</w:t>
      </w:r>
      <w:r>
        <w:rPr>
          <w:spacing w:val="-2"/>
        </w:rPr>
        <w:t xml:space="preserve"> 66</w:t>
      </w:r>
      <w:r w:rsidRPr="00DF74BA">
        <w:rPr>
          <w:spacing w:val="-2"/>
        </w:rPr>
        <w:t>)</w:t>
      </w:r>
      <w:r>
        <w:t>.</w:t>
      </w:r>
    </w:p>
    <w:p w:rsidR="00170906" w:rsidRDefault="00170906" w:rsidP="00170906"/>
    <w:p w:rsidR="00170906" w:rsidRDefault="00170906" w:rsidP="006E12B1">
      <w:pPr>
        <w:rPr>
          <w:rFonts w:cs="Arial"/>
          <w:color w:val="000000"/>
        </w:rPr>
      </w:pPr>
      <w:r w:rsidRPr="00DF74BA">
        <w:fldChar w:fldCharType="begin"/>
      </w:r>
      <w:r w:rsidRPr="00DF74BA">
        <w:instrText xml:space="preserve"> AUTONUM  </w:instrText>
      </w:r>
      <w:r w:rsidRPr="00DF74BA">
        <w:fldChar w:fldCharType="end"/>
      </w:r>
      <w:r w:rsidRPr="00DF74BA">
        <w:tab/>
      </w:r>
      <w:r>
        <w:t>At t</w:t>
      </w:r>
      <w:r w:rsidRPr="004607CC">
        <w:rPr>
          <w:rFonts w:cs="Arial"/>
          <w:color w:val="000000"/>
        </w:rPr>
        <w:t>he meeting</w:t>
      </w:r>
      <w:r>
        <w:rPr>
          <w:rFonts w:cs="Arial"/>
          <w:color w:val="000000"/>
        </w:rPr>
        <w:t xml:space="preserve"> on the development of a prototype electronic form, held in Geneva on October 24, 2013, </w:t>
      </w:r>
      <w:r w:rsidR="006E674D">
        <w:rPr>
          <w:rFonts w:cs="Arial"/>
          <w:color w:val="000000"/>
        </w:rPr>
        <w:t>a</w:t>
      </w:r>
      <w:r>
        <w:rPr>
          <w:rFonts w:cs="Arial"/>
          <w:color w:val="000000"/>
        </w:rPr>
        <w:t>n illustrative “</w:t>
      </w:r>
      <w:r w:rsidRPr="00BF2E7F">
        <w:rPr>
          <w:rFonts w:cs="Arial"/>
          <w:color w:val="000000"/>
        </w:rPr>
        <w:t>mock-up</w:t>
      </w:r>
      <w:r>
        <w:rPr>
          <w:rFonts w:cs="Arial"/>
          <w:color w:val="000000"/>
        </w:rPr>
        <w:t>”</w:t>
      </w:r>
      <w:r w:rsidRPr="00BF2E7F">
        <w:rPr>
          <w:rFonts w:cs="Arial"/>
          <w:color w:val="000000"/>
        </w:rPr>
        <w:t xml:space="preserve"> of </w:t>
      </w:r>
      <w:r>
        <w:rPr>
          <w:rFonts w:cs="Arial"/>
          <w:color w:val="000000"/>
        </w:rPr>
        <w:t xml:space="preserve">parts of </w:t>
      </w:r>
      <w:r w:rsidRPr="00BF2E7F">
        <w:rPr>
          <w:rFonts w:cs="Arial"/>
          <w:color w:val="000000"/>
        </w:rPr>
        <w:t xml:space="preserve">the prototype electronic form </w:t>
      </w:r>
      <w:r>
        <w:rPr>
          <w:rFonts w:cs="Arial"/>
          <w:color w:val="000000"/>
        </w:rPr>
        <w:t>was</w:t>
      </w:r>
      <w:r w:rsidRPr="00BF2E7F">
        <w:rPr>
          <w:rFonts w:cs="Arial"/>
          <w:color w:val="000000"/>
        </w:rPr>
        <w:t xml:space="preserve"> presented</w:t>
      </w:r>
      <w:r>
        <w:rPr>
          <w:rFonts w:cs="Arial"/>
          <w:color w:val="000000"/>
        </w:rPr>
        <w:t xml:space="preserve">. It was agreed that a complete “mock-up” should be presented at the subsequent meeting on April 9, 2014, which would be the basis to develop a fully working prototype. It was further agreed that the prototype would be developed in English only and the Technical Questionnaire would be for Lettuce </w:t>
      </w:r>
      <w:r w:rsidRPr="00BF2E7F">
        <w:rPr>
          <w:rFonts w:cs="Arial"/>
          <w:color w:val="000000"/>
        </w:rPr>
        <w:t>(</w:t>
      </w:r>
      <w:r w:rsidRPr="00BF2E7F">
        <w:rPr>
          <w:rFonts w:cs="Arial"/>
          <w:i/>
          <w:color w:val="000000"/>
        </w:rPr>
        <w:t>Lactuca</w:t>
      </w:r>
      <w:r w:rsidR="00822E05">
        <w:rPr>
          <w:rFonts w:cs="Arial"/>
          <w:i/>
          <w:color w:val="000000"/>
        </w:rPr>
        <w:t> </w:t>
      </w:r>
      <w:r w:rsidRPr="00BF2E7F">
        <w:rPr>
          <w:rFonts w:cs="Arial"/>
          <w:i/>
          <w:color w:val="000000"/>
        </w:rPr>
        <w:t>sativa</w:t>
      </w:r>
      <w:r w:rsidRPr="00BF2E7F">
        <w:rPr>
          <w:rFonts w:cs="Arial"/>
          <w:color w:val="000000"/>
        </w:rPr>
        <w:t xml:space="preserve"> L.)</w:t>
      </w:r>
      <w:r>
        <w:rPr>
          <w:rFonts w:cs="Arial"/>
          <w:color w:val="000000"/>
        </w:rPr>
        <w:t>.</w:t>
      </w:r>
    </w:p>
    <w:p w:rsidR="006E12B1" w:rsidRDefault="006E12B1" w:rsidP="006E12B1">
      <w:pPr>
        <w:rPr>
          <w:rFonts w:cs="Arial"/>
          <w:color w:val="000000"/>
        </w:rPr>
      </w:pPr>
    </w:p>
    <w:p w:rsidR="00011058" w:rsidRDefault="00011058" w:rsidP="006E12B1">
      <w:pPr>
        <w:rPr>
          <w:rFonts w:cs="Arial"/>
          <w:color w:val="000000"/>
        </w:rPr>
      </w:pPr>
    </w:p>
    <w:p w:rsidR="006E12B1" w:rsidRDefault="006E12B1" w:rsidP="008261BF">
      <w:pPr>
        <w:pStyle w:val="Heading2"/>
        <w:rPr>
          <w:snapToGrid w:val="0"/>
        </w:rPr>
      </w:pPr>
      <w:r>
        <w:rPr>
          <w:snapToGrid w:val="0"/>
        </w:rPr>
        <w:t>Participating members</w:t>
      </w:r>
    </w:p>
    <w:p w:rsidR="006E12B1" w:rsidRPr="00AB3FF5" w:rsidRDefault="006E12B1" w:rsidP="006E12B1"/>
    <w:p w:rsidR="006E12B1" w:rsidRPr="00230705" w:rsidRDefault="006E12B1" w:rsidP="006E12B1">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sidRPr="00BF2E7F">
        <w:rPr>
          <w:rFonts w:cs="Arial"/>
          <w:color w:val="000000"/>
        </w:rPr>
        <w:tab/>
      </w:r>
      <w:r>
        <w:rPr>
          <w:rFonts w:cs="Arial"/>
          <w:color w:val="000000"/>
        </w:rPr>
        <w:t xml:space="preserve">At the </w:t>
      </w:r>
      <w:r>
        <w:rPr>
          <w:rFonts w:cs="Arial"/>
          <w:spacing w:val="-2"/>
        </w:rPr>
        <w:t>third</w:t>
      </w:r>
      <w:r w:rsidRPr="007844C5">
        <w:rPr>
          <w:rFonts w:cs="Arial"/>
          <w:spacing w:val="-2"/>
        </w:rPr>
        <w:t xml:space="preserve"> meeting on the development of a prototype electronic form, held in Geneva on </w:t>
      </w:r>
      <w:r>
        <w:rPr>
          <w:rFonts w:cs="Arial"/>
          <w:spacing w:val="-2"/>
        </w:rPr>
        <w:t>April 9, </w:t>
      </w:r>
      <w:r w:rsidRPr="007844C5">
        <w:rPr>
          <w:rFonts w:cs="Arial"/>
          <w:spacing w:val="-2"/>
        </w:rPr>
        <w:t>201</w:t>
      </w:r>
      <w:r>
        <w:rPr>
          <w:rFonts w:cs="Arial"/>
          <w:spacing w:val="-2"/>
        </w:rPr>
        <w:t>4</w:t>
      </w:r>
      <w:r w:rsidRPr="00BF2E7F">
        <w:rPr>
          <w:rFonts w:cs="Arial"/>
          <w:color w:val="000000"/>
        </w:rPr>
        <w:t xml:space="preserve">, </w:t>
      </w:r>
      <w:r w:rsidRPr="00230705">
        <w:rPr>
          <w:rFonts w:cs="Arial"/>
          <w:color w:val="000000"/>
        </w:rPr>
        <w:t xml:space="preserve">It was </w:t>
      </w:r>
      <w:r>
        <w:rPr>
          <w:rFonts w:cs="Arial"/>
          <w:color w:val="000000"/>
        </w:rPr>
        <w:t>confirmed</w:t>
      </w:r>
      <w:r w:rsidRPr="00230705">
        <w:rPr>
          <w:rFonts w:cs="Arial"/>
          <w:color w:val="000000"/>
        </w:rPr>
        <w:t xml:space="preserve"> that the </w:t>
      </w:r>
      <w:r w:rsidRPr="00230705">
        <w:rPr>
          <w:rFonts w:cs="Arial"/>
          <w:bCs/>
          <w:snapToGrid w:val="0"/>
        </w:rPr>
        <w:t>participating members of the Union</w:t>
      </w:r>
      <w:r w:rsidRPr="00230705">
        <w:rPr>
          <w:rFonts w:cs="Arial"/>
          <w:color w:val="000000"/>
        </w:rPr>
        <w:t xml:space="preserve"> were: Argentina; Australia; Brazil; Canada; Colombia; Dominican Republic; European Union; Japan; Mexico; New Zealand; Paraguay; Republic of Korea; Switzerland; United States of America and Viet Nam</w:t>
      </w:r>
      <w:r>
        <w:rPr>
          <w:rFonts w:cs="Arial"/>
          <w:color w:val="000000"/>
        </w:rPr>
        <w:t xml:space="preserve"> (see document EAF/3/3 Report, paragraph 9).</w:t>
      </w:r>
    </w:p>
    <w:p w:rsidR="006E12B1" w:rsidRDefault="006E12B1" w:rsidP="006E12B1"/>
    <w:p w:rsidR="00011058" w:rsidRDefault="00011058" w:rsidP="006E12B1"/>
    <w:p w:rsidR="00011058" w:rsidRDefault="00011058" w:rsidP="006E12B1"/>
    <w:p w:rsidR="006E12B1" w:rsidRPr="00FC245A" w:rsidRDefault="00FC245A" w:rsidP="008F787E">
      <w:pPr>
        <w:pStyle w:val="Heading1"/>
      </w:pPr>
      <w:r w:rsidRPr="008F787E">
        <w:t>ACTIONS AND PROGRAM AGREED AT THE THIRD MEETING</w:t>
      </w:r>
    </w:p>
    <w:p w:rsidR="006E12B1" w:rsidRDefault="006E12B1" w:rsidP="006E12B1"/>
    <w:p w:rsidR="006E12B1" w:rsidRPr="00230705" w:rsidRDefault="006E12B1" w:rsidP="006E12B1">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Pr>
          <w:rFonts w:cs="Arial"/>
          <w:color w:val="000000"/>
        </w:rPr>
        <w:tab/>
        <w:t xml:space="preserve">At the </w:t>
      </w:r>
      <w:r>
        <w:rPr>
          <w:rFonts w:cs="Arial"/>
          <w:spacing w:val="-2"/>
        </w:rPr>
        <w:t>third</w:t>
      </w:r>
      <w:r w:rsidRPr="007844C5">
        <w:rPr>
          <w:rFonts w:cs="Arial"/>
          <w:spacing w:val="-2"/>
        </w:rPr>
        <w:t xml:space="preserve"> meeting on the development of a prototype electronic form, held in Geneva on </w:t>
      </w:r>
      <w:r>
        <w:rPr>
          <w:rFonts w:cs="Arial"/>
          <w:spacing w:val="-2"/>
        </w:rPr>
        <w:t>April 9, </w:t>
      </w:r>
      <w:r w:rsidRPr="007844C5">
        <w:rPr>
          <w:rFonts w:cs="Arial"/>
          <w:spacing w:val="-2"/>
        </w:rPr>
        <w:t>201</w:t>
      </w:r>
      <w:r>
        <w:rPr>
          <w:rFonts w:cs="Arial"/>
          <w:spacing w:val="-2"/>
        </w:rPr>
        <w:t>4</w:t>
      </w:r>
      <w:r w:rsidRPr="00BF2E7F">
        <w:rPr>
          <w:rFonts w:cs="Arial"/>
          <w:color w:val="000000"/>
        </w:rPr>
        <w:t xml:space="preserve">, </w:t>
      </w:r>
      <w:r>
        <w:t>t</w:t>
      </w:r>
      <w:r w:rsidRPr="00230705">
        <w:rPr>
          <w:snapToGrid w:val="0"/>
        </w:rPr>
        <w:t xml:space="preserve">he following timetable was agreed for </w:t>
      </w:r>
      <w:r w:rsidRPr="00230705">
        <w:t>the development of the prototype</w:t>
      </w:r>
      <w:r>
        <w:t xml:space="preserve"> </w:t>
      </w:r>
      <w:r>
        <w:rPr>
          <w:rFonts w:cs="Arial"/>
          <w:color w:val="000000"/>
        </w:rPr>
        <w:t>(see document EAF/3/3 Report, paragraph 28)</w:t>
      </w:r>
      <w:r w:rsidRPr="00230705">
        <w:t>:</w:t>
      </w:r>
    </w:p>
    <w:p w:rsidR="006E12B1" w:rsidRPr="00230705" w:rsidRDefault="006E12B1" w:rsidP="006E12B1"/>
    <w:tbl>
      <w:tblPr>
        <w:tblStyle w:val="TableGrid"/>
        <w:tblW w:w="9129" w:type="dxa"/>
        <w:tblInd w:w="567" w:type="dxa"/>
        <w:tblCellMar>
          <w:top w:w="57" w:type="dxa"/>
          <w:left w:w="57" w:type="dxa"/>
          <w:bottom w:w="28" w:type="dxa"/>
          <w:right w:w="57" w:type="dxa"/>
        </w:tblCellMar>
        <w:tblLook w:val="04A0" w:firstRow="1" w:lastRow="0" w:firstColumn="1" w:lastColumn="0" w:noHBand="0" w:noVBand="1"/>
      </w:tblPr>
      <w:tblGrid>
        <w:gridCol w:w="7287"/>
        <w:gridCol w:w="1842"/>
      </w:tblGrid>
      <w:tr w:rsidR="006E12B1" w:rsidRPr="001029C1" w:rsidTr="006E12B1">
        <w:tc>
          <w:tcPr>
            <w:tcW w:w="7287" w:type="dxa"/>
          </w:tcPr>
          <w:p w:rsidR="006E12B1" w:rsidRPr="00230705" w:rsidRDefault="006E12B1" w:rsidP="006E12B1">
            <w:pPr>
              <w:rPr>
                <w:sz w:val="18"/>
              </w:rPr>
            </w:pPr>
            <w:r w:rsidRPr="00230705">
              <w:rPr>
                <w:sz w:val="18"/>
              </w:rPr>
              <w:t>Participating members to send their database structure, XML format or interface tables (requirement for participation in the project)</w:t>
            </w:r>
          </w:p>
          <w:p w:rsidR="006E12B1" w:rsidRPr="00230705" w:rsidRDefault="006E12B1" w:rsidP="006E12B1">
            <w:pPr>
              <w:rPr>
                <w:sz w:val="18"/>
              </w:rPr>
            </w:pPr>
            <w:r w:rsidRPr="00230705">
              <w:rPr>
                <w:sz w:val="18"/>
              </w:rPr>
              <w:t>Circular to be sent, requesting input from participants (PVP Offices + Breeders)</w:t>
            </w:r>
          </w:p>
        </w:tc>
        <w:tc>
          <w:tcPr>
            <w:tcW w:w="1842" w:type="dxa"/>
          </w:tcPr>
          <w:p w:rsidR="006E12B1" w:rsidRPr="001029C1" w:rsidRDefault="006E12B1" w:rsidP="006E12B1">
            <w:pPr>
              <w:rPr>
                <w:sz w:val="18"/>
              </w:rPr>
            </w:pPr>
            <w:r w:rsidRPr="001029C1">
              <w:rPr>
                <w:sz w:val="18"/>
              </w:rPr>
              <w:t>by June 15, 2014</w:t>
            </w:r>
          </w:p>
        </w:tc>
      </w:tr>
      <w:tr w:rsidR="006E12B1" w:rsidRPr="001029C1" w:rsidTr="006E12B1">
        <w:tc>
          <w:tcPr>
            <w:tcW w:w="7287" w:type="dxa"/>
          </w:tcPr>
          <w:p w:rsidR="006E12B1" w:rsidRPr="00230705" w:rsidRDefault="006E12B1" w:rsidP="006E12B1">
            <w:pPr>
              <w:rPr>
                <w:sz w:val="18"/>
              </w:rPr>
            </w:pPr>
            <w:r w:rsidRPr="00230705">
              <w:rPr>
                <w:sz w:val="18"/>
              </w:rPr>
              <w:t>Analysis of  databases of participating members, design of the database structure and data interface tables</w:t>
            </w:r>
          </w:p>
        </w:tc>
        <w:tc>
          <w:tcPr>
            <w:tcW w:w="1842" w:type="dxa"/>
          </w:tcPr>
          <w:p w:rsidR="006E12B1" w:rsidRPr="001029C1" w:rsidRDefault="006E12B1" w:rsidP="006E12B1">
            <w:pPr>
              <w:rPr>
                <w:sz w:val="18"/>
              </w:rPr>
            </w:pPr>
            <w:r w:rsidRPr="001029C1">
              <w:rPr>
                <w:sz w:val="18"/>
              </w:rPr>
              <w:t>by September 2014</w:t>
            </w:r>
          </w:p>
        </w:tc>
      </w:tr>
      <w:tr w:rsidR="006E12B1" w:rsidRPr="001029C1" w:rsidTr="006E12B1">
        <w:tc>
          <w:tcPr>
            <w:tcW w:w="7287" w:type="dxa"/>
          </w:tcPr>
          <w:p w:rsidR="006E12B1" w:rsidRPr="001029C1" w:rsidRDefault="006E12B1" w:rsidP="006E12B1">
            <w:pPr>
              <w:rPr>
                <w:sz w:val="18"/>
              </w:rPr>
            </w:pPr>
            <w:r w:rsidRPr="001029C1">
              <w:rPr>
                <w:sz w:val="18"/>
              </w:rPr>
              <w:t>Consolidation of questions (bi/multilateral communication)</w:t>
            </w:r>
          </w:p>
        </w:tc>
        <w:tc>
          <w:tcPr>
            <w:tcW w:w="1842" w:type="dxa"/>
          </w:tcPr>
          <w:p w:rsidR="006E12B1" w:rsidRPr="001029C1" w:rsidRDefault="006E12B1" w:rsidP="006E12B1">
            <w:pPr>
              <w:rPr>
                <w:sz w:val="18"/>
              </w:rPr>
            </w:pPr>
            <w:r w:rsidRPr="001029C1">
              <w:rPr>
                <w:sz w:val="18"/>
              </w:rPr>
              <w:t>by September 2014</w:t>
            </w:r>
          </w:p>
        </w:tc>
      </w:tr>
      <w:tr w:rsidR="006E12B1" w:rsidRPr="001029C1" w:rsidTr="006E12B1">
        <w:tc>
          <w:tcPr>
            <w:tcW w:w="7287" w:type="dxa"/>
          </w:tcPr>
          <w:p w:rsidR="006E12B1" w:rsidRPr="00230705" w:rsidRDefault="006E12B1" w:rsidP="006E12B1">
            <w:pPr>
              <w:rPr>
                <w:sz w:val="18"/>
              </w:rPr>
            </w:pPr>
            <w:r w:rsidRPr="00230705">
              <w:rPr>
                <w:sz w:val="18"/>
              </w:rPr>
              <w:t>Finalization of project brief and request for cost estimate from approved supplier</w:t>
            </w:r>
          </w:p>
        </w:tc>
        <w:tc>
          <w:tcPr>
            <w:tcW w:w="1842" w:type="dxa"/>
          </w:tcPr>
          <w:p w:rsidR="006E12B1" w:rsidRPr="001029C1" w:rsidRDefault="006E12B1" w:rsidP="006E12B1">
            <w:pPr>
              <w:rPr>
                <w:sz w:val="18"/>
              </w:rPr>
            </w:pPr>
            <w:r w:rsidRPr="001029C1">
              <w:rPr>
                <w:sz w:val="18"/>
              </w:rPr>
              <w:t>June 2014</w:t>
            </w:r>
          </w:p>
        </w:tc>
      </w:tr>
      <w:tr w:rsidR="006E12B1" w:rsidRPr="001029C1" w:rsidTr="006E12B1">
        <w:tc>
          <w:tcPr>
            <w:tcW w:w="7287" w:type="dxa"/>
          </w:tcPr>
          <w:p w:rsidR="006E12B1" w:rsidRPr="001029C1" w:rsidRDefault="006E12B1" w:rsidP="006E12B1">
            <w:pPr>
              <w:rPr>
                <w:sz w:val="18"/>
              </w:rPr>
            </w:pPr>
            <w:r w:rsidRPr="001029C1">
              <w:rPr>
                <w:sz w:val="18"/>
              </w:rPr>
              <w:t>Agreement on the database structure/ import-export option/ interface tables format</w:t>
            </w:r>
          </w:p>
        </w:tc>
        <w:tc>
          <w:tcPr>
            <w:tcW w:w="1842" w:type="dxa"/>
          </w:tcPr>
          <w:p w:rsidR="006E12B1" w:rsidRPr="001029C1" w:rsidRDefault="006E12B1" w:rsidP="006E12B1">
            <w:pPr>
              <w:rPr>
                <w:sz w:val="18"/>
              </w:rPr>
            </w:pPr>
            <w:r w:rsidRPr="001029C1">
              <w:rPr>
                <w:sz w:val="18"/>
              </w:rPr>
              <w:t>October 2014</w:t>
            </w:r>
          </w:p>
        </w:tc>
      </w:tr>
      <w:tr w:rsidR="006E12B1" w:rsidRPr="001029C1" w:rsidTr="006E12B1">
        <w:tc>
          <w:tcPr>
            <w:tcW w:w="7287" w:type="dxa"/>
          </w:tcPr>
          <w:p w:rsidR="006E12B1" w:rsidRPr="001029C1" w:rsidRDefault="006E12B1" w:rsidP="006E12B1">
            <w:pPr>
              <w:rPr>
                <w:sz w:val="18"/>
              </w:rPr>
            </w:pPr>
            <w:r w:rsidRPr="001029C1">
              <w:rPr>
                <w:sz w:val="18"/>
              </w:rPr>
              <w:t xml:space="preserve">Start of the project </w:t>
            </w:r>
          </w:p>
        </w:tc>
        <w:tc>
          <w:tcPr>
            <w:tcW w:w="1842" w:type="dxa"/>
          </w:tcPr>
          <w:p w:rsidR="006E12B1" w:rsidRPr="001029C1" w:rsidRDefault="006E12B1" w:rsidP="006E12B1">
            <w:pPr>
              <w:rPr>
                <w:sz w:val="18"/>
              </w:rPr>
            </w:pPr>
            <w:r w:rsidRPr="001029C1">
              <w:rPr>
                <w:sz w:val="18"/>
              </w:rPr>
              <w:t>October 2014</w:t>
            </w:r>
          </w:p>
        </w:tc>
      </w:tr>
      <w:tr w:rsidR="006E12B1" w:rsidRPr="001029C1" w:rsidTr="006E12B1">
        <w:tc>
          <w:tcPr>
            <w:tcW w:w="7287" w:type="dxa"/>
          </w:tcPr>
          <w:p w:rsidR="006E12B1" w:rsidRPr="00230705" w:rsidRDefault="006E12B1" w:rsidP="006E12B1">
            <w:pPr>
              <w:rPr>
                <w:sz w:val="18"/>
              </w:rPr>
            </w:pPr>
            <w:r w:rsidRPr="00230705">
              <w:rPr>
                <w:sz w:val="18"/>
              </w:rPr>
              <w:t>Presentation of the prototype to the CAJ and Council</w:t>
            </w:r>
          </w:p>
        </w:tc>
        <w:tc>
          <w:tcPr>
            <w:tcW w:w="1842" w:type="dxa"/>
          </w:tcPr>
          <w:p w:rsidR="006E12B1" w:rsidRPr="001029C1" w:rsidRDefault="006E12B1" w:rsidP="006E12B1">
            <w:pPr>
              <w:rPr>
                <w:sz w:val="18"/>
              </w:rPr>
            </w:pPr>
            <w:r w:rsidRPr="001029C1">
              <w:rPr>
                <w:sz w:val="18"/>
              </w:rPr>
              <w:t>October 2015</w:t>
            </w:r>
          </w:p>
        </w:tc>
      </w:tr>
    </w:tbl>
    <w:p w:rsidR="006E12B1" w:rsidRDefault="006E12B1" w:rsidP="006E12B1"/>
    <w:p w:rsidR="006E12B1" w:rsidRPr="001029C1" w:rsidRDefault="006E12B1" w:rsidP="00011058">
      <w:pPr>
        <w:keepNext/>
      </w:pPr>
      <w:r w:rsidRPr="001029C1">
        <w:lastRenderedPageBreak/>
        <w:fldChar w:fldCharType="begin"/>
      </w:r>
      <w:r w:rsidRPr="001029C1">
        <w:instrText xml:space="preserve"> AUTONUM  </w:instrText>
      </w:r>
      <w:r w:rsidRPr="001029C1">
        <w:fldChar w:fldCharType="end"/>
      </w:r>
      <w:r w:rsidRPr="001029C1">
        <w:tab/>
        <w:t>The following features were agreed for inclusion in the version 1 of the prototype:</w:t>
      </w:r>
    </w:p>
    <w:p w:rsidR="006E12B1" w:rsidRPr="001029C1" w:rsidRDefault="006E12B1" w:rsidP="006E12B1"/>
    <w:p w:rsidR="006E12B1" w:rsidRPr="001029C1" w:rsidRDefault="006E12B1" w:rsidP="006E12B1">
      <w:pPr>
        <w:pStyle w:val="ListParagraph"/>
        <w:numPr>
          <w:ilvl w:val="0"/>
          <w:numId w:val="5"/>
        </w:numPr>
        <w:ind w:left="714" w:hanging="357"/>
        <w:rPr>
          <w:lang w:val="en-US"/>
        </w:rPr>
      </w:pPr>
      <w:r w:rsidRPr="001029C1">
        <w:rPr>
          <w:lang w:val="en-US"/>
        </w:rPr>
        <w:t>all the features presented in the mock-up,</w:t>
      </w:r>
    </w:p>
    <w:p w:rsidR="006E12B1" w:rsidRPr="001029C1" w:rsidRDefault="006E12B1" w:rsidP="006E12B1">
      <w:pPr>
        <w:pStyle w:val="ListParagraph"/>
        <w:numPr>
          <w:ilvl w:val="0"/>
          <w:numId w:val="5"/>
        </w:numPr>
        <w:ind w:left="714" w:hanging="357"/>
        <w:rPr>
          <w:lang w:val="en-US"/>
        </w:rPr>
      </w:pPr>
      <w:r w:rsidRPr="001029C1">
        <w:rPr>
          <w:lang w:val="en-US"/>
        </w:rPr>
        <w:t>an administration interface with a dashboard to edit, submit or delete information,</w:t>
      </w:r>
    </w:p>
    <w:p w:rsidR="006E12B1" w:rsidRPr="001029C1" w:rsidRDefault="006E12B1" w:rsidP="006E12B1">
      <w:pPr>
        <w:pStyle w:val="ListParagraph"/>
        <w:numPr>
          <w:ilvl w:val="0"/>
          <w:numId w:val="5"/>
        </w:numPr>
        <w:contextualSpacing/>
        <w:rPr>
          <w:lang w:val="en-US"/>
        </w:rPr>
      </w:pPr>
      <w:r w:rsidRPr="001029C1">
        <w:rPr>
          <w:lang w:val="en-US"/>
        </w:rPr>
        <w:t xml:space="preserve">a possibility to import and export XML information. </w:t>
      </w:r>
    </w:p>
    <w:p w:rsidR="006E12B1" w:rsidRPr="001029C1" w:rsidRDefault="006E12B1" w:rsidP="006E12B1"/>
    <w:p w:rsidR="006E12B1" w:rsidRPr="001029C1" w:rsidRDefault="006E12B1" w:rsidP="006E12B1">
      <w:pPr>
        <w:spacing w:after="240"/>
      </w:pPr>
      <w:r w:rsidRPr="001029C1">
        <w:fldChar w:fldCharType="begin"/>
      </w:r>
      <w:r w:rsidRPr="001029C1">
        <w:instrText xml:space="preserve"> AUTONUM  </w:instrText>
      </w:r>
      <w:r w:rsidRPr="001029C1">
        <w:fldChar w:fldCharType="end"/>
      </w:r>
      <w:r w:rsidRPr="001029C1">
        <w:tab/>
        <w:t>The following aspects were agreed not to be included in the version 1 of the prototype but in the final version:</w:t>
      </w:r>
    </w:p>
    <w:p w:rsidR="006E12B1" w:rsidRPr="001029C1" w:rsidRDefault="006E12B1" w:rsidP="006E12B1">
      <w:pPr>
        <w:pStyle w:val="ListParagraph"/>
        <w:numPr>
          <w:ilvl w:val="0"/>
          <w:numId w:val="6"/>
        </w:numPr>
        <w:ind w:left="714" w:hanging="357"/>
        <w:rPr>
          <w:lang w:val="en-US"/>
        </w:rPr>
      </w:pPr>
      <w:r w:rsidRPr="001029C1">
        <w:rPr>
          <w:lang w:val="en-US"/>
        </w:rPr>
        <w:t>payment authorization,</w:t>
      </w:r>
    </w:p>
    <w:p w:rsidR="006E12B1" w:rsidRPr="001029C1" w:rsidRDefault="006E12B1" w:rsidP="006E12B1">
      <w:pPr>
        <w:pStyle w:val="ListParagraph"/>
        <w:numPr>
          <w:ilvl w:val="0"/>
          <w:numId w:val="6"/>
        </w:numPr>
        <w:ind w:left="714" w:hanging="357"/>
        <w:rPr>
          <w:lang w:val="en-US"/>
        </w:rPr>
      </w:pPr>
      <w:r w:rsidRPr="001029C1">
        <w:rPr>
          <w:lang w:val="en-US"/>
        </w:rPr>
        <w:t>different languages,</w:t>
      </w:r>
    </w:p>
    <w:p w:rsidR="006E12B1" w:rsidRPr="001029C1" w:rsidRDefault="006E12B1" w:rsidP="006E12B1">
      <w:pPr>
        <w:pStyle w:val="ListParagraph"/>
        <w:numPr>
          <w:ilvl w:val="0"/>
          <w:numId w:val="6"/>
        </w:numPr>
        <w:ind w:left="714" w:hanging="357"/>
        <w:rPr>
          <w:lang w:val="en-US"/>
        </w:rPr>
      </w:pPr>
      <w:r w:rsidRPr="001029C1">
        <w:rPr>
          <w:lang w:val="en-US"/>
        </w:rPr>
        <w:t>possibility for participating UPOV members to introduce or modify their questions in the form,</w:t>
      </w:r>
    </w:p>
    <w:p w:rsidR="006E12B1" w:rsidRPr="001029C1" w:rsidRDefault="006E12B1" w:rsidP="006E12B1">
      <w:pPr>
        <w:pStyle w:val="ListParagraph"/>
        <w:numPr>
          <w:ilvl w:val="0"/>
          <w:numId w:val="6"/>
        </w:numPr>
        <w:contextualSpacing/>
        <w:rPr>
          <w:rFonts w:cs="Arial"/>
          <w:color w:val="000000"/>
          <w:lang w:val="en-US"/>
        </w:rPr>
      </w:pPr>
      <w:r w:rsidRPr="001029C1">
        <w:rPr>
          <w:rFonts w:cs="Arial"/>
          <w:color w:val="000000"/>
          <w:lang w:val="en-US"/>
        </w:rPr>
        <w:t>technical aspects such as:  business support for applicants;  routine maintenance provisions;  compliance with WCAG;  legal aspect and disclaimer.</w:t>
      </w:r>
    </w:p>
    <w:p w:rsidR="006E12B1" w:rsidRPr="001029C1" w:rsidRDefault="006E12B1" w:rsidP="006E12B1">
      <w:pPr>
        <w:rPr>
          <w:rFonts w:cs="Arial"/>
          <w:color w:val="000000"/>
        </w:rPr>
      </w:pPr>
    </w:p>
    <w:p w:rsidR="006E12B1" w:rsidRPr="001029C1" w:rsidRDefault="006E12B1" w:rsidP="006E12B1">
      <w:pPr>
        <w:rPr>
          <w:rFonts w:cs="Arial"/>
          <w:color w:val="000000"/>
        </w:rPr>
      </w:pPr>
      <w:r w:rsidRPr="001029C1">
        <w:fldChar w:fldCharType="begin"/>
      </w:r>
      <w:r w:rsidRPr="001029C1">
        <w:instrText xml:space="preserve"> AUTONUM  </w:instrText>
      </w:r>
      <w:r w:rsidRPr="001029C1">
        <w:fldChar w:fldCharType="end"/>
      </w:r>
      <w:r w:rsidRPr="001029C1">
        <w:tab/>
      </w:r>
      <w:r w:rsidRPr="001029C1">
        <w:rPr>
          <w:rFonts w:cs="Arial"/>
          <w:color w:val="000000"/>
        </w:rPr>
        <w:t>It was agreed to consider the following items at the subsequent meeting:</w:t>
      </w:r>
    </w:p>
    <w:p w:rsidR="006E12B1" w:rsidRPr="001029C1" w:rsidRDefault="006E12B1" w:rsidP="006E12B1"/>
    <w:p w:rsidR="006E12B1" w:rsidRPr="001029C1" w:rsidRDefault="006E12B1" w:rsidP="006E12B1">
      <w:pPr>
        <w:spacing w:after="120"/>
        <w:ind w:left="567"/>
        <w:rPr>
          <w:rFonts w:cs="Arial"/>
          <w:color w:val="000000"/>
        </w:rPr>
      </w:pPr>
      <w:r w:rsidRPr="001029C1">
        <w:rPr>
          <w:rFonts w:cs="Arial"/>
          <w:color w:val="000000"/>
        </w:rPr>
        <w:t>(a)</w:t>
      </w:r>
      <w:r w:rsidRPr="001029C1">
        <w:rPr>
          <w:rFonts w:cs="Arial"/>
          <w:color w:val="000000"/>
        </w:rPr>
        <w:tab/>
        <w:t>Phase 1:</w:t>
      </w:r>
    </w:p>
    <w:p w:rsidR="006E12B1" w:rsidRPr="001029C1" w:rsidRDefault="006E12B1" w:rsidP="006E12B1">
      <w:pPr>
        <w:tabs>
          <w:tab w:val="right" w:pos="1418"/>
        </w:tabs>
        <w:spacing w:before="120" w:after="120"/>
        <w:ind w:left="1701" w:hanging="1701"/>
        <w:rPr>
          <w:rFonts w:cs="Arial"/>
          <w:color w:val="000000"/>
        </w:rPr>
      </w:pPr>
      <w:r w:rsidRPr="001029C1">
        <w:rPr>
          <w:rFonts w:cs="Arial"/>
          <w:color w:val="000000"/>
        </w:rPr>
        <w:tab/>
        <w:t>(i)</w:t>
      </w:r>
      <w:r w:rsidRPr="001029C1">
        <w:rPr>
          <w:rFonts w:cs="Arial"/>
          <w:color w:val="000000"/>
        </w:rPr>
        <w:tab/>
        <w:t xml:space="preserve">Presentation of “mock-up” of prototype electronic form and proposals concerning “core” questions (presentation by the Office of the Union and the </w:t>
      </w:r>
      <w:hyperlink r:id="rId10" w:history="1">
        <w:r w:rsidRPr="001029C1">
          <w:rPr>
            <w:rFonts w:cs="Arial"/>
            <w:color w:val="000000"/>
          </w:rPr>
          <w:t>External Web Applications Section</w:t>
        </w:r>
      </w:hyperlink>
      <w:r w:rsidRPr="001029C1">
        <w:rPr>
          <w:rFonts w:cs="Arial"/>
          <w:color w:val="000000"/>
        </w:rPr>
        <w:t xml:space="preserve"> of WIPO)</w:t>
      </w:r>
    </w:p>
    <w:p w:rsidR="006E12B1" w:rsidRPr="001029C1" w:rsidRDefault="006E12B1" w:rsidP="006E12B1">
      <w:pPr>
        <w:keepNext/>
        <w:tabs>
          <w:tab w:val="right" w:pos="1418"/>
        </w:tabs>
        <w:spacing w:after="120"/>
        <w:ind w:left="1701" w:hanging="1701"/>
        <w:rPr>
          <w:rFonts w:cs="Arial"/>
          <w:color w:val="000000"/>
        </w:rPr>
      </w:pPr>
      <w:r w:rsidRPr="001029C1">
        <w:rPr>
          <w:rFonts w:cs="Arial"/>
          <w:color w:val="000000"/>
        </w:rPr>
        <w:tab/>
        <w:t>(ii)</w:t>
      </w:r>
      <w:r w:rsidRPr="001029C1">
        <w:rPr>
          <w:rFonts w:cs="Arial"/>
          <w:color w:val="000000"/>
        </w:rPr>
        <w:tab/>
        <w:t xml:space="preserve">Analysis of information provided by participating members, design of the database structure and PVP data format (presentations by the Office of the Union and the </w:t>
      </w:r>
      <w:hyperlink r:id="rId11" w:history="1">
        <w:r w:rsidRPr="001029C1">
          <w:rPr>
            <w:rFonts w:cs="Arial"/>
            <w:color w:val="000000"/>
          </w:rPr>
          <w:t>External Web Applications Section</w:t>
        </w:r>
      </w:hyperlink>
      <w:r w:rsidRPr="001029C1">
        <w:rPr>
          <w:rFonts w:cs="Arial"/>
          <w:color w:val="000000"/>
        </w:rPr>
        <w:t xml:space="preserve"> of WIPO) </w:t>
      </w:r>
    </w:p>
    <w:p w:rsidR="006E12B1" w:rsidRPr="001029C1" w:rsidRDefault="006E12B1" w:rsidP="006E12B1">
      <w:pPr>
        <w:keepNext/>
        <w:tabs>
          <w:tab w:val="right" w:pos="1418"/>
        </w:tabs>
        <w:spacing w:after="120"/>
        <w:ind w:left="1701" w:hanging="1701"/>
        <w:rPr>
          <w:rFonts w:cs="Arial"/>
          <w:color w:val="000000"/>
        </w:rPr>
      </w:pPr>
      <w:r w:rsidRPr="001029C1">
        <w:rPr>
          <w:rFonts w:cs="Arial"/>
          <w:color w:val="000000"/>
        </w:rPr>
        <w:tab/>
        <w:t>(iii)</w:t>
      </w:r>
      <w:r w:rsidRPr="001029C1">
        <w:rPr>
          <w:rFonts w:cs="Arial"/>
          <w:color w:val="000000"/>
        </w:rPr>
        <w:tab/>
        <w:t xml:space="preserve">WIPO Standards ST.96 and ST.67 and standardization for data not covered by ST.96 and ST.67 (presentations by the Office of the Union and the </w:t>
      </w:r>
      <w:hyperlink r:id="rId12" w:history="1">
        <w:r w:rsidRPr="001029C1">
          <w:rPr>
            <w:rFonts w:cs="Arial"/>
            <w:color w:val="000000"/>
          </w:rPr>
          <w:t>Standards</w:t>
        </w:r>
      </w:hyperlink>
      <w:r w:rsidRPr="001029C1">
        <w:rPr>
          <w:rFonts w:cs="Arial"/>
          <w:color w:val="000000"/>
        </w:rPr>
        <w:t xml:space="preserve"> Section of WIPO)</w:t>
      </w:r>
    </w:p>
    <w:p w:rsidR="006E12B1" w:rsidRPr="001029C1" w:rsidRDefault="006E12B1" w:rsidP="006E12B1">
      <w:pPr>
        <w:keepNext/>
        <w:tabs>
          <w:tab w:val="right" w:pos="1418"/>
        </w:tabs>
        <w:spacing w:after="120"/>
        <w:ind w:left="1701" w:hanging="1701"/>
        <w:rPr>
          <w:rFonts w:cs="Arial"/>
          <w:color w:val="000000"/>
        </w:rPr>
      </w:pPr>
      <w:r w:rsidRPr="001029C1">
        <w:rPr>
          <w:rFonts w:cs="Arial"/>
          <w:color w:val="000000"/>
        </w:rPr>
        <w:tab/>
        <w:t>(iv)</w:t>
      </w:r>
      <w:r w:rsidRPr="001029C1">
        <w:rPr>
          <w:rFonts w:cs="Arial"/>
          <w:color w:val="000000"/>
        </w:rPr>
        <w:tab/>
        <w:t xml:space="preserve">Presentation of administration interface and user authentication (presentation by the </w:t>
      </w:r>
      <w:hyperlink r:id="rId13" w:history="1">
        <w:r w:rsidRPr="001029C1">
          <w:rPr>
            <w:rFonts w:cs="Arial"/>
            <w:color w:val="000000"/>
          </w:rPr>
          <w:t>External Web Applications Section</w:t>
        </w:r>
      </w:hyperlink>
      <w:r w:rsidRPr="001029C1">
        <w:rPr>
          <w:rFonts w:cs="Arial"/>
          <w:color w:val="000000"/>
        </w:rPr>
        <w:t xml:space="preserve"> of WIPO)</w:t>
      </w:r>
    </w:p>
    <w:p w:rsidR="006E12B1" w:rsidRPr="001029C1" w:rsidRDefault="006E12B1" w:rsidP="006E12B1">
      <w:pPr>
        <w:tabs>
          <w:tab w:val="right" w:pos="1418"/>
        </w:tabs>
        <w:spacing w:after="240"/>
        <w:ind w:left="1701" w:hanging="1701"/>
        <w:rPr>
          <w:rFonts w:cs="Arial"/>
          <w:color w:val="000000"/>
        </w:rPr>
      </w:pPr>
      <w:r w:rsidRPr="001029C1">
        <w:rPr>
          <w:rFonts w:cs="Arial"/>
          <w:color w:val="000000"/>
        </w:rPr>
        <w:tab/>
        <w:t>(v)</w:t>
      </w:r>
      <w:r w:rsidRPr="001029C1">
        <w:rPr>
          <w:rFonts w:cs="Arial"/>
          <w:color w:val="000000"/>
        </w:rPr>
        <w:tab/>
        <w:t>Presentation of project brief and time table (presentation by the Office of the Union).</w:t>
      </w:r>
    </w:p>
    <w:p w:rsidR="006E12B1" w:rsidRPr="001029C1" w:rsidRDefault="006E12B1" w:rsidP="006E12B1">
      <w:pPr>
        <w:keepNext/>
        <w:spacing w:after="120"/>
        <w:ind w:left="567"/>
        <w:rPr>
          <w:rFonts w:cs="Arial"/>
          <w:color w:val="000000"/>
        </w:rPr>
      </w:pPr>
      <w:r w:rsidRPr="001029C1">
        <w:rPr>
          <w:rFonts w:cs="Arial"/>
          <w:color w:val="000000"/>
        </w:rPr>
        <w:t>(b)</w:t>
      </w:r>
      <w:r w:rsidRPr="001029C1">
        <w:rPr>
          <w:rFonts w:cs="Arial"/>
          <w:color w:val="000000"/>
        </w:rPr>
        <w:tab/>
        <w:t>Phase 2:</w:t>
      </w:r>
    </w:p>
    <w:p w:rsidR="006E12B1" w:rsidRPr="001029C1" w:rsidRDefault="006E12B1" w:rsidP="006E12B1">
      <w:pPr>
        <w:keepNext/>
        <w:tabs>
          <w:tab w:val="right" w:pos="1418"/>
        </w:tabs>
        <w:spacing w:before="120" w:after="120"/>
        <w:ind w:left="1701" w:hanging="1701"/>
        <w:rPr>
          <w:rFonts w:cs="Arial"/>
          <w:color w:val="000000"/>
        </w:rPr>
      </w:pPr>
      <w:r w:rsidRPr="001029C1">
        <w:rPr>
          <w:rFonts w:cs="Arial"/>
          <w:color w:val="000000"/>
        </w:rPr>
        <w:tab/>
        <w:t>(i)</w:t>
      </w:r>
      <w:r w:rsidRPr="001029C1">
        <w:rPr>
          <w:rFonts w:cs="Arial"/>
          <w:color w:val="000000"/>
        </w:rPr>
        <w:tab/>
        <w:t xml:space="preserve">Payment authorization (presentation by the Office of the Union and the </w:t>
      </w:r>
      <w:hyperlink r:id="rId14" w:history="1">
        <w:r w:rsidRPr="001029C1">
          <w:rPr>
            <w:rFonts w:cs="Arial"/>
            <w:color w:val="000000"/>
          </w:rPr>
          <w:t>External Web Applications Section</w:t>
        </w:r>
      </w:hyperlink>
      <w:r w:rsidRPr="001029C1">
        <w:rPr>
          <w:rFonts w:cs="Arial"/>
          <w:color w:val="000000"/>
        </w:rPr>
        <w:t xml:space="preserve"> of WIPO)</w:t>
      </w:r>
    </w:p>
    <w:p w:rsidR="006E12B1" w:rsidRPr="001029C1" w:rsidRDefault="006E12B1" w:rsidP="006E12B1">
      <w:pPr>
        <w:keepNext/>
        <w:tabs>
          <w:tab w:val="right" w:pos="1418"/>
        </w:tabs>
        <w:spacing w:after="120"/>
        <w:ind w:left="1701" w:hanging="1701"/>
        <w:rPr>
          <w:rFonts w:cs="Arial"/>
          <w:color w:val="000000"/>
        </w:rPr>
      </w:pPr>
      <w:r w:rsidRPr="001029C1">
        <w:rPr>
          <w:rFonts w:cs="Arial"/>
          <w:color w:val="000000"/>
        </w:rPr>
        <w:tab/>
        <w:t>(ii)</w:t>
      </w:r>
      <w:r w:rsidRPr="001029C1">
        <w:rPr>
          <w:rFonts w:cs="Arial"/>
          <w:color w:val="000000"/>
        </w:rPr>
        <w:tab/>
        <w:t>Different languages (presentation by the Office of the Union)</w:t>
      </w:r>
    </w:p>
    <w:p w:rsidR="006E12B1" w:rsidRPr="001029C1" w:rsidRDefault="006E12B1" w:rsidP="006E12B1">
      <w:pPr>
        <w:keepNext/>
        <w:tabs>
          <w:tab w:val="right" w:pos="1418"/>
        </w:tabs>
        <w:spacing w:after="120"/>
        <w:ind w:left="1701" w:hanging="1701"/>
        <w:rPr>
          <w:rFonts w:cs="Arial"/>
          <w:color w:val="000000"/>
        </w:rPr>
      </w:pPr>
      <w:r w:rsidRPr="001029C1">
        <w:rPr>
          <w:rFonts w:cs="Arial"/>
          <w:color w:val="000000"/>
        </w:rPr>
        <w:tab/>
        <w:t>(iii)</w:t>
      </w:r>
      <w:r w:rsidRPr="001029C1">
        <w:rPr>
          <w:rFonts w:cs="Arial"/>
          <w:color w:val="000000"/>
        </w:rPr>
        <w:tab/>
        <w:t xml:space="preserve">Possibility for participating UPOV members to introduce or modify their questions in the form (presentation by the Office of the Union and the </w:t>
      </w:r>
      <w:hyperlink r:id="rId15" w:history="1">
        <w:r w:rsidRPr="001029C1">
          <w:rPr>
            <w:rFonts w:cs="Arial"/>
            <w:color w:val="000000"/>
          </w:rPr>
          <w:t>External Web Applications Section</w:t>
        </w:r>
      </w:hyperlink>
      <w:r w:rsidRPr="001029C1">
        <w:rPr>
          <w:rFonts w:cs="Arial"/>
          <w:color w:val="000000"/>
        </w:rPr>
        <w:t xml:space="preserve"> of WIPO)</w:t>
      </w:r>
    </w:p>
    <w:p w:rsidR="006E12B1" w:rsidRPr="001029C1" w:rsidRDefault="006E12B1" w:rsidP="006E12B1">
      <w:pPr>
        <w:tabs>
          <w:tab w:val="right" w:pos="1418"/>
        </w:tabs>
        <w:spacing w:after="480"/>
        <w:ind w:left="1701" w:hanging="1701"/>
        <w:rPr>
          <w:rFonts w:cs="Arial"/>
          <w:color w:val="000000"/>
        </w:rPr>
      </w:pPr>
      <w:r w:rsidRPr="001029C1">
        <w:rPr>
          <w:rFonts w:cs="Arial"/>
          <w:color w:val="000000"/>
        </w:rPr>
        <w:tab/>
        <w:t>(iv)</w:t>
      </w:r>
      <w:r w:rsidRPr="001029C1">
        <w:rPr>
          <w:rFonts w:cs="Arial"/>
          <w:color w:val="000000"/>
        </w:rPr>
        <w:tab/>
        <w:t>Technical aspects such as:  business support for applicants;  routine maintenance provisions;  compliance with Web Content Accessibility Guidelines (WCAG); legal aspects and disclaimer (presentation by the Office of the Union).</w:t>
      </w:r>
    </w:p>
    <w:p w:rsidR="006E12B1" w:rsidRDefault="006E12B1" w:rsidP="008F787E">
      <w:pPr>
        <w:pStyle w:val="Heading1"/>
      </w:pPr>
      <w:r>
        <w:t>DEVELOPMENTS SINCE THE THIRD MEETING</w:t>
      </w:r>
    </w:p>
    <w:p w:rsidR="006E12B1" w:rsidRDefault="006E12B1" w:rsidP="006E12B1"/>
    <w:p w:rsidR="000E6646" w:rsidRPr="006D4462" w:rsidRDefault="000E6646" w:rsidP="000E6646">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r>
      <w:r w:rsidRPr="006D4462">
        <w:t>As reported in Circular E-14/191, of July 17, 2014, Mrs. Hend Madhour, has started a contract with UPOV as a database modeler.</w:t>
      </w:r>
    </w:p>
    <w:p w:rsidR="000E6646" w:rsidRDefault="000E6646" w:rsidP="006E12B1"/>
    <w:p w:rsidR="006E12B1" w:rsidRDefault="006E12B1" w:rsidP="006E12B1">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t>The Objectives of the prototype are summarized as follows:</w:t>
      </w:r>
    </w:p>
    <w:p w:rsidR="00FC245A" w:rsidRDefault="00FC245A" w:rsidP="006E12B1">
      <w:pPr>
        <w:rPr>
          <w:rFonts w:cs="Arial"/>
          <w:color w:val="000000"/>
        </w:rPr>
      </w:pPr>
    </w:p>
    <w:p w:rsidR="00144209" w:rsidRDefault="00144209" w:rsidP="00144209">
      <w:pPr>
        <w:numPr>
          <w:ilvl w:val="0"/>
          <w:numId w:val="7"/>
        </w:numPr>
        <w:jc w:val="left"/>
        <w:rPr>
          <w:rFonts w:cs="Arial"/>
        </w:rPr>
      </w:pPr>
      <w:r w:rsidRPr="000E6646">
        <w:rPr>
          <w:rFonts w:cs="Arial"/>
        </w:rPr>
        <w:t>to enable data exchange and facilitate application</w:t>
      </w:r>
      <w:r w:rsidR="00FC245A">
        <w:rPr>
          <w:rFonts w:cs="Arial"/>
        </w:rPr>
        <w:t>s</w:t>
      </w:r>
      <w:r w:rsidRPr="000E6646">
        <w:rPr>
          <w:rFonts w:cs="Arial"/>
        </w:rPr>
        <w:t xml:space="preserve"> for Plant</w:t>
      </w:r>
      <w:r>
        <w:rPr>
          <w:rFonts w:cs="Arial"/>
        </w:rPr>
        <w:t xml:space="preserve"> Breeder’s Right (PBR) :</w:t>
      </w:r>
    </w:p>
    <w:p w:rsidR="00144209" w:rsidRDefault="00144209" w:rsidP="00144209">
      <w:pPr>
        <w:rPr>
          <w:rFonts w:cs="Arial"/>
        </w:rPr>
      </w:pPr>
    </w:p>
    <w:p w:rsidR="00144209" w:rsidRDefault="00144209" w:rsidP="00144209">
      <w:pPr>
        <w:numPr>
          <w:ilvl w:val="0"/>
          <w:numId w:val="8"/>
        </w:numPr>
        <w:jc w:val="left"/>
        <w:rPr>
          <w:rFonts w:cs="Arial"/>
        </w:rPr>
      </w:pPr>
      <w:r w:rsidRPr="005A0801">
        <w:rPr>
          <w:rFonts w:cs="Arial"/>
          <w:b/>
        </w:rPr>
        <w:t>1.</w:t>
      </w:r>
      <w:r w:rsidRPr="005209DC">
        <w:rPr>
          <w:rFonts w:cs="Arial"/>
        </w:rPr>
        <w:t xml:space="preserve"> </w:t>
      </w:r>
      <w:r>
        <w:rPr>
          <w:rFonts w:cs="Arial"/>
        </w:rPr>
        <w:t>develop a c</w:t>
      </w:r>
      <w:r w:rsidRPr="00BE2805">
        <w:rPr>
          <w:rFonts w:cs="Arial"/>
        </w:rPr>
        <w:t>ommon data format_XML Schema</w:t>
      </w:r>
      <w:r>
        <w:rPr>
          <w:rFonts w:cs="Arial"/>
        </w:rPr>
        <w:t xml:space="preserve"> </w:t>
      </w:r>
      <w:r w:rsidRPr="005209DC">
        <w:rPr>
          <w:rFonts w:cs="Arial"/>
        </w:rPr>
        <w:t xml:space="preserve">(based on WIPO Standard ST. 96) </w:t>
      </w:r>
      <w:r w:rsidRPr="00BE2805">
        <w:rPr>
          <w:rFonts w:cs="Arial"/>
        </w:rPr>
        <w:t>for PBR Data Exchange</w:t>
      </w:r>
      <w:r w:rsidR="000E6646">
        <w:rPr>
          <w:rFonts w:cs="Arial"/>
        </w:rPr>
        <w:t>;</w:t>
      </w:r>
    </w:p>
    <w:p w:rsidR="00144209" w:rsidRDefault="00144209" w:rsidP="00144209">
      <w:pPr>
        <w:numPr>
          <w:ilvl w:val="0"/>
          <w:numId w:val="8"/>
        </w:numPr>
        <w:jc w:val="left"/>
        <w:rPr>
          <w:rFonts w:cs="Arial"/>
        </w:rPr>
      </w:pPr>
      <w:r w:rsidRPr="005A0801">
        <w:rPr>
          <w:rFonts w:cs="Arial"/>
          <w:b/>
        </w:rPr>
        <w:t>2.</w:t>
      </w:r>
      <w:r>
        <w:rPr>
          <w:rFonts w:cs="Arial"/>
        </w:rPr>
        <w:t xml:space="preserve"> design </w:t>
      </w:r>
      <w:r w:rsidRPr="005209DC">
        <w:rPr>
          <w:rFonts w:cs="Arial"/>
        </w:rPr>
        <w:t>a database</w:t>
      </w:r>
      <w:r w:rsidR="000E6646">
        <w:rPr>
          <w:rFonts w:cs="Arial"/>
        </w:rPr>
        <w:t>;</w:t>
      </w:r>
    </w:p>
    <w:p w:rsidR="00144209" w:rsidRDefault="00144209" w:rsidP="00144209">
      <w:pPr>
        <w:numPr>
          <w:ilvl w:val="0"/>
          <w:numId w:val="8"/>
        </w:numPr>
        <w:jc w:val="left"/>
        <w:rPr>
          <w:rFonts w:cs="Arial"/>
        </w:rPr>
      </w:pPr>
      <w:r>
        <w:rPr>
          <w:rFonts w:cs="Arial"/>
          <w:b/>
        </w:rPr>
        <w:t>3</w:t>
      </w:r>
      <w:r w:rsidRPr="005209DC">
        <w:rPr>
          <w:rFonts w:cs="Arial"/>
        </w:rPr>
        <w:t>.</w:t>
      </w:r>
      <w:r>
        <w:rPr>
          <w:rFonts w:cs="Arial"/>
        </w:rPr>
        <w:t xml:space="preserve"> develop an Electronic Data Interchange system to </w:t>
      </w:r>
      <w:r w:rsidRPr="005209DC">
        <w:rPr>
          <w:rFonts w:cs="Arial"/>
        </w:rPr>
        <w:t>allow</w:t>
      </w:r>
      <w:r>
        <w:rPr>
          <w:rFonts w:cs="Arial"/>
        </w:rPr>
        <w:t xml:space="preserve"> </w:t>
      </w:r>
      <w:r w:rsidRPr="005209DC">
        <w:rPr>
          <w:rFonts w:cs="Arial"/>
        </w:rPr>
        <w:t>data transfer (with import/export</w:t>
      </w:r>
      <w:r w:rsidRPr="00BE2805">
        <w:rPr>
          <w:rFonts w:cs="Arial"/>
        </w:rPr>
        <w:t xml:space="preserve"> </w:t>
      </w:r>
      <w:r w:rsidRPr="005209DC">
        <w:rPr>
          <w:rFonts w:cs="Arial"/>
        </w:rPr>
        <w:t>interface</w:t>
      </w:r>
      <w:r>
        <w:rPr>
          <w:rFonts w:cs="Arial"/>
        </w:rPr>
        <w:t>s</w:t>
      </w:r>
      <w:r w:rsidRPr="005209DC">
        <w:rPr>
          <w:rFonts w:cs="Arial"/>
        </w:rPr>
        <w:t>) between applicants and authorities</w:t>
      </w:r>
      <w:r w:rsidR="000E6646">
        <w:rPr>
          <w:rFonts w:cs="Arial"/>
        </w:rPr>
        <w:t>;</w:t>
      </w:r>
    </w:p>
    <w:p w:rsidR="00144209" w:rsidRDefault="00144209" w:rsidP="00144209">
      <w:pPr>
        <w:numPr>
          <w:ilvl w:val="0"/>
          <w:numId w:val="8"/>
        </w:numPr>
        <w:jc w:val="left"/>
        <w:rPr>
          <w:rFonts w:cs="Arial"/>
        </w:rPr>
      </w:pPr>
      <w:r>
        <w:rPr>
          <w:rFonts w:cs="Arial"/>
          <w:b/>
        </w:rPr>
        <w:t>4</w:t>
      </w:r>
      <w:r w:rsidRPr="005A0801">
        <w:rPr>
          <w:rFonts w:cs="Arial"/>
        </w:rPr>
        <w:t>.</w:t>
      </w:r>
      <w:r>
        <w:rPr>
          <w:rFonts w:cs="Arial"/>
        </w:rPr>
        <w:t xml:space="preserve"> develop an on-line electronic application form</w:t>
      </w:r>
      <w:r w:rsidR="000E6646">
        <w:rPr>
          <w:rFonts w:cs="Arial"/>
        </w:rPr>
        <w:t>.</w:t>
      </w:r>
    </w:p>
    <w:p w:rsidR="006E12B1" w:rsidRDefault="00144209" w:rsidP="00144209">
      <w:pPr>
        <w:jc w:val="center"/>
        <w:rPr>
          <w:rFonts w:cs="Arial"/>
          <w:color w:val="000000"/>
        </w:rPr>
      </w:pPr>
      <w:r w:rsidRPr="00144209">
        <w:rPr>
          <w:noProof/>
        </w:rPr>
        <w:lastRenderedPageBreak/>
        <w:t xml:space="preserve"> </w:t>
      </w:r>
      <w:r w:rsidR="000D736E">
        <w:rPr>
          <w:noProof/>
        </w:rPr>
        <w:drawing>
          <wp:inline distT="0" distB="0" distL="0" distR="0" wp14:anchorId="16A4B9DA" wp14:editId="2196FE20">
            <wp:extent cx="5943600" cy="352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527425"/>
                    </a:xfrm>
                    <a:prstGeom prst="rect">
                      <a:avLst/>
                    </a:prstGeom>
                  </pic:spPr>
                </pic:pic>
              </a:graphicData>
            </a:graphic>
          </wp:inline>
        </w:drawing>
      </w:r>
    </w:p>
    <w:p w:rsidR="006E12B1" w:rsidRDefault="006E12B1" w:rsidP="006E12B1">
      <w:pPr>
        <w:rPr>
          <w:rFonts w:cs="Arial"/>
          <w:color w:val="000000"/>
        </w:rPr>
      </w:pPr>
    </w:p>
    <w:p w:rsidR="00144209" w:rsidRDefault="00144209" w:rsidP="00144209">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t>The Operational objectives</w:t>
      </w:r>
      <w:r w:rsidR="000E6646">
        <w:rPr>
          <w:rFonts w:cs="Arial"/>
          <w:color w:val="000000"/>
        </w:rPr>
        <w:t xml:space="preserve"> </w:t>
      </w:r>
      <w:r>
        <w:rPr>
          <w:rFonts w:cs="Arial"/>
          <w:color w:val="000000"/>
        </w:rPr>
        <w:t>are summarized as follows:</w:t>
      </w:r>
    </w:p>
    <w:p w:rsidR="00144209" w:rsidRDefault="00144209" w:rsidP="006E12B1">
      <w:pPr>
        <w:rPr>
          <w:rFonts w:cs="Arial"/>
          <w:color w:val="000000"/>
        </w:rPr>
      </w:pPr>
    </w:p>
    <w:p w:rsidR="00144209" w:rsidRDefault="00144209" w:rsidP="00144209">
      <w:pPr>
        <w:numPr>
          <w:ilvl w:val="0"/>
          <w:numId w:val="8"/>
        </w:numPr>
        <w:jc w:val="left"/>
        <w:rPr>
          <w:rFonts w:cs="Arial"/>
        </w:rPr>
      </w:pPr>
      <w:r>
        <w:rPr>
          <w:rFonts w:cs="Arial"/>
          <w:b/>
        </w:rPr>
        <w:t>1</w:t>
      </w:r>
      <w:r w:rsidRPr="00C13459">
        <w:rPr>
          <w:rFonts w:cs="Arial"/>
        </w:rPr>
        <w:t>.</w:t>
      </w:r>
      <w:r>
        <w:rPr>
          <w:rFonts w:cs="Arial"/>
        </w:rPr>
        <w:t xml:space="preserve"> set up a common format to facilitate electronic data exchange</w:t>
      </w:r>
      <w:r w:rsidR="000E6646">
        <w:rPr>
          <w:rFonts w:cs="Arial"/>
        </w:rPr>
        <w:t>;</w:t>
      </w:r>
    </w:p>
    <w:p w:rsidR="00144209" w:rsidRDefault="00144209" w:rsidP="00144209">
      <w:pPr>
        <w:numPr>
          <w:ilvl w:val="0"/>
          <w:numId w:val="8"/>
        </w:numPr>
        <w:jc w:val="left"/>
        <w:rPr>
          <w:rFonts w:cs="Arial"/>
        </w:rPr>
      </w:pPr>
      <w:r>
        <w:rPr>
          <w:rFonts w:cs="Arial"/>
          <w:b/>
        </w:rPr>
        <w:t>2</w:t>
      </w:r>
      <w:r w:rsidRPr="00A3290E">
        <w:rPr>
          <w:rFonts w:cs="Arial"/>
        </w:rPr>
        <w:t>.</w:t>
      </w:r>
      <w:r>
        <w:rPr>
          <w:rFonts w:cs="Arial"/>
        </w:rPr>
        <w:t xml:space="preserve"> allow applicants to upload and retrieve data from the database</w:t>
      </w:r>
      <w:r w:rsidR="000E6646">
        <w:rPr>
          <w:rFonts w:cs="Arial"/>
        </w:rPr>
        <w:t>;</w:t>
      </w:r>
    </w:p>
    <w:p w:rsidR="00144209" w:rsidRDefault="00144209" w:rsidP="00144209">
      <w:pPr>
        <w:numPr>
          <w:ilvl w:val="0"/>
          <w:numId w:val="8"/>
        </w:numPr>
        <w:jc w:val="left"/>
        <w:rPr>
          <w:rFonts w:cs="Arial"/>
        </w:rPr>
      </w:pPr>
      <w:r w:rsidRPr="00F92277">
        <w:rPr>
          <w:rFonts w:cs="Arial"/>
          <w:b/>
        </w:rPr>
        <w:t>3.</w:t>
      </w:r>
      <w:r>
        <w:rPr>
          <w:rFonts w:cs="Arial"/>
        </w:rPr>
        <w:t xml:space="preserve"> allow applicants (i.e. breeders) and authorities (i.e. PVP Offices) to exchange electronic data on a </w:t>
      </w:r>
      <w:r w:rsidR="000D736E">
        <w:rPr>
          <w:rFonts w:cs="Arial"/>
        </w:rPr>
        <w:t>routine</w:t>
      </w:r>
      <w:r>
        <w:rPr>
          <w:rFonts w:cs="Arial"/>
        </w:rPr>
        <w:t xml:space="preserve"> basis</w:t>
      </w:r>
      <w:r w:rsidR="000E6646">
        <w:rPr>
          <w:rFonts w:cs="Arial"/>
        </w:rPr>
        <w:t>;</w:t>
      </w:r>
    </w:p>
    <w:p w:rsidR="000E6646" w:rsidRDefault="00144209" w:rsidP="000E6646">
      <w:pPr>
        <w:numPr>
          <w:ilvl w:val="0"/>
          <w:numId w:val="8"/>
        </w:numPr>
        <w:jc w:val="left"/>
        <w:rPr>
          <w:rFonts w:cs="Arial"/>
        </w:rPr>
      </w:pPr>
      <w:r>
        <w:rPr>
          <w:rFonts w:cs="Arial"/>
          <w:b/>
        </w:rPr>
        <w:t>4.</w:t>
      </w:r>
      <w:r>
        <w:rPr>
          <w:rFonts w:cs="Arial"/>
        </w:rPr>
        <w:t xml:space="preserve"> allow applicants to make an application on-line by selecting one or several UPOV members in which they wish to </w:t>
      </w:r>
      <w:r w:rsidR="000D736E">
        <w:rPr>
          <w:rFonts w:cs="Arial"/>
        </w:rPr>
        <w:t xml:space="preserve">make an application, and generate output in a format that can be used by </w:t>
      </w:r>
      <w:r>
        <w:rPr>
          <w:rFonts w:cs="Arial"/>
        </w:rPr>
        <w:t>different authorities</w:t>
      </w:r>
      <w:r w:rsidR="000E6646">
        <w:rPr>
          <w:rFonts w:cs="Arial"/>
        </w:rPr>
        <w:t>.</w:t>
      </w:r>
    </w:p>
    <w:p w:rsidR="000E6646" w:rsidRPr="000E6646" w:rsidRDefault="000E6646" w:rsidP="000E6646">
      <w:pPr>
        <w:ind w:left="1080"/>
        <w:jc w:val="left"/>
        <w:rPr>
          <w:rFonts w:cs="Arial"/>
        </w:rPr>
      </w:pPr>
    </w:p>
    <w:p w:rsidR="00144209" w:rsidRDefault="000D736E" w:rsidP="00144209">
      <w:pPr>
        <w:jc w:val="center"/>
        <w:rPr>
          <w:rFonts w:cs="Arial"/>
          <w:color w:val="000000"/>
        </w:rPr>
      </w:pPr>
      <w:r>
        <w:rPr>
          <w:noProof/>
        </w:rPr>
        <w:drawing>
          <wp:inline distT="0" distB="0" distL="0" distR="0" wp14:anchorId="5A0DC5E6" wp14:editId="5D6DF1FA">
            <wp:extent cx="5426545" cy="4038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a:stretch/>
                  </pic:blipFill>
                  <pic:spPr bwMode="auto">
                    <a:xfrm>
                      <a:off x="0" y="0"/>
                      <a:ext cx="5426545" cy="4038600"/>
                    </a:xfrm>
                    <a:prstGeom prst="rect">
                      <a:avLst/>
                    </a:prstGeom>
                    <a:ln>
                      <a:noFill/>
                    </a:ln>
                    <a:extLst>
                      <a:ext uri="{53640926-AAD7-44D8-BBD7-CCE9431645EC}">
                        <a14:shadowObscured xmlns:a14="http://schemas.microsoft.com/office/drawing/2010/main"/>
                      </a:ext>
                    </a:extLst>
                  </pic:spPr>
                </pic:pic>
              </a:graphicData>
            </a:graphic>
          </wp:inline>
        </w:drawing>
      </w:r>
    </w:p>
    <w:p w:rsidR="00144209" w:rsidRDefault="00144209" w:rsidP="006E12B1">
      <w:pPr>
        <w:rPr>
          <w:rFonts w:cs="Arial"/>
          <w:color w:val="000000"/>
        </w:rPr>
      </w:pPr>
      <w:bookmarkStart w:id="3" w:name="_GoBack"/>
      <w:bookmarkEnd w:id="3"/>
    </w:p>
    <w:p w:rsidR="006E12B1" w:rsidRDefault="006E12B1" w:rsidP="006E12B1">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r>
      <w:r w:rsidR="00144209">
        <w:rPr>
          <w:rFonts w:cs="Arial"/>
          <w:color w:val="000000"/>
        </w:rPr>
        <w:t>D</w:t>
      </w:r>
      <w:r>
        <w:rPr>
          <w:rFonts w:cs="Arial"/>
          <w:color w:val="000000"/>
        </w:rPr>
        <w:t>evelopment</w:t>
      </w:r>
      <w:r w:rsidR="00144209">
        <w:rPr>
          <w:rFonts w:cs="Arial"/>
          <w:color w:val="000000"/>
        </w:rPr>
        <w:t>s</w:t>
      </w:r>
      <w:r>
        <w:rPr>
          <w:rFonts w:cs="Arial"/>
          <w:color w:val="000000"/>
        </w:rPr>
        <w:t xml:space="preserve"> in relation to the data </w:t>
      </w:r>
      <w:r w:rsidR="00144209">
        <w:rPr>
          <w:rFonts w:cs="Arial"/>
          <w:color w:val="000000"/>
        </w:rPr>
        <w:t>model</w:t>
      </w:r>
      <w:r>
        <w:rPr>
          <w:rFonts w:cs="Arial"/>
          <w:color w:val="000000"/>
        </w:rPr>
        <w:t xml:space="preserve"> and data exchange </w:t>
      </w:r>
      <w:r w:rsidR="00144209">
        <w:rPr>
          <w:rFonts w:cs="Arial"/>
          <w:color w:val="000000"/>
        </w:rPr>
        <w:t>are</w:t>
      </w:r>
      <w:r>
        <w:rPr>
          <w:rFonts w:cs="Arial"/>
          <w:color w:val="000000"/>
        </w:rPr>
        <w:t xml:space="preserve"> presented in document EAF/4/3</w:t>
      </w:r>
      <w:r w:rsidR="00144209">
        <w:rPr>
          <w:rFonts w:cs="Arial"/>
          <w:color w:val="000000"/>
        </w:rPr>
        <w:t xml:space="preserve"> “Data exchange and data model”</w:t>
      </w:r>
      <w:r>
        <w:rPr>
          <w:rFonts w:cs="Arial"/>
          <w:color w:val="000000"/>
        </w:rPr>
        <w:t>.</w:t>
      </w:r>
    </w:p>
    <w:p w:rsidR="006E12B1" w:rsidRDefault="006E12B1" w:rsidP="006E12B1">
      <w:pPr>
        <w:rPr>
          <w:rFonts w:cs="Arial"/>
          <w:color w:val="000000"/>
        </w:rPr>
      </w:pPr>
    </w:p>
    <w:p w:rsidR="006E12B1" w:rsidRDefault="006E12B1" w:rsidP="006E12B1">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Pr>
          <w:rFonts w:cs="Arial"/>
          <w:color w:val="000000"/>
        </w:rPr>
        <w:t xml:space="preserve"> </w:t>
      </w:r>
      <w:r>
        <w:rPr>
          <w:rFonts w:cs="Arial"/>
          <w:color w:val="000000"/>
        </w:rPr>
        <w:tab/>
      </w:r>
      <w:r w:rsidR="00144209">
        <w:rPr>
          <w:rFonts w:cs="Arial"/>
          <w:color w:val="000000"/>
        </w:rPr>
        <w:t>D</w:t>
      </w:r>
      <w:r>
        <w:rPr>
          <w:rFonts w:cs="Arial"/>
          <w:color w:val="000000"/>
        </w:rPr>
        <w:t>evelopment</w:t>
      </w:r>
      <w:r w:rsidR="00144209">
        <w:rPr>
          <w:rFonts w:cs="Arial"/>
          <w:color w:val="000000"/>
        </w:rPr>
        <w:t>s</w:t>
      </w:r>
      <w:r>
        <w:rPr>
          <w:rFonts w:cs="Arial"/>
          <w:color w:val="000000"/>
        </w:rPr>
        <w:t xml:space="preserve"> in relation to the </w:t>
      </w:r>
      <w:r w:rsidR="00144209">
        <w:rPr>
          <w:rFonts w:cs="Arial"/>
          <w:color w:val="000000"/>
        </w:rPr>
        <w:t xml:space="preserve">on-line </w:t>
      </w:r>
      <w:r>
        <w:rPr>
          <w:rFonts w:cs="Arial"/>
          <w:color w:val="000000"/>
        </w:rPr>
        <w:t xml:space="preserve">electronic form </w:t>
      </w:r>
      <w:r w:rsidR="00144209">
        <w:rPr>
          <w:rFonts w:cs="Arial"/>
          <w:color w:val="000000"/>
        </w:rPr>
        <w:t>are</w:t>
      </w:r>
      <w:r>
        <w:rPr>
          <w:rFonts w:cs="Arial"/>
          <w:color w:val="000000"/>
        </w:rPr>
        <w:t xml:space="preserve"> presented in document EAF/4/4</w:t>
      </w:r>
      <w:r w:rsidR="00144209">
        <w:rPr>
          <w:rFonts w:cs="Arial"/>
          <w:color w:val="000000"/>
        </w:rPr>
        <w:t xml:space="preserve"> “Electronic form”</w:t>
      </w:r>
      <w:r>
        <w:rPr>
          <w:rFonts w:cs="Arial"/>
          <w:color w:val="000000"/>
        </w:rPr>
        <w:t>.</w:t>
      </w:r>
    </w:p>
    <w:p w:rsidR="006E12B1" w:rsidRDefault="006E12B1" w:rsidP="006E12B1">
      <w:pPr>
        <w:rPr>
          <w:color w:val="000000"/>
        </w:rPr>
      </w:pPr>
    </w:p>
    <w:p w:rsidR="006E12B1" w:rsidRPr="006E12B1" w:rsidRDefault="006E12B1" w:rsidP="006E12B1"/>
    <w:p w:rsidR="0003492A" w:rsidRPr="00C5280D" w:rsidRDefault="0003492A" w:rsidP="0003492A">
      <w:pPr>
        <w:jc w:val="right"/>
      </w:pPr>
      <w:r w:rsidRPr="00C5280D">
        <w:t>[End of document]</w:t>
      </w:r>
    </w:p>
    <w:p w:rsidR="0003492A" w:rsidRDefault="0003492A" w:rsidP="00664515">
      <w:pPr>
        <w:jc w:val="left"/>
        <w:rPr>
          <w:snapToGrid w:val="0"/>
        </w:rPr>
      </w:pPr>
    </w:p>
    <w:sectPr w:rsidR="0003492A"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09" w:rsidRDefault="00047C09">
      <w:r>
        <w:separator/>
      </w:r>
    </w:p>
    <w:p w:rsidR="00047C09" w:rsidRDefault="00047C09"/>
    <w:p w:rsidR="00047C09" w:rsidRDefault="00047C09"/>
  </w:endnote>
  <w:endnote w:type="continuationSeparator" w:id="0">
    <w:p w:rsidR="00047C09" w:rsidRDefault="00047C09">
      <w:r>
        <w:separator/>
      </w:r>
    </w:p>
    <w:p w:rsidR="00047C09" w:rsidRPr="00664515" w:rsidRDefault="00047C09">
      <w:pPr>
        <w:pStyle w:val="Footer"/>
        <w:spacing w:after="60"/>
        <w:rPr>
          <w:sz w:val="18"/>
          <w:lang w:val="fr-CH"/>
        </w:rPr>
      </w:pPr>
      <w:r w:rsidRPr="00664515">
        <w:rPr>
          <w:sz w:val="18"/>
          <w:lang w:val="fr-CH"/>
        </w:rPr>
        <w:t>[Suite de la note de la page précédente]</w:t>
      </w:r>
    </w:p>
    <w:p w:rsidR="00047C09" w:rsidRPr="00664515" w:rsidRDefault="00047C09">
      <w:pPr>
        <w:rPr>
          <w:lang w:val="fr-CH"/>
        </w:rPr>
      </w:pPr>
    </w:p>
    <w:p w:rsidR="00047C09" w:rsidRPr="00664515" w:rsidRDefault="00047C09">
      <w:pPr>
        <w:rPr>
          <w:lang w:val="fr-CH"/>
        </w:rPr>
      </w:pPr>
    </w:p>
  </w:endnote>
  <w:endnote w:type="continuationNotice" w:id="1">
    <w:p w:rsidR="00047C09" w:rsidRPr="00664515" w:rsidRDefault="00047C09">
      <w:pPr>
        <w:spacing w:before="60"/>
        <w:jc w:val="right"/>
        <w:rPr>
          <w:sz w:val="18"/>
          <w:lang w:val="fr-CH"/>
        </w:rPr>
      </w:pPr>
      <w:r w:rsidRPr="00664515">
        <w:rPr>
          <w:sz w:val="18"/>
          <w:lang w:val="fr-CH"/>
        </w:rPr>
        <w:t>[Suite de la note page suivante]</w:t>
      </w:r>
    </w:p>
    <w:p w:rsidR="00047C09" w:rsidRPr="00664515" w:rsidRDefault="00047C09">
      <w:pPr>
        <w:rPr>
          <w:lang w:val="fr-CH"/>
        </w:rPr>
      </w:pPr>
    </w:p>
    <w:p w:rsidR="00047C09" w:rsidRPr="00664515" w:rsidRDefault="00047C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09" w:rsidRDefault="00047C09" w:rsidP="009D690D">
      <w:pPr>
        <w:spacing w:before="120"/>
      </w:pPr>
      <w:r>
        <w:separator/>
      </w:r>
    </w:p>
  </w:footnote>
  <w:footnote w:type="continuationSeparator" w:id="0">
    <w:p w:rsidR="00047C09" w:rsidRDefault="00047C09" w:rsidP="00520297">
      <w:pPr>
        <w:spacing w:before="120"/>
        <w:jc w:val="left"/>
      </w:pPr>
      <w:r>
        <w:separator/>
      </w:r>
    </w:p>
  </w:footnote>
  <w:footnote w:type="continuationNotice" w:id="1">
    <w:p w:rsidR="00047C09" w:rsidRDefault="00047C09"/>
  </w:footnote>
  <w:footnote w:id="2">
    <w:p w:rsidR="003674FE" w:rsidRPr="00FF35EA" w:rsidRDefault="003674FE" w:rsidP="007C120B">
      <w:pPr>
        <w:pStyle w:val="FootnoteText"/>
      </w:pPr>
      <w:r w:rsidRPr="00FF35EA">
        <w:rPr>
          <w:rStyle w:val="FootnoteReference"/>
          <w:szCs w:val="16"/>
        </w:rPr>
        <w:t>*</w:t>
      </w:r>
      <w:r w:rsidRPr="00FF35EA">
        <w:t xml:space="preserve"> </w:t>
      </w:r>
      <w:r w:rsidRPr="00FF35EA">
        <w:tab/>
        <w:t xml:space="preserve">The term “user” is used instead of “applicant” or “breeder”, in order to avoid any implication that the use of the Linear Blank Form for PBR Applications might indicate that an application is being filed for a plant breeder’s right.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FE" w:rsidRPr="00997029" w:rsidRDefault="003674FE" w:rsidP="00E23920">
    <w:pPr>
      <w:jc w:val="center"/>
      <w:rPr>
        <w:rStyle w:val="PageNumber"/>
      </w:rPr>
    </w:pPr>
    <w:r>
      <w:rPr>
        <w:rStyle w:val="PageNumber"/>
      </w:rPr>
      <w:t>EAF/4/2</w:t>
    </w:r>
  </w:p>
  <w:p w:rsidR="003674FE" w:rsidRPr="00997029" w:rsidRDefault="003674F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11058">
      <w:rPr>
        <w:rStyle w:val="PageNumber"/>
        <w:noProof/>
      </w:rPr>
      <w:t>6</w:t>
    </w:r>
    <w:r w:rsidRPr="00997029">
      <w:rPr>
        <w:rStyle w:val="PageNumber"/>
      </w:rPr>
      <w:fldChar w:fldCharType="end"/>
    </w:r>
  </w:p>
  <w:p w:rsidR="003674FE" w:rsidRPr="00997029" w:rsidRDefault="003674F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5861"/>
    <w:multiLevelType w:val="hybridMultilevel"/>
    <w:tmpl w:val="8B0CBD16"/>
    <w:lvl w:ilvl="0" w:tplc="E43210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BEC4370"/>
    <w:multiLevelType w:val="hybridMultilevel"/>
    <w:tmpl w:val="E666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E4C33"/>
    <w:multiLevelType w:val="hybridMultilevel"/>
    <w:tmpl w:val="6FCA245C"/>
    <w:lvl w:ilvl="0" w:tplc="77C2AC88">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92F5AB3"/>
    <w:multiLevelType w:val="hybridMultilevel"/>
    <w:tmpl w:val="D7EE57F0"/>
    <w:lvl w:ilvl="0" w:tplc="9B101E7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8">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
    <w:lvlOverride w:ilvl="0">
      <w:startOverride w:val="1"/>
    </w:lvlOverride>
  </w:num>
  <w:num w:numId="4">
    <w:abstractNumId w:val="3"/>
    <w:lvlOverride w:ilvl="0">
      <w:startOverride w:val="1"/>
    </w:lvlOverride>
  </w:num>
  <w:num w:numId="5">
    <w:abstractNumId w:val="8"/>
  </w:num>
  <w:num w:numId="6">
    <w:abstractNumId w:val="0"/>
  </w:num>
  <w:num w:numId="7">
    <w:abstractNumId w:val="4"/>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058"/>
    <w:rsid w:val="00011E27"/>
    <w:rsid w:val="000148BC"/>
    <w:rsid w:val="00024AB8"/>
    <w:rsid w:val="0003492A"/>
    <w:rsid w:val="00036028"/>
    <w:rsid w:val="00043EF7"/>
    <w:rsid w:val="000446B9"/>
    <w:rsid w:val="00047C09"/>
    <w:rsid w:val="00047E21"/>
    <w:rsid w:val="00085505"/>
    <w:rsid w:val="000C7021"/>
    <w:rsid w:val="000D492E"/>
    <w:rsid w:val="000D6BBC"/>
    <w:rsid w:val="000D736E"/>
    <w:rsid w:val="000D7780"/>
    <w:rsid w:val="000E6646"/>
    <w:rsid w:val="00105929"/>
    <w:rsid w:val="00110481"/>
    <w:rsid w:val="001131D5"/>
    <w:rsid w:val="00122D18"/>
    <w:rsid w:val="00141DB8"/>
    <w:rsid w:val="00144209"/>
    <w:rsid w:val="001704EE"/>
    <w:rsid w:val="00170906"/>
    <w:rsid w:val="0017474A"/>
    <w:rsid w:val="001758C6"/>
    <w:rsid w:val="00180F6A"/>
    <w:rsid w:val="001A28E2"/>
    <w:rsid w:val="001C3DF3"/>
    <w:rsid w:val="001E7623"/>
    <w:rsid w:val="001F1F2A"/>
    <w:rsid w:val="0021332C"/>
    <w:rsid w:val="00213982"/>
    <w:rsid w:val="00237C7D"/>
    <w:rsid w:val="0024416D"/>
    <w:rsid w:val="0027309C"/>
    <w:rsid w:val="002800A0"/>
    <w:rsid w:val="00281060"/>
    <w:rsid w:val="0029439F"/>
    <w:rsid w:val="002A6E50"/>
    <w:rsid w:val="002C256A"/>
    <w:rsid w:val="002C6721"/>
    <w:rsid w:val="002E7BA1"/>
    <w:rsid w:val="002F78FA"/>
    <w:rsid w:val="003037B9"/>
    <w:rsid w:val="00305A7F"/>
    <w:rsid w:val="003152FE"/>
    <w:rsid w:val="00327436"/>
    <w:rsid w:val="00333245"/>
    <w:rsid w:val="00344BD6"/>
    <w:rsid w:val="0035528D"/>
    <w:rsid w:val="00361821"/>
    <w:rsid w:val="003674FE"/>
    <w:rsid w:val="00377348"/>
    <w:rsid w:val="003A17C8"/>
    <w:rsid w:val="003C563E"/>
    <w:rsid w:val="003C5C62"/>
    <w:rsid w:val="003D227C"/>
    <w:rsid w:val="003D2B4D"/>
    <w:rsid w:val="003F6136"/>
    <w:rsid w:val="00427139"/>
    <w:rsid w:val="004317FA"/>
    <w:rsid w:val="00444A88"/>
    <w:rsid w:val="00474DA4"/>
    <w:rsid w:val="004A39DF"/>
    <w:rsid w:val="004D047D"/>
    <w:rsid w:val="004F305A"/>
    <w:rsid w:val="00512164"/>
    <w:rsid w:val="00520297"/>
    <w:rsid w:val="005326C0"/>
    <w:rsid w:val="005338F9"/>
    <w:rsid w:val="0054281C"/>
    <w:rsid w:val="0055268D"/>
    <w:rsid w:val="00572E44"/>
    <w:rsid w:val="00576BE4"/>
    <w:rsid w:val="00592370"/>
    <w:rsid w:val="005A400A"/>
    <w:rsid w:val="00610585"/>
    <w:rsid w:val="00612379"/>
    <w:rsid w:val="0061555F"/>
    <w:rsid w:val="00641200"/>
    <w:rsid w:val="00663ED8"/>
    <w:rsid w:val="00664515"/>
    <w:rsid w:val="00681B91"/>
    <w:rsid w:val="00687EB4"/>
    <w:rsid w:val="006B17D2"/>
    <w:rsid w:val="006B45FA"/>
    <w:rsid w:val="006C224E"/>
    <w:rsid w:val="006E12B1"/>
    <w:rsid w:val="006E674D"/>
    <w:rsid w:val="00707D8A"/>
    <w:rsid w:val="007179C3"/>
    <w:rsid w:val="00732DEC"/>
    <w:rsid w:val="00735BD5"/>
    <w:rsid w:val="0075117E"/>
    <w:rsid w:val="007556F6"/>
    <w:rsid w:val="00760EEF"/>
    <w:rsid w:val="00777EE5"/>
    <w:rsid w:val="00784836"/>
    <w:rsid w:val="0079023E"/>
    <w:rsid w:val="007A4339"/>
    <w:rsid w:val="007B6894"/>
    <w:rsid w:val="007C120B"/>
    <w:rsid w:val="007C4A2C"/>
    <w:rsid w:val="007C6639"/>
    <w:rsid w:val="007D0B9D"/>
    <w:rsid w:val="007D19B0"/>
    <w:rsid w:val="007D7455"/>
    <w:rsid w:val="007F498F"/>
    <w:rsid w:val="0080679D"/>
    <w:rsid w:val="008108B0"/>
    <w:rsid w:val="00811B20"/>
    <w:rsid w:val="00815077"/>
    <w:rsid w:val="0082296E"/>
    <w:rsid w:val="00822E05"/>
    <w:rsid w:val="00824099"/>
    <w:rsid w:val="008261BF"/>
    <w:rsid w:val="00836E88"/>
    <w:rsid w:val="00855DBD"/>
    <w:rsid w:val="00867AC1"/>
    <w:rsid w:val="008A395B"/>
    <w:rsid w:val="008A743F"/>
    <w:rsid w:val="008B51D0"/>
    <w:rsid w:val="008C0970"/>
    <w:rsid w:val="008D2CF7"/>
    <w:rsid w:val="008E69ED"/>
    <w:rsid w:val="008E793E"/>
    <w:rsid w:val="008F787E"/>
    <w:rsid w:val="00900C26"/>
    <w:rsid w:val="0090197F"/>
    <w:rsid w:val="00906DDC"/>
    <w:rsid w:val="00934E09"/>
    <w:rsid w:val="00936253"/>
    <w:rsid w:val="00970FED"/>
    <w:rsid w:val="00997029"/>
    <w:rsid w:val="009D0DE5"/>
    <w:rsid w:val="009D690D"/>
    <w:rsid w:val="009E65B6"/>
    <w:rsid w:val="00A42AC3"/>
    <w:rsid w:val="00A430CF"/>
    <w:rsid w:val="00A54309"/>
    <w:rsid w:val="00A67B63"/>
    <w:rsid w:val="00AA3CB1"/>
    <w:rsid w:val="00AB2B93"/>
    <w:rsid w:val="00AB3FF5"/>
    <w:rsid w:val="00AE0EF1"/>
    <w:rsid w:val="00B07301"/>
    <w:rsid w:val="00B224DE"/>
    <w:rsid w:val="00B84BBD"/>
    <w:rsid w:val="00B855CE"/>
    <w:rsid w:val="00BA43FB"/>
    <w:rsid w:val="00BC127D"/>
    <w:rsid w:val="00BC1FE6"/>
    <w:rsid w:val="00BD4C24"/>
    <w:rsid w:val="00C061B6"/>
    <w:rsid w:val="00C21DBF"/>
    <w:rsid w:val="00C2446C"/>
    <w:rsid w:val="00C36AE5"/>
    <w:rsid w:val="00C41F17"/>
    <w:rsid w:val="00C4545B"/>
    <w:rsid w:val="00C54BF4"/>
    <w:rsid w:val="00C55D26"/>
    <w:rsid w:val="00C5791C"/>
    <w:rsid w:val="00C65FE0"/>
    <w:rsid w:val="00C66290"/>
    <w:rsid w:val="00C72B7A"/>
    <w:rsid w:val="00C973F2"/>
    <w:rsid w:val="00CA774A"/>
    <w:rsid w:val="00CC11B0"/>
    <w:rsid w:val="00CC28D8"/>
    <w:rsid w:val="00CF53D2"/>
    <w:rsid w:val="00CF7E36"/>
    <w:rsid w:val="00D233D8"/>
    <w:rsid w:val="00D24210"/>
    <w:rsid w:val="00D32F33"/>
    <w:rsid w:val="00D3708D"/>
    <w:rsid w:val="00D40426"/>
    <w:rsid w:val="00D57C96"/>
    <w:rsid w:val="00D636C6"/>
    <w:rsid w:val="00D91203"/>
    <w:rsid w:val="00D95174"/>
    <w:rsid w:val="00D95A5C"/>
    <w:rsid w:val="00DA6F36"/>
    <w:rsid w:val="00DB76C8"/>
    <w:rsid w:val="00DC00EA"/>
    <w:rsid w:val="00E06556"/>
    <w:rsid w:val="00E23920"/>
    <w:rsid w:val="00E553D6"/>
    <w:rsid w:val="00E55C95"/>
    <w:rsid w:val="00E72D49"/>
    <w:rsid w:val="00E7593C"/>
    <w:rsid w:val="00E7678A"/>
    <w:rsid w:val="00E935F1"/>
    <w:rsid w:val="00E94A81"/>
    <w:rsid w:val="00EA1FFB"/>
    <w:rsid w:val="00EB048E"/>
    <w:rsid w:val="00EB383D"/>
    <w:rsid w:val="00EB3EFA"/>
    <w:rsid w:val="00EF2F89"/>
    <w:rsid w:val="00F03AF7"/>
    <w:rsid w:val="00F04DEB"/>
    <w:rsid w:val="00F1237A"/>
    <w:rsid w:val="00F22CBD"/>
    <w:rsid w:val="00F37961"/>
    <w:rsid w:val="00F442FE"/>
    <w:rsid w:val="00F6334D"/>
    <w:rsid w:val="00FA49AB"/>
    <w:rsid w:val="00FB0D37"/>
    <w:rsid w:val="00FC245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122D18"/>
    <w:pPr>
      <w:keepNext/>
      <w:jc w:val="both"/>
      <w:outlineLvl w:val="0"/>
    </w:pPr>
    <w:rPr>
      <w:rFonts w:ascii="Arial" w:hAnsi="Arial"/>
      <w:snapToGrid w:val="0"/>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122D18"/>
    <w:pPr>
      <w:keepNext/>
      <w:jc w:val="both"/>
      <w:outlineLvl w:val="0"/>
    </w:pPr>
    <w:rPr>
      <w:rFonts w:ascii="Arial" w:hAnsi="Arial"/>
      <w:snapToGrid w:val="0"/>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ranet.wipo.int/people_finder/en/unit_pages/unit.jsp?unit_code=034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ranet.wipo.int/people_finder/en/unit_pages/unit.jsp?unit_code=034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wipo.int/people_finder/en/unit_pages/unit.jsp?unit_code=0342" TargetMode="External"/><Relationship Id="rId5" Type="http://schemas.openxmlformats.org/officeDocument/2006/relationships/settings" Target="settings.xml"/><Relationship Id="rId15" Type="http://schemas.openxmlformats.org/officeDocument/2006/relationships/hyperlink" Target="http://intranet.wipo.int/people_finder/en/unit_pages/unit.jsp?unit_code=0342" TargetMode="External"/><Relationship Id="rId10" Type="http://schemas.openxmlformats.org/officeDocument/2006/relationships/hyperlink" Target="http://intranet.wipo.int/people_finder/en/unit_pages/unit.jsp?unit_code=03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ranet.wipo.int/people_finder/en/unit_pages/unit.jsp?unit_code=03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C3B0-BCD2-444B-A2BE-D5EDA6B4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13</TotalTime>
  <Pages>6</Pages>
  <Words>2052</Words>
  <Characters>11806</Characters>
  <Application>Microsoft Office Word</Application>
  <DocSecurity>0</DocSecurity>
  <Lines>268</Lines>
  <Paragraphs>125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8</cp:revision>
  <cp:lastPrinted>2014-10-10T16:59:00Z</cp:lastPrinted>
  <dcterms:created xsi:type="dcterms:W3CDTF">2014-10-09T07:38:00Z</dcterms:created>
  <dcterms:modified xsi:type="dcterms:W3CDTF">2014-10-10T18:26:00Z</dcterms:modified>
</cp:coreProperties>
</file>