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663"/>
        <w:gridCol w:w="2976"/>
      </w:tblGrid>
      <w:tr w:rsidR="00DC3802" w:rsidRPr="001D3FDF" w14:paraId="0C8087B9" w14:textId="77777777" w:rsidTr="00141B71">
        <w:tc>
          <w:tcPr>
            <w:tcW w:w="6663" w:type="dxa"/>
          </w:tcPr>
          <w:p w14:paraId="7407953B" w14:textId="77777777" w:rsidR="00DC3802" w:rsidRPr="001D3FDF" w:rsidRDefault="00DC3802" w:rsidP="00AC2883">
            <w:r w:rsidRPr="001D3FDF">
              <w:rPr>
                <w:noProof/>
              </w:rPr>
              <w:drawing>
                <wp:inline distT="0" distB="0" distL="0" distR="0" wp14:anchorId="0DAC0D57" wp14:editId="1C8875DC">
                  <wp:extent cx="952031" cy="244054"/>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557" cy="246752"/>
                          </a:xfrm>
                          <a:prstGeom prst="rect">
                            <a:avLst/>
                          </a:prstGeom>
                        </pic:spPr>
                      </pic:pic>
                    </a:graphicData>
                  </a:graphic>
                </wp:inline>
              </w:drawing>
            </w:r>
          </w:p>
        </w:tc>
        <w:tc>
          <w:tcPr>
            <w:tcW w:w="2976" w:type="dxa"/>
          </w:tcPr>
          <w:p w14:paraId="61F4EEF8" w14:textId="77777777" w:rsidR="00DC3802" w:rsidRPr="001D3FDF" w:rsidRDefault="00DC3802" w:rsidP="00AC2883">
            <w:pPr>
              <w:pStyle w:val="Lettrine"/>
            </w:pPr>
            <w:r w:rsidRPr="001D3FDF">
              <w:t>E</w:t>
            </w:r>
          </w:p>
        </w:tc>
      </w:tr>
      <w:tr w:rsidR="00DC3802" w:rsidRPr="001D3FDF" w14:paraId="06C8FA95" w14:textId="77777777" w:rsidTr="00141B71">
        <w:trPr>
          <w:trHeight w:val="219"/>
        </w:trPr>
        <w:tc>
          <w:tcPr>
            <w:tcW w:w="6663" w:type="dxa"/>
          </w:tcPr>
          <w:p w14:paraId="39E37FB3" w14:textId="77777777" w:rsidR="00DC3802" w:rsidRPr="001D3FDF" w:rsidRDefault="00DC3802" w:rsidP="00AC2883">
            <w:pPr>
              <w:pStyle w:val="upove"/>
            </w:pPr>
            <w:r w:rsidRPr="001D3FDF">
              <w:t>International Union for the Protection of New Varieties of Plants</w:t>
            </w:r>
          </w:p>
        </w:tc>
        <w:tc>
          <w:tcPr>
            <w:tcW w:w="2976" w:type="dxa"/>
          </w:tcPr>
          <w:p w14:paraId="67A6D868" w14:textId="77777777" w:rsidR="00DC3802" w:rsidRPr="001D3FDF" w:rsidRDefault="00DC3802" w:rsidP="00DA4973"/>
        </w:tc>
      </w:tr>
    </w:tbl>
    <w:p w14:paraId="6741CFB6" w14:textId="77777777" w:rsidR="00DC3802" w:rsidRPr="001D3FDF" w:rsidRDefault="00DC3802" w:rsidP="00DC3802"/>
    <w:p w14:paraId="62CA720D" w14:textId="77777777" w:rsidR="00C437A3" w:rsidRDefault="00C437A3" w:rsidP="00C437A3">
      <w:pPr>
        <w:rPr>
          <w:lang w:eastAsia="ja-JP"/>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663"/>
        <w:gridCol w:w="2976"/>
      </w:tblGrid>
      <w:tr w:rsidR="00006D6B" w:rsidRPr="00C5280D" w14:paraId="47CBFE65" w14:textId="77777777" w:rsidTr="00006D6B">
        <w:tc>
          <w:tcPr>
            <w:tcW w:w="6663" w:type="dxa"/>
          </w:tcPr>
          <w:p w14:paraId="71E70364" w14:textId="77777777" w:rsidR="00006D6B" w:rsidRPr="00F56A7F" w:rsidRDefault="00006D6B" w:rsidP="00027D0A">
            <w:pPr>
              <w:pStyle w:val="Sessiontwp"/>
            </w:pPr>
            <w:r w:rsidRPr="00F56A7F">
              <w:t>Technical Working Party for Vegetables</w:t>
            </w:r>
          </w:p>
          <w:p w14:paraId="467A0033" w14:textId="77777777" w:rsidR="00006D6B" w:rsidRPr="00F56A7F" w:rsidRDefault="00006D6B" w:rsidP="00027D0A">
            <w:pPr>
              <w:pStyle w:val="Sessiontwpplacedate"/>
            </w:pPr>
            <w:r>
              <w:t>Sixtieth</w:t>
            </w:r>
            <w:r w:rsidRPr="00F56A7F">
              <w:t xml:space="preserve"> Session</w:t>
            </w:r>
          </w:p>
          <w:p w14:paraId="51667B85" w14:textId="77777777" w:rsidR="00006D6B" w:rsidRPr="00F56A7F" w:rsidRDefault="00006D6B" w:rsidP="00027D0A">
            <w:pPr>
              <w:pStyle w:val="Sessiontwpplacedate"/>
            </w:pPr>
            <w:r w:rsidRPr="00290556">
              <w:t>Pacific Grove,</w:t>
            </w:r>
            <w:r>
              <w:t xml:space="preserve"> United States of America</w:t>
            </w:r>
            <w:r w:rsidRPr="00F56A7F">
              <w:t xml:space="preserve">, </w:t>
            </w:r>
            <w:r>
              <w:t xml:space="preserve">May 18 </w:t>
            </w:r>
            <w:r w:rsidRPr="00F56A7F">
              <w:t xml:space="preserve">to </w:t>
            </w:r>
            <w:r>
              <w:t>21</w:t>
            </w:r>
            <w:r w:rsidRPr="00F56A7F">
              <w:t>, 202</w:t>
            </w:r>
            <w:r>
              <w:t>6</w:t>
            </w:r>
          </w:p>
          <w:p w14:paraId="639D72BC" w14:textId="77777777" w:rsidR="00006D6B" w:rsidRPr="00F56A7F" w:rsidRDefault="00006D6B" w:rsidP="00027D0A"/>
          <w:p w14:paraId="2A4772D6" w14:textId="77777777" w:rsidR="00006D6B" w:rsidRPr="00F56A7F" w:rsidRDefault="00006D6B" w:rsidP="00027D0A">
            <w:pPr>
              <w:pStyle w:val="Sessiontwp"/>
            </w:pPr>
            <w:r w:rsidRPr="00F56A7F">
              <w:t>Technical Working Party on Testing Methods and Techniques</w:t>
            </w:r>
          </w:p>
          <w:p w14:paraId="120D3BBC" w14:textId="77777777" w:rsidR="00006D6B" w:rsidRPr="00F56A7F" w:rsidRDefault="00006D6B" w:rsidP="00027D0A">
            <w:pPr>
              <w:pStyle w:val="Sessiontwpplacedate"/>
            </w:pPr>
            <w:r>
              <w:t>Fourth</w:t>
            </w:r>
            <w:r w:rsidRPr="00F56A7F">
              <w:t xml:space="preserve"> Session</w:t>
            </w:r>
          </w:p>
          <w:p w14:paraId="20B9536C" w14:textId="77777777" w:rsidR="00006D6B" w:rsidRPr="00F56A7F" w:rsidRDefault="00006D6B" w:rsidP="00027D0A">
            <w:pPr>
              <w:pStyle w:val="Sessiontwpplacedate"/>
            </w:pPr>
            <w:r>
              <w:t>Cambridge, United Kingdom</w:t>
            </w:r>
            <w:r w:rsidRPr="00F56A7F">
              <w:t xml:space="preserve">, </w:t>
            </w:r>
            <w:r>
              <w:rPr>
                <w:rFonts w:cs="Arial"/>
              </w:rPr>
              <w:t>June 2</w:t>
            </w:r>
            <w:r w:rsidRPr="0083644E">
              <w:rPr>
                <w:rFonts w:cs="Arial"/>
              </w:rPr>
              <w:t xml:space="preserve"> to </w:t>
            </w:r>
            <w:r>
              <w:rPr>
                <w:rFonts w:cs="Arial"/>
              </w:rPr>
              <w:t>5, 2026</w:t>
            </w:r>
          </w:p>
          <w:p w14:paraId="00C20B96" w14:textId="77777777" w:rsidR="00006D6B" w:rsidRPr="00F56A7F" w:rsidRDefault="00006D6B" w:rsidP="00027D0A">
            <w:pPr>
              <w:pStyle w:val="Sessiontwp"/>
            </w:pPr>
          </w:p>
          <w:p w14:paraId="2F43398F" w14:textId="77777777" w:rsidR="00006D6B" w:rsidRPr="00F56A7F" w:rsidRDefault="00006D6B" w:rsidP="00027D0A">
            <w:pPr>
              <w:pStyle w:val="Sessiontwp"/>
            </w:pPr>
            <w:r w:rsidRPr="00F56A7F">
              <w:t>Technical Working Party for Agricultural Crops</w:t>
            </w:r>
          </w:p>
          <w:p w14:paraId="4103E20A" w14:textId="77777777" w:rsidR="00006D6B" w:rsidRPr="00F56A7F" w:rsidRDefault="00006D6B" w:rsidP="00027D0A">
            <w:pPr>
              <w:pStyle w:val="Sessiontwpplacedate"/>
            </w:pPr>
            <w:r w:rsidRPr="00F56A7F">
              <w:t>Fifty-</w:t>
            </w:r>
            <w:r>
              <w:t>Fifth</w:t>
            </w:r>
            <w:r w:rsidRPr="00F56A7F">
              <w:t xml:space="preserve"> Session</w:t>
            </w:r>
          </w:p>
          <w:p w14:paraId="4D037CBA" w14:textId="77777777" w:rsidR="00006D6B" w:rsidRPr="00F56A7F" w:rsidRDefault="00006D6B" w:rsidP="00027D0A">
            <w:pPr>
              <w:pStyle w:val="Sessiontwpplacedate"/>
            </w:pPr>
            <w:r w:rsidRPr="00661FDA">
              <w:t>Seoul,</w:t>
            </w:r>
            <w:r>
              <w:t xml:space="preserve"> Republic of Korea</w:t>
            </w:r>
            <w:r w:rsidRPr="00F56A7F">
              <w:t xml:space="preserve">, </w:t>
            </w:r>
            <w:r>
              <w:t>June 15</w:t>
            </w:r>
            <w:r w:rsidRPr="00F56A7F">
              <w:t xml:space="preserve"> to </w:t>
            </w:r>
            <w:r>
              <w:t>18</w:t>
            </w:r>
            <w:r w:rsidRPr="00F56A7F">
              <w:t>, 202</w:t>
            </w:r>
            <w:r>
              <w:t>6</w:t>
            </w:r>
          </w:p>
          <w:p w14:paraId="19D4BAB2" w14:textId="77777777" w:rsidR="00006D6B" w:rsidRPr="00F56A7F" w:rsidRDefault="00006D6B" w:rsidP="00027D0A"/>
          <w:p w14:paraId="110B1150" w14:textId="77777777" w:rsidR="00006D6B" w:rsidRPr="00F56A7F" w:rsidRDefault="00006D6B" w:rsidP="00027D0A">
            <w:pPr>
              <w:pStyle w:val="Sessiontwp"/>
            </w:pPr>
            <w:r w:rsidRPr="00F56A7F">
              <w:t>Technical Working Party for Ornamental Plants and Forest Trees</w:t>
            </w:r>
          </w:p>
          <w:p w14:paraId="70A3EAF3" w14:textId="77777777" w:rsidR="00006D6B" w:rsidRPr="00141B71" w:rsidRDefault="00006D6B" w:rsidP="00027D0A">
            <w:pPr>
              <w:pStyle w:val="Sessiontwpplacedate"/>
              <w:rPr>
                <w:spacing w:val="-2"/>
              </w:rPr>
            </w:pPr>
            <w:r w:rsidRPr="00141B71">
              <w:rPr>
                <w:spacing w:val="-2"/>
              </w:rPr>
              <w:t>Fifty-</w:t>
            </w:r>
            <w:r>
              <w:rPr>
                <w:spacing w:val="-2"/>
              </w:rPr>
              <w:t>Eigh</w:t>
            </w:r>
            <w:r w:rsidRPr="00141B71">
              <w:rPr>
                <w:spacing w:val="-2"/>
              </w:rPr>
              <w:t>th Session</w:t>
            </w:r>
          </w:p>
          <w:p w14:paraId="5B7951A7" w14:textId="77777777" w:rsidR="00006D6B" w:rsidRPr="00141B71" w:rsidRDefault="00006D6B" w:rsidP="00027D0A">
            <w:pPr>
              <w:rPr>
                <w:spacing w:val="-2"/>
              </w:rPr>
            </w:pPr>
            <w:r>
              <w:rPr>
                <w:spacing w:val="-2"/>
              </w:rPr>
              <w:t>Virtual meeting</w:t>
            </w:r>
            <w:r w:rsidRPr="00141B71">
              <w:rPr>
                <w:spacing w:val="-2"/>
              </w:rPr>
              <w:t xml:space="preserve">, </w:t>
            </w:r>
            <w:r>
              <w:rPr>
                <w:spacing w:val="-2"/>
              </w:rPr>
              <w:t>July 6 to 9</w:t>
            </w:r>
            <w:r w:rsidRPr="00141B71">
              <w:rPr>
                <w:spacing w:val="-2"/>
              </w:rPr>
              <w:t>, 202</w:t>
            </w:r>
            <w:r>
              <w:rPr>
                <w:spacing w:val="-2"/>
              </w:rPr>
              <w:t>6</w:t>
            </w:r>
          </w:p>
          <w:p w14:paraId="583E6ABA" w14:textId="77777777" w:rsidR="00006D6B" w:rsidRPr="00F56A7F" w:rsidRDefault="00006D6B" w:rsidP="00027D0A"/>
          <w:p w14:paraId="6D915375" w14:textId="77777777" w:rsidR="00006D6B" w:rsidRPr="00F56A7F" w:rsidRDefault="00006D6B" w:rsidP="00027D0A">
            <w:pPr>
              <w:pStyle w:val="Sessiontwp"/>
            </w:pPr>
            <w:r w:rsidRPr="00F56A7F">
              <w:t>Technical Working Party for Fruit Crops</w:t>
            </w:r>
          </w:p>
          <w:p w14:paraId="7B3BB34D" w14:textId="77777777" w:rsidR="00006D6B" w:rsidRPr="00F56A7F" w:rsidRDefault="00006D6B" w:rsidP="00027D0A">
            <w:pPr>
              <w:pStyle w:val="Sessiontwpplacedate"/>
            </w:pPr>
            <w:r w:rsidRPr="00F56A7F">
              <w:t>Fifty-</w:t>
            </w:r>
            <w:r>
              <w:t>Seven</w:t>
            </w:r>
            <w:r w:rsidRPr="00F56A7F">
              <w:t>th Session</w:t>
            </w:r>
          </w:p>
          <w:p w14:paraId="3C5A7E4B" w14:textId="77777777" w:rsidR="00006D6B" w:rsidRPr="00F66083" w:rsidRDefault="00006D6B" w:rsidP="00027D0A">
            <w:r>
              <w:t>Leipzig, Germany</w:t>
            </w:r>
            <w:r w:rsidRPr="00F56A7F">
              <w:t xml:space="preserve">, </w:t>
            </w:r>
            <w:r>
              <w:t>September 7 to 10</w:t>
            </w:r>
            <w:r w:rsidRPr="00F56A7F">
              <w:t>, 202</w:t>
            </w:r>
            <w:r>
              <w:t>6</w:t>
            </w:r>
          </w:p>
        </w:tc>
        <w:tc>
          <w:tcPr>
            <w:tcW w:w="2976" w:type="dxa"/>
          </w:tcPr>
          <w:p w14:paraId="76ABDDAE" w14:textId="6C1E1952" w:rsidR="00006D6B" w:rsidRPr="00E6553F" w:rsidRDefault="00006D6B" w:rsidP="00006D6B">
            <w:pPr>
              <w:pStyle w:val="Docoriginal"/>
            </w:pPr>
            <w:r>
              <w:t>TWP/10/</w:t>
            </w:r>
            <w:r w:rsidR="002771E8">
              <w:t>4</w:t>
            </w:r>
          </w:p>
          <w:p w14:paraId="3A6465A1" w14:textId="77777777" w:rsidR="00006D6B" w:rsidRPr="003C7FBE" w:rsidRDefault="00006D6B" w:rsidP="00027D0A">
            <w:pPr>
              <w:pStyle w:val="Docoriginal"/>
            </w:pPr>
            <w:r w:rsidRPr="00AC2883">
              <w:t>Original:</w:t>
            </w:r>
            <w:r w:rsidRPr="00006D6B">
              <w:t xml:space="preserve">  English</w:t>
            </w:r>
          </w:p>
          <w:p w14:paraId="389BB06C" w14:textId="2A69DC01" w:rsidR="00006D6B" w:rsidRPr="007C1D92" w:rsidRDefault="00006D6B" w:rsidP="00027D0A">
            <w:pPr>
              <w:pStyle w:val="Docoriginal"/>
              <w:rPr>
                <w:lang w:eastAsia="ja-JP"/>
              </w:rPr>
            </w:pPr>
            <w:r w:rsidRPr="00AC2883">
              <w:t>Date</w:t>
            </w:r>
            <w:r w:rsidR="00B6608E">
              <w:t>:</w:t>
            </w:r>
            <w:r w:rsidRPr="00B6608E">
              <w:rPr>
                <w:rFonts w:eastAsia="Times New Roman"/>
                <w:b w:val="0"/>
                <w:spacing w:val="0"/>
              </w:rPr>
              <w:t xml:space="preserve">  </w:t>
            </w:r>
            <w:r w:rsidR="00E6553F" w:rsidRPr="00871646">
              <w:rPr>
                <w:rFonts w:eastAsia="Times New Roman"/>
                <w:b w:val="0"/>
                <w:spacing w:val="0"/>
              </w:rPr>
              <w:t xml:space="preserve">April </w:t>
            </w:r>
            <w:r w:rsidR="00BC7D09" w:rsidRPr="00871646">
              <w:rPr>
                <w:rFonts w:eastAsia="Times New Roman"/>
                <w:b w:val="0"/>
                <w:spacing w:val="0"/>
              </w:rPr>
              <w:t>30</w:t>
            </w:r>
            <w:r w:rsidRPr="00871646">
              <w:rPr>
                <w:rFonts w:eastAsia="Times New Roman"/>
                <w:b w:val="0"/>
                <w:spacing w:val="0"/>
              </w:rPr>
              <w:t>, 202</w:t>
            </w:r>
            <w:r w:rsidRPr="00871646">
              <w:rPr>
                <w:rFonts w:eastAsia="Times New Roman" w:hint="eastAsia"/>
                <w:b w:val="0"/>
                <w:spacing w:val="0"/>
              </w:rPr>
              <w:t>6</w:t>
            </w:r>
          </w:p>
        </w:tc>
      </w:tr>
    </w:tbl>
    <w:p w14:paraId="33FE20E5" w14:textId="46E66B6E" w:rsidR="00C437A3" w:rsidRPr="001D3FDF" w:rsidRDefault="00006D6B" w:rsidP="00C437A3">
      <w:pPr>
        <w:pStyle w:val="Titleofdoc0"/>
      </w:pPr>
      <w:r w:rsidRPr="00006D6B">
        <w:t>MOLECULAR TECHNIQUES</w:t>
      </w:r>
    </w:p>
    <w:p w14:paraId="3740BD18" w14:textId="77777777" w:rsidR="00C437A3" w:rsidRPr="001D3FDF" w:rsidRDefault="00C437A3" w:rsidP="00C437A3">
      <w:pPr>
        <w:pStyle w:val="preparedby1"/>
      </w:pPr>
      <w:bookmarkStart w:id="0" w:name="Prepared"/>
      <w:bookmarkEnd w:id="0"/>
      <w:r w:rsidRPr="001D3FDF">
        <w:t>Document prepared by the Office of the Union</w:t>
      </w:r>
    </w:p>
    <w:p w14:paraId="49A31BA2" w14:textId="77777777" w:rsidR="00C437A3" w:rsidRPr="001D3FDF" w:rsidRDefault="00C437A3" w:rsidP="00C437A3">
      <w:pPr>
        <w:pStyle w:val="Disclaimer"/>
      </w:pPr>
      <w:r w:rsidRPr="001D3FDF">
        <w:t>Disclaimer:  this document does not represent UPOV policies or guidance</w:t>
      </w:r>
    </w:p>
    <w:p w14:paraId="751D60AC" w14:textId="77777777" w:rsidR="004839D7" w:rsidRPr="001D3FDF" w:rsidRDefault="004839D7" w:rsidP="00C128CE">
      <w:pPr>
        <w:pStyle w:val="Heading1"/>
        <w:rPr>
          <w:snapToGrid w:val="0"/>
        </w:rPr>
      </w:pPr>
      <w:bookmarkStart w:id="1" w:name="_Toc131182452"/>
      <w:bookmarkStart w:id="2" w:name="_Toc228293030"/>
      <w:r w:rsidRPr="001D3FDF">
        <w:rPr>
          <w:snapToGrid w:val="0"/>
        </w:rPr>
        <w:t>EXECUTIVE SUMMARY</w:t>
      </w:r>
      <w:bookmarkEnd w:id="1"/>
      <w:bookmarkEnd w:id="2"/>
    </w:p>
    <w:p w14:paraId="0312924F" w14:textId="77777777" w:rsidR="004839D7" w:rsidRPr="001D3FDF" w:rsidRDefault="004839D7" w:rsidP="004839D7"/>
    <w:p w14:paraId="41C64BEC" w14:textId="382913DB" w:rsidR="00AB1463" w:rsidRDefault="004839D7" w:rsidP="00FD53A1">
      <w:r w:rsidRPr="003E3B3F">
        <w:fldChar w:fldCharType="begin"/>
      </w:r>
      <w:r w:rsidRPr="003E3B3F">
        <w:instrText xml:space="preserve"> AUTONUM  </w:instrText>
      </w:r>
      <w:r w:rsidRPr="003E3B3F">
        <w:fldChar w:fldCharType="end"/>
      </w:r>
      <w:r w:rsidRPr="003E3B3F">
        <w:tab/>
      </w:r>
      <w:r w:rsidR="006A704D" w:rsidRPr="006A704D">
        <w:t xml:space="preserve">This document </w:t>
      </w:r>
      <w:r w:rsidR="00FC398B">
        <w:t xml:space="preserve">reports </w:t>
      </w:r>
      <w:r w:rsidR="00AB1463">
        <w:t xml:space="preserve">on </w:t>
      </w:r>
      <w:r w:rsidR="00FC398B">
        <w:t>developments at UPOV in relation to the use of molecular markers</w:t>
      </w:r>
      <w:r w:rsidR="006E38A7" w:rsidRPr="00871646">
        <w:t>, with focus on</w:t>
      </w:r>
      <w:r w:rsidR="00BC7D09" w:rsidRPr="00871646">
        <w:t xml:space="preserve"> the following matters:</w:t>
      </w:r>
      <w:r w:rsidR="00FC398B">
        <w:t xml:space="preserve">  </w:t>
      </w:r>
    </w:p>
    <w:p w14:paraId="234B124B" w14:textId="77777777" w:rsidR="00AB1463" w:rsidRDefault="00AB1463" w:rsidP="00FD53A1"/>
    <w:p w14:paraId="1E1ACC41" w14:textId="56906FA6" w:rsidR="00AB1463" w:rsidRPr="00AB1463" w:rsidRDefault="00AB1463" w:rsidP="00FD53A1">
      <w:pPr>
        <w:rPr>
          <w:u w:val="single"/>
        </w:rPr>
      </w:pPr>
      <w:r w:rsidRPr="00AB1463">
        <w:rPr>
          <w:u w:val="single"/>
        </w:rPr>
        <w:t>Confidentiality and ownership of molecular information</w:t>
      </w:r>
    </w:p>
    <w:p w14:paraId="7FD926C7" w14:textId="77777777" w:rsidR="00AB1463" w:rsidRDefault="00AB1463" w:rsidP="00FD53A1"/>
    <w:p w14:paraId="16A5095E" w14:textId="7A5B9E26" w:rsidR="00AB1463" w:rsidRDefault="00AB1463" w:rsidP="00AB1463">
      <w:r>
        <w:fldChar w:fldCharType="begin"/>
      </w:r>
      <w:r>
        <w:instrText xml:space="preserve"> AUTONUM  </w:instrText>
      </w:r>
      <w:r>
        <w:fldChar w:fldCharType="end"/>
      </w:r>
      <w:r>
        <w:tab/>
        <w:t>At their sessions in 2026, t</w:t>
      </w:r>
      <w:r w:rsidR="00FC398B">
        <w:t xml:space="preserve">he </w:t>
      </w:r>
      <w:r>
        <w:t>Technical Working Parties (</w:t>
      </w:r>
      <w:r w:rsidR="00FC398B">
        <w:t>TWPs</w:t>
      </w:r>
      <w:r>
        <w:t>)</w:t>
      </w:r>
      <w:r w:rsidR="00FC398B">
        <w:t xml:space="preserve"> </w:t>
      </w:r>
      <w:r>
        <w:rPr>
          <w:lang w:eastAsia="ja-JP"/>
        </w:rPr>
        <w:t xml:space="preserve">are invited </w:t>
      </w:r>
      <w:r>
        <w:rPr>
          <w:rFonts w:hint="eastAsia"/>
          <w:lang w:eastAsia="ja-JP"/>
        </w:rPr>
        <w:t xml:space="preserve">to </w:t>
      </w:r>
      <w:r>
        <w:rPr>
          <w:lang w:eastAsia="ja-JP"/>
        </w:rPr>
        <w:t xml:space="preserve">propose topics and organize </w:t>
      </w:r>
      <w:r>
        <w:rPr>
          <w:rFonts w:hint="eastAsia"/>
          <w:lang w:eastAsia="ja-JP"/>
        </w:rPr>
        <w:t>discuss</w:t>
      </w:r>
      <w:r>
        <w:rPr>
          <w:lang w:eastAsia="ja-JP"/>
        </w:rPr>
        <w:t>ions on</w:t>
      </w:r>
      <w:r>
        <w:rPr>
          <w:rFonts w:hint="eastAsia"/>
          <w:lang w:eastAsia="ja-JP"/>
        </w:rPr>
        <w:t xml:space="preserve"> cooperation on the use of molecular </w:t>
      </w:r>
      <w:r>
        <w:rPr>
          <w:lang w:eastAsia="ja-JP"/>
        </w:rPr>
        <w:t xml:space="preserve">information, such as the </w:t>
      </w:r>
      <w:r w:rsidRPr="00260357">
        <w:rPr>
          <w:lang w:eastAsia="ja-JP"/>
        </w:rPr>
        <w:t xml:space="preserve">joint development of molecular markers, </w:t>
      </w:r>
      <w:r>
        <w:rPr>
          <w:lang w:eastAsia="ja-JP"/>
        </w:rPr>
        <w:t xml:space="preserve">the </w:t>
      </w:r>
      <w:r w:rsidRPr="00226B9A">
        <w:t>select</w:t>
      </w:r>
      <w:r>
        <w:t>ion of</w:t>
      </w:r>
      <w:r w:rsidRPr="00226B9A">
        <w:t xml:space="preserve"> molecular markers for variety identification and </w:t>
      </w:r>
      <w:r>
        <w:t>management of</w:t>
      </w:r>
      <w:r w:rsidRPr="00226B9A">
        <w:t xml:space="preserve"> variety collections</w:t>
      </w:r>
      <w:r>
        <w:t>.</w:t>
      </w:r>
    </w:p>
    <w:p w14:paraId="5465184A" w14:textId="77777777" w:rsidR="00AB1463" w:rsidRDefault="00AB1463" w:rsidP="00AB1463"/>
    <w:p w14:paraId="4561B11D" w14:textId="4549EFD4" w:rsidR="00AB1463" w:rsidRDefault="00AB1463" w:rsidP="00AB1463">
      <w:r>
        <w:fldChar w:fldCharType="begin"/>
      </w:r>
      <w:r>
        <w:instrText xml:space="preserve"> AUTONUM  </w:instrText>
      </w:r>
      <w:r>
        <w:fldChar w:fldCharType="end"/>
      </w:r>
      <w:r>
        <w:tab/>
        <w:t xml:space="preserve">Discussions on </w:t>
      </w:r>
      <w:r w:rsidRPr="00010B95">
        <w:t xml:space="preserve">confidentiality and ownership of molecular information </w:t>
      </w:r>
      <w:r>
        <w:t xml:space="preserve">should be organized at the TWPs based </w:t>
      </w:r>
      <w:r w:rsidRPr="00010B95">
        <w:t>on concrete cases and specific situations</w:t>
      </w:r>
      <w:r>
        <w:t xml:space="preserve"> proposed by UPOV members</w:t>
      </w:r>
      <w:r w:rsidRPr="00010B95">
        <w:t>.</w:t>
      </w:r>
    </w:p>
    <w:p w14:paraId="68BB2031" w14:textId="77777777" w:rsidR="00AB1463" w:rsidRDefault="00AB1463" w:rsidP="00AB1463"/>
    <w:p w14:paraId="36246605" w14:textId="6E615255" w:rsidR="00AB1463" w:rsidRPr="00AB1463" w:rsidRDefault="00AB1463" w:rsidP="00AB1463">
      <w:pPr>
        <w:rPr>
          <w:u w:val="single"/>
        </w:rPr>
      </w:pPr>
      <w:r w:rsidRPr="00AB1463">
        <w:rPr>
          <w:u w:val="single"/>
        </w:rPr>
        <w:t xml:space="preserve">Cooperation </w:t>
      </w:r>
      <w:r w:rsidR="00826973">
        <w:rPr>
          <w:u w:val="single"/>
        </w:rPr>
        <w:t>between</w:t>
      </w:r>
      <w:r w:rsidRPr="00AB1463">
        <w:rPr>
          <w:u w:val="single"/>
        </w:rPr>
        <w:t xml:space="preserve"> International Organizations</w:t>
      </w:r>
    </w:p>
    <w:p w14:paraId="015B8077" w14:textId="77777777" w:rsidR="00AB1463" w:rsidRDefault="00AB1463" w:rsidP="00AB1463"/>
    <w:p w14:paraId="601881A9" w14:textId="77C01758" w:rsidR="007D6816" w:rsidRDefault="00FC398B" w:rsidP="00FD53A1">
      <w:pPr>
        <w:rPr>
          <w:iCs/>
        </w:rPr>
      </w:pPr>
      <w:r w:rsidRPr="00693747">
        <w:rPr>
          <w:iCs/>
        </w:rPr>
        <w:fldChar w:fldCharType="begin"/>
      </w:r>
      <w:r w:rsidRPr="00693747">
        <w:rPr>
          <w:iCs/>
        </w:rPr>
        <w:instrText xml:space="preserve"> AUTONUM  </w:instrText>
      </w:r>
      <w:r w:rsidRPr="00693747">
        <w:rPr>
          <w:iCs/>
        </w:rPr>
        <w:fldChar w:fldCharType="end"/>
      </w:r>
      <w:r w:rsidRPr="00693747">
        <w:rPr>
          <w:iCs/>
        </w:rPr>
        <w:tab/>
      </w:r>
      <w:r w:rsidR="00826973">
        <w:rPr>
          <w:iCs/>
        </w:rPr>
        <w:t xml:space="preserve">Cooperation activities </w:t>
      </w:r>
      <w:r w:rsidR="006637E3">
        <w:rPr>
          <w:iCs/>
        </w:rPr>
        <w:t xml:space="preserve">on molecular markers </w:t>
      </w:r>
      <w:r w:rsidR="00826973">
        <w:rPr>
          <w:iCs/>
        </w:rPr>
        <w:t xml:space="preserve">between UPOV and the </w:t>
      </w:r>
      <w:proofErr w:type="spellStart"/>
      <w:r w:rsidR="00826973" w:rsidRPr="00826973">
        <w:rPr>
          <w:iCs/>
        </w:rPr>
        <w:t>Organisation</w:t>
      </w:r>
      <w:proofErr w:type="spellEnd"/>
      <w:r w:rsidR="00826973" w:rsidRPr="00826973">
        <w:rPr>
          <w:iCs/>
        </w:rPr>
        <w:t xml:space="preserve"> for Economic Co</w:t>
      </w:r>
      <w:r w:rsidR="009D4207">
        <w:rPr>
          <w:iCs/>
        </w:rPr>
        <w:noBreakHyphen/>
      </w:r>
      <w:r w:rsidR="00826973" w:rsidRPr="00826973">
        <w:rPr>
          <w:iCs/>
        </w:rPr>
        <w:t>operation and Development (OECD)</w:t>
      </w:r>
      <w:r w:rsidR="007D6816">
        <w:rPr>
          <w:iCs/>
        </w:rPr>
        <w:t xml:space="preserve"> and the International Seed Testing Association (ISTA) are reported in this document, including</w:t>
      </w:r>
      <w:r w:rsidR="006637E3">
        <w:rPr>
          <w:iCs/>
        </w:rPr>
        <w:t xml:space="preserve"> (i) the possible harmonization of </w:t>
      </w:r>
      <w:r w:rsidR="007D6816" w:rsidRPr="00815D6D">
        <w:t>terms</w:t>
      </w:r>
      <w:r w:rsidR="00461688">
        <w:t xml:space="preserve"> and</w:t>
      </w:r>
      <w:r w:rsidR="007D6816" w:rsidRPr="00815D6D">
        <w:t xml:space="preserve"> definitions</w:t>
      </w:r>
      <w:r w:rsidR="006637E3">
        <w:t xml:space="preserve">; (ii) </w:t>
      </w:r>
      <w:r w:rsidR="00461688">
        <w:t>the results of the</w:t>
      </w:r>
      <w:r w:rsidR="006637E3">
        <w:t xml:space="preserve"> survey of UPOV members on</w:t>
      </w:r>
      <w:r w:rsidR="007D6816" w:rsidRPr="007D6816">
        <w:rPr>
          <w:iCs/>
        </w:rPr>
        <w:t xml:space="preserve"> molecular markers used per crop</w:t>
      </w:r>
      <w:r w:rsidR="006637E3">
        <w:rPr>
          <w:iCs/>
        </w:rPr>
        <w:t>; (iii) the possible establishment of c</w:t>
      </w:r>
      <w:r w:rsidR="007D6816" w:rsidRPr="007D6816">
        <w:rPr>
          <w:iCs/>
        </w:rPr>
        <w:t>ommon sets of molecular markers for variety identification</w:t>
      </w:r>
      <w:r w:rsidR="006637E3">
        <w:rPr>
          <w:iCs/>
        </w:rPr>
        <w:t xml:space="preserve">; and (iv) </w:t>
      </w:r>
      <w:r w:rsidR="007D6816" w:rsidRPr="007D6816">
        <w:rPr>
          <w:iCs/>
        </w:rPr>
        <w:t>joint meeting</w:t>
      </w:r>
      <w:r w:rsidR="00461688">
        <w:rPr>
          <w:iCs/>
        </w:rPr>
        <w:t xml:space="preserve">s with the three organizations.  </w:t>
      </w:r>
      <w:r w:rsidR="00CC76BF">
        <w:rPr>
          <w:iCs/>
        </w:rPr>
        <w:t xml:space="preserve">Each of the cooperation activities is reported separately.  </w:t>
      </w:r>
    </w:p>
    <w:p w14:paraId="03600394" w14:textId="77777777" w:rsidR="007D6816" w:rsidRDefault="007D6816" w:rsidP="00FD53A1">
      <w:pPr>
        <w:rPr>
          <w:iCs/>
        </w:rPr>
      </w:pPr>
    </w:p>
    <w:p w14:paraId="3B8A7DAC" w14:textId="25879954" w:rsidR="00FC398B" w:rsidRDefault="00461688" w:rsidP="00FD53A1">
      <w:r>
        <w:rPr>
          <w:iCs/>
        </w:rPr>
        <w:fldChar w:fldCharType="begin"/>
      </w:r>
      <w:r>
        <w:rPr>
          <w:iCs/>
        </w:rPr>
        <w:instrText xml:space="preserve"> AUTONUM  </w:instrText>
      </w:r>
      <w:r>
        <w:rPr>
          <w:iCs/>
        </w:rPr>
        <w:fldChar w:fldCharType="end"/>
      </w:r>
      <w:r>
        <w:rPr>
          <w:iCs/>
        </w:rPr>
        <w:tab/>
        <w:t xml:space="preserve">UPOV members </w:t>
      </w:r>
      <w:r w:rsidR="00600F77">
        <w:rPr>
          <w:iCs/>
        </w:rPr>
        <w:t xml:space="preserve">will be invited to consider </w:t>
      </w:r>
      <w:r>
        <w:rPr>
          <w:iCs/>
        </w:rPr>
        <w:t xml:space="preserve">the </w:t>
      </w:r>
      <w:r w:rsidR="00CC76BF">
        <w:rPr>
          <w:iCs/>
        </w:rPr>
        <w:t xml:space="preserve">information provided </w:t>
      </w:r>
      <w:r w:rsidR="00B10601">
        <w:rPr>
          <w:iCs/>
        </w:rPr>
        <w:t xml:space="preserve">in this document </w:t>
      </w:r>
      <w:r w:rsidR="00B10601">
        <w:t>as the basis for further discussing the</w:t>
      </w:r>
      <w:r w:rsidR="006F118F">
        <w:rPr>
          <w:iCs/>
        </w:rPr>
        <w:t xml:space="preserve"> </w:t>
      </w:r>
      <w:r w:rsidR="00B10601" w:rsidRPr="00693747">
        <w:rPr>
          <w:iCs/>
        </w:rPr>
        <w:t xml:space="preserve">collaboration </w:t>
      </w:r>
      <w:r w:rsidR="00B10601">
        <w:rPr>
          <w:iCs/>
        </w:rPr>
        <w:t xml:space="preserve">activities </w:t>
      </w:r>
      <w:r w:rsidR="00B10601" w:rsidRPr="00693747">
        <w:rPr>
          <w:iCs/>
        </w:rPr>
        <w:t>with OECD and ISTA</w:t>
      </w:r>
      <w:r w:rsidR="00B10601">
        <w:rPr>
          <w:iCs/>
        </w:rPr>
        <w:t>, including the possible establishment of c</w:t>
      </w:r>
      <w:r w:rsidR="00B10601" w:rsidRPr="007D6816">
        <w:rPr>
          <w:iCs/>
        </w:rPr>
        <w:t>ommon sets of molecular markers for variety identification</w:t>
      </w:r>
      <w:r w:rsidR="00B10601">
        <w:rPr>
          <w:iCs/>
        </w:rPr>
        <w:t xml:space="preserve">. </w:t>
      </w:r>
    </w:p>
    <w:p w14:paraId="1EF58D82" w14:textId="77777777" w:rsidR="00FC398B" w:rsidRPr="0011312E" w:rsidRDefault="00FC398B" w:rsidP="00FD53A1"/>
    <w:p w14:paraId="2A5AAD16" w14:textId="77777777" w:rsidR="004839D7" w:rsidRPr="001D3FDF" w:rsidRDefault="004839D7" w:rsidP="004839D7">
      <w:pPr>
        <w:keepNext/>
        <w:spacing w:after="240"/>
        <w:rPr>
          <w:rFonts w:cs="Arial"/>
        </w:rPr>
      </w:pPr>
      <w:r w:rsidRPr="001D3FDF">
        <w:rPr>
          <w:rFonts w:cs="Arial"/>
        </w:rPr>
        <w:lastRenderedPageBreak/>
        <w:fldChar w:fldCharType="begin"/>
      </w:r>
      <w:r w:rsidRPr="001D3FDF">
        <w:rPr>
          <w:rFonts w:cs="Arial"/>
        </w:rPr>
        <w:instrText xml:space="preserve"> AUTONUM  </w:instrText>
      </w:r>
      <w:r w:rsidRPr="001D3FDF">
        <w:rPr>
          <w:rFonts w:cs="Arial"/>
        </w:rPr>
        <w:fldChar w:fldCharType="end"/>
      </w:r>
      <w:r w:rsidRPr="001D3FDF">
        <w:rPr>
          <w:rFonts w:cs="Arial"/>
        </w:rPr>
        <w:tab/>
        <w:t>The structure of this document is as follows:</w:t>
      </w:r>
    </w:p>
    <w:p w14:paraId="25795F33" w14:textId="46CA8685" w:rsidR="000A335E" w:rsidRDefault="004839D7">
      <w:pPr>
        <w:pStyle w:val="TOC1"/>
        <w:rPr>
          <w:rFonts w:asciiTheme="minorHAnsi" w:hAnsiTheme="minorHAnsi" w:cstheme="minorBidi"/>
          <w:bCs w:val="0"/>
          <w:caps w:val="0"/>
          <w:kern w:val="2"/>
          <w:sz w:val="24"/>
          <w:szCs w:val="24"/>
          <w14:ligatures w14:val="standardContextual"/>
        </w:rPr>
      </w:pPr>
      <w:r w:rsidRPr="001D3FDF">
        <w:rPr>
          <w:noProof w:val="0"/>
          <w:highlight w:val="cyan"/>
        </w:rPr>
        <w:fldChar w:fldCharType="begin"/>
      </w:r>
      <w:r w:rsidRPr="001D3FDF">
        <w:rPr>
          <w:noProof w:val="0"/>
          <w:highlight w:val="cyan"/>
        </w:rPr>
        <w:instrText xml:space="preserve"> TOC \o "1-4" \u </w:instrText>
      </w:r>
      <w:r w:rsidRPr="001D3FDF">
        <w:rPr>
          <w:noProof w:val="0"/>
          <w:highlight w:val="cyan"/>
        </w:rPr>
        <w:fldChar w:fldCharType="separate"/>
      </w:r>
      <w:r w:rsidR="000A335E" w:rsidRPr="00140AFE">
        <w:rPr>
          <w:snapToGrid w:val="0"/>
        </w:rPr>
        <w:t>EXECUTIVE SUMMARY</w:t>
      </w:r>
      <w:r w:rsidR="000A335E">
        <w:tab/>
      </w:r>
      <w:r w:rsidR="000A335E">
        <w:fldChar w:fldCharType="begin"/>
      </w:r>
      <w:r w:rsidR="000A335E">
        <w:instrText xml:space="preserve"> PAGEREF _Toc228293030 \h </w:instrText>
      </w:r>
      <w:r w:rsidR="000A335E">
        <w:fldChar w:fldCharType="separate"/>
      </w:r>
      <w:r w:rsidR="000A335E">
        <w:t>1</w:t>
      </w:r>
      <w:r w:rsidR="000A335E">
        <w:fldChar w:fldCharType="end"/>
      </w:r>
    </w:p>
    <w:p w14:paraId="3C45FD05" w14:textId="66FE9550" w:rsidR="000A335E" w:rsidRDefault="000A335E">
      <w:pPr>
        <w:pStyle w:val="TOC1"/>
        <w:rPr>
          <w:rFonts w:asciiTheme="minorHAnsi" w:hAnsiTheme="minorHAnsi" w:cstheme="minorBidi"/>
          <w:bCs w:val="0"/>
          <w:caps w:val="0"/>
          <w:kern w:val="2"/>
          <w:sz w:val="24"/>
          <w:szCs w:val="24"/>
          <w14:ligatures w14:val="standardContextual"/>
        </w:rPr>
      </w:pPr>
      <w:r>
        <w:t>CONFIDENTIALITY AND OWNERSHIP OF MOLECULAR INFORMATION</w:t>
      </w:r>
      <w:r>
        <w:tab/>
      </w:r>
      <w:r>
        <w:fldChar w:fldCharType="begin"/>
      </w:r>
      <w:r>
        <w:instrText xml:space="preserve"> PAGEREF _Toc228293031 \h </w:instrText>
      </w:r>
      <w:r>
        <w:fldChar w:fldCharType="separate"/>
      </w:r>
      <w:r>
        <w:t>2</w:t>
      </w:r>
      <w:r>
        <w:fldChar w:fldCharType="end"/>
      </w:r>
    </w:p>
    <w:p w14:paraId="64088C52" w14:textId="25048F3B" w:rsidR="000A335E" w:rsidRDefault="000A335E">
      <w:pPr>
        <w:pStyle w:val="TOC2"/>
        <w:rPr>
          <w:rFonts w:asciiTheme="minorHAnsi" w:eastAsiaTheme="minorEastAsia" w:hAnsiTheme="minorHAnsi" w:cstheme="minorBidi"/>
          <w:kern w:val="2"/>
          <w:sz w:val="24"/>
          <w:szCs w:val="24"/>
          <w14:ligatures w14:val="standardContextual"/>
        </w:rPr>
      </w:pPr>
      <w:r>
        <w:rPr>
          <w:lang w:eastAsia="ja-JP"/>
        </w:rPr>
        <w:t>Background</w:t>
      </w:r>
      <w:r>
        <w:tab/>
      </w:r>
      <w:r>
        <w:fldChar w:fldCharType="begin"/>
      </w:r>
      <w:r>
        <w:instrText xml:space="preserve"> PAGEREF _Toc228293032 \h </w:instrText>
      </w:r>
      <w:r>
        <w:fldChar w:fldCharType="separate"/>
      </w:r>
      <w:r>
        <w:t>2</w:t>
      </w:r>
      <w:r>
        <w:fldChar w:fldCharType="end"/>
      </w:r>
    </w:p>
    <w:p w14:paraId="36FC0805" w14:textId="4791582E" w:rsidR="000A335E" w:rsidRDefault="000A335E">
      <w:pPr>
        <w:pStyle w:val="TOC3"/>
        <w:rPr>
          <w:rFonts w:asciiTheme="minorHAnsi" w:hAnsiTheme="minorHAnsi" w:cstheme="minorBidi"/>
          <w:i w:val="0"/>
          <w:kern w:val="2"/>
          <w:sz w:val="24"/>
          <w:szCs w:val="24"/>
          <w14:ligatures w14:val="standardContextual"/>
        </w:rPr>
      </w:pPr>
      <w:r>
        <w:t>Existing guidance</w:t>
      </w:r>
      <w:r>
        <w:tab/>
      </w:r>
      <w:r>
        <w:fldChar w:fldCharType="begin"/>
      </w:r>
      <w:r>
        <w:instrText xml:space="preserve"> PAGEREF _Toc228293033 \h </w:instrText>
      </w:r>
      <w:r>
        <w:fldChar w:fldCharType="separate"/>
      </w:r>
      <w:r>
        <w:t>3</w:t>
      </w:r>
      <w:r>
        <w:fldChar w:fldCharType="end"/>
      </w:r>
    </w:p>
    <w:p w14:paraId="7DCC86AC" w14:textId="09750FEC" w:rsidR="000A335E" w:rsidRDefault="000A335E">
      <w:pPr>
        <w:pStyle w:val="TOC2"/>
        <w:rPr>
          <w:rFonts w:asciiTheme="minorHAnsi" w:eastAsiaTheme="minorEastAsia" w:hAnsiTheme="minorHAnsi" w:cstheme="minorBidi"/>
          <w:kern w:val="2"/>
          <w:sz w:val="24"/>
          <w:szCs w:val="24"/>
          <w14:ligatures w14:val="standardContextual"/>
        </w:rPr>
      </w:pPr>
      <w:r>
        <w:rPr>
          <w:lang w:eastAsia="ja-JP"/>
        </w:rPr>
        <w:t>Developments at the Technical Committee at the session in 2025</w:t>
      </w:r>
      <w:r>
        <w:tab/>
      </w:r>
      <w:r>
        <w:fldChar w:fldCharType="begin"/>
      </w:r>
      <w:r>
        <w:instrText xml:space="preserve"> PAGEREF _Toc228293034 \h </w:instrText>
      </w:r>
      <w:r>
        <w:fldChar w:fldCharType="separate"/>
      </w:r>
      <w:r>
        <w:t>3</w:t>
      </w:r>
      <w:r>
        <w:fldChar w:fldCharType="end"/>
      </w:r>
    </w:p>
    <w:p w14:paraId="2A57730A" w14:textId="25B9D810" w:rsidR="000A335E" w:rsidRDefault="000A335E">
      <w:pPr>
        <w:pStyle w:val="TOC2"/>
        <w:rPr>
          <w:rFonts w:asciiTheme="minorHAnsi" w:eastAsiaTheme="minorEastAsia" w:hAnsiTheme="minorHAnsi" w:cstheme="minorBidi"/>
          <w:kern w:val="2"/>
          <w:sz w:val="24"/>
          <w:szCs w:val="24"/>
          <w14:ligatures w14:val="standardContextual"/>
        </w:rPr>
      </w:pPr>
      <w:r>
        <w:rPr>
          <w:lang w:eastAsia="ja-JP"/>
        </w:rPr>
        <w:t>Proposal</w:t>
      </w:r>
      <w:r>
        <w:tab/>
      </w:r>
      <w:r>
        <w:fldChar w:fldCharType="begin"/>
      </w:r>
      <w:r>
        <w:instrText xml:space="preserve"> PAGEREF _Toc228293035 \h </w:instrText>
      </w:r>
      <w:r>
        <w:fldChar w:fldCharType="separate"/>
      </w:r>
      <w:r>
        <w:t>3</w:t>
      </w:r>
      <w:r>
        <w:fldChar w:fldCharType="end"/>
      </w:r>
    </w:p>
    <w:p w14:paraId="77E51887" w14:textId="29FA068E" w:rsidR="000A335E" w:rsidRDefault="000A335E">
      <w:pPr>
        <w:pStyle w:val="TOC1"/>
        <w:rPr>
          <w:rFonts w:asciiTheme="minorHAnsi" w:hAnsiTheme="minorHAnsi" w:cstheme="minorBidi"/>
          <w:bCs w:val="0"/>
          <w:caps w:val="0"/>
          <w:kern w:val="2"/>
          <w:sz w:val="24"/>
          <w:szCs w:val="24"/>
          <w14:ligatures w14:val="standardContextual"/>
        </w:rPr>
      </w:pPr>
      <w:r>
        <w:t>COOPERATION BETWEEN INTERNATIONAL ORGANIZATIONS</w:t>
      </w:r>
      <w:r>
        <w:tab/>
      </w:r>
      <w:r>
        <w:fldChar w:fldCharType="begin"/>
      </w:r>
      <w:r>
        <w:instrText xml:space="preserve"> PAGEREF _Toc228293036 \h </w:instrText>
      </w:r>
      <w:r>
        <w:fldChar w:fldCharType="separate"/>
      </w:r>
      <w:r>
        <w:t>4</w:t>
      </w:r>
      <w:r>
        <w:fldChar w:fldCharType="end"/>
      </w:r>
    </w:p>
    <w:p w14:paraId="2AEAE157" w14:textId="0A6E3992" w:rsidR="000A335E" w:rsidRDefault="000A335E">
      <w:pPr>
        <w:pStyle w:val="TOC2"/>
        <w:rPr>
          <w:rFonts w:asciiTheme="minorHAnsi" w:eastAsiaTheme="minorEastAsia" w:hAnsiTheme="minorHAnsi" w:cstheme="minorBidi"/>
          <w:kern w:val="2"/>
          <w:sz w:val="24"/>
          <w:szCs w:val="24"/>
          <w14:ligatures w14:val="standardContextual"/>
        </w:rPr>
      </w:pPr>
      <w:r>
        <w:rPr>
          <w:lang w:eastAsia="ja-JP"/>
        </w:rPr>
        <w:t>Background</w:t>
      </w:r>
      <w:r>
        <w:tab/>
      </w:r>
      <w:r>
        <w:fldChar w:fldCharType="begin"/>
      </w:r>
      <w:r>
        <w:instrText xml:space="preserve"> PAGEREF _Toc228293037 \h </w:instrText>
      </w:r>
      <w:r>
        <w:fldChar w:fldCharType="separate"/>
      </w:r>
      <w:r>
        <w:t>4</w:t>
      </w:r>
      <w:r>
        <w:fldChar w:fldCharType="end"/>
      </w:r>
    </w:p>
    <w:p w14:paraId="0FD38879" w14:textId="30311FA9" w:rsidR="000A335E" w:rsidRDefault="000A335E">
      <w:pPr>
        <w:pStyle w:val="TOC2"/>
        <w:rPr>
          <w:rFonts w:asciiTheme="minorHAnsi" w:eastAsiaTheme="minorEastAsia" w:hAnsiTheme="minorHAnsi" w:cstheme="minorBidi"/>
          <w:kern w:val="2"/>
          <w:sz w:val="24"/>
          <w:szCs w:val="24"/>
          <w14:ligatures w14:val="standardContextual"/>
        </w:rPr>
      </w:pPr>
      <w:r>
        <w:t>Harmonizing terms, definitions and methods between UPOV, OECD and ISTA</w:t>
      </w:r>
      <w:r>
        <w:tab/>
      </w:r>
      <w:r>
        <w:fldChar w:fldCharType="begin"/>
      </w:r>
      <w:r>
        <w:instrText xml:space="preserve"> PAGEREF _Toc228293038 \h </w:instrText>
      </w:r>
      <w:r>
        <w:fldChar w:fldCharType="separate"/>
      </w:r>
      <w:r>
        <w:t>4</w:t>
      </w:r>
      <w:r>
        <w:fldChar w:fldCharType="end"/>
      </w:r>
    </w:p>
    <w:p w14:paraId="41273078" w14:textId="5D36498E" w:rsidR="000A335E" w:rsidRDefault="000A335E">
      <w:pPr>
        <w:pStyle w:val="TOC2"/>
        <w:rPr>
          <w:rFonts w:asciiTheme="minorHAnsi" w:eastAsiaTheme="minorEastAsia" w:hAnsiTheme="minorHAnsi" w:cstheme="minorBidi"/>
          <w:kern w:val="2"/>
          <w:sz w:val="24"/>
          <w:szCs w:val="24"/>
          <w14:ligatures w14:val="standardContextual"/>
        </w:rPr>
      </w:pPr>
      <w:r>
        <w:t>Updating the list of molecular markers used per crop</w:t>
      </w:r>
      <w:r>
        <w:tab/>
      </w:r>
      <w:r>
        <w:fldChar w:fldCharType="begin"/>
      </w:r>
      <w:r>
        <w:instrText xml:space="preserve"> PAGEREF _Toc228293039 \h </w:instrText>
      </w:r>
      <w:r>
        <w:fldChar w:fldCharType="separate"/>
      </w:r>
      <w:r>
        <w:t>4</w:t>
      </w:r>
      <w:r>
        <w:fldChar w:fldCharType="end"/>
      </w:r>
    </w:p>
    <w:p w14:paraId="177B535F" w14:textId="4409DCF5" w:rsidR="000A335E" w:rsidRDefault="000A335E">
      <w:pPr>
        <w:pStyle w:val="TOC2"/>
        <w:rPr>
          <w:rFonts w:asciiTheme="minorHAnsi" w:eastAsiaTheme="minorEastAsia" w:hAnsiTheme="minorHAnsi" w:cstheme="minorBidi"/>
          <w:kern w:val="2"/>
          <w:sz w:val="24"/>
          <w:szCs w:val="24"/>
          <w14:ligatures w14:val="standardContextual"/>
        </w:rPr>
      </w:pPr>
      <w:r>
        <w:t>Common sets of molecular markers for variety identification</w:t>
      </w:r>
      <w:r>
        <w:tab/>
      </w:r>
      <w:r>
        <w:fldChar w:fldCharType="begin"/>
      </w:r>
      <w:r>
        <w:instrText xml:space="preserve"> PAGEREF _Toc228293040 \h </w:instrText>
      </w:r>
      <w:r>
        <w:fldChar w:fldCharType="separate"/>
      </w:r>
      <w:r>
        <w:t>5</w:t>
      </w:r>
      <w:r>
        <w:fldChar w:fldCharType="end"/>
      </w:r>
    </w:p>
    <w:p w14:paraId="713A2CF0" w14:textId="2D8789DA" w:rsidR="000A335E" w:rsidRDefault="000A335E">
      <w:pPr>
        <w:pStyle w:val="TOC3"/>
        <w:rPr>
          <w:rFonts w:asciiTheme="minorHAnsi" w:hAnsiTheme="minorHAnsi" w:cstheme="minorBidi"/>
          <w:i w:val="0"/>
          <w:kern w:val="2"/>
          <w:sz w:val="24"/>
          <w:szCs w:val="24"/>
          <w14:ligatures w14:val="standardContextual"/>
        </w:rPr>
      </w:pPr>
      <w:r>
        <w:rPr>
          <w:lang w:eastAsia="ja-JP"/>
        </w:rPr>
        <w:t>Background</w:t>
      </w:r>
      <w:r>
        <w:tab/>
      </w:r>
      <w:r>
        <w:fldChar w:fldCharType="begin"/>
      </w:r>
      <w:r>
        <w:instrText xml:space="preserve"> PAGEREF _Toc228293041 \h </w:instrText>
      </w:r>
      <w:r>
        <w:fldChar w:fldCharType="separate"/>
      </w:r>
      <w:r>
        <w:t>5</w:t>
      </w:r>
      <w:r>
        <w:fldChar w:fldCharType="end"/>
      </w:r>
    </w:p>
    <w:p w14:paraId="5FDAF3B0" w14:textId="3F4D3653" w:rsidR="000A335E" w:rsidRDefault="000A335E">
      <w:pPr>
        <w:pStyle w:val="TOC3"/>
        <w:rPr>
          <w:rFonts w:asciiTheme="minorHAnsi" w:hAnsiTheme="minorHAnsi" w:cstheme="minorBidi"/>
          <w:i w:val="0"/>
          <w:kern w:val="2"/>
          <w:sz w:val="24"/>
          <w:szCs w:val="24"/>
          <w14:ligatures w14:val="standardContextual"/>
        </w:rPr>
      </w:pPr>
      <w:r>
        <w:t>Developments at the Technical Committee in 2025</w:t>
      </w:r>
      <w:r>
        <w:tab/>
      </w:r>
      <w:r>
        <w:fldChar w:fldCharType="begin"/>
      </w:r>
      <w:r>
        <w:instrText xml:space="preserve"> PAGEREF _Toc228293042 \h </w:instrText>
      </w:r>
      <w:r>
        <w:fldChar w:fldCharType="separate"/>
      </w:r>
      <w:r>
        <w:t>6</w:t>
      </w:r>
      <w:r>
        <w:fldChar w:fldCharType="end"/>
      </w:r>
    </w:p>
    <w:p w14:paraId="6DC3948E" w14:textId="34CC74E4" w:rsidR="000A335E" w:rsidRDefault="000A335E">
      <w:pPr>
        <w:pStyle w:val="TOC3"/>
        <w:rPr>
          <w:rFonts w:asciiTheme="minorHAnsi" w:hAnsiTheme="minorHAnsi" w:cstheme="minorBidi"/>
          <w:i w:val="0"/>
          <w:kern w:val="2"/>
          <w:sz w:val="24"/>
          <w:szCs w:val="24"/>
          <w14:ligatures w14:val="standardContextual"/>
        </w:rPr>
      </w:pPr>
      <w:r>
        <w:t>Proposal:</w:t>
      </w:r>
      <w:r>
        <w:tab/>
      </w:r>
      <w:r>
        <w:fldChar w:fldCharType="begin"/>
      </w:r>
      <w:r>
        <w:instrText xml:space="preserve"> PAGEREF _Toc228293043 \h </w:instrText>
      </w:r>
      <w:r>
        <w:fldChar w:fldCharType="separate"/>
      </w:r>
      <w:r>
        <w:t>6</w:t>
      </w:r>
      <w:r>
        <w:fldChar w:fldCharType="end"/>
      </w:r>
    </w:p>
    <w:p w14:paraId="032701D4" w14:textId="68097946" w:rsidR="000A335E" w:rsidRDefault="000A335E">
      <w:pPr>
        <w:pStyle w:val="TOC2"/>
        <w:rPr>
          <w:rFonts w:asciiTheme="minorHAnsi" w:eastAsiaTheme="minorEastAsia" w:hAnsiTheme="minorHAnsi" w:cstheme="minorBidi"/>
          <w:kern w:val="2"/>
          <w:sz w:val="24"/>
          <w:szCs w:val="24"/>
          <w14:ligatures w14:val="standardContextual"/>
        </w:rPr>
      </w:pPr>
      <w:r>
        <w:t>Information on the use of molecular techniques in each organization: possible joint meeting</w:t>
      </w:r>
      <w:r>
        <w:tab/>
      </w:r>
      <w:r>
        <w:fldChar w:fldCharType="begin"/>
      </w:r>
      <w:r>
        <w:instrText xml:space="preserve"> PAGEREF _Toc228293044 \h </w:instrText>
      </w:r>
      <w:r>
        <w:fldChar w:fldCharType="separate"/>
      </w:r>
      <w:r>
        <w:t>6</w:t>
      </w:r>
      <w:r>
        <w:fldChar w:fldCharType="end"/>
      </w:r>
    </w:p>
    <w:p w14:paraId="0A7DC769" w14:textId="6176DFC0" w:rsidR="000A335E" w:rsidRDefault="000A335E">
      <w:pPr>
        <w:pStyle w:val="TOC1"/>
        <w:rPr>
          <w:rFonts w:asciiTheme="minorHAnsi" w:hAnsiTheme="minorHAnsi" w:cstheme="minorBidi"/>
          <w:bCs w:val="0"/>
          <w:caps w:val="0"/>
          <w:kern w:val="2"/>
          <w:sz w:val="24"/>
          <w:szCs w:val="24"/>
          <w14:ligatures w14:val="standardContextual"/>
        </w:rPr>
      </w:pPr>
      <w:r>
        <w:t>MATTERS FOR INFORMATION</w:t>
      </w:r>
      <w:r>
        <w:tab/>
      </w:r>
      <w:r>
        <w:fldChar w:fldCharType="begin"/>
      </w:r>
      <w:r>
        <w:instrText xml:space="preserve"> PAGEREF _Toc228293045 \h </w:instrText>
      </w:r>
      <w:r>
        <w:fldChar w:fldCharType="separate"/>
      </w:r>
      <w:r>
        <w:t>7</w:t>
      </w:r>
      <w:r>
        <w:fldChar w:fldCharType="end"/>
      </w:r>
    </w:p>
    <w:p w14:paraId="1657ACC4" w14:textId="525B3AF0" w:rsidR="000A335E" w:rsidRDefault="000A335E">
      <w:pPr>
        <w:pStyle w:val="TOC2"/>
        <w:rPr>
          <w:rFonts w:asciiTheme="minorHAnsi" w:eastAsiaTheme="minorEastAsia" w:hAnsiTheme="minorHAnsi" w:cstheme="minorBidi"/>
          <w:kern w:val="2"/>
          <w:sz w:val="24"/>
          <w:szCs w:val="24"/>
          <w14:ligatures w14:val="standardContextual"/>
        </w:rPr>
      </w:pPr>
      <w:r>
        <w:t>Guidelines for the validation of a new characteristic-specific molecular marker protocol as an alternative method for observation</w:t>
      </w:r>
      <w:r>
        <w:tab/>
      </w:r>
      <w:r>
        <w:fldChar w:fldCharType="begin"/>
      </w:r>
      <w:r>
        <w:instrText xml:space="preserve"> PAGEREF _Toc228293046 \h </w:instrText>
      </w:r>
      <w:r>
        <w:fldChar w:fldCharType="separate"/>
      </w:r>
      <w:r>
        <w:t>7</w:t>
      </w:r>
      <w:r>
        <w:fldChar w:fldCharType="end"/>
      </w:r>
    </w:p>
    <w:p w14:paraId="3C8B865A" w14:textId="066FFC21" w:rsidR="000A335E" w:rsidRDefault="000A335E">
      <w:pPr>
        <w:pStyle w:val="TOC3"/>
        <w:rPr>
          <w:rFonts w:asciiTheme="minorHAnsi" w:hAnsiTheme="minorHAnsi" w:cstheme="minorBidi"/>
          <w:i w:val="0"/>
          <w:kern w:val="2"/>
          <w:sz w:val="24"/>
          <w:szCs w:val="24"/>
          <w14:ligatures w14:val="standardContextual"/>
        </w:rPr>
      </w:pPr>
      <w:r>
        <w:rPr>
          <w:lang w:eastAsia="ja-JP"/>
        </w:rPr>
        <w:t>Background</w:t>
      </w:r>
      <w:r>
        <w:tab/>
      </w:r>
      <w:r>
        <w:fldChar w:fldCharType="begin"/>
      </w:r>
      <w:r>
        <w:instrText xml:space="preserve"> PAGEREF _Toc228293047 \h </w:instrText>
      </w:r>
      <w:r>
        <w:fldChar w:fldCharType="separate"/>
      </w:r>
      <w:r>
        <w:t>7</w:t>
      </w:r>
      <w:r>
        <w:fldChar w:fldCharType="end"/>
      </w:r>
    </w:p>
    <w:p w14:paraId="4FAE0D43" w14:textId="4ED8EA13" w:rsidR="000A335E" w:rsidRDefault="000A335E">
      <w:pPr>
        <w:pStyle w:val="TOC3"/>
        <w:rPr>
          <w:rFonts w:asciiTheme="minorHAnsi" w:hAnsiTheme="minorHAnsi" w:cstheme="minorBidi"/>
          <w:i w:val="0"/>
          <w:kern w:val="2"/>
          <w:sz w:val="24"/>
          <w:szCs w:val="24"/>
          <w14:ligatures w14:val="standardContextual"/>
        </w:rPr>
      </w:pPr>
      <w:r>
        <w:rPr>
          <w:lang w:eastAsia="ja-JP"/>
        </w:rPr>
        <w:t>Developments at the Technical Committee in 2025</w:t>
      </w:r>
      <w:r>
        <w:tab/>
      </w:r>
      <w:r>
        <w:fldChar w:fldCharType="begin"/>
      </w:r>
      <w:r>
        <w:instrText xml:space="preserve"> PAGEREF _Toc228293048 \h </w:instrText>
      </w:r>
      <w:r>
        <w:fldChar w:fldCharType="separate"/>
      </w:r>
      <w:r>
        <w:t>7</w:t>
      </w:r>
      <w:r>
        <w:fldChar w:fldCharType="end"/>
      </w:r>
    </w:p>
    <w:p w14:paraId="5C58A8C5" w14:textId="633FAE56" w:rsidR="004839D7" w:rsidRPr="00190DEE" w:rsidRDefault="004839D7" w:rsidP="00490BDA">
      <w:pPr>
        <w:spacing w:before="120" w:after="120"/>
        <w:ind w:left="810" w:hanging="810"/>
        <w:jc w:val="left"/>
      </w:pPr>
      <w:r w:rsidRPr="001D3FDF">
        <w:rPr>
          <w:highlight w:val="cyan"/>
        </w:rPr>
        <w:fldChar w:fldCharType="end"/>
      </w:r>
      <w:r w:rsidR="0099138F" w:rsidRPr="00190DEE">
        <w:t xml:space="preserve">Annex I: </w:t>
      </w:r>
      <w:bookmarkStart w:id="3" w:name="_Toc177773944"/>
      <w:bookmarkStart w:id="4" w:name="_Toc210139288"/>
      <w:r w:rsidR="00385E84">
        <w:t>O</w:t>
      </w:r>
      <w:r w:rsidR="00385E84" w:rsidRPr="00490BDA">
        <w:rPr>
          <w:lang w:eastAsia="ja-JP"/>
        </w:rPr>
        <w:t>wnership and confidentiality of molecular information</w:t>
      </w:r>
      <w:r w:rsidR="00385E84">
        <w:rPr>
          <w:lang w:eastAsia="ja-JP"/>
        </w:rPr>
        <w:t>:</w:t>
      </w:r>
      <w:r w:rsidR="00385E84" w:rsidRPr="00190DEE">
        <w:rPr>
          <w:lang w:eastAsia="ja-JP"/>
        </w:rPr>
        <w:t xml:space="preserve"> </w:t>
      </w:r>
      <w:r w:rsidR="002377B9" w:rsidRPr="00190DEE">
        <w:rPr>
          <w:lang w:eastAsia="ja-JP"/>
        </w:rPr>
        <w:t>Developments at the Technical Working Parties at their sessions in 202</w:t>
      </w:r>
      <w:r w:rsidR="002377B9" w:rsidRPr="00190DEE">
        <w:rPr>
          <w:rFonts w:hint="eastAsia"/>
          <w:lang w:eastAsia="ja-JP"/>
        </w:rPr>
        <w:t>5</w:t>
      </w:r>
      <w:r w:rsidR="002377B9" w:rsidRPr="00190DEE">
        <w:rPr>
          <w:lang w:eastAsia="ja-JP"/>
        </w:rPr>
        <w:t xml:space="preserve"> </w:t>
      </w:r>
      <w:bookmarkEnd w:id="3"/>
      <w:bookmarkEnd w:id="4"/>
    </w:p>
    <w:p w14:paraId="25D73ECB" w14:textId="20BBE57C" w:rsidR="0099138F" w:rsidRPr="00190DEE" w:rsidRDefault="0099138F" w:rsidP="0099138F">
      <w:pPr>
        <w:spacing w:before="120" w:after="120"/>
        <w:ind w:left="1134" w:hanging="1134"/>
        <w:jc w:val="left"/>
      </w:pPr>
      <w:r w:rsidRPr="00190DEE">
        <w:t xml:space="preserve">Annex II: </w:t>
      </w:r>
      <w:r w:rsidR="002377B9" w:rsidRPr="00190DEE">
        <w:rPr>
          <w:rFonts w:hint="eastAsia"/>
          <w:lang w:eastAsia="ja-JP"/>
        </w:rPr>
        <w:t>S</w:t>
      </w:r>
      <w:r w:rsidR="002377B9" w:rsidRPr="00190DEE">
        <w:t xml:space="preserve">urvey on the use of molecular marker techniques by crop </w:t>
      </w:r>
    </w:p>
    <w:p w14:paraId="3CEABB55" w14:textId="4D90C4EA" w:rsidR="0099138F" w:rsidRPr="001D3FDF" w:rsidRDefault="0099138F" w:rsidP="00C27FA8">
      <w:pPr>
        <w:spacing w:before="120" w:after="120"/>
        <w:ind w:left="1134" w:hanging="1134"/>
        <w:jc w:val="left"/>
      </w:pPr>
    </w:p>
    <w:p w14:paraId="63CA5774" w14:textId="77777777" w:rsidR="005F6C47" w:rsidRPr="001D3FDF" w:rsidRDefault="005F6C47" w:rsidP="005F6C47">
      <w:pPr>
        <w:keepNext/>
        <w:rPr>
          <w:rFonts w:cs="Arial"/>
        </w:rPr>
      </w:pPr>
      <w:r w:rsidRPr="001D3FDF">
        <w:rPr>
          <w:rFonts w:cs="Arial"/>
        </w:rPr>
        <w:fldChar w:fldCharType="begin"/>
      </w:r>
      <w:r w:rsidRPr="001D3FDF">
        <w:rPr>
          <w:rFonts w:cs="Arial"/>
        </w:rPr>
        <w:instrText xml:space="preserve"> AUTONUM  </w:instrText>
      </w:r>
      <w:r w:rsidRPr="001D3FDF">
        <w:rPr>
          <w:rFonts w:cs="Arial"/>
        </w:rPr>
        <w:fldChar w:fldCharType="end"/>
      </w:r>
      <w:r w:rsidRPr="001D3FDF">
        <w:rPr>
          <w:rFonts w:cs="Arial"/>
        </w:rPr>
        <w:tab/>
        <w:t>The following abbreviations are used in this document:</w:t>
      </w:r>
    </w:p>
    <w:p w14:paraId="6489DD92" w14:textId="77777777" w:rsidR="005F6C47" w:rsidRPr="001D3FDF" w:rsidRDefault="005F6C47" w:rsidP="005F6C47">
      <w:pPr>
        <w:keepNext/>
        <w:ind w:left="1701" w:hanging="1134"/>
        <w:rPr>
          <w:rFonts w:cs="Arial"/>
        </w:rPr>
      </w:pPr>
    </w:p>
    <w:p w14:paraId="1806217A" w14:textId="77777777" w:rsidR="005F6C47" w:rsidRPr="001D3FDF" w:rsidRDefault="005F6C47" w:rsidP="005F6C47">
      <w:pPr>
        <w:keepNext/>
        <w:ind w:left="1701" w:hanging="1134"/>
        <w:rPr>
          <w:rFonts w:cs="Arial"/>
        </w:rPr>
      </w:pPr>
      <w:r w:rsidRPr="001D3FDF">
        <w:rPr>
          <w:rFonts w:cs="Arial"/>
        </w:rPr>
        <w:t>CAJ:</w:t>
      </w:r>
      <w:r w:rsidRPr="001D3FDF">
        <w:rPr>
          <w:rFonts w:cs="Arial"/>
        </w:rPr>
        <w:tab/>
        <w:t>Administrative and Legal Committee</w:t>
      </w:r>
    </w:p>
    <w:p w14:paraId="3E3F0D54" w14:textId="77777777" w:rsidR="005F6C47" w:rsidRDefault="005F6C47" w:rsidP="005F6C47">
      <w:pPr>
        <w:keepNext/>
        <w:ind w:left="1701" w:hanging="1134"/>
        <w:rPr>
          <w:rFonts w:cs="Arial"/>
        </w:rPr>
      </w:pPr>
      <w:r w:rsidRPr="001D3FDF">
        <w:rPr>
          <w:rFonts w:cs="Arial"/>
        </w:rPr>
        <w:t xml:space="preserve">TC:  </w:t>
      </w:r>
      <w:r w:rsidRPr="001D3FDF">
        <w:rPr>
          <w:rFonts w:cs="Arial"/>
        </w:rPr>
        <w:tab/>
        <w:t>Technical Committee</w:t>
      </w:r>
    </w:p>
    <w:p w14:paraId="54041B28" w14:textId="125171DC" w:rsidR="00853C41" w:rsidRPr="001D3FDF" w:rsidRDefault="00853C41" w:rsidP="005F6C47">
      <w:pPr>
        <w:keepNext/>
        <w:ind w:left="1701" w:hanging="1134"/>
        <w:rPr>
          <w:rFonts w:cs="Arial"/>
        </w:rPr>
      </w:pPr>
      <w:r>
        <w:rPr>
          <w:rFonts w:cs="Arial"/>
        </w:rPr>
        <w:t>TC-EDC:</w:t>
      </w:r>
      <w:r>
        <w:rPr>
          <w:rFonts w:cs="Arial"/>
        </w:rPr>
        <w:tab/>
        <w:t>Enlarged Editorial Committee</w:t>
      </w:r>
    </w:p>
    <w:p w14:paraId="13EF1859" w14:textId="77777777" w:rsidR="005F6C47" w:rsidRPr="001D3FDF" w:rsidRDefault="005F6C47" w:rsidP="005F6C47">
      <w:pPr>
        <w:ind w:left="1701" w:hanging="1134"/>
        <w:rPr>
          <w:rFonts w:cs="Arial"/>
        </w:rPr>
      </w:pPr>
      <w:r w:rsidRPr="001D3FDF">
        <w:rPr>
          <w:rFonts w:cs="Arial"/>
        </w:rPr>
        <w:t xml:space="preserve">TWA:  </w:t>
      </w:r>
      <w:r w:rsidRPr="001D3FDF">
        <w:rPr>
          <w:rFonts w:cs="Arial"/>
        </w:rPr>
        <w:tab/>
        <w:t>Technical Working Party for Agricultural Crops</w:t>
      </w:r>
    </w:p>
    <w:p w14:paraId="5685D716" w14:textId="77777777" w:rsidR="005F6C47" w:rsidRPr="001D3FDF" w:rsidRDefault="005F6C47" w:rsidP="005F6C47">
      <w:pPr>
        <w:ind w:left="1701" w:hanging="1134"/>
        <w:rPr>
          <w:rFonts w:cs="Arial"/>
        </w:rPr>
      </w:pPr>
      <w:r w:rsidRPr="001D3FDF">
        <w:rPr>
          <w:rFonts w:cs="Arial"/>
        </w:rPr>
        <w:t xml:space="preserve">TWF:  </w:t>
      </w:r>
      <w:r w:rsidRPr="001D3FDF">
        <w:rPr>
          <w:rFonts w:cs="Arial"/>
        </w:rPr>
        <w:tab/>
        <w:t xml:space="preserve">Technical Working Party for Fruit Crops </w:t>
      </w:r>
    </w:p>
    <w:p w14:paraId="67994F24" w14:textId="77777777" w:rsidR="005F6C47" w:rsidRPr="001D3FDF" w:rsidRDefault="005F6C47" w:rsidP="005F6C47">
      <w:pPr>
        <w:ind w:left="1701" w:hanging="1134"/>
        <w:rPr>
          <w:rFonts w:cs="Arial"/>
        </w:rPr>
      </w:pPr>
      <w:r w:rsidRPr="001D3FDF">
        <w:rPr>
          <w:rFonts w:cs="Arial"/>
        </w:rPr>
        <w:t>TWM:</w:t>
      </w:r>
      <w:r w:rsidRPr="001D3FDF">
        <w:rPr>
          <w:rFonts w:cs="Arial"/>
        </w:rPr>
        <w:tab/>
        <w:t>Technical Working Party on Testing Methods and Techniques</w:t>
      </w:r>
    </w:p>
    <w:p w14:paraId="7F7E0459" w14:textId="77777777" w:rsidR="005F6C47" w:rsidRPr="001D3FDF" w:rsidRDefault="005F6C47" w:rsidP="005F6C47">
      <w:pPr>
        <w:ind w:left="1701" w:hanging="1134"/>
        <w:rPr>
          <w:rFonts w:cs="Arial"/>
        </w:rPr>
      </w:pPr>
      <w:r w:rsidRPr="001D3FDF">
        <w:rPr>
          <w:rFonts w:cs="Arial"/>
        </w:rPr>
        <w:t xml:space="preserve">TWO:  </w:t>
      </w:r>
      <w:r w:rsidRPr="001D3FDF">
        <w:rPr>
          <w:rFonts w:cs="Arial"/>
        </w:rPr>
        <w:tab/>
        <w:t xml:space="preserve">Technical Working Party for Ornamental Plants and Forest Trees </w:t>
      </w:r>
    </w:p>
    <w:p w14:paraId="2079B63B" w14:textId="77777777" w:rsidR="005F6C47" w:rsidRPr="001D3FDF" w:rsidRDefault="005F6C47" w:rsidP="005F6C47">
      <w:pPr>
        <w:ind w:left="1701" w:hanging="1134"/>
        <w:rPr>
          <w:rFonts w:cs="Arial"/>
        </w:rPr>
      </w:pPr>
      <w:r w:rsidRPr="001D3FDF">
        <w:rPr>
          <w:rFonts w:cs="Arial"/>
        </w:rPr>
        <w:t xml:space="preserve">TWV:  </w:t>
      </w:r>
      <w:r w:rsidRPr="001D3FDF">
        <w:rPr>
          <w:rFonts w:cs="Arial"/>
        </w:rPr>
        <w:tab/>
        <w:t>Technical Working Party for Vegetables</w:t>
      </w:r>
    </w:p>
    <w:p w14:paraId="7850BE7C" w14:textId="77777777" w:rsidR="005F6C47" w:rsidRPr="001D3FDF" w:rsidRDefault="005F6C47" w:rsidP="005F6C47">
      <w:pPr>
        <w:ind w:left="1701" w:hanging="1134"/>
        <w:rPr>
          <w:rFonts w:cs="Arial"/>
          <w:color w:val="000000"/>
        </w:rPr>
      </w:pPr>
      <w:r w:rsidRPr="001D3FDF">
        <w:rPr>
          <w:rFonts w:cs="Arial"/>
          <w:color w:val="000000"/>
        </w:rPr>
        <w:t>TWPs:</w:t>
      </w:r>
      <w:r w:rsidRPr="001D3FDF">
        <w:rPr>
          <w:rFonts w:cs="Arial"/>
          <w:color w:val="000000"/>
        </w:rPr>
        <w:tab/>
        <w:t xml:space="preserve">Technical Working Parties </w:t>
      </w:r>
    </w:p>
    <w:p w14:paraId="1F8B8E36" w14:textId="77777777" w:rsidR="00006D6B" w:rsidRDefault="00006D6B" w:rsidP="00006D6B"/>
    <w:p w14:paraId="3EA2E639" w14:textId="77777777" w:rsidR="00006D6B" w:rsidRDefault="00006D6B" w:rsidP="00006D6B"/>
    <w:p w14:paraId="0291992C" w14:textId="2BEAE0B8" w:rsidR="000A58C2" w:rsidRPr="000A58C2" w:rsidRDefault="00E6553F" w:rsidP="000A58C2">
      <w:pPr>
        <w:pStyle w:val="Heading1"/>
      </w:pPr>
      <w:bookmarkStart w:id="5" w:name="_Toc228293031"/>
      <w:r>
        <w:t>CONFIDENTI</w:t>
      </w:r>
      <w:r w:rsidR="00AB1463">
        <w:t>A</w:t>
      </w:r>
      <w:r>
        <w:t xml:space="preserve">LITY </w:t>
      </w:r>
      <w:r w:rsidR="00EB3A00">
        <w:t xml:space="preserve">AND OWNERSHIP </w:t>
      </w:r>
      <w:r w:rsidR="000A58C2" w:rsidRPr="000A58C2">
        <w:t>OF MOLECULAR INFORMATION</w:t>
      </w:r>
      <w:bookmarkEnd w:id="5"/>
      <w:r w:rsidR="000A58C2" w:rsidRPr="000A58C2" w:rsidDel="000A58C2">
        <w:t xml:space="preserve"> </w:t>
      </w:r>
    </w:p>
    <w:p w14:paraId="0D6D7494" w14:textId="77777777" w:rsidR="00006D6B" w:rsidRDefault="00006D6B" w:rsidP="0013127A"/>
    <w:p w14:paraId="7053E49C" w14:textId="63630E2A" w:rsidR="00DD6F58" w:rsidRPr="001D3FDF" w:rsidRDefault="00DD6F58" w:rsidP="00DD6F58">
      <w:pPr>
        <w:pStyle w:val="Heading2"/>
      </w:pPr>
      <w:bookmarkStart w:id="6" w:name="_Toc228293032"/>
      <w:r>
        <w:rPr>
          <w:lang w:eastAsia="ja-JP"/>
        </w:rPr>
        <w:t>Background</w:t>
      </w:r>
      <w:bookmarkEnd w:id="6"/>
    </w:p>
    <w:p w14:paraId="6CC22D61" w14:textId="77777777" w:rsidR="00DD6F58" w:rsidRDefault="00DD6F58" w:rsidP="0013127A"/>
    <w:p w14:paraId="3B838542" w14:textId="04894FDF" w:rsidR="00DD6F58" w:rsidRPr="00F07B06" w:rsidRDefault="00DD6F58" w:rsidP="00DD6F58">
      <w:r w:rsidRPr="001D3FDF">
        <w:fldChar w:fldCharType="begin"/>
      </w:r>
      <w:r w:rsidRPr="001D3FDF">
        <w:instrText xml:space="preserve"> AUTONUM  </w:instrText>
      </w:r>
      <w:r w:rsidRPr="001D3FDF">
        <w:fldChar w:fldCharType="end"/>
      </w:r>
      <w:r w:rsidRPr="001D3FDF">
        <w:tab/>
      </w:r>
      <w:r w:rsidRPr="00560089">
        <w:t xml:space="preserve">Since 2019, discussions on cooperation in relation to the use of molecular techniques include the </w:t>
      </w:r>
      <w:r>
        <w:t>request to address</w:t>
      </w:r>
      <w:r w:rsidRPr="00560089">
        <w:t xml:space="preserve"> guidance on ownership and confidentiality of molecular information (see document </w:t>
      </w:r>
      <w:hyperlink r:id="rId9" w:history="1">
        <w:r w:rsidRPr="00560089">
          <w:rPr>
            <w:rStyle w:val="Hyperlink"/>
          </w:rPr>
          <w:t>TC/55/7</w:t>
        </w:r>
      </w:hyperlink>
      <w:r w:rsidRPr="00560089">
        <w:t xml:space="preserve"> “Molecular Techniques”).  At its fifty-eighth session</w:t>
      </w:r>
      <w:r w:rsidRPr="00560089">
        <w:rPr>
          <w:vertAlign w:val="superscript"/>
        </w:rPr>
        <w:footnoteReference w:id="2"/>
      </w:r>
      <w:r w:rsidRPr="00560089">
        <w:t>, the TC noted the concerns expressed by breeders’ organizations that molecular information used during the examination of a variety should not be shared by the authority that received the application without the permission of the breeder.  The TC invited members and observers to report on existing policies on confidentiality of molecular information at the TWPs, at their sessions in 2023</w:t>
      </w:r>
      <w:r w:rsidR="00260357">
        <w:rPr>
          <w:rFonts w:hint="eastAsia"/>
          <w:vertAlign w:val="superscript"/>
          <w:lang w:eastAsia="ja-JP"/>
        </w:rPr>
        <w:t>1</w:t>
      </w:r>
      <w:r w:rsidRPr="00560089">
        <w:t>, 2024</w:t>
      </w:r>
      <w:r w:rsidRPr="00560089">
        <w:rPr>
          <w:vertAlign w:val="superscript"/>
        </w:rPr>
        <w:footnoteReference w:id="3"/>
      </w:r>
      <w:r w:rsidRPr="00560089">
        <w:t xml:space="preserve"> and 2025</w:t>
      </w:r>
      <w:r w:rsidRPr="00560089">
        <w:rPr>
          <w:vertAlign w:val="superscript"/>
        </w:rPr>
        <w:footnoteReference w:id="4"/>
      </w:r>
      <w:r w:rsidRPr="00560089">
        <w:t>.</w:t>
      </w:r>
      <w:r>
        <w:t xml:space="preserve"> </w:t>
      </w:r>
    </w:p>
    <w:p w14:paraId="3F9C0BD2" w14:textId="77777777" w:rsidR="00DD6F58" w:rsidRPr="005C297B" w:rsidRDefault="00DD6F58" w:rsidP="00DD6F58">
      <w:pPr>
        <w:pStyle w:val="ListParagraph"/>
        <w:ind w:left="0"/>
        <w:rPr>
          <w:lang w:eastAsia="ja-JP"/>
        </w:rPr>
      </w:pPr>
    </w:p>
    <w:p w14:paraId="607E3EC5" w14:textId="77777777" w:rsidR="00DD6F58" w:rsidRDefault="00DD6F58" w:rsidP="00DD6F58">
      <w:pPr>
        <w:pStyle w:val="Heading3"/>
      </w:pPr>
      <w:bookmarkStart w:id="7" w:name="_Toc210139287"/>
      <w:bookmarkStart w:id="8" w:name="_Toc228293033"/>
      <w:r>
        <w:lastRenderedPageBreak/>
        <w:t>Existing guidance</w:t>
      </w:r>
      <w:bookmarkEnd w:id="7"/>
      <w:bookmarkEnd w:id="8"/>
    </w:p>
    <w:p w14:paraId="663AF058" w14:textId="77777777" w:rsidR="00DD6F58" w:rsidRDefault="00DD6F58" w:rsidP="00DD6F58">
      <w:pPr>
        <w:keepNext/>
      </w:pPr>
    </w:p>
    <w:p w14:paraId="7E234591" w14:textId="77777777" w:rsidR="00DD6F58" w:rsidRDefault="00DD6F58" w:rsidP="00DD6F58">
      <w:pPr>
        <w:keepNext/>
      </w:pPr>
      <w:r>
        <w:fldChar w:fldCharType="begin"/>
      </w:r>
      <w:r>
        <w:instrText xml:space="preserve"> AUTONUM  </w:instrText>
      </w:r>
      <w:r>
        <w:fldChar w:fldCharType="end"/>
      </w:r>
      <w:r>
        <w:tab/>
        <w:t>The following guidance is currently provided by UPOV on confidentiality of molecular information:</w:t>
      </w:r>
    </w:p>
    <w:p w14:paraId="2A30D792" w14:textId="77777777" w:rsidR="00DD6F58" w:rsidRDefault="00DD6F58" w:rsidP="00DD6F58">
      <w:pPr>
        <w:pStyle w:val="ListParagraph"/>
        <w:keepNext/>
        <w:ind w:left="0"/>
        <w:rPr>
          <w:lang w:eastAsia="ja-JP"/>
        </w:rPr>
      </w:pPr>
    </w:p>
    <w:p w14:paraId="2ECAB450" w14:textId="77777777" w:rsidR="00DD6F58" w:rsidRDefault="00DD6F58" w:rsidP="00DD6F58">
      <w:pPr>
        <w:pStyle w:val="ListParagraph"/>
        <w:keepNext/>
        <w:ind w:left="0" w:firstLine="567"/>
        <w:rPr>
          <w:lang w:eastAsia="ja-JP"/>
        </w:rPr>
      </w:pPr>
      <w:r>
        <w:rPr>
          <w:lang w:eastAsia="ja-JP"/>
        </w:rPr>
        <w:t>(a)</w:t>
      </w:r>
      <w:r>
        <w:rPr>
          <w:lang w:eastAsia="ja-JP"/>
        </w:rPr>
        <w:tab/>
        <w:t xml:space="preserve">Document </w:t>
      </w:r>
      <w:hyperlink r:id="rId10" w:history="1">
        <w:r w:rsidRPr="007D3293">
          <w:rPr>
            <w:rStyle w:val="Hyperlink"/>
            <w:lang w:eastAsia="ja-JP"/>
          </w:rPr>
          <w:t>UPOV/INF/15/4</w:t>
        </w:r>
      </w:hyperlink>
      <w:r>
        <w:rPr>
          <w:lang w:eastAsia="ja-JP"/>
        </w:rPr>
        <w:t xml:space="preserve"> “Guidance for Members of UPOV”, paragraph 38:</w:t>
      </w:r>
    </w:p>
    <w:p w14:paraId="31742459" w14:textId="77777777" w:rsidR="00DD6F58" w:rsidRDefault="00DD6F58" w:rsidP="00DD6F58">
      <w:pPr>
        <w:pStyle w:val="ListParagraph"/>
        <w:keepNext/>
        <w:ind w:left="0"/>
        <w:rPr>
          <w:lang w:eastAsia="ja-JP"/>
        </w:rPr>
      </w:pPr>
    </w:p>
    <w:p w14:paraId="4FA34884" w14:textId="77777777" w:rsidR="00DD6F58" w:rsidRPr="0008490F" w:rsidRDefault="00DD6F58" w:rsidP="0008490F">
      <w:pPr>
        <w:pStyle w:val="ListParagraph"/>
        <w:ind w:left="1134" w:right="567"/>
        <w:rPr>
          <w:sz w:val="18"/>
          <w:szCs w:val="18"/>
          <w:lang w:eastAsia="ja-JP"/>
        </w:rPr>
      </w:pPr>
      <w:r w:rsidRPr="0008490F">
        <w:rPr>
          <w:sz w:val="18"/>
          <w:szCs w:val="18"/>
          <w:lang w:eastAsia="ja-JP"/>
        </w:rPr>
        <w:t>“38.</w:t>
      </w:r>
      <w:r w:rsidRPr="0008490F">
        <w:rPr>
          <w:sz w:val="18"/>
          <w:szCs w:val="18"/>
          <w:lang w:eastAsia="ja-JP"/>
        </w:rPr>
        <w:tab/>
        <w:t xml:space="preserve">As stated in Article 12, for the purposes of examination, the authority may require the breeder to furnish all the necessary information, documents or material. In that regard, authorities should </w:t>
      </w:r>
      <w:proofErr w:type="gramStart"/>
      <w:r w:rsidRPr="0008490F">
        <w:rPr>
          <w:sz w:val="18"/>
          <w:szCs w:val="18"/>
          <w:lang w:eastAsia="ja-JP"/>
        </w:rPr>
        <w:t>give consideration to</w:t>
      </w:r>
      <w:proofErr w:type="gramEnd"/>
      <w:r w:rsidRPr="0008490F">
        <w:rPr>
          <w:sz w:val="18"/>
          <w:szCs w:val="18"/>
          <w:lang w:eastAsia="ja-JP"/>
        </w:rPr>
        <w:t xml:space="preserve"> appropriate measures concerning confidentiality, for example in relation to pedigree </w:t>
      </w:r>
      <w:proofErr w:type="gramStart"/>
      <w:r w:rsidRPr="0008490F">
        <w:rPr>
          <w:sz w:val="18"/>
          <w:szCs w:val="18"/>
          <w:lang w:eastAsia="ja-JP"/>
        </w:rPr>
        <w:t>information.”</w:t>
      </w:r>
      <w:proofErr w:type="gramEnd"/>
    </w:p>
    <w:p w14:paraId="4621D628" w14:textId="77777777" w:rsidR="00DD6F58" w:rsidRDefault="00DD6F58" w:rsidP="00DD6F58">
      <w:pPr>
        <w:pStyle w:val="ListParagraph"/>
        <w:ind w:left="0"/>
        <w:rPr>
          <w:lang w:eastAsia="ja-JP"/>
        </w:rPr>
      </w:pPr>
    </w:p>
    <w:p w14:paraId="1B218D15" w14:textId="77777777" w:rsidR="00DD6F58" w:rsidRDefault="00DD6F58" w:rsidP="00DD6F58">
      <w:pPr>
        <w:pStyle w:val="ListParagraph"/>
        <w:tabs>
          <w:tab w:val="left" w:pos="1134"/>
        </w:tabs>
        <w:ind w:left="1134" w:hanging="567"/>
        <w:rPr>
          <w:lang w:eastAsia="ja-JP"/>
        </w:rPr>
      </w:pPr>
      <w:r>
        <w:rPr>
          <w:lang w:eastAsia="ja-JP"/>
        </w:rPr>
        <w:t>(b)</w:t>
      </w:r>
      <w:r>
        <w:rPr>
          <w:lang w:eastAsia="ja-JP"/>
        </w:rPr>
        <w:tab/>
        <w:t xml:space="preserve">Document </w:t>
      </w:r>
      <w:hyperlink r:id="rId11" w:history="1">
        <w:r w:rsidRPr="00AA00C5">
          <w:rPr>
            <w:rStyle w:val="Hyperlink"/>
            <w:lang w:eastAsia="ja-JP"/>
          </w:rPr>
          <w:t>TGP/5, Section 1/3</w:t>
        </w:r>
      </w:hyperlink>
      <w:r>
        <w:rPr>
          <w:lang w:eastAsia="ja-JP"/>
        </w:rPr>
        <w:t xml:space="preserve"> “</w:t>
      </w:r>
      <w:r w:rsidRPr="00AA00C5">
        <w:rPr>
          <w:lang w:eastAsia="ja-JP"/>
        </w:rPr>
        <w:t>Model Administrative Agreement for International Cooperation in the Testing of Varieties</w:t>
      </w:r>
      <w:r>
        <w:rPr>
          <w:lang w:eastAsia="ja-JP"/>
        </w:rPr>
        <w:t>”, Article 4:</w:t>
      </w:r>
    </w:p>
    <w:p w14:paraId="712E1C38" w14:textId="77777777" w:rsidR="00DD6F58" w:rsidRDefault="00DD6F58" w:rsidP="00DD6F58">
      <w:pPr>
        <w:pStyle w:val="ListParagraph"/>
        <w:ind w:left="0"/>
        <w:rPr>
          <w:lang w:eastAsia="ja-JP"/>
        </w:rPr>
      </w:pPr>
    </w:p>
    <w:p w14:paraId="10FD7606" w14:textId="25416C21" w:rsidR="00DD6F58" w:rsidRPr="0008490F" w:rsidRDefault="00DD6F58" w:rsidP="0008490F">
      <w:pPr>
        <w:pStyle w:val="ListParagraph"/>
        <w:ind w:left="1134" w:right="567"/>
        <w:rPr>
          <w:sz w:val="18"/>
          <w:szCs w:val="18"/>
          <w:lang w:eastAsia="ja-JP"/>
        </w:rPr>
      </w:pPr>
      <w:r w:rsidRPr="0008490F">
        <w:rPr>
          <w:sz w:val="18"/>
          <w:szCs w:val="18"/>
          <w:lang w:eastAsia="ja-JP"/>
        </w:rPr>
        <w:t xml:space="preserve">“(1) The Authorities shall take all necessary steps to safeguard the rights of the applicant. </w:t>
      </w:r>
    </w:p>
    <w:p w14:paraId="66A58A63" w14:textId="77777777" w:rsidR="00DD6F58" w:rsidRPr="0008490F" w:rsidRDefault="00DD6F58" w:rsidP="0008490F">
      <w:pPr>
        <w:pStyle w:val="ListParagraph"/>
        <w:ind w:left="1134" w:right="567"/>
        <w:rPr>
          <w:sz w:val="18"/>
          <w:szCs w:val="18"/>
          <w:lang w:eastAsia="ja-JP"/>
        </w:rPr>
      </w:pPr>
    </w:p>
    <w:p w14:paraId="692E0B3F" w14:textId="6EB15CC9" w:rsidR="00DD6F58" w:rsidRPr="0008490F" w:rsidRDefault="00DD6F58" w:rsidP="0008490F">
      <w:pPr>
        <w:pStyle w:val="ListParagraph"/>
        <w:ind w:left="1134" w:right="567"/>
        <w:rPr>
          <w:sz w:val="18"/>
          <w:szCs w:val="18"/>
          <w:lang w:eastAsia="ja-JP"/>
        </w:rPr>
      </w:pPr>
      <w:r w:rsidRPr="0008490F">
        <w:rPr>
          <w:sz w:val="18"/>
          <w:szCs w:val="18"/>
          <w:lang w:eastAsia="ja-JP"/>
        </w:rPr>
        <w:t>(2) Except with the specific authorization of the Receiving Authority and the applicant, the Executing Authority shall refrain from passing on to a third person any material, including DNA, or molecular information, of the varieties for which testing has been requested.”</w:t>
      </w:r>
    </w:p>
    <w:p w14:paraId="0BAB1D6A" w14:textId="77777777" w:rsidR="00DD6F58" w:rsidRDefault="00DD6F58" w:rsidP="0013127A"/>
    <w:p w14:paraId="5F83E58E" w14:textId="32039367" w:rsidR="00DD6F58" w:rsidRPr="001D3FDF" w:rsidRDefault="00DD6F58" w:rsidP="00DD6F58">
      <w:pPr>
        <w:pStyle w:val="Heading2"/>
      </w:pPr>
      <w:bookmarkStart w:id="9" w:name="_Toc228293034"/>
      <w:r>
        <w:rPr>
          <w:rFonts w:hint="eastAsia"/>
          <w:lang w:eastAsia="ja-JP"/>
        </w:rPr>
        <w:t>Development</w:t>
      </w:r>
      <w:r w:rsidR="0021426E">
        <w:rPr>
          <w:rFonts w:hint="eastAsia"/>
          <w:lang w:eastAsia="ja-JP"/>
        </w:rPr>
        <w:t>s</w:t>
      </w:r>
      <w:r>
        <w:rPr>
          <w:rFonts w:hint="eastAsia"/>
          <w:lang w:eastAsia="ja-JP"/>
        </w:rPr>
        <w:t xml:space="preserve"> at the Technical Committee at the session in 2025</w:t>
      </w:r>
      <w:bookmarkEnd w:id="9"/>
    </w:p>
    <w:p w14:paraId="1B27C381" w14:textId="77777777" w:rsidR="00DD6F58" w:rsidRDefault="00DD6F58" w:rsidP="0013127A"/>
    <w:p w14:paraId="133A16A6" w14:textId="1CBC70DE" w:rsidR="00006D6B" w:rsidRDefault="00006D6B" w:rsidP="00006D6B">
      <w:r w:rsidRPr="001D3FDF">
        <w:fldChar w:fldCharType="begin"/>
      </w:r>
      <w:r w:rsidRPr="001D3FDF">
        <w:instrText xml:space="preserve"> AUTONUM  </w:instrText>
      </w:r>
      <w:r w:rsidRPr="001D3FDF">
        <w:fldChar w:fldCharType="end"/>
      </w:r>
      <w:r w:rsidRPr="001D3FDF">
        <w:tab/>
      </w:r>
      <w:r w:rsidR="007659CF" w:rsidRPr="00F07B06">
        <w:t>The T</w:t>
      </w:r>
      <w:r w:rsidR="007659CF">
        <w:rPr>
          <w:rFonts w:hint="eastAsia"/>
          <w:lang w:eastAsia="ja-JP"/>
        </w:rPr>
        <w:t>C</w:t>
      </w:r>
      <w:r w:rsidR="007659CF" w:rsidRPr="00F07B06">
        <w:rPr>
          <w:rStyle w:val="FootnoteReference"/>
          <w:lang w:eastAsia="ja-JP"/>
        </w:rPr>
        <w:footnoteReference w:id="5"/>
      </w:r>
      <w:r w:rsidR="007659CF" w:rsidRPr="00F07B06">
        <w:t xml:space="preserve">, </w:t>
      </w:r>
      <w:r w:rsidR="00FD045B">
        <w:t>at its sixt</w:t>
      </w:r>
      <w:r w:rsidR="007659CF">
        <w:rPr>
          <w:rFonts w:hint="eastAsia"/>
          <w:lang w:eastAsia="ja-JP"/>
        </w:rPr>
        <w:t>y-first</w:t>
      </w:r>
      <w:r w:rsidR="00FD045B">
        <w:t xml:space="preserve"> session,</w:t>
      </w:r>
      <w:r>
        <w:t xml:space="preserve"> noted discussions on confidentiality and ownership of molecular information at the TWP sessions in 2025</w:t>
      </w:r>
      <w:r w:rsidR="000A58C2">
        <w:t xml:space="preserve">, as provided in </w:t>
      </w:r>
      <w:r w:rsidR="0099138F" w:rsidRPr="00871646">
        <w:t xml:space="preserve">Annex </w:t>
      </w:r>
      <w:r w:rsidR="002377B9" w:rsidRPr="00871646">
        <w:rPr>
          <w:rFonts w:hint="eastAsia"/>
          <w:lang w:eastAsia="ja-JP"/>
        </w:rPr>
        <w:t>I</w:t>
      </w:r>
      <w:r w:rsidR="0099138F" w:rsidRPr="00871646">
        <w:t xml:space="preserve"> to</w:t>
      </w:r>
      <w:r w:rsidR="0099138F">
        <w:t xml:space="preserve"> this document. </w:t>
      </w:r>
    </w:p>
    <w:p w14:paraId="50438359" w14:textId="77777777" w:rsidR="00006D6B" w:rsidRDefault="00006D6B" w:rsidP="00006D6B"/>
    <w:p w14:paraId="6F46054B" w14:textId="43741B70" w:rsidR="00006D6B" w:rsidRDefault="00006D6B" w:rsidP="00006D6B">
      <w:r w:rsidRPr="001D3FDF">
        <w:fldChar w:fldCharType="begin"/>
      </w:r>
      <w:r w:rsidRPr="001D3FDF">
        <w:instrText xml:space="preserve"> AUTONUM  </w:instrText>
      </w:r>
      <w:r w:rsidRPr="001D3FDF">
        <w:fldChar w:fldCharType="end"/>
      </w:r>
      <w:r w:rsidRPr="001D3FDF">
        <w:tab/>
      </w:r>
      <w:r>
        <w:t>The TC agreed to invite the TWPs to organize future discussions on confidentiality and ownership of molecular information based on concrete cases and specific situations.</w:t>
      </w:r>
    </w:p>
    <w:p w14:paraId="5AD9ABDA" w14:textId="77777777" w:rsidR="00006D6B" w:rsidRDefault="00006D6B" w:rsidP="00006D6B"/>
    <w:p w14:paraId="228DCF13" w14:textId="2F73496C" w:rsidR="00006D6B" w:rsidRDefault="00006D6B" w:rsidP="00006D6B">
      <w:r w:rsidRPr="001D3FDF">
        <w:fldChar w:fldCharType="begin"/>
      </w:r>
      <w:r w:rsidRPr="001D3FDF">
        <w:instrText xml:space="preserve"> AUTONUM  </w:instrText>
      </w:r>
      <w:r w:rsidRPr="001D3FDF">
        <w:fldChar w:fldCharType="end"/>
      </w:r>
      <w:r w:rsidRPr="001D3FDF">
        <w:tab/>
      </w:r>
      <w:r>
        <w:t>The TC agreed to invite the TWPs to discuss cooperation on the use of molecular information, such as at the 2025 sessions of the TWO (joint development of molecular markers) and TWV (managing variety collections and variety identification).</w:t>
      </w:r>
    </w:p>
    <w:p w14:paraId="3FC54F8E" w14:textId="77777777" w:rsidR="00006D6B" w:rsidRDefault="00006D6B" w:rsidP="00006D6B"/>
    <w:p w14:paraId="1B19DD1C" w14:textId="4A85281C" w:rsidR="000645DC" w:rsidRDefault="00006D6B" w:rsidP="00006D6B">
      <w:r w:rsidRPr="001D3FDF">
        <w:fldChar w:fldCharType="begin"/>
      </w:r>
      <w:r w:rsidRPr="001D3FDF">
        <w:instrText xml:space="preserve"> AUTONUM  </w:instrText>
      </w:r>
      <w:r w:rsidRPr="001D3FDF">
        <w:fldChar w:fldCharType="end"/>
      </w:r>
      <w:r w:rsidRPr="001D3FDF">
        <w:tab/>
      </w:r>
      <w:r>
        <w:t xml:space="preserve">The TC noted the “Policy on the status of plant material submitted for DUS testing purposes” reported by the European Union at the TWA, as provided in document SESSIONS/2025/6, paragraph 29 (available at: </w:t>
      </w:r>
      <w:hyperlink r:id="rId12" w:history="1">
        <w:r w:rsidR="00190DEE" w:rsidRPr="006C0966">
          <w:rPr>
            <w:rStyle w:val="Hyperlink"/>
          </w:rPr>
          <w:t>https://cpvo.europa.eu/en/cpvo-policy-status-plant-material-used-dus-testing-purposes</w:t>
        </w:r>
      </w:hyperlink>
      <w:r>
        <w:t>). The TC noted that examples of policies and contracts for material submitted by the breeder were provided in document TGP/5, Section 11.</w:t>
      </w:r>
    </w:p>
    <w:p w14:paraId="4F29A0E3" w14:textId="77777777" w:rsidR="000645DC" w:rsidRDefault="000645DC" w:rsidP="00006D6B"/>
    <w:p w14:paraId="73479031" w14:textId="14CA0E21" w:rsidR="0056055F" w:rsidRDefault="0056055F" w:rsidP="00006D6B">
      <w:r>
        <w:fldChar w:fldCharType="begin"/>
      </w:r>
      <w:r>
        <w:instrText xml:space="preserve"> AUTONUM  </w:instrText>
      </w:r>
      <w:r>
        <w:fldChar w:fldCharType="end"/>
      </w:r>
      <w:r>
        <w:tab/>
      </w:r>
      <w:r w:rsidRPr="0056055F">
        <w:t>Following the TC session, the European Union requested the UPOV Office to update the policy currently provided in document TGP/5, Section 11</w:t>
      </w:r>
      <w:r>
        <w:t xml:space="preserve"> which will </w:t>
      </w:r>
      <w:r w:rsidRPr="0056055F">
        <w:t xml:space="preserve">be put forward for adoption by the Council, at its sixtieth ordinary session, </w:t>
      </w:r>
      <w:r>
        <w:t>to be held on October 23, 2026</w:t>
      </w:r>
      <w:r w:rsidRPr="0056055F">
        <w:t>.</w:t>
      </w:r>
    </w:p>
    <w:p w14:paraId="3E4068B3" w14:textId="77777777" w:rsidR="0056055F" w:rsidRDefault="0056055F" w:rsidP="00006D6B"/>
    <w:p w14:paraId="4EADFF45" w14:textId="1E85855A" w:rsidR="0021426E" w:rsidRPr="001D3FDF" w:rsidRDefault="0021426E" w:rsidP="0021426E">
      <w:pPr>
        <w:pStyle w:val="Heading2"/>
      </w:pPr>
      <w:bookmarkStart w:id="10" w:name="_Toc228293035"/>
      <w:r>
        <w:rPr>
          <w:rFonts w:hint="eastAsia"/>
          <w:lang w:eastAsia="ja-JP"/>
        </w:rPr>
        <w:t>Proposal</w:t>
      </w:r>
      <w:bookmarkEnd w:id="10"/>
    </w:p>
    <w:p w14:paraId="0426D8DB" w14:textId="77777777" w:rsidR="0021426E" w:rsidRDefault="0021426E" w:rsidP="0021426E"/>
    <w:p w14:paraId="7CB88AB3" w14:textId="4F43E100" w:rsidR="0021426E" w:rsidRDefault="0021426E" w:rsidP="00006D6B">
      <w:r w:rsidRPr="001D3FDF">
        <w:fldChar w:fldCharType="begin"/>
      </w:r>
      <w:r w:rsidRPr="001D3FDF">
        <w:instrText xml:space="preserve"> AUTONUM  </w:instrText>
      </w:r>
      <w:r w:rsidRPr="001D3FDF">
        <w:fldChar w:fldCharType="end"/>
      </w:r>
      <w:r w:rsidRPr="001D3FDF">
        <w:tab/>
      </w:r>
      <w:r w:rsidR="0056055F">
        <w:rPr>
          <w:lang w:eastAsia="ja-JP"/>
        </w:rPr>
        <w:t>The</w:t>
      </w:r>
      <w:r>
        <w:rPr>
          <w:rFonts w:hint="eastAsia"/>
          <w:lang w:eastAsia="ja-JP"/>
        </w:rPr>
        <w:t xml:space="preserve"> TWPs are invited to </w:t>
      </w:r>
      <w:r w:rsidR="00010B95">
        <w:rPr>
          <w:lang w:eastAsia="ja-JP"/>
        </w:rPr>
        <w:t xml:space="preserve">propose topics and organize </w:t>
      </w:r>
      <w:r>
        <w:rPr>
          <w:rFonts w:hint="eastAsia"/>
          <w:lang w:eastAsia="ja-JP"/>
        </w:rPr>
        <w:t>discuss</w:t>
      </w:r>
      <w:r w:rsidR="00010B95">
        <w:rPr>
          <w:lang w:eastAsia="ja-JP"/>
        </w:rPr>
        <w:t>ions on</w:t>
      </w:r>
      <w:r>
        <w:rPr>
          <w:rFonts w:hint="eastAsia"/>
          <w:lang w:eastAsia="ja-JP"/>
        </w:rPr>
        <w:t xml:space="preserve"> cooperation on the use of molecular </w:t>
      </w:r>
      <w:r>
        <w:rPr>
          <w:lang w:eastAsia="ja-JP"/>
        </w:rPr>
        <w:t>information</w:t>
      </w:r>
      <w:r w:rsidR="0056055F">
        <w:rPr>
          <w:lang w:eastAsia="ja-JP"/>
        </w:rPr>
        <w:t xml:space="preserve">, such as the </w:t>
      </w:r>
      <w:r w:rsidR="00260357" w:rsidRPr="00260357">
        <w:rPr>
          <w:lang w:eastAsia="ja-JP"/>
        </w:rPr>
        <w:t xml:space="preserve">joint development of molecular markers, </w:t>
      </w:r>
      <w:r w:rsidR="00BF352C" w:rsidRPr="00226B9A">
        <w:t>select</w:t>
      </w:r>
      <w:r w:rsidR="00010B95">
        <w:t>ion of</w:t>
      </w:r>
      <w:r w:rsidR="00BF352C" w:rsidRPr="00226B9A">
        <w:t xml:space="preserve"> molecular markers for variety identification and </w:t>
      </w:r>
      <w:r w:rsidR="00010B95">
        <w:t>management of</w:t>
      </w:r>
      <w:r w:rsidR="00BF352C" w:rsidRPr="00226B9A">
        <w:t xml:space="preserve"> variety collections</w:t>
      </w:r>
      <w:r>
        <w:t>.</w:t>
      </w:r>
    </w:p>
    <w:p w14:paraId="72E9E328" w14:textId="77777777" w:rsidR="00010B95" w:rsidRDefault="00010B95" w:rsidP="00006D6B"/>
    <w:p w14:paraId="1536076F" w14:textId="5113C300" w:rsidR="00010B95" w:rsidRDefault="00010B95" w:rsidP="00006D6B">
      <w:r>
        <w:fldChar w:fldCharType="begin"/>
      </w:r>
      <w:r>
        <w:instrText xml:space="preserve"> AUTONUM  </w:instrText>
      </w:r>
      <w:r>
        <w:fldChar w:fldCharType="end"/>
      </w:r>
      <w:r>
        <w:tab/>
        <w:t xml:space="preserve">The TWPs are invited </w:t>
      </w:r>
      <w:r w:rsidRPr="00010B95">
        <w:t xml:space="preserve">to </w:t>
      </w:r>
      <w:r>
        <w:t xml:space="preserve">propose topics and </w:t>
      </w:r>
      <w:r w:rsidRPr="00010B95">
        <w:t>organize discussions on confidentiality and ownership of molecular information based on concrete cases and specific situations.</w:t>
      </w:r>
    </w:p>
    <w:p w14:paraId="537AAA26" w14:textId="77777777" w:rsidR="00010B95" w:rsidRDefault="00010B95" w:rsidP="00006D6B"/>
    <w:p w14:paraId="31393F64" w14:textId="77777777" w:rsidR="000A58C2" w:rsidRPr="00190DEE" w:rsidRDefault="00006D6B" w:rsidP="0008490F">
      <w:pPr>
        <w:pStyle w:val="DecisionParagraphs"/>
      </w:pPr>
      <w:r w:rsidRPr="00190DEE">
        <w:fldChar w:fldCharType="begin"/>
      </w:r>
      <w:r w:rsidRPr="00190DEE">
        <w:instrText xml:space="preserve"> AUTONUM  </w:instrText>
      </w:r>
      <w:r w:rsidRPr="00190DEE">
        <w:fldChar w:fldCharType="end"/>
      </w:r>
      <w:r w:rsidRPr="00190DEE">
        <w:tab/>
        <w:t>The TWPs are invited to</w:t>
      </w:r>
      <w:r w:rsidR="000A58C2" w:rsidRPr="00190DEE">
        <w:t>:</w:t>
      </w:r>
    </w:p>
    <w:p w14:paraId="1736E9CE" w14:textId="77777777" w:rsidR="000A58C2" w:rsidRPr="00190DEE" w:rsidRDefault="000A58C2" w:rsidP="00006D6B">
      <w:pPr>
        <w:tabs>
          <w:tab w:val="left" w:pos="5387"/>
        </w:tabs>
        <w:ind w:left="4820"/>
        <w:rPr>
          <w:i/>
          <w:iCs/>
        </w:rPr>
      </w:pPr>
    </w:p>
    <w:p w14:paraId="37D95158" w14:textId="7D7CCFE8" w:rsidR="00EA4EB9" w:rsidRDefault="000A58C2" w:rsidP="00EA4EB9">
      <w:pPr>
        <w:tabs>
          <w:tab w:val="left" w:pos="5387"/>
          <w:tab w:val="left" w:pos="5954"/>
        </w:tabs>
        <w:ind w:left="4820"/>
        <w:rPr>
          <w:i/>
          <w:iCs/>
        </w:rPr>
      </w:pPr>
      <w:r w:rsidRPr="00190DEE">
        <w:rPr>
          <w:i/>
          <w:iCs/>
        </w:rPr>
        <w:tab/>
      </w:r>
      <w:r w:rsidR="00EA4EB9" w:rsidRPr="00190DEE">
        <w:rPr>
          <w:i/>
          <w:iCs/>
        </w:rPr>
        <w:t>(a)</w:t>
      </w:r>
      <w:r w:rsidR="00EA4EB9" w:rsidRPr="00190DEE">
        <w:rPr>
          <w:i/>
          <w:iCs/>
        </w:rPr>
        <w:tab/>
        <w:t xml:space="preserve">note </w:t>
      </w:r>
      <w:r w:rsidR="0013797B">
        <w:rPr>
          <w:i/>
          <w:iCs/>
        </w:rPr>
        <w:t xml:space="preserve">that </w:t>
      </w:r>
      <w:r w:rsidR="00EA4EB9" w:rsidRPr="00190DEE">
        <w:rPr>
          <w:i/>
          <w:iCs/>
        </w:rPr>
        <w:t>the “Policy on the status of plant</w:t>
      </w:r>
      <w:r w:rsidR="00EA4EB9" w:rsidRPr="00EA4EB9">
        <w:rPr>
          <w:i/>
          <w:iCs/>
        </w:rPr>
        <w:t xml:space="preserve"> material submitted for DUS testing purposes” reported by the European Union</w:t>
      </w:r>
      <w:r w:rsidR="0013797B">
        <w:rPr>
          <w:i/>
          <w:iCs/>
        </w:rPr>
        <w:t xml:space="preserve"> will be included in a revision of document TGP/5, Section 11 “E</w:t>
      </w:r>
      <w:r w:rsidR="0013797B" w:rsidRPr="0013797B">
        <w:rPr>
          <w:i/>
          <w:iCs/>
        </w:rPr>
        <w:t>xamples of Policies and Contracts for Material Submitted by the Breeder</w:t>
      </w:r>
      <w:proofErr w:type="gramStart"/>
      <w:r w:rsidR="0013797B">
        <w:rPr>
          <w:i/>
          <w:iCs/>
        </w:rPr>
        <w:t>”</w:t>
      </w:r>
      <w:r w:rsidR="00EA4EB9">
        <w:rPr>
          <w:i/>
          <w:iCs/>
        </w:rPr>
        <w:t>;</w:t>
      </w:r>
      <w:proofErr w:type="gramEnd"/>
    </w:p>
    <w:p w14:paraId="4F5316EA" w14:textId="77777777" w:rsidR="00EA4EB9" w:rsidRPr="007A60C4" w:rsidRDefault="00EA4EB9" w:rsidP="00EA4EB9">
      <w:pPr>
        <w:tabs>
          <w:tab w:val="left" w:pos="5387"/>
          <w:tab w:val="left" w:pos="5954"/>
        </w:tabs>
        <w:ind w:left="4820"/>
        <w:rPr>
          <w:i/>
          <w:iCs/>
        </w:rPr>
      </w:pPr>
    </w:p>
    <w:p w14:paraId="7FF926F8" w14:textId="586A3866" w:rsidR="00006D6B" w:rsidRDefault="00EA4EB9" w:rsidP="00F95368">
      <w:pPr>
        <w:keepLines/>
        <w:tabs>
          <w:tab w:val="left" w:pos="5387"/>
          <w:tab w:val="left" w:pos="5954"/>
        </w:tabs>
        <w:ind w:left="4820"/>
        <w:rPr>
          <w:i/>
          <w:iCs/>
        </w:rPr>
      </w:pPr>
      <w:r w:rsidRPr="00190DEE">
        <w:rPr>
          <w:i/>
          <w:iCs/>
        </w:rPr>
        <w:lastRenderedPageBreak/>
        <w:tab/>
      </w:r>
      <w:r w:rsidR="000A58C2" w:rsidRPr="00190DEE">
        <w:rPr>
          <w:i/>
          <w:iCs/>
        </w:rPr>
        <w:t>(</w:t>
      </w:r>
      <w:r w:rsidRPr="00190DEE">
        <w:rPr>
          <w:i/>
          <w:iCs/>
        </w:rPr>
        <w:t>b</w:t>
      </w:r>
      <w:r w:rsidR="000A58C2" w:rsidRPr="00190DEE">
        <w:rPr>
          <w:i/>
          <w:iCs/>
        </w:rPr>
        <w:t>)</w:t>
      </w:r>
      <w:r w:rsidR="000A58C2" w:rsidRPr="00190DEE">
        <w:rPr>
          <w:i/>
          <w:iCs/>
        </w:rPr>
        <w:tab/>
      </w:r>
      <w:r w:rsidR="0013797B" w:rsidRPr="0013797B">
        <w:rPr>
          <w:i/>
          <w:iCs/>
        </w:rPr>
        <w:t xml:space="preserve">propose topics and organize discussions on cooperation on the use of molecular information, such as </w:t>
      </w:r>
      <w:r w:rsidR="001F14FD">
        <w:rPr>
          <w:i/>
          <w:iCs/>
        </w:rPr>
        <w:t xml:space="preserve">the </w:t>
      </w:r>
      <w:r w:rsidR="0013797B" w:rsidRPr="0013797B">
        <w:rPr>
          <w:i/>
          <w:iCs/>
        </w:rPr>
        <w:t>joint development of molecular markers, selection of molecular markers for variety identification and management of variety collections</w:t>
      </w:r>
      <w:r w:rsidR="000A58C2" w:rsidRPr="00190DEE">
        <w:rPr>
          <w:i/>
          <w:iCs/>
        </w:rPr>
        <w:t>;</w:t>
      </w:r>
      <w:r w:rsidRPr="00190DEE">
        <w:rPr>
          <w:i/>
          <w:iCs/>
        </w:rPr>
        <w:t xml:space="preserve"> and</w:t>
      </w:r>
    </w:p>
    <w:p w14:paraId="5FD13C83" w14:textId="77777777" w:rsidR="000A58C2" w:rsidRDefault="000A58C2" w:rsidP="000A58C2">
      <w:pPr>
        <w:tabs>
          <w:tab w:val="left" w:pos="5387"/>
          <w:tab w:val="left" w:pos="5954"/>
        </w:tabs>
        <w:ind w:left="4820"/>
        <w:rPr>
          <w:i/>
          <w:iCs/>
        </w:rPr>
      </w:pPr>
    </w:p>
    <w:p w14:paraId="7550E22E" w14:textId="1A2A24D0" w:rsidR="000A58C2" w:rsidRDefault="000A58C2" w:rsidP="000A58C2">
      <w:pPr>
        <w:tabs>
          <w:tab w:val="left" w:pos="5387"/>
          <w:tab w:val="left" w:pos="5954"/>
        </w:tabs>
        <w:ind w:left="4820"/>
        <w:rPr>
          <w:i/>
          <w:iCs/>
        </w:rPr>
      </w:pPr>
      <w:r>
        <w:rPr>
          <w:i/>
          <w:iCs/>
        </w:rPr>
        <w:tab/>
        <w:t>(</w:t>
      </w:r>
      <w:r w:rsidR="00EA4EB9">
        <w:rPr>
          <w:i/>
          <w:iCs/>
        </w:rPr>
        <w:t>c</w:t>
      </w:r>
      <w:r>
        <w:rPr>
          <w:i/>
          <w:iCs/>
        </w:rPr>
        <w:t>)</w:t>
      </w:r>
      <w:r>
        <w:rPr>
          <w:i/>
          <w:iCs/>
        </w:rPr>
        <w:tab/>
      </w:r>
      <w:r w:rsidR="0013797B" w:rsidRPr="0013797B">
        <w:rPr>
          <w:i/>
          <w:iCs/>
        </w:rPr>
        <w:t>propose topics and organize discussions on confidentiality and ownership of molecular information based on concrete cases and specific situations</w:t>
      </w:r>
      <w:r w:rsidR="00EA4EB9">
        <w:rPr>
          <w:i/>
          <w:iCs/>
        </w:rPr>
        <w:t>.</w:t>
      </w:r>
    </w:p>
    <w:p w14:paraId="34125C33" w14:textId="77777777" w:rsidR="00006D6B" w:rsidRDefault="00006D6B" w:rsidP="0013127A"/>
    <w:p w14:paraId="702AC315" w14:textId="77777777" w:rsidR="00815D6D" w:rsidRDefault="00815D6D" w:rsidP="0013127A"/>
    <w:p w14:paraId="1A860598" w14:textId="535B240C" w:rsidR="00815D6D" w:rsidRPr="00C128CE" w:rsidRDefault="00815D6D" w:rsidP="00C128CE">
      <w:pPr>
        <w:pStyle w:val="Heading1"/>
      </w:pPr>
      <w:bookmarkStart w:id="11" w:name="_Toc228293036"/>
      <w:r w:rsidRPr="00C128CE">
        <w:t>COOPERATION BETWEEN INTERNATIONAL ORGANIZATIONS</w:t>
      </w:r>
      <w:bookmarkEnd w:id="11"/>
    </w:p>
    <w:p w14:paraId="21B8B286" w14:textId="77777777" w:rsidR="00815D6D" w:rsidRDefault="00815D6D" w:rsidP="00815D6D"/>
    <w:p w14:paraId="2DFB6E27" w14:textId="77777777" w:rsidR="000C7E02" w:rsidRPr="001D3FDF" w:rsidRDefault="000C7E02" w:rsidP="00492E42">
      <w:pPr>
        <w:pStyle w:val="Heading2"/>
      </w:pPr>
      <w:bookmarkStart w:id="12" w:name="_Toc228293037"/>
      <w:r>
        <w:rPr>
          <w:lang w:eastAsia="ja-JP"/>
        </w:rPr>
        <w:t>Background</w:t>
      </w:r>
      <w:bookmarkEnd w:id="12"/>
    </w:p>
    <w:p w14:paraId="49FC618E" w14:textId="77777777" w:rsidR="00492E42" w:rsidRPr="00492E42" w:rsidRDefault="00492E42" w:rsidP="00492E42">
      <w:pPr>
        <w:keepNext/>
        <w:keepLines/>
        <w:rPr>
          <w:snapToGrid w:val="0"/>
          <w:lang w:eastAsia="ja-JP"/>
        </w:rPr>
      </w:pPr>
    </w:p>
    <w:p w14:paraId="72376C36" w14:textId="77777777" w:rsidR="00492E42" w:rsidRPr="00492E42" w:rsidRDefault="00492E42" w:rsidP="00492E42">
      <w:pPr>
        <w:keepNext/>
        <w:keepLines/>
        <w:contextualSpacing/>
        <w:rPr>
          <w:rFonts w:cs="Calibri"/>
          <w:szCs w:val="22"/>
          <w:lang w:eastAsia="ja-JP"/>
          <w14:ligatures w14:val="standardContextual"/>
        </w:rPr>
      </w:pPr>
      <w:r w:rsidRPr="00492E42">
        <w:rPr>
          <w:rFonts w:eastAsiaTheme="minorHAnsi" w:cs="Calibri"/>
          <w:szCs w:val="22"/>
          <w14:ligatures w14:val="standardContextual"/>
        </w:rPr>
        <w:fldChar w:fldCharType="begin"/>
      </w:r>
      <w:r w:rsidRPr="00492E42">
        <w:rPr>
          <w:rFonts w:eastAsiaTheme="minorHAnsi" w:cs="Calibri"/>
          <w:szCs w:val="22"/>
          <w14:ligatures w14:val="standardContextual"/>
        </w:rPr>
        <w:instrText xml:space="preserve"> AUTONUM  </w:instrText>
      </w:r>
      <w:r w:rsidRPr="00492E42">
        <w:rPr>
          <w:rFonts w:eastAsiaTheme="minorHAnsi" w:cs="Calibri"/>
          <w:szCs w:val="22"/>
          <w14:ligatures w14:val="standardContextual"/>
        </w:rPr>
        <w:fldChar w:fldCharType="end"/>
      </w:r>
      <w:r w:rsidRPr="00492E42">
        <w:rPr>
          <w:rFonts w:eastAsiaTheme="minorHAnsi" w:cs="Calibri"/>
          <w:szCs w:val="22"/>
          <w14:ligatures w14:val="standardContextual"/>
        </w:rPr>
        <w:tab/>
        <w:t>The T</w:t>
      </w:r>
      <w:r w:rsidRPr="00492E42">
        <w:rPr>
          <w:rFonts w:cs="Calibri" w:hint="eastAsia"/>
          <w:szCs w:val="22"/>
          <w:lang w:eastAsia="ja-JP"/>
          <w14:ligatures w14:val="standardContextual"/>
        </w:rPr>
        <w:t>C</w:t>
      </w:r>
      <w:r w:rsidRPr="00492E42">
        <w:rPr>
          <w:rFonts w:eastAsiaTheme="minorHAnsi" w:cs="Calibri"/>
          <w:szCs w:val="22"/>
          <w:vertAlign w:val="superscript"/>
          <w14:ligatures w14:val="standardContextual"/>
        </w:rPr>
        <w:footnoteReference w:id="6"/>
      </w:r>
      <w:r w:rsidRPr="00492E42">
        <w:rPr>
          <w:rFonts w:eastAsiaTheme="minorHAnsi" w:cs="Calibri"/>
          <w:szCs w:val="22"/>
          <w14:ligatures w14:val="standardContextual"/>
        </w:rPr>
        <w:t>, at its fifty-seventh session, agreed to propose the following topics for a future joint UPOV/OECD/ISTA workshop:</w:t>
      </w:r>
    </w:p>
    <w:p w14:paraId="533F3579" w14:textId="77777777" w:rsidR="00492E42" w:rsidRPr="00492E42" w:rsidRDefault="00492E42" w:rsidP="00492E42">
      <w:pPr>
        <w:contextualSpacing/>
        <w:rPr>
          <w:rFonts w:cs="Calibri"/>
          <w:szCs w:val="22"/>
          <w:lang w:eastAsia="ja-JP"/>
          <w14:ligatures w14:val="standardContextual"/>
        </w:rPr>
      </w:pPr>
    </w:p>
    <w:p w14:paraId="3AF3457D" w14:textId="77777777" w:rsidR="00492E42" w:rsidRPr="00492E42" w:rsidRDefault="00492E42" w:rsidP="00492E42">
      <w:pPr>
        <w:numPr>
          <w:ilvl w:val="0"/>
          <w:numId w:val="13"/>
        </w:numPr>
        <w:ind w:left="1134" w:hanging="567"/>
        <w:contextualSpacing/>
        <w:rPr>
          <w:rFonts w:eastAsiaTheme="minorHAnsi" w:cs="Calibri"/>
          <w:szCs w:val="22"/>
          <w14:ligatures w14:val="standardContextual"/>
        </w:rPr>
      </w:pPr>
      <w:r w:rsidRPr="00492E42">
        <w:rPr>
          <w:rFonts w:eastAsiaTheme="minorHAnsi" w:cs="Calibri"/>
          <w:szCs w:val="22"/>
          <w14:ligatures w14:val="standardContextual"/>
        </w:rPr>
        <w:t xml:space="preserve">providing information on the use of molecular techniques in each </w:t>
      </w:r>
      <w:proofErr w:type="gramStart"/>
      <w:r w:rsidRPr="00492E42">
        <w:rPr>
          <w:rFonts w:eastAsiaTheme="minorHAnsi" w:cs="Calibri"/>
          <w:szCs w:val="22"/>
          <w14:ligatures w14:val="standardContextual"/>
        </w:rPr>
        <w:t>organization;</w:t>
      </w:r>
      <w:proofErr w:type="gramEnd"/>
    </w:p>
    <w:p w14:paraId="21BDA0C8" w14:textId="77777777" w:rsidR="00492E42" w:rsidRPr="00492E42" w:rsidRDefault="00492E42" w:rsidP="00492E42">
      <w:pPr>
        <w:numPr>
          <w:ilvl w:val="0"/>
          <w:numId w:val="13"/>
        </w:numPr>
        <w:ind w:left="1134" w:hanging="567"/>
        <w:contextualSpacing/>
        <w:rPr>
          <w:rFonts w:eastAsiaTheme="minorHAnsi" w:cs="Calibri"/>
          <w:szCs w:val="22"/>
          <w14:ligatures w14:val="standardContextual"/>
        </w:rPr>
      </w:pPr>
      <w:r w:rsidRPr="00492E42">
        <w:rPr>
          <w:rFonts w:eastAsiaTheme="minorHAnsi" w:cs="Calibri"/>
          <w:szCs w:val="22"/>
          <w14:ligatures w14:val="standardContextual"/>
        </w:rPr>
        <w:t>procedure for approval of biochemical and molecular methods in each organization; and</w:t>
      </w:r>
    </w:p>
    <w:p w14:paraId="02CDE05E" w14:textId="77777777" w:rsidR="00492E42" w:rsidRPr="00492E42" w:rsidRDefault="00492E42" w:rsidP="00492E42">
      <w:pPr>
        <w:numPr>
          <w:ilvl w:val="0"/>
          <w:numId w:val="13"/>
        </w:numPr>
        <w:ind w:left="1134" w:hanging="567"/>
        <w:contextualSpacing/>
        <w:rPr>
          <w:rFonts w:eastAsiaTheme="minorHAnsi" w:cs="Calibri"/>
          <w:szCs w:val="22"/>
          <w14:ligatures w14:val="standardContextual"/>
        </w:rPr>
      </w:pPr>
      <w:r w:rsidRPr="00492E42">
        <w:rPr>
          <w:rFonts w:eastAsiaTheme="minorHAnsi" w:cs="Calibri"/>
          <w:szCs w:val="22"/>
          <w14:ligatures w14:val="standardContextual"/>
        </w:rPr>
        <w:t>possibilities for harmonizing terms, definitions and methods between UPOV, OECD and ISTA.</w:t>
      </w:r>
    </w:p>
    <w:p w14:paraId="2F25231B" w14:textId="77777777" w:rsidR="00492E42" w:rsidRPr="00492E42" w:rsidRDefault="00492E42" w:rsidP="00492E42">
      <w:pPr>
        <w:rPr>
          <w:snapToGrid w:val="0"/>
          <w:lang w:eastAsia="ja-JP"/>
        </w:rPr>
      </w:pPr>
    </w:p>
    <w:p w14:paraId="6162FFC7" w14:textId="77777777" w:rsidR="000C7E02" w:rsidRPr="00815D6D" w:rsidRDefault="000C7E02" w:rsidP="00815D6D"/>
    <w:p w14:paraId="33117501" w14:textId="05EC842A" w:rsidR="00815D6D" w:rsidRPr="001D3FDF" w:rsidRDefault="00815D6D" w:rsidP="00815D6D">
      <w:pPr>
        <w:pStyle w:val="Heading2"/>
      </w:pPr>
      <w:bookmarkStart w:id="13" w:name="_Toc228293038"/>
      <w:r w:rsidRPr="00815D6D">
        <w:t>Harmonizing terms, definitions and methods between UPOV, OECD and ISTA</w:t>
      </w:r>
      <w:bookmarkEnd w:id="13"/>
    </w:p>
    <w:p w14:paraId="2D7FF680" w14:textId="77777777" w:rsidR="00D824D4" w:rsidRPr="00D824D4" w:rsidRDefault="00D824D4" w:rsidP="00D824D4">
      <w:pPr>
        <w:keepNext/>
        <w:keepLines/>
        <w:rPr>
          <w:snapToGrid w:val="0"/>
          <w:lang w:eastAsia="ja-JP"/>
        </w:rPr>
      </w:pPr>
    </w:p>
    <w:p w14:paraId="21205ACD" w14:textId="79F37B50" w:rsidR="00D824D4" w:rsidRDefault="00D824D4" w:rsidP="00D824D4">
      <w:pPr>
        <w:contextualSpacing/>
        <w:rPr>
          <w:rFonts w:eastAsiaTheme="minorHAnsi" w:cs="Calibri"/>
          <w:szCs w:val="22"/>
          <w14:ligatures w14:val="standardContextual"/>
        </w:rPr>
      </w:pPr>
      <w:r w:rsidRPr="00D824D4">
        <w:rPr>
          <w:rFonts w:eastAsiaTheme="minorHAnsi" w:cs="Calibri"/>
          <w:szCs w:val="22"/>
          <w14:ligatures w14:val="standardContextual"/>
        </w:rPr>
        <w:fldChar w:fldCharType="begin"/>
      </w:r>
      <w:r w:rsidRPr="00D824D4">
        <w:rPr>
          <w:rFonts w:eastAsiaTheme="minorHAnsi" w:cs="Calibri"/>
          <w:szCs w:val="22"/>
          <w14:ligatures w14:val="standardContextual"/>
        </w:rPr>
        <w:instrText xml:space="preserve"> AUTONUM  </w:instrText>
      </w:r>
      <w:r w:rsidRPr="00D824D4">
        <w:rPr>
          <w:rFonts w:eastAsiaTheme="minorHAnsi" w:cs="Calibri"/>
          <w:szCs w:val="22"/>
          <w14:ligatures w14:val="standardContextual"/>
        </w:rPr>
        <w:fldChar w:fldCharType="end"/>
      </w:r>
      <w:r w:rsidRPr="00D824D4">
        <w:rPr>
          <w:rFonts w:eastAsiaTheme="minorHAnsi" w:cs="Calibri"/>
          <w:szCs w:val="22"/>
          <w14:ligatures w14:val="standardContextual"/>
        </w:rPr>
        <w:tab/>
        <w:t>The T</w:t>
      </w:r>
      <w:r w:rsidRPr="00D824D4">
        <w:rPr>
          <w:rFonts w:cs="Calibri" w:hint="eastAsia"/>
          <w:szCs w:val="22"/>
          <w:lang w:eastAsia="ja-JP"/>
          <w14:ligatures w14:val="standardContextual"/>
        </w:rPr>
        <w:t>WM</w:t>
      </w:r>
      <w:r w:rsidRPr="00D824D4">
        <w:rPr>
          <w:rFonts w:eastAsiaTheme="minorHAnsi" w:cs="Calibri"/>
          <w:szCs w:val="22"/>
          <w:vertAlign w:val="superscript"/>
          <w14:ligatures w14:val="standardContextual"/>
        </w:rPr>
        <w:footnoteReference w:id="7"/>
      </w:r>
      <w:r w:rsidRPr="00D824D4">
        <w:rPr>
          <w:rFonts w:eastAsiaTheme="minorHAnsi" w:cs="Calibri"/>
          <w:szCs w:val="22"/>
          <w14:ligatures w14:val="standardContextual"/>
        </w:rPr>
        <w:t xml:space="preserve">, at its </w:t>
      </w:r>
      <w:r w:rsidRPr="00D824D4">
        <w:rPr>
          <w:rFonts w:cs="Calibri" w:hint="eastAsia"/>
          <w:szCs w:val="22"/>
          <w:lang w:eastAsia="ja-JP"/>
          <w14:ligatures w14:val="standardContextual"/>
        </w:rPr>
        <w:t>third</w:t>
      </w:r>
      <w:r w:rsidRPr="00D824D4">
        <w:rPr>
          <w:rFonts w:eastAsiaTheme="minorHAnsi" w:cs="Calibri"/>
          <w:szCs w:val="22"/>
          <w14:ligatures w14:val="standardContextual"/>
        </w:rPr>
        <w:t xml:space="preserve"> session, considered possible joint activities with OECD and ISTA and the possible harmonization </w:t>
      </w:r>
      <w:bookmarkStart w:id="14" w:name="_Hlk201678787"/>
      <w:r w:rsidRPr="00D824D4">
        <w:rPr>
          <w:rFonts w:eastAsiaTheme="minorHAnsi" w:cs="Calibri"/>
          <w:szCs w:val="22"/>
          <w14:ligatures w14:val="standardContextual"/>
        </w:rPr>
        <w:t>of terms, definitions and methods in relation to molecular techniques</w:t>
      </w:r>
      <w:bookmarkEnd w:id="14"/>
      <w:r w:rsidRPr="00D824D4">
        <w:rPr>
          <w:rFonts w:eastAsiaTheme="minorHAnsi" w:cs="Calibri"/>
          <w:szCs w:val="22"/>
          <w14:ligatures w14:val="standardContextual"/>
        </w:rPr>
        <w:t xml:space="preserve">. The TWM agreed to invite the expert from France to coordinate discussions to organize relevant information on terms and definitions. The TWM noted the expression of interest of the experts from Argentina, China, Germany, Netherlands (Kingdom of the), </w:t>
      </w:r>
      <w:r w:rsidR="0008490F">
        <w:rPr>
          <w:rFonts w:eastAsiaTheme="minorHAnsi" w:cs="Calibri"/>
          <w:szCs w:val="22"/>
          <w14:ligatures w14:val="standardContextual"/>
        </w:rPr>
        <w:t xml:space="preserve">the </w:t>
      </w:r>
      <w:r w:rsidRPr="00D824D4">
        <w:rPr>
          <w:rFonts w:eastAsiaTheme="minorHAnsi" w:cs="Calibri"/>
          <w:szCs w:val="22"/>
          <w14:ligatures w14:val="standardContextual"/>
        </w:rPr>
        <w:t xml:space="preserve">United Kingdom, CIOPORA and ISF to contribute to the exercise. </w:t>
      </w:r>
    </w:p>
    <w:p w14:paraId="224C80F3" w14:textId="77777777" w:rsidR="00D824D4" w:rsidRPr="00D824D4" w:rsidRDefault="00D824D4" w:rsidP="00D824D4">
      <w:pPr>
        <w:contextualSpacing/>
        <w:rPr>
          <w:rFonts w:cs="Calibri"/>
          <w:szCs w:val="22"/>
          <w:lang w:eastAsia="ja-JP"/>
          <w14:ligatures w14:val="standardContextual"/>
        </w:rPr>
      </w:pPr>
    </w:p>
    <w:p w14:paraId="77949E19" w14:textId="3804ED41" w:rsidR="00815D6D" w:rsidRDefault="00815D6D" w:rsidP="00815D6D">
      <w:r w:rsidRPr="001D3FDF">
        <w:fldChar w:fldCharType="begin"/>
      </w:r>
      <w:r w:rsidRPr="001D3FDF">
        <w:instrText xml:space="preserve"> AUTONUM  </w:instrText>
      </w:r>
      <w:r w:rsidRPr="001D3FDF">
        <w:fldChar w:fldCharType="end"/>
      </w:r>
      <w:r w:rsidRPr="001D3FDF">
        <w:tab/>
      </w:r>
      <w:bookmarkStart w:id="15" w:name="_Hlk222393040"/>
      <w:r w:rsidR="007659CF" w:rsidRPr="00F07B06">
        <w:t>The T</w:t>
      </w:r>
      <w:r w:rsidR="007659CF">
        <w:rPr>
          <w:rFonts w:hint="eastAsia"/>
          <w:lang w:eastAsia="ja-JP"/>
        </w:rPr>
        <w:t>C</w:t>
      </w:r>
      <w:r w:rsidR="007659CF" w:rsidRPr="00F07B06">
        <w:rPr>
          <w:rStyle w:val="FootnoteReference"/>
          <w:lang w:eastAsia="ja-JP"/>
        </w:rPr>
        <w:footnoteReference w:id="8"/>
      </w:r>
      <w:r w:rsidR="007659CF" w:rsidRPr="00F07B06">
        <w:t>,</w:t>
      </w:r>
      <w:r w:rsidR="007659CF">
        <w:rPr>
          <w:rFonts w:hint="eastAsia"/>
          <w:lang w:eastAsia="ja-JP"/>
        </w:rPr>
        <w:t xml:space="preserve"> at its sixty-first session, </w:t>
      </w:r>
      <w:bookmarkEnd w:id="15"/>
      <w:r>
        <w:t xml:space="preserve">agreed to invite France, in collaboration with Argentina, China, Germany, Netherlands (Kingdom of the), </w:t>
      </w:r>
      <w:r w:rsidR="007A06D8">
        <w:t xml:space="preserve">the </w:t>
      </w:r>
      <w:r>
        <w:t>United Kingdom, CIOPORA and ISF, to advance work towards harmonizing terms and definitions on molecular techniques used in UPOV, for consideration by the TWM and the TC in 2026.</w:t>
      </w:r>
    </w:p>
    <w:p w14:paraId="5E17E1EB" w14:textId="77777777" w:rsidR="00815D6D" w:rsidRDefault="00815D6D" w:rsidP="00815D6D"/>
    <w:p w14:paraId="6C16D46D" w14:textId="5790A427" w:rsidR="000645DC" w:rsidRDefault="00815D6D" w:rsidP="00815D6D">
      <w:r w:rsidRPr="001D3FDF">
        <w:fldChar w:fldCharType="begin"/>
      </w:r>
      <w:r w:rsidRPr="001D3FDF">
        <w:instrText xml:space="preserve"> AUTONUM  </w:instrText>
      </w:r>
      <w:r w:rsidRPr="001D3FDF">
        <w:fldChar w:fldCharType="end"/>
      </w:r>
      <w:r w:rsidRPr="001D3FDF">
        <w:tab/>
      </w:r>
      <w:r>
        <w:t>The TC noted that the OECD Seed Schemes had endorsed the collaboration with UPOV for possible harmonization of definitions and terms.</w:t>
      </w:r>
    </w:p>
    <w:p w14:paraId="56EADC5C" w14:textId="77777777" w:rsidR="000645DC" w:rsidRDefault="000645DC" w:rsidP="00815D6D"/>
    <w:p w14:paraId="20B7997A" w14:textId="37D73781" w:rsidR="000645DC" w:rsidRDefault="00E82301" w:rsidP="00815D6D">
      <w:r>
        <w:fldChar w:fldCharType="begin"/>
      </w:r>
      <w:r>
        <w:instrText xml:space="preserve"> AUTONUM  </w:instrText>
      </w:r>
      <w:r>
        <w:fldChar w:fldCharType="end"/>
      </w:r>
      <w:r>
        <w:tab/>
        <w:t>On March 27, 2026, the expert from France informed the UPOV Office that</w:t>
      </w:r>
      <w:r w:rsidR="00034934">
        <w:t xml:space="preserve"> discussions were being</w:t>
      </w:r>
      <w:r>
        <w:t xml:space="preserve"> organized </w:t>
      </w:r>
      <w:r w:rsidR="00034934">
        <w:t xml:space="preserve">to develop a list of relevant terms and definitions used in UPOV, and that a proposal would be developed for consideration by the TWM and the TC </w:t>
      </w:r>
      <w:r w:rsidR="00492E42">
        <w:t>in 2026</w:t>
      </w:r>
      <w:r w:rsidR="00034934">
        <w:t xml:space="preserve">.  </w:t>
      </w:r>
    </w:p>
    <w:p w14:paraId="76546639" w14:textId="77777777" w:rsidR="00815D6D" w:rsidRPr="008D14E2" w:rsidRDefault="00815D6D" w:rsidP="0013127A">
      <w:pPr>
        <w:rPr>
          <w:i/>
          <w:iCs/>
        </w:rPr>
      </w:pPr>
    </w:p>
    <w:p w14:paraId="01C528B5" w14:textId="07A2302B" w:rsidR="00D905A5" w:rsidRPr="008D14E2" w:rsidRDefault="00D905A5" w:rsidP="007A06D8">
      <w:pPr>
        <w:pStyle w:val="DecisionParagraphs"/>
      </w:pPr>
      <w:r w:rsidRPr="008D14E2">
        <w:fldChar w:fldCharType="begin"/>
      </w:r>
      <w:r w:rsidRPr="008D14E2">
        <w:instrText xml:space="preserve"> AUTONUM  </w:instrText>
      </w:r>
      <w:r w:rsidRPr="008D14E2">
        <w:fldChar w:fldCharType="end"/>
      </w:r>
      <w:r w:rsidRPr="008D14E2">
        <w:tab/>
        <w:t xml:space="preserve">The TWPs are invited to </w:t>
      </w:r>
      <w:r w:rsidR="00492E42" w:rsidRPr="008D14E2">
        <w:rPr>
          <w:lang w:eastAsia="ja-JP"/>
        </w:rPr>
        <w:t>note developments</w:t>
      </w:r>
      <w:r w:rsidR="00D824D4" w:rsidRPr="008D14E2">
        <w:rPr>
          <w:lang w:eastAsia="ja-JP"/>
        </w:rPr>
        <w:t xml:space="preserve"> concerning </w:t>
      </w:r>
      <w:r w:rsidR="00D824D4" w:rsidRPr="00D824D4">
        <w:t>the possible harmonization of terms, definitions and methods in relation to molecular techniques</w:t>
      </w:r>
      <w:r w:rsidR="008D14E2">
        <w:t xml:space="preserve"> at UPOV, OECD and ISTA</w:t>
      </w:r>
      <w:r w:rsidRPr="008D14E2">
        <w:t>.</w:t>
      </w:r>
    </w:p>
    <w:p w14:paraId="1C5D7E49" w14:textId="77777777" w:rsidR="00815D6D" w:rsidRPr="008D14E2" w:rsidRDefault="00815D6D" w:rsidP="0013127A">
      <w:pPr>
        <w:rPr>
          <w:i/>
          <w:iCs/>
        </w:rPr>
      </w:pPr>
    </w:p>
    <w:p w14:paraId="553C0A77" w14:textId="77777777" w:rsidR="002C73C9" w:rsidRDefault="002C73C9" w:rsidP="00815D6D">
      <w:pPr>
        <w:pStyle w:val="Heading2"/>
      </w:pPr>
    </w:p>
    <w:p w14:paraId="57533130" w14:textId="40FD6C99" w:rsidR="00815D6D" w:rsidRPr="001D3FDF" w:rsidRDefault="00815D6D" w:rsidP="00815D6D">
      <w:pPr>
        <w:pStyle w:val="Heading2"/>
      </w:pPr>
      <w:bookmarkStart w:id="16" w:name="_Toc228293039"/>
      <w:r w:rsidRPr="00815D6D">
        <w:t>Updating the list of molecular markers used per crop</w:t>
      </w:r>
      <w:bookmarkEnd w:id="16"/>
    </w:p>
    <w:p w14:paraId="2D92E158" w14:textId="77777777" w:rsidR="00815D6D" w:rsidRDefault="00815D6D" w:rsidP="00815D6D"/>
    <w:p w14:paraId="648C45F6" w14:textId="14FF4A69" w:rsidR="00650A1F" w:rsidRPr="0001494C" w:rsidRDefault="00815D6D" w:rsidP="00650A1F">
      <w:pPr>
        <w:rPr>
          <w:lang w:eastAsia="ja-JP"/>
        </w:rPr>
      </w:pPr>
      <w:r w:rsidRPr="001D3FDF">
        <w:fldChar w:fldCharType="begin"/>
      </w:r>
      <w:r w:rsidRPr="001D3FDF">
        <w:instrText xml:space="preserve"> AUTONUM  </w:instrText>
      </w:r>
      <w:r w:rsidRPr="001D3FDF">
        <w:fldChar w:fldCharType="end"/>
      </w:r>
      <w:r w:rsidRPr="001D3FDF">
        <w:tab/>
      </w:r>
      <w:r w:rsidR="002F5398" w:rsidRPr="00F07B06">
        <w:t>The T</w:t>
      </w:r>
      <w:r w:rsidR="002F5398">
        <w:rPr>
          <w:rFonts w:hint="eastAsia"/>
          <w:lang w:eastAsia="ja-JP"/>
        </w:rPr>
        <w:t>C</w:t>
      </w:r>
      <w:r w:rsidR="002F5398" w:rsidRPr="00F07B06">
        <w:rPr>
          <w:rStyle w:val="FootnoteReference"/>
          <w:lang w:eastAsia="ja-JP"/>
        </w:rPr>
        <w:footnoteReference w:id="9"/>
      </w:r>
      <w:r w:rsidR="002F5398" w:rsidRPr="00F07B06">
        <w:t>,</w:t>
      </w:r>
      <w:r w:rsidR="002F5398">
        <w:rPr>
          <w:rFonts w:hint="eastAsia"/>
          <w:lang w:eastAsia="ja-JP"/>
        </w:rPr>
        <w:t xml:space="preserve"> at its sixty-first session,</w:t>
      </w:r>
      <w:r>
        <w:t xml:space="preserve"> considered a proposal from the TWM and agreed to invite the Netherlands (Kingdom of) to coordinate the updating of the list of molecular markers per crop developed by UPOV, which was available at the webpage of the fifty-eighth session of the TC</w:t>
      </w:r>
      <w:r w:rsidR="00650A1F">
        <w:t xml:space="preserve">  </w:t>
      </w:r>
      <w:r w:rsidR="00650A1F" w:rsidRPr="00064944">
        <w:t xml:space="preserve">(see: </w:t>
      </w:r>
      <w:hyperlink r:id="rId13" w:history="1">
        <w:r w:rsidR="00650A1F" w:rsidRPr="002F3BC9">
          <w:rPr>
            <w:rStyle w:val="Hyperlink"/>
          </w:rPr>
          <w:t>https://www.upov.int/meetings/en/doc_details.jsp?meeting_id=67786&amp;doc_id=586962</w:t>
        </w:r>
      </w:hyperlink>
      <w:r w:rsidR="00650A1F" w:rsidRPr="00064944">
        <w:t>).</w:t>
      </w:r>
    </w:p>
    <w:p w14:paraId="43904251" w14:textId="77777777" w:rsidR="00EF4499" w:rsidRDefault="00EF4499" w:rsidP="008024CB"/>
    <w:p w14:paraId="1A8FF26E" w14:textId="67B3C787" w:rsidR="00642DC3" w:rsidRDefault="008024CB" w:rsidP="00642DC3">
      <w:pPr>
        <w:rPr>
          <w:rFonts w:cs="Arial"/>
        </w:rPr>
      </w:pPr>
      <w:r w:rsidRPr="001D3FDF">
        <w:lastRenderedPageBreak/>
        <w:fldChar w:fldCharType="begin"/>
      </w:r>
      <w:r w:rsidRPr="001D3FDF">
        <w:instrText xml:space="preserve"> AUTONUM  </w:instrText>
      </w:r>
      <w:r w:rsidRPr="001D3FDF">
        <w:fldChar w:fldCharType="end"/>
      </w:r>
      <w:r w:rsidRPr="001D3FDF">
        <w:tab/>
      </w:r>
      <w:r>
        <w:t xml:space="preserve">On January </w:t>
      </w:r>
      <w:r>
        <w:rPr>
          <w:rFonts w:hint="eastAsia"/>
          <w:lang w:eastAsia="ja-JP"/>
        </w:rPr>
        <w:t>19</w:t>
      </w:r>
      <w:r>
        <w:t>, 202</w:t>
      </w:r>
      <w:r>
        <w:rPr>
          <w:rFonts w:hint="eastAsia"/>
          <w:lang w:eastAsia="ja-JP"/>
        </w:rPr>
        <w:t>6</w:t>
      </w:r>
      <w:r>
        <w:t>, the Office of the Union issued Circular E-2</w:t>
      </w:r>
      <w:r>
        <w:rPr>
          <w:rFonts w:hint="eastAsia"/>
          <w:lang w:eastAsia="ja-JP"/>
        </w:rPr>
        <w:t>6</w:t>
      </w:r>
      <w:r>
        <w:t>/00</w:t>
      </w:r>
      <w:r>
        <w:rPr>
          <w:rFonts w:hint="eastAsia"/>
          <w:lang w:eastAsia="ja-JP"/>
        </w:rPr>
        <w:t>4</w:t>
      </w:r>
      <w:r>
        <w:t xml:space="preserve"> to all UPOV bodies </w:t>
      </w:r>
      <w:r w:rsidR="00650888">
        <w:rPr>
          <w:lang w:eastAsia="ja-JP"/>
        </w:rPr>
        <w:t>with the</w:t>
      </w:r>
      <w:r w:rsidR="00650888">
        <w:rPr>
          <w:rFonts w:hint="eastAsia"/>
          <w:lang w:eastAsia="ja-JP"/>
        </w:rPr>
        <w:t xml:space="preserve"> </w:t>
      </w:r>
      <w:r>
        <w:rPr>
          <w:rFonts w:hint="eastAsia"/>
          <w:lang w:eastAsia="ja-JP"/>
        </w:rPr>
        <w:t>survey on the use of molecular marker</w:t>
      </w:r>
      <w:r w:rsidR="00650A1F">
        <w:rPr>
          <w:lang w:eastAsia="ja-JP"/>
        </w:rPr>
        <w:t>s</w:t>
      </w:r>
      <w:r>
        <w:rPr>
          <w:rFonts w:hint="eastAsia"/>
          <w:lang w:eastAsia="ja-JP"/>
        </w:rPr>
        <w:t>.</w:t>
      </w:r>
      <w:bookmarkStart w:id="17" w:name="_Hlk224723568"/>
      <w:r w:rsidR="00642DC3" w:rsidRPr="00AF7B31">
        <w:rPr>
          <w:rFonts w:cs="Arial"/>
        </w:rPr>
        <w:t xml:space="preserve"> </w:t>
      </w:r>
      <w:r w:rsidR="00CB1B67">
        <w:rPr>
          <w:rFonts w:cs="Arial" w:hint="eastAsia"/>
          <w:lang w:eastAsia="ja-JP"/>
        </w:rPr>
        <w:t xml:space="preserve">The results of the survey were </w:t>
      </w:r>
      <w:r w:rsidR="00650A1F">
        <w:rPr>
          <w:rFonts w:cs="Arial"/>
          <w:lang w:eastAsia="ja-JP"/>
        </w:rPr>
        <w:t>prepared</w:t>
      </w:r>
      <w:r w:rsidR="00CB1B67">
        <w:rPr>
          <w:rFonts w:cs="Arial" w:hint="eastAsia"/>
          <w:lang w:eastAsia="ja-JP"/>
        </w:rPr>
        <w:t xml:space="preserve"> </w:t>
      </w:r>
      <w:r w:rsidR="00650A1F">
        <w:rPr>
          <w:rFonts w:cs="Arial"/>
          <w:lang w:eastAsia="ja-JP"/>
        </w:rPr>
        <w:t xml:space="preserve">in collaboration with the </w:t>
      </w:r>
      <w:r w:rsidR="00CB1B67">
        <w:rPr>
          <w:rFonts w:cs="Arial" w:hint="eastAsia"/>
          <w:lang w:eastAsia="ja-JP"/>
        </w:rPr>
        <w:t xml:space="preserve">expert </w:t>
      </w:r>
      <w:r w:rsidR="00650888">
        <w:rPr>
          <w:rFonts w:cs="Arial"/>
          <w:lang w:eastAsia="ja-JP"/>
        </w:rPr>
        <w:t>from</w:t>
      </w:r>
      <w:r w:rsidR="00650888">
        <w:rPr>
          <w:rFonts w:cs="Arial" w:hint="eastAsia"/>
          <w:lang w:eastAsia="ja-JP"/>
        </w:rPr>
        <w:t xml:space="preserve"> </w:t>
      </w:r>
      <w:r w:rsidR="007A06D8">
        <w:rPr>
          <w:rFonts w:cs="Arial"/>
          <w:lang w:eastAsia="ja-JP"/>
        </w:rPr>
        <w:t xml:space="preserve">the </w:t>
      </w:r>
      <w:r w:rsidR="00CB1B67">
        <w:rPr>
          <w:rFonts w:cs="Arial" w:hint="eastAsia"/>
          <w:lang w:eastAsia="ja-JP"/>
        </w:rPr>
        <w:t>Netherland</w:t>
      </w:r>
      <w:r w:rsidR="007A06D8">
        <w:rPr>
          <w:rFonts w:cs="Arial"/>
          <w:lang w:eastAsia="ja-JP"/>
        </w:rPr>
        <w:t>s</w:t>
      </w:r>
      <w:r w:rsidR="00CB1B67">
        <w:rPr>
          <w:rFonts w:cs="Arial" w:hint="eastAsia"/>
          <w:lang w:eastAsia="ja-JP"/>
        </w:rPr>
        <w:t xml:space="preserve"> (Kingdom of).  </w:t>
      </w:r>
      <w:r w:rsidR="00650888">
        <w:rPr>
          <w:rFonts w:cs="Arial"/>
          <w:lang w:eastAsia="ja-JP"/>
        </w:rPr>
        <w:t xml:space="preserve">A total of </w:t>
      </w:r>
      <w:r w:rsidR="00EC3AD3">
        <w:rPr>
          <w:rFonts w:cs="Arial" w:hint="eastAsia"/>
          <w:lang w:eastAsia="ja-JP"/>
        </w:rPr>
        <w:t>39</w:t>
      </w:r>
      <w:r w:rsidR="00642DC3" w:rsidRPr="00AF7B31">
        <w:rPr>
          <w:rFonts w:cs="Arial"/>
        </w:rPr>
        <w:t xml:space="preserve"> members of the Union </w:t>
      </w:r>
      <w:r w:rsidR="0086778B">
        <w:rPr>
          <w:rFonts w:cs="Arial"/>
        </w:rPr>
        <w:t>responded to</w:t>
      </w:r>
      <w:r w:rsidR="00C32B32">
        <w:rPr>
          <w:rFonts w:cs="Arial"/>
        </w:rPr>
        <w:t xml:space="preserve"> the survey</w:t>
      </w:r>
      <w:r w:rsidR="00642DC3" w:rsidRPr="00AF7B31">
        <w:rPr>
          <w:rFonts w:cs="Arial"/>
        </w:rPr>
        <w:t xml:space="preserve">, </w:t>
      </w:r>
      <w:proofErr w:type="gramStart"/>
      <w:r w:rsidR="00C32B32">
        <w:rPr>
          <w:rFonts w:cs="Arial"/>
        </w:rPr>
        <w:t>from</w:t>
      </w:r>
      <w:proofErr w:type="gramEnd"/>
      <w:r w:rsidR="00C32B32">
        <w:rPr>
          <w:rFonts w:cs="Arial"/>
        </w:rPr>
        <w:t xml:space="preserve"> which </w:t>
      </w:r>
      <w:r w:rsidR="00EC3AD3">
        <w:rPr>
          <w:rFonts w:cs="Arial" w:hint="eastAsia"/>
          <w:lang w:eastAsia="ja-JP"/>
        </w:rPr>
        <w:t>21</w:t>
      </w:r>
      <w:r w:rsidR="00642DC3" w:rsidRPr="00AF7B31">
        <w:rPr>
          <w:rFonts w:cs="Arial"/>
        </w:rPr>
        <w:t xml:space="preserve"> </w:t>
      </w:r>
      <w:r w:rsidR="00C32B32">
        <w:rPr>
          <w:rFonts w:cs="Arial"/>
        </w:rPr>
        <w:t>reported the</w:t>
      </w:r>
      <w:r w:rsidR="00642DC3" w:rsidRPr="00AF7B31">
        <w:rPr>
          <w:rFonts w:cs="Arial"/>
        </w:rPr>
        <w:t xml:space="preserve"> </w:t>
      </w:r>
      <w:r w:rsidR="00642DC3">
        <w:rPr>
          <w:rFonts w:cs="Arial" w:hint="eastAsia"/>
          <w:lang w:eastAsia="ja-JP"/>
        </w:rPr>
        <w:t xml:space="preserve">use </w:t>
      </w:r>
      <w:r w:rsidR="00C32B32">
        <w:rPr>
          <w:rFonts w:cs="Arial"/>
          <w:lang w:eastAsia="ja-JP"/>
        </w:rPr>
        <w:t xml:space="preserve">of </w:t>
      </w:r>
      <w:r w:rsidR="00642DC3">
        <w:rPr>
          <w:rFonts w:cs="Arial" w:hint="eastAsia"/>
          <w:lang w:eastAsia="ja-JP"/>
        </w:rPr>
        <w:t>molecular marker</w:t>
      </w:r>
      <w:r w:rsidR="00650A1F">
        <w:rPr>
          <w:rFonts w:cs="Arial"/>
          <w:lang w:eastAsia="ja-JP"/>
        </w:rPr>
        <w:t>s</w:t>
      </w:r>
      <w:r w:rsidR="00642DC3">
        <w:rPr>
          <w:rFonts w:cs="Arial" w:hint="eastAsia"/>
          <w:lang w:eastAsia="ja-JP"/>
        </w:rPr>
        <w:t xml:space="preserve"> and </w:t>
      </w:r>
      <w:r w:rsidR="00EC3AD3">
        <w:rPr>
          <w:rFonts w:cs="Arial" w:hint="eastAsia"/>
          <w:lang w:eastAsia="ja-JP"/>
        </w:rPr>
        <w:t>18</w:t>
      </w:r>
      <w:r w:rsidR="00642DC3">
        <w:rPr>
          <w:rFonts w:cs="Arial" w:hint="eastAsia"/>
          <w:lang w:eastAsia="ja-JP"/>
        </w:rPr>
        <w:t xml:space="preserve"> </w:t>
      </w:r>
      <w:r w:rsidR="00C32B32">
        <w:rPr>
          <w:rFonts w:cs="Arial"/>
          <w:lang w:eastAsia="ja-JP"/>
        </w:rPr>
        <w:t>reported</w:t>
      </w:r>
      <w:r w:rsidR="00642DC3">
        <w:rPr>
          <w:rFonts w:cs="Arial" w:hint="eastAsia"/>
          <w:lang w:eastAsia="ja-JP"/>
        </w:rPr>
        <w:t xml:space="preserve"> not us</w:t>
      </w:r>
      <w:r w:rsidR="00C32B32">
        <w:rPr>
          <w:rFonts w:cs="Arial"/>
          <w:lang w:eastAsia="ja-JP"/>
        </w:rPr>
        <w:t>ing</w:t>
      </w:r>
      <w:r w:rsidR="00642DC3">
        <w:rPr>
          <w:rFonts w:cs="Arial" w:hint="eastAsia"/>
          <w:lang w:eastAsia="ja-JP"/>
        </w:rPr>
        <w:t xml:space="preserve"> it</w:t>
      </w:r>
      <w:r w:rsidR="00642DC3" w:rsidRPr="00AF7B31">
        <w:rPr>
          <w:rFonts w:cs="Arial"/>
        </w:rPr>
        <w:t xml:space="preserve">.  The summary of responses to the survey </w:t>
      </w:r>
      <w:r w:rsidR="00642DC3">
        <w:rPr>
          <w:rFonts w:cs="Arial" w:hint="eastAsia"/>
          <w:lang w:eastAsia="ja-JP"/>
        </w:rPr>
        <w:t>is</w:t>
      </w:r>
      <w:r w:rsidR="00642DC3" w:rsidRPr="00AF7B31">
        <w:rPr>
          <w:rFonts w:cs="Arial"/>
        </w:rPr>
        <w:t xml:space="preserve"> as follows:</w:t>
      </w:r>
    </w:p>
    <w:p w14:paraId="5436E357" w14:textId="77777777" w:rsidR="00C03CE1" w:rsidRDefault="00C03CE1" w:rsidP="00642DC3">
      <w:pPr>
        <w:rPr>
          <w:rFonts w:cs="Arial"/>
        </w:rPr>
      </w:pPr>
    </w:p>
    <w:tbl>
      <w:tblPr>
        <w:tblStyle w:val="TableGrid"/>
        <w:tblW w:w="0" w:type="auto"/>
        <w:tblLook w:val="04A0" w:firstRow="1" w:lastRow="0" w:firstColumn="1" w:lastColumn="0" w:noHBand="0" w:noVBand="1"/>
      </w:tblPr>
      <w:tblGrid>
        <w:gridCol w:w="2263"/>
        <w:gridCol w:w="2052"/>
        <w:gridCol w:w="360"/>
        <w:gridCol w:w="2266"/>
        <w:gridCol w:w="2040"/>
      </w:tblGrid>
      <w:tr w:rsidR="002C73C9" w14:paraId="49100BCC" w14:textId="77777777" w:rsidTr="00650A1F">
        <w:tc>
          <w:tcPr>
            <w:tcW w:w="2263" w:type="dxa"/>
          </w:tcPr>
          <w:p w14:paraId="3F44410D" w14:textId="6B99BF91" w:rsidR="002C73C9" w:rsidRDefault="00650A1F" w:rsidP="002C73C9">
            <w:pPr>
              <w:jc w:val="center"/>
              <w:rPr>
                <w:rFonts w:cs="Arial"/>
              </w:rPr>
            </w:pPr>
            <w:r>
              <w:rPr>
                <w:rFonts w:cs="Arial"/>
                <w:bCs/>
                <w:color w:val="000000"/>
                <w:lang w:eastAsia="ja-JP"/>
              </w:rPr>
              <w:t xml:space="preserve">UPOV </w:t>
            </w:r>
            <w:r w:rsidR="004F4163">
              <w:rPr>
                <w:rFonts w:cs="Arial"/>
                <w:bCs/>
                <w:color w:val="000000"/>
                <w:lang w:eastAsia="ja-JP"/>
              </w:rPr>
              <w:t>m</w:t>
            </w:r>
            <w:r w:rsidR="002C73C9" w:rsidRPr="00AF7B31">
              <w:rPr>
                <w:rFonts w:cs="Arial"/>
                <w:bCs/>
                <w:color w:val="000000"/>
                <w:lang w:eastAsia="ja-JP"/>
              </w:rPr>
              <w:t>ember</w:t>
            </w:r>
          </w:p>
        </w:tc>
        <w:tc>
          <w:tcPr>
            <w:tcW w:w="2052" w:type="dxa"/>
          </w:tcPr>
          <w:p w14:paraId="38806AB0" w14:textId="7FB2242D" w:rsidR="002C73C9" w:rsidRDefault="002C73C9" w:rsidP="002C73C9">
            <w:pPr>
              <w:jc w:val="center"/>
              <w:rPr>
                <w:rFonts w:cs="Arial"/>
              </w:rPr>
            </w:pPr>
            <w:r w:rsidRPr="00AF7B31">
              <w:rPr>
                <w:rFonts w:cs="Arial"/>
                <w:bCs/>
                <w:color w:val="000000"/>
                <w:lang w:eastAsia="ja-JP"/>
              </w:rPr>
              <w:t>Use of Molecular marker</w:t>
            </w:r>
            <w:r w:rsidR="00650A1F">
              <w:rPr>
                <w:rFonts w:cs="Arial"/>
                <w:bCs/>
                <w:color w:val="000000"/>
                <w:lang w:eastAsia="ja-JP"/>
              </w:rPr>
              <w:t xml:space="preserve">s </w:t>
            </w:r>
            <w:r w:rsidRPr="00AF7B31">
              <w:rPr>
                <w:rFonts w:cs="Arial"/>
                <w:bCs/>
                <w:color w:val="000000"/>
                <w:lang w:eastAsia="ja-JP"/>
              </w:rPr>
              <w:t>(YES/</w:t>
            </w:r>
            <w:r>
              <w:rPr>
                <w:rFonts w:cs="Arial"/>
                <w:bCs/>
                <w:color w:val="000000"/>
                <w:lang w:eastAsia="ja-JP"/>
              </w:rPr>
              <w:t>NO</w:t>
            </w:r>
            <w:r w:rsidRPr="00AF7B31">
              <w:rPr>
                <w:rFonts w:cs="Arial"/>
                <w:bCs/>
                <w:color w:val="000000"/>
                <w:lang w:eastAsia="ja-JP"/>
              </w:rPr>
              <w:t>)</w:t>
            </w:r>
          </w:p>
        </w:tc>
        <w:tc>
          <w:tcPr>
            <w:tcW w:w="360" w:type="dxa"/>
            <w:tcBorders>
              <w:top w:val="nil"/>
              <w:bottom w:val="nil"/>
            </w:tcBorders>
          </w:tcPr>
          <w:p w14:paraId="3189A90C" w14:textId="77777777" w:rsidR="002C73C9" w:rsidRDefault="002C73C9" w:rsidP="002C73C9">
            <w:pPr>
              <w:jc w:val="center"/>
              <w:rPr>
                <w:rFonts w:cs="Arial"/>
              </w:rPr>
            </w:pPr>
          </w:p>
        </w:tc>
        <w:tc>
          <w:tcPr>
            <w:tcW w:w="2266" w:type="dxa"/>
          </w:tcPr>
          <w:p w14:paraId="0926F34D" w14:textId="61057B9F" w:rsidR="002C73C9" w:rsidRDefault="00650A1F" w:rsidP="002C73C9">
            <w:pPr>
              <w:jc w:val="center"/>
              <w:rPr>
                <w:rFonts w:cs="Arial"/>
              </w:rPr>
            </w:pPr>
            <w:r>
              <w:rPr>
                <w:rFonts w:cs="Arial"/>
                <w:bCs/>
                <w:color w:val="000000"/>
                <w:lang w:eastAsia="ja-JP"/>
              </w:rPr>
              <w:t xml:space="preserve">UPOV </w:t>
            </w:r>
            <w:r w:rsidR="004F4163">
              <w:rPr>
                <w:rFonts w:cs="Arial"/>
                <w:bCs/>
                <w:color w:val="000000"/>
                <w:lang w:eastAsia="ja-JP"/>
              </w:rPr>
              <w:t>m</w:t>
            </w:r>
            <w:r w:rsidR="002C73C9" w:rsidRPr="00AE5840">
              <w:rPr>
                <w:rFonts w:cs="Arial"/>
                <w:bCs/>
                <w:color w:val="000000"/>
                <w:lang w:eastAsia="ja-JP"/>
              </w:rPr>
              <w:t>ember</w:t>
            </w:r>
          </w:p>
        </w:tc>
        <w:tc>
          <w:tcPr>
            <w:tcW w:w="2040" w:type="dxa"/>
          </w:tcPr>
          <w:p w14:paraId="36507E74" w14:textId="75D0DBE1" w:rsidR="002C73C9" w:rsidRDefault="002C73C9" w:rsidP="002C73C9">
            <w:pPr>
              <w:jc w:val="center"/>
              <w:rPr>
                <w:rFonts w:cs="Arial"/>
              </w:rPr>
            </w:pPr>
            <w:r w:rsidRPr="00AE5840">
              <w:rPr>
                <w:rFonts w:cs="Arial"/>
                <w:bCs/>
                <w:color w:val="000000"/>
                <w:lang w:eastAsia="ja-JP"/>
              </w:rPr>
              <w:t>Use of Molecular marker</w:t>
            </w:r>
            <w:r w:rsidR="00650A1F">
              <w:rPr>
                <w:rFonts w:cs="Arial"/>
                <w:bCs/>
                <w:color w:val="000000"/>
                <w:lang w:eastAsia="ja-JP"/>
              </w:rPr>
              <w:t>s</w:t>
            </w:r>
            <w:r w:rsidRPr="00AE5840">
              <w:rPr>
                <w:rFonts w:cs="Arial"/>
                <w:bCs/>
                <w:color w:val="000000"/>
                <w:lang w:eastAsia="ja-JP"/>
              </w:rPr>
              <w:t xml:space="preserve"> (YES/NO</w:t>
            </w:r>
            <w:r>
              <w:rPr>
                <w:rFonts w:cs="Arial" w:hint="eastAsia"/>
                <w:bCs/>
                <w:color w:val="000000"/>
                <w:lang w:eastAsia="ja-JP"/>
              </w:rPr>
              <w:t>)</w:t>
            </w:r>
          </w:p>
        </w:tc>
      </w:tr>
      <w:tr w:rsidR="00EC3AD3" w14:paraId="6ADCC2AA" w14:textId="77777777" w:rsidTr="00650A1F">
        <w:tc>
          <w:tcPr>
            <w:tcW w:w="2263" w:type="dxa"/>
          </w:tcPr>
          <w:p w14:paraId="068DA4CE" w14:textId="66F31F59" w:rsidR="00EC3AD3" w:rsidRDefault="00EC3AD3" w:rsidP="002C73C9">
            <w:pPr>
              <w:jc w:val="center"/>
              <w:rPr>
                <w:rFonts w:cs="Arial"/>
              </w:rPr>
            </w:pPr>
            <w:r w:rsidRPr="00AE5840">
              <w:rPr>
                <w:rFonts w:cs="Arial"/>
                <w:color w:val="000000"/>
                <w:lang w:eastAsia="ja-JP"/>
              </w:rPr>
              <w:t>Argentina</w:t>
            </w:r>
          </w:p>
        </w:tc>
        <w:tc>
          <w:tcPr>
            <w:tcW w:w="2052" w:type="dxa"/>
          </w:tcPr>
          <w:p w14:paraId="02F8366D" w14:textId="18068BAD" w:rsidR="00EC3AD3" w:rsidRDefault="00EC3AD3" w:rsidP="002C73C9">
            <w:pPr>
              <w:jc w:val="center"/>
              <w:rPr>
                <w:rFonts w:cs="Arial"/>
              </w:rPr>
            </w:pPr>
            <w:r w:rsidRPr="00AE5840">
              <w:rPr>
                <w:rFonts w:cs="Arial"/>
                <w:bCs/>
                <w:color w:val="000000"/>
                <w:lang w:eastAsia="ja-JP"/>
              </w:rPr>
              <w:t>YES</w:t>
            </w:r>
          </w:p>
        </w:tc>
        <w:tc>
          <w:tcPr>
            <w:tcW w:w="360" w:type="dxa"/>
            <w:tcBorders>
              <w:top w:val="nil"/>
              <w:bottom w:val="nil"/>
            </w:tcBorders>
          </w:tcPr>
          <w:p w14:paraId="074CA0EF" w14:textId="77777777" w:rsidR="00EC3AD3" w:rsidRDefault="00EC3AD3" w:rsidP="002C73C9">
            <w:pPr>
              <w:jc w:val="center"/>
              <w:rPr>
                <w:rFonts w:cs="Arial"/>
              </w:rPr>
            </w:pPr>
          </w:p>
        </w:tc>
        <w:tc>
          <w:tcPr>
            <w:tcW w:w="2266" w:type="dxa"/>
          </w:tcPr>
          <w:p w14:paraId="21C6A02F" w14:textId="06190A72" w:rsidR="00EC3AD3" w:rsidRDefault="00EC3AD3" w:rsidP="002C73C9">
            <w:pPr>
              <w:jc w:val="center"/>
              <w:rPr>
                <w:rFonts w:cs="Arial"/>
              </w:rPr>
            </w:pPr>
            <w:r w:rsidRPr="003F145C">
              <w:rPr>
                <w:rFonts w:cs="Arial" w:hint="eastAsia"/>
                <w:color w:val="000000"/>
                <w:lang w:eastAsia="ja-JP"/>
              </w:rPr>
              <w:t>Latvia</w:t>
            </w:r>
          </w:p>
        </w:tc>
        <w:tc>
          <w:tcPr>
            <w:tcW w:w="2040" w:type="dxa"/>
          </w:tcPr>
          <w:p w14:paraId="5BFBEDC0" w14:textId="09B25F0E" w:rsidR="00EC3AD3" w:rsidRDefault="00EC3AD3" w:rsidP="002C73C9">
            <w:pPr>
              <w:jc w:val="center"/>
              <w:rPr>
                <w:rFonts w:cs="Arial"/>
              </w:rPr>
            </w:pPr>
            <w:r w:rsidRPr="003F145C">
              <w:rPr>
                <w:rFonts w:cs="Arial" w:hint="eastAsia"/>
                <w:bCs/>
                <w:color w:val="000000"/>
                <w:lang w:eastAsia="ja-JP"/>
              </w:rPr>
              <w:t>NO</w:t>
            </w:r>
          </w:p>
        </w:tc>
      </w:tr>
      <w:tr w:rsidR="00EC3AD3" w14:paraId="6037BA88" w14:textId="77777777" w:rsidTr="00650A1F">
        <w:tc>
          <w:tcPr>
            <w:tcW w:w="2263" w:type="dxa"/>
          </w:tcPr>
          <w:p w14:paraId="6D71BBE1" w14:textId="4E29265E" w:rsidR="00EC3AD3" w:rsidRDefault="00EC3AD3" w:rsidP="002C73C9">
            <w:pPr>
              <w:jc w:val="center"/>
              <w:rPr>
                <w:rFonts w:cs="Arial"/>
              </w:rPr>
            </w:pPr>
            <w:r w:rsidRPr="00AE5840">
              <w:rPr>
                <w:rFonts w:cs="Arial"/>
                <w:color w:val="000000"/>
                <w:lang w:eastAsia="ja-JP"/>
              </w:rPr>
              <w:t>Armenia</w:t>
            </w:r>
          </w:p>
        </w:tc>
        <w:tc>
          <w:tcPr>
            <w:tcW w:w="2052" w:type="dxa"/>
          </w:tcPr>
          <w:p w14:paraId="3F418945" w14:textId="1BB1B8AC" w:rsidR="00EC3AD3" w:rsidRDefault="00EC3AD3" w:rsidP="002C73C9">
            <w:pPr>
              <w:jc w:val="center"/>
              <w:rPr>
                <w:rFonts w:cs="Arial"/>
              </w:rPr>
            </w:pPr>
            <w:r w:rsidRPr="00AE5840">
              <w:rPr>
                <w:rFonts w:cs="Arial"/>
                <w:bCs/>
                <w:color w:val="000000"/>
                <w:lang w:eastAsia="ja-JP"/>
              </w:rPr>
              <w:t>N</w:t>
            </w:r>
            <w:r w:rsidRPr="00AE5840">
              <w:rPr>
                <w:rFonts w:cs="Arial" w:hint="eastAsia"/>
                <w:bCs/>
                <w:color w:val="000000"/>
                <w:lang w:eastAsia="ja-JP"/>
              </w:rPr>
              <w:t>O</w:t>
            </w:r>
          </w:p>
        </w:tc>
        <w:tc>
          <w:tcPr>
            <w:tcW w:w="360" w:type="dxa"/>
            <w:tcBorders>
              <w:top w:val="nil"/>
              <w:bottom w:val="nil"/>
            </w:tcBorders>
          </w:tcPr>
          <w:p w14:paraId="503BF083" w14:textId="77777777" w:rsidR="00EC3AD3" w:rsidRDefault="00EC3AD3" w:rsidP="002C73C9">
            <w:pPr>
              <w:jc w:val="center"/>
              <w:rPr>
                <w:rFonts w:cs="Arial"/>
              </w:rPr>
            </w:pPr>
          </w:p>
        </w:tc>
        <w:tc>
          <w:tcPr>
            <w:tcW w:w="2266" w:type="dxa"/>
          </w:tcPr>
          <w:p w14:paraId="2686A044" w14:textId="4B4D615F" w:rsidR="00EC3AD3" w:rsidRDefault="00EC3AD3" w:rsidP="002C73C9">
            <w:pPr>
              <w:jc w:val="center"/>
              <w:rPr>
                <w:rFonts w:cs="Arial"/>
              </w:rPr>
            </w:pPr>
            <w:r w:rsidRPr="00AE5840">
              <w:rPr>
                <w:rFonts w:cs="Arial"/>
                <w:color w:val="000000"/>
                <w:lang w:eastAsia="ja-JP"/>
              </w:rPr>
              <w:t>Netherlands</w:t>
            </w:r>
            <w:r w:rsidR="004F4163">
              <w:rPr>
                <w:rFonts w:cs="Arial"/>
                <w:color w:val="000000"/>
                <w:lang w:eastAsia="ja-JP"/>
              </w:rPr>
              <w:t xml:space="preserve"> (Kingdom of the)</w:t>
            </w:r>
          </w:p>
        </w:tc>
        <w:tc>
          <w:tcPr>
            <w:tcW w:w="2040" w:type="dxa"/>
          </w:tcPr>
          <w:p w14:paraId="15BF1FE8" w14:textId="6B3A6289" w:rsidR="00EC3AD3" w:rsidRDefault="00EC3AD3" w:rsidP="002C73C9">
            <w:pPr>
              <w:jc w:val="center"/>
              <w:rPr>
                <w:rFonts w:cs="Arial"/>
              </w:rPr>
            </w:pPr>
            <w:r w:rsidRPr="00AE5840">
              <w:rPr>
                <w:rFonts w:cs="Arial"/>
                <w:bCs/>
                <w:color w:val="000000"/>
                <w:lang w:eastAsia="ja-JP"/>
              </w:rPr>
              <w:t>YES</w:t>
            </w:r>
          </w:p>
        </w:tc>
      </w:tr>
      <w:tr w:rsidR="00EC3AD3" w14:paraId="5D3638B5" w14:textId="77777777" w:rsidTr="00650A1F">
        <w:tc>
          <w:tcPr>
            <w:tcW w:w="2263" w:type="dxa"/>
          </w:tcPr>
          <w:p w14:paraId="59B4EEEA" w14:textId="2344A5B2" w:rsidR="00EC3AD3" w:rsidRPr="00AE5840" w:rsidRDefault="00EC3AD3" w:rsidP="002C73C9">
            <w:pPr>
              <w:jc w:val="center"/>
              <w:rPr>
                <w:rFonts w:cs="Arial"/>
                <w:color w:val="000000"/>
                <w:lang w:eastAsia="ja-JP"/>
              </w:rPr>
            </w:pPr>
            <w:r w:rsidRPr="00AE5840">
              <w:rPr>
                <w:rFonts w:cs="Arial"/>
                <w:color w:val="000000"/>
                <w:lang w:eastAsia="ja-JP"/>
              </w:rPr>
              <w:t>Austria</w:t>
            </w:r>
          </w:p>
        </w:tc>
        <w:tc>
          <w:tcPr>
            <w:tcW w:w="2052" w:type="dxa"/>
          </w:tcPr>
          <w:p w14:paraId="0D3E5AEE" w14:textId="1B956140" w:rsidR="00EC3AD3" w:rsidRPr="00AE5840" w:rsidRDefault="00EC3AD3" w:rsidP="002C73C9">
            <w:pPr>
              <w:jc w:val="center"/>
              <w:rPr>
                <w:rFonts w:cs="Arial"/>
                <w:bCs/>
                <w:color w:val="000000"/>
                <w:lang w:eastAsia="ja-JP"/>
              </w:rPr>
            </w:pPr>
            <w:r w:rsidRPr="00AE5840">
              <w:rPr>
                <w:rFonts w:cs="Arial"/>
                <w:bCs/>
                <w:color w:val="000000"/>
                <w:lang w:eastAsia="ja-JP"/>
              </w:rPr>
              <w:t>YES</w:t>
            </w:r>
          </w:p>
        </w:tc>
        <w:tc>
          <w:tcPr>
            <w:tcW w:w="360" w:type="dxa"/>
            <w:tcBorders>
              <w:top w:val="nil"/>
              <w:bottom w:val="nil"/>
            </w:tcBorders>
          </w:tcPr>
          <w:p w14:paraId="2C3320B9" w14:textId="77777777" w:rsidR="00EC3AD3" w:rsidRDefault="00EC3AD3" w:rsidP="002C73C9">
            <w:pPr>
              <w:jc w:val="center"/>
              <w:rPr>
                <w:rFonts w:cs="Arial"/>
              </w:rPr>
            </w:pPr>
          </w:p>
        </w:tc>
        <w:tc>
          <w:tcPr>
            <w:tcW w:w="2266" w:type="dxa"/>
          </w:tcPr>
          <w:p w14:paraId="407B1EE4" w14:textId="35181564" w:rsidR="00EC3AD3" w:rsidRPr="00AE5840" w:rsidRDefault="00EC3AD3" w:rsidP="002C73C9">
            <w:pPr>
              <w:jc w:val="center"/>
              <w:rPr>
                <w:rFonts w:cs="Arial"/>
                <w:color w:val="000000"/>
                <w:lang w:eastAsia="ja-JP"/>
              </w:rPr>
            </w:pPr>
            <w:r>
              <w:rPr>
                <w:rFonts w:cs="Arial" w:hint="eastAsia"/>
                <w:color w:val="000000"/>
                <w:lang w:eastAsia="ja-JP"/>
              </w:rPr>
              <w:t>Nigeria</w:t>
            </w:r>
          </w:p>
        </w:tc>
        <w:tc>
          <w:tcPr>
            <w:tcW w:w="2040" w:type="dxa"/>
          </w:tcPr>
          <w:p w14:paraId="4E5CE7D2" w14:textId="3885BC7C" w:rsidR="00EC3AD3" w:rsidRPr="00AE5840" w:rsidRDefault="00EC3AD3" w:rsidP="002C73C9">
            <w:pPr>
              <w:jc w:val="center"/>
              <w:rPr>
                <w:rFonts w:cs="Arial"/>
                <w:bCs/>
                <w:color w:val="000000"/>
                <w:lang w:eastAsia="ja-JP"/>
              </w:rPr>
            </w:pPr>
            <w:r>
              <w:rPr>
                <w:rFonts w:cs="Arial" w:hint="eastAsia"/>
                <w:bCs/>
                <w:color w:val="000000"/>
                <w:lang w:eastAsia="ja-JP"/>
              </w:rPr>
              <w:t>NO</w:t>
            </w:r>
          </w:p>
        </w:tc>
      </w:tr>
      <w:tr w:rsidR="00EC3AD3" w14:paraId="0C273197" w14:textId="77777777" w:rsidTr="00650A1F">
        <w:tc>
          <w:tcPr>
            <w:tcW w:w="2263" w:type="dxa"/>
          </w:tcPr>
          <w:p w14:paraId="22D797C7" w14:textId="15F7C4A3" w:rsidR="00EC3AD3" w:rsidRDefault="00EC3AD3" w:rsidP="002C73C9">
            <w:pPr>
              <w:jc w:val="center"/>
              <w:rPr>
                <w:rFonts w:cs="Arial"/>
              </w:rPr>
            </w:pPr>
            <w:r w:rsidRPr="00AE5840">
              <w:rPr>
                <w:rFonts w:cs="Arial"/>
                <w:color w:val="000000"/>
                <w:lang w:eastAsia="ja-JP"/>
              </w:rPr>
              <w:t>Belgium</w:t>
            </w:r>
          </w:p>
        </w:tc>
        <w:tc>
          <w:tcPr>
            <w:tcW w:w="2052" w:type="dxa"/>
          </w:tcPr>
          <w:p w14:paraId="43E664AA" w14:textId="6075E96C" w:rsidR="00EC3AD3" w:rsidRDefault="00EC3AD3" w:rsidP="002C73C9">
            <w:pPr>
              <w:jc w:val="center"/>
              <w:rPr>
                <w:rFonts w:cs="Arial"/>
              </w:rPr>
            </w:pPr>
            <w:r w:rsidRPr="00AE5840">
              <w:rPr>
                <w:rFonts w:cs="Arial"/>
                <w:bCs/>
                <w:color w:val="000000"/>
                <w:lang w:eastAsia="ja-JP"/>
              </w:rPr>
              <w:t>NO</w:t>
            </w:r>
          </w:p>
        </w:tc>
        <w:tc>
          <w:tcPr>
            <w:tcW w:w="360" w:type="dxa"/>
            <w:tcBorders>
              <w:top w:val="nil"/>
              <w:bottom w:val="nil"/>
            </w:tcBorders>
          </w:tcPr>
          <w:p w14:paraId="78B0B083" w14:textId="77777777" w:rsidR="00EC3AD3" w:rsidRDefault="00EC3AD3" w:rsidP="002C73C9">
            <w:pPr>
              <w:jc w:val="center"/>
              <w:rPr>
                <w:rFonts w:cs="Arial"/>
              </w:rPr>
            </w:pPr>
          </w:p>
        </w:tc>
        <w:tc>
          <w:tcPr>
            <w:tcW w:w="2266" w:type="dxa"/>
          </w:tcPr>
          <w:p w14:paraId="2D707ADE" w14:textId="56BE201B" w:rsidR="00EC3AD3" w:rsidRDefault="00EC3AD3" w:rsidP="002C73C9">
            <w:pPr>
              <w:jc w:val="center"/>
              <w:rPr>
                <w:rFonts w:cs="Arial"/>
              </w:rPr>
            </w:pPr>
            <w:r w:rsidRPr="00AE5840">
              <w:rPr>
                <w:rFonts w:cs="Arial"/>
                <w:color w:val="000000"/>
                <w:lang w:eastAsia="ja-JP"/>
              </w:rPr>
              <w:t>Peru</w:t>
            </w:r>
          </w:p>
        </w:tc>
        <w:tc>
          <w:tcPr>
            <w:tcW w:w="2040" w:type="dxa"/>
          </w:tcPr>
          <w:p w14:paraId="4F265211" w14:textId="4D5E89C2" w:rsidR="00EC3AD3" w:rsidRDefault="00EC3AD3" w:rsidP="002C73C9">
            <w:pPr>
              <w:jc w:val="center"/>
              <w:rPr>
                <w:rFonts w:cs="Arial"/>
              </w:rPr>
            </w:pPr>
            <w:r w:rsidRPr="00AE5840">
              <w:rPr>
                <w:rFonts w:cs="Arial"/>
                <w:bCs/>
                <w:color w:val="000000"/>
                <w:lang w:eastAsia="ja-JP"/>
              </w:rPr>
              <w:t>NO</w:t>
            </w:r>
          </w:p>
        </w:tc>
      </w:tr>
      <w:tr w:rsidR="00EC3AD3" w14:paraId="561F784A" w14:textId="77777777" w:rsidTr="00650A1F">
        <w:tc>
          <w:tcPr>
            <w:tcW w:w="2263" w:type="dxa"/>
          </w:tcPr>
          <w:p w14:paraId="6C2E03C5" w14:textId="7B5EE12B" w:rsidR="00EC3AD3" w:rsidRDefault="00EC3AD3" w:rsidP="002C73C9">
            <w:pPr>
              <w:jc w:val="center"/>
              <w:rPr>
                <w:rFonts w:cs="Arial"/>
              </w:rPr>
            </w:pPr>
            <w:r w:rsidRPr="00AE5840">
              <w:rPr>
                <w:rFonts w:cs="Arial"/>
                <w:color w:val="000000"/>
                <w:lang w:eastAsia="ja-JP"/>
              </w:rPr>
              <w:t>Bolivia</w:t>
            </w:r>
            <w:r w:rsidR="004F4163">
              <w:rPr>
                <w:rFonts w:cs="Arial"/>
                <w:color w:val="000000"/>
                <w:lang w:eastAsia="ja-JP"/>
              </w:rPr>
              <w:t xml:space="preserve"> (Plurinational State of)</w:t>
            </w:r>
          </w:p>
        </w:tc>
        <w:tc>
          <w:tcPr>
            <w:tcW w:w="2052" w:type="dxa"/>
          </w:tcPr>
          <w:p w14:paraId="3C538C6F" w14:textId="4AF22A99" w:rsidR="00EC3AD3" w:rsidRDefault="00EC3AD3" w:rsidP="002C73C9">
            <w:pPr>
              <w:jc w:val="center"/>
              <w:rPr>
                <w:rFonts w:cs="Arial"/>
              </w:rPr>
            </w:pPr>
            <w:r w:rsidRPr="00AE5840">
              <w:rPr>
                <w:rFonts w:cs="Arial"/>
                <w:bCs/>
                <w:color w:val="000000"/>
                <w:lang w:eastAsia="ja-JP"/>
              </w:rPr>
              <w:t>NO</w:t>
            </w:r>
          </w:p>
        </w:tc>
        <w:tc>
          <w:tcPr>
            <w:tcW w:w="360" w:type="dxa"/>
            <w:tcBorders>
              <w:top w:val="nil"/>
              <w:bottom w:val="nil"/>
            </w:tcBorders>
          </w:tcPr>
          <w:p w14:paraId="6C3F5F81" w14:textId="77777777" w:rsidR="00EC3AD3" w:rsidRDefault="00EC3AD3" w:rsidP="002C73C9">
            <w:pPr>
              <w:jc w:val="center"/>
              <w:rPr>
                <w:rFonts w:cs="Arial"/>
              </w:rPr>
            </w:pPr>
          </w:p>
        </w:tc>
        <w:tc>
          <w:tcPr>
            <w:tcW w:w="2266" w:type="dxa"/>
          </w:tcPr>
          <w:p w14:paraId="563FC841" w14:textId="73F69F61" w:rsidR="00EC3AD3" w:rsidRDefault="00EC3AD3" w:rsidP="002C73C9">
            <w:pPr>
              <w:jc w:val="center"/>
              <w:rPr>
                <w:rFonts w:cs="Arial"/>
              </w:rPr>
            </w:pPr>
            <w:r w:rsidRPr="00AE5840">
              <w:rPr>
                <w:rFonts w:cs="Arial"/>
                <w:color w:val="000000"/>
                <w:lang w:eastAsia="ja-JP"/>
              </w:rPr>
              <w:t>Poland</w:t>
            </w:r>
          </w:p>
        </w:tc>
        <w:tc>
          <w:tcPr>
            <w:tcW w:w="2040" w:type="dxa"/>
          </w:tcPr>
          <w:p w14:paraId="67F25122" w14:textId="49F08E97" w:rsidR="00EC3AD3" w:rsidRDefault="00EC3AD3" w:rsidP="002C73C9">
            <w:pPr>
              <w:jc w:val="center"/>
              <w:rPr>
                <w:rFonts w:cs="Arial"/>
              </w:rPr>
            </w:pPr>
            <w:r w:rsidRPr="00AE5840">
              <w:rPr>
                <w:rFonts w:cs="Arial"/>
                <w:bCs/>
                <w:color w:val="000000"/>
                <w:lang w:eastAsia="ja-JP"/>
              </w:rPr>
              <w:t>YES</w:t>
            </w:r>
          </w:p>
        </w:tc>
      </w:tr>
      <w:tr w:rsidR="00EC3AD3" w14:paraId="30B83CB9" w14:textId="77777777" w:rsidTr="00650A1F">
        <w:tc>
          <w:tcPr>
            <w:tcW w:w="2263" w:type="dxa"/>
          </w:tcPr>
          <w:p w14:paraId="469D3D69" w14:textId="3E667EEC" w:rsidR="00EC3AD3" w:rsidRDefault="00EC3AD3" w:rsidP="002C73C9">
            <w:pPr>
              <w:jc w:val="center"/>
              <w:rPr>
                <w:rFonts w:cs="Arial"/>
              </w:rPr>
            </w:pPr>
            <w:r>
              <w:rPr>
                <w:rFonts w:cs="Arial" w:hint="eastAsia"/>
                <w:lang w:eastAsia="ja-JP"/>
              </w:rPr>
              <w:t>Brazil</w:t>
            </w:r>
          </w:p>
        </w:tc>
        <w:tc>
          <w:tcPr>
            <w:tcW w:w="2052" w:type="dxa"/>
          </w:tcPr>
          <w:p w14:paraId="1949BB64" w14:textId="5063B5A9" w:rsidR="00EC3AD3" w:rsidRDefault="00EC3AD3" w:rsidP="002C73C9">
            <w:pPr>
              <w:jc w:val="center"/>
              <w:rPr>
                <w:rFonts w:cs="Arial"/>
              </w:rPr>
            </w:pPr>
            <w:r>
              <w:rPr>
                <w:rFonts w:cs="Arial" w:hint="eastAsia"/>
                <w:lang w:eastAsia="ja-JP"/>
              </w:rPr>
              <w:t>YES</w:t>
            </w:r>
          </w:p>
        </w:tc>
        <w:tc>
          <w:tcPr>
            <w:tcW w:w="360" w:type="dxa"/>
            <w:tcBorders>
              <w:top w:val="nil"/>
              <w:bottom w:val="nil"/>
            </w:tcBorders>
          </w:tcPr>
          <w:p w14:paraId="3CA6A16D" w14:textId="77777777" w:rsidR="00EC3AD3" w:rsidRDefault="00EC3AD3" w:rsidP="002C73C9">
            <w:pPr>
              <w:jc w:val="center"/>
              <w:rPr>
                <w:rFonts w:cs="Arial"/>
              </w:rPr>
            </w:pPr>
          </w:p>
        </w:tc>
        <w:tc>
          <w:tcPr>
            <w:tcW w:w="2266" w:type="dxa"/>
          </w:tcPr>
          <w:p w14:paraId="5F8BB1FB" w14:textId="081A1223" w:rsidR="00EC3AD3" w:rsidRDefault="00EC3AD3" w:rsidP="002C73C9">
            <w:pPr>
              <w:jc w:val="center"/>
              <w:rPr>
                <w:rFonts w:cs="Arial"/>
                <w:lang w:eastAsia="ja-JP"/>
              </w:rPr>
            </w:pPr>
            <w:r>
              <w:rPr>
                <w:rFonts w:cs="Arial" w:hint="eastAsia"/>
                <w:lang w:eastAsia="ja-JP"/>
              </w:rPr>
              <w:t>Republic of Korea</w:t>
            </w:r>
          </w:p>
        </w:tc>
        <w:tc>
          <w:tcPr>
            <w:tcW w:w="2040" w:type="dxa"/>
          </w:tcPr>
          <w:p w14:paraId="0D37CCCB" w14:textId="4109A1A1" w:rsidR="00EC3AD3" w:rsidRDefault="00EC3AD3" w:rsidP="002C73C9">
            <w:pPr>
              <w:jc w:val="center"/>
              <w:rPr>
                <w:rFonts w:cs="Arial"/>
                <w:lang w:eastAsia="ja-JP"/>
              </w:rPr>
            </w:pPr>
            <w:r>
              <w:rPr>
                <w:rFonts w:cs="Arial" w:hint="eastAsia"/>
                <w:lang w:eastAsia="ja-JP"/>
              </w:rPr>
              <w:t>YES</w:t>
            </w:r>
          </w:p>
        </w:tc>
      </w:tr>
      <w:tr w:rsidR="00EC3AD3" w14:paraId="7E22EBE1" w14:textId="77777777" w:rsidTr="00650A1F">
        <w:tc>
          <w:tcPr>
            <w:tcW w:w="2263" w:type="dxa"/>
          </w:tcPr>
          <w:p w14:paraId="5327893D" w14:textId="66B4DAAD" w:rsidR="00EC3AD3" w:rsidRDefault="00EC3AD3" w:rsidP="002C73C9">
            <w:pPr>
              <w:jc w:val="center"/>
              <w:rPr>
                <w:rFonts w:cs="Arial"/>
                <w:lang w:eastAsia="ja-JP"/>
              </w:rPr>
            </w:pPr>
            <w:r w:rsidRPr="00AE5840">
              <w:rPr>
                <w:rFonts w:cs="Arial"/>
                <w:color w:val="000000"/>
                <w:lang w:eastAsia="ja-JP"/>
              </w:rPr>
              <w:t>Canada</w:t>
            </w:r>
          </w:p>
        </w:tc>
        <w:tc>
          <w:tcPr>
            <w:tcW w:w="2052" w:type="dxa"/>
          </w:tcPr>
          <w:p w14:paraId="2EC8CD31" w14:textId="0C0D6186" w:rsidR="00EC3AD3" w:rsidRDefault="00EC3AD3" w:rsidP="002C73C9">
            <w:pPr>
              <w:jc w:val="center"/>
              <w:rPr>
                <w:rFonts w:cs="Arial"/>
                <w:lang w:eastAsia="ja-JP"/>
              </w:rPr>
            </w:pPr>
            <w:r w:rsidRPr="00AE5840">
              <w:rPr>
                <w:rFonts w:cs="Arial"/>
                <w:bCs/>
                <w:color w:val="000000"/>
                <w:lang w:eastAsia="ja-JP"/>
              </w:rPr>
              <w:t>YES</w:t>
            </w:r>
          </w:p>
        </w:tc>
        <w:tc>
          <w:tcPr>
            <w:tcW w:w="360" w:type="dxa"/>
            <w:tcBorders>
              <w:top w:val="nil"/>
              <w:bottom w:val="nil"/>
            </w:tcBorders>
          </w:tcPr>
          <w:p w14:paraId="68749715" w14:textId="77777777" w:rsidR="00EC3AD3" w:rsidRDefault="00EC3AD3" w:rsidP="002C73C9">
            <w:pPr>
              <w:jc w:val="center"/>
              <w:rPr>
                <w:rFonts w:cs="Arial"/>
              </w:rPr>
            </w:pPr>
          </w:p>
        </w:tc>
        <w:tc>
          <w:tcPr>
            <w:tcW w:w="2266" w:type="dxa"/>
          </w:tcPr>
          <w:p w14:paraId="5BD4E901" w14:textId="005C7A56" w:rsidR="00EC3AD3" w:rsidRDefault="00EC3AD3" w:rsidP="002C73C9">
            <w:pPr>
              <w:jc w:val="center"/>
              <w:rPr>
                <w:rFonts w:cs="Arial"/>
              </w:rPr>
            </w:pPr>
            <w:r w:rsidRPr="00AE5840">
              <w:rPr>
                <w:rFonts w:cs="Arial"/>
                <w:color w:val="000000"/>
                <w:lang w:eastAsia="ja-JP"/>
              </w:rPr>
              <w:t>Ser</w:t>
            </w:r>
            <w:r w:rsidR="007A06D8">
              <w:rPr>
                <w:rFonts w:cs="Arial"/>
                <w:color w:val="000000"/>
                <w:lang w:eastAsia="ja-JP"/>
              </w:rPr>
              <w:t>b</w:t>
            </w:r>
            <w:r w:rsidRPr="00AE5840">
              <w:rPr>
                <w:rFonts w:cs="Arial"/>
                <w:color w:val="000000"/>
                <w:lang w:eastAsia="ja-JP"/>
              </w:rPr>
              <w:t>ia</w:t>
            </w:r>
          </w:p>
        </w:tc>
        <w:tc>
          <w:tcPr>
            <w:tcW w:w="2040" w:type="dxa"/>
          </w:tcPr>
          <w:p w14:paraId="11FBA62E" w14:textId="16475F43" w:rsidR="00EC3AD3" w:rsidRDefault="00EC3AD3" w:rsidP="002C73C9">
            <w:pPr>
              <w:jc w:val="center"/>
              <w:rPr>
                <w:rFonts w:cs="Arial"/>
              </w:rPr>
            </w:pPr>
            <w:r w:rsidRPr="00AE5840">
              <w:rPr>
                <w:rFonts w:cs="Arial"/>
                <w:bCs/>
                <w:color w:val="000000"/>
                <w:lang w:eastAsia="ja-JP"/>
              </w:rPr>
              <w:t>NO</w:t>
            </w:r>
          </w:p>
        </w:tc>
      </w:tr>
      <w:tr w:rsidR="00EC3AD3" w14:paraId="74031423" w14:textId="77777777" w:rsidTr="00650A1F">
        <w:tc>
          <w:tcPr>
            <w:tcW w:w="2263" w:type="dxa"/>
          </w:tcPr>
          <w:p w14:paraId="6CEB42A7" w14:textId="07FDB5E6" w:rsidR="00EC3AD3" w:rsidRDefault="00EC3AD3" w:rsidP="002C73C9">
            <w:pPr>
              <w:jc w:val="center"/>
              <w:rPr>
                <w:rFonts w:cs="Arial"/>
              </w:rPr>
            </w:pPr>
            <w:r w:rsidRPr="00AE5840">
              <w:rPr>
                <w:rFonts w:cs="Arial"/>
                <w:color w:val="000000"/>
                <w:lang w:eastAsia="ja-JP"/>
              </w:rPr>
              <w:t>China</w:t>
            </w:r>
          </w:p>
        </w:tc>
        <w:tc>
          <w:tcPr>
            <w:tcW w:w="2052" w:type="dxa"/>
          </w:tcPr>
          <w:p w14:paraId="1868F004" w14:textId="1C6F34AF" w:rsidR="00EC3AD3" w:rsidRDefault="00EC3AD3" w:rsidP="002C73C9">
            <w:pPr>
              <w:jc w:val="center"/>
              <w:rPr>
                <w:rFonts w:cs="Arial"/>
              </w:rPr>
            </w:pPr>
            <w:r w:rsidRPr="00AE5840">
              <w:rPr>
                <w:rFonts w:cs="Arial"/>
                <w:bCs/>
                <w:color w:val="000000"/>
                <w:lang w:eastAsia="ja-JP"/>
              </w:rPr>
              <w:t>YES</w:t>
            </w:r>
          </w:p>
        </w:tc>
        <w:tc>
          <w:tcPr>
            <w:tcW w:w="360" w:type="dxa"/>
            <w:tcBorders>
              <w:top w:val="nil"/>
              <w:bottom w:val="nil"/>
            </w:tcBorders>
          </w:tcPr>
          <w:p w14:paraId="0CCC79EF" w14:textId="77777777" w:rsidR="00EC3AD3" w:rsidRDefault="00EC3AD3" w:rsidP="002C73C9">
            <w:pPr>
              <w:jc w:val="center"/>
              <w:rPr>
                <w:rFonts w:cs="Arial"/>
              </w:rPr>
            </w:pPr>
          </w:p>
        </w:tc>
        <w:tc>
          <w:tcPr>
            <w:tcW w:w="2266" w:type="dxa"/>
          </w:tcPr>
          <w:p w14:paraId="1B6E8D4F" w14:textId="63391D21" w:rsidR="00EC3AD3" w:rsidRDefault="00EC3AD3" w:rsidP="002C73C9">
            <w:pPr>
              <w:jc w:val="center"/>
              <w:rPr>
                <w:rFonts w:cs="Arial"/>
              </w:rPr>
            </w:pPr>
            <w:r w:rsidRPr="00AE5840">
              <w:rPr>
                <w:rFonts w:cs="Arial"/>
                <w:color w:val="000000"/>
                <w:lang w:eastAsia="ja-JP"/>
              </w:rPr>
              <w:t>Slovakia</w:t>
            </w:r>
          </w:p>
        </w:tc>
        <w:tc>
          <w:tcPr>
            <w:tcW w:w="2040" w:type="dxa"/>
          </w:tcPr>
          <w:p w14:paraId="7B2FCE1C" w14:textId="4D9271D2" w:rsidR="00EC3AD3" w:rsidRDefault="00EC3AD3" w:rsidP="002C73C9">
            <w:pPr>
              <w:jc w:val="center"/>
              <w:rPr>
                <w:rFonts w:cs="Arial"/>
              </w:rPr>
            </w:pPr>
            <w:r w:rsidRPr="00AE5840">
              <w:rPr>
                <w:rFonts w:cs="Arial"/>
                <w:bCs/>
                <w:color w:val="000000"/>
                <w:lang w:eastAsia="ja-JP"/>
              </w:rPr>
              <w:t>YES</w:t>
            </w:r>
          </w:p>
        </w:tc>
      </w:tr>
      <w:tr w:rsidR="00EC3AD3" w14:paraId="52CAA688" w14:textId="77777777" w:rsidTr="00650A1F">
        <w:tc>
          <w:tcPr>
            <w:tcW w:w="2263" w:type="dxa"/>
          </w:tcPr>
          <w:p w14:paraId="3051CBC8" w14:textId="78AFEA68" w:rsidR="00EC3AD3" w:rsidRPr="00AE5840" w:rsidRDefault="00EC3AD3" w:rsidP="002C73C9">
            <w:pPr>
              <w:jc w:val="center"/>
              <w:rPr>
                <w:rFonts w:cs="Arial"/>
                <w:color w:val="000000"/>
                <w:lang w:eastAsia="ja-JP"/>
              </w:rPr>
            </w:pPr>
            <w:r w:rsidRPr="00AE5840">
              <w:rPr>
                <w:rFonts w:cs="Arial"/>
                <w:color w:val="000000"/>
                <w:lang w:eastAsia="ja-JP"/>
              </w:rPr>
              <w:t>Colombia</w:t>
            </w:r>
          </w:p>
        </w:tc>
        <w:tc>
          <w:tcPr>
            <w:tcW w:w="2052" w:type="dxa"/>
          </w:tcPr>
          <w:p w14:paraId="4D03976A" w14:textId="6BA763E0" w:rsidR="00EC3AD3" w:rsidRPr="00AE5840" w:rsidRDefault="00EC3AD3" w:rsidP="002C73C9">
            <w:pPr>
              <w:jc w:val="center"/>
              <w:rPr>
                <w:rFonts w:cs="Arial"/>
                <w:bCs/>
                <w:color w:val="000000"/>
                <w:lang w:eastAsia="ja-JP"/>
              </w:rPr>
            </w:pPr>
            <w:r w:rsidRPr="00AE5840">
              <w:rPr>
                <w:rFonts w:cs="Arial"/>
                <w:bCs/>
                <w:color w:val="000000"/>
                <w:lang w:eastAsia="ja-JP"/>
              </w:rPr>
              <w:t>NO</w:t>
            </w:r>
          </w:p>
        </w:tc>
        <w:tc>
          <w:tcPr>
            <w:tcW w:w="360" w:type="dxa"/>
            <w:tcBorders>
              <w:top w:val="nil"/>
              <w:bottom w:val="nil"/>
            </w:tcBorders>
          </w:tcPr>
          <w:p w14:paraId="1DD49C98" w14:textId="77777777" w:rsidR="00EC3AD3" w:rsidRDefault="00EC3AD3" w:rsidP="002C73C9">
            <w:pPr>
              <w:jc w:val="center"/>
              <w:rPr>
                <w:rFonts w:cs="Arial"/>
              </w:rPr>
            </w:pPr>
          </w:p>
        </w:tc>
        <w:tc>
          <w:tcPr>
            <w:tcW w:w="2266" w:type="dxa"/>
          </w:tcPr>
          <w:p w14:paraId="008839F5" w14:textId="62FE83D0" w:rsidR="00EC3AD3" w:rsidRPr="00AE5840" w:rsidRDefault="00EC3AD3" w:rsidP="002C73C9">
            <w:pPr>
              <w:jc w:val="center"/>
              <w:rPr>
                <w:rFonts w:cs="Arial"/>
                <w:color w:val="000000"/>
                <w:lang w:eastAsia="ja-JP"/>
              </w:rPr>
            </w:pPr>
            <w:r>
              <w:rPr>
                <w:rFonts w:cs="Arial" w:hint="eastAsia"/>
                <w:color w:val="000000"/>
                <w:lang w:eastAsia="ja-JP"/>
              </w:rPr>
              <w:t>Singapore</w:t>
            </w:r>
          </w:p>
        </w:tc>
        <w:tc>
          <w:tcPr>
            <w:tcW w:w="2040" w:type="dxa"/>
          </w:tcPr>
          <w:p w14:paraId="05240B1A" w14:textId="63FBC3B4" w:rsidR="00EC3AD3" w:rsidRPr="00AE5840" w:rsidRDefault="00EC3AD3" w:rsidP="002C73C9">
            <w:pPr>
              <w:jc w:val="center"/>
              <w:rPr>
                <w:rFonts w:cs="Arial"/>
                <w:bCs/>
                <w:color w:val="000000"/>
                <w:lang w:eastAsia="ja-JP"/>
              </w:rPr>
            </w:pPr>
            <w:r>
              <w:rPr>
                <w:rFonts w:cs="Arial" w:hint="eastAsia"/>
                <w:bCs/>
                <w:color w:val="000000"/>
                <w:lang w:eastAsia="ja-JP"/>
              </w:rPr>
              <w:t>NO</w:t>
            </w:r>
          </w:p>
        </w:tc>
      </w:tr>
      <w:tr w:rsidR="00EC3AD3" w14:paraId="31BA1FB6" w14:textId="77777777" w:rsidTr="00650A1F">
        <w:tc>
          <w:tcPr>
            <w:tcW w:w="2263" w:type="dxa"/>
          </w:tcPr>
          <w:p w14:paraId="7BCE808C" w14:textId="5B459107" w:rsidR="00EC3AD3" w:rsidRDefault="00EC3AD3" w:rsidP="002C73C9">
            <w:pPr>
              <w:jc w:val="center"/>
              <w:rPr>
                <w:rFonts w:cs="Arial"/>
              </w:rPr>
            </w:pPr>
            <w:r w:rsidRPr="00AE5840">
              <w:rPr>
                <w:rFonts w:cs="Arial"/>
                <w:color w:val="000000"/>
                <w:lang w:eastAsia="ja-JP"/>
              </w:rPr>
              <w:t>Croatia</w:t>
            </w:r>
          </w:p>
        </w:tc>
        <w:tc>
          <w:tcPr>
            <w:tcW w:w="2052" w:type="dxa"/>
          </w:tcPr>
          <w:p w14:paraId="3C266F99" w14:textId="35147B79" w:rsidR="00EC3AD3" w:rsidRDefault="00EC3AD3" w:rsidP="002C73C9">
            <w:pPr>
              <w:jc w:val="center"/>
              <w:rPr>
                <w:rFonts w:cs="Arial"/>
              </w:rPr>
            </w:pPr>
            <w:r w:rsidRPr="00AE5840">
              <w:rPr>
                <w:rFonts w:cs="Arial"/>
                <w:bCs/>
                <w:color w:val="000000"/>
                <w:lang w:eastAsia="ja-JP"/>
              </w:rPr>
              <w:t>NO</w:t>
            </w:r>
          </w:p>
        </w:tc>
        <w:tc>
          <w:tcPr>
            <w:tcW w:w="360" w:type="dxa"/>
            <w:tcBorders>
              <w:top w:val="nil"/>
              <w:bottom w:val="nil"/>
            </w:tcBorders>
          </w:tcPr>
          <w:p w14:paraId="29941A6C" w14:textId="77777777" w:rsidR="00EC3AD3" w:rsidRDefault="00EC3AD3" w:rsidP="002C73C9">
            <w:pPr>
              <w:jc w:val="center"/>
              <w:rPr>
                <w:rFonts w:cs="Arial"/>
              </w:rPr>
            </w:pPr>
          </w:p>
        </w:tc>
        <w:tc>
          <w:tcPr>
            <w:tcW w:w="2266" w:type="dxa"/>
          </w:tcPr>
          <w:p w14:paraId="31C672E8" w14:textId="4209027F" w:rsidR="00EC3AD3" w:rsidRDefault="00EC3AD3" w:rsidP="002C73C9">
            <w:pPr>
              <w:jc w:val="center"/>
              <w:rPr>
                <w:rFonts w:cs="Arial"/>
              </w:rPr>
            </w:pPr>
            <w:r w:rsidRPr="00AE5840">
              <w:rPr>
                <w:rFonts w:cs="Arial"/>
                <w:color w:val="000000"/>
                <w:lang w:eastAsia="ja-JP"/>
              </w:rPr>
              <w:t>South Africa</w:t>
            </w:r>
          </w:p>
        </w:tc>
        <w:tc>
          <w:tcPr>
            <w:tcW w:w="2040" w:type="dxa"/>
          </w:tcPr>
          <w:p w14:paraId="253307AC" w14:textId="6EB1A5DD" w:rsidR="00EC3AD3" w:rsidRDefault="00EC3AD3" w:rsidP="002C73C9">
            <w:pPr>
              <w:jc w:val="center"/>
              <w:rPr>
                <w:rFonts w:cs="Arial"/>
              </w:rPr>
            </w:pPr>
            <w:r w:rsidRPr="00AE5840">
              <w:rPr>
                <w:rFonts w:cs="Arial"/>
                <w:bCs/>
                <w:color w:val="000000"/>
                <w:lang w:eastAsia="ja-JP"/>
              </w:rPr>
              <w:t>NO</w:t>
            </w:r>
          </w:p>
        </w:tc>
      </w:tr>
      <w:tr w:rsidR="00EC3AD3" w14:paraId="06C1D20C" w14:textId="77777777" w:rsidTr="00650A1F">
        <w:tc>
          <w:tcPr>
            <w:tcW w:w="2263" w:type="dxa"/>
          </w:tcPr>
          <w:p w14:paraId="06B1E17B" w14:textId="1BDAB097" w:rsidR="00EC3AD3" w:rsidRDefault="00EC3AD3" w:rsidP="002C73C9">
            <w:pPr>
              <w:jc w:val="center"/>
              <w:rPr>
                <w:rFonts w:cs="Arial"/>
              </w:rPr>
            </w:pPr>
            <w:r w:rsidRPr="00AE5840">
              <w:rPr>
                <w:rFonts w:cs="Arial"/>
                <w:color w:val="000000"/>
                <w:lang w:eastAsia="ja-JP"/>
              </w:rPr>
              <w:t>Czech Republic</w:t>
            </w:r>
          </w:p>
        </w:tc>
        <w:tc>
          <w:tcPr>
            <w:tcW w:w="2052" w:type="dxa"/>
          </w:tcPr>
          <w:p w14:paraId="7123EA19" w14:textId="5B301E57" w:rsidR="00EC3AD3" w:rsidRDefault="00EC3AD3" w:rsidP="002C73C9">
            <w:pPr>
              <w:jc w:val="center"/>
              <w:rPr>
                <w:rFonts w:cs="Arial"/>
              </w:rPr>
            </w:pPr>
            <w:r w:rsidRPr="00AE5840">
              <w:rPr>
                <w:rFonts w:cs="Arial"/>
                <w:bCs/>
                <w:color w:val="000000"/>
                <w:lang w:eastAsia="ja-JP"/>
              </w:rPr>
              <w:t>YES</w:t>
            </w:r>
          </w:p>
        </w:tc>
        <w:tc>
          <w:tcPr>
            <w:tcW w:w="360" w:type="dxa"/>
            <w:tcBorders>
              <w:top w:val="nil"/>
              <w:bottom w:val="nil"/>
            </w:tcBorders>
          </w:tcPr>
          <w:p w14:paraId="09D8A6B0" w14:textId="77777777" w:rsidR="00EC3AD3" w:rsidRDefault="00EC3AD3" w:rsidP="002C73C9">
            <w:pPr>
              <w:jc w:val="center"/>
              <w:rPr>
                <w:rFonts w:cs="Arial"/>
              </w:rPr>
            </w:pPr>
          </w:p>
        </w:tc>
        <w:tc>
          <w:tcPr>
            <w:tcW w:w="2266" w:type="dxa"/>
          </w:tcPr>
          <w:p w14:paraId="577F6D1A" w14:textId="08D1E0F7" w:rsidR="00EC3AD3" w:rsidRDefault="00EC3AD3" w:rsidP="002C73C9">
            <w:pPr>
              <w:jc w:val="center"/>
              <w:rPr>
                <w:rFonts w:cs="Arial"/>
              </w:rPr>
            </w:pPr>
            <w:r w:rsidRPr="00AE5840">
              <w:rPr>
                <w:rFonts w:cs="Arial"/>
                <w:color w:val="000000"/>
                <w:lang w:eastAsia="ja-JP"/>
              </w:rPr>
              <w:t>Switzerland</w:t>
            </w:r>
          </w:p>
        </w:tc>
        <w:tc>
          <w:tcPr>
            <w:tcW w:w="2040" w:type="dxa"/>
          </w:tcPr>
          <w:p w14:paraId="4E895D01" w14:textId="76B01C99" w:rsidR="00EC3AD3" w:rsidRDefault="00EC3AD3" w:rsidP="002C73C9">
            <w:pPr>
              <w:jc w:val="center"/>
              <w:rPr>
                <w:rFonts w:cs="Arial"/>
              </w:rPr>
            </w:pPr>
            <w:r w:rsidRPr="00AE5840">
              <w:rPr>
                <w:rFonts w:cs="Arial"/>
                <w:bCs/>
                <w:color w:val="000000"/>
                <w:lang w:eastAsia="ja-JP"/>
              </w:rPr>
              <w:t>NO</w:t>
            </w:r>
          </w:p>
        </w:tc>
      </w:tr>
      <w:tr w:rsidR="00EC3AD3" w14:paraId="20123DC6" w14:textId="77777777" w:rsidTr="00650A1F">
        <w:tc>
          <w:tcPr>
            <w:tcW w:w="2263" w:type="dxa"/>
          </w:tcPr>
          <w:p w14:paraId="480BA5D8" w14:textId="4BA0B209" w:rsidR="00EC3AD3" w:rsidRDefault="00EC3AD3" w:rsidP="002C73C9">
            <w:pPr>
              <w:jc w:val="center"/>
              <w:rPr>
                <w:rFonts w:cs="Arial"/>
              </w:rPr>
            </w:pPr>
            <w:r w:rsidRPr="00AE5840">
              <w:rPr>
                <w:rFonts w:cs="Arial"/>
                <w:color w:val="000000"/>
                <w:lang w:eastAsia="ja-JP"/>
              </w:rPr>
              <w:t>Ecuador</w:t>
            </w:r>
          </w:p>
        </w:tc>
        <w:tc>
          <w:tcPr>
            <w:tcW w:w="2052" w:type="dxa"/>
          </w:tcPr>
          <w:p w14:paraId="01E6324E" w14:textId="5CF9D17F" w:rsidR="00EC3AD3" w:rsidRDefault="00EC3AD3" w:rsidP="002C73C9">
            <w:pPr>
              <w:jc w:val="center"/>
              <w:rPr>
                <w:rFonts w:cs="Arial"/>
              </w:rPr>
            </w:pPr>
            <w:r w:rsidRPr="00AE5840">
              <w:rPr>
                <w:rFonts w:cs="Arial"/>
                <w:bCs/>
                <w:color w:val="000000"/>
                <w:lang w:eastAsia="ja-JP"/>
              </w:rPr>
              <w:t>NO</w:t>
            </w:r>
          </w:p>
        </w:tc>
        <w:tc>
          <w:tcPr>
            <w:tcW w:w="360" w:type="dxa"/>
            <w:tcBorders>
              <w:top w:val="nil"/>
              <w:bottom w:val="nil"/>
            </w:tcBorders>
          </w:tcPr>
          <w:p w14:paraId="77247DD9" w14:textId="77777777" w:rsidR="00EC3AD3" w:rsidRDefault="00EC3AD3" w:rsidP="002C73C9">
            <w:pPr>
              <w:jc w:val="center"/>
              <w:rPr>
                <w:rFonts w:cs="Arial"/>
              </w:rPr>
            </w:pPr>
          </w:p>
        </w:tc>
        <w:tc>
          <w:tcPr>
            <w:tcW w:w="2266" w:type="dxa"/>
          </w:tcPr>
          <w:p w14:paraId="4DFCF1C8" w14:textId="6491AEC3" w:rsidR="00EC3AD3" w:rsidRDefault="00EC3AD3" w:rsidP="002C73C9">
            <w:pPr>
              <w:jc w:val="center"/>
              <w:rPr>
                <w:rFonts w:cs="Arial"/>
              </w:rPr>
            </w:pPr>
            <w:r w:rsidRPr="00AE5840">
              <w:rPr>
                <w:rFonts w:cs="Arial"/>
                <w:color w:val="000000"/>
                <w:lang w:eastAsia="ja-JP"/>
              </w:rPr>
              <w:t>T</w:t>
            </w:r>
            <w:r>
              <w:rPr>
                <w:rFonts w:cs="Arial" w:hint="eastAsia"/>
                <w:color w:val="000000"/>
                <w:lang w:eastAsia="ja-JP"/>
              </w:rPr>
              <w:t>u</w:t>
            </w:r>
            <w:r w:rsidRPr="00AE5840">
              <w:rPr>
                <w:rFonts w:cs="Arial"/>
                <w:color w:val="000000"/>
                <w:lang w:eastAsia="ja-JP"/>
              </w:rPr>
              <w:t>nisia</w:t>
            </w:r>
          </w:p>
        </w:tc>
        <w:tc>
          <w:tcPr>
            <w:tcW w:w="2040" w:type="dxa"/>
          </w:tcPr>
          <w:p w14:paraId="7BD4717A" w14:textId="1256FA52" w:rsidR="00EC3AD3" w:rsidRDefault="00EC3AD3" w:rsidP="002C73C9">
            <w:pPr>
              <w:jc w:val="center"/>
              <w:rPr>
                <w:rFonts w:cs="Arial"/>
              </w:rPr>
            </w:pPr>
            <w:r w:rsidRPr="00AE5840">
              <w:rPr>
                <w:rFonts w:cs="Arial"/>
                <w:bCs/>
                <w:color w:val="000000"/>
                <w:lang w:eastAsia="ja-JP"/>
              </w:rPr>
              <w:t>NO</w:t>
            </w:r>
          </w:p>
        </w:tc>
      </w:tr>
      <w:tr w:rsidR="00EC3AD3" w14:paraId="7EC14894" w14:textId="77777777" w:rsidTr="00650A1F">
        <w:tc>
          <w:tcPr>
            <w:tcW w:w="2263" w:type="dxa"/>
          </w:tcPr>
          <w:p w14:paraId="350E134A" w14:textId="148FE597" w:rsidR="00EC3AD3" w:rsidRDefault="00EC3AD3" w:rsidP="002C73C9">
            <w:pPr>
              <w:jc w:val="center"/>
              <w:rPr>
                <w:rFonts w:cs="Arial"/>
              </w:rPr>
            </w:pPr>
            <w:r w:rsidRPr="00AE5840">
              <w:rPr>
                <w:rFonts w:cs="Arial"/>
                <w:color w:val="000000"/>
                <w:lang w:eastAsia="ja-JP"/>
              </w:rPr>
              <w:t>Egypt</w:t>
            </w:r>
          </w:p>
        </w:tc>
        <w:tc>
          <w:tcPr>
            <w:tcW w:w="2052" w:type="dxa"/>
          </w:tcPr>
          <w:p w14:paraId="7806BDF2" w14:textId="75A02F70" w:rsidR="00EC3AD3" w:rsidRDefault="00EC3AD3" w:rsidP="002C73C9">
            <w:pPr>
              <w:jc w:val="center"/>
              <w:rPr>
                <w:rFonts w:cs="Arial"/>
              </w:rPr>
            </w:pPr>
            <w:r w:rsidRPr="00AE5840">
              <w:rPr>
                <w:rFonts w:cs="Arial"/>
                <w:bCs/>
                <w:color w:val="000000"/>
                <w:lang w:eastAsia="ja-JP"/>
              </w:rPr>
              <w:t>NO</w:t>
            </w:r>
          </w:p>
        </w:tc>
        <w:tc>
          <w:tcPr>
            <w:tcW w:w="360" w:type="dxa"/>
            <w:tcBorders>
              <w:top w:val="nil"/>
              <w:bottom w:val="nil"/>
            </w:tcBorders>
          </w:tcPr>
          <w:p w14:paraId="35B1D25E" w14:textId="77777777" w:rsidR="00EC3AD3" w:rsidRDefault="00EC3AD3" w:rsidP="002C73C9">
            <w:pPr>
              <w:jc w:val="center"/>
              <w:rPr>
                <w:rFonts w:cs="Arial"/>
              </w:rPr>
            </w:pPr>
          </w:p>
        </w:tc>
        <w:tc>
          <w:tcPr>
            <w:tcW w:w="2266" w:type="dxa"/>
          </w:tcPr>
          <w:p w14:paraId="01E037E5" w14:textId="4B811648" w:rsidR="00EC3AD3" w:rsidRDefault="00EC3AD3" w:rsidP="002C73C9">
            <w:pPr>
              <w:jc w:val="center"/>
              <w:rPr>
                <w:rFonts w:cs="Arial"/>
              </w:rPr>
            </w:pPr>
            <w:r w:rsidRPr="00AE5840">
              <w:rPr>
                <w:rFonts w:cs="Arial"/>
                <w:color w:val="000000"/>
                <w:lang w:eastAsia="ja-JP"/>
              </w:rPr>
              <w:t>Trinidad and Tobago</w:t>
            </w:r>
          </w:p>
        </w:tc>
        <w:tc>
          <w:tcPr>
            <w:tcW w:w="2040" w:type="dxa"/>
          </w:tcPr>
          <w:p w14:paraId="11CCF435" w14:textId="73153682" w:rsidR="00EC3AD3" w:rsidRDefault="00EC3AD3" w:rsidP="002C73C9">
            <w:pPr>
              <w:jc w:val="center"/>
              <w:rPr>
                <w:rFonts w:cs="Arial"/>
              </w:rPr>
            </w:pPr>
            <w:r w:rsidRPr="00AE5840">
              <w:rPr>
                <w:rFonts w:cs="Arial"/>
                <w:bCs/>
                <w:color w:val="000000"/>
                <w:lang w:eastAsia="ja-JP"/>
              </w:rPr>
              <w:t>NO</w:t>
            </w:r>
          </w:p>
        </w:tc>
      </w:tr>
      <w:tr w:rsidR="00EC3AD3" w14:paraId="092DAC08" w14:textId="77777777" w:rsidTr="00650A1F">
        <w:tc>
          <w:tcPr>
            <w:tcW w:w="2263" w:type="dxa"/>
          </w:tcPr>
          <w:p w14:paraId="4858CE23" w14:textId="0F568982" w:rsidR="00EC3AD3" w:rsidRDefault="00EC3AD3" w:rsidP="002C73C9">
            <w:pPr>
              <w:jc w:val="center"/>
              <w:rPr>
                <w:rFonts w:cs="Arial"/>
              </w:rPr>
            </w:pPr>
            <w:r w:rsidRPr="00AE5840">
              <w:rPr>
                <w:rFonts w:cs="Arial"/>
                <w:color w:val="000000"/>
                <w:lang w:eastAsia="ja-JP"/>
              </w:rPr>
              <w:t>European Union</w:t>
            </w:r>
          </w:p>
        </w:tc>
        <w:tc>
          <w:tcPr>
            <w:tcW w:w="2052" w:type="dxa"/>
          </w:tcPr>
          <w:p w14:paraId="11E8E4E4" w14:textId="645B1430" w:rsidR="00EC3AD3" w:rsidRDefault="00EC3AD3" w:rsidP="002C73C9">
            <w:pPr>
              <w:jc w:val="center"/>
              <w:rPr>
                <w:rFonts w:cs="Arial"/>
              </w:rPr>
            </w:pPr>
            <w:r w:rsidRPr="00AE5840">
              <w:rPr>
                <w:rFonts w:cs="Arial"/>
                <w:bCs/>
                <w:color w:val="000000"/>
                <w:lang w:eastAsia="ja-JP"/>
              </w:rPr>
              <w:t>YES</w:t>
            </w:r>
          </w:p>
        </w:tc>
        <w:tc>
          <w:tcPr>
            <w:tcW w:w="360" w:type="dxa"/>
            <w:tcBorders>
              <w:top w:val="nil"/>
              <w:bottom w:val="nil"/>
            </w:tcBorders>
          </w:tcPr>
          <w:p w14:paraId="2EA1BFF1" w14:textId="77777777" w:rsidR="00EC3AD3" w:rsidRDefault="00EC3AD3" w:rsidP="002C73C9">
            <w:pPr>
              <w:jc w:val="center"/>
              <w:rPr>
                <w:rFonts w:cs="Arial"/>
              </w:rPr>
            </w:pPr>
          </w:p>
        </w:tc>
        <w:tc>
          <w:tcPr>
            <w:tcW w:w="2266" w:type="dxa"/>
          </w:tcPr>
          <w:p w14:paraId="0E4D5479" w14:textId="1286F29E" w:rsidR="00EC3AD3" w:rsidRDefault="00EC3AD3" w:rsidP="002C73C9">
            <w:pPr>
              <w:jc w:val="center"/>
              <w:rPr>
                <w:rFonts w:cs="Arial"/>
              </w:rPr>
            </w:pPr>
            <w:r w:rsidRPr="00AE5840">
              <w:rPr>
                <w:rFonts w:cs="Arial"/>
                <w:color w:val="000000"/>
                <w:lang w:eastAsia="ja-JP"/>
              </w:rPr>
              <w:t>Ukraine</w:t>
            </w:r>
          </w:p>
        </w:tc>
        <w:tc>
          <w:tcPr>
            <w:tcW w:w="2040" w:type="dxa"/>
          </w:tcPr>
          <w:p w14:paraId="47AE6A37" w14:textId="175A6F86" w:rsidR="00EC3AD3" w:rsidRDefault="00EC3AD3" w:rsidP="002C73C9">
            <w:pPr>
              <w:jc w:val="center"/>
              <w:rPr>
                <w:rFonts w:cs="Arial"/>
              </w:rPr>
            </w:pPr>
            <w:r w:rsidRPr="00AE5840">
              <w:rPr>
                <w:rFonts w:cs="Arial"/>
                <w:bCs/>
                <w:color w:val="000000"/>
                <w:lang w:eastAsia="ja-JP"/>
              </w:rPr>
              <w:t>YES</w:t>
            </w:r>
          </w:p>
        </w:tc>
      </w:tr>
      <w:tr w:rsidR="00EC3AD3" w14:paraId="4F155654" w14:textId="77777777" w:rsidTr="00650A1F">
        <w:tc>
          <w:tcPr>
            <w:tcW w:w="2263" w:type="dxa"/>
          </w:tcPr>
          <w:p w14:paraId="46575D17" w14:textId="6147FCF4" w:rsidR="00EC3AD3" w:rsidRDefault="00EC3AD3" w:rsidP="002C73C9">
            <w:pPr>
              <w:jc w:val="center"/>
              <w:rPr>
                <w:rFonts w:cs="Arial"/>
              </w:rPr>
            </w:pPr>
            <w:r w:rsidRPr="00AE5840">
              <w:rPr>
                <w:rFonts w:cs="Arial"/>
                <w:color w:val="000000"/>
                <w:lang w:eastAsia="ja-JP"/>
              </w:rPr>
              <w:t>Estonia</w:t>
            </w:r>
          </w:p>
        </w:tc>
        <w:tc>
          <w:tcPr>
            <w:tcW w:w="2052" w:type="dxa"/>
          </w:tcPr>
          <w:p w14:paraId="209B28AE" w14:textId="5ED52208" w:rsidR="00EC3AD3" w:rsidRDefault="00EC3AD3" w:rsidP="002C73C9">
            <w:pPr>
              <w:jc w:val="center"/>
              <w:rPr>
                <w:rFonts w:cs="Arial"/>
              </w:rPr>
            </w:pPr>
            <w:r w:rsidRPr="00AE5840">
              <w:rPr>
                <w:rFonts w:cs="Arial"/>
                <w:bCs/>
                <w:color w:val="000000"/>
                <w:lang w:eastAsia="ja-JP"/>
              </w:rPr>
              <w:t>YES</w:t>
            </w:r>
          </w:p>
        </w:tc>
        <w:tc>
          <w:tcPr>
            <w:tcW w:w="360" w:type="dxa"/>
            <w:tcBorders>
              <w:top w:val="nil"/>
              <w:bottom w:val="nil"/>
            </w:tcBorders>
          </w:tcPr>
          <w:p w14:paraId="7B744F35" w14:textId="77777777" w:rsidR="00EC3AD3" w:rsidRDefault="00EC3AD3" w:rsidP="002C73C9">
            <w:pPr>
              <w:jc w:val="center"/>
              <w:rPr>
                <w:rFonts w:cs="Arial"/>
              </w:rPr>
            </w:pPr>
          </w:p>
        </w:tc>
        <w:tc>
          <w:tcPr>
            <w:tcW w:w="2266" w:type="dxa"/>
          </w:tcPr>
          <w:p w14:paraId="380FA6B4" w14:textId="30D94D79" w:rsidR="00EC3AD3" w:rsidRDefault="00EC3AD3" w:rsidP="002C73C9">
            <w:pPr>
              <w:jc w:val="center"/>
              <w:rPr>
                <w:rFonts w:cs="Arial"/>
                <w:lang w:eastAsia="ja-JP"/>
              </w:rPr>
            </w:pPr>
            <w:r>
              <w:rPr>
                <w:rFonts w:cs="Arial" w:hint="eastAsia"/>
                <w:lang w:eastAsia="ja-JP"/>
              </w:rPr>
              <w:t>United Kingdom</w:t>
            </w:r>
          </w:p>
        </w:tc>
        <w:tc>
          <w:tcPr>
            <w:tcW w:w="2040" w:type="dxa"/>
          </w:tcPr>
          <w:p w14:paraId="4B7B2A5F" w14:textId="60232D50" w:rsidR="00EC3AD3" w:rsidRDefault="00EC3AD3" w:rsidP="002C73C9">
            <w:pPr>
              <w:jc w:val="center"/>
              <w:rPr>
                <w:rFonts w:cs="Arial"/>
                <w:lang w:eastAsia="ja-JP"/>
              </w:rPr>
            </w:pPr>
            <w:r>
              <w:rPr>
                <w:rFonts w:cs="Arial" w:hint="eastAsia"/>
                <w:lang w:eastAsia="ja-JP"/>
              </w:rPr>
              <w:t>YES</w:t>
            </w:r>
          </w:p>
        </w:tc>
      </w:tr>
      <w:tr w:rsidR="00EC3AD3" w14:paraId="1AE33735" w14:textId="77777777" w:rsidTr="00650A1F">
        <w:tc>
          <w:tcPr>
            <w:tcW w:w="2263" w:type="dxa"/>
          </w:tcPr>
          <w:p w14:paraId="5F2683B7" w14:textId="3526C069" w:rsidR="00EC3AD3" w:rsidRDefault="00EC3AD3" w:rsidP="002C73C9">
            <w:pPr>
              <w:jc w:val="center"/>
              <w:rPr>
                <w:rFonts w:cs="Arial"/>
              </w:rPr>
            </w:pPr>
            <w:r w:rsidRPr="00AE5840">
              <w:rPr>
                <w:rFonts w:cs="Arial"/>
                <w:color w:val="000000"/>
                <w:lang w:eastAsia="ja-JP"/>
              </w:rPr>
              <w:t>Finland</w:t>
            </w:r>
          </w:p>
        </w:tc>
        <w:tc>
          <w:tcPr>
            <w:tcW w:w="2052" w:type="dxa"/>
          </w:tcPr>
          <w:p w14:paraId="6397FD50" w14:textId="472AB563" w:rsidR="00EC3AD3" w:rsidRDefault="00EC3AD3" w:rsidP="002C73C9">
            <w:pPr>
              <w:jc w:val="center"/>
              <w:rPr>
                <w:rFonts w:cs="Arial"/>
              </w:rPr>
            </w:pPr>
            <w:r w:rsidRPr="00AE5840">
              <w:rPr>
                <w:rFonts w:cs="Arial"/>
                <w:bCs/>
                <w:color w:val="000000"/>
                <w:lang w:eastAsia="ja-JP"/>
              </w:rPr>
              <w:t>NO</w:t>
            </w:r>
          </w:p>
        </w:tc>
        <w:tc>
          <w:tcPr>
            <w:tcW w:w="360" w:type="dxa"/>
            <w:tcBorders>
              <w:top w:val="nil"/>
              <w:bottom w:val="nil"/>
            </w:tcBorders>
          </w:tcPr>
          <w:p w14:paraId="58DDCD3D" w14:textId="77777777" w:rsidR="00EC3AD3" w:rsidRDefault="00EC3AD3" w:rsidP="002C73C9">
            <w:pPr>
              <w:jc w:val="center"/>
              <w:rPr>
                <w:rFonts w:cs="Arial"/>
              </w:rPr>
            </w:pPr>
          </w:p>
        </w:tc>
        <w:tc>
          <w:tcPr>
            <w:tcW w:w="2266" w:type="dxa"/>
          </w:tcPr>
          <w:p w14:paraId="50177B92" w14:textId="2C7E7995" w:rsidR="00EC3AD3" w:rsidRDefault="00EC3AD3" w:rsidP="002C73C9">
            <w:pPr>
              <w:jc w:val="center"/>
              <w:rPr>
                <w:rFonts w:cs="Arial"/>
                <w:lang w:eastAsia="ja-JP"/>
              </w:rPr>
            </w:pPr>
            <w:r>
              <w:rPr>
                <w:rFonts w:cs="Arial" w:hint="eastAsia"/>
                <w:lang w:eastAsia="ja-JP"/>
              </w:rPr>
              <w:t>United States of America</w:t>
            </w:r>
          </w:p>
        </w:tc>
        <w:tc>
          <w:tcPr>
            <w:tcW w:w="2040" w:type="dxa"/>
          </w:tcPr>
          <w:p w14:paraId="2FEC64C9" w14:textId="40726D81" w:rsidR="00EC3AD3" w:rsidRDefault="00EC3AD3" w:rsidP="002C73C9">
            <w:pPr>
              <w:jc w:val="center"/>
              <w:rPr>
                <w:rFonts w:cs="Arial"/>
                <w:lang w:eastAsia="ja-JP"/>
              </w:rPr>
            </w:pPr>
            <w:r>
              <w:rPr>
                <w:rFonts w:cs="Arial" w:hint="eastAsia"/>
                <w:lang w:eastAsia="ja-JP"/>
              </w:rPr>
              <w:t>NO</w:t>
            </w:r>
          </w:p>
        </w:tc>
      </w:tr>
      <w:tr w:rsidR="00EC3AD3" w14:paraId="27987F50" w14:textId="77777777" w:rsidTr="00650A1F">
        <w:tc>
          <w:tcPr>
            <w:tcW w:w="2263" w:type="dxa"/>
          </w:tcPr>
          <w:p w14:paraId="0B203EE5" w14:textId="02A848A9" w:rsidR="00EC3AD3" w:rsidRDefault="00EC3AD3" w:rsidP="002C73C9">
            <w:pPr>
              <w:jc w:val="center"/>
              <w:rPr>
                <w:rFonts w:cs="Arial"/>
              </w:rPr>
            </w:pPr>
            <w:r w:rsidRPr="00AE5840">
              <w:rPr>
                <w:rFonts w:cs="Arial"/>
                <w:color w:val="000000"/>
                <w:lang w:eastAsia="ja-JP"/>
              </w:rPr>
              <w:t>France</w:t>
            </w:r>
          </w:p>
        </w:tc>
        <w:tc>
          <w:tcPr>
            <w:tcW w:w="2052" w:type="dxa"/>
          </w:tcPr>
          <w:p w14:paraId="6F199A8D" w14:textId="26C3A2DA" w:rsidR="00EC3AD3" w:rsidRDefault="00EC3AD3" w:rsidP="002C73C9">
            <w:pPr>
              <w:jc w:val="center"/>
              <w:rPr>
                <w:rFonts w:cs="Arial"/>
              </w:rPr>
            </w:pPr>
            <w:r w:rsidRPr="00AE5840">
              <w:rPr>
                <w:rFonts w:cs="Arial"/>
                <w:bCs/>
                <w:color w:val="000000"/>
                <w:lang w:eastAsia="ja-JP"/>
              </w:rPr>
              <w:t>YES</w:t>
            </w:r>
          </w:p>
        </w:tc>
        <w:tc>
          <w:tcPr>
            <w:tcW w:w="360" w:type="dxa"/>
            <w:tcBorders>
              <w:top w:val="nil"/>
              <w:bottom w:val="nil"/>
            </w:tcBorders>
          </w:tcPr>
          <w:p w14:paraId="444AF860" w14:textId="77777777" w:rsidR="00EC3AD3" w:rsidRDefault="00EC3AD3" w:rsidP="002C73C9">
            <w:pPr>
              <w:jc w:val="center"/>
              <w:rPr>
                <w:rFonts w:cs="Arial"/>
              </w:rPr>
            </w:pPr>
          </w:p>
        </w:tc>
        <w:tc>
          <w:tcPr>
            <w:tcW w:w="2266" w:type="dxa"/>
          </w:tcPr>
          <w:p w14:paraId="0B275D1C" w14:textId="4FE99695" w:rsidR="00EC3AD3" w:rsidRDefault="00EC3AD3" w:rsidP="002C73C9">
            <w:pPr>
              <w:jc w:val="center"/>
              <w:rPr>
                <w:rFonts w:cs="Arial"/>
                <w:lang w:eastAsia="ja-JP"/>
              </w:rPr>
            </w:pPr>
            <w:r>
              <w:rPr>
                <w:rFonts w:cs="Arial" w:hint="eastAsia"/>
                <w:lang w:eastAsia="ja-JP"/>
              </w:rPr>
              <w:t>Uruguay</w:t>
            </w:r>
          </w:p>
        </w:tc>
        <w:tc>
          <w:tcPr>
            <w:tcW w:w="2040" w:type="dxa"/>
          </w:tcPr>
          <w:p w14:paraId="002BB3AC" w14:textId="47B90C35" w:rsidR="00EC3AD3" w:rsidRDefault="00EC3AD3" w:rsidP="002C73C9">
            <w:pPr>
              <w:jc w:val="center"/>
              <w:rPr>
                <w:rFonts w:cs="Arial"/>
              </w:rPr>
            </w:pPr>
            <w:r>
              <w:rPr>
                <w:rFonts w:cs="Arial" w:hint="eastAsia"/>
                <w:lang w:eastAsia="ja-JP"/>
              </w:rPr>
              <w:t>YES</w:t>
            </w:r>
          </w:p>
        </w:tc>
      </w:tr>
      <w:tr w:rsidR="00EC3AD3" w14:paraId="64AE0FE5" w14:textId="77777777" w:rsidTr="00650A1F">
        <w:tc>
          <w:tcPr>
            <w:tcW w:w="2263" w:type="dxa"/>
          </w:tcPr>
          <w:p w14:paraId="538CA230" w14:textId="78A050EE" w:rsidR="00EC3AD3" w:rsidRDefault="00EC3AD3" w:rsidP="002C73C9">
            <w:pPr>
              <w:jc w:val="center"/>
              <w:rPr>
                <w:rFonts w:cs="Arial"/>
              </w:rPr>
            </w:pPr>
            <w:r w:rsidRPr="00B92CB9">
              <w:rPr>
                <w:rFonts w:cs="Arial" w:hint="eastAsia"/>
                <w:color w:val="000000"/>
                <w:lang w:eastAsia="ja-JP"/>
              </w:rPr>
              <w:t>Germany</w:t>
            </w:r>
          </w:p>
        </w:tc>
        <w:tc>
          <w:tcPr>
            <w:tcW w:w="2052" w:type="dxa"/>
          </w:tcPr>
          <w:p w14:paraId="5536FCE1" w14:textId="7413538B" w:rsidR="00EC3AD3" w:rsidRDefault="00EC3AD3" w:rsidP="002C73C9">
            <w:pPr>
              <w:jc w:val="center"/>
              <w:rPr>
                <w:rFonts w:cs="Arial"/>
              </w:rPr>
            </w:pPr>
            <w:r w:rsidRPr="00B92CB9">
              <w:rPr>
                <w:rFonts w:cs="Arial" w:hint="eastAsia"/>
                <w:bCs/>
                <w:color w:val="000000"/>
                <w:lang w:eastAsia="ja-JP"/>
              </w:rPr>
              <w:t>YES</w:t>
            </w:r>
          </w:p>
        </w:tc>
        <w:tc>
          <w:tcPr>
            <w:tcW w:w="360" w:type="dxa"/>
            <w:tcBorders>
              <w:top w:val="nil"/>
              <w:bottom w:val="nil"/>
            </w:tcBorders>
          </w:tcPr>
          <w:p w14:paraId="39901DBA" w14:textId="77777777" w:rsidR="00EC3AD3" w:rsidRDefault="00EC3AD3" w:rsidP="002C73C9">
            <w:pPr>
              <w:jc w:val="center"/>
              <w:rPr>
                <w:rFonts w:cs="Arial"/>
              </w:rPr>
            </w:pPr>
          </w:p>
        </w:tc>
        <w:tc>
          <w:tcPr>
            <w:tcW w:w="2266" w:type="dxa"/>
            <w:tcBorders>
              <w:top w:val="single" w:sz="8" w:space="0" w:color="auto"/>
            </w:tcBorders>
          </w:tcPr>
          <w:p w14:paraId="68D1482D" w14:textId="2116328F" w:rsidR="00EC3AD3" w:rsidRDefault="00EC3AD3" w:rsidP="002C73C9">
            <w:pPr>
              <w:jc w:val="center"/>
              <w:rPr>
                <w:rFonts w:cs="Arial"/>
              </w:rPr>
            </w:pPr>
          </w:p>
        </w:tc>
        <w:tc>
          <w:tcPr>
            <w:tcW w:w="2040" w:type="dxa"/>
            <w:tcBorders>
              <w:top w:val="single" w:sz="8" w:space="0" w:color="auto"/>
            </w:tcBorders>
          </w:tcPr>
          <w:p w14:paraId="3FCADDDC" w14:textId="6B9E619A" w:rsidR="00EC3AD3" w:rsidRDefault="00EC3AD3" w:rsidP="002C73C9">
            <w:pPr>
              <w:jc w:val="center"/>
              <w:rPr>
                <w:rFonts w:cs="Arial"/>
              </w:rPr>
            </w:pPr>
          </w:p>
        </w:tc>
      </w:tr>
      <w:tr w:rsidR="00EC3AD3" w14:paraId="4863EC43" w14:textId="77777777" w:rsidTr="00650A1F">
        <w:tc>
          <w:tcPr>
            <w:tcW w:w="2263" w:type="dxa"/>
          </w:tcPr>
          <w:p w14:paraId="356840BD" w14:textId="4CAB1E66" w:rsidR="00EC3AD3" w:rsidRDefault="00EC3AD3" w:rsidP="002C73C9">
            <w:pPr>
              <w:jc w:val="center"/>
              <w:rPr>
                <w:rFonts w:cs="Arial"/>
              </w:rPr>
            </w:pPr>
            <w:r w:rsidRPr="00AE5840">
              <w:rPr>
                <w:rFonts w:cs="Arial"/>
                <w:color w:val="000000"/>
                <w:lang w:eastAsia="ja-JP"/>
              </w:rPr>
              <w:t>Hungary</w:t>
            </w:r>
          </w:p>
        </w:tc>
        <w:tc>
          <w:tcPr>
            <w:tcW w:w="2052" w:type="dxa"/>
          </w:tcPr>
          <w:p w14:paraId="7B8852F2" w14:textId="0930BF2C" w:rsidR="00EC3AD3" w:rsidRDefault="00EC3AD3" w:rsidP="002C73C9">
            <w:pPr>
              <w:jc w:val="center"/>
              <w:rPr>
                <w:rFonts w:cs="Arial"/>
              </w:rPr>
            </w:pPr>
            <w:r w:rsidRPr="00AE5840">
              <w:rPr>
                <w:rFonts w:cs="Arial"/>
                <w:bCs/>
                <w:color w:val="000000"/>
                <w:lang w:eastAsia="ja-JP"/>
              </w:rPr>
              <w:t>YES</w:t>
            </w:r>
          </w:p>
        </w:tc>
        <w:tc>
          <w:tcPr>
            <w:tcW w:w="360" w:type="dxa"/>
            <w:tcBorders>
              <w:top w:val="nil"/>
              <w:bottom w:val="nil"/>
            </w:tcBorders>
          </w:tcPr>
          <w:p w14:paraId="37E30846" w14:textId="77777777" w:rsidR="00EC3AD3" w:rsidRDefault="00EC3AD3" w:rsidP="002C73C9">
            <w:pPr>
              <w:jc w:val="center"/>
              <w:rPr>
                <w:rFonts w:cs="Arial"/>
              </w:rPr>
            </w:pPr>
          </w:p>
        </w:tc>
        <w:tc>
          <w:tcPr>
            <w:tcW w:w="2266" w:type="dxa"/>
            <w:tcBorders>
              <w:top w:val="single" w:sz="8" w:space="0" w:color="auto"/>
            </w:tcBorders>
          </w:tcPr>
          <w:p w14:paraId="1BC130BC" w14:textId="1B8AAE3F" w:rsidR="00EC3AD3" w:rsidRDefault="00EC3AD3" w:rsidP="002C73C9">
            <w:pPr>
              <w:jc w:val="center"/>
              <w:rPr>
                <w:rFonts w:cs="Arial"/>
              </w:rPr>
            </w:pPr>
            <w:r w:rsidRPr="00AE5840">
              <w:rPr>
                <w:rFonts w:cs="Arial"/>
                <w:bCs/>
                <w:color w:val="000000"/>
                <w:lang w:eastAsia="ja-JP"/>
              </w:rPr>
              <w:t>YES</w:t>
            </w:r>
          </w:p>
        </w:tc>
        <w:tc>
          <w:tcPr>
            <w:tcW w:w="2040" w:type="dxa"/>
            <w:tcBorders>
              <w:top w:val="single" w:sz="8" w:space="0" w:color="auto"/>
            </w:tcBorders>
          </w:tcPr>
          <w:p w14:paraId="5D7764D3" w14:textId="1553781B" w:rsidR="00EC3AD3" w:rsidRDefault="00EC3AD3" w:rsidP="002C73C9">
            <w:pPr>
              <w:jc w:val="center"/>
              <w:rPr>
                <w:rFonts w:cs="Arial"/>
                <w:lang w:eastAsia="ja-JP"/>
              </w:rPr>
            </w:pPr>
            <w:r>
              <w:rPr>
                <w:rFonts w:cs="Arial" w:hint="eastAsia"/>
                <w:lang w:eastAsia="ja-JP"/>
              </w:rPr>
              <w:t>21</w:t>
            </w:r>
          </w:p>
        </w:tc>
      </w:tr>
      <w:tr w:rsidR="00EC3AD3" w14:paraId="0C34EE45" w14:textId="77777777" w:rsidTr="00650A1F">
        <w:tc>
          <w:tcPr>
            <w:tcW w:w="2263" w:type="dxa"/>
          </w:tcPr>
          <w:p w14:paraId="0A7A7A6C" w14:textId="02B4203E" w:rsidR="00EC3AD3" w:rsidRDefault="00EC3AD3" w:rsidP="002C73C9">
            <w:pPr>
              <w:jc w:val="center"/>
              <w:rPr>
                <w:rFonts w:cs="Arial"/>
              </w:rPr>
            </w:pPr>
            <w:r w:rsidRPr="00AE5840">
              <w:rPr>
                <w:rFonts w:cs="Arial"/>
                <w:color w:val="000000"/>
                <w:lang w:eastAsia="ja-JP"/>
              </w:rPr>
              <w:t>Ireland</w:t>
            </w:r>
          </w:p>
        </w:tc>
        <w:tc>
          <w:tcPr>
            <w:tcW w:w="2052" w:type="dxa"/>
          </w:tcPr>
          <w:p w14:paraId="17B72B92" w14:textId="310D54B3" w:rsidR="00EC3AD3" w:rsidRDefault="00EC3AD3" w:rsidP="002C73C9">
            <w:pPr>
              <w:jc w:val="center"/>
              <w:rPr>
                <w:rFonts w:cs="Arial"/>
              </w:rPr>
            </w:pPr>
            <w:r w:rsidRPr="00AE5840">
              <w:rPr>
                <w:rFonts w:cs="Arial"/>
                <w:bCs/>
                <w:color w:val="000000"/>
                <w:lang w:eastAsia="ja-JP"/>
              </w:rPr>
              <w:t>YES</w:t>
            </w:r>
          </w:p>
        </w:tc>
        <w:tc>
          <w:tcPr>
            <w:tcW w:w="360" w:type="dxa"/>
            <w:tcBorders>
              <w:top w:val="nil"/>
              <w:bottom w:val="nil"/>
            </w:tcBorders>
          </w:tcPr>
          <w:p w14:paraId="690F4B91" w14:textId="77777777" w:rsidR="00EC3AD3" w:rsidRDefault="00EC3AD3" w:rsidP="002C73C9">
            <w:pPr>
              <w:jc w:val="center"/>
              <w:rPr>
                <w:rFonts w:cs="Arial"/>
              </w:rPr>
            </w:pPr>
          </w:p>
        </w:tc>
        <w:tc>
          <w:tcPr>
            <w:tcW w:w="2266" w:type="dxa"/>
            <w:tcBorders>
              <w:bottom w:val="single" w:sz="8" w:space="0" w:color="auto"/>
            </w:tcBorders>
          </w:tcPr>
          <w:p w14:paraId="0AD2D71D" w14:textId="3471D259" w:rsidR="00EC3AD3" w:rsidRDefault="00EC3AD3" w:rsidP="002C73C9">
            <w:pPr>
              <w:jc w:val="center"/>
              <w:rPr>
                <w:rFonts w:cs="Arial"/>
              </w:rPr>
            </w:pPr>
            <w:r w:rsidRPr="00AE5840">
              <w:rPr>
                <w:rFonts w:cs="Arial"/>
                <w:bCs/>
                <w:color w:val="000000"/>
                <w:lang w:eastAsia="ja-JP"/>
              </w:rPr>
              <w:t>NO</w:t>
            </w:r>
          </w:p>
        </w:tc>
        <w:tc>
          <w:tcPr>
            <w:tcW w:w="2040" w:type="dxa"/>
            <w:tcBorders>
              <w:bottom w:val="single" w:sz="8" w:space="0" w:color="auto"/>
            </w:tcBorders>
          </w:tcPr>
          <w:p w14:paraId="55933A6B" w14:textId="39B74050" w:rsidR="00EC3AD3" w:rsidRPr="00EC3AD3" w:rsidRDefault="00EC3AD3" w:rsidP="002C73C9">
            <w:pPr>
              <w:jc w:val="center"/>
              <w:rPr>
                <w:rFonts w:cs="Arial"/>
              </w:rPr>
            </w:pPr>
            <w:r w:rsidRPr="00EC3AD3">
              <w:rPr>
                <w:rFonts w:cs="Arial"/>
                <w:bCs/>
                <w:color w:val="000000"/>
                <w:lang w:eastAsia="ja-JP"/>
              </w:rPr>
              <w:t>1</w:t>
            </w:r>
            <w:r w:rsidRPr="00EC3AD3">
              <w:rPr>
                <w:rFonts w:cs="Arial" w:hint="eastAsia"/>
                <w:bCs/>
                <w:color w:val="000000"/>
                <w:lang w:eastAsia="ja-JP"/>
              </w:rPr>
              <w:t>8</w:t>
            </w:r>
          </w:p>
        </w:tc>
      </w:tr>
      <w:tr w:rsidR="00EC3AD3" w14:paraId="15B0D516" w14:textId="77777777" w:rsidTr="00650A1F">
        <w:tc>
          <w:tcPr>
            <w:tcW w:w="2263" w:type="dxa"/>
          </w:tcPr>
          <w:p w14:paraId="290C465A" w14:textId="6346FE8F" w:rsidR="00EC3AD3" w:rsidRDefault="00EC3AD3" w:rsidP="002C73C9">
            <w:pPr>
              <w:jc w:val="center"/>
              <w:rPr>
                <w:rFonts w:cs="Arial"/>
              </w:rPr>
            </w:pPr>
            <w:r w:rsidRPr="00AE5840">
              <w:rPr>
                <w:rFonts w:cs="Arial"/>
                <w:color w:val="000000"/>
                <w:lang w:eastAsia="ja-JP"/>
              </w:rPr>
              <w:t>Italy</w:t>
            </w:r>
          </w:p>
        </w:tc>
        <w:tc>
          <w:tcPr>
            <w:tcW w:w="2052" w:type="dxa"/>
          </w:tcPr>
          <w:p w14:paraId="56F3BF5D" w14:textId="6E8B6C19" w:rsidR="00EC3AD3" w:rsidRDefault="00EC3AD3" w:rsidP="002C73C9">
            <w:pPr>
              <w:jc w:val="center"/>
              <w:rPr>
                <w:rFonts w:cs="Arial"/>
              </w:rPr>
            </w:pPr>
            <w:r w:rsidRPr="00AE5840">
              <w:rPr>
                <w:rFonts w:cs="Arial"/>
                <w:bCs/>
                <w:color w:val="000000"/>
                <w:lang w:eastAsia="ja-JP"/>
              </w:rPr>
              <w:t>YES</w:t>
            </w:r>
          </w:p>
        </w:tc>
        <w:tc>
          <w:tcPr>
            <w:tcW w:w="360" w:type="dxa"/>
            <w:tcBorders>
              <w:top w:val="nil"/>
              <w:bottom w:val="nil"/>
            </w:tcBorders>
          </w:tcPr>
          <w:p w14:paraId="6001365D" w14:textId="77777777" w:rsidR="00EC3AD3" w:rsidRDefault="00EC3AD3" w:rsidP="002C73C9">
            <w:pPr>
              <w:jc w:val="center"/>
              <w:rPr>
                <w:rFonts w:cs="Arial"/>
              </w:rPr>
            </w:pPr>
          </w:p>
        </w:tc>
        <w:tc>
          <w:tcPr>
            <w:tcW w:w="2266" w:type="dxa"/>
            <w:tcBorders>
              <w:top w:val="single" w:sz="8" w:space="0" w:color="auto"/>
            </w:tcBorders>
          </w:tcPr>
          <w:p w14:paraId="298F76FC" w14:textId="462B115B" w:rsidR="00EC3AD3" w:rsidRDefault="00EC3AD3" w:rsidP="002C73C9">
            <w:pPr>
              <w:jc w:val="center"/>
              <w:rPr>
                <w:rFonts w:cs="Arial"/>
              </w:rPr>
            </w:pPr>
            <w:r w:rsidRPr="00AE5840">
              <w:rPr>
                <w:rFonts w:cs="Arial"/>
                <w:bCs/>
                <w:color w:val="000000"/>
                <w:lang w:eastAsia="ja-JP"/>
              </w:rPr>
              <w:t>TOTAL</w:t>
            </w:r>
          </w:p>
        </w:tc>
        <w:tc>
          <w:tcPr>
            <w:tcW w:w="2040" w:type="dxa"/>
            <w:tcBorders>
              <w:top w:val="single" w:sz="8" w:space="0" w:color="auto"/>
            </w:tcBorders>
          </w:tcPr>
          <w:p w14:paraId="7FD47C48" w14:textId="4BFA18B2" w:rsidR="00EC3AD3" w:rsidRPr="00EC3AD3" w:rsidRDefault="00EC3AD3" w:rsidP="002C73C9">
            <w:pPr>
              <w:jc w:val="center"/>
              <w:rPr>
                <w:rFonts w:cs="Arial"/>
              </w:rPr>
            </w:pPr>
            <w:r w:rsidRPr="00EC3AD3">
              <w:rPr>
                <w:rFonts w:cs="Arial" w:hint="eastAsia"/>
                <w:bCs/>
                <w:color w:val="000000"/>
                <w:lang w:eastAsia="ja-JP"/>
              </w:rPr>
              <w:t>39</w:t>
            </w:r>
          </w:p>
        </w:tc>
      </w:tr>
      <w:tr w:rsidR="00EC3AD3" w14:paraId="6B537451" w14:textId="77777777" w:rsidTr="00650A1F">
        <w:tc>
          <w:tcPr>
            <w:tcW w:w="2263" w:type="dxa"/>
          </w:tcPr>
          <w:p w14:paraId="2EB2542B" w14:textId="3B72E8FD" w:rsidR="00EC3AD3" w:rsidRDefault="00EC3AD3" w:rsidP="002C73C9">
            <w:pPr>
              <w:jc w:val="center"/>
              <w:rPr>
                <w:rFonts w:cs="Arial"/>
              </w:rPr>
            </w:pPr>
            <w:r w:rsidRPr="00AE5840">
              <w:rPr>
                <w:rFonts w:cs="Arial"/>
                <w:color w:val="000000"/>
                <w:lang w:eastAsia="ja-JP"/>
              </w:rPr>
              <w:t>Japan</w:t>
            </w:r>
          </w:p>
        </w:tc>
        <w:tc>
          <w:tcPr>
            <w:tcW w:w="2052" w:type="dxa"/>
          </w:tcPr>
          <w:p w14:paraId="0A53BDDB" w14:textId="21C182C4" w:rsidR="00EC3AD3" w:rsidRDefault="00EC3AD3" w:rsidP="002C73C9">
            <w:pPr>
              <w:jc w:val="center"/>
              <w:rPr>
                <w:rFonts w:cs="Arial"/>
              </w:rPr>
            </w:pPr>
            <w:r w:rsidRPr="00AE5840">
              <w:rPr>
                <w:rFonts w:cs="Arial"/>
                <w:bCs/>
                <w:color w:val="000000"/>
                <w:lang w:eastAsia="ja-JP"/>
              </w:rPr>
              <w:t>YES</w:t>
            </w:r>
          </w:p>
        </w:tc>
        <w:tc>
          <w:tcPr>
            <w:tcW w:w="360" w:type="dxa"/>
            <w:tcBorders>
              <w:top w:val="nil"/>
              <w:bottom w:val="nil"/>
            </w:tcBorders>
          </w:tcPr>
          <w:p w14:paraId="49A731EE" w14:textId="77777777" w:rsidR="00EC3AD3" w:rsidRDefault="00EC3AD3" w:rsidP="002C73C9">
            <w:pPr>
              <w:jc w:val="center"/>
              <w:rPr>
                <w:rFonts w:cs="Arial"/>
              </w:rPr>
            </w:pPr>
          </w:p>
        </w:tc>
        <w:tc>
          <w:tcPr>
            <w:tcW w:w="2266" w:type="dxa"/>
          </w:tcPr>
          <w:p w14:paraId="2E335A38" w14:textId="77777777" w:rsidR="00EC3AD3" w:rsidRDefault="00EC3AD3" w:rsidP="002C73C9">
            <w:pPr>
              <w:jc w:val="center"/>
              <w:rPr>
                <w:rFonts w:cs="Arial"/>
              </w:rPr>
            </w:pPr>
          </w:p>
        </w:tc>
        <w:tc>
          <w:tcPr>
            <w:tcW w:w="2040" w:type="dxa"/>
          </w:tcPr>
          <w:p w14:paraId="0318D942" w14:textId="77777777" w:rsidR="00EC3AD3" w:rsidRDefault="00EC3AD3" w:rsidP="002C73C9">
            <w:pPr>
              <w:jc w:val="center"/>
              <w:rPr>
                <w:rFonts w:cs="Arial"/>
              </w:rPr>
            </w:pPr>
          </w:p>
        </w:tc>
      </w:tr>
    </w:tbl>
    <w:p w14:paraId="31534FA8" w14:textId="77777777" w:rsidR="002C73C9" w:rsidRDefault="002C73C9" w:rsidP="002C73C9">
      <w:pPr>
        <w:tabs>
          <w:tab w:val="center" w:pos="4819"/>
          <w:tab w:val="right" w:pos="9639"/>
        </w:tabs>
        <w:jc w:val="left"/>
        <w:rPr>
          <w:rFonts w:cs="Arial"/>
          <w:lang w:eastAsia="ja-JP"/>
        </w:rPr>
      </w:pPr>
    </w:p>
    <w:p w14:paraId="63014724" w14:textId="75150689" w:rsidR="00DD1CF5" w:rsidRDefault="00CB1B67" w:rsidP="00650A1F">
      <w:pPr>
        <w:rPr>
          <w:rFonts w:cs="Arial"/>
          <w:lang w:eastAsia="ja-JP"/>
        </w:rPr>
      </w:pPr>
      <w:r w:rsidRPr="001D3FDF">
        <w:fldChar w:fldCharType="begin"/>
      </w:r>
      <w:r w:rsidRPr="001D3FDF">
        <w:instrText xml:space="preserve"> AUTONUM  </w:instrText>
      </w:r>
      <w:r w:rsidRPr="001D3FDF">
        <w:fldChar w:fldCharType="end"/>
      </w:r>
      <w:r w:rsidRPr="001D3FDF">
        <w:tab/>
      </w:r>
      <w:r w:rsidRPr="00CB1B67">
        <w:rPr>
          <w:rFonts w:cs="Arial"/>
          <w:lang w:eastAsia="ja-JP"/>
        </w:rPr>
        <w:t xml:space="preserve">The detailed results of the survey are </w:t>
      </w:r>
      <w:r w:rsidRPr="00871646">
        <w:rPr>
          <w:rFonts w:cs="Arial"/>
          <w:lang w:eastAsia="ja-JP"/>
        </w:rPr>
        <w:t xml:space="preserve">presented </w:t>
      </w:r>
      <w:r w:rsidR="00650A1F" w:rsidRPr="00871646">
        <w:rPr>
          <w:rFonts w:cs="Arial"/>
          <w:lang w:eastAsia="ja-JP"/>
        </w:rPr>
        <w:t>as</w:t>
      </w:r>
      <w:r w:rsidRPr="00871646">
        <w:rPr>
          <w:rFonts w:cs="Arial"/>
          <w:lang w:eastAsia="ja-JP"/>
        </w:rPr>
        <w:t xml:space="preserve"> Annex </w:t>
      </w:r>
      <w:r w:rsidRPr="00871646">
        <w:rPr>
          <w:rFonts w:cs="Arial" w:hint="eastAsia"/>
          <w:lang w:eastAsia="ja-JP"/>
        </w:rPr>
        <w:t>I</w:t>
      </w:r>
      <w:r w:rsidR="00251AE4" w:rsidRPr="00871646">
        <w:rPr>
          <w:rFonts w:cs="Arial" w:hint="eastAsia"/>
          <w:lang w:eastAsia="ja-JP"/>
        </w:rPr>
        <w:t>I</w:t>
      </w:r>
      <w:r w:rsidRPr="00871646">
        <w:rPr>
          <w:rFonts w:cs="Arial" w:hint="eastAsia"/>
          <w:lang w:eastAsia="ja-JP"/>
        </w:rPr>
        <w:t xml:space="preserve"> </w:t>
      </w:r>
      <w:r w:rsidRPr="00871646">
        <w:rPr>
          <w:rFonts w:cs="Arial"/>
          <w:lang w:eastAsia="ja-JP"/>
        </w:rPr>
        <w:t>to this</w:t>
      </w:r>
      <w:r w:rsidRPr="00CB1B67">
        <w:rPr>
          <w:rFonts w:cs="Arial"/>
          <w:lang w:eastAsia="ja-JP"/>
        </w:rPr>
        <w:t xml:space="preserve"> document.</w:t>
      </w:r>
      <w:r w:rsidR="00650A1F">
        <w:rPr>
          <w:rFonts w:cs="Arial"/>
          <w:lang w:eastAsia="ja-JP"/>
        </w:rPr>
        <w:t xml:space="preserve">  </w:t>
      </w:r>
      <w:r w:rsidR="00DD1CF5">
        <w:rPr>
          <w:rFonts w:cs="Arial"/>
          <w:lang w:eastAsia="ja-JP"/>
        </w:rPr>
        <w:t>A report on the survey will be provided to the TWPs</w:t>
      </w:r>
      <w:r w:rsidR="00650A1F">
        <w:rPr>
          <w:rFonts w:cs="Arial"/>
          <w:lang w:eastAsia="ja-JP"/>
        </w:rPr>
        <w:t>,</w:t>
      </w:r>
      <w:r w:rsidR="00DD1CF5">
        <w:rPr>
          <w:rFonts w:cs="Arial"/>
          <w:lang w:eastAsia="ja-JP"/>
        </w:rPr>
        <w:t xml:space="preserve"> at their sessions in 2026.</w:t>
      </w:r>
    </w:p>
    <w:p w14:paraId="438E9EC8" w14:textId="77777777" w:rsidR="00DD1CF5" w:rsidRDefault="00DD1CF5" w:rsidP="002C73C9">
      <w:pPr>
        <w:tabs>
          <w:tab w:val="center" w:pos="4819"/>
          <w:tab w:val="right" w:pos="9639"/>
        </w:tabs>
        <w:jc w:val="left"/>
        <w:rPr>
          <w:rFonts w:cs="Arial"/>
          <w:lang w:eastAsia="ja-JP"/>
        </w:rPr>
      </w:pPr>
    </w:p>
    <w:p w14:paraId="50AFFCC2" w14:textId="2C31D87B" w:rsidR="002C73C9" w:rsidRPr="0006349A" w:rsidRDefault="002C73C9" w:rsidP="007A06D8">
      <w:pPr>
        <w:pStyle w:val="DecisionParagraphs"/>
      </w:pPr>
      <w:r w:rsidRPr="00490BDA">
        <w:fldChar w:fldCharType="begin"/>
      </w:r>
      <w:r w:rsidRPr="00490BDA">
        <w:instrText xml:space="preserve"> AUTONUM  </w:instrText>
      </w:r>
      <w:r w:rsidRPr="00490BDA">
        <w:fldChar w:fldCharType="end"/>
      </w:r>
      <w:r w:rsidRPr="00490BDA">
        <w:tab/>
      </w:r>
      <w:r w:rsidRPr="0006349A">
        <w:t xml:space="preserve">The TWPs are invited to </w:t>
      </w:r>
      <w:r w:rsidR="0006349A" w:rsidRPr="0006349A">
        <w:t xml:space="preserve">note: </w:t>
      </w:r>
    </w:p>
    <w:p w14:paraId="227BF188" w14:textId="77777777" w:rsidR="00F05A6D" w:rsidRPr="0006349A" w:rsidRDefault="00F05A6D" w:rsidP="00F05A6D">
      <w:pPr>
        <w:pStyle w:val="DecisionParagraphs"/>
        <w:keepNext/>
        <w:keepLines/>
        <w:rPr>
          <w:iCs/>
        </w:rPr>
      </w:pPr>
    </w:p>
    <w:p w14:paraId="33185754" w14:textId="77777777" w:rsidR="0006349A" w:rsidRPr="0006349A" w:rsidRDefault="00F05A6D" w:rsidP="002E3E09">
      <w:pPr>
        <w:pStyle w:val="DecisionParagraphs"/>
        <w:keepNext/>
        <w:keepLines/>
        <w:tabs>
          <w:tab w:val="left" w:pos="5954"/>
        </w:tabs>
        <w:rPr>
          <w:iCs/>
          <w:lang w:eastAsia="ja-JP"/>
        </w:rPr>
      </w:pPr>
      <w:r w:rsidRPr="0006349A">
        <w:rPr>
          <w:iCs/>
        </w:rPr>
        <w:tab/>
        <w:t>(a)</w:t>
      </w:r>
      <w:r w:rsidRPr="0006349A">
        <w:rPr>
          <w:iCs/>
        </w:rPr>
        <w:tab/>
      </w:r>
      <w:r w:rsidRPr="0006349A">
        <w:rPr>
          <w:rFonts w:hint="eastAsia"/>
          <w:iCs/>
          <w:lang w:eastAsia="ja-JP"/>
        </w:rPr>
        <w:t xml:space="preserve">the </w:t>
      </w:r>
      <w:r w:rsidRPr="0006349A">
        <w:rPr>
          <w:iCs/>
          <w:lang w:eastAsia="ja-JP"/>
        </w:rPr>
        <w:t>results</w:t>
      </w:r>
      <w:r w:rsidRPr="0006349A">
        <w:rPr>
          <w:rFonts w:hint="eastAsia"/>
          <w:iCs/>
          <w:lang w:eastAsia="ja-JP"/>
        </w:rPr>
        <w:t xml:space="preserve"> of survey on the use of molecular marker</w:t>
      </w:r>
      <w:r w:rsidR="0006349A" w:rsidRPr="0006349A">
        <w:rPr>
          <w:iCs/>
          <w:lang w:eastAsia="ja-JP"/>
        </w:rPr>
        <w:t>s;</w:t>
      </w:r>
      <w:r w:rsidRPr="0006349A">
        <w:rPr>
          <w:rFonts w:hint="eastAsia"/>
          <w:iCs/>
          <w:lang w:eastAsia="ja-JP"/>
        </w:rPr>
        <w:t xml:space="preserve"> and </w:t>
      </w:r>
    </w:p>
    <w:p w14:paraId="37E823E6" w14:textId="77777777" w:rsidR="0006349A" w:rsidRPr="0006349A" w:rsidRDefault="0006349A" w:rsidP="002E3E09">
      <w:pPr>
        <w:pStyle w:val="DecisionParagraphs"/>
        <w:keepNext/>
        <w:keepLines/>
        <w:tabs>
          <w:tab w:val="left" w:pos="5954"/>
        </w:tabs>
        <w:rPr>
          <w:iCs/>
          <w:lang w:eastAsia="ja-JP"/>
        </w:rPr>
      </w:pPr>
    </w:p>
    <w:p w14:paraId="7CE8D120" w14:textId="75779A81" w:rsidR="00F05A6D" w:rsidRPr="0006349A" w:rsidRDefault="0006349A" w:rsidP="002E3E09">
      <w:pPr>
        <w:pStyle w:val="DecisionParagraphs"/>
        <w:keepNext/>
        <w:keepLines/>
        <w:tabs>
          <w:tab w:val="left" w:pos="5954"/>
        </w:tabs>
        <w:rPr>
          <w:iCs/>
        </w:rPr>
      </w:pPr>
      <w:r w:rsidRPr="0006349A">
        <w:rPr>
          <w:iCs/>
          <w:lang w:eastAsia="ja-JP"/>
        </w:rPr>
        <w:tab/>
        <w:t>(b)</w:t>
      </w:r>
      <w:r w:rsidRPr="0006349A">
        <w:rPr>
          <w:iCs/>
          <w:lang w:eastAsia="ja-JP"/>
        </w:rPr>
        <w:tab/>
      </w:r>
      <w:r>
        <w:rPr>
          <w:iCs/>
          <w:lang w:eastAsia="ja-JP"/>
        </w:rPr>
        <w:t xml:space="preserve">that a </w:t>
      </w:r>
      <w:r>
        <w:rPr>
          <w:rFonts w:cs="Arial"/>
          <w:lang w:eastAsia="ja-JP"/>
        </w:rPr>
        <w:t>report on the survey will be provided to the TWPs, at their sessions in 2026</w:t>
      </w:r>
      <w:r w:rsidR="00F05A6D" w:rsidRPr="0006349A">
        <w:rPr>
          <w:iCs/>
        </w:rPr>
        <w:t>.</w:t>
      </w:r>
      <w:r w:rsidR="00D32FAC" w:rsidRPr="0006349A">
        <w:rPr>
          <w:iCs/>
        </w:rPr>
        <w:t xml:space="preserve"> </w:t>
      </w:r>
    </w:p>
    <w:p w14:paraId="0A80770C" w14:textId="77777777" w:rsidR="002C73C9" w:rsidRDefault="002C73C9" w:rsidP="002C73C9"/>
    <w:p w14:paraId="7D63AF4B" w14:textId="77777777" w:rsidR="002C73C9" w:rsidRPr="001D3FDF" w:rsidRDefault="002C73C9" w:rsidP="002C73C9">
      <w:pPr>
        <w:pStyle w:val="Heading2"/>
      </w:pPr>
      <w:bookmarkStart w:id="18" w:name="_Toc228293040"/>
      <w:r w:rsidRPr="00815D6D">
        <w:t>Common sets of molecular markers for variety identification</w:t>
      </w:r>
      <w:bookmarkEnd w:id="18"/>
    </w:p>
    <w:p w14:paraId="7448C954" w14:textId="77777777" w:rsidR="002C73C9" w:rsidRDefault="002C73C9" w:rsidP="002C73C9"/>
    <w:p w14:paraId="53F326BB" w14:textId="14806D1A" w:rsidR="00925EF6" w:rsidRPr="0077577B" w:rsidRDefault="00AF7F75" w:rsidP="00925EF6">
      <w:pPr>
        <w:pStyle w:val="Heading3"/>
        <w:rPr>
          <w:lang w:eastAsia="ja-JP"/>
        </w:rPr>
      </w:pPr>
      <w:bookmarkStart w:id="19" w:name="_Toc210139294"/>
      <w:bookmarkStart w:id="20" w:name="_Toc228293041"/>
      <w:r>
        <w:rPr>
          <w:lang w:eastAsia="ja-JP"/>
        </w:rPr>
        <w:t>Background</w:t>
      </w:r>
      <w:bookmarkEnd w:id="19"/>
      <w:bookmarkEnd w:id="20"/>
    </w:p>
    <w:p w14:paraId="3221AEAC" w14:textId="77777777" w:rsidR="00925EF6" w:rsidRPr="0077577B" w:rsidRDefault="00925EF6" w:rsidP="00925EF6">
      <w:pPr>
        <w:pStyle w:val="ListParagraph"/>
        <w:keepNext/>
        <w:tabs>
          <w:tab w:val="left" w:pos="567"/>
        </w:tabs>
        <w:ind w:left="0"/>
        <w:rPr>
          <w:lang w:eastAsia="ja-JP"/>
        </w:rPr>
      </w:pPr>
    </w:p>
    <w:p w14:paraId="5136D50D" w14:textId="3279C960" w:rsidR="00925EF6" w:rsidRDefault="00925EF6" w:rsidP="00925EF6">
      <w:r w:rsidRPr="0077577B">
        <w:fldChar w:fldCharType="begin"/>
      </w:r>
      <w:r w:rsidRPr="0077577B">
        <w:instrText xml:space="preserve"> AUTONUM  </w:instrText>
      </w:r>
      <w:r w:rsidRPr="0077577B">
        <w:fldChar w:fldCharType="end"/>
      </w:r>
      <w:r w:rsidRPr="0077577B">
        <w:tab/>
        <w:t xml:space="preserve">The UPOV horizon scanning exercise summarized in </w:t>
      </w:r>
      <w:r w:rsidR="000948F8">
        <w:t xml:space="preserve">the </w:t>
      </w:r>
      <w:r w:rsidRPr="0077577B">
        <w:t>UPOV’s Strategic Business Plan (SBP) for 2026-2029 (document C/59/14) has identified the increasing reliance on DNA analysis for variety identification purposes. It has also made a call for action for UPOV to develop standards in this field and explore means for data management and collaborations on data science activities.</w:t>
      </w:r>
      <w:r w:rsidRPr="00361889">
        <w:t xml:space="preserve">  </w:t>
      </w:r>
    </w:p>
    <w:p w14:paraId="031FD9DD" w14:textId="77777777" w:rsidR="00BA7E1D" w:rsidRPr="00BA7E1D" w:rsidRDefault="00BA7E1D" w:rsidP="00480847"/>
    <w:p w14:paraId="77F593F3" w14:textId="23F40B90" w:rsidR="00BA7E1D" w:rsidRPr="00BA7E1D" w:rsidRDefault="00BA7E1D" w:rsidP="002E3E09">
      <w:pPr>
        <w:rPr>
          <w:i/>
        </w:rPr>
      </w:pPr>
      <w:r w:rsidRPr="00BA7E1D">
        <w:rPr>
          <w:i/>
        </w:rPr>
        <w:t>Developments at the Technical Working Party on Testing Methods and Techniques</w:t>
      </w:r>
      <w:r w:rsidR="00437CC2">
        <w:rPr>
          <w:i/>
        </w:rPr>
        <w:t xml:space="preserve"> in 2025</w:t>
      </w:r>
    </w:p>
    <w:p w14:paraId="2339D8FA" w14:textId="77777777" w:rsidR="00BA7E1D" w:rsidRPr="00BA7E1D" w:rsidRDefault="00BA7E1D" w:rsidP="00480847"/>
    <w:p w14:paraId="7D45B76C" w14:textId="77777777" w:rsidR="00BA7E1D" w:rsidRPr="00BA7E1D" w:rsidRDefault="00BA7E1D" w:rsidP="00490BDA">
      <w:r w:rsidRPr="00BA7E1D">
        <w:fldChar w:fldCharType="begin"/>
      </w:r>
      <w:r w:rsidRPr="00BA7E1D">
        <w:instrText xml:space="preserve"> AUTONUM  </w:instrText>
      </w:r>
      <w:r w:rsidRPr="00BA7E1D">
        <w:fldChar w:fldCharType="end"/>
      </w:r>
      <w:r w:rsidRPr="00BA7E1D">
        <w:tab/>
        <w:t>The TWM</w:t>
      </w:r>
      <w:r w:rsidRPr="00BA7E1D">
        <w:rPr>
          <w:vertAlign w:val="superscript"/>
        </w:rPr>
        <w:footnoteReference w:id="10"/>
      </w:r>
      <w:r w:rsidRPr="00BA7E1D">
        <w:t xml:space="preserve"> discussed the establishment of common sets of molecular markers for variety identification and agreed to invite UPOV, OECD and ISTA to further consider the challenges and opportunities of this initiative, such as crop(s), scale of harmonization (e.g. regional, global); and molecular marker-related aspects. </w:t>
      </w:r>
      <w:r w:rsidRPr="00BA7E1D">
        <w:lastRenderedPageBreak/>
        <w:t>The TWM agreed that working with breeders could facilitate selecting marker sets representing those breeding programs.</w:t>
      </w:r>
    </w:p>
    <w:p w14:paraId="769AAACF" w14:textId="77777777" w:rsidR="00BA7E1D" w:rsidRPr="00BA7E1D" w:rsidRDefault="00BA7E1D" w:rsidP="00490BDA"/>
    <w:p w14:paraId="2697BBB7" w14:textId="77777777" w:rsidR="00BA7E1D" w:rsidRPr="00BA7E1D" w:rsidRDefault="00BA7E1D" w:rsidP="00490BDA">
      <w:r w:rsidRPr="00BA7E1D">
        <w:fldChar w:fldCharType="begin"/>
      </w:r>
      <w:r w:rsidRPr="00BA7E1D">
        <w:instrText xml:space="preserve"> AUTONUM  </w:instrText>
      </w:r>
      <w:r w:rsidRPr="00BA7E1D">
        <w:fldChar w:fldCharType="end"/>
      </w:r>
      <w:r w:rsidRPr="00BA7E1D">
        <w:tab/>
        <w:t>Following the TWM session, the Annual Meeting of the OECD Seed Schemes, approved for the OECD Seed Schemes to collaborate with ISTA and UPOV to start working on the establishment of common sets of molecular markers for variety identification.  The OECD Seed Schemes agreed to invite National Designated Authorities (NDAs) to provide the names of experts to start working on this topic.</w:t>
      </w:r>
      <w:r w:rsidRPr="00BA7E1D">
        <w:rPr>
          <w:vertAlign w:val="superscript"/>
        </w:rPr>
        <w:t xml:space="preserve"> </w:t>
      </w:r>
      <w:r w:rsidRPr="00BA7E1D">
        <w:rPr>
          <w:vertAlign w:val="superscript"/>
        </w:rPr>
        <w:footnoteReference w:id="11"/>
      </w:r>
    </w:p>
    <w:p w14:paraId="32EE649E" w14:textId="77777777" w:rsidR="00BA7E1D" w:rsidRDefault="00BA7E1D" w:rsidP="002E3E09">
      <w:pPr>
        <w:ind w:firstLine="567"/>
      </w:pPr>
    </w:p>
    <w:p w14:paraId="4A5E12E6" w14:textId="6958C460" w:rsidR="00925EF6" w:rsidRDefault="00925EF6" w:rsidP="00925EF6">
      <w:pPr>
        <w:pStyle w:val="Heading3"/>
      </w:pPr>
      <w:bookmarkStart w:id="21" w:name="_Toc210139295"/>
      <w:bookmarkStart w:id="22" w:name="_Toc228293042"/>
      <w:r>
        <w:t xml:space="preserve">Developments </w:t>
      </w:r>
      <w:bookmarkEnd w:id="21"/>
      <w:r w:rsidRPr="00925EF6">
        <w:t>at the Technical Committee in 2025</w:t>
      </w:r>
      <w:bookmarkEnd w:id="22"/>
    </w:p>
    <w:p w14:paraId="63FF4B28" w14:textId="77777777" w:rsidR="00925EF6" w:rsidRDefault="00925EF6" w:rsidP="002C73C9"/>
    <w:p w14:paraId="276089BD" w14:textId="77777777" w:rsidR="002C73C9" w:rsidRDefault="002C73C9" w:rsidP="002C73C9">
      <w:r w:rsidRPr="001D3FDF">
        <w:fldChar w:fldCharType="begin"/>
      </w:r>
      <w:r w:rsidRPr="001D3FDF">
        <w:instrText xml:space="preserve"> AUTONUM  </w:instrText>
      </w:r>
      <w:r w:rsidRPr="001D3FDF">
        <w:fldChar w:fldCharType="end"/>
      </w:r>
      <w:r w:rsidRPr="001D3FDF">
        <w:tab/>
      </w:r>
      <w:r w:rsidRPr="00F07B06">
        <w:t>The T</w:t>
      </w:r>
      <w:r>
        <w:rPr>
          <w:rFonts w:hint="eastAsia"/>
          <w:lang w:eastAsia="ja-JP"/>
        </w:rPr>
        <w:t>C</w:t>
      </w:r>
      <w:r w:rsidRPr="00F07B06">
        <w:rPr>
          <w:rStyle w:val="FootnoteReference"/>
          <w:lang w:eastAsia="ja-JP"/>
        </w:rPr>
        <w:footnoteReference w:id="12"/>
      </w:r>
      <w:r w:rsidRPr="00F07B06">
        <w:t>,</w:t>
      </w:r>
      <w:r>
        <w:rPr>
          <w:rFonts w:hint="eastAsia"/>
          <w:lang w:eastAsia="ja-JP"/>
        </w:rPr>
        <w:t xml:space="preserve"> at its sixty-first session, </w:t>
      </w:r>
      <w:r>
        <w:t>endorsed the collaboration with OECD and ISTA to establish common sets of molecular markers for variety identification and invited the TWM to advance discussions on this topic.</w:t>
      </w:r>
    </w:p>
    <w:p w14:paraId="3D90D2A1" w14:textId="77777777" w:rsidR="002C73C9" w:rsidRDefault="002C73C9" w:rsidP="002C73C9"/>
    <w:p w14:paraId="58D6D763" w14:textId="55CF98AA" w:rsidR="000645DC" w:rsidRDefault="002C73C9" w:rsidP="00815D6D">
      <w:pPr>
        <w:rPr>
          <w:lang w:eastAsia="ja-JP"/>
        </w:rPr>
      </w:pPr>
      <w:r w:rsidRPr="001D3FDF">
        <w:fldChar w:fldCharType="begin"/>
      </w:r>
      <w:r w:rsidRPr="001D3FDF">
        <w:instrText xml:space="preserve"> AUTONUM  </w:instrText>
      </w:r>
      <w:r w:rsidRPr="001D3FDF">
        <w:fldChar w:fldCharType="end"/>
      </w:r>
      <w:r w:rsidRPr="001D3FDF">
        <w:tab/>
      </w:r>
      <w:r>
        <w:t>The TC noted that OECD had approved the start of work to establish common sets of molecular markers for variety identification, in collaboration with ISTA and UPOV</w:t>
      </w:r>
      <w:r>
        <w:rPr>
          <w:rFonts w:hint="eastAsia"/>
          <w:lang w:eastAsia="ja-JP"/>
        </w:rPr>
        <w:t>.</w:t>
      </w:r>
      <w:bookmarkEnd w:id="17"/>
    </w:p>
    <w:p w14:paraId="3558AA14" w14:textId="77777777" w:rsidR="00925EF6" w:rsidRDefault="00925EF6" w:rsidP="00815D6D"/>
    <w:p w14:paraId="33ADE8F2" w14:textId="63F17D87" w:rsidR="00BA7E1D" w:rsidRPr="00490BDA" w:rsidRDefault="00396882" w:rsidP="00664671">
      <w:pPr>
        <w:pStyle w:val="Heading3"/>
      </w:pPr>
      <w:bookmarkStart w:id="23" w:name="_Toc228293043"/>
      <w:r w:rsidRPr="00490BDA">
        <w:t>Proposal:</w:t>
      </w:r>
      <w:bookmarkEnd w:id="23"/>
    </w:p>
    <w:p w14:paraId="54329706" w14:textId="77777777" w:rsidR="00396882" w:rsidRPr="00490BDA" w:rsidRDefault="00396882" w:rsidP="00664671">
      <w:pPr>
        <w:keepNext/>
      </w:pPr>
    </w:p>
    <w:p w14:paraId="5E6FB9F7" w14:textId="5AFBD380" w:rsidR="00396882" w:rsidRPr="00490BDA" w:rsidRDefault="00396882" w:rsidP="00664671">
      <w:pPr>
        <w:keepNext/>
      </w:pPr>
      <w:r w:rsidRPr="00490BDA">
        <w:fldChar w:fldCharType="begin"/>
      </w:r>
      <w:r w:rsidRPr="00490BDA">
        <w:instrText xml:space="preserve"> AUTONUM  </w:instrText>
      </w:r>
      <w:r w:rsidRPr="00490BDA">
        <w:fldChar w:fldCharType="end"/>
      </w:r>
      <w:r w:rsidRPr="00490BDA">
        <w:tab/>
        <w:t xml:space="preserve">UPOV members are invited to present their experiences </w:t>
      </w:r>
      <w:r w:rsidR="00AF7F75">
        <w:t xml:space="preserve">at the TWM </w:t>
      </w:r>
      <w:proofErr w:type="gramStart"/>
      <w:r w:rsidRPr="00490BDA">
        <w:t>with</w:t>
      </w:r>
      <w:proofErr w:type="gramEnd"/>
      <w:r w:rsidRPr="00490BDA">
        <w:t xml:space="preserve"> selecting and using molecular markers for variety identification.  The experiences </w:t>
      </w:r>
      <w:r w:rsidR="00AF7F75">
        <w:t>reported by</w:t>
      </w:r>
      <w:r w:rsidRPr="00490BDA">
        <w:t xml:space="preserve"> UPOV members</w:t>
      </w:r>
      <w:r w:rsidR="00084518" w:rsidRPr="00490BDA">
        <w:t xml:space="preserve"> </w:t>
      </w:r>
      <w:r w:rsidR="00AF7F75">
        <w:t xml:space="preserve">could be considered along with </w:t>
      </w:r>
      <w:r w:rsidR="00084518" w:rsidRPr="00490BDA">
        <w:t>information from the survey on the use of molecular markers</w:t>
      </w:r>
      <w:r w:rsidR="000D6842" w:rsidRPr="00490BDA">
        <w:t xml:space="preserve"> </w:t>
      </w:r>
      <w:r w:rsidR="00606A6B">
        <w:t xml:space="preserve">for discussion on </w:t>
      </w:r>
      <w:r w:rsidRPr="00490BDA">
        <w:t>possible objectives</w:t>
      </w:r>
      <w:r w:rsidR="009242F2" w:rsidRPr="00490BDA">
        <w:t>,</w:t>
      </w:r>
      <w:r w:rsidR="000D6842" w:rsidRPr="00490BDA">
        <w:t xml:space="preserve"> milestones and the role of UPOV </w:t>
      </w:r>
      <w:r w:rsidR="009242F2" w:rsidRPr="00490BDA">
        <w:t>on</w:t>
      </w:r>
      <w:r w:rsidR="00084518" w:rsidRPr="00490BDA">
        <w:t xml:space="preserve"> the selection</w:t>
      </w:r>
      <w:r w:rsidR="009242F2" w:rsidRPr="00490BDA">
        <w:t xml:space="preserve"> and</w:t>
      </w:r>
      <w:r w:rsidR="00084518" w:rsidRPr="00490BDA">
        <w:t xml:space="preserve"> validation of </w:t>
      </w:r>
      <w:r w:rsidR="00AF7F75">
        <w:t xml:space="preserve">molecular </w:t>
      </w:r>
      <w:r w:rsidR="00084518" w:rsidRPr="00490BDA">
        <w:t>marker</w:t>
      </w:r>
      <w:r w:rsidR="00606A6B">
        <w:t>s fo</w:t>
      </w:r>
      <w:r w:rsidR="00084518" w:rsidRPr="00490BDA">
        <w:t>r variety identification.</w:t>
      </w:r>
    </w:p>
    <w:p w14:paraId="03A89B88" w14:textId="6CAC2EB9" w:rsidR="000C3F14" w:rsidRPr="00490BDA" w:rsidRDefault="000C3F14" w:rsidP="00490BDA">
      <w:pPr>
        <w:tabs>
          <w:tab w:val="left" w:pos="5387"/>
        </w:tabs>
        <w:rPr>
          <w:i/>
          <w:iCs/>
        </w:rPr>
      </w:pPr>
    </w:p>
    <w:p w14:paraId="6A42EA69" w14:textId="2059A77B" w:rsidR="00053C94" w:rsidRPr="00490BDA" w:rsidRDefault="000C3F14" w:rsidP="00B65016">
      <w:pPr>
        <w:tabs>
          <w:tab w:val="left" w:pos="5387"/>
        </w:tabs>
        <w:ind w:left="4820"/>
        <w:rPr>
          <w:i/>
          <w:iCs/>
        </w:rPr>
      </w:pPr>
      <w:r w:rsidRPr="00490BDA">
        <w:rPr>
          <w:i/>
          <w:iCs/>
        </w:rPr>
        <w:fldChar w:fldCharType="begin"/>
      </w:r>
      <w:r w:rsidRPr="00490BDA">
        <w:rPr>
          <w:i/>
          <w:iCs/>
        </w:rPr>
        <w:instrText xml:space="preserve"> AUTONUM  </w:instrText>
      </w:r>
      <w:r w:rsidRPr="00490BDA">
        <w:rPr>
          <w:i/>
          <w:iCs/>
        </w:rPr>
        <w:fldChar w:fldCharType="end"/>
      </w:r>
      <w:r w:rsidRPr="00490BDA">
        <w:rPr>
          <w:i/>
          <w:iCs/>
        </w:rPr>
        <w:tab/>
        <w:t>The TWM is invited to</w:t>
      </w:r>
      <w:r w:rsidR="00150993">
        <w:rPr>
          <w:i/>
          <w:iCs/>
        </w:rPr>
        <w:t xml:space="preserve"> consider</w:t>
      </w:r>
      <w:r w:rsidR="00053C94" w:rsidRPr="00490BDA">
        <w:rPr>
          <w:i/>
          <w:iCs/>
        </w:rPr>
        <w:t>:</w:t>
      </w:r>
      <w:r w:rsidRPr="00490BDA">
        <w:rPr>
          <w:i/>
          <w:iCs/>
        </w:rPr>
        <w:t xml:space="preserve"> </w:t>
      </w:r>
    </w:p>
    <w:p w14:paraId="568295A6" w14:textId="77777777" w:rsidR="00053C94" w:rsidRPr="00490BDA" w:rsidRDefault="00053C94" w:rsidP="00B65016">
      <w:pPr>
        <w:tabs>
          <w:tab w:val="left" w:pos="5387"/>
        </w:tabs>
        <w:ind w:left="4820"/>
        <w:rPr>
          <w:i/>
          <w:iCs/>
        </w:rPr>
      </w:pPr>
    </w:p>
    <w:p w14:paraId="02401DB1" w14:textId="06F91BD9" w:rsidR="00C92EF3" w:rsidRPr="00490BDA" w:rsidRDefault="00C92EF3" w:rsidP="00490BDA">
      <w:pPr>
        <w:tabs>
          <w:tab w:val="left" w:pos="5387"/>
          <w:tab w:val="left" w:pos="5954"/>
        </w:tabs>
        <w:ind w:left="4820"/>
        <w:rPr>
          <w:i/>
          <w:iCs/>
        </w:rPr>
      </w:pPr>
      <w:r w:rsidRPr="00490BDA">
        <w:rPr>
          <w:i/>
          <w:iCs/>
        </w:rPr>
        <w:tab/>
        <w:t>(a)</w:t>
      </w:r>
      <w:r w:rsidRPr="00490BDA">
        <w:rPr>
          <w:i/>
          <w:iCs/>
        </w:rPr>
        <w:tab/>
        <w:t>the experiences of UPOV members with selecting and using molecular markers for variety identification, along with information from the survey on the use of molecular markers</w:t>
      </w:r>
      <w:r w:rsidR="00150993">
        <w:rPr>
          <w:i/>
          <w:iCs/>
        </w:rPr>
        <w:t>; and</w:t>
      </w:r>
      <w:r w:rsidRPr="00490BDA">
        <w:rPr>
          <w:i/>
          <w:iCs/>
        </w:rPr>
        <w:t xml:space="preserve">  </w:t>
      </w:r>
    </w:p>
    <w:p w14:paraId="19A125B5" w14:textId="77777777" w:rsidR="00C92EF3" w:rsidRPr="00490BDA" w:rsidRDefault="00C92EF3" w:rsidP="00B65016">
      <w:pPr>
        <w:tabs>
          <w:tab w:val="left" w:pos="5387"/>
        </w:tabs>
        <w:ind w:left="4820"/>
        <w:rPr>
          <w:i/>
          <w:iCs/>
        </w:rPr>
      </w:pPr>
    </w:p>
    <w:p w14:paraId="009CC8A1" w14:textId="29CFCB40" w:rsidR="00815D6D" w:rsidRPr="00490BDA" w:rsidRDefault="00C92EF3" w:rsidP="00490BDA">
      <w:pPr>
        <w:tabs>
          <w:tab w:val="left" w:pos="5387"/>
          <w:tab w:val="left" w:pos="5954"/>
        </w:tabs>
        <w:ind w:left="4820"/>
        <w:rPr>
          <w:i/>
          <w:iCs/>
        </w:rPr>
      </w:pPr>
      <w:r w:rsidRPr="00490BDA">
        <w:rPr>
          <w:i/>
          <w:iCs/>
        </w:rPr>
        <w:tab/>
        <w:t>(b)</w:t>
      </w:r>
      <w:r w:rsidRPr="00490BDA">
        <w:rPr>
          <w:i/>
          <w:iCs/>
        </w:rPr>
        <w:tab/>
      </w:r>
      <w:r w:rsidR="00150993" w:rsidRPr="00150993">
        <w:rPr>
          <w:i/>
          <w:iCs/>
        </w:rPr>
        <w:t>possible objectives, milestones and the role of UPOV on the selection and validation of molecular markers for variety identification</w:t>
      </w:r>
      <w:r w:rsidR="00C4741E" w:rsidRPr="00490BDA">
        <w:rPr>
          <w:i/>
          <w:iCs/>
        </w:rPr>
        <w:t xml:space="preserve">, in collaboration with OECD and ISTA </w:t>
      </w:r>
    </w:p>
    <w:p w14:paraId="2A42009D" w14:textId="77777777" w:rsidR="00053C94" w:rsidRPr="00490BDA" w:rsidRDefault="00053C94" w:rsidP="00B65016">
      <w:pPr>
        <w:tabs>
          <w:tab w:val="left" w:pos="5387"/>
        </w:tabs>
        <w:ind w:left="4820"/>
        <w:rPr>
          <w:i/>
          <w:iCs/>
          <w:lang w:eastAsia="ja-JP"/>
        </w:rPr>
      </w:pPr>
    </w:p>
    <w:p w14:paraId="4BEBC875" w14:textId="45F6FCB8" w:rsidR="009242F2" w:rsidRPr="00490BDA" w:rsidRDefault="009242F2" w:rsidP="00490BDA">
      <w:pPr>
        <w:tabs>
          <w:tab w:val="left" w:pos="5387"/>
        </w:tabs>
        <w:ind w:left="4820"/>
        <w:rPr>
          <w:i/>
          <w:iCs/>
        </w:rPr>
      </w:pPr>
      <w:r w:rsidRPr="00490BDA">
        <w:rPr>
          <w:i/>
          <w:iCs/>
        </w:rPr>
        <w:fldChar w:fldCharType="begin"/>
      </w:r>
      <w:r w:rsidRPr="00490BDA">
        <w:rPr>
          <w:i/>
          <w:iCs/>
        </w:rPr>
        <w:instrText xml:space="preserve"> AUTONUM  </w:instrText>
      </w:r>
      <w:r w:rsidRPr="00490BDA">
        <w:rPr>
          <w:i/>
          <w:iCs/>
        </w:rPr>
        <w:fldChar w:fldCharType="end"/>
      </w:r>
      <w:r w:rsidRPr="00490BDA">
        <w:rPr>
          <w:i/>
          <w:iCs/>
        </w:rPr>
        <w:tab/>
        <w:t>The TWA, TWF, TWO and TWV are invited to note discussions on the possible establishment of common sets of molecular markers for variety identification, in collaboration with OECD and ISTA.</w:t>
      </w:r>
    </w:p>
    <w:p w14:paraId="3E854F42" w14:textId="77777777" w:rsidR="00815D6D" w:rsidRDefault="00815D6D" w:rsidP="0013127A"/>
    <w:p w14:paraId="2625782E" w14:textId="77777777" w:rsidR="00815D6D" w:rsidRDefault="00815D6D" w:rsidP="0013127A"/>
    <w:p w14:paraId="61BAE2CA" w14:textId="2ECAAC31" w:rsidR="00815D6D" w:rsidRPr="001D3FDF" w:rsidRDefault="00815D6D" w:rsidP="007D6816">
      <w:pPr>
        <w:pStyle w:val="Heading2"/>
        <w:keepLines/>
      </w:pPr>
      <w:bookmarkStart w:id="24" w:name="_Toc228293044"/>
      <w:r w:rsidRPr="00815D6D">
        <w:t>Information on the use of molecular techniques in each organization: possible joint meeting</w:t>
      </w:r>
      <w:bookmarkEnd w:id="24"/>
    </w:p>
    <w:p w14:paraId="401C809E" w14:textId="766DBF55" w:rsidR="00CA709F" w:rsidRDefault="00CA709F" w:rsidP="007D6816">
      <w:pPr>
        <w:keepNext/>
        <w:keepLines/>
      </w:pPr>
    </w:p>
    <w:p w14:paraId="451AAD70" w14:textId="6D3A1C51" w:rsidR="00815D6D" w:rsidRDefault="00815D6D" w:rsidP="007D6816">
      <w:pPr>
        <w:keepNext/>
        <w:keepLines/>
        <w:rPr>
          <w:lang w:eastAsia="ja-JP"/>
        </w:rPr>
      </w:pPr>
      <w:r w:rsidRPr="001D3FDF">
        <w:fldChar w:fldCharType="begin"/>
      </w:r>
      <w:r w:rsidRPr="001D3FDF">
        <w:instrText xml:space="preserve"> AUTONUM  </w:instrText>
      </w:r>
      <w:r w:rsidRPr="001D3FDF">
        <w:fldChar w:fldCharType="end"/>
      </w:r>
      <w:r w:rsidRPr="001D3FDF">
        <w:tab/>
      </w:r>
      <w:r w:rsidR="002F5398" w:rsidRPr="00F07B06">
        <w:t>The T</w:t>
      </w:r>
      <w:r w:rsidR="002F5398">
        <w:rPr>
          <w:rFonts w:hint="eastAsia"/>
          <w:lang w:eastAsia="ja-JP"/>
        </w:rPr>
        <w:t>C</w:t>
      </w:r>
      <w:r w:rsidR="002F5398" w:rsidRPr="00F07B06">
        <w:rPr>
          <w:rStyle w:val="FootnoteReference"/>
          <w:lang w:eastAsia="ja-JP"/>
        </w:rPr>
        <w:footnoteReference w:id="13"/>
      </w:r>
      <w:r w:rsidR="002F5398" w:rsidRPr="00F07B06">
        <w:t>,</w:t>
      </w:r>
      <w:r w:rsidR="002F5398">
        <w:rPr>
          <w:rFonts w:hint="eastAsia"/>
          <w:lang w:eastAsia="ja-JP"/>
        </w:rPr>
        <w:t xml:space="preserve"> at its sixty-first session, </w:t>
      </w:r>
      <w:r w:rsidR="009B2ED0">
        <w:t xml:space="preserve">endorsed the </w:t>
      </w:r>
      <w:r w:rsidR="00037560">
        <w:t xml:space="preserve">proposal from the </w:t>
      </w:r>
      <w:r w:rsidR="00037560" w:rsidRPr="00064944">
        <w:t>TWM</w:t>
      </w:r>
      <w:r w:rsidR="00037560" w:rsidRPr="00F07B06">
        <w:rPr>
          <w:rStyle w:val="FootnoteReference"/>
          <w:lang w:eastAsia="ja-JP"/>
        </w:rPr>
        <w:footnoteReference w:id="14"/>
      </w:r>
      <w:r w:rsidR="00037560">
        <w:t xml:space="preserve"> to organize </w:t>
      </w:r>
      <w:r w:rsidR="009B2ED0">
        <w:t>a joint meeting with participants from the UPOV, OECD Seed Schemes and ISTA Variety Committee to discuss cooperation on the use of molecular markers for the purposes of each organization. The TC agreed that the arrangements for a possible joint meeting would be consulted with future hosts of TWM sessions</w:t>
      </w:r>
      <w:r w:rsidR="00C95E1A">
        <w:rPr>
          <w:rFonts w:hint="eastAsia"/>
          <w:lang w:eastAsia="ja-JP"/>
        </w:rPr>
        <w:t>.</w:t>
      </w:r>
    </w:p>
    <w:p w14:paraId="2B7C72D6" w14:textId="77777777" w:rsidR="00815D6D" w:rsidRDefault="00815D6D" w:rsidP="00815D6D"/>
    <w:p w14:paraId="503CC699" w14:textId="6FEEB25D" w:rsidR="00037560" w:rsidRDefault="00037560" w:rsidP="00815D6D">
      <w:r>
        <w:fldChar w:fldCharType="begin"/>
      </w:r>
      <w:r>
        <w:instrText xml:space="preserve"> AUTONUM  </w:instrText>
      </w:r>
      <w:r>
        <w:fldChar w:fldCharType="end"/>
      </w:r>
      <w:r>
        <w:tab/>
        <w:t xml:space="preserve">A joint workshop with OECD and ISTA is scheduled to be held during the </w:t>
      </w:r>
      <w:bookmarkStart w:id="25" w:name="_Hlk225788626"/>
      <w:r>
        <w:t xml:space="preserve">fourth session of the TWM, to be held in Cambridge, </w:t>
      </w:r>
      <w:r w:rsidR="00E60516">
        <w:t xml:space="preserve">United Kingdom, </w:t>
      </w:r>
      <w:r>
        <w:t>from June 2 to 5, 2026.</w:t>
      </w:r>
      <w:bookmarkEnd w:id="25"/>
    </w:p>
    <w:p w14:paraId="26CA4BCE" w14:textId="77777777" w:rsidR="00037560" w:rsidRDefault="00037560" w:rsidP="00815D6D"/>
    <w:p w14:paraId="604E4AB7" w14:textId="2E436EF1" w:rsidR="00815D6D" w:rsidRPr="007A60C4" w:rsidRDefault="00815D6D" w:rsidP="00815D6D">
      <w:pPr>
        <w:tabs>
          <w:tab w:val="left" w:pos="5387"/>
        </w:tabs>
        <w:ind w:left="4820"/>
        <w:rPr>
          <w:i/>
          <w:iCs/>
        </w:rPr>
      </w:pPr>
      <w:r w:rsidRPr="007A60C4">
        <w:rPr>
          <w:i/>
          <w:iCs/>
        </w:rPr>
        <w:fldChar w:fldCharType="begin"/>
      </w:r>
      <w:r w:rsidRPr="007A60C4">
        <w:rPr>
          <w:i/>
          <w:iCs/>
        </w:rPr>
        <w:instrText xml:space="preserve"> AUTONUM  </w:instrText>
      </w:r>
      <w:r w:rsidRPr="007A60C4">
        <w:rPr>
          <w:i/>
          <w:iCs/>
        </w:rPr>
        <w:fldChar w:fldCharType="end"/>
      </w:r>
      <w:r w:rsidRPr="007A60C4">
        <w:rPr>
          <w:i/>
          <w:iCs/>
        </w:rPr>
        <w:tab/>
      </w:r>
      <w:r w:rsidRPr="00490BDA">
        <w:rPr>
          <w:i/>
          <w:iCs/>
        </w:rPr>
        <w:t xml:space="preserve">The TWPs are invited to </w:t>
      </w:r>
      <w:r w:rsidR="00C95E1A" w:rsidRPr="00490BDA">
        <w:rPr>
          <w:rFonts w:hint="eastAsia"/>
          <w:i/>
          <w:iCs/>
          <w:lang w:eastAsia="ja-JP"/>
        </w:rPr>
        <w:t xml:space="preserve">note that a joint </w:t>
      </w:r>
      <w:r w:rsidR="005C4B56" w:rsidRPr="00490BDA">
        <w:rPr>
          <w:i/>
          <w:iCs/>
          <w:lang w:eastAsia="ja-JP"/>
        </w:rPr>
        <w:t>workshop</w:t>
      </w:r>
      <w:r w:rsidR="005C4B56" w:rsidRPr="00490BDA">
        <w:rPr>
          <w:rFonts w:hint="eastAsia"/>
          <w:i/>
          <w:iCs/>
          <w:lang w:eastAsia="ja-JP"/>
        </w:rPr>
        <w:t xml:space="preserve"> </w:t>
      </w:r>
      <w:r w:rsidR="00C95E1A" w:rsidRPr="00490BDA">
        <w:rPr>
          <w:rFonts w:hint="eastAsia"/>
          <w:i/>
          <w:iCs/>
          <w:lang w:eastAsia="ja-JP"/>
        </w:rPr>
        <w:t xml:space="preserve">with UPOV, OECD and SITA </w:t>
      </w:r>
      <w:proofErr w:type="gramStart"/>
      <w:r w:rsidR="00C95E1A" w:rsidRPr="00490BDA">
        <w:rPr>
          <w:rFonts w:hint="eastAsia"/>
          <w:i/>
          <w:iCs/>
          <w:lang w:eastAsia="ja-JP"/>
        </w:rPr>
        <w:t>is</w:t>
      </w:r>
      <w:proofErr w:type="gramEnd"/>
      <w:r w:rsidR="00C95E1A" w:rsidRPr="00490BDA">
        <w:rPr>
          <w:rFonts w:hint="eastAsia"/>
          <w:i/>
          <w:iCs/>
          <w:lang w:eastAsia="ja-JP"/>
        </w:rPr>
        <w:t xml:space="preserve"> </w:t>
      </w:r>
      <w:r w:rsidR="00C95E1A" w:rsidRPr="00490BDA">
        <w:rPr>
          <w:i/>
          <w:iCs/>
          <w:lang w:eastAsia="ja-JP"/>
        </w:rPr>
        <w:t>scheduled</w:t>
      </w:r>
      <w:r w:rsidR="00C95E1A" w:rsidRPr="00490BDA">
        <w:rPr>
          <w:rFonts w:hint="eastAsia"/>
          <w:i/>
          <w:iCs/>
          <w:lang w:eastAsia="ja-JP"/>
        </w:rPr>
        <w:t xml:space="preserve"> at the</w:t>
      </w:r>
      <w:r w:rsidR="005C4B56" w:rsidRPr="00490BDA">
        <w:t xml:space="preserve"> </w:t>
      </w:r>
      <w:r w:rsidR="005C4B56" w:rsidRPr="00490BDA">
        <w:rPr>
          <w:i/>
          <w:iCs/>
        </w:rPr>
        <w:t>fourth session of the TWM, to be held in Cambridge</w:t>
      </w:r>
      <w:r w:rsidR="00E60516">
        <w:rPr>
          <w:i/>
          <w:iCs/>
        </w:rPr>
        <w:t>, United Kingdom</w:t>
      </w:r>
      <w:r w:rsidR="005C4B56" w:rsidRPr="00490BDA">
        <w:rPr>
          <w:i/>
          <w:iCs/>
        </w:rPr>
        <w:t>, from June 2 to 5, 2026.</w:t>
      </w:r>
    </w:p>
    <w:p w14:paraId="4C0D1CE4" w14:textId="77777777" w:rsidR="00174520" w:rsidRDefault="00174520" w:rsidP="005F6C47">
      <w:pPr>
        <w:shd w:val="clear" w:color="auto" w:fill="FFFFFF" w:themeFill="background1"/>
      </w:pPr>
    </w:p>
    <w:p w14:paraId="404AE4F4" w14:textId="77777777" w:rsidR="00174520" w:rsidRDefault="00174520" w:rsidP="005F6C47">
      <w:pPr>
        <w:shd w:val="clear" w:color="auto" w:fill="FFFFFF" w:themeFill="background1"/>
      </w:pPr>
    </w:p>
    <w:p w14:paraId="58B16974" w14:textId="71CB2C2B" w:rsidR="0011312E" w:rsidRPr="00C128CE" w:rsidRDefault="0011312E" w:rsidP="0011312E">
      <w:pPr>
        <w:pStyle w:val="Heading1"/>
      </w:pPr>
      <w:bookmarkStart w:id="26" w:name="_Toc228293045"/>
      <w:r w:rsidRPr="0011312E">
        <w:lastRenderedPageBreak/>
        <w:t>MATTERS FOR INFORMATION</w:t>
      </w:r>
      <w:bookmarkEnd w:id="26"/>
    </w:p>
    <w:p w14:paraId="6198F1B4" w14:textId="77777777" w:rsidR="00E403FF" w:rsidRDefault="00E403FF" w:rsidP="005F6C47">
      <w:pPr>
        <w:shd w:val="clear" w:color="auto" w:fill="FFFFFF" w:themeFill="background1"/>
        <w:rPr>
          <w:lang w:eastAsia="ja-JP"/>
        </w:rPr>
      </w:pPr>
    </w:p>
    <w:p w14:paraId="563105E2" w14:textId="676D49B2" w:rsidR="00CA709F" w:rsidRPr="001D3FDF" w:rsidRDefault="00CA709F" w:rsidP="00CA709F">
      <w:pPr>
        <w:pStyle w:val="Heading2"/>
      </w:pPr>
      <w:bookmarkStart w:id="27" w:name="_Toc228293046"/>
      <w:r w:rsidRPr="00CA709F">
        <w:t>Guidelines for the validation of a new characteristic-specific molecular marker protocol as an alternative method for observation</w:t>
      </w:r>
      <w:bookmarkEnd w:id="27"/>
    </w:p>
    <w:p w14:paraId="1F9ACE17" w14:textId="77777777" w:rsidR="00B44B68" w:rsidRDefault="00B44B68" w:rsidP="00B44B68">
      <w:pPr>
        <w:keepNext/>
      </w:pPr>
    </w:p>
    <w:p w14:paraId="2630DA58" w14:textId="5E5E1FF1" w:rsidR="004E0062" w:rsidRPr="0077577B" w:rsidRDefault="004E0062" w:rsidP="004E0062">
      <w:pPr>
        <w:pStyle w:val="Heading3"/>
        <w:rPr>
          <w:lang w:eastAsia="ja-JP"/>
        </w:rPr>
      </w:pPr>
      <w:bookmarkStart w:id="28" w:name="_Toc228293047"/>
      <w:r w:rsidRPr="004E0062">
        <w:rPr>
          <w:lang w:eastAsia="ja-JP"/>
        </w:rPr>
        <w:t>Background</w:t>
      </w:r>
      <w:bookmarkEnd w:id="28"/>
    </w:p>
    <w:p w14:paraId="7EDC6F52" w14:textId="77777777" w:rsidR="004E0062" w:rsidRDefault="004E0062" w:rsidP="004E0062">
      <w:pPr>
        <w:keepNext/>
      </w:pPr>
    </w:p>
    <w:p w14:paraId="69A7A262" w14:textId="77777777" w:rsidR="004E0062" w:rsidRPr="00F07B06" w:rsidRDefault="004E0062" w:rsidP="004E0062">
      <w:r w:rsidRPr="00F07B06">
        <w:fldChar w:fldCharType="begin"/>
      </w:r>
      <w:r w:rsidRPr="00F07B06">
        <w:instrText xml:space="preserve"> AUTONUM  </w:instrText>
      </w:r>
      <w:r w:rsidRPr="00F07B06">
        <w:fldChar w:fldCharType="end"/>
      </w:r>
      <w:r w:rsidRPr="00F07B06">
        <w:tab/>
        <w:t>The T</w:t>
      </w:r>
      <w:r>
        <w:rPr>
          <w:rFonts w:hint="eastAsia"/>
          <w:lang w:eastAsia="ja-JP"/>
        </w:rPr>
        <w:t>C</w:t>
      </w:r>
      <w:r w:rsidRPr="00F07B06">
        <w:rPr>
          <w:rStyle w:val="FootnoteReference"/>
          <w:lang w:eastAsia="ja-JP"/>
        </w:rPr>
        <w:footnoteReference w:id="15"/>
      </w:r>
      <w:r w:rsidRPr="00F07B06">
        <w:t>, at its s</w:t>
      </w:r>
      <w:r>
        <w:rPr>
          <w:lang w:eastAsia="ja-JP"/>
        </w:rPr>
        <w:t>ixtieth</w:t>
      </w:r>
      <w:r w:rsidRPr="00F07B06">
        <w:t xml:space="preserve"> session, </w:t>
      </w:r>
      <w:r>
        <w:t>agreed to request the TWPs, at their sessions in 2025, to consider the proposal for guidelines for the validation of new characteristic-specific molecular marker protocol for DUS examination</w:t>
      </w:r>
      <w:r w:rsidRPr="00F07B06">
        <w:t>.</w:t>
      </w:r>
    </w:p>
    <w:p w14:paraId="5F0D84B5" w14:textId="77777777" w:rsidR="004E0062" w:rsidRDefault="004E0062" w:rsidP="004E0062"/>
    <w:p w14:paraId="219E8ED6" w14:textId="6A0CA904" w:rsidR="004E0062" w:rsidRPr="00F07B06" w:rsidRDefault="004E0062" w:rsidP="004E0062">
      <w:pPr>
        <w:pStyle w:val="Heading3"/>
        <w:rPr>
          <w:lang w:eastAsia="ja-JP"/>
        </w:rPr>
      </w:pPr>
      <w:bookmarkStart w:id="29" w:name="_Toc210139279"/>
      <w:bookmarkStart w:id="30" w:name="_Toc228293048"/>
      <w:r w:rsidRPr="004E0062">
        <w:rPr>
          <w:lang w:eastAsia="ja-JP"/>
        </w:rPr>
        <w:t>Developments at the Technical Committee in 2025</w:t>
      </w:r>
      <w:bookmarkEnd w:id="29"/>
      <w:bookmarkEnd w:id="30"/>
    </w:p>
    <w:p w14:paraId="2E707C33" w14:textId="77777777" w:rsidR="004E0062" w:rsidRPr="001D3FDF" w:rsidRDefault="004E0062" w:rsidP="00B44B68">
      <w:pPr>
        <w:keepNext/>
      </w:pPr>
    </w:p>
    <w:p w14:paraId="10E1154F" w14:textId="73369A35" w:rsidR="00B44B68" w:rsidRDefault="00B44B68" w:rsidP="00B44B68">
      <w:r w:rsidRPr="001D3FDF">
        <w:fldChar w:fldCharType="begin"/>
      </w:r>
      <w:r w:rsidRPr="001D3FDF">
        <w:instrText xml:space="preserve"> AUTONUM  </w:instrText>
      </w:r>
      <w:r w:rsidRPr="001D3FDF">
        <w:fldChar w:fldCharType="end"/>
      </w:r>
      <w:r w:rsidRPr="001D3FDF">
        <w:tab/>
      </w:r>
      <w:r w:rsidR="002F5398" w:rsidRPr="00F07B06">
        <w:t>The T</w:t>
      </w:r>
      <w:r w:rsidR="002F5398">
        <w:rPr>
          <w:rFonts w:hint="eastAsia"/>
          <w:lang w:eastAsia="ja-JP"/>
        </w:rPr>
        <w:t>C</w:t>
      </w:r>
      <w:r w:rsidR="002F5398" w:rsidRPr="00F07B06">
        <w:rPr>
          <w:rStyle w:val="FootnoteReference"/>
          <w:lang w:eastAsia="ja-JP"/>
        </w:rPr>
        <w:footnoteReference w:id="16"/>
      </w:r>
      <w:r w:rsidR="002F5398" w:rsidRPr="00F07B06">
        <w:t>,</w:t>
      </w:r>
      <w:r w:rsidR="002F5398">
        <w:rPr>
          <w:rFonts w:hint="eastAsia"/>
          <w:lang w:eastAsia="ja-JP"/>
        </w:rPr>
        <w:t xml:space="preserve"> at its sixty-first session, </w:t>
      </w:r>
      <w:r>
        <w:t>considered the methodology proposed and agreed on the importance of harmonized validation for new molecular markers proposed for inclusion in Test Guidelines as alternative methods. The TC agreed that guidance should allow for other methods that achieve the same result, provided they are also validated.</w:t>
      </w:r>
    </w:p>
    <w:p w14:paraId="25FB4015" w14:textId="77777777" w:rsidR="00B44B68" w:rsidRDefault="00B44B68" w:rsidP="00B44B68"/>
    <w:p w14:paraId="32D62AF0" w14:textId="32BD29DC" w:rsidR="00B44B68" w:rsidRDefault="00B44B68" w:rsidP="00B44B68">
      <w:pPr>
        <w:rPr>
          <w:lang w:eastAsia="ja-JP"/>
        </w:rPr>
      </w:pPr>
      <w:r w:rsidRPr="001D3FDF">
        <w:fldChar w:fldCharType="begin"/>
      </w:r>
      <w:r w:rsidRPr="001D3FDF">
        <w:instrText xml:space="preserve"> AUTONUM  </w:instrText>
      </w:r>
      <w:r w:rsidRPr="001D3FDF">
        <w:fldChar w:fldCharType="end"/>
      </w:r>
      <w:r w:rsidRPr="001D3FDF">
        <w:tab/>
      </w:r>
      <w:r>
        <w:t xml:space="preserve">The TC discussed the situation described in paragraph 31 of the </w:t>
      </w:r>
      <w:proofErr w:type="gramStart"/>
      <w:r>
        <w:t>draft</w:t>
      </w:r>
      <w:proofErr w:type="gramEnd"/>
      <w:r>
        <w:t xml:space="preserve"> guidance on matters to be considered on the use of molecular markers that might be trade </w:t>
      </w:r>
      <w:r w:rsidR="004E0062">
        <w:t>secrets</w:t>
      </w:r>
      <w:r>
        <w:t xml:space="preserve"> and agreed that these situations should be considered on a case-by-case basis when developing characteristics for Test Guidelines</w:t>
      </w:r>
      <w:r>
        <w:rPr>
          <w:rFonts w:hint="eastAsia"/>
          <w:lang w:eastAsia="ja-JP"/>
        </w:rPr>
        <w:t>.</w:t>
      </w:r>
    </w:p>
    <w:p w14:paraId="5D3A13B3" w14:textId="77777777" w:rsidR="00B44B68" w:rsidRDefault="00B44B68" w:rsidP="00B44B68">
      <w:pPr>
        <w:rPr>
          <w:lang w:eastAsia="ja-JP"/>
        </w:rPr>
      </w:pPr>
    </w:p>
    <w:p w14:paraId="1812A40E" w14:textId="2F6605A8" w:rsidR="00B44B68" w:rsidRDefault="00B44B68" w:rsidP="00B44B68">
      <w:r w:rsidRPr="001D3FDF">
        <w:fldChar w:fldCharType="begin"/>
      </w:r>
      <w:r w:rsidRPr="001D3FDF">
        <w:instrText xml:space="preserve"> AUTONUM  </w:instrText>
      </w:r>
      <w:r w:rsidRPr="001D3FDF">
        <w:fldChar w:fldCharType="end"/>
      </w:r>
      <w:r w:rsidRPr="001D3FDF">
        <w:tab/>
      </w:r>
      <w:r>
        <w:t xml:space="preserve">The TC agreed to propose to the Council adopting the guidance for the validation of </w:t>
      </w:r>
      <w:r w:rsidR="005B3CCA">
        <w:t>characteristic specific</w:t>
      </w:r>
      <w:r>
        <w:t xml:space="preserve"> molecular markers as alternative methods for the assessment of characteristics in Test Guidelines, as set out in the Annex to document SESSIONS/2025/6, subject to linguistic checking by the Enlarged Editorial Committee (TC-EDC).</w:t>
      </w:r>
    </w:p>
    <w:p w14:paraId="43E733EC" w14:textId="77777777" w:rsidR="004E2B8D" w:rsidRDefault="004E2B8D" w:rsidP="00B44B68"/>
    <w:p w14:paraId="51FBDFF3" w14:textId="30783C3A" w:rsidR="009C2E26" w:rsidRPr="001D3FDF" w:rsidRDefault="004E2B8D" w:rsidP="00CB6DF9">
      <w:pPr>
        <w:rPr>
          <w:lang w:eastAsia="ja-JP"/>
        </w:rPr>
      </w:pPr>
      <w:r w:rsidRPr="001D3FDF">
        <w:fldChar w:fldCharType="begin"/>
      </w:r>
      <w:r w:rsidRPr="001D3FDF">
        <w:instrText xml:space="preserve"> AUTONUM  </w:instrText>
      </w:r>
      <w:r w:rsidRPr="001D3FDF">
        <w:fldChar w:fldCharType="end"/>
      </w:r>
      <w:r w:rsidRPr="001D3FDF">
        <w:tab/>
      </w:r>
      <w:r w:rsidRPr="004E2B8D">
        <w:t>The TC-EDC, at its meetings held on January 13 and 15, 202</w:t>
      </w:r>
      <w:r>
        <w:rPr>
          <w:rFonts w:hint="eastAsia"/>
          <w:lang w:eastAsia="ja-JP"/>
        </w:rPr>
        <w:t>6</w:t>
      </w:r>
      <w:r w:rsidRPr="004E2B8D">
        <w:t xml:space="preserve">, considered the draft </w:t>
      </w:r>
      <w:r w:rsidR="00E42D55">
        <w:t xml:space="preserve">guidance and </w:t>
      </w:r>
      <w:r w:rsidR="00CB6DF9">
        <w:t>recommended for</w:t>
      </w:r>
      <w:r w:rsidR="009C2E26">
        <w:rPr>
          <w:lang w:eastAsia="ja-JP"/>
        </w:rPr>
        <w:t xml:space="preserve"> adoption by the Council, at its sixtieth session, to be held in Geneva on October 23, 2026</w:t>
      </w:r>
      <w:r w:rsidR="00CB6DF9">
        <w:rPr>
          <w:lang w:eastAsia="ja-JP"/>
        </w:rPr>
        <w:t>, subject to editorial clarifications</w:t>
      </w:r>
      <w:r w:rsidR="009C2E26">
        <w:rPr>
          <w:lang w:eastAsia="ja-JP"/>
        </w:rPr>
        <w:t>.</w:t>
      </w:r>
      <w:r w:rsidR="00D303DB">
        <w:rPr>
          <w:lang w:eastAsia="ja-JP"/>
        </w:rPr>
        <w:t xml:space="preserve">  The full text of the draft guidance is provided in document TWP/10/1 “Development of Guidance and Information Materials”</w:t>
      </w:r>
      <w:r w:rsidR="00CB2AE2">
        <w:rPr>
          <w:lang w:eastAsia="ja-JP"/>
        </w:rPr>
        <w:t>.</w:t>
      </w:r>
    </w:p>
    <w:p w14:paraId="1E2C6163" w14:textId="77777777" w:rsidR="00B44B68" w:rsidRDefault="00B44B68" w:rsidP="00B44B68"/>
    <w:p w14:paraId="6854D49A" w14:textId="77777777" w:rsidR="00F105A4" w:rsidRDefault="00F105A4" w:rsidP="009B440E">
      <w:pPr>
        <w:jc w:val="left"/>
      </w:pPr>
    </w:p>
    <w:p w14:paraId="04E98751" w14:textId="77777777" w:rsidR="00E96942" w:rsidRDefault="00E96942" w:rsidP="009B440E">
      <w:pPr>
        <w:jc w:val="left"/>
      </w:pPr>
    </w:p>
    <w:p w14:paraId="04F46D24" w14:textId="6800D1E2" w:rsidR="00F105A4" w:rsidRDefault="00E96942" w:rsidP="00F105A4">
      <w:pPr>
        <w:jc w:val="right"/>
      </w:pPr>
      <w:r w:rsidRPr="00EF6C3B">
        <w:t>[Annex I follows]</w:t>
      </w:r>
    </w:p>
    <w:p w14:paraId="2DBC924C" w14:textId="77777777" w:rsidR="00E96942" w:rsidRPr="003151EF" w:rsidRDefault="00E96942" w:rsidP="00E96942">
      <w:pPr>
        <w:pStyle w:val="DecisionParagraphs"/>
      </w:pPr>
    </w:p>
    <w:p w14:paraId="3645297A" w14:textId="77777777" w:rsidR="00E96942" w:rsidRPr="004B1215" w:rsidRDefault="00E96942" w:rsidP="00E96942"/>
    <w:p w14:paraId="16550C2F" w14:textId="77777777" w:rsidR="00E96942" w:rsidRDefault="00E96942" w:rsidP="00E96942"/>
    <w:p w14:paraId="57C118E7" w14:textId="77777777" w:rsidR="00E96942" w:rsidRDefault="00E96942" w:rsidP="00E96942">
      <w:pPr>
        <w:jc w:val="left"/>
        <w:sectPr w:rsidR="00E96942" w:rsidSect="00E96942">
          <w:headerReference w:type="default" r:id="rId14"/>
          <w:pgSz w:w="11907" w:h="16840" w:code="9"/>
          <w:pgMar w:top="510" w:right="1134" w:bottom="1134" w:left="1134" w:header="510" w:footer="680" w:gutter="0"/>
          <w:pgNumType w:start="1"/>
          <w:cols w:space="720"/>
          <w:titlePg/>
        </w:sectPr>
      </w:pPr>
    </w:p>
    <w:p w14:paraId="29AC9B44" w14:textId="77777777" w:rsidR="002377B9" w:rsidRPr="00EF6C3B" w:rsidRDefault="002377B9" w:rsidP="002377B9">
      <w:bookmarkStart w:id="31" w:name="_Hlk226015745"/>
    </w:p>
    <w:p w14:paraId="655467F0" w14:textId="77777777" w:rsidR="008E14A4" w:rsidRPr="008E14A4" w:rsidRDefault="008E14A4" w:rsidP="002377B9">
      <w:pPr>
        <w:jc w:val="center"/>
        <w:rPr>
          <w:lang w:eastAsia="ja-JP"/>
        </w:rPr>
      </w:pPr>
      <w:r w:rsidRPr="008E14A4">
        <w:rPr>
          <w:lang w:eastAsia="ja-JP"/>
        </w:rPr>
        <w:t xml:space="preserve">OWNERSHIP AND CONFIDENTIALITY OF MOLECULAR INFORMATION </w:t>
      </w:r>
    </w:p>
    <w:p w14:paraId="5DCD55A5" w14:textId="6739A50B" w:rsidR="002377B9" w:rsidRPr="008E14A4" w:rsidRDefault="002377B9" w:rsidP="002377B9">
      <w:pPr>
        <w:jc w:val="center"/>
      </w:pPr>
      <w:r w:rsidRPr="008E14A4">
        <w:rPr>
          <w:lang w:eastAsia="ja-JP"/>
        </w:rPr>
        <w:t>DEVELOPMENTS AT THE TECHNICAL WORKING PARTIES AT THEIR SESSIONS IN 2025</w:t>
      </w:r>
    </w:p>
    <w:p w14:paraId="295B81E5" w14:textId="77777777" w:rsidR="002377B9" w:rsidRDefault="002377B9" w:rsidP="002377B9"/>
    <w:p w14:paraId="0728A413" w14:textId="77777777" w:rsidR="002377B9" w:rsidRPr="00F07B06" w:rsidRDefault="002377B9" w:rsidP="002377B9">
      <w:pPr>
        <w:keepNext/>
        <w:jc w:val="left"/>
      </w:pPr>
    </w:p>
    <w:p w14:paraId="3D2B228D" w14:textId="5477A60C" w:rsidR="002377B9" w:rsidRPr="00226B9A" w:rsidRDefault="000E0EC1" w:rsidP="002377B9">
      <w:pPr>
        <w:keepNext/>
      </w:pPr>
      <w:r>
        <w:rPr>
          <w:lang w:eastAsia="ja-JP"/>
        </w:rPr>
        <w:t>1</w:t>
      </w:r>
      <w:r w:rsidR="002377B9">
        <w:rPr>
          <w:rFonts w:hint="eastAsia"/>
          <w:lang w:eastAsia="ja-JP"/>
        </w:rPr>
        <w:t>.</w:t>
      </w:r>
      <w:r w:rsidR="002377B9" w:rsidRPr="00226B9A">
        <w:tab/>
        <w:t>The TW</w:t>
      </w:r>
      <w:r w:rsidR="002377B9" w:rsidRPr="00226B9A">
        <w:rPr>
          <w:rFonts w:hint="eastAsia"/>
          <w:lang w:eastAsia="ja-JP"/>
        </w:rPr>
        <w:t>O</w:t>
      </w:r>
      <w:r w:rsidR="002377B9" w:rsidRPr="00226B9A">
        <w:rPr>
          <w:rStyle w:val="FootnoteReference"/>
          <w:lang w:eastAsia="ja-JP"/>
        </w:rPr>
        <w:footnoteReference w:id="17"/>
      </w:r>
      <w:r w:rsidR="002377B9" w:rsidRPr="00226B9A">
        <w:t xml:space="preserve">, at its </w:t>
      </w:r>
      <w:r w:rsidR="002377B9" w:rsidRPr="00226B9A">
        <w:rPr>
          <w:rFonts w:hint="eastAsia"/>
          <w:lang w:eastAsia="ja-JP"/>
        </w:rPr>
        <w:t>fifty-seventh</w:t>
      </w:r>
      <w:r w:rsidR="002377B9" w:rsidRPr="00226B9A">
        <w:t xml:space="preserve"> session, agreed on the importance of utilizing DNA-based information for international cooperation in</w:t>
      </w:r>
      <w:r w:rsidR="002377B9" w:rsidRPr="00226B9A">
        <w:rPr>
          <w:rFonts w:hint="eastAsia"/>
          <w:lang w:eastAsia="ja-JP"/>
        </w:rPr>
        <w:t xml:space="preserve"> </w:t>
      </w:r>
      <w:r w:rsidR="002377B9" w:rsidRPr="00226B9A">
        <w:t xml:space="preserve">variety testing. </w:t>
      </w:r>
      <w:r w:rsidR="002377B9" w:rsidRPr="00226B9A">
        <w:rPr>
          <w:rFonts w:hint="eastAsia"/>
          <w:lang w:eastAsia="ja-JP"/>
        </w:rPr>
        <w:t xml:space="preserve"> </w:t>
      </w:r>
      <w:r w:rsidR="002377B9" w:rsidRPr="00226B9A">
        <w:t>The TWO considered how DNA-based information could be shared among UPOV members and noted the offer from breeders’ organizations for the joint development of molecular markers that would not reveal the breeding strategies of individual breeders.</w:t>
      </w:r>
    </w:p>
    <w:p w14:paraId="3AD95729" w14:textId="77777777" w:rsidR="002377B9" w:rsidRPr="00226B9A" w:rsidRDefault="002377B9" w:rsidP="002377B9"/>
    <w:p w14:paraId="3EF194DD" w14:textId="210DD1B9" w:rsidR="002377B9" w:rsidRPr="00226B9A" w:rsidRDefault="000E0EC1" w:rsidP="002377B9">
      <w:r>
        <w:rPr>
          <w:lang w:eastAsia="ja-JP"/>
        </w:rPr>
        <w:t>2</w:t>
      </w:r>
      <w:r w:rsidR="002377B9">
        <w:rPr>
          <w:rFonts w:hint="eastAsia"/>
          <w:lang w:eastAsia="ja-JP"/>
        </w:rPr>
        <w:t>.</w:t>
      </w:r>
      <w:r w:rsidR="002377B9" w:rsidRPr="00226B9A">
        <w:tab/>
        <w:t xml:space="preserve">The TWO noted existing guidance on confidentiality of molecular information in UPOV documents UPOV/INF/15 “Guidance for members of UPOV” and TGP/5, Section 1 “Model administrative agreement for international cooperation in the testing of varieties”. </w:t>
      </w:r>
      <w:r w:rsidR="002377B9" w:rsidRPr="00226B9A">
        <w:rPr>
          <w:rFonts w:hint="eastAsia"/>
          <w:lang w:eastAsia="ja-JP"/>
        </w:rPr>
        <w:t xml:space="preserve"> </w:t>
      </w:r>
      <w:r w:rsidR="002377B9" w:rsidRPr="00226B9A">
        <w:t>The TWO noted the proposal from the breeders’</w:t>
      </w:r>
      <w:r w:rsidR="002377B9" w:rsidRPr="00226B9A">
        <w:rPr>
          <w:rFonts w:hint="eastAsia"/>
          <w:lang w:eastAsia="ja-JP"/>
        </w:rPr>
        <w:t xml:space="preserve"> </w:t>
      </w:r>
      <w:r w:rsidR="002377B9" w:rsidRPr="00226B9A">
        <w:t>organizations for considering the document “Policy on the status of plant material submitted for DUS testing purposes” developed by the European Union as example for</w:t>
      </w:r>
      <w:r w:rsidR="002377B9" w:rsidRPr="00226B9A">
        <w:rPr>
          <w:rFonts w:hint="eastAsia"/>
          <w:lang w:eastAsia="ja-JP"/>
        </w:rPr>
        <w:t xml:space="preserve"> </w:t>
      </w:r>
      <w:r w:rsidR="002377B9" w:rsidRPr="00226B9A">
        <w:t>the future development of a common model.</w:t>
      </w:r>
    </w:p>
    <w:p w14:paraId="54E8BB60" w14:textId="77777777" w:rsidR="002377B9" w:rsidRPr="00226B9A" w:rsidRDefault="002377B9" w:rsidP="002377B9">
      <w:pPr>
        <w:rPr>
          <w:iCs/>
        </w:rPr>
      </w:pPr>
    </w:p>
    <w:p w14:paraId="7F692A96" w14:textId="4F3A49EF" w:rsidR="002377B9" w:rsidRPr="00226B9A" w:rsidRDefault="000E0EC1" w:rsidP="002377B9">
      <w:pPr>
        <w:rPr>
          <w:lang w:eastAsia="ja-JP"/>
        </w:rPr>
      </w:pPr>
      <w:r>
        <w:rPr>
          <w:lang w:eastAsia="ja-JP"/>
        </w:rPr>
        <w:t>3</w:t>
      </w:r>
      <w:r w:rsidR="002377B9">
        <w:rPr>
          <w:rFonts w:hint="eastAsia"/>
          <w:lang w:eastAsia="ja-JP"/>
        </w:rPr>
        <w:t>.</w:t>
      </w:r>
      <w:r w:rsidR="002377B9" w:rsidRPr="00226B9A">
        <w:tab/>
      </w:r>
      <w:r w:rsidR="002377B9" w:rsidRPr="00226B9A">
        <w:rPr>
          <w:lang w:eastAsia="ja-JP"/>
        </w:rPr>
        <w:t>The TWM</w:t>
      </w:r>
      <w:r w:rsidR="002377B9" w:rsidRPr="00226B9A">
        <w:rPr>
          <w:rStyle w:val="FootnoteReference"/>
          <w:lang w:eastAsia="ja-JP"/>
        </w:rPr>
        <w:footnoteReference w:id="18"/>
      </w:r>
      <w:r w:rsidR="002377B9" w:rsidRPr="00226B9A">
        <w:rPr>
          <w:rFonts w:hint="eastAsia"/>
          <w:lang w:eastAsia="ja-JP"/>
        </w:rPr>
        <w:t xml:space="preserve">, at its third session, </w:t>
      </w:r>
      <w:r w:rsidR="002377B9" w:rsidRPr="00226B9A">
        <w:rPr>
          <w:lang w:eastAsia="ja-JP"/>
        </w:rPr>
        <w:t xml:space="preserve">recalled UPOV guidance on confidentiality of molecular information provided in documents TGP/5, Section 1 “Model Administrative Agreement for International Cooperation in the Testing of Varieties” and INF/15 “Guidance for Members of UPOV”. </w:t>
      </w:r>
      <w:r w:rsidR="002377B9" w:rsidRPr="00226B9A">
        <w:rPr>
          <w:rFonts w:hint="eastAsia"/>
          <w:lang w:eastAsia="ja-JP"/>
        </w:rPr>
        <w:t xml:space="preserve"> </w:t>
      </w:r>
      <w:r w:rsidR="002377B9" w:rsidRPr="00226B9A">
        <w:rPr>
          <w:lang w:eastAsia="ja-JP"/>
        </w:rPr>
        <w:t>The TWM noted that no reports on confidentiality of molecular information had been reported to the TWM and agreed on the importance of safeguarding the confidentiality of parent lines and hybrid formulas. The TWM noted that a similar discussion was being held at OECD.</w:t>
      </w:r>
    </w:p>
    <w:p w14:paraId="0093BF19" w14:textId="77777777" w:rsidR="002377B9" w:rsidRPr="00226B9A" w:rsidRDefault="002377B9" w:rsidP="002377B9">
      <w:pPr>
        <w:rPr>
          <w:lang w:eastAsia="ja-JP"/>
        </w:rPr>
      </w:pPr>
    </w:p>
    <w:p w14:paraId="3F16C646" w14:textId="6B675F85" w:rsidR="002377B9" w:rsidRPr="00226B9A" w:rsidRDefault="000E0EC1" w:rsidP="002377B9">
      <w:r>
        <w:rPr>
          <w:lang w:eastAsia="ja-JP"/>
        </w:rPr>
        <w:t>4</w:t>
      </w:r>
      <w:r w:rsidR="002377B9">
        <w:rPr>
          <w:rFonts w:hint="eastAsia"/>
          <w:lang w:eastAsia="ja-JP"/>
        </w:rPr>
        <w:t>.</w:t>
      </w:r>
      <w:r w:rsidR="002377B9" w:rsidRPr="00226B9A">
        <w:tab/>
      </w:r>
      <w:r w:rsidR="002377B9" w:rsidRPr="00226B9A">
        <w:rPr>
          <w:lang w:eastAsia="ja-JP"/>
        </w:rPr>
        <w:t xml:space="preserve"> </w:t>
      </w:r>
      <w:r w:rsidR="002377B9" w:rsidRPr="00226B9A">
        <w:t>The TW</w:t>
      </w:r>
      <w:r w:rsidR="002377B9" w:rsidRPr="00226B9A">
        <w:rPr>
          <w:rFonts w:hint="eastAsia"/>
          <w:lang w:eastAsia="ja-JP"/>
        </w:rPr>
        <w:t>V</w:t>
      </w:r>
      <w:r w:rsidR="002377B9" w:rsidRPr="00226B9A">
        <w:rPr>
          <w:rStyle w:val="FootnoteReference"/>
        </w:rPr>
        <w:footnoteReference w:id="19"/>
      </w:r>
      <w:r w:rsidR="002377B9" w:rsidRPr="00226B9A">
        <w:t xml:space="preserve">, at its </w:t>
      </w:r>
      <w:r w:rsidR="002377B9" w:rsidRPr="00226B9A">
        <w:rPr>
          <w:rFonts w:hint="eastAsia"/>
          <w:lang w:eastAsia="ja-JP"/>
        </w:rPr>
        <w:t>fifty-ninth</w:t>
      </w:r>
      <w:r w:rsidR="002377B9" w:rsidRPr="00226B9A">
        <w:t xml:space="preserve"> session, noted that no reports on existing policies on confidentiality of molecular information had been reported in advance of the TWV session.</w:t>
      </w:r>
    </w:p>
    <w:p w14:paraId="67C13B01" w14:textId="77777777" w:rsidR="002377B9" w:rsidRPr="00226B9A" w:rsidRDefault="002377B9" w:rsidP="002377B9"/>
    <w:p w14:paraId="7B0176EB" w14:textId="5BC6DA61" w:rsidR="002377B9" w:rsidRPr="00226B9A" w:rsidRDefault="000E0EC1" w:rsidP="002377B9">
      <w:r>
        <w:rPr>
          <w:lang w:eastAsia="ja-JP"/>
        </w:rPr>
        <w:t>5</w:t>
      </w:r>
      <w:r w:rsidR="002377B9">
        <w:rPr>
          <w:rFonts w:hint="eastAsia"/>
          <w:lang w:eastAsia="ja-JP"/>
        </w:rPr>
        <w:t>.</w:t>
      </w:r>
      <w:r w:rsidR="002377B9" w:rsidRPr="00226B9A">
        <w:tab/>
        <w:t xml:space="preserve">The TWV noted the report from Japan that was considering the use of DNA-based information as part of the information to be provided for plant variety protection. </w:t>
      </w:r>
      <w:r w:rsidR="002377B9" w:rsidRPr="00226B9A">
        <w:rPr>
          <w:rFonts w:hint="eastAsia"/>
          <w:lang w:eastAsia="ja-JP"/>
        </w:rPr>
        <w:t xml:space="preserve"> </w:t>
      </w:r>
      <w:r w:rsidR="002377B9" w:rsidRPr="00226B9A">
        <w:t>The TWV noted that Japan considered this information useful to support the exercise of breeders’ rights.</w:t>
      </w:r>
    </w:p>
    <w:p w14:paraId="023C023F" w14:textId="77777777" w:rsidR="002377B9" w:rsidRPr="00226B9A" w:rsidRDefault="002377B9" w:rsidP="002377B9"/>
    <w:p w14:paraId="532EDB84" w14:textId="0CC743E7" w:rsidR="002377B9" w:rsidRPr="00226B9A" w:rsidRDefault="000E0EC1" w:rsidP="002377B9">
      <w:r>
        <w:rPr>
          <w:lang w:eastAsia="ja-JP"/>
        </w:rPr>
        <w:t>6</w:t>
      </w:r>
      <w:r w:rsidR="002377B9">
        <w:rPr>
          <w:rFonts w:hint="eastAsia"/>
          <w:lang w:eastAsia="ja-JP"/>
        </w:rPr>
        <w:t>.</w:t>
      </w:r>
      <w:r w:rsidR="002377B9" w:rsidRPr="00226B9A">
        <w:tab/>
      </w:r>
      <w:proofErr w:type="gramStart"/>
      <w:r w:rsidR="002377B9" w:rsidRPr="00226B9A">
        <w:t>The TWV</w:t>
      </w:r>
      <w:proofErr w:type="gramEnd"/>
      <w:r w:rsidR="002377B9" w:rsidRPr="00226B9A">
        <w:t xml:space="preserve"> noted the concern expressed by the breeders’ organizations about revealing the sources of germplasm used by breeders in different breeding programs. </w:t>
      </w:r>
      <w:r w:rsidR="002377B9" w:rsidRPr="00226B9A">
        <w:rPr>
          <w:rFonts w:hint="eastAsia"/>
          <w:lang w:eastAsia="ja-JP"/>
        </w:rPr>
        <w:t xml:space="preserve"> </w:t>
      </w:r>
      <w:proofErr w:type="gramStart"/>
      <w:r w:rsidR="002377B9" w:rsidRPr="00226B9A">
        <w:t>The TWV</w:t>
      </w:r>
      <w:proofErr w:type="gramEnd"/>
      <w:r w:rsidR="002377B9" w:rsidRPr="00226B9A">
        <w:t xml:space="preserve"> agreed that breeders should be involved when selecting molecular markers for variety identification and managing variety collections, </w:t>
      </w:r>
      <w:proofErr w:type="gramStart"/>
      <w:r w:rsidR="002377B9" w:rsidRPr="00226B9A">
        <w:t>in particular when</w:t>
      </w:r>
      <w:proofErr w:type="gramEnd"/>
      <w:r w:rsidR="002377B9" w:rsidRPr="00226B9A">
        <w:t xml:space="preserve"> such information </w:t>
      </w:r>
      <w:proofErr w:type="gramStart"/>
      <w:r w:rsidR="002377B9" w:rsidRPr="00226B9A">
        <w:t>would be</w:t>
      </w:r>
      <w:proofErr w:type="gramEnd"/>
      <w:r w:rsidR="002377B9" w:rsidRPr="00226B9A">
        <w:t xml:space="preserve"> made publicly available. </w:t>
      </w:r>
    </w:p>
    <w:p w14:paraId="47A82C60" w14:textId="77777777" w:rsidR="002377B9" w:rsidRPr="00226B9A" w:rsidRDefault="002377B9" w:rsidP="002377B9"/>
    <w:p w14:paraId="19BB2C0E" w14:textId="21CD0CEB" w:rsidR="002377B9" w:rsidRPr="00226B9A" w:rsidRDefault="000E0EC1" w:rsidP="002377B9">
      <w:pPr>
        <w:rPr>
          <w:lang w:eastAsia="ja-JP"/>
        </w:rPr>
      </w:pPr>
      <w:r>
        <w:rPr>
          <w:lang w:eastAsia="ja-JP"/>
        </w:rPr>
        <w:t>7</w:t>
      </w:r>
      <w:r w:rsidR="002377B9">
        <w:rPr>
          <w:rFonts w:hint="eastAsia"/>
          <w:lang w:eastAsia="ja-JP"/>
        </w:rPr>
        <w:t>.</w:t>
      </w:r>
      <w:r w:rsidR="002377B9" w:rsidRPr="00226B9A">
        <w:tab/>
      </w:r>
      <w:proofErr w:type="gramStart"/>
      <w:r w:rsidR="002377B9" w:rsidRPr="00226B9A">
        <w:t>The TWV</w:t>
      </w:r>
      <w:proofErr w:type="gramEnd"/>
      <w:r w:rsidR="002377B9" w:rsidRPr="00226B9A">
        <w:t xml:space="preserve"> recalled that the development of UPOV guidance was based on examples and experiences from UPOV members and observers. </w:t>
      </w:r>
      <w:r w:rsidR="002377B9" w:rsidRPr="00226B9A">
        <w:rPr>
          <w:rFonts w:hint="eastAsia"/>
          <w:lang w:eastAsia="ja-JP"/>
        </w:rPr>
        <w:t xml:space="preserve"> </w:t>
      </w:r>
      <w:r w:rsidR="002377B9" w:rsidRPr="00226B9A">
        <w:t xml:space="preserve">The TWV </w:t>
      </w:r>
      <w:r w:rsidR="002377B9" w:rsidRPr="00DD1446">
        <w:t>agreed that different approaches for discussion on confidentiality of molecular information should be considered, such as concrete cases and specific situations identified by the breeders’ organizations.</w:t>
      </w:r>
    </w:p>
    <w:p w14:paraId="3C95CC02" w14:textId="77777777" w:rsidR="002377B9" w:rsidRPr="00226B9A" w:rsidRDefault="002377B9" w:rsidP="002377B9">
      <w:pPr>
        <w:pStyle w:val="ListParagraph"/>
        <w:ind w:left="0"/>
        <w:rPr>
          <w:lang w:eastAsia="ja-JP"/>
        </w:rPr>
      </w:pPr>
    </w:p>
    <w:p w14:paraId="59C04809" w14:textId="7C6A539E" w:rsidR="002377B9" w:rsidRPr="00226B9A" w:rsidRDefault="000E0EC1" w:rsidP="002377B9">
      <w:pPr>
        <w:pStyle w:val="ListParagraph"/>
        <w:ind w:left="0"/>
        <w:rPr>
          <w:lang w:eastAsia="ja-JP"/>
        </w:rPr>
      </w:pPr>
      <w:r>
        <w:rPr>
          <w:lang w:eastAsia="ja-JP"/>
        </w:rPr>
        <w:t>8</w:t>
      </w:r>
      <w:r w:rsidR="002377B9">
        <w:rPr>
          <w:rFonts w:hint="eastAsia"/>
          <w:lang w:eastAsia="ja-JP"/>
        </w:rPr>
        <w:t>.</w:t>
      </w:r>
      <w:r w:rsidR="002377B9" w:rsidRPr="00B73C40">
        <w:tab/>
        <w:t>The</w:t>
      </w:r>
      <w:r w:rsidR="002377B9" w:rsidRPr="00226B9A">
        <w:t xml:space="preserve"> TW</w:t>
      </w:r>
      <w:r w:rsidR="002377B9" w:rsidRPr="00226B9A">
        <w:rPr>
          <w:rFonts w:hint="eastAsia"/>
          <w:lang w:eastAsia="ja-JP"/>
        </w:rPr>
        <w:t>A</w:t>
      </w:r>
      <w:r w:rsidR="002377B9" w:rsidRPr="00226B9A">
        <w:rPr>
          <w:rStyle w:val="FootnoteReference"/>
        </w:rPr>
        <w:footnoteReference w:id="20"/>
      </w:r>
      <w:r w:rsidR="002377B9" w:rsidRPr="00226B9A">
        <w:t xml:space="preserve">, at its </w:t>
      </w:r>
      <w:r w:rsidR="002377B9" w:rsidRPr="00226B9A">
        <w:rPr>
          <w:rFonts w:hint="eastAsia"/>
          <w:lang w:eastAsia="ja-JP"/>
        </w:rPr>
        <w:t>fifty-fourth</w:t>
      </w:r>
      <w:r w:rsidR="002377B9" w:rsidRPr="00226B9A">
        <w:t xml:space="preserve"> session, noted the reports from the European Union, Germany and the United Kingdom that their domestic policies on plant material and data used in DUS examination covered molecular information. The TWA noted that in the European Union, the technical questionnaire provided the opportunity for applicants to select information to be treated as confidential and that the policy on plant material in DUS testing was available online, as reported in document TWA/54/2 “Reports from members and observers” (see: </w:t>
      </w:r>
      <w:hyperlink r:id="rId15" w:history="1">
        <w:r w:rsidR="002377B9" w:rsidRPr="00226B9A">
          <w:rPr>
            <w:rStyle w:val="Hyperlink"/>
          </w:rPr>
          <w:t>https://cpvo.europa.eu/en/cpvo-policy-status-plant-material-used-dus-testing-purposes</w:t>
        </w:r>
      </w:hyperlink>
      <w:r w:rsidR="002377B9" w:rsidRPr="00226B9A">
        <w:t>).</w:t>
      </w:r>
    </w:p>
    <w:p w14:paraId="40985CE8" w14:textId="77777777" w:rsidR="002377B9" w:rsidRPr="00226B9A" w:rsidRDefault="002377B9" w:rsidP="002377B9">
      <w:pPr>
        <w:pStyle w:val="ListParagraph"/>
        <w:ind w:left="0"/>
        <w:rPr>
          <w:lang w:eastAsia="ja-JP"/>
        </w:rPr>
      </w:pPr>
    </w:p>
    <w:p w14:paraId="30310FBE" w14:textId="015A9290" w:rsidR="002377B9" w:rsidRPr="00226B9A" w:rsidRDefault="000E0EC1" w:rsidP="002377B9">
      <w:pPr>
        <w:pStyle w:val="ListParagraph"/>
        <w:ind w:left="0"/>
        <w:rPr>
          <w:lang w:eastAsia="ja-JP"/>
        </w:rPr>
      </w:pPr>
      <w:r>
        <w:rPr>
          <w:lang w:eastAsia="ja-JP"/>
        </w:rPr>
        <w:t>9</w:t>
      </w:r>
      <w:r w:rsidR="002377B9">
        <w:rPr>
          <w:rFonts w:hint="eastAsia"/>
          <w:lang w:eastAsia="ja-JP"/>
        </w:rPr>
        <w:t>.</w:t>
      </w:r>
      <w:r w:rsidR="002377B9" w:rsidRPr="00226B9A">
        <w:tab/>
        <w:t>The TWA noted the reports from Brazil and Canada that no specific policy existed in those countries in relation to confidentiality of molecular information of plant material and data used in DUS examination. The TWA noted that Brazil and Canada did not request DNA based information from applicants.</w:t>
      </w:r>
    </w:p>
    <w:p w14:paraId="6535AF3B" w14:textId="77777777" w:rsidR="002377B9" w:rsidRPr="00226B9A" w:rsidRDefault="002377B9" w:rsidP="002377B9">
      <w:pPr>
        <w:pStyle w:val="ListParagraph"/>
        <w:ind w:left="0"/>
        <w:rPr>
          <w:lang w:eastAsia="ja-JP"/>
        </w:rPr>
      </w:pPr>
    </w:p>
    <w:p w14:paraId="57906803" w14:textId="7D845986" w:rsidR="002377B9" w:rsidRPr="00226B9A" w:rsidRDefault="000E0EC1" w:rsidP="002377B9">
      <w:pPr>
        <w:pStyle w:val="ListParagraph"/>
        <w:ind w:left="0"/>
      </w:pPr>
      <w:r>
        <w:rPr>
          <w:lang w:eastAsia="ja-JP"/>
        </w:rPr>
        <w:t>10</w:t>
      </w:r>
      <w:r w:rsidR="002377B9">
        <w:rPr>
          <w:rFonts w:hint="eastAsia"/>
          <w:lang w:eastAsia="ja-JP"/>
        </w:rPr>
        <w:t>.</w:t>
      </w:r>
      <w:r w:rsidR="002377B9" w:rsidRPr="00226B9A">
        <w:tab/>
        <w:t xml:space="preserve">The TWA discussed the possibility of </w:t>
      </w:r>
      <w:proofErr w:type="gramStart"/>
      <w:r w:rsidR="002377B9" w:rsidRPr="00226B9A">
        <w:t>issuing</w:t>
      </w:r>
      <w:proofErr w:type="gramEnd"/>
      <w:r w:rsidR="002377B9" w:rsidRPr="00226B9A">
        <w:t xml:space="preserve"> a survey for UPOV members to report on existing policies on confidentiality of molecular information. The TWA agreed that further discussion would be required on the scope and objectives of a survey, such as identifying relevant scenarios for increased engagement in discussions.</w:t>
      </w:r>
    </w:p>
    <w:p w14:paraId="59F32569" w14:textId="77777777" w:rsidR="002377B9" w:rsidRPr="00226B9A" w:rsidRDefault="002377B9" w:rsidP="002377B9"/>
    <w:p w14:paraId="5FEF23AE" w14:textId="034B126B" w:rsidR="002377B9" w:rsidRPr="005C297B" w:rsidRDefault="000E0EC1" w:rsidP="002377B9">
      <w:pPr>
        <w:pStyle w:val="ListParagraph"/>
        <w:ind w:left="0"/>
        <w:rPr>
          <w:lang w:eastAsia="ja-JP"/>
        </w:rPr>
      </w:pPr>
      <w:r>
        <w:rPr>
          <w:lang w:eastAsia="ja-JP"/>
        </w:rPr>
        <w:t>11</w:t>
      </w:r>
      <w:r w:rsidR="002377B9">
        <w:rPr>
          <w:rFonts w:hint="eastAsia"/>
          <w:lang w:eastAsia="ja-JP"/>
        </w:rPr>
        <w:t>.</w:t>
      </w:r>
      <w:r w:rsidR="002377B9" w:rsidRPr="00226B9A">
        <w:tab/>
        <w:t>The TW</w:t>
      </w:r>
      <w:r w:rsidR="002377B9" w:rsidRPr="00226B9A">
        <w:rPr>
          <w:lang w:eastAsia="ja-JP"/>
        </w:rPr>
        <w:t>F</w:t>
      </w:r>
      <w:r w:rsidR="002377B9" w:rsidRPr="00226B9A">
        <w:rPr>
          <w:rStyle w:val="FootnoteReference"/>
        </w:rPr>
        <w:footnoteReference w:id="21"/>
      </w:r>
      <w:r w:rsidR="002377B9" w:rsidRPr="00226B9A">
        <w:t xml:space="preserve">, at its </w:t>
      </w:r>
      <w:r w:rsidR="002377B9" w:rsidRPr="00226B9A">
        <w:rPr>
          <w:lang w:eastAsia="ja-JP"/>
        </w:rPr>
        <w:t>fifty-sixth</w:t>
      </w:r>
      <w:r w:rsidR="002377B9" w:rsidRPr="00226B9A">
        <w:t xml:space="preserve"> session, </w:t>
      </w:r>
      <w:r w:rsidR="002377B9" w:rsidRPr="00226B9A">
        <w:rPr>
          <w:lang w:eastAsia="ja-JP"/>
        </w:rPr>
        <w:t>noted that UPOV members and observers were invited to report examples of policies on confidentiality</w:t>
      </w:r>
      <w:r w:rsidR="002377B9" w:rsidRPr="005C297B">
        <w:rPr>
          <w:lang w:eastAsia="ja-JP"/>
        </w:rPr>
        <w:t xml:space="preserve"> and access to molecular data at the TWP sessions in 2025.</w:t>
      </w:r>
    </w:p>
    <w:p w14:paraId="76A1AEEF" w14:textId="77777777" w:rsidR="002377B9" w:rsidRPr="00EF6C3B" w:rsidRDefault="002377B9" w:rsidP="002377B9"/>
    <w:p w14:paraId="33C10AA0" w14:textId="77777777" w:rsidR="002377B9" w:rsidRDefault="002377B9" w:rsidP="002377B9">
      <w:pPr>
        <w:rPr>
          <w:u w:val="single"/>
        </w:rPr>
      </w:pPr>
    </w:p>
    <w:p w14:paraId="0FC16316" w14:textId="77777777" w:rsidR="002377B9" w:rsidRPr="00EF6C3B" w:rsidRDefault="002377B9" w:rsidP="002377B9"/>
    <w:p w14:paraId="0902F6FF" w14:textId="77777777" w:rsidR="002377B9" w:rsidRPr="00EF6C3B" w:rsidRDefault="002377B9" w:rsidP="002377B9">
      <w:pPr>
        <w:jc w:val="right"/>
      </w:pPr>
      <w:r w:rsidRPr="00EF6C3B">
        <w:t xml:space="preserve"> [Annex </w:t>
      </w:r>
      <w:r>
        <w:t>I</w:t>
      </w:r>
      <w:r w:rsidRPr="00EF6C3B">
        <w:t>I follows]</w:t>
      </w:r>
    </w:p>
    <w:p w14:paraId="51CA4A5C" w14:textId="77777777" w:rsidR="002377B9" w:rsidRPr="00EF6C3B" w:rsidRDefault="002377B9" w:rsidP="002377B9">
      <w:pPr>
        <w:rPr>
          <w:rFonts w:eastAsia="Cambria"/>
        </w:rPr>
      </w:pPr>
    </w:p>
    <w:p w14:paraId="58938E53" w14:textId="77777777" w:rsidR="002377B9" w:rsidRDefault="002377B9" w:rsidP="002377B9">
      <w:pPr>
        <w:jc w:val="left"/>
        <w:sectPr w:rsidR="002377B9" w:rsidSect="002377B9">
          <w:headerReference w:type="default" r:id="rId16"/>
          <w:headerReference w:type="first" r:id="rId17"/>
          <w:pgSz w:w="11907" w:h="16840" w:code="9"/>
          <w:pgMar w:top="510" w:right="1134" w:bottom="1134" w:left="1134" w:header="510" w:footer="624" w:gutter="0"/>
          <w:pgNumType w:start="1"/>
          <w:cols w:space="720"/>
          <w:titlePg/>
          <w:docGrid w:linePitch="272"/>
        </w:sectPr>
      </w:pPr>
    </w:p>
    <w:p w14:paraId="2FC7FD5D" w14:textId="77777777" w:rsidR="002377B9" w:rsidRPr="00E96942" w:rsidRDefault="002377B9" w:rsidP="002377B9">
      <w:pPr>
        <w:rPr>
          <w:lang w:val="en-GB"/>
        </w:rPr>
      </w:pPr>
    </w:p>
    <w:p w14:paraId="633264FC" w14:textId="77777777" w:rsidR="00E96942" w:rsidRPr="00E933A2" w:rsidRDefault="00E96942" w:rsidP="00E96942">
      <w:pPr>
        <w:jc w:val="center"/>
      </w:pPr>
      <w:r w:rsidRPr="00E933A2">
        <w:t>SURVEY ON THE USE OF MOLECULAR MARKER TECHNIQUES BY CROP</w:t>
      </w:r>
      <w:bookmarkEnd w:id="31"/>
    </w:p>
    <w:p w14:paraId="1F5903E5" w14:textId="77777777" w:rsidR="00E96942" w:rsidRDefault="00E96942" w:rsidP="00E96942"/>
    <w:p w14:paraId="34F734B2" w14:textId="77777777" w:rsidR="00E96942" w:rsidRPr="00EF6C3B" w:rsidRDefault="00E96942" w:rsidP="00E96942">
      <w:pPr>
        <w:rPr>
          <w:rFonts w:eastAsia="Cambria"/>
        </w:rPr>
      </w:pPr>
    </w:p>
    <w:p w14:paraId="0AAD559A" w14:textId="77777777" w:rsidR="00E96942" w:rsidRPr="00EF6C3B" w:rsidRDefault="00E96942" w:rsidP="00E96942">
      <w:pPr>
        <w:rPr>
          <w:snapToGrid w:val="0"/>
        </w:rPr>
      </w:pPr>
    </w:p>
    <w:p w14:paraId="36B9AC9E" w14:textId="77777777" w:rsidR="00E96942" w:rsidRPr="00EF6C3B" w:rsidRDefault="00E96942" w:rsidP="00E96942">
      <w:pPr>
        <w:rPr>
          <w:snapToGrid w:val="0"/>
        </w:rPr>
      </w:pPr>
    </w:p>
    <w:p w14:paraId="0C2001AB" w14:textId="77777777" w:rsidR="00E96942" w:rsidRPr="00EF6C3B" w:rsidRDefault="00E96942" w:rsidP="00E96942">
      <w:pPr>
        <w:jc w:val="center"/>
        <w:rPr>
          <w:rFonts w:cs="Arial"/>
          <w:i/>
        </w:rPr>
      </w:pPr>
      <w:r w:rsidRPr="00EF6C3B">
        <w:rPr>
          <w:rFonts w:cs="Arial"/>
          <w:i/>
        </w:rPr>
        <w:t>Please see the Excel spreadsheet for all the responses received</w:t>
      </w:r>
    </w:p>
    <w:p w14:paraId="42ECAF8C" w14:textId="77777777" w:rsidR="00E96942" w:rsidRPr="00EF6C3B" w:rsidRDefault="00E96942" w:rsidP="00E96942"/>
    <w:p w14:paraId="0D177111" w14:textId="77777777" w:rsidR="00E96942" w:rsidRDefault="00E96942" w:rsidP="00E96942">
      <w:pPr>
        <w:rPr>
          <w:u w:val="single"/>
        </w:rPr>
      </w:pPr>
    </w:p>
    <w:p w14:paraId="58837501" w14:textId="77777777" w:rsidR="00E96942" w:rsidRPr="00EF6C3B" w:rsidRDefault="00E96942" w:rsidP="00E96942"/>
    <w:p w14:paraId="285C0370" w14:textId="77777777" w:rsidR="00ED61F9" w:rsidRPr="00341B87" w:rsidRDefault="00ED61F9" w:rsidP="00ED61F9">
      <w:pPr>
        <w:jc w:val="left"/>
      </w:pPr>
    </w:p>
    <w:p w14:paraId="6CFCB627" w14:textId="77777777" w:rsidR="00ED61F9" w:rsidRPr="00341B87" w:rsidRDefault="00ED61F9" w:rsidP="00ED61F9"/>
    <w:p w14:paraId="35E4E789" w14:textId="77777777" w:rsidR="00ED61F9" w:rsidRPr="00341B87" w:rsidRDefault="00ED61F9" w:rsidP="00ED61F9"/>
    <w:p w14:paraId="21498749" w14:textId="69F8ABAF" w:rsidR="00E35C15" w:rsidRPr="001D3FDF" w:rsidRDefault="00ED61F9" w:rsidP="00ED61F9">
      <w:pPr>
        <w:jc w:val="right"/>
      </w:pPr>
      <w:r w:rsidRPr="00341B87">
        <w:t xml:space="preserve">[End of </w:t>
      </w:r>
      <w:r w:rsidR="007A460C">
        <w:t xml:space="preserve">Annex II and of </w:t>
      </w:r>
      <w:r w:rsidRPr="00341B87">
        <w:t>document]</w:t>
      </w:r>
    </w:p>
    <w:sectPr w:rsidR="00E35C15" w:rsidRPr="001D3FDF" w:rsidSect="00301E96">
      <w:headerReference w:type="default" r:id="rId18"/>
      <w:headerReference w:type="first" r:id="rId19"/>
      <w:pgSz w:w="11907" w:h="16840" w:code="9"/>
      <w:pgMar w:top="510" w:right="1134" w:bottom="993" w:left="1134" w:header="510" w:footer="68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50E50" w14:textId="77777777" w:rsidR="00E2576A" w:rsidRDefault="00E2576A" w:rsidP="006655D3">
      <w:r>
        <w:separator/>
      </w:r>
    </w:p>
    <w:p w14:paraId="06F2EF61" w14:textId="77777777" w:rsidR="00E2576A" w:rsidRDefault="00E2576A" w:rsidP="006655D3"/>
    <w:p w14:paraId="30D60753" w14:textId="77777777" w:rsidR="00E2576A" w:rsidRDefault="00E2576A" w:rsidP="006655D3"/>
  </w:endnote>
  <w:endnote w:type="continuationSeparator" w:id="0">
    <w:p w14:paraId="453BAACE" w14:textId="77777777" w:rsidR="00E2576A" w:rsidRDefault="00E2576A" w:rsidP="006655D3">
      <w:r>
        <w:separator/>
      </w:r>
    </w:p>
    <w:p w14:paraId="1D146B78" w14:textId="77777777" w:rsidR="00E2576A" w:rsidRPr="00294751" w:rsidRDefault="00E2576A">
      <w:pPr>
        <w:pStyle w:val="Footer"/>
        <w:spacing w:after="60"/>
        <w:rPr>
          <w:sz w:val="18"/>
          <w:lang w:val="fr-FR"/>
        </w:rPr>
      </w:pPr>
      <w:r w:rsidRPr="00294751">
        <w:rPr>
          <w:sz w:val="18"/>
          <w:lang w:val="fr-FR"/>
        </w:rPr>
        <w:t>[Suite de la note de la page précédente]</w:t>
      </w:r>
    </w:p>
    <w:p w14:paraId="336B8AC6" w14:textId="77777777" w:rsidR="00E2576A" w:rsidRPr="00294751" w:rsidRDefault="00E2576A" w:rsidP="006655D3">
      <w:pPr>
        <w:rPr>
          <w:lang w:val="fr-FR"/>
        </w:rPr>
      </w:pPr>
    </w:p>
    <w:p w14:paraId="3FB79FE7" w14:textId="77777777" w:rsidR="00E2576A" w:rsidRPr="00294751" w:rsidRDefault="00E2576A" w:rsidP="006655D3">
      <w:pPr>
        <w:rPr>
          <w:lang w:val="fr-FR"/>
        </w:rPr>
      </w:pPr>
    </w:p>
  </w:endnote>
  <w:endnote w:type="continuationNotice" w:id="1">
    <w:p w14:paraId="3DFD4908" w14:textId="77777777" w:rsidR="00E2576A" w:rsidRPr="00294751" w:rsidRDefault="00E2576A" w:rsidP="006655D3">
      <w:pPr>
        <w:rPr>
          <w:lang w:val="fr-FR"/>
        </w:rPr>
      </w:pPr>
      <w:r w:rsidRPr="00294751">
        <w:rPr>
          <w:lang w:val="fr-FR"/>
        </w:rPr>
        <w:t>[Suite de la note page suivante]</w:t>
      </w:r>
    </w:p>
    <w:p w14:paraId="38E78529" w14:textId="77777777" w:rsidR="00E2576A" w:rsidRPr="00294751" w:rsidRDefault="00E2576A" w:rsidP="006655D3">
      <w:pPr>
        <w:rPr>
          <w:lang w:val="fr-FR"/>
        </w:rPr>
      </w:pPr>
    </w:p>
    <w:p w14:paraId="24EC4ACA" w14:textId="77777777" w:rsidR="00E2576A" w:rsidRPr="00294751" w:rsidRDefault="00E2576A"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86B1" w14:textId="77777777" w:rsidR="00E2576A" w:rsidRDefault="00E2576A" w:rsidP="006655D3">
      <w:r>
        <w:separator/>
      </w:r>
    </w:p>
  </w:footnote>
  <w:footnote w:type="continuationSeparator" w:id="0">
    <w:p w14:paraId="047CA2BD" w14:textId="77777777" w:rsidR="00E2576A" w:rsidRDefault="00E2576A" w:rsidP="006655D3">
      <w:r>
        <w:separator/>
      </w:r>
    </w:p>
  </w:footnote>
  <w:footnote w:type="continuationNotice" w:id="1">
    <w:p w14:paraId="78C25FD4" w14:textId="77777777" w:rsidR="00E2576A" w:rsidRPr="00AB530F" w:rsidRDefault="00E2576A" w:rsidP="00AB530F">
      <w:pPr>
        <w:pStyle w:val="Footer"/>
      </w:pPr>
    </w:p>
  </w:footnote>
  <w:footnote w:id="2">
    <w:p w14:paraId="02A4C8FA" w14:textId="77777777" w:rsidR="00DD6F58" w:rsidRPr="00A96C63" w:rsidRDefault="00DD6F58" w:rsidP="00DD6F58">
      <w:pPr>
        <w:pStyle w:val="FootnoteText"/>
      </w:pPr>
      <w:r w:rsidRPr="00A96C63">
        <w:rPr>
          <w:rStyle w:val="FootnoteReference"/>
        </w:rPr>
        <w:footnoteRef/>
      </w:r>
      <w:r w:rsidRPr="00A96C63">
        <w:t xml:space="preserve"> </w:t>
      </w:r>
      <w:r>
        <w:t>TC, fifty-eighth session, h</w:t>
      </w:r>
      <w:r w:rsidRPr="00A96C63">
        <w:t xml:space="preserve">eld in Geneva, on October 24 </w:t>
      </w:r>
      <w:r>
        <w:rPr>
          <w:rFonts w:hint="eastAsia"/>
          <w:lang w:eastAsia="ja-JP"/>
        </w:rPr>
        <w:t>to</w:t>
      </w:r>
      <w:r w:rsidRPr="00A96C63">
        <w:t xml:space="preserve"> 25, 2022</w:t>
      </w:r>
      <w:r>
        <w:t>. S</w:t>
      </w:r>
      <w:r w:rsidRPr="00F07B06">
        <w:t>ee document TC/58/31 “Report”, paragraphs 48 to 50</w:t>
      </w:r>
    </w:p>
  </w:footnote>
  <w:footnote w:id="3">
    <w:p w14:paraId="06BEDC0A" w14:textId="77777777" w:rsidR="00DD6F58" w:rsidRPr="00A96C63" w:rsidRDefault="00DD6F58" w:rsidP="00DD6F58">
      <w:pPr>
        <w:pStyle w:val="FootnoteText"/>
      </w:pPr>
      <w:r w:rsidRPr="00A96C63">
        <w:rPr>
          <w:rStyle w:val="FootnoteReference"/>
        </w:rPr>
        <w:footnoteRef/>
      </w:r>
      <w:r w:rsidRPr="00A96C63">
        <w:t xml:space="preserve"> </w:t>
      </w:r>
      <w:r>
        <w:t>TC, fifty-ninth session, h</w:t>
      </w:r>
      <w:r w:rsidRPr="00A96C63">
        <w:t>eld in Geneva, on October 2</w:t>
      </w:r>
      <w:r>
        <w:t>3</w:t>
      </w:r>
      <w:r w:rsidRPr="00A96C63">
        <w:t xml:space="preserve"> </w:t>
      </w:r>
      <w:r>
        <w:rPr>
          <w:rFonts w:hint="eastAsia"/>
          <w:lang w:eastAsia="ja-JP"/>
        </w:rPr>
        <w:t>to</w:t>
      </w:r>
      <w:r w:rsidRPr="00A96C63">
        <w:t xml:space="preserve"> 2</w:t>
      </w:r>
      <w:r>
        <w:t>4</w:t>
      </w:r>
      <w:r w:rsidRPr="00A96C63">
        <w:t>, 202</w:t>
      </w:r>
      <w:r>
        <w:t>3.</w:t>
      </w:r>
    </w:p>
  </w:footnote>
  <w:footnote w:id="4">
    <w:p w14:paraId="630C2E78" w14:textId="77777777" w:rsidR="00DD6F58" w:rsidRPr="00A96C63" w:rsidRDefault="00DD6F58" w:rsidP="00DD6F58">
      <w:pPr>
        <w:pStyle w:val="FootnoteText"/>
      </w:pPr>
      <w:r w:rsidRPr="00A96C63">
        <w:rPr>
          <w:rStyle w:val="FootnoteReference"/>
        </w:rPr>
        <w:footnoteRef/>
      </w:r>
      <w:r w:rsidRPr="00A96C63">
        <w:t xml:space="preserve"> </w:t>
      </w:r>
      <w:r>
        <w:t xml:space="preserve">TC, </w:t>
      </w:r>
      <w:r>
        <w:rPr>
          <w:rFonts w:hint="eastAsia"/>
          <w:lang w:eastAsia="ja-JP"/>
        </w:rPr>
        <w:t>sixtieth</w:t>
      </w:r>
      <w:r>
        <w:t xml:space="preserve"> session, h</w:t>
      </w:r>
      <w:r w:rsidRPr="00A96C63">
        <w:t>eld in Geneva, on October 2</w:t>
      </w:r>
      <w:r>
        <w:rPr>
          <w:rFonts w:hint="eastAsia"/>
          <w:lang w:eastAsia="ja-JP"/>
        </w:rPr>
        <w:t>1</w:t>
      </w:r>
      <w:r w:rsidRPr="00A96C63">
        <w:t xml:space="preserve"> </w:t>
      </w:r>
      <w:r>
        <w:rPr>
          <w:rFonts w:hint="eastAsia"/>
          <w:lang w:eastAsia="ja-JP"/>
        </w:rPr>
        <w:t>to</w:t>
      </w:r>
      <w:r w:rsidRPr="00A96C63">
        <w:t xml:space="preserve"> 2</w:t>
      </w:r>
      <w:r>
        <w:rPr>
          <w:rFonts w:hint="eastAsia"/>
          <w:lang w:eastAsia="ja-JP"/>
        </w:rPr>
        <w:t>2</w:t>
      </w:r>
      <w:r w:rsidRPr="00A96C63">
        <w:t>, 202</w:t>
      </w:r>
      <w:r>
        <w:rPr>
          <w:rFonts w:hint="eastAsia"/>
          <w:lang w:eastAsia="ja-JP"/>
        </w:rPr>
        <w:t>4</w:t>
      </w:r>
      <w:r>
        <w:t>.</w:t>
      </w:r>
    </w:p>
  </w:footnote>
  <w:footnote w:id="5">
    <w:p w14:paraId="1BD1741F" w14:textId="328C7B57" w:rsidR="007659CF" w:rsidRDefault="007659CF" w:rsidP="007659CF">
      <w:pPr>
        <w:pStyle w:val="FootnoteText"/>
      </w:pPr>
      <w:r>
        <w:rPr>
          <w:rStyle w:val="FootnoteReference"/>
        </w:rPr>
        <w:footnoteRef/>
      </w:r>
      <w:r>
        <w:t xml:space="preserve"> T</w:t>
      </w:r>
      <w:r>
        <w:rPr>
          <w:rFonts w:hint="eastAsia"/>
          <w:lang w:eastAsia="ja-JP"/>
        </w:rPr>
        <w:t>C</w:t>
      </w:r>
      <w:r>
        <w:t>, s</w:t>
      </w:r>
      <w:r>
        <w:rPr>
          <w:rFonts w:hint="eastAsia"/>
          <w:lang w:eastAsia="ja-JP"/>
        </w:rPr>
        <w:t>ixty-first</w:t>
      </w:r>
      <w:r>
        <w:t xml:space="preserve"> session, held </w:t>
      </w:r>
      <w:r>
        <w:rPr>
          <w:rFonts w:hint="eastAsia"/>
          <w:lang w:eastAsia="ja-JP"/>
        </w:rPr>
        <w:t>in Geneva</w:t>
      </w:r>
      <w:r>
        <w:t xml:space="preserve">, from </w:t>
      </w:r>
      <w:r>
        <w:rPr>
          <w:rFonts w:hint="eastAsia"/>
          <w:lang w:eastAsia="ja-JP"/>
        </w:rPr>
        <w:t>October</w:t>
      </w:r>
      <w:r>
        <w:t xml:space="preserve"> </w:t>
      </w:r>
      <w:r>
        <w:rPr>
          <w:rFonts w:hint="eastAsia"/>
          <w:lang w:eastAsia="ja-JP"/>
        </w:rPr>
        <w:t>20</w:t>
      </w:r>
      <w:r>
        <w:t xml:space="preserve"> to </w:t>
      </w:r>
      <w:r>
        <w:rPr>
          <w:rFonts w:hint="eastAsia"/>
          <w:lang w:eastAsia="ja-JP"/>
        </w:rPr>
        <w:t>21</w:t>
      </w:r>
      <w:r>
        <w:t>, 202</w:t>
      </w:r>
      <w:r>
        <w:rPr>
          <w:rFonts w:hint="eastAsia"/>
          <w:lang w:eastAsia="ja-JP"/>
        </w:rPr>
        <w:t>5</w:t>
      </w:r>
      <w:r>
        <w:t>. S</w:t>
      </w:r>
      <w:r>
        <w:rPr>
          <w:rFonts w:hint="eastAsia"/>
          <w:lang w:eastAsia="ja-JP"/>
        </w:rPr>
        <w:t xml:space="preserve">ee document TC/61/8 </w:t>
      </w:r>
      <w:r>
        <w:rPr>
          <w:lang w:eastAsia="ja-JP"/>
        </w:rPr>
        <w:t>“</w:t>
      </w:r>
      <w:r>
        <w:rPr>
          <w:rFonts w:hint="eastAsia"/>
          <w:lang w:eastAsia="ja-JP"/>
        </w:rPr>
        <w:t>Report</w:t>
      </w:r>
      <w:r>
        <w:rPr>
          <w:lang w:eastAsia="ja-JP"/>
        </w:rPr>
        <w:t>”</w:t>
      </w:r>
      <w:r>
        <w:rPr>
          <w:rFonts w:hint="eastAsia"/>
          <w:lang w:eastAsia="ja-JP"/>
        </w:rPr>
        <w:t>, paragraphs 57 to 60</w:t>
      </w:r>
    </w:p>
  </w:footnote>
  <w:footnote w:id="6">
    <w:p w14:paraId="3EC09C0D" w14:textId="09FFF18A" w:rsidR="00492E42" w:rsidRDefault="00492E42" w:rsidP="00492E42">
      <w:pPr>
        <w:pStyle w:val="FootnoteText"/>
      </w:pPr>
      <w:r>
        <w:rPr>
          <w:rStyle w:val="FootnoteReference"/>
        </w:rPr>
        <w:footnoteRef/>
      </w:r>
      <w:r>
        <w:t xml:space="preserve"> </w:t>
      </w:r>
      <w:r w:rsidRPr="00A66DD1">
        <w:rPr>
          <w:spacing w:val="-2"/>
        </w:rPr>
        <w:t>TC, fifty-</w:t>
      </w:r>
      <w:r>
        <w:rPr>
          <w:rFonts w:hint="eastAsia"/>
          <w:spacing w:val="-2"/>
          <w:lang w:eastAsia="ja-JP"/>
        </w:rPr>
        <w:t>seven</w:t>
      </w:r>
      <w:r w:rsidRPr="00A66DD1">
        <w:rPr>
          <w:spacing w:val="-2"/>
        </w:rPr>
        <w:t>th session, held in Geneva, on October 2</w:t>
      </w:r>
      <w:r>
        <w:rPr>
          <w:rFonts w:hint="eastAsia"/>
          <w:spacing w:val="-2"/>
          <w:lang w:eastAsia="ja-JP"/>
        </w:rPr>
        <w:t>5</w:t>
      </w:r>
      <w:r w:rsidRPr="00A66DD1">
        <w:rPr>
          <w:spacing w:val="-2"/>
        </w:rPr>
        <w:t xml:space="preserve"> </w:t>
      </w:r>
      <w:r>
        <w:rPr>
          <w:rFonts w:hint="eastAsia"/>
          <w:spacing w:val="-2"/>
          <w:lang w:eastAsia="ja-JP"/>
        </w:rPr>
        <w:t>to</w:t>
      </w:r>
      <w:r w:rsidRPr="00A66DD1">
        <w:rPr>
          <w:spacing w:val="-2"/>
        </w:rPr>
        <w:t xml:space="preserve"> 2</w:t>
      </w:r>
      <w:r>
        <w:rPr>
          <w:rFonts w:hint="eastAsia"/>
          <w:spacing w:val="-2"/>
          <w:lang w:eastAsia="ja-JP"/>
        </w:rPr>
        <w:t>6</w:t>
      </w:r>
      <w:r w:rsidRPr="00A66DD1">
        <w:rPr>
          <w:spacing w:val="-2"/>
        </w:rPr>
        <w:t>, 202</w:t>
      </w:r>
      <w:r>
        <w:rPr>
          <w:rFonts w:hint="eastAsia"/>
          <w:spacing w:val="-2"/>
          <w:lang w:eastAsia="ja-JP"/>
        </w:rPr>
        <w:t>1</w:t>
      </w:r>
      <w:r w:rsidRPr="008A52E0">
        <w:rPr>
          <w:spacing w:val="-2"/>
        </w:rPr>
        <w:t>.</w:t>
      </w:r>
      <w:r>
        <w:rPr>
          <w:spacing w:val="-2"/>
        </w:rPr>
        <w:t xml:space="preserve"> </w:t>
      </w:r>
    </w:p>
  </w:footnote>
  <w:footnote w:id="7">
    <w:p w14:paraId="71483D31" w14:textId="77777777" w:rsidR="00D824D4" w:rsidRDefault="00D824D4" w:rsidP="00D824D4">
      <w:pPr>
        <w:pStyle w:val="FootnoteText"/>
      </w:pPr>
      <w:r>
        <w:rPr>
          <w:rStyle w:val="FootnoteReference"/>
        </w:rPr>
        <w:footnoteRef/>
      </w:r>
      <w:r>
        <w:t xml:space="preserve"> </w:t>
      </w:r>
      <w:r w:rsidRPr="00E3484E">
        <w:rPr>
          <w:spacing w:val="-2"/>
        </w:rPr>
        <w:t xml:space="preserve">TWM, third session, held in Beijing, China, from April 28 to May 1, 2025. See document TWM/3/29 “Report”, paragraphs </w:t>
      </w:r>
      <w:r>
        <w:rPr>
          <w:rFonts w:hint="eastAsia"/>
          <w:spacing w:val="-2"/>
          <w:lang w:eastAsia="ja-JP"/>
        </w:rPr>
        <w:t>20</w:t>
      </w:r>
      <w:r w:rsidRPr="00E3484E">
        <w:rPr>
          <w:spacing w:val="-2"/>
        </w:rPr>
        <w:t xml:space="preserve"> to </w:t>
      </w:r>
      <w:r>
        <w:rPr>
          <w:rFonts w:hint="eastAsia"/>
          <w:spacing w:val="-2"/>
          <w:lang w:eastAsia="ja-JP"/>
        </w:rPr>
        <w:t>28</w:t>
      </w:r>
      <w:r w:rsidRPr="008A52E0">
        <w:rPr>
          <w:spacing w:val="-2"/>
        </w:rPr>
        <w:t>.</w:t>
      </w:r>
    </w:p>
  </w:footnote>
  <w:footnote w:id="8">
    <w:p w14:paraId="186448F0" w14:textId="75E66CDB" w:rsidR="007659CF" w:rsidRDefault="007659CF" w:rsidP="007659CF">
      <w:pPr>
        <w:pStyle w:val="FootnoteText"/>
      </w:pPr>
      <w:r>
        <w:rPr>
          <w:rStyle w:val="FootnoteReference"/>
        </w:rPr>
        <w:footnoteRef/>
      </w:r>
      <w:r>
        <w:t xml:space="preserve"> T</w:t>
      </w:r>
      <w:r>
        <w:rPr>
          <w:rFonts w:hint="eastAsia"/>
          <w:lang w:eastAsia="ja-JP"/>
        </w:rPr>
        <w:t>C</w:t>
      </w:r>
      <w:r>
        <w:t>, s</w:t>
      </w:r>
      <w:r>
        <w:rPr>
          <w:rFonts w:hint="eastAsia"/>
          <w:lang w:eastAsia="ja-JP"/>
        </w:rPr>
        <w:t>ixty-first</w:t>
      </w:r>
      <w:r>
        <w:t xml:space="preserve"> session, held </w:t>
      </w:r>
      <w:r>
        <w:rPr>
          <w:rFonts w:hint="eastAsia"/>
          <w:lang w:eastAsia="ja-JP"/>
        </w:rPr>
        <w:t>in Geneva</w:t>
      </w:r>
      <w:r>
        <w:t xml:space="preserve">, from </w:t>
      </w:r>
      <w:r>
        <w:rPr>
          <w:rFonts w:hint="eastAsia"/>
          <w:lang w:eastAsia="ja-JP"/>
        </w:rPr>
        <w:t>October</w:t>
      </w:r>
      <w:r>
        <w:t xml:space="preserve"> </w:t>
      </w:r>
      <w:r>
        <w:rPr>
          <w:rFonts w:hint="eastAsia"/>
          <w:lang w:eastAsia="ja-JP"/>
        </w:rPr>
        <w:t>20</w:t>
      </w:r>
      <w:r>
        <w:t xml:space="preserve"> to </w:t>
      </w:r>
      <w:r>
        <w:rPr>
          <w:rFonts w:hint="eastAsia"/>
          <w:lang w:eastAsia="ja-JP"/>
        </w:rPr>
        <w:t>21</w:t>
      </w:r>
      <w:r>
        <w:t>, 202</w:t>
      </w:r>
      <w:r>
        <w:rPr>
          <w:rFonts w:hint="eastAsia"/>
          <w:lang w:eastAsia="ja-JP"/>
        </w:rPr>
        <w:t>5</w:t>
      </w:r>
      <w:r>
        <w:t>. S</w:t>
      </w:r>
      <w:r>
        <w:rPr>
          <w:rFonts w:hint="eastAsia"/>
          <w:lang w:eastAsia="ja-JP"/>
        </w:rPr>
        <w:t xml:space="preserve">ee document TC/61/8 </w:t>
      </w:r>
      <w:r>
        <w:rPr>
          <w:lang w:eastAsia="ja-JP"/>
        </w:rPr>
        <w:t>“</w:t>
      </w:r>
      <w:r>
        <w:rPr>
          <w:rFonts w:hint="eastAsia"/>
          <w:lang w:eastAsia="ja-JP"/>
        </w:rPr>
        <w:t>Report</w:t>
      </w:r>
      <w:r>
        <w:rPr>
          <w:lang w:eastAsia="ja-JP"/>
        </w:rPr>
        <w:t>”</w:t>
      </w:r>
      <w:r>
        <w:rPr>
          <w:rFonts w:hint="eastAsia"/>
          <w:lang w:eastAsia="ja-JP"/>
        </w:rPr>
        <w:t xml:space="preserve">, paragraphs </w:t>
      </w:r>
      <w:r w:rsidR="002F5398">
        <w:rPr>
          <w:rFonts w:hint="eastAsia"/>
          <w:lang w:eastAsia="ja-JP"/>
        </w:rPr>
        <w:t>61</w:t>
      </w:r>
      <w:r>
        <w:rPr>
          <w:rFonts w:hint="eastAsia"/>
          <w:lang w:eastAsia="ja-JP"/>
        </w:rPr>
        <w:t xml:space="preserve"> to 6</w:t>
      </w:r>
      <w:r w:rsidR="002F5398">
        <w:rPr>
          <w:rFonts w:hint="eastAsia"/>
          <w:lang w:eastAsia="ja-JP"/>
        </w:rPr>
        <w:t>2</w:t>
      </w:r>
    </w:p>
  </w:footnote>
  <w:footnote w:id="9">
    <w:p w14:paraId="01CB76BF" w14:textId="1006BFED" w:rsidR="002F5398" w:rsidRDefault="002F5398" w:rsidP="002F5398">
      <w:pPr>
        <w:pStyle w:val="FootnoteText"/>
      </w:pPr>
      <w:r>
        <w:rPr>
          <w:rStyle w:val="FootnoteReference"/>
        </w:rPr>
        <w:footnoteRef/>
      </w:r>
      <w:r>
        <w:t xml:space="preserve"> T</w:t>
      </w:r>
      <w:r>
        <w:rPr>
          <w:rFonts w:hint="eastAsia"/>
          <w:lang w:eastAsia="ja-JP"/>
        </w:rPr>
        <w:t>C</w:t>
      </w:r>
      <w:r>
        <w:t>, s</w:t>
      </w:r>
      <w:r>
        <w:rPr>
          <w:rFonts w:hint="eastAsia"/>
          <w:lang w:eastAsia="ja-JP"/>
        </w:rPr>
        <w:t>ixty-first</w:t>
      </w:r>
      <w:r>
        <w:t xml:space="preserve"> session, held </w:t>
      </w:r>
      <w:r>
        <w:rPr>
          <w:rFonts w:hint="eastAsia"/>
          <w:lang w:eastAsia="ja-JP"/>
        </w:rPr>
        <w:t>in Geneva</w:t>
      </w:r>
      <w:r>
        <w:t xml:space="preserve">, from </w:t>
      </w:r>
      <w:r>
        <w:rPr>
          <w:rFonts w:hint="eastAsia"/>
          <w:lang w:eastAsia="ja-JP"/>
        </w:rPr>
        <w:t>October</w:t>
      </w:r>
      <w:r>
        <w:t xml:space="preserve"> </w:t>
      </w:r>
      <w:r>
        <w:rPr>
          <w:rFonts w:hint="eastAsia"/>
          <w:lang w:eastAsia="ja-JP"/>
        </w:rPr>
        <w:t>20</w:t>
      </w:r>
      <w:r>
        <w:t xml:space="preserve"> to </w:t>
      </w:r>
      <w:r>
        <w:rPr>
          <w:rFonts w:hint="eastAsia"/>
          <w:lang w:eastAsia="ja-JP"/>
        </w:rPr>
        <w:t>21</w:t>
      </w:r>
      <w:r>
        <w:t>, 202</w:t>
      </w:r>
      <w:r>
        <w:rPr>
          <w:rFonts w:hint="eastAsia"/>
          <w:lang w:eastAsia="ja-JP"/>
        </w:rPr>
        <w:t>5</w:t>
      </w:r>
      <w:r>
        <w:t>. S</w:t>
      </w:r>
      <w:r>
        <w:rPr>
          <w:rFonts w:hint="eastAsia"/>
          <w:lang w:eastAsia="ja-JP"/>
        </w:rPr>
        <w:t xml:space="preserve">ee document TC/61/8 </w:t>
      </w:r>
      <w:r>
        <w:rPr>
          <w:lang w:eastAsia="ja-JP"/>
        </w:rPr>
        <w:t>“</w:t>
      </w:r>
      <w:r>
        <w:rPr>
          <w:rFonts w:hint="eastAsia"/>
          <w:lang w:eastAsia="ja-JP"/>
        </w:rPr>
        <w:t>Report</w:t>
      </w:r>
      <w:r>
        <w:rPr>
          <w:lang w:eastAsia="ja-JP"/>
        </w:rPr>
        <w:t>”</w:t>
      </w:r>
      <w:r>
        <w:rPr>
          <w:rFonts w:hint="eastAsia"/>
          <w:lang w:eastAsia="ja-JP"/>
        </w:rPr>
        <w:t>, paragraphs 63</w:t>
      </w:r>
    </w:p>
  </w:footnote>
  <w:footnote w:id="10">
    <w:p w14:paraId="472A80AC" w14:textId="77777777" w:rsidR="00BA7E1D" w:rsidRDefault="00BA7E1D" w:rsidP="00BA7E1D">
      <w:pPr>
        <w:pStyle w:val="FootnoteText"/>
      </w:pPr>
      <w:r>
        <w:rPr>
          <w:rStyle w:val="FootnoteReference"/>
        </w:rPr>
        <w:footnoteRef/>
      </w:r>
      <w:r>
        <w:t xml:space="preserve"> </w:t>
      </w:r>
      <w:r>
        <w:rPr>
          <w:spacing w:val="-2"/>
        </w:rPr>
        <w:t>TWM, third session, held in Beijing, China, from April 28 to May 1, 2025. See document TWM/3/29 “Report”, paragraph 28.</w:t>
      </w:r>
    </w:p>
  </w:footnote>
  <w:footnote w:id="11">
    <w:p w14:paraId="449722DF" w14:textId="77777777" w:rsidR="00BA7E1D" w:rsidRDefault="00BA7E1D" w:rsidP="00BA7E1D">
      <w:pPr>
        <w:pStyle w:val="FootnoteText"/>
      </w:pPr>
      <w:r>
        <w:rPr>
          <w:rStyle w:val="FootnoteReference"/>
        </w:rPr>
        <w:footnoteRef/>
      </w:r>
      <w:r>
        <w:t xml:space="preserve"> OECD Seed Schemes Annual Meeting, June 12-13, 2025. See document “Confirmation of outcomes”.</w:t>
      </w:r>
    </w:p>
  </w:footnote>
  <w:footnote w:id="12">
    <w:p w14:paraId="641B3F6B" w14:textId="77777777" w:rsidR="002C73C9" w:rsidRDefault="002C73C9" w:rsidP="002C73C9">
      <w:pPr>
        <w:pStyle w:val="FootnoteText"/>
      </w:pPr>
      <w:r>
        <w:rPr>
          <w:rStyle w:val="FootnoteReference"/>
        </w:rPr>
        <w:footnoteRef/>
      </w:r>
      <w:r>
        <w:t xml:space="preserve"> T</w:t>
      </w:r>
      <w:r>
        <w:rPr>
          <w:rFonts w:hint="eastAsia"/>
          <w:lang w:eastAsia="ja-JP"/>
        </w:rPr>
        <w:t>C</w:t>
      </w:r>
      <w:r>
        <w:t>, s</w:t>
      </w:r>
      <w:r>
        <w:rPr>
          <w:rFonts w:hint="eastAsia"/>
          <w:lang w:eastAsia="ja-JP"/>
        </w:rPr>
        <w:t>ixty-first</w:t>
      </w:r>
      <w:r>
        <w:t xml:space="preserve"> session, held </w:t>
      </w:r>
      <w:r>
        <w:rPr>
          <w:rFonts w:hint="eastAsia"/>
          <w:lang w:eastAsia="ja-JP"/>
        </w:rPr>
        <w:t>in Geneva</w:t>
      </w:r>
      <w:r>
        <w:t xml:space="preserve">, from </w:t>
      </w:r>
      <w:r>
        <w:rPr>
          <w:rFonts w:hint="eastAsia"/>
          <w:lang w:eastAsia="ja-JP"/>
        </w:rPr>
        <w:t>October</w:t>
      </w:r>
      <w:r>
        <w:t xml:space="preserve"> </w:t>
      </w:r>
      <w:r>
        <w:rPr>
          <w:rFonts w:hint="eastAsia"/>
          <w:lang w:eastAsia="ja-JP"/>
        </w:rPr>
        <w:t>20</w:t>
      </w:r>
      <w:r>
        <w:t xml:space="preserve"> to </w:t>
      </w:r>
      <w:r>
        <w:rPr>
          <w:rFonts w:hint="eastAsia"/>
          <w:lang w:eastAsia="ja-JP"/>
        </w:rPr>
        <w:t>21</w:t>
      </w:r>
      <w:r>
        <w:t>, 202</w:t>
      </w:r>
      <w:r>
        <w:rPr>
          <w:rFonts w:hint="eastAsia"/>
          <w:lang w:eastAsia="ja-JP"/>
        </w:rPr>
        <w:t>5</w:t>
      </w:r>
      <w:r>
        <w:t>. S</w:t>
      </w:r>
      <w:r>
        <w:rPr>
          <w:rFonts w:hint="eastAsia"/>
          <w:lang w:eastAsia="ja-JP"/>
        </w:rPr>
        <w:t xml:space="preserve">ee document TC/61/8 </w:t>
      </w:r>
      <w:r>
        <w:rPr>
          <w:lang w:eastAsia="ja-JP"/>
        </w:rPr>
        <w:t>“</w:t>
      </w:r>
      <w:r>
        <w:rPr>
          <w:rFonts w:hint="eastAsia"/>
          <w:lang w:eastAsia="ja-JP"/>
        </w:rPr>
        <w:t>Report</w:t>
      </w:r>
      <w:r>
        <w:rPr>
          <w:lang w:eastAsia="ja-JP"/>
        </w:rPr>
        <w:t>”</w:t>
      </w:r>
      <w:r>
        <w:rPr>
          <w:rFonts w:hint="eastAsia"/>
          <w:lang w:eastAsia="ja-JP"/>
        </w:rPr>
        <w:t>, paragraphs 64 to 65</w:t>
      </w:r>
    </w:p>
  </w:footnote>
  <w:footnote w:id="13">
    <w:p w14:paraId="46BEE1CF" w14:textId="1E1D0E65" w:rsidR="002F5398" w:rsidRDefault="002F5398" w:rsidP="002F5398">
      <w:pPr>
        <w:pStyle w:val="FootnoteText"/>
      </w:pPr>
      <w:r>
        <w:rPr>
          <w:rStyle w:val="FootnoteReference"/>
        </w:rPr>
        <w:footnoteRef/>
      </w:r>
      <w:r>
        <w:t xml:space="preserve"> T</w:t>
      </w:r>
      <w:r>
        <w:rPr>
          <w:rFonts w:hint="eastAsia"/>
          <w:lang w:eastAsia="ja-JP"/>
        </w:rPr>
        <w:t>C</w:t>
      </w:r>
      <w:r>
        <w:t>, s</w:t>
      </w:r>
      <w:r>
        <w:rPr>
          <w:rFonts w:hint="eastAsia"/>
          <w:lang w:eastAsia="ja-JP"/>
        </w:rPr>
        <w:t>ixty-first</w:t>
      </w:r>
      <w:r>
        <w:t xml:space="preserve"> session, held </w:t>
      </w:r>
      <w:r>
        <w:rPr>
          <w:rFonts w:hint="eastAsia"/>
          <w:lang w:eastAsia="ja-JP"/>
        </w:rPr>
        <w:t>in Geneva</w:t>
      </w:r>
      <w:r>
        <w:t xml:space="preserve">, from </w:t>
      </w:r>
      <w:r>
        <w:rPr>
          <w:rFonts w:hint="eastAsia"/>
          <w:lang w:eastAsia="ja-JP"/>
        </w:rPr>
        <w:t>October</w:t>
      </w:r>
      <w:r>
        <w:t xml:space="preserve"> </w:t>
      </w:r>
      <w:r>
        <w:rPr>
          <w:rFonts w:hint="eastAsia"/>
          <w:lang w:eastAsia="ja-JP"/>
        </w:rPr>
        <w:t>20</w:t>
      </w:r>
      <w:r>
        <w:t xml:space="preserve"> to </w:t>
      </w:r>
      <w:r>
        <w:rPr>
          <w:rFonts w:hint="eastAsia"/>
          <w:lang w:eastAsia="ja-JP"/>
        </w:rPr>
        <w:t>21</w:t>
      </w:r>
      <w:r>
        <w:t>, 202</w:t>
      </w:r>
      <w:r>
        <w:rPr>
          <w:rFonts w:hint="eastAsia"/>
          <w:lang w:eastAsia="ja-JP"/>
        </w:rPr>
        <w:t>5</w:t>
      </w:r>
      <w:r>
        <w:t>. S</w:t>
      </w:r>
      <w:r>
        <w:rPr>
          <w:rFonts w:hint="eastAsia"/>
          <w:lang w:eastAsia="ja-JP"/>
        </w:rPr>
        <w:t xml:space="preserve">ee document TC/61/8 </w:t>
      </w:r>
      <w:r>
        <w:rPr>
          <w:lang w:eastAsia="ja-JP"/>
        </w:rPr>
        <w:t>“</w:t>
      </w:r>
      <w:r>
        <w:rPr>
          <w:rFonts w:hint="eastAsia"/>
          <w:lang w:eastAsia="ja-JP"/>
        </w:rPr>
        <w:t>Report</w:t>
      </w:r>
      <w:r>
        <w:rPr>
          <w:lang w:eastAsia="ja-JP"/>
        </w:rPr>
        <w:t>”</w:t>
      </w:r>
      <w:r>
        <w:rPr>
          <w:rFonts w:hint="eastAsia"/>
          <w:lang w:eastAsia="ja-JP"/>
        </w:rPr>
        <w:t>, paragraphs 66</w:t>
      </w:r>
    </w:p>
  </w:footnote>
  <w:footnote w:id="14">
    <w:p w14:paraId="23B32551" w14:textId="77777777" w:rsidR="00037560" w:rsidRDefault="00037560" w:rsidP="00037560">
      <w:pPr>
        <w:pStyle w:val="FootnoteText"/>
      </w:pPr>
      <w:r>
        <w:rPr>
          <w:rStyle w:val="FootnoteReference"/>
        </w:rPr>
        <w:footnoteRef/>
      </w:r>
      <w:r>
        <w:t xml:space="preserve"> T</w:t>
      </w:r>
      <w:r>
        <w:rPr>
          <w:rFonts w:hint="eastAsia"/>
          <w:lang w:eastAsia="ja-JP"/>
        </w:rPr>
        <w:t>WM</w:t>
      </w:r>
      <w:r>
        <w:t xml:space="preserve">, </w:t>
      </w:r>
      <w:r>
        <w:rPr>
          <w:rFonts w:hint="eastAsia"/>
          <w:lang w:eastAsia="ja-JP"/>
        </w:rPr>
        <w:t>third</w:t>
      </w:r>
      <w:r>
        <w:t xml:space="preserve"> session, held </w:t>
      </w:r>
      <w:r>
        <w:rPr>
          <w:rFonts w:hint="eastAsia"/>
          <w:lang w:eastAsia="ja-JP"/>
        </w:rPr>
        <w:t>in Beijing, China</w:t>
      </w:r>
      <w:r>
        <w:t xml:space="preserve">, from </w:t>
      </w:r>
      <w:r>
        <w:rPr>
          <w:rFonts w:hint="eastAsia"/>
          <w:lang w:eastAsia="ja-JP"/>
        </w:rPr>
        <w:t>April</w:t>
      </w:r>
      <w:r>
        <w:t xml:space="preserve"> </w:t>
      </w:r>
      <w:r>
        <w:rPr>
          <w:rFonts w:hint="eastAsia"/>
          <w:lang w:eastAsia="ja-JP"/>
        </w:rPr>
        <w:t>28</w:t>
      </w:r>
      <w:r>
        <w:t xml:space="preserve"> to </w:t>
      </w:r>
      <w:r>
        <w:rPr>
          <w:rFonts w:hint="eastAsia"/>
          <w:lang w:eastAsia="ja-JP"/>
        </w:rPr>
        <w:t>May 1</w:t>
      </w:r>
      <w:r>
        <w:t>, 202</w:t>
      </w:r>
      <w:r>
        <w:rPr>
          <w:rFonts w:hint="eastAsia"/>
          <w:lang w:eastAsia="ja-JP"/>
        </w:rPr>
        <w:t>5</w:t>
      </w:r>
      <w:r>
        <w:t>. S</w:t>
      </w:r>
      <w:r>
        <w:rPr>
          <w:rFonts w:hint="eastAsia"/>
          <w:lang w:eastAsia="ja-JP"/>
        </w:rPr>
        <w:t xml:space="preserve">ee document TWM/3/29 </w:t>
      </w:r>
      <w:r>
        <w:rPr>
          <w:lang w:eastAsia="ja-JP"/>
        </w:rPr>
        <w:t>“</w:t>
      </w:r>
      <w:r>
        <w:rPr>
          <w:rFonts w:hint="eastAsia"/>
          <w:lang w:eastAsia="ja-JP"/>
        </w:rPr>
        <w:t>Report</w:t>
      </w:r>
      <w:r>
        <w:rPr>
          <w:lang w:eastAsia="ja-JP"/>
        </w:rPr>
        <w:t>”</w:t>
      </w:r>
      <w:r>
        <w:rPr>
          <w:rFonts w:hint="eastAsia"/>
          <w:lang w:eastAsia="ja-JP"/>
        </w:rPr>
        <w:t>, paragraphs 27</w:t>
      </w:r>
    </w:p>
  </w:footnote>
  <w:footnote w:id="15">
    <w:p w14:paraId="5ADA7CC9" w14:textId="77777777" w:rsidR="004E0062" w:rsidRDefault="004E0062" w:rsidP="004E0062">
      <w:pPr>
        <w:pStyle w:val="FootnoteText"/>
      </w:pPr>
      <w:r>
        <w:rPr>
          <w:rStyle w:val="FootnoteReference"/>
        </w:rPr>
        <w:footnoteRef/>
      </w:r>
      <w:r>
        <w:t xml:space="preserve"> T</w:t>
      </w:r>
      <w:r>
        <w:rPr>
          <w:rFonts w:hint="eastAsia"/>
          <w:lang w:eastAsia="ja-JP"/>
        </w:rPr>
        <w:t>C</w:t>
      </w:r>
      <w:r>
        <w:t>, s</w:t>
      </w:r>
      <w:r>
        <w:rPr>
          <w:rFonts w:hint="eastAsia"/>
          <w:lang w:eastAsia="ja-JP"/>
        </w:rPr>
        <w:t>ixtieth</w:t>
      </w:r>
      <w:r>
        <w:t xml:space="preserve"> session, held </w:t>
      </w:r>
      <w:r>
        <w:rPr>
          <w:rFonts w:hint="eastAsia"/>
          <w:lang w:eastAsia="ja-JP"/>
        </w:rPr>
        <w:t>in Geneva</w:t>
      </w:r>
      <w:r>
        <w:t xml:space="preserve">, from </w:t>
      </w:r>
      <w:r>
        <w:rPr>
          <w:rFonts w:hint="eastAsia"/>
          <w:lang w:eastAsia="ja-JP"/>
        </w:rPr>
        <w:t>October</w:t>
      </w:r>
      <w:r>
        <w:t xml:space="preserve"> </w:t>
      </w:r>
      <w:r>
        <w:rPr>
          <w:rFonts w:hint="eastAsia"/>
          <w:lang w:eastAsia="ja-JP"/>
        </w:rPr>
        <w:t>21</w:t>
      </w:r>
      <w:r>
        <w:t xml:space="preserve"> to </w:t>
      </w:r>
      <w:r>
        <w:rPr>
          <w:rFonts w:hint="eastAsia"/>
          <w:lang w:eastAsia="ja-JP"/>
        </w:rPr>
        <w:t>22</w:t>
      </w:r>
      <w:r>
        <w:t>, 2024. S</w:t>
      </w:r>
      <w:r>
        <w:rPr>
          <w:rFonts w:hint="eastAsia"/>
          <w:lang w:eastAsia="ja-JP"/>
        </w:rPr>
        <w:t xml:space="preserve">ee document TC/60/8 </w:t>
      </w:r>
      <w:r>
        <w:rPr>
          <w:lang w:eastAsia="ja-JP"/>
        </w:rPr>
        <w:t>“</w:t>
      </w:r>
      <w:r>
        <w:rPr>
          <w:rFonts w:hint="eastAsia"/>
          <w:lang w:eastAsia="ja-JP"/>
        </w:rPr>
        <w:t>Report</w:t>
      </w:r>
      <w:r>
        <w:rPr>
          <w:lang w:eastAsia="ja-JP"/>
        </w:rPr>
        <w:t>”</w:t>
      </w:r>
      <w:r>
        <w:rPr>
          <w:rFonts w:hint="eastAsia"/>
          <w:lang w:eastAsia="ja-JP"/>
        </w:rPr>
        <w:t>, paragraphs 51</w:t>
      </w:r>
    </w:p>
  </w:footnote>
  <w:footnote w:id="16">
    <w:p w14:paraId="10C6CB7B" w14:textId="3702E487" w:rsidR="002F5398" w:rsidRDefault="002F5398" w:rsidP="002F5398">
      <w:pPr>
        <w:pStyle w:val="FootnoteText"/>
      </w:pPr>
      <w:r>
        <w:rPr>
          <w:rStyle w:val="FootnoteReference"/>
        </w:rPr>
        <w:footnoteRef/>
      </w:r>
      <w:r>
        <w:t xml:space="preserve"> T</w:t>
      </w:r>
      <w:r>
        <w:rPr>
          <w:rFonts w:hint="eastAsia"/>
          <w:lang w:eastAsia="ja-JP"/>
        </w:rPr>
        <w:t>C</w:t>
      </w:r>
      <w:r>
        <w:t>, s</w:t>
      </w:r>
      <w:r>
        <w:rPr>
          <w:rFonts w:hint="eastAsia"/>
          <w:lang w:eastAsia="ja-JP"/>
        </w:rPr>
        <w:t>ixty-first</w:t>
      </w:r>
      <w:r>
        <w:t xml:space="preserve"> session, held </w:t>
      </w:r>
      <w:r>
        <w:rPr>
          <w:rFonts w:hint="eastAsia"/>
          <w:lang w:eastAsia="ja-JP"/>
        </w:rPr>
        <w:t>in Geneva</w:t>
      </w:r>
      <w:r>
        <w:t xml:space="preserve">, from </w:t>
      </w:r>
      <w:r>
        <w:rPr>
          <w:rFonts w:hint="eastAsia"/>
          <w:lang w:eastAsia="ja-JP"/>
        </w:rPr>
        <w:t>October</w:t>
      </w:r>
      <w:r>
        <w:t xml:space="preserve"> </w:t>
      </w:r>
      <w:r>
        <w:rPr>
          <w:rFonts w:hint="eastAsia"/>
          <w:lang w:eastAsia="ja-JP"/>
        </w:rPr>
        <w:t>20</w:t>
      </w:r>
      <w:r>
        <w:t xml:space="preserve"> to </w:t>
      </w:r>
      <w:r>
        <w:rPr>
          <w:rFonts w:hint="eastAsia"/>
          <w:lang w:eastAsia="ja-JP"/>
        </w:rPr>
        <w:t>21</w:t>
      </w:r>
      <w:r>
        <w:t>, 202</w:t>
      </w:r>
      <w:r>
        <w:rPr>
          <w:rFonts w:hint="eastAsia"/>
          <w:lang w:eastAsia="ja-JP"/>
        </w:rPr>
        <w:t>5</w:t>
      </w:r>
      <w:r>
        <w:t>. S</w:t>
      </w:r>
      <w:r>
        <w:rPr>
          <w:rFonts w:hint="eastAsia"/>
          <w:lang w:eastAsia="ja-JP"/>
        </w:rPr>
        <w:t xml:space="preserve">ee document TC/61/8 </w:t>
      </w:r>
      <w:r>
        <w:rPr>
          <w:lang w:eastAsia="ja-JP"/>
        </w:rPr>
        <w:t>“</w:t>
      </w:r>
      <w:r>
        <w:rPr>
          <w:rFonts w:hint="eastAsia"/>
          <w:lang w:eastAsia="ja-JP"/>
        </w:rPr>
        <w:t>Report</w:t>
      </w:r>
      <w:r>
        <w:rPr>
          <w:lang w:eastAsia="ja-JP"/>
        </w:rPr>
        <w:t>”</w:t>
      </w:r>
      <w:r>
        <w:rPr>
          <w:rFonts w:hint="eastAsia"/>
          <w:lang w:eastAsia="ja-JP"/>
        </w:rPr>
        <w:t>, paragraphs 54 to 56</w:t>
      </w:r>
    </w:p>
  </w:footnote>
  <w:footnote w:id="17">
    <w:p w14:paraId="7438B1AF" w14:textId="77777777" w:rsidR="002377B9" w:rsidRDefault="002377B9" w:rsidP="002377B9">
      <w:pPr>
        <w:pStyle w:val="FootnoteText"/>
      </w:pPr>
      <w:r>
        <w:rPr>
          <w:rStyle w:val="FootnoteReference"/>
        </w:rPr>
        <w:footnoteRef/>
      </w:r>
      <w:r>
        <w:t xml:space="preserve"> TW</w:t>
      </w:r>
      <w:r>
        <w:rPr>
          <w:rFonts w:hint="eastAsia"/>
          <w:lang w:eastAsia="ja-JP"/>
        </w:rPr>
        <w:t>O</w:t>
      </w:r>
      <w:r>
        <w:t xml:space="preserve">, </w:t>
      </w:r>
      <w:r>
        <w:rPr>
          <w:rFonts w:hint="eastAsia"/>
          <w:lang w:eastAsia="ja-JP"/>
        </w:rPr>
        <w:t>fifty-seventh</w:t>
      </w:r>
      <w:r>
        <w:t xml:space="preserve"> session, held </w:t>
      </w:r>
      <w:r>
        <w:rPr>
          <w:rFonts w:hint="eastAsia"/>
          <w:lang w:eastAsia="ja-JP"/>
        </w:rPr>
        <w:t xml:space="preserve">in </w:t>
      </w:r>
      <w:r w:rsidRPr="00454749">
        <w:rPr>
          <w:lang w:eastAsia="ja-JP"/>
        </w:rPr>
        <w:t>Roelofarendsveen, Kingdom of the Netherlands</w:t>
      </w:r>
      <w:r>
        <w:t xml:space="preserve">, from </w:t>
      </w:r>
      <w:r>
        <w:rPr>
          <w:rFonts w:hint="eastAsia"/>
          <w:lang w:eastAsia="ja-JP"/>
        </w:rPr>
        <w:t>March</w:t>
      </w:r>
      <w:r>
        <w:t xml:space="preserve"> </w:t>
      </w:r>
      <w:r>
        <w:rPr>
          <w:rFonts w:hint="eastAsia"/>
          <w:lang w:eastAsia="ja-JP"/>
        </w:rPr>
        <w:t>31</w:t>
      </w:r>
      <w:r>
        <w:t xml:space="preserve"> to </w:t>
      </w:r>
      <w:r>
        <w:rPr>
          <w:rFonts w:hint="eastAsia"/>
          <w:lang w:eastAsia="ja-JP"/>
        </w:rPr>
        <w:t>April 3</w:t>
      </w:r>
      <w:r>
        <w:t>, 202</w:t>
      </w:r>
      <w:r>
        <w:rPr>
          <w:rFonts w:hint="eastAsia"/>
          <w:lang w:eastAsia="ja-JP"/>
        </w:rPr>
        <w:t>5</w:t>
      </w:r>
      <w:r>
        <w:t>. See document TW</w:t>
      </w:r>
      <w:r>
        <w:rPr>
          <w:rFonts w:hint="eastAsia"/>
          <w:lang w:eastAsia="ja-JP"/>
        </w:rPr>
        <w:t>O</w:t>
      </w:r>
      <w:r>
        <w:t>/</w:t>
      </w:r>
      <w:r>
        <w:rPr>
          <w:rFonts w:hint="eastAsia"/>
          <w:lang w:eastAsia="ja-JP"/>
        </w:rPr>
        <w:t>57</w:t>
      </w:r>
      <w:r>
        <w:t>/</w:t>
      </w:r>
      <w:r>
        <w:rPr>
          <w:rFonts w:hint="eastAsia"/>
          <w:lang w:eastAsia="ja-JP"/>
        </w:rPr>
        <w:t>10</w:t>
      </w:r>
      <w:r>
        <w:t xml:space="preserve"> “Report”, paragraphs </w:t>
      </w:r>
      <w:r>
        <w:rPr>
          <w:rFonts w:hint="eastAsia"/>
          <w:lang w:eastAsia="ja-JP"/>
        </w:rPr>
        <w:t>24</w:t>
      </w:r>
      <w:r>
        <w:t xml:space="preserve"> to </w:t>
      </w:r>
      <w:r>
        <w:rPr>
          <w:rFonts w:hint="eastAsia"/>
          <w:lang w:eastAsia="ja-JP"/>
        </w:rPr>
        <w:t>27</w:t>
      </w:r>
      <w:r>
        <w:t>.</w:t>
      </w:r>
    </w:p>
  </w:footnote>
  <w:footnote w:id="18">
    <w:p w14:paraId="3E0580DC" w14:textId="77777777" w:rsidR="002377B9" w:rsidRDefault="002377B9" w:rsidP="002377B9">
      <w:pPr>
        <w:pStyle w:val="FootnoteText"/>
      </w:pPr>
      <w:r>
        <w:rPr>
          <w:rStyle w:val="FootnoteReference"/>
        </w:rPr>
        <w:footnoteRef/>
      </w:r>
      <w:r>
        <w:t xml:space="preserve"> </w:t>
      </w:r>
      <w:bookmarkStart w:id="32" w:name="_Hlk198887361"/>
      <w:r>
        <w:t xml:space="preserve">TWM, </w:t>
      </w:r>
      <w:r w:rsidRPr="00173C8F">
        <w:rPr>
          <w:lang w:eastAsia="ja-JP"/>
        </w:rPr>
        <w:t>third session, held in Beijing, China, from April 28 to May 1, 2025. See document TWM/3/</w:t>
      </w:r>
      <w:r>
        <w:rPr>
          <w:rFonts w:hint="eastAsia"/>
          <w:lang w:eastAsia="ja-JP"/>
        </w:rPr>
        <w:t>29</w:t>
      </w:r>
      <w:r w:rsidRPr="00173C8F">
        <w:rPr>
          <w:lang w:eastAsia="ja-JP"/>
        </w:rPr>
        <w:t xml:space="preserve"> “Report”, paragraphs </w:t>
      </w:r>
      <w:r>
        <w:rPr>
          <w:rFonts w:hint="eastAsia"/>
          <w:lang w:eastAsia="ja-JP"/>
        </w:rPr>
        <w:t>63</w:t>
      </w:r>
      <w:r w:rsidRPr="00173C8F">
        <w:rPr>
          <w:lang w:eastAsia="ja-JP"/>
        </w:rPr>
        <w:t xml:space="preserve"> to </w:t>
      </w:r>
      <w:r>
        <w:rPr>
          <w:rFonts w:hint="eastAsia"/>
          <w:lang w:eastAsia="ja-JP"/>
        </w:rPr>
        <w:t>64</w:t>
      </w:r>
      <w:r>
        <w:t>.</w:t>
      </w:r>
      <w:bookmarkEnd w:id="32"/>
    </w:p>
  </w:footnote>
  <w:footnote w:id="19">
    <w:p w14:paraId="742D3C2E" w14:textId="77777777" w:rsidR="002377B9" w:rsidRDefault="002377B9" w:rsidP="002377B9">
      <w:pPr>
        <w:pStyle w:val="FootnoteText"/>
      </w:pPr>
      <w:r>
        <w:rPr>
          <w:rStyle w:val="FootnoteReference"/>
        </w:rPr>
        <w:footnoteRef/>
      </w:r>
      <w:r>
        <w:t xml:space="preserve"> </w:t>
      </w:r>
      <w:r w:rsidRPr="008A52E0">
        <w:rPr>
          <w:spacing w:val="-2"/>
        </w:rPr>
        <w:t>TW</w:t>
      </w:r>
      <w:r>
        <w:rPr>
          <w:rFonts w:hint="eastAsia"/>
          <w:spacing w:val="-2"/>
          <w:lang w:eastAsia="ja-JP"/>
        </w:rPr>
        <w:t>V</w:t>
      </w:r>
      <w:r w:rsidRPr="008A52E0">
        <w:rPr>
          <w:spacing w:val="-2"/>
        </w:rPr>
        <w:t xml:space="preserve">, </w:t>
      </w:r>
      <w:r>
        <w:rPr>
          <w:rFonts w:hint="eastAsia"/>
          <w:spacing w:val="-2"/>
          <w:lang w:eastAsia="ja-JP"/>
        </w:rPr>
        <w:t>fifty-ninth</w:t>
      </w:r>
      <w:r w:rsidRPr="008A52E0">
        <w:rPr>
          <w:spacing w:val="-2"/>
        </w:rPr>
        <w:t xml:space="preserve"> session, held </w:t>
      </w:r>
      <w:r>
        <w:rPr>
          <w:rFonts w:hint="eastAsia"/>
          <w:spacing w:val="-2"/>
          <w:lang w:eastAsia="ja-JP"/>
        </w:rPr>
        <w:t>via electronic means</w:t>
      </w:r>
      <w:r w:rsidRPr="008A52E0">
        <w:rPr>
          <w:spacing w:val="-2"/>
        </w:rPr>
        <w:t xml:space="preserve">, from </w:t>
      </w:r>
      <w:r>
        <w:rPr>
          <w:rFonts w:hint="eastAsia"/>
          <w:spacing w:val="-2"/>
          <w:lang w:eastAsia="ja-JP"/>
        </w:rPr>
        <w:t>May</w:t>
      </w:r>
      <w:r w:rsidRPr="008A52E0">
        <w:rPr>
          <w:spacing w:val="-2"/>
        </w:rPr>
        <w:t xml:space="preserve"> </w:t>
      </w:r>
      <w:r>
        <w:rPr>
          <w:rFonts w:hint="eastAsia"/>
          <w:spacing w:val="-2"/>
          <w:lang w:eastAsia="ja-JP"/>
        </w:rPr>
        <w:t>5</w:t>
      </w:r>
      <w:r w:rsidRPr="008A52E0">
        <w:rPr>
          <w:spacing w:val="-2"/>
        </w:rPr>
        <w:t xml:space="preserve"> to </w:t>
      </w:r>
      <w:r>
        <w:rPr>
          <w:rFonts w:hint="eastAsia"/>
          <w:spacing w:val="-2"/>
          <w:lang w:eastAsia="ja-JP"/>
        </w:rPr>
        <w:t>8</w:t>
      </w:r>
      <w:r w:rsidRPr="008A52E0">
        <w:rPr>
          <w:spacing w:val="-2"/>
        </w:rPr>
        <w:t>, 202</w:t>
      </w:r>
      <w:r>
        <w:rPr>
          <w:rFonts w:hint="eastAsia"/>
          <w:spacing w:val="-2"/>
          <w:lang w:eastAsia="ja-JP"/>
        </w:rPr>
        <w:t>5</w:t>
      </w:r>
      <w:r w:rsidRPr="008A52E0">
        <w:rPr>
          <w:spacing w:val="-2"/>
        </w:rPr>
        <w:t>. See document TW</w:t>
      </w:r>
      <w:r>
        <w:rPr>
          <w:rFonts w:hint="eastAsia"/>
          <w:spacing w:val="-2"/>
          <w:lang w:eastAsia="ja-JP"/>
        </w:rPr>
        <w:t>V</w:t>
      </w:r>
      <w:r w:rsidRPr="008A52E0">
        <w:rPr>
          <w:spacing w:val="-2"/>
        </w:rPr>
        <w:t>/</w:t>
      </w:r>
      <w:r>
        <w:rPr>
          <w:rFonts w:hint="eastAsia"/>
          <w:spacing w:val="-2"/>
          <w:lang w:eastAsia="ja-JP"/>
        </w:rPr>
        <w:t>59</w:t>
      </w:r>
      <w:r w:rsidRPr="008A52E0">
        <w:rPr>
          <w:spacing w:val="-2"/>
        </w:rPr>
        <w:t>/1</w:t>
      </w:r>
      <w:r>
        <w:rPr>
          <w:rFonts w:hint="eastAsia"/>
          <w:spacing w:val="-2"/>
          <w:lang w:eastAsia="ja-JP"/>
        </w:rPr>
        <w:t>9</w:t>
      </w:r>
      <w:r w:rsidRPr="008A52E0">
        <w:rPr>
          <w:spacing w:val="-2"/>
        </w:rPr>
        <w:t xml:space="preserve"> “Report”, paragraphs </w:t>
      </w:r>
      <w:r>
        <w:rPr>
          <w:rFonts w:hint="eastAsia"/>
          <w:spacing w:val="-2"/>
          <w:lang w:eastAsia="ja-JP"/>
        </w:rPr>
        <w:t>27</w:t>
      </w:r>
      <w:r w:rsidRPr="008A52E0">
        <w:rPr>
          <w:spacing w:val="-2"/>
        </w:rPr>
        <w:t xml:space="preserve"> to</w:t>
      </w:r>
      <w:r>
        <w:rPr>
          <w:rFonts w:hint="eastAsia"/>
          <w:spacing w:val="-2"/>
          <w:lang w:eastAsia="ja-JP"/>
        </w:rPr>
        <w:t xml:space="preserve"> 32</w:t>
      </w:r>
      <w:r w:rsidRPr="008A52E0">
        <w:rPr>
          <w:spacing w:val="-2"/>
        </w:rPr>
        <w:t>.</w:t>
      </w:r>
    </w:p>
  </w:footnote>
  <w:footnote w:id="20">
    <w:p w14:paraId="066A9CC3" w14:textId="77777777" w:rsidR="002377B9" w:rsidRDefault="002377B9" w:rsidP="002377B9">
      <w:pPr>
        <w:pStyle w:val="FootnoteText"/>
      </w:pPr>
      <w:r>
        <w:rPr>
          <w:rStyle w:val="FootnoteReference"/>
        </w:rPr>
        <w:footnoteRef/>
      </w:r>
      <w:r>
        <w:t xml:space="preserve"> </w:t>
      </w:r>
      <w:r w:rsidRPr="008A52E0">
        <w:rPr>
          <w:spacing w:val="-2"/>
        </w:rPr>
        <w:t>TW</w:t>
      </w:r>
      <w:r>
        <w:rPr>
          <w:rFonts w:hint="eastAsia"/>
          <w:spacing w:val="-2"/>
          <w:lang w:eastAsia="ja-JP"/>
        </w:rPr>
        <w:t>A</w:t>
      </w:r>
      <w:r w:rsidRPr="008A52E0">
        <w:rPr>
          <w:spacing w:val="-2"/>
        </w:rPr>
        <w:t xml:space="preserve">, </w:t>
      </w:r>
      <w:r>
        <w:rPr>
          <w:rFonts w:hint="eastAsia"/>
          <w:spacing w:val="-2"/>
          <w:lang w:eastAsia="ja-JP"/>
        </w:rPr>
        <w:t>fifty-fourth</w:t>
      </w:r>
      <w:r w:rsidRPr="008A52E0">
        <w:rPr>
          <w:spacing w:val="-2"/>
        </w:rPr>
        <w:t xml:space="preserve"> session, held </w:t>
      </w:r>
      <w:r>
        <w:rPr>
          <w:rFonts w:hint="eastAsia"/>
          <w:spacing w:val="-2"/>
          <w:lang w:eastAsia="ja-JP"/>
        </w:rPr>
        <w:t>Arusha, United Republic of Tanzania,</w:t>
      </w:r>
      <w:r w:rsidRPr="008A52E0">
        <w:rPr>
          <w:spacing w:val="-2"/>
        </w:rPr>
        <w:t xml:space="preserve"> from </w:t>
      </w:r>
      <w:r>
        <w:rPr>
          <w:rFonts w:hint="eastAsia"/>
          <w:spacing w:val="-2"/>
          <w:lang w:eastAsia="ja-JP"/>
        </w:rPr>
        <w:t>May</w:t>
      </w:r>
      <w:r w:rsidRPr="008A52E0">
        <w:rPr>
          <w:spacing w:val="-2"/>
        </w:rPr>
        <w:t xml:space="preserve"> </w:t>
      </w:r>
      <w:r>
        <w:rPr>
          <w:rFonts w:hint="eastAsia"/>
          <w:spacing w:val="-2"/>
          <w:lang w:eastAsia="ja-JP"/>
        </w:rPr>
        <w:t>19</w:t>
      </w:r>
      <w:r w:rsidRPr="008A52E0">
        <w:rPr>
          <w:spacing w:val="-2"/>
        </w:rPr>
        <w:t xml:space="preserve"> to </w:t>
      </w:r>
      <w:r>
        <w:rPr>
          <w:rFonts w:hint="eastAsia"/>
          <w:spacing w:val="-2"/>
          <w:lang w:eastAsia="ja-JP"/>
        </w:rPr>
        <w:t>22</w:t>
      </w:r>
      <w:r w:rsidRPr="008A52E0">
        <w:rPr>
          <w:spacing w:val="-2"/>
        </w:rPr>
        <w:t>, 202</w:t>
      </w:r>
      <w:r>
        <w:rPr>
          <w:rFonts w:hint="eastAsia"/>
          <w:spacing w:val="-2"/>
          <w:lang w:eastAsia="ja-JP"/>
        </w:rPr>
        <w:t>5</w:t>
      </w:r>
      <w:r w:rsidRPr="008A52E0">
        <w:rPr>
          <w:spacing w:val="-2"/>
        </w:rPr>
        <w:t>. See document TW</w:t>
      </w:r>
      <w:r>
        <w:rPr>
          <w:rFonts w:hint="eastAsia"/>
          <w:spacing w:val="-2"/>
          <w:lang w:eastAsia="ja-JP"/>
        </w:rPr>
        <w:t>A</w:t>
      </w:r>
      <w:r w:rsidRPr="008A52E0">
        <w:rPr>
          <w:spacing w:val="-2"/>
        </w:rPr>
        <w:t>/</w:t>
      </w:r>
      <w:r>
        <w:rPr>
          <w:rFonts w:hint="eastAsia"/>
          <w:spacing w:val="-2"/>
          <w:lang w:eastAsia="ja-JP"/>
        </w:rPr>
        <w:t>54</w:t>
      </w:r>
      <w:r w:rsidRPr="008A52E0">
        <w:rPr>
          <w:spacing w:val="-2"/>
        </w:rPr>
        <w:t>/</w:t>
      </w:r>
      <w:r>
        <w:rPr>
          <w:rFonts w:hint="eastAsia"/>
          <w:spacing w:val="-2"/>
          <w:lang w:eastAsia="ja-JP"/>
        </w:rPr>
        <w:t>7</w:t>
      </w:r>
      <w:r w:rsidRPr="008A52E0">
        <w:rPr>
          <w:spacing w:val="-2"/>
        </w:rPr>
        <w:t xml:space="preserve"> “Report”, paragraphs </w:t>
      </w:r>
      <w:r w:rsidRPr="000346AB">
        <w:rPr>
          <w:rFonts w:hint="eastAsia"/>
          <w:spacing w:val="-2"/>
          <w:lang w:eastAsia="ja-JP"/>
        </w:rPr>
        <w:t>17</w:t>
      </w:r>
      <w:r w:rsidRPr="000346AB">
        <w:rPr>
          <w:spacing w:val="-2"/>
        </w:rPr>
        <w:t xml:space="preserve"> to</w:t>
      </w:r>
      <w:r w:rsidRPr="000346AB">
        <w:rPr>
          <w:rFonts w:hint="eastAsia"/>
          <w:spacing w:val="-2"/>
          <w:lang w:eastAsia="ja-JP"/>
        </w:rPr>
        <w:t xml:space="preserve"> </w:t>
      </w:r>
      <w:r>
        <w:rPr>
          <w:rFonts w:hint="eastAsia"/>
          <w:spacing w:val="-2"/>
          <w:lang w:eastAsia="ja-JP"/>
        </w:rPr>
        <w:t>21</w:t>
      </w:r>
      <w:r w:rsidRPr="008A52E0">
        <w:rPr>
          <w:spacing w:val="-2"/>
        </w:rPr>
        <w:t>.</w:t>
      </w:r>
    </w:p>
  </w:footnote>
  <w:footnote w:id="21">
    <w:p w14:paraId="430C959E" w14:textId="77777777" w:rsidR="002377B9" w:rsidRDefault="002377B9" w:rsidP="002377B9">
      <w:pPr>
        <w:pStyle w:val="FootnoteText"/>
      </w:pPr>
      <w:r>
        <w:rPr>
          <w:rStyle w:val="FootnoteReference"/>
        </w:rPr>
        <w:footnoteRef/>
      </w:r>
      <w:r>
        <w:t xml:space="preserve"> </w:t>
      </w:r>
      <w:r w:rsidRPr="008A52E0">
        <w:rPr>
          <w:spacing w:val="-2"/>
        </w:rPr>
        <w:t>TW</w:t>
      </w:r>
      <w:r>
        <w:rPr>
          <w:rFonts w:hint="eastAsia"/>
          <w:spacing w:val="-2"/>
          <w:lang w:eastAsia="ja-JP"/>
        </w:rPr>
        <w:t>F</w:t>
      </w:r>
      <w:r w:rsidRPr="008A52E0">
        <w:rPr>
          <w:spacing w:val="-2"/>
        </w:rPr>
        <w:t xml:space="preserve">, </w:t>
      </w:r>
      <w:r>
        <w:rPr>
          <w:rFonts w:hint="eastAsia"/>
          <w:spacing w:val="-2"/>
          <w:lang w:eastAsia="ja-JP"/>
        </w:rPr>
        <w:t>fifty-sixth</w:t>
      </w:r>
      <w:r w:rsidRPr="008A52E0">
        <w:rPr>
          <w:spacing w:val="-2"/>
        </w:rPr>
        <w:t xml:space="preserve"> session, held </w:t>
      </w:r>
      <w:r w:rsidRPr="00E45EAC">
        <w:rPr>
          <w:spacing w:val="-2"/>
        </w:rPr>
        <w:t>Bursa, Türkiye</w:t>
      </w:r>
      <w:r>
        <w:rPr>
          <w:rFonts w:hint="eastAsia"/>
          <w:spacing w:val="-2"/>
          <w:lang w:eastAsia="ja-JP"/>
        </w:rPr>
        <w:t>,</w:t>
      </w:r>
      <w:r w:rsidRPr="008A52E0">
        <w:rPr>
          <w:spacing w:val="-2"/>
        </w:rPr>
        <w:t xml:space="preserve"> from </w:t>
      </w:r>
      <w:r>
        <w:rPr>
          <w:rFonts w:hint="eastAsia"/>
          <w:spacing w:val="-2"/>
          <w:lang w:eastAsia="ja-JP"/>
        </w:rPr>
        <w:t>June</w:t>
      </w:r>
      <w:r w:rsidRPr="008A52E0">
        <w:rPr>
          <w:spacing w:val="-2"/>
        </w:rPr>
        <w:t xml:space="preserve"> </w:t>
      </w:r>
      <w:r>
        <w:rPr>
          <w:rFonts w:hint="eastAsia"/>
          <w:spacing w:val="-2"/>
          <w:lang w:eastAsia="ja-JP"/>
        </w:rPr>
        <w:t>23</w:t>
      </w:r>
      <w:r w:rsidRPr="008A52E0">
        <w:rPr>
          <w:spacing w:val="-2"/>
        </w:rPr>
        <w:t xml:space="preserve"> to </w:t>
      </w:r>
      <w:r>
        <w:rPr>
          <w:rFonts w:hint="eastAsia"/>
          <w:spacing w:val="-2"/>
          <w:lang w:eastAsia="ja-JP"/>
        </w:rPr>
        <w:t>26</w:t>
      </w:r>
      <w:r w:rsidRPr="008A52E0">
        <w:rPr>
          <w:spacing w:val="-2"/>
        </w:rPr>
        <w:t>, 202</w:t>
      </w:r>
      <w:r>
        <w:rPr>
          <w:rFonts w:hint="eastAsia"/>
          <w:spacing w:val="-2"/>
          <w:lang w:eastAsia="ja-JP"/>
        </w:rPr>
        <w:t>5</w:t>
      </w:r>
      <w:r w:rsidRPr="008A52E0">
        <w:rPr>
          <w:spacing w:val="-2"/>
        </w:rPr>
        <w:t>. See document TW</w:t>
      </w:r>
      <w:r>
        <w:rPr>
          <w:rFonts w:hint="eastAsia"/>
          <w:spacing w:val="-2"/>
          <w:lang w:eastAsia="ja-JP"/>
        </w:rPr>
        <w:t>F</w:t>
      </w:r>
      <w:r w:rsidRPr="008A52E0">
        <w:rPr>
          <w:spacing w:val="-2"/>
        </w:rPr>
        <w:t>/</w:t>
      </w:r>
      <w:r>
        <w:rPr>
          <w:rFonts w:hint="eastAsia"/>
          <w:spacing w:val="-2"/>
          <w:lang w:eastAsia="ja-JP"/>
        </w:rPr>
        <w:t>56</w:t>
      </w:r>
      <w:r w:rsidRPr="008A52E0">
        <w:rPr>
          <w:spacing w:val="-2"/>
        </w:rPr>
        <w:t>/</w:t>
      </w:r>
      <w:r>
        <w:rPr>
          <w:rFonts w:hint="eastAsia"/>
          <w:spacing w:val="-2"/>
          <w:lang w:eastAsia="ja-JP"/>
        </w:rPr>
        <w:t>7</w:t>
      </w:r>
      <w:r w:rsidRPr="008A52E0">
        <w:rPr>
          <w:spacing w:val="-2"/>
        </w:rPr>
        <w:t xml:space="preserve"> “Report”, paragraphs </w:t>
      </w:r>
      <w:r w:rsidRPr="00B52114">
        <w:rPr>
          <w:rFonts w:hint="eastAsia"/>
          <w:spacing w:val="-2"/>
          <w:lang w:eastAsia="ja-JP"/>
        </w:rPr>
        <w:t>37</w:t>
      </w:r>
      <w:r w:rsidRPr="00B52114">
        <w:rPr>
          <w:spacing w:val="-2"/>
        </w:rPr>
        <w:t xml:space="preserve"> to</w:t>
      </w:r>
      <w:r w:rsidRPr="00B52114">
        <w:rPr>
          <w:rFonts w:hint="eastAsia"/>
          <w:spacing w:val="-2"/>
          <w:lang w:eastAsia="ja-JP"/>
        </w:rPr>
        <w:t xml:space="preserve"> </w:t>
      </w:r>
      <w:r>
        <w:rPr>
          <w:rFonts w:hint="eastAsia"/>
          <w:spacing w:val="-2"/>
          <w:lang w:eastAsia="ja-JP"/>
        </w:rPr>
        <w:t>38</w:t>
      </w:r>
      <w:r w:rsidRPr="008A52E0">
        <w:rPr>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551F" w14:textId="143A7F1F" w:rsidR="00E96942" w:rsidRPr="00C5280D" w:rsidRDefault="00E96942" w:rsidP="00EB048E">
    <w:pPr>
      <w:pStyle w:val="Header"/>
      <w:rPr>
        <w:rStyle w:val="PageNumber"/>
        <w:lang w:val="en-US" w:eastAsia="ja-JP"/>
      </w:rPr>
    </w:pPr>
    <w:r>
      <w:rPr>
        <w:rStyle w:val="PageNumber"/>
        <w:lang w:val="en-US"/>
      </w:rPr>
      <w:t>T</w:t>
    </w:r>
    <w:r w:rsidR="00B309B9">
      <w:rPr>
        <w:rStyle w:val="PageNumber"/>
        <w:rFonts w:hint="eastAsia"/>
        <w:lang w:val="en-US" w:eastAsia="ja-JP"/>
      </w:rPr>
      <w:t>WP</w:t>
    </w:r>
    <w:r>
      <w:rPr>
        <w:rStyle w:val="PageNumber"/>
        <w:lang w:val="en-US"/>
      </w:rPr>
      <w:t>/</w:t>
    </w:r>
    <w:r w:rsidR="00B309B9">
      <w:rPr>
        <w:rStyle w:val="PageNumber"/>
        <w:rFonts w:hint="eastAsia"/>
        <w:lang w:val="en-US" w:eastAsia="ja-JP"/>
      </w:rPr>
      <w:t>10</w:t>
    </w:r>
    <w:r>
      <w:rPr>
        <w:rStyle w:val="PageNumber"/>
        <w:lang w:val="en-US"/>
      </w:rPr>
      <w:t>/</w:t>
    </w:r>
    <w:r w:rsidR="00DA23F0">
      <w:rPr>
        <w:rStyle w:val="PageNumber"/>
        <w:lang w:val="en-US" w:eastAsia="ja-JP"/>
      </w:rPr>
      <w:t>4</w:t>
    </w:r>
  </w:p>
  <w:p w14:paraId="3F204E31" w14:textId="77777777" w:rsidR="00E96942" w:rsidRPr="00C5280D" w:rsidRDefault="00E96942"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4</w:t>
    </w:r>
    <w:r w:rsidRPr="00C5280D">
      <w:rPr>
        <w:rStyle w:val="PageNumber"/>
        <w:lang w:val="en-US"/>
      </w:rPr>
      <w:fldChar w:fldCharType="end"/>
    </w:r>
  </w:p>
  <w:p w14:paraId="55649606" w14:textId="77777777" w:rsidR="00E96942" w:rsidRPr="00C5280D" w:rsidRDefault="00E96942"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5E59" w14:textId="77777777" w:rsidR="007A460C" w:rsidRPr="00C5280D" w:rsidRDefault="007A460C" w:rsidP="00EB048E">
    <w:pPr>
      <w:pStyle w:val="Header"/>
      <w:rPr>
        <w:rStyle w:val="PageNumber"/>
        <w:lang w:val="en-US" w:eastAsia="ja-JP"/>
      </w:rPr>
    </w:pPr>
    <w:r>
      <w:rPr>
        <w:rStyle w:val="PageNumber"/>
        <w:lang w:val="en-US"/>
      </w:rPr>
      <w:t>T</w:t>
    </w:r>
    <w:r>
      <w:rPr>
        <w:rStyle w:val="PageNumber"/>
        <w:rFonts w:hint="eastAsia"/>
        <w:lang w:val="en-US" w:eastAsia="ja-JP"/>
      </w:rPr>
      <w:t>WP</w:t>
    </w:r>
    <w:r>
      <w:rPr>
        <w:rStyle w:val="PageNumber"/>
        <w:lang w:val="en-US"/>
      </w:rPr>
      <w:t>/</w:t>
    </w:r>
    <w:r>
      <w:rPr>
        <w:rStyle w:val="PageNumber"/>
        <w:rFonts w:hint="eastAsia"/>
        <w:lang w:val="en-US" w:eastAsia="ja-JP"/>
      </w:rPr>
      <w:t>10</w:t>
    </w:r>
    <w:r>
      <w:rPr>
        <w:rStyle w:val="PageNumber"/>
        <w:lang w:val="en-US"/>
      </w:rPr>
      <w:t>/</w:t>
    </w:r>
    <w:r>
      <w:rPr>
        <w:rStyle w:val="PageNumber"/>
        <w:lang w:val="en-US" w:eastAsia="ja-JP"/>
      </w:rPr>
      <w:t>4</w:t>
    </w:r>
  </w:p>
  <w:p w14:paraId="080850C8" w14:textId="29895E98" w:rsidR="007A460C" w:rsidRPr="00C5280D" w:rsidRDefault="007A460C" w:rsidP="00EB048E">
    <w:pPr>
      <w:pStyle w:val="Header"/>
      <w:rPr>
        <w:lang w:val="en-US"/>
      </w:rPr>
    </w:pPr>
    <w:r>
      <w:rPr>
        <w:lang w:val="en-US"/>
      </w:rPr>
      <w:t xml:space="preserve">Annex I,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4</w:t>
    </w:r>
    <w:r w:rsidRPr="00C5280D">
      <w:rPr>
        <w:rStyle w:val="PageNumber"/>
        <w:lang w:val="en-US"/>
      </w:rPr>
      <w:fldChar w:fldCharType="end"/>
    </w:r>
  </w:p>
  <w:p w14:paraId="420FB0F8" w14:textId="77777777" w:rsidR="007A460C" w:rsidRPr="00C5280D" w:rsidRDefault="007A460C"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F28C" w14:textId="62E2FB42" w:rsidR="002377B9" w:rsidRPr="00956417" w:rsidRDefault="002377B9">
    <w:pPr>
      <w:pStyle w:val="Header"/>
      <w:rPr>
        <w:lang w:val="en-US" w:eastAsia="ja-JP"/>
      </w:rPr>
    </w:pPr>
    <w:r w:rsidRPr="00956417">
      <w:rPr>
        <w:lang w:val="en-US"/>
      </w:rPr>
      <w:t>T</w:t>
    </w:r>
    <w:r>
      <w:rPr>
        <w:rFonts w:hint="eastAsia"/>
        <w:lang w:val="en-US" w:eastAsia="ja-JP"/>
      </w:rPr>
      <w:t>WP</w:t>
    </w:r>
    <w:r w:rsidRPr="00956417">
      <w:rPr>
        <w:lang w:val="en-US"/>
      </w:rPr>
      <w:t>/</w:t>
    </w:r>
    <w:r>
      <w:rPr>
        <w:rFonts w:hint="eastAsia"/>
        <w:lang w:val="en-US" w:eastAsia="ja-JP"/>
      </w:rPr>
      <w:t>10</w:t>
    </w:r>
    <w:r w:rsidRPr="00956417">
      <w:rPr>
        <w:lang w:val="en-US"/>
      </w:rPr>
      <w:t>/</w:t>
    </w:r>
    <w:r w:rsidR="00490BDA">
      <w:rPr>
        <w:rFonts w:hint="eastAsia"/>
        <w:lang w:val="en-US" w:eastAsia="ja-JP"/>
      </w:rPr>
      <w:t>4</w:t>
    </w:r>
  </w:p>
  <w:p w14:paraId="34BB8CF2" w14:textId="77777777" w:rsidR="002377B9" w:rsidRPr="00956417" w:rsidRDefault="002377B9">
    <w:pPr>
      <w:pStyle w:val="Header"/>
      <w:rPr>
        <w:lang w:val="en-US"/>
      </w:rPr>
    </w:pPr>
  </w:p>
  <w:p w14:paraId="1A1B0093" w14:textId="7A0B7987" w:rsidR="002377B9" w:rsidRPr="00956417" w:rsidRDefault="002377B9">
    <w:pPr>
      <w:pStyle w:val="Header"/>
      <w:rPr>
        <w:lang w:val="en-US"/>
      </w:rPr>
    </w:pPr>
    <w:r w:rsidRPr="00956417">
      <w:rPr>
        <w:lang w:val="en-US"/>
      </w:rPr>
      <w:t>ANNEX I</w:t>
    </w:r>
  </w:p>
  <w:p w14:paraId="18F1C705" w14:textId="77777777" w:rsidR="002377B9" w:rsidRPr="00956417" w:rsidRDefault="002377B9">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1AE6" w14:textId="475A6750" w:rsidR="00E35C15" w:rsidRPr="00C5280D" w:rsidRDefault="00E35C15" w:rsidP="00EB048E">
    <w:pPr>
      <w:pStyle w:val="Header"/>
      <w:rPr>
        <w:rStyle w:val="PageNumber"/>
        <w:lang w:val="en-US"/>
      </w:rPr>
    </w:pPr>
    <w:r>
      <w:rPr>
        <w:rStyle w:val="PageNumber"/>
        <w:lang w:val="en-US"/>
      </w:rPr>
      <w:t>TWP/</w:t>
    </w:r>
    <w:r w:rsidR="005D3340">
      <w:rPr>
        <w:rStyle w:val="PageNumber"/>
        <w:lang w:val="en-US"/>
      </w:rPr>
      <w:t>10</w:t>
    </w:r>
    <w:r>
      <w:rPr>
        <w:rStyle w:val="PageNumber"/>
        <w:lang w:val="en-US"/>
      </w:rPr>
      <w:t>/</w:t>
    </w:r>
    <w:r w:rsidR="005D3340">
      <w:rPr>
        <w:rStyle w:val="PageNumber"/>
        <w:lang w:val="en-US"/>
      </w:rPr>
      <w:t>4</w:t>
    </w:r>
  </w:p>
  <w:p w14:paraId="0033ABA5" w14:textId="765E4B39" w:rsidR="00E35C15" w:rsidRPr="00C5280D" w:rsidRDefault="00E35C15"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594C945C" w14:textId="77777777" w:rsidR="00E35C15" w:rsidRPr="00C5280D" w:rsidRDefault="00E35C15" w:rsidP="006655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2F3C" w14:textId="42844A5D" w:rsidR="00B309B9" w:rsidRPr="00956417" w:rsidRDefault="00B309B9" w:rsidP="00B309B9">
    <w:pPr>
      <w:pStyle w:val="Header"/>
      <w:rPr>
        <w:lang w:val="en-US" w:eastAsia="ja-JP"/>
      </w:rPr>
    </w:pPr>
    <w:r w:rsidRPr="00956417">
      <w:rPr>
        <w:lang w:val="en-US"/>
      </w:rPr>
      <w:t>T</w:t>
    </w:r>
    <w:r>
      <w:rPr>
        <w:rFonts w:hint="eastAsia"/>
        <w:lang w:val="en-US" w:eastAsia="ja-JP"/>
      </w:rPr>
      <w:t>WP</w:t>
    </w:r>
    <w:r w:rsidRPr="00956417">
      <w:rPr>
        <w:lang w:val="en-US"/>
      </w:rPr>
      <w:t>/</w:t>
    </w:r>
    <w:r>
      <w:rPr>
        <w:rFonts w:hint="eastAsia"/>
        <w:lang w:val="en-US" w:eastAsia="ja-JP"/>
      </w:rPr>
      <w:t>10</w:t>
    </w:r>
    <w:r w:rsidRPr="00956417">
      <w:rPr>
        <w:lang w:val="en-US"/>
      </w:rPr>
      <w:t>/</w:t>
    </w:r>
    <w:r w:rsidR="00490BDA">
      <w:rPr>
        <w:rFonts w:hint="eastAsia"/>
        <w:lang w:val="en-US" w:eastAsia="ja-JP"/>
      </w:rPr>
      <w:t>4</w:t>
    </w:r>
  </w:p>
  <w:p w14:paraId="04D80B4F" w14:textId="77777777" w:rsidR="00B309B9" w:rsidRPr="00956417" w:rsidRDefault="00B309B9" w:rsidP="00B309B9">
    <w:pPr>
      <w:pStyle w:val="Header"/>
      <w:rPr>
        <w:lang w:val="en-US"/>
      </w:rPr>
    </w:pPr>
  </w:p>
  <w:p w14:paraId="1A22560F" w14:textId="25F73218" w:rsidR="00B309B9" w:rsidRPr="00956417" w:rsidRDefault="00B309B9" w:rsidP="00B309B9">
    <w:pPr>
      <w:pStyle w:val="Header"/>
      <w:rPr>
        <w:lang w:val="en-US" w:eastAsia="ja-JP"/>
      </w:rPr>
    </w:pPr>
    <w:r w:rsidRPr="00956417">
      <w:rPr>
        <w:lang w:val="en-US"/>
      </w:rPr>
      <w:t>ANNEX I</w:t>
    </w:r>
    <w:r>
      <w:rPr>
        <w:rFonts w:hint="eastAsia"/>
        <w:lang w:val="en-US" w:eastAsia="ja-JP"/>
      </w:rPr>
      <w:t>I</w:t>
    </w:r>
  </w:p>
  <w:p w14:paraId="4AEC8592" w14:textId="25BC938A" w:rsidR="003C306B" w:rsidRDefault="003C3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776"/>
    <w:multiLevelType w:val="hybridMultilevel"/>
    <w:tmpl w:val="FB7C4D32"/>
    <w:lvl w:ilvl="0" w:tplc="8F647C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62763"/>
    <w:multiLevelType w:val="hybridMultilevel"/>
    <w:tmpl w:val="C1B26032"/>
    <w:lvl w:ilvl="0" w:tplc="F3860B7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615586"/>
    <w:multiLevelType w:val="hybridMultilevel"/>
    <w:tmpl w:val="78AE1224"/>
    <w:lvl w:ilvl="0" w:tplc="EFA4EC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479A8"/>
    <w:multiLevelType w:val="hybridMultilevel"/>
    <w:tmpl w:val="9F867802"/>
    <w:lvl w:ilvl="0" w:tplc="6E204B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F31C84"/>
    <w:multiLevelType w:val="hybridMultilevel"/>
    <w:tmpl w:val="A306CB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073FFE"/>
    <w:multiLevelType w:val="hybridMultilevel"/>
    <w:tmpl w:val="5EF0B050"/>
    <w:lvl w:ilvl="0" w:tplc="64F0AAC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10F16"/>
    <w:multiLevelType w:val="hybridMultilevel"/>
    <w:tmpl w:val="F4282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890EAF"/>
    <w:multiLevelType w:val="hybridMultilevel"/>
    <w:tmpl w:val="4F8C24BC"/>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41AA6440"/>
    <w:multiLevelType w:val="hybridMultilevel"/>
    <w:tmpl w:val="12F4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B4B56"/>
    <w:multiLevelType w:val="hybridMultilevel"/>
    <w:tmpl w:val="4F8C24BC"/>
    <w:lvl w:ilvl="0" w:tplc="64F0AAC8">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0"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1" w15:restartNumberingAfterBreak="0">
    <w:nsid w:val="586D0DA7"/>
    <w:multiLevelType w:val="hybridMultilevel"/>
    <w:tmpl w:val="F08E2BC8"/>
    <w:lvl w:ilvl="0" w:tplc="CEFE85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B84402"/>
    <w:multiLevelType w:val="hybridMultilevel"/>
    <w:tmpl w:val="810A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E3B27"/>
    <w:multiLevelType w:val="hybridMultilevel"/>
    <w:tmpl w:val="D01A2D70"/>
    <w:lvl w:ilvl="0" w:tplc="F5AEA5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24B75"/>
    <w:multiLevelType w:val="hybridMultilevel"/>
    <w:tmpl w:val="96D27190"/>
    <w:lvl w:ilvl="0" w:tplc="A5961838">
      <w:start w:val="1"/>
      <w:numFmt w:val="lowerLetter"/>
      <w:lvlText w:val="(%1)"/>
      <w:lvlJc w:val="left"/>
      <w:pPr>
        <w:ind w:left="1140" w:hanging="57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15" w15:restartNumberingAfterBreak="0">
    <w:nsid w:val="6FBB2CDB"/>
    <w:multiLevelType w:val="hybridMultilevel"/>
    <w:tmpl w:val="F7E2408C"/>
    <w:lvl w:ilvl="0" w:tplc="FFFFFFFF">
      <w:start w:val="1"/>
      <w:numFmt w:val="lowerRoman"/>
      <w:lvlText w:val="(%1)"/>
      <w:lvlJc w:val="left"/>
      <w:pPr>
        <w:ind w:left="1287"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14889006">
    <w:abstractNumId w:val="10"/>
  </w:num>
  <w:num w:numId="2" w16cid:durableId="702480942">
    <w:abstractNumId w:val="14"/>
  </w:num>
  <w:num w:numId="3" w16cid:durableId="1812792951">
    <w:abstractNumId w:val="9"/>
  </w:num>
  <w:num w:numId="4" w16cid:durableId="104925343">
    <w:abstractNumId w:val="7"/>
  </w:num>
  <w:num w:numId="5" w16cid:durableId="1711032594">
    <w:abstractNumId w:val="15"/>
  </w:num>
  <w:num w:numId="6" w16cid:durableId="2103795671">
    <w:abstractNumId w:val="2"/>
  </w:num>
  <w:num w:numId="7" w16cid:durableId="807354543">
    <w:abstractNumId w:val="8"/>
  </w:num>
  <w:num w:numId="8" w16cid:durableId="271598541">
    <w:abstractNumId w:val="12"/>
  </w:num>
  <w:num w:numId="9" w16cid:durableId="1523788010">
    <w:abstractNumId w:val="0"/>
  </w:num>
  <w:num w:numId="10" w16cid:durableId="975598395">
    <w:abstractNumId w:val="11"/>
  </w:num>
  <w:num w:numId="11" w16cid:durableId="2038845969">
    <w:abstractNumId w:val="5"/>
  </w:num>
  <w:num w:numId="12" w16cid:durableId="1801192207">
    <w:abstractNumId w:val="13"/>
  </w:num>
  <w:num w:numId="13" w16cid:durableId="938828387">
    <w:abstractNumId w:val="3"/>
  </w:num>
  <w:num w:numId="14" w16cid:durableId="1507746698">
    <w:abstractNumId w:val="6"/>
  </w:num>
  <w:num w:numId="15" w16cid:durableId="1802335823">
    <w:abstractNumId w:val="1"/>
  </w:num>
  <w:num w:numId="16" w16cid:durableId="532770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6A"/>
    <w:rsid w:val="00002919"/>
    <w:rsid w:val="000049BA"/>
    <w:rsid w:val="00006D6B"/>
    <w:rsid w:val="00010B95"/>
    <w:rsid w:val="00010CF3"/>
    <w:rsid w:val="00011896"/>
    <w:rsid w:val="00011A5C"/>
    <w:rsid w:val="00011E27"/>
    <w:rsid w:val="000148BC"/>
    <w:rsid w:val="0001553A"/>
    <w:rsid w:val="000224B0"/>
    <w:rsid w:val="0002410A"/>
    <w:rsid w:val="00024AB8"/>
    <w:rsid w:val="00030854"/>
    <w:rsid w:val="00034934"/>
    <w:rsid w:val="00036028"/>
    <w:rsid w:val="00036B5C"/>
    <w:rsid w:val="00037560"/>
    <w:rsid w:val="0004198B"/>
    <w:rsid w:val="00043B9B"/>
    <w:rsid w:val="00044642"/>
    <w:rsid w:val="000446B9"/>
    <w:rsid w:val="00047E21"/>
    <w:rsid w:val="00050E16"/>
    <w:rsid w:val="00053C94"/>
    <w:rsid w:val="000615ED"/>
    <w:rsid w:val="0006349A"/>
    <w:rsid w:val="000645DC"/>
    <w:rsid w:val="00072258"/>
    <w:rsid w:val="00084518"/>
    <w:rsid w:val="0008490F"/>
    <w:rsid w:val="00085505"/>
    <w:rsid w:val="000948F8"/>
    <w:rsid w:val="000A335E"/>
    <w:rsid w:val="000A39F1"/>
    <w:rsid w:val="000A58C2"/>
    <w:rsid w:val="000B2834"/>
    <w:rsid w:val="000C3F14"/>
    <w:rsid w:val="000C4E25"/>
    <w:rsid w:val="000C7021"/>
    <w:rsid w:val="000C7744"/>
    <w:rsid w:val="000C7E02"/>
    <w:rsid w:val="000D2F23"/>
    <w:rsid w:val="000D6842"/>
    <w:rsid w:val="000D6BBC"/>
    <w:rsid w:val="000D7780"/>
    <w:rsid w:val="000E0EC1"/>
    <w:rsid w:val="000E636A"/>
    <w:rsid w:val="000F2F11"/>
    <w:rsid w:val="00100A5F"/>
    <w:rsid w:val="00105929"/>
    <w:rsid w:val="00110BED"/>
    <w:rsid w:val="00110C36"/>
    <w:rsid w:val="00112DE1"/>
    <w:rsid w:val="0011312E"/>
    <w:rsid w:val="001131D5"/>
    <w:rsid w:val="001132D9"/>
    <w:rsid w:val="00114547"/>
    <w:rsid w:val="0013127A"/>
    <w:rsid w:val="0013797B"/>
    <w:rsid w:val="00141B71"/>
    <w:rsid w:val="00141DB8"/>
    <w:rsid w:val="00150993"/>
    <w:rsid w:val="00150B86"/>
    <w:rsid w:val="001512DD"/>
    <w:rsid w:val="00172084"/>
    <w:rsid w:val="00172ED7"/>
    <w:rsid w:val="00174520"/>
    <w:rsid w:val="0017474A"/>
    <w:rsid w:val="001758C6"/>
    <w:rsid w:val="00182B99"/>
    <w:rsid w:val="00190DEE"/>
    <w:rsid w:val="001967F4"/>
    <w:rsid w:val="001A626A"/>
    <w:rsid w:val="001C1525"/>
    <w:rsid w:val="001C2FB8"/>
    <w:rsid w:val="001D3FDF"/>
    <w:rsid w:val="001E06EE"/>
    <w:rsid w:val="001F14FD"/>
    <w:rsid w:val="00212E3C"/>
    <w:rsid w:val="0021332C"/>
    <w:rsid w:val="00213982"/>
    <w:rsid w:val="0021426E"/>
    <w:rsid w:val="0023134C"/>
    <w:rsid w:val="002377B9"/>
    <w:rsid w:val="00242F10"/>
    <w:rsid w:val="0024416D"/>
    <w:rsid w:val="00251AE4"/>
    <w:rsid w:val="00260357"/>
    <w:rsid w:val="00262E20"/>
    <w:rsid w:val="00271911"/>
    <w:rsid w:val="00273187"/>
    <w:rsid w:val="0027453F"/>
    <w:rsid w:val="002771E8"/>
    <w:rsid w:val="002800A0"/>
    <w:rsid w:val="002801B3"/>
    <w:rsid w:val="00281060"/>
    <w:rsid w:val="00284050"/>
    <w:rsid w:val="00285BD0"/>
    <w:rsid w:val="002940E8"/>
    <w:rsid w:val="00294751"/>
    <w:rsid w:val="002A6E50"/>
    <w:rsid w:val="002B4298"/>
    <w:rsid w:val="002B7A36"/>
    <w:rsid w:val="002C256A"/>
    <w:rsid w:val="002C708A"/>
    <w:rsid w:val="002C73C9"/>
    <w:rsid w:val="002D5226"/>
    <w:rsid w:val="002E3E09"/>
    <w:rsid w:val="002F5398"/>
    <w:rsid w:val="002F77C7"/>
    <w:rsid w:val="00301E96"/>
    <w:rsid w:val="00305A7F"/>
    <w:rsid w:val="003152FE"/>
    <w:rsid w:val="003268C5"/>
    <w:rsid w:val="00327436"/>
    <w:rsid w:val="00344BD6"/>
    <w:rsid w:val="003468E5"/>
    <w:rsid w:val="00351C10"/>
    <w:rsid w:val="0035528D"/>
    <w:rsid w:val="00361821"/>
    <w:rsid w:val="00361E9E"/>
    <w:rsid w:val="00374366"/>
    <w:rsid w:val="003753EE"/>
    <w:rsid w:val="00381BFC"/>
    <w:rsid w:val="00385E84"/>
    <w:rsid w:val="00390597"/>
    <w:rsid w:val="00396882"/>
    <w:rsid w:val="003A0835"/>
    <w:rsid w:val="003A5AAF"/>
    <w:rsid w:val="003B700A"/>
    <w:rsid w:val="003C306B"/>
    <w:rsid w:val="003C7FBE"/>
    <w:rsid w:val="003D227C"/>
    <w:rsid w:val="003D2A40"/>
    <w:rsid w:val="003D2B4D"/>
    <w:rsid w:val="003E3B3F"/>
    <w:rsid w:val="003F37F5"/>
    <w:rsid w:val="00405517"/>
    <w:rsid w:val="00425A52"/>
    <w:rsid w:val="00426B70"/>
    <w:rsid w:val="00437CC2"/>
    <w:rsid w:val="00444A88"/>
    <w:rsid w:val="00450619"/>
    <w:rsid w:val="004605F3"/>
    <w:rsid w:val="00461688"/>
    <w:rsid w:val="004718BD"/>
    <w:rsid w:val="00474DA4"/>
    <w:rsid w:val="00476B4D"/>
    <w:rsid w:val="004805FA"/>
    <w:rsid w:val="00480847"/>
    <w:rsid w:val="004839D7"/>
    <w:rsid w:val="00490BDA"/>
    <w:rsid w:val="00492E42"/>
    <w:rsid w:val="00493073"/>
    <w:rsid w:val="004935D2"/>
    <w:rsid w:val="004B0732"/>
    <w:rsid w:val="004B1215"/>
    <w:rsid w:val="004D047D"/>
    <w:rsid w:val="004E0062"/>
    <w:rsid w:val="004E2B8D"/>
    <w:rsid w:val="004F1E9E"/>
    <w:rsid w:val="004F305A"/>
    <w:rsid w:val="004F4163"/>
    <w:rsid w:val="00501A2D"/>
    <w:rsid w:val="00502F07"/>
    <w:rsid w:val="00512164"/>
    <w:rsid w:val="00512DD6"/>
    <w:rsid w:val="00520297"/>
    <w:rsid w:val="005257F9"/>
    <w:rsid w:val="00526541"/>
    <w:rsid w:val="005338F9"/>
    <w:rsid w:val="00533D15"/>
    <w:rsid w:val="0054281C"/>
    <w:rsid w:val="00544581"/>
    <w:rsid w:val="00544FDB"/>
    <w:rsid w:val="0055268D"/>
    <w:rsid w:val="00555CCA"/>
    <w:rsid w:val="00560096"/>
    <w:rsid w:val="0056055F"/>
    <w:rsid w:val="00560CB5"/>
    <w:rsid w:val="00567EBB"/>
    <w:rsid w:val="00575DE2"/>
    <w:rsid w:val="00576BE4"/>
    <w:rsid w:val="005779DB"/>
    <w:rsid w:val="005871D9"/>
    <w:rsid w:val="005A2A67"/>
    <w:rsid w:val="005A400A"/>
    <w:rsid w:val="005A5C32"/>
    <w:rsid w:val="005B269D"/>
    <w:rsid w:val="005B3CCA"/>
    <w:rsid w:val="005C24B7"/>
    <w:rsid w:val="005C4B56"/>
    <w:rsid w:val="005D3340"/>
    <w:rsid w:val="005D6DE8"/>
    <w:rsid w:val="005D6FBF"/>
    <w:rsid w:val="005E7466"/>
    <w:rsid w:val="005E7CFA"/>
    <w:rsid w:val="005F4E59"/>
    <w:rsid w:val="005F6C47"/>
    <w:rsid w:val="005F7B92"/>
    <w:rsid w:val="00600F77"/>
    <w:rsid w:val="00606A6B"/>
    <w:rsid w:val="00610D3E"/>
    <w:rsid w:val="00612379"/>
    <w:rsid w:val="006153B6"/>
    <w:rsid w:val="0061555F"/>
    <w:rsid w:val="00620549"/>
    <w:rsid w:val="006245ED"/>
    <w:rsid w:val="006339FF"/>
    <w:rsid w:val="00636CA6"/>
    <w:rsid w:val="00641200"/>
    <w:rsid w:val="00642DC3"/>
    <w:rsid w:val="00645CA8"/>
    <w:rsid w:val="00650888"/>
    <w:rsid w:val="00650A1F"/>
    <w:rsid w:val="006637E3"/>
    <w:rsid w:val="00664671"/>
    <w:rsid w:val="006655D3"/>
    <w:rsid w:val="00667404"/>
    <w:rsid w:val="006724C4"/>
    <w:rsid w:val="006848B7"/>
    <w:rsid w:val="00687EB4"/>
    <w:rsid w:val="00693747"/>
    <w:rsid w:val="00694FBF"/>
    <w:rsid w:val="00695C56"/>
    <w:rsid w:val="006A12AE"/>
    <w:rsid w:val="006A5CDE"/>
    <w:rsid w:val="006A644A"/>
    <w:rsid w:val="006A704D"/>
    <w:rsid w:val="006B17D2"/>
    <w:rsid w:val="006B1D80"/>
    <w:rsid w:val="006B3B84"/>
    <w:rsid w:val="006C224E"/>
    <w:rsid w:val="006C5ADB"/>
    <w:rsid w:val="006D780A"/>
    <w:rsid w:val="006D7BA1"/>
    <w:rsid w:val="006E22ED"/>
    <w:rsid w:val="006E38A7"/>
    <w:rsid w:val="006F118F"/>
    <w:rsid w:val="007024AD"/>
    <w:rsid w:val="00704ECF"/>
    <w:rsid w:val="0071271E"/>
    <w:rsid w:val="00732DEC"/>
    <w:rsid w:val="00735BD5"/>
    <w:rsid w:val="007451EC"/>
    <w:rsid w:val="0074642E"/>
    <w:rsid w:val="00746CCF"/>
    <w:rsid w:val="007472A1"/>
    <w:rsid w:val="00751613"/>
    <w:rsid w:val="00753EE9"/>
    <w:rsid w:val="007556F6"/>
    <w:rsid w:val="00760EEF"/>
    <w:rsid w:val="00763628"/>
    <w:rsid w:val="007659CF"/>
    <w:rsid w:val="007740E9"/>
    <w:rsid w:val="00777EE5"/>
    <w:rsid w:val="00784836"/>
    <w:rsid w:val="007874E4"/>
    <w:rsid w:val="0079023E"/>
    <w:rsid w:val="00796196"/>
    <w:rsid w:val="007A0212"/>
    <w:rsid w:val="007A06D8"/>
    <w:rsid w:val="007A2854"/>
    <w:rsid w:val="007A460C"/>
    <w:rsid w:val="007A60C4"/>
    <w:rsid w:val="007B2D38"/>
    <w:rsid w:val="007C1D92"/>
    <w:rsid w:val="007C4CB9"/>
    <w:rsid w:val="007C63A7"/>
    <w:rsid w:val="007D0B9D"/>
    <w:rsid w:val="007D19B0"/>
    <w:rsid w:val="007D274F"/>
    <w:rsid w:val="007D3B4B"/>
    <w:rsid w:val="007D6816"/>
    <w:rsid w:val="007E306B"/>
    <w:rsid w:val="007F498F"/>
    <w:rsid w:val="00801BED"/>
    <w:rsid w:val="008024CB"/>
    <w:rsid w:val="0080679D"/>
    <w:rsid w:val="008108B0"/>
    <w:rsid w:val="00811B20"/>
    <w:rsid w:val="00812609"/>
    <w:rsid w:val="008130C6"/>
    <w:rsid w:val="00813DEC"/>
    <w:rsid w:val="00815D6D"/>
    <w:rsid w:val="00817A7F"/>
    <w:rsid w:val="008211B5"/>
    <w:rsid w:val="0082296E"/>
    <w:rsid w:val="00824099"/>
    <w:rsid w:val="00826973"/>
    <w:rsid w:val="008410FE"/>
    <w:rsid w:val="008416E9"/>
    <w:rsid w:val="00846D7C"/>
    <w:rsid w:val="008503FB"/>
    <w:rsid w:val="00853C41"/>
    <w:rsid w:val="00854382"/>
    <w:rsid w:val="0086695C"/>
    <w:rsid w:val="0086778B"/>
    <w:rsid w:val="00867AC1"/>
    <w:rsid w:val="00871646"/>
    <w:rsid w:val="008751DE"/>
    <w:rsid w:val="00876E31"/>
    <w:rsid w:val="00877239"/>
    <w:rsid w:val="00890DF8"/>
    <w:rsid w:val="00894C1B"/>
    <w:rsid w:val="008A0ADE"/>
    <w:rsid w:val="008A743F"/>
    <w:rsid w:val="008C0970"/>
    <w:rsid w:val="008D0BC5"/>
    <w:rsid w:val="008D14E2"/>
    <w:rsid w:val="008D2CF7"/>
    <w:rsid w:val="008D3A89"/>
    <w:rsid w:val="008D4B93"/>
    <w:rsid w:val="008E14A4"/>
    <w:rsid w:val="008E3650"/>
    <w:rsid w:val="00900756"/>
    <w:rsid w:val="00900C26"/>
    <w:rsid w:val="0090197F"/>
    <w:rsid w:val="00903264"/>
    <w:rsid w:val="00906DDC"/>
    <w:rsid w:val="00920C50"/>
    <w:rsid w:val="009242F2"/>
    <w:rsid w:val="00925EF6"/>
    <w:rsid w:val="00934E09"/>
    <w:rsid w:val="00936253"/>
    <w:rsid w:val="009405C7"/>
    <w:rsid w:val="00940D46"/>
    <w:rsid w:val="009413F1"/>
    <w:rsid w:val="00942098"/>
    <w:rsid w:val="009474CA"/>
    <w:rsid w:val="00951234"/>
    <w:rsid w:val="00952DD4"/>
    <w:rsid w:val="009561F4"/>
    <w:rsid w:val="00965AE7"/>
    <w:rsid w:val="00970FED"/>
    <w:rsid w:val="00972CF1"/>
    <w:rsid w:val="009740A7"/>
    <w:rsid w:val="0099138F"/>
    <w:rsid w:val="00992D82"/>
    <w:rsid w:val="00997029"/>
    <w:rsid w:val="009A7339"/>
    <w:rsid w:val="009B20C2"/>
    <w:rsid w:val="009B2ED0"/>
    <w:rsid w:val="009B440E"/>
    <w:rsid w:val="009C2E26"/>
    <w:rsid w:val="009D0DD0"/>
    <w:rsid w:val="009D4207"/>
    <w:rsid w:val="009D4BD7"/>
    <w:rsid w:val="009D65AE"/>
    <w:rsid w:val="009D690D"/>
    <w:rsid w:val="009E65B6"/>
    <w:rsid w:val="009F0A51"/>
    <w:rsid w:val="009F77CF"/>
    <w:rsid w:val="00A03343"/>
    <w:rsid w:val="00A03924"/>
    <w:rsid w:val="00A24A17"/>
    <w:rsid w:val="00A24C10"/>
    <w:rsid w:val="00A27ECF"/>
    <w:rsid w:val="00A42AC3"/>
    <w:rsid w:val="00A430CF"/>
    <w:rsid w:val="00A54309"/>
    <w:rsid w:val="00A54FB8"/>
    <w:rsid w:val="00A60338"/>
    <w:rsid w:val="00A610A9"/>
    <w:rsid w:val="00A80F2A"/>
    <w:rsid w:val="00A85F2F"/>
    <w:rsid w:val="00A94A40"/>
    <w:rsid w:val="00A96C33"/>
    <w:rsid w:val="00AA1987"/>
    <w:rsid w:val="00AA3E51"/>
    <w:rsid w:val="00AA49F2"/>
    <w:rsid w:val="00AB1463"/>
    <w:rsid w:val="00AB2B93"/>
    <w:rsid w:val="00AB530F"/>
    <w:rsid w:val="00AB7E5B"/>
    <w:rsid w:val="00AC11C1"/>
    <w:rsid w:val="00AC2883"/>
    <w:rsid w:val="00AE0EF1"/>
    <w:rsid w:val="00AE2937"/>
    <w:rsid w:val="00AF7285"/>
    <w:rsid w:val="00AF7F75"/>
    <w:rsid w:val="00B07301"/>
    <w:rsid w:val="00B10601"/>
    <w:rsid w:val="00B11F3E"/>
    <w:rsid w:val="00B224DE"/>
    <w:rsid w:val="00B309B9"/>
    <w:rsid w:val="00B324D4"/>
    <w:rsid w:val="00B37D90"/>
    <w:rsid w:val="00B44B68"/>
    <w:rsid w:val="00B46575"/>
    <w:rsid w:val="00B6028E"/>
    <w:rsid w:val="00B61777"/>
    <w:rsid w:val="00B622E6"/>
    <w:rsid w:val="00B642AE"/>
    <w:rsid w:val="00B65016"/>
    <w:rsid w:val="00B6608E"/>
    <w:rsid w:val="00B71862"/>
    <w:rsid w:val="00B72BDB"/>
    <w:rsid w:val="00B77A66"/>
    <w:rsid w:val="00B80A4F"/>
    <w:rsid w:val="00B83E82"/>
    <w:rsid w:val="00B84BBD"/>
    <w:rsid w:val="00B97BB8"/>
    <w:rsid w:val="00BA25C9"/>
    <w:rsid w:val="00BA43FB"/>
    <w:rsid w:val="00BA7E1D"/>
    <w:rsid w:val="00BC127D"/>
    <w:rsid w:val="00BC1FE6"/>
    <w:rsid w:val="00BC5048"/>
    <w:rsid w:val="00BC7D09"/>
    <w:rsid w:val="00BD3162"/>
    <w:rsid w:val="00BF352C"/>
    <w:rsid w:val="00C03CE1"/>
    <w:rsid w:val="00C061B6"/>
    <w:rsid w:val="00C128CE"/>
    <w:rsid w:val="00C13C0A"/>
    <w:rsid w:val="00C144AF"/>
    <w:rsid w:val="00C15F7F"/>
    <w:rsid w:val="00C162CB"/>
    <w:rsid w:val="00C164BE"/>
    <w:rsid w:val="00C215EC"/>
    <w:rsid w:val="00C2446C"/>
    <w:rsid w:val="00C27FA8"/>
    <w:rsid w:val="00C32A85"/>
    <w:rsid w:val="00C32B32"/>
    <w:rsid w:val="00C36AE5"/>
    <w:rsid w:val="00C37C67"/>
    <w:rsid w:val="00C41513"/>
    <w:rsid w:val="00C41F17"/>
    <w:rsid w:val="00C43201"/>
    <w:rsid w:val="00C437A3"/>
    <w:rsid w:val="00C4741E"/>
    <w:rsid w:val="00C527FA"/>
    <w:rsid w:val="00C5280D"/>
    <w:rsid w:val="00C5314B"/>
    <w:rsid w:val="00C53EB3"/>
    <w:rsid w:val="00C5791C"/>
    <w:rsid w:val="00C66290"/>
    <w:rsid w:val="00C71281"/>
    <w:rsid w:val="00C72B7A"/>
    <w:rsid w:val="00C75130"/>
    <w:rsid w:val="00C806A6"/>
    <w:rsid w:val="00C80D97"/>
    <w:rsid w:val="00C81703"/>
    <w:rsid w:val="00C92EF3"/>
    <w:rsid w:val="00C941F9"/>
    <w:rsid w:val="00C95E1A"/>
    <w:rsid w:val="00C973F2"/>
    <w:rsid w:val="00CA304C"/>
    <w:rsid w:val="00CA35A0"/>
    <w:rsid w:val="00CA709F"/>
    <w:rsid w:val="00CA774A"/>
    <w:rsid w:val="00CB1B67"/>
    <w:rsid w:val="00CB2AE2"/>
    <w:rsid w:val="00CB4921"/>
    <w:rsid w:val="00CB6DF9"/>
    <w:rsid w:val="00CC11B0"/>
    <w:rsid w:val="00CC2841"/>
    <w:rsid w:val="00CC494F"/>
    <w:rsid w:val="00CC76BF"/>
    <w:rsid w:val="00CD0C9A"/>
    <w:rsid w:val="00CE4CC4"/>
    <w:rsid w:val="00CF1330"/>
    <w:rsid w:val="00CF3917"/>
    <w:rsid w:val="00CF7E36"/>
    <w:rsid w:val="00D0106A"/>
    <w:rsid w:val="00D24DD2"/>
    <w:rsid w:val="00D252E5"/>
    <w:rsid w:val="00D303DB"/>
    <w:rsid w:val="00D32FAC"/>
    <w:rsid w:val="00D35881"/>
    <w:rsid w:val="00D3708D"/>
    <w:rsid w:val="00D40426"/>
    <w:rsid w:val="00D40BAB"/>
    <w:rsid w:val="00D41377"/>
    <w:rsid w:val="00D43FF2"/>
    <w:rsid w:val="00D54FDE"/>
    <w:rsid w:val="00D57C96"/>
    <w:rsid w:val="00D57D18"/>
    <w:rsid w:val="00D70E65"/>
    <w:rsid w:val="00D7660D"/>
    <w:rsid w:val="00D81E08"/>
    <w:rsid w:val="00D824D4"/>
    <w:rsid w:val="00D905A5"/>
    <w:rsid w:val="00D91203"/>
    <w:rsid w:val="00D95174"/>
    <w:rsid w:val="00D95313"/>
    <w:rsid w:val="00DA23F0"/>
    <w:rsid w:val="00DA2918"/>
    <w:rsid w:val="00DA3735"/>
    <w:rsid w:val="00DA38A9"/>
    <w:rsid w:val="00DA4973"/>
    <w:rsid w:val="00DA6F36"/>
    <w:rsid w:val="00DB596E"/>
    <w:rsid w:val="00DB7773"/>
    <w:rsid w:val="00DC00EA"/>
    <w:rsid w:val="00DC3802"/>
    <w:rsid w:val="00DD1CF5"/>
    <w:rsid w:val="00DD36B3"/>
    <w:rsid w:val="00DD6208"/>
    <w:rsid w:val="00DD6F58"/>
    <w:rsid w:val="00DD7262"/>
    <w:rsid w:val="00DE08F8"/>
    <w:rsid w:val="00DF1194"/>
    <w:rsid w:val="00DF2AD1"/>
    <w:rsid w:val="00DF7E99"/>
    <w:rsid w:val="00E06ED0"/>
    <w:rsid w:val="00E07D87"/>
    <w:rsid w:val="00E249C8"/>
    <w:rsid w:val="00E2576A"/>
    <w:rsid w:val="00E2674F"/>
    <w:rsid w:val="00E32969"/>
    <w:rsid w:val="00E32F7E"/>
    <w:rsid w:val="00E3443C"/>
    <w:rsid w:val="00E35C15"/>
    <w:rsid w:val="00E403FF"/>
    <w:rsid w:val="00E42D55"/>
    <w:rsid w:val="00E47907"/>
    <w:rsid w:val="00E5267B"/>
    <w:rsid w:val="00E53166"/>
    <w:rsid w:val="00E54168"/>
    <w:rsid w:val="00E559F0"/>
    <w:rsid w:val="00E60516"/>
    <w:rsid w:val="00E63C0E"/>
    <w:rsid w:val="00E6553F"/>
    <w:rsid w:val="00E72D49"/>
    <w:rsid w:val="00E7593C"/>
    <w:rsid w:val="00E76526"/>
    <w:rsid w:val="00E7678A"/>
    <w:rsid w:val="00E82301"/>
    <w:rsid w:val="00E933A2"/>
    <w:rsid w:val="00E935F1"/>
    <w:rsid w:val="00E94A81"/>
    <w:rsid w:val="00E96942"/>
    <w:rsid w:val="00EA1FFB"/>
    <w:rsid w:val="00EA4EB9"/>
    <w:rsid w:val="00EA6194"/>
    <w:rsid w:val="00EB048E"/>
    <w:rsid w:val="00EB3A00"/>
    <w:rsid w:val="00EB4E9C"/>
    <w:rsid w:val="00EC3AD3"/>
    <w:rsid w:val="00ED01C0"/>
    <w:rsid w:val="00ED61F9"/>
    <w:rsid w:val="00EE2460"/>
    <w:rsid w:val="00EE34DF"/>
    <w:rsid w:val="00EE39C8"/>
    <w:rsid w:val="00EF2F89"/>
    <w:rsid w:val="00EF4499"/>
    <w:rsid w:val="00F03E98"/>
    <w:rsid w:val="00F05A6D"/>
    <w:rsid w:val="00F105A4"/>
    <w:rsid w:val="00F1237A"/>
    <w:rsid w:val="00F22CBD"/>
    <w:rsid w:val="00F23157"/>
    <w:rsid w:val="00F272F1"/>
    <w:rsid w:val="00F31412"/>
    <w:rsid w:val="00F35A68"/>
    <w:rsid w:val="00F368B7"/>
    <w:rsid w:val="00F45372"/>
    <w:rsid w:val="00F560F7"/>
    <w:rsid w:val="00F57B2D"/>
    <w:rsid w:val="00F6334D"/>
    <w:rsid w:val="00F63599"/>
    <w:rsid w:val="00F64B28"/>
    <w:rsid w:val="00F65B22"/>
    <w:rsid w:val="00F71781"/>
    <w:rsid w:val="00F76B1E"/>
    <w:rsid w:val="00F95368"/>
    <w:rsid w:val="00F96CB3"/>
    <w:rsid w:val="00FA49AB"/>
    <w:rsid w:val="00FC0064"/>
    <w:rsid w:val="00FC398B"/>
    <w:rsid w:val="00FC5FD0"/>
    <w:rsid w:val="00FD045B"/>
    <w:rsid w:val="00FD1504"/>
    <w:rsid w:val="00FD53A1"/>
    <w:rsid w:val="00FD5A7E"/>
    <w:rsid w:val="00FE39C7"/>
    <w:rsid w:val="00FF1093"/>
    <w:rsid w:val="00FF483B"/>
    <w:rsid w:val="00FF4D07"/>
    <w:rsid w:val="00FF6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FFDC6"/>
  <w15:docId w15:val="{3EE3AA3E-A328-4CB8-8909-CAE9B92D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7A3"/>
    <w:pPr>
      <w:jc w:val="both"/>
    </w:pPr>
    <w:rPr>
      <w:rFonts w:ascii="Arial" w:hAnsi="Arial"/>
    </w:rPr>
  </w:style>
  <w:style w:type="paragraph" w:styleId="Heading1">
    <w:name w:val="heading 1"/>
    <w:next w:val="Normal"/>
    <w:link w:val="Heading1Char"/>
    <w:autoRedefine/>
    <w:qFormat/>
    <w:rsid w:val="00C128CE"/>
    <w:pPr>
      <w:keepNext/>
      <w:jc w:val="both"/>
      <w:outlineLvl w:val="0"/>
    </w:pPr>
    <w:rPr>
      <w:rFonts w:ascii="Arial" w:hAnsi="Arial"/>
      <w:lang w:eastAsia="ja-JP"/>
    </w:rPr>
  </w:style>
  <w:style w:type="paragraph" w:styleId="Heading2">
    <w:name w:val="heading 2"/>
    <w:aliases w:val="VARIETY,variety"/>
    <w:next w:val="Normal"/>
    <w:link w:val="Heading2Char"/>
    <w:autoRedefine/>
    <w:qFormat/>
    <w:rsid w:val="00C437A3"/>
    <w:pPr>
      <w:keepNext/>
      <w:jc w:val="both"/>
      <w:outlineLvl w:val="1"/>
    </w:pPr>
    <w:rPr>
      <w:rFonts w:ascii="Arial" w:hAnsi="Arial"/>
      <w:u w:val="single"/>
    </w:rPr>
  </w:style>
  <w:style w:type="paragraph" w:styleId="Heading3">
    <w:name w:val="heading 3"/>
    <w:next w:val="Normal"/>
    <w:link w:val="Heading3Char"/>
    <w:autoRedefine/>
    <w:qFormat/>
    <w:rsid w:val="005F6C47"/>
    <w:pPr>
      <w:keepNext/>
      <w:jc w:val="both"/>
      <w:outlineLvl w:val="2"/>
    </w:pPr>
    <w:rPr>
      <w:rFonts w:ascii="Arial" w:hAnsi="Arial"/>
      <w:i/>
      <w:spacing w:val="-2"/>
    </w:rPr>
  </w:style>
  <w:style w:type="paragraph" w:styleId="Heading4">
    <w:name w:val="heading 4"/>
    <w:next w:val="Normal"/>
    <w:link w:val="Heading4Char"/>
    <w:autoRedefine/>
    <w:qFormat/>
    <w:rsid w:val="00BA25C9"/>
    <w:pPr>
      <w:keepNext/>
      <w:ind w:left="1701"/>
      <w:jc w:val="both"/>
      <w:outlineLvl w:val="3"/>
    </w:pPr>
    <w:rPr>
      <w:rFonts w:ascii="Arial" w:hAnsi="Arial"/>
      <w:u w:val="single"/>
      <w:lang w:val="fr-FR"/>
    </w:rPr>
  </w:style>
  <w:style w:type="paragraph" w:styleId="Heading5">
    <w:name w:val="heading 5"/>
    <w:next w:val="Normal"/>
    <w:link w:val="Heading5Char"/>
    <w:autoRedefine/>
    <w:qFormat/>
    <w:rsid w:val="00C437A3"/>
    <w:pPr>
      <w:keepNext/>
      <w:ind w:left="1134" w:hanging="567"/>
      <w:jc w:val="both"/>
      <w:outlineLvl w:val="4"/>
    </w:pPr>
    <w:rPr>
      <w:rFonts w:ascii="Arial" w:hAnsi="Arial"/>
      <w:i/>
    </w:rPr>
  </w:style>
  <w:style w:type="paragraph" w:styleId="Heading9">
    <w:name w:val="heading 9"/>
    <w:basedOn w:val="Normal"/>
    <w:next w:val="Normal"/>
    <w:qFormat/>
    <w:rsid w:val="00C437A3"/>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C437A3"/>
    <w:pPr>
      <w:jc w:val="center"/>
    </w:pPr>
    <w:rPr>
      <w:rFonts w:ascii="Arial" w:hAnsi="Arial"/>
      <w:lang w:val="fr-FR"/>
    </w:rPr>
  </w:style>
  <w:style w:type="paragraph" w:styleId="Footer">
    <w:name w:val="footer"/>
    <w:aliases w:val="doc_path_name"/>
    <w:autoRedefine/>
    <w:rsid w:val="00C437A3"/>
    <w:pPr>
      <w:jc w:val="both"/>
    </w:pPr>
    <w:rPr>
      <w:rFonts w:ascii="Arial" w:hAnsi="Arial"/>
      <w:sz w:val="14"/>
    </w:rPr>
  </w:style>
  <w:style w:type="character" w:styleId="PageNumber">
    <w:name w:val="page number"/>
    <w:basedOn w:val="DefaultParagraphFont"/>
    <w:rsid w:val="00C437A3"/>
    <w:rPr>
      <w:rFonts w:ascii="Arial" w:hAnsi="Arial"/>
      <w:sz w:val="20"/>
    </w:rPr>
  </w:style>
  <w:style w:type="paragraph" w:styleId="Title">
    <w:name w:val="Title"/>
    <w:basedOn w:val="Normal"/>
    <w:qFormat/>
    <w:rsid w:val="00C437A3"/>
    <w:pPr>
      <w:spacing w:after="300"/>
      <w:jc w:val="center"/>
    </w:pPr>
    <w:rPr>
      <w:b/>
      <w:caps/>
      <w:kern w:val="28"/>
      <w:sz w:val="30"/>
    </w:rPr>
  </w:style>
  <w:style w:type="paragraph" w:customStyle="1" w:styleId="preparedby">
    <w:name w:val="preparedby"/>
    <w:basedOn w:val="Normal"/>
    <w:next w:val="Normal"/>
    <w:semiHidden/>
    <w:rsid w:val="00C437A3"/>
    <w:pPr>
      <w:spacing w:after="600"/>
      <w:jc w:val="center"/>
    </w:pPr>
    <w:rPr>
      <w:i/>
    </w:rPr>
  </w:style>
  <w:style w:type="paragraph" w:customStyle="1" w:styleId="Docoriginal">
    <w:name w:val="Doc_original"/>
    <w:basedOn w:val="Code"/>
    <w:link w:val="DocoriginalChar"/>
    <w:rsid w:val="00C437A3"/>
    <w:pPr>
      <w:spacing w:before="240" w:line="240" w:lineRule="exact"/>
      <w:ind w:left="0"/>
      <w:contextualSpacing/>
      <w:jc w:val="left"/>
    </w:pPr>
    <w:rPr>
      <w:sz w:val="18"/>
    </w:rPr>
  </w:style>
  <w:style w:type="paragraph" w:customStyle="1" w:styleId="DecisionParagraphs">
    <w:name w:val="DecisionParagraphs"/>
    <w:basedOn w:val="Normal"/>
    <w:uiPriority w:val="99"/>
    <w:rsid w:val="00C437A3"/>
    <w:pPr>
      <w:tabs>
        <w:tab w:val="left" w:pos="5387"/>
      </w:tabs>
      <w:ind w:left="4820"/>
    </w:pPr>
    <w:rPr>
      <w:i/>
    </w:rPr>
  </w:style>
  <w:style w:type="paragraph" w:styleId="FootnoteText">
    <w:name w:val="footnote text"/>
    <w:link w:val="FootnoteTextChar"/>
    <w:autoRedefine/>
    <w:rsid w:val="007740E9"/>
    <w:pPr>
      <w:spacing w:before="60"/>
      <w:ind w:left="284" w:hanging="284"/>
      <w:jc w:val="both"/>
    </w:pPr>
    <w:rPr>
      <w:rFonts w:ascii="Arial" w:hAnsi="Arial"/>
      <w:sz w:val="16"/>
    </w:rPr>
  </w:style>
  <w:style w:type="character" w:styleId="FootnoteReference">
    <w:name w:val="footnote reference"/>
    <w:basedOn w:val="DefaultParagraphFont"/>
    <w:rsid w:val="00C437A3"/>
    <w:rPr>
      <w:vertAlign w:val="superscript"/>
    </w:rPr>
  </w:style>
  <w:style w:type="paragraph" w:styleId="Closing">
    <w:name w:val="Closing"/>
    <w:basedOn w:val="Normal"/>
    <w:rsid w:val="00C437A3"/>
    <w:pPr>
      <w:ind w:left="4536"/>
      <w:jc w:val="center"/>
    </w:pPr>
  </w:style>
  <w:style w:type="paragraph" w:styleId="Index1">
    <w:name w:val="index 1"/>
    <w:basedOn w:val="Normal"/>
    <w:next w:val="Normal"/>
    <w:semiHidden/>
    <w:rsid w:val="00C437A3"/>
    <w:pPr>
      <w:tabs>
        <w:tab w:val="right" w:leader="dot" w:pos="9071"/>
      </w:tabs>
      <w:ind w:left="284" w:hanging="284"/>
    </w:pPr>
    <w:rPr>
      <w:sz w:val="24"/>
    </w:rPr>
  </w:style>
  <w:style w:type="paragraph" w:styleId="Index2">
    <w:name w:val="index 2"/>
    <w:basedOn w:val="Normal"/>
    <w:next w:val="Normal"/>
    <w:semiHidden/>
    <w:rsid w:val="00C437A3"/>
    <w:pPr>
      <w:tabs>
        <w:tab w:val="right" w:leader="dot" w:pos="9071"/>
      </w:tabs>
      <w:ind w:left="568" w:hanging="284"/>
    </w:pPr>
    <w:rPr>
      <w:sz w:val="24"/>
    </w:rPr>
  </w:style>
  <w:style w:type="paragraph" w:styleId="Index3">
    <w:name w:val="index 3"/>
    <w:basedOn w:val="Normal"/>
    <w:next w:val="Normal"/>
    <w:semiHidden/>
    <w:rsid w:val="00C437A3"/>
    <w:pPr>
      <w:tabs>
        <w:tab w:val="right" w:leader="dot" w:pos="9071"/>
      </w:tabs>
      <w:ind w:left="851" w:hanging="284"/>
    </w:pPr>
    <w:rPr>
      <w:sz w:val="24"/>
    </w:rPr>
  </w:style>
  <w:style w:type="paragraph" w:styleId="MacroText">
    <w:name w:val="macro"/>
    <w:semiHidden/>
    <w:rsid w:val="00C437A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C437A3"/>
    <w:pPr>
      <w:ind w:left="4536"/>
      <w:jc w:val="center"/>
    </w:pPr>
  </w:style>
  <w:style w:type="character" w:customStyle="1" w:styleId="Doclang">
    <w:name w:val="Doc_lang"/>
    <w:basedOn w:val="DefaultParagraphFont"/>
    <w:rsid w:val="00C437A3"/>
    <w:rPr>
      <w:rFonts w:ascii="Arial" w:hAnsi="Arial"/>
      <w:sz w:val="20"/>
      <w:lang w:val="en-US"/>
    </w:rPr>
  </w:style>
  <w:style w:type="paragraph" w:customStyle="1" w:styleId="Session">
    <w:name w:val="Session"/>
    <w:basedOn w:val="Normal"/>
    <w:semiHidden/>
    <w:rsid w:val="00C437A3"/>
    <w:pPr>
      <w:spacing w:before="60"/>
      <w:jc w:val="center"/>
    </w:pPr>
    <w:rPr>
      <w:b/>
    </w:rPr>
  </w:style>
  <w:style w:type="paragraph" w:customStyle="1" w:styleId="Organizer">
    <w:name w:val="Organizer"/>
    <w:basedOn w:val="Normal"/>
    <w:semiHidden/>
    <w:rsid w:val="00C437A3"/>
    <w:pPr>
      <w:spacing w:after="600"/>
      <w:ind w:left="-993" w:right="-994"/>
      <w:jc w:val="center"/>
    </w:pPr>
    <w:rPr>
      <w:b/>
      <w:caps/>
      <w:kern w:val="26"/>
      <w:sz w:val="26"/>
    </w:rPr>
  </w:style>
  <w:style w:type="paragraph" w:styleId="BodyText">
    <w:name w:val="Body Text"/>
    <w:basedOn w:val="Normal"/>
    <w:rsid w:val="00C437A3"/>
  </w:style>
  <w:style w:type="paragraph" w:customStyle="1" w:styleId="Disclaimer">
    <w:name w:val="Disclaimer"/>
    <w:next w:val="Normal"/>
    <w:qFormat/>
    <w:rsid w:val="00C437A3"/>
    <w:pPr>
      <w:spacing w:after="600"/>
    </w:pPr>
    <w:rPr>
      <w:rFonts w:ascii="Arial" w:hAnsi="Arial"/>
      <w:i/>
      <w:iCs/>
      <w:color w:val="A6A6A6" w:themeColor="background1" w:themeShade="A6"/>
    </w:rPr>
  </w:style>
  <w:style w:type="paragraph" w:customStyle="1" w:styleId="upove">
    <w:name w:val="upov_e"/>
    <w:basedOn w:val="Normal"/>
    <w:rsid w:val="00C437A3"/>
    <w:pPr>
      <w:spacing w:before="120"/>
    </w:pPr>
    <w:rPr>
      <w:sz w:val="16"/>
    </w:rPr>
  </w:style>
  <w:style w:type="paragraph" w:customStyle="1" w:styleId="TitleofDoc">
    <w:name w:val="Title of Doc"/>
    <w:basedOn w:val="Normal"/>
    <w:semiHidden/>
    <w:rsid w:val="00C437A3"/>
    <w:pPr>
      <w:spacing w:before="1200"/>
      <w:jc w:val="center"/>
    </w:pPr>
    <w:rPr>
      <w:caps/>
    </w:rPr>
  </w:style>
  <w:style w:type="paragraph" w:customStyle="1" w:styleId="preparedby0">
    <w:name w:val="prepared by"/>
    <w:basedOn w:val="Normal"/>
    <w:semiHidden/>
    <w:rsid w:val="00C437A3"/>
    <w:pPr>
      <w:spacing w:before="600" w:after="600"/>
      <w:jc w:val="center"/>
    </w:pPr>
    <w:rPr>
      <w:i/>
    </w:rPr>
  </w:style>
  <w:style w:type="paragraph" w:customStyle="1" w:styleId="PlaceAndDate">
    <w:name w:val="PlaceAndDate"/>
    <w:basedOn w:val="Session"/>
    <w:semiHidden/>
    <w:rsid w:val="00C437A3"/>
  </w:style>
  <w:style w:type="paragraph" w:styleId="EndnoteText">
    <w:name w:val="endnote text"/>
    <w:basedOn w:val="Normal"/>
    <w:semiHidden/>
    <w:rsid w:val="00C437A3"/>
  </w:style>
  <w:style w:type="character" w:styleId="EndnoteReference">
    <w:name w:val="endnote reference"/>
    <w:basedOn w:val="DefaultParagraphFont"/>
    <w:semiHidden/>
    <w:rsid w:val="00C437A3"/>
    <w:rPr>
      <w:vertAlign w:val="superscript"/>
    </w:rPr>
  </w:style>
  <w:style w:type="paragraph" w:customStyle="1" w:styleId="SessionMeetingPlace">
    <w:name w:val="Session_MeetingPlace"/>
    <w:basedOn w:val="Normal"/>
    <w:semiHidden/>
    <w:rsid w:val="00C437A3"/>
    <w:pPr>
      <w:spacing w:before="480"/>
      <w:jc w:val="center"/>
    </w:pPr>
    <w:rPr>
      <w:b/>
      <w:bCs/>
      <w:kern w:val="28"/>
      <w:sz w:val="24"/>
    </w:rPr>
  </w:style>
  <w:style w:type="paragraph" w:customStyle="1" w:styleId="Original">
    <w:name w:val="Original"/>
    <w:basedOn w:val="Normal"/>
    <w:semiHidden/>
    <w:rsid w:val="00C437A3"/>
    <w:pPr>
      <w:spacing w:before="60"/>
      <w:ind w:left="1276"/>
    </w:pPr>
    <w:rPr>
      <w:b/>
      <w:sz w:val="22"/>
    </w:rPr>
  </w:style>
  <w:style w:type="paragraph" w:styleId="Date">
    <w:name w:val="Date"/>
    <w:basedOn w:val="Normal"/>
    <w:semiHidden/>
    <w:rsid w:val="00C437A3"/>
    <w:pPr>
      <w:spacing w:line="340" w:lineRule="exact"/>
      <w:ind w:left="1276"/>
    </w:pPr>
    <w:rPr>
      <w:b/>
      <w:sz w:val="22"/>
    </w:rPr>
  </w:style>
  <w:style w:type="paragraph" w:customStyle="1" w:styleId="Code">
    <w:name w:val="Code"/>
    <w:basedOn w:val="Normal"/>
    <w:link w:val="CodeChar"/>
    <w:semiHidden/>
    <w:rsid w:val="00C437A3"/>
    <w:pPr>
      <w:spacing w:line="340" w:lineRule="atLeast"/>
      <w:ind w:left="1276"/>
    </w:pPr>
    <w:rPr>
      <w:b/>
      <w:bCs/>
      <w:spacing w:val="10"/>
    </w:rPr>
  </w:style>
  <w:style w:type="paragraph" w:customStyle="1" w:styleId="Country">
    <w:name w:val="Country"/>
    <w:basedOn w:val="Normal"/>
    <w:semiHidden/>
    <w:rsid w:val="00C437A3"/>
    <w:pPr>
      <w:spacing w:before="60" w:after="480"/>
      <w:jc w:val="center"/>
    </w:pPr>
  </w:style>
  <w:style w:type="paragraph" w:customStyle="1" w:styleId="Lettrine">
    <w:name w:val="Lettrine"/>
    <w:basedOn w:val="Normal"/>
    <w:rsid w:val="00C437A3"/>
    <w:pPr>
      <w:spacing w:line="340" w:lineRule="atLeast"/>
      <w:jc w:val="right"/>
    </w:pPr>
    <w:rPr>
      <w:b/>
      <w:bCs/>
      <w:sz w:val="36"/>
    </w:rPr>
  </w:style>
  <w:style w:type="paragraph" w:customStyle="1" w:styleId="LogoUPOV">
    <w:name w:val="LogoUPOV"/>
    <w:basedOn w:val="Normal"/>
    <w:rsid w:val="00C437A3"/>
    <w:pPr>
      <w:spacing w:before="600" w:after="80"/>
      <w:jc w:val="center"/>
    </w:pPr>
    <w:rPr>
      <w:snapToGrid w:val="0"/>
    </w:rPr>
  </w:style>
  <w:style w:type="paragraph" w:customStyle="1" w:styleId="Sessiontc">
    <w:name w:val="Session_tc"/>
    <w:basedOn w:val="StyleSessionAllcaps"/>
    <w:rsid w:val="00C437A3"/>
    <w:pPr>
      <w:spacing w:before="0" w:line="280" w:lineRule="exact"/>
      <w:jc w:val="left"/>
    </w:pPr>
    <w:rPr>
      <w:caps w:val="0"/>
      <w:sz w:val="20"/>
    </w:rPr>
  </w:style>
  <w:style w:type="paragraph" w:customStyle="1" w:styleId="TitreUpov">
    <w:name w:val="TitreUpov"/>
    <w:basedOn w:val="Normal"/>
    <w:semiHidden/>
    <w:rsid w:val="00C437A3"/>
    <w:pPr>
      <w:spacing w:before="60"/>
      <w:jc w:val="center"/>
    </w:pPr>
    <w:rPr>
      <w:b/>
      <w:sz w:val="24"/>
    </w:rPr>
  </w:style>
  <w:style w:type="paragraph" w:customStyle="1" w:styleId="StyleSessionAllcaps">
    <w:name w:val="Style Session + All caps"/>
    <w:basedOn w:val="Session"/>
    <w:semiHidden/>
    <w:rsid w:val="00C437A3"/>
    <w:pPr>
      <w:spacing w:before="480"/>
    </w:pPr>
    <w:rPr>
      <w:bCs/>
      <w:caps/>
      <w:kern w:val="28"/>
      <w:sz w:val="24"/>
    </w:rPr>
  </w:style>
  <w:style w:type="paragraph" w:customStyle="1" w:styleId="plcountry">
    <w:name w:val="plcountry"/>
    <w:basedOn w:val="Normal"/>
    <w:rsid w:val="00C437A3"/>
    <w:pPr>
      <w:keepNext/>
      <w:keepLines/>
      <w:spacing w:before="180" w:after="120"/>
      <w:jc w:val="left"/>
    </w:pPr>
    <w:rPr>
      <w:caps/>
      <w:noProof/>
      <w:snapToGrid w:val="0"/>
      <w:u w:val="single"/>
    </w:rPr>
  </w:style>
  <w:style w:type="paragraph" w:customStyle="1" w:styleId="pldetails">
    <w:name w:val="pldetails"/>
    <w:basedOn w:val="Normal"/>
    <w:rsid w:val="00C437A3"/>
    <w:pPr>
      <w:keepLines/>
      <w:spacing w:before="60" w:after="60"/>
      <w:jc w:val="left"/>
    </w:pPr>
    <w:rPr>
      <w:noProof/>
      <w:snapToGrid w:val="0"/>
    </w:rPr>
  </w:style>
  <w:style w:type="paragraph" w:customStyle="1" w:styleId="plheading">
    <w:name w:val="plheading"/>
    <w:basedOn w:val="Normal"/>
    <w:rsid w:val="00C437A3"/>
    <w:pPr>
      <w:keepNext/>
      <w:spacing w:before="480" w:after="120"/>
      <w:jc w:val="center"/>
    </w:pPr>
    <w:rPr>
      <w:caps/>
      <w:snapToGrid w:val="0"/>
      <w:u w:val="single"/>
    </w:rPr>
  </w:style>
  <w:style w:type="paragraph" w:customStyle="1" w:styleId="Sessiontcplacedate">
    <w:name w:val="Session_tc_place_date"/>
    <w:basedOn w:val="SessionMeetingPlace"/>
    <w:rsid w:val="00C437A3"/>
    <w:pPr>
      <w:spacing w:before="240"/>
      <w:contextualSpacing/>
      <w:jc w:val="left"/>
    </w:pPr>
    <w:rPr>
      <w:sz w:val="20"/>
    </w:rPr>
  </w:style>
  <w:style w:type="paragraph" w:customStyle="1" w:styleId="Titleofdoc0">
    <w:name w:val="Title_of_doc"/>
    <w:basedOn w:val="TitleofDoc"/>
    <w:link w:val="TitleofdocChar"/>
    <w:rsid w:val="00C437A3"/>
    <w:pPr>
      <w:spacing w:before="600" w:after="240"/>
      <w:jc w:val="left"/>
    </w:pPr>
    <w:rPr>
      <w:b/>
    </w:rPr>
  </w:style>
  <w:style w:type="paragraph" w:customStyle="1" w:styleId="preparedby1">
    <w:name w:val="prepared_by"/>
    <w:basedOn w:val="preparedby0"/>
    <w:rsid w:val="00C437A3"/>
    <w:pPr>
      <w:spacing w:before="0" w:after="240"/>
      <w:jc w:val="left"/>
    </w:pPr>
    <w:rPr>
      <w:iCs/>
    </w:rPr>
  </w:style>
  <w:style w:type="character" w:customStyle="1" w:styleId="CodeChar">
    <w:name w:val="Code Char"/>
    <w:basedOn w:val="DefaultParagraphFont"/>
    <w:link w:val="Code"/>
    <w:semiHidden/>
    <w:rsid w:val="00C437A3"/>
    <w:rPr>
      <w:rFonts w:ascii="Arial" w:hAnsi="Arial"/>
      <w:b/>
      <w:bCs/>
      <w:spacing w:val="10"/>
    </w:rPr>
  </w:style>
  <w:style w:type="paragraph" w:customStyle="1" w:styleId="endofdoc">
    <w:name w:val="end_of_doc"/>
    <w:next w:val="Header"/>
    <w:autoRedefine/>
    <w:rsid w:val="00C437A3"/>
    <w:pPr>
      <w:spacing w:before="480"/>
      <w:ind w:left="567" w:hanging="567"/>
      <w:jc w:val="right"/>
    </w:pPr>
    <w:rPr>
      <w:rFonts w:ascii="Arial" w:hAnsi="Arial"/>
    </w:rPr>
  </w:style>
  <w:style w:type="character" w:customStyle="1" w:styleId="DocoriginalChar">
    <w:name w:val="Doc_original Char"/>
    <w:basedOn w:val="CodeChar"/>
    <w:link w:val="Docoriginal"/>
    <w:rsid w:val="00C437A3"/>
    <w:rPr>
      <w:rFonts w:ascii="Arial" w:hAnsi="Arial"/>
      <w:b/>
      <w:bCs/>
      <w:spacing w:val="10"/>
      <w:sz w:val="18"/>
    </w:rPr>
  </w:style>
  <w:style w:type="paragraph" w:styleId="TOC2">
    <w:name w:val="toc 2"/>
    <w:basedOn w:val="Normal"/>
    <w:next w:val="Normal"/>
    <w:uiPriority w:val="39"/>
    <w:qFormat/>
    <w:rsid w:val="001D3FDF"/>
    <w:pPr>
      <w:tabs>
        <w:tab w:val="right" w:leader="dot" w:pos="9639"/>
      </w:tabs>
      <w:spacing w:before="60"/>
      <w:ind w:left="284" w:right="851"/>
      <w:jc w:val="left"/>
    </w:pPr>
    <w:rPr>
      <w:rFonts w:eastAsiaTheme="minorHAnsi" w:cs="Arial"/>
      <w:noProof/>
      <w:sz w:val="18"/>
      <w:szCs w:val="18"/>
    </w:rPr>
  </w:style>
  <w:style w:type="paragraph" w:styleId="TOC3">
    <w:name w:val="toc 3"/>
    <w:next w:val="Normal"/>
    <w:uiPriority w:val="39"/>
    <w:qFormat/>
    <w:rsid w:val="001D3FDF"/>
    <w:pPr>
      <w:tabs>
        <w:tab w:val="right" w:leader="dot" w:pos="9639"/>
      </w:tabs>
      <w:spacing w:before="60"/>
      <w:ind w:left="567" w:right="1418"/>
      <w:contextualSpacing/>
    </w:pPr>
    <w:rPr>
      <w:rFonts w:ascii="Arial" w:hAnsi="Arial" w:cs="Arial"/>
      <w:i/>
      <w:noProof/>
      <w:sz w:val="18"/>
    </w:rPr>
  </w:style>
  <w:style w:type="character" w:styleId="Hyperlink">
    <w:name w:val="Hyperlink"/>
    <w:basedOn w:val="DefaultParagraphFont"/>
    <w:uiPriority w:val="99"/>
    <w:rsid w:val="00C437A3"/>
    <w:rPr>
      <w:rFonts w:ascii="Arial" w:hAnsi="Arial"/>
      <w:color w:val="0000FF"/>
      <w:u w:val="single"/>
    </w:rPr>
  </w:style>
  <w:style w:type="paragraph" w:styleId="TOC4">
    <w:name w:val="toc 4"/>
    <w:next w:val="Normal"/>
    <w:autoRedefine/>
    <w:uiPriority w:val="39"/>
    <w:rsid w:val="001D3FDF"/>
    <w:pPr>
      <w:tabs>
        <w:tab w:val="right" w:leader="dot" w:pos="9639"/>
      </w:tabs>
      <w:spacing w:before="60"/>
      <w:ind w:left="851" w:right="851"/>
      <w:contextualSpacing/>
    </w:pPr>
    <w:rPr>
      <w:rFonts w:ascii="Arial" w:hAnsi="Arial"/>
      <w:iCs/>
      <w:noProof/>
      <w:sz w:val="18"/>
      <w:lang w:val="fr-FR"/>
    </w:rPr>
  </w:style>
  <w:style w:type="paragraph" w:styleId="TOC1">
    <w:name w:val="toc 1"/>
    <w:basedOn w:val="Normal"/>
    <w:next w:val="Normal"/>
    <w:uiPriority w:val="39"/>
    <w:qFormat/>
    <w:rsid w:val="001D3FDF"/>
    <w:pPr>
      <w:tabs>
        <w:tab w:val="right" w:leader="dot" w:pos="9639"/>
      </w:tabs>
      <w:spacing w:before="60"/>
      <w:ind w:right="1418"/>
      <w:jc w:val="left"/>
    </w:pPr>
    <w:rPr>
      <w:rFonts w:cs="Arial"/>
      <w:bCs/>
      <w:caps/>
      <w:noProof/>
      <w:sz w:val="18"/>
    </w:rPr>
  </w:style>
  <w:style w:type="paragraph" w:styleId="TOC5">
    <w:name w:val="toc 5"/>
    <w:next w:val="Normal"/>
    <w:autoRedefine/>
    <w:rsid w:val="00C437A3"/>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C437A3"/>
    <w:rPr>
      <w:rFonts w:ascii="Tahoma" w:hAnsi="Tahoma" w:cs="Tahoma"/>
      <w:sz w:val="16"/>
      <w:szCs w:val="16"/>
    </w:rPr>
  </w:style>
  <w:style w:type="character" w:customStyle="1" w:styleId="BalloonTextChar">
    <w:name w:val="Balloon Text Char"/>
    <w:basedOn w:val="DefaultParagraphFont"/>
    <w:link w:val="BalloonText"/>
    <w:rsid w:val="00C437A3"/>
    <w:rPr>
      <w:rFonts w:ascii="Tahoma" w:hAnsi="Tahoma" w:cs="Tahoma"/>
      <w:sz w:val="16"/>
      <w:szCs w:val="16"/>
    </w:rPr>
  </w:style>
  <w:style w:type="paragraph" w:customStyle="1" w:styleId="Doccode">
    <w:name w:val="Doc_code"/>
    <w:qFormat/>
    <w:rsid w:val="00C437A3"/>
    <w:rPr>
      <w:rFonts w:ascii="Arial" w:hAnsi="Arial"/>
      <w:b/>
      <w:bCs/>
      <w:spacing w:val="10"/>
      <w:sz w:val="18"/>
    </w:rPr>
  </w:style>
  <w:style w:type="character" w:customStyle="1" w:styleId="TitleofdocChar">
    <w:name w:val="Title_of_doc Char"/>
    <w:link w:val="Titleofdoc0"/>
    <w:rsid w:val="00704ECF"/>
    <w:rPr>
      <w:rFonts w:ascii="Arial" w:hAnsi="Arial"/>
      <w:b/>
      <w:caps/>
    </w:rPr>
  </w:style>
  <w:style w:type="paragraph" w:customStyle="1" w:styleId="Sessiontwp">
    <w:name w:val="Session_twp"/>
    <w:basedOn w:val="Normal"/>
    <w:next w:val="Normal"/>
    <w:qFormat/>
    <w:rsid w:val="00C437A3"/>
    <w:rPr>
      <w:b/>
    </w:rPr>
  </w:style>
  <w:style w:type="paragraph" w:customStyle="1" w:styleId="Sessiontwpplacedate">
    <w:name w:val="Session_twp_place_date"/>
    <w:basedOn w:val="Normal"/>
    <w:next w:val="Normal"/>
    <w:qFormat/>
    <w:rsid w:val="00C437A3"/>
  </w:style>
  <w:style w:type="character" w:customStyle="1" w:styleId="Heading1Char">
    <w:name w:val="Heading 1 Char"/>
    <w:basedOn w:val="DefaultParagraphFont"/>
    <w:link w:val="Heading1"/>
    <w:rsid w:val="00C128CE"/>
    <w:rPr>
      <w:rFonts w:ascii="Arial" w:hAnsi="Arial"/>
      <w:lang w:eastAsia="ja-JP"/>
    </w:rPr>
  </w:style>
  <w:style w:type="character" w:customStyle="1" w:styleId="Heading2Char">
    <w:name w:val="Heading 2 Char"/>
    <w:aliases w:val="VARIETY Char,variety Char"/>
    <w:link w:val="Heading2"/>
    <w:locked/>
    <w:rsid w:val="005F6C47"/>
    <w:rPr>
      <w:rFonts w:ascii="Arial" w:hAnsi="Arial"/>
      <w:u w:val="single"/>
    </w:rPr>
  </w:style>
  <w:style w:type="character" w:customStyle="1" w:styleId="FootnoteTextChar">
    <w:name w:val="Footnote Text Char"/>
    <w:basedOn w:val="DefaultParagraphFont"/>
    <w:link w:val="FootnoteText"/>
    <w:rsid w:val="007740E9"/>
    <w:rPr>
      <w:rFonts w:ascii="Arial" w:hAnsi="Arial"/>
      <w:sz w:val="16"/>
    </w:rPr>
  </w:style>
  <w:style w:type="paragraph" w:styleId="ListParagraph">
    <w:name w:val="List Paragraph"/>
    <w:aliases w:val="auto_list_(i),List Paragraph1"/>
    <w:basedOn w:val="Normal"/>
    <w:link w:val="ListParagraphChar"/>
    <w:uiPriority w:val="34"/>
    <w:qFormat/>
    <w:rsid w:val="005F6C47"/>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5F6C47"/>
    <w:rPr>
      <w:rFonts w:ascii="Arial" w:hAnsi="Arial"/>
    </w:rPr>
  </w:style>
  <w:style w:type="paragraph" w:customStyle="1" w:styleId="BasistekstNaktuinbouw">
    <w:name w:val="Basistekst Naktuinbouw"/>
    <w:basedOn w:val="Normal"/>
    <w:qFormat/>
    <w:rsid w:val="005F6C47"/>
    <w:pPr>
      <w:spacing w:line="240" w:lineRule="atLeast"/>
      <w:jc w:val="left"/>
    </w:pPr>
    <w:rPr>
      <w:rFonts w:cs="Maiandra GD"/>
      <w:color w:val="000000" w:themeColor="text1"/>
      <w:szCs w:val="18"/>
      <w:lang w:val="nl-NL" w:eastAsia="nl-NL"/>
    </w:rPr>
  </w:style>
  <w:style w:type="character" w:customStyle="1" w:styleId="Heading4Char">
    <w:name w:val="Heading 4 Char"/>
    <w:basedOn w:val="DefaultParagraphFont"/>
    <w:link w:val="Heading4"/>
    <w:rsid w:val="00BA25C9"/>
    <w:rPr>
      <w:rFonts w:ascii="Arial" w:hAnsi="Arial"/>
      <w:u w:val="single"/>
      <w:lang w:val="fr-FR"/>
    </w:rPr>
  </w:style>
  <w:style w:type="character" w:customStyle="1" w:styleId="Heading5Char">
    <w:name w:val="Heading 5 Char"/>
    <w:basedOn w:val="DefaultParagraphFont"/>
    <w:link w:val="Heading5"/>
    <w:rsid w:val="0013127A"/>
    <w:rPr>
      <w:rFonts w:ascii="Arial" w:hAnsi="Arial"/>
      <w:i/>
    </w:rPr>
  </w:style>
  <w:style w:type="character" w:customStyle="1" w:styleId="Heading3Char">
    <w:name w:val="Heading 3 Char"/>
    <w:basedOn w:val="DefaultParagraphFont"/>
    <w:link w:val="Heading3"/>
    <w:rsid w:val="00450619"/>
    <w:rPr>
      <w:rFonts w:ascii="Arial" w:hAnsi="Arial"/>
      <w:i/>
      <w:spacing w:val="-2"/>
    </w:rPr>
  </w:style>
  <w:style w:type="table" w:styleId="TableGrid">
    <w:name w:val="Table Grid"/>
    <w:basedOn w:val="TableNormal"/>
    <w:uiPriority w:val="39"/>
    <w:rsid w:val="00841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60C4"/>
    <w:rPr>
      <w:color w:val="605E5C"/>
      <w:shd w:val="clear" w:color="auto" w:fill="E1DFDD"/>
    </w:rPr>
  </w:style>
  <w:style w:type="character" w:styleId="FollowedHyperlink">
    <w:name w:val="FollowedHyperlink"/>
    <w:basedOn w:val="DefaultParagraphFont"/>
    <w:semiHidden/>
    <w:unhideWhenUsed/>
    <w:rsid w:val="00FF483B"/>
    <w:rPr>
      <w:color w:val="800080" w:themeColor="followedHyperlink"/>
      <w:u w:val="single"/>
    </w:rPr>
  </w:style>
  <w:style w:type="paragraph" w:styleId="Revision">
    <w:name w:val="Revision"/>
    <w:hidden/>
    <w:uiPriority w:val="99"/>
    <w:semiHidden/>
    <w:rsid w:val="00796196"/>
    <w:rPr>
      <w:rFonts w:ascii="Arial" w:hAnsi="Arial"/>
    </w:rPr>
  </w:style>
  <w:style w:type="character" w:styleId="CommentReference">
    <w:name w:val="annotation reference"/>
    <w:basedOn w:val="DefaultParagraphFont"/>
    <w:semiHidden/>
    <w:unhideWhenUsed/>
    <w:rsid w:val="00796196"/>
    <w:rPr>
      <w:sz w:val="16"/>
      <w:szCs w:val="16"/>
    </w:rPr>
  </w:style>
  <w:style w:type="paragraph" w:styleId="CommentText">
    <w:name w:val="annotation text"/>
    <w:basedOn w:val="Normal"/>
    <w:link w:val="CommentTextChar"/>
    <w:unhideWhenUsed/>
    <w:rsid w:val="00796196"/>
  </w:style>
  <w:style w:type="character" w:customStyle="1" w:styleId="CommentTextChar">
    <w:name w:val="Comment Text Char"/>
    <w:basedOn w:val="DefaultParagraphFont"/>
    <w:link w:val="CommentText"/>
    <w:rsid w:val="00796196"/>
    <w:rPr>
      <w:rFonts w:ascii="Arial" w:hAnsi="Arial"/>
    </w:rPr>
  </w:style>
  <w:style w:type="paragraph" w:styleId="CommentSubject">
    <w:name w:val="annotation subject"/>
    <w:basedOn w:val="CommentText"/>
    <w:next w:val="CommentText"/>
    <w:link w:val="CommentSubjectChar"/>
    <w:semiHidden/>
    <w:unhideWhenUsed/>
    <w:rsid w:val="00796196"/>
    <w:rPr>
      <w:b/>
      <w:bCs/>
    </w:rPr>
  </w:style>
  <w:style w:type="character" w:customStyle="1" w:styleId="CommentSubjectChar">
    <w:name w:val="Comment Subject Char"/>
    <w:basedOn w:val="CommentTextChar"/>
    <w:link w:val="CommentSubject"/>
    <w:semiHidden/>
    <w:rsid w:val="00796196"/>
    <w:rPr>
      <w:rFonts w:ascii="Arial" w:hAnsi="Arial"/>
      <w:b/>
      <w:bCs/>
    </w:rPr>
  </w:style>
  <w:style w:type="paragraph" w:customStyle="1" w:styleId="Heading1Annex">
    <w:name w:val="Heading 1 Annex"/>
    <w:basedOn w:val="Heading1"/>
    <w:next w:val="Normal"/>
    <w:qFormat/>
    <w:rsid w:val="00894C1B"/>
    <w:rPr>
      <w:caps/>
      <w:lang w:eastAsia="fr-FR"/>
    </w:rPr>
  </w:style>
  <w:style w:type="paragraph" w:customStyle="1" w:styleId="Heading2Annex">
    <w:name w:val="Heading 2 Annex"/>
    <w:basedOn w:val="Heading2"/>
    <w:qFormat/>
    <w:rsid w:val="00894C1B"/>
    <w:rPr>
      <w:lang w:eastAsia="fr-FR"/>
    </w:rPr>
  </w:style>
  <w:style w:type="paragraph" w:customStyle="1" w:styleId="Heading3Annex">
    <w:name w:val="Heading 3 Annex"/>
    <w:basedOn w:val="Heading3"/>
    <w:qFormat/>
    <w:rsid w:val="00894C1B"/>
    <w:pPr>
      <w:tabs>
        <w:tab w:val="left" w:pos="720"/>
      </w:tabs>
    </w:pPr>
    <w:rPr>
      <w:spacing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87285">
      <w:bodyDiv w:val="1"/>
      <w:marLeft w:val="0"/>
      <w:marRight w:val="0"/>
      <w:marTop w:val="0"/>
      <w:marBottom w:val="0"/>
      <w:divBdr>
        <w:top w:val="none" w:sz="0" w:space="0" w:color="auto"/>
        <w:left w:val="none" w:sz="0" w:space="0" w:color="auto"/>
        <w:bottom w:val="none" w:sz="0" w:space="0" w:color="auto"/>
        <w:right w:val="none" w:sz="0" w:space="0" w:color="auto"/>
      </w:divBdr>
    </w:div>
    <w:div w:id="1750032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pov.int/meetings/en/doc_details.jsp?meeting_id=67786&amp;doc_id=586962"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pvo.europa.eu/en/cpvo-policy-status-plant-material-used-dus-testing-purpos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edocs/tgpdocs/en/tgp_5_section_1.pdf" TargetMode="External"/><Relationship Id="rId5" Type="http://schemas.openxmlformats.org/officeDocument/2006/relationships/webSettings" Target="webSettings.xml"/><Relationship Id="rId15" Type="http://schemas.openxmlformats.org/officeDocument/2006/relationships/hyperlink" Target="https://cpvo.europa.eu/en/cpvo-policy-status-plant-material-used-dus-testing-purposes" TargetMode="External"/><Relationship Id="rId10" Type="http://schemas.openxmlformats.org/officeDocument/2006/relationships/hyperlink" Target="https://www.upov.int/edocs/infdocs/en/upov_inf_15.pdf"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upov.int/edocs/mdocs/upov/en/tc_55/tc_55_7.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WP_documents\twp_09\template\routing_slip_with_doc_twp_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07A68-690D-49C4-9F97-D94D3BF1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routing_slip_with_doc_twp_9</Template>
  <TotalTime>2686</TotalTime>
  <Pages>10</Pages>
  <Words>3351</Words>
  <Characters>18522</Characters>
  <Application>Microsoft Office Word</Application>
  <DocSecurity>0</DocSecurity>
  <Lines>551</Lines>
  <Paragraphs>239</Paragraphs>
  <ScaleCrop>false</ScaleCrop>
  <HeadingPairs>
    <vt:vector size="2" baseType="variant">
      <vt:variant>
        <vt:lpstr>Title</vt:lpstr>
      </vt:variant>
      <vt:variant>
        <vt:i4>1</vt:i4>
      </vt:variant>
    </vt:vector>
  </HeadingPairs>
  <TitlesOfParts>
    <vt:vector size="1" baseType="lpstr">
      <vt:lpstr>TWP/10/4</vt:lpstr>
    </vt:vector>
  </TitlesOfParts>
  <Company>UPOV</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TWP/10/4</dc:title>
  <dc:subject>Report on developments in UPOV</dc:subject>
  <dc:creator>SANCHEZ VIZCAINO GOMEZ Rosa Maria</dc:creator>
  <cp:lastModifiedBy>MAY Jessica</cp:lastModifiedBy>
  <cp:revision>152</cp:revision>
  <cp:lastPrinted>2026-02-10T12:35:00Z</cp:lastPrinted>
  <dcterms:created xsi:type="dcterms:W3CDTF">2025-01-31T10:19:00Z</dcterms:created>
  <dcterms:modified xsi:type="dcterms:W3CDTF">2026-04-30T13:08:00Z</dcterms:modified>
</cp:coreProperties>
</file>