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F3F4F27" w14:textId="77777777" w:rsidTr="00EB4E9C">
        <w:tc>
          <w:tcPr>
            <w:tcW w:w="6522" w:type="dxa"/>
          </w:tcPr>
          <w:p w14:paraId="1036290B" w14:textId="77777777" w:rsidR="00DC3802" w:rsidRPr="00AC2883" w:rsidRDefault="00DC3802" w:rsidP="00AC2883">
            <w:r w:rsidRPr="00D250C5">
              <w:rPr>
                <w:noProof/>
              </w:rPr>
              <w:drawing>
                <wp:inline distT="0" distB="0" distL="0" distR="0" wp14:anchorId="0D7E2885" wp14:editId="3BE522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8D1448B" w14:textId="77777777" w:rsidR="00DC3802" w:rsidRPr="007C1D92" w:rsidRDefault="00DC3802" w:rsidP="00AC2883">
            <w:pPr>
              <w:pStyle w:val="Lettrine"/>
            </w:pPr>
            <w:r w:rsidRPr="00172084">
              <w:t>E</w:t>
            </w:r>
          </w:p>
        </w:tc>
      </w:tr>
      <w:tr w:rsidR="00DC3802" w:rsidRPr="00DA4973" w14:paraId="7FCF235E" w14:textId="77777777" w:rsidTr="00645CA8">
        <w:trPr>
          <w:trHeight w:val="219"/>
        </w:trPr>
        <w:tc>
          <w:tcPr>
            <w:tcW w:w="6522" w:type="dxa"/>
          </w:tcPr>
          <w:p w14:paraId="1ACC7006" w14:textId="77777777" w:rsidR="00DC3802" w:rsidRPr="00AC2883" w:rsidRDefault="00DC3802" w:rsidP="00AC2883">
            <w:pPr>
              <w:pStyle w:val="upove"/>
            </w:pPr>
            <w:r w:rsidRPr="00AC2883">
              <w:t>International Union for the Protection of New Varieties of Plants</w:t>
            </w:r>
          </w:p>
        </w:tc>
        <w:tc>
          <w:tcPr>
            <w:tcW w:w="3117" w:type="dxa"/>
          </w:tcPr>
          <w:p w14:paraId="2FF25C64" w14:textId="77777777" w:rsidR="00DC3802" w:rsidRPr="00DA4973" w:rsidRDefault="00DC3802" w:rsidP="00DA4973"/>
        </w:tc>
      </w:tr>
    </w:tbl>
    <w:p w14:paraId="488CD272" w14:textId="77777777" w:rsidR="00DC3802" w:rsidRDefault="00DC3802" w:rsidP="00DC3802"/>
    <w:p w14:paraId="5D723EA5"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73C305E4" w14:textId="77777777" w:rsidTr="004226CC">
        <w:tc>
          <w:tcPr>
            <w:tcW w:w="6512" w:type="dxa"/>
          </w:tcPr>
          <w:p w14:paraId="02DA3AFA" w14:textId="77777777" w:rsidR="007A3EE1" w:rsidRPr="00AC2883" w:rsidRDefault="007A3EE1" w:rsidP="004226CC">
            <w:pPr>
              <w:pStyle w:val="Sessiontc"/>
            </w:pPr>
            <w:r w:rsidRPr="00E70039">
              <w:t xml:space="preserve">Technical Working Party for </w:t>
            </w:r>
            <w:r>
              <w:t>Vegetables</w:t>
            </w:r>
          </w:p>
          <w:p w14:paraId="0915460A"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102CB079" w14:textId="7415375C" w:rsidR="007A3EE1" w:rsidRPr="003C7FBE" w:rsidRDefault="007A3EE1" w:rsidP="004226CC">
            <w:pPr>
              <w:pStyle w:val="Doccode"/>
            </w:pPr>
            <w:r>
              <w:t>TWV/5</w:t>
            </w:r>
            <w:r w:rsidR="001E1CDB">
              <w:t>9</w:t>
            </w:r>
            <w:r w:rsidRPr="00AC2883">
              <w:t>/</w:t>
            </w:r>
            <w:r w:rsidR="00FC78A6">
              <w:t>18</w:t>
            </w:r>
          </w:p>
          <w:p w14:paraId="1D7ADD54" w14:textId="77777777" w:rsidR="007A3EE1" w:rsidRPr="003C7FBE" w:rsidRDefault="007A3EE1" w:rsidP="004226CC">
            <w:pPr>
              <w:pStyle w:val="Docoriginal"/>
            </w:pPr>
            <w:r w:rsidRPr="00AC2883">
              <w:t>Original:</w:t>
            </w:r>
            <w:r w:rsidRPr="000E636A">
              <w:rPr>
                <w:b w:val="0"/>
                <w:spacing w:val="0"/>
              </w:rPr>
              <w:t xml:space="preserve">  English</w:t>
            </w:r>
          </w:p>
          <w:p w14:paraId="0D899FC5" w14:textId="3BBCE1AE" w:rsidR="007A3EE1" w:rsidRPr="007C1D92" w:rsidRDefault="007A3EE1" w:rsidP="00036412">
            <w:pPr>
              <w:pStyle w:val="Docoriginal"/>
            </w:pPr>
            <w:r w:rsidRPr="001B7E72">
              <w:t>Date:</w:t>
            </w:r>
            <w:r w:rsidRPr="001B7E72">
              <w:rPr>
                <w:b w:val="0"/>
                <w:spacing w:val="0"/>
              </w:rPr>
              <w:t xml:space="preserve">  </w:t>
            </w:r>
            <w:r w:rsidR="00FC78A6" w:rsidRPr="001B7E72">
              <w:rPr>
                <w:b w:val="0"/>
                <w:spacing w:val="0"/>
              </w:rPr>
              <w:t>April 11</w:t>
            </w:r>
            <w:r w:rsidRPr="001B7E72">
              <w:rPr>
                <w:b w:val="0"/>
                <w:spacing w:val="0"/>
              </w:rPr>
              <w:t>, 202</w:t>
            </w:r>
            <w:r w:rsidR="002775D5" w:rsidRPr="001B7E72">
              <w:rPr>
                <w:b w:val="0"/>
                <w:spacing w:val="0"/>
              </w:rPr>
              <w:t>5</w:t>
            </w:r>
          </w:p>
        </w:tc>
      </w:tr>
    </w:tbl>
    <w:p w14:paraId="679DCD55" w14:textId="77777777" w:rsidR="00E3746A" w:rsidRPr="00E3746A" w:rsidRDefault="00E3746A" w:rsidP="00E3746A">
      <w:pPr>
        <w:spacing w:before="600" w:after="240"/>
        <w:jc w:val="left"/>
        <w:rPr>
          <w:b/>
          <w:caps/>
        </w:rPr>
      </w:pPr>
      <w:bookmarkStart w:id="0" w:name="TitleOfDoc"/>
      <w:bookmarkEnd w:id="0"/>
      <w:r w:rsidRPr="00E3746A">
        <w:rPr>
          <w:b/>
          <w:caps/>
        </w:rPr>
        <w:t>comments on guidance and information materials</w:t>
      </w:r>
    </w:p>
    <w:p w14:paraId="2BDB12CB" w14:textId="77777777" w:rsidR="00E3746A" w:rsidRPr="00E3746A" w:rsidRDefault="00E3746A" w:rsidP="00E3746A">
      <w:pPr>
        <w:spacing w:after="240"/>
        <w:jc w:val="left"/>
        <w:rPr>
          <w:i/>
          <w:iCs/>
        </w:rPr>
      </w:pPr>
      <w:r w:rsidRPr="00E3746A">
        <w:rPr>
          <w:i/>
          <w:iCs/>
        </w:rPr>
        <w:t>Document prepared by the Office of the Union</w:t>
      </w:r>
    </w:p>
    <w:p w14:paraId="0E6CB237" w14:textId="77777777" w:rsidR="00E3746A" w:rsidRPr="00E3746A" w:rsidRDefault="00E3746A" w:rsidP="00E3746A">
      <w:pPr>
        <w:spacing w:after="600"/>
        <w:jc w:val="left"/>
        <w:rPr>
          <w:i/>
          <w:iCs/>
          <w:color w:val="A6A6A6" w:themeColor="background1" w:themeShade="A6"/>
        </w:rPr>
      </w:pPr>
      <w:r w:rsidRPr="00E3746A">
        <w:rPr>
          <w:i/>
          <w:iCs/>
          <w:color w:val="A6A6A6" w:themeColor="background1" w:themeShade="A6"/>
        </w:rPr>
        <w:t>Disclaimer:  this document does not represent UPOV policies or guidance</w:t>
      </w:r>
    </w:p>
    <w:p w14:paraId="7AFDB1DB" w14:textId="2229F71B" w:rsidR="00E3746A" w:rsidRPr="00E3746A" w:rsidRDefault="00E3746A" w:rsidP="00E3746A">
      <w:r w:rsidRPr="00E3746A">
        <w:fldChar w:fldCharType="begin"/>
      </w:r>
      <w:r w:rsidRPr="00E3746A">
        <w:instrText xml:space="preserve"> AUTONUM  </w:instrText>
      </w:r>
      <w:r w:rsidRPr="00E3746A">
        <w:fldChar w:fldCharType="end"/>
      </w:r>
      <w:r w:rsidRPr="00E3746A">
        <w:tab/>
        <w:t>The purpose of this document is to report the comments on guidance and information materials made by the Technical Working Party for Ornamental Plants and Forest Trees (TWO)</w:t>
      </w:r>
      <w:r w:rsidRPr="00E3746A">
        <w:rPr>
          <w:vertAlign w:val="superscript"/>
        </w:rPr>
        <w:footnoteReference w:id="2"/>
      </w:r>
      <w:r w:rsidRPr="00E3746A">
        <w:t>.</w:t>
      </w:r>
    </w:p>
    <w:p w14:paraId="1CA442DB" w14:textId="77777777" w:rsidR="00425E07" w:rsidRPr="00E3746A" w:rsidRDefault="00425E07" w:rsidP="00E3746A">
      <w:pPr>
        <w:rPr>
          <w:rFonts w:eastAsiaTheme="minorEastAsia"/>
        </w:rPr>
      </w:pPr>
    </w:p>
    <w:p w14:paraId="55D58DDB" w14:textId="77777777" w:rsidR="009B7A20" w:rsidRPr="00CB08D4" w:rsidRDefault="009B7A20" w:rsidP="00425E07">
      <w:pPr>
        <w:pStyle w:val="Heading1"/>
      </w:pPr>
      <w:bookmarkStart w:id="1" w:name="_Hlk173427749"/>
      <w:bookmarkStart w:id="2" w:name="_Toc144995604"/>
      <w:bookmarkStart w:id="3" w:name="_Toc176335738"/>
      <w:bookmarkStart w:id="4" w:name="_Toc191917553"/>
      <w:r w:rsidRPr="00CB08D4">
        <w:t xml:space="preserve">Document TGP/5 “Experience and Cooperation in DUS Testing”, Section 6 “UPOV Report on Technical Examination and UPOV Variety Description” </w:t>
      </w:r>
      <w:bookmarkEnd w:id="1"/>
      <w:r w:rsidRPr="00CB08D4">
        <w:t>(Revision)</w:t>
      </w:r>
      <w:bookmarkEnd w:id="2"/>
      <w:bookmarkEnd w:id="3"/>
      <w:bookmarkEnd w:id="4"/>
    </w:p>
    <w:p w14:paraId="7CAFE3B8" w14:textId="77777777" w:rsidR="009B7A20" w:rsidRDefault="009B7A20" w:rsidP="009B7A20">
      <w:pPr>
        <w:jc w:val="left"/>
      </w:pPr>
    </w:p>
    <w:p w14:paraId="02C00FE5" w14:textId="4D616C88" w:rsidR="009B7A20" w:rsidRPr="001E3AA0" w:rsidRDefault="009B7A20" w:rsidP="009B7A20">
      <w:r w:rsidRPr="00B12B98">
        <w:fldChar w:fldCharType="begin"/>
      </w:r>
      <w:r w:rsidRPr="00B12B98">
        <w:instrText xml:space="preserve"> AUTONUM  </w:instrText>
      </w:r>
      <w:r w:rsidRPr="00B12B98">
        <w:fldChar w:fldCharType="end"/>
      </w:r>
      <w:r w:rsidRPr="00B12B98">
        <w:tab/>
        <w:t>The TWO agreed with the revision of document TGP/5 “Experience and Cooperation in DUS Testing”,</w:t>
      </w:r>
      <w:r w:rsidRPr="001E3AA0">
        <w:t xml:space="preserve"> Section 6 “UPOV Report on Technical Examination and UPOV Variety Description”, on the basis of </w:t>
      </w:r>
      <w:r w:rsidRPr="00F13861">
        <w:t>document TGP/5, Section 6 (draft 1)</w:t>
      </w:r>
      <w:r>
        <w:t xml:space="preserve"> </w:t>
      </w:r>
      <w:r w:rsidRPr="00E3746A">
        <w:rPr>
          <w:rFonts w:eastAsiaTheme="minorEastAsia"/>
        </w:rPr>
        <w:t>(see document TWO/5</w:t>
      </w:r>
      <w:r w:rsidR="00425E07">
        <w:rPr>
          <w:rFonts w:eastAsiaTheme="minorEastAsia"/>
        </w:rPr>
        <w:t>7</w:t>
      </w:r>
      <w:r w:rsidRPr="00E3746A">
        <w:rPr>
          <w:rFonts w:eastAsiaTheme="minorEastAsia"/>
        </w:rPr>
        <w:t>/</w:t>
      </w:r>
      <w:r w:rsidR="00425E07">
        <w:rPr>
          <w:rFonts w:eastAsiaTheme="minorEastAsia"/>
        </w:rPr>
        <w:t>10</w:t>
      </w:r>
      <w:r w:rsidRPr="00E3746A">
        <w:rPr>
          <w:rFonts w:eastAsiaTheme="minorEastAsia"/>
        </w:rPr>
        <w:t xml:space="preserve"> “Report”, paragraphs </w:t>
      </w:r>
      <w:r w:rsidR="00425E07">
        <w:rPr>
          <w:rFonts w:eastAsiaTheme="minorEastAsia"/>
        </w:rPr>
        <w:t>7</w:t>
      </w:r>
      <w:r w:rsidRPr="00E3746A">
        <w:rPr>
          <w:rFonts w:eastAsiaTheme="minorEastAsia"/>
        </w:rPr>
        <w:t xml:space="preserve"> to </w:t>
      </w:r>
      <w:r w:rsidR="00425E07">
        <w:rPr>
          <w:rFonts w:eastAsiaTheme="minorEastAsia"/>
        </w:rPr>
        <w:t>10</w:t>
      </w:r>
      <w:r w:rsidRPr="00E3746A">
        <w:rPr>
          <w:rFonts w:eastAsiaTheme="minorEastAsia"/>
        </w:rPr>
        <w:t>).</w:t>
      </w:r>
    </w:p>
    <w:p w14:paraId="1D2E7605" w14:textId="77777777" w:rsidR="009B7A20" w:rsidRDefault="009B7A20" w:rsidP="009B7A20">
      <w:pPr>
        <w:jc w:val="left"/>
      </w:pPr>
    </w:p>
    <w:p w14:paraId="1A726FA5" w14:textId="77777777" w:rsidR="009B7A20" w:rsidRDefault="009B7A20" w:rsidP="009B7A20">
      <w:r>
        <w:fldChar w:fldCharType="begin"/>
      </w:r>
      <w:r>
        <w:instrText xml:space="preserve"> AUTONUM  </w:instrText>
      </w:r>
      <w:r>
        <w:fldChar w:fldCharType="end"/>
      </w:r>
      <w:r>
        <w:tab/>
        <w:t xml:space="preserve">The TWO considered how to provide information in the “UPOV </w:t>
      </w:r>
      <w:r w:rsidRPr="00CB08D4">
        <w:t xml:space="preserve">Report </w:t>
      </w:r>
      <w:r>
        <w:t>o</w:t>
      </w:r>
      <w:r w:rsidRPr="00CB08D4">
        <w:t>n Technical Examination</w:t>
      </w:r>
      <w:r>
        <w:t>” regarding the “Reporting Authority” and agreed that it should normally be the authority that had conducted the technical examination.</w:t>
      </w:r>
    </w:p>
    <w:p w14:paraId="3331BE8C" w14:textId="77777777" w:rsidR="009B7A20" w:rsidRDefault="009B7A20" w:rsidP="009B7A20"/>
    <w:p w14:paraId="1667BDC7" w14:textId="77777777" w:rsidR="009B7A20" w:rsidRDefault="009B7A20" w:rsidP="009B7A20">
      <w:pPr>
        <w:keepLines/>
      </w:pPr>
      <w:r>
        <w:fldChar w:fldCharType="begin"/>
      </w:r>
      <w:r>
        <w:instrText xml:space="preserve"> AUTONUM  </w:instrText>
      </w:r>
      <w:r>
        <w:fldChar w:fldCharType="end"/>
      </w:r>
      <w:r>
        <w:tab/>
        <w:t xml:space="preserve">The TWO agreed to invite the European Union to consider whether to develop proposals to address situations when further information should be provided in the “UPOV </w:t>
      </w:r>
      <w:r w:rsidRPr="00CB08D4">
        <w:t xml:space="preserve">Report </w:t>
      </w:r>
      <w:r>
        <w:t>o</w:t>
      </w:r>
      <w:r w:rsidRPr="00CB08D4">
        <w:t>n Technical Examination</w:t>
      </w:r>
      <w:r>
        <w:t xml:space="preserve">”, such as to indicate when the authority providing the report on technical examination was different than the authority that conducted the examination. </w:t>
      </w:r>
    </w:p>
    <w:p w14:paraId="24E8489F" w14:textId="77777777" w:rsidR="009B7A20" w:rsidRDefault="009B7A20" w:rsidP="009B7A20"/>
    <w:p w14:paraId="7E36C09E" w14:textId="77777777" w:rsidR="009B7A20" w:rsidRDefault="009B7A20" w:rsidP="009B7A20">
      <w:r>
        <w:fldChar w:fldCharType="begin"/>
      </w:r>
      <w:r>
        <w:instrText xml:space="preserve"> AUTONUM  </w:instrText>
      </w:r>
      <w:r>
        <w:fldChar w:fldCharType="end"/>
      </w:r>
      <w:r>
        <w:tab/>
        <w:t xml:space="preserve">The TWO considered how to provide information on differences between the candidate and similar varieties when the difference was based on a characteristic that was only available in the “Reporting Authority’s test guidelines” and not in the UPOV Test Guidelines.  The TWO recalled the requirements for characteristics to be used in DUS examination, set out in document TG/1 “General Introduction to DUS”, and agreed that it should be indicated when the characteristic in which the candidate differed from the similar variety was only included in the Reporting Authority’s test guidelines.  </w:t>
      </w:r>
    </w:p>
    <w:p w14:paraId="238A224E" w14:textId="77777777" w:rsidR="009B7A20" w:rsidRDefault="009B7A20" w:rsidP="009B7A20">
      <w:pPr>
        <w:jc w:val="left"/>
      </w:pPr>
    </w:p>
    <w:p w14:paraId="2D77238E" w14:textId="77777777" w:rsidR="009B7A20" w:rsidRPr="00CB08D4" w:rsidRDefault="009B7A20" w:rsidP="00425E07">
      <w:pPr>
        <w:pStyle w:val="Heading1"/>
        <w:rPr>
          <w:highlight w:val="yellow"/>
        </w:rPr>
      </w:pPr>
      <w:bookmarkStart w:id="5" w:name="_Toc191917556"/>
      <w:r w:rsidRPr="00CB08D4">
        <w:t>Document TGP/7:  Development of Test Guidelines (Revision):  Guidance Note (GN) 28 “Example Varieties” – Example varieties for asterisked quantitative characteristics when illustrations are provided</w:t>
      </w:r>
      <w:bookmarkEnd w:id="5"/>
    </w:p>
    <w:p w14:paraId="4E9BBE93" w14:textId="77777777" w:rsidR="009B7A20" w:rsidRDefault="009B7A20" w:rsidP="009B7A20">
      <w:pPr>
        <w:pStyle w:val="Heading2"/>
      </w:pPr>
    </w:p>
    <w:p w14:paraId="47EAEBE3" w14:textId="01697BCC" w:rsidR="009B7A20" w:rsidRDefault="009B7A20" w:rsidP="009B7A20">
      <w:r w:rsidRPr="00182D36">
        <w:fldChar w:fldCharType="begin"/>
      </w:r>
      <w:r w:rsidRPr="00182D36">
        <w:instrText xml:space="preserve"> AUTONUM  </w:instrText>
      </w:r>
      <w:r w:rsidRPr="00182D36">
        <w:fldChar w:fldCharType="end"/>
      </w:r>
      <w:r w:rsidRPr="00182D36">
        <w:tab/>
        <w:t xml:space="preserve">The TWO </w:t>
      </w:r>
      <w:r>
        <w:t>agreed with the</w:t>
      </w:r>
      <w:r w:rsidRPr="00182D36">
        <w:t xml:space="preserve"> proposal to amend document TGP/7, Guidance Note (GN) 28 “Example Varieties”, as provided in document TWP/9/5</w:t>
      </w:r>
      <w:r>
        <w:t xml:space="preserve"> and presented by an expert from Germany</w:t>
      </w:r>
      <w:r w:rsidR="00425E07">
        <w:t xml:space="preserve"> </w:t>
      </w:r>
      <w:r w:rsidR="00425E07" w:rsidRPr="00E3746A">
        <w:rPr>
          <w:rFonts w:eastAsiaTheme="minorEastAsia"/>
        </w:rPr>
        <w:t>(see document TWO/5</w:t>
      </w:r>
      <w:r w:rsidR="00425E07">
        <w:rPr>
          <w:rFonts w:eastAsiaTheme="minorEastAsia"/>
        </w:rPr>
        <w:t>7</w:t>
      </w:r>
      <w:r w:rsidR="00425E07" w:rsidRPr="00E3746A">
        <w:rPr>
          <w:rFonts w:eastAsiaTheme="minorEastAsia"/>
        </w:rPr>
        <w:t>/</w:t>
      </w:r>
      <w:r w:rsidR="00425E07">
        <w:rPr>
          <w:rFonts w:eastAsiaTheme="minorEastAsia"/>
        </w:rPr>
        <w:t>10</w:t>
      </w:r>
      <w:r w:rsidR="00425E07" w:rsidRPr="00E3746A">
        <w:rPr>
          <w:rFonts w:eastAsiaTheme="minorEastAsia"/>
        </w:rPr>
        <w:t xml:space="preserve"> “Report”, paragraphs </w:t>
      </w:r>
      <w:r w:rsidR="00425E07">
        <w:rPr>
          <w:rFonts w:eastAsiaTheme="minorEastAsia"/>
        </w:rPr>
        <w:t>11</w:t>
      </w:r>
      <w:r w:rsidR="00425E07" w:rsidRPr="00E3746A">
        <w:rPr>
          <w:rFonts w:eastAsiaTheme="minorEastAsia"/>
        </w:rPr>
        <w:t xml:space="preserve"> to </w:t>
      </w:r>
      <w:r w:rsidR="00425E07">
        <w:rPr>
          <w:rFonts w:eastAsiaTheme="minorEastAsia"/>
        </w:rPr>
        <w:t>13</w:t>
      </w:r>
      <w:r w:rsidR="00425E07" w:rsidRPr="00E3746A">
        <w:rPr>
          <w:rFonts w:eastAsiaTheme="minorEastAsia"/>
        </w:rPr>
        <w:t>).</w:t>
      </w:r>
    </w:p>
    <w:p w14:paraId="1A683F2E" w14:textId="77777777" w:rsidR="009B7A20" w:rsidRDefault="009B7A20" w:rsidP="009B7A20"/>
    <w:p w14:paraId="2C4C87C7" w14:textId="77777777" w:rsidR="009B7A20" w:rsidRPr="00182D36" w:rsidRDefault="009B7A20" w:rsidP="009B7A20">
      <w:r>
        <w:fldChar w:fldCharType="begin"/>
      </w:r>
      <w:r>
        <w:instrText xml:space="preserve"> AUTONUM  </w:instrText>
      </w:r>
      <w:r>
        <w:fldChar w:fldCharType="end"/>
      </w:r>
      <w:r>
        <w:tab/>
        <w:t xml:space="preserve">The TWO noted that </w:t>
      </w:r>
      <w:r w:rsidRPr="008B1FC6">
        <w:t>example varieties would not be needed to clarify the states of expression</w:t>
      </w:r>
      <w:r>
        <w:t xml:space="preserve"> when</w:t>
      </w:r>
      <w:r w:rsidRPr="008B1FC6">
        <w:t xml:space="preserve"> </w:t>
      </w:r>
      <w:r>
        <w:t xml:space="preserve">these were </w:t>
      </w:r>
      <w:r w:rsidRPr="008B1FC6">
        <w:t>self-explanatory</w:t>
      </w:r>
      <w:r>
        <w:t xml:space="preserve"> or could </w:t>
      </w:r>
      <w:r w:rsidRPr="00505CC5">
        <w:t>be effectively demonstrated by a diagram or illustration</w:t>
      </w:r>
      <w:r>
        <w:t xml:space="preserve">.  </w:t>
      </w:r>
    </w:p>
    <w:p w14:paraId="0F019C63" w14:textId="77777777" w:rsidR="009B7A20" w:rsidRPr="00182D36" w:rsidRDefault="009B7A20" w:rsidP="009B7A20"/>
    <w:p w14:paraId="4BD93331" w14:textId="77777777" w:rsidR="009B7A20" w:rsidRDefault="009B7A20" w:rsidP="009B7A20">
      <w:r w:rsidRPr="00182D36">
        <w:fldChar w:fldCharType="begin"/>
      </w:r>
      <w:r w:rsidRPr="00182D36">
        <w:instrText xml:space="preserve"> AUTONUM  </w:instrText>
      </w:r>
      <w:r w:rsidRPr="00182D36">
        <w:fldChar w:fldCharType="end"/>
      </w:r>
      <w:r w:rsidRPr="00182D36">
        <w:tab/>
        <w:t xml:space="preserve">The TWO thanked the expert from </w:t>
      </w:r>
      <w:r>
        <w:t xml:space="preserve">Germany for having developed the proposal </w:t>
      </w:r>
      <w:r w:rsidRPr="00182D36">
        <w:t>to amend document</w:t>
      </w:r>
      <w:r>
        <w:t> </w:t>
      </w:r>
      <w:r w:rsidRPr="00182D36">
        <w:t>TGP/7</w:t>
      </w:r>
      <w:r>
        <w:t>, GN 28, in collaboration with TWO experts</w:t>
      </w:r>
      <w:r w:rsidRPr="00182D36">
        <w:t>.</w:t>
      </w:r>
    </w:p>
    <w:p w14:paraId="5AA24D06" w14:textId="77777777" w:rsidR="00050E16" w:rsidRDefault="00050E16" w:rsidP="00050E16"/>
    <w:p w14:paraId="2A4C3938" w14:textId="77777777" w:rsidR="00F13861" w:rsidRDefault="00F13861" w:rsidP="00050E16"/>
    <w:p w14:paraId="1ACAD0D0" w14:textId="77777777" w:rsidR="00F13861" w:rsidRPr="00C651CE" w:rsidRDefault="00F13861" w:rsidP="00050E16"/>
    <w:p w14:paraId="0D5B955F" w14:textId="40F2554C" w:rsidR="00050E16" w:rsidRPr="00C5280D" w:rsidRDefault="00050E16" w:rsidP="00425E07">
      <w:pPr>
        <w:jc w:val="right"/>
      </w:pPr>
      <w:r w:rsidRPr="00C5280D">
        <w:t>[End of document]</w:t>
      </w:r>
    </w:p>
    <w:sectPr w:rsidR="00050E16" w:rsidRPr="00C5280D" w:rsidSect="005E746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B7CDB" w14:textId="77777777" w:rsidR="00921EE7" w:rsidRDefault="00921EE7" w:rsidP="006655D3">
      <w:r>
        <w:separator/>
      </w:r>
    </w:p>
    <w:p w14:paraId="5E11D871" w14:textId="77777777" w:rsidR="00921EE7" w:rsidRDefault="00921EE7" w:rsidP="006655D3"/>
    <w:p w14:paraId="6DA93CB1" w14:textId="77777777" w:rsidR="00921EE7" w:rsidRDefault="00921EE7" w:rsidP="006655D3"/>
  </w:endnote>
  <w:endnote w:type="continuationSeparator" w:id="0">
    <w:p w14:paraId="2355AA2A" w14:textId="77777777" w:rsidR="00921EE7" w:rsidRDefault="00921EE7" w:rsidP="006655D3">
      <w:r>
        <w:separator/>
      </w:r>
    </w:p>
    <w:p w14:paraId="286DD471" w14:textId="77777777" w:rsidR="00921EE7" w:rsidRPr="00294751" w:rsidRDefault="00921EE7">
      <w:pPr>
        <w:pStyle w:val="Footer"/>
        <w:spacing w:after="60"/>
        <w:rPr>
          <w:sz w:val="18"/>
          <w:lang w:val="fr-FR"/>
        </w:rPr>
      </w:pPr>
      <w:r w:rsidRPr="00294751">
        <w:rPr>
          <w:sz w:val="18"/>
          <w:lang w:val="fr-FR"/>
        </w:rPr>
        <w:t>[Suite de la note de la page précédente]</w:t>
      </w:r>
    </w:p>
    <w:p w14:paraId="187BBBF5" w14:textId="77777777" w:rsidR="00921EE7" w:rsidRPr="00294751" w:rsidRDefault="00921EE7" w:rsidP="006655D3">
      <w:pPr>
        <w:rPr>
          <w:lang w:val="fr-FR"/>
        </w:rPr>
      </w:pPr>
    </w:p>
    <w:p w14:paraId="5DE675BA" w14:textId="77777777" w:rsidR="00921EE7" w:rsidRPr="00294751" w:rsidRDefault="00921EE7" w:rsidP="006655D3">
      <w:pPr>
        <w:rPr>
          <w:lang w:val="fr-FR"/>
        </w:rPr>
      </w:pPr>
    </w:p>
  </w:endnote>
  <w:endnote w:type="continuationNotice" w:id="1">
    <w:p w14:paraId="2F378E3B" w14:textId="77777777" w:rsidR="00921EE7" w:rsidRPr="00294751" w:rsidRDefault="00921EE7" w:rsidP="006655D3">
      <w:pPr>
        <w:rPr>
          <w:lang w:val="fr-FR"/>
        </w:rPr>
      </w:pPr>
      <w:r w:rsidRPr="00294751">
        <w:rPr>
          <w:lang w:val="fr-FR"/>
        </w:rPr>
        <w:t>[Suite de la note page suivante]</w:t>
      </w:r>
    </w:p>
    <w:p w14:paraId="01582F99" w14:textId="77777777" w:rsidR="00921EE7" w:rsidRPr="00294751" w:rsidRDefault="00921EE7" w:rsidP="006655D3">
      <w:pPr>
        <w:rPr>
          <w:lang w:val="fr-FR"/>
        </w:rPr>
      </w:pPr>
    </w:p>
    <w:p w14:paraId="2F26C2F8" w14:textId="77777777" w:rsidR="00921EE7" w:rsidRPr="00294751" w:rsidRDefault="00921EE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A9835" w14:textId="77777777" w:rsidR="00921EE7" w:rsidRDefault="00921EE7" w:rsidP="006655D3">
      <w:r>
        <w:separator/>
      </w:r>
    </w:p>
  </w:footnote>
  <w:footnote w:type="continuationSeparator" w:id="0">
    <w:p w14:paraId="05EF8BEE" w14:textId="77777777" w:rsidR="00921EE7" w:rsidRDefault="00921EE7" w:rsidP="006655D3">
      <w:r>
        <w:separator/>
      </w:r>
    </w:p>
  </w:footnote>
  <w:footnote w:type="continuationNotice" w:id="1">
    <w:p w14:paraId="5F8628E7" w14:textId="77777777" w:rsidR="00921EE7" w:rsidRPr="00AB530F" w:rsidRDefault="00921EE7" w:rsidP="00AB530F">
      <w:pPr>
        <w:pStyle w:val="Footer"/>
      </w:pPr>
    </w:p>
  </w:footnote>
  <w:footnote w:id="2">
    <w:p w14:paraId="56A975AB" w14:textId="1C20A9BF" w:rsidR="00E3746A" w:rsidRDefault="00E3746A" w:rsidP="00E3746A">
      <w:pPr>
        <w:pStyle w:val="FootnoteText"/>
      </w:pPr>
      <w:r>
        <w:rPr>
          <w:rStyle w:val="FootnoteReference"/>
        </w:rPr>
        <w:footnoteRef/>
      </w:r>
      <w:r>
        <w:t xml:space="preserve"> TWO, fifty-s</w:t>
      </w:r>
      <w:r w:rsidR="00FC78A6">
        <w:t>even</w:t>
      </w:r>
      <w:r>
        <w:t xml:space="preserve">th session, held </w:t>
      </w:r>
      <w:r w:rsidR="009B7A20">
        <w:t>in</w:t>
      </w:r>
      <w:r>
        <w:t xml:space="preserve"> </w:t>
      </w:r>
      <w:r w:rsidR="009B7A20" w:rsidRPr="00F12CEA">
        <w:t xml:space="preserve">Roelofarendsveen, </w:t>
      </w:r>
      <w:r w:rsidR="009B7A20">
        <w:t>Netherlands (Kingdom of)</w:t>
      </w:r>
      <w:r w:rsidR="009B7A20" w:rsidRPr="007E0B8C">
        <w:t xml:space="preserve">, from </w:t>
      </w:r>
      <w:r w:rsidR="009B7A20">
        <w:t>March 31 to April 3, 2025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A77B1" w14:textId="0A932146"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FC78A6">
      <w:rPr>
        <w:rStyle w:val="PageNumber"/>
        <w:lang w:val="en-US"/>
      </w:rPr>
      <w:t>18</w:t>
    </w:r>
  </w:p>
  <w:p w14:paraId="5DFE8928"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08E0A4CB"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16cid:durableId="2826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E7"/>
    <w:rsid w:val="00010CF3"/>
    <w:rsid w:val="00011E27"/>
    <w:rsid w:val="000148BC"/>
    <w:rsid w:val="00024AB8"/>
    <w:rsid w:val="00030854"/>
    <w:rsid w:val="00036028"/>
    <w:rsid w:val="00036412"/>
    <w:rsid w:val="0004198B"/>
    <w:rsid w:val="00044642"/>
    <w:rsid w:val="000446B9"/>
    <w:rsid w:val="00047E21"/>
    <w:rsid w:val="00050E16"/>
    <w:rsid w:val="00085505"/>
    <w:rsid w:val="000C4E25"/>
    <w:rsid w:val="000C7021"/>
    <w:rsid w:val="000D6BBC"/>
    <w:rsid w:val="000D7780"/>
    <w:rsid w:val="000E636A"/>
    <w:rsid w:val="000F2F11"/>
    <w:rsid w:val="000F7BC7"/>
    <w:rsid w:val="00100A5F"/>
    <w:rsid w:val="00105929"/>
    <w:rsid w:val="00110BED"/>
    <w:rsid w:val="00110C36"/>
    <w:rsid w:val="001131D5"/>
    <w:rsid w:val="0011423D"/>
    <w:rsid w:val="00114547"/>
    <w:rsid w:val="00141DB8"/>
    <w:rsid w:val="00142BED"/>
    <w:rsid w:val="00150295"/>
    <w:rsid w:val="00172084"/>
    <w:rsid w:val="0017474A"/>
    <w:rsid w:val="001758C6"/>
    <w:rsid w:val="00182B99"/>
    <w:rsid w:val="001B7E72"/>
    <w:rsid w:val="001C1525"/>
    <w:rsid w:val="001E1CDB"/>
    <w:rsid w:val="0021332C"/>
    <w:rsid w:val="00213982"/>
    <w:rsid w:val="002172DA"/>
    <w:rsid w:val="0024416D"/>
    <w:rsid w:val="00271911"/>
    <w:rsid w:val="00273187"/>
    <w:rsid w:val="002775D5"/>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E6156"/>
    <w:rsid w:val="003F37F5"/>
    <w:rsid w:val="00425E07"/>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15E37"/>
    <w:rsid w:val="006245ED"/>
    <w:rsid w:val="00636CA6"/>
    <w:rsid w:val="00641200"/>
    <w:rsid w:val="00645CA8"/>
    <w:rsid w:val="006611D8"/>
    <w:rsid w:val="006655D3"/>
    <w:rsid w:val="00667404"/>
    <w:rsid w:val="00685F72"/>
    <w:rsid w:val="00687EB4"/>
    <w:rsid w:val="00695C56"/>
    <w:rsid w:val="006A5CDE"/>
    <w:rsid w:val="006A644A"/>
    <w:rsid w:val="006B17D2"/>
    <w:rsid w:val="006C224E"/>
    <w:rsid w:val="006C23AB"/>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C1925"/>
    <w:rsid w:val="008D0BC5"/>
    <w:rsid w:val="008D2CF7"/>
    <w:rsid w:val="00900C26"/>
    <w:rsid w:val="0090197F"/>
    <w:rsid w:val="00903264"/>
    <w:rsid w:val="00906DDC"/>
    <w:rsid w:val="00921EE7"/>
    <w:rsid w:val="00934E09"/>
    <w:rsid w:val="00936253"/>
    <w:rsid w:val="00940D46"/>
    <w:rsid w:val="009413F1"/>
    <w:rsid w:val="00951234"/>
    <w:rsid w:val="00952DD4"/>
    <w:rsid w:val="00953FB5"/>
    <w:rsid w:val="009561F4"/>
    <w:rsid w:val="00965AE7"/>
    <w:rsid w:val="00970FED"/>
    <w:rsid w:val="00992D82"/>
    <w:rsid w:val="0099325A"/>
    <w:rsid w:val="00997029"/>
    <w:rsid w:val="009A7339"/>
    <w:rsid w:val="009B440E"/>
    <w:rsid w:val="009B7A20"/>
    <w:rsid w:val="009C2E2A"/>
    <w:rsid w:val="009D690D"/>
    <w:rsid w:val="009E65B6"/>
    <w:rsid w:val="009F0A51"/>
    <w:rsid w:val="009F77CF"/>
    <w:rsid w:val="00A140C9"/>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54C5A"/>
    <w:rsid w:val="00B61777"/>
    <w:rsid w:val="00B622E6"/>
    <w:rsid w:val="00B83E82"/>
    <w:rsid w:val="00B84BBD"/>
    <w:rsid w:val="00BA43FB"/>
    <w:rsid w:val="00BC127D"/>
    <w:rsid w:val="00BC1FE6"/>
    <w:rsid w:val="00C061B6"/>
    <w:rsid w:val="00C1096C"/>
    <w:rsid w:val="00C17105"/>
    <w:rsid w:val="00C2446C"/>
    <w:rsid w:val="00C36AE5"/>
    <w:rsid w:val="00C41F17"/>
    <w:rsid w:val="00C4361E"/>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5174"/>
    <w:rsid w:val="00DA422F"/>
    <w:rsid w:val="00DA4973"/>
    <w:rsid w:val="00DA6F36"/>
    <w:rsid w:val="00DB596E"/>
    <w:rsid w:val="00DB7773"/>
    <w:rsid w:val="00DC00EA"/>
    <w:rsid w:val="00DC3802"/>
    <w:rsid w:val="00DD6208"/>
    <w:rsid w:val="00DF7E99"/>
    <w:rsid w:val="00E07D87"/>
    <w:rsid w:val="00E249C8"/>
    <w:rsid w:val="00E32F7E"/>
    <w:rsid w:val="00E34A63"/>
    <w:rsid w:val="00E3746A"/>
    <w:rsid w:val="00E5267B"/>
    <w:rsid w:val="00E559F0"/>
    <w:rsid w:val="00E63C0E"/>
    <w:rsid w:val="00E63FE4"/>
    <w:rsid w:val="00E72D49"/>
    <w:rsid w:val="00E7593C"/>
    <w:rsid w:val="00E7678A"/>
    <w:rsid w:val="00E87347"/>
    <w:rsid w:val="00E935F1"/>
    <w:rsid w:val="00E94A81"/>
    <w:rsid w:val="00EA1FFB"/>
    <w:rsid w:val="00EB048E"/>
    <w:rsid w:val="00EB4E9C"/>
    <w:rsid w:val="00EE34DF"/>
    <w:rsid w:val="00EF2F89"/>
    <w:rsid w:val="00EF7F1D"/>
    <w:rsid w:val="00F03E98"/>
    <w:rsid w:val="00F06372"/>
    <w:rsid w:val="00F1237A"/>
    <w:rsid w:val="00F13861"/>
    <w:rsid w:val="00F22CBD"/>
    <w:rsid w:val="00F272F1"/>
    <w:rsid w:val="00F31412"/>
    <w:rsid w:val="00F45372"/>
    <w:rsid w:val="00F560F7"/>
    <w:rsid w:val="00F6334D"/>
    <w:rsid w:val="00F63599"/>
    <w:rsid w:val="00F71781"/>
    <w:rsid w:val="00FA49AB"/>
    <w:rsid w:val="00FB3890"/>
    <w:rsid w:val="00FC5FD0"/>
    <w:rsid w:val="00FC78A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26390"/>
  <w15:docId w15:val="{2F793C45-2676-4466-9834-12A597F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uiPriority w:val="39"/>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E3746A"/>
    <w:rPr>
      <w:rFonts w:ascii="Arial" w:hAnsi="Arial"/>
      <w:sz w:val="16"/>
    </w:rPr>
  </w:style>
  <w:style w:type="character" w:customStyle="1" w:styleId="Heading2Char">
    <w:name w:val="Heading 2 Char"/>
    <w:aliases w:val="VARIETY Char,variety Char"/>
    <w:basedOn w:val="DefaultParagraphFont"/>
    <w:link w:val="Heading2"/>
    <w:rsid w:val="009B7A20"/>
    <w:rPr>
      <w:rFonts w:ascii="Arial" w:hAnsi="Arial"/>
      <w:u w:val="single"/>
    </w:rPr>
  </w:style>
  <w:style w:type="character" w:customStyle="1" w:styleId="Heading3Char">
    <w:name w:val="Heading 3 Char"/>
    <w:basedOn w:val="DefaultParagraphFont"/>
    <w:link w:val="Heading3"/>
    <w:rsid w:val="009B7A20"/>
    <w:rPr>
      <w:rFonts w:ascii="Arial" w:hAnsi="Arial"/>
      <w:i/>
    </w:rPr>
  </w:style>
  <w:style w:type="character" w:customStyle="1" w:styleId="Heading4Char">
    <w:name w:val="Heading 4 Char"/>
    <w:basedOn w:val="DefaultParagraphFont"/>
    <w:link w:val="Heading4"/>
    <w:rsid w:val="009B7A20"/>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9\template\routing_slip_with_doc_twv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routing_slip_with_doc_twv_59.dotm</Template>
  <TotalTime>1</TotalTime>
  <Pages>1</Pages>
  <Words>447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TWV/59/</vt:lpstr>
    </vt:vector>
  </TitlesOfParts>
  <Company>UPOV</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TWV/59/18</dc:title>
  <dc:creator>REZENDE TAVEIRA Leontino</dc:creator>
  <cp:lastModifiedBy>OERTEL Romy</cp:lastModifiedBy>
  <cp:revision>2</cp:revision>
  <cp:lastPrinted>2016-11-22T15:41:00Z</cp:lastPrinted>
  <dcterms:created xsi:type="dcterms:W3CDTF">2025-04-11T13:59:00Z</dcterms:created>
  <dcterms:modified xsi:type="dcterms:W3CDTF">2025-04-11T13:59:00Z</dcterms:modified>
</cp:coreProperties>
</file>