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ACD9B4A" w14:textId="77777777" w:rsidTr="00EB4E9C">
        <w:tc>
          <w:tcPr>
            <w:tcW w:w="6522" w:type="dxa"/>
          </w:tcPr>
          <w:p w14:paraId="08C4BACF" w14:textId="77777777" w:rsidR="00DC3802" w:rsidRPr="00AC2883" w:rsidRDefault="00DC3802" w:rsidP="00AC2883">
            <w:r w:rsidRPr="00D250C5">
              <w:rPr>
                <w:noProof/>
              </w:rPr>
              <w:drawing>
                <wp:inline distT="0" distB="0" distL="0" distR="0" wp14:anchorId="65173786" wp14:editId="46B9FBA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E3F3B29" w14:textId="77777777" w:rsidR="00DC3802" w:rsidRPr="007C1D92" w:rsidRDefault="00DC3802" w:rsidP="00AC2883">
            <w:pPr>
              <w:pStyle w:val="Lettrine"/>
            </w:pPr>
            <w:r w:rsidRPr="00172084">
              <w:t>E</w:t>
            </w:r>
          </w:p>
        </w:tc>
      </w:tr>
      <w:tr w:rsidR="00DC3802" w:rsidRPr="00DA4973" w14:paraId="1F642572" w14:textId="77777777" w:rsidTr="00645CA8">
        <w:trPr>
          <w:trHeight w:val="219"/>
        </w:trPr>
        <w:tc>
          <w:tcPr>
            <w:tcW w:w="6522" w:type="dxa"/>
          </w:tcPr>
          <w:p w14:paraId="1CCB486A" w14:textId="77777777" w:rsidR="00DC3802" w:rsidRPr="00AC2883" w:rsidRDefault="00DC3802" w:rsidP="00AC2883">
            <w:pPr>
              <w:pStyle w:val="upove"/>
            </w:pPr>
            <w:r w:rsidRPr="00AC2883">
              <w:t>International Union for the Protection of New Varieties of Plants</w:t>
            </w:r>
          </w:p>
        </w:tc>
        <w:tc>
          <w:tcPr>
            <w:tcW w:w="3117" w:type="dxa"/>
          </w:tcPr>
          <w:p w14:paraId="3DA5DEE1" w14:textId="77777777" w:rsidR="00DC3802" w:rsidRPr="00DA4973" w:rsidRDefault="00DC3802" w:rsidP="00DA4973"/>
        </w:tc>
      </w:tr>
    </w:tbl>
    <w:p w14:paraId="5FFD59BC" w14:textId="77777777" w:rsidR="00DC3802" w:rsidRDefault="00DC3802" w:rsidP="00DC3802"/>
    <w:p w14:paraId="15685A8A" w14:textId="77777777" w:rsidR="007A3EE1" w:rsidRPr="00365DC1" w:rsidRDefault="007A3EE1" w:rsidP="007A3EE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A3EE1" w:rsidRPr="00C5280D" w14:paraId="719C3D4C" w14:textId="77777777" w:rsidTr="004226CC">
        <w:tc>
          <w:tcPr>
            <w:tcW w:w="6512" w:type="dxa"/>
          </w:tcPr>
          <w:p w14:paraId="5F66206B" w14:textId="77777777" w:rsidR="007A3EE1" w:rsidRPr="00AC2883" w:rsidRDefault="007A3EE1" w:rsidP="004226CC">
            <w:pPr>
              <w:pStyle w:val="Sessiontc"/>
            </w:pPr>
            <w:r w:rsidRPr="00E70039">
              <w:t xml:space="preserve">Technical Working Party for </w:t>
            </w:r>
            <w:r>
              <w:t>Vegetables</w:t>
            </w:r>
          </w:p>
          <w:p w14:paraId="6BF6A33A" w14:textId="77777777" w:rsidR="007A3EE1" w:rsidRPr="00DC3802" w:rsidRDefault="007A3EE1" w:rsidP="00036412">
            <w:pPr>
              <w:pStyle w:val="Sessiontcplacedate"/>
              <w:rPr>
                <w:sz w:val="22"/>
              </w:rPr>
            </w:pPr>
            <w:r>
              <w:t>Fifty-</w:t>
            </w:r>
            <w:r w:rsidR="001E1CDB">
              <w:t>Nin</w:t>
            </w:r>
            <w:r w:rsidR="00036412">
              <w:t>th</w:t>
            </w:r>
            <w:r w:rsidRPr="00DA4973">
              <w:t xml:space="preserve"> </w:t>
            </w:r>
            <w:r w:rsidRPr="00935D04">
              <w:t>Session</w:t>
            </w:r>
            <w:r w:rsidRPr="00935D04">
              <w:br/>
            </w:r>
            <w:r w:rsidR="00C1096C" w:rsidRPr="00C1096C">
              <w:rPr>
                <w:rFonts w:cs="Arial"/>
              </w:rPr>
              <w:t>Virtual meeting</w:t>
            </w:r>
            <w:r w:rsidRPr="00935D04">
              <w:t xml:space="preserve">, </w:t>
            </w:r>
            <w:r w:rsidR="001E1CDB">
              <w:t xml:space="preserve">May 5 </w:t>
            </w:r>
            <w:r w:rsidR="001E1CDB" w:rsidRPr="00F56A7F">
              <w:t xml:space="preserve">to </w:t>
            </w:r>
            <w:r w:rsidR="001E1CDB">
              <w:t>8</w:t>
            </w:r>
            <w:r w:rsidR="001E1CDB" w:rsidRPr="00F56A7F">
              <w:t>, 202</w:t>
            </w:r>
            <w:r w:rsidR="001E1CDB">
              <w:t>5</w:t>
            </w:r>
          </w:p>
        </w:tc>
        <w:tc>
          <w:tcPr>
            <w:tcW w:w="3127" w:type="dxa"/>
          </w:tcPr>
          <w:p w14:paraId="6FE0D9A9" w14:textId="572A3A6B" w:rsidR="007A3EE1" w:rsidRPr="003C7FBE" w:rsidRDefault="007A3EE1" w:rsidP="004226CC">
            <w:pPr>
              <w:pStyle w:val="Doccode"/>
            </w:pPr>
            <w:r>
              <w:t>TWV/5</w:t>
            </w:r>
            <w:r w:rsidR="001E1CDB">
              <w:t>9</w:t>
            </w:r>
            <w:r w:rsidRPr="00AC2883">
              <w:t>/</w:t>
            </w:r>
            <w:r w:rsidR="0025630D">
              <w:t>11</w:t>
            </w:r>
          </w:p>
          <w:p w14:paraId="200B1053" w14:textId="77777777" w:rsidR="007A3EE1" w:rsidRPr="003C7FBE" w:rsidRDefault="007A3EE1" w:rsidP="004226CC">
            <w:pPr>
              <w:pStyle w:val="Docoriginal"/>
            </w:pPr>
            <w:r w:rsidRPr="00AC2883">
              <w:t>Original:</w:t>
            </w:r>
            <w:r w:rsidRPr="000E636A">
              <w:rPr>
                <w:b w:val="0"/>
                <w:spacing w:val="0"/>
              </w:rPr>
              <w:t xml:space="preserve">  English</w:t>
            </w:r>
          </w:p>
          <w:p w14:paraId="637DF13B" w14:textId="4D7462EB" w:rsidR="007A3EE1" w:rsidRPr="007C1D92" w:rsidRDefault="007A3EE1" w:rsidP="00036412">
            <w:pPr>
              <w:pStyle w:val="Docoriginal"/>
            </w:pPr>
            <w:r w:rsidRPr="00AC2883">
              <w:t>Date:</w:t>
            </w:r>
            <w:r w:rsidRPr="000E636A">
              <w:rPr>
                <w:b w:val="0"/>
                <w:spacing w:val="0"/>
              </w:rPr>
              <w:t xml:space="preserve">  </w:t>
            </w:r>
            <w:r w:rsidR="00E218FE" w:rsidRPr="00C03D5F">
              <w:rPr>
                <w:b w:val="0"/>
                <w:spacing w:val="0"/>
              </w:rPr>
              <w:t xml:space="preserve">April </w:t>
            </w:r>
            <w:r w:rsidR="00C03D5F" w:rsidRPr="00C03D5F">
              <w:rPr>
                <w:b w:val="0"/>
                <w:spacing w:val="0"/>
              </w:rPr>
              <w:t>11</w:t>
            </w:r>
            <w:r w:rsidRPr="00C03D5F">
              <w:rPr>
                <w:b w:val="0"/>
                <w:spacing w:val="0"/>
              </w:rPr>
              <w:t>, 202</w:t>
            </w:r>
            <w:r w:rsidR="002775D5" w:rsidRPr="00C03D5F">
              <w:rPr>
                <w:b w:val="0"/>
                <w:spacing w:val="0"/>
              </w:rPr>
              <w:t>5</w:t>
            </w:r>
          </w:p>
        </w:tc>
      </w:tr>
    </w:tbl>
    <w:p w14:paraId="11E876C9" w14:textId="6C2A7698" w:rsidR="007A3EE1" w:rsidRPr="006A644A" w:rsidRDefault="0025630D" w:rsidP="007A3EE1">
      <w:pPr>
        <w:pStyle w:val="Titleofdoc0"/>
      </w:pPr>
      <w:bookmarkStart w:id="0" w:name="TitleOfDoc"/>
      <w:bookmarkEnd w:id="0"/>
      <w:r w:rsidRPr="00A02BA1">
        <w:rPr>
          <w:rFonts w:eastAsia="MS Mincho"/>
        </w:rPr>
        <w:t>Disease resistance characteristics in Test Guidelines</w:t>
      </w:r>
    </w:p>
    <w:p w14:paraId="1E21BF55" w14:textId="77777777" w:rsidR="007A3EE1" w:rsidRPr="006A644A" w:rsidRDefault="007A3EE1" w:rsidP="007A3EE1">
      <w:pPr>
        <w:pStyle w:val="preparedby1"/>
      </w:pPr>
      <w:bookmarkStart w:id="1" w:name="Prepared"/>
      <w:bookmarkEnd w:id="1"/>
      <w:r w:rsidRPr="000C4E25">
        <w:t>Document prepared by the Office of the Union</w:t>
      </w:r>
    </w:p>
    <w:p w14:paraId="0FB5F035" w14:textId="77777777" w:rsidR="007A3EE1" w:rsidRPr="006A644A" w:rsidRDefault="007A3EE1" w:rsidP="007A3EE1">
      <w:pPr>
        <w:pStyle w:val="Disclaimer"/>
      </w:pPr>
      <w:r w:rsidRPr="006A644A">
        <w:t>Disclaimer:  this document does not represent UPOV policies or guidance</w:t>
      </w:r>
    </w:p>
    <w:p w14:paraId="6C052835" w14:textId="03F65D83" w:rsidR="009228C8" w:rsidRDefault="00722446" w:rsidP="00BC292A">
      <w:pPr>
        <w:pStyle w:val="Heading1"/>
        <w:rPr>
          <w:rFonts w:eastAsia="PMingLiU"/>
        </w:rPr>
      </w:pPr>
      <w:r>
        <w:rPr>
          <w:rFonts w:eastAsia="PMingLiU"/>
        </w:rPr>
        <w:t>Executive Summary</w:t>
      </w:r>
    </w:p>
    <w:p w14:paraId="26365052" w14:textId="77777777" w:rsidR="00722446" w:rsidRDefault="00722446" w:rsidP="009228C8">
      <w:pPr>
        <w:keepNext/>
        <w:rPr>
          <w:rFonts w:eastAsia="PMingLiU"/>
        </w:rPr>
      </w:pPr>
    </w:p>
    <w:p w14:paraId="6BDAF981" w14:textId="2524C1B4" w:rsidR="003278D7" w:rsidRDefault="00722446" w:rsidP="00E8071C">
      <w:pPr>
        <w:keepNext/>
        <w:rPr>
          <w:rFonts w:eastAsia="PMingLiU"/>
        </w:rPr>
      </w:pPr>
      <w:r>
        <w:rPr>
          <w:rFonts w:eastAsia="PMingLiU"/>
        </w:rPr>
        <w:fldChar w:fldCharType="begin"/>
      </w:r>
      <w:r>
        <w:rPr>
          <w:rFonts w:eastAsia="PMingLiU"/>
        </w:rPr>
        <w:instrText xml:space="preserve"> AUTONUM  </w:instrText>
      </w:r>
      <w:r>
        <w:rPr>
          <w:rFonts w:eastAsia="PMingLiU"/>
        </w:rPr>
        <w:fldChar w:fldCharType="end"/>
      </w:r>
      <w:r>
        <w:rPr>
          <w:rFonts w:eastAsia="PMingLiU"/>
        </w:rPr>
        <w:tab/>
        <w:t>The purpose of this document is to report developments on the use of disease resistance characteristics in Test Guidelines</w:t>
      </w:r>
      <w:r w:rsidR="00D87170">
        <w:rPr>
          <w:rFonts w:eastAsia="PMingLiU"/>
        </w:rPr>
        <w:t xml:space="preserve"> (TG)</w:t>
      </w:r>
      <w:r>
        <w:rPr>
          <w:rFonts w:eastAsia="PMingLiU"/>
        </w:rPr>
        <w:t xml:space="preserve">. </w:t>
      </w:r>
      <w:r w:rsidR="00E8071C">
        <w:rPr>
          <w:rFonts w:eastAsia="PMingLiU"/>
        </w:rPr>
        <w:t xml:space="preserve"> A series of </w:t>
      </w:r>
      <w:r w:rsidR="00D87170">
        <w:rPr>
          <w:rFonts w:eastAsia="PMingLiU"/>
        </w:rPr>
        <w:t xml:space="preserve">ongoing </w:t>
      </w:r>
      <w:r w:rsidR="00E8071C">
        <w:rPr>
          <w:rFonts w:eastAsia="PMingLiU"/>
        </w:rPr>
        <w:t xml:space="preserve">measures </w:t>
      </w:r>
      <w:r w:rsidR="003278D7">
        <w:rPr>
          <w:rFonts w:eastAsia="PMingLiU"/>
        </w:rPr>
        <w:t xml:space="preserve">to streamline the revision of Test Guidelines is reported, including: </w:t>
      </w:r>
    </w:p>
    <w:p w14:paraId="7C4006FA" w14:textId="77777777" w:rsidR="0056737E" w:rsidRDefault="0056737E" w:rsidP="00E8071C">
      <w:pPr>
        <w:keepNext/>
        <w:rPr>
          <w:rFonts w:eastAsia="PMingLiU"/>
        </w:rPr>
      </w:pPr>
    </w:p>
    <w:p w14:paraId="122225ED" w14:textId="4EFC2F07" w:rsidR="003278D7" w:rsidRDefault="00722446" w:rsidP="003278D7">
      <w:pPr>
        <w:pStyle w:val="ListParagraph"/>
        <w:keepNext/>
        <w:numPr>
          <w:ilvl w:val="0"/>
          <w:numId w:val="6"/>
        </w:numPr>
      </w:pPr>
      <w:r w:rsidRPr="00722446">
        <w:t xml:space="preserve">An improved version of the TG template </w:t>
      </w:r>
      <w:r w:rsidR="003278D7">
        <w:t xml:space="preserve">enabling the </w:t>
      </w:r>
      <w:r w:rsidRPr="00722446">
        <w:t>drafting of partial revisions</w:t>
      </w:r>
      <w:r w:rsidR="00E8071C">
        <w:t xml:space="preserve"> and</w:t>
      </w:r>
      <w:r w:rsidRPr="00722446">
        <w:t xml:space="preserve"> </w:t>
      </w:r>
      <w:r w:rsidR="00E8071C">
        <w:t xml:space="preserve">live editing </w:t>
      </w:r>
      <w:r w:rsidRPr="00722446">
        <w:t xml:space="preserve">during </w:t>
      </w:r>
      <w:r w:rsidR="00D87170">
        <w:t>Technical Working Party (</w:t>
      </w:r>
      <w:r w:rsidRPr="00722446">
        <w:t>TWP</w:t>
      </w:r>
      <w:r w:rsidR="00D87170">
        <w:t>)</w:t>
      </w:r>
      <w:r w:rsidRPr="00722446">
        <w:t xml:space="preserve"> </w:t>
      </w:r>
      <w:r w:rsidR="003278D7">
        <w:t>sessions</w:t>
      </w:r>
      <w:r w:rsidRPr="00722446">
        <w:t>.</w:t>
      </w:r>
      <w:r w:rsidR="00E8071C">
        <w:t xml:space="preserve"> </w:t>
      </w:r>
    </w:p>
    <w:p w14:paraId="747989B5" w14:textId="2FE7B93E" w:rsidR="00722446" w:rsidRDefault="003278D7" w:rsidP="003278D7">
      <w:pPr>
        <w:pStyle w:val="ListParagraph"/>
        <w:keepNext/>
        <w:numPr>
          <w:ilvl w:val="0"/>
          <w:numId w:val="6"/>
        </w:numPr>
      </w:pPr>
      <w:r>
        <w:t xml:space="preserve">Promoting </w:t>
      </w:r>
      <w:r w:rsidR="00722446" w:rsidRPr="00722446">
        <w:t>UPOV members</w:t>
      </w:r>
      <w:r w:rsidR="0056737E">
        <w:t>’</w:t>
      </w:r>
      <w:r w:rsidR="00722446" w:rsidRPr="00722446">
        <w:t xml:space="preserve"> </w:t>
      </w:r>
      <w:r>
        <w:t>reports on</w:t>
      </w:r>
      <w:r w:rsidR="00722446" w:rsidRPr="00722446">
        <w:t xml:space="preserve"> additional characteristics in DUS examination, </w:t>
      </w:r>
      <w:r>
        <w:t>including disease resistance characteristics</w:t>
      </w:r>
      <w:r w:rsidR="00722446" w:rsidRPr="00722446">
        <w:t>.</w:t>
      </w:r>
    </w:p>
    <w:p w14:paraId="514104B7" w14:textId="338EB1CF" w:rsidR="00722446" w:rsidRDefault="003278D7" w:rsidP="003278D7">
      <w:pPr>
        <w:pStyle w:val="ListParagraph"/>
        <w:numPr>
          <w:ilvl w:val="0"/>
          <w:numId w:val="6"/>
        </w:numPr>
      </w:pPr>
      <w:r>
        <w:t>P</w:t>
      </w:r>
      <w:r w:rsidR="00722446" w:rsidRPr="00722446">
        <w:t xml:space="preserve">romoting </w:t>
      </w:r>
      <w:r>
        <w:t xml:space="preserve">intersessional meetings of the </w:t>
      </w:r>
      <w:r w:rsidR="00722446" w:rsidRPr="00722446">
        <w:t>subgroups of interested experts to advance discussions</w:t>
      </w:r>
      <w:r>
        <w:t xml:space="preserve"> of partial revisions of Test Guidelines</w:t>
      </w:r>
    </w:p>
    <w:p w14:paraId="11A3D886" w14:textId="77777777" w:rsidR="00E8071C" w:rsidRDefault="00E8071C" w:rsidP="00722446"/>
    <w:p w14:paraId="188E800C" w14:textId="5BC9449F" w:rsidR="00D87170" w:rsidRDefault="00D87170" w:rsidP="00722446">
      <w:r>
        <w:fldChar w:fldCharType="begin"/>
      </w:r>
      <w:r>
        <w:instrText xml:space="preserve"> AUTONUM  </w:instrText>
      </w:r>
      <w:r>
        <w:fldChar w:fldCharType="end"/>
      </w:r>
      <w:r>
        <w:tab/>
        <w:t>The document also reports discussions held at the Technical Committee (TC) and Technical Working Party for Vegetables (TWV), in 2024.</w:t>
      </w:r>
    </w:p>
    <w:p w14:paraId="12F5632F" w14:textId="77777777" w:rsidR="00D87170" w:rsidRPr="006D1C8F" w:rsidRDefault="00D87170" w:rsidP="006D1C8F">
      <w:pPr>
        <w:ind w:left="4820"/>
        <w:rPr>
          <w:i/>
          <w:iCs/>
        </w:rPr>
      </w:pPr>
    </w:p>
    <w:p w14:paraId="4346AE9E" w14:textId="377B7CC2" w:rsidR="000A033D" w:rsidRPr="006D1C8F" w:rsidRDefault="000A033D" w:rsidP="006D1C8F">
      <w:pPr>
        <w:ind w:left="4820"/>
        <w:rPr>
          <w:i/>
          <w:iCs/>
        </w:rPr>
      </w:pPr>
      <w:r w:rsidRPr="006D1C8F">
        <w:rPr>
          <w:i/>
          <w:iCs/>
        </w:rPr>
        <w:fldChar w:fldCharType="begin"/>
      </w:r>
      <w:r w:rsidRPr="006D1C8F">
        <w:rPr>
          <w:i/>
          <w:iCs/>
        </w:rPr>
        <w:instrText xml:space="preserve"> AUTONUM  </w:instrText>
      </w:r>
      <w:r w:rsidRPr="006D1C8F">
        <w:rPr>
          <w:i/>
          <w:iCs/>
        </w:rPr>
        <w:fldChar w:fldCharType="end"/>
      </w:r>
      <w:r w:rsidRPr="006D1C8F">
        <w:rPr>
          <w:i/>
          <w:iCs/>
        </w:rPr>
        <w:tab/>
        <w:t xml:space="preserve">The TWV is invited to </w:t>
      </w:r>
      <w:r w:rsidR="006D1C8F" w:rsidRPr="006D1C8F">
        <w:rPr>
          <w:i/>
          <w:iCs/>
        </w:rPr>
        <w:t xml:space="preserve">consider the </w:t>
      </w:r>
      <w:r w:rsidR="0056737E">
        <w:rPr>
          <w:i/>
          <w:iCs/>
        </w:rPr>
        <w:t>matters</w:t>
      </w:r>
      <w:r w:rsidR="006D1C8F" w:rsidRPr="006D1C8F">
        <w:rPr>
          <w:i/>
          <w:iCs/>
        </w:rPr>
        <w:t xml:space="preserve"> reported in th</w:t>
      </w:r>
      <w:r w:rsidR="0056737E">
        <w:rPr>
          <w:i/>
          <w:iCs/>
        </w:rPr>
        <w:t>is</w:t>
      </w:r>
      <w:r w:rsidR="006D1C8F" w:rsidRPr="006D1C8F">
        <w:rPr>
          <w:i/>
          <w:iCs/>
        </w:rPr>
        <w:t xml:space="preserve"> document </w:t>
      </w:r>
      <w:r w:rsidR="0056737E">
        <w:rPr>
          <w:i/>
          <w:iCs/>
        </w:rPr>
        <w:t>on</w:t>
      </w:r>
      <w:r w:rsidR="006D1C8F" w:rsidRPr="006D1C8F">
        <w:rPr>
          <w:i/>
          <w:iCs/>
        </w:rPr>
        <w:t xml:space="preserve"> disease resistance characteristics in Test Guidelines. </w:t>
      </w:r>
    </w:p>
    <w:p w14:paraId="3556EA79" w14:textId="77777777" w:rsidR="000A033D" w:rsidRDefault="000A033D" w:rsidP="00722446"/>
    <w:p w14:paraId="221B5CA5" w14:textId="77777777" w:rsidR="00C2664A" w:rsidRDefault="00C2664A" w:rsidP="00722446"/>
    <w:p w14:paraId="4B4E411B" w14:textId="405AF0D1" w:rsidR="00722446" w:rsidRDefault="003278D7" w:rsidP="00361B15">
      <w:pPr>
        <w:pStyle w:val="Heading2"/>
        <w:rPr>
          <w:rFonts w:eastAsia="PMingLiU"/>
        </w:rPr>
      </w:pPr>
      <w:r>
        <w:t>Background:</w:t>
      </w:r>
    </w:p>
    <w:p w14:paraId="6570ADFA" w14:textId="77777777" w:rsidR="00722446" w:rsidRPr="00F41124" w:rsidRDefault="00722446" w:rsidP="009228C8">
      <w:pPr>
        <w:keepNext/>
        <w:rPr>
          <w:rFonts w:eastAsia="PMingLiU"/>
        </w:rPr>
      </w:pPr>
    </w:p>
    <w:p w14:paraId="1CE477F6" w14:textId="2A2476A8" w:rsidR="009228C8" w:rsidRPr="00F41124" w:rsidRDefault="009228C8" w:rsidP="009228C8">
      <w:pPr>
        <w:rPr>
          <w:rFonts w:eastAsia="PMingLiU"/>
        </w:rPr>
      </w:pPr>
      <w:r w:rsidRPr="00F41124">
        <w:rPr>
          <w:rFonts w:eastAsia="PMingLiU"/>
        </w:rPr>
        <w:fldChar w:fldCharType="begin"/>
      </w:r>
      <w:r w:rsidRPr="00F41124">
        <w:rPr>
          <w:rFonts w:eastAsia="PMingLiU"/>
        </w:rPr>
        <w:instrText xml:space="preserve"> AUTONUM  </w:instrText>
      </w:r>
      <w:r w:rsidRPr="00F41124">
        <w:rPr>
          <w:rFonts w:eastAsia="PMingLiU"/>
        </w:rPr>
        <w:fldChar w:fldCharType="end"/>
      </w:r>
      <w:r w:rsidRPr="00F41124">
        <w:rPr>
          <w:rFonts w:eastAsia="PMingLiU"/>
        </w:rPr>
        <w:tab/>
        <w:t>The TC</w:t>
      </w:r>
      <w:r w:rsidR="00BC292A">
        <w:rPr>
          <w:rFonts w:eastAsia="PMingLiU"/>
        </w:rPr>
        <w:t>, at its sixtieth session,</w:t>
      </w:r>
      <w:r w:rsidRPr="00F41124">
        <w:rPr>
          <w:rFonts w:eastAsia="PMingLiU"/>
        </w:rPr>
        <w:t xml:space="preserve"> agreed with the TWV to invite the Office of the Union to provide information on challenges and opportunities for disease resistance characteristics in Test Guidelines, for consideration at the fifty-ninth session of the TWV, as set out in </w:t>
      </w:r>
      <w:r w:rsidRPr="00F41124">
        <w:rPr>
          <w:rFonts w:cs="Arial"/>
        </w:rPr>
        <w:t xml:space="preserve">document TC/60/3, </w:t>
      </w:r>
      <w:r w:rsidRPr="00F41124">
        <w:rPr>
          <w:rFonts w:eastAsia="PMingLiU"/>
        </w:rPr>
        <w:t>paragraph 7.</w:t>
      </w:r>
    </w:p>
    <w:p w14:paraId="687236E6" w14:textId="77777777" w:rsidR="00F41124" w:rsidRDefault="00F41124" w:rsidP="000A6A1E"/>
    <w:p w14:paraId="1A592879" w14:textId="77777777" w:rsidR="00361B15" w:rsidRDefault="00361B15" w:rsidP="000A6A1E"/>
    <w:p w14:paraId="74B06C25" w14:textId="29092F20" w:rsidR="007526DE" w:rsidRDefault="00421604" w:rsidP="0056737E">
      <w:pPr>
        <w:pStyle w:val="Heading1"/>
        <w:rPr>
          <w:rFonts w:eastAsiaTheme="minorEastAsia"/>
          <w:shd w:val="clear" w:color="auto" w:fill="FFFFFF"/>
        </w:rPr>
      </w:pPr>
      <w:r>
        <w:rPr>
          <w:rFonts w:eastAsiaTheme="minorEastAsia"/>
          <w:shd w:val="clear" w:color="auto" w:fill="FFFFFF"/>
        </w:rPr>
        <w:t>Preparation of draft Test Guidelines</w:t>
      </w:r>
    </w:p>
    <w:p w14:paraId="1B373539" w14:textId="77777777" w:rsidR="00421604" w:rsidRDefault="00421604" w:rsidP="007526DE">
      <w:pPr>
        <w:rPr>
          <w:rFonts w:eastAsiaTheme="minorEastAsia" w:cs="Arial"/>
          <w:color w:val="333333"/>
          <w:shd w:val="clear" w:color="auto" w:fill="FFFFFF"/>
        </w:rPr>
      </w:pPr>
    </w:p>
    <w:p w14:paraId="451438C3" w14:textId="2F9ABF06" w:rsidR="00421604" w:rsidRDefault="00421604" w:rsidP="007526DE">
      <w:pPr>
        <w:rPr>
          <w:rFonts w:eastAsiaTheme="minorEastAsia" w:cs="Arial"/>
          <w:color w:val="333333"/>
          <w:shd w:val="clear" w:color="auto" w:fill="FFFFFF"/>
        </w:rPr>
      </w:pPr>
      <w:r>
        <w:rPr>
          <w:rFonts w:eastAsiaTheme="minorEastAsia" w:cs="Arial"/>
          <w:color w:val="333333"/>
          <w:shd w:val="clear" w:color="auto" w:fill="FFFFFF"/>
        </w:rPr>
        <w:fldChar w:fldCharType="begin"/>
      </w:r>
      <w:r>
        <w:rPr>
          <w:rFonts w:eastAsiaTheme="minorEastAsia" w:cs="Arial"/>
          <w:color w:val="333333"/>
          <w:shd w:val="clear" w:color="auto" w:fill="FFFFFF"/>
        </w:rPr>
        <w:instrText xml:space="preserve"> AUTONUM  </w:instrText>
      </w:r>
      <w:r>
        <w:rPr>
          <w:rFonts w:eastAsiaTheme="minorEastAsia" w:cs="Arial"/>
          <w:color w:val="333333"/>
          <w:shd w:val="clear" w:color="auto" w:fill="FFFFFF"/>
        </w:rPr>
        <w:fldChar w:fldCharType="end"/>
      </w:r>
      <w:r>
        <w:rPr>
          <w:rFonts w:eastAsiaTheme="minorEastAsia" w:cs="Arial"/>
          <w:color w:val="333333"/>
          <w:shd w:val="clear" w:color="auto" w:fill="FFFFFF"/>
        </w:rPr>
        <w:tab/>
        <w:t xml:space="preserve">The online tool for drafting Test Guidelines (TG template) is being updated. An improved version is expected to be released in May 2025. The new version will enable partial revisions to be drafted using the same tool used for full revision of Test Guidelines.  It will also allow editing draft Test Guidelines during the TWP meetings. </w:t>
      </w:r>
      <w:r w:rsidR="00604CD9">
        <w:rPr>
          <w:rFonts w:eastAsiaTheme="minorEastAsia" w:cs="Arial"/>
          <w:color w:val="333333"/>
          <w:shd w:val="clear" w:color="auto" w:fill="FFFFFF"/>
        </w:rPr>
        <w:t xml:space="preserve"> Both of these changes should reduce the number of steps and time required to process partial revisions of Test Guidelines. </w:t>
      </w:r>
    </w:p>
    <w:p w14:paraId="49778E15" w14:textId="77777777" w:rsidR="00604CD9" w:rsidRDefault="00604CD9" w:rsidP="007526DE">
      <w:pPr>
        <w:rPr>
          <w:rFonts w:eastAsiaTheme="minorEastAsia" w:cs="Arial"/>
          <w:color w:val="333333"/>
          <w:shd w:val="clear" w:color="auto" w:fill="FFFFFF"/>
        </w:rPr>
      </w:pPr>
    </w:p>
    <w:p w14:paraId="26CE9293" w14:textId="77777777" w:rsidR="00C2664A" w:rsidRDefault="00C2664A" w:rsidP="007526DE">
      <w:pPr>
        <w:rPr>
          <w:rFonts w:eastAsiaTheme="minorEastAsia" w:cs="Arial"/>
          <w:color w:val="333333"/>
          <w:shd w:val="clear" w:color="auto" w:fill="FFFFFF"/>
        </w:rPr>
      </w:pPr>
    </w:p>
    <w:p w14:paraId="36F271F2" w14:textId="128F0524" w:rsidR="00604CD9" w:rsidRDefault="00604CD9" w:rsidP="0056737E">
      <w:pPr>
        <w:pStyle w:val="Heading1"/>
        <w:rPr>
          <w:rFonts w:eastAsiaTheme="minorEastAsia"/>
          <w:shd w:val="clear" w:color="auto" w:fill="FFFFFF"/>
        </w:rPr>
      </w:pPr>
      <w:r>
        <w:rPr>
          <w:rFonts w:eastAsiaTheme="minorEastAsia"/>
          <w:shd w:val="clear" w:color="auto" w:fill="FFFFFF"/>
        </w:rPr>
        <w:t xml:space="preserve">Reporting additional characteristics </w:t>
      </w:r>
    </w:p>
    <w:p w14:paraId="21A58F35" w14:textId="77777777" w:rsidR="007526DE" w:rsidRDefault="007526DE" w:rsidP="007526DE">
      <w:pPr>
        <w:rPr>
          <w:rFonts w:eastAsiaTheme="minorEastAsia" w:cs="Arial"/>
          <w:color w:val="333333"/>
          <w:shd w:val="clear" w:color="auto" w:fill="FFFFFF"/>
        </w:rPr>
      </w:pPr>
    </w:p>
    <w:p w14:paraId="0426DF6D" w14:textId="579804A6" w:rsidR="00604CD9" w:rsidRDefault="00604CD9" w:rsidP="007526DE">
      <w:pPr>
        <w:rPr>
          <w:rFonts w:eastAsiaTheme="minorEastAsia" w:cs="Arial"/>
          <w:color w:val="333333"/>
          <w:shd w:val="clear" w:color="auto" w:fill="FFFFFF"/>
        </w:rPr>
      </w:pPr>
      <w:r>
        <w:rPr>
          <w:rFonts w:eastAsiaTheme="minorEastAsia" w:cs="Arial"/>
          <w:color w:val="333333"/>
          <w:shd w:val="clear" w:color="auto" w:fill="FFFFFF"/>
        </w:rPr>
        <w:fldChar w:fldCharType="begin"/>
      </w:r>
      <w:r>
        <w:rPr>
          <w:rFonts w:eastAsiaTheme="minorEastAsia" w:cs="Arial"/>
          <w:color w:val="333333"/>
          <w:shd w:val="clear" w:color="auto" w:fill="FFFFFF"/>
        </w:rPr>
        <w:instrText xml:space="preserve"> AUTONUM  </w:instrText>
      </w:r>
      <w:r>
        <w:rPr>
          <w:rFonts w:eastAsiaTheme="minorEastAsia" w:cs="Arial"/>
          <w:color w:val="333333"/>
          <w:shd w:val="clear" w:color="auto" w:fill="FFFFFF"/>
        </w:rPr>
        <w:fldChar w:fldCharType="end"/>
      </w:r>
      <w:r>
        <w:rPr>
          <w:rFonts w:eastAsiaTheme="minorEastAsia" w:cs="Arial"/>
          <w:color w:val="333333"/>
          <w:shd w:val="clear" w:color="auto" w:fill="FFFFFF"/>
        </w:rPr>
        <w:tab/>
      </w:r>
      <w:r w:rsidR="00477D6D">
        <w:rPr>
          <w:rFonts w:eastAsiaTheme="minorEastAsia" w:cs="Arial"/>
          <w:color w:val="333333"/>
          <w:shd w:val="clear" w:color="auto" w:fill="FFFFFF"/>
        </w:rPr>
        <w:t xml:space="preserve">UPOV members are invited to report the use of additional characteristics used in DUS examination using the form available in </w:t>
      </w:r>
      <w:hyperlink r:id="rId9" w:history="1">
        <w:r w:rsidR="00477D6D" w:rsidRPr="00477D6D">
          <w:rPr>
            <w:rStyle w:val="Hyperlink"/>
            <w:rFonts w:eastAsiaTheme="minorEastAsia" w:cs="Arial"/>
            <w:shd w:val="clear" w:color="auto" w:fill="FFFFFF"/>
          </w:rPr>
          <w:t>d</w:t>
        </w:r>
        <w:r w:rsidRPr="00477D6D">
          <w:rPr>
            <w:rStyle w:val="Hyperlink"/>
            <w:rFonts w:eastAsiaTheme="minorEastAsia" w:cs="Arial"/>
            <w:shd w:val="clear" w:color="auto" w:fill="FFFFFF"/>
          </w:rPr>
          <w:t>ocument TGP/5, Section 10</w:t>
        </w:r>
      </w:hyperlink>
      <w:r w:rsidRPr="00604CD9">
        <w:rPr>
          <w:rFonts w:eastAsiaTheme="minorEastAsia" w:cs="Arial"/>
          <w:color w:val="333333"/>
          <w:shd w:val="clear" w:color="auto" w:fill="FFFFFF"/>
        </w:rPr>
        <w:t xml:space="preserve"> “Notification of Additional Characteristics and States of Expression”</w:t>
      </w:r>
      <w:r w:rsidR="00477D6D">
        <w:rPr>
          <w:rFonts w:eastAsiaTheme="minorEastAsia" w:cs="Arial"/>
          <w:color w:val="333333"/>
          <w:shd w:val="clear" w:color="auto" w:fill="FFFFFF"/>
        </w:rPr>
        <w:t>.</w:t>
      </w:r>
      <w:r w:rsidRPr="00604CD9">
        <w:rPr>
          <w:rFonts w:eastAsiaTheme="minorEastAsia" w:cs="Arial"/>
          <w:color w:val="333333"/>
          <w:shd w:val="clear" w:color="auto" w:fill="FFFFFF"/>
        </w:rPr>
        <w:t xml:space="preserve"> </w:t>
      </w:r>
      <w:r w:rsidR="00477D6D">
        <w:rPr>
          <w:rFonts w:eastAsiaTheme="minorEastAsia" w:cs="Arial"/>
          <w:color w:val="333333"/>
          <w:shd w:val="clear" w:color="auto" w:fill="FFFFFF"/>
        </w:rPr>
        <w:t xml:space="preserve"> These characteristics will </w:t>
      </w:r>
      <w:r w:rsidRPr="00604CD9">
        <w:rPr>
          <w:rFonts w:eastAsiaTheme="minorEastAsia" w:cs="Arial"/>
          <w:color w:val="333333"/>
          <w:shd w:val="clear" w:color="auto" w:fill="FFFFFF"/>
        </w:rPr>
        <w:t>be presented to the</w:t>
      </w:r>
      <w:r w:rsidR="00477D6D">
        <w:rPr>
          <w:rFonts w:eastAsiaTheme="minorEastAsia" w:cs="Arial"/>
          <w:color w:val="333333"/>
          <w:shd w:val="clear" w:color="auto" w:fill="FFFFFF"/>
        </w:rPr>
        <w:t xml:space="preserve"> T</w:t>
      </w:r>
      <w:r w:rsidRPr="00604CD9">
        <w:rPr>
          <w:rFonts w:eastAsiaTheme="minorEastAsia" w:cs="Arial"/>
          <w:color w:val="333333"/>
          <w:shd w:val="clear" w:color="auto" w:fill="FFFFFF"/>
        </w:rPr>
        <w:t>W</w:t>
      </w:r>
      <w:r w:rsidR="00477D6D">
        <w:rPr>
          <w:rFonts w:eastAsiaTheme="minorEastAsia" w:cs="Arial"/>
          <w:color w:val="333333"/>
          <w:shd w:val="clear" w:color="auto" w:fill="FFFFFF"/>
        </w:rPr>
        <w:t xml:space="preserve">V, including </w:t>
      </w:r>
      <w:r w:rsidRPr="00604CD9">
        <w:rPr>
          <w:rFonts w:eastAsiaTheme="minorEastAsia" w:cs="Arial"/>
          <w:color w:val="333333"/>
          <w:shd w:val="clear" w:color="auto" w:fill="FFFFFF"/>
        </w:rPr>
        <w:t xml:space="preserve">information on the extent of use of the characteristic. </w:t>
      </w:r>
      <w:r w:rsidR="00477D6D">
        <w:rPr>
          <w:rFonts w:eastAsiaTheme="minorEastAsia" w:cs="Arial"/>
          <w:color w:val="333333"/>
          <w:shd w:val="clear" w:color="auto" w:fill="FFFFFF"/>
        </w:rPr>
        <w:t xml:space="preserve"> </w:t>
      </w:r>
      <w:r w:rsidRPr="00604CD9">
        <w:rPr>
          <w:rFonts w:eastAsiaTheme="minorEastAsia" w:cs="Arial"/>
          <w:color w:val="333333"/>
          <w:shd w:val="clear" w:color="auto" w:fill="FFFFFF"/>
        </w:rPr>
        <w:t>The characteristics will then, as appropriate, be posted on the TG Drafters’ webpage of the UPOV website (</w:t>
      </w:r>
      <w:hyperlink r:id="rId10" w:history="1">
        <w:r w:rsidR="00477D6D" w:rsidRPr="00293B64">
          <w:rPr>
            <w:rStyle w:val="Hyperlink"/>
            <w:rFonts w:eastAsiaTheme="minorEastAsia" w:cs="Arial"/>
            <w:shd w:val="clear" w:color="auto" w:fill="FFFFFF"/>
          </w:rPr>
          <w:t>https://www.upov.int/resource/en/tg_drafters.html</w:t>
        </w:r>
      </w:hyperlink>
      <w:r w:rsidRPr="00604CD9">
        <w:rPr>
          <w:rFonts w:eastAsiaTheme="minorEastAsia" w:cs="Arial"/>
          <w:color w:val="333333"/>
          <w:shd w:val="clear" w:color="auto" w:fill="FFFFFF"/>
        </w:rPr>
        <w:t>) or initiate a revision or a partial revision of the Test Guidelines concerned.</w:t>
      </w:r>
    </w:p>
    <w:p w14:paraId="6449FF60" w14:textId="77777777" w:rsidR="007526DE" w:rsidRDefault="007526DE" w:rsidP="000A6A1E"/>
    <w:p w14:paraId="5F479A35" w14:textId="4AE79F21" w:rsidR="002D4D5F" w:rsidRDefault="00397371" w:rsidP="0056737E">
      <w:pPr>
        <w:pStyle w:val="Heading1"/>
      </w:pPr>
      <w:r>
        <w:t xml:space="preserve">Subgroup of interested experts </w:t>
      </w:r>
    </w:p>
    <w:p w14:paraId="040483B6" w14:textId="77777777" w:rsidR="00397371" w:rsidRDefault="00397371" w:rsidP="00361B15">
      <w:pPr>
        <w:keepNext/>
      </w:pPr>
    </w:p>
    <w:p w14:paraId="044E455C" w14:textId="2DD04A00" w:rsidR="00397371" w:rsidRPr="00F41124" w:rsidRDefault="00397371" w:rsidP="00361B15">
      <w:pPr>
        <w:keepNext/>
      </w:pPr>
      <w:r>
        <w:fldChar w:fldCharType="begin"/>
      </w:r>
      <w:r>
        <w:instrText xml:space="preserve"> AUTONUM  </w:instrText>
      </w:r>
      <w:r>
        <w:fldChar w:fldCharType="end"/>
      </w:r>
      <w:r>
        <w:tab/>
      </w:r>
      <w:r w:rsidRPr="00F41124">
        <w:t>The TC</w:t>
      </w:r>
      <w:r>
        <w:t>, at its sixtieth session</w:t>
      </w:r>
      <w:r>
        <w:rPr>
          <w:rStyle w:val="FootnoteReference"/>
        </w:rPr>
        <w:footnoteReference w:id="2"/>
      </w:r>
      <w:r>
        <w:t>,</w:t>
      </w:r>
      <w:r w:rsidRPr="00F41124">
        <w:t xml:space="preserve"> noted that more disease resistance characteristics were being proposed in Test Guidelines, requiring more frequent revision and agreed that subgroups of interested experts should be promoted to advance discussions more expeditiously.</w:t>
      </w:r>
    </w:p>
    <w:p w14:paraId="2181E1A7" w14:textId="49C77D6A" w:rsidR="00397371" w:rsidRDefault="00397371" w:rsidP="000A6A1E"/>
    <w:p w14:paraId="38D7E0F8" w14:textId="020A51D8" w:rsidR="00397371" w:rsidRDefault="00397371" w:rsidP="000A6A1E">
      <w:r>
        <w:fldChar w:fldCharType="begin"/>
      </w:r>
      <w:r>
        <w:instrText xml:space="preserve"> AUTONUM  </w:instrText>
      </w:r>
      <w:r>
        <w:fldChar w:fldCharType="end"/>
      </w:r>
      <w:r>
        <w:tab/>
        <w:t xml:space="preserve">From 2025, </w:t>
      </w:r>
      <w:r w:rsidR="009228C8">
        <w:t xml:space="preserve">leading experts of </w:t>
      </w:r>
      <w:r>
        <w:t xml:space="preserve">partial revisions </w:t>
      </w:r>
      <w:r w:rsidR="009228C8">
        <w:t xml:space="preserve">will be encouraged to establish subgroups of interested experts and conduct consultations prior to submitting the proposal to the TWPs.  This procedure should increase the number of meetings and consultations taking place during the intersessional period between two TWP sessions.  </w:t>
      </w:r>
    </w:p>
    <w:p w14:paraId="34438F1B" w14:textId="77777777" w:rsidR="00F41124" w:rsidRDefault="00F41124" w:rsidP="00F41124"/>
    <w:p w14:paraId="0BB5401D" w14:textId="77777777" w:rsidR="00C2664A" w:rsidRPr="00F41124" w:rsidRDefault="00C2664A" w:rsidP="00F41124"/>
    <w:p w14:paraId="08983B83" w14:textId="38F9C2B9" w:rsidR="00F41124" w:rsidRPr="00F41124" w:rsidRDefault="00C17182" w:rsidP="0056737E">
      <w:pPr>
        <w:pStyle w:val="Heading1"/>
      </w:pPr>
      <w:r>
        <w:t>S</w:t>
      </w:r>
      <w:r w:rsidRPr="00C17182">
        <w:t>cale of notes for QN disease resistance characteristics with no example variety for high level of resistance</w:t>
      </w:r>
    </w:p>
    <w:p w14:paraId="4727FE33" w14:textId="77777777" w:rsidR="00006AAE" w:rsidRDefault="00006AAE" w:rsidP="00006AAE"/>
    <w:p w14:paraId="644FCAF5" w14:textId="696DD301" w:rsidR="00006AAE" w:rsidRPr="00006AAE" w:rsidRDefault="00006AAE" w:rsidP="00006AAE">
      <w:r>
        <w:fldChar w:fldCharType="begin"/>
      </w:r>
      <w:r w:rsidRPr="00006AAE">
        <w:instrText xml:space="preserve"> AUTONUM  </w:instrText>
      </w:r>
      <w:r>
        <w:fldChar w:fldCharType="end"/>
      </w:r>
      <w:r w:rsidRPr="00006AAE">
        <w:tab/>
        <w:t>Document TGP/12/5</w:t>
      </w:r>
      <w:r>
        <w:t xml:space="preserve"> “Guidance on certain physiological characteristics”</w:t>
      </w:r>
      <w:r w:rsidRPr="00006AAE">
        <w:t xml:space="preserve"> Section 2.3.</w:t>
      </w:r>
      <w:r w:rsidR="0056737E">
        <w:t>2</w:t>
      </w:r>
      <w:r>
        <w:t>,</w:t>
      </w:r>
      <w:r w:rsidRPr="00006AAE">
        <w:t xml:space="preserve"> states that </w:t>
      </w:r>
      <w:r>
        <w:t>“disease resistances for which there is a continuous range of levels of susceptibility / resistance across varieties, are quantitative characteristics.”</w:t>
      </w:r>
    </w:p>
    <w:p w14:paraId="19C00AFD" w14:textId="77777777" w:rsidR="005A19BA" w:rsidRDefault="005A19BA" w:rsidP="005A19BA"/>
    <w:p w14:paraId="324EB0B4" w14:textId="40B27294" w:rsidR="00C17182" w:rsidRDefault="00C17182" w:rsidP="00A06288">
      <w:pPr>
        <w:tabs>
          <w:tab w:val="num" w:pos="720"/>
        </w:tabs>
      </w:pPr>
      <w:r w:rsidRPr="004E328C">
        <w:fldChar w:fldCharType="begin"/>
      </w:r>
      <w:r w:rsidRPr="004E328C">
        <w:instrText xml:space="preserve"> AUTONUM  </w:instrText>
      </w:r>
      <w:r w:rsidRPr="004E328C">
        <w:fldChar w:fldCharType="end"/>
      </w:r>
      <w:r w:rsidRPr="004E328C">
        <w:tab/>
      </w:r>
      <w:r w:rsidR="004E328C" w:rsidRPr="004E328C">
        <w:t xml:space="preserve">Document </w:t>
      </w:r>
      <w:r w:rsidRPr="00C17182">
        <w:t>TGP/7 “Development of Test Guidelines”, GN 28, section 2.4</w:t>
      </w:r>
      <w:r w:rsidR="004E328C" w:rsidRPr="004E328C">
        <w:t xml:space="preserve">, states example varieties should be provided for at least two states of expression for characteristics using scales with three, four or five notes. </w:t>
      </w:r>
      <w:r w:rsidR="00A06288">
        <w:t xml:space="preserve"> Document </w:t>
      </w:r>
      <w:r w:rsidRPr="00C17182">
        <w:t xml:space="preserve">TGP/8 “Trial Design and Techniques Used in the Examination of Distinctness, Uniformity and Stability”, Part I, Section 2.3.2.19 </w:t>
      </w:r>
      <w:r w:rsidR="00A06288" w:rsidRPr="00A06288">
        <w:t xml:space="preserve">states that the </w:t>
      </w:r>
      <w:r w:rsidRPr="00C17182">
        <w:t xml:space="preserve">distances between discrete categories of an ordinal scale </w:t>
      </w:r>
      <w:r w:rsidR="00A06288" w:rsidRPr="00A06288">
        <w:t xml:space="preserve">of notes </w:t>
      </w:r>
      <w:r w:rsidRPr="00C17182">
        <w:t>are not exactly known and not necessarily equal</w:t>
      </w:r>
      <w:r w:rsidR="00A06288" w:rsidRPr="00A06288">
        <w:t xml:space="preserve">. </w:t>
      </w:r>
    </w:p>
    <w:p w14:paraId="61307D0D" w14:textId="77777777" w:rsidR="00D87170" w:rsidRDefault="00D87170" w:rsidP="00A06288">
      <w:pPr>
        <w:tabs>
          <w:tab w:val="num" w:pos="720"/>
        </w:tabs>
      </w:pPr>
    </w:p>
    <w:p w14:paraId="007EC2FB" w14:textId="480C7900" w:rsidR="00D87170" w:rsidRPr="00A06288" w:rsidRDefault="00D87170" w:rsidP="00A06288">
      <w:pPr>
        <w:tabs>
          <w:tab w:val="num" w:pos="720"/>
        </w:tabs>
      </w:pPr>
      <w:r>
        <w:fldChar w:fldCharType="begin"/>
      </w:r>
      <w:r>
        <w:instrText xml:space="preserve"> AUTONUM  </w:instrText>
      </w:r>
      <w:r>
        <w:fldChar w:fldCharType="end"/>
      </w:r>
      <w:r>
        <w:tab/>
        <w:t>As an example, quantitative disease resistance characteristics with three states of expression should have at least two example varieties and use an ordinal scale with discrete categories.</w:t>
      </w:r>
    </w:p>
    <w:p w14:paraId="5CA69A64" w14:textId="77777777" w:rsidR="00C17182" w:rsidRDefault="00C17182" w:rsidP="005A19BA"/>
    <w:p w14:paraId="39FD5C1B" w14:textId="77777777" w:rsidR="00C2664A" w:rsidRDefault="00C2664A" w:rsidP="005A19BA"/>
    <w:p w14:paraId="5130AE56" w14:textId="172B3619" w:rsidR="00A6400E" w:rsidRDefault="00006AAE" w:rsidP="00515945">
      <w:pPr>
        <w:pStyle w:val="Heading1"/>
      </w:pPr>
      <w:r>
        <w:t xml:space="preserve">Qualitative characteristics </w:t>
      </w:r>
    </w:p>
    <w:p w14:paraId="5C6FAF33" w14:textId="77777777" w:rsidR="00A6400E" w:rsidRDefault="00A6400E" w:rsidP="00A6400E"/>
    <w:p w14:paraId="6D7D92D3" w14:textId="3FA05204" w:rsidR="00A6400E" w:rsidRPr="000A6A1E" w:rsidRDefault="00006AAE" w:rsidP="00A6400E">
      <w:r>
        <w:fldChar w:fldCharType="begin"/>
      </w:r>
      <w:r>
        <w:instrText xml:space="preserve"> AUTONUM  </w:instrText>
      </w:r>
      <w:r>
        <w:fldChar w:fldCharType="end"/>
      </w:r>
      <w:r>
        <w:tab/>
      </w:r>
      <w:r w:rsidR="00A6400E" w:rsidRPr="00D61D1F">
        <w:t>Document TG/1/3 “General introduction to DUS examination”</w:t>
      </w:r>
      <w:r>
        <w:t xml:space="preserve"> </w:t>
      </w:r>
      <w:r w:rsidR="00A6400E" w:rsidRPr="00D61D1F">
        <w:t xml:space="preserve">section </w:t>
      </w:r>
      <w:bookmarkStart w:id="2" w:name="_Toc7923353"/>
      <w:r w:rsidR="00A6400E" w:rsidRPr="000A6A1E">
        <w:t>4.4</w:t>
      </w:r>
      <w:r>
        <w:t xml:space="preserve">.1 states that </w:t>
      </w:r>
      <w:bookmarkEnd w:id="2"/>
      <w:r w:rsidR="00A6400E" w:rsidRPr="000A6A1E">
        <w:t>“Qualitative characteristics are those that are expressed in discontinuous states (e.g. sex of plant:  dioecious female (1), dioecious male (2), monoecious unisexual (3), monoecious hermaphrodite (4)).  These states are self</w:t>
      </w:r>
      <w:r w:rsidR="00A6400E" w:rsidRPr="000A6A1E">
        <w:noBreakHyphen/>
        <w:t>explanatory and independently meaningful.  All states are necessary to describe the full range of the characteristic, and every form of expression can be described by a single state.  The order of states is not important.  As a rule, the characteristics are not influenced by environment.</w:t>
      </w:r>
      <w:r>
        <w:t>”</w:t>
      </w:r>
    </w:p>
    <w:p w14:paraId="1DDFAD38" w14:textId="77777777" w:rsidR="00722446" w:rsidRDefault="00722446" w:rsidP="005A19BA"/>
    <w:p w14:paraId="4CE5D079" w14:textId="77777777" w:rsidR="00BC292A" w:rsidRDefault="00BC292A" w:rsidP="005A19BA"/>
    <w:p w14:paraId="77724873" w14:textId="73947C2F" w:rsidR="005A19BA" w:rsidRPr="00C03EBB" w:rsidRDefault="00A6400E" w:rsidP="00BC292A">
      <w:pPr>
        <w:pStyle w:val="Heading1"/>
      </w:pPr>
      <w:r>
        <w:t>Developments at the Technical Committee</w:t>
      </w:r>
      <w:r w:rsidR="00D87170">
        <w:t xml:space="preserve"> in 2024</w:t>
      </w:r>
      <w:r>
        <w:t xml:space="preserve">: </w:t>
      </w:r>
      <w:r w:rsidR="005A19BA" w:rsidRPr="00C03EBB">
        <w:t>Discussion on disease resistance characteristics in DUS examination</w:t>
      </w:r>
    </w:p>
    <w:p w14:paraId="76525AFC" w14:textId="77777777" w:rsidR="005A19BA" w:rsidRPr="00C03EBB" w:rsidRDefault="005A19BA" w:rsidP="005A19BA"/>
    <w:p w14:paraId="50797573" w14:textId="57B4AB8B" w:rsidR="005A19BA" w:rsidRPr="00C03EBB" w:rsidRDefault="005A19BA" w:rsidP="00F178BB">
      <w:r w:rsidRPr="00C03EBB">
        <w:fldChar w:fldCharType="begin"/>
      </w:r>
      <w:r w:rsidRPr="00C03EBB">
        <w:instrText xml:space="preserve"> AUTONUM  </w:instrText>
      </w:r>
      <w:r w:rsidRPr="00C03EBB">
        <w:fldChar w:fldCharType="end"/>
      </w:r>
      <w:r w:rsidRPr="00C03EBB">
        <w:tab/>
      </w:r>
      <w:r w:rsidR="00F178BB" w:rsidRPr="00F41124">
        <w:t>The TC</w:t>
      </w:r>
      <w:r w:rsidR="00F178BB">
        <w:t>, at its sixtieth session</w:t>
      </w:r>
      <w:r w:rsidR="00F178BB">
        <w:rPr>
          <w:rStyle w:val="FootnoteReference"/>
        </w:rPr>
        <w:footnoteReference w:id="3"/>
      </w:r>
      <w:r w:rsidR="00F178BB">
        <w:t>,</w:t>
      </w:r>
      <w:r w:rsidR="00F178BB" w:rsidRPr="00F41124">
        <w:t xml:space="preserve"> </w:t>
      </w:r>
      <w:r w:rsidRPr="00C03EBB">
        <w:t>received the following presentations on disease resistance characteristics in DUS examination</w:t>
      </w:r>
      <w:r w:rsidR="005E1EA1">
        <w:t xml:space="preserve"> (</w:t>
      </w:r>
      <w:r w:rsidR="00F178BB">
        <w:t>see</w:t>
      </w:r>
      <w:r w:rsidR="005E1EA1">
        <w:t xml:space="preserve">: </w:t>
      </w:r>
      <w:hyperlink r:id="rId11" w:history="1">
        <w:r w:rsidR="005E1EA1" w:rsidRPr="00502A2E">
          <w:rPr>
            <w:rStyle w:val="Hyperlink"/>
          </w:rPr>
          <w:t>https://www.upov.int/meetings/en/details.jsp?meeting_id=80839</w:t>
        </w:r>
      </w:hyperlink>
      <w:r w:rsidR="005E1EA1">
        <w:t>)</w:t>
      </w:r>
      <w:r w:rsidRPr="00C03EBB">
        <w:t>:</w:t>
      </w:r>
    </w:p>
    <w:p w14:paraId="5E9B9903" w14:textId="77777777" w:rsidR="005A19BA" w:rsidRPr="00C03EBB" w:rsidRDefault="005A19BA" w:rsidP="005A19BA"/>
    <w:tbl>
      <w:tblPr>
        <w:tblStyle w:val="TableGrid"/>
        <w:tblW w:w="9634" w:type="dxa"/>
        <w:tblLook w:val="04A0" w:firstRow="1" w:lastRow="0" w:firstColumn="1" w:lastColumn="0" w:noHBand="0" w:noVBand="1"/>
      </w:tblPr>
      <w:tblGrid>
        <w:gridCol w:w="5240"/>
        <w:gridCol w:w="4394"/>
      </w:tblGrid>
      <w:tr w:rsidR="005A19BA" w:rsidRPr="00C03EBB" w14:paraId="32A6A32D" w14:textId="77777777" w:rsidTr="006D72FB">
        <w:tc>
          <w:tcPr>
            <w:tcW w:w="5240" w:type="dxa"/>
          </w:tcPr>
          <w:p w14:paraId="1249F8EF" w14:textId="77777777" w:rsidR="005A19BA" w:rsidRPr="00C03EBB" w:rsidRDefault="005A19BA" w:rsidP="005E1EA1">
            <w:pPr>
              <w:spacing w:beforeLines="60" w:before="144" w:after="60"/>
              <w:jc w:val="left"/>
            </w:pPr>
            <w:r w:rsidRPr="00C03EBB">
              <w:t>Disease resistance characteristic in DUS examination - Introduction</w:t>
            </w:r>
          </w:p>
        </w:tc>
        <w:tc>
          <w:tcPr>
            <w:tcW w:w="4394" w:type="dxa"/>
          </w:tcPr>
          <w:p w14:paraId="3ADFB16E" w14:textId="0D956164" w:rsidR="005A19BA" w:rsidRPr="00C03EBB" w:rsidRDefault="005A19BA" w:rsidP="005E1EA1">
            <w:pPr>
              <w:spacing w:beforeLines="60" w:before="144" w:after="60"/>
              <w:jc w:val="left"/>
            </w:pPr>
            <w:r w:rsidRPr="00C03EBB">
              <w:t xml:space="preserve">UPOV </w:t>
            </w:r>
            <w:r>
              <w:t>Office</w:t>
            </w:r>
          </w:p>
        </w:tc>
      </w:tr>
      <w:tr w:rsidR="005A19BA" w:rsidRPr="00C03EBB" w14:paraId="5E13229E" w14:textId="77777777" w:rsidTr="006D72FB">
        <w:tc>
          <w:tcPr>
            <w:tcW w:w="5240" w:type="dxa"/>
          </w:tcPr>
          <w:p w14:paraId="3DCEC380" w14:textId="77777777" w:rsidR="005A19BA" w:rsidRPr="00C03EBB" w:rsidRDefault="005A19BA" w:rsidP="005E1EA1">
            <w:pPr>
              <w:spacing w:beforeLines="60" w:before="144" w:after="60"/>
              <w:jc w:val="left"/>
            </w:pPr>
            <w:r w:rsidRPr="00C03EBB">
              <w:t>Disease resistance characteristic in DUS examination - Argentina</w:t>
            </w:r>
          </w:p>
        </w:tc>
        <w:tc>
          <w:tcPr>
            <w:tcW w:w="4394" w:type="dxa"/>
          </w:tcPr>
          <w:p w14:paraId="402ECA49" w14:textId="77777777" w:rsidR="005A19BA" w:rsidRPr="00C03EBB" w:rsidRDefault="005A19BA" w:rsidP="005E1EA1">
            <w:pPr>
              <w:spacing w:beforeLines="60" w:before="144" w:after="60"/>
              <w:jc w:val="left"/>
            </w:pPr>
            <w:r w:rsidRPr="00C03EBB">
              <w:t>Argentina (Mr. Alberto Ballesteros)</w:t>
            </w:r>
          </w:p>
        </w:tc>
      </w:tr>
      <w:tr w:rsidR="005A19BA" w:rsidRPr="00C03EBB" w14:paraId="5A483F09" w14:textId="77777777" w:rsidTr="006D72FB">
        <w:tc>
          <w:tcPr>
            <w:tcW w:w="5240" w:type="dxa"/>
          </w:tcPr>
          <w:p w14:paraId="1F23E7E9" w14:textId="77777777" w:rsidR="005A19BA" w:rsidRPr="00C03EBB" w:rsidRDefault="005A19BA" w:rsidP="005E1EA1">
            <w:pPr>
              <w:spacing w:beforeLines="60" w:before="144" w:after="60"/>
              <w:jc w:val="left"/>
            </w:pPr>
            <w:r w:rsidRPr="00C03EBB">
              <w:t>Disease resistance characteristics in DUS examination: CPVO experience</w:t>
            </w:r>
          </w:p>
        </w:tc>
        <w:tc>
          <w:tcPr>
            <w:tcW w:w="4394" w:type="dxa"/>
          </w:tcPr>
          <w:p w14:paraId="3F848753" w14:textId="77777777" w:rsidR="005A19BA" w:rsidRPr="00C03EBB" w:rsidRDefault="005A19BA" w:rsidP="005E1EA1">
            <w:pPr>
              <w:spacing w:beforeLines="60" w:before="144" w:after="60"/>
              <w:jc w:val="left"/>
            </w:pPr>
            <w:r w:rsidRPr="00C03EBB">
              <w:t>European Union (Ms. Celine Morineau)</w:t>
            </w:r>
          </w:p>
        </w:tc>
      </w:tr>
      <w:tr w:rsidR="005A19BA" w:rsidRPr="00C03EBB" w14:paraId="4AFF8926" w14:textId="77777777" w:rsidTr="006D72FB">
        <w:tc>
          <w:tcPr>
            <w:tcW w:w="5240" w:type="dxa"/>
          </w:tcPr>
          <w:p w14:paraId="20A72BD7" w14:textId="77777777" w:rsidR="005A19BA" w:rsidRPr="00C03EBB" w:rsidRDefault="005A19BA" w:rsidP="005E1EA1">
            <w:pPr>
              <w:spacing w:beforeLines="60" w:before="144" w:after="60"/>
              <w:jc w:val="left"/>
            </w:pPr>
            <w:r w:rsidRPr="00C03EBB">
              <w:t>Current experience at GEVES concerning the use of disease resistance characteristics in DUS examination France</w:t>
            </w:r>
          </w:p>
        </w:tc>
        <w:tc>
          <w:tcPr>
            <w:tcW w:w="4394" w:type="dxa"/>
          </w:tcPr>
          <w:p w14:paraId="48499C57" w14:textId="77777777" w:rsidR="005A19BA" w:rsidRPr="00C03EBB" w:rsidRDefault="005A19BA" w:rsidP="005E1EA1">
            <w:pPr>
              <w:spacing w:beforeLines="60" w:before="144" w:after="60"/>
              <w:jc w:val="left"/>
            </w:pPr>
            <w:r w:rsidRPr="00C03EBB">
              <w:t>France (Ms. Clarisse Leclair)</w:t>
            </w:r>
          </w:p>
        </w:tc>
      </w:tr>
      <w:tr w:rsidR="005A19BA" w:rsidRPr="00C03EBB" w14:paraId="7327C7CB" w14:textId="77777777" w:rsidTr="005A19BA">
        <w:trPr>
          <w:trHeight w:val="421"/>
        </w:trPr>
        <w:tc>
          <w:tcPr>
            <w:tcW w:w="5240" w:type="dxa"/>
          </w:tcPr>
          <w:p w14:paraId="483D64F3" w14:textId="77777777" w:rsidR="005A19BA" w:rsidRPr="00C03EBB" w:rsidRDefault="005A19BA" w:rsidP="005E1EA1">
            <w:pPr>
              <w:spacing w:beforeLines="60" w:before="144" w:after="60"/>
              <w:jc w:val="left"/>
            </w:pPr>
            <w:r w:rsidRPr="00C03EBB">
              <w:lastRenderedPageBreak/>
              <w:t>Use of resistance characteristics in DUS in Germany</w:t>
            </w:r>
          </w:p>
        </w:tc>
        <w:tc>
          <w:tcPr>
            <w:tcW w:w="4394" w:type="dxa"/>
          </w:tcPr>
          <w:p w14:paraId="76569890" w14:textId="77777777" w:rsidR="005A19BA" w:rsidRPr="00C03EBB" w:rsidRDefault="005A19BA" w:rsidP="005E1EA1">
            <w:pPr>
              <w:spacing w:beforeLines="60" w:before="144" w:after="60"/>
              <w:jc w:val="left"/>
            </w:pPr>
            <w:r w:rsidRPr="00C03EBB">
              <w:t>Germany (Ms. Swenja Tams)</w:t>
            </w:r>
          </w:p>
        </w:tc>
      </w:tr>
      <w:tr w:rsidR="005A19BA" w:rsidRPr="00C03EBB" w14:paraId="1EC27D47" w14:textId="77777777" w:rsidTr="006D72FB">
        <w:tc>
          <w:tcPr>
            <w:tcW w:w="5240" w:type="dxa"/>
          </w:tcPr>
          <w:p w14:paraId="58289DC5" w14:textId="77777777" w:rsidR="005A19BA" w:rsidRPr="00C03EBB" w:rsidRDefault="005A19BA" w:rsidP="005E1EA1">
            <w:pPr>
              <w:spacing w:beforeLines="60" w:before="144" w:after="60"/>
              <w:jc w:val="left"/>
            </w:pPr>
            <w:r w:rsidRPr="00C03EBB">
              <w:t>Physiological characteristics and Disease resistance characteristics in PVP - Japan</w:t>
            </w:r>
          </w:p>
        </w:tc>
        <w:tc>
          <w:tcPr>
            <w:tcW w:w="4394" w:type="dxa"/>
          </w:tcPr>
          <w:p w14:paraId="2939857B" w14:textId="77777777" w:rsidR="005A19BA" w:rsidRPr="00C03EBB" w:rsidRDefault="005A19BA" w:rsidP="005E1EA1">
            <w:pPr>
              <w:spacing w:beforeLines="60" w:before="144" w:after="60"/>
              <w:jc w:val="left"/>
            </w:pPr>
            <w:r w:rsidRPr="00C03EBB">
              <w:t>Japan (Mr. Yoshiyuki Ohno)</w:t>
            </w:r>
          </w:p>
        </w:tc>
      </w:tr>
      <w:tr w:rsidR="005A19BA" w:rsidRPr="00C03EBB" w14:paraId="6DFACEC6" w14:textId="77777777" w:rsidTr="006D72FB">
        <w:tc>
          <w:tcPr>
            <w:tcW w:w="5240" w:type="dxa"/>
          </w:tcPr>
          <w:p w14:paraId="264CCC1C" w14:textId="60D1F886" w:rsidR="005A19BA" w:rsidRPr="00C03EBB" w:rsidRDefault="005A19BA" w:rsidP="005E1EA1">
            <w:pPr>
              <w:spacing w:beforeLines="60" w:before="144" w:after="60"/>
              <w:jc w:val="left"/>
            </w:pPr>
            <w:r w:rsidRPr="00C03EBB">
              <w:t xml:space="preserve">Importance of disease resistance characteristics for DUS examination </w:t>
            </w:r>
            <w:r w:rsidR="002D4D5F">
              <w:t>–</w:t>
            </w:r>
            <w:r w:rsidRPr="00C03EBB">
              <w:t xml:space="preserve"> Netherlands</w:t>
            </w:r>
            <w:r w:rsidR="002D4D5F">
              <w:t xml:space="preserve"> (Kingdom of the)</w:t>
            </w:r>
          </w:p>
        </w:tc>
        <w:tc>
          <w:tcPr>
            <w:tcW w:w="4394" w:type="dxa"/>
          </w:tcPr>
          <w:p w14:paraId="6B3F144D" w14:textId="77777777" w:rsidR="005A19BA" w:rsidRPr="00C03EBB" w:rsidRDefault="005A19BA" w:rsidP="005E1EA1">
            <w:pPr>
              <w:spacing w:beforeLines="60" w:before="144" w:after="60"/>
              <w:jc w:val="left"/>
            </w:pPr>
            <w:r w:rsidRPr="00C03EBB">
              <w:t>Netherlands (Kingdom of the) (Mr. Raoul Haegens)</w:t>
            </w:r>
          </w:p>
        </w:tc>
      </w:tr>
      <w:tr w:rsidR="005A19BA" w:rsidRPr="00C03EBB" w14:paraId="00E935DE" w14:textId="77777777" w:rsidTr="006D72FB">
        <w:tc>
          <w:tcPr>
            <w:tcW w:w="5240" w:type="dxa"/>
          </w:tcPr>
          <w:p w14:paraId="49DB650F" w14:textId="77777777" w:rsidR="005A19BA" w:rsidRPr="00C03EBB" w:rsidRDefault="005A19BA" w:rsidP="005E1EA1">
            <w:pPr>
              <w:spacing w:beforeLines="60" w:before="144" w:after="60"/>
              <w:jc w:val="left"/>
            </w:pPr>
            <w:r w:rsidRPr="00C03EBB">
              <w:t>Disease resistance characteristics used in DUS examinations - United States of America</w:t>
            </w:r>
          </w:p>
        </w:tc>
        <w:tc>
          <w:tcPr>
            <w:tcW w:w="4394" w:type="dxa"/>
          </w:tcPr>
          <w:p w14:paraId="00C0D648" w14:textId="77777777" w:rsidR="005A19BA" w:rsidRPr="00C03EBB" w:rsidRDefault="005A19BA" w:rsidP="005E1EA1">
            <w:pPr>
              <w:spacing w:beforeLines="60" w:before="144" w:after="60"/>
              <w:jc w:val="left"/>
            </w:pPr>
            <w:r w:rsidRPr="00C03EBB">
              <w:t>United States of America (Mr. Jeffery Haynes)</w:t>
            </w:r>
          </w:p>
        </w:tc>
      </w:tr>
      <w:tr w:rsidR="005A19BA" w:rsidRPr="00C03EBB" w14:paraId="539CFB4C" w14:textId="77777777" w:rsidTr="006D72FB">
        <w:tc>
          <w:tcPr>
            <w:tcW w:w="5240" w:type="dxa"/>
          </w:tcPr>
          <w:p w14:paraId="0DC4317C" w14:textId="77777777" w:rsidR="005A19BA" w:rsidRPr="00C03EBB" w:rsidRDefault="005A19BA" w:rsidP="005E1EA1">
            <w:pPr>
              <w:spacing w:beforeLines="60" w:before="144" w:after="60"/>
              <w:jc w:val="left"/>
            </w:pPr>
            <w:r w:rsidRPr="00C03EBB">
              <w:t>Disease Resistance Characteristics in DUS Examination: Breeders’ Perspectives - ISF</w:t>
            </w:r>
          </w:p>
        </w:tc>
        <w:tc>
          <w:tcPr>
            <w:tcW w:w="4394" w:type="dxa"/>
          </w:tcPr>
          <w:p w14:paraId="3AAB2AFD" w14:textId="77777777" w:rsidR="005A19BA" w:rsidRPr="00C03EBB" w:rsidRDefault="005A19BA" w:rsidP="005E1EA1">
            <w:pPr>
              <w:spacing w:beforeLines="60" w:before="144" w:after="60"/>
              <w:jc w:val="left"/>
            </w:pPr>
            <w:r w:rsidRPr="00C03EBB">
              <w:t>International Seed Federation (Mr. Ben Rivoire)</w:t>
            </w:r>
          </w:p>
        </w:tc>
      </w:tr>
    </w:tbl>
    <w:p w14:paraId="48616A6D" w14:textId="77777777" w:rsidR="005A19BA" w:rsidRPr="00C03EBB" w:rsidRDefault="005A19BA" w:rsidP="005A19BA"/>
    <w:p w14:paraId="5C3CACF1" w14:textId="77777777" w:rsidR="005A19BA" w:rsidRPr="00C03EBB" w:rsidRDefault="005A19BA" w:rsidP="005A19BA">
      <w:r w:rsidRPr="00C03EBB">
        <w:fldChar w:fldCharType="begin"/>
      </w:r>
      <w:r w:rsidRPr="00C03EBB">
        <w:instrText xml:space="preserve"> AUTONUM  </w:instrText>
      </w:r>
      <w:r w:rsidRPr="00C03EBB">
        <w:fldChar w:fldCharType="end"/>
      </w:r>
      <w:r w:rsidRPr="00C03EBB">
        <w:tab/>
        <w:t>The TC agreed the following summary of discussions:</w:t>
      </w:r>
    </w:p>
    <w:p w14:paraId="1EC36F1F" w14:textId="77777777" w:rsidR="005A19BA" w:rsidRPr="00C03EBB" w:rsidRDefault="005A19BA" w:rsidP="005A19BA"/>
    <w:p w14:paraId="4A8ABC5F" w14:textId="77777777" w:rsidR="005A19BA" w:rsidRPr="00C03EBB" w:rsidRDefault="005A19BA" w:rsidP="005A19BA">
      <w:pPr>
        <w:pStyle w:val="ListParagraph"/>
        <w:numPr>
          <w:ilvl w:val="0"/>
          <w:numId w:val="4"/>
        </w:numPr>
        <w:spacing w:before="60"/>
        <w:ind w:left="567" w:hanging="567"/>
        <w:contextualSpacing w:val="0"/>
      </w:pPr>
      <w:r w:rsidRPr="00C03EBB">
        <w:t>Disease resistance characteristics are important for DUS. Examples were presented for vegetables and agricultural species.</w:t>
      </w:r>
    </w:p>
    <w:p w14:paraId="4769669F" w14:textId="77777777" w:rsidR="005A19BA" w:rsidRPr="00C03EBB" w:rsidRDefault="005A19BA" w:rsidP="005A19BA">
      <w:pPr>
        <w:pStyle w:val="ListParagraph"/>
        <w:numPr>
          <w:ilvl w:val="0"/>
          <w:numId w:val="4"/>
        </w:numPr>
        <w:spacing w:before="60"/>
        <w:ind w:left="567" w:hanging="567"/>
      </w:pPr>
      <w:r w:rsidRPr="00C03EBB">
        <w:t>There may be different need for international harmonization through UPOV TGs, more clearly for vegetables.</w:t>
      </w:r>
    </w:p>
    <w:p w14:paraId="3192C0FF" w14:textId="77777777" w:rsidR="005A19BA" w:rsidRPr="00C03EBB" w:rsidRDefault="005A19BA" w:rsidP="005A19BA">
      <w:pPr>
        <w:pStyle w:val="ListParagraph"/>
        <w:numPr>
          <w:ilvl w:val="0"/>
          <w:numId w:val="4"/>
        </w:numPr>
        <w:spacing w:before="60"/>
        <w:ind w:left="567" w:hanging="567"/>
        <w:contextualSpacing w:val="0"/>
      </w:pPr>
      <w:r w:rsidRPr="00C03EBB">
        <w:t>Complex interaction pathogen x environment x variety may require frequent review of characteristics in test guidelines, including technical questionnaires</w:t>
      </w:r>
    </w:p>
    <w:p w14:paraId="6602CB4E" w14:textId="77777777" w:rsidR="005A19BA" w:rsidRPr="00C03EBB" w:rsidRDefault="005A19BA" w:rsidP="005A19BA">
      <w:pPr>
        <w:pStyle w:val="ListParagraph"/>
        <w:numPr>
          <w:ilvl w:val="0"/>
          <w:numId w:val="4"/>
        </w:numPr>
        <w:spacing w:before="60"/>
        <w:ind w:left="567" w:hanging="567"/>
        <w:contextualSpacing w:val="0"/>
      </w:pPr>
      <w:r w:rsidRPr="00C03EBB">
        <w:t>National, regional and international importance should be considered when deciding for whether to include disease resistance characteristics in test guidelines</w:t>
      </w:r>
      <w:r w:rsidRPr="00C03EBB" w:rsidDel="002017DF">
        <w:t xml:space="preserve"> </w:t>
      </w:r>
    </w:p>
    <w:p w14:paraId="143E52EB" w14:textId="77777777" w:rsidR="005A19BA" w:rsidRPr="00C03EBB" w:rsidRDefault="005A19BA" w:rsidP="005A19BA">
      <w:pPr>
        <w:pStyle w:val="ListParagraph"/>
        <w:numPr>
          <w:ilvl w:val="0"/>
          <w:numId w:val="4"/>
        </w:numPr>
        <w:spacing w:before="60"/>
        <w:ind w:left="567" w:hanging="567"/>
        <w:contextualSpacing w:val="0"/>
      </w:pPr>
      <w:r w:rsidRPr="00C03EBB">
        <w:t xml:space="preserve">Clear definition and harmonization of methods is required for reliable descriptions (involvement of DUS experts, phytopathologists and breeders) </w:t>
      </w:r>
    </w:p>
    <w:p w14:paraId="35FFC435" w14:textId="77777777" w:rsidR="005A19BA" w:rsidRPr="00C03EBB" w:rsidRDefault="005A19BA" w:rsidP="005A19BA">
      <w:pPr>
        <w:pStyle w:val="ListParagraph"/>
        <w:numPr>
          <w:ilvl w:val="0"/>
          <w:numId w:val="4"/>
        </w:numPr>
        <w:spacing w:before="60"/>
        <w:ind w:left="567" w:hanging="567"/>
        <w:contextualSpacing w:val="0"/>
      </w:pPr>
      <w:r w:rsidRPr="00C03EBB">
        <w:t>Development of new technologies, e.g. molecular markers as alternative methods can improve testing</w:t>
      </w:r>
    </w:p>
    <w:p w14:paraId="3016FFFE" w14:textId="77777777" w:rsidR="005A19BA" w:rsidRPr="00C03EBB" w:rsidRDefault="005A19BA" w:rsidP="005A19BA">
      <w:pPr>
        <w:pStyle w:val="ListParagraph"/>
        <w:numPr>
          <w:ilvl w:val="0"/>
          <w:numId w:val="4"/>
        </w:numPr>
        <w:spacing w:before="60"/>
        <w:ind w:left="567" w:hanging="567"/>
        <w:contextualSpacing w:val="0"/>
      </w:pPr>
      <w:r w:rsidRPr="00C03EBB">
        <w:t xml:space="preserve">Cooperation between authorities in disease resistance testing may be considered </w:t>
      </w:r>
    </w:p>
    <w:p w14:paraId="7D678BD6" w14:textId="77777777" w:rsidR="005A19BA" w:rsidRPr="00A06288" w:rsidRDefault="005A19BA" w:rsidP="005A19BA">
      <w:pPr>
        <w:pStyle w:val="ListParagraph"/>
        <w:numPr>
          <w:ilvl w:val="0"/>
          <w:numId w:val="4"/>
        </w:numPr>
        <w:spacing w:before="60"/>
        <w:ind w:left="567" w:hanging="567"/>
        <w:contextualSpacing w:val="0"/>
      </w:pPr>
      <w:r w:rsidRPr="00A06288">
        <w:t>TWP sessions should be used to inform on developments and to consider inclusion in TGs or notification of additional characteristics in the UPOV webpage</w:t>
      </w:r>
    </w:p>
    <w:p w14:paraId="086C8569" w14:textId="77777777" w:rsidR="005A19BA" w:rsidRPr="00A06288" w:rsidRDefault="005A19BA" w:rsidP="005A19BA">
      <w:pPr>
        <w:pStyle w:val="ListParagraph"/>
        <w:numPr>
          <w:ilvl w:val="0"/>
          <w:numId w:val="4"/>
        </w:numPr>
        <w:spacing w:before="60"/>
        <w:ind w:left="567" w:hanging="567"/>
        <w:contextualSpacing w:val="0"/>
      </w:pPr>
      <w:r w:rsidRPr="00A06288">
        <w:t>TWPs may consider addressing specific items on disease resistance characteristics in subgroups to advance discussions, including outside of TWP sessions</w:t>
      </w:r>
    </w:p>
    <w:p w14:paraId="69701483" w14:textId="77777777" w:rsidR="00F41124" w:rsidRDefault="00F41124" w:rsidP="000A6A1E"/>
    <w:p w14:paraId="0E19F0CB" w14:textId="77777777" w:rsidR="008C46DF" w:rsidRDefault="008C46DF" w:rsidP="008C46DF">
      <w:pPr>
        <w:jc w:val="left"/>
        <w:rPr>
          <w:rFonts w:eastAsiaTheme="minorEastAsia" w:cs="Arial"/>
          <w:color w:val="333333"/>
          <w:shd w:val="clear" w:color="auto" w:fill="FFFFFF"/>
        </w:rPr>
      </w:pPr>
    </w:p>
    <w:p w14:paraId="7B1CDB7B" w14:textId="77777777" w:rsidR="003B3022" w:rsidRDefault="003B3022" w:rsidP="008C46DF">
      <w:pPr>
        <w:jc w:val="left"/>
        <w:rPr>
          <w:rFonts w:eastAsiaTheme="minorEastAsia" w:cs="Arial"/>
          <w:color w:val="333333"/>
          <w:shd w:val="clear" w:color="auto" w:fill="FFFFFF"/>
        </w:rPr>
      </w:pPr>
    </w:p>
    <w:p w14:paraId="7A5095B6" w14:textId="55F1C18E" w:rsidR="003B3022" w:rsidRPr="003B3022" w:rsidRDefault="003B3022" w:rsidP="003B3022">
      <w:pPr>
        <w:jc w:val="right"/>
        <w:rPr>
          <w:rFonts w:eastAsiaTheme="minorEastAsia"/>
        </w:rPr>
      </w:pPr>
      <w:r>
        <w:rPr>
          <w:rFonts w:eastAsiaTheme="minorEastAsia" w:cs="Arial"/>
          <w:color w:val="333333"/>
          <w:shd w:val="clear" w:color="auto" w:fill="FFFFFF"/>
        </w:rPr>
        <w:t>[Annex follows]</w:t>
      </w:r>
    </w:p>
    <w:p w14:paraId="65E95D92" w14:textId="77777777" w:rsidR="003B3022" w:rsidRDefault="003B3022" w:rsidP="008C46DF">
      <w:pPr>
        <w:jc w:val="left"/>
        <w:rPr>
          <w:rFonts w:eastAsiaTheme="minorEastAsia" w:cs="Arial"/>
          <w:color w:val="333333"/>
          <w:shd w:val="clear" w:color="auto" w:fill="FFFFFF"/>
        </w:rPr>
      </w:pPr>
    </w:p>
    <w:p w14:paraId="381977F6" w14:textId="77777777" w:rsidR="003B3022" w:rsidRDefault="003B3022" w:rsidP="008C46DF">
      <w:pPr>
        <w:jc w:val="left"/>
        <w:rPr>
          <w:rFonts w:eastAsiaTheme="minorEastAsia" w:cs="Arial"/>
          <w:color w:val="333333"/>
          <w:shd w:val="clear" w:color="auto" w:fill="FFFFFF"/>
        </w:rPr>
        <w:sectPr w:rsidR="003B3022" w:rsidSect="005E7466">
          <w:headerReference w:type="default" r:id="rId12"/>
          <w:pgSz w:w="11907" w:h="16840" w:code="9"/>
          <w:pgMar w:top="510" w:right="1134" w:bottom="1134" w:left="1134" w:header="510" w:footer="680" w:gutter="0"/>
          <w:pgNumType w:start="1"/>
          <w:cols w:space="720"/>
          <w:titlePg/>
        </w:sectPr>
      </w:pPr>
    </w:p>
    <w:p w14:paraId="3859BF2E" w14:textId="77777777" w:rsidR="003B3022" w:rsidRPr="008C46DF" w:rsidRDefault="003B3022" w:rsidP="008C46DF">
      <w:pPr>
        <w:jc w:val="left"/>
        <w:rPr>
          <w:rFonts w:eastAsiaTheme="minorEastAsia" w:cs="Arial"/>
          <w:color w:val="333333"/>
          <w:shd w:val="clear" w:color="auto" w:fill="FFFFFF"/>
        </w:rPr>
      </w:pPr>
    </w:p>
    <w:p w14:paraId="1437579E" w14:textId="30E2531E" w:rsidR="008C46DF" w:rsidRDefault="008C46DF" w:rsidP="003B3022">
      <w:pPr>
        <w:pStyle w:val="Heading1"/>
        <w:jc w:val="center"/>
        <w:rPr>
          <w:rFonts w:eastAsia="MS Mincho"/>
        </w:rPr>
      </w:pPr>
      <w:r w:rsidRPr="008C46DF">
        <w:rPr>
          <w:rFonts w:eastAsia="MS Mincho"/>
        </w:rPr>
        <w:t>Assessing distinctness in disease resistance characteristics</w:t>
      </w:r>
    </w:p>
    <w:p w14:paraId="64FF9B31" w14:textId="07DF9DAB" w:rsidR="003B3022" w:rsidRPr="003B3022" w:rsidRDefault="003B3022" w:rsidP="003B3022">
      <w:pPr>
        <w:jc w:val="center"/>
        <w:rPr>
          <w:rFonts w:eastAsia="MS Mincho"/>
        </w:rPr>
      </w:pPr>
      <w:r>
        <w:rPr>
          <w:rFonts w:eastAsia="MS Mincho"/>
        </w:rPr>
        <w:t>Extract from document TWV/58/11 “Report”</w:t>
      </w:r>
    </w:p>
    <w:p w14:paraId="2A2900E5" w14:textId="77777777" w:rsidR="008C46DF" w:rsidRDefault="008C46DF" w:rsidP="008C46DF">
      <w:pPr>
        <w:jc w:val="left"/>
        <w:rPr>
          <w:rFonts w:eastAsiaTheme="minorEastAsia" w:cs="Arial"/>
          <w:color w:val="333333"/>
          <w:shd w:val="clear" w:color="auto" w:fill="FFFFFF"/>
        </w:rPr>
      </w:pPr>
    </w:p>
    <w:p w14:paraId="02142963" w14:textId="6ABCA7E2" w:rsidR="008C46DF" w:rsidRPr="008C46DF" w:rsidRDefault="008C46DF" w:rsidP="008C46DF">
      <w:pPr>
        <w:rPr>
          <w:rFonts w:eastAsiaTheme="minorEastAsia"/>
        </w:rPr>
      </w:pPr>
      <w:r w:rsidRPr="008C46DF">
        <w:rPr>
          <w:rFonts w:eastAsiaTheme="minorEastAsia" w:cs="Arial"/>
          <w:color w:val="333333"/>
          <w:shd w:val="clear" w:color="auto" w:fill="FFFFFF"/>
        </w:rPr>
        <w:fldChar w:fldCharType="begin"/>
      </w:r>
      <w:r w:rsidRPr="008C46DF">
        <w:rPr>
          <w:rFonts w:eastAsiaTheme="minorEastAsia" w:cs="Arial"/>
          <w:color w:val="333333"/>
          <w:shd w:val="clear" w:color="auto" w:fill="FFFFFF"/>
        </w:rPr>
        <w:instrText xml:space="preserve"> AUTONUM  </w:instrText>
      </w:r>
      <w:r w:rsidRPr="008C46DF">
        <w:rPr>
          <w:rFonts w:eastAsiaTheme="minorEastAsia" w:cs="Arial"/>
          <w:color w:val="333333"/>
          <w:shd w:val="clear" w:color="auto" w:fill="FFFFFF"/>
        </w:rPr>
        <w:fldChar w:fldCharType="end"/>
      </w:r>
      <w:r w:rsidRPr="008C46DF">
        <w:rPr>
          <w:rFonts w:eastAsiaTheme="minorEastAsia" w:cs="Arial"/>
          <w:color w:val="333333"/>
          <w:shd w:val="clear" w:color="auto" w:fill="FFFFFF"/>
        </w:rPr>
        <w:tab/>
        <w:t>The TWV</w:t>
      </w:r>
      <w:r w:rsidR="00A6400E">
        <w:rPr>
          <w:rFonts w:eastAsiaTheme="minorEastAsia" w:cs="Arial"/>
          <w:color w:val="333333"/>
          <w:shd w:val="clear" w:color="auto" w:fill="FFFFFF"/>
        </w:rPr>
        <w:t>, at its fifty</w:t>
      </w:r>
      <w:r w:rsidR="0071462E">
        <w:rPr>
          <w:rFonts w:eastAsiaTheme="minorEastAsia" w:cs="Arial"/>
          <w:color w:val="333333"/>
          <w:shd w:val="clear" w:color="auto" w:fill="FFFFFF"/>
        </w:rPr>
        <w:t>-eight</w:t>
      </w:r>
      <w:r w:rsidR="00C2664A">
        <w:rPr>
          <w:rFonts w:eastAsiaTheme="minorEastAsia" w:cs="Arial"/>
          <w:color w:val="333333"/>
          <w:shd w:val="clear" w:color="auto" w:fill="FFFFFF"/>
        </w:rPr>
        <w:t>h</w:t>
      </w:r>
      <w:r w:rsidR="0071462E">
        <w:rPr>
          <w:rFonts w:eastAsiaTheme="minorEastAsia" w:cs="Arial"/>
          <w:color w:val="333333"/>
          <w:shd w:val="clear" w:color="auto" w:fill="FFFFFF"/>
        </w:rPr>
        <w:t xml:space="preserve"> session</w:t>
      </w:r>
      <w:r w:rsidR="0071462E">
        <w:rPr>
          <w:rStyle w:val="FootnoteReference"/>
          <w:rFonts w:eastAsiaTheme="minorEastAsia" w:cs="Arial"/>
          <w:color w:val="333333"/>
          <w:shd w:val="clear" w:color="auto" w:fill="FFFFFF"/>
        </w:rPr>
        <w:footnoteReference w:id="4"/>
      </w:r>
      <w:r w:rsidR="0071462E">
        <w:rPr>
          <w:rFonts w:eastAsiaTheme="minorEastAsia" w:cs="Arial"/>
          <w:color w:val="333333"/>
          <w:shd w:val="clear" w:color="auto" w:fill="FFFFFF"/>
        </w:rPr>
        <w:t>,</w:t>
      </w:r>
      <w:r w:rsidRPr="008C46DF">
        <w:rPr>
          <w:rFonts w:eastAsiaTheme="minorEastAsia" w:cs="Arial"/>
          <w:color w:val="333333"/>
          <w:shd w:val="clear" w:color="auto" w:fill="FFFFFF"/>
        </w:rPr>
        <w:t xml:space="preserve"> received an oral report from the Office of the Union on disease resistance characteristics in Test Guidelines.  The TWV noted the challenges arising from the frequent partial </w:t>
      </w:r>
      <w:r w:rsidRPr="007A1E59">
        <w:rPr>
          <w:rFonts w:eastAsiaTheme="minorEastAsia" w:cs="Arial"/>
          <w:color w:val="333333"/>
          <w:shd w:val="clear" w:color="auto" w:fill="FFFFFF"/>
        </w:rPr>
        <w:t xml:space="preserve">revision of Test Guidelines for the inclusion of new races and strains, along with complex explanations and concepts preventing machine translation.  </w:t>
      </w:r>
      <w:r w:rsidRPr="007A1E59">
        <w:rPr>
          <w:rFonts w:eastAsiaTheme="minorEastAsia"/>
        </w:rPr>
        <w:t>The TWV noted the opportunities for further discussing the special features of disease resistance characteristics, including intersessional crop subgroup meetings, enabling the participation of phytopathologists and the open discussion session to be held at the sixtieth session of the Technical Committee.</w:t>
      </w:r>
      <w:r w:rsidRPr="008C46DF">
        <w:rPr>
          <w:rFonts w:eastAsiaTheme="minorEastAsia"/>
        </w:rPr>
        <w:t xml:space="preserve">  </w:t>
      </w:r>
    </w:p>
    <w:p w14:paraId="5A84666C" w14:textId="77777777" w:rsidR="008C46DF" w:rsidRPr="008C46DF" w:rsidRDefault="008C46DF" w:rsidP="008C46DF">
      <w:pPr>
        <w:rPr>
          <w:rFonts w:eastAsiaTheme="minorEastAsia" w:cs="Arial"/>
          <w:color w:val="333333"/>
          <w:shd w:val="clear" w:color="auto" w:fill="FFFFFF"/>
        </w:rPr>
      </w:pPr>
    </w:p>
    <w:p w14:paraId="245A2491" w14:textId="77777777" w:rsidR="008C46DF" w:rsidRPr="008C46DF" w:rsidRDefault="008C46DF" w:rsidP="008C46DF">
      <w:pPr>
        <w:rPr>
          <w:rFonts w:eastAsiaTheme="minorEastAsia" w:cs="Arial"/>
          <w:color w:val="333333"/>
          <w:shd w:val="clear" w:color="auto" w:fill="FFFFFF"/>
        </w:rPr>
      </w:pPr>
      <w:r w:rsidRPr="008C46DF">
        <w:rPr>
          <w:rFonts w:eastAsiaTheme="minorEastAsia" w:cs="Arial"/>
          <w:color w:val="333333"/>
          <w:shd w:val="clear" w:color="auto" w:fill="FFFFFF"/>
        </w:rPr>
        <w:fldChar w:fldCharType="begin"/>
      </w:r>
      <w:r w:rsidRPr="008C46DF">
        <w:rPr>
          <w:rFonts w:eastAsiaTheme="minorEastAsia" w:cs="Arial"/>
          <w:color w:val="333333"/>
          <w:shd w:val="clear" w:color="auto" w:fill="FFFFFF"/>
        </w:rPr>
        <w:instrText xml:space="preserve"> AUTONUM  </w:instrText>
      </w:r>
      <w:r w:rsidRPr="008C46DF">
        <w:rPr>
          <w:rFonts w:eastAsiaTheme="minorEastAsia" w:cs="Arial"/>
          <w:color w:val="333333"/>
          <w:shd w:val="clear" w:color="auto" w:fill="FFFFFF"/>
        </w:rPr>
        <w:fldChar w:fldCharType="end"/>
      </w:r>
      <w:r w:rsidRPr="008C46DF">
        <w:rPr>
          <w:rFonts w:eastAsiaTheme="minorEastAsia" w:cs="Arial"/>
          <w:color w:val="333333"/>
          <w:shd w:val="clear" w:color="auto" w:fill="FFFFFF"/>
        </w:rPr>
        <w:tab/>
        <w:t>The TWV agreed to invite the Office of the Union to provide information on challenges and opportunities identified for disease resistance characteristics in Test Guidelines, for consideration at its fifty-ninth session.</w:t>
      </w:r>
    </w:p>
    <w:p w14:paraId="3139854D" w14:textId="77777777" w:rsidR="008C46DF" w:rsidRDefault="008C46DF" w:rsidP="008C46DF">
      <w:pPr>
        <w:rPr>
          <w:rFonts w:eastAsia="MS Mincho" w:cs="Arial"/>
        </w:rPr>
      </w:pPr>
    </w:p>
    <w:p w14:paraId="19F3FB42" w14:textId="77777777" w:rsidR="00C2664A" w:rsidRPr="008C46DF" w:rsidRDefault="00C2664A" w:rsidP="008C46DF">
      <w:pPr>
        <w:rPr>
          <w:rFonts w:eastAsia="MS Mincho" w:cs="Arial"/>
        </w:rPr>
      </w:pPr>
    </w:p>
    <w:p w14:paraId="06BB9E69" w14:textId="77777777" w:rsidR="008C46DF" w:rsidRPr="008C46DF" w:rsidRDefault="008C46DF" w:rsidP="00BC292A">
      <w:pPr>
        <w:pStyle w:val="Heading2"/>
        <w:rPr>
          <w:rFonts w:eastAsiaTheme="minorEastAsia"/>
        </w:rPr>
      </w:pPr>
      <w:r w:rsidRPr="008C46DF">
        <w:rPr>
          <w:rFonts w:eastAsiaTheme="minorEastAsia"/>
        </w:rPr>
        <w:t>Disease resistance characteristics, states of expression scales of notes</w:t>
      </w:r>
    </w:p>
    <w:p w14:paraId="66B8E7E7" w14:textId="77777777" w:rsidR="008C46DF" w:rsidRPr="008C46DF" w:rsidRDefault="008C46DF" w:rsidP="008C46DF">
      <w:pPr>
        <w:keepNext/>
        <w:rPr>
          <w:rFonts w:eastAsia="MS Mincho" w:cs="Arial"/>
        </w:rPr>
      </w:pPr>
    </w:p>
    <w:p w14:paraId="5EA566E0" w14:textId="77777777" w:rsidR="008C46DF" w:rsidRPr="008C46DF" w:rsidRDefault="008C46DF" w:rsidP="008C46DF">
      <w:pPr>
        <w:rPr>
          <w:rFonts w:eastAsiaTheme="minorEastAsia" w:cs="Arial"/>
          <w:color w:val="333333"/>
          <w:shd w:val="clear" w:color="auto" w:fill="FFFFFF"/>
        </w:rPr>
      </w:pPr>
      <w:r w:rsidRPr="008C46DF">
        <w:rPr>
          <w:rFonts w:eastAsiaTheme="minorEastAsia" w:cs="Arial"/>
          <w:color w:val="333333"/>
          <w:shd w:val="clear" w:color="auto" w:fill="FFFFFF"/>
        </w:rPr>
        <w:fldChar w:fldCharType="begin"/>
      </w:r>
      <w:r w:rsidRPr="008C46DF">
        <w:rPr>
          <w:rFonts w:eastAsiaTheme="minorEastAsia" w:cs="Arial"/>
          <w:color w:val="333333"/>
          <w:shd w:val="clear" w:color="auto" w:fill="FFFFFF"/>
        </w:rPr>
        <w:instrText xml:space="preserve"> AUTONUM  </w:instrText>
      </w:r>
      <w:r w:rsidRPr="008C46DF">
        <w:rPr>
          <w:rFonts w:eastAsiaTheme="minorEastAsia" w:cs="Arial"/>
          <w:color w:val="333333"/>
          <w:shd w:val="clear" w:color="auto" w:fill="FFFFFF"/>
        </w:rPr>
        <w:fldChar w:fldCharType="end"/>
      </w:r>
      <w:r w:rsidRPr="008C46DF">
        <w:rPr>
          <w:rFonts w:eastAsiaTheme="minorEastAsia" w:cs="Arial"/>
          <w:color w:val="333333"/>
          <w:shd w:val="clear" w:color="auto" w:fill="FFFFFF"/>
        </w:rPr>
        <w:tab/>
      </w:r>
      <w:r w:rsidRPr="008C46DF">
        <w:rPr>
          <w:rFonts w:eastAsiaTheme="minorEastAsia"/>
        </w:rPr>
        <w:t>The TWV considered documents TWV/58/3 and TWV/58/3 Add., presented by experts from France and the Netherlands (Kingdom of).</w:t>
      </w:r>
    </w:p>
    <w:p w14:paraId="0A68970A" w14:textId="77777777" w:rsidR="008C46DF" w:rsidRPr="008C46DF" w:rsidRDefault="008C46DF" w:rsidP="008C46DF">
      <w:pPr>
        <w:rPr>
          <w:rFonts w:eastAsiaTheme="minorEastAsia" w:cs="Arial"/>
          <w:color w:val="333333"/>
          <w:shd w:val="clear" w:color="auto" w:fill="FFFFFF"/>
        </w:rPr>
      </w:pPr>
    </w:p>
    <w:p w14:paraId="6977112E" w14:textId="77777777" w:rsidR="008C46DF" w:rsidRPr="008C46DF" w:rsidRDefault="008C46DF" w:rsidP="008C46DF">
      <w:pPr>
        <w:rPr>
          <w:rFonts w:eastAsiaTheme="minorEastAsia" w:cs="Arial"/>
          <w:color w:val="333333"/>
          <w:shd w:val="clear" w:color="auto" w:fill="FFFFFF"/>
        </w:rPr>
      </w:pPr>
      <w:r w:rsidRPr="008C46DF">
        <w:rPr>
          <w:rFonts w:eastAsiaTheme="minorEastAsia" w:cs="Arial"/>
          <w:color w:val="333333"/>
          <w:shd w:val="clear" w:color="auto" w:fill="FFFFFF"/>
        </w:rPr>
        <w:fldChar w:fldCharType="begin"/>
      </w:r>
      <w:r w:rsidRPr="008C46DF">
        <w:rPr>
          <w:rFonts w:eastAsiaTheme="minorEastAsia" w:cs="Arial"/>
          <w:color w:val="333333"/>
          <w:shd w:val="clear" w:color="auto" w:fill="FFFFFF"/>
        </w:rPr>
        <w:instrText xml:space="preserve"> AUTONUM  </w:instrText>
      </w:r>
      <w:r w:rsidRPr="008C46DF">
        <w:rPr>
          <w:rFonts w:eastAsiaTheme="minorEastAsia" w:cs="Arial"/>
          <w:color w:val="333333"/>
          <w:shd w:val="clear" w:color="auto" w:fill="FFFFFF"/>
        </w:rPr>
        <w:fldChar w:fldCharType="end"/>
      </w:r>
      <w:r w:rsidRPr="008C46DF">
        <w:rPr>
          <w:rFonts w:eastAsiaTheme="minorEastAsia" w:cs="Arial"/>
          <w:color w:val="333333"/>
          <w:shd w:val="clear" w:color="auto" w:fill="FFFFFF"/>
        </w:rPr>
        <w:tab/>
        <w:t>The TWV considered the proposal of a new type of expression for disease resistance characteristics, similar to a quantitative (QN) characteristic but with two states of expression and particular features.</w:t>
      </w:r>
    </w:p>
    <w:p w14:paraId="17DAF48B" w14:textId="77777777" w:rsidR="008C46DF" w:rsidRPr="008C46DF" w:rsidRDefault="008C46DF" w:rsidP="008C46DF">
      <w:pPr>
        <w:rPr>
          <w:rFonts w:eastAsiaTheme="minorEastAsia" w:cs="Arial"/>
          <w:color w:val="333333"/>
          <w:shd w:val="clear" w:color="auto" w:fill="FFFFFF"/>
        </w:rPr>
      </w:pPr>
    </w:p>
    <w:p w14:paraId="45E44260" w14:textId="77777777" w:rsidR="008C46DF" w:rsidRPr="007A1E59" w:rsidRDefault="008C46DF" w:rsidP="008C46DF">
      <w:pPr>
        <w:keepLines/>
        <w:rPr>
          <w:rFonts w:eastAsiaTheme="minorEastAsia" w:cs="Arial"/>
          <w:color w:val="333333"/>
          <w:shd w:val="clear" w:color="auto" w:fill="FFFFFF"/>
        </w:rPr>
      </w:pPr>
      <w:r w:rsidRPr="007A1E59">
        <w:rPr>
          <w:rFonts w:eastAsiaTheme="minorEastAsia" w:cs="Arial"/>
          <w:color w:val="333333"/>
          <w:shd w:val="clear" w:color="auto" w:fill="FFFFFF"/>
        </w:rPr>
        <w:fldChar w:fldCharType="begin"/>
      </w:r>
      <w:r w:rsidRPr="007A1E59">
        <w:rPr>
          <w:rFonts w:eastAsiaTheme="minorEastAsia" w:cs="Arial"/>
          <w:color w:val="333333"/>
          <w:shd w:val="clear" w:color="auto" w:fill="FFFFFF"/>
        </w:rPr>
        <w:instrText xml:space="preserve"> AUTONUM  </w:instrText>
      </w:r>
      <w:r w:rsidRPr="007A1E59">
        <w:rPr>
          <w:rFonts w:eastAsiaTheme="minorEastAsia" w:cs="Arial"/>
          <w:color w:val="333333"/>
          <w:shd w:val="clear" w:color="auto" w:fill="FFFFFF"/>
        </w:rPr>
        <w:fldChar w:fldCharType="end"/>
      </w:r>
      <w:r w:rsidRPr="007A1E59">
        <w:rPr>
          <w:rFonts w:eastAsiaTheme="minorEastAsia" w:cs="Arial"/>
          <w:color w:val="333333"/>
          <w:shd w:val="clear" w:color="auto" w:fill="FFFFFF"/>
        </w:rPr>
        <w:tab/>
        <w:t xml:space="preserve">The TWV noted the explanation from the experts from France and the Netherlands (Kingdom of) that some QN disease resistance characteristics had no example varieties for high-level of resistance and their range of expression was divided into two states only (e.g. “absent or low / medium or high”).  The TWV noted that other disease resistance characteristics were only partially continuous, having no example varieties for part of the range of variation.  </w:t>
      </w:r>
    </w:p>
    <w:p w14:paraId="60D33A75" w14:textId="77777777" w:rsidR="008C46DF" w:rsidRPr="007A1E59" w:rsidRDefault="008C46DF" w:rsidP="008C46DF">
      <w:pPr>
        <w:keepLines/>
        <w:rPr>
          <w:rFonts w:eastAsiaTheme="minorEastAsia" w:cs="Arial"/>
          <w:color w:val="333333"/>
          <w:shd w:val="clear" w:color="auto" w:fill="FFFFFF"/>
        </w:rPr>
      </w:pPr>
    </w:p>
    <w:p w14:paraId="227695B0" w14:textId="77777777" w:rsidR="008C46DF" w:rsidRPr="007A1E59" w:rsidRDefault="008C46DF" w:rsidP="008C46DF">
      <w:pPr>
        <w:keepLines/>
        <w:rPr>
          <w:rFonts w:eastAsiaTheme="minorEastAsia" w:cs="Arial"/>
          <w:color w:val="333333"/>
          <w:shd w:val="clear" w:color="auto" w:fill="FFFFFF"/>
        </w:rPr>
      </w:pPr>
      <w:r w:rsidRPr="007A1E59">
        <w:rPr>
          <w:rFonts w:eastAsiaTheme="minorEastAsia" w:cs="Arial"/>
          <w:color w:val="333333"/>
          <w:shd w:val="clear" w:color="auto" w:fill="FFFFFF"/>
        </w:rPr>
        <w:fldChar w:fldCharType="begin"/>
      </w:r>
      <w:r w:rsidRPr="007A1E59">
        <w:rPr>
          <w:rFonts w:eastAsiaTheme="minorEastAsia" w:cs="Arial"/>
          <w:color w:val="333333"/>
          <w:shd w:val="clear" w:color="auto" w:fill="FFFFFF"/>
        </w:rPr>
        <w:instrText xml:space="preserve"> AUTONUM  </w:instrText>
      </w:r>
      <w:r w:rsidRPr="007A1E59">
        <w:rPr>
          <w:rFonts w:eastAsiaTheme="minorEastAsia" w:cs="Arial"/>
          <w:color w:val="333333"/>
          <w:shd w:val="clear" w:color="auto" w:fill="FFFFFF"/>
        </w:rPr>
        <w:fldChar w:fldCharType="end"/>
      </w:r>
      <w:r w:rsidRPr="007A1E59">
        <w:rPr>
          <w:rFonts w:eastAsiaTheme="minorEastAsia" w:cs="Arial"/>
          <w:color w:val="333333"/>
          <w:shd w:val="clear" w:color="auto" w:fill="FFFFFF"/>
        </w:rPr>
        <w:tab/>
        <w:t xml:space="preserve">The TWV recalled that guidance on the requirement for example varieties in QN characteristics in document TGP/7 “Development of Test Guidelines”, Guidance Note 28, section 2.4, stated that “in general, it is necessary to provide example varieties for more than one state of expression and in the case of QN characteristics: </w:t>
      </w:r>
    </w:p>
    <w:p w14:paraId="3A594C17" w14:textId="77777777" w:rsidR="008C46DF" w:rsidRPr="007A1E59" w:rsidRDefault="008C46DF" w:rsidP="008C46DF">
      <w:pPr>
        <w:keepLines/>
        <w:rPr>
          <w:rFonts w:eastAsiaTheme="minorEastAsia" w:cs="Arial"/>
          <w:color w:val="333333"/>
          <w:shd w:val="clear" w:color="auto" w:fill="FFFFFF"/>
        </w:rPr>
      </w:pPr>
    </w:p>
    <w:p w14:paraId="0EC8EF51" w14:textId="77777777" w:rsidR="008C46DF" w:rsidRPr="007A1E59" w:rsidRDefault="008C46DF" w:rsidP="008C46DF">
      <w:pPr>
        <w:keepLines/>
        <w:numPr>
          <w:ilvl w:val="0"/>
          <w:numId w:val="2"/>
        </w:numPr>
        <w:ind w:left="1134" w:right="567" w:hanging="567"/>
        <w:rPr>
          <w:rFonts w:eastAsiaTheme="minorEastAsia" w:cs="Arial"/>
          <w:color w:val="333333"/>
          <w:shd w:val="clear" w:color="auto" w:fill="FFFFFF"/>
        </w:rPr>
      </w:pPr>
      <w:r w:rsidRPr="007A1E59">
        <w:rPr>
          <w:rFonts w:eastAsiaTheme="minorEastAsia" w:cs="Arial"/>
          <w:color w:val="333333"/>
          <w:shd w:val="clear" w:color="auto" w:fill="FFFFFF"/>
        </w:rPr>
        <w:t xml:space="preserve"> “1-9” scale: to provide example varieties for at least three states of expression (e.g. (3), (5) and (7)), although, in exceptional cases, example varieties for only two states of expression may be accepted; </w:t>
      </w:r>
    </w:p>
    <w:p w14:paraId="4D91AB8D" w14:textId="77777777" w:rsidR="008C46DF" w:rsidRPr="007A1E59" w:rsidRDefault="008C46DF" w:rsidP="008C46DF">
      <w:pPr>
        <w:keepLines/>
        <w:ind w:left="1134" w:right="567" w:hanging="567"/>
        <w:rPr>
          <w:rFonts w:eastAsiaTheme="minorEastAsia" w:cs="Arial"/>
          <w:color w:val="333333"/>
          <w:shd w:val="clear" w:color="auto" w:fill="FFFFFF"/>
        </w:rPr>
      </w:pPr>
    </w:p>
    <w:p w14:paraId="686F11BE" w14:textId="77777777" w:rsidR="008C46DF" w:rsidRPr="007A1E59" w:rsidRDefault="008C46DF" w:rsidP="008C46DF">
      <w:pPr>
        <w:keepLines/>
        <w:numPr>
          <w:ilvl w:val="0"/>
          <w:numId w:val="2"/>
        </w:numPr>
        <w:ind w:left="1134" w:right="567" w:hanging="567"/>
        <w:rPr>
          <w:rFonts w:eastAsiaTheme="minorEastAsia" w:cs="Arial"/>
          <w:color w:val="333333"/>
          <w:shd w:val="clear" w:color="auto" w:fill="FFFFFF"/>
        </w:rPr>
      </w:pPr>
      <w:r w:rsidRPr="007A1E59">
        <w:rPr>
          <w:rFonts w:eastAsiaTheme="minorEastAsia" w:cs="Arial"/>
          <w:color w:val="333333"/>
          <w:shd w:val="clear" w:color="auto" w:fill="FFFFFF"/>
        </w:rPr>
        <w:t>“1-5” / “1-4” / “1-3” scales: to provide example varieties for at least two states of expression.”</w:t>
      </w:r>
    </w:p>
    <w:p w14:paraId="080897D8" w14:textId="77777777" w:rsidR="008C46DF" w:rsidRPr="007A1E59" w:rsidRDefault="008C46DF" w:rsidP="008C46DF">
      <w:pPr>
        <w:keepLines/>
        <w:rPr>
          <w:rFonts w:eastAsiaTheme="minorEastAsia" w:cs="Arial"/>
          <w:color w:val="333333"/>
          <w:shd w:val="clear" w:color="auto" w:fill="FFFFFF"/>
        </w:rPr>
      </w:pPr>
    </w:p>
    <w:p w14:paraId="4CB5E993" w14:textId="77777777" w:rsidR="008C46DF" w:rsidRPr="007A1E59" w:rsidRDefault="008C46DF" w:rsidP="008C46DF">
      <w:pPr>
        <w:keepLines/>
        <w:rPr>
          <w:rFonts w:eastAsiaTheme="minorEastAsia" w:cs="Arial"/>
          <w:color w:val="333333"/>
          <w:shd w:val="clear" w:color="auto" w:fill="FFFFFF"/>
        </w:rPr>
      </w:pPr>
      <w:r w:rsidRPr="007A1E59">
        <w:rPr>
          <w:rFonts w:eastAsiaTheme="minorEastAsia" w:cs="Arial"/>
          <w:color w:val="333333"/>
          <w:shd w:val="clear" w:color="auto" w:fill="FFFFFF"/>
        </w:rPr>
        <w:fldChar w:fldCharType="begin"/>
      </w:r>
      <w:r w:rsidRPr="007A1E59">
        <w:rPr>
          <w:rFonts w:eastAsiaTheme="minorEastAsia" w:cs="Arial"/>
          <w:color w:val="333333"/>
          <w:shd w:val="clear" w:color="auto" w:fill="FFFFFF"/>
        </w:rPr>
        <w:instrText xml:space="preserve"> AUTONUM  </w:instrText>
      </w:r>
      <w:r w:rsidRPr="007A1E59">
        <w:rPr>
          <w:rFonts w:eastAsiaTheme="minorEastAsia" w:cs="Arial"/>
          <w:color w:val="333333"/>
          <w:shd w:val="clear" w:color="auto" w:fill="FFFFFF"/>
        </w:rPr>
        <w:fldChar w:fldCharType="end"/>
      </w:r>
      <w:r w:rsidRPr="007A1E59">
        <w:rPr>
          <w:rFonts w:eastAsiaTheme="minorEastAsia" w:cs="Arial"/>
          <w:color w:val="333333"/>
          <w:shd w:val="clear" w:color="auto" w:fill="FFFFFF"/>
        </w:rPr>
        <w:tab/>
        <w:t>The TWV considered whether example varieties could be provided for two states of expression for some QN disease resistance characteristics and agreed to invite the experts from France and the Netherlands (Kingdom of) to check whether that approach could be used when no example varieties for high-level of resistance or part of the range of variation were available.</w:t>
      </w:r>
    </w:p>
    <w:p w14:paraId="79CE7767" w14:textId="77777777" w:rsidR="008C46DF" w:rsidRPr="007A1E59" w:rsidRDefault="008C46DF" w:rsidP="008C46DF">
      <w:pPr>
        <w:rPr>
          <w:rFonts w:eastAsiaTheme="minorEastAsia" w:cs="Arial"/>
          <w:color w:val="333333"/>
          <w:shd w:val="clear" w:color="auto" w:fill="FFFFFF"/>
        </w:rPr>
      </w:pPr>
    </w:p>
    <w:p w14:paraId="00C7A3CE" w14:textId="77777777" w:rsidR="008C46DF" w:rsidRPr="007A1E59" w:rsidRDefault="008C46DF" w:rsidP="008C46DF">
      <w:pPr>
        <w:rPr>
          <w:rFonts w:eastAsiaTheme="minorEastAsia" w:cs="Arial"/>
          <w:color w:val="333333"/>
          <w:shd w:val="clear" w:color="auto" w:fill="FFFFFF"/>
        </w:rPr>
      </w:pPr>
      <w:r w:rsidRPr="007A1E59">
        <w:rPr>
          <w:rFonts w:eastAsiaTheme="minorEastAsia" w:cs="Arial"/>
          <w:color w:val="333333"/>
          <w:shd w:val="clear" w:color="auto" w:fill="FFFFFF"/>
        </w:rPr>
        <w:fldChar w:fldCharType="begin"/>
      </w:r>
      <w:r w:rsidRPr="007A1E59">
        <w:rPr>
          <w:rFonts w:eastAsiaTheme="minorEastAsia" w:cs="Arial"/>
          <w:color w:val="333333"/>
          <w:shd w:val="clear" w:color="auto" w:fill="FFFFFF"/>
        </w:rPr>
        <w:instrText xml:space="preserve"> AUTONUM  </w:instrText>
      </w:r>
      <w:r w:rsidRPr="007A1E59">
        <w:rPr>
          <w:rFonts w:eastAsiaTheme="minorEastAsia" w:cs="Arial"/>
          <w:color w:val="333333"/>
          <w:shd w:val="clear" w:color="auto" w:fill="FFFFFF"/>
        </w:rPr>
        <w:fldChar w:fldCharType="end"/>
      </w:r>
      <w:r w:rsidRPr="007A1E59">
        <w:rPr>
          <w:rFonts w:eastAsiaTheme="minorEastAsia" w:cs="Arial"/>
          <w:color w:val="333333"/>
          <w:shd w:val="clear" w:color="auto" w:fill="FFFFFF"/>
        </w:rPr>
        <w:tab/>
        <w:t xml:space="preserve">The TWV considered the division of the range of expression of QN disease resistance characteristics into notes and could not reach an agreement on whether to use the existing types of expression, such as quantitative or pseudo-qualitative.  </w:t>
      </w:r>
    </w:p>
    <w:p w14:paraId="05E3D335" w14:textId="77777777" w:rsidR="008C46DF" w:rsidRPr="007A1E59" w:rsidRDefault="008C46DF" w:rsidP="008C46DF">
      <w:pPr>
        <w:rPr>
          <w:rFonts w:eastAsiaTheme="minorEastAsia" w:cs="Arial"/>
          <w:color w:val="333333"/>
          <w:shd w:val="clear" w:color="auto" w:fill="FFFFFF"/>
        </w:rPr>
      </w:pPr>
    </w:p>
    <w:p w14:paraId="102A42AB" w14:textId="77777777" w:rsidR="008C46DF" w:rsidRPr="008C46DF" w:rsidRDefault="008C46DF" w:rsidP="008C46DF">
      <w:pPr>
        <w:rPr>
          <w:rFonts w:eastAsiaTheme="minorEastAsia" w:cs="Arial"/>
          <w:color w:val="333333"/>
          <w:shd w:val="clear" w:color="auto" w:fill="FFFFFF"/>
        </w:rPr>
      </w:pPr>
      <w:r w:rsidRPr="007A1E59">
        <w:rPr>
          <w:rFonts w:eastAsiaTheme="minorEastAsia" w:cs="Arial"/>
          <w:color w:val="333333"/>
          <w:shd w:val="clear" w:color="auto" w:fill="FFFFFF"/>
        </w:rPr>
        <w:fldChar w:fldCharType="begin"/>
      </w:r>
      <w:r w:rsidRPr="007A1E59">
        <w:rPr>
          <w:rFonts w:eastAsiaTheme="minorEastAsia" w:cs="Arial"/>
          <w:color w:val="333333"/>
          <w:shd w:val="clear" w:color="auto" w:fill="FFFFFF"/>
        </w:rPr>
        <w:instrText xml:space="preserve"> AUTONUM  </w:instrText>
      </w:r>
      <w:r w:rsidRPr="007A1E59">
        <w:rPr>
          <w:rFonts w:eastAsiaTheme="minorEastAsia" w:cs="Arial"/>
          <w:color w:val="333333"/>
          <w:shd w:val="clear" w:color="auto" w:fill="FFFFFF"/>
        </w:rPr>
        <w:fldChar w:fldCharType="end"/>
      </w:r>
      <w:r w:rsidRPr="007A1E59">
        <w:rPr>
          <w:rFonts w:eastAsiaTheme="minorEastAsia" w:cs="Arial"/>
          <w:color w:val="333333"/>
          <w:shd w:val="clear" w:color="auto" w:fill="FFFFFF"/>
        </w:rPr>
        <w:tab/>
        <w:t>The TWV noted that the new type of expression proposed for QN disease resistance characteristics aimed at establishing distinctness based on a one-note difference for selecting varieties for the growing trial (grouping characteristics).  The TWV noted that document TGP/7, GN 13 “Characteristics with specific functions”, paragraph 3.6, stated that:</w:t>
      </w:r>
      <w:r w:rsidRPr="008C46DF">
        <w:rPr>
          <w:rFonts w:eastAsiaTheme="minorEastAsia" w:cs="Arial"/>
          <w:color w:val="333333"/>
          <w:shd w:val="clear" w:color="auto" w:fill="FFFFFF"/>
        </w:rPr>
        <w:t xml:space="preserve"> </w:t>
      </w:r>
    </w:p>
    <w:p w14:paraId="404C51C0" w14:textId="77777777" w:rsidR="008C46DF" w:rsidRPr="008C46DF" w:rsidRDefault="008C46DF" w:rsidP="008C46DF">
      <w:pPr>
        <w:rPr>
          <w:rFonts w:eastAsiaTheme="minorEastAsia" w:cs="Arial"/>
          <w:color w:val="333333"/>
          <w:shd w:val="clear" w:color="auto" w:fill="FFFFFF"/>
        </w:rPr>
      </w:pPr>
    </w:p>
    <w:p w14:paraId="4AE91317" w14:textId="77777777" w:rsidR="008C46DF" w:rsidRPr="008C46DF" w:rsidRDefault="008C46DF" w:rsidP="008C46DF">
      <w:pPr>
        <w:ind w:left="567" w:right="567"/>
        <w:rPr>
          <w:rFonts w:eastAsiaTheme="minorEastAsia" w:cs="Arial"/>
          <w:color w:val="333333"/>
          <w:sz w:val="18"/>
          <w:szCs w:val="18"/>
          <w:shd w:val="clear" w:color="auto" w:fill="FFFFFF"/>
        </w:rPr>
      </w:pPr>
      <w:r w:rsidRPr="008C46DF">
        <w:rPr>
          <w:rFonts w:eastAsiaTheme="minorEastAsia" w:cs="Arial"/>
          <w:color w:val="333333"/>
          <w:sz w:val="18"/>
          <w:szCs w:val="18"/>
          <w:shd w:val="clear" w:color="auto" w:fill="FFFFFF"/>
        </w:rPr>
        <w:t xml:space="preserve">“GN 13(4)(b) explains that ‘TQ characteristics selected from the Table of Characteristics should, in general, receive an asterisk in the Table of Characteristics’. Certain characteristics, particularly disease resistance characteristics, which are potentially useful as grouping characteristics might not be indicated with an asterisk in the Table of Characteristics. In the case of disease resistance characteristics, for example, there may be obstacles to the use of the characteristic for a number of members of the Union because of technical </w:t>
      </w:r>
      <w:r w:rsidRPr="008C46DF">
        <w:rPr>
          <w:rFonts w:eastAsiaTheme="minorEastAsia" w:cs="Arial"/>
          <w:color w:val="333333"/>
          <w:sz w:val="18"/>
          <w:szCs w:val="18"/>
          <w:shd w:val="clear" w:color="auto" w:fill="FFFFFF"/>
        </w:rPr>
        <w:lastRenderedPageBreak/>
        <w:t>or quarantine requirements. Those same obstacles might also make it difficult for applicants to provide information on those characteristics. Therefore, disease resistance characteristics not indicated with an asterisk at the Table of Characteristics and not used as grouping characteristic may be presented in Section  5 of Technical Questionnaires (TQ) with the addition of a state of expression ‘not tested’.”</w:t>
      </w:r>
    </w:p>
    <w:p w14:paraId="6A8E2B53" w14:textId="77777777" w:rsidR="008C46DF" w:rsidRPr="008C46DF" w:rsidRDefault="008C46DF" w:rsidP="008C46DF">
      <w:pPr>
        <w:contextualSpacing/>
        <w:rPr>
          <w:rFonts w:eastAsiaTheme="minorEastAsia" w:cs="Arial"/>
          <w:color w:val="333333"/>
          <w:shd w:val="clear" w:color="auto" w:fill="FFFFFF"/>
        </w:rPr>
      </w:pPr>
    </w:p>
    <w:p w14:paraId="6B21046A" w14:textId="77777777" w:rsidR="008C46DF" w:rsidRPr="008C46DF" w:rsidRDefault="008C46DF" w:rsidP="008C46DF">
      <w:pPr>
        <w:contextualSpacing/>
        <w:rPr>
          <w:rFonts w:eastAsiaTheme="minorEastAsia" w:cs="Arial"/>
          <w:color w:val="333333"/>
          <w:shd w:val="clear" w:color="auto" w:fill="FFFFFF"/>
        </w:rPr>
      </w:pPr>
      <w:r w:rsidRPr="008C46DF">
        <w:rPr>
          <w:rFonts w:eastAsiaTheme="minorEastAsia" w:cs="Arial"/>
          <w:color w:val="333333"/>
          <w:shd w:val="clear" w:color="auto" w:fill="FFFFFF"/>
        </w:rPr>
        <w:fldChar w:fldCharType="begin"/>
      </w:r>
      <w:r w:rsidRPr="008C46DF">
        <w:rPr>
          <w:rFonts w:eastAsiaTheme="minorEastAsia" w:cs="Arial"/>
          <w:color w:val="333333"/>
          <w:shd w:val="clear" w:color="auto" w:fill="FFFFFF"/>
        </w:rPr>
        <w:instrText xml:space="preserve"> AUTONUM  </w:instrText>
      </w:r>
      <w:r w:rsidRPr="008C46DF">
        <w:rPr>
          <w:rFonts w:eastAsiaTheme="minorEastAsia" w:cs="Arial"/>
          <w:color w:val="333333"/>
          <w:shd w:val="clear" w:color="auto" w:fill="FFFFFF"/>
        </w:rPr>
        <w:fldChar w:fldCharType="end"/>
      </w:r>
      <w:r w:rsidRPr="008C46DF">
        <w:rPr>
          <w:rFonts w:eastAsiaTheme="minorEastAsia" w:cs="Arial"/>
          <w:color w:val="333333"/>
          <w:shd w:val="clear" w:color="auto" w:fill="FFFFFF"/>
        </w:rPr>
        <w:tab/>
        <w:t>The TWV agreed that the use of QN disease resistance characteristics as grouping characteristics in Test Guidelines would normally lead to a compulsory request for that information from applicants.</w:t>
      </w:r>
    </w:p>
    <w:p w14:paraId="6CB33A9C" w14:textId="77777777" w:rsidR="008C46DF" w:rsidRPr="008C46DF" w:rsidRDefault="008C46DF" w:rsidP="008C46DF">
      <w:pPr>
        <w:contextualSpacing/>
        <w:rPr>
          <w:rFonts w:eastAsiaTheme="minorEastAsia" w:cs="Arial"/>
          <w:color w:val="333333"/>
          <w:shd w:val="clear" w:color="auto" w:fill="FFFFFF"/>
        </w:rPr>
      </w:pPr>
    </w:p>
    <w:p w14:paraId="32DC664A" w14:textId="77777777" w:rsidR="008C46DF" w:rsidRPr="008C46DF" w:rsidRDefault="008C46DF" w:rsidP="008C46DF">
      <w:pPr>
        <w:contextualSpacing/>
        <w:rPr>
          <w:rFonts w:eastAsiaTheme="minorEastAsia" w:cs="Arial"/>
          <w:color w:val="333333"/>
          <w:shd w:val="clear" w:color="auto" w:fill="FFFFFF"/>
        </w:rPr>
      </w:pPr>
      <w:r w:rsidRPr="008C46DF">
        <w:rPr>
          <w:rFonts w:eastAsiaTheme="minorEastAsia" w:cs="Arial"/>
          <w:color w:val="333333"/>
          <w:shd w:val="clear" w:color="auto" w:fill="FFFFFF"/>
        </w:rPr>
        <w:fldChar w:fldCharType="begin"/>
      </w:r>
      <w:r w:rsidRPr="008C46DF">
        <w:rPr>
          <w:rFonts w:eastAsiaTheme="minorEastAsia" w:cs="Arial"/>
          <w:color w:val="333333"/>
          <w:shd w:val="clear" w:color="auto" w:fill="FFFFFF"/>
        </w:rPr>
        <w:instrText xml:space="preserve"> AUTONUM  </w:instrText>
      </w:r>
      <w:r w:rsidRPr="008C46DF">
        <w:rPr>
          <w:rFonts w:eastAsiaTheme="minorEastAsia" w:cs="Arial"/>
          <w:color w:val="333333"/>
          <w:shd w:val="clear" w:color="auto" w:fill="FFFFFF"/>
        </w:rPr>
        <w:fldChar w:fldCharType="end"/>
      </w:r>
      <w:r w:rsidRPr="008C46DF">
        <w:rPr>
          <w:rFonts w:eastAsiaTheme="minorEastAsia" w:cs="Arial"/>
          <w:color w:val="333333"/>
          <w:shd w:val="clear" w:color="auto" w:fill="FFFFFF"/>
        </w:rPr>
        <w:tab/>
        <w:t>The TWV noted that document TGP/9 “Examining Distinctness” Section 2, provided guidance for selecting varieties for the growing trial, including the use of grouping characteristics, characteristics in combination and the GAIA method.  The TWV noted that Section 5 of that document provided guidance on assessing distinctness based on the growing trial (e.g. assessing distinctness of varieties in the same trial).  The TWV agreed to invite experts to check whether the methods provided in Section 2 could support the analysis on the use of QN disease resistance characteristics for selecting varieties for the growing trial.</w:t>
      </w:r>
    </w:p>
    <w:p w14:paraId="4C4CE2D9" w14:textId="77777777" w:rsidR="008C46DF" w:rsidRPr="008C46DF" w:rsidRDefault="008C46DF" w:rsidP="008C46DF">
      <w:pPr>
        <w:contextualSpacing/>
        <w:rPr>
          <w:rFonts w:eastAsiaTheme="minorEastAsia" w:cs="Arial"/>
          <w:color w:val="333333"/>
          <w:shd w:val="clear" w:color="auto" w:fill="FFFFFF"/>
        </w:rPr>
      </w:pPr>
    </w:p>
    <w:p w14:paraId="3CA780FD" w14:textId="77777777" w:rsidR="008C46DF" w:rsidRPr="007A1E59" w:rsidRDefault="008C46DF" w:rsidP="008C46DF">
      <w:pPr>
        <w:rPr>
          <w:rFonts w:eastAsiaTheme="minorEastAsia" w:cs="Arial"/>
          <w:color w:val="333333"/>
          <w:shd w:val="clear" w:color="auto" w:fill="FFFFFF"/>
        </w:rPr>
      </w:pPr>
      <w:r w:rsidRPr="007A1E59">
        <w:rPr>
          <w:rFonts w:eastAsiaTheme="minorEastAsia" w:cs="Arial"/>
          <w:color w:val="333333"/>
          <w:shd w:val="clear" w:color="auto" w:fill="FFFFFF"/>
        </w:rPr>
        <w:fldChar w:fldCharType="begin"/>
      </w:r>
      <w:r w:rsidRPr="007A1E59">
        <w:rPr>
          <w:rFonts w:eastAsiaTheme="minorEastAsia" w:cs="Arial"/>
          <w:color w:val="333333"/>
          <w:shd w:val="clear" w:color="auto" w:fill="FFFFFF"/>
        </w:rPr>
        <w:instrText xml:space="preserve"> AUTONUM  </w:instrText>
      </w:r>
      <w:r w:rsidRPr="007A1E59">
        <w:rPr>
          <w:rFonts w:eastAsiaTheme="minorEastAsia" w:cs="Arial"/>
          <w:color w:val="333333"/>
          <w:shd w:val="clear" w:color="auto" w:fill="FFFFFF"/>
        </w:rPr>
        <w:fldChar w:fldCharType="end"/>
      </w:r>
      <w:r w:rsidRPr="007A1E59">
        <w:rPr>
          <w:rFonts w:eastAsiaTheme="minorEastAsia" w:cs="Arial"/>
          <w:color w:val="333333"/>
          <w:shd w:val="clear" w:color="auto" w:fill="FFFFFF"/>
        </w:rPr>
        <w:tab/>
        <w:t xml:space="preserve">The TWV considered the scale of symptoms provided with the explanations for QN disease resistance characteristics and agreed to request further information on how the observations of the different numbers of plants in each class were used to convert observations to notes for the variety description.  </w:t>
      </w:r>
    </w:p>
    <w:p w14:paraId="010C41CE" w14:textId="77777777" w:rsidR="008C46DF" w:rsidRPr="007A1E59" w:rsidRDefault="008C46DF" w:rsidP="008C46DF">
      <w:pPr>
        <w:rPr>
          <w:rFonts w:eastAsiaTheme="minorEastAsia" w:cs="Arial"/>
          <w:color w:val="333333"/>
          <w:shd w:val="clear" w:color="auto" w:fill="FFFFFF"/>
        </w:rPr>
      </w:pPr>
    </w:p>
    <w:p w14:paraId="4E4531C9" w14:textId="77777777" w:rsidR="008C46DF" w:rsidRPr="007A1E59" w:rsidRDefault="008C46DF" w:rsidP="008C46DF">
      <w:pPr>
        <w:rPr>
          <w:rFonts w:eastAsiaTheme="minorEastAsia" w:cs="Arial"/>
          <w:color w:val="333333"/>
          <w:shd w:val="clear" w:color="auto" w:fill="FFFFFF"/>
        </w:rPr>
      </w:pPr>
      <w:r w:rsidRPr="007A1E59">
        <w:rPr>
          <w:rFonts w:eastAsiaTheme="minorEastAsia" w:cs="Arial"/>
          <w:color w:val="333333"/>
          <w:shd w:val="clear" w:color="auto" w:fill="FFFFFF"/>
        </w:rPr>
        <w:fldChar w:fldCharType="begin"/>
      </w:r>
      <w:r w:rsidRPr="007A1E59">
        <w:rPr>
          <w:rFonts w:eastAsiaTheme="minorEastAsia" w:cs="Arial"/>
          <w:color w:val="333333"/>
          <w:shd w:val="clear" w:color="auto" w:fill="FFFFFF"/>
        </w:rPr>
        <w:instrText xml:space="preserve"> AUTONUM  </w:instrText>
      </w:r>
      <w:r w:rsidRPr="007A1E59">
        <w:rPr>
          <w:rFonts w:eastAsiaTheme="minorEastAsia" w:cs="Arial"/>
          <w:color w:val="333333"/>
          <w:shd w:val="clear" w:color="auto" w:fill="FFFFFF"/>
        </w:rPr>
        <w:fldChar w:fldCharType="end"/>
      </w:r>
      <w:r w:rsidRPr="007A1E59">
        <w:rPr>
          <w:rFonts w:eastAsiaTheme="minorEastAsia" w:cs="Arial"/>
          <w:color w:val="333333"/>
          <w:shd w:val="clear" w:color="auto" w:fill="FFFFFF"/>
        </w:rPr>
        <w:tab/>
        <w:t>The TWV noted that guidance in document TGP/8 “Trial Design and Techniques Used in the Examination of Distinctness, Uniformity and Stability”, Part I, Section 2.3.2.19 stated that “The distances between the discrete categories of an ordinal scale are not exactly known and not necessarily equal. Therefore, an ordinal scale does not fulfil the condition to calculate arithmetic mean values, which is the equality of intervals throughout the scale.”  The TWV agreed to invite the experts from France and the Netherlands (Kingdom of) to check whether QN disease resistance characteristics data would be discrete and not continuous, identifying categories with scales not necessarily equally distant.</w:t>
      </w:r>
    </w:p>
    <w:p w14:paraId="4F93BD78" w14:textId="77777777" w:rsidR="008C46DF" w:rsidRPr="007A1E59" w:rsidRDefault="008C46DF" w:rsidP="008C46DF">
      <w:pPr>
        <w:rPr>
          <w:rFonts w:eastAsiaTheme="minorEastAsia" w:cs="Arial"/>
          <w:color w:val="333333"/>
          <w:shd w:val="clear" w:color="auto" w:fill="FFFFFF"/>
        </w:rPr>
      </w:pPr>
    </w:p>
    <w:p w14:paraId="71D8748A" w14:textId="77777777" w:rsidR="008C46DF" w:rsidRPr="008C46DF" w:rsidRDefault="008C46DF" w:rsidP="008C46DF">
      <w:pPr>
        <w:rPr>
          <w:rFonts w:eastAsiaTheme="minorEastAsia" w:cs="Arial"/>
          <w:color w:val="333333"/>
          <w:shd w:val="clear" w:color="auto" w:fill="FFFFFF"/>
        </w:rPr>
      </w:pPr>
      <w:r w:rsidRPr="007A1E59">
        <w:rPr>
          <w:rFonts w:eastAsiaTheme="minorEastAsia" w:cs="Arial"/>
          <w:color w:val="333333"/>
          <w:shd w:val="clear" w:color="auto" w:fill="FFFFFF"/>
        </w:rPr>
        <w:fldChar w:fldCharType="begin"/>
      </w:r>
      <w:r w:rsidRPr="007A1E59">
        <w:rPr>
          <w:rFonts w:eastAsiaTheme="minorEastAsia" w:cs="Arial"/>
          <w:color w:val="333333"/>
          <w:shd w:val="clear" w:color="auto" w:fill="FFFFFF"/>
        </w:rPr>
        <w:instrText xml:space="preserve"> AUTONUM  </w:instrText>
      </w:r>
      <w:r w:rsidRPr="007A1E59">
        <w:rPr>
          <w:rFonts w:eastAsiaTheme="minorEastAsia" w:cs="Arial"/>
          <w:color w:val="333333"/>
          <w:shd w:val="clear" w:color="auto" w:fill="FFFFFF"/>
        </w:rPr>
        <w:fldChar w:fldCharType="end"/>
      </w:r>
      <w:r w:rsidRPr="007A1E59">
        <w:rPr>
          <w:rFonts w:eastAsiaTheme="minorEastAsia" w:cs="Arial"/>
          <w:color w:val="333333"/>
          <w:shd w:val="clear" w:color="auto" w:fill="FFFFFF"/>
        </w:rPr>
        <w:tab/>
        <w:t>The TWV noted that document TGP/8, Part II, Section 5, provided guidance on the use of contingency tables with number of plants counted in nine different classes of infection for a QN disease resistance characteristic, using the Pearson’s chi-square test for assessing distinctness.</w:t>
      </w:r>
      <w:r w:rsidRPr="008C46DF">
        <w:rPr>
          <w:rFonts w:eastAsiaTheme="minorEastAsia" w:cs="Arial"/>
          <w:color w:val="333333"/>
          <w:shd w:val="clear" w:color="auto" w:fill="FFFFFF"/>
        </w:rPr>
        <w:t xml:space="preserve">  </w:t>
      </w:r>
    </w:p>
    <w:p w14:paraId="17FBCB12" w14:textId="77777777" w:rsidR="008C46DF" w:rsidRPr="008C46DF" w:rsidRDefault="008C46DF" w:rsidP="008C46DF">
      <w:pPr>
        <w:rPr>
          <w:rFonts w:eastAsiaTheme="minorEastAsia" w:cs="Arial"/>
          <w:color w:val="333333"/>
          <w:shd w:val="clear" w:color="auto" w:fill="FFFFFF"/>
        </w:rPr>
      </w:pPr>
    </w:p>
    <w:p w14:paraId="31AA2B9C" w14:textId="77777777" w:rsidR="008C46DF" w:rsidRPr="008C46DF" w:rsidRDefault="008C46DF" w:rsidP="008C46DF">
      <w:pPr>
        <w:rPr>
          <w:rFonts w:eastAsiaTheme="minorEastAsia" w:cs="Arial"/>
          <w:color w:val="333333"/>
          <w:shd w:val="clear" w:color="auto" w:fill="FFFFFF"/>
        </w:rPr>
      </w:pPr>
      <w:r w:rsidRPr="008C46DF">
        <w:rPr>
          <w:rFonts w:eastAsiaTheme="minorEastAsia" w:cs="Arial"/>
          <w:color w:val="333333"/>
          <w:shd w:val="clear" w:color="auto" w:fill="FFFFFF"/>
        </w:rPr>
        <w:fldChar w:fldCharType="begin"/>
      </w:r>
      <w:r w:rsidRPr="008C46DF">
        <w:rPr>
          <w:rFonts w:eastAsiaTheme="minorEastAsia" w:cs="Arial"/>
          <w:color w:val="333333"/>
          <w:shd w:val="clear" w:color="auto" w:fill="FFFFFF"/>
        </w:rPr>
        <w:instrText xml:space="preserve"> AUTONUM  </w:instrText>
      </w:r>
      <w:r w:rsidRPr="008C46DF">
        <w:rPr>
          <w:rFonts w:eastAsiaTheme="minorEastAsia" w:cs="Arial"/>
          <w:color w:val="333333"/>
          <w:shd w:val="clear" w:color="auto" w:fill="FFFFFF"/>
        </w:rPr>
        <w:fldChar w:fldCharType="end"/>
      </w:r>
      <w:r w:rsidRPr="008C46DF">
        <w:rPr>
          <w:rFonts w:eastAsiaTheme="minorEastAsia" w:cs="Arial"/>
          <w:color w:val="333333"/>
          <w:shd w:val="clear" w:color="auto" w:fill="FFFFFF"/>
        </w:rPr>
        <w:tab/>
        <w:t xml:space="preserve">The TWV noted that the software PATHOSTAT was used by France and utilized contingency tables with number of plants counted in different classes of infection for QN disease resistance characteristics, also referring to the use of Pearson’s chi-square test. </w:t>
      </w:r>
    </w:p>
    <w:p w14:paraId="6857D0BE" w14:textId="77777777" w:rsidR="008C46DF" w:rsidRPr="008C46DF" w:rsidRDefault="008C46DF" w:rsidP="008C46DF">
      <w:pPr>
        <w:rPr>
          <w:rFonts w:eastAsiaTheme="minorEastAsia" w:cs="Arial"/>
          <w:color w:val="333333"/>
          <w:shd w:val="clear" w:color="auto" w:fill="FFFFFF"/>
        </w:rPr>
      </w:pPr>
      <w:r w:rsidRPr="008C46DF">
        <w:rPr>
          <w:rFonts w:eastAsiaTheme="minorEastAsia" w:cs="Arial"/>
          <w:color w:val="333333"/>
          <w:shd w:val="clear" w:color="auto" w:fill="FFFFFF"/>
        </w:rPr>
        <w:t xml:space="preserve">(available at: </w:t>
      </w:r>
      <w:hyperlink r:id="rId13" w:history="1">
        <w:r w:rsidRPr="008C46DF">
          <w:rPr>
            <w:rFonts w:eastAsiaTheme="minorEastAsia" w:cs="Arial"/>
            <w:color w:val="0000FF"/>
            <w:u w:val="single"/>
            <w:shd w:val="clear" w:color="auto" w:fill="FFFFFF"/>
          </w:rPr>
          <w:t>https://www.upov.int/it_resources/en/exchangeable_software.html</w:t>
        </w:r>
      </w:hyperlink>
      <w:r w:rsidRPr="008C46DF">
        <w:rPr>
          <w:rFonts w:eastAsiaTheme="minorEastAsia" w:cs="Arial"/>
          <w:color w:val="333333"/>
          <w:shd w:val="clear" w:color="auto" w:fill="FFFFFF"/>
        </w:rPr>
        <w:t xml:space="preserve">). </w:t>
      </w:r>
    </w:p>
    <w:p w14:paraId="0BEFF765" w14:textId="77777777" w:rsidR="008C46DF" w:rsidRPr="008C46DF" w:rsidRDefault="008C46DF" w:rsidP="008C46DF">
      <w:pPr>
        <w:rPr>
          <w:rFonts w:eastAsiaTheme="minorEastAsia" w:cs="Arial"/>
          <w:color w:val="333333"/>
          <w:shd w:val="clear" w:color="auto" w:fill="FFFFFF"/>
        </w:rPr>
      </w:pPr>
    </w:p>
    <w:p w14:paraId="0FF2A686" w14:textId="77777777" w:rsidR="008C46DF" w:rsidRPr="008C46DF" w:rsidRDefault="008C46DF" w:rsidP="008C46DF">
      <w:pPr>
        <w:rPr>
          <w:rFonts w:eastAsiaTheme="minorEastAsia" w:cs="Arial"/>
          <w:color w:val="333333"/>
          <w:shd w:val="clear" w:color="auto" w:fill="FFFFFF"/>
        </w:rPr>
      </w:pPr>
      <w:r w:rsidRPr="007A1E59">
        <w:rPr>
          <w:rFonts w:eastAsiaTheme="minorEastAsia" w:cs="Arial"/>
          <w:color w:val="333333"/>
          <w:shd w:val="clear" w:color="auto" w:fill="FFFFFF"/>
        </w:rPr>
        <w:fldChar w:fldCharType="begin"/>
      </w:r>
      <w:r w:rsidRPr="007A1E59">
        <w:rPr>
          <w:rFonts w:eastAsiaTheme="minorEastAsia" w:cs="Arial"/>
          <w:color w:val="333333"/>
          <w:shd w:val="clear" w:color="auto" w:fill="FFFFFF"/>
        </w:rPr>
        <w:instrText xml:space="preserve"> AUTONUM  </w:instrText>
      </w:r>
      <w:r w:rsidRPr="007A1E59">
        <w:rPr>
          <w:rFonts w:eastAsiaTheme="minorEastAsia" w:cs="Arial"/>
          <w:color w:val="333333"/>
          <w:shd w:val="clear" w:color="auto" w:fill="FFFFFF"/>
        </w:rPr>
        <w:fldChar w:fldCharType="end"/>
      </w:r>
      <w:r w:rsidRPr="007A1E59">
        <w:rPr>
          <w:rFonts w:eastAsiaTheme="minorEastAsia" w:cs="Arial"/>
          <w:color w:val="333333"/>
          <w:shd w:val="clear" w:color="auto" w:fill="FFFFFF"/>
        </w:rPr>
        <w:tab/>
        <w:t>The TWV considered the cut-off points between states of expression to be included in the trials (“threshold controls”).  The TWV agreed to invite experts to provide further information on the level of difference required to demonstrate a clear difference between the expression of a characteristic of two varieties that were close to the same border line (e.g. high end of one note and low end of the next), including the use of statistical analysis to establish distinctness.</w:t>
      </w:r>
      <w:r w:rsidRPr="008C46DF">
        <w:rPr>
          <w:rFonts w:eastAsiaTheme="minorEastAsia" w:cs="Arial"/>
          <w:color w:val="333333"/>
          <w:shd w:val="clear" w:color="auto" w:fill="FFFFFF"/>
        </w:rPr>
        <w:t xml:space="preserve"> </w:t>
      </w:r>
    </w:p>
    <w:p w14:paraId="6AEB2B6F" w14:textId="77777777" w:rsidR="008C46DF" w:rsidRPr="008C46DF" w:rsidRDefault="008C46DF" w:rsidP="008C46DF">
      <w:pPr>
        <w:rPr>
          <w:rFonts w:eastAsiaTheme="minorEastAsia" w:cs="Arial"/>
          <w:color w:val="333333"/>
          <w:shd w:val="clear" w:color="auto" w:fill="FFFFFF"/>
        </w:rPr>
      </w:pPr>
    </w:p>
    <w:p w14:paraId="5AEE2979" w14:textId="77777777" w:rsidR="008C46DF" w:rsidRPr="008C46DF" w:rsidRDefault="008C46DF" w:rsidP="008C46DF">
      <w:pPr>
        <w:rPr>
          <w:rFonts w:eastAsiaTheme="minorEastAsia" w:cs="Arial"/>
          <w:color w:val="333333"/>
          <w:shd w:val="clear" w:color="auto" w:fill="FFFFFF"/>
        </w:rPr>
      </w:pPr>
      <w:r w:rsidRPr="008C46DF">
        <w:rPr>
          <w:rFonts w:eastAsiaTheme="minorEastAsia" w:cs="Arial"/>
          <w:color w:val="333333"/>
          <w:shd w:val="clear" w:color="auto" w:fill="FFFFFF"/>
        </w:rPr>
        <w:fldChar w:fldCharType="begin"/>
      </w:r>
      <w:r w:rsidRPr="008C46DF">
        <w:rPr>
          <w:rFonts w:eastAsiaTheme="minorEastAsia" w:cs="Arial"/>
          <w:color w:val="333333"/>
          <w:shd w:val="clear" w:color="auto" w:fill="FFFFFF"/>
        </w:rPr>
        <w:instrText xml:space="preserve"> AUTONUM  </w:instrText>
      </w:r>
      <w:r w:rsidRPr="008C46DF">
        <w:rPr>
          <w:rFonts w:eastAsiaTheme="minorEastAsia" w:cs="Arial"/>
          <w:color w:val="333333"/>
          <w:shd w:val="clear" w:color="auto" w:fill="FFFFFF"/>
        </w:rPr>
        <w:fldChar w:fldCharType="end"/>
      </w:r>
      <w:r w:rsidRPr="008C46DF">
        <w:rPr>
          <w:rFonts w:eastAsiaTheme="minorEastAsia" w:cs="Arial"/>
          <w:color w:val="333333"/>
          <w:shd w:val="clear" w:color="auto" w:fill="FFFFFF"/>
        </w:rPr>
        <w:tab/>
        <w:t xml:space="preserve">The TWV noted that document TGP/8, Part I, Section 2 “Data to be recorded” provided guidance on scale levels for variety description and agreed to invite the experts from France and the Netherlands (Kingdom of) to check whether it would be useful to distinguish between different process levels for the use of QN disease resistance characteristics as grouping characteristics (e.g. trial data process level 2; variety description process level 3). </w:t>
      </w:r>
    </w:p>
    <w:p w14:paraId="34935E0E" w14:textId="77777777" w:rsidR="00050E16" w:rsidRDefault="00050E16" w:rsidP="00050E16"/>
    <w:p w14:paraId="148C133C" w14:textId="77777777" w:rsidR="00544581" w:rsidRDefault="00544581">
      <w:pPr>
        <w:jc w:val="left"/>
      </w:pPr>
    </w:p>
    <w:p w14:paraId="5CCA9799" w14:textId="77777777" w:rsidR="00050E16" w:rsidRPr="00C651CE" w:rsidRDefault="00050E16" w:rsidP="00050E16"/>
    <w:p w14:paraId="6326A843" w14:textId="77777777" w:rsidR="009B440E" w:rsidRDefault="00050E16" w:rsidP="00050E16">
      <w:pPr>
        <w:jc w:val="right"/>
      </w:pPr>
      <w:r w:rsidRPr="00C5280D">
        <w:t>[End of document]</w:t>
      </w:r>
    </w:p>
    <w:p w14:paraId="5D1210D1" w14:textId="77777777" w:rsidR="00903264" w:rsidRDefault="00903264">
      <w:pPr>
        <w:jc w:val="left"/>
      </w:pPr>
    </w:p>
    <w:p w14:paraId="191C1325" w14:textId="77777777" w:rsidR="00050E16" w:rsidRPr="00C5280D" w:rsidRDefault="00050E16" w:rsidP="009B440E">
      <w:pPr>
        <w:jc w:val="left"/>
      </w:pPr>
    </w:p>
    <w:sectPr w:rsidR="00050E16" w:rsidRPr="00C5280D" w:rsidSect="005E7466">
      <w:headerReference w:type="default" r:id="rId14"/>
      <w:head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D1425" w14:textId="77777777" w:rsidR="00EE5CF3" w:rsidRDefault="00EE5CF3" w:rsidP="006655D3">
      <w:r>
        <w:separator/>
      </w:r>
    </w:p>
    <w:p w14:paraId="48CA9DAB" w14:textId="77777777" w:rsidR="00EE5CF3" w:rsidRDefault="00EE5CF3" w:rsidP="006655D3"/>
    <w:p w14:paraId="200F74E0" w14:textId="77777777" w:rsidR="00EE5CF3" w:rsidRDefault="00EE5CF3" w:rsidP="006655D3"/>
  </w:endnote>
  <w:endnote w:type="continuationSeparator" w:id="0">
    <w:p w14:paraId="7D863A93" w14:textId="77777777" w:rsidR="00EE5CF3" w:rsidRDefault="00EE5CF3" w:rsidP="006655D3">
      <w:r>
        <w:separator/>
      </w:r>
    </w:p>
    <w:p w14:paraId="21821449" w14:textId="77777777" w:rsidR="00EE5CF3" w:rsidRPr="00294751" w:rsidRDefault="00EE5CF3">
      <w:pPr>
        <w:pStyle w:val="Footer"/>
        <w:spacing w:after="60"/>
        <w:rPr>
          <w:sz w:val="18"/>
          <w:lang w:val="fr-FR"/>
        </w:rPr>
      </w:pPr>
      <w:r w:rsidRPr="00294751">
        <w:rPr>
          <w:sz w:val="18"/>
          <w:lang w:val="fr-FR"/>
        </w:rPr>
        <w:t>[Suite de la note de la page précédente]</w:t>
      </w:r>
    </w:p>
    <w:p w14:paraId="16510A2A" w14:textId="77777777" w:rsidR="00EE5CF3" w:rsidRPr="00294751" w:rsidRDefault="00EE5CF3" w:rsidP="006655D3">
      <w:pPr>
        <w:rPr>
          <w:lang w:val="fr-FR"/>
        </w:rPr>
      </w:pPr>
    </w:p>
    <w:p w14:paraId="3DFFB856" w14:textId="77777777" w:rsidR="00EE5CF3" w:rsidRPr="00294751" w:rsidRDefault="00EE5CF3" w:rsidP="006655D3">
      <w:pPr>
        <w:rPr>
          <w:lang w:val="fr-FR"/>
        </w:rPr>
      </w:pPr>
    </w:p>
  </w:endnote>
  <w:endnote w:type="continuationNotice" w:id="1">
    <w:p w14:paraId="061CD80C" w14:textId="77777777" w:rsidR="00EE5CF3" w:rsidRPr="00294751" w:rsidRDefault="00EE5CF3" w:rsidP="006655D3">
      <w:pPr>
        <w:rPr>
          <w:lang w:val="fr-FR"/>
        </w:rPr>
      </w:pPr>
      <w:r w:rsidRPr="00294751">
        <w:rPr>
          <w:lang w:val="fr-FR"/>
        </w:rPr>
        <w:t>[Suite de la note page suivante]</w:t>
      </w:r>
    </w:p>
    <w:p w14:paraId="1B98EF25" w14:textId="77777777" w:rsidR="00EE5CF3" w:rsidRPr="00294751" w:rsidRDefault="00EE5CF3" w:rsidP="006655D3">
      <w:pPr>
        <w:rPr>
          <w:lang w:val="fr-FR"/>
        </w:rPr>
      </w:pPr>
    </w:p>
    <w:p w14:paraId="551B2D6A" w14:textId="77777777" w:rsidR="00EE5CF3" w:rsidRPr="00294751" w:rsidRDefault="00EE5CF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F30D7" w14:textId="77777777" w:rsidR="00EE5CF3" w:rsidRDefault="00EE5CF3" w:rsidP="006655D3">
      <w:r>
        <w:separator/>
      </w:r>
    </w:p>
  </w:footnote>
  <w:footnote w:type="continuationSeparator" w:id="0">
    <w:p w14:paraId="5A3C0E93" w14:textId="77777777" w:rsidR="00EE5CF3" w:rsidRDefault="00EE5CF3" w:rsidP="006655D3">
      <w:r>
        <w:separator/>
      </w:r>
    </w:p>
  </w:footnote>
  <w:footnote w:type="continuationNotice" w:id="1">
    <w:p w14:paraId="496D8B9D" w14:textId="77777777" w:rsidR="00EE5CF3" w:rsidRPr="00AB530F" w:rsidRDefault="00EE5CF3" w:rsidP="00AB530F">
      <w:pPr>
        <w:pStyle w:val="Footer"/>
      </w:pPr>
    </w:p>
  </w:footnote>
  <w:footnote w:id="2">
    <w:p w14:paraId="2AB3AFB4" w14:textId="22E88723" w:rsidR="00397371" w:rsidRDefault="00397371">
      <w:pPr>
        <w:pStyle w:val="FootnoteText"/>
      </w:pPr>
      <w:r>
        <w:rPr>
          <w:rStyle w:val="FootnoteReference"/>
        </w:rPr>
        <w:footnoteRef/>
      </w:r>
      <w:r>
        <w:t xml:space="preserve"> Technical Committee, </w:t>
      </w:r>
      <w:r w:rsidR="00C17182">
        <w:t>sixtieth</w:t>
      </w:r>
      <w:r>
        <w:t xml:space="preserve"> session, held in Geneva on October 21 and 22, 2024. See document TC/60/8 “Report”, paragraph 12</w:t>
      </w:r>
    </w:p>
  </w:footnote>
  <w:footnote w:id="3">
    <w:p w14:paraId="329429A1" w14:textId="27B65EE6" w:rsidR="00F178BB" w:rsidRDefault="00F178BB" w:rsidP="00F178BB">
      <w:pPr>
        <w:pStyle w:val="FootnoteText"/>
      </w:pPr>
      <w:r>
        <w:rPr>
          <w:rStyle w:val="FootnoteReference"/>
        </w:rPr>
        <w:footnoteRef/>
      </w:r>
      <w:r>
        <w:t xml:space="preserve"> Technical Committee, sixtieth session, held in Geneva on October 21 and 22, 2024. See document TC/60/8 “Report”, paragraphs 73 and 74</w:t>
      </w:r>
    </w:p>
  </w:footnote>
  <w:footnote w:id="4">
    <w:p w14:paraId="0495F9E0" w14:textId="4F079027" w:rsidR="0071462E" w:rsidRDefault="0071462E">
      <w:pPr>
        <w:pStyle w:val="FootnoteText"/>
      </w:pPr>
      <w:r>
        <w:rPr>
          <w:rStyle w:val="FootnoteReference"/>
        </w:rPr>
        <w:footnoteRef/>
      </w:r>
      <w:r>
        <w:t xml:space="preserve"> TWV, fifty-eight </w:t>
      </w:r>
      <w:proofErr w:type="gramStart"/>
      <w:r>
        <w:t>session</w:t>
      </w:r>
      <w:proofErr w:type="gramEnd"/>
      <w:r>
        <w:t>, held via virtual means, from April 22 to 25, 2024. See document TWV/58/11 “Report”, paragraphs 37 to 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D30E1" w14:textId="109A12DE" w:rsidR="0004198B" w:rsidRPr="00C5280D" w:rsidRDefault="007A3EE1" w:rsidP="00EB048E">
    <w:pPr>
      <w:pStyle w:val="Header"/>
      <w:rPr>
        <w:rStyle w:val="PageNumber"/>
        <w:lang w:val="en-US"/>
      </w:rPr>
    </w:pPr>
    <w:r>
      <w:rPr>
        <w:rStyle w:val="PageNumber"/>
        <w:lang w:val="en-US"/>
      </w:rPr>
      <w:t>TWV/5</w:t>
    </w:r>
    <w:r w:rsidR="001E1CDB">
      <w:rPr>
        <w:rStyle w:val="PageNumber"/>
        <w:lang w:val="en-US"/>
      </w:rPr>
      <w:t>9</w:t>
    </w:r>
    <w:r w:rsidR="0004198B">
      <w:rPr>
        <w:rStyle w:val="PageNumber"/>
        <w:lang w:val="en-US"/>
      </w:rPr>
      <w:t>/</w:t>
    </w:r>
    <w:r w:rsidR="007A1E59">
      <w:rPr>
        <w:rStyle w:val="PageNumber"/>
        <w:lang w:val="en-US"/>
      </w:rPr>
      <w:t>11</w:t>
    </w:r>
  </w:p>
  <w:p w14:paraId="63A91176"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34A63">
      <w:rPr>
        <w:rStyle w:val="PageNumber"/>
        <w:noProof/>
        <w:lang w:val="en-US"/>
      </w:rPr>
      <w:t>2</w:t>
    </w:r>
    <w:r w:rsidRPr="00C5280D">
      <w:rPr>
        <w:rStyle w:val="PageNumber"/>
        <w:lang w:val="en-US"/>
      </w:rPr>
      <w:fldChar w:fldCharType="end"/>
    </w:r>
  </w:p>
  <w:p w14:paraId="680FC118"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3725C" w14:textId="77777777" w:rsidR="003B3022" w:rsidRPr="00C5280D" w:rsidRDefault="003B3022" w:rsidP="00EB048E">
    <w:pPr>
      <w:pStyle w:val="Header"/>
      <w:rPr>
        <w:rStyle w:val="PageNumber"/>
        <w:lang w:val="en-US"/>
      </w:rPr>
    </w:pPr>
    <w:r>
      <w:rPr>
        <w:rStyle w:val="PageNumber"/>
        <w:lang w:val="en-US"/>
      </w:rPr>
      <w:t>TWV/59/11</w:t>
    </w:r>
  </w:p>
  <w:p w14:paraId="0116F883" w14:textId="67455ED9" w:rsidR="003B3022" w:rsidRPr="00C5280D" w:rsidRDefault="003B3022"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694858D5" w14:textId="77777777" w:rsidR="003B3022" w:rsidRPr="00C5280D" w:rsidRDefault="003B3022"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550D5" w14:textId="1951968C" w:rsidR="003B3022" w:rsidRDefault="003B3022">
    <w:pPr>
      <w:pStyle w:val="Header"/>
      <w:rPr>
        <w:lang w:val="en-US"/>
      </w:rPr>
    </w:pPr>
    <w:r>
      <w:rPr>
        <w:lang w:val="en-US"/>
      </w:rPr>
      <w:t>TWV/59/11</w:t>
    </w:r>
  </w:p>
  <w:p w14:paraId="7EAB9D41" w14:textId="77777777" w:rsidR="003B3022" w:rsidRDefault="003B3022">
    <w:pPr>
      <w:pStyle w:val="Header"/>
      <w:rPr>
        <w:lang w:val="en-US"/>
      </w:rPr>
    </w:pPr>
  </w:p>
  <w:p w14:paraId="1B2FE82E" w14:textId="6EACEAAF" w:rsidR="003B3022" w:rsidRDefault="003B3022">
    <w:pPr>
      <w:pStyle w:val="Header"/>
      <w:rPr>
        <w:lang w:val="en-US"/>
      </w:rPr>
    </w:pPr>
    <w:r>
      <w:rPr>
        <w:lang w:val="en-US"/>
      </w:rPr>
      <w:t>ANNEX</w:t>
    </w:r>
  </w:p>
  <w:p w14:paraId="6E18A20A" w14:textId="77777777" w:rsidR="003B3022" w:rsidRPr="003B3022" w:rsidRDefault="003B302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9B7"/>
    <w:multiLevelType w:val="hybridMultilevel"/>
    <w:tmpl w:val="B694EAD0"/>
    <w:lvl w:ilvl="0" w:tplc="B4F489CC">
      <w:start w:val="1"/>
      <w:numFmt w:val="bullet"/>
      <w:lvlText w:val="•"/>
      <w:lvlJc w:val="left"/>
      <w:pPr>
        <w:tabs>
          <w:tab w:val="num" w:pos="720"/>
        </w:tabs>
        <w:ind w:left="720" w:hanging="360"/>
      </w:pPr>
      <w:rPr>
        <w:rFonts w:ascii="Arial" w:hAnsi="Arial" w:hint="default"/>
      </w:rPr>
    </w:lvl>
    <w:lvl w:ilvl="1" w:tplc="CFD00256" w:tentative="1">
      <w:start w:val="1"/>
      <w:numFmt w:val="bullet"/>
      <w:lvlText w:val="•"/>
      <w:lvlJc w:val="left"/>
      <w:pPr>
        <w:tabs>
          <w:tab w:val="num" w:pos="1440"/>
        </w:tabs>
        <w:ind w:left="1440" w:hanging="360"/>
      </w:pPr>
      <w:rPr>
        <w:rFonts w:ascii="Arial" w:hAnsi="Arial" w:hint="default"/>
      </w:rPr>
    </w:lvl>
    <w:lvl w:ilvl="2" w:tplc="DFAA0470" w:tentative="1">
      <w:start w:val="1"/>
      <w:numFmt w:val="bullet"/>
      <w:lvlText w:val="•"/>
      <w:lvlJc w:val="left"/>
      <w:pPr>
        <w:tabs>
          <w:tab w:val="num" w:pos="2160"/>
        </w:tabs>
        <w:ind w:left="2160" w:hanging="360"/>
      </w:pPr>
      <w:rPr>
        <w:rFonts w:ascii="Arial" w:hAnsi="Arial" w:hint="default"/>
      </w:rPr>
    </w:lvl>
    <w:lvl w:ilvl="3" w:tplc="ACF01CE6" w:tentative="1">
      <w:start w:val="1"/>
      <w:numFmt w:val="bullet"/>
      <w:lvlText w:val="•"/>
      <w:lvlJc w:val="left"/>
      <w:pPr>
        <w:tabs>
          <w:tab w:val="num" w:pos="2880"/>
        </w:tabs>
        <w:ind w:left="2880" w:hanging="360"/>
      </w:pPr>
      <w:rPr>
        <w:rFonts w:ascii="Arial" w:hAnsi="Arial" w:hint="default"/>
      </w:rPr>
    </w:lvl>
    <w:lvl w:ilvl="4" w:tplc="0DC0BE9A" w:tentative="1">
      <w:start w:val="1"/>
      <w:numFmt w:val="bullet"/>
      <w:lvlText w:val="•"/>
      <w:lvlJc w:val="left"/>
      <w:pPr>
        <w:tabs>
          <w:tab w:val="num" w:pos="3600"/>
        </w:tabs>
        <w:ind w:left="3600" w:hanging="360"/>
      </w:pPr>
      <w:rPr>
        <w:rFonts w:ascii="Arial" w:hAnsi="Arial" w:hint="default"/>
      </w:rPr>
    </w:lvl>
    <w:lvl w:ilvl="5" w:tplc="A306C2D2" w:tentative="1">
      <w:start w:val="1"/>
      <w:numFmt w:val="bullet"/>
      <w:lvlText w:val="•"/>
      <w:lvlJc w:val="left"/>
      <w:pPr>
        <w:tabs>
          <w:tab w:val="num" w:pos="4320"/>
        </w:tabs>
        <w:ind w:left="4320" w:hanging="360"/>
      </w:pPr>
      <w:rPr>
        <w:rFonts w:ascii="Arial" w:hAnsi="Arial" w:hint="default"/>
      </w:rPr>
    </w:lvl>
    <w:lvl w:ilvl="6" w:tplc="A9745754" w:tentative="1">
      <w:start w:val="1"/>
      <w:numFmt w:val="bullet"/>
      <w:lvlText w:val="•"/>
      <w:lvlJc w:val="left"/>
      <w:pPr>
        <w:tabs>
          <w:tab w:val="num" w:pos="5040"/>
        </w:tabs>
        <w:ind w:left="5040" w:hanging="360"/>
      </w:pPr>
      <w:rPr>
        <w:rFonts w:ascii="Arial" w:hAnsi="Arial" w:hint="default"/>
      </w:rPr>
    </w:lvl>
    <w:lvl w:ilvl="7" w:tplc="C8F03300" w:tentative="1">
      <w:start w:val="1"/>
      <w:numFmt w:val="bullet"/>
      <w:lvlText w:val="•"/>
      <w:lvlJc w:val="left"/>
      <w:pPr>
        <w:tabs>
          <w:tab w:val="num" w:pos="5760"/>
        </w:tabs>
        <w:ind w:left="5760" w:hanging="360"/>
      </w:pPr>
      <w:rPr>
        <w:rFonts w:ascii="Arial" w:hAnsi="Arial" w:hint="default"/>
      </w:rPr>
    </w:lvl>
    <w:lvl w:ilvl="8" w:tplc="EF6EDE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615586"/>
    <w:multiLevelType w:val="hybridMultilevel"/>
    <w:tmpl w:val="78AE1224"/>
    <w:lvl w:ilvl="0" w:tplc="EFA4EC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33D5B"/>
    <w:multiLevelType w:val="hybridMultilevel"/>
    <w:tmpl w:val="46D4BB7C"/>
    <w:lvl w:ilvl="0" w:tplc="66A674D4">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3" w15:restartNumberingAfterBreak="0">
    <w:nsid w:val="44DB4B56"/>
    <w:multiLevelType w:val="hybridMultilevel"/>
    <w:tmpl w:val="4F8C24BC"/>
    <w:lvl w:ilvl="0" w:tplc="64F0AAC8">
      <w:start w:val="1"/>
      <w:numFmt w:val="lowerRoman"/>
      <w:lvlText w:val="(%1)"/>
      <w:lvlJc w:val="left"/>
      <w:pPr>
        <w:ind w:left="1287" w:hanging="72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5" w15:restartNumberingAfterBreak="0">
    <w:nsid w:val="699C60ED"/>
    <w:multiLevelType w:val="hybridMultilevel"/>
    <w:tmpl w:val="6292E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261023">
    <w:abstractNumId w:val="4"/>
  </w:num>
  <w:num w:numId="2" w16cid:durableId="1219244836">
    <w:abstractNumId w:val="2"/>
  </w:num>
  <w:num w:numId="3" w16cid:durableId="1812792951">
    <w:abstractNumId w:val="3"/>
  </w:num>
  <w:num w:numId="4" w16cid:durableId="2103795671">
    <w:abstractNumId w:val="1"/>
  </w:num>
  <w:num w:numId="5" w16cid:durableId="315956046">
    <w:abstractNumId w:val="0"/>
  </w:num>
  <w:num w:numId="6" w16cid:durableId="11764555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CF3"/>
    <w:rsid w:val="00006AAE"/>
    <w:rsid w:val="00010CF3"/>
    <w:rsid w:val="00011E27"/>
    <w:rsid w:val="000148BC"/>
    <w:rsid w:val="00024AB8"/>
    <w:rsid w:val="00030854"/>
    <w:rsid w:val="00036028"/>
    <w:rsid w:val="00036412"/>
    <w:rsid w:val="0004198B"/>
    <w:rsid w:val="00044642"/>
    <w:rsid w:val="000446B9"/>
    <w:rsid w:val="00047E21"/>
    <w:rsid w:val="00050E16"/>
    <w:rsid w:val="0008313E"/>
    <w:rsid w:val="00085505"/>
    <w:rsid w:val="000A033D"/>
    <w:rsid w:val="000A6A1E"/>
    <w:rsid w:val="000C4E25"/>
    <w:rsid w:val="000C7021"/>
    <w:rsid w:val="000D6BBC"/>
    <w:rsid w:val="000D7780"/>
    <w:rsid w:val="000E636A"/>
    <w:rsid w:val="000F2F11"/>
    <w:rsid w:val="000F7BC7"/>
    <w:rsid w:val="00100A5F"/>
    <w:rsid w:val="00105929"/>
    <w:rsid w:val="00110BED"/>
    <w:rsid w:val="00110C36"/>
    <w:rsid w:val="001131D5"/>
    <w:rsid w:val="0011423D"/>
    <w:rsid w:val="00114547"/>
    <w:rsid w:val="00140A5B"/>
    <w:rsid w:val="00141DB8"/>
    <w:rsid w:val="00142BED"/>
    <w:rsid w:val="00150295"/>
    <w:rsid w:val="00172084"/>
    <w:rsid w:val="0017474A"/>
    <w:rsid w:val="001758C6"/>
    <w:rsid w:val="00182B99"/>
    <w:rsid w:val="001A42B7"/>
    <w:rsid w:val="001C1525"/>
    <w:rsid w:val="001E1CDB"/>
    <w:rsid w:val="0021332C"/>
    <w:rsid w:val="00213982"/>
    <w:rsid w:val="002172DA"/>
    <w:rsid w:val="0024416D"/>
    <w:rsid w:val="0025630D"/>
    <w:rsid w:val="00271911"/>
    <w:rsid w:val="00273187"/>
    <w:rsid w:val="002775D5"/>
    <w:rsid w:val="002800A0"/>
    <w:rsid w:val="002801B3"/>
    <w:rsid w:val="00281060"/>
    <w:rsid w:val="00284050"/>
    <w:rsid w:val="00285BD0"/>
    <w:rsid w:val="00291F1A"/>
    <w:rsid w:val="002940E8"/>
    <w:rsid w:val="00294751"/>
    <w:rsid w:val="002A6E50"/>
    <w:rsid w:val="002B4298"/>
    <w:rsid w:val="002B7A36"/>
    <w:rsid w:val="002C256A"/>
    <w:rsid w:val="002D4D5F"/>
    <w:rsid w:val="002D5226"/>
    <w:rsid w:val="00305A7F"/>
    <w:rsid w:val="003152FE"/>
    <w:rsid w:val="00327436"/>
    <w:rsid w:val="003278D7"/>
    <w:rsid w:val="00344BD6"/>
    <w:rsid w:val="0035528D"/>
    <w:rsid w:val="00361821"/>
    <w:rsid w:val="00361B15"/>
    <w:rsid w:val="00361E9E"/>
    <w:rsid w:val="003753EE"/>
    <w:rsid w:val="00397371"/>
    <w:rsid w:val="003A0835"/>
    <w:rsid w:val="003A5AAF"/>
    <w:rsid w:val="003B3022"/>
    <w:rsid w:val="003B700A"/>
    <w:rsid w:val="003C7FBE"/>
    <w:rsid w:val="003D0FD0"/>
    <w:rsid w:val="003D227C"/>
    <w:rsid w:val="003D2B4D"/>
    <w:rsid w:val="003E6156"/>
    <w:rsid w:val="003F37F5"/>
    <w:rsid w:val="00421604"/>
    <w:rsid w:val="00444A88"/>
    <w:rsid w:val="00474DA4"/>
    <w:rsid w:val="00476B4D"/>
    <w:rsid w:val="00477D6D"/>
    <w:rsid w:val="004805FA"/>
    <w:rsid w:val="004935D2"/>
    <w:rsid w:val="004B1215"/>
    <w:rsid w:val="004B4D96"/>
    <w:rsid w:val="004D047D"/>
    <w:rsid w:val="004E328C"/>
    <w:rsid w:val="004F1E9E"/>
    <w:rsid w:val="004F305A"/>
    <w:rsid w:val="00512164"/>
    <w:rsid w:val="00515945"/>
    <w:rsid w:val="00520297"/>
    <w:rsid w:val="005338F9"/>
    <w:rsid w:val="0054281C"/>
    <w:rsid w:val="00544581"/>
    <w:rsid w:val="0055268D"/>
    <w:rsid w:val="0056737E"/>
    <w:rsid w:val="00575DE2"/>
    <w:rsid w:val="00576BE4"/>
    <w:rsid w:val="005779DB"/>
    <w:rsid w:val="00585A6C"/>
    <w:rsid w:val="005A19BA"/>
    <w:rsid w:val="005A2A67"/>
    <w:rsid w:val="005A400A"/>
    <w:rsid w:val="005B269D"/>
    <w:rsid w:val="005E1EA1"/>
    <w:rsid w:val="005E7466"/>
    <w:rsid w:val="005F7B92"/>
    <w:rsid w:val="00604CD9"/>
    <w:rsid w:val="00612379"/>
    <w:rsid w:val="00614901"/>
    <w:rsid w:val="006153B6"/>
    <w:rsid w:val="0061555F"/>
    <w:rsid w:val="00615E37"/>
    <w:rsid w:val="006245ED"/>
    <w:rsid w:val="00636CA6"/>
    <w:rsid w:val="00641200"/>
    <w:rsid w:val="00645CA8"/>
    <w:rsid w:val="006655D3"/>
    <w:rsid w:val="00667404"/>
    <w:rsid w:val="006714A6"/>
    <w:rsid w:val="00685F72"/>
    <w:rsid w:val="00687EB4"/>
    <w:rsid w:val="00695C56"/>
    <w:rsid w:val="006A5CDE"/>
    <w:rsid w:val="006A644A"/>
    <w:rsid w:val="006B17D2"/>
    <w:rsid w:val="006C224E"/>
    <w:rsid w:val="006C23AB"/>
    <w:rsid w:val="006D1C8F"/>
    <w:rsid w:val="006D780A"/>
    <w:rsid w:val="00704ECF"/>
    <w:rsid w:val="0071271E"/>
    <w:rsid w:val="0071462E"/>
    <w:rsid w:val="00722446"/>
    <w:rsid w:val="00732DEC"/>
    <w:rsid w:val="00735BD5"/>
    <w:rsid w:val="007451EC"/>
    <w:rsid w:val="00751613"/>
    <w:rsid w:val="007526DE"/>
    <w:rsid w:val="00753EE9"/>
    <w:rsid w:val="007556F6"/>
    <w:rsid w:val="00760EEF"/>
    <w:rsid w:val="00777EE5"/>
    <w:rsid w:val="00784836"/>
    <w:rsid w:val="0079023E"/>
    <w:rsid w:val="007A1E59"/>
    <w:rsid w:val="007A2854"/>
    <w:rsid w:val="007A3EE1"/>
    <w:rsid w:val="007B3248"/>
    <w:rsid w:val="007C1D92"/>
    <w:rsid w:val="007C4CB9"/>
    <w:rsid w:val="007D0B9D"/>
    <w:rsid w:val="007D19B0"/>
    <w:rsid w:val="007F498F"/>
    <w:rsid w:val="0080679D"/>
    <w:rsid w:val="008108B0"/>
    <w:rsid w:val="00811B20"/>
    <w:rsid w:val="00812609"/>
    <w:rsid w:val="00817D7F"/>
    <w:rsid w:val="008211B5"/>
    <w:rsid w:val="0082296E"/>
    <w:rsid w:val="00824099"/>
    <w:rsid w:val="00846D7C"/>
    <w:rsid w:val="00846ECA"/>
    <w:rsid w:val="00862C0B"/>
    <w:rsid w:val="00867AC1"/>
    <w:rsid w:val="008751DE"/>
    <w:rsid w:val="00890DF8"/>
    <w:rsid w:val="008A0ADE"/>
    <w:rsid w:val="008A743F"/>
    <w:rsid w:val="008C0970"/>
    <w:rsid w:val="008C1925"/>
    <w:rsid w:val="008C46DF"/>
    <w:rsid w:val="008D0BC5"/>
    <w:rsid w:val="008D2CF7"/>
    <w:rsid w:val="00900C26"/>
    <w:rsid w:val="0090197F"/>
    <w:rsid w:val="00903264"/>
    <w:rsid w:val="00906DDC"/>
    <w:rsid w:val="009228C8"/>
    <w:rsid w:val="00934E09"/>
    <w:rsid w:val="00936253"/>
    <w:rsid w:val="00940D46"/>
    <w:rsid w:val="009413F1"/>
    <w:rsid w:val="00951234"/>
    <w:rsid w:val="00952DD4"/>
    <w:rsid w:val="009561F4"/>
    <w:rsid w:val="00965AE7"/>
    <w:rsid w:val="00970FED"/>
    <w:rsid w:val="00992D82"/>
    <w:rsid w:val="0099325A"/>
    <w:rsid w:val="00997029"/>
    <w:rsid w:val="009A7339"/>
    <w:rsid w:val="009B440E"/>
    <w:rsid w:val="009C2E2A"/>
    <w:rsid w:val="009D690D"/>
    <w:rsid w:val="009E65B6"/>
    <w:rsid w:val="009F0A51"/>
    <w:rsid w:val="009F77CF"/>
    <w:rsid w:val="00A06288"/>
    <w:rsid w:val="00A140C9"/>
    <w:rsid w:val="00A24C10"/>
    <w:rsid w:val="00A42AC3"/>
    <w:rsid w:val="00A430CF"/>
    <w:rsid w:val="00A54309"/>
    <w:rsid w:val="00A610A9"/>
    <w:rsid w:val="00A6400E"/>
    <w:rsid w:val="00A80F2A"/>
    <w:rsid w:val="00A967E7"/>
    <w:rsid w:val="00A96C33"/>
    <w:rsid w:val="00AB2B93"/>
    <w:rsid w:val="00AB530F"/>
    <w:rsid w:val="00AB7E3F"/>
    <w:rsid w:val="00AB7E5B"/>
    <w:rsid w:val="00AC2883"/>
    <w:rsid w:val="00AD7EE0"/>
    <w:rsid w:val="00AE0EF1"/>
    <w:rsid w:val="00AE2937"/>
    <w:rsid w:val="00AF5BC6"/>
    <w:rsid w:val="00B07301"/>
    <w:rsid w:val="00B11F3E"/>
    <w:rsid w:val="00B224DE"/>
    <w:rsid w:val="00B324D4"/>
    <w:rsid w:val="00B46575"/>
    <w:rsid w:val="00B54C5A"/>
    <w:rsid w:val="00B61777"/>
    <w:rsid w:val="00B622E6"/>
    <w:rsid w:val="00B83E82"/>
    <w:rsid w:val="00B84BBD"/>
    <w:rsid w:val="00BA43FB"/>
    <w:rsid w:val="00BC127D"/>
    <w:rsid w:val="00BC1FE6"/>
    <w:rsid w:val="00BC292A"/>
    <w:rsid w:val="00C03D5F"/>
    <w:rsid w:val="00C061B6"/>
    <w:rsid w:val="00C1096C"/>
    <w:rsid w:val="00C17105"/>
    <w:rsid w:val="00C17182"/>
    <w:rsid w:val="00C2446C"/>
    <w:rsid w:val="00C2664A"/>
    <w:rsid w:val="00C36AE5"/>
    <w:rsid w:val="00C41F17"/>
    <w:rsid w:val="00C4361E"/>
    <w:rsid w:val="00C437A3"/>
    <w:rsid w:val="00C527FA"/>
    <w:rsid w:val="00C5280D"/>
    <w:rsid w:val="00C53EB3"/>
    <w:rsid w:val="00C5791C"/>
    <w:rsid w:val="00C66290"/>
    <w:rsid w:val="00C72B7A"/>
    <w:rsid w:val="00C973F2"/>
    <w:rsid w:val="00CA304C"/>
    <w:rsid w:val="00CA774A"/>
    <w:rsid w:val="00CB4921"/>
    <w:rsid w:val="00CC11B0"/>
    <w:rsid w:val="00CC2841"/>
    <w:rsid w:val="00CE1A15"/>
    <w:rsid w:val="00CF1330"/>
    <w:rsid w:val="00CF7E36"/>
    <w:rsid w:val="00D0106A"/>
    <w:rsid w:val="00D3708D"/>
    <w:rsid w:val="00D40426"/>
    <w:rsid w:val="00D57C96"/>
    <w:rsid w:val="00D57D18"/>
    <w:rsid w:val="00D61D1F"/>
    <w:rsid w:val="00D70E65"/>
    <w:rsid w:val="00D87170"/>
    <w:rsid w:val="00D91203"/>
    <w:rsid w:val="00D93FE5"/>
    <w:rsid w:val="00D95174"/>
    <w:rsid w:val="00DA422F"/>
    <w:rsid w:val="00DA4973"/>
    <w:rsid w:val="00DA6F36"/>
    <w:rsid w:val="00DB596E"/>
    <w:rsid w:val="00DB7773"/>
    <w:rsid w:val="00DC00EA"/>
    <w:rsid w:val="00DC3802"/>
    <w:rsid w:val="00DD6208"/>
    <w:rsid w:val="00DF7E99"/>
    <w:rsid w:val="00E07D87"/>
    <w:rsid w:val="00E218FE"/>
    <w:rsid w:val="00E249C8"/>
    <w:rsid w:val="00E32F7E"/>
    <w:rsid w:val="00E34A63"/>
    <w:rsid w:val="00E5267B"/>
    <w:rsid w:val="00E559F0"/>
    <w:rsid w:val="00E63C0E"/>
    <w:rsid w:val="00E63FE4"/>
    <w:rsid w:val="00E72D49"/>
    <w:rsid w:val="00E7593C"/>
    <w:rsid w:val="00E7678A"/>
    <w:rsid w:val="00E8071C"/>
    <w:rsid w:val="00E87347"/>
    <w:rsid w:val="00E935F1"/>
    <w:rsid w:val="00E94A81"/>
    <w:rsid w:val="00EA1FFB"/>
    <w:rsid w:val="00EB048E"/>
    <w:rsid w:val="00EB4E9C"/>
    <w:rsid w:val="00EE34DF"/>
    <w:rsid w:val="00EE5CF3"/>
    <w:rsid w:val="00EF2F89"/>
    <w:rsid w:val="00EF7F1D"/>
    <w:rsid w:val="00F03E98"/>
    <w:rsid w:val="00F1237A"/>
    <w:rsid w:val="00F178BB"/>
    <w:rsid w:val="00F22CBD"/>
    <w:rsid w:val="00F272F1"/>
    <w:rsid w:val="00F31412"/>
    <w:rsid w:val="00F41124"/>
    <w:rsid w:val="00F45372"/>
    <w:rsid w:val="00F560F7"/>
    <w:rsid w:val="00F6334D"/>
    <w:rsid w:val="00F63599"/>
    <w:rsid w:val="00F71781"/>
    <w:rsid w:val="00FA49AB"/>
    <w:rsid w:val="00FB3890"/>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23487"/>
  <w15:docId w15:val="{A53D81F9-1EEA-4E00-8669-18981581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aliases w:val="VARIETY,variety"/>
    <w:next w:val="Normal"/>
    <w:link w:val="Heading2Char"/>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2Char">
    <w:name w:val="Heading 2 Char"/>
    <w:aliases w:val="VARIETY Char,variety Char"/>
    <w:basedOn w:val="DefaultParagraphFont"/>
    <w:link w:val="Heading2"/>
    <w:rsid w:val="005A19BA"/>
    <w:rPr>
      <w:rFonts w:ascii="Arial" w:hAnsi="Arial"/>
      <w:u w:val="single"/>
    </w:rPr>
  </w:style>
  <w:style w:type="paragraph" w:styleId="ListParagraph">
    <w:name w:val="List Paragraph"/>
    <w:aliases w:val="auto_list_(i),List Paragraph1"/>
    <w:basedOn w:val="Normal"/>
    <w:link w:val="ListParagraphChar"/>
    <w:uiPriority w:val="34"/>
    <w:qFormat/>
    <w:rsid w:val="005A19BA"/>
    <w:pPr>
      <w:ind w:left="720"/>
      <w:contextualSpacing/>
    </w:pPr>
    <w:rPr>
      <w:rFonts w:eastAsiaTheme="minorEastAsia"/>
    </w:rPr>
  </w:style>
  <w:style w:type="character" w:customStyle="1" w:styleId="ListParagraphChar">
    <w:name w:val="List Paragraph Char"/>
    <w:aliases w:val="auto_list_(i) Char,List Paragraph1 Char"/>
    <w:basedOn w:val="DefaultParagraphFont"/>
    <w:link w:val="ListParagraph"/>
    <w:uiPriority w:val="34"/>
    <w:locked/>
    <w:rsid w:val="005A19BA"/>
    <w:rPr>
      <w:rFonts w:ascii="Arial" w:eastAsiaTheme="minorEastAsia" w:hAnsi="Arial"/>
    </w:rPr>
  </w:style>
  <w:style w:type="table" w:styleId="TableGrid">
    <w:name w:val="Table Grid"/>
    <w:basedOn w:val="TableNormal"/>
    <w:rsid w:val="005A1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E1E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7597">
      <w:bodyDiv w:val="1"/>
      <w:marLeft w:val="0"/>
      <w:marRight w:val="0"/>
      <w:marTop w:val="0"/>
      <w:marBottom w:val="0"/>
      <w:divBdr>
        <w:top w:val="none" w:sz="0" w:space="0" w:color="auto"/>
        <w:left w:val="none" w:sz="0" w:space="0" w:color="auto"/>
        <w:bottom w:val="none" w:sz="0" w:space="0" w:color="auto"/>
        <w:right w:val="none" w:sz="0" w:space="0" w:color="auto"/>
      </w:divBdr>
      <w:divsChild>
        <w:div w:id="1164516032">
          <w:marLeft w:val="547"/>
          <w:marRight w:val="0"/>
          <w:marTop w:val="200"/>
          <w:marBottom w:val="0"/>
          <w:divBdr>
            <w:top w:val="none" w:sz="0" w:space="0" w:color="auto"/>
            <w:left w:val="none" w:sz="0" w:space="0" w:color="auto"/>
            <w:bottom w:val="none" w:sz="0" w:space="0" w:color="auto"/>
            <w:right w:val="none" w:sz="0" w:space="0" w:color="auto"/>
          </w:divBdr>
        </w:div>
        <w:div w:id="229925204">
          <w:marLeft w:val="547"/>
          <w:marRight w:val="0"/>
          <w:marTop w:val="200"/>
          <w:marBottom w:val="0"/>
          <w:divBdr>
            <w:top w:val="none" w:sz="0" w:space="0" w:color="auto"/>
            <w:left w:val="none" w:sz="0" w:space="0" w:color="auto"/>
            <w:bottom w:val="none" w:sz="0" w:space="0" w:color="auto"/>
            <w:right w:val="none" w:sz="0" w:space="0" w:color="auto"/>
          </w:divBdr>
        </w:div>
        <w:div w:id="361977858">
          <w:marLeft w:val="547"/>
          <w:marRight w:val="0"/>
          <w:marTop w:val="200"/>
          <w:marBottom w:val="0"/>
          <w:divBdr>
            <w:top w:val="none" w:sz="0" w:space="0" w:color="auto"/>
            <w:left w:val="none" w:sz="0" w:space="0" w:color="auto"/>
            <w:bottom w:val="none" w:sz="0" w:space="0" w:color="auto"/>
            <w:right w:val="none" w:sz="0" w:space="0" w:color="auto"/>
          </w:divBdr>
        </w:div>
        <w:div w:id="1281886096">
          <w:marLeft w:val="547"/>
          <w:marRight w:val="0"/>
          <w:marTop w:val="200"/>
          <w:marBottom w:val="0"/>
          <w:divBdr>
            <w:top w:val="none" w:sz="0" w:space="0" w:color="auto"/>
            <w:left w:val="none" w:sz="0" w:space="0" w:color="auto"/>
            <w:bottom w:val="none" w:sz="0" w:space="0" w:color="auto"/>
            <w:right w:val="none" w:sz="0" w:space="0" w:color="auto"/>
          </w:divBdr>
        </w:div>
        <w:div w:id="1587613524">
          <w:marLeft w:val="547"/>
          <w:marRight w:val="0"/>
          <w:marTop w:val="200"/>
          <w:marBottom w:val="0"/>
          <w:divBdr>
            <w:top w:val="none" w:sz="0" w:space="0" w:color="auto"/>
            <w:left w:val="none" w:sz="0" w:space="0" w:color="auto"/>
            <w:bottom w:val="none" w:sz="0" w:space="0" w:color="auto"/>
            <w:right w:val="none" w:sz="0" w:space="0" w:color="auto"/>
          </w:divBdr>
        </w:div>
        <w:div w:id="1213036329">
          <w:marLeft w:val="547"/>
          <w:marRight w:val="0"/>
          <w:marTop w:val="200"/>
          <w:marBottom w:val="0"/>
          <w:divBdr>
            <w:top w:val="none" w:sz="0" w:space="0" w:color="auto"/>
            <w:left w:val="none" w:sz="0" w:space="0" w:color="auto"/>
            <w:bottom w:val="none" w:sz="0" w:space="0" w:color="auto"/>
            <w:right w:val="none" w:sz="0" w:space="0" w:color="auto"/>
          </w:divBdr>
        </w:div>
      </w:divsChild>
    </w:div>
    <w:div w:id="1987079007">
      <w:bodyDiv w:val="1"/>
      <w:marLeft w:val="0"/>
      <w:marRight w:val="0"/>
      <w:marTop w:val="0"/>
      <w:marBottom w:val="0"/>
      <w:divBdr>
        <w:top w:val="none" w:sz="0" w:space="0" w:color="auto"/>
        <w:left w:val="none" w:sz="0" w:space="0" w:color="auto"/>
        <w:bottom w:val="none" w:sz="0" w:space="0" w:color="auto"/>
        <w:right w:val="none" w:sz="0" w:space="0" w:color="auto"/>
      </w:divBdr>
      <w:divsChild>
        <w:div w:id="307591263">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it_resources/en/exchangeable_softwar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n/details.jsp?meeting_id=80839"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pov.int/resource/en/tg_drafters.html" TargetMode="External"/><Relationship Id="rId4" Type="http://schemas.openxmlformats.org/officeDocument/2006/relationships/settings" Target="settings.xml"/><Relationship Id="rId9" Type="http://schemas.openxmlformats.org/officeDocument/2006/relationships/hyperlink" Target="https://www.upov.int/edocs/tgpdocs/en/tgp_5_section_10.pdf"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59\template\routing_slip_with_doc_twv_5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CD90A-1E36-44E8-B81E-59B865ED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routing_slip_with_doc_twv_59.dotm</Template>
  <TotalTime>1</TotalTime>
  <Pages>5</Pages>
  <Words>2255</Words>
  <Characters>13945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TWV/59/</vt:lpstr>
    </vt:vector>
  </TitlesOfParts>
  <Company>UPOV</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TWV/59/11</dc:title>
  <dc:creator>REZENDE TAVEIRA Leontino</dc:creator>
  <cp:lastModifiedBy>OERTEL Romy</cp:lastModifiedBy>
  <cp:revision>3</cp:revision>
  <cp:lastPrinted>2016-11-22T15:41:00Z</cp:lastPrinted>
  <dcterms:created xsi:type="dcterms:W3CDTF">2025-04-11T14:02:00Z</dcterms:created>
  <dcterms:modified xsi:type="dcterms:W3CDTF">2025-04-11T14:03:00Z</dcterms:modified>
</cp:coreProperties>
</file>