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64047F">
        <w:tc>
          <w:tcPr>
            <w:tcW w:w="6512" w:type="dxa"/>
          </w:tcPr>
          <w:p w:rsidR="00C437A3" w:rsidRDefault="00C437A3" w:rsidP="0064047F">
            <w:pPr>
              <w:pStyle w:val="Sessiontwp"/>
            </w:pPr>
            <w:r>
              <w:t>Technical Working Party for Vegetables</w:t>
            </w:r>
          </w:p>
          <w:p w:rsidR="00C437A3" w:rsidRPr="00F66083" w:rsidRDefault="00C437A3" w:rsidP="0064047F">
            <w:pPr>
              <w:pStyle w:val="Sessiontwpplacedate"/>
            </w:pPr>
            <w:r w:rsidRPr="00F66083">
              <w:t>Fifty-</w:t>
            </w:r>
            <w:r w:rsidR="00F23157">
              <w:t>Sixt</w:t>
            </w:r>
            <w:r>
              <w:t>h</w:t>
            </w:r>
            <w:r w:rsidRPr="00F66083">
              <w:t xml:space="preserve"> Session</w:t>
            </w:r>
          </w:p>
          <w:p w:rsidR="00C437A3" w:rsidRDefault="004A6793" w:rsidP="0064047F">
            <w:pPr>
              <w:pStyle w:val="Sessiontwpplacedate"/>
            </w:pPr>
            <w:r>
              <w:t>Virtual meeting</w:t>
            </w:r>
            <w:r w:rsidR="00C437A3" w:rsidRPr="00F66083">
              <w:t xml:space="preserve">, </w:t>
            </w:r>
            <w:r w:rsidR="00A27ECF">
              <w:t>April 18 to 22</w:t>
            </w:r>
            <w:r w:rsidR="00C437A3">
              <w:t>, 202</w:t>
            </w:r>
            <w:r w:rsidR="00A27ECF">
              <w:t>2</w:t>
            </w:r>
          </w:p>
          <w:p w:rsidR="00A27ECF" w:rsidRPr="00A27ECF" w:rsidRDefault="00A27ECF" w:rsidP="00A27ECF"/>
          <w:p w:rsidR="00A27ECF" w:rsidRPr="00F875E6" w:rsidRDefault="00A27ECF" w:rsidP="00A27ECF">
            <w:pPr>
              <w:pStyle w:val="Sessiontwp"/>
            </w:pPr>
            <w:r w:rsidRPr="00E70039">
              <w:t>Technical Working Party for Agricultural Crops</w:t>
            </w:r>
          </w:p>
          <w:p w:rsidR="00A27ECF" w:rsidRPr="00F875E6" w:rsidRDefault="00A27ECF" w:rsidP="00A27ECF">
            <w:pPr>
              <w:pStyle w:val="Sessiontwpplacedate"/>
            </w:pPr>
            <w:r>
              <w:t>Fifty-First</w:t>
            </w:r>
            <w:r w:rsidRPr="00F875E6">
              <w:t xml:space="preserve"> Session</w:t>
            </w:r>
          </w:p>
          <w:p w:rsidR="00A27ECF" w:rsidRDefault="00A27ECF" w:rsidP="00A27ECF">
            <w:pPr>
              <w:pStyle w:val="Sessiontwpplacedate"/>
            </w:pPr>
            <w:r>
              <w:t>Cambridge, United Kingdom, May 23 to 27, 2022</w:t>
            </w:r>
          </w:p>
          <w:p w:rsidR="00C437A3" w:rsidRPr="00C82A14" w:rsidRDefault="00C437A3" w:rsidP="0064047F"/>
          <w:p w:rsidR="00C437A3" w:rsidRPr="006756EA" w:rsidRDefault="00C437A3" w:rsidP="0064047F">
            <w:pPr>
              <w:pStyle w:val="Sessiontwp"/>
            </w:pPr>
            <w:r w:rsidRPr="006756EA">
              <w:t>Technical Working Party for Ornamental Plants and Forest Trees</w:t>
            </w:r>
          </w:p>
          <w:p w:rsidR="00C437A3" w:rsidRPr="006756EA" w:rsidRDefault="00C437A3" w:rsidP="0064047F">
            <w:pPr>
              <w:pStyle w:val="Sessiontwpplacedate"/>
            </w:pPr>
            <w:r w:rsidRPr="006756EA">
              <w:t>Fifty-</w:t>
            </w:r>
            <w:r w:rsidR="00A27ECF">
              <w:t>Fourth</w:t>
            </w:r>
            <w:r w:rsidRPr="006756EA">
              <w:t xml:space="preserve"> Session</w:t>
            </w:r>
          </w:p>
          <w:p w:rsidR="00C437A3" w:rsidRDefault="00A27ECF" w:rsidP="0064047F">
            <w:r>
              <w:t>Hanover, Germany</w:t>
            </w:r>
            <w:r w:rsidR="00C437A3" w:rsidRPr="006756EA">
              <w:t xml:space="preserve">, </w:t>
            </w:r>
            <w:r w:rsidR="00C437A3">
              <w:t xml:space="preserve">June </w:t>
            </w:r>
            <w:r>
              <w:t>13</w:t>
            </w:r>
            <w:r w:rsidR="00C437A3">
              <w:t xml:space="preserve"> to 1</w:t>
            </w:r>
            <w:r>
              <w:t>7</w:t>
            </w:r>
            <w:r w:rsidR="00C437A3" w:rsidRPr="006756EA">
              <w:t>, 20</w:t>
            </w:r>
            <w:r w:rsidR="00C437A3">
              <w:t>2</w:t>
            </w:r>
            <w:r>
              <w:t>2</w:t>
            </w:r>
          </w:p>
          <w:p w:rsidR="00C437A3" w:rsidRPr="00DC6797" w:rsidRDefault="00C437A3" w:rsidP="0064047F"/>
          <w:p w:rsidR="00C437A3" w:rsidRDefault="00C437A3" w:rsidP="0064047F">
            <w:pPr>
              <w:pStyle w:val="Sessiontwp"/>
            </w:pPr>
            <w:r>
              <w:t>Technical Working Party for Fruit Crops</w:t>
            </w:r>
          </w:p>
          <w:p w:rsidR="00C437A3" w:rsidRPr="00F66083" w:rsidRDefault="00C437A3" w:rsidP="0064047F">
            <w:pPr>
              <w:pStyle w:val="Sessiontwpplacedate"/>
            </w:pPr>
            <w:r>
              <w:t>Fifty-</w:t>
            </w:r>
            <w:r w:rsidR="00A27ECF">
              <w:t>Thir</w:t>
            </w:r>
            <w:r>
              <w:t xml:space="preserve">d </w:t>
            </w:r>
            <w:r w:rsidRPr="00F66083">
              <w:t>Session</w:t>
            </w:r>
          </w:p>
          <w:p w:rsidR="00C437A3" w:rsidRDefault="005871D9" w:rsidP="0064047F">
            <w:r>
              <w:t xml:space="preserve">Virtual meeting, </w:t>
            </w:r>
            <w:r w:rsidR="00C437A3">
              <w:t>July 1</w:t>
            </w:r>
            <w:r w:rsidR="00A27ECF">
              <w:t>1</w:t>
            </w:r>
            <w:r w:rsidR="00C437A3">
              <w:t xml:space="preserve"> to 1</w:t>
            </w:r>
            <w:r w:rsidR="00A27ECF">
              <w:t>5</w:t>
            </w:r>
            <w:r w:rsidR="00C437A3">
              <w:t>, 202</w:t>
            </w:r>
            <w:r w:rsidR="00A27ECF">
              <w:t>2</w:t>
            </w:r>
          </w:p>
          <w:p w:rsidR="00C437A3" w:rsidRDefault="00C437A3" w:rsidP="0064047F"/>
          <w:p w:rsidR="00C437A3" w:rsidRDefault="00C437A3" w:rsidP="0064047F">
            <w:pPr>
              <w:pStyle w:val="Sessiontwp"/>
            </w:pPr>
            <w:r>
              <w:t xml:space="preserve">Technical Working Party on </w:t>
            </w:r>
            <w:r w:rsidR="00A27ECF">
              <w:t>Testing Methods and Techniques</w:t>
            </w:r>
          </w:p>
          <w:p w:rsidR="00C437A3" w:rsidRPr="00F66083" w:rsidRDefault="00A27ECF" w:rsidP="0064047F">
            <w:pPr>
              <w:pStyle w:val="Sessiontwpplacedate"/>
            </w:pPr>
            <w:r>
              <w:t>First</w:t>
            </w:r>
            <w:r w:rsidR="00C437A3" w:rsidRPr="00F66083">
              <w:t xml:space="preserve"> Session</w:t>
            </w:r>
          </w:p>
          <w:p w:rsidR="00C437A3" w:rsidRDefault="005871D9" w:rsidP="0064047F">
            <w:r>
              <w:t xml:space="preserve">Virtual meeting, </w:t>
            </w:r>
            <w:r w:rsidR="00C437A3" w:rsidRPr="00702A38">
              <w:t xml:space="preserve">September </w:t>
            </w:r>
            <w:r w:rsidR="00A27ECF">
              <w:t>19</w:t>
            </w:r>
            <w:r w:rsidR="00C437A3" w:rsidRPr="00702A38">
              <w:t xml:space="preserve"> to 2</w:t>
            </w:r>
            <w:r w:rsidR="00A27ECF">
              <w:t>3</w:t>
            </w:r>
            <w:r w:rsidR="00C437A3" w:rsidRPr="00702A38">
              <w:t>,</w:t>
            </w:r>
            <w:r w:rsidR="00C437A3">
              <w:t xml:space="preserve"> 202</w:t>
            </w:r>
            <w:r w:rsidR="00A27ECF">
              <w:t>2</w:t>
            </w:r>
          </w:p>
          <w:p w:rsidR="00C437A3" w:rsidRPr="00F66083" w:rsidRDefault="00C437A3" w:rsidP="0064047F"/>
        </w:tc>
        <w:tc>
          <w:tcPr>
            <w:tcW w:w="3127" w:type="dxa"/>
          </w:tcPr>
          <w:p w:rsidR="00C437A3" w:rsidRPr="00F875E6" w:rsidRDefault="00C437A3" w:rsidP="0064047F">
            <w:pPr>
              <w:pStyle w:val="Doccode"/>
            </w:pPr>
            <w:r>
              <w:t>TWP/</w:t>
            </w:r>
            <w:r w:rsidR="00F23157">
              <w:t>6</w:t>
            </w:r>
            <w:r>
              <w:t>/</w:t>
            </w:r>
            <w:r w:rsidR="00243E02">
              <w:t>7</w:t>
            </w:r>
          </w:p>
          <w:p w:rsidR="00C437A3" w:rsidRPr="003C7FBE" w:rsidRDefault="00C437A3" w:rsidP="0064047F">
            <w:pPr>
              <w:pStyle w:val="Docoriginal"/>
            </w:pPr>
            <w:r w:rsidRPr="00AC2883">
              <w:t>Original:</w:t>
            </w:r>
            <w:r w:rsidRPr="000E636A">
              <w:rPr>
                <w:b w:val="0"/>
                <w:spacing w:val="0"/>
              </w:rPr>
              <w:t xml:space="preserve">  English</w:t>
            </w:r>
          </w:p>
          <w:p w:rsidR="00C437A3" w:rsidRPr="007C1D92" w:rsidRDefault="00C437A3" w:rsidP="003C3475">
            <w:pPr>
              <w:pStyle w:val="Docoriginal"/>
            </w:pPr>
            <w:r w:rsidRPr="00AC2883">
              <w:t>Date:</w:t>
            </w:r>
            <w:r w:rsidRPr="000E636A">
              <w:rPr>
                <w:b w:val="0"/>
                <w:spacing w:val="0"/>
              </w:rPr>
              <w:t xml:space="preserve">  </w:t>
            </w:r>
            <w:r w:rsidR="00A90CAF" w:rsidRPr="003C3475">
              <w:rPr>
                <w:b w:val="0"/>
                <w:spacing w:val="0"/>
              </w:rPr>
              <w:t xml:space="preserve">March </w:t>
            </w:r>
            <w:r w:rsidR="00B57F80" w:rsidRPr="003C3475">
              <w:rPr>
                <w:b w:val="0"/>
                <w:spacing w:val="0"/>
              </w:rPr>
              <w:t>1</w:t>
            </w:r>
            <w:r w:rsidR="003C3475" w:rsidRPr="003C3475">
              <w:rPr>
                <w:b w:val="0"/>
                <w:spacing w:val="0"/>
              </w:rPr>
              <w:t>5</w:t>
            </w:r>
            <w:r w:rsidRPr="003C3475">
              <w:rPr>
                <w:b w:val="0"/>
                <w:spacing w:val="0"/>
              </w:rPr>
              <w:t>, 202</w:t>
            </w:r>
            <w:r w:rsidR="00F23157" w:rsidRPr="003C3475">
              <w:rPr>
                <w:b w:val="0"/>
                <w:spacing w:val="0"/>
              </w:rPr>
              <w:t>2</w:t>
            </w:r>
          </w:p>
        </w:tc>
      </w:tr>
    </w:tbl>
    <w:p w:rsidR="00C437A3" w:rsidRPr="006A644A" w:rsidRDefault="00243E02" w:rsidP="00C437A3">
      <w:pPr>
        <w:pStyle w:val="Titleofdoc0"/>
      </w:pPr>
      <w:r w:rsidRPr="008F49A0">
        <w:t>Molecular techniques</w:t>
      </w:r>
    </w:p>
    <w:p w:rsidR="00C437A3" w:rsidRDefault="00C437A3" w:rsidP="00C437A3">
      <w:pPr>
        <w:pStyle w:val="preparedby1"/>
      </w:pPr>
      <w:bookmarkStart w:id="0" w:name="Prepared"/>
      <w:bookmarkEnd w:id="0"/>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64047F" w:rsidRPr="0064047F" w:rsidRDefault="0064047F" w:rsidP="0064047F">
      <w:pPr>
        <w:keepNext/>
        <w:outlineLvl w:val="0"/>
        <w:rPr>
          <w:caps/>
          <w:snapToGrid w:val="0"/>
          <w:lang w:eastAsia="ja-JP"/>
        </w:rPr>
      </w:pPr>
      <w:bookmarkStart w:id="1" w:name="_Toc97892760"/>
      <w:r w:rsidRPr="0064047F">
        <w:rPr>
          <w:caps/>
          <w:snapToGrid w:val="0"/>
          <w:lang w:eastAsia="ja-JP"/>
        </w:rPr>
        <w:t>E</w:t>
      </w:r>
      <w:r w:rsidRPr="0064047F">
        <w:rPr>
          <w:rFonts w:hint="eastAsia"/>
          <w:caps/>
          <w:snapToGrid w:val="0"/>
          <w:lang w:eastAsia="ja-JP"/>
        </w:rPr>
        <w:t>xecutive summary</w:t>
      </w:r>
      <w:bookmarkEnd w:id="1"/>
    </w:p>
    <w:p w:rsidR="0064047F" w:rsidRPr="0064047F" w:rsidRDefault="0064047F" w:rsidP="0064047F">
      <w:pPr>
        <w:rPr>
          <w:lang w:eastAsia="ja-JP"/>
        </w:rPr>
      </w:pPr>
    </w:p>
    <w:p w:rsidR="0064047F" w:rsidRPr="0064047F" w:rsidRDefault="0064047F" w:rsidP="0064047F">
      <w:r w:rsidRPr="0064047F">
        <w:fldChar w:fldCharType="begin"/>
      </w:r>
      <w:r w:rsidRPr="0064047F">
        <w:instrText xml:space="preserve"> AUTONUM  </w:instrText>
      </w:r>
      <w:r w:rsidRPr="0064047F">
        <w:fldChar w:fldCharType="end"/>
      </w:r>
      <w:r w:rsidRPr="0064047F">
        <w:tab/>
        <w:t xml:space="preserve">The purpose of this document is to report on developments </w:t>
      </w:r>
      <w:r w:rsidR="00D05C7C">
        <w:t xml:space="preserve">and present matters for consideration by </w:t>
      </w:r>
      <w:proofErr w:type="gramStart"/>
      <w:r w:rsidR="00D05C7C">
        <w:t>the</w:t>
      </w:r>
      <w:proofErr w:type="gramEnd"/>
      <w:r w:rsidR="00D05C7C">
        <w:t xml:space="preserve"> Technical Working Parties (TWPs) on the use of biochemical and m</w:t>
      </w:r>
      <w:r w:rsidRPr="0064047F">
        <w:t xml:space="preserve">olecular techniques </w:t>
      </w:r>
      <w:r w:rsidR="00D05C7C">
        <w:t>in DUS examination.</w:t>
      </w:r>
      <w:r w:rsidRPr="0064047F">
        <w:t xml:space="preserve"> </w:t>
      </w:r>
    </w:p>
    <w:p w:rsidR="00A5329B" w:rsidRDefault="00A5329B" w:rsidP="0064047F">
      <w:pPr>
        <w:rPr>
          <w:u w:val="single"/>
        </w:rPr>
      </w:pPr>
    </w:p>
    <w:p w:rsidR="00E02920" w:rsidRPr="00E02920" w:rsidRDefault="00E02920" w:rsidP="0064047F">
      <w:pPr>
        <w:rPr>
          <w:u w:val="single"/>
        </w:rPr>
      </w:pPr>
      <w:r w:rsidRPr="00E02920">
        <w:rPr>
          <w:u w:val="single"/>
        </w:rPr>
        <w:t xml:space="preserve">Session to facilitate cooperation in relation to the use of molecular techniques </w:t>
      </w:r>
    </w:p>
    <w:p w:rsidR="00E02920" w:rsidRDefault="00E02920" w:rsidP="0064047F"/>
    <w:p w:rsidR="00CC7F66" w:rsidRPr="00CC7F66" w:rsidRDefault="00CC7F66" w:rsidP="00CC7F66">
      <w:pPr>
        <w:tabs>
          <w:tab w:val="left" w:pos="567"/>
          <w:tab w:val="left" w:pos="1134"/>
        </w:tabs>
      </w:pPr>
      <w:r w:rsidRPr="00CC7F66">
        <w:fldChar w:fldCharType="begin"/>
      </w:r>
      <w:r w:rsidRPr="00CC7F66">
        <w:instrText xml:space="preserve"> AUTONUM  </w:instrText>
      </w:r>
      <w:r w:rsidRPr="00CC7F66">
        <w:fldChar w:fldCharType="end"/>
      </w:r>
      <w:r w:rsidRPr="00CC7F66">
        <w:tab/>
        <w:t xml:space="preserve">The TWPs </w:t>
      </w:r>
      <w:proofErr w:type="gramStart"/>
      <w:r w:rsidRPr="00CC7F66">
        <w:t>are invited</w:t>
      </w:r>
      <w:proofErr w:type="gramEnd"/>
      <w:r w:rsidRPr="00CC7F66">
        <w:t xml:space="preserve"> to form discussion groups for the main crops at each TWP to allow participants to exchange information on their work and explore areas for cooperation on the use of biochemical and molecular techniques in DUS examination.</w:t>
      </w:r>
    </w:p>
    <w:p w:rsidR="00CC7F66" w:rsidRPr="00CC7F66" w:rsidRDefault="00CC7F66" w:rsidP="00CC7F66">
      <w:pPr>
        <w:tabs>
          <w:tab w:val="left" w:pos="567"/>
          <w:tab w:val="left" w:pos="1134"/>
        </w:tabs>
      </w:pPr>
    </w:p>
    <w:p w:rsidR="0064047F" w:rsidRDefault="0064047F" w:rsidP="00CC7F66">
      <w:pPr>
        <w:tabs>
          <w:tab w:val="left" w:pos="567"/>
          <w:tab w:val="left" w:pos="1134"/>
          <w:tab w:val="left" w:pos="5387"/>
        </w:tabs>
        <w:rPr>
          <w:u w:val="single"/>
        </w:rPr>
      </w:pPr>
      <w:r w:rsidRPr="00CC7F66">
        <w:rPr>
          <w:u w:val="single"/>
        </w:rPr>
        <w:t>Cooperation between international organizations</w:t>
      </w:r>
    </w:p>
    <w:p w:rsidR="00E02920" w:rsidRPr="00CC7F66" w:rsidRDefault="00E02920" w:rsidP="00CC7F66">
      <w:pPr>
        <w:tabs>
          <w:tab w:val="left" w:pos="567"/>
          <w:tab w:val="left" w:pos="1134"/>
          <w:tab w:val="left" w:pos="5387"/>
        </w:tabs>
        <w:rPr>
          <w:u w:val="single"/>
        </w:rPr>
      </w:pPr>
    </w:p>
    <w:p w:rsidR="009814D4" w:rsidRPr="009814D4" w:rsidRDefault="009814D4" w:rsidP="009814D4">
      <w:pPr>
        <w:keepNext/>
        <w:keepLines/>
        <w:tabs>
          <w:tab w:val="left" w:pos="567"/>
          <w:tab w:val="left" w:pos="1134"/>
          <w:tab w:val="left" w:pos="5387"/>
          <w:tab w:val="left" w:pos="5954"/>
        </w:tabs>
      </w:pPr>
      <w:r w:rsidRPr="009814D4">
        <w:fldChar w:fldCharType="begin"/>
      </w:r>
      <w:r w:rsidRPr="009814D4">
        <w:instrText xml:space="preserve"> AUTONUM  </w:instrText>
      </w:r>
      <w:r w:rsidRPr="009814D4">
        <w:fldChar w:fldCharType="end"/>
      </w:r>
      <w:r w:rsidRPr="009814D4">
        <w:tab/>
        <w:t xml:space="preserve">The TWPs </w:t>
      </w:r>
      <w:proofErr w:type="gramStart"/>
      <w:r w:rsidRPr="009814D4">
        <w:t>are invited</w:t>
      </w:r>
      <w:proofErr w:type="gramEnd"/>
      <w:r w:rsidRPr="009814D4">
        <w:t xml:space="preserve"> to note:</w:t>
      </w:r>
    </w:p>
    <w:p w:rsidR="009814D4" w:rsidRPr="009814D4" w:rsidRDefault="009814D4" w:rsidP="009814D4">
      <w:pPr>
        <w:keepNext/>
        <w:keepLines/>
        <w:tabs>
          <w:tab w:val="left" w:pos="567"/>
          <w:tab w:val="left" w:pos="1134"/>
          <w:tab w:val="left" w:pos="5387"/>
          <w:tab w:val="left" w:pos="5954"/>
        </w:tabs>
      </w:pPr>
    </w:p>
    <w:p w:rsidR="009814D4" w:rsidRPr="003C3475" w:rsidRDefault="009814D4" w:rsidP="009814D4">
      <w:pPr>
        <w:keepNext/>
        <w:keepLines/>
        <w:tabs>
          <w:tab w:val="left" w:pos="567"/>
          <w:tab w:val="left" w:pos="1134"/>
          <w:tab w:val="left" w:pos="5387"/>
          <w:tab w:val="left" w:pos="5954"/>
        </w:tabs>
      </w:pPr>
      <w:r w:rsidRPr="009814D4">
        <w:tab/>
        <w:t>(a)</w:t>
      </w:r>
      <w:r w:rsidRPr="009814D4">
        <w:tab/>
        <w:t xml:space="preserve">that the results of the survey on the use of molecular marker techniques were made available on the webpage of the fifty-seventh session of the Technical Committee, as set out in </w:t>
      </w:r>
      <w:r w:rsidRPr="003C3475">
        <w:t>paragraph 28 of this document;</w:t>
      </w:r>
    </w:p>
    <w:p w:rsidR="009814D4" w:rsidRPr="003C3475" w:rsidRDefault="009814D4" w:rsidP="009814D4">
      <w:pPr>
        <w:tabs>
          <w:tab w:val="left" w:pos="567"/>
          <w:tab w:val="left" w:pos="1134"/>
          <w:tab w:val="left" w:pos="5387"/>
          <w:tab w:val="left" w:pos="5954"/>
        </w:tabs>
      </w:pPr>
    </w:p>
    <w:p w:rsidR="009814D4" w:rsidRPr="003C3475" w:rsidRDefault="009814D4" w:rsidP="009814D4">
      <w:pPr>
        <w:keepLines/>
        <w:tabs>
          <w:tab w:val="left" w:pos="567"/>
          <w:tab w:val="left" w:pos="1134"/>
          <w:tab w:val="left" w:pos="5387"/>
          <w:tab w:val="left" w:pos="5954"/>
        </w:tabs>
      </w:pPr>
      <w:r w:rsidRPr="003C3475">
        <w:tab/>
        <w:t>(b)</w:t>
      </w:r>
      <w:r w:rsidRPr="003C3475">
        <w:tab/>
      </w:r>
      <w:proofErr w:type="gramStart"/>
      <w:r w:rsidRPr="003C3475">
        <w:t>that</w:t>
      </w:r>
      <w:proofErr w:type="gramEnd"/>
      <w:r w:rsidRPr="003C3475">
        <w:t xml:space="preserve"> on February 1, 2022, the Office of the Union issued Circular E-2/009 inviting members to continue the survey on the use of molecular marker techniques;</w:t>
      </w:r>
    </w:p>
    <w:p w:rsidR="009814D4" w:rsidRPr="003C3475" w:rsidRDefault="009814D4" w:rsidP="009814D4">
      <w:pPr>
        <w:tabs>
          <w:tab w:val="left" w:pos="567"/>
          <w:tab w:val="left" w:pos="1134"/>
          <w:tab w:val="left" w:pos="5387"/>
          <w:tab w:val="left" w:pos="5954"/>
        </w:tabs>
      </w:pPr>
    </w:p>
    <w:p w:rsidR="009814D4" w:rsidRPr="003C3475" w:rsidRDefault="009814D4" w:rsidP="009814D4">
      <w:pPr>
        <w:tabs>
          <w:tab w:val="left" w:pos="567"/>
          <w:tab w:val="left" w:pos="1134"/>
          <w:tab w:val="left" w:pos="5387"/>
          <w:tab w:val="left" w:pos="5954"/>
        </w:tabs>
      </w:pPr>
      <w:r w:rsidRPr="003C3475">
        <w:tab/>
        <w:t>(c)</w:t>
      </w:r>
      <w:r w:rsidRPr="003C3475">
        <w:tab/>
      </w:r>
      <w:proofErr w:type="gramStart"/>
      <w:r w:rsidRPr="003C3475">
        <w:t>the</w:t>
      </w:r>
      <w:proofErr w:type="gramEnd"/>
      <w:r w:rsidRPr="003C3475">
        <w:t xml:space="preserve"> draft joint document explaining the principal features of the systems of OECD, UPOV and ISTA, as set out in the Annex to this document;</w:t>
      </w:r>
    </w:p>
    <w:p w:rsidR="009814D4" w:rsidRPr="003C3475" w:rsidRDefault="009814D4" w:rsidP="009814D4">
      <w:pPr>
        <w:tabs>
          <w:tab w:val="left" w:pos="567"/>
          <w:tab w:val="left" w:pos="1134"/>
          <w:tab w:val="left" w:pos="5387"/>
          <w:tab w:val="left" w:pos="5954"/>
        </w:tabs>
      </w:pPr>
    </w:p>
    <w:p w:rsidR="009814D4" w:rsidRPr="009814D4" w:rsidRDefault="009814D4" w:rsidP="009814D4">
      <w:pPr>
        <w:tabs>
          <w:tab w:val="left" w:pos="567"/>
          <w:tab w:val="left" w:pos="1134"/>
          <w:tab w:val="left" w:pos="5387"/>
          <w:tab w:val="left" w:pos="5954"/>
        </w:tabs>
      </w:pPr>
      <w:r w:rsidRPr="003C3475">
        <w:tab/>
        <w:t>(d)</w:t>
      </w:r>
      <w:r w:rsidRPr="003C3475">
        <w:tab/>
      </w:r>
      <w:proofErr w:type="gramStart"/>
      <w:r w:rsidRPr="003C3475">
        <w:t>the</w:t>
      </w:r>
      <w:proofErr w:type="gramEnd"/>
      <w:r w:rsidRPr="003C3475">
        <w:t xml:space="preserve"> topics proposed by the TC for a future joint UPOV/OECD/ISTA workshop, as set out in paragraph 35 of this document; and</w:t>
      </w:r>
    </w:p>
    <w:p w:rsidR="009814D4" w:rsidRPr="009814D4" w:rsidRDefault="009814D4" w:rsidP="009814D4">
      <w:pPr>
        <w:tabs>
          <w:tab w:val="left" w:pos="567"/>
          <w:tab w:val="left" w:pos="1134"/>
          <w:tab w:val="left" w:pos="5387"/>
          <w:tab w:val="left" w:pos="5954"/>
        </w:tabs>
      </w:pPr>
      <w:r w:rsidRPr="009814D4">
        <w:lastRenderedPageBreak/>
        <w:tab/>
        <w:t>(e)</w:t>
      </w:r>
      <w:r w:rsidRPr="009814D4">
        <w:tab/>
      </w:r>
      <w:proofErr w:type="gramStart"/>
      <w:r w:rsidRPr="009814D4">
        <w:t>that</w:t>
      </w:r>
      <w:proofErr w:type="gramEnd"/>
      <w:r w:rsidRPr="009814D4">
        <w:t xml:space="preserve"> on December 13, 2021, the Office of the Union informed OECD and ISTA of the result of the survey, draft joint document and proposed topics for a future joint UPOV/OECD/ISTA workshop. Responses from OECD and ISTA, when available, </w:t>
      </w:r>
      <w:proofErr w:type="gramStart"/>
      <w:r w:rsidRPr="009814D4">
        <w:t>will be reported</w:t>
      </w:r>
      <w:proofErr w:type="gramEnd"/>
      <w:r w:rsidRPr="009814D4">
        <w:t xml:space="preserve"> to the Technical Working Parties and the Technical Committee.</w:t>
      </w:r>
    </w:p>
    <w:p w:rsidR="0064047F" w:rsidRDefault="0064047F" w:rsidP="00CC7F66">
      <w:pPr>
        <w:tabs>
          <w:tab w:val="left" w:pos="567"/>
          <w:tab w:val="left" w:pos="1134"/>
          <w:tab w:val="left" w:pos="5387"/>
        </w:tabs>
      </w:pPr>
    </w:p>
    <w:p w:rsidR="00E02920" w:rsidRPr="00E02920" w:rsidRDefault="00E02920" w:rsidP="00CC7F66">
      <w:pPr>
        <w:tabs>
          <w:tab w:val="left" w:pos="567"/>
          <w:tab w:val="left" w:pos="1134"/>
          <w:tab w:val="left" w:pos="5387"/>
        </w:tabs>
        <w:rPr>
          <w:u w:val="single"/>
        </w:rPr>
      </w:pPr>
      <w:r w:rsidRPr="00E02920">
        <w:rPr>
          <w:u w:val="single"/>
        </w:rPr>
        <w:t>Developments at the Twentieth Session of the Working Group on Biochemical and Molecular Techniques, and DNA-Profiling in Particular</w:t>
      </w:r>
    </w:p>
    <w:p w:rsidR="00E02920" w:rsidRPr="00CC7F66" w:rsidRDefault="00E02920" w:rsidP="00CC7F66">
      <w:pPr>
        <w:tabs>
          <w:tab w:val="left" w:pos="567"/>
          <w:tab w:val="left" w:pos="1134"/>
          <w:tab w:val="left" w:pos="5387"/>
        </w:tabs>
      </w:pPr>
    </w:p>
    <w:p w:rsidR="00CC7F66" w:rsidRPr="00CC7F66" w:rsidRDefault="00CC7F66" w:rsidP="00CC7F66">
      <w:pPr>
        <w:tabs>
          <w:tab w:val="left" w:pos="567"/>
          <w:tab w:val="left" w:pos="1134"/>
          <w:tab w:val="left" w:pos="5387"/>
          <w:tab w:val="left" w:pos="5954"/>
        </w:tabs>
      </w:pPr>
      <w:r w:rsidRPr="00CC7F66">
        <w:fldChar w:fldCharType="begin"/>
      </w:r>
      <w:r w:rsidRPr="00CC7F66">
        <w:instrText xml:space="preserve"> AUTONUM  </w:instrText>
      </w:r>
      <w:r w:rsidRPr="00CC7F66">
        <w:fldChar w:fldCharType="end"/>
      </w:r>
      <w:r w:rsidRPr="00CC7F66">
        <w:tab/>
        <w:t xml:space="preserve">The TWPs </w:t>
      </w:r>
      <w:proofErr w:type="gramStart"/>
      <w:r w:rsidRPr="00CC7F66">
        <w:t>are invited</w:t>
      </w:r>
      <w:proofErr w:type="gramEnd"/>
      <w:r w:rsidRPr="00CC7F66">
        <w:t xml:space="preserve"> to note:</w:t>
      </w:r>
    </w:p>
    <w:p w:rsidR="00CC7F66" w:rsidRPr="00CC7F66" w:rsidRDefault="00CC7F66" w:rsidP="00CC7F66">
      <w:pPr>
        <w:tabs>
          <w:tab w:val="left" w:pos="567"/>
          <w:tab w:val="left" w:pos="1134"/>
          <w:tab w:val="left" w:pos="5387"/>
          <w:tab w:val="left" w:pos="5954"/>
        </w:tabs>
      </w:pPr>
    </w:p>
    <w:p w:rsidR="00CC7F66" w:rsidRPr="00CC7F66" w:rsidRDefault="00CC7F66" w:rsidP="00CC7F66">
      <w:pPr>
        <w:tabs>
          <w:tab w:val="left" w:pos="567"/>
          <w:tab w:val="left" w:pos="1134"/>
          <w:tab w:val="left" w:pos="5387"/>
          <w:tab w:val="left" w:pos="5954"/>
        </w:tabs>
      </w:pPr>
      <w:r w:rsidRPr="00CC7F66">
        <w:tab/>
        <w:t>(a)</w:t>
      </w:r>
      <w:r w:rsidRPr="00CC7F66">
        <w:tab/>
      </w:r>
      <w:proofErr w:type="gramStart"/>
      <w:r w:rsidRPr="00CC7F66">
        <w:t>the</w:t>
      </w:r>
      <w:proofErr w:type="gramEnd"/>
      <w:r w:rsidRPr="00CC7F66">
        <w:t xml:space="preserve"> papers presented at the twentieth session of the BMT; and </w:t>
      </w:r>
    </w:p>
    <w:p w:rsidR="00CC7F66" w:rsidRPr="00CC7F66" w:rsidRDefault="00CC7F66" w:rsidP="00CC7F66">
      <w:pPr>
        <w:tabs>
          <w:tab w:val="left" w:pos="567"/>
          <w:tab w:val="left" w:pos="1134"/>
          <w:tab w:val="left" w:pos="5387"/>
          <w:tab w:val="left" w:pos="5954"/>
        </w:tabs>
      </w:pPr>
    </w:p>
    <w:p w:rsidR="00CC7F66" w:rsidRPr="00CC7F66" w:rsidRDefault="00CC7F66" w:rsidP="00CC7F66">
      <w:pPr>
        <w:tabs>
          <w:tab w:val="left" w:pos="567"/>
          <w:tab w:val="left" w:pos="1134"/>
          <w:tab w:val="left" w:pos="5387"/>
          <w:tab w:val="left" w:pos="5954"/>
        </w:tabs>
      </w:pPr>
      <w:r w:rsidRPr="00CC7F66">
        <w:tab/>
        <w:t>(b)</w:t>
      </w:r>
      <w:r w:rsidRPr="00CC7F66">
        <w:tab/>
      </w:r>
      <w:proofErr w:type="gramStart"/>
      <w:r w:rsidRPr="00CC7F66">
        <w:t>the</w:t>
      </w:r>
      <w:proofErr w:type="gramEnd"/>
      <w:r w:rsidRPr="00CC7F66">
        <w:t xml:space="preserve"> program of work for the first session of the TWM.</w:t>
      </w:r>
    </w:p>
    <w:p w:rsidR="0064047F" w:rsidRDefault="0064047F" w:rsidP="00CC7F66">
      <w:pPr>
        <w:tabs>
          <w:tab w:val="left" w:pos="567"/>
          <w:tab w:val="left" w:pos="1134"/>
          <w:tab w:val="left" w:pos="5387"/>
        </w:tabs>
      </w:pPr>
    </w:p>
    <w:p w:rsidR="00E02920" w:rsidRPr="00E02920" w:rsidRDefault="00E02920" w:rsidP="00CC7F66">
      <w:pPr>
        <w:tabs>
          <w:tab w:val="left" w:pos="567"/>
          <w:tab w:val="left" w:pos="1134"/>
          <w:tab w:val="left" w:pos="5387"/>
        </w:tabs>
        <w:rPr>
          <w:u w:val="single"/>
        </w:rPr>
      </w:pPr>
      <w:r w:rsidRPr="00E02920">
        <w:rPr>
          <w:u w:val="single"/>
        </w:rPr>
        <w:t>Confidentiality &amp; Ownership of Molecular Information</w:t>
      </w:r>
    </w:p>
    <w:p w:rsidR="00E02920" w:rsidRPr="00CC7F66" w:rsidRDefault="00E02920" w:rsidP="00CC7F66">
      <w:pPr>
        <w:tabs>
          <w:tab w:val="left" w:pos="567"/>
          <w:tab w:val="left" w:pos="1134"/>
          <w:tab w:val="left" w:pos="5387"/>
        </w:tabs>
      </w:pPr>
    </w:p>
    <w:p w:rsidR="00CC7F66" w:rsidRPr="00CC7F66" w:rsidRDefault="00CC7F66" w:rsidP="00CC7F66">
      <w:pPr>
        <w:tabs>
          <w:tab w:val="left" w:pos="567"/>
          <w:tab w:val="left" w:pos="1134"/>
          <w:tab w:val="left" w:pos="5387"/>
          <w:tab w:val="left" w:pos="5954"/>
        </w:tabs>
      </w:pPr>
      <w:r w:rsidRPr="00CC7F66">
        <w:fldChar w:fldCharType="begin"/>
      </w:r>
      <w:r w:rsidRPr="00CC7F66">
        <w:instrText xml:space="preserve"> AUTONUM  </w:instrText>
      </w:r>
      <w:r w:rsidRPr="00CC7F66">
        <w:fldChar w:fldCharType="end"/>
      </w:r>
      <w:r w:rsidRPr="00CC7F66">
        <w:tab/>
        <w:t xml:space="preserve">The TWPs </w:t>
      </w:r>
      <w:proofErr w:type="gramStart"/>
      <w:r w:rsidRPr="00CC7F66">
        <w:t>are invited</w:t>
      </w:r>
      <w:proofErr w:type="gramEnd"/>
      <w:r w:rsidRPr="00CC7F66">
        <w:t xml:space="preserve"> to note discussions held at the TWPs and the BMT, at their sessions in 2021, on “Confidentiality &amp; Ownership of Molecular Information”.</w:t>
      </w:r>
    </w:p>
    <w:p w:rsidR="00CC7F66" w:rsidRDefault="00CC7F66" w:rsidP="00CC7F66">
      <w:pPr>
        <w:tabs>
          <w:tab w:val="left" w:pos="567"/>
          <w:tab w:val="left" w:pos="1134"/>
          <w:tab w:val="left" w:pos="5387"/>
        </w:tabs>
      </w:pPr>
    </w:p>
    <w:p w:rsidR="00E02920" w:rsidRPr="00E02920" w:rsidRDefault="00E02920" w:rsidP="00CC7F66">
      <w:pPr>
        <w:tabs>
          <w:tab w:val="left" w:pos="567"/>
          <w:tab w:val="left" w:pos="1134"/>
          <w:tab w:val="left" w:pos="5387"/>
        </w:tabs>
        <w:rPr>
          <w:u w:val="single"/>
        </w:rPr>
      </w:pPr>
      <w:r w:rsidRPr="00E02920">
        <w:rPr>
          <w:rFonts w:cs="Arial"/>
          <w:u w:val="single"/>
        </w:rPr>
        <w:t>Revision of document UPOV/INF/17 “Guidelines for DNA-Profiling: Molecular Marker Selection and Database Construction (“BMT Guidelines”)</w:t>
      </w:r>
    </w:p>
    <w:p w:rsidR="00E02920" w:rsidRPr="00E02920" w:rsidRDefault="00E02920" w:rsidP="00CC7F66">
      <w:pPr>
        <w:tabs>
          <w:tab w:val="left" w:pos="567"/>
          <w:tab w:val="left" w:pos="1134"/>
          <w:tab w:val="left" w:pos="5387"/>
        </w:tabs>
        <w:rPr>
          <w:u w:val="single"/>
        </w:rPr>
      </w:pPr>
    </w:p>
    <w:p w:rsidR="00CC7F66" w:rsidRPr="00CC7F66" w:rsidRDefault="00CC7F66" w:rsidP="00CC7F66">
      <w:pPr>
        <w:keepNext/>
        <w:keepLines/>
        <w:tabs>
          <w:tab w:val="left" w:pos="567"/>
          <w:tab w:val="left" w:pos="1134"/>
          <w:tab w:val="left" w:pos="5387"/>
          <w:tab w:val="left" w:pos="5954"/>
        </w:tabs>
      </w:pPr>
      <w:r w:rsidRPr="00CC7F66">
        <w:fldChar w:fldCharType="begin"/>
      </w:r>
      <w:r w:rsidRPr="00CC7F66">
        <w:instrText xml:space="preserve"> AUTONUM  </w:instrText>
      </w:r>
      <w:r w:rsidRPr="00CC7F66">
        <w:fldChar w:fldCharType="end"/>
      </w:r>
      <w:r w:rsidRPr="00CC7F66">
        <w:tab/>
        <w:t xml:space="preserve">The TWPs </w:t>
      </w:r>
      <w:proofErr w:type="gramStart"/>
      <w:r w:rsidRPr="00CC7F66">
        <w:t>are invited</w:t>
      </w:r>
      <w:proofErr w:type="gramEnd"/>
      <w:r w:rsidRPr="00CC7F66">
        <w:t xml:space="preserve"> to note that a </w:t>
      </w:r>
      <w:r w:rsidRPr="00CC7F66">
        <w:rPr>
          <w:rFonts w:cs="Arial"/>
        </w:rPr>
        <w:t>revision of document UPOV/INF/17 “Guidelines for DNA-Profiling: Molecular Marker Selection and Database Construction (“BMT Guidelines”) was adopted by the Council, in 2021</w:t>
      </w:r>
      <w:r w:rsidRPr="00CC7F66">
        <w:t>.</w:t>
      </w:r>
    </w:p>
    <w:p w:rsidR="00CC7F66" w:rsidRPr="0064047F" w:rsidRDefault="00CC7F66" w:rsidP="0064047F">
      <w:pPr>
        <w:tabs>
          <w:tab w:val="left" w:pos="567"/>
          <w:tab w:val="left" w:pos="1134"/>
          <w:tab w:val="left" w:pos="5387"/>
        </w:tabs>
      </w:pPr>
    </w:p>
    <w:p w:rsidR="0064047F" w:rsidRPr="0064047F" w:rsidRDefault="0064047F" w:rsidP="0064047F">
      <w:r w:rsidRPr="0064047F">
        <w:fldChar w:fldCharType="begin"/>
      </w:r>
      <w:r w:rsidRPr="0064047F">
        <w:instrText xml:space="preserve"> AUTONUM  </w:instrText>
      </w:r>
      <w:r w:rsidRPr="0064047F">
        <w:fldChar w:fldCharType="end"/>
      </w:r>
      <w:r w:rsidRPr="0064047F">
        <w:tab/>
        <w:t xml:space="preserve">The following abbreviations </w:t>
      </w:r>
      <w:proofErr w:type="gramStart"/>
      <w:r w:rsidRPr="0064047F">
        <w:t>are used</w:t>
      </w:r>
      <w:proofErr w:type="gramEnd"/>
      <w:r w:rsidRPr="0064047F">
        <w:t xml:space="preserve"> in this document:</w:t>
      </w:r>
    </w:p>
    <w:p w:rsidR="0064047F" w:rsidRPr="0064047F" w:rsidRDefault="0064047F" w:rsidP="0064047F">
      <w:pPr>
        <w:keepNext/>
        <w:tabs>
          <w:tab w:val="left" w:pos="567"/>
        </w:tabs>
        <w:ind w:left="1701" w:hanging="1134"/>
        <w:rPr>
          <w:sz w:val="18"/>
        </w:rPr>
      </w:pPr>
      <w:r w:rsidRPr="0064047F">
        <w:rPr>
          <w:sz w:val="18"/>
        </w:rPr>
        <w:t>BMT:</w:t>
      </w:r>
      <w:r w:rsidRPr="0064047F">
        <w:rPr>
          <w:sz w:val="18"/>
        </w:rPr>
        <w:tab/>
        <w:t xml:space="preserve">Working Group on Biochemical and Molecular Techniques, and DNA-Profiling in Particular </w:t>
      </w:r>
    </w:p>
    <w:p w:rsidR="0064047F" w:rsidRPr="0064047F" w:rsidRDefault="0064047F" w:rsidP="0064047F">
      <w:pPr>
        <w:ind w:left="1701" w:hanging="1134"/>
        <w:rPr>
          <w:rFonts w:cs="Arial"/>
          <w:snapToGrid w:val="0"/>
          <w:sz w:val="18"/>
          <w:szCs w:val="24"/>
          <w:lang w:eastAsia="ja-JP"/>
        </w:rPr>
      </w:pPr>
      <w:r w:rsidRPr="0064047F">
        <w:rPr>
          <w:rFonts w:eastAsia="PMingLiU" w:cs="Arial"/>
          <w:snapToGrid w:val="0"/>
          <w:sz w:val="18"/>
          <w:szCs w:val="24"/>
          <w:lang w:eastAsia="fr-FR"/>
        </w:rPr>
        <w:t xml:space="preserve">ISTA: </w:t>
      </w:r>
      <w:r w:rsidRPr="0064047F">
        <w:rPr>
          <w:rFonts w:eastAsia="PMingLiU" w:cs="Arial"/>
          <w:snapToGrid w:val="0"/>
          <w:sz w:val="18"/>
          <w:szCs w:val="24"/>
          <w:lang w:eastAsia="fr-FR"/>
        </w:rPr>
        <w:tab/>
        <w:t>International Seed Testing Association</w:t>
      </w:r>
    </w:p>
    <w:p w:rsidR="0064047F" w:rsidRPr="0064047F" w:rsidRDefault="0064047F" w:rsidP="0064047F">
      <w:pPr>
        <w:ind w:left="1701" w:hanging="1134"/>
        <w:rPr>
          <w:rFonts w:eastAsia="PMingLiU" w:cs="Arial"/>
          <w:snapToGrid w:val="0"/>
          <w:sz w:val="18"/>
          <w:szCs w:val="24"/>
        </w:rPr>
      </w:pPr>
      <w:r w:rsidRPr="0064047F">
        <w:rPr>
          <w:rFonts w:eastAsia="PMingLiU" w:cs="Arial"/>
          <w:sz w:val="18"/>
          <w:szCs w:val="24"/>
        </w:rPr>
        <w:t>OECD:</w:t>
      </w:r>
      <w:r w:rsidRPr="0064047F">
        <w:rPr>
          <w:rFonts w:eastAsia="PMingLiU" w:cs="Arial"/>
          <w:sz w:val="18"/>
          <w:szCs w:val="24"/>
        </w:rPr>
        <w:tab/>
      </w:r>
      <w:r w:rsidRPr="0064047F">
        <w:rPr>
          <w:rFonts w:eastAsia="PMingLiU" w:cs="Arial"/>
          <w:snapToGrid w:val="0"/>
          <w:sz w:val="18"/>
          <w:szCs w:val="24"/>
        </w:rPr>
        <w:t>Organization for Economic Co-operation and Development</w:t>
      </w:r>
    </w:p>
    <w:p w:rsidR="0064047F" w:rsidRPr="0064047F" w:rsidRDefault="0064047F" w:rsidP="0064047F">
      <w:pPr>
        <w:keepNext/>
        <w:tabs>
          <w:tab w:val="left" w:pos="567"/>
        </w:tabs>
        <w:ind w:left="1701" w:hanging="1134"/>
        <w:rPr>
          <w:sz w:val="18"/>
        </w:rPr>
      </w:pPr>
      <w:r w:rsidRPr="0064047F">
        <w:rPr>
          <w:sz w:val="18"/>
        </w:rPr>
        <w:t>TC:</w:t>
      </w:r>
      <w:r w:rsidRPr="0064047F">
        <w:rPr>
          <w:sz w:val="18"/>
        </w:rPr>
        <w:tab/>
        <w:t>Technical Committee</w:t>
      </w:r>
    </w:p>
    <w:p w:rsidR="0064047F" w:rsidRPr="0064047F" w:rsidRDefault="0064047F" w:rsidP="0064047F">
      <w:pPr>
        <w:ind w:left="1701" w:hanging="1134"/>
        <w:rPr>
          <w:rFonts w:eastAsia="PMingLiU" w:cs="Arial"/>
          <w:sz w:val="18"/>
          <w:szCs w:val="24"/>
        </w:rPr>
      </w:pPr>
      <w:r w:rsidRPr="0064047F">
        <w:rPr>
          <w:rFonts w:eastAsia="PMingLiU" w:cs="Arial"/>
          <w:sz w:val="18"/>
          <w:szCs w:val="24"/>
        </w:rPr>
        <w:t>TWA:</w:t>
      </w:r>
      <w:r w:rsidRPr="0064047F">
        <w:rPr>
          <w:rFonts w:eastAsia="PMingLiU" w:cs="Arial"/>
          <w:sz w:val="18"/>
          <w:szCs w:val="24"/>
        </w:rPr>
        <w:tab/>
        <w:t>Technical Working Party for Agricultural Crops</w:t>
      </w:r>
    </w:p>
    <w:p w:rsidR="0064047F" w:rsidRPr="0064047F" w:rsidRDefault="0064047F" w:rsidP="0064047F">
      <w:pPr>
        <w:ind w:left="1701" w:hanging="1134"/>
        <w:rPr>
          <w:rFonts w:eastAsia="PMingLiU" w:cs="Arial"/>
          <w:sz w:val="18"/>
          <w:szCs w:val="24"/>
        </w:rPr>
      </w:pPr>
      <w:r w:rsidRPr="0064047F">
        <w:rPr>
          <w:rFonts w:eastAsia="PMingLiU" w:cs="Arial"/>
          <w:sz w:val="18"/>
          <w:szCs w:val="24"/>
        </w:rPr>
        <w:t>TWC:</w:t>
      </w:r>
      <w:r w:rsidRPr="0064047F">
        <w:rPr>
          <w:rFonts w:eastAsia="PMingLiU" w:cs="Arial"/>
          <w:sz w:val="18"/>
          <w:szCs w:val="24"/>
        </w:rPr>
        <w:tab/>
        <w:t>Technical Working Party on Automation and Computer Programs</w:t>
      </w:r>
    </w:p>
    <w:p w:rsidR="0064047F" w:rsidRDefault="0064047F" w:rsidP="0064047F">
      <w:pPr>
        <w:ind w:left="1701" w:hanging="1134"/>
        <w:rPr>
          <w:rFonts w:eastAsia="PMingLiU" w:cs="Arial"/>
          <w:sz w:val="18"/>
          <w:szCs w:val="24"/>
        </w:rPr>
      </w:pPr>
      <w:r w:rsidRPr="0064047F">
        <w:rPr>
          <w:rFonts w:eastAsia="PMingLiU" w:cs="Arial"/>
          <w:sz w:val="18"/>
          <w:szCs w:val="24"/>
        </w:rPr>
        <w:t>TWF:</w:t>
      </w:r>
      <w:r w:rsidRPr="0064047F">
        <w:rPr>
          <w:rFonts w:eastAsia="PMingLiU" w:cs="Arial"/>
          <w:sz w:val="18"/>
          <w:szCs w:val="24"/>
        </w:rPr>
        <w:tab/>
        <w:t>Technical Working Party on Fruit Crops</w:t>
      </w:r>
    </w:p>
    <w:p w:rsidR="00200F51" w:rsidRPr="0064047F" w:rsidRDefault="00200F51" w:rsidP="0064047F">
      <w:pPr>
        <w:ind w:left="1701" w:hanging="1134"/>
        <w:rPr>
          <w:rFonts w:eastAsia="PMingLiU" w:cs="Arial"/>
          <w:sz w:val="18"/>
          <w:szCs w:val="24"/>
        </w:rPr>
      </w:pPr>
      <w:r>
        <w:rPr>
          <w:rFonts w:eastAsia="PMingLiU" w:cs="Arial"/>
          <w:sz w:val="18"/>
          <w:szCs w:val="24"/>
        </w:rPr>
        <w:t>TWM:</w:t>
      </w:r>
      <w:r>
        <w:rPr>
          <w:rFonts w:eastAsia="PMingLiU" w:cs="Arial"/>
          <w:sz w:val="18"/>
          <w:szCs w:val="24"/>
        </w:rPr>
        <w:tab/>
        <w:t>Technical Working Party on Testing Methods and Techniques</w:t>
      </w:r>
    </w:p>
    <w:p w:rsidR="0064047F" w:rsidRPr="0064047F" w:rsidRDefault="0064047F" w:rsidP="0064047F">
      <w:pPr>
        <w:ind w:left="1701" w:hanging="1134"/>
        <w:rPr>
          <w:rFonts w:eastAsia="PMingLiU" w:cs="Arial"/>
          <w:sz w:val="18"/>
          <w:szCs w:val="24"/>
        </w:rPr>
      </w:pPr>
      <w:r w:rsidRPr="0064047F">
        <w:rPr>
          <w:rFonts w:eastAsia="PMingLiU" w:cs="Arial"/>
          <w:sz w:val="18"/>
          <w:szCs w:val="24"/>
        </w:rPr>
        <w:t>TWO:</w:t>
      </w:r>
      <w:r w:rsidRPr="0064047F">
        <w:rPr>
          <w:rFonts w:eastAsia="PMingLiU" w:cs="Arial"/>
          <w:sz w:val="18"/>
          <w:szCs w:val="24"/>
        </w:rPr>
        <w:tab/>
        <w:t>Technical Working Party on Ornamental Plants and Forest Trees</w:t>
      </w:r>
    </w:p>
    <w:p w:rsidR="0064047F" w:rsidRPr="0064047F" w:rsidRDefault="0064047F" w:rsidP="0064047F">
      <w:pPr>
        <w:ind w:left="1701" w:hanging="1134"/>
        <w:rPr>
          <w:rFonts w:eastAsia="PMingLiU" w:cs="Arial"/>
          <w:sz w:val="18"/>
          <w:szCs w:val="24"/>
        </w:rPr>
      </w:pPr>
      <w:r w:rsidRPr="0064047F">
        <w:rPr>
          <w:rFonts w:eastAsia="PMingLiU" w:cs="Arial"/>
          <w:sz w:val="18"/>
          <w:szCs w:val="24"/>
        </w:rPr>
        <w:t>TWPs:</w:t>
      </w:r>
      <w:r w:rsidRPr="0064047F">
        <w:rPr>
          <w:rFonts w:eastAsia="PMingLiU" w:cs="Arial"/>
          <w:sz w:val="18"/>
          <w:szCs w:val="24"/>
        </w:rPr>
        <w:tab/>
        <w:t>Technical Working Parties</w:t>
      </w:r>
    </w:p>
    <w:p w:rsidR="0064047F" w:rsidRPr="0064047F" w:rsidRDefault="0064047F" w:rsidP="0064047F">
      <w:pPr>
        <w:ind w:left="1701" w:hanging="1134"/>
        <w:rPr>
          <w:rFonts w:eastAsia="PMingLiU" w:cs="Arial"/>
          <w:sz w:val="18"/>
          <w:szCs w:val="24"/>
        </w:rPr>
      </w:pPr>
      <w:r w:rsidRPr="0064047F">
        <w:rPr>
          <w:rFonts w:eastAsia="PMingLiU" w:cs="Arial"/>
          <w:sz w:val="18"/>
          <w:szCs w:val="24"/>
        </w:rPr>
        <w:t>TWV:</w:t>
      </w:r>
      <w:r w:rsidRPr="0064047F">
        <w:rPr>
          <w:rFonts w:eastAsia="PMingLiU" w:cs="Arial"/>
          <w:sz w:val="18"/>
          <w:szCs w:val="24"/>
        </w:rPr>
        <w:tab/>
        <w:t>Technical Working Party for Vegetables</w:t>
      </w:r>
    </w:p>
    <w:p w:rsidR="0064047F" w:rsidRPr="0064047F" w:rsidRDefault="0064047F" w:rsidP="0064047F">
      <w:pPr>
        <w:jc w:val="left"/>
        <w:rPr>
          <w:rFonts w:cs="Arial"/>
          <w:snapToGrid w:val="0"/>
          <w:sz w:val="18"/>
          <w:szCs w:val="24"/>
          <w:lang w:eastAsia="ja-JP"/>
        </w:rPr>
      </w:pPr>
    </w:p>
    <w:p w:rsidR="00925146" w:rsidRDefault="0064047F" w:rsidP="0064047F">
      <w:pPr>
        <w:keepNext/>
      </w:pPr>
      <w:r w:rsidRPr="0064047F">
        <w:fldChar w:fldCharType="begin"/>
      </w:r>
      <w:r w:rsidRPr="0064047F">
        <w:instrText xml:space="preserve"> AUTONUM  </w:instrText>
      </w:r>
      <w:r w:rsidRPr="0064047F">
        <w:fldChar w:fldCharType="end"/>
      </w:r>
      <w:r w:rsidRPr="0064047F">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64047F" w:rsidRPr="0064047F" w:rsidRDefault="0064047F" w:rsidP="0064047F">
          <w:pPr>
            <w:keepNext/>
            <w:rPr>
              <w:rFonts w:cs="Arial"/>
              <w:b/>
            </w:rPr>
          </w:pPr>
        </w:p>
        <w:p w:rsidR="00925146" w:rsidRDefault="0064047F">
          <w:pPr>
            <w:pStyle w:val="TOC1"/>
            <w:rPr>
              <w:rFonts w:asciiTheme="minorHAnsi" w:eastAsiaTheme="minorEastAsia" w:hAnsiTheme="minorHAnsi" w:cstheme="minorBidi"/>
              <w:bCs w:val="0"/>
              <w:caps w:val="0"/>
              <w:sz w:val="22"/>
              <w:szCs w:val="22"/>
            </w:rPr>
          </w:pPr>
          <w:r w:rsidRPr="0064047F">
            <w:rPr>
              <w:caps w:val="0"/>
              <w:szCs w:val="18"/>
            </w:rPr>
            <w:fldChar w:fldCharType="begin"/>
          </w:r>
          <w:r w:rsidRPr="0064047F">
            <w:rPr>
              <w:caps w:val="0"/>
              <w:szCs w:val="18"/>
            </w:rPr>
            <w:instrText xml:space="preserve"> TOC \o "1-3" \h \z \u </w:instrText>
          </w:r>
          <w:r w:rsidRPr="0064047F">
            <w:rPr>
              <w:caps w:val="0"/>
              <w:szCs w:val="18"/>
            </w:rPr>
            <w:fldChar w:fldCharType="separate"/>
          </w:r>
          <w:hyperlink w:anchor="_Toc97892760" w:history="1">
            <w:r w:rsidR="00925146" w:rsidRPr="00CF374B">
              <w:rPr>
                <w:rStyle w:val="Hyperlink"/>
                <w:snapToGrid w:val="0"/>
                <w:lang w:eastAsia="ja-JP"/>
              </w:rPr>
              <w:t>Executive summary</w:t>
            </w:r>
            <w:r w:rsidR="00925146">
              <w:rPr>
                <w:webHidden/>
              </w:rPr>
              <w:tab/>
            </w:r>
            <w:r w:rsidR="00925146">
              <w:rPr>
                <w:webHidden/>
              </w:rPr>
              <w:fldChar w:fldCharType="begin"/>
            </w:r>
            <w:r w:rsidR="00925146">
              <w:rPr>
                <w:webHidden/>
              </w:rPr>
              <w:instrText xml:space="preserve"> PAGEREF _Toc97892760 \h </w:instrText>
            </w:r>
            <w:r w:rsidR="00925146">
              <w:rPr>
                <w:webHidden/>
              </w:rPr>
            </w:r>
            <w:r w:rsidR="00925146">
              <w:rPr>
                <w:webHidden/>
              </w:rPr>
              <w:fldChar w:fldCharType="separate"/>
            </w:r>
            <w:r w:rsidR="00925146">
              <w:rPr>
                <w:webHidden/>
              </w:rPr>
              <w:t>1</w:t>
            </w:r>
            <w:r w:rsidR="00925146">
              <w:rPr>
                <w:webHidden/>
              </w:rPr>
              <w:fldChar w:fldCharType="end"/>
            </w:r>
          </w:hyperlink>
        </w:p>
        <w:p w:rsidR="00925146" w:rsidRDefault="003C3475">
          <w:pPr>
            <w:pStyle w:val="TOC1"/>
            <w:rPr>
              <w:rFonts w:asciiTheme="minorHAnsi" w:eastAsiaTheme="minorEastAsia" w:hAnsiTheme="minorHAnsi" w:cstheme="minorBidi"/>
              <w:bCs w:val="0"/>
              <w:caps w:val="0"/>
              <w:sz w:val="22"/>
              <w:szCs w:val="22"/>
            </w:rPr>
          </w:pPr>
          <w:hyperlink w:anchor="_Toc97892761" w:history="1">
            <w:r w:rsidR="00925146" w:rsidRPr="00CF374B">
              <w:rPr>
                <w:rStyle w:val="Hyperlink"/>
                <w:snapToGrid w:val="0"/>
              </w:rPr>
              <w:t>Session to facilitate cooperation in relation to the use of molecular techniques</w:t>
            </w:r>
            <w:r w:rsidR="00925146">
              <w:rPr>
                <w:webHidden/>
              </w:rPr>
              <w:tab/>
            </w:r>
            <w:r w:rsidR="00925146">
              <w:rPr>
                <w:webHidden/>
              </w:rPr>
              <w:fldChar w:fldCharType="begin"/>
            </w:r>
            <w:r w:rsidR="00925146">
              <w:rPr>
                <w:webHidden/>
              </w:rPr>
              <w:instrText xml:space="preserve"> PAGEREF _Toc97892761 \h </w:instrText>
            </w:r>
            <w:r w:rsidR="00925146">
              <w:rPr>
                <w:webHidden/>
              </w:rPr>
            </w:r>
            <w:r w:rsidR="00925146">
              <w:rPr>
                <w:webHidden/>
              </w:rPr>
              <w:fldChar w:fldCharType="separate"/>
            </w:r>
            <w:r w:rsidR="00925146">
              <w:rPr>
                <w:webHidden/>
              </w:rPr>
              <w:t>3</w:t>
            </w:r>
            <w:r w:rsidR="00925146">
              <w:rPr>
                <w:webHidden/>
              </w:rPr>
              <w:fldChar w:fldCharType="end"/>
            </w:r>
          </w:hyperlink>
        </w:p>
        <w:p w:rsidR="00925146" w:rsidRDefault="003C3475">
          <w:pPr>
            <w:pStyle w:val="TOC2"/>
            <w:rPr>
              <w:rFonts w:asciiTheme="minorHAnsi" w:eastAsiaTheme="minorEastAsia" w:hAnsiTheme="minorHAnsi" w:cstheme="minorBidi"/>
              <w:sz w:val="22"/>
              <w:szCs w:val="22"/>
            </w:rPr>
          </w:pPr>
          <w:hyperlink w:anchor="_Toc97892762" w:history="1">
            <w:r w:rsidR="00925146" w:rsidRPr="00CF374B">
              <w:rPr>
                <w:rStyle w:val="Hyperlink"/>
              </w:rPr>
              <w:t>Technical Working Parties (TWPs)</w:t>
            </w:r>
            <w:r w:rsidR="00925146">
              <w:rPr>
                <w:webHidden/>
              </w:rPr>
              <w:tab/>
            </w:r>
            <w:r w:rsidR="00925146">
              <w:rPr>
                <w:webHidden/>
              </w:rPr>
              <w:fldChar w:fldCharType="begin"/>
            </w:r>
            <w:r w:rsidR="00925146">
              <w:rPr>
                <w:webHidden/>
              </w:rPr>
              <w:instrText xml:space="preserve"> PAGEREF _Toc97892762 \h </w:instrText>
            </w:r>
            <w:r w:rsidR="00925146">
              <w:rPr>
                <w:webHidden/>
              </w:rPr>
            </w:r>
            <w:r w:rsidR="00925146">
              <w:rPr>
                <w:webHidden/>
              </w:rPr>
              <w:fldChar w:fldCharType="separate"/>
            </w:r>
            <w:r w:rsidR="00925146">
              <w:rPr>
                <w:webHidden/>
              </w:rPr>
              <w:t>3</w:t>
            </w:r>
            <w:r w:rsidR="00925146">
              <w:rPr>
                <w:webHidden/>
              </w:rPr>
              <w:fldChar w:fldCharType="end"/>
            </w:r>
          </w:hyperlink>
        </w:p>
        <w:p w:rsidR="00925146" w:rsidRDefault="003C3475">
          <w:pPr>
            <w:pStyle w:val="TOC2"/>
            <w:rPr>
              <w:rFonts w:asciiTheme="minorHAnsi" w:eastAsiaTheme="minorEastAsia" w:hAnsiTheme="minorHAnsi" w:cstheme="minorBidi"/>
              <w:sz w:val="22"/>
              <w:szCs w:val="22"/>
            </w:rPr>
          </w:pPr>
          <w:hyperlink w:anchor="_Toc97892763" w:history="1">
            <w:r w:rsidR="00925146" w:rsidRPr="00CF374B">
              <w:rPr>
                <w:rStyle w:val="Hyperlink"/>
              </w:rPr>
              <w:t>Working Group on Biochemical and Molecular Techniques, and DNA-Profiling in Particular (BMT)</w:t>
            </w:r>
            <w:r w:rsidR="00925146">
              <w:rPr>
                <w:webHidden/>
              </w:rPr>
              <w:tab/>
            </w:r>
            <w:r w:rsidR="00925146">
              <w:rPr>
                <w:webHidden/>
              </w:rPr>
              <w:fldChar w:fldCharType="begin"/>
            </w:r>
            <w:r w:rsidR="00925146">
              <w:rPr>
                <w:webHidden/>
              </w:rPr>
              <w:instrText xml:space="preserve"> PAGEREF _Toc97892763 \h </w:instrText>
            </w:r>
            <w:r w:rsidR="00925146">
              <w:rPr>
                <w:webHidden/>
              </w:rPr>
            </w:r>
            <w:r w:rsidR="00925146">
              <w:rPr>
                <w:webHidden/>
              </w:rPr>
              <w:fldChar w:fldCharType="separate"/>
            </w:r>
            <w:r w:rsidR="00925146">
              <w:rPr>
                <w:webHidden/>
              </w:rPr>
              <w:t>3</w:t>
            </w:r>
            <w:r w:rsidR="00925146">
              <w:rPr>
                <w:webHidden/>
              </w:rPr>
              <w:fldChar w:fldCharType="end"/>
            </w:r>
          </w:hyperlink>
        </w:p>
        <w:p w:rsidR="00925146" w:rsidRDefault="003C3475">
          <w:pPr>
            <w:pStyle w:val="TOC1"/>
            <w:rPr>
              <w:rFonts w:asciiTheme="minorHAnsi" w:eastAsiaTheme="minorEastAsia" w:hAnsiTheme="minorHAnsi" w:cstheme="minorBidi"/>
              <w:bCs w:val="0"/>
              <w:caps w:val="0"/>
              <w:sz w:val="22"/>
              <w:szCs w:val="22"/>
            </w:rPr>
          </w:pPr>
          <w:hyperlink w:anchor="_Toc97892764" w:history="1">
            <w:r w:rsidR="00925146" w:rsidRPr="00CF374B">
              <w:rPr>
                <w:rStyle w:val="Hyperlink"/>
                <w:lang w:eastAsia="ja-JP"/>
              </w:rPr>
              <w:t>Cooperation between international organizations</w:t>
            </w:r>
            <w:r w:rsidR="00925146">
              <w:rPr>
                <w:webHidden/>
              </w:rPr>
              <w:tab/>
            </w:r>
            <w:r w:rsidR="00925146">
              <w:rPr>
                <w:webHidden/>
              </w:rPr>
              <w:fldChar w:fldCharType="begin"/>
            </w:r>
            <w:r w:rsidR="00925146">
              <w:rPr>
                <w:webHidden/>
              </w:rPr>
              <w:instrText xml:space="preserve"> PAGEREF _Toc97892764 \h </w:instrText>
            </w:r>
            <w:r w:rsidR="00925146">
              <w:rPr>
                <w:webHidden/>
              </w:rPr>
            </w:r>
            <w:r w:rsidR="00925146">
              <w:rPr>
                <w:webHidden/>
              </w:rPr>
              <w:fldChar w:fldCharType="separate"/>
            </w:r>
            <w:r w:rsidR="00925146">
              <w:rPr>
                <w:webHidden/>
              </w:rPr>
              <w:t>4</w:t>
            </w:r>
            <w:r w:rsidR="00925146">
              <w:rPr>
                <w:webHidden/>
              </w:rPr>
              <w:fldChar w:fldCharType="end"/>
            </w:r>
          </w:hyperlink>
        </w:p>
        <w:p w:rsidR="00925146" w:rsidRDefault="003C3475">
          <w:pPr>
            <w:pStyle w:val="TOC2"/>
            <w:rPr>
              <w:rFonts w:asciiTheme="minorHAnsi" w:eastAsiaTheme="minorEastAsia" w:hAnsiTheme="minorHAnsi" w:cstheme="minorBidi"/>
              <w:sz w:val="22"/>
              <w:szCs w:val="22"/>
            </w:rPr>
          </w:pPr>
          <w:hyperlink w:anchor="_Toc97892765" w:history="1">
            <w:r w:rsidR="00925146" w:rsidRPr="00CF374B">
              <w:rPr>
                <w:rStyle w:val="Hyperlink"/>
              </w:rPr>
              <w:t>Background</w:t>
            </w:r>
            <w:r w:rsidR="00925146">
              <w:rPr>
                <w:webHidden/>
              </w:rPr>
              <w:tab/>
            </w:r>
            <w:r w:rsidR="00925146">
              <w:rPr>
                <w:webHidden/>
              </w:rPr>
              <w:fldChar w:fldCharType="begin"/>
            </w:r>
            <w:r w:rsidR="00925146">
              <w:rPr>
                <w:webHidden/>
              </w:rPr>
              <w:instrText xml:space="preserve"> PAGEREF _Toc97892765 \h </w:instrText>
            </w:r>
            <w:r w:rsidR="00925146">
              <w:rPr>
                <w:webHidden/>
              </w:rPr>
            </w:r>
            <w:r w:rsidR="00925146">
              <w:rPr>
                <w:webHidden/>
              </w:rPr>
              <w:fldChar w:fldCharType="separate"/>
            </w:r>
            <w:r w:rsidR="00925146">
              <w:rPr>
                <w:webHidden/>
              </w:rPr>
              <w:t>4</w:t>
            </w:r>
            <w:r w:rsidR="00925146">
              <w:rPr>
                <w:webHidden/>
              </w:rPr>
              <w:fldChar w:fldCharType="end"/>
            </w:r>
          </w:hyperlink>
        </w:p>
        <w:p w:rsidR="00925146" w:rsidRDefault="003C3475">
          <w:pPr>
            <w:pStyle w:val="TOC2"/>
            <w:rPr>
              <w:rFonts w:asciiTheme="minorHAnsi" w:eastAsiaTheme="minorEastAsia" w:hAnsiTheme="minorHAnsi" w:cstheme="minorBidi"/>
              <w:sz w:val="22"/>
              <w:szCs w:val="22"/>
            </w:rPr>
          </w:pPr>
          <w:hyperlink w:anchor="_Toc97892766" w:history="1">
            <w:r w:rsidR="00925146" w:rsidRPr="00CF374B">
              <w:rPr>
                <w:rStyle w:val="Hyperlink"/>
              </w:rPr>
              <w:t>Inventory on the use of molecular marker techniques, by crop</w:t>
            </w:r>
            <w:r w:rsidR="00925146">
              <w:rPr>
                <w:webHidden/>
              </w:rPr>
              <w:tab/>
            </w:r>
            <w:r w:rsidR="00925146">
              <w:rPr>
                <w:webHidden/>
              </w:rPr>
              <w:fldChar w:fldCharType="begin"/>
            </w:r>
            <w:r w:rsidR="00925146">
              <w:rPr>
                <w:webHidden/>
              </w:rPr>
              <w:instrText xml:space="preserve"> PAGEREF _Toc97892766 \h </w:instrText>
            </w:r>
            <w:r w:rsidR="00925146">
              <w:rPr>
                <w:webHidden/>
              </w:rPr>
            </w:r>
            <w:r w:rsidR="00925146">
              <w:rPr>
                <w:webHidden/>
              </w:rPr>
              <w:fldChar w:fldCharType="separate"/>
            </w:r>
            <w:r w:rsidR="00925146">
              <w:rPr>
                <w:webHidden/>
              </w:rPr>
              <w:t>4</w:t>
            </w:r>
            <w:r w:rsidR="00925146">
              <w:rPr>
                <w:webHidden/>
              </w:rPr>
              <w:fldChar w:fldCharType="end"/>
            </w:r>
          </w:hyperlink>
        </w:p>
        <w:p w:rsidR="00925146" w:rsidRDefault="003C3475">
          <w:pPr>
            <w:pStyle w:val="TOC2"/>
            <w:rPr>
              <w:rFonts w:asciiTheme="minorHAnsi" w:eastAsiaTheme="minorEastAsia" w:hAnsiTheme="minorHAnsi" w:cstheme="minorBidi"/>
              <w:sz w:val="22"/>
              <w:szCs w:val="22"/>
            </w:rPr>
          </w:pPr>
          <w:hyperlink w:anchor="_Toc97892767" w:history="1">
            <w:r w:rsidR="00925146" w:rsidRPr="00CF374B">
              <w:rPr>
                <w:rStyle w:val="Hyperlink"/>
              </w:rPr>
              <w:t>Joint document explaining the principal features of the systems of OECD, UPOV and ISTA</w:t>
            </w:r>
            <w:r w:rsidR="00925146">
              <w:rPr>
                <w:webHidden/>
              </w:rPr>
              <w:tab/>
            </w:r>
            <w:r w:rsidR="00925146">
              <w:rPr>
                <w:webHidden/>
              </w:rPr>
              <w:fldChar w:fldCharType="begin"/>
            </w:r>
            <w:r w:rsidR="00925146">
              <w:rPr>
                <w:webHidden/>
              </w:rPr>
              <w:instrText xml:space="preserve"> PAGEREF _Toc97892767 \h </w:instrText>
            </w:r>
            <w:r w:rsidR="00925146">
              <w:rPr>
                <w:webHidden/>
              </w:rPr>
            </w:r>
            <w:r w:rsidR="00925146">
              <w:rPr>
                <w:webHidden/>
              </w:rPr>
              <w:fldChar w:fldCharType="separate"/>
            </w:r>
            <w:r w:rsidR="00925146">
              <w:rPr>
                <w:webHidden/>
              </w:rPr>
              <w:t>5</w:t>
            </w:r>
            <w:r w:rsidR="00925146">
              <w:rPr>
                <w:webHidden/>
              </w:rPr>
              <w:fldChar w:fldCharType="end"/>
            </w:r>
          </w:hyperlink>
        </w:p>
        <w:p w:rsidR="00925146" w:rsidRDefault="003C3475">
          <w:pPr>
            <w:pStyle w:val="TOC3"/>
            <w:rPr>
              <w:rFonts w:asciiTheme="minorHAnsi" w:eastAsiaTheme="minorEastAsia" w:hAnsiTheme="minorHAnsi" w:cstheme="minorBidi"/>
              <w:i w:val="0"/>
              <w:sz w:val="22"/>
              <w:szCs w:val="22"/>
            </w:rPr>
          </w:pPr>
          <w:hyperlink w:anchor="_Toc97892768" w:history="1">
            <w:r w:rsidR="00925146" w:rsidRPr="00CF374B">
              <w:rPr>
                <w:rStyle w:val="Hyperlink"/>
              </w:rPr>
              <w:t>Background</w:t>
            </w:r>
            <w:r w:rsidR="00925146">
              <w:rPr>
                <w:webHidden/>
              </w:rPr>
              <w:tab/>
            </w:r>
            <w:r w:rsidR="00925146">
              <w:rPr>
                <w:webHidden/>
              </w:rPr>
              <w:fldChar w:fldCharType="begin"/>
            </w:r>
            <w:r w:rsidR="00925146">
              <w:rPr>
                <w:webHidden/>
              </w:rPr>
              <w:instrText xml:space="preserve"> PAGEREF _Toc97892768 \h </w:instrText>
            </w:r>
            <w:r w:rsidR="00925146">
              <w:rPr>
                <w:webHidden/>
              </w:rPr>
            </w:r>
            <w:r w:rsidR="00925146">
              <w:rPr>
                <w:webHidden/>
              </w:rPr>
              <w:fldChar w:fldCharType="separate"/>
            </w:r>
            <w:r w:rsidR="00925146">
              <w:rPr>
                <w:webHidden/>
              </w:rPr>
              <w:t>5</w:t>
            </w:r>
            <w:r w:rsidR="00925146">
              <w:rPr>
                <w:webHidden/>
              </w:rPr>
              <w:fldChar w:fldCharType="end"/>
            </w:r>
          </w:hyperlink>
        </w:p>
        <w:p w:rsidR="00925146" w:rsidRDefault="003C3475">
          <w:pPr>
            <w:pStyle w:val="TOC3"/>
            <w:rPr>
              <w:rFonts w:asciiTheme="minorHAnsi" w:eastAsiaTheme="minorEastAsia" w:hAnsiTheme="minorHAnsi" w:cstheme="minorBidi"/>
              <w:i w:val="0"/>
              <w:sz w:val="22"/>
              <w:szCs w:val="22"/>
            </w:rPr>
          </w:pPr>
          <w:hyperlink w:anchor="_Toc97892769" w:history="1">
            <w:r w:rsidR="00925146" w:rsidRPr="00CF374B">
              <w:rPr>
                <w:rStyle w:val="Hyperlink"/>
              </w:rPr>
              <w:t>Draft joint document</w:t>
            </w:r>
            <w:r w:rsidR="00925146">
              <w:rPr>
                <w:webHidden/>
              </w:rPr>
              <w:tab/>
            </w:r>
            <w:r w:rsidR="00925146">
              <w:rPr>
                <w:webHidden/>
              </w:rPr>
              <w:fldChar w:fldCharType="begin"/>
            </w:r>
            <w:r w:rsidR="00925146">
              <w:rPr>
                <w:webHidden/>
              </w:rPr>
              <w:instrText xml:space="preserve"> PAGEREF _Toc97892769 \h </w:instrText>
            </w:r>
            <w:r w:rsidR="00925146">
              <w:rPr>
                <w:webHidden/>
              </w:rPr>
            </w:r>
            <w:r w:rsidR="00925146">
              <w:rPr>
                <w:webHidden/>
              </w:rPr>
              <w:fldChar w:fldCharType="separate"/>
            </w:r>
            <w:r w:rsidR="00925146">
              <w:rPr>
                <w:webHidden/>
              </w:rPr>
              <w:t>5</w:t>
            </w:r>
            <w:r w:rsidR="00925146">
              <w:rPr>
                <w:webHidden/>
              </w:rPr>
              <w:fldChar w:fldCharType="end"/>
            </w:r>
          </w:hyperlink>
        </w:p>
        <w:p w:rsidR="00925146" w:rsidRDefault="003C3475">
          <w:pPr>
            <w:pStyle w:val="TOC2"/>
            <w:rPr>
              <w:rFonts w:asciiTheme="minorHAnsi" w:eastAsiaTheme="minorEastAsia" w:hAnsiTheme="minorHAnsi" w:cstheme="minorBidi"/>
              <w:sz w:val="22"/>
              <w:szCs w:val="22"/>
            </w:rPr>
          </w:pPr>
          <w:hyperlink w:anchor="_Toc97892770" w:history="1">
            <w:r w:rsidR="00925146" w:rsidRPr="00CF374B">
              <w:rPr>
                <w:rStyle w:val="Hyperlink"/>
              </w:rPr>
              <w:t>Lists of possible joint initiatives with OECD and ISTA in relation to molecular techniques</w:t>
            </w:r>
            <w:r w:rsidR="00925146">
              <w:rPr>
                <w:webHidden/>
              </w:rPr>
              <w:tab/>
            </w:r>
            <w:r w:rsidR="00925146">
              <w:rPr>
                <w:webHidden/>
              </w:rPr>
              <w:fldChar w:fldCharType="begin"/>
            </w:r>
            <w:r w:rsidR="00925146">
              <w:rPr>
                <w:webHidden/>
              </w:rPr>
              <w:instrText xml:space="preserve"> PAGEREF _Toc97892770 \h </w:instrText>
            </w:r>
            <w:r w:rsidR="00925146">
              <w:rPr>
                <w:webHidden/>
              </w:rPr>
            </w:r>
            <w:r w:rsidR="00925146">
              <w:rPr>
                <w:webHidden/>
              </w:rPr>
              <w:fldChar w:fldCharType="separate"/>
            </w:r>
            <w:r w:rsidR="00925146">
              <w:rPr>
                <w:webHidden/>
              </w:rPr>
              <w:t>5</w:t>
            </w:r>
            <w:r w:rsidR="00925146">
              <w:rPr>
                <w:webHidden/>
              </w:rPr>
              <w:fldChar w:fldCharType="end"/>
            </w:r>
          </w:hyperlink>
        </w:p>
        <w:p w:rsidR="00925146" w:rsidRDefault="003C3475">
          <w:pPr>
            <w:pStyle w:val="TOC1"/>
            <w:rPr>
              <w:rFonts w:asciiTheme="minorHAnsi" w:eastAsiaTheme="minorEastAsia" w:hAnsiTheme="minorHAnsi" w:cstheme="minorBidi"/>
              <w:bCs w:val="0"/>
              <w:caps w:val="0"/>
              <w:sz w:val="22"/>
              <w:szCs w:val="22"/>
            </w:rPr>
          </w:pPr>
          <w:hyperlink w:anchor="_Toc97892771" w:history="1">
            <w:r w:rsidR="00925146" w:rsidRPr="00CF374B">
              <w:rPr>
                <w:rStyle w:val="Hyperlink"/>
              </w:rPr>
              <w:t>Developments at the twentieth session of the working group on biochemical and molecular techniques, and DNA-PROFILING in particular</w:t>
            </w:r>
            <w:r w:rsidR="00925146">
              <w:rPr>
                <w:webHidden/>
              </w:rPr>
              <w:tab/>
            </w:r>
            <w:r w:rsidR="00925146">
              <w:rPr>
                <w:webHidden/>
              </w:rPr>
              <w:fldChar w:fldCharType="begin"/>
            </w:r>
            <w:r w:rsidR="00925146">
              <w:rPr>
                <w:webHidden/>
              </w:rPr>
              <w:instrText xml:space="preserve"> PAGEREF _Toc97892771 \h </w:instrText>
            </w:r>
            <w:r w:rsidR="00925146">
              <w:rPr>
                <w:webHidden/>
              </w:rPr>
            </w:r>
            <w:r w:rsidR="00925146">
              <w:rPr>
                <w:webHidden/>
              </w:rPr>
              <w:fldChar w:fldCharType="separate"/>
            </w:r>
            <w:r w:rsidR="00925146">
              <w:rPr>
                <w:webHidden/>
              </w:rPr>
              <w:t>6</w:t>
            </w:r>
            <w:r w:rsidR="00925146">
              <w:rPr>
                <w:webHidden/>
              </w:rPr>
              <w:fldChar w:fldCharType="end"/>
            </w:r>
          </w:hyperlink>
        </w:p>
        <w:p w:rsidR="00925146" w:rsidRDefault="003C3475">
          <w:pPr>
            <w:pStyle w:val="TOC2"/>
            <w:rPr>
              <w:rFonts w:asciiTheme="minorHAnsi" w:eastAsiaTheme="minorEastAsia" w:hAnsiTheme="minorHAnsi" w:cstheme="minorBidi"/>
              <w:sz w:val="22"/>
              <w:szCs w:val="22"/>
            </w:rPr>
          </w:pPr>
          <w:hyperlink w:anchor="_Toc97892772" w:history="1">
            <w:r w:rsidR="00925146" w:rsidRPr="00CF374B">
              <w:rPr>
                <w:rStyle w:val="Hyperlink"/>
              </w:rPr>
              <w:t>Papers presented</w:t>
            </w:r>
            <w:r w:rsidR="00925146">
              <w:rPr>
                <w:webHidden/>
              </w:rPr>
              <w:tab/>
            </w:r>
            <w:r w:rsidR="00925146">
              <w:rPr>
                <w:webHidden/>
              </w:rPr>
              <w:fldChar w:fldCharType="begin"/>
            </w:r>
            <w:r w:rsidR="00925146">
              <w:rPr>
                <w:webHidden/>
              </w:rPr>
              <w:instrText xml:space="preserve"> PAGEREF _Toc97892772 \h </w:instrText>
            </w:r>
            <w:r w:rsidR="00925146">
              <w:rPr>
                <w:webHidden/>
              </w:rPr>
            </w:r>
            <w:r w:rsidR="00925146">
              <w:rPr>
                <w:webHidden/>
              </w:rPr>
              <w:fldChar w:fldCharType="separate"/>
            </w:r>
            <w:r w:rsidR="00925146">
              <w:rPr>
                <w:webHidden/>
              </w:rPr>
              <w:t>6</w:t>
            </w:r>
            <w:r w:rsidR="00925146">
              <w:rPr>
                <w:webHidden/>
              </w:rPr>
              <w:fldChar w:fldCharType="end"/>
            </w:r>
          </w:hyperlink>
        </w:p>
        <w:p w:rsidR="00925146" w:rsidRDefault="003C3475">
          <w:pPr>
            <w:pStyle w:val="TOC2"/>
            <w:rPr>
              <w:rFonts w:asciiTheme="minorHAnsi" w:eastAsiaTheme="minorEastAsia" w:hAnsiTheme="minorHAnsi" w:cstheme="minorBidi"/>
              <w:sz w:val="22"/>
              <w:szCs w:val="22"/>
            </w:rPr>
          </w:pPr>
          <w:hyperlink w:anchor="_Toc97892773" w:history="1">
            <w:r w:rsidR="00925146" w:rsidRPr="00CF374B">
              <w:rPr>
                <w:rStyle w:val="Hyperlink"/>
              </w:rPr>
              <w:t>Future program</w:t>
            </w:r>
            <w:r w:rsidR="00925146">
              <w:rPr>
                <w:webHidden/>
              </w:rPr>
              <w:tab/>
            </w:r>
            <w:r w:rsidR="00925146">
              <w:rPr>
                <w:webHidden/>
              </w:rPr>
              <w:fldChar w:fldCharType="begin"/>
            </w:r>
            <w:r w:rsidR="00925146">
              <w:rPr>
                <w:webHidden/>
              </w:rPr>
              <w:instrText xml:space="preserve"> PAGEREF _Toc97892773 \h </w:instrText>
            </w:r>
            <w:r w:rsidR="00925146">
              <w:rPr>
                <w:webHidden/>
              </w:rPr>
            </w:r>
            <w:r w:rsidR="00925146">
              <w:rPr>
                <w:webHidden/>
              </w:rPr>
              <w:fldChar w:fldCharType="separate"/>
            </w:r>
            <w:r w:rsidR="00925146">
              <w:rPr>
                <w:webHidden/>
              </w:rPr>
              <w:t>7</w:t>
            </w:r>
            <w:r w:rsidR="00925146">
              <w:rPr>
                <w:webHidden/>
              </w:rPr>
              <w:fldChar w:fldCharType="end"/>
            </w:r>
          </w:hyperlink>
        </w:p>
        <w:p w:rsidR="00925146" w:rsidRDefault="003C3475">
          <w:pPr>
            <w:pStyle w:val="TOC1"/>
            <w:rPr>
              <w:rFonts w:asciiTheme="minorHAnsi" w:eastAsiaTheme="minorEastAsia" w:hAnsiTheme="minorHAnsi" w:cstheme="minorBidi"/>
              <w:bCs w:val="0"/>
              <w:caps w:val="0"/>
              <w:sz w:val="22"/>
              <w:szCs w:val="22"/>
            </w:rPr>
          </w:pPr>
          <w:hyperlink w:anchor="_Toc97892774" w:history="1">
            <w:r w:rsidR="00925146" w:rsidRPr="00CF374B">
              <w:rPr>
                <w:rStyle w:val="Hyperlink"/>
              </w:rPr>
              <w:t>Confidentiality &amp; Ownership of Molecular Information</w:t>
            </w:r>
            <w:r w:rsidR="00925146">
              <w:rPr>
                <w:webHidden/>
              </w:rPr>
              <w:tab/>
            </w:r>
            <w:r w:rsidR="00925146">
              <w:rPr>
                <w:webHidden/>
              </w:rPr>
              <w:fldChar w:fldCharType="begin"/>
            </w:r>
            <w:r w:rsidR="00925146">
              <w:rPr>
                <w:webHidden/>
              </w:rPr>
              <w:instrText xml:space="preserve"> PAGEREF _Toc97892774 \h </w:instrText>
            </w:r>
            <w:r w:rsidR="00925146">
              <w:rPr>
                <w:webHidden/>
              </w:rPr>
            </w:r>
            <w:r w:rsidR="00925146">
              <w:rPr>
                <w:webHidden/>
              </w:rPr>
              <w:fldChar w:fldCharType="separate"/>
            </w:r>
            <w:r w:rsidR="00925146">
              <w:rPr>
                <w:webHidden/>
              </w:rPr>
              <w:t>8</w:t>
            </w:r>
            <w:r w:rsidR="00925146">
              <w:rPr>
                <w:webHidden/>
              </w:rPr>
              <w:fldChar w:fldCharType="end"/>
            </w:r>
          </w:hyperlink>
        </w:p>
        <w:p w:rsidR="00925146" w:rsidRDefault="003C3475">
          <w:pPr>
            <w:pStyle w:val="TOC1"/>
            <w:rPr>
              <w:rFonts w:asciiTheme="minorHAnsi" w:eastAsiaTheme="minorEastAsia" w:hAnsiTheme="minorHAnsi" w:cstheme="minorBidi"/>
              <w:bCs w:val="0"/>
              <w:caps w:val="0"/>
              <w:sz w:val="22"/>
              <w:szCs w:val="22"/>
            </w:rPr>
          </w:pPr>
          <w:hyperlink w:anchor="_Toc97892775" w:history="1">
            <w:r w:rsidR="00925146" w:rsidRPr="00CF374B">
              <w:rPr>
                <w:rStyle w:val="Hyperlink"/>
              </w:rPr>
              <w:t>Review of document UPOV/INF/17 “Guidelines for DNA-Profiling: Molecular Marker Selection and Database Construction (‘BMT Guidelines’)”</w:t>
            </w:r>
            <w:r w:rsidR="00925146">
              <w:rPr>
                <w:webHidden/>
              </w:rPr>
              <w:tab/>
            </w:r>
            <w:r w:rsidR="00925146">
              <w:rPr>
                <w:webHidden/>
              </w:rPr>
              <w:fldChar w:fldCharType="begin"/>
            </w:r>
            <w:r w:rsidR="00925146">
              <w:rPr>
                <w:webHidden/>
              </w:rPr>
              <w:instrText xml:space="preserve"> PAGEREF _Toc97892775 \h </w:instrText>
            </w:r>
            <w:r w:rsidR="00925146">
              <w:rPr>
                <w:webHidden/>
              </w:rPr>
            </w:r>
            <w:r w:rsidR="00925146">
              <w:rPr>
                <w:webHidden/>
              </w:rPr>
              <w:fldChar w:fldCharType="separate"/>
            </w:r>
            <w:r w:rsidR="00925146">
              <w:rPr>
                <w:webHidden/>
              </w:rPr>
              <w:t>9</w:t>
            </w:r>
            <w:r w:rsidR="00925146">
              <w:rPr>
                <w:webHidden/>
              </w:rPr>
              <w:fldChar w:fldCharType="end"/>
            </w:r>
          </w:hyperlink>
        </w:p>
        <w:p w:rsidR="0064047F" w:rsidRPr="0064047F" w:rsidRDefault="0064047F" w:rsidP="0064047F">
          <w:pPr>
            <w:tabs>
              <w:tab w:val="center" w:pos="4479"/>
            </w:tabs>
            <w:spacing w:before="120"/>
            <w:ind w:right="851"/>
            <w:contextualSpacing/>
            <w:jc w:val="left"/>
            <w:rPr>
              <w:b/>
              <w:bCs/>
              <w:smallCaps/>
              <w:noProof/>
              <w:sz w:val="18"/>
              <w:szCs w:val="18"/>
            </w:rPr>
          </w:pPr>
          <w:r w:rsidRPr="0064047F">
            <w:rPr>
              <w:b/>
              <w:bCs/>
              <w:smallCaps/>
              <w:noProof/>
              <w:sz w:val="18"/>
              <w:szCs w:val="18"/>
            </w:rPr>
            <w:fldChar w:fldCharType="end"/>
          </w:r>
        </w:p>
      </w:sdtContent>
    </w:sdt>
    <w:bookmarkStart w:id="2" w:name="_Toc460313637" w:displacedByCustomXml="prev"/>
    <w:bookmarkStart w:id="3" w:name="_Toc410822402" w:displacedByCustomXml="prev"/>
    <w:bookmarkStart w:id="4" w:name="_Toc410822806" w:displacedByCustomXml="prev"/>
    <w:bookmarkStart w:id="5" w:name="_Toc410823313" w:displacedByCustomXml="prev"/>
    <w:bookmarkStart w:id="6" w:name="_Toc410899581" w:displacedByCustomXml="prev"/>
    <w:p w:rsidR="0064047F" w:rsidRPr="0064047F" w:rsidRDefault="0064047F" w:rsidP="0064047F">
      <w:pPr>
        <w:spacing w:before="60" w:after="120"/>
        <w:ind w:left="1134" w:hanging="1134"/>
        <w:rPr>
          <w:snapToGrid w:val="0"/>
          <w:sz w:val="18"/>
          <w:szCs w:val="18"/>
          <w:lang w:eastAsia="ja-JP"/>
        </w:rPr>
      </w:pPr>
      <w:r w:rsidRPr="0064047F">
        <w:rPr>
          <w:snapToGrid w:val="0"/>
          <w:sz w:val="18"/>
          <w:szCs w:val="18"/>
          <w:lang w:eastAsia="ja-JP"/>
        </w:rPr>
        <w:t>ANNEX</w:t>
      </w:r>
      <w:r w:rsidRPr="0064047F">
        <w:rPr>
          <w:snapToGrid w:val="0"/>
          <w:sz w:val="18"/>
          <w:szCs w:val="18"/>
          <w:lang w:eastAsia="ja-JP"/>
        </w:rPr>
        <w:tab/>
        <w:t>ELEMENTS FOR DRAFT JOINT DOCUMENT EXPLAINING THE PRINCIPAL FEATURES OF THE SYSTEMS OF THE OECD, UPOV AND ISTA</w:t>
      </w:r>
    </w:p>
    <w:p w:rsidR="00310A60" w:rsidRPr="00FA4478" w:rsidRDefault="00310A60" w:rsidP="00310A60"/>
    <w:p w:rsidR="00310A60" w:rsidRPr="00FA4478" w:rsidRDefault="00310A60" w:rsidP="00310A60">
      <w:pPr>
        <w:pStyle w:val="Heading1"/>
      </w:pPr>
      <w:bookmarkStart w:id="7" w:name="_Toc69722870"/>
      <w:bookmarkStart w:id="8" w:name="_Toc84364034"/>
      <w:bookmarkStart w:id="9" w:name="_Toc84415958"/>
      <w:bookmarkStart w:id="10" w:name="_Toc97892761"/>
      <w:r w:rsidRPr="00BC1923">
        <w:rPr>
          <w:snapToGrid w:val="0"/>
        </w:rPr>
        <w:t>Session to facilitate cooperation in relation to the use of molecular techniques</w:t>
      </w:r>
      <w:bookmarkEnd w:id="7"/>
      <w:bookmarkEnd w:id="8"/>
      <w:bookmarkEnd w:id="9"/>
      <w:bookmarkEnd w:id="10"/>
    </w:p>
    <w:p w:rsidR="00310A60" w:rsidRDefault="00310A60" w:rsidP="00310A60">
      <w:pPr>
        <w:keepNext/>
      </w:pPr>
    </w:p>
    <w:p w:rsidR="00310A60" w:rsidRDefault="00310A60" w:rsidP="00310A60">
      <w:pPr>
        <w:keepNext/>
      </w:pPr>
      <w:r>
        <w:fldChar w:fldCharType="begin"/>
      </w:r>
      <w:r>
        <w:instrText xml:space="preserve"> AUTONUM  </w:instrText>
      </w:r>
      <w:r>
        <w:fldChar w:fldCharType="end"/>
      </w:r>
      <w:r>
        <w:tab/>
        <w:t>The TC, at its fifty-fourth session</w:t>
      </w:r>
      <w:r w:rsidR="00A5329B">
        <w:rPr>
          <w:rStyle w:val="FootnoteReference"/>
        </w:rPr>
        <w:footnoteReference w:id="2"/>
      </w:r>
      <w:r>
        <w:t xml:space="preserve">, agreed that discussion groups </w:t>
      </w:r>
      <w:proofErr w:type="gramStart"/>
      <w:r>
        <w:t>should be formed</w:t>
      </w:r>
      <w:proofErr w:type="gramEnd"/>
      <w:r>
        <w:t xml:space="preserve"> for the main crops at each TWP to allow participants to exchange information on their work and explore areas for cooperation (see document TC/54/31 “Report”, paragraph 281).</w:t>
      </w:r>
    </w:p>
    <w:p w:rsidR="00310A60" w:rsidRDefault="00310A60" w:rsidP="00310A60">
      <w:pPr>
        <w:keepNext/>
      </w:pPr>
    </w:p>
    <w:p w:rsidR="00310A60" w:rsidRDefault="00310A60" w:rsidP="00310A60">
      <w:pPr>
        <w:pStyle w:val="Heading2"/>
      </w:pPr>
      <w:bookmarkStart w:id="11" w:name="_Toc84415959"/>
      <w:bookmarkStart w:id="12" w:name="_Toc97892762"/>
      <w:r>
        <w:t>Technical Working Parties (TWPs)</w:t>
      </w:r>
      <w:bookmarkEnd w:id="11"/>
      <w:bookmarkEnd w:id="12"/>
    </w:p>
    <w:p w:rsidR="00310A60" w:rsidRPr="00FA4478" w:rsidRDefault="00310A60" w:rsidP="00310A60">
      <w:pPr>
        <w:keepNext/>
      </w:pPr>
    </w:p>
    <w:p w:rsidR="00310A60" w:rsidRPr="00FA4478" w:rsidRDefault="00310A60" w:rsidP="00310A60">
      <w:r w:rsidRPr="00FA4478">
        <w:fldChar w:fldCharType="begin"/>
      </w:r>
      <w:r w:rsidRPr="00FA4478">
        <w:instrText xml:space="preserve"> AUTONUM  </w:instrText>
      </w:r>
      <w:r w:rsidRPr="00FA4478">
        <w:fldChar w:fldCharType="end"/>
      </w:r>
      <w:r w:rsidRPr="00FA4478">
        <w:tab/>
      </w:r>
      <w:proofErr w:type="gramStart"/>
      <w:r w:rsidRPr="00FA4478">
        <w:t>The TWPs</w:t>
      </w:r>
      <w:r>
        <w:t>, at their sessions in 2021,</w:t>
      </w:r>
      <w:r w:rsidRPr="00FA4478">
        <w:t xml:space="preserve"> noted the information provided by participants at the nineteenth session of the BMT on their work on biochemical and molecular techniques and areas for cooperation, as reproduced in Annex I to document TWP/5/7</w:t>
      </w:r>
      <w:r>
        <w:t xml:space="preserve"> </w:t>
      </w:r>
      <w:r w:rsidRPr="00FA4478">
        <w:t>see documents TWV/55/16 “Report”, paragraphs </w:t>
      </w:r>
      <w:r>
        <w:t>48 and 49</w:t>
      </w:r>
      <w:r w:rsidRPr="00FA4478">
        <w:t>; TWO/53/10 “Report”, paragraph</w:t>
      </w:r>
      <w:r>
        <w:t xml:space="preserve"> 57</w:t>
      </w:r>
      <w:r w:rsidRPr="00FA4478">
        <w:t>; TWA/50/9 “Report”, paragraphs 8</w:t>
      </w:r>
      <w:r>
        <w:t>5</w:t>
      </w:r>
      <w:r w:rsidRPr="00FA4478">
        <w:t xml:space="preserve"> </w:t>
      </w:r>
      <w:r>
        <w:t>and 86</w:t>
      </w:r>
      <w:r w:rsidRPr="00FA4478">
        <w:t xml:space="preserve">; TWF/52/10 “Report”, paragraphs </w:t>
      </w:r>
      <w:r>
        <w:t>10 and 11</w:t>
      </w:r>
      <w:r w:rsidRPr="00FA4478">
        <w:t>; and TWC/39/9 “Report”, paragraph</w:t>
      </w:r>
      <w:r>
        <w:t xml:space="preserve"> 70</w:t>
      </w:r>
      <w:r w:rsidRPr="00FA4478">
        <w:t>).</w:t>
      </w:r>
      <w:proofErr w:type="gramEnd"/>
    </w:p>
    <w:p w:rsidR="00310A60" w:rsidRPr="00FA4478" w:rsidRDefault="00310A60" w:rsidP="00310A60"/>
    <w:p w:rsidR="00310A60" w:rsidRPr="00FC712E" w:rsidRDefault="00310A60" w:rsidP="00310A60">
      <w:r w:rsidRPr="00FC712E">
        <w:fldChar w:fldCharType="begin"/>
      </w:r>
      <w:r w:rsidRPr="00FC712E">
        <w:instrText xml:space="preserve"> AUTONUM  </w:instrText>
      </w:r>
      <w:r w:rsidRPr="00FC712E">
        <w:fldChar w:fldCharType="end"/>
      </w:r>
      <w:r w:rsidRPr="00FC712E">
        <w:tab/>
        <w:t xml:space="preserve">The </w:t>
      </w:r>
      <w:r w:rsidR="00A5329B" w:rsidRPr="00FA4478">
        <w:t>TWV</w:t>
      </w:r>
      <w:r w:rsidRPr="00FC712E">
        <w:t>, at its fifty-fifth session</w:t>
      </w:r>
      <w:r w:rsidR="00A5329B" w:rsidRPr="00FA4478">
        <w:rPr>
          <w:vertAlign w:val="superscript"/>
        </w:rPr>
        <w:footnoteReference w:id="3"/>
      </w:r>
      <w:r w:rsidRPr="00FC712E">
        <w:t xml:space="preserve">, formed a discussion group to allow participants to exchange information on their work on biochemical and molecular techniques and explore areas for cooperation.  Tomato, lettuce and pepper </w:t>
      </w:r>
      <w:proofErr w:type="gramStart"/>
      <w:r w:rsidRPr="00FC712E">
        <w:t>were discussed</w:t>
      </w:r>
      <w:proofErr w:type="gramEnd"/>
      <w:r w:rsidRPr="00FC712E">
        <w:t xml:space="preserve"> during the discussion group.</w:t>
      </w:r>
    </w:p>
    <w:p w:rsidR="00310A60" w:rsidRPr="00FC712E" w:rsidRDefault="00310A60" w:rsidP="00310A60"/>
    <w:p w:rsidR="00310A60" w:rsidRPr="00FA4478" w:rsidRDefault="00310A60" w:rsidP="00310A60">
      <w:r w:rsidRPr="00FC712E">
        <w:fldChar w:fldCharType="begin"/>
      </w:r>
      <w:r w:rsidRPr="00FC712E">
        <w:instrText xml:space="preserve"> AUTONUM  </w:instrText>
      </w:r>
      <w:r w:rsidRPr="00FC712E">
        <w:fldChar w:fldCharType="end"/>
      </w:r>
      <w:r w:rsidRPr="00FC712E">
        <w:tab/>
        <w:t>The TWA, at its fiftieth session</w:t>
      </w:r>
      <w:r w:rsidR="007C0514" w:rsidRPr="00FA4478">
        <w:rPr>
          <w:vertAlign w:val="superscript"/>
        </w:rPr>
        <w:footnoteReference w:id="4"/>
      </w:r>
      <w:r w:rsidRPr="00FC712E">
        <w:t xml:space="preserve">, held a discussion session to allow participants to exchange information on their work on biochemical and molecular techniques and explore possible areas for cooperation for Soybeans, Potato, Oilseed Rape, Hemp, </w:t>
      </w:r>
      <w:proofErr w:type="spellStart"/>
      <w:r w:rsidRPr="00FC712E">
        <w:t>Faba</w:t>
      </w:r>
      <w:proofErr w:type="spellEnd"/>
      <w:r w:rsidRPr="00FC712E">
        <w:t xml:space="preserve"> Bean and Wheat.  The TWA agreed to invite presentations to</w:t>
      </w:r>
      <w:r w:rsidRPr="00FA4478">
        <w:t xml:space="preserve"> </w:t>
      </w:r>
      <w:proofErr w:type="gramStart"/>
      <w:r w:rsidRPr="00FA4478">
        <w:t>be made</w:t>
      </w:r>
      <w:proofErr w:type="gramEnd"/>
      <w:r w:rsidRPr="00FA4478">
        <w:t xml:space="preserve"> at its fifty-first session, to be held in 2022, on biochemical and molecular techniques in the different crops discussed.</w:t>
      </w:r>
    </w:p>
    <w:p w:rsidR="00310A60" w:rsidRPr="00FA4478" w:rsidRDefault="00310A60" w:rsidP="00310A60"/>
    <w:p w:rsidR="00310A60" w:rsidRPr="00FA4478" w:rsidRDefault="00310A60" w:rsidP="00310A60">
      <w:r w:rsidRPr="00FA4478">
        <w:fldChar w:fldCharType="begin"/>
      </w:r>
      <w:r w:rsidRPr="00FA4478">
        <w:instrText xml:space="preserve"> AUTONUM  </w:instrText>
      </w:r>
      <w:r w:rsidRPr="00FA4478">
        <w:fldChar w:fldCharType="end"/>
      </w:r>
      <w:r w:rsidRPr="00FA4478">
        <w:tab/>
      </w:r>
      <w:r w:rsidRPr="00FC712E">
        <w:t>The TWF</w:t>
      </w:r>
      <w:r w:rsidR="007C0514" w:rsidRPr="00FA4478">
        <w:rPr>
          <w:vertAlign w:val="superscript"/>
        </w:rPr>
        <w:footnoteReference w:id="5"/>
      </w:r>
      <w:r w:rsidRPr="00FC712E">
        <w:t>, at its fifty-third session, held a discussion session to allow participants to exchange information on their work on biochemical and molecular techniques and explore areas for cooperation for Apple, Strawberry and Peach. The TWF agreed</w:t>
      </w:r>
      <w:r w:rsidRPr="00FA4478">
        <w:t xml:space="preserve"> to invite the experts from the European Union and France to make presentations on the use of molecular techniques in DUS examination of apple varieties, at its fifty</w:t>
      </w:r>
      <w:r w:rsidRPr="00FA4478">
        <w:noBreakHyphen/>
        <w:t>third session.</w:t>
      </w:r>
    </w:p>
    <w:p w:rsidR="00310A60" w:rsidRDefault="00310A60" w:rsidP="00310A60"/>
    <w:p w:rsidR="00310A60" w:rsidRDefault="00310A60" w:rsidP="00310A60"/>
    <w:p w:rsidR="00310A60" w:rsidRDefault="00310A60" w:rsidP="00310A60">
      <w:pPr>
        <w:pStyle w:val="Heading2"/>
      </w:pPr>
      <w:bookmarkStart w:id="13" w:name="_Toc84415960"/>
      <w:bookmarkStart w:id="14" w:name="_Toc97892763"/>
      <w:r w:rsidRPr="003E7D87">
        <w:t>Working Group on Biochemical and Molecular Techniques, and DNA-Profiling in Particular</w:t>
      </w:r>
      <w:r>
        <w:t xml:space="preserve"> (BMT)</w:t>
      </w:r>
      <w:bookmarkEnd w:id="13"/>
      <w:bookmarkEnd w:id="14"/>
    </w:p>
    <w:p w:rsidR="00310A60" w:rsidRPr="00FA4478" w:rsidRDefault="00310A60" w:rsidP="00310A60"/>
    <w:p w:rsidR="00310A60" w:rsidRPr="00A17C89" w:rsidRDefault="00310A60" w:rsidP="00310A60">
      <w:r w:rsidRPr="00A17C89">
        <w:fldChar w:fldCharType="begin"/>
      </w:r>
      <w:r w:rsidRPr="00A17C89">
        <w:instrText xml:space="preserve"> AUTONUM  </w:instrText>
      </w:r>
      <w:r w:rsidRPr="00A17C89">
        <w:fldChar w:fldCharType="end"/>
      </w:r>
      <w:r w:rsidRPr="00A17C89">
        <w:tab/>
        <w:t>The BMT</w:t>
      </w:r>
      <w:r>
        <w:t>, at its twentieth session</w:t>
      </w:r>
      <w:r w:rsidR="007C0514">
        <w:rPr>
          <w:rStyle w:val="FootnoteReference"/>
        </w:rPr>
        <w:footnoteReference w:id="6"/>
      </w:r>
      <w:r>
        <w:t>,</w:t>
      </w:r>
      <w:r w:rsidRPr="00A17C89">
        <w:t xml:space="preserve"> considered document BMT/20/6</w:t>
      </w:r>
      <w:r>
        <w:t xml:space="preserve"> “Session to facilitate cooperation” (see document BMT/20/12 “Report”, paragraphs 28 to 35)</w:t>
      </w:r>
      <w:r w:rsidRPr="00A17C89">
        <w:t>.</w:t>
      </w:r>
    </w:p>
    <w:p w:rsidR="00310A60" w:rsidRPr="00A17C89" w:rsidRDefault="00310A60" w:rsidP="00310A60"/>
    <w:p w:rsidR="00310A60" w:rsidRPr="00A17C89" w:rsidRDefault="00310A60" w:rsidP="00310A60">
      <w:r w:rsidRPr="00A17C89">
        <w:fldChar w:fldCharType="begin"/>
      </w:r>
      <w:r w:rsidRPr="00A17C89">
        <w:instrText xml:space="preserve"> AUTONUM  </w:instrText>
      </w:r>
      <w:r w:rsidRPr="00A17C89">
        <w:fldChar w:fldCharType="end"/>
      </w:r>
      <w:r w:rsidRPr="00A17C89">
        <w:tab/>
        <w:t xml:space="preserve">The BMT </w:t>
      </w:r>
      <w:r w:rsidRPr="00FC712E">
        <w:t>recalled</w:t>
      </w:r>
      <w:r w:rsidRPr="00A17C89">
        <w:t xml:space="preserve"> the information provided by participants at the nineteenth session of the BMT on their work on biochemical and molecular techniques and areas for cooperation, as reproduced in the Annex to document BMT/20/6.</w:t>
      </w:r>
    </w:p>
    <w:p w:rsidR="00310A60" w:rsidRPr="00A17C89" w:rsidRDefault="00310A60" w:rsidP="00310A60"/>
    <w:p w:rsidR="00310A60" w:rsidRPr="00FC712E" w:rsidRDefault="00310A60" w:rsidP="00310A60">
      <w:r w:rsidRPr="00A17C89">
        <w:fldChar w:fldCharType="begin"/>
      </w:r>
      <w:r w:rsidRPr="00A17C89">
        <w:instrText xml:space="preserve"> AUTONUM  </w:instrText>
      </w:r>
      <w:r w:rsidRPr="00A17C89">
        <w:fldChar w:fldCharType="end"/>
      </w:r>
      <w:r w:rsidRPr="00A17C89">
        <w:tab/>
      </w:r>
      <w:r w:rsidRPr="00FC712E">
        <w:t xml:space="preserve">The BMT noted the information on the discussion groups that </w:t>
      </w:r>
      <w:proofErr w:type="gramStart"/>
      <w:r w:rsidRPr="00FC712E">
        <w:t>had been formed</w:t>
      </w:r>
      <w:proofErr w:type="gramEnd"/>
      <w:r w:rsidRPr="00FC712E">
        <w:t xml:space="preserve"> at the Technical Working Parties, at their sessions in 2021, to allow participants to exchange information on their work on biochemical and molecular techniques and explore areas for cooperation.</w:t>
      </w:r>
    </w:p>
    <w:p w:rsidR="00310A60" w:rsidRPr="00FC712E" w:rsidRDefault="00310A60" w:rsidP="00310A60"/>
    <w:p w:rsidR="00310A60" w:rsidRPr="00FC712E" w:rsidRDefault="00310A60" w:rsidP="00310A60">
      <w:r w:rsidRPr="00FC712E">
        <w:fldChar w:fldCharType="begin"/>
      </w:r>
      <w:r w:rsidRPr="00FC712E">
        <w:instrText xml:space="preserve"> AUTONUM  </w:instrText>
      </w:r>
      <w:r w:rsidRPr="00FC712E">
        <w:fldChar w:fldCharType="end"/>
      </w:r>
      <w:r w:rsidRPr="00FC712E">
        <w:tab/>
      </w:r>
      <w:r>
        <w:t>The</w:t>
      </w:r>
      <w:r w:rsidRPr="00FC712E">
        <w:t xml:space="preserve"> BMT held a discussion session to allow participants to exchange information on their work on biochemical and molecular techniques and explore possible areas for cooperation.  </w:t>
      </w:r>
    </w:p>
    <w:p w:rsidR="00310A60" w:rsidRPr="00FC712E" w:rsidRDefault="00310A60" w:rsidP="00310A60"/>
    <w:p w:rsidR="00310A60" w:rsidRPr="00FC712E" w:rsidRDefault="00310A60" w:rsidP="00310A60">
      <w:r w:rsidRPr="00FC712E">
        <w:fldChar w:fldCharType="begin"/>
      </w:r>
      <w:r w:rsidRPr="00FC712E">
        <w:instrText xml:space="preserve"> AUTONUM  </w:instrText>
      </w:r>
      <w:r w:rsidRPr="00FC712E">
        <w:fldChar w:fldCharType="end"/>
      </w:r>
      <w:r w:rsidRPr="00FC712E">
        <w:tab/>
        <w:t>The BMT considered whether UPOV could support harmonization and cooperation between members already using molecular markers in DUS examination or making information or BMT services available to other UPOV members.</w:t>
      </w:r>
    </w:p>
    <w:p w:rsidR="00310A60" w:rsidRPr="00FC712E" w:rsidRDefault="00310A60" w:rsidP="00310A60"/>
    <w:p w:rsidR="00310A60" w:rsidRPr="00274192" w:rsidRDefault="00310A60" w:rsidP="00310A60">
      <w:r w:rsidRPr="00FC712E">
        <w:fldChar w:fldCharType="begin"/>
      </w:r>
      <w:r w:rsidRPr="00FC712E">
        <w:instrText xml:space="preserve"> AUTONUM  </w:instrText>
      </w:r>
      <w:r w:rsidRPr="00FC712E">
        <w:fldChar w:fldCharType="end"/>
      </w:r>
      <w:r w:rsidRPr="00FC712E">
        <w:tab/>
        <w:t xml:space="preserve">The BMT agreed that </w:t>
      </w:r>
      <w:r w:rsidRPr="00274192">
        <w:t xml:space="preserve">information on the use of molecular markers by crop was important to promote cooperation between UPOV members and agreed to propose that the survey on the use of molecular markers </w:t>
      </w:r>
      <w:proofErr w:type="gramStart"/>
      <w:r w:rsidRPr="00274192">
        <w:t>was continued</w:t>
      </w:r>
      <w:proofErr w:type="gramEnd"/>
      <w:r w:rsidRPr="00274192">
        <w:t xml:space="preserve"> to obtain information from a greater number of UPOV members. </w:t>
      </w:r>
    </w:p>
    <w:p w:rsidR="00310A60" w:rsidRPr="00274192" w:rsidRDefault="00310A60" w:rsidP="00310A60"/>
    <w:p w:rsidR="00310A60" w:rsidRPr="00FC712E" w:rsidRDefault="00310A60" w:rsidP="00310A60">
      <w:r w:rsidRPr="00274192">
        <w:fldChar w:fldCharType="begin"/>
      </w:r>
      <w:r w:rsidRPr="00274192">
        <w:instrText xml:space="preserve"> AUTONUM  </w:instrText>
      </w:r>
      <w:r w:rsidRPr="00274192">
        <w:fldChar w:fldCharType="end"/>
      </w:r>
      <w:r w:rsidRPr="00274192">
        <w:tab/>
        <w:t>The BMT agreed that it would be us</w:t>
      </w:r>
      <w:r w:rsidRPr="00FC712E">
        <w:t xml:space="preserve">eful to confirm the reasons for not responding to the first survey.  </w:t>
      </w:r>
    </w:p>
    <w:p w:rsidR="00310A60" w:rsidRPr="00FC712E" w:rsidRDefault="00310A60" w:rsidP="00310A60"/>
    <w:p w:rsidR="00310A60" w:rsidRDefault="00310A60" w:rsidP="00310A60">
      <w:r w:rsidRPr="00FC712E">
        <w:fldChar w:fldCharType="begin"/>
      </w:r>
      <w:r w:rsidRPr="00FC712E">
        <w:instrText xml:space="preserve"> AUTONUM  </w:instrText>
      </w:r>
      <w:r w:rsidRPr="00FC712E">
        <w:fldChar w:fldCharType="end"/>
      </w:r>
      <w:r w:rsidRPr="00FC712E">
        <w:tab/>
        <w:t>The BMT agreed that</w:t>
      </w:r>
      <w:r>
        <w:t xml:space="preserve"> the possibility to form discussion groups during the sessions </w:t>
      </w:r>
      <w:proofErr w:type="gramStart"/>
      <w:r>
        <w:t>should be maintained</w:t>
      </w:r>
      <w:proofErr w:type="gramEnd"/>
      <w:r>
        <w:t>.</w:t>
      </w:r>
    </w:p>
    <w:p w:rsidR="00310A60" w:rsidRDefault="00310A60" w:rsidP="00310A60">
      <w:pPr>
        <w:rPr>
          <w:lang w:eastAsia="ja-JP"/>
        </w:rPr>
      </w:pPr>
    </w:p>
    <w:p w:rsidR="00310A60" w:rsidRPr="002F2D51" w:rsidRDefault="00310A60" w:rsidP="005600DB">
      <w:pPr>
        <w:keepNext/>
        <w:keepLines/>
        <w:tabs>
          <w:tab w:val="left" w:pos="5387"/>
        </w:tabs>
        <w:ind w:left="4820" w:hanging="50"/>
        <w:rPr>
          <w:i/>
        </w:rPr>
      </w:pPr>
      <w:r w:rsidRPr="005D0BEA">
        <w:rPr>
          <w:i/>
        </w:rPr>
        <w:fldChar w:fldCharType="begin"/>
      </w:r>
      <w:r w:rsidRPr="005D0BEA">
        <w:rPr>
          <w:i/>
        </w:rPr>
        <w:instrText xml:space="preserve"> AUTONUM  </w:instrText>
      </w:r>
      <w:r w:rsidRPr="005D0BEA">
        <w:rPr>
          <w:i/>
        </w:rPr>
        <w:fldChar w:fldCharType="end"/>
      </w:r>
      <w:r w:rsidRPr="005D0BEA">
        <w:rPr>
          <w:i/>
        </w:rPr>
        <w:tab/>
        <w:t xml:space="preserve">The </w:t>
      </w:r>
      <w:r>
        <w:rPr>
          <w:i/>
        </w:rPr>
        <w:t xml:space="preserve">TWPs </w:t>
      </w:r>
      <w:proofErr w:type="gramStart"/>
      <w:r>
        <w:rPr>
          <w:i/>
        </w:rPr>
        <w:t>are</w:t>
      </w:r>
      <w:r w:rsidRPr="005D0BEA">
        <w:rPr>
          <w:i/>
        </w:rPr>
        <w:t xml:space="preserve"> invited</w:t>
      </w:r>
      <w:proofErr w:type="gramEnd"/>
      <w:r w:rsidRPr="005D0BEA">
        <w:rPr>
          <w:i/>
        </w:rPr>
        <w:t xml:space="preserve"> to</w:t>
      </w:r>
      <w:r>
        <w:rPr>
          <w:i/>
        </w:rPr>
        <w:t xml:space="preserve"> form</w:t>
      </w:r>
      <w:r w:rsidRPr="004379C0">
        <w:t xml:space="preserve"> </w:t>
      </w:r>
      <w:r w:rsidRPr="004379C0">
        <w:rPr>
          <w:i/>
        </w:rPr>
        <w:t>discussion groups for the main crops at each TWP to allow participants to exchange information on their work and explore areas for cooperation</w:t>
      </w:r>
      <w:r>
        <w:rPr>
          <w:i/>
        </w:rPr>
        <w:t xml:space="preserve"> on the use of biochemical and molecular techniques in DUS examination.</w:t>
      </w:r>
    </w:p>
    <w:p w:rsidR="00310A60" w:rsidRDefault="00310A60" w:rsidP="00310A60">
      <w:pPr>
        <w:jc w:val="left"/>
      </w:pPr>
    </w:p>
    <w:p w:rsidR="0064047F" w:rsidRPr="0064047F" w:rsidRDefault="0064047F" w:rsidP="0064047F">
      <w:pPr>
        <w:rPr>
          <w:snapToGrid w:val="0"/>
          <w:lang w:eastAsia="ja-JP"/>
        </w:rPr>
      </w:pPr>
    </w:p>
    <w:p w:rsidR="0064047F" w:rsidRPr="0064047F" w:rsidRDefault="0064047F" w:rsidP="0064047F">
      <w:pPr>
        <w:keepNext/>
        <w:outlineLvl w:val="0"/>
        <w:rPr>
          <w:caps/>
          <w:lang w:eastAsia="ja-JP"/>
        </w:rPr>
      </w:pPr>
      <w:bookmarkStart w:id="15" w:name="_Toc97892764"/>
      <w:bookmarkEnd w:id="2"/>
      <w:r w:rsidRPr="0064047F">
        <w:rPr>
          <w:caps/>
          <w:lang w:eastAsia="ja-JP"/>
        </w:rPr>
        <w:t>Cooperation between international organizations</w:t>
      </w:r>
      <w:bookmarkEnd w:id="15"/>
    </w:p>
    <w:p w:rsidR="0064047F" w:rsidRPr="0064047F" w:rsidRDefault="0064047F" w:rsidP="0064047F">
      <w:pPr>
        <w:keepNext/>
        <w:rPr>
          <w:rFonts w:cs="Arial"/>
          <w:iCs/>
        </w:rPr>
      </w:pPr>
    </w:p>
    <w:p w:rsidR="0064047F" w:rsidRPr="0064047F" w:rsidRDefault="0064047F" w:rsidP="0064047F">
      <w:pPr>
        <w:keepNext/>
        <w:outlineLvl w:val="1"/>
        <w:rPr>
          <w:u w:val="single"/>
        </w:rPr>
      </w:pPr>
      <w:bookmarkStart w:id="16" w:name="_Toc97892765"/>
      <w:r w:rsidRPr="0064047F">
        <w:rPr>
          <w:u w:val="single"/>
        </w:rPr>
        <w:t>Background</w:t>
      </w:r>
      <w:bookmarkEnd w:id="16"/>
    </w:p>
    <w:p w:rsidR="0064047F" w:rsidRPr="0064047F" w:rsidRDefault="0064047F" w:rsidP="0064047F">
      <w:pPr>
        <w:rPr>
          <w:rFonts w:eastAsiaTheme="minorEastAsia"/>
          <w:lang w:eastAsia="ja-JP"/>
        </w:rPr>
      </w:pPr>
    </w:p>
    <w:p w:rsidR="0064047F" w:rsidRPr="0064047F" w:rsidRDefault="0064047F" w:rsidP="0064047F">
      <w:pPr>
        <w:rPr>
          <w:rFonts w:eastAsiaTheme="minorEastAsia"/>
          <w:lang w:eastAsia="ja-JP"/>
        </w:rPr>
      </w:pPr>
      <w:r w:rsidRPr="0064047F">
        <w:rPr>
          <w:rFonts w:eastAsiaTheme="minorEastAsia"/>
          <w:lang w:eastAsia="ja-JP"/>
        </w:rPr>
        <w:fldChar w:fldCharType="begin"/>
      </w:r>
      <w:r w:rsidRPr="0064047F">
        <w:rPr>
          <w:rFonts w:eastAsiaTheme="minorEastAsia"/>
          <w:lang w:eastAsia="ja-JP"/>
        </w:rPr>
        <w:instrText xml:space="preserve"> AUTONUM  </w:instrText>
      </w:r>
      <w:r w:rsidRPr="0064047F">
        <w:rPr>
          <w:rFonts w:eastAsiaTheme="minorEastAsia"/>
          <w:lang w:eastAsia="ja-JP"/>
        </w:rPr>
        <w:fldChar w:fldCharType="end"/>
      </w:r>
      <w:r w:rsidRPr="0064047F">
        <w:rPr>
          <w:rFonts w:eastAsiaTheme="minorEastAsia"/>
          <w:lang w:eastAsia="ja-JP"/>
        </w:rPr>
        <w:tab/>
        <w:t>The TC, at its fifty-fourth session</w:t>
      </w:r>
      <w:r w:rsidRPr="0064047F">
        <w:rPr>
          <w:rFonts w:eastAsiaTheme="minorEastAsia"/>
          <w:vertAlign w:val="superscript"/>
          <w:lang w:eastAsia="ja-JP"/>
        </w:rPr>
        <w:footnoteReference w:id="7"/>
      </w:r>
      <w:r w:rsidRPr="0064047F">
        <w:rPr>
          <w:rFonts w:eastAsiaTheme="minorEastAsia"/>
          <w:lang w:eastAsia="ja-JP"/>
        </w:rPr>
        <w:t xml:space="preserve">, agreed that UPOV and OECD should make progress on the matters previously agreed by the TC, namely (see document TC/54/31 “Report”, paragraphs 267 to 271): </w:t>
      </w:r>
    </w:p>
    <w:p w:rsidR="0064047F" w:rsidRPr="0064047F" w:rsidRDefault="0064047F" w:rsidP="0064047F">
      <w:pPr>
        <w:rPr>
          <w:rFonts w:eastAsiaTheme="minorEastAsia"/>
          <w:lang w:eastAsia="ja-JP"/>
        </w:rPr>
      </w:pPr>
    </w:p>
    <w:p w:rsidR="0064047F" w:rsidRPr="0064047F" w:rsidRDefault="0064047F" w:rsidP="0064047F">
      <w:pPr>
        <w:ind w:firstLine="567"/>
        <w:rPr>
          <w:rFonts w:eastAsiaTheme="minorEastAsia"/>
          <w:lang w:eastAsia="ja-JP"/>
        </w:rPr>
      </w:pPr>
      <w:r w:rsidRPr="0064047F">
        <w:rPr>
          <w:rFonts w:eastAsiaTheme="minorEastAsia"/>
          <w:lang w:eastAsia="ja-JP"/>
        </w:rPr>
        <w:t>(a)</w:t>
      </w:r>
      <w:r w:rsidRPr="0064047F">
        <w:rPr>
          <w:rFonts w:eastAsiaTheme="minorEastAsia"/>
          <w:lang w:eastAsia="ja-JP"/>
        </w:rPr>
        <w:tab/>
        <w:t xml:space="preserve"> </w:t>
      </w:r>
      <w:proofErr w:type="gramStart"/>
      <w:r w:rsidRPr="0064047F">
        <w:rPr>
          <w:rFonts w:eastAsiaTheme="minorEastAsia"/>
          <w:lang w:eastAsia="ja-JP"/>
        </w:rPr>
        <w:t>to</w:t>
      </w:r>
      <w:proofErr w:type="gramEnd"/>
      <w:r w:rsidRPr="0064047F">
        <w:rPr>
          <w:rFonts w:eastAsiaTheme="minorEastAsia"/>
          <w:lang w:eastAsia="ja-JP"/>
        </w:rPr>
        <w:t xml:space="preserve"> develop a joint document explaining the principal features of the systems of the OECD, UPOV and ISTA; </w:t>
      </w:r>
    </w:p>
    <w:p w:rsidR="0064047F" w:rsidRPr="0064047F" w:rsidRDefault="0064047F" w:rsidP="0064047F">
      <w:pPr>
        <w:ind w:firstLine="567"/>
        <w:rPr>
          <w:rFonts w:eastAsiaTheme="minorEastAsia"/>
          <w:lang w:eastAsia="ja-JP"/>
        </w:rPr>
      </w:pPr>
    </w:p>
    <w:p w:rsidR="0064047F" w:rsidRPr="0064047F" w:rsidRDefault="0064047F" w:rsidP="0064047F">
      <w:pPr>
        <w:ind w:firstLine="567"/>
        <w:rPr>
          <w:rFonts w:eastAsiaTheme="minorEastAsia"/>
          <w:lang w:eastAsia="ja-JP"/>
        </w:rPr>
      </w:pPr>
      <w:r w:rsidRPr="0064047F">
        <w:rPr>
          <w:rFonts w:eastAsiaTheme="minorEastAsia"/>
          <w:lang w:eastAsia="ja-JP"/>
        </w:rPr>
        <w:t>(b)</w:t>
      </w:r>
      <w:r w:rsidRPr="0064047F">
        <w:rPr>
          <w:rFonts w:eastAsiaTheme="minorEastAsia"/>
          <w:lang w:eastAsia="ja-JP"/>
        </w:rPr>
        <w:tab/>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 and </w:t>
      </w:r>
    </w:p>
    <w:p w:rsidR="0064047F" w:rsidRPr="0064047F" w:rsidRDefault="0064047F" w:rsidP="0064047F">
      <w:pPr>
        <w:ind w:firstLine="567"/>
        <w:rPr>
          <w:rFonts w:eastAsiaTheme="minorEastAsia"/>
          <w:lang w:eastAsia="ja-JP"/>
        </w:rPr>
      </w:pPr>
    </w:p>
    <w:p w:rsidR="0064047F" w:rsidRPr="0064047F" w:rsidRDefault="0064047F" w:rsidP="0064047F">
      <w:pPr>
        <w:ind w:firstLine="567"/>
        <w:rPr>
          <w:rFonts w:eastAsiaTheme="minorEastAsia"/>
          <w:lang w:eastAsia="ja-JP"/>
        </w:rPr>
      </w:pPr>
      <w:r w:rsidRPr="0064047F">
        <w:rPr>
          <w:rFonts w:eastAsiaTheme="minorEastAsia"/>
          <w:lang w:eastAsia="ja-JP"/>
        </w:rPr>
        <w:t>(c)</w:t>
      </w:r>
      <w:r w:rsidRPr="0064047F">
        <w:rPr>
          <w:rFonts w:eastAsiaTheme="minorEastAsia"/>
          <w:lang w:eastAsia="ja-JP"/>
        </w:rPr>
        <w:tab/>
      </w:r>
      <w:proofErr w:type="gramStart"/>
      <w:r w:rsidRPr="0064047F">
        <w:rPr>
          <w:rFonts w:eastAsiaTheme="minorEastAsia"/>
          <w:lang w:eastAsia="ja-JP"/>
        </w:rPr>
        <w:t>the</w:t>
      </w:r>
      <w:proofErr w:type="gramEnd"/>
      <w:r w:rsidRPr="0064047F">
        <w:rPr>
          <w:rFonts w:eastAsiaTheme="minorEastAsia"/>
          <w:lang w:eastAsia="ja-JP"/>
        </w:rPr>
        <w:t xml:space="preserve"> BMT to develop lists of possible joint initiatives with OECD and ISTA in relation to molecular techniques for consideration by the TC. </w:t>
      </w:r>
    </w:p>
    <w:p w:rsidR="0064047F" w:rsidRPr="0064047F" w:rsidRDefault="0064047F" w:rsidP="0064047F">
      <w:pPr>
        <w:rPr>
          <w:rFonts w:eastAsiaTheme="minorEastAsia"/>
          <w:lang w:eastAsia="ja-JP"/>
        </w:rPr>
      </w:pPr>
    </w:p>
    <w:p w:rsidR="0064047F" w:rsidRPr="0064047F" w:rsidRDefault="0064047F" w:rsidP="0064047F">
      <w:pPr>
        <w:rPr>
          <w:rFonts w:eastAsiaTheme="minorEastAsia"/>
          <w:lang w:eastAsia="ja-JP"/>
        </w:rPr>
      </w:pPr>
      <w:r w:rsidRPr="0064047F">
        <w:rPr>
          <w:rFonts w:eastAsiaTheme="minorEastAsia"/>
          <w:lang w:eastAsia="ja-JP"/>
        </w:rPr>
        <w:fldChar w:fldCharType="begin"/>
      </w:r>
      <w:r w:rsidRPr="0064047F">
        <w:rPr>
          <w:rFonts w:eastAsiaTheme="minorEastAsia"/>
          <w:lang w:eastAsia="ja-JP"/>
        </w:rPr>
        <w:instrText xml:space="preserve"> AUTONUM  </w:instrText>
      </w:r>
      <w:r w:rsidRPr="0064047F">
        <w:rPr>
          <w:rFonts w:eastAsiaTheme="minorEastAsia"/>
          <w:lang w:eastAsia="ja-JP"/>
        </w:rPr>
        <w:fldChar w:fldCharType="end"/>
      </w:r>
      <w:r w:rsidRPr="0064047F">
        <w:rPr>
          <w:rFonts w:eastAsiaTheme="minorEastAsia"/>
          <w:lang w:eastAsia="ja-JP"/>
        </w:rPr>
        <w:tab/>
        <w:t xml:space="preserve">The TC, at its fifty-fourth session, agreed to invite ISTA to join the initiatives when in position to do so. </w:t>
      </w:r>
    </w:p>
    <w:p w:rsidR="00D05C7C" w:rsidRPr="0064047F" w:rsidRDefault="00D05C7C" w:rsidP="00D05C7C"/>
    <w:p w:rsidR="00D05C7C" w:rsidRPr="0064047F" w:rsidRDefault="00D05C7C" w:rsidP="00D05C7C">
      <w:pPr>
        <w:rPr>
          <w:rFonts w:eastAsiaTheme="minorEastAsia"/>
          <w:lang w:eastAsia="ja-JP"/>
        </w:rPr>
      </w:pPr>
      <w:r w:rsidRPr="0064047F">
        <w:fldChar w:fldCharType="begin"/>
      </w:r>
      <w:r w:rsidRPr="0064047F">
        <w:instrText xml:space="preserve"> AUTONUM  </w:instrText>
      </w:r>
      <w:r w:rsidRPr="0064047F">
        <w:fldChar w:fldCharType="end"/>
      </w:r>
      <w:r w:rsidRPr="0064047F">
        <w:tab/>
      </w:r>
      <w:r w:rsidRPr="0064047F">
        <w:rPr>
          <w:rFonts w:eastAsiaTheme="minorEastAsia"/>
          <w:lang w:eastAsia="ja-JP"/>
        </w:rPr>
        <w:t xml:space="preserve">The </w:t>
      </w:r>
      <w:r>
        <w:rPr>
          <w:rFonts w:eastAsiaTheme="minorEastAsia"/>
          <w:lang w:eastAsia="ja-JP"/>
        </w:rPr>
        <w:t xml:space="preserve">full </w:t>
      </w:r>
      <w:r w:rsidRPr="0064047F">
        <w:rPr>
          <w:rFonts w:eastAsiaTheme="minorEastAsia"/>
          <w:lang w:eastAsia="ja-JP"/>
        </w:rPr>
        <w:t>background</w:t>
      </w:r>
      <w:r w:rsidRPr="0064047F">
        <w:rPr>
          <w:rFonts w:eastAsiaTheme="minorEastAsia" w:hint="eastAsia"/>
          <w:lang w:eastAsia="ja-JP"/>
        </w:rPr>
        <w:t xml:space="preserve"> to this matter </w:t>
      </w:r>
      <w:proofErr w:type="gramStart"/>
      <w:r w:rsidRPr="0064047F">
        <w:rPr>
          <w:rFonts w:eastAsiaTheme="minorEastAsia" w:hint="eastAsia"/>
          <w:lang w:eastAsia="ja-JP"/>
        </w:rPr>
        <w:t>is provided</w:t>
      </w:r>
      <w:proofErr w:type="gramEnd"/>
      <w:r w:rsidRPr="0064047F">
        <w:rPr>
          <w:rFonts w:eastAsiaTheme="minorEastAsia" w:hint="eastAsia"/>
          <w:lang w:eastAsia="ja-JP"/>
        </w:rPr>
        <w:t xml:space="preserve"> in document </w:t>
      </w:r>
      <w:r>
        <w:rPr>
          <w:rFonts w:eastAsiaTheme="minorEastAsia"/>
          <w:lang w:eastAsia="ja-JP"/>
        </w:rPr>
        <w:t>TWP</w:t>
      </w:r>
      <w:r w:rsidRPr="0064047F">
        <w:rPr>
          <w:rFonts w:eastAsiaTheme="minorEastAsia"/>
          <w:lang w:eastAsia="ja-JP"/>
        </w:rPr>
        <w:t>/</w:t>
      </w:r>
      <w:r>
        <w:rPr>
          <w:rFonts w:eastAsiaTheme="minorEastAsia"/>
          <w:lang w:eastAsia="ja-JP"/>
        </w:rPr>
        <w:t>5</w:t>
      </w:r>
      <w:r w:rsidRPr="0064047F">
        <w:rPr>
          <w:rFonts w:eastAsiaTheme="minorEastAsia"/>
          <w:lang w:eastAsia="ja-JP"/>
        </w:rPr>
        <w:t>/7</w:t>
      </w:r>
      <w:r w:rsidRPr="0064047F">
        <w:rPr>
          <w:rFonts w:hint="eastAsia"/>
          <w:lang w:eastAsia="ja-JP"/>
        </w:rPr>
        <w:t xml:space="preserve"> </w:t>
      </w:r>
      <w:r w:rsidRPr="0064047F">
        <w:rPr>
          <w:lang w:eastAsia="ja-JP"/>
        </w:rPr>
        <w:t>“Molecular Techniques”</w:t>
      </w:r>
      <w:r w:rsidRPr="0064047F">
        <w:rPr>
          <w:rFonts w:eastAsiaTheme="minorEastAsia" w:hint="eastAsia"/>
          <w:lang w:eastAsia="ja-JP"/>
        </w:rPr>
        <w:t>.</w:t>
      </w:r>
    </w:p>
    <w:p w:rsidR="0064047F" w:rsidRDefault="0064047F" w:rsidP="0064047F">
      <w:pPr>
        <w:rPr>
          <w:rFonts w:eastAsiaTheme="minorEastAsia"/>
        </w:rPr>
      </w:pPr>
    </w:p>
    <w:p w:rsidR="00200F51" w:rsidRPr="0064047F" w:rsidRDefault="00200F51" w:rsidP="0064047F">
      <w:pPr>
        <w:rPr>
          <w:rFonts w:eastAsiaTheme="minorEastAsia"/>
        </w:rPr>
      </w:pPr>
    </w:p>
    <w:p w:rsidR="0064047F" w:rsidRPr="0064047F" w:rsidRDefault="0064047F" w:rsidP="00D05C7C">
      <w:pPr>
        <w:keepNext/>
        <w:outlineLvl w:val="1"/>
        <w:rPr>
          <w:rFonts w:eastAsiaTheme="minorEastAsia"/>
          <w:u w:val="single"/>
        </w:rPr>
      </w:pPr>
      <w:bookmarkStart w:id="17" w:name="_Toc14980928"/>
      <w:bookmarkStart w:id="18" w:name="_Toc15059498"/>
      <w:bookmarkStart w:id="19" w:name="_Toc15295343"/>
      <w:bookmarkStart w:id="20" w:name="_Toc22564623"/>
      <w:bookmarkStart w:id="21" w:name="_Toc27663377"/>
      <w:bookmarkStart w:id="22" w:name="_Toc97892766"/>
      <w:r w:rsidRPr="0064047F">
        <w:rPr>
          <w:rFonts w:eastAsiaTheme="minorEastAsia"/>
          <w:u w:val="single"/>
        </w:rPr>
        <w:t>Inventory on the use of molecular marker techniques, by crop</w:t>
      </w:r>
      <w:bookmarkEnd w:id="17"/>
      <w:bookmarkEnd w:id="18"/>
      <w:bookmarkEnd w:id="19"/>
      <w:bookmarkEnd w:id="20"/>
      <w:bookmarkEnd w:id="21"/>
      <w:bookmarkEnd w:id="22"/>
    </w:p>
    <w:p w:rsidR="0064047F" w:rsidRPr="0064047F" w:rsidRDefault="0064047F" w:rsidP="00D05C7C">
      <w:pPr>
        <w:keepNext/>
        <w:rPr>
          <w:rFonts w:eastAsiaTheme="minorEastAsia"/>
        </w:rPr>
      </w:pPr>
      <w:bookmarkStart w:id="23" w:name="_Toc14980927"/>
      <w:bookmarkStart w:id="24" w:name="_Toc15059497"/>
      <w:bookmarkStart w:id="25" w:name="_Toc15295342"/>
      <w:bookmarkStart w:id="26" w:name="_Toc22564625"/>
      <w:bookmarkStart w:id="27" w:name="_Toc27663379"/>
    </w:p>
    <w:p w:rsidR="0064047F" w:rsidRPr="0064047F" w:rsidRDefault="0064047F" w:rsidP="00D05C7C">
      <w:pPr>
        <w:keepNext/>
      </w:pPr>
      <w:r w:rsidRPr="0064047F">
        <w:fldChar w:fldCharType="begin"/>
      </w:r>
      <w:r w:rsidRPr="0064047F">
        <w:instrText xml:space="preserve"> AUTONUM  </w:instrText>
      </w:r>
      <w:r w:rsidRPr="0064047F">
        <w:fldChar w:fldCharType="end"/>
      </w:r>
      <w:r w:rsidRPr="0064047F">
        <w:tab/>
        <w:t>The TC, at its fifty-fifth session</w:t>
      </w:r>
      <w:r w:rsidRPr="0064047F">
        <w:rPr>
          <w:vertAlign w:val="superscript"/>
        </w:rPr>
        <w:footnoteReference w:id="8"/>
      </w:r>
      <w:r w:rsidRPr="0064047F">
        <w:t xml:space="preserve">, agreed to request members of the Union to complete a survey as a basis to develop an inventory on the use of molecular marker techniques, by crop, in coordination with the OECD.  </w:t>
      </w:r>
    </w:p>
    <w:p w:rsidR="0064047F" w:rsidRPr="0064047F" w:rsidRDefault="0064047F" w:rsidP="0064047F"/>
    <w:p w:rsidR="0064047F" w:rsidRPr="0064047F" w:rsidRDefault="0064047F" w:rsidP="0064047F">
      <w:r w:rsidRPr="0064047F">
        <w:fldChar w:fldCharType="begin"/>
      </w:r>
      <w:r w:rsidRPr="0064047F">
        <w:instrText xml:space="preserve"> AUTONUM  </w:instrText>
      </w:r>
      <w:r w:rsidRPr="0064047F">
        <w:fldChar w:fldCharType="end"/>
      </w:r>
      <w:r w:rsidRPr="0064047F">
        <w:tab/>
        <w:t>In response to the Circular E-20/189</w:t>
      </w:r>
      <w:r w:rsidR="00A67812">
        <w:t xml:space="preserve"> of October 16, 2020</w:t>
      </w:r>
      <w:r w:rsidRPr="0064047F">
        <w:t>, the following 23 members of the Union provided information on the use of molecular marker techniques:</w:t>
      </w:r>
    </w:p>
    <w:p w:rsidR="0064047F" w:rsidRPr="0064047F" w:rsidRDefault="0064047F" w:rsidP="0064047F"/>
    <w:tbl>
      <w:tblPr>
        <w:tblStyle w:val="TableGrid"/>
        <w:tblW w:w="0" w:type="auto"/>
        <w:tblLook w:val="04A0" w:firstRow="1" w:lastRow="0" w:firstColumn="1" w:lastColumn="0" w:noHBand="0" w:noVBand="1"/>
      </w:tblPr>
      <w:tblGrid>
        <w:gridCol w:w="4814"/>
        <w:gridCol w:w="4815"/>
      </w:tblGrid>
      <w:tr w:rsidR="0064047F" w:rsidRPr="00BB66A8" w:rsidTr="0064047F">
        <w:tc>
          <w:tcPr>
            <w:tcW w:w="4814" w:type="dxa"/>
          </w:tcPr>
          <w:p w:rsidR="0064047F" w:rsidRPr="00BB66A8" w:rsidRDefault="0064047F" w:rsidP="00BB66A8">
            <w:pPr>
              <w:spacing w:after="60"/>
              <w:rPr>
                <w:sz w:val="18"/>
              </w:rPr>
            </w:pPr>
            <w:proofErr w:type="spellStart"/>
            <w:r w:rsidRPr="00BB66A8">
              <w:rPr>
                <w:sz w:val="18"/>
              </w:rPr>
              <w:t>Australia</w:t>
            </w:r>
            <w:proofErr w:type="spellEnd"/>
          </w:p>
        </w:tc>
        <w:tc>
          <w:tcPr>
            <w:tcW w:w="4815" w:type="dxa"/>
          </w:tcPr>
          <w:p w:rsidR="0064047F" w:rsidRPr="00BB66A8" w:rsidRDefault="0064047F" w:rsidP="00BB66A8">
            <w:pPr>
              <w:spacing w:after="60"/>
              <w:rPr>
                <w:sz w:val="18"/>
              </w:rPr>
            </w:pPr>
            <w:proofErr w:type="spellStart"/>
            <w:r w:rsidRPr="00BB66A8">
              <w:rPr>
                <w:sz w:val="18"/>
              </w:rPr>
              <w:t>Lithuania</w:t>
            </w:r>
            <w:proofErr w:type="spellEnd"/>
          </w:p>
        </w:tc>
      </w:tr>
      <w:tr w:rsidR="0064047F" w:rsidRPr="00BB66A8" w:rsidTr="0064047F">
        <w:tc>
          <w:tcPr>
            <w:tcW w:w="4814" w:type="dxa"/>
          </w:tcPr>
          <w:p w:rsidR="0064047F" w:rsidRPr="00BB66A8" w:rsidRDefault="0064047F" w:rsidP="00BB66A8">
            <w:pPr>
              <w:spacing w:after="60"/>
              <w:rPr>
                <w:sz w:val="18"/>
              </w:rPr>
            </w:pPr>
            <w:proofErr w:type="spellStart"/>
            <w:r w:rsidRPr="00BB66A8">
              <w:rPr>
                <w:sz w:val="18"/>
              </w:rPr>
              <w:t>Belgium</w:t>
            </w:r>
            <w:proofErr w:type="spellEnd"/>
          </w:p>
        </w:tc>
        <w:tc>
          <w:tcPr>
            <w:tcW w:w="4815" w:type="dxa"/>
          </w:tcPr>
          <w:p w:rsidR="0064047F" w:rsidRPr="00BB66A8" w:rsidRDefault="0064047F" w:rsidP="00BB66A8">
            <w:pPr>
              <w:spacing w:after="60"/>
              <w:rPr>
                <w:sz w:val="18"/>
              </w:rPr>
            </w:pPr>
            <w:r w:rsidRPr="00BB66A8">
              <w:rPr>
                <w:sz w:val="18"/>
              </w:rPr>
              <w:t>Mexico</w:t>
            </w:r>
          </w:p>
        </w:tc>
      </w:tr>
      <w:tr w:rsidR="0064047F" w:rsidRPr="00BB66A8" w:rsidTr="0064047F">
        <w:tc>
          <w:tcPr>
            <w:tcW w:w="4814" w:type="dxa"/>
          </w:tcPr>
          <w:p w:rsidR="0064047F" w:rsidRPr="00BB66A8" w:rsidRDefault="0064047F" w:rsidP="00BB66A8">
            <w:pPr>
              <w:spacing w:after="60"/>
              <w:rPr>
                <w:sz w:val="18"/>
              </w:rPr>
            </w:pPr>
            <w:proofErr w:type="spellStart"/>
            <w:r w:rsidRPr="00BB66A8">
              <w:rPr>
                <w:sz w:val="18"/>
              </w:rPr>
              <w:t>Brazil</w:t>
            </w:r>
            <w:proofErr w:type="spellEnd"/>
          </w:p>
        </w:tc>
        <w:tc>
          <w:tcPr>
            <w:tcW w:w="4815" w:type="dxa"/>
          </w:tcPr>
          <w:p w:rsidR="0064047F" w:rsidRPr="00BB66A8" w:rsidRDefault="0064047F" w:rsidP="00BB66A8">
            <w:pPr>
              <w:spacing w:after="60"/>
              <w:rPr>
                <w:sz w:val="18"/>
              </w:rPr>
            </w:pPr>
            <w:proofErr w:type="spellStart"/>
            <w:r w:rsidRPr="00BB66A8">
              <w:rPr>
                <w:sz w:val="18"/>
              </w:rPr>
              <w:t>Netherlands</w:t>
            </w:r>
            <w:proofErr w:type="spellEnd"/>
          </w:p>
        </w:tc>
      </w:tr>
      <w:tr w:rsidR="0064047F" w:rsidRPr="00BB66A8" w:rsidTr="0064047F">
        <w:tc>
          <w:tcPr>
            <w:tcW w:w="4814" w:type="dxa"/>
          </w:tcPr>
          <w:p w:rsidR="0064047F" w:rsidRPr="00BB66A8" w:rsidRDefault="0064047F" w:rsidP="00BB66A8">
            <w:pPr>
              <w:spacing w:after="60"/>
              <w:rPr>
                <w:sz w:val="18"/>
              </w:rPr>
            </w:pPr>
            <w:r w:rsidRPr="00BB66A8">
              <w:rPr>
                <w:sz w:val="18"/>
              </w:rPr>
              <w:t>China</w:t>
            </w:r>
          </w:p>
        </w:tc>
        <w:tc>
          <w:tcPr>
            <w:tcW w:w="4815" w:type="dxa"/>
          </w:tcPr>
          <w:p w:rsidR="0064047F" w:rsidRPr="00BB66A8" w:rsidRDefault="0064047F" w:rsidP="00BB66A8">
            <w:pPr>
              <w:spacing w:after="60"/>
              <w:rPr>
                <w:sz w:val="18"/>
              </w:rPr>
            </w:pPr>
            <w:proofErr w:type="spellStart"/>
            <w:r w:rsidRPr="00BB66A8">
              <w:rPr>
                <w:sz w:val="18"/>
              </w:rPr>
              <w:t>Norway</w:t>
            </w:r>
            <w:proofErr w:type="spellEnd"/>
          </w:p>
        </w:tc>
      </w:tr>
      <w:tr w:rsidR="0064047F" w:rsidRPr="00BB66A8" w:rsidTr="0064047F">
        <w:tc>
          <w:tcPr>
            <w:tcW w:w="4814" w:type="dxa"/>
          </w:tcPr>
          <w:p w:rsidR="0064047F" w:rsidRPr="00BB66A8" w:rsidRDefault="0064047F" w:rsidP="00BB66A8">
            <w:pPr>
              <w:spacing w:after="60"/>
              <w:rPr>
                <w:sz w:val="18"/>
              </w:rPr>
            </w:pPr>
            <w:r w:rsidRPr="00BB66A8">
              <w:rPr>
                <w:sz w:val="18"/>
              </w:rPr>
              <w:t xml:space="preserve">Czech </w:t>
            </w:r>
            <w:proofErr w:type="spellStart"/>
            <w:r w:rsidRPr="00BB66A8">
              <w:rPr>
                <w:sz w:val="18"/>
              </w:rPr>
              <w:t>Republic</w:t>
            </w:r>
            <w:proofErr w:type="spellEnd"/>
          </w:p>
        </w:tc>
        <w:tc>
          <w:tcPr>
            <w:tcW w:w="4815" w:type="dxa"/>
          </w:tcPr>
          <w:p w:rsidR="0064047F" w:rsidRPr="00BB66A8" w:rsidRDefault="0064047F" w:rsidP="00BB66A8">
            <w:pPr>
              <w:spacing w:after="60"/>
              <w:rPr>
                <w:sz w:val="18"/>
              </w:rPr>
            </w:pPr>
            <w:r w:rsidRPr="00BB66A8">
              <w:rPr>
                <w:sz w:val="18"/>
              </w:rPr>
              <w:t>Panama</w:t>
            </w:r>
          </w:p>
        </w:tc>
      </w:tr>
      <w:tr w:rsidR="0064047F" w:rsidRPr="00BB66A8" w:rsidTr="0064047F">
        <w:tc>
          <w:tcPr>
            <w:tcW w:w="4814" w:type="dxa"/>
          </w:tcPr>
          <w:p w:rsidR="0064047F" w:rsidRPr="00BB66A8" w:rsidRDefault="0064047F" w:rsidP="00BB66A8">
            <w:pPr>
              <w:spacing w:after="60"/>
              <w:rPr>
                <w:sz w:val="18"/>
              </w:rPr>
            </w:pPr>
            <w:r w:rsidRPr="00BB66A8">
              <w:rPr>
                <w:sz w:val="18"/>
              </w:rPr>
              <w:t>Estonia</w:t>
            </w:r>
          </w:p>
        </w:tc>
        <w:tc>
          <w:tcPr>
            <w:tcW w:w="4815" w:type="dxa"/>
          </w:tcPr>
          <w:p w:rsidR="0064047F" w:rsidRPr="00BB66A8" w:rsidRDefault="0064047F" w:rsidP="00BB66A8">
            <w:pPr>
              <w:spacing w:after="60"/>
              <w:rPr>
                <w:sz w:val="18"/>
              </w:rPr>
            </w:pPr>
            <w:r w:rsidRPr="00BB66A8">
              <w:rPr>
                <w:sz w:val="18"/>
              </w:rPr>
              <w:t>Romania</w:t>
            </w:r>
          </w:p>
        </w:tc>
      </w:tr>
      <w:tr w:rsidR="0064047F" w:rsidRPr="00BB66A8" w:rsidTr="0064047F">
        <w:tc>
          <w:tcPr>
            <w:tcW w:w="4814" w:type="dxa"/>
          </w:tcPr>
          <w:p w:rsidR="0064047F" w:rsidRPr="00BB66A8" w:rsidRDefault="0064047F" w:rsidP="00BB66A8">
            <w:pPr>
              <w:spacing w:after="60"/>
              <w:rPr>
                <w:sz w:val="18"/>
              </w:rPr>
            </w:pPr>
            <w:r w:rsidRPr="00BB66A8">
              <w:rPr>
                <w:sz w:val="18"/>
              </w:rPr>
              <w:t>European Union</w:t>
            </w:r>
          </w:p>
        </w:tc>
        <w:tc>
          <w:tcPr>
            <w:tcW w:w="4815" w:type="dxa"/>
          </w:tcPr>
          <w:p w:rsidR="0064047F" w:rsidRPr="00BB66A8" w:rsidRDefault="0064047F" w:rsidP="00BB66A8">
            <w:pPr>
              <w:spacing w:after="60"/>
              <w:rPr>
                <w:sz w:val="18"/>
              </w:rPr>
            </w:pPr>
            <w:r w:rsidRPr="00BB66A8">
              <w:rPr>
                <w:sz w:val="18"/>
              </w:rPr>
              <w:t>Spain</w:t>
            </w:r>
          </w:p>
        </w:tc>
      </w:tr>
      <w:tr w:rsidR="0064047F" w:rsidRPr="00BB66A8" w:rsidTr="0064047F">
        <w:tc>
          <w:tcPr>
            <w:tcW w:w="4814" w:type="dxa"/>
          </w:tcPr>
          <w:p w:rsidR="0064047F" w:rsidRPr="00BB66A8" w:rsidRDefault="0064047F" w:rsidP="00BB66A8">
            <w:pPr>
              <w:spacing w:after="60"/>
              <w:rPr>
                <w:sz w:val="18"/>
              </w:rPr>
            </w:pPr>
            <w:r w:rsidRPr="00BB66A8">
              <w:rPr>
                <w:sz w:val="18"/>
              </w:rPr>
              <w:t>France</w:t>
            </w:r>
          </w:p>
        </w:tc>
        <w:tc>
          <w:tcPr>
            <w:tcW w:w="4815" w:type="dxa"/>
          </w:tcPr>
          <w:p w:rsidR="0064047F" w:rsidRPr="00BB66A8" w:rsidRDefault="0064047F" w:rsidP="00BB66A8">
            <w:pPr>
              <w:spacing w:after="60"/>
              <w:rPr>
                <w:sz w:val="18"/>
              </w:rPr>
            </w:pPr>
            <w:proofErr w:type="spellStart"/>
            <w:r w:rsidRPr="00BB66A8">
              <w:rPr>
                <w:sz w:val="18"/>
              </w:rPr>
              <w:t>Slovakia</w:t>
            </w:r>
            <w:proofErr w:type="spellEnd"/>
          </w:p>
        </w:tc>
      </w:tr>
      <w:tr w:rsidR="0064047F" w:rsidRPr="00BB66A8" w:rsidTr="0064047F">
        <w:tc>
          <w:tcPr>
            <w:tcW w:w="4814" w:type="dxa"/>
          </w:tcPr>
          <w:p w:rsidR="0064047F" w:rsidRPr="00BB66A8" w:rsidRDefault="0064047F" w:rsidP="00BB66A8">
            <w:pPr>
              <w:spacing w:after="60"/>
              <w:rPr>
                <w:sz w:val="18"/>
              </w:rPr>
            </w:pPr>
            <w:r w:rsidRPr="00BB66A8">
              <w:rPr>
                <w:sz w:val="18"/>
              </w:rPr>
              <w:t>Germany</w:t>
            </w:r>
          </w:p>
        </w:tc>
        <w:tc>
          <w:tcPr>
            <w:tcW w:w="4815" w:type="dxa"/>
          </w:tcPr>
          <w:p w:rsidR="0064047F" w:rsidRPr="00BB66A8" w:rsidRDefault="0064047F" w:rsidP="00BB66A8">
            <w:pPr>
              <w:spacing w:after="60"/>
              <w:rPr>
                <w:sz w:val="18"/>
              </w:rPr>
            </w:pPr>
            <w:r w:rsidRPr="00BB66A8">
              <w:rPr>
                <w:sz w:val="18"/>
              </w:rPr>
              <w:t>Ukraine</w:t>
            </w:r>
          </w:p>
        </w:tc>
      </w:tr>
      <w:tr w:rsidR="0064047F" w:rsidRPr="00BB66A8" w:rsidTr="0064047F">
        <w:tc>
          <w:tcPr>
            <w:tcW w:w="4814" w:type="dxa"/>
          </w:tcPr>
          <w:p w:rsidR="0064047F" w:rsidRPr="00BB66A8" w:rsidRDefault="0064047F" w:rsidP="00BB66A8">
            <w:pPr>
              <w:spacing w:after="60"/>
              <w:rPr>
                <w:sz w:val="18"/>
              </w:rPr>
            </w:pPr>
            <w:r w:rsidRPr="00BB66A8">
              <w:rPr>
                <w:sz w:val="18"/>
              </w:rPr>
              <w:t>Israel</w:t>
            </w:r>
          </w:p>
        </w:tc>
        <w:tc>
          <w:tcPr>
            <w:tcW w:w="4815" w:type="dxa"/>
          </w:tcPr>
          <w:p w:rsidR="0064047F" w:rsidRPr="00BB66A8" w:rsidRDefault="0064047F" w:rsidP="00BB66A8">
            <w:pPr>
              <w:spacing w:after="60"/>
              <w:rPr>
                <w:sz w:val="18"/>
              </w:rPr>
            </w:pPr>
            <w:r w:rsidRPr="00BB66A8">
              <w:rPr>
                <w:sz w:val="18"/>
              </w:rPr>
              <w:t xml:space="preserve">United </w:t>
            </w:r>
            <w:proofErr w:type="spellStart"/>
            <w:r w:rsidRPr="00BB66A8">
              <w:rPr>
                <w:sz w:val="18"/>
              </w:rPr>
              <w:t>Kingdom</w:t>
            </w:r>
            <w:proofErr w:type="spellEnd"/>
          </w:p>
        </w:tc>
      </w:tr>
      <w:tr w:rsidR="0064047F" w:rsidRPr="00BB66A8" w:rsidTr="0064047F">
        <w:tc>
          <w:tcPr>
            <w:tcW w:w="4814" w:type="dxa"/>
          </w:tcPr>
          <w:p w:rsidR="0064047F" w:rsidRPr="00BB66A8" w:rsidRDefault="0064047F" w:rsidP="00BB66A8">
            <w:pPr>
              <w:spacing w:after="60"/>
              <w:rPr>
                <w:sz w:val="18"/>
              </w:rPr>
            </w:pPr>
            <w:r w:rsidRPr="00BB66A8">
              <w:rPr>
                <w:sz w:val="18"/>
              </w:rPr>
              <w:t>Japan</w:t>
            </w:r>
          </w:p>
        </w:tc>
        <w:tc>
          <w:tcPr>
            <w:tcW w:w="4815" w:type="dxa"/>
          </w:tcPr>
          <w:p w:rsidR="0064047F" w:rsidRPr="00BB66A8" w:rsidRDefault="0064047F" w:rsidP="00BB66A8">
            <w:pPr>
              <w:spacing w:after="60"/>
              <w:rPr>
                <w:sz w:val="18"/>
              </w:rPr>
            </w:pPr>
            <w:r w:rsidRPr="00BB66A8">
              <w:rPr>
                <w:sz w:val="18"/>
              </w:rPr>
              <w:t xml:space="preserve">United States </w:t>
            </w:r>
            <w:proofErr w:type="spellStart"/>
            <w:r w:rsidRPr="00BB66A8">
              <w:rPr>
                <w:sz w:val="18"/>
              </w:rPr>
              <w:t>of</w:t>
            </w:r>
            <w:proofErr w:type="spellEnd"/>
            <w:r w:rsidRPr="00BB66A8">
              <w:rPr>
                <w:sz w:val="18"/>
              </w:rPr>
              <w:t xml:space="preserve"> </w:t>
            </w:r>
            <w:proofErr w:type="spellStart"/>
            <w:r w:rsidRPr="00BB66A8">
              <w:rPr>
                <w:sz w:val="18"/>
              </w:rPr>
              <w:t>America</w:t>
            </w:r>
            <w:proofErr w:type="spellEnd"/>
          </w:p>
        </w:tc>
      </w:tr>
      <w:tr w:rsidR="0064047F" w:rsidRPr="00BB66A8" w:rsidTr="0064047F">
        <w:tc>
          <w:tcPr>
            <w:tcW w:w="4814" w:type="dxa"/>
          </w:tcPr>
          <w:p w:rsidR="0064047F" w:rsidRPr="00BB66A8" w:rsidRDefault="0064047F" w:rsidP="00BB66A8">
            <w:pPr>
              <w:spacing w:after="60"/>
              <w:rPr>
                <w:sz w:val="18"/>
              </w:rPr>
            </w:pPr>
            <w:r w:rsidRPr="00BB66A8">
              <w:rPr>
                <w:sz w:val="18"/>
              </w:rPr>
              <w:t>Jordan</w:t>
            </w:r>
          </w:p>
        </w:tc>
        <w:tc>
          <w:tcPr>
            <w:tcW w:w="4815" w:type="dxa"/>
          </w:tcPr>
          <w:p w:rsidR="0064047F" w:rsidRPr="00BB66A8" w:rsidRDefault="0064047F" w:rsidP="00BB66A8">
            <w:pPr>
              <w:spacing w:after="60"/>
              <w:rPr>
                <w:sz w:val="18"/>
              </w:rPr>
            </w:pPr>
          </w:p>
        </w:tc>
      </w:tr>
    </w:tbl>
    <w:p w:rsidR="0064047F" w:rsidRPr="0064047F" w:rsidRDefault="0064047F" w:rsidP="0064047F"/>
    <w:p w:rsidR="0064047F" w:rsidRPr="0064047F" w:rsidRDefault="0064047F" w:rsidP="0064047F">
      <w:r w:rsidRPr="0064047F">
        <w:fldChar w:fldCharType="begin"/>
      </w:r>
      <w:r w:rsidRPr="0064047F">
        <w:instrText xml:space="preserve"> AUTONUM  </w:instrText>
      </w:r>
      <w:r w:rsidRPr="0064047F">
        <w:fldChar w:fldCharType="end"/>
      </w:r>
      <w:r w:rsidRPr="0064047F">
        <w:tab/>
        <w:t xml:space="preserve">The results of the survey </w:t>
      </w:r>
      <w:proofErr w:type="gramStart"/>
      <w:r w:rsidR="00A67812">
        <w:t>were</w:t>
      </w:r>
      <w:r w:rsidRPr="0064047F">
        <w:t xml:space="preserve"> presented</w:t>
      </w:r>
      <w:proofErr w:type="gramEnd"/>
      <w:r w:rsidRPr="0064047F">
        <w:t xml:space="preserve"> </w:t>
      </w:r>
      <w:r w:rsidR="00A67812">
        <w:t>to the Technical Committee, at its fifty-seventh session, and are available on the following page</w:t>
      </w:r>
      <w:r w:rsidR="00BD4E32">
        <w:t xml:space="preserve"> of document TC/57/8 “Molecular Techniques”</w:t>
      </w:r>
      <w:r w:rsidR="00A67812">
        <w:t xml:space="preserve">:  </w:t>
      </w:r>
      <w:r w:rsidR="00BD4E32">
        <w:t xml:space="preserve">see Excel file under </w:t>
      </w:r>
      <w:hyperlink r:id="rId9" w:history="1">
        <w:r w:rsidR="00BD4E32" w:rsidRPr="00880E79">
          <w:rPr>
            <w:rStyle w:val="Hyperlink"/>
          </w:rPr>
          <w:t>https://www.upov.int/meetings/en/doc_details.jsp?meeting_id=60596&amp;doc_id=542712</w:t>
        </w:r>
      </w:hyperlink>
      <w:r w:rsidR="00BD4E32">
        <w:t xml:space="preserve">  </w:t>
      </w:r>
    </w:p>
    <w:p w:rsidR="00FC5BA3" w:rsidRPr="002B69D1" w:rsidRDefault="00FC5BA3" w:rsidP="00FC5BA3">
      <w:pPr>
        <w:ind w:left="567" w:right="567"/>
      </w:pPr>
    </w:p>
    <w:p w:rsidR="00FC5BA3" w:rsidRPr="003810C2" w:rsidRDefault="002B69D1" w:rsidP="005600DB">
      <w:pPr>
        <w:keepNext/>
        <w:keepLines/>
      </w:pPr>
      <w:r w:rsidRPr="002B69D1">
        <w:fldChar w:fldCharType="begin"/>
      </w:r>
      <w:r w:rsidRPr="002B69D1">
        <w:instrText xml:space="preserve"> AUTONUM  </w:instrText>
      </w:r>
      <w:r w:rsidRPr="002B69D1">
        <w:fldChar w:fldCharType="end"/>
      </w:r>
      <w:r w:rsidRPr="002B69D1">
        <w:tab/>
      </w:r>
      <w:r w:rsidR="00FC5BA3" w:rsidRPr="002B69D1">
        <w:t>The TC</w:t>
      </w:r>
      <w:r>
        <w:t>, at its fifty-seventh session</w:t>
      </w:r>
      <w:r w:rsidR="00283B4C">
        <w:rPr>
          <w:rStyle w:val="FootnoteReference"/>
        </w:rPr>
        <w:footnoteReference w:id="9"/>
      </w:r>
      <w:r>
        <w:t>,</w:t>
      </w:r>
      <w:r w:rsidR="00FC5BA3" w:rsidRPr="002B69D1">
        <w:t xml:space="preserve"> requested the Office of Union </w:t>
      </w:r>
      <w:r w:rsidR="00FC5BA3" w:rsidRPr="003810C2">
        <w:t>to inform OECD of the result of the survey and to report on the developments at the TC, at its fifty-eighth session</w:t>
      </w:r>
      <w:r w:rsidR="004868D6" w:rsidRPr="003810C2">
        <w:t xml:space="preserve"> (see document TC/</w:t>
      </w:r>
      <w:r w:rsidR="00200F51" w:rsidRPr="003810C2">
        <w:t>57/25 “Report”, paragraph</w:t>
      </w:r>
      <w:r w:rsidR="005A0252">
        <w:t xml:space="preserve"> 48)</w:t>
      </w:r>
      <w:r w:rsidR="00FC5BA3" w:rsidRPr="003810C2">
        <w:t>.</w:t>
      </w:r>
      <w:r w:rsidR="00F231C5" w:rsidRPr="003810C2">
        <w:t xml:space="preserve">  </w:t>
      </w:r>
      <w:r w:rsidR="00E33FBC" w:rsidRPr="003810C2">
        <w:t xml:space="preserve">On December 13, 2021, the Office of the Union </w:t>
      </w:r>
      <w:r w:rsidR="00A96223" w:rsidRPr="003810C2">
        <w:t xml:space="preserve">informed the results of the survey </w:t>
      </w:r>
      <w:r w:rsidR="00E33FBC" w:rsidRPr="003810C2">
        <w:t xml:space="preserve">to OECD. </w:t>
      </w:r>
    </w:p>
    <w:p w:rsidR="002B69D1" w:rsidRPr="003810C2" w:rsidRDefault="002B69D1" w:rsidP="005600DB">
      <w:pPr>
        <w:keepNext/>
        <w:keepLines/>
        <w:ind w:right="567"/>
      </w:pPr>
    </w:p>
    <w:p w:rsidR="003810C2" w:rsidRDefault="00FC5BA3" w:rsidP="00E33FBC">
      <w:r w:rsidRPr="003810C2">
        <w:fldChar w:fldCharType="begin"/>
      </w:r>
      <w:r w:rsidRPr="003810C2">
        <w:instrText xml:space="preserve"> AUTONUM  </w:instrText>
      </w:r>
      <w:r w:rsidRPr="003810C2">
        <w:fldChar w:fldCharType="end"/>
      </w:r>
      <w:r w:rsidRPr="003810C2">
        <w:tab/>
      </w:r>
      <w:r w:rsidR="002B69D1" w:rsidRPr="003810C2">
        <w:t xml:space="preserve">The TC, at its fifty-seventh session, </w:t>
      </w:r>
      <w:r w:rsidRPr="003810C2">
        <w:t>agreed to continue the survey on</w:t>
      </w:r>
      <w:r w:rsidRPr="004E63A3">
        <w:t xml:space="preserve"> the use of molecular markers to obtain information from a greater number of members and to investigate the reasons for members not responding to the first survey.</w:t>
      </w:r>
      <w:r w:rsidR="00E33FBC">
        <w:t xml:space="preserve">  </w:t>
      </w:r>
    </w:p>
    <w:p w:rsidR="003810C2" w:rsidRDefault="003810C2" w:rsidP="00E33FBC"/>
    <w:p w:rsidR="00E33FBC" w:rsidRDefault="003810C2" w:rsidP="00E33FBC">
      <w:pPr>
        <w:rPr>
          <w:rFonts w:cs="Arial"/>
          <w:snapToGrid w:val="0"/>
        </w:rPr>
      </w:pPr>
      <w:r>
        <w:fldChar w:fldCharType="begin"/>
      </w:r>
      <w:r>
        <w:instrText xml:space="preserve"> AUTONUM  </w:instrText>
      </w:r>
      <w:r>
        <w:fldChar w:fldCharType="end"/>
      </w:r>
      <w:r>
        <w:tab/>
      </w:r>
      <w:r w:rsidR="00E33FBC">
        <w:t xml:space="preserve">On </w:t>
      </w:r>
      <w:r w:rsidR="00E33FBC" w:rsidRPr="00E33FBC">
        <w:t>February 1, 2022</w:t>
      </w:r>
      <w:r w:rsidR="00E33FBC">
        <w:t xml:space="preserve">, the Office of the Union issued </w:t>
      </w:r>
      <w:r w:rsidR="00E33FBC" w:rsidRPr="00E33FBC">
        <w:t>Circular E-22/009</w:t>
      </w:r>
      <w:r w:rsidR="00E33FBC">
        <w:t xml:space="preserve"> </w:t>
      </w:r>
      <w:r w:rsidR="00E33FBC">
        <w:rPr>
          <w:rFonts w:cs="Arial"/>
          <w:snapToGrid w:val="0"/>
        </w:rPr>
        <w:t xml:space="preserve">inviting members of the Union to indicate whether they use molecular marker techniques and continue the survey on their use.  </w:t>
      </w:r>
      <w:r>
        <w:rPr>
          <w:rFonts w:cs="Arial"/>
          <w:snapToGrid w:val="0"/>
        </w:rPr>
        <w:t>Further d</w:t>
      </w:r>
      <w:r w:rsidR="00E33FBC">
        <w:rPr>
          <w:rFonts w:cs="Arial"/>
          <w:snapToGrid w:val="0"/>
        </w:rPr>
        <w:t>evelopments on the survey</w:t>
      </w:r>
      <w:r>
        <w:rPr>
          <w:rFonts w:cs="Arial"/>
          <w:snapToGrid w:val="0"/>
        </w:rPr>
        <w:t>, including additional information provided by members and reasons for not responding to the first survey,</w:t>
      </w:r>
      <w:r w:rsidR="00E33FBC">
        <w:rPr>
          <w:rFonts w:cs="Arial"/>
          <w:snapToGrid w:val="0"/>
        </w:rPr>
        <w:t xml:space="preserve"> </w:t>
      </w:r>
      <w:proofErr w:type="gramStart"/>
      <w:r w:rsidR="00E33FBC">
        <w:rPr>
          <w:rFonts w:cs="Arial"/>
          <w:snapToGrid w:val="0"/>
        </w:rPr>
        <w:t>will be reported</w:t>
      </w:r>
      <w:proofErr w:type="gramEnd"/>
      <w:r w:rsidR="00E33FBC">
        <w:rPr>
          <w:rFonts w:cs="Arial"/>
          <w:snapToGrid w:val="0"/>
        </w:rPr>
        <w:t xml:space="preserve"> to the TC, at its fifty-eighth session.</w:t>
      </w:r>
    </w:p>
    <w:p w:rsidR="0064047F" w:rsidRPr="0064047F" w:rsidRDefault="0064047F" w:rsidP="0064047F">
      <w:pPr>
        <w:tabs>
          <w:tab w:val="left" w:pos="5387"/>
          <w:tab w:val="left" w:pos="5954"/>
        </w:tabs>
        <w:ind w:left="4820"/>
        <w:rPr>
          <w:i/>
        </w:rPr>
      </w:pPr>
    </w:p>
    <w:p w:rsidR="0064047F" w:rsidRPr="0064047F" w:rsidRDefault="0064047F" w:rsidP="0064047F">
      <w:pPr>
        <w:tabs>
          <w:tab w:val="left" w:pos="5387"/>
          <w:tab w:val="left" w:pos="5954"/>
        </w:tabs>
        <w:ind w:left="4820"/>
        <w:rPr>
          <w:rFonts w:eastAsiaTheme="minorEastAsia"/>
        </w:rPr>
      </w:pPr>
    </w:p>
    <w:p w:rsidR="0064047F" w:rsidRPr="0064047F" w:rsidRDefault="0064047F" w:rsidP="0064047F">
      <w:pPr>
        <w:keepNext/>
        <w:outlineLvl w:val="1"/>
        <w:rPr>
          <w:rFonts w:eastAsiaTheme="minorEastAsia"/>
          <w:u w:val="single"/>
        </w:rPr>
      </w:pPr>
      <w:bookmarkStart w:id="28" w:name="_Toc97892767"/>
      <w:r w:rsidRPr="0064047F">
        <w:rPr>
          <w:rFonts w:eastAsiaTheme="minorEastAsia"/>
          <w:u w:val="single"/>
        </w:rPr>
        <w:t>Joint document explaining the principal features of the systems of OECD, UPOV and ISTA</w:t>
      </w:r>
      <w:bookmarkEnd w:id="23"/>
      <w:bookmarkEnd w:id="24"/>
      <w:bookmarkEnd w:id="25"/>
      <w:bookmarkEnd w:id="26"/>
      <w:bookmarkEnd w:id="27"/>
      <w:bookmarkEnd w:id="28"/>
    </w:p>
    <w:p w:rsidR="0064047F" w:rsidRPr="0064047F" w:rsidRDefault="0064047F" w:rsidP="0064047F">
      <w:bookmarkStart w:id="29" w:name="_Toc22569703"/>
    </w:p>
    <w:p w:rsidR="0064047F" w:rsidRPr="0064047F" w:rsidRDefault="0064047F" w:rsidP="0064047F">
      <w:pPr>
        <w:keepNext/>
        <w:outlineLvl w:val="2"/>
        <w:rPr>
          <w:i/>
        </w:rPr>
      </w:pPr>
      <w:bookmarkStart w:id="30" w:name="_Toc97892768"/>
      <w:r w:rsidRPr="0064047F">
        <w:rPr>
          <w:i/>
        </w:rPr>
        <w:t>Background</w:t>
      </w:r>
      <w:bookmarkEnd w:id="30"/>
    </w:p>
    <w:p w:rsidR="0064047F" w:rsidRPr="0064047F" w:rsidRDefault="0064047F" w:rsidP="0064047F"/>
    <w:p w:rsidR="0064047F" w:rsidRPr="0064047F" w:rsidRDefault="0064047F" w:rsidP="0064047F">
      <w:pPr>
        <w:keepNext/>
        <w:rPr>
          <w:rFonts w:eastAsiaTheme="minorEastAsia"/>
          <w:iCs/>
        </w:rPr>
      </w:pPr>
      <w:r w:rsidRPr="0064047F">
        <w:rPr>
          <w:rFonts w:eastAsiaTheme="minorEastAsia"/>
        </w:rPr>
        <w:fldChar w:fldCharType="begin"/>
      </w:r>
      <w:r w:rsidRPr="0064047F">
        <w:rPr>
          <w:rFonts w:eastAsiaTheme="minorEastAsia"/>
        </w:rPr>
        <w:instrText xml:space="preserve"> AUTONUM  </w:instrText>
      </w:r>
      <w:r w:rsidRPr="0064047F">
        <w:rPr>
          <w:rFonts w:eastAsiaTheme="minorEastAsia"/>
        </w:rPr>
        <w:fldChar w:fldCharType="end"/>
      </w:r>
      <w:r w:rsidRPr="0064047F">
        <w:rPr>
          <w:rFonts w:eastAsiaTheme="minorEastAsia"/>
        </w:rPr>
        <w:tab/>
      </w:r>
      <w:proofErr w:type="gramStart"/>
      <w:r w:rsidRPr="0064047F">
        <w:rPr>
          <w:rFonts w:eastAsiaTheme="minorEastAsia"/>
        </w:rPr>
        <w:t>The TC, at its fifty-fifth session</w:t>
      </w:r>
      <w:r w:rsidR="007C0514">
        <w:rPr>
          <w:rStyle w:val="FootnoteReference"/>
          <w:rFonts w:eastAsiaTheme="minorEastAsia"/>
        </w:rPr>
        <w:footnoteReference w:id="10"/>
      </w:r>
      <w:r w:rsidRPr="0064047F">
        <w:rPr>
          <w:rFonts w:eastAsiaTheme="minorEastAsia"/>
        </w:rPr>
        <w:t>, agreed with the BMT, at its eighteenth session, 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r w:rsidRPr="0064047F">
        <w:rPr>
          <w:lang w:eastAsia="ja-JP"/>
        </w:rPr>
        <w:t xml:space="preserve"> (see document TC/55/25 “Report”, paragraph 182)</w:t>
      </w:r>
      <w:r w:rsidRPr="0064047F">
        <w:rPr>
          <w:rFonts w:eastAsiaTheme="minorEastAsia"/>
        </w:rPr>
        <w:t>.</w:t>
      </w:r>
      <w:proofErr w:type="gramEnd"/>
    </w:p>
    <w:p w:rsidR="0064047F" w:rsidRPr="0064047F" w:rsidRDefault="0064047F" w:rsidP="0064047F">
      <w:pPr>
        <w:rPr>
          <w:rFonts w:eastAsiaTheme="minorEastAsia"/>
        </w:rPr>
      </w:pPr>
    </w:p>
    <w:p w:rsidR="0064047F" w:rsidRPr="0064047F" w:rsidRDefault="0064047F" w:rsidP="0064047F">
      <w:pPr>
        <w:rPr>
          <w:rFonts w:eastAsiaTheme="minorEastAsia"/>
        </w:rPr>
      </w:pPr>
    </w:p>
    <w:p w:rsidR="0064047F" w:rsidRPr="0064047F" w:rsidRDefault="0064047F" w:rsidP="0064047F">
      <w:pPr>
        <w:keepNext/>
        <w:outlineLvl w:val="2"/>
        <w:rPr>
          <w:rFonts w:eastAsiaTheme="minorEastAsia"/>
          <w:i/>
        </w:rPr>
      </w:pPr>
      <w:bookmarkStart w:id="31" w:name="_Toc69722883"/>
      <w:bookmarkStart w:id="32" w:name="_Toc97892769"/>
      <w:r w:rsidRPr="0064047F">
        <w:rPr>
          <w:rFonts w:eastAsiaTheme="minorEastAsia"/>
          <w:i/>
        </w:rPr>
        <w:t>Draft joint document</w:t>
      </w:r>
      <w:bookmarkEnd w:id="31"/>
      <w:bookmarkEnd w:id="32"/>
    </w:p>
    <w:p w:rsidR="0064047F" w:rsidRDefault="0064047F" w:rsidP="0064047F">
      <w:pPr>
        <w:rPr>
          <w:rFonts w:eastAsiaTheme="minorEastAsia"/>
        </w:rPr>
      </w:pPr>
    </w:p>
    <w:p w:rsidR="002B4CD0" w:rsidRDefault="003562B0" w:rsidP="003562B0">
      <w:pPr>
        <w:keepNext/>
        <w:keepLines/>
      </w:pPr>
      <w:r>
        <w:fldChar w:fldCharType="begin"/>
      </w:r>
      <w:r>
        <w:instrText xml:space="preserve"> AUTONUM  </w:instrText>
      </w:r>
      <w:r>
        <w:fldChar w:fldCharType="end"/>
      </w:r>
      <w:r>
        <w:tab/>
        <w:t>The TC</w:t>
      </w:r>
      <w:r w:rsidR="002B4CD0">
        <w:t xml:space="preserve">, at its fifty-seventh session, noted that it had approved by correspondence </w:t>
      </w:r>
      <w:r w:rsidR="002B4CD0" w:rsidRPr="002B4CD0">
        <w:t xml:space="preserve">the draft joint document explaining the principal features of the systems of OECD, UPOV and ISTA, as set out in </w:t>
      </w:r>
      <w:r w:rsidR="00255B9C" w:rsidRPr="003C3475">
        <w:t xml:space="preserve">the </w:t>
      </w:r>
      <w:r w:rsidR="002B4CD0" w:rsidRPr="003C3475">
        <w:t>Annex</w:t>
      </w:r>
      <w:r w:rsidR="002B4CD0" w:rsidRPr="002B4CD0">
        <w:t xml:space="preserve"> to </w:t>
      </w:r>
      <w:r w:rsidR="002B4CD0">
        <w:t xml:space="preserve">this document.  The TC requested the Office of the Union to </w:t>
      </w:r>
      <w:r w:rsidR="002B4CD0" w:rsidRPr="002B4CD0">
        <w:t>inform OECD and ISTA accordingly.”</w:t>
      </w:r>
    </w:p>
    <w:p w:rsidR="002B4CD0" w:rsidRDefault="002B4CD0" w:rsidP="003562B0">
      <w:pPr>
        <w:keepNext/>
        <w:keepLines/>
      </w:pPr>
    </w:p>
    <w:p w:rsidR="002B4CD0" w:rsidRDefault="002B4CD0" w:rsidP="0023793E">
      <w:r>
        <w:fldChar w:fldCharType="begin"/>
      </w:r>
      <w:r>
        <w:instrText xml:space="preserve"> AUTONUM  </w:instrText>
      </w:r>
      <w:r>
        <w:fldChar w:fldCharType="end"/>
      </w:r>
      <w:r>
        <w:tab/>
        <w:t xml:space="preserve">On December 13, 2021, the Office of the Union transmitted </w:t>
      </w:r>
      <w:r w:rsidRPr="002B4CD0">
        <w:t xml:space="preserve">the draft joint document </w:t>
      </w:r>
      <w:r>
        <w:t xml:space="preserve">to OECD and ISTA.  </w:t>
      </w:r>
      <w:r w:rsidR="005F3698">
        <w:t xml:space="preserve">Responses from OECD and ISTA, when available, </w:t>
      </w:r>
      <w:proofErr w:type="gramStart"/>
      <w:r w:rsidR="005F3698">
        <w:t>will be reported</w:t>
      </w:r>
      <w:proofErr w:type="gramEnd"/>
      <w:r w:rsidR="005F3698">
        <w:t xml:space="preserve"> to the Technical Working Parties and the Technical Committee.</w:t>
      </w:r>
    </w:p>
    <w:bookmarkEnd w:id="29"/>
    <w:p w:rsidR="0064047F" w:rsidRPr="0064047F" w:rsidRDefault="0064047F" w:rsidP="0064047F">
      <w:pPr>
        <w:tabs>
          <w:tab w:val="left" w:pos="5387"/>
          <w:tab w:val="left" w:pos="5954"/>
        </w:tabs>
        <w:ind w:left="4820"/>
        <w:rPr>
          <w:i/>
        </w:rPr>
      </w:pPr>
    </w:p>
    <w:p w:rsidR="00170B28" w:rsidRDefault="00170B28" w:rsidP="00170B28">
      <w:pPr>
        <w:keepNext/>
        <w:jc w:val="left"/>
      </w:pPr>
    </w:p>
    <w:p w:rsidR="00170B28" w:rsidRPr="00842AEE" w:rsidRDefault="00170B28" w:rsidP="00170B28">
      <w:pPr>
        <w:pStyle w:val="Heading2"/>
      </w:pPr>
      <w:bookmarkStart w:id="33" w:name="_Toc14980929"/>
      <w:bookmarkStart w:id="34" w:name="_Toc15059500"/>
      <w:bookmarkStart w:id="35" w:name="_Toc15295345"/>
      <w:bookmarkStart w:id="36" w:name="_Toc22564624"/>
      <w:bookmarkStart w:id="37" w:name="_Toc27663378"/>
      <w:bookmarkStart w:id="38" w:name="_Toc69722878"/>
      <w:bookmarkStart w:id="39" w:name="_Toc84364038"/>
      <w:bookmarkStart w:id="40" w:name="_Toc84415953"/>
      <w:bookmarkStart w:id="41" w:name="_Toc97892770"/>
      <w:r w:rsidRPr="00842AEE">
        <w:t>Lists of possible joint initiatives with OECD and ISTA in relation to molecular techniques</w:t>
      </w:r>
      <w:bookmarkEnd w:id="33"/>
      <w:bookmarkEnd w:id="34"/>
      <w:bookmarkEnd w:id="35"/>
      <w:bookmarkEnd w:id="36"/>
      <w:bookmarkEnd w:id="37"/>
      <w:bookmarkEnd w:id="38"/>
      <w:bookmarkEnd w:id="39"/>
      <w:bookmarkEnd w:id="40"/>
      <w:bookmarkEnd w:id="41"/>
    </w:p>
    <w:p w:rsidR="00170B28" w:rsidRDefault="00170B28" w:rsidP="00170B28">
      <w:pPr>
        <w:keepNext/>
        <w:jc w:val="left"/>
      </w:pPr>
    </w:p>
    <w:p w:rsidR="00170B28" w:rsidRDefault="00170B28" w:rsidP="00170B28">
      <w:r>
        <w:fldChar w:fldCharType="begin"/>
      </w:r>
      <w:r>
        <w:instrText xml:space="preserve"> AUTONUM  </w:instrText>
      </w:r>
      <w:r>
        <w:fldChar w:fldCharType="end"/>
      </w:r>
      <w:r>
        <w:tab/>
        <w:t xml:space="preserve">The </w:t>
      </w:r>
      <w:r w:rsidRPr="005471FB">
        <w:t>TC</w:t>
      </w:r>
      <w:r>
        <w:t>, at its fifty-seventh session,</w:t>
      </w:r>
      <w:r w:rsidRPr="005471FB">
        <w:t xml:space="preserve"> </w:t>
      </w:r>
      <w:r>
        <w:t>agreed to propose the following topics for a future joint UPOV/OECD/ISTA workshop:</w:t>
      </w:r>
    </w:p>
    <w:p w:rsidR="00170B28" w:rsidRDefault="00170B28" w:rsidP="00170B28"/>
    <w:p w:rsidR="00170B28" w:rsidRDefault="00170B28" w:rsidP="00170B28">
      <w:pPr>
        <w:jc w:val="left"/>
      </w:pPr>
      <w:r>
        <w:tab/>
        <w:t>(</w:t>
      </w:r>
      <w:proofErr w:type="spellStart"/>
      <w:r>
        <w:t>i</w:t>
      </w:r>
      <w:proofErr w:type="spellEnd"/>
      <w:r>
        <w:t>)</w:t>
      </w:r>
      <w:r>
        <w:tab/>
      </w:r>
      <w:proofErr w:type="gramStart"/>
      <w:r>
        <w:t>providing</w:t>
      </w:r>
      <w:proofErr w:type="gramEnd"/>
      <w:r>
        <w:t xml:space="preserve"> information on the use of molecular techniques in each organization;</w:t>
      </w:r>
    </w:p>
    <w:p w:rsidR="00170B28" w:rsidRDefault="00170B28" w:rsidP="00170B28">
      <w:pPr>
        <w:jc w:val="left"/>
      </w:pPr>
      <w:r>
        <w:tab/>
        <w:t>(ii)</w:t>
      </w:r>
      <w:r>
        <w:tab/>
      </w:r>
      <w:proofErr w:type="gramStart"/>
      <w:r>
        <w:t>procedure</w:t>
      </w:r>
      <w:proofErr w:type="gramEnd"/>
      <w:r>
        <w:t xml:space="preserve"> for approval of biochemical and molecular methods in each organization; and</w:t>
      </w:r>
    </w:p>
    <w:p w:rsidR="00170B28" w:rsidRDefault="00170B28" w:rsidP="00170B28">
      <w:pPr>
        <w:jc w:val="left"/>
      </w:pPr>
      <w:r>
        <w:tab/>
        <w:t>(iii)</w:t>
      </w:r>
      <w:r>
        <w:tab/>
      </w:r>
      <w:proofErr w:type="gramStart"/>
      <w:r>
        <w:t>possibilities</w:t>
      </w:r>
      <w:proofErr w:type="gramEnd"/>
      <w:r>
        <w:t xml:space="preserve"> for harmonizing terms, definitions and methods between UPOV, OECD and ISTA. </w:t>
      </w:r>
    </w:p>
    <w:p w:rsidR="00170B28" w:rsidRDefault="00170B28" w:rsidP="00170B28">
      <w:pPr>
        <w:jc w:val="left"/>
      </w:pPr>
    </w:p>
    <w:p w:rsidR="00170B28" w:rsidRDefault="00170B28" w:rsidP="00170B28">
      <w:r>
        <w:fldChar w:fldCharType="begin"/>
      </w:r>
      <w:r>
        <w:instrText xml:space="preserve"> AUTONUM  </w:instrText>
      </w:r>
      <w:r>
        <w:fldChar w:fldCharType="end"/>
      </w:r>
      <w:r>
        <w:tab/>
        <w:t xml:space="preserve">The TC agreed to request the Office of the Union to contact OECD and ISTA to explore suitable dates for a future joint workshop, such as in conjunction with the first session on the TWM, to </w:t>
      </w:r>
      <w:proofErr w:type="gramStart"/>
      <w:r>
        <w:t>be held</w:t>
      </w:r>
      <w:proofErr w:type="gramEnd"/>
      <w:r>
        <w:t xml:space="preserve"> in September 2022.</w:t>
      </w:r>
    </w:p>
    <w:p w:rsidR="00170B28" w:rsidRDefault="00170B28" w:rsidP="00170B28">
      <w:pPr>
        <w:keepNext/>
        <w:keepLines/>
      </w:pPr>
    </w:p>
    <w:p w:rsidR="00170B28" w:rsidRDefault="00170B28" w:rsidP="00170B28">
      <w:r>
        <w:fldChar w:fldCharType="begin"/>
      </w:r>
      <w:r>
        <w:instrText xml:space="preserve"> AUTONUM  </w:instrText>
      </w:r>
      <w:r>
        <w:fldChar w:fldCharType="end"/>
      </w:r>
      <w:r>
        <w:tab/>
        <w:t xml:space="preserve">On December 13, 2021, the Office of the Union </w:t>
      </w:r>
      <w:r w:rsidR="00197A66">
        <w:t>communicated an invitation</w:t>
      </w:r>
      <w:r w:rsidR="00F95768">
        <w:t xml:space="preserve"> to </w:t>
      </w:r>
      <w:r>
        <w:t xml:space="preserve">OECD and </w:t>
      </w:r>
      <w:r w:rsidR="00F95768">
        <w:t xml:space="preserve">ISTA </w:t>
      </w:r>
      <w:r w:rsidR="00F95768" w:rsidRPr="00F95768">
        <w:t>to hold another joint workshop on molecular techniques, in conjunction with the first session of the TWM, to be held on September 21, 2022, via electronic means, to include consideration of the topics (</w:t>
      </w:r>
      <w:proofErr w:type="spellStart"/>
      <w:r w:rsidR="00F95768" w:rsidRPr="00F95768">
        <w:t>i</w:t>
      </w:r>
      <w:proofErr w:type="spellEnd"/>
      <w:r w:rsidR="00F95768" w:rsidRPr="00F95768">
        <w:t>) to (iii) above</w:t>
      </w:r>
      <w:r w:rsidR="002F37C0">
        <w:t xml:space="preserve">.  Responses from OECD and ISTA, when available, </w:t>
      </w:r>
      <w:proofErr w:type="gramStart"/>
      <w:r w:rsidR="002F37C0">
        <w:t>will be reported</w:t>
      </w:r>
      <w:proofErr w:type="gramEnd"/>
      <w:r w:rsidR="002F37C0">
        <w:t xml:space="preserve"> to the Technical Working Parties and the Technical Committee.</w:t>
      </w:r>
    </w:p>
    <w:p w:rsidR="00C76C98" w:rsidRDefault="00C76C98" w:rsidP="00C76C98"/>
    <w:p w:rsidR="00B872E8" w:rsidRPr="0064047F" w:rsidRDefault="00B872E8" w:rsidP="00B872E8">
      <w:pPr>
        <w:keepNext/>
        <w:keepLines/>
        <w:tabs>
          <w:tab w:val="left" w:pos="5387"/>
          <w:tab w:val="left" w:pos="5954"/>
        </w:tabs>
        <w:ind w:left="4820"/>
        <w:rPr>
          <w:i/>
        </w:rPr>
      </w:pPr>
      <w:r w:rsidRPr="0064047F">
        <w:rPr>
          <w:i/>
        </w:rPr>
        <w:fldChar w:fldCharType="begin"/>
      </w:r>
      <w:r w:rsidRPr="0064047F">
        <w:rPr>
          <w:i/>
        </w:rPr>
        <w:instrText xml:space="preserve"> AUTONUM  </w:instrText>
      </w:r>
      <w:r w:rsidRPr="0064047F">
        <w:rPr>
          <w:i/>
        </w:rPr>
        <w:fldChar w:fldCharType="end"/>
      </w:r>
      <w:r w:rsidRPr="0064047F">
        <w:rPr>
          <w:i/>
        </w:rPr>
        <w:tab/>
        <w:t xml:space="preserve">The </w:t>
      </w:r>
      <w:r>
        <w:rPr>
          <w:i/>
        </w:rPr>
        <w:t xml:space="preserve">TWPs </w:t>
      </w:r>
      <w:proofErr w:type="gramStart"/>
      <w:r>
        <w:rPr>
          <w:i/>
        </w:rPr>
        <w:t>are invited</w:t>
      </w:r>
      <w:proofErr w:type="gramEnd"/>
      <w:r>
        <w:rPr>
          <w:i/>
        </w:rPr>
        <w:t xml:space="preserve"> to note</w:t>
      </w:r>
      <w:r w:rsidRPr="0064047F">
        <w:rPr>
          <w:i/>
        </w:rPr>
        <w:t>:</w:t>
      </w:r>
    </w:p>
    <w:p w:rsidR="00B872E8" w:rsidRPr="0064047F" w:rsidRDefault="00B872E8" w:rsidP="00B872E8">
      <w:pPr>
        <w:keepNext/>
        <w:keepLines/>
        <w:tabs>
          <w:tab w:val="left" w:pos="5387"/>
          <w:tab w:val="left" w:pos="5954"/>
        </w:tabs>
        <w:ind w:left="4820"/>
        <w:rPr>
          <w:i/>
        </w:rPr>
      </w:pPr>
    </w:p>
    <w:p w:rsidR="00B872E8" w:rsidRPr="003C3475" w:rsidRDefault="00B872E8" w:rsidP="00B872E8">
      <w:pPr>
        <w:keepNext/>
        <w:keepLines/>
        <w:tabs>
          <w:tab w:val="left" w:pos="5387"/>
          <w:tab w:val="left" w:pos="5954"/>
        </w:tabs>
        <w:ind w:left="4820"/>
        <w:rPr>
          <w:i/>
        </w:rPr>
      </w:pPr>
      <w:r w:rsidRPr="0064047F">
        <w:rPr>
          <w:i/>
        </w:rPr>
        <w:tab/>
        <w:t>(a)</w:t>
      </w:r>
      <w:r w:rsidRPr="0064047F">
        <w:rPr>
          <w:i/>
        </w:rPr>
        <w:tab/>
      </w:r>
      <w:r w:rsidR="00922264">
        <w:rPr>
          <w:i/>
        </w:rPr>
        <w:t xml:space="preserve">that </w:t>
      </w:r>
      <w:r w:rsidRPr="0064047F">
        <w:rPr>
          <w:i/>
        </w:rPr>
        <w:t>the results of the survey on the use of molecular marker techniques</w:t>
      </w:r>
      <w:r w:rsidR="00922264">
        <w:rPr>
          <w:i/>
        </w:rPr>
        <w:t xml:space="preserve"> were made available on the webpage of the fifty-seventh session of the Technical Committee, </w:t>
      </w:r>
      <w:r w:rsidRPr="0064047F">
        <w:rPr>
          <w:i/>
        </w:rPr>
        <w:t xml:space="preserve">as set </w:t>
      </w:r>
      <w:r w:rsidRPr="003C3475">
        <w:rPr>
          <w:i/>
        </w:rPr>
        <w:t xml:space="preserve">out in </w:t>
      </w:r>
      <w:r w:rsidR="00922264" w:rsidRPr="003C3475">
        <w:rPr>
          <w:i/>
        </w:rPr>
        <w:t>paragraph 28 of</w:t>
      </w:r>
      <w:r w:rsidRPr="003C3475">
        <w:rPr>
          <w:i/>
        </w:rPr>
        <w:t xml:space="preserve"> this document;</w:t>
      </w:r>
    </w:p>
    <w:p w:rsidR="00B872E8" w:rsidRPr="003C3475" w:rsidRDefault="00B872E8" w:rsidP="00B872E8">
      <w:pPr>
        <w:tabs>
          <w:tab w:val="left" w:pos="5387"/>
          <w:tab w:val="left" w:pos="5954"/>
        </w:tabs>
        <w:ind w:left="4820"/>
        <w:rPr>
          <w:i/>
        </w:rPr>
      </w:pPr>
    </w:p>
    <w:p w:rsidR="00B872E8" w:rsidRPr="003C3475" w:rsidRDefault="00B872E8" w:rsidP="005600DB">
      <w:pPr>
        <w:keepLines/>
        <w:tabs>
          <w:tab w:val="left" w:pos="5387"/>
          <w:tab w:val="left" w:pos="5954"/>
        </w:tabs>
        <w:ind w:left="4820"/>
        <w:rPr>
          <w:i/>
        </w:rPr>
      </w:pPr>
      <w:r w:rsidRPr="003C3475">
        <w:rPr>
          <w:i/>
        </w:rPr>
        <w:tab/>
        <w:t>(b)</w:t>
      </w:r>
      <w:r w:rsidRPr="003C3475">
        <w:rPr>
          <w:i/>
        </w:rPr>
        <w:tab/>
      </w:r>
      <w:proofErr w:type="gramStart"/>
      <w:r w:rsidR="005A0252" w:rsidRPr="003C3475">
        <w:rPr>
          <w:i/>
        </w:rPr>
        <w:t>that</w:t>
      </w:r>
      <w:proofErr w:type="gramEnd"/>
      <w:r w:rsidR="005A0252" w:rsidRPr="003C3475">
        <w:rPr>
          <w:i/>
        </w:rPr>
        <w:t xml:space="preserve"> on February 1, 2022, the Office of the Union issued Circular E-2/009 inviting members to continue the survey on the use of molecular marker techniques</w:t>
      </w:r>
      <w:r w:rsidR="00922264" w:rsidRPr="003C3475">
        <w:rPr>
          <w:i/>
        </w:rPr>
        <w:t>;</w:t>
      </w:r>
    </w:p>
    <w:p w:rsidR="00B872E8" w:rsidRPr="003C3475" w:rsidRDefault="00B872E8" w:rsidP="00B872E8">
      <w:pPr>
        <w:tabs>
          <w:tab w:val="left" w:pos="5387"/>
          <w:tab w:val="left" w:pos="5954"/>
        </w:tabs>
        <w:ind w:left="4820"/>
        <w:rPr>
          <w:i/>
        </w:rPr>
      </w:pPr>
    </w:p>
    <w:p w:rsidR="00B872E8" w:rsidRPr="003C3475" w:rsidRDefault="00B872E8" w:rsidP="00B872E8">
      <w:pPr>
        <w:tabs>
          <w:tab w:val="left" w:pos="5387"/>
          <w:tab w:val="left" w:pos="5954"/>
        </w:tabs>
        <w:ind w:left="4820"/>
        <w:rPr>
          <w:i/>
        </w:rPr>
      </w:pPr>
      <w:r w:rsidRPr="003C3475">
        <w:rPr>
          <w:i/>
        </w:rPr>
        <w:tab/>
        <w:t>(c)</w:t>
      </w:r>
      <w:r w:rsidRPr="003C3475">
        <w:rPr>
          <w:i/>
        </w:rPr>
        <w:tab/>
      </w:r>
      <w:proofErr w:type="gramStart"/>
      <w:r w:rsidR="005A0252" w:rsidRPr="003C3475">
        <w:rPr>
          <w:i/>
        </w:rPr>
        <w:t>the</w:t>
      </w:r>
      <w:proofErr w:type="gramEnd"/>
      <w:r w:rsidR="005A0252" w:rsidRPr="003C3475">
        <w:rPr>
          <w:i/>
        </w:rPr>
        <w:t xml:space="preserve"> draft joint document explaining the principal features of the systems of OECD, UPOV and ISTA, as set out in</w:t>
      </w:r>
      <w:r w:rsidR="00922264" w:rsidRPr="003C3475">
        <w:rPr>
          <w:i/>
        </w:rPr>
        <w:t xml:space="preserve"> the</w:t>
      </w:r>
      <w:r w:rsidR="005A0252" w:rsidRPr="003C3475">
        <w:rPr>
          <w:i/>
        </w:rPr>
        <w:t xml:space="preserve"> Annex to this document;</w:t>
      </w:r>
    </w:p>
    <w:p w:rsidR="00B872E8" w:rsidRPr="003C3475" w:rsidRDefault="00B872E8" w:rsidP="00B872E8">
      <w:pPr>
        <w:tabs>
          <w:tab w:val="left" w:pos="5387"/>
          <w:tab w:val="left" w:pos="5954"/>
        </w:tabs>
        <w:ind w:left="4820"/>
        <w:rPr>
          <w:i/>
        </w:rPr>
      </w:pPr>
    </w:p>
    <w:p w:rsidR="00B872E8" w:rsidRPr="0064047F" w:rsidRDefault="00B872E8" w:rsidP="00B872E8">
      <w:pPr>
        <w:tabs>
          <w:tab w:val="left" w:pos="5387"/>
          <w:tab w:val="left" w:pos="5954"/>
        </w:tabs>
        <w:ind w:left="4820"/>
        <w:rPr>
          <w:i/>
        </w:rPr>
      </w:pPr>
      <w:r w:rsidRPr="003C3475">
        <w:rPr>
          <w:i/>
        </w:rPr>
        <w:tab/>
        <w:t>(</w:t>
      </w:r>
      <w:r w:rsidR="005A0252" w:rsidRPr="003C3475">
        <w:rPr>
          <w:i/>
        </w:rPr>
        <w:t>d</w:t>
      </w:r>
      <w:r w:rsidRPr="003C3475">
        <w:rPr>
          <w:i/>
        </w:rPr>
        <w:t>)</w:t>
      </w:r>
      <w:r w:rsidRPr="003C3475">
        <w:rPr>
          <w:i/>
        </w:rPr>
        <w:tab/>
      </w:r>
      <w:proofErr w:type="gramStart"/>
      <w:r w:rsidR="005A0252" w:rsidRPr="003C3475">
        <w:rPr>
          <w:i/>
        </w:rPr>
        <w:t>the</w:t>
      </w:r>
      <w:proofErr w:type="gramEnd"/>
      <w:r w:rsidR="005A0252" w:rsidRPr="003C3475">
        <w:rPr>
          <w:i/>
        </w:rPr>
        <w:t xml:space="preserve"> topics proposed by the TC for a future joint UPOV/OECD/ISTA workshop, as set out in paragraph </w:t>
      </w:r>
      <w:r w:rsidR="00922264" w:rsidRPr="003C3475">
        <w:rPr>
          <w:i/>
        </w:rPr>
        <w:t>35</w:t>
      </w:r>
      <w:r w:rsidR="005A0252" w:rsidRPr="003C3475">
        <w:rPr>
          <w:i/>
        </w:rPr>
        <w:t xml:space="preserve"> of this document; </w:t>
      </w:r>
      <w:r w:rsidRPr="003C3475">
        <w:rPr>
          <w:i/>
        </w:rPr>
        <w:t>and</w:t>
      </w:r>
    </w:p>
    <w:p w:rsidR="00B872E8" w:rsidRPr="0064047F" w:rsidRDefault="00B872E8" w:rsidP="00B872E8">
      <w:pPr>
        <w:tabs>
          <w:tab w:val="left" w:pos="5387"/>
          <w:tab w:val="left" w:pos="5954"/>
        </w:tabs>
        <w:ind w:left="4820"/>
        <w:rPr>
          <w:i/>
        </w:rPr>
      </w:pPr>
      <w:r w:rsidRPr="0064047F">
        <w:rPr>
          <w:i/>
        </w:rPr>
        <w:t xml:space="preserve"> </w:t>
      </w:r>
    </w:p>
    <w:p w:rsidR="00B872E8" w:rsidRPr="0064047F" w:rsidRDefault="00B872E8" w:rsidP="00B872E8">
      <w:pPr>
        <w:tabs>
          <w:tab w:val="left" w:pos="5387"/>
          <w:tab w:val="left" w:pos="5954"/>
        </w:tabs>
        <w:ind w:left="4820"/>
        <w:rPr>
          <w:i/>
        </w:rPr>
      </w:pPr>
      <w:r w:rsidRPr="0064047F">
        <w:rPr>
          <w:i/>
        </w:rPr>
        <w:tab/>
        <w:t>(</w:t>
      </w:r>
      <w:r w:rsidR="005A0252">
        <w:rPr>
          <w:i/>
        </w:rPr>
        <w:t>e</w:t>
      </w:r>
      <w:r w:rsidRPr="0064047F">
        <w:rPr>
          <w:i/>
        </w:rPr>
        <w:t>)</w:t>
      </w:r>
      <w:r w:rsidRPr="0064047F">
        <w:rPr>
          <w:i/>
        </w:rPr>
        <w:tab/>
      </w:r>
      <w:proofErr w:type="gramStart"/>
      <w:r w:rsidR="005A0252">
        <w:rPr>
          <w:i/>
        </w:rPr>
        <w:t>that</w:t>
      </w:r>
      <w:proofErr w:type="gramEnd"/>
      <w:r w:rsidR="005A0252">
        <w:rPr>
          <w:i/>
        </w:rPr>
        <w:t xml:space="preserve"> on December 13, 2021, the Office of the Union informed</w:t>
      </w:r>
      <w:r w:rsidRPr="0064047F">
        <w:rPr>
          <w:i/>
        </w:rPr>
        <w:t xml:space="preserve"> OECD and ISTA </w:t>
      </w:r>
      <w:r w:rsidR="005A0252">
        <w:rPr>
          <w:i/>
        </w:rPr>
        <w:t>of the result of the survey</w:t>
      </w:r>
      <w:r w:rsidR="00E931C0">
        <w:rPr>
          <w:i/>
        </w:rPr>
        <w:t xml:space="preserve">, draft joint document and proposed topics for a future joint </w:t>
      </w:r>
      <w:r w:rsidR="00E931C0" w:rsidRPr="005A0252">
        <w:rPr>
          <w:i/>
        </w:rPr>
        <w:t>UPOV/OECD/ISTA workshop</w:t>
      </w:r>
      <w:r w:rsidR="00557F31">
        <w:rPr>
          <w:i/>
        </w:rPr>
        <w:t xml:space="preserve">. </w:t>
      </w:r>
      <w:r w:rsidR="00557F31" w:rsidRPr="00557F31">
        <w:rPr>
          <w:i/>
        </w:rPr>
        <w:t xml:space="preserve">Responses from OECD and ISTA, when available, </w:t>
      </w:r>
      <w:proofErr w:type="gramStart"/>
      <w:r w:rsidR="00557F31" w:rsidRPr="00557F31">
        <w:rPr>
          <w:i/>
        </w:rPr>
        <w:t>will be reported</w:t>
      </w:r>
      <w:proofErr w:type="gramEnd"/>
      <w:r w:rsidR="00557F31" w:rsidRPr="00557F31">
        <w:rPr>
          <w:i/>
        </w:rPr>
        <w:t xml:space="preserve"> to the Technical Working Parties and the Technical Committee.</w:t>
      </w:r>
    </w:p>
    <w:p w:rsidR="00B872E8" w:rsidRPr="0064047F" w:rsidRDefault="00B872E8" w:rsidP="00B872E8">
      <w:pPr>
        <w:tabs>
          <w:tab w:val="left" w:pos="5387"/>
          <w:tab w:val="left" w:pos="5954"/>
        </w:tabs>
        <w:ind w:left="4820"/>
        <w:rPr>
          <w:i/>
        </w:rPr>
      </w:pPr>
    </w:p>
    <w:p w:rsidR="00A71427" w:rsidRDefault="00A71427" w:rsidP="000F1377">
      <w:pPr>
        <w:jc w:val="left"/>
      </w:pPr>
    </w:p>
    <w:p w:rsidR="0051095D" w:rsidRDefault="00A71427" w:rsidP="00A71427">
      <w:pPr>
        <w:pStyle w:val="Heading1"/>
      </w:pPr>
      <w:bookmarkStart w:id="42" w:name="_Toc97892771"/>
      <w:r>
        <w:t>Developments at the twentieth session of the working group on biochemical and molecular techniques, and DNA-PROFILING in particular</w:t>
      </w:r>
      <w:bookmarkEnd w:id="42"/>
    </w:p>
    <w:p w:rsidR="00A71427" w:rsidRDefault="00A71427" w:rsidP="000F1377">
      <w:pPr>
        <w:jc w:val="left"/>
      </w:pPr>
    </w:p>
    <w:p w:rsidR="00A71427" w:rsidRDefault="00A71427" w:rsidP="000F1377">
      <w:pPr>
        <w:jc w:val="left"/>
      </w:pPr>
      <w:r>
        <w:fldChar w:fldCharType="begin"/>
      </w:r>
      <w:r>
        <w:instrText xml:space="preserve"> AUTONUM  </w:instrText>
      </w:r>
      <w:r>
        <w:fldChar w:fldCharType="end"/>
      </w:r>
      <w:r>
        <w:tab/>
        <w:t xml:space="preserve">The BMT held its twentieth </w:t>
      </w:r>
      <w:r w:rsidR="0015419B">
        <w:t xml:space="preserve">and final </w:t>
      </w:r>
      <w:r>
        <w:t>session</w:t>
      </w:r>
      <w:r w:rsidR="0015419B">
        <w:t>,</w:t>
      </w:r>
      <w:r>
        <w:t xml:space="preserve"> hosted by the United States of America and held via electronic means</w:t>
      </w:r>
      <w:r w:rsidR="0015419B">
        <w:t>,</w:t>
      </w:r>
      <w:r>
        <w:t xml:space="preserve"> from September 22 to 24, 2021.</w:t>
      </w:r>
    </w:p>
    <w:p w:rsidR="00A71427" w:rsidRDefault="00A71427" w:rsidP="000F1377">
      <w:pPr>
        <w:jc w:val="left"/>
      </w:pPr>
    </w:p>
    <w:p w:rsidR="00A71427" w:rsidRDefault="00A71427" w:rsidP="00A71427">
      <w:pPr>
        <w:pStyle w:val="Heading2"/>
      </w:pPr>
      <w:bookmarkStart w:id="43" w:name="_Toc97892772"/>
      <w:r>
        <w:t>Papers presented</w:t>
      </w:r>
      <w:bookmarkEnd w:id="43"/>
    </w:p>
    <w:p w:rsidR="00A71427" w:rsidRDefault="00A71427" w:rsidP="000F1377">
      <w:pPr>
        <w:jc w:val="left"/>
      </w:pPr>
    </w:p>
    <w:p w:rsidR="00A71427" w:rsidRDefault="00A71427" w:rsidP="000F1377">
      <w:pPr>
        <w:jc w:val="left"/>
      </w:pPr>
      <w:r>
        <w:fldChar w:fldCharType="begin"/>
      </w:r>
      <w:r>
        <w:instrText xml:space="preserve"> AUTONUM  </w:instrText>
      </w:r>
      <w:r>
        <w:fldChar w:fldCharType="end"/>
      </w:r>
      <w:r>
        <w:tab/>
        <w:t>The papers presented under each of the agenda items of the twentieth session of the BMT were as follows:</w:t>
      </w:r>
    </w:p>
    <w:p w:rsidR="00A71427" w:rsidRDefault="00A71427" w:rsidP="000F1377">
      <w:pPr>
        <w:jc w:val="left"/>
      </w:pPr>
    </w:p>
    <w:p w:rsidR="00A71427" w:rsidRPr="00A71427" w:rsidRDefault="00A71427" w:rsidP="00A71427">
      <w:pPr>
        <w:tabs>
          <w:tab w:val="left" w:pos="1134"/>
          <w:tab w:val="left" w:pos="1701"/>
        </w:tabs>
        <w:spacing w:line="276" w:lineRule="auto"/>
        <w:ind w:left="1134" w:hanging="567"/>
        <w:rPr>
          <w:i/>
        </w:rPr>
      </w:pPr>
      <w:r w:rsidRPr="00A71427">
        <w:rPr>
          <w:i/>
        </w:rPr>
        <w:t>Reports on developments in UPOV concerning biochemical and molecular techniques (document</w:t>
      </w:r>
      <w:r>
        <w:rPr>
          <w:i/>
        </w:rPr>
        <w:t> </w:t>
      </w:r>
      <w:r w:rsidRPr="00A71427">
        <w:rPr>
          <w:i/>
        </w:rPr>
        <w:t xml:space="preserve">BMT/20/2) </w:t>
      </w:r>
    </w:p>
    <w:p w:rsidR="00A71427" w:rsidRPr="00A71427" w:rsidRDefault="00A71427" w:rsidP="00A71427">
      <w:pPr>
        <w:tabs>
          <w:tab w:val="left" w:pos="1134"/>
          <w:tab w:val="left" w:pos="1701"/>
        </w:tabs>
        <w:spacing w:line="276" w:lineRule="auto"/>
        <w:ind w:left="1134" w:hanging="567"/>
        <w:rPr>
          <w:i/>
        </w:rPr>
      </w:pPr>
      <w:r w:rsidRPr="00A71427">
        <w:rPr>
          <w:i/>
        </w:rPr>
        <w:t xml:space="preserve">Short presentations on new developments in biochemical and molecular techniques by DUS experts, biochemical and molecular specialists, plant breeders and relevant international organizations (reports by participants) </w:t>
      </w:r>
    </w:p>
    <w:p w:rsidR="00A71427" w:rsidRPr="00A71427" w:rsidRDefault="00A71427" w:rsidP="00A71427">
      <w:pPr>
        <w:tabs>
          <w:tab w:val="left" w:pos="1134"/>
          <w:tab w:val="left" w:pos="1701"/>
        </w:tabs>
        <w:spacing w:line="276" w:lineRule="auto"/>
        <w:ind w:left="1134" w:hanging="567"/>
        <w:rPr>
          <w:i/>
        </w:rPr>
      </w:pPr>
      <w:r w:rsidRPr="00A71427">
        <w:rPr>
          <w:i/>
        </w:rPr>
        <w:t>Report of work on molecular techniques in relation to DUS examination</w:t>
      </w:r>
    </w:p>
    <w:p w:rsidR="00A71427" w:rsidRPr="003C3475" w:rsidRDefault="00A71427" w:rsidP="00A71427">
      <w:pPr>
        <w:tabs>
          <w:tab w:val="left" w:pos="1701"/>
        </w:tabs>
        <w:spacing w:line="276" w:lineRule="auto"/>
        <w:ind w:left="1701" w:hanging="567"/>
        <w:rPr>
          <w:i/>
          <w:lang w:val="fr-CH"/>
        </w:rPr>
      </w:pPr>
      <w:r w:rsidRPr="003C3475">
        <w:rPr>
          <w:i/>
          <w:lang w:val="fr-CH"/>
        </w:rPr>
        <w:t>(a)</w:t>
      </w:r>
      <w:r w:rsidRPr="003C3475">
        <w:rPr>
          <w:i/>
          <w:lang w:val="fr-CH"/>
        </w:rPr>
        <w:tab/>
        <w:t xml:space="preserve">Update on IMODDUS </w:t>
      </w:r>
      <w:proofErr w:type="spellStart"/>
      <w:r w:rsidRPr="003C3475">
        <w:rPr>
          <w:i/>
          <w:lang w:val="fr-CH"/>
        </w:rPr>
        <w:t>activities</w:t>
      </w:r>
      <w:proofErr w:type="spellEnd"/>
      <w:r w:rsidRPr="003C3475">
        <w:rPr>
          <w:i/>
          <w:lang w:val="fr-CH"/>
        </w:rPr>
        <w:t xml:space="preserve"> (documents BMT/20/7)</w:t>
      </w:r>
    </w:p>
    <w:p w:rsidR="00A71427" w:rsidRPr="00A71427" w:rsidRDefault="00A71427" w:rsidP="00A71427">
      <w:pPr>
        <w:tabs>
          <w:tab w:val="left" w:pos="1701"/>
        </w:tabs>
        <w:spacing w:line="276" w:lineRule="auto"/>
        <w:ind w:left="1701" w:hanging="567"/>
        <w:rPr>
          <w:i/>
        </w:rPr>
      </w:pPr>
      <w:r>
        <w:rPr>
          <w:i/>
        </w:rPr>
        <w:t>(b)</w:t>
      </w:r>
      <w:r>
        <w:rPr>
          <w:i/>
        </w:rPr>
        <w:tab/>
      </w:r>
      <w:r w:rsidRPr="00A71427">
        <w:rPr>
          <w:i/>
        </w:rPr>
        <w:t>Identifying levels of diversity and developing markers to assist in managing the DUS reference collection of field beans (</w:t>
      </w:r>
      <w:proofErr w:type="spellStart"/>
      <w:r w:rsidRPr="00A71427">
        <w:rPr>
          <w:i/>
        </w:rPr>
        <w:t>Vicia</w:t>
      </w:r>
      <w:proofErr w:type="spellEnd"/>
      <w:r w:rsidRPr="00A71427">
        <w:rPr>
          <w:i/>
        </w:rPr>
        <w:t xml:space="preserve"> </w:t>
      </w:r>
      <w:proofErr w:type="spellStart"/>
      <w:r w:rsidRPr="00A71427">
        <w:rPr>
          <w:i/>
        </w:rPr>
        <w:t>faba</w:t>
      </w:r>
      <w:proofErr w:type="spellEnd"/>
      <w:r w:rsidRPr="00A71427">
        <w:rPr>
          <w:i/>
        </w:rPr>
        <w:t>) (documents BMT/20/8)</w:t>
      </w:r>
    </w:p>
    <w:p w:rsidR="00A71427" w:rsidRPr="00A71427" w:rsidRDefault="00A71427" w:rsidP="00A71427">
      <w:pPr>
        <w:tabs>
          <w:tab w:val="left" w:pos="1701"/>
        </w:tabs>
        <w:spacing w:line="276" w:lineRule="auto"/>
        <w:ind w:left="1701" w:hanging="567"/>
        <w:rPr>
          <w:i/>
        </w:rPr>
      </w:pPr>
      <w:r w:rsidRPr="00A71427">
        <w:rPr>
          <w:i/>
        </w:rPr>
        <w:t>(c)</w:t>
      </w:r>
      <w:r w:rsidRPr="00A71427">
        <w:rPr>
          <w:i/>
        </w:rPr>
        <w:tab/>
        <w:t>Developing a strategy to apply SNP molecular markers in the framework of winter oilseed rape DUS testing (documents BMT/20/9)</w:t>
      </w:r>
    </w:p>
    <w:p w:rsidR="00A71427" w:rsidRPr="00A71427" w:rsidRDefault="00A71427" w:rsidP="00A71427">
      <w:pPr>
        <w:tabs>
          <w:tab w:val="left" w:pos="1134"/>
          <w:tab w:val="left" w:pos="1701"/>
        </w:tabs>
        <w:spacing w:line="276" w:lineRule="auto"/>
        <w:ind w:left="1134" w:hanging="567"/>
        <w:rPr>
          <w:i/>
        </w:rPr>
      </w:pPr>
      <w:r w:rsidRPr="00A71427">
        <w:rPr>
          <w:i/>
        </w:rPr>
        <w:t>Review of document UPOV/INF/17 “Guidelines for DNA-Profiling: Molecular Marker Selection and Database Construction” (“BMT Guidelines”) (documents BMT/20/3 and UPOV/INF/17/2 Draft 5)</w:t>
      </w:r>
    </w:p>
    <w:p w:rsidR="00A71427" w:rsidRPr="00A71427" w:rsidRDefault="00A71427" w:rsidP="00A71427">
      <w:pPr>
        <w:tabs>
          <w:tab w:val="left" w:pos="1134"/>
          <w:tab w:val="left" w:pos="1701"/>
        </w:tabs>
        <w:spacing w:line="276" w:lineRule="auto"/>
        <w:ind w:left="1134" w:hanging="567"/>
        <w:rPr>
          <w:i/>
        </w:rPr>
      </w:pPr>
      <w:r w:rsidRPr="00A71427">
        <w:rPr>
          <w:i/>
        </w:rPr>
        <w:t>Cooperation between international organizations (document BMT/20/4)</w:t>
      </w:r>
    </w:p>
    <w:p w:rsidR="00A71427" w:rsidRDefault="006B6267" w:rsidP="00A71427">
      <w:pPr>
        <w:tabs>
          <w:tab w:val="left" w:pos="1134"/>
          <w:tab w:val="left" w:pos="1701"/>
        </w:tabs>
        <w:spacing w:line="276" w:lineRule="auto"/>
        <w:ind w:left="1134" w:hanging="567"/>
        <w:rPr>
          <w:i/>
        </w:rPr>
      </w:pPr>
      <w:r>
        <w:rPr>
          <w:i/>
        </w:rPr>
        <w:tab/>
        <w:t>(a)</w:t>
      </w:r>
      <w:r w:rsidR="00A71427" w:rsidRPr="00A71427">
        <w:rPr>
          <w:i/>
        </w:rPr>
        <w:tab/>
        <w:t xml:space="preserve">OECD Seed Schemes (document BMT/20/10) </w:t>
      </w:r>
    </w:p>
    <w:p w:rsidR="006B6267" w:rsidRPr="00A71427" w:rsidRDefault="006B6267" w:rsidP="00A71427">
      <w:pPr>
        <w:tabs>
          <w:tab w:val="left" w:pos="1134"/>
          <w:tab w:val="left" w:pos="1701"/>
        </w:tabs>
        <w:spacing w:line="276" w:lineRule="auto"/>
        <w:ind w:left="1134" w:hanging="567"/>
        <w:rPr>
          <w:i/>
        </w:rPr>
      </w:pPr>
      <w:r>
        <w:rPr>
          <w:i/>
        </w:rPr>
        <w:tab/>
        <w:t>(b)</w:t>
      </w:r>
      <w:r>
        <w:rPr>
          <w:i/>
        </w:rPr>
        <w:tab/>
      </w:r>
      <w:r w:rsidRPr="006B6267">
        <w:rPr>
          <w:i/>
        </w:rPr>
        <w:t>ISTA report on biochemical and molecular techniques</w:t>
      </w:r>
      <w:r>
        <w:rPr>
          <w:i/>
        </w:rPr>
        <w:t xml:space="preserve"> (document BMT/20/11)</w:t>
      </w:r>
    </w:p>
    <w:p w:rsidR="00A71427" w:rsidRPr="00A71427" w:rsidRDefault="00A71427" w:rsidP="00A71427">
      <w:pPr>
        <w:tabs>
          <w:tab w:val="left" w:pos="1134"/>
          <w:tab w:val="left" w:pos="1701"/>
        </w:tabs>
        <w:spacing w:line="276" w:lineRule="auto"/>
        <w:ind w:left="1134" w:hanging="567"/>
        <w:rPr>
          <w:i/>
        </w:rPr>
      </w:pPr>
      <w:r w:rsidRPr="00A71427">
        <w:rPr>
          <w:i/>
        </w:rPr>
        <w:t xml:space="preserve">Confidentiality, ownership and access to molecular data, including model agreement template (document BMT/20/5) </w:t>
      </w:r>
    </w:p>
    <w:p w:rsidR="00A71427" w:rsidRPr="00A71427" w:rsidRDefault="00A71427" w:rsidP="00A71427">
      <w:pPr>
        <w:tabs>
          <w:tab w:val="left" w:pos="1134"/>
          <w:tab w:val="left" w:pos="1701"/>
        </w:tabs>
        <w:spacing w:line="276" w:lineRule="auto"/>
        <w:ind w:left="1134" w:hanging="567"/>
        <w:rPr>
          <w:i/>
        </w:rPr>
      </w:pPr>
      <w:r w:rsidRPr="00A71427">
        <w:rPr>
          <w:i/>
        </w:rPr>
        <w:t>Session to facilitate cooperation (document BMT/20/6)</w:t>
      </w:r>
    </w:p>
    <w:p w:rsidR="0051095D" w:rsidRDefault="0051095D" w:rsidP="000F1377">
      <w:pPr>
        <w:jc w:val="left"/>
      </w:pPr>
    </w:p>
    <w:p w:rsidR="0051095D" w:rsidRDefault="00C54DAD" w:rsidP="00C54DAD">
      <w:pPr>
        <w:pStyle w:val="Heading2"/>
      </w:pPr>
      <w:bookmarkStart w:id="44" w:name="_Toc97892773"/>
      <w:r>
        <w:t>Future program</w:t>
      </w:r>
      <w:bookmarkEnd w:id="44"/>
    </w:p>
    <w:p w:rsidR="0051095D" w:rsidRDefault="0051095D" w:rsidP="0051095D"/>
    <w:p w:rsidR="0051095D" w:rsidRPr="00C85523" w:rsidRDefault="0051095D" w:rsidP="0051095D">
      <w:r w:rsidRPr="00C85523">
        <w:fldChar w:fldCharType="begin"/>
      </w:r>
      <w:r w:rsidRPr="00C85523">
        <w:instrText xml:space="preserve"> AUTONUM  </w:instrText>
      </w:r>
      <w:r w:rsidRPr="00C85523">
        <w:fldChar w:fldCharType="end"/>
      </w:r>
      <w:r w:rsidRPr="00C85523">
        <w:tab/>
        <w:t>The TC</w:t>
      </w:r>
      <w:r w:rsidR="00C54DAD">
        <w:t>, at its fifty-seventh session,</w:t>
      </w:r>
      <w:r w:rsidRPr="00C85523">
        <w:t xml:space="preserve"> considered the program of work for the TWM and agreed the following items to </w:t>
      </w:r>
      <w:proofErr w:type="gramStart"/>
      <w:r w:rsidRPr="00C85523">
        <w:t>be considered</w:t>
      </w:r>
      <w:proofErr w:type="gramEnd"/>
      <w:r w:rsidRPr="00C85523">
        <w:t xml:space="preserve"> at its first session, to be held in 2022, as </w:t>
      </w:r>
      <w:r w:rsidR="00C54DAD">
        <w:t>follows</w:t>
      </w:r>
      <w:r w:rsidRPr="00C85523">
        <w:t>:</w:t>
      </w:r>
    </w:p>
    <w:p w:rsidR="0051095D" w:rsidRPr="00C85523" w:rsidRDefault="0051095D" w:rsidP="0051095D"/>
    <w:p w:rsidR="0051095D" w:rsidRPr="00C85523" w:rsidRDefault="0051095D" w:rsidP="0051095D">
      <w:pPr>
        <w:ind w:left="567"/>
        <w:rPr>
          <w:i/>
        </w:rPr>
      </w:pPr>
      <w:r w:rsidRPr="00C85523">
        <w:rPr>
          <w:i/>
        </w:rPr>
        <w:t>Opening, adoption of the agenda and short reports</w:t>
      </w:r>
    </w:p>
    <w:p w:rsidR="0051095D" w:rsidRPr="00C85523" w:rsidRDefault="0051095D" w:rsidP="0051095D">
      <w:pPr>
        <w:spacing w:line="276" w:lineRule="auto"/>
        <w:ind w:left="567"/>
      </w:pPr>
      <w:r w:rsidRPr="00C85523">
        <w:t>1.</w:t>
      </w:r>
      <w:r w:rsidRPr="00C85523">
        <w:tab/>
        <w:t>Opening of the Session</w:t>
      </w:r>
    </w:p>
    <w:p w:rsidR="0051095D" w:rsidRPr="00C85523" w:rsidRDefault="0051095D" w:rsidP="0051095D">
      <w:pPr>
        <w:spacing w:line="276" w:lineRule="auto"/>
        <w:ind w:left="567"/>
      </w:pPr>
      <w:r w:rsidRPr="00C85523">
        <w:t>2.</w:t>
      </w:r>
      <w:r w:rsidRPr="00C85523">
        <w:tab/>
        <w:t>Adoption of the agenda</w:t>
      </w:r>
    </w:p>
    <w:p w:rsidR="0051095D" w:rsidRPr="00C85523" w:rsidRDefault="0051095D" w:rsidP="0051095D">
      <w:pPr>
        <w:spacing w:line="276" w:lineRule="auto"/>
        <w:ind w:left="567"/>
      </w:pPr>
      <w:r w:rsidRPr="00C85523">
        <w:t>3.</w:t>
      </w:r>
      <w:r w:rsidRPr="00C85523">
        <w:tab/>
        <w:t>Short reports on developments in plant variety protection:</w:t>
      </w:r>
    </w:p>
    <w:p w:rsidR="0051095D" w:rsidRPr="00C85523" w:rsidRDefault="0051095D" w:rsidP="0051095D">
      <w:pPr>
        <w:tabs>
          <w:tab w:val="left" w:pos="1701"/>
        </w:tabs>
        <w:spacing w:line="276" w:lineRule="auto"/>
        <w:ind w:left="1701" w:hanging="567"/>
      </w:pPr>
      <w:r w:rsidRPr="00C85523">
        <w:t>(a)</w:t>
      </w:r>
      <w:r w:rsidRPr="00C85523">
        <w:tab/>
        <w:t xml:space="preserve">Reports from members and observers (written reports to </w:t>
      </w:r>
      <w:proofErr w:type="gramStart"/>
      <w:r w:rsidRPr="00C85523">
        <w:t>be prepared</w:t>
      </w:r>
      <w:proofErr w:type="gramEnd"/>
      <w:r w:rsidRPr="00C85523">
        <w:t xml:space="preserve"> by members and observers)</w:t>
      </w:r>
    </w:p>
    <w:p w:rsidR="0051095D" w:rsidRPr="00C85523" w:rsidRDefault="0051095D" w:rsidP="0051095D">
      <w:pPr>
        <w:tabs>
          <w:tab w:val="left" w:pos="1701"/>
        </w:tabs>
        <w:spacing w:line="276" w:lineRule="auto"/>
        <w:ind w:left="1701" w:hanging="567"/>
      </w:pPr>
      <w:r w:rsidRPr="00C85523">
        <w:t>(b)</w:t>
      </w:r>
      <w:r w:rsidRPr="00C85523">
        <w:tab/>
        <w:t xml:space="preserve">Report on developments within UPOV (report by the Office of the Union) </w:t>
      </w:r>
    </w:p>
    <w:p w:rsidR="0051095D" w:rsidRPr="00C85523" w:rsidRDefault="0051095D" w:rsidP="0051095D">
      <w:pPr>
        <w:tabs>
          <w:tab w:val="left" w:pos="1701"/>
        </w:tabs>
        <w:spacing w:line="276" w:lineRule="auto"/>
        <w:ind w:left="1701" w:hanging="567"/>
      </w:pPr>
    </w:p>
    <w:p w:rsidR="0051095D" w:rsidRPr="00C85523" w:rsidRDefault="0051095D" w:rsidP="0051095D">
      <w:pPr>
        <w:tabs>
          <w:tab w:val="left" w:pos="1134"/>
        </w:tabs>
        <w:spacing w:line="276" w:lineRule="auto"/>
        <w:ind w:left="1134" w:hanging="567"/>
        <w:rPr>
          <w:i/>
        </w:rPr>
      </w:pPr>
      <w:r w:rsidRPr="00C85523">
        <w:rPr>
          <w:i/>
        </w:rPr>
        <w:t xml:space="preserve">Guidance and cooperation </w:t>
      </w:r>
    </w:p>
    <w:p w:rsidR="0051095D" w:rsidRPr="00C85523" w:rsidRDefault="0051095D" w:rsidP="0051095D">
      <w:pPr>
        <w:spacing w:line="276" w:lineRule="auto"/>
        <w:ind w:left="1134" w:hanging="567"/>
      </w:pPr>
      <w:r w:rsidRPr="00C85523">
        <w:t>4.</w:t>
      </w:r>
      <w:r w:rsidRPr="00C85523">
        <w:tab/>
        <w:t xml:space="preserve">Development of guidance and information materials (documents to </w:t>
      </w:r>
      <w:proofErr w:type="gramStart"/>
      <w:r w:rsidRPr="00C85523">
        <w:t>be prepared</w:t>
      </w:r>
      <w:proofErr w:type="gramEnd"/>
      <w:r w:rsidRPr="00C85523">
        <w:t xml:space="preserve"> by the Office of the Union)</w:t>
      </w:r>
    </w:p>
    <w:p w:rsidR="0051095D" w:rsidRPr="00C85523" w:rsidRDefault="0051095D" w:rsidP="0051095D">
      <w:pPr>
        <w:spacing w:line="276" w:lineRule="auto"/>
        <w:ind w:left="1134" w:hanging="567"/>
      </w:pPr>
      <w:r w:rsidRPr="00C85523">
        <w:t>5.</w:t>
      </w:r>
      <w:r w:rsidRPr="00C85523">
        <w:tab/>
        <w:t xml:space="preserve">Increasing participation in the work of the TC and the TWPs (document to </w:t>
      </w:r>
      <w:proofErr w:type="gramStart"/>
      <w:r w:rsidRPr="00C85523">
        <w:t>be prepared</w:t>
      </w:r>
      <w:proofErr w:type="gramEnd"/>
      <w:r w:rsidRPr="00C85523">
        <w:t xml:space="preserve"> by the Office of the Union)</w:t>
      </w:r>
    </w:p>
    <w:p w:rsidR="0051095D" w:rsidRPr="00C85523" w:rsidRDefault="0051095D" w:rsidP="0051095D">
      <w:pPr>
        <w:spacing w:line="276" w:lineRule="auto"/>
        <w:ind w:left="1134" w:hanging="567"/>
      </w:pPr>
      <w:r w:rsidRPr="00C85523">
        <w:t>6.</w:t>
      </w:r>
      <w:r w:rsidRPr="00C85523">
        <w:tab/>
        <w:t xml:space="preserve">Cooperation in examination (document to </w:t>
      </w:r>
      <w:proofErr w:type="gramStart"/>
      <w:r w:rsidRPr="00C85523">
        <w:t>be prepared</w:t>
      </w:r>
      <w:proofErr w:type="gramEnd"/>
      <w:r w:rsidRPr="00C85523">
        <w:t xml:space="preserve"> by the Office of the Union)</w:t>
      </w:r>
    </w:p>
    <w:p w:rsidR="0051095D" w:rsidRPr="00C85523" w:rsidRDefault="0051095D" w:rsidP="0051095D">
      <w:pPr>
        <w:spacing w:line="276" w:lineRule="auto"/>
        <w:ind w:left="1134" w:hanging="567"/>
      </w:pPr>
      <w:r w:rsidRPr="00C85523">
        <w:t>7.</w:t>
      </w:r>
      <w:r w:rsidRPr="00C85523">
        <w:tab/>
        <w:t>Information and databases (documents invited)</w:t>
      </w:r>
    </w:p>
    <w:p w:rsidR="0051095D" w:rsidRPr="00C85523" w:rsidRDefault="0051095D" w:rsidP="0051095D">
      <w:pPr>
        <w:spacing w:line="276" w:lineRule="auto"/>
        <w:ind w:left="1701" w:hanging="567"/>
      </w:pPr>
      <w:r w:rsidRPr="00C85523">
        <w:t>(a)</w:t>
      </w:r>
      <w:r w:rsidRPr="00C85523">
        <w:tab/>
        <w:t xml:space="preserve">UPOV PRISMA (document to </w:t>
      </w:r>
      <w:proofErr w:type="gramStart"/>
      <w:r w:rsidRPr="00C85523">
        <w:t>be prepared</w:t>
      </w:r>
      <w:proofErr w:type="gramEnd"/>
      <w:r w:rsidRPr="00C85523">
        <w:t xml:space="preserve"> by the Office of the Union) </w:t>
      </w:r>
    </w:p>
    <w:p w:rsidR="0051095D" w:rsidRPr="00C85523" w:rsidRDefault="0051095D" w:rsidP="0051095D">
      <w:pPr>
        <w:spacing w:line="276" w:lineRule="auto"/>
        <w:ind w:left="1134"/>
      </w:pPr>
      <w:r w:rsidRPr="00C85523">
        <w:t>(b)</w:t>
      </w:r>
      <w:r w:rsidRPr="00C85523">
        <w:tab/>
        <w:t xml:space="preserve">UPOV information databases (document to </w:t>
      </w:r>
      <w:proofErr w:type="gramStart"/>
      <w:r w:rsidRPr="00C85523">
        <w:t>be prepared</w:t>
      </w:r>
      <w:proofErr w:type="gramEnd"/>
      <w:r w:rsidRPr="00C85523">
        <w:t xml:space="preserve"> by the Office of the Union)</w:t>
      </w:r>
    </w:p>
    <w:p w:rsidR="0051095D" w:rsidRPr="00C85523" w:rsidRDefault="0051095D" w:rsidP="0051095D">
      <w:pPr>
        <w:spacing w:line="276" w:lineRule="auto"/>
        <w:ind w:left="1701" w:hanging="567"/>
      </w:pPr>
      <w:r w:rsidRPr="00C85523">
        <w:t>(c)</w:t>
      </w:r>
      <w:r w:rsidRPr="00C85523">
        <w:tab/>
        <w:t xml:space="preserve">Variety description databases including databases containing molecular data (papers invited) </w:t>
      </w:r>
    </w:p>
    <w:p w:rsidR="0051095D" w:rsidRPr="00C85523" w:rsidRDefault="0051095D" w:rsidP="0051095D">
      <w:pPr>
        <w:spacing w:line="276" w:lineRule="auto"/>
        <w:ind w:left="1134" w:hanging="567"/>
      </w:pPr>
      <w:r w:rsidRPr="00C85523">
        <w:t>8.</w:t>
      </w:r>
      <w:r w:rsidRPr="00C85523">
        <w:tab/>
        <w:t xml:space="preserve">Variety denominations (document to </w:t>
      </w:r>
      <w:proofErr w:type="gramStart"/>
      <w:r w:rsidRPr="00C85523">
        <w:t>be prepared</w:t>
      </w:r>
      <w:proofErr w:type="gramEnd"/>
      <w:r w:rsidRPr="00C85523">
        <w:t xml:space="preserve"> by the Office of the Union)</w:t>
      </w:r>
    </w:p>
    <w:p w:rsidR="0051095D" w:rsidRPr="00C85523" w:rsidRDefault="0051095D" w:rsidP="0051095D">
      <w:pPr>
        <w:spacing w:line="276" w:lineRule="auto"/>
        <w:ind w:left="1134" w:hanging="567"/>
      </w:pPr>
    </w:p>
    <w:p w:rsidR="0051095D" w:rsidRPr="00C85523" w:rsidRDefault="0051095D" w:rsidP="0051095D">
      <w:pPr>
        <w:spacing w:line="276" w:lineRule="auto"/>
        <w:ind w:left="1134" w:hanging="567"/>
        <w:rPr>
          <w:i/>
        </w:rPr>
      </w:pPr>
      <w:r w:rsidRPr="00C85523">
        <w:rPr>
          <w:i/>
        </w:rPr>
        <w:t>Software and statistical analysis methods for DUS examination</w:t>
      </w:r>
    </w:p>
    <w:p w:rsidR="0051095D" w:rsidRPr="00C85523" w:rsidRDefault="0051095D" w:rsidP="0051095D">
      <w:pPr>
        <w:spacing w:line="276" w:lineRule="auto"/>
        <w:ind w:left="567"/>
      </w:pPr>
      <w:r w:rsidRPr="00C85523">
        <w:t>9.</w:t>
      </w:r>
      <w:r w:rsidRPr="00C85523">
        <w:tab/>
        <w:t>Statistical tools and methods for DUS examination (documents invited)</w:t>
      </w:r>
    </w:p>
    <w:p w:rsidR="0051095D" w:rsidRPr="00C85523" w:rsidRDefault="0051095D" w:rsidP="0051095D">
      <w:pPr>
        <w:spacing w:line="276" w:lineRule="auto"/>
        <w:ind w:left="1701" w:hanging="567"/>
      </w:pPr>
      <w:r w:rsidRPr="00C85523">
        <w:t>(a)</w:t>
      </w:r>
      <w:r w:rsidRPr="00C85523">
        <w:tab/>
        <w:t xml:space="preserve">Comparison of results obtained for COYD and COYU procedures using different software (document to </w:t>
      </w:r>
      <w:proofErr w:type="gramStart"/>
      <w:r w:rsidRPr="00C85523">
        <w:t>be prepared</w:t>
      </w:r>
      <w:proofErr w:type="gramEnd"/>
      <w:r w:rsidRPr="00C85523">
        <w:t xml:space="preserve"> by France)</w:t>
      </w:r>
    </w:p>
    <w:p w:rsidR="0051095D" w:rsidRPr="00C85523" w:rsidRDefault="0051095D" w:rsidP="0051095D">
      <w:pPr>
        <w:spacing w:line="276" w:lineRule="auto"/>
        <w:ind w:left="1701" w:hanging="567"/>
      </w:pPr>
      <w:r w:rsidRPr="00C85523">
        <w:t>(b)</w:t>
      </w:r>
      <w:r w:rsidRPr="00C85523">
        <w:tab/>
        <w:t xml:space="preserve">Development of software for the improved COYU method (splines) (document to </w:t>
      </w:r>
      <w:proofErr w:type="gramStart"/>
      <w:r w:rsidRPr="00C85523">
        <w:t>be prepared</w:t>
      </w:r>
      <w:proofErr w:type="gramEnd"/>
      <w:r w:rsidRPr="00C85523">
        <w:t xml:space="preserve"> by the United Kingdom)</w:t>
      </w:r>
    </w:p>
    <w:p w:rsidR="0051095D" w:rsidRPr="00C85523" w:rsidRDefault="0051095D" w:rsidP="0051095D">
      <w:pPr>
        <w:spacing w:line="276" w:lineRule="auto"/>
        <w:ind w:left="1701" w:hanging="567"/>
      </w:pPr>
      <w:r w:rsidRPr="00C85523">
        <w:t>(c)</w:t>
      </w:r>
      <w:r w:rsidRPr="00C85523">
        <w:tab/>
        <w:t xml:space="preserve">Extrapolation in relation to COYU (document to </w:t>
      </w:r>
      <w:proofErr w:type="gramStart"/>
      <w:r w:rsidRPr="00C85523">
        <w:t>be prepared</w:t>
      </w:r>
      <w:proofErr w:type="gramEnd"/>
      <w:r w:rsidRPr="00C85523">
        <w:t xml:space="preserve"> by the United Kingdom and documents invited) </w:t>
      </w:r>
    </w:p>
    <w:p w:rsidR="0051095D" w:rsidRPr="00C85523" w:rsidRDefault="0051095D" w:rsidP="0051095D">
      <w:pPr>
        <w:spacing w:line="276" w:lineRule="auto"/>
        <w:ind w:left="1134" w:hanging="567"/>
      </w:pPr>
      <w:r w:rsidRPr="00C85523">
        <w:t>10.</w:t>
      </w:r>
      <w:r w:rsidRPr="00C85523">
        <w:tab/>
        <w:t xml:space="preserve">Exchange and use of software and equipment (document to </w:t>
      </w:r>
      <w:proofErr w:type="gramStart"/>
      <w:r w:rsidRPr="00C85523">
        <w:t>be prepared</w:t>
      </w:r>
      <w:proofErr w:type="gramEnd"/>
      <w:r w:rsidRPr="00C85523">
        <w:t xml:space="preserve"> by the Office of the Union and documents invited)</w:t>
      </w:r>
    </w:p>
    <w:p w:rsidR="0051095D" w:rsidRPr="00C85523" w:rsidRDefault="0051095D" w:rsidP="0051095D">
      <w:pPr>
        <w:spacing w:line="276" w:lineRule="auto"/>
        <w:ind w:left="1134"/>
      </w:pPr>
      <w:r w:rsidRPr="00C85523">
        <w:t>-</w:t>
      </w:r>
      <w:r w:rsidRPr="00C85523">
        <w:tab/>
        <w:t xml:space="preserve">Development of Statistical Analysis Software: DUSCEL (document to </w:t>
      </w:r>
      <w:proofErr w:type="gramStart"/>
      <w:r w:rsidRPr="00C85523">
        <w:t>be prepared</w:t>
      </w:r>
      <w:proofErr w:type="gramEnd"/>
      <w:r w:rsidRPr="00C85523">
        <w:t xml:space="preserve"> by China)</w:t>
      </w:r>
    </w:p>
    <w:p w:rsidR="0051095D" w:rsidRPr="00C85523" w:rsidRDefault="0051095D" w:rsidP="0051095D">
      <w:pPr>
        <w:spacing w:line="276" w:lineRule="auto"/>
        <w:rPr>
          <w:i/>
        </w:rPr>
      </w:pPr>
    </w:p>
    <w:p w:rsidR="0051095D" w:rsidRPr="00C85523" w:rsidRDefault="0051095D" w:rsidP="0051095D">
      <w:pPr>
        <w:keepNext/>
        <w:spacing w:line="276" w:lineRule="auto"/>
        <w:rPr>
          <w:i/>
        </w:rPr>
      </w:pPr>
      <w:r w:rsidRPr="00C85523">
        <w:rPr>
          <w:i/>
        </w:rPr>
        <w:tab/>
        <w:t>Phenotyping and image analysis</w:t>
      </w:r>
    </w:p>
    <w:p w:rsidR="0051095D" w:rsidRPr="00C85523" w:rsidRDefault="0051095D" w:rsidP="0051095D">
      <w:pPr>
        <w:keepNext/>
        <w:spacing w:line="276" w:lineRule="auto"/>
        <w:ind w:left="1134" w:hanging="567"/>
      </w:pPr>
      <w:r w:rsidRPr="00C85523">
        <w:t>11.</w:t>
      </w:r>
      <w:r w:rsidRPr="00C85523">
        <w:tab/>
        <w:t>Phenotyping and image analysis (documents invited)</w:t>
      </w:r>
    </w:p>
    <w:p w:rsidR="0051095D" w:rsidRPr="00C85523" w:rsidRDefault="0051095D" w:rsidP="0051095D">
      <w:pPr>
        <w:spacing w:line="276" w:lineRule="auto"/>
        <w:ind w:left="1134" w:hanging="567"/>
      </w:pPr>
    </w:p>
    <w:p w:rsidR="0051095D" w:rsidRPr="00C85523" w:rsidRDefault="0051095D" w:rsidP="0051095D">
      <w:pPr>
        <w:spacing w:line="276" w:lineRule="auto"/>
        <w:ind w:left="1134" w:hanging="567"/>
        <w:rPr>
          <w:i/>
        </w:rPr>
      </w:pPr>
      <w:r w:rsidRPr="00C85523">
        <w:rPr>
          <w:i/>
        </w:rPr>
        <w:t xml:space="preserve">Molecular techniques </w:t>
      </w:r>
    </w:p>
    <w:p w:rsidR="0051095D" w:rsidRPr="00C85523" w:rsidRDefault="0051095D" w:rsidP="0051095D">
      <w:pPr>
        <w:spacing w:line="276" w:lineRule="auto"/>
        <w:ind w:left="1134" w:hanging="567"/>
      </w:pPr>
      <w:r w:rsidRPr="00C85523">
        <w:t>12.</w:t>
      </w:r>
      <w:r w:rsidRPr="00C85523">
        <w:tab/>
        <w:t xml:space="preserve">Molecular Techniques and bioinformatics (document to </w:t>
      </w:r>
      <w:proofErr w:type="gramStart"/>
      <w:r w:rsidRPr="00C85523">
        <w:t>be prepared</w:t>
      </w:r>
      <w:proofErr w:type="gramEnd"/>
      <w:r w:rsidRPr="00C85523">
        <w:t xml:space="preserve"> by the Office of the Union and documents invited)</w:t>
      </w:r>
    </w:p>
    <w:p w:rsidR="0051095D" w:rsidRPr="00C85523" w:rsidRDefault="0051095D" w:rsidP="0051095D">
      <w:pPr>
        <w:spacing w:line="276" w:lineRule="auto"/>
        <w:ind w:left="1134" w:hanging="567"/>
      </w:pPr>
      <w:r w:rsidRPr="00C85523">
        <w:t>13.</w:t>
      </w:r>
      <w:r w:rsidRPr="00C85523">
        <w:tab/>
        <w:t>Methods for analysis of molecular data, management of databases and exchange of data and material (papers invited)</w:t>
      </w:r>
    </w:p>
    <w:p w:rsidR="0051095D" w:rsidRPr="00C85523" w:rsidRDefault="0051095D" w:rsidP="0051095D">
      <w:pPr>
        <w:spacing w:line="276" w:lineRule="auto"/>
        <w:ind w:left="1134" w:hanging="567"/>
      </w:pPr>
      <w:r w:rsidRPr="00C85523">
        <w:t>14.</w:t>
      </w:r>
      <w:r w:rsidRPr="00C85523">
        <w:tab/>
        <w:t xml:space="preserve">Report of work on molecular techniques in relation to DUS examination (papers invited) </w:t>
      </w:r>
    </w:p>
    <w:p w:rsidR="0051095D" w:rsidRPr="00C85523" w:rsidRDefault="0051095D" w:rsidP="0051095D">
      <w:pPr>
        <w:spacing w:line="276" w:lineRule="auto"/>
        <w:ind w:left="1134" w:hanging="567"/>
      </w:pPr>
      <w:r w:rsidRPr="00C85523">
        <w:t>15.</w:t>
      </w:r>
      <w:r w:rsidRPr="00C85523">
        <w:tab/>
        <w:t>The use of molecular techniques in examining essential derivation</w:t>
      </w:r>
      <w:r w:rsidRPr="00C85523">
        <w:rPr>
          <w:rStyle w:val="FootnoteReference"/>
        </w:rPr>
        <w:footnoteReference w:id="11"/>
      </w:r>
      <w:r w:rsidRPr="00C85523">
        <w:t xml:space="preserve"> (papers invited)</w:t>
      </w:r>
    </w:p>
    <w:p w:rsidR="0051095D" w:rsidRPr="00C85523" w:rsidRDefault="0051095D" w:rsidP="0051095D">
      <w:pPr>
        <w:spacing w:line="276" w:lineRule="auto"/>
        <w:ind w:left="1134" w:hanging="567"/>
      </w:pPr>
      <w:r w:rsidRPr="00C85523">
        <w:t>16.</w:t>
      </w:r>
      <w:r w:rsidRPr="00C85523">
        <w:tab/>
        <w:t>The use of molecular techniques in variety identification</w:t>
      </w:r>
      <w:r w:rsidRPr="00C85523">
        <w:rPr>
          <w:vertAlign w:val="superscript"/>
        </w:rPr>
        <w:t>2</w:t>
      </w:r>
      <w:r w:rsidRPr="00C85523">
        <w:t xml:space="preserve"> (papers invited)</w:t>
      </w:r>
    </w:p>
    <w:p w:rsidR="0051095D" w:rsidRPr="00C85523" w:rsidRDefault="0051095D" w:rsidP="0051095D">
      <w:pPr>
        <w:spacing w:line="276" w:lineRule="auto"/>
        <w:ind w:left="1134" w:hanging="567"/>
      </w:pPr>
      <w:r w:rsidRPr="00C85523">
        <w:t>17.</w:t>
      </w:r>
      <w:r w:rsidRPr="00C85523">
        <w:tab/>
        <w:t>The use of molecular techniques for enforcement</w:t>
      </w:r>
      <w:r w:rsidRPr="00C85523">
        <w:rPr>
          <w:vertAlign w:val="superscript"/>
        </w:rPr>
        <w:t>2</w:t>
      </w:r>
      <w:r w:rsidRPr="00C85523">
        <w:t xml:space="preserve"> (papers invited) </w:t>
      </w:r>
    </w:p>
    <w:p w:rsidR="0051095D" w:rsidRPr="00C85523" w:rsidRDefault="0051095D" w:rsidP="0051095D">
      <w:pPr>
        <w:spacing w:line="276" w:lineRule="auto"/>
        <w:ind w:left="1134" w:hanging="567"/>
      </w:pPr>
      <w:r w:rsidRPr="00C85523">
        <w:t>18.</w:t>
      </w:r>
      <w:r w:rsidRPr="00C85523">
        <w:tab/>
        <w:t xml:space="preserve">Cooperation between international organizations (document to </w:t>
      </w:r>
      <w:proofErr w:type="gramStart"/>
      <w:r w:rsidRPr="00C85523">
        <w:t>be prepared</w:t>
      </w:r>
      <w:proofErr w:type="gramEnd"/>
      <w:r w:rsidRPr="00C85523">
        <w:t xml:space="preserve"> by the Office of the Union and papers invited)</w:t>
      </w:r>
    </w:p>
    <w:p w:rsidR="0051095D" w:rsidRPr="00C85523" w:rsidRDefault="0051095D" w:rsidP="0051095D">
      <w:pPr>
        <w:spacing w:line="276" w:lineRule="auto"/>
        <w:ind w:left="1134" w:hanging="567"/>
      </w:pPr>
      <w:r w:rsidRPr="00C85523">
        <w:t>19.</w:t>
      </w:r>
      <w:r w:rsidRPr="00C85523">
        <w:tab/>
        <w:t>Confidentiality, ownership and access to molecular data, including model agreement template</w:t>
      </w:r>
      <w:r w:rsidRPr="00C85523">
        <w:rPr>
          <w:vertAlign w:val="superscript"/>
        </w:rPr>
        <w:t>2</w:t>
      </w:r>
      <w:r w:rsidRPr="00C85523">
        <w:t xml:space="preserve"> (papers invited)</w:t>
      </w:r>
    </w:p>
    <w:p w:rsidR="0051095D" w:rsidRPr="00C85523" w:rsidRDefault="0051095D" w:rsidP="0051095D">
      <w:pPr>
        <w:spacing w:line="276" w:lineRule="auto"/>
        <w:ind w:left="1134" w:hanging="567"/>
      </w:pPr>
      <w:r w:rsidRPr="00C85523">
        <w:t>20.</w:t>
      </w:r>
      <w:r w:rsidRPr="00C85523">
        <w:tab/>
        <w:t>Session to facilitate cooperation (possible break-out sessions)</w:t>
      </w:r>
    </w:p>
    <w:p w:rsidR="0051095D" w:rsidRPr="00C85523" w:rsidRDefault="0051095D" w:rsidP="0051095D">
      <w:pPr>
        <w:spacing w:line="276" w:lineRule="auto"/>
        <w:ind w:left="1134" w:hanging="567"/>
      </w:pPr>
    </w:p>
    <w:p w:rsidR="0051095D" w:rsidRPr="00C85523" w:rsidRDefault="0051095D" w:rsidP="0051095D">
      <w:pPr>
        <w:spacing w:line="276" w:lineRule="auto"/>
        <w:ind w:left="1134" w:hanging="567"/>
        <w:rPr>
          <w:i/>
        </w:rPr>
      </w:pPr>
      <w:r w:rsidRPr="00C85523">
        <w:rPr>
          <w:i/>
        </w:rPr>
        <w:t>Future program, report and closing</w:t>
      </w:r>
    </w:p>
    <w:p w:rsidR="0051095D" w:rsidRPr="00C85523" w:rsidRDefault="0051095D" w:rsidP="0051095D">
      <w:pPr>
        <w:spacing w:line="276" w:lineRule="auto"/>
        <w:ind w:left="1134" w:hanging="567"/>
      </w:pPr>
      <w:r w:rsidRPr="00C85523">
        <w:t>21.</w:t>
      </w:r>
      <w:r w:rsidRPr="00C85523">
        <w:tab/>
        <w:t>Date and place of the next session</w:t>
      </w:r>
    </w:p>
    <w:p w:rsidR="0051095D" w:rsidRPr="00C85523" w:rsidRDefault="0051095D" w:rsidP="0051095D">
      <w:pPr>
        <w:spacing w:line="276" w:lineRule="auto"/>
        <w:ind w:left="1134" w:hanging="567"/>
      </w:pPr>
      <w:r w:rsidRPr="00C85523">
        <w:t>22.</w:t>
      </w:r>
      <w:r w:rsidRPr="00C85523">
        <w:tab/>
        <w:t>Future program</w:t>
      </w:r>
    </w:p>
    <w:p w:rsidR="0051095D" w:rsidRPr="00C85523" w:rsidRDefault="0051095D" w:rsidP="0051095D">
      <w:pPr>
        <w:spacing w:line="276" w:lineRule="auto"/>
        <w:ind w:left="1134" w:hanging="567"/>
      </w:pPr>
      <w:r w:rsidRPr="00C85523">
        <w:t>23.</w:t>
      </w:r>
      <w:r w:rsidRPr="00C85523">
        <w:tab/>
        <w:t>Adoption of the Report on the session (if time permits)</w:t>
      </w:r>
    </w:p>
    <w:p w:rsidR="0051095D" w:rsidRDefault="0051095D" w:rsidP="0051095D">
      <w:pPr>
        <w:spacing w:line="276" w:lineRule="auto"/>
        <w:ind w:left="1134" w:hanging="567"/>
      </w:pPr>
      <w:r w:rsidRPr="00C85523">
        <w:t>24.</w:t>
      </w:r>
      <w:r w:rsidRPr="00C85523">
        <w:tab/>
        <w:t>Closing of the session</w:t>
      </w:r>
    </w:p>
    <w:p w:rsidR="0051095D" w:rsidRDefault="0051095D" w:rsidP="000F1377">
      <w:pPr>
        <w:jc w:val="left"/>
      </w:pPr>
    </w:p>
    <w:p w:rsidR="00310A60" w:rsidRPr="00310A60" w:rsidRDefault="00310A60" w:rsidP="00310A60">
      <w:pPr>
        <w:tabs>
          <w:tab w:val="left" w:pos="5387"/>
          <w:tab w:val="left" w:pos="5954"/>
        </w:tabs>
        <w:ind w:left="4820"/>
        <w:rPr>
          <w:i/>
        </w:rPr>
      </w:pPr>
      <w:r w:rsidRPr="00310A60">
        <w:rPr>
          <w:i/>
        </w:rPr>
        <w:fldChar w:fldCharType="begin"/>
      </w:r>
      <w:r w:rsidRPr="00310A60">
        <w:rPr>
          <w:i/>
        </w:rPr>
        <w:instrText xml:space="preserve"> AUTONUM  </w:instrText>
      </w:r>
      <w:r w:rsidRPr="00310A60">
        <w:rPr>
          <w:i/>
        </w:rPr>
        <w:fldChar w:fldCharType="end"/>
      </w:r>
      <w:r w:rsidRPr="00310A60">
        <w:rPr>
          <w:i/>
        </w:rPr>
        <w:tab/>
        <w:t xml:space="preserve">The TWPs </w:t>
      </w:r>
      <w:proofErr w:type="gramStart"/>
      <w:r w:rsidRPr="00310A60">
        <w:rPr>
          <w:i/>
        </w:rPr>
        <w:t>are invited</w:t>
      </w:r>
      <w:proofErr w:type="gramEnd"/>
      <w:r w:rsidRPr="00310A60">
        <w:rPr>
          <w:i/>
        </w:rPr>
        <w:t xml:space="preserve"> to note:</w:t>
      </w:r>
    </w:p>
    <w:p w:rsidR="00310A60" w:rsidRPr="00310A60" w:rsidRDefault="00310A60" w:rsidP="00310A60">
      <w:pPr>
        <w:tabs>
          <w:tab w:val="left" w:pos="5387"/>
          <w:tab w:val="left" w:pos="5954"/>
        </w:tabs>
        <w:ind w:left="4820"/>
        <w:rPr>
          <w:i/>
        </w:rPr>
      </w:pPr>
    </w:p>
    <w:p w:rsidR="00310A60" w:rsidRPr="00310A60" w:rsidRDefault="00310A60" w:rsidP="00310A60">
      <w:pPr>
        <w:tabs>
          <w:tab w:val="left" w:pos="5387"/>
          <w:tab w:val="left" w:pos="5954"/>
        </w:tabs>
        <w:ind w:left="4820"/>
        <w:rPr>
          <w:i/>
        </w:rPr>
      </w:pPr>
      <w:r w:rsidRPr="00310A60">
        <w:rPr>
          <w:i/>
        </w:rPr>
        <w:tab/>
        <w:t>(a)</w:t>
      </w:r>
      <w:r w:rsidRPr="00310A60">
        <w:rPr>
          <w:i/>
        </w:rPr>
        <w:tab/>
      </w:r>
      <w:proofErr w:type="gramStart"/>
      <w:r w:rsidRPr="00310A60">
        <w:rPr>
          <w:i/>
        </w:rPr>
        <w:t>the</w:t>
      </w:r>
      <w:proofErr w:type="gramEnd"/>
      <w:r w:rsidRPr="00310A60">
        <w:rPr>
          <w:i/>
        </w:rPr>
        <w:t xml:space="preserve"> papers presented at the twentieth session of the BMT; and </w:t>
      </w:r>
    </w:p>
    <w:p w:rsidR="00310A60" w:rsidRPr="00310A60" w:rsidRDefault="00310A60" w:rsidP="00310A60">
      <w:pPr>
        <w:tabs>
          <w:tab w:val="left" w:pos="5387"/>
          <w:tab w:val="left" w:pos="5954"/>
        </w:tabs>
        <w:ind w:left="4820"/>
        <w:rPr>
          <w:i/>
        </w:rPr>
      </w:pPr>
    </w:p>
    <w:p w:rsidR="00310A60" w:rsidRPr="00310A60" w:rsidRDefault="00310A60" w:rsidP="00310A60">
      <w:pPr>
        <w:tabs>
          <w:tab w:val="left" w:pos="5387"/>
          <w:tab w:val="left" w:pos="5954"/>
        </w:tabs>
        <w:ind w:left="4820"/>
        <w:rPr>
          <w:i/>
        </w:rPr>
      </w:pPr>
      <w:r w:rsidRPr="00310A60">
        <w:rPr>
          <w:i/>
        </w:rPr>
        <w:tab/>
        <w:t>(b)</w:t>
      </w:r>
      <w:r w:rsidRPr="00310A60">
        <w:rPr>
          <w:i/>
        </w:rPr>
        <w:tab/>
      </w:r>
      <w:proofErr w:type="gramStart"/>
      <w:r w:rsidRPr="00310A60">
        <w:rPr>
          <w:i/>
        </w:rPr>
        <w:t>the</w:t>
      </w:r>
      <w:proofErr w:type="gramEnd"/>
      <w:r w:rsidRPr="00310A60">
        <w:rPr>
          <w:i/>
        </w:rPr>
        <w:t xml:space="preserve"> program of work for the first session of the TWM.</w:t>
      </w:r>
      <w:bookmarkStart w:id="45" w:name="_GoBack"/>
      <w:bookmarkEnd w:id="45"/>
    </w:p>
    <w:p w:rsidR="00310A60" w:rsidRPr="00310A60" w:rsidRDefault="00310A60" w:rsidP="00310A60">
      <w:pPr>
        <w:tabs>
          <w:tab w:val="left" w:pos="5387"/>
          <w:tab w:val="left" w:pos="5954"/>
        </w:tabs>
        <w:ind w:left="4820"/>
        <w:rPr>
          <w:i/>
        </w:rPr>
      </w:pPr>
    </w:p>
    <w:p w:rsidR="0051095D" w:rsidRDefault="0051095D" w:rsidP="000F1377">
      <w:pPr>
        <w:jc w:val="left"/>
      </w:pPr>
    </w:p>
    <w:p w:rsidR="00E702E7" w:rsidRDefault="00E702E7" w:rsidP="00E702E7">
      <w:pPr>
        <w:pStyle w:val="Heading1"/>
      </w:pPr>
      <w:bookmarkStart w:id="46" w:name="_Toc84413225"/>
      <w:bookmarkStart w:id="47" w:name="_Toc97892774"/>
      <w:r w:rsidRPr="00640427">
        <w:t>Confidentiality &amp; Ownership of Molecular Information</w:t>
      </w:r>
      <w:bookmarkEnd w:id="46"/>
      <w:bookmarkEnd w:id="47"/>
    </w:p>
    <w:p w:rsidR="00E702E7" w:rsidRPr="00465745" w:rsidRDefault="00E702E7" w:rsidP="00E702E7"/>
    <w:p w:rsidR="00E702E7" w:rsidRPr="00465745" w:rsidRDefault="00E702E7" w:rsidP="00E702E7">
      <w:r w:rsidRPr="00465745">
        <w:fldChar w:fldCharType="begin"/>
      </w:r>
      <w:r w:rsidRPr="00465745">
        <w:instrText xml:space="preserve"> AUTONUM  </w:instrText>
      </w:r>
      <w:r w:rsidRPr="00465745">
        <w:fldChar w:fldCharType="end"/>
      </w:r>
      <w:r w:rsidRPr="00465745">
        <w:tab/>
      </w:r>
      <w:proofErr w:type="gramStart"/>
      <w:r w:rsidRPr="00465745">
        <w:t xml:space="preserve">The </w:t>
      </w:r>
      <w:r>
        <w:t>TWPs and the BMT, at their sessions in 2021,</w:t>
      </w:r>
      <w:r w:rsidRPr="00465745">
        <w:t xml:space="preserve"> received a presentation on “Confidentiality &amp; Ownership of Molecular Information” by an expert on behalf of the African Seed Trade Association (AFSTA), the Asia and Pacific Seed Association (APSA), the International Community of Breeders of Asexually Reproduced Horticultural Plants (CIOPORA), </w:t>
      </w:r>
      <w:proofErr w:type="spellStart"/>
      <w:r w:rsidRPr="00465745">
        <w:t>CropLife</w:t>
      </w:r>
      <w:proofErr w:type="spellEnd"/>
      <w:r w:rsidRPr="00465745">
        <w:t xml:space="preserve"> International, </w:t>
      </w:r>
      <w:proofErr w:type="spellStart"/>
      <w:r w:rsidRPr="00465745">
        <w:t>Euroseeds</w:t>
      </w:r>
      <w:proofErr w:type="spellEnd"/>
      <w:r w:rsidRPr="00465745">
        <w:t>, the International Seed Federation (ISF) and the Seed Association of the Americas (SAA).</w:t>
      </w:r>
      <w:proofErr w:type="gramEnd"/>
      <w:r w:rsidRPr="00465745">
        <w:t xml:space="preserve">  A copy of the presentation is provided in document TWV/55/4</w:t>
      </w:r>
      <w:r>
        <w:t xml:space="preserve"> (see documents TWV/55/16 “Report”, paragraphs 56 to 61; TWO/53/10 “Report”, paragraphs 62 to 64; TWA/50/9 “Report”, paragraphs 91 to 93; TWF/52/10 “Report”, paragraphs 16 and 17; and BMT/20/12 “Report”, paragraphs 25 to 27)</w:t>
      </w:r>
      <w:r w:rsidRPr="00465745">
        <w:t>.</w:t>
      </w:r>
    </w:p>
    <w:p w:rsidR="00E702E7" w:rsidRPr="00465745" w:rsidRDefault="00E702E7" w:rsidP="00E702E7"/>
    <w:p w:rsidR="00E702E7" w:rsidRPr="00465745" w:rsidRDefault="00E702E7" w:rsidP="00E702E7">
      <w:r w:rsidRPr="00465745">
        <w:fldChar w:fldCharType="begin"/>
      </w:r>
      <w:r w:rsidRPr="00465745">
        <w:instrText xml:space="preserve"> AUTONUM  </w:instrText>
      </w:r>
      <w:r w:rsidRPr="00465745">
        <w:fldChar w:fldCharType="end"/>
      </w:r>
      <w:r w:rsidRPr="00465745">
        <w:tab/>
      </w:r>
      <w:r w:rsidR="00CE6928" w:rsidRPr="00FC712E">
        <w:t xml:space="preserve">The </w:t>
      </w:r>
      <w:r w:rsidR="00CE6928" w:rsidRPr="00FA4478">
        <w:t>TWV</w:t>
      </w:r>
      <w:r w:rsidR="00CE6928" w:rsidRPr="00FC712E">
        <w:t>, at its fifty-fifth session</w:t>
      </w:r>
      <w:r w:rsidR="00CE6928" w:rsidRPr="00FA4478">
        <w:rPr>
          <w:vertAlign w:val="superscript"/>
        </w:rPr>
        <w:footnoteReference w:id="12"/>
      </w:r>
      <w:r w:rsidR="00CE6928" w:rsidRPr="00FC712E">
        <w:t>,</w:t>
      </w:r>
      <w:r>
        <w:t xml:space="preserve"> TWO</w:t>
      </w:r>
      <w:r w:rsidR="00CE6928">
        <w:t>, at its fifty-third session</w:t>
      </w:r>
      <w:r w:rsidR="00CE6928">
        <w:rPr>
          <w:rStyle w:val="FootnoteReference"/>
        </w:rPr>
        <w:footnoteReference w:id="13"/>
      </w:r>
      <w:r w:rsidR="00CE6928">
        <w:t>,</w:t>
      </w:r>
      <w:r>
        <w:t xml:space="preserve"> and </w:t>
      </w:r>
      <w:r w:rsidR="00CE6928" w:rsidRPr="00FC712E">
        <w:t>TWA, at its fiftieth session</w:t>
      </w:r>
      <w:r w:rsidR="00CE6928" w:rsidRPr="00FA4478">
        <w:rPr>
          <w:vertAlign w:val="superscript"/>
        </w:rPr>
        <w:footnoteReference w:id="14"/>
      </w:r>
      <w:r w:rsidR="00CE6928" w:rsidRPr="00FC712E">
        <w:t xml:space="preserve">, </w:t>
      </w:r>
      <w:r w:rsidRPr="00465745">
        <w:t>considered the proposal to revise document TGP/5, Section 3: Model Application Form, to include a request for confidentiality of molecular information of candidate varieties as follows:</w:t>
      </w:r>
    </w:p>
    <w:p w:rsidR="00E702E7" w:rsidRPr="00465745" w:rsidRDefault="00E702E7" w:rsidP="00E702E7">
      <w:pPr>
        <w:ind w:left="567" w:right="567"/>
      </w:pPr>
    </w:p>
    <w:p w:rsidR="00E702E7" w:rsidRPr="00465745" w:rsidRDefault="00E702E7" w:rsidP="00E702E7">
      <w:pPr>
        <w:ind w:left="567" w:right="567"/>
        <w:rPr>
          <w:i/>
        </w:rPr>
      </w:pPr>
      <w:r w:rsidRPr="00465745">
        <w:rPr>
          <w:i/>
        </w:rPr>
        <w:t>“I/We request that molecular information pertaining to the variety remains confidential and exchange to another UPOV member or examination office is subject to approval by the applicant.”</w:t>
      </w:r>
    </w:p>
    <w:p w:rsidR="00E702E7" w:rsidRPr="00465745" w:rsidRDefault="00E702E7" w:rsidP="00E702E7"/>
    <w:p w:rsidR="00E702E7" w:rsidRPr="00465745" w:rsidRDefault="00E702E7" w:rsidP="00E702E7">
      <w:r w:rsidRPr="00465745">
        <w:fldChar w:fldCharType="begin"/>
      </w:r>
      <w:r w:rsidRPr="00465745">
        <w:instrText xml:space="preserve"> AUTONUM  </w:instrText>
      </w:r>
      <w:r w:rsidRPr="00465745">
        <w:fldChar w:fldCharType="end"/>
      </w:r>
      <w:r w:rsidRPr="00465745">
        <w:tab/>
        <w:t xml:space="preserve">The TWV noted that some authorities were creating databases with molecular information and using </w:t>
      </w:r>
      <w:r w:rsidR="0015419B">
        <w:t>that</w:t>
      </w:r>
      <w:r w:rsidR="0015419B" w:rsidRPr="00465745">
        <w:t xml:space="preserve"> </w:t>
      </w:r>
      <w:r w:rsidRPr="00465745">
        <w:t xml:space="preserve">information for selecting similar varieties and organizing the growing trial. </w:t>
      </w:r>
    </w:p>
    <w:p w:rsidR="00E702E7" w:rsidRPr="00465745" w:rsidRDefault="00E702E7" w:rsidP="00E702E7"/>
    <w:p w:rsidR="00E702E7" w:rsidRPr="00465745" w:rsidRDefault="00E702E7" w:rsidP="00314EE1">
      <w:pPr>
        <w:keepLines/>
      </w:pPr>
      <w:r w:rsidRPr="00465745">
        <w:fldChar w:fldCharType="begin"/>
      </w:r>
      <w:r w:rsidRPr="00465745">
        <w:instrText xml:space="preserve"> AUTONUM  </w:instrText>
      </w:r>
      <w:r w:rsidRPr="00465745">
        <w:fldChar w:fldCharType="end"/>
      </w:r>
      <w:r w:rsidRPr="00465745">
        <w:tab/>
        <w:t xml:space="preserve">The TWV agreed to request information on whether the proposal could prevent the authority receiving an application from obtaining molecular information from the candidate variety for DUS purposes and whether the </w:t>
      </w:r>
      <w:proofErr w:type="gramStart"/>
      <w:r w:rsidRPr="00465745">
        <w:t>proposal was only aimed at preventing the receiving authority from passing on molecular information of the variety to other authorities without approval by the applicant</w:t>
      </w:r>
      <w:proofErr w:type="gramEnd"/>
      <w:r w:rsidRPr="00465745">
        <w:t>.</w:t>
      </w:r>
    </w:p>
    <w:p w:rsidR="00E702E7" w:rsidRPr="00465745" w:rsidRDefault="00E702E7" w:rsidP="00314EE1">
      <w:pPr>
        <w:keepLines/>
      </w:pPr>
    </w:p>
    <w:p w:rsidR="00E702E7" w:rsidRPr="00465745" w:rsidRDefault="00E702E7" w:rsidP="00E702E7">
      <w:r w:rsidRPr="00465745">
        <w:fldChar w:fldCharType="begin"/>
      </w:r>
      <w:r w:rsidRPr="00465745">
        <w:instrText xml:space="preserve"> AUTONUM  </w:instrText>
      </w:r>
      <w:r w:rsidRPr="00465745">
        <w:fldChar w:fldCharType="end"/>
      </w:r>
      <w:r w:rsidRPr="00465745">
        <w:tab/>
        <w:t xml:space="preserve">The TWV noted that a further discussion with breeders </w:t>
      </w:r>
      <w:proofErr w:type="gramStart"/>
      <w:r w:rsidRPr="00465745">
        <w:t>will</w:t>
      </w:r>
      <w:proofErr w:type="gramEnd"/>
      <w:r w:rsidRPr="00465745">
        <w:t xml:space="preserve"> be needed to find a pragmatic solution to address the concerns of the breeders but to prevent unnecessary administrative burden for authorities.</w:t>
      </w:r>
    </w:p>
    <w:p w:rsidR="00E702E7" w:rsidRPr="00465745" w:rsidRDefault="00E702E7" w:rsidP="00E702E7"/>
    <w:p w:rsidR="00E702E7" w:rsidRPr="00465745" w:rsidRDefault="00E702E7" w:rsidP="00E702E7">
      <w:r w:rsidRPr="00465745">
        <w:fldChar w:fldCharType="begin"/>
      </w:r>
      <w:r w:rsidRPr="00465745">
        <w:instrText xml:space="preserve"> AUTONUM  </w:instrText>
      </w:r>
      <w:r w:rsidRPr="00465745">
        <w:fldChar w:fldCharType="end"/>
      </w:r>
      <w:r w:rsidRPr="00465745">
        <w:tab/>
        <w:t xml:space="preserve">The TWV noted that the same presentation </w:t>
      </w:r>
      <w:proofErr w:type="gramStart"/>
      <w:r w:rsidRPr="00465745">
        <w:t>would be scheduled</w:t>
      </w:r>
      <w:proofErr w:type="gramEnd"/>
      <w:r w:rsidRPr="00465745">
        <w:t xml:space="preserve"> for other TWPs at their sessions in 2021, which would allow further consideration of the proposal.</w:t>
      </w:r>
    </w:p>
    <w:p w:rsidR="00E702E7" w:rsidRPr="00465745" w:rsidRDefault="00E702E7" w:rsidP="00E702E7"/>
    <w:p w:rsidR="00E702E7" w:rsidRDefault="00E702E7" w:rsidP="00E702E7">
      <w:r>
        <w:fldChar w:fldCharType="begin"/>
      </w:r>
      <w:r>
        <w:instrText xml:space="preserve"> AUTONUM  </w:instrText>
      </w:r>
      <w:r>
        <w:fldChar w:fldCharType="end"/>
      </w:r>
      <w:r>
        <w:tab/>
        <w:t xml:space="preserve">The TWO agreed that further discussion </w:t>
      </w:r>
      <w:proofErr w:type="gramStart"/>
      <w:r>
        <w:t>would be needed</w:t>
      </w:r>
      <w:proofErr w:type="gramEnd"/>
      <w:r>
        <w:t xml:space="preserve"> to find a suitable solution to address the concerns of the breeders while preventing unnecessary administrative burden for authorities.</w:t>
      </w:r>
    </w:p>
    <w:p w:rsidR="00E702E7" w:rsidRDefault="00E702E7" w:rsidP="00E702E7">
      <w:pPr>
        <w:jc w:val="left"/>
      </w:pPr>
    </w:p>
    <w:p w:rsidR="00E702E7" w:rsidRDefault="00E702E7" w:rsidP="00E702E7">
      <w:r>
        <w:fldChar w:fldCharType="begin"/>
      </w:r>
      <w:r>
        <w:instrText xml:space="preserve"> AUTONUM  </w:instrText>
      </w:r>
      <w:r>
        <w:fldChar w:fldCharType="end"/>
      </w:r>
      <w:r>
        <w:tab/>
        <w:t>The TWA noted the importance of confidentiality of molecular information for breeders and agreed that further discussion would be required on the topic.  The TWA noted that confidentiality of molecular information could be subject to legislation in different UPOV members and agreed to invite presentations at its fifty-first session.  The TWA noted the expression of interest from Argentina to make a presentation on the topic at the fifty-first session of the TWA.</w:t>
      </w:r>
    </w:p>
    <w:p w:rsidR="00E702E7" w:rsidRDefault="00E702E7" w:rsidP="00E702E7"/>
    <w:p w:rsidR="00E702E7" w:rsidRDefault="00E702E7" w:rsidP="00E702E7">
      <w:pPr>
        <w:rPr>
          <w:rFonts w:cs="Arial"/>
          <w:i/>
          <w:snapToGrid w:val="0"/>
        </w:rPr>
      </w:pPr>
      <w:r>
        <w:fldChar w:fldCharType="begin"/>
      </w:r>
      <w:r>
        <w:instrText xml:space="preserve"> AUTONUM  </w:instrText>
      </w:r>
      <w:r>
        <w:fldChar w:fldCharType="end"/>
      </w:r>
      <w:r>
        <w:tab/>
      </w:r>
      <w:r w:rsidR="00CE6928" w:rsidRPr="00FC712E">
        <w:t>The TWF</w:t>
      </w:r>
      <w:r w:rsidR="00CE6928" w:rsidRPr="00FA4478">
        <w:rPr>
          <w:vertAlign w:val="superscript"/>
        </w:rPr>
        <w:footnoteReference w:id="15"/>
      </w:r>
      <w:r w:rsidR="00CE6928" w:rsidRPr="00FC712E">
        <w:t xml:space="preserve">, at its fifty-third session, </w:t>
      </w:r>
      <w:r>
        <w:t xml:space="preserve">noted that the matter of confidentiality and ownership of molecular information </w:t>
      </w:r>
      <w:proofErr w:type="gramStart"/>
      <w:r>
        <w:t>had not been considered in any detail in the fruit sector and agreed that further discussion was required</w:t>
      </w:r>
      <w:proofErr w:type="gramEnd"/>
      <w:r>
        <w:t>. The TWF agreed to invite presentations from members and observers on this topic under the agenda item “Presentation on the use of molecular techniques in DUS examination” at its fifty-third session.</w:t>
      </w:r>
    </w:p>
    <w:p w:rsidR="00E702E7" w:rsidRDefault="00E702E7" w:rsidP="00E702E7">
      <w:pPr>
        <w:jc w:val="left"/>
      </w:pPr>
    </w:p>
    <w:p w:rsidR="00E702E7" w:rsidRPr="00C22974" w:rsidRDefault="00E702E7" w:rsidP="00E702E7">
      <w:pPr>
        <w:rPr>
          <w:rFonts w:cs="Arial"/>
          <w:iCs/>
        </w:rPr>
      </w:pPr>
      <w:r w:rsidRPr="00C22974">
        <w:rPr>
          <w:rFonts w:cs="Arial"/>
          <w:iCs/>
        </w:rPr>
        <w:fldChar w:fldCharType="begin"/>
      </w:r>
      <w:r w:rsidRPr="00C22974">
        <w:rPr>
          <w:rFonts w:cs="Arial"/>
          <w:iCs/>
        </w:rPr>
        <w:instrText xml:space="preserve"> AUTONUM  </w:instrText>
      </w:r>
      <w:r w:rsidRPr="00C22974">
        <w:rPr>
          <w:rFonts w:cs="Arial"/>
          <w:iCs/>
        </w:rPr>
        <w:fldChar w:fldCharType="end"/>
      </w:r>
      <w:r w:rsidRPr="00C22974">
        <w:rPr>
          <w:rFonts w:cs="Arial"/>
          <w:iCs/>
        </w:rPr>
        <w:tab/>
      </w:r>
      <w:r w:rsidR="00CE6928" w:rsidRPr="00A17C89">
        <w:t>BMT</w:t>
      </w:r>
      <w:r w:rsidR="00CE6928">
        <w:t>, at its twentieth session</w:t>
      </w:r>
      <w:r w:rsidR="00CE6928">
        <w:rPr>
          <w:rStyle w:val="FootnoteReference"/>
        </w:rPr>
        <w:footnoteReference w:id="16"/>
      </w:r>
      <w:r w:rsidR="00CE6928">
        <w:t>,</w:t>
      </w:r>
      <w:r w:rsidR="00CE6928" w:rsidRPr="00A17C89">
        <w:t xml:space="preserve"> </w:t>
      </w:r>
      <w:r w:rsidRPr="00C22974">
        <w:rPr>
          <w:rFonts w:cs="Arial"/>
          <w:iCs/>
        </w:rPr>
        <w:t xml:space="preserve">noted that discussions on </w:t>
      </w:r>
      <w:r w:rsidRPr="00C22974">
        <w:t>confidentiality, ownership and access to molecular data</w:t>
      </w:r>
      <w:r w:rsidRPr="00C22974">
        <w:rPr>
          <w:rFonts w:cs="Arial"/>
          <w:iCs/>
        </w:rPr>
        <w:t xml:space="preserve"> </w:t>
      </w:r>
      <w:proofErr w:type="gramStart"/>
      <w:r w:rsidRPr="00C22974">
        <w:rPr>
          <w:rFonts w:cs="Arial"/>
          <w:iCs/>
        </w:rPr>
        <w:t>had been held</w:t>
      </w:r>
      <w:proofErr w:type="gramEnd"/>
      <w:r w:rsidRPr="00C22974">
        <w:rPr>
          <w:rFonts w:cs="Arial"/>
          <w:iCs/>
        </w:rPr>
        <w:t xml:space="preserve"> at the Technical Working Parties, at their sessions in 2021.  The BMT noted that the TWPs had invited further </w:t>
      </w:r>
      <w:r w:rsidRPr="00781108">
        <w:rPr>
          <w:rFonts w:cs="Arial"/>
          <w:iCs/>
        </w:rPr>
        <w:t>discussions</w:t>
      </w:r>
      <w:r>
        <w:rPr>
          <w:rFonts w:cs="Arial"/>
          <w:iCs/>
        </w:rPr>
        <w:t xml:space="preserve"> </w:t>
      </w:r>
      <w:r w:rsidRPr="00C22974">
        <w:rPr>
          <w:rFonts w:cs="Arial"/>
          <w:iCs/>
        </w:rPr>
        <w:t>on this topic for their next sessions.</w:t>
      </w:r>
    </w:p>
    <w:p w:rsidR="00E702E7" w:rsidRPr="00C22974" w:rsidRDefault="00E702E7" w:rsidP="00E702E7">
      <w:pPr>
        <w:rPr>
          <w:rFonts w:cs="Arial"/>
          <w:iCs/>
        </w:rPr>
      </w:pPr>
    </w:p>
    <w:p w:rsidR="00E702E7" w:rsidRPr="00C22974" w:rsidRDefault="00E702E7" w:rsidP="00E702E7">
      <w:pPr>
        <w:rPr>
          <w:rFonts w:cs="Arial"/>
          <w:iCs/>
        </w:rPr>
      </w:pPr>
      <w:r w:rsidRPr="00C22974">
        <w:rPr>
          <w:rFonts w:cs="Arial"/>
          <w:iCs/>
        </w:rPr>
        <w:fldChar w:fldCharType="begin"/>
      </w:r>
      <w:r w:rsidRPr="00C22974">
        <w:rPr>
          <w:rFonts w:cs="Arial"/>
          <w:iCs/>
        </w:rPr>
        <w:instrText xml:space="preserve"> AUTONUM  </w:instrText>
      </w:r>
      <w:r w:rsidRPr="00C22974">
        <w:rPr>
          <w:rFonts w:cs="Arial"/>
          <w:iCs/>
        </w:rPr>
        <w:fldChar w:fldCharType="end"/>
      </w:r>
      <w:r w:rsidRPr="00C22974">
        <w:rPr>
          <w:rFonts w:cs="Arial"/>
          <w:iCs/>
        </w:rPr>
        <w:tab/>
        <w:t xml:space="preserve">The BMT </w:t>
      </w:r>
      <w:r w:rsidRPr="009E2967">
        <w:rPr>
          <w:rFonts w:cs="Arial"/>
          <w:iCs/>
        </w:rPr>
        <w:t>agreed</w:t>
      </w:r>
      <w:r w:rsidRPr="00C22974">
        <w:rPr>
          <w:rFonts w:cs="Arial"/>
          <w:iCs/>
        </w:rPr>
        <w:t xml:space="preserve"> to invite presentations on current practices on confidentiality and access to molecular data to </w:t>
      </w:r>
      <w:proofErr w:type="gramStart"/>
      <w:r w:rsidRPr="00C22974">
        <w:rPr>
          <w:rFonts w:cs="Arial"/>
          <w:iCs/>
        </w:rPr>
        <w:t>be made</w:t>
      </w:r>
      <w:proofErr w:type="gramEnd"/>
      <w:r w:rsidRPr="00C22974">
        <w:rPr>
          <w:rFonts w:cs="Arial"/>
          <w:iCs/>
        </w:rPr>
        <w:t xml:space="preserve"> at the first session of the TWM.  The BMT agreed that current practices in UPOV members and observers could provide a suitable basis for further discussions on the topic. </w:t>
      </w:r>
    </w:p>
    <w:p w:rsidR="00E702E7" w:rsidRDefault="00E702E7" w:rsidP="00E702E7">
      <w:pPr>
        <w:rPr>
          <w:noProof/>
          <w:lang w:eastAsia="ja-JP"/>
        </w:rPr>
      </w:pPr>
    </w:p>
    <w:p w:rsidR="00314EE1" w:rsidRPr="00B151D3" w:rsidRDefault="00314EE1" w:rsidP="00B151D3">
      <w:pPr>
        <w:tabs>
          <w:tab w:val="left" w:pos="5387"/>
          <w:tab w:val="left" w:pos="5954"/>
        </w:tabs>
        <w:ind w:left="4820"/>
        <w:rPr>
          <w:i/>
        </w:rPr>
      </w:pPr>
      <w:r w:rsidRPr="00310A60">
        <w:rPr>
          <w:i/>
        </w:rPr>
        <w:fldChar w:fldCharType="begin"/>
      </w:r>
      <w:r w:rsidRPr="00310A60">
        <w:rPr>
          <w:i/>
        </w:rPr>
        <w:instrText xml:space="preserve"> AUTONUM  </w:instrText>
      </w:r>
      <w:r w:rsidRPr="00310A60">
        <w:rPr>
          <w:i/>
        </w:rPr>
        <w:fldChar w:fldCharType="end"/>
      </w:r>
      <w:r w:rsidRPr="00310A60">
        <w:rPr>
          <w:i/>
        </w:rPr>
        <w:tab/>
      </w:r>
      <w:r w:rsidRPr="00B151D3">
        <w:rPr>
          <w:i/>
        </w:rPr>
        <w:t xml:space="preserve">The TWPs </w:t>
      </w:r>
      <w:proofErr w:type="gramStart"/>
      <w:r w:rsidRPr="00B151D3">
        <w:rPr>
          <w:i/>
        </w:rPr>
        <w:t>are invited</w:t>
      </w:r>
      <w:proofErr w:type="gramEnd"/>
      <w:r w:rsidRPr="00B151D3">
        <w:rPr>
          <w:i/>
        </w:rPr>
        <w:t xml:space="preserve"> to note</w:t>
      </w:r>
      <w:r w:rsidR="00B151D3" w:rsidRPr="00B151D3">
        <w:rPr>
          <w:i/>
        </w:rPr>
        <w:t xml:space="preserve"> </w:t>
      </w:r>
      <w:r w:rsidR="00B151D3">
        <w:rPr>
          <w:i/>
        </w:rPr>
        <w:t>discussions held at the</w:t>
      </w:r>
      <w:r w:rsidR="00B151D3" w:rsidRPr="00B151D3">
        <w:rPr>
          <w:i/>
        </w:rPr>
        <w:t xml:space="preserve"> TWPs and the BMT, at their sessions in 2021, on “Confidentiality &amp; Ownership of Molecular Information”</w:t>
      </w:r>
      <w:r w:rsidR="00B151D3">
        <w:rPr>
          <w:i/>
        </w:rPr>
        <w:t>.</w:t>
      </w:r>
    </w:p>
    <w:p w:rsidR="00B151D3" w:rsidRDefault="00B151D3" w:rsidP="00B151D3">
      <w:pPr>
        <w:tabs>
          <w:tab w:val="left" w:pos="5387"/>
          <w:tab w:val="left" w:pos="5954"/>
        </w:tabs>
        <w:ind w:left="4820"/>
        <w:rPr>
          <w:noProof/>
          <w:lang w:eastAsia="ja-JP"/>
        </w:rPr>
      </w:pPr>
    </w:p>
    <w:p w:rsidR="00E702E7" w:rsidRPr="009E2967" w:rsidRDefault="00E702E7" w:rsidP="00E702E7"/>
    <w:p w:rsidR="00E702E7" w:rsidRPr="00FA4478" w:rsidRDefault="00E702E7" w:rsidP="00E702E7">
      <w:pPr>
        <w:pStyle w:val="Heading1"/>
      </w:pPr>
      <w:bookmarkStart w:id="48" w:name="_Toc69722874"/>
      <w:bookmarkStart w:id="49" w:name="_Toc84413226"/>
      <w:bookmarkStart w:id="50" w:name="_Toc97892775"/>
      <w:r w:rsidRPr="009E2967">
        <w:t>Review of document UPOV/INF/17 “Guidelines for DNA-Profiling: Molecular Marker Selection and Database Construction (‘BMT Guidelines’)”</w:t>
      </w:r>
      <w:bookmarkEnd w:id="48"/>
      <w:bookmarkEnd w:id="49"/>
      <w:bookmarkEnd w:id="50"/>
    </w:p>
    <w:p w:rsidR="00E702E7" w:rsidRPr="00FA4478" w:rsidRDefault="00E702E7" w:rsidP="00E702E7"/>
    <w:p w:rsidR="00E702E7" w:rsidRPr="00926168" w:rsidRDefault="00E702E7" w:rsidP="00E702E7">
      <w:r w:rsidRPr="00FA4478">
        <w:fldChar w:fldCharType="begin"/>
      </w:r>
      <w:r w:rsidRPr="00FA4478">
        <w:instrText xml:space="preserve"> AUTONUM  </w:instrText>
      </w:r>
      <w:r w:rsidRPr="00FA4478">
        <w:fldChar w:fldCharType="end"/>
      </w:r>
      <w:r w:rsidRPr="00FA4478">
        <w:tab/>
      </w:r>
      <w:proofErr w:type="gramStart"/>
      <w:r w:rsidRPr="00FA4478">
        <w:t>The TWPs</w:t>
      </w:r>
      <w:r>
        <w:t>, at their sessions in 2021</w:t>
      </w:r>
      <w:r w:rsidRPr="00926168">
        <w:t>, agreed with the revision of document UPOV/INF/17/1 on the basis of document UPOV/INF/17/2 Draft 5 and document TWP/5/7, Annex II</w:t>
      </w:r>
      <w:r>
        <w:t xml:space="preserve"> (see documents TWV/55/16 “Report”, paragraph 50; TWO/53/10 “Report”, paragraph 58; TWA/50/9 “Report”, paragraph 87; TWF/52/10 “Report”, paragraph 12; and TWC/39/9 “Report”, paragraph 71)</w:t>
      </w:r>
      <w:r w:rsidRPr="00926168">
        <w:t>.</w:t>
      </w:r>
      <w:proofErr w:type="gramEnd"/>
    </w:p>
    <w:p w:rsidR="00E702E7" w:rsidRPr="00926168" w:rsidRDefault="00E702E7" w:rsidP="00E702E7"/>
    <w:p w:rsidR="00E702E7" w:rsidRPr="00926168" w:rsidRDefault="00E702E7" w:rsidP="00E702E7">
      <w:r w:rsidRPr="00926168">
        <w:fldChar w:fldCharType="begin"/>
      </w:r>
      <w:r w:rsidRPr="00926168">
        <w:instrText xml:space="preserve"> AUTONUM  </w:instrText>
      </w:r>
      <w:r w:rsidRPr="00926168">
        <w:fldChar w:fldCharType="end"/>
      </w:r>
      <w:r w:rsidRPr="00926168">
        <w:tab/>
      </w:r>
      <w:r w:rsidR="00CE6928" w:rsidRPr="00A17C89">
        <w:t>BMT</w:t>
      </w:r>
      <w:r w:rsidR="00CE6928">
        <w:t>, at its twentieth session</w:t>
      </w:r>
      <w:r w:rsidR="00CE6928">
        <w:rPr>
          <w:rStyle w:val="FootnoteReference"/>
        </w:rPr>
        <w:footnoteReference w:id="17"/>
      </w:r>
      <w:r w:rsidR="00CE6928">
        <w:t>,</w:t>
      </w:r>
      <w:r w:rsidR="00CE6928" w:rsidRPr="00A17C89">
        <w:t xml:space="preserve"> </w:t>
      </w:r>
      <w:r w:rsidRPr="00926168">
        <w:t xml:space="preserve">agreed with the revision of document UPOV/INF/17/2 </w:t>
      </w:r>
      <w:proofErr w:type="gramStart"/>
      <w:r w:rsidRPr="00926168">
        <w:t>on the basis of</w:t>
      </w:r>
      <w:proofErr w:type="gramEnd"/>
      <w:r w:rsidRPr="00926168">
        <w:t xml:space="preserve"> document UPOV/INF/17/2 Draft 5 and the Annex to document BMT/20/3</w:t>
      </w:r>
      <w:r>
        <w:t xml:space="preserve"> </w:t>
      </w:r>
      <w:r w:rsidRPr="00926168">
        <w:t>(see document BMT/20/12 “Report”, paragraphs 10 to 12).</w:t>
      </w:r>
    </w:p>
    <w:p w:rsidR="00E702E7" w:rsidRPr="00926168" w:rsidRDefault="00E702E7" w:rsidP="00E702E7"/>
    <w:p w:rsidR="00E702E7" w:rsidRPr="00A17C89" w:rsidRDefault="00E702E7" w:rsidP="00E702E7">
      <w:r w:rsidRPr="00926168">
        <w:fldChar w:fldCharType="begin"/>
      </w:r>
      <w:r w:rsidRPr="00926168">
        <w:instrText xml:space="preserve"> AUTONUM  </w:instrText>
      </w:r>
      <w:r w:rsidRPr="00926168">
        <w:fldChar w:fldCharType="end"/>
      </w:r>
      <w:r w:rsidRPr="00926168">
        <w:tab/>
        <w:t>The BMT noted the comments provided by ISF in advance of the session in relation to possible improvements to document UPOV/INF/17 regarding certain technical matters. The BMT agreed to invite ISF to make a presentation on these matters at the first session of the TWM.</w:t>
      </w:r>
    </w:p>
    <w:p w:rsidR="008147F5" w:rsidRDefault="008147F5" w:rsidP="008147F5"/>
    <w:p w:rsidR="008147F5" w:rsidRPr="00F74578" w:rsidRDefault="008147F5" w:rsidP="008147F5">
      <w:pPr>
        <w:rPr>
          <w:rFonts w:cs="Arial"/>
        </w:rPr>
      </w:pPr>
      <w:r>
        <w:fldChar w:fldCharType="begin"/>
      </w:r>
      <w:r>
        <w:instrText xml:space="preserve"> AUTONUM  </w:instrText>
      </w:r>
      <w:r>
        <w:fldChar w:fldCharType="end"/>
      </w:r>
      <w:r>
        <w:tab/>
      </w:r>
      <w:r>
        <w:rPr>
          <w:rFonts w:cs="Arial"/>
        </w:rPr>
        <w:t>On</w:t>
      </w:r>
      <w:r w:rsidRPr="00F74578">
        <w:rPr>
          <w:rFonts w:cs="Arial"/>
        </w:rPr>
        <w:t xml:space="preserve"> September 21, 2021, </w:t>
      </w:r>
      <w:r>
        <w:rPr>
          <w:rFonts w:cs="Arial"/>
        </w:rPr>
        <w:t xml:space="preserve">the Council adopted </w:t>
      </w:r>
      <w:r w:rsidRPr="00F74578">
        <w:rPr>
          <w:rFonts w:cs="Arial"/>
        </w:rPr>
        <w:t xml:space="preserve">in the procedure by correspondence </w:t>
      </w:r>
      <w:r>
        <w:rPr>
          <w:rFonts w:cs="Arial"/>
        </w:rPr>
        <w:t xml:space="preserve">the revision of document </w:t>
      </w:r>
      <w:r w:rsidRPr="008147F5">
        <w:rPr>
          <w:rFonts w:cs="Arial"/>
        </w:rPr>
        <w:t>UPOV/INF/17</w:t>
      </w:r>
      <w:r>
        <w:rPr>
          <w:rFonts w:cs="Arial"/>
        </w:rPr>
        <w:t xml:space="preserve"> “</w:t>
      </w:r>
      <w:r w:rsidRPr="008147F5">
        <w:rPr>
          <w:rFonts w:cs="Arial"/>
        </w:rPr>
        <w:t>Guidelines for DNA-Profiling: Molecular Marker Selection and Database Construction (“BMT Guidelines”)</w:t>
      </w:r>
      <w:r>
        <w:rPr>
          <w:rFonts w:cs="Arial"/>
        </w:rPr>
        <w:t xml:space="preserve"> </w:t>
      </w:r>
      <w:r w:rsidRPr="008147F5">
        <w:rPr>
          <w:rFonts w:cs="Arial"/>
        </w:rPr>
        <w:t xml:space="preserve">on the basis of document UPOV/INF/17/2 Draft 6 </w:t>
      </w:r>
      <w:r w:rsidRPr="00F74578">
        <w:rPr>
          <w:rFonts w:cs="Arial"/>
        </w:rPr>
        <w:t>(see document</w:t>
      </w:r>
      <w:r>
        <w:rPr>
          <w:rFonts w:cs="Arial"/>
        </w:rPr>
        <w:t xml:space="preserve"> </w:t>
      </w:r>
      <w:r w:rsidRPr="00F74578">
        <w:rPr>
          <w:rFonts w:cs="Arial"/>
        </w:rPr>
        <w:t xml:space="preserve">C/55/12 “Outcome of consideration of documents by correspondence”, paragraph 32).  </w:t>
      </w:r>
    </w:p>
    <w:p w:rsidR="00E702E7" w:rsidRDefault="00E702E7" w:rsidP="00E702E7">
      <w:pPr>
        <w:rPr>
          <w:noProof/>
          <w:lang w:eastAsia="ja-JP"/>
        </w:rPr>
      </w:pPr>
    </w:p>
    <w:p w:rsidR="00F64EB6" w:rsidRPr="00F64EB6" w:rsidRDefault="00F64EB6" w:rsidP="00F64EB6">
      <w:pPr>
        <w:keepNext/>
        <w:keepLines/>
        <w:tabs>
          <w:tab w:val="left" w:pos="5387"/>
          <w:tab w:val="left" w:pos="5954"/>
        </w:tabs>
        <w:ind w:left="4820"/>
        <w:rPr>
          <w:i/>
        </w:rPr>
      </w:pPr>
      <w:r w:rsidRPr="00310A60">
        <w:rPr>
          <w:i/>
        </w:rPr>
        <w:fldChar w:fldCharType="begin"/>
      </w:r>
      <w:r w:rsidRPr="00310A60">
        <w:rPr>
          <w:i/>
        </w:rPr>
        <w:instrText xml:space="preserve"> AUTONUM  </w:instrText>
      </w:r>
      <w:r w:rsidRPr="00310A60">
        <w:rPr>
          <w:i/>
        </w:rPr>
        <w:fldChar w:fldCharType="end"/>
      </w:r>
      <w:r w:rsidRPr="00310A60">
        <w:rPr>
          <w:i/>
        </w:rPr>
        <w:tab/>
      </w:r>
      <w:r w:rsidRPr="00B151D3">
        <w:rPr>
          <w:i/>
        </w:rPr>
        <w:t xml:space="preserve">The </w:t>
      </w:r>
      <w:r w:rsidRPr="00F64EB6">
        <w:rPr>
          <w:i/>
        </w:rPr>
        <w:t xml:space="preserve">TWPs </w:t>
      </w:r>
      <w:proofErr w:type="gramStart"/>
      <w:r w:rsidRPr="00F64EB6">
        <w:rPr>
          <w:i/>
        </w:rPr>
        <w:t>are invited</w:t>
      </w:r>
      <w:proofErr w:type="gramEnd"/>
      <w:r w:rsidRPr="00F64EB6">
        <w:rPr>
          <w:i/>
        </w:rPr>
        <w:t xml:space="preserve"> to note </w:t>
      </w:r>
      <w:r>
        <w:rPr>
          <w:i/>
        </w:rPr>
        <w:t xml:space="preserve">that a </w:t>
      </w:r>
      <w:r w:rsidRPr="00F64EB6">
        <w:rPr>
          <w:rFonts w:cs="Arial"/>
          <w:i/>
        </w:rPr>
        <w:t>revision of document UPOV/INF/17 “Guidelines for DNA-Profiling: Molecular Marker Selection and Database Construction (“BMT Guidelines”)</w:t>
      </w:r>
      <w:r>
        <w:rPr>
          <w:rFonts w:cs="Arial"/>
          <w:i/>
        </w:rPr>
        <w:t xml:space="preserve"> was adopted by the Council, in 2021</w:t>
      </w:r>
      <w:r w:rsidRPr="00F64EB6">
        <w:rPr>
          <w:i/>
        </w:rPr>
        <w:t>.</w:t>
      </w:r>
    </w:p>
    <w:p w:rsidR="0051095D" w:rsidRDefault="0051095D" w:rsidP="0051095D"/>
    <w:p w:rsidR="0051095D" w:rsidRPr="004E63A3" w:rsidRDefault="0051095D" w:rsidP="000F1377">
      <w:pPr>
        <w:jc w:val="left"/>
      </w:pPr>
    </w:p>
    <w:p w:rsidR="0064047F" w:rsidRPr="0064047F" w:rsidRDefault="0064047F" w:rsidP="0064047F">
      <w:pPr>
        <w:tabs>
          <w:tab w:val="left" w:pos="5387"/>
          <w:tab w:val="left" w:pos="5954"/>
        </w:tabs>
        <w:ind w:left="4820"/>
        <w:rPr>
          <w:i/>
        </w:rPr>
      </w:pPr>
    </w:p>
    <w:p w:rsidR="0064047F" w:rsidRPr="0064047F" w:rsidRDefault="0064047F" w:rsidP="0064047F">
      <w:pPr>
        <w:tabs>
          <w:tab w:val="left" w:pos="5387"/>
          <w:tab w:val="left" w:pos="5954"/>
        </w:tabs>
        <w:ind w:left="4820"/>
        <w:jc w:val="right"/>
      </w:pPr>
      <w:r w:rsidRPr="0064047F">
        <w:t>[Annex follow</w:t>
      </w:r>
      <w:r w:rsidR="00CF1E5B">
        <w:t>s</w:t>
      </w:r>
      <w:r w:rsidRPr="0064047F">
        <w:t>]</w:t>
      </w:r>
    </w:p>
    <w:p w:rsidR="0064047F" w:rsidRPr="0064047F" w:rsidRDefault="0064047F" w:rsidP="0064047F">
      <w:pPr>
        <w:tabs>
          <w:tab w:val="left" w:pos="5387"/>
          <w:tab w:val="left" w:pos="5954"/>
        </w:tabs>
        <w:ind w:left="4820"/>
        <w:rPr>
          <w:i/>
        </w:rPr>
      </w:pPr>
    </w:p>
    <w:bookmarkEnd w:id="6"/>
    <w:bookmarkEnd w:id="5"/>
    <w:bookmarkEnd w:id="4"/>
    <w:bookmarkEnd w:id="3"/>
    <w:p w:rsidR="0064047F" w:rsidRPr="0064047F" w:rsidRDefault="0064047F" w:rsidP="0064047F"/>
    <w:p w:rsidR="0064047F" w:rsidRPr="0064047F" w:rsidRDefault="0064047F" w:rsidP="0064047F"/>
    <w:p w:rsidR="0064047F" w:rsidRPr="0064047F" w:rsidRDefault="0064047F" w:rsidP="0064047F">
      <w:pPr>
        <w:jc w:val="left"/>
        <w:sectPr w:rsidR="0064047F" w:rsidRPr="0064047F" w:rsidSect="0004198B">
          <w:headerReference w:type="default" r:id="rId10"/>
          <w:headerReference w:type="first" r:id="rId11"/>
          <w:pgSz w:w="11907" w:h="16840" w:code="9"/>
          <w:pgMar w:top="510" w:right="1134" w:bottom="1134" w:left="1134" w:header="510" w:footer="680" w:gutter="0"/>
          <w:pgNumType w:start="1"/>
          <w:cols w:space="720"/>
          <w:titlePg/>
        </w:sectPr>
      </w:pPr>
    </w:p>
    <w:p w:rsidR="0064047F" w:rsidRPr="0064047F" w:rsidRDefault="0064047F" w:rsidP="0064047F"/>
    <w:p w:rsidR="0064047F" w:rsidRPr="0064047F" w:rsidRDefault="0064047F" w:rsidP="0064047F"/>
    <w:p w:rsidR="0064047F" w:rsidRPr="0064047F" w:rsidRDefault="0064047F" w:rsidP="0064047F">
      <w:r w:rsidRPr="0064047F">
        <w:t xml:space="preserve">ELEMENTS FOR DRAFT JOINT DOCUMENT </w:t>
      </w:r>
      <w:r w:rsidRPr="0064047F">
        <w:rPr>
          <w:caps/>
        </w:rPr>
        <w:t>explaining the principal features of the systems of the OECD, UPOV and ISTA</w:t>
      </w:r>
    </w:p>
    <w:p w:rsidR="0064047F" w:rsidRPr="0064047F" w:rsidRDefault="0064047F" w:rsidP="0064047F"/>
    <w:p w:rsidR="0064047F" w:rsidRPr="0064047F" w:rsidRDefault="0064047F" w:rsidP="0064047F">
      <w:pPr>
        <w:rPr>
          <w:bCs/>
          <w:u w:val="single"/>
        </w:rPr>
      </w:pPr>
      <w:r w:rsidRPr="0064047F">
        <w:rPr>
          <w:bCs/>
          <w:u w:val="single"/>
        </w:rPr>
        <w:t xml:space="preserve">The </w:t>
      </w:r>
      <w:proofErr w:type="spellStart"/>
      <w:r w:rsidRPr="0064047F">
        <w:rPr>
          <w:bCs/>
          <w:u w:val="single"/>
        </w:rPr>
        <w:t>Organisation</w:t>
      </w:r>
      <w:proofErr w:type="spellEnd"/>
      <w:r w:rsidRPr="0064047F">
        <w:rPr>
          <w:bCs/>
          <w:u w:val="single"/>
        </w:rPr>
        <w:t xml:space="preserve"> for Economic Co-operation and Development (OECD)</w:t>
      </w:r>
    </w:p>
    <w:p w:rsidR="0064047F" w:rsidRPr="0064047F" w:rsidRDefault="0064047F" w:rsidP="0064047F"/>
    <w:p w:rsidR="0064047F" w:rsidRPr="0064047F" w:rsidRDefault="0064047F" w:rsidP="0064047F">
      <w:pPr>
        <w:spacing w:before="91"/>
        <w:rPr>
          <w:i/>
        </w:rPr>
      </w:pPr>
      <w:r w:rsidRPr="0064047F">
        <w:rPr>
          <w:i/>
        </w:rPr>
        <w:t>What are the OECD Seed Schemes?</w:t>
      </w:r>
    </w:p>
    <w:p w:rsidR="0064047F" w:rsidRPr="0064047F" w:rsidRDefault="0064047F" w:rsidP="0064047F">
      <w:pPr>
        <w:spacing w:before="4"/>
        <w:rPr>
          <w:b/>
        </w:rPr>
      </w:pPr>
    </w:p>
    <w:p w:rsidR="0064047F" w:rsidRPr="0064047F" w:rsidRDefault="0064047F" w:rsidP="0064047F">
      <w:pPr>
        <w:widowControl w:val="0"/>
        <w:tabs>
          <w:tab w:val="left" w:pos="1125"/>
          <w:tab w:val="left" w:pos="1126"/>
        </w:tabs>
        <w:autoSpaceDE w:val="0"/>
        <w:autoSpaceDN w:val="0"/>
        <w:spacing w:before="1"/>
        <w:ind w:right="214"/>
        <w:rPr>
          <w:rFonts w:cs="Arial"/>
          <w:lang w:val="en-GB" w:eastAsia="en-GB" w:bidi="en-GB"/>
        </w:rPr>
      </w:pPr>
      <w:r w:rsidRPr="0064047F">
        <w:rPr>
          <w:rFonts w:cs="Arial"/>
          <w:lang w:val="en-GB" w:eastAsia="en-GB" w:bidi="en-GB"/>
        </w:rPr>
        <w:t xml:space="preserve">The OECD Seed Schemes provide an international framework for the varietal certification of agricultural seed moving in international trade. The Schemes </w:t>
      </w:r>
      <w:proofErr w:type="gramStart"/>
      <w:r w:rsidRPr="0064047F">
        <w:rPr>
          <w:rFonts w:cs="Arial"/>
          <w:lang w:val="en-GB" w:eastAsia="en-GB" w:bidi="en-GB"/>
        </w:rPr>
        <w:t>were established</w:t>
      </w:r>
      <w:proofErr w:type="gramEnd"/>
      <w:r w:rsidRPr="0064047F">
        <w:rPr>
          <w:rFonts w:cs="Arial"/>
          <w:lang w:val="en-GB" w:eastAsia="en-GB" w:bidi="en-GB"/>
        </w:rPr>
        <w:t xml:space="preserve"> in 1958 driven by a combination of factors including a fast-growing seed trade, regulatory harmonisation in Europe, the development of off-season production, the seed breeding and production potential of large exporting countries in America (North and South) and Europe, and the support of private industry. Membership of the Schemes is voluntary and participation varies. There are seven agricultural Seed</w:t>
      </w:r>
      <w:r w:rsidRPr="0064047F">
        <w:rPr>
          <w:rFonts w:cs="Arial"/>
          <w:spacing w:val="-31"/>
          <w:lang w:val="en-GB" w:eastAsia="en-GB" w:bidi="en-GB"/>
        </w:rPr>
        <w:t xml:space="preserve"> </w:t>
      </w:r>
      <w:r w:rsidRPr="0064047F">
        <w:rPr>
          <w:rFonts w:cs="Arial"/>
          <w:lang w:val="en-GB" w:eastAsia="en-GB" w:bidi="en-GB"/>
        </w:rPr>
        <w:t>Schemes.</w:t>
      </w:r>
    </w:p>
    <w:p w:rsidR="0064047F" w:rsidRPr="0064047F" w:rsidRDefault="0064047F" w:rsidP="0064047F">
      <w:pPr>
        <w:spacing w:before="3"/>
        <w:rPr>
          <w:rFonts w:cs="Arial"/>
        </w:rPr>
      </w:pPr>
    </w:p>
    <w:p w:rsidR="0064047F" w:rsidRPr="0064047F" w:rsidRDefault="0064047F" w:rsidP="0064047F">
      <w:pPr>
        <w:rPr>
          <w:i/>
        </w:rPr>
      </w:pPr>
      <w:bookmarkStart w:id="51" w:name="Participating_countries"/>
      <w:bookmarkEnd w:id="51"/>
      <w:r w:rsidRPr="0064047F">
        <w:rPr>
          <w:i/>
        </w:rPr>
        <w:t>Participating countries</w:t>
      </w:r>
    </w:p>
    <w:p w:rsidR="0064047F" w:rsidRPr="0064047F" w:rsidRDefault="0064047F" w:rsidP="0064047F">
      <w:pPr>
        <w:spacing w:before="4"/>
        <w:rPr>
          <w:rFonts w:cs="Arial"/>
          <w:b/>
        </w:rPr>
      </w:pPr>
    </w:p>
    <w:p w:rsidR="0064047F" w:rsidRPr="0064047F" w:rsidRDefault="0064047F" w:rsidP="0064047F">
      <w:pPr>
        <w:widowControl w:val="0"/>
        <w:tabs>
          <w:tab w:val="left" w:pos="567"/>
        </w:tabs>
        <w:autoSpaceDE w:val="0"/>
        <w:autoSpaceDN w:val="0"/>
        <w:spacing w:before="1"/>
        <w:ind w:right="216"/>
        <w:rPr>
          <w:rFonts w:cs="Arial"/>
          <w:lang w:val="en-GB" w:eastAsia="en-GB" w:bidi="en-GB"/>
        </w:rPr>
      </w:pPr>
      <w:r w:rsidRPr="0064047F">
        <w:rPr>
          <w:rFonts w:cs="Arial"/>
          <w:lang w:val="en-GB" w:eastAsia="en-GB" w:bidi="en-GB"/>
        </w:rPr>
        <w:t xml:space="preserve">59 countries from Europe, North and South America, Africa, the </w:t>
      </w:r>
      <w:proofErr w:type="gramStart"/>
      <w:r w:rsidRPr="0064047F">
        <w:rPr>
          <w:rFonts w:cs="Arial"/>
          <w:lang w:val="en-GB" w:eastAsia="en-GB" w:bidi="en-GB"/>
        </w:rPr>
        <w:t>Middle-East</w:t>
      </w:r>
      <w:proofErr w:type="gramEnd"/>
      <w:r w:rsidRPr="0064047F">
        <w:rPr>
          <w:rFonts w:cs="Arial"/>
          <w:lang w:val="en-GB" w:eastAsia="en-GB" w:bidi="en-GB"/>
        </w:rPr>
        <w:t>, Asia and Oceania currently participate in the OECD Seed</w:t>
      </w:r>
      <w:r w:rsidRPr="0064047F">
        <w:rPr>
          <w:rFonts w:cs="Arial"/>
          <w:spacing w:val="-7"/>
          <w:lang w:val="en-GB" w:eastAsia="en-GB" w:bidi="en-GB"/>
        </w:rPr>
        <w:t xml:space="preserve"> </w:t>
      </w:r>
      <w:r w:rsidRPr="0064047F">
        <w:rPr>
          <w:rFonts w:cs="Arial"/>
          <w:lang w:val="en-GB" w:eastAsia="en-GB" w:bidi="en-GB"/>
        </w:rPr>
        <w:t>Schemes:</w:t>
      </w:r>
    </w:p>
    <w:p w:rsidR="0064047F" w:rsidRPr="0064047F" w:rsidRDefault="0064047F" w:rsidP="0064047F">
      <w:pPr>
        <w:spacing w:before="5"/>
        <w:rPr>
          <w:sz w:val="21"/>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64047F" w:rsidRPr="0064047F" w:rsidTr="0064047F">
        <w:trPr>
          <w:trHeight w:val="257"/>
        </w:trPr>
        <w:tc>
          <w:tcPr>
            <w:tcW w:w="2482" w:type="dxa"/>
            <w:tcBorders>
              <w:top w:val="single" w:sz="4" w:space="0" w:color="000000"/>
            </w:tcBorders>
            <w:shd w:val="clear" w:color="auto" w:fill="DBE5F1"/>
          </w:tcPr>
          <w:p w:rsidR="0064047F" w:rsidRPr="0064047F" w:rsidRDefault="0064047F" w:rsidP="0064047F">
            <w:pPr>
              <w:widowControl w:val="0"/>
              <w:autoSpaceDE w:val="0"/>
              <w:autoSpaceDN w:val="0"/>
              <w:spacing w:before="34" w:line="208" w:lineRule="exact"/>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ALBANIA</w:t>
            </w:r>
          </w:p>
        </w:tc>
        <w:tc>
          <w:tcPr>
            <w:tcW w:w="1438" w:type="dxa"/>
            <w:tcBorders>
              <w:top w:val="single" w:sz="4" w:space="0" w:color="000000"/>
            </w:tcBorders>
          </w:tcPr>
          <w:p w:rsidR="0064047F" w:rsidRPr="0064047F" w:rsidRDefault="0064047F" w:rsidP="0064047F">
            <w:pPr>
              <w:widowControl w:val="0"/>
              <w:autoSpaceDE w:val="0"/>
              <w:autoSpaceDN w:val="0"/>
              <w:spacing w:before="34" w:line="208" w:lineRule="exact"/>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w:t>
            </w:r>
          </w:p>
        </w:tc>
        <w:tc>
          <w:tcPr>
            <w:tcW w:w="2879" w:type="dxa"/>
            <w:tcBorders>
              <w:top w:val="single" w:sz="8" w:space="0" w:color="000000"/>
            </w:tcBorders>
            <w:shd w:val="clear" w:color="auto" w:fill="DBE5F1"/>
          </w:tcPr>
          <w:p w:rsidR="0064047F" w:rsidRPr="0064047F" w:rsidRDefault="0064047F" w:rsidP="0064047F">
            <w:pPr>
              <w:widowControl w:val="0"/>
              <w:autoSpaceDE w:val="0"/>
              <w:autoSpaceDN w:val="0"/>
              <w:spacing w:before="29" w:line="208" w:lineRule="exact"/>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LITHUANIA</w:t>
            </w:r>
          </w:p>
        </w:tc>
        <w:tc>
          <w:tcPr>
            <w:tcW w:w="1143" w:type="dxa"/>
            <w:tcBorders>
              <w:top w:val="single" w:sz="8" w:space="0" w:color="000000"/>
            </w:tcBorders>
          </w:tcPr>
          <w:p w:rsidR="0064047F" w:rsidRPr="0064047F" w:rsidRDefault="0064047F" w:rsidP="0064047F">
            <w:pPr>
              <w:widowControl w:val="0"/>
              <w:autoSpaceDE w:val="0"/>
              <w:autoSpaceDN w:val="0"/>
              <w:spacing w:before="29" w:line="208" w:lineRule="exact"/>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w:t>
            </w:r>
          </w:p>
        </w:tc>
      </w:tr>
      <w:tr w:rsidR="0064047F" w:rsidRPr="0064047F" w:rsidTr="0064047F">
        <w:trPr>
          <w:trHeight w:val="248"/>
        </w:trPr>
        <w:tc>
          <w:tcPr>
            <w:tcW w:w="2482"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ARGENTINA</w:t>
            </w:r>
          </w:p>
        </w:tc>
        <w:tc>
          <w:tcPr>
            <w:tcW w:w="1438" w:type="dxa"/>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w:t>
            </w:r>
          </w:p>
        </w:tc>
        <w:tc>
          <w:tcPr>
            <w:tcW w:w="2879"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LUXEMBOURG</w:t>
            </w:r>
          </w:p>
        </w:tc>
        <w:tc>
          <w:tcPr>
            <w:tcW w:w="1143" w:type="dxa"/>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r>
      <w:tr w:rsidR="0064047F" w:rsidRPr="0064047F" w:rsidTr="0064047F">
        <w:trPr>
          <w:trHeight w:val="249"/>
        </w:trPr>
        <w:tc>
          <w:tcPr>
            <w:tcW w:w="2482"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AUSTRALIA</w:t>
            </w:r>
          </w:p>
        </w:tc>
        <w:tc>
          <w:tcPr>
            <w:tcW w:w="1438" w:type="dxa"/>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MEXICO</w:t>
            </w:r>
          </w:p>
        </w:tc>
        <w:tc>
          <w:tcPr>
            <w:tcW w:w="1143" w:type="dxa"/>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r>
      <w:tr w:rsidR="0064047F" w:rsidRPr="0064047F" w:rsidTr="0064047F">
        <w:trPr>
          <w:trHeight w:val="249"/>
        </w:trPr>
        <w:tc>
          <w:tcPr>
            <w:tcW w:w="2482"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AUSTRIA</w:t>
            </w:r>
          </w:p>
        </w:tc>
        <w:tc>
          <w:tcPr>
            <w:tcW w:w="1438" w:type="dxa"/>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MOLDOVA</w:t>
            </w:r>
          </w:p>
        </w:tc>
        <w:tc>
          <w:tcPr>
            <w:tcW w:w="1143" w:type="dxa"/>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w:t>
            </w:r>
          </w:p>
        </w:tc>
      </w:tr>
      <w:tr w:rsidR="0064047F" w:rsidRPr="0064047F" w:rsidTr="0064047F">
        <w:trPr>
          <w:trHeight w:val="248"/>
        </w:trPr>
        <w:tc>
          <w:tcPr>
            <w:tcW w:w="2482" w:type="dxa"/>
            <w:shd w:val="clear" w:color="auto" w:fill="DBE5F1"/>
          </w:tcPr>
          <w:p w:rsidR="0064047F" w:rsidRPr="0064047F" w:rsidRDefault="0064047F" w:rsidP="0064047F">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BELGIUM</w:t>
            </w:r>
          </w:p>
        </w:tc>
        <w:tc>
          <w:tcPr>
            <w:tcW w:w="1438" w:type="dxa"/>
          </w:tcPr>
          <w:p w:rsidR="0064047F" w:rsidRPr="0064047F" w:rsidRDefault="0064047F" w:rsidP="0064047F">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MOROCCO</w:t>
            </w:r>
          </w:p>
        </w:tc>
        <w:tc>
          <w:tcPr>
            <w:tcW w:w="1143" w:type="dxa"/>
          </w:tcPr>
          <w:p w:rsidR="0064047F" w:rsidRPr="0064047F" w:rsidRDefault="0064047F" w:rsidP="0064047F">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w:t>
            </w:r>
          </w:p>
        </w:tc>
      </w:tr>
      <w:tr w:rsidR="0064047F" w:rsidRPr="0064047F" w:rsidTr="0064047F">
        <w:trPr>
          <w:trHeight w:val="248"/>
        </w:trPr>
        <w:tc>
          <w:tcPr>
            <w:tcW w:w="2482"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BOLIVIA</w:t>
            </w:r>
          </w:p>
        </w:tc>
        <w:tc>
          <w:tcPr>
            <w:tcW w:w="1438" w:type="dxa"/>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w:t>
            </w:r>
          </w:p>
        </w:tc>
        <w:tc>
          <w:tcPr>
            <w:tcW w:w="2879"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NETHERLANDS</w:t>
            </w:r>
          </w:p>
        </w:tc>
        <w:tc>
          <w:tcPr>
            <w:tcW w:w="1143" w:type="dxa"/>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r>
      <w:tr w:rsidR="0064047F" w:rsidRPr="0064047F" w:rsidTr="0064047F">
        <w:trPr>
          <w:trHeight w:val="249"/>
        </w:trPr>
        <w:tc>
          <w:tcPr>
            <w:tcW w:w="2482"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BRAZIL</w:t>
            </w:r>
          </w:p>
        </w:tc>
        <w:tc>
          <w:tcPr>
            <w:tcW w:w="1438" w:type="dxa"/>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w:t>
            </w:r>
          </w:p>
        </w:tc>
        <w:tc>
          <w:tcPr>
            <w:tcW w:w="2879"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NEW ZEALAND</w:t>
            </w:r>
          </w:p>
        </w:tc>
        <w:tc>
          <w:tcPr>
            <w:tcW w:w="1143" w:type="dxa"/>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r>
      <w:tr w:rsidR="0064047F" w:rsidRPr="0064047F" w:rsidTr="0064047F">
        <w:trPr>
          <w:trHeight w:val="249"/>
        </w:trPr>
        <w:tc>
          <w:tcPr>
            <w:tcW w:w="2482"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BULGARIA</w:t>
            </w:r>
          </w:p>
        </w:tc>
        <w:tc>
          <w:tcPr>
            <w:tcW w:w="1438" w:type="dxa"/>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w:t>
            </w:r>
          </w:p>
        </w:tc>
        <w:tc>
          <w:tcPr>
            <w:tcW w:w="2879"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NORWAY</w:t>
            </w:r>
          </w:p>
        </w:tc>
        <w:tc>
          <w:tcPr>
            <w:tcW w:w="1143" w:type="dxa"/>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r>
      <w:tr w:rsidR="0064047F" w:rsidRPr="0064047F" w:rsidTr="0064047F">
        <w:trPr>
          <w:trHeight w:val="248"/>
        </w:trPr>
        <w:tc>
          <w:tcPr>
            <w:tcW w:w="2482" w:type="dxa"/>
            <w:shd w:val="clear" w:color="auto" w:fill="DBE5F1"/>
          </w:tcPr>
          <w:p w:rsidR="0064047F" w:rsidRPr="0064047F" w:rsidRDefault="0064047F" w:rsidP="0064047F">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CANADA</w:t>
            </w:r>
          </w:p>
        </w:tc>
        <w:tc>
          <w:tcPr>
            <w:tcW w:w="1438" w:type="dxa"/>
          </w:tcPr>
          <w:p w:rsidR="0064047F" w:rsidRPr="0064047F" w:rsidRDefault="0064047F" w:rsidP="0064047F">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POLAND</w:t>
            </w:r>
          </w:p>
        </w:tc>
        <w:tc>
          <w:tcPr>
            <w:tcW w:w="1143" w:type="dxa"/>
          </w:tcPr>
          <w:p w:rsidR="0064047F" w:rsidRPr="0064047F" w:rsidRDefault="0064047F" w:rsidP="0064047F">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r>
      <w:tr w:rsidR="0064047F" w:rsidRPr="0064047F" w:rsidTr="0064047F">
        <w:trPr>
          <w:trHeight w:val="260"/>
        </w:trPr>
        <w:tc>
          <w:tcPr>
            <w:tcW w:w="2482"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CHILE</w:t>
            </w:r>
          </w:p>
        </w:tc>
        <w:tc>
          <w:tcPr>
            <w:tcW w:w="1438" w:type="dxa"/>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PORTUGAL</w:t>
            </w:r>
          </w:p>
        </w:tc>
        <w:tc>
          <w:tcPr>
            <w:tcW w:w="1143" w:type="dxa"/>
          </w:tcPr>
          <w:p w:rsidR="0064047F" w:rsidRPr="0064047F" w:rsidRDefault="0064047F" w:rsidP="0064047F">
            <w:pPr>
              <w:widowControl w:val="0"/>
              <w:autoSpaceDE w:val="0"/>
              <w:autoSpaceDN w:val="0"/>
              <w:spacing w:before="19" w:line="221" w:lineRule="exact"/>
              <w:jc w:val="left"/>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(1)</w:t>
            </w:r>
          </w:p>
        </w:tc>
      </w:tr>
      <w:tr w:rsidR="0064047F" w:rsidRPr="0064047F" w:rsidTr="0064047F">
        <w:trPr>
          <w:trHeight w:val="272"/>
        </w:trPr>
        <w:tc>
          <w:tcPr>
            <w:tcW w:w="2482" w:type="dxa"/>
            <w:shd w:val="clear" w:color="auto" w:fill="DBE5F1"/>
          </w:tcPr>
          <w:p w:rsidR="0064047F" w:rsidRPr="0064047F" w:rsidRDefault="0064047F" w:rsidP="0064047F">
            <w:pPr>
              <w:widowControl w:val="0"/>
              <w:autoSpaceDE w:val="0"/>
              <w:autoSpaceDN w:val="0"/>
              <w:spacing w:before="32"/>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CROATIA</w:t>
            </w:r>
          </w:p>
        </w:tc>
        <w:tc>
          <w:tcPr>
            <w:tcW w:w="1438" w:type="dxa"/>
          </w:tcPr>
          <w:p w:rsidR="0064047F" w:rsidRPr="0064047F" w:rsidRDefault="0064047F" w:rsidP="0064047F">
            <w:pPr>
              <w:widowControl w:val="0"/>
              <w:autoSpaceDE w:val="0"/>
              <w:autoSpaceDN w:val="0"/>
              <w:spacing w:before="32"/>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w:t>
            </w:r>
          </w:p>
        </w:tc>
        <w:tc>
          <w:tcPr>
            <w:tcW w:w="2879" w:type="dxa"/>
            <w:shd w:val="clear" w:color="auto" w:fill="DBE5F1"/>
          </w:tcPr>
          <w:p w:rsidR="0064047F" w:rsidRPr="0064047F" w:rsidRDefault="0064047F" w:rsidP="0064047F">
            <w:pPr>
              <w:widowControl w:val="0"/>
              <w:autoSpaceDE w:val="0"/>
              <w:autoSpaceDN w:val="0"/>
              <w:spacing w:before="32"/>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ROMANIA</w:t>
            </w:r>
          </w:p>
        </w:tc>
        <w:tc>
          <w:tcPr>
            <w:tcW w:w="1143" w:type="dxa"/>
          </w:tcPr>
          <w:p w:rsidR="0064047F" w:rsidRPr="0064047F" w:rsidRDefault="0064047F" w:rsidP="0064047F">
            <w:pPr>
              <w:widowControl w:val="0"/>
              <w:autoSpaceDE w:val="0"/>
              <w:autoSpaceDN w:val="0"/>
              <w:spacing w:before="32" w:line="220" w:lineRule="exact"/>
              <w:jc w:val="left"/>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(2)</w:t>
            </w:r>
          </w:p>
        </w:tc>
      </w:tr>
      <w:tr w:rsidR="0064047F" w:rsidRPr="0064047F" w:rsidTr="0064047F">
        <w:trPr>
          <w:trHeight w:val="283"/>
        </w:trPr>
        <w:tc>
          <w:tcPr>
            <w:tcW w:w="2482" w:type="dxa"/>
            <w:shd w:val="clear" w:color="auto" w:fill="DBE5F1"/>
          </w:tcPr>
          <w:p w:rsidR="0064047F" w:rsidRPr="0064047F" w:rsidRDefault="0064047F" w:rsidP="0064047F">
            <w:pPr>
              <w:widowControl w:val="0"/>
              <w:autoSpaceDE w:val="0"/>
              <w:autoSpaceDN w:val="0"/>
              <w:spacing w:before="3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CYPRUS</w:t>
            </w:r>
            <w:r w:rsidRPr="0064047F">
              <w:rPr>
                <w:rFonts w:ascii="Trebuchet MS" w:eastAsia="Trebuchet MS" w:hAnsi="Trebuchet MS" w:cs="Trebuchet MS"/>
                <w:sz w:val="18"/>
                <w:szCs w:val="22"/>
                <w:vertAlign w:val="superscript"/>
                <w:lang w:val="en-GB" w:eastAsia="en-GB" w:bidi="en-GB"/>
              </w:rPr>
              <w:t>1</w:t>
            </w:r>
          </w:p>
        </w:tc>
        <w:tc>
          <w:tcPr>
            <w:tcW w:w="1438" w:type="dxa"/>
          </w:tcPr>
          <w:p w:rsidR="0064047F" w:rsidRPr="0064047F" w:rsidRDefault="0064047F" w:rsidP="0064047F">
            <w:pPr>
              <w:widowControl w:val="0"/>
              <w:autoSpaceDE w:val="0"/>
              <w:autoSpaceDN w:val="0"/>
              <w:spacing w:before="3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w:t>
            </w:r>
          </w:p>
        </w:tc>
        <w:tc>
          <w:tcPr>
            <w:tcW w:w="2879" w:type="dxa"/>
            <w:shd w:val="clear" w:color="auto" w:fill="DBE5F1"/>
          </w:tcPr>
          <w:p w:rsidR="0064047F" w:rsidRPr="0064047F" w:rsidRDefault="0064047F" w:rsidP="0064047F">
            <w:pPr>
              <w:widowControl w:val="0"/>
              <w:autoSpaceDE w:val="0"/>
              <w:autoSpaceDN w:val="0"/>
              <w:spacing w:before="3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RUSSIAN FEDERATION</w:t>
            </w:r>
          </w:p>
        </w:tc>
        <w:tc>
          <w:tcPr>
            <w:tcW w:w="1143" w:type="dxa"/>
          </w:tcPr>
          <w:p w:rsidR="0064047F" w:rsidRPr="0064047F" w:rsidRDefault="0064047F" w:rsidP="0064047F">
            <w:pPr>
              <w:widowControl w:val="0"/>
              <w:autoSpaceDE w:val="0"/>
              <w:autoSpaceDN w:val="0"/>
              <w:spacing w:before="31"/>
              <w:jc w:val="left"/>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(2)</w:t>
            </w:r>
          </w:p>
        </w:tc>
      </w:tr>
      <w:tr w:rsidR="0064047F" w:rsidRPr="0064047F" w:rsidTr="0064047F">
        <w:trPr>
          <w:trHeight w:val="272"/>
        </w:trPr>
        <w:tc>
          <w:tcPr>
            <w:tcW w:w="2482"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CZECH REPUBLIC</w:t>
            </w:r>
          </w:p>
        </w:tc>
        <w:tc>
          <w:tcPr>
            <w:tcW w:w="1438" w:type="dxa"/>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SENEGAL</w:t>
            </w:r>
          </w:p>
        </w:tc>
        <w:tc>
          <w:tcPr>
            <w:tcW w:w="1143" w:type="dxa"/>
          </w:tcPr>
          <w:p w:rsidR="0064047F" w:rsidRPr="0064047F" w:rsidRDefault="0064047F" w:rsidP="0064047F">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(2)</w:t>
            </w:r>
          </w:p>
        </w:tc>
      </w:tr>
      <w:tr w:rsidR="0064047F" w:rsidRPr="0064047F" w:rsidTr="0064047F">
        <w:trPr>
          <w:trHeight w:val="272"/>
        </w:trPr>
        <w:tc>
          <w:tcPr>
            <w:tcW w:w="2482"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DENMARK</w:t>
            </w:r>
          </w:p>
        </w:tc>
        <w:tc>
          <w:tcPr>
            <w:tcW w:w="1438" w:type="dxa"/>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SERBIA</w:t>
            </w:r>
          </w:p>
        </w:tc>
        <w:tc>
          <w:tcPr>
            <w:tcW w:w="1143" w:type="dxa"/>
          </w:tcPr>
          <w:p w:rsidR="0064047F" w:rsidRPr="0064047F" w:rsidRDefault="0064047F" w:rsidP="0064047F">
            <w:pPr>
              <w:widowControl w:val="0"/>
              <w:autoSpaceDE w:val="0"/>
              <w:autoSpaceDN w:val="0"/>
              <w:spacing w:before="19"/>
              <w:jc w:val="left"/>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(2)</w:t>
            </w:r>
          </w:p>
        </w:tc>
      </w:tr>
      <w:tr w:rsidR="0064047F" w:rsidRPr="0064047F" w:rsidTr="0064047F">
        <w:trPr>
          <w:trHeight w:val="272"/>
        </w:trPr>
        <w:tc>
          <w:tcPr>
            <w:tcW w:w="2482"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EGYPT</w:t>
            </w:r>
          </w:p>
        </w:tc>
        <w:tc>
          <w:tcPr>
            <w:tcW w:w="1438" w:type="dxa"/>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w:t>
            </w:r>
          </w:p>
        </w:tc>
        <w:tc>
          <w:tcPr>
            <w:tcW w:w="2879"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SLOVAKIA</w:t>
            </w:r>
          </w:p>
        </w:tc>
        <w:tc>
          <w:tcPr>
            <w:tcW w:w="1143" w:type="dxa"/>
          </w:tcPr>
          <w:p w:rsidR="0064047F" w:rsidRPr="0064047F" w:rsidRDefault="0064047F" w:rsidP="0064047F">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(1)</w:t>
            </w:r>
          </w:p>
        </w:tc>
      </w:tr>
      <w:tr w:rsidR="0064047F" w:rsidRPr="0064047F" w:rsidTr="0064047F">
        <w:trPr>
          <w:trHeight w:val="271"/>
        </w:trPr>
        <w:tc>
          <w:tcPr>
            <w:tcW w:w="2482"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ESTONIA</w:t>
            </w:r>
          </w:p>
        </w:tc>
        <w:tc>
          <w:tcPr>
            <w:tcW w:w="1438" w:type="dxa"/>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SLOVENIA</w:t>
            </w:r>
          </w:p>
        </w:tc>
        <w:tc>
          <w:tcPr>
            <w:tcW w:w="1143" w:type="dxa"/>
          </w:tcPr>
          <w:p w:rsidR="0064047F" w:rsidRPr="0064047F" w:rsidRDefault="0064047F" w:rsidP="0064047F">
            <w:pPr>
              <w:widowControl w:val="0"/>
              <w:autoSpaceDE w:val="0"/>
              <w:autoSpaceDN w:val="0"/>
              <w:spacing w:before="19" w:line="231" w:lineRule="exact"/>
              <w:jc w:val="left"/>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(1)</w:t>
            </w:r>
          </w:p>
        </w:tc>
      </w:tr>
      <w:tr w:rsidR="0064047F" w:rsidRPr="0064047F" w:rsidTr="0064047F">
        <w:trPr>
          <w:trHeight w:val="272"/>
        </w:trPr>
        <w:tc>
          <w:tcPr>
            <w:tcW w:w="2482"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FINLAND</w:t>
            </w:r>
          </w:p>
        </w:tc>
        <w:tc>
          <w:tcPr>
            <w:tcW w:w="1438" w:type="dxa"/>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SOUTH AFRICA</w:t>
            </w:r>
          </w:p>
        </w:tc>
        <w:tc>
          <w:tcPr>
            <w:tcW w:w="1143" w:type="dxa"/>
          </w:tcPr>
          <w:p w:rsidR="0064047F" w:rsidRPr="0064047F" w:rsidRDefault="0064047F" w:rsidP="0064047F">
            <w:pPr>
              <w:widowControl w:val="0"/>
              <w:autoSpaceDE w:val="0"/>
              <w:autoSpaceDN w:val="0"/>
              <w:spacing w:before="19"/>
              <w:jc w:val="left"/>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(2)</w:t>
            </w:r>
          </w:p>
        </w:tc>
      </w:tr>
      <w:tr w:rsidR="0064047F" w:rsidRPr="0064047F" w:rsidTr="0064047F">
        <w:trPr>
          <w:trHeight w:val="272"/>
        </w:trPr>
        <w:tc>
          <w:tcPr>
            <w:tcW w:w="2482" w:type="dxa"/>
            <w:shd w:val="clear" w:color="auto" w:fill="DBE5F1"/>
          </w:tcPr>
          <w:p w:rsidR="0064047F" w:rsidRPr="0064047F" w:rsidRDefault="0064047F" w:rsidP="0064047F">
            <w:pPr>
              <w:widowControl w:val="0"/>
              <w:autoSpaceDE w:val="0"/>
              <w:autoSpaceDN w:val="0"/>
              <w:spacing w:before="21"/>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FRANCE</w:t>
            </w:r>
          </w:p>
        </w:tc>
        <w:tc>
          <w:tcPr>
            <w:tcW w:w="1438" w:type="dxa"/>
          </w:tcPr>
          <w:p w:rsidR="0064047F" w:rsidRPr="0064047F" w:rsidRDefault="0064047F" w:rsidP="0064047F">
            <w:pPr>
              <w:widowControl w:val="0"/>
              <w:autoSpaceDE w:val="0"/>
              <w:autoSpaceDN w:val="0"/>
              <w:spacing w:before="21"/>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21"/>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SPAIN</w:t>
            </w:r>
          </w:p>
        </w:tc>
        <w:tc>
          <w:tcPr>
            <w:tcW w:w="1143" w:type="dxa"/>
          </w:tcPr>
          <w:p w:rsidR="0064047F" w:rsidRPr="0064047F" w:rsidRDefault="0064047F" w:rsidP="0064047F">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(1)</w:t>
            </w:r>
          </w:p>
        </w:tc>
      </w:tr>
      <w:tr w:rsidR="0064047F" w:rsidRPr="0064047F" w:rsidTr="0064047F">
        <w:trPr>
          <w:trHeight w:val="265"/>
        </w:trPr>
        <w:tc>
          <w:tcPr>
            <w:tcW w:w="2482"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GERMANY</w:t>
            </w:r>
          </w:p>
        </w:tc>
        <w:tc>
          <w:tcPr>
            <w:tcW w:w="1438" w:type="dxa"/>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SWEDEN</w:t>
            </w:r>
          </w:p>
        </w:tc>
        <w:tc>
          <w:tcPr>
            <w:tcW w:w="1143" w:type="dxa"/>
          </w:tcPr>
          <w:p w:rsidR="0064047F" w:rsidRPr="0064047F" w:rsidRDefault="0064047F" w:rsidP="0064047F">
            <w:pPr>
              <w:widowControl w:val="0"/>
              <w:autoSpaceDE w:val="0"/>
              <w:autoSpaceDN w:val="0"/>
              <w:spacing w:before="19" w:line="225" w:lineRule="exact"/>
              <w:jc w:val="left"/>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(1)</w:t>
            </w:r>
          </w:p>
        </w:tc>
      </w:tr>
    </w:tbl>
    <w:p w:rsidR="0064047F" w:rsidRPr="0064047F" w:rsidRDefault="0064047F" w:rsidP="0064047F">
      <w:pPr>
        <w:spacing w:before="2"/>
        <w:rPr>
          <w:sz w:val="15"/>
        </w:rPr>
      </w:pPr>
    </w:p>
    <w:p w:rsidR="0064047F" w:rsidRPr="0064047F" w:rsidRDefault="0064047F" w:rsidP="0064047F">
      <w:pPr>
        <w:spacing w:before="2"/>
        <w:rPr>
          <w:sz w:val="15"/>
        </w:rPr>
      </w:pPr>
    </w:p>
    <w:p w:rsidR="0064047F" w:rsidRPr="0064047F" w:rsidRDefault="0064047F" w:rsidP="0064047F">
      <w:pPr>
        <w:spacing w:before="2"/>
        <w:rPr>
          <w:sz w:val="15"/>
        </w:rPr>
      </w:pPr>
    </w:p>
    <w:p w:rsidR="0064047F" w:rsidRPr="0064047F" w:rsidRDefault="0064047F" w:rsidP="0064047F">
      <w:pPr>
        <w:spacing w:before="2"/>
        <w:rPr>
          <w:sz w:val="15"/>
        </w:rPr>
      </w:pPr>
    </w:p>
    <w:p w:rsidR="0064047F" w:rsidRPr="0064047F" w:rsidRDefault="0064047F" w:rsidP="0064047F">
      <w:pPr>
        <w:spacing w:before="2"/>
        <w:rPr>
          <w:sz w:val="15"/>
        </w:rPr>
      </w:pPr>
    </w:p>
    <w:p w:rsidR="0064047F" w:rsidRPr="0064047F" w:rsidRDefault="0064047F" w:rsidP="0064047F">
      <w:pPr>
        <w:spacing w:before="2"/>
        <w:rPr>
          <w:sz w:val="15"/>
        </w:rPr>
      </w:pPr>
    </w:p>
    <w:p w:rsidR="0064047F" w:rsidRPr="0064047F" w:rsidRDefault="0064047F" w:rsidP="0064047F">
      <w:pPr>
        <w:spacing w:before="2"/>
        <w:rPr>
          <w:sz w:val="15"/>
        </w:rPr>
      </w:pPr>
    </w:p>
    <w:p w:rsidR="0064047F" w:rsidRPr="0064047F" w:rsidRDefault="0064047F" w:rsidP="0064047F">
      <w:pPr>
        <w:spacing w:before="2"/>
        <w:rPr>
          <w:sz w:val="15"/>
        </w:rPr>
      </w:pPr>
    </w:p>
    <w:p w:rsidR="0064047F" w:rsidRPr="0064047F" w:rsidRDefault="0064047F" w:rsidP="0064047F">
      <w:pPr>
        <w:spacing w:before="2"/>
        <w:rPr>
          <w:sz w:val="15"/>
        </w:rPr>
      </w:pPr>
    </w:p>
    <w:p w:rsidR="0064047F" w:rsidRPr="0064047F" w:rsidRDefault="0064047F" w:rsidP="0064047F">
      <w:pPr>
        <w:spacing w:before="2"/>
        <w:rPr>
          <w:sz w:val="15"/>
        </w:rPr>
      </w:pPr>
      <w:r w:rsidRPr="0064047F">
        <w:rPr>
          <w:noProof/>
          <w:sz w:val="22"/>
        </w:rPr>
        <mc:AlternateContent>
          <mc:Choice Requires="wps">
            <w:drawing>
              <wp:anchor distT="0" distB="0" distL="0" distR="0" simplePos="0" relativeHeight="251661312" behindDoc="1" locked="0" layoutInCell="1" allowOverlap="1" wp14:anchorId="5CD45296" wp14:editId="587122FA">
                <wp:simplePos x="0" y="0"/>
                <wp:positionH relativeFrom="page">
                  <wp:posOffset>457200</wp:posOffset>
                </wp:positionH>
                <wp:positionV relativeFrom="paragraph">
                  <wp:posOffset>139700</wp:posOffset>
                </wp:positionV>
                <wp:extent cx="1829435" cy="1270"/>
                <wp:effectExtent l="9525" t="11430" r="8890" b="635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8BA06" id="Freeform 21" o:spid="_x0000_s1026" style="position:absolute;margin-left:36pt;margin-top:11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" path="m,l2880,e" filled="f" strokeweight=".6pt">
                <v:path arrowok="t" o:connecttype="custom" o:connectlocs="0,0;1828800,0" o:connectangles="0,0"/>
                <w10:wrap type="topAndBottom" anchorx="page"/>
              </v:shape>
            </w:pict>
          </mc:Fallback>
        </mc:AlternateContent>
      </w:r>
    </w:p>
    <w:p w:rsidR="0064047F" w:rsidRPr="0064047F" w:rsidRDefault="0064047F" w:rsidP="0064047F">
      <w:pPr>
        <w:spacing w:before="35"/>
        <w:rPr>
          <w:rFonts w:ascii="Trebuchet MS"/>
          <w:sz w:val="18"/>
        </w:rPr>
      </w:pPr>
      <w:proofErr w:type="gramStart"/>
      <w:r w:rsidRPr="0064047F">
        <w:rPr>
          <w:rFonts w:ascii="Trebuchet MS"/>
          <w:position w:val="9"/>
          <w:sz w:val="13"/>
        </w:rPr>
        <w:t>1</w:t>
      </w:r>
      <w:proofErr w:type="gramEnd"/>
      <w:r w:rsidRPr="0064047F">
        <w:rPr>
          <w:rFonts w:ascii="Trebuchet MS"/>
          <w:position w:val="9"/>
          <w:sz w:val="13"/>
        </w:rPr>
        <w:t xml:space="preserve"> </w:t>
      </w:r>
      <w:r w:rsidRPr="0064047F">
        <w:rPr>
          <w:rFonts w:ascii="Trebuchet MS"/>
          <w:sz w:val="18"/>
        </w:rPr>
        <w:t xml:space="preserve">Source OECD </w:t>
      </w:r>
      <w:r w:rsidRPr="0064047F">
        <w:rPr>
          <w:rFonts w:ascii="Trebuchet MS"/>
          <w:sz w:val="18"/>
        </w:rPr>
        <w:t>“</w:t>
      </w:r>
      <w:r w:rsidRPr="0064047F">
        <w:rPr>
          <w:rFonts w:ascii="Trebuchet MS"/>
          <w:sz w:val="18"/>
        </w:rPr>
        <w:t>Note by Turkey</w:t>
      </w:r>
    </w:p>
    <w:p w:rsidR="0064047F" w:rsidRPr="0064047F" w:rsidRDefault="0064047F" w:rsidP="0064047F">
      <w:pPr>
        <w:spacing w:before="127"/>
        <w:ind w:right="216"/>
        <w:rPr>
          <w:rFonts w:ascii="Trebuchet MS" w:hAnsi="Trebuchet MS"/>
          <w:sz w:val="18"/>
        </w:rPr>
      </w:pPr>
      <w:r w:rsidRPr="0064047F">
        <w:rPr>
          <w:rFonts w:ascii="Trebuchet MS" w:hAnsi="Trebuchet MS"/>
          <w:sz w:val="18"/>
        </w:rPr>
        <w:t xml:space="preserve">The information in this document with reference to ‘Cyprus’ relates to the southern part of the Island. There is no single authority representing both Turkish and Greek Cypriot people on the Island. Turkey </w:t>
      </w:r>
      <w:proofErr w:type="spellStart"/>
      <w:r w:rsidRPr="0064047F">
        <w:rPr>
          <w:rFonts w:ascii="Trebuchet MS" w:hAnsi="Trebuchet MS"/>
          <w:sz w:val="18"/>
        </w:rPr>
        <w:t>recognises</w:t>
      </w:r>
      <w:proofErr w:type="spellEnd"/>
      <w:r w:rsidRPr="0064047F">
        <w:rPr>
          <w:rFonts w:ascii="Trebuchet MS" w:hAnsi="Trebuchet MS"/>
          <w:sz w:val="18"/>
        </w:rPr>
        <w:t xml:space="preserve"> the Turkish Republic of Northern Cyprus (TRNC). Until a lasting and equitable solution </w:t>
      </w:r>
      <w:proofErr w:type="gramStart"/>
      <w:r w:rsidRPr="0064047F">
        <w:rPr>
          <w:rFonts w:ascii="Trebuchet MS" w:hAnsi="Trebuchet MS"/>
          <w:sz w:val="18"/>
        </w:rPr>
        <w:t>is found</w:t>
      </w:r>
      <w:proofErr w:type="gramEnd"/>
      <w:r w:rsidRPr="0064047F">
        <w:rPr>
          <w:rFonts w:ascii="Trebuchet MS" w:hAnsi="Trebuchet MS"/>
          <w:sz w:val="18"/>
        </w:rPr>
        <w:t xml:space="preserve"> within the context of the United Nations, Turkey shall preserve its position concerning the ‘Cyprus issue’.</w:t>
      </w:r>
    </w:p>
    <w:p w:rsidR="0064047F" w:rsidRPr="0064047F" w:rsidRDefault="0064047F" w:rsidP="0064047F">
      <w:pPr>
        <w:spacing w:before="119"/>
        <w:rPr>
          <w:rFonts w:ascii="Trebuchet MS"/>
          <w:sz w:val="18"/>
        </w:rPr>
      </w:pPr>
      <w:r w:rsidRPr="0064047F">
        <w:rPr>
          <w:rFonts w:ascii="Trebuchet MS"/>
          <w:sz w:val="18"/>
        </w:rPr>
        <w:t>Note by all the European Union Member States of the OECD and the European Union</w:t>
      </w:r>
    </w:p>
    <w:p w:rsidR="0064047F" w:rsidRPr="0064047F" w:rsidRDefault="0064047F" w:rsidP="0064047F">
      <w:pPr>
        <w:spacing w:before="120"/>
        <w:ind w:right="216"/>
        <w:rPr>
          <w:rFonts w:ascii="Trebuchet MS"/>
          <w:sz w:val="18"/>
        </w:rPr>
      </w:pPr>
      <w:proofErr w:type="gramStart"/>
      <w:r w:rsidRPr="0064047F">
        <w:rPr>
          <w:rFonts w:ascii="Trebuchet MS"/>
          <w:sz w:val="18"/>
        </w:rPr>
        <w:t xml:space="preserve">The Republic of Cyprus is </w:t>
      </w:r>
      <w:proofErr w:type="spellStart"/>
      <w:r w:rsidRPr="0064047F">
        <w:rPr>
          <w:rFonts w:ascii="Trebuchet MS"/>
          <w:sz w:val="18"/>
        </w:rPr>
        <w:t>recognised</w:t>
      </w:r>
      <w:proofErr w:type="spellEnd"/>
      <w:r w:rsidRPr="0064047F">
        <w:rPr>
          <w:rFonts w:ascii="Trebuchet MS"/>
          <w:sz w:val="18"/>
        </w:rPr>
        <w:t xml:space="preserve"> by all members of the United Nations with the exception of Turkey</w:t>
      </w:r>
      <w:proofErr w:type="gramEnd"/>
      <w:r w:rsidRPr="0064047F">
        <w:rPr>
          <w:rFonts w:ascii="Trebuchet MS"/>
          <w:sz w:val="18"/>
        </w:rPr>
        <w:t>. The information in this document relates to the area under the effective control of the Government of the Republic of Cyprus.</w:t>
      </w:r>
      <w:r w:rsidRPr="0064047F">
        <w:rPr>
          <w:rFonts w:ascii="Trebuchet MS"/>
          <w:sz w:val="18"/>
        </w:rPr>
        <w:t>”</w:t>
      </w:r>
    </w:p>
    <w:p w:rsidR="0064047F" w:rsidRPr="0064047F" w:rsidRDefault="0064047F" w:rsidP="0064047F">
      <w:pPr>
        <w:spacing w:before="120"/>
        <w:ind w:right="216"/>
        <w:rPr>
          <w:rFonts w:ascii="Trebuchet MS"/>
          <w:sz w:val="18"/>
        </w:rPr>
      </w:pPr>
    </w:p>
    <w:p w:rsidR="0064047F" w:rsidRPr="0064047F" w:rsidRDefault="0064047F" w:rsidP="0064047F">
      <w:pPr>
        <w:spacing w:before="3" w:after="1"/>
        <w:rPr>
          <w:rFonts w:ascii="Trebuchet MS"/>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64047F" w:rsidRPr="0064047F" w:rsidTr="0064047F">
        <w:trPr>
          <w:trHeight w:val="279"/>
        </w:trPr>
        <w:tc>
          <w:tcPr>
            <w:tcW w:w="2482" w:type="dxa"/>
            <w:shd w:val="clear" w:color="auto" w:fill="DBE5F1"/>
          </w:tcPr>
          <w:p w:rsidR="0064047F" w:rsidRPr="0064047F" w:rsidRDefault="0064047F" w:rsidP="0064047F">
            <w:pPr>
              <w:widowControl w:val="0"/>
              <w:autoSpaceDE w:val="0"/>
              <w:autoSpaceDN w:val="0"/>
              <w:spacing w:before="27"/>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GREECE</w:t>
            </w:r>
          </w:p>
        </w:tc>
        <w:tc>
          <w:tcPr>
            <w:tcW w:w="1438" w:type="dxa"/>
          </w:tcPr>
          <w:p w:rsidR="0064047F" w:rsidRPr="0064047F" w:rsidRDefault="0064047F" w:rsidP="0064047F">
            <w:pPr>
              <w:widowControl w:val="0"/>
              <w:autoSpaceDE w:val="0"/>
              <w:autoSpaceDN w:val="0"/>
              <w:spacing w:before="27"/>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27"/>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SWITZERLAND</w:t>
            </w:r>
          </w:p>
        </w:tc>
        <w:tc>
          <w:tcPr>
            <w:tcW w:w="1143" w:type="dxa"/>
          </w:tcPr>
          <w:p w:rsidR="0064047F" w:rsidRPr="0064047F" w:rsidRDefault="0064047F" w:rsidP="0064047F">
            <w:pPr>
              <w:widowControl w:val="0"/>
              <w:autoSpaceDE w:val="0"/>
              <w:autoSpaceDN w:val="0"/>
              <w:spacing w:before="28" w:line="232" w:lineRule="exact"/>
              <w:ind w:right="427"/>
              <w:jc w:val="center"/>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(1)</w:t>
            </w:r>
          </w:p>
        </w:tc>
      </w:tr>
      <w:tr w:rsidR="0064047F" w:rsidRPr="0064047F" w:rsidTr="0064047F">
        <w:trPr>
          <w:trHeight w:val="272"/>
        </w:trPr>
        <w:tc>
          <w:tcPr>
            <w:tcW w:w="2482"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HUNGARY</w:t>
            </w:r>
          </w:p>
        </w:tc>
        <w:tc>
          <w:tcPr>
            <w:tcW w:w="1438" w:type="dxa"/>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TUNISIA</w:t>
            </w:r>
          </w:p>
        </w:tc>
        <w:tc>
          <w:tcPr>
            <w:tcW w:w="1143" w:type="dxa"/>
          </w:tcPr>
          <w:p w:rsidR="0064047F" w:rsidRPr="0064047F" w:rsidRDefault="0064047F" w:rsidP="0064047F">
            <w:pPr>
              <w:widowControl w:val="0"/>
              <w:autoSpaceDE w:val="0"/>
              <w:autoSpaceDN w:val="0"/>
              <w:spacing w:before="20"/>
              <w:ind w:right="427"/>
              <w:jc w:val="center"/>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(2)</w:t>
            </w:r>
          </w:p>
        </w:tc>
      </w:tr>
      <w:tr w:rsidR="0064047F" w:rsidRPr="0064047F" w:rsidTr="0064047F">
        <w:trPr>
          <w:trHeight w:val="272"/>
        </w:trPr>
        <w:tc>
          <w:tcPr>
            <w:tcW w:w="2482"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ICELAND</w:t>
            </w:r>
          </w:p>
        </w:tc>
        <w:tc>
          <w:tcPr>
            <w:tcW w:w="1438" w:type="dxa"/>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TURKEY</w:t>
            </w:r>
          </w:p>
        </w:tc>
        <w:tc>
          <w:tcPr>
            <w:tcW w:w="1143" w:type="dxa"/>
          </w:tcPr>
          <w:p w:rsidR="0064047F" w:rsidRPr="0064047F" w:rsidRDefault="0064047F" w:rsidP="0064047F">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(1)</w:t>
            </w:r>
          </w:p>
        </w:tc>
      </w:tr>
      <w:tr w:rsidR="0064047F" w:rsidRPr="0064047F" w:rsidTr="0064047F">
        <w:trPr>
          <w:trHeight w:val="272"/>
        </w:trPr>
        <w:tc>
          <w:tcPr>
            <w:tcW w:w="2482"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INDIA</w:t>
            </w:r>
          </w:p>
        </w:tc>
        <w:tc>
          <w:tcPr>
            <w:tcW w:w="1438" w:type="dxa"/>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w:t>
            </w:r>
          </w:p>
        </w:tc>
        <w:tc>
          <w:tcPr>
            <w:tcW w:w="2879"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UGANDA</w:t>
            </w:r>
          </w:p>
        </w:tc>
        <w:tc>
          <w:tcPr>
            <w:tcW w:w="1143" w:type="dxa"/>
          </w:tcPr>
          <w:p w:rsidR="0064047F" w:rsidRPr="0064047F" w:rsidRDefault="0064047F" w:rsidP="0064047F">
            <w:pPr>
              <w:widowControl w:val="0"/>
              <w:autoSpaceDE w:val="0"/>
              <w:autoSpaceDN w:val="0"/>
              <w:spacing w:before="19"/>
              <w:ind w:right="427"/>
              <w:jc w:val="center"/>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(2)</w:t>
            </w:r>
          </w:p>
        </w:tc>
      </w:tr>
      <w:tr w:rsidR="0064047F" w:rsidRPr="0064047F" w:rsidTr="0064047F">
        <w:trPr>
          <w:trHeight w:val="272"/>
        </w:trPr>
        <w:tc>
          <w:tcPr>
            <w:tcW w:w="2482"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IRAN</w:t>
            </w:r>
          </w:p>
        </w:tc>
        <w:tc>
          <w:tcPr>
            <w:tcW w:w="1438" w:type="dxa"/>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w:t>
            </w:r>
          </w:p>
        </w:tc>
        <w:tc>
          <w:tcPr>
            <w:tcW w:w="2879"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UKRAINE</w:t>
            </w:r>
          </w:p>
        </w:tc>
        <w:tc>
          <w:tcPr>
            <w:tcW w:w="1143" w:type="dxa"/>
          </w:tcPr>
          <w:p w:rsidR="0064047F" w:rsidRPr="0064047F" w:rsidRDefault="0064047F" w:rsidP="0064047F">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(2)</w:t>
            </w:r>
          </w:p>
        </w:tc>
      </w:tr>
      <w:tr w:rsidR="0064047F" w:rsidRPr="0064047F" w:rsidTr="0064047F">
        <w:trPr>
          <w:trHeight w:val="259"/>
        </w:trPr>
        <w:tc>
          <w:tcPr>
            <w:tcW w:w="2482"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IRELAND</w:t>
            </w:r>
          </w:p>
        </w:tc>
        <w:tc>
          <w:tcPr>
            <w:tcW w:w="1438" w:type="dxa"/>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UNITED KINGDOM</w:t>
            </w:r>
          </w:p>
        </w:tc>
        <w:tc>
          <w:tcPr>
            <w:tcW w:w="1143" w:type="dxa"/>
          </w:tcPr>
          <w:p w:rsidR="0064047F" w:rsidRPr="0064047F" w:rsidRDefault="0064047F" w:rsidP="0064047F">
            <w:pPr>
              <w:widowControl w:val="0"/>
              <w:autoSpaceDE w:val="0"/>
              <w:autoSpaceDN w:val="0"/>
              <w:spacing w:before="19" w:line="220" w:lineRule="exact"/>
              <w:ind w:right="427"/>
              <w:jc w:val="center"/>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(1)</w:t>
            </w:r>
          </w:p>
        </w:tc>
      </w:tr>
      <w:tr w:rsidR="0064047F" w:rsidRPr="0064047F" w:rsidTr="0064047F">
        <w:trPr>
          <w:trHeight w:val="284"/>
        </w:trPr>
        <w:tc>
          <w:tcPr>
            <w:tcW w:w="2482" w:type="dxa"/>
            <w:shd w:val="clear" w:color="auto" w:fill="DBE5F1"/>
          </w:tcPr>
          <w:p w:rsidR="0064047F" w:rsidRPr="0064047F" w:rsidRDefault="0064047F" w:rsidP="0064047F">
            <w:pPr>
              <w:widowControl w:val="0"/>
              <w:autoSpaceDE w:val="0"/>
              <w:autoSpaceDN w:val="0"/>
              <w:spacing w:before="31"/>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ISRAEL</w:t>
            </w:r>
          </w:p>
        </w:tc>
        <w:tc>
          <w:tcPr>
            <w:tcW w:w="1438" w:type="dxa"/>
          </w:tcPr>
          <w:p w:rsidR="0064047F" w:rsidRPr="0064047F" w:rsidRDefault="0064047F" w:rsidP="0064047F">
            <w:pPr>
              <w:widowControl w:val="0"/>
              <w:autoSpaceDE w:val="0"/>
              <w:autoSpaceDN w:val="0"/>
              <w:spacing w:before="31"/>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31"/>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UNITED STATES</w:t>
            </w:r>
          </w:p>
        </w:tc>
        <w:tc>
          <w:tcPr>
            <w:tcW w:w="1143" w:type="dxa"/>
          </w:tcPr>
          <w:p w:rsidR="0064047F" w:rsidRPr="0064047F" w:rsidRDefault="0064047F" w:rsidP="0064047F">
            <w:pPr>
              <w:widowControl w:val="0"/>
              <w:autoSpaceDE w:val="0"/>
              <w:autoSpaceDN w:val="0"/>
              <w:spacing w:before="31"/>
              <w:ind w:right="427"/>
              <w:jc w:val="center"/>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(1)</w:t>
            </w:r>
          </w:p>
        </w:tc>
      </w:tr>
      <w:tr w:rsidR="0064047F" w:rsidRPr="0064047F" w:rsidTr="0064047F">
        <w:trPr>
          <w:trHeight w:val="272"/>
        </w:trPr>
        <w:tc>
          <w:tcPr>
            <w:tcW w:w="2482"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ITALY</w:t>
            </w:r>
          </w:p>
        </w:tc>
        <w:tc>
          <w:tcPr>
            <w:tcW w:w="1438" w:type="dxa"/>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URUGUAY</w:t>
            </w:r>
          </w:p>
        </w:tc>
        <w:tc>
          <w:tcPr>
            <w:tcW w:w="1143" w:type="dxa"/>
          </w:tcPr>
          <w:p w:rsidR="0064047F" w:rsidRPr="0064047F" w:rsidRDefault="0064047F" w:rsidP="0064047F">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(2)</w:t>
            </w:r>
          </w:p>
        </w:tc>
      </w:tr>
      <w:tr w:rsidR="0064047F" w:rsidRPr="0064047F" w:rsidTr="0064047F">
        <w:trPr>
          <w:trHeight w:val="264"/>
        </w:trPr>
        <w:tc>
          <w:tcPr>
            <w:tcW w:w="2482" w:type="dxa"/>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JAPAN</w:t>
            </w:r>
          </w:p>
        </w:tc>
        <w:tc>
          <w:tcPr>
            <w:tcW w:w="1438" w:type="dxa"/>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w:t>
            </w:r>
          </w:p>
        </w:tc>
        <w:tc>
          <w:tcPr>
            <w:tcW w:w="2879" w:type="dxa"/>
            <w:tcBorders>
              <w:bottom w:val="single" w:sz="8" w:space="0" w:color="000000"/>
            </w:tcBorders>
            <w:shd w:val="clear" w:color="auto" w:fill="DBE5F1"/>
          </w:tcPr>
          <w:p w:rsidR="0064047F" w:rsidRPr="0064047F" w:rsidRDefault="0064047F" w:rsidP="0064047F">
            <w:pPr>
              <w:widowControl w:val="0"/>
              <w:autoSpaceDE w:val="0"/>
              <w:autoSpaceDN w:val="0"/>
              <w:spacing w:before="19"/>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ZIMBABWE</w:t>
            </w:r>
          </w:p>
        </w:tc>
        <w:tc>
          <w:tcPr>
            <w:tcW w:w="1143" w:type="dxa"/>
            <w:tcBorders>
              <w:bottom w:val="single" w:sz="8" w:space="0" w:color="000000"/>
            </w:tcBorders>
          </w:tcPr>
          <w:p w:rsidR="0064047F" w:rsidRPr="0064047F" w:rsidRDefault="0064047F" w:rsidP="0064047F">
            <w:pPr>
              <w:widowControl w:val="0"/>
              <w:autoSpaceDE w:val="0"/>
              <w:autoSpaceDN w:val="0"/>
              <w:spacing w:before="19" w:line="225" w:lineRule="exact"/>
              <w:ind w:right="427"/>
              <w:jc w:val="center"/>
              <w:rPr>
                <w:rFonts w:ascii="Trebuchet MS" w:eastAsia="Trebuchet MS" w:hAnsi="Trebuchet MS" w:cs="Trebuchet MS"/>
                <w:szCs w:val="22"/>
                <w:lang w:val="en-GB" w:eastAsia="en-GB" w:bidi="en-GB"/>
              </w:rPr>
            </w:pPr>
            <w:r w:rsidRPr="0064047F">
              <w:rPr>
                <w:rFonts w:ascii="Trebuchet MS" w:eastAsia="Trebuchet MS" w:hAnsi="Trebuchet MS" w:cs="Trebuchet MS"/>
                <w:szCs w:val="22"/>
                <w:lang w:val="en-GB" w:eastAsia="en-GB" w:bidi="en-GB"/>
              </w:rPr>
              <w:t>(2)</w:t>
            </w:r>
          </w:p>
        </w:tc>
      </w:tr>
      <w:tr w:rsidR="0064047F" w:rsidRPr="0064047F" w:rsidTr="0064047F">
        <w:trPr>
          <w:trHeight w:val="256"/>
        </w:trPr>
        <w:tc>
          <w:tcPr>
            <w:tcW w:w="2482" w:type="dxa"/>
            <w:shd w:val="clear" w:color="auto" w:fill="DBE5F1"/>
          </w:tcPr>
          <w:p w:rsidR="0064047F" w:rsidRPr="0064047F" w:rsidRDefault="0064047F" w:rsidP="0064047F">
            <w:pPr>
              <w:widowControl w:val="0"/>
              <w:autoSpaceDE w:val="0"/>
              <w:autoSpaceDN w:val="0"/>
              <w:spacing w:before="27"/>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KENYA</w:t>
            </w:r>
          </w:p>
        </w:tc>
        <w:tc>
          <w:tcPr>
            <w:tcW w:w="1438" w:type="dxa"/>
          </w:tcPr>
          <w:p w:rsidR="0064047F" w:rsidRPr="0064047F" w:rsidRDefault="0064047F" w:rsidP="0064047F">
            <w:pPr>
              <w:widowControl w:val="0"/>
              <w:autoSpaceDE w:val="0"/>
              <w:autoSpaceDN w:val="0"/>
              <w:spacing w:before="27"/>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w:t>
            </w:r>
          </w:p>
        </w:tc>
        <w:tc>
          <w:tcPr>
            <w:tcW w:w="2879" w:type="dxa"/>
            <w:tcBorders>
              <w:top w:val="single" w:sz="8" w:space="0" w:color="000000"/>
            </w:tcBorders>
          </w:tcPr>
          <w:p w:rsidR="0064047F" w:rsidRPr="0064047F" w:rsidRDefault="0064047F" w:rsidP="0064047F">
            <w:pPr>
              <w:widowControl w:val="0"/>
              <w:autoSpaceDE w:val="0"/>
              <w:autoSpaceDN w:val="0"/>
              <w:jc w:val="left"/>
              <w:rPr>
                <w:rFonts w:ascii="Times New Roman" w:eastAsia="Trebuchet MS" w:hAnsi="Trebuchet MS" w:cs="Trebuchet MS"/>
                <w:sz w:val="18"/>
                <w:szCs w:val="22"/>
                <w:lang w:val="en-GB" w:eastAsia="en-GB" w:bidi="en-GB"/>
              </w:rPr>
            </w:pPr>
          </w:p>
        </w:tc>
        <w:tc>
          <w:tcPr>
            <w:tcW w:w="1143" w:type="dxa"/>
            <w:tcBorders>
              <w:top w:val="single" w:sz="8" w:space="0" w:color="000000"/>
            </w:tcBorders>
          </w:tcPr>
          <w:p w:rsidR="0064047F" w:rsidRPr="0064047F" w:rsidRDefault="0064047F" w:rsidP="0064047F">
            <w:pPr>
              <w:widowControl w:val="0"/>
              <w:autoSpaceDE w:val="0"/>
              <w:autoSpaceDN w:val="0"/>
              <w:jc w:val="left"/>
              <w:rPr>
                <w:rFonts w:ascii="Times New Roman" w:eastAsia="Trebuchet MS" w:hAnsi="Trebuchet MS" w:cs="Trebuchet MS"/>
                <w:sz w:val="18"/>
                <w:szCs w:val="22"/>
                <w:lang w:val="en-GB" w:eastAsia="en-GB" w:bidi="en-GB"/>
              </w:rPr>
            </w:pPr>
          </w:p>
        </w:tc>
      </w:tr>
      <w:tr w:rsidR="0064047F" w:rsidRPr="0064047F" w:rsidTr="0064047F">
        <w:trPr>
          <w:trHeight w:val="249"/>
        </w:trPr>
        <w:tc>
          <w:tcPr>
            <w:tcW w:w="2482"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KYRGYZSTAN</w:t>
            </w:r>
          </w:p>
        </w:tc>
        <w:tc>
          <w:tcPr>
            <w:tcW w:w="1438" w:type="dxa"/>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w:t>
            </w:r>
          </w:p>
        </w:tc>
        <w:tc>
          <w:tcPr>
            <w:tcW w:w="2879" w:type="dxa"/>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(1) OECD Member Country</w:t>
            </w:r>
          </w:p>
        </w:tc>
        <w:tc>
          <w:tcPr>
            <w:tcW w:w="1143" w:type="dxa"/>
          </w:tcPr>
          <w:p w:rsidR="0064047F" w:rsidRPr="0064047F" w:rsidRDefault="0064047F" w:rsidP="0064047F">
            <w:pPr>
              <w:widowControl w:val="0"/>
              <w:autoSpaceDE w:val="0"/>
              <w:autoSpaceDN w:val="0"/>
              <w:jc w:val="left"/>
              <w:rPr>
                <w:rFonts w:ascii="Times New Roman" w:eastAsia="Trebuchet MS" w:hAnsi="Trebuchet MS" w:cs="Trebuchet MS"/>
                <w:sz w:val="18"/>
                <w:szCs w:val="22"/>
                <w:lang w:val="en-GB" w:eastAsia="en-GB" w:bidi="en-GB"/>
              </w:rPr>
            </w:pPr>
          </w:p>
        </w:tc>
      </w:tr>
      <w:tr w:rsidR="0064047F" w:rsidRPr="0064047F" w:rsidTr="0064047F">
        <w:trPr>
          <w:trHeight w:val="249"/>
        </w:trPr>
        <w:tc>
          <w:tcPr>
            <w:tcW w:w="2482" w:type="dxa"/>
            <w:shd w:val="clear" w:color="auto" w:fill="DBE5F1"/>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LATVIA</w:t>
            </w:r>
          </w:p>
        </w:tc>
        <w:tc>
          <w:tcPr>
            <w:tcW w:w="1438" w:type="dxa"/>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w:t>
            </w:r>
          </w:p>
        </w:tc>
        <w:tc>
          <w:tcPr>
            <w:tcW w:w="4022" w:type="dxa"/>
            <w:gridSpan w:val="2"/>
          </w:tcPr>
          <w:p w:rsidR="0064047F" w:rsidRPr="0064047F" w:rsidRDefault="0064047F" w:rsidP="0064047F">
            <w:pPr>
              <w:widowControl w:val="0"/>
              <w:autoSpaceDE w:val="0"/>
              <w:autoSpaceDN w:val="0"/>
              <w:spacing w:before="20"/>
              <w:jc w:val="left"/>
              <w:rPr>
                <w:rFonts w:ascii="Trebuchet MS" w:eastAsia="Trebuchet MS" w:hAnsi="Trebuchet MS" w:cs="Trebuchet MS"/>
                <w:sz w:val="18"/>
                <w:szCs w:val="22"/>
                <w:lang w:val="en-GB" w:eastAsia="en-GB" w:bidi="en-GB"/>
              </w:rPr>
            </w:pPr>
            <w:r w:rsidRPr="0064047F">
              <w:rPr>
                <w:rFonts w:ascii="Trebuchet MS" w:eastAsia="Trebuchet MS" w:hAnsi="Trebuchet MS" w:cs="Trebuchet MS"/>
                <w:sz w:val="18"/>
                <w:szCs w:val="22"/>
                <w:lang w:val="en-GB" w:eastAsia="en-GB" w:bidi="en-GB"/>
              </w:rPr>
              <w:t>(2) Non OECD Member Country</w:t>
            </w:r>
          </w:p>
        </w:tc>
      </w:tr>
    </w:tbl>
    <w:p w:rsidR="0064047F" w:rsidRPr="0064047F" w:rsidRDefault="0064047F" w:rsidP="0064047F">
      <w:pPr>
        <w:rPr>
          <w:rFonts w:ascii="Trebuchet MS"/>
        </w:rPr>
      </w:pPr>
    </w:p>
    <w:p w:rsidR="0064047F" w:rsidRPr="0064047F" w:rsidRDefault="0064047F" w:rsidP="0064047F">
      <w:pPr>
        <w:spacing w:before="5"/>
        <w:rPr>
          <w:rFonts w:ascii="Trebuchet MS"/>
        </w:rPr>
      </w:pPr>
    </w:p>
    <w:p w:rsidR="0064047F" w:rsidRPr="0064047F" w:rsidRDefault="0064047F" w:rsidP="0064047F">
      <w:r w:rsidRPr="0064047F">
        <w:rPr>
          <w:noProof/>
          <w:sz w:val="22"/>
        </w:rPr>
        <mc:AlternateContent>
          <mc:Choice Requires="wpg">
            <w:drawing>
              <wp:anchor distT="0" distB="0" distL="114300" distR="114300" simplePos="0" relativeHeight="251662336" behindDoc="0" locked="0" layoutInCell="1" allowOverlap="1" wp14:anchorId="0757AC89" wp14:editId="4982C3D5">
                <wp:simplePos x="0" y="0"/>
                <wp:positionH relativeFrom="page">
                  <wp:posOffset>1356360</wp:posOffset>
                </wp:positionH>
                <wp:positionV relativeFrom="paragraph">
                  <wp:posOffset>-319405</wp:posOffset>
                </wp:positionV>
                <wp:extent cx="2030730" cy="6350"/>
                <wp:effectExtent l="13335" t="2540" r="13335"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730" cy="6350"/>
                          <a:chOff x="2136" y="-503"/>
                          <a:chExt cx="3198" cy="10"/>
                        </a:xfrm>
                      </wpg:grpSpPr>
                      <wps:wsp>
                        <wps:cNvPr id="18" name="Line 5"/>
                        <wps:cNvCnPr>
                          <a:cxnSpLocks noChangeShapeType="1"/>
                        </wps:cNvCnPr>
                        <wps:spPr bwMode="auto">
                          <a:xfrm>
                            <a:off x="2136" y="-498"/>
                            <a:ext cx="24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6"/>
                        <wps:cNvSpPr>
                          <a:spLocks noChangeArrowheads="1"/>
                        </wps:cNvSpPr>
                        <wps:spPr bwMode="auto">
                          <a:xfrm>
                            <a:off x="4618" y="-50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
                        <wps:cNvCnPr>
                          <a:cxnSpLocks noChangeShapeType="1"/>
                        </wps:cNvCnPr>
                        <wps:spPr bwMode="auto">
                          <a:xfrm>
                            <a:off x="4628" y="-498"/>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0535E1" id="Group 15" o:spid="_x0000_s1026" style="position:absolute;margin-left:106.8pt;margin-top:-25.15pt;width:159.9pt;height:.5pt;z-index:251662336;mso-position-horizontal-relative:page" coordorigin="2136,-503" coordsize="3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">
                <v:line id="Line 5" o:spid="_x0000_s1027" style="position:absolute;visibility:visible;mso-wrap-style:square" from="2136,-498" to="463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6" o:spid="_x0000_s1028" style="position:absolute;left:4618;top:-50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7" o:spid="_x0000_s1029" style="position:absolute;visibility:visible;mso-wrap-style:square" from="4628,-498" to="533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anchorx="page"/>
              </v:group>
            </w:pict>
          </mc:Fallback>
        </mc:AlternateContent>
      </w:r>
      <w:r w:rsidRPr="0064047F">
        <w:t xml:space="preserve">Figure </w:t>
      </w:r>
      <w:proofErr w:type="gramStart"/>
      <w:r w:rsidRPr="0064047F">
        <w:t>1</w:t>
      </w:r>
      <w:proofErr w:type="gramEnd"/>
      <w:r w:rsidRPr="0064047F">
        <w:t xml:space="preserve"> Map of Participating Countries in the OECD Seed Schemes (2016)</w:t>
      </w:r>
    </w:p>
    <w:p w:rsidR="0064047F" w:rsidRPr="0064047F" w:rsidRDefault="0064047F" w:rsidP="0064047F">
      <w:pPr>
        <w:rPr>
          <w:b/>
        </w:rPr>
      </w:pPr>
    </w:p>
    <w:p w:rsidR="0064047F" w:rsidRPr="0064047F" w:rsidRDefault="0064047F" w:rsidP="0064047F">
      <w:pPr>
        <w:spacing w:before="5"/>
        <w:rPr>
          <w:b/>
          <w:sz w:val="15"/>
        </w:rPr>
      </w:pPr>
      <w:r w:rsidRPr="0064047F">
        <w:rPr>
          <w:noProof/>
        </w:rPr>
        <w:drawing>
          <wp:anchor distT="0" distB="0" distL="0" distR="0" simplePos="0" relativeHeight="251660288" behindDoc="0" locked="0" layoutInCell="1" allowOverlap="1" wp14:anchorId="389FA7D5" wp14:editId="5FF66DF8">
            <wp:simplePos x="0" y="0"/>
            <wp:positionH relativeFrom="page">
              <wp:posOffset>676909</wp:posOffset>
            </wp:positionH>
            <wp:positionV relativeFrom="paragraph">
              <wp:posOffset>137582</wp:posOffset>
            </wp:positionV>
            <wp:extent cx="6348250" cy="2987040"/>
            <wp:effectExtent l="0" t="0" r="0" b="0"/>
            <wp:wrapTopAndBottom/>
            <wp:docPr id="2"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6348250" cy="2987040"/>
                    </a:xfrm>
                    <a:prstGeom prst="rect">
                      <a:avLst/>
                    </a:prstGeom>
                  </pic:spPr>
                </pic:pic>
              </a:graphicData>
            </a:graphic>
          </wp:anchor>
        </w:drawing>
      </w:r>
    </w:p>
    <w:p w:rsidR="0064047F" w:rsidRPr="0064047F" w:rsidRDefault="0064047F" w:rsidP="0064047F">
      <w:pPr>
        <w:spacing w:before="11"/>
        <w:rPr>
          <w:b/>
          <w:sz w:val="23"/>
        </w:rPr>
      </w:pPr>
    </w:p>
    <w:p w:rsidR="0064047F" w:rsidRPr="0064047F" w:rsidRDefault="0064047F" w:rsidP="0064047F">
      <w:pPr>
        <w:rPr>
          <w:i/>
        </w:rPr>
      </w:pPr>
      <w:bookmarkStart w:id="52" w:name="Objectives"/>
      <w:bookmarkEnd w:id="52"/>
      <w:r w:rsidRPr="0064047F">
        <w:rPr>
          <w:i/>
        </w:rPr>
        <w:t>Objectives</w:t>
      </w:r>
    </w:p>
    <w:p w:rsidR="0064047F" w:rsidRPr="0064047F" w:rsidRDefault="0064047F" w:rsidP="0064047F">
      <w:pPr>
        <w:spacing w:before="4"/>
        <w:rPr>
          <w:rFonts w:cs="Arial"/>
          <w:b/>
        </w:rPr>
      </w:pPr>
    </w:p>
    <w:p w:rsidR="0064047F" w:rsidRPr="0064047F" w:rsidRDefault="0064047F" w:rsidP="0064047F">
      <w:pPr>
        <w:widowControl w:val="0"/>
        <w:tabs>
          <w:tab w:val="left" w:pos="1069"/>
          <w:tab w:val="left" w:pos="1071"/>
        </w:tabs>
        <w:autoSpaceDE w:val="0"/>
        <w:autoSpaceDN w:val="0"/>
        <w:ind w:right="213"/>
        <w:rPr>
          <w:rFonts w:cs="Arial"/>
          <w:lang w:val="en-GB" w:eastAsia="en-GB" w:bidi="en-GB"/>
        </w:rPr>
      </w:pPr>
      <w:r w:rsidRPr="0064047F">
        <w:rPr>
          <w:rFonts w:cs="Arial"/>
          <w:lang w:val="en-GB" w:eastAsia="en-GB" w:bidi="en-GB"/>
        </w:rPr>
        <w:t>The objectives of the Schemes are to encourage the production and use of “quality-guaranteed” seed in participating countries. The Schemes authorise the use of labels and certificates for seed produced and processed for international trade according to agreed principles ensuring varietal identity and</w:t>
      </w:r>
      <w:r w:rsidRPr="0064047F">
        <w:rPr>
          <w:rFonts w:cs="Arial"/>
          <w:spacing w:val="-15"/>
          <w:lang w:val="en-GB" w:eastAsia="en-GB" w:bidi="en-GB"/>
        </w:rPr>
        <w:t xml:space="preserve"> </w:t>
      </w:r>
      <w:r w:rsidRPr="0064047F">
        <w:rPr>
          <w:rFonts w:cs="Arial"/>
          <w:lang w:val="en-GB" w:eastAsia="en-GB" w:bidi="en-GB"/>
        </w:rPr>
        <w:t>purity.</w:t>
      </w:r>
    </w:p>
    <w:p w:rsidR="0064047F" w:rsidRPr="0064047F" w:rsidRDefault="0064047F" w:rsidP="0064047F">
      <w:pPr>
        <w:rPr>
          <w:rFonts w:cs="Arial"/>
        </w:rPr>
      </w:pPr>
    </w:p>
    <w:p w:rsidR="0064047F" w:rsidRPr="0064047F" w:rsidRDefault="0064047F" w:rsidP="0064047F">
      <w:pPr>
        <w:widowControl w:val="0"/>
        <w:tabs>
          <w:tab w:val="left" w:pos="1069"/>
          <w:tab w:val="left" w:pos="1071"/>
        </w:tabs>
        <w:autoSpaceDE w:val="0"/>
        <w:autoSpaceDN w:val="0"/>
        <w:spacing w:before="1"/>
        <w:ind w:right="212"/>
        <w:rPr>
          <w:rFonts w:cs="Arial"/>
          <w:lang w:val="en-GB" w:eastAsia="en-GB" w:bidi="en-GB"/>
        </w:rPr>
      </w:pPr>
      <w:r w:rsidRPr="0064047F">
        <w:rPr>
          <w:rFonts w:cs="Arial"/>
          <w:lang w:val="en-GB" w:eastAsia="en-GB" w:bidi="en-GB"/>
        </w:rPr>
        <w:t>The Schemes facilitate the import and export of seed, by the removal of technical barriers to trade by assuring identification and origin through internationally recognised labels (“passports”) for trade. They also lay down guidelines for seed multiplication abroad, as well as for the delegation of some control activities to the private sector (“authorisation”). The quantity of seed certified through the OECD Schemes has grown rapidly in recent years and now exceeds 1 million</w:t>
      </w:r>
      <w:r w:rsidRPr="0064047F">
        <w:rPr>
          <w:rFonts w:cs="Arial"/>
          <w:spacing w:val="-2"/>
          <w:lang w:val="en-GB" w:eastAsia="en-GB" w:bidi="en-GB"/>
        </w:rPr>
        <w:t xml:space="preserve"> </w:t>
      </w:r>
      <w:r w:rsidRPr="0064047F">
        <w:rPr>
          <w:rFonts w:cs="Arial"/>
          <w:lang w:val="en-GB" w:eastAsia="en-GB" w:bidi="en-GB"/>
        </w:rPr>
        <w:t>tonnes.</w:t>
      </w:r>
    </w:p>
    <w:p w:rsidR="0064047F" w:rsidRPr="0064047F" w:rsidRDefault="0064047F" w:rsidP="0064047F">
      <w:pPr>
        <w:spacing w:before="5"/>
        <w:rPr>
          <w:sz w:val="14"/>
        </w:rPr>
      </w:pPr>
    </w:p>
    <w:p w:rsidR="0064047F" w:rsidRPr="0064047F" w:rsidRDefault="0064047F" w:rsidP="0064047F">
      <w:pPr>
        <w:rPr>
          <w:i/>
        </w:rPr>
      </w:pPr>
      <w:bookmarkStart w:id="53" w:name="How_do_the_Seed_Schemes_operate"/>
      <w:bookmarkEnd w:id="53"/>
      <w:r w:rsidRPr="0064047F">
        <w:rPr>
          <w:i/>
        </w:rPr>
        <w:t xml:space="preserve">How do the Seed Schemes </w:t>
      </w:r>
      <w:proofErr w:type="gramStart"/>
      <w:r w:rsidRPr="0064047F">
        <w:rPr>
          <w:i/>
        </w:rPr>
        <w:t>operate</w:t>
      </w:r>
      <w:proofErr w:type="gramEnd"/>
    </w:p>
    <w:p w:rsidR="0064047F" w:rsidRPr="0064047F" w:rsidRDefault="0064047F" w:rsidP="0064047F">
      <w:pPr>
        <w:spacing w:before="4"/>
        <w:rPr>
          <w:rFonts w:cs="Arial"/>
          <w:b/>
        </w:rPr>
      </w:pPr>
    </w:p>
    <w:p w:rsidR="0064047F" w:rsidRPr="0064047F" w:rsidRDefault="0064047F" w:rsidP="0064047F">
      <w:pPr>
        <w:widowControl w:val="0"/>
        <w:tabs>
          <w:tab w:val="left" w:pos="1069"/>
          <w:tab w:val="left" w:pos="1071"/>
        </w:tabs>
        <w:autoSpaceDE w:val="0"/>
        <w:autoSpaceDN w:val="0"/>
        <w:ind w:right="216"/>
        <w:rPr>
          <w:rFonts w:cs="Arial"/>
          <w:lang w:val="en-GB" w:eastAsia="en-GB" w:bidi="en-GB"/>
        </w:rPr>
      </w:pPr>
      <w:r w:rsidRPr="0064047F">
        <w:rPr>
          <w:rFonts w:cs="Arial"/>
          <w:lang w:val="en-GB" w:eastAsia="en-GB" w:bidi="en-GB"/>
        </w:rPr>
        <w:t xml:space="preserve">The success of international certification depends upon close co-operation between maintainers, seed producers, traders and the designated authority (appointed by the government) in each participating country. </w:t>
      </w:r>
      <w:proofErr w:type="gramStart"/>
      <w:r w:rsidRPr="0064047F">
        <w:rPr>
          <w:rFonts w:cs="Arial"/>
          <w:lang w:val="en-GB" w:eastAsia="en-GB" w:bidi="en-GB"/>
        </w:rPr>
        <w:t>Frequent  meetings</w:t>
      </w:r>
      <w:proofErr w:type="gramEnd"/>
      <w:r w:rsidRPr="0064047F">
        <w:rPr>
          <w:rFonts w:cs="Arial"/>
          <w:lang w:val="en-GB" w:eastAsia="en-GB" w:bidi="en-GB"/>
        </w:rPr>
        <w:t xml:space="preserve"> allow for a multi-stakeholder dialogue to exchange information, discuss case studies, revise rules and update the Schemes. A wide range of international and non-governmental organisations as well as and seed industry networks participate actively in the</w:t>
      </w:r>
      <w:r w:rsidRPr="0064047F">
        <w:rPr>
          <w:rFonts w:cs="Arial"/>
          <w:spacing w:val="-4"/>
          <w:lang w:val="en-GB" w:eastAsia="en-GB" w:bidi="en-GB"/>
        </w:rPr>
        <w:t xml:space="preserve"> </w:t>
      </w:r>
      <w:r w:rsidRPr="0064047F">
        <w:rPr>
          <w:rFonts w:cs="Arial"/>
          <w:lang w:val="en-GB" w:eastAsia="en-GB" w:bidi="en-GB"/>
        </w:rPr>
        <w:t>Schemes.</w:t>
      </w:r>
    </w:p>
    <w:p w:rsidR="0064047F" w:rsidRPr="0064047F" w:rsidRDefault="0064047F" w:rsidP="0064047F">
      <w:pPr>
        <w:spacing w:before="3"/>
        <w:rPr>
          <w:rFonts w:cs="Arial"/>
        </w:rPr>
      </w:pPr>
    </w:p>
    <w:p w:rsidR="0064047F" w:rsidRPr="0064047F" w:rsidRDefault="0064047F" w:rsidP="0064047F">
      <w:pPr>
        <w:rPr>
          <w:i/>
        </w:rPr>
      </w:pPr>
      <w:bookmarkStart w:id="54" w:name="Benefits_of_the_Schemes"/>
      <w:bookmarkEnd w:id="54"/>
      <w:r w:rsidRPr="0064047F">
        <w:rPr>
          <w:i/>
        </w:rPr>
        <w:t>Benefits of the Schemes</w:t>
      </w:r>
    </w:p>
    <w:p w:rsidR="0064047F" w:rsidRPr="0064047F" w:rsidRDefault="0064047F" w:rsidP="0064047F">
      <w:pPr>
        <w:spacing w:before="5"/>
        <w:rPr>
          <w:rFonts w:cs="Arial"/>
          <w:b/>
        </w:rPr>
      </w:pPr>
    </w:p>
    <w:p w:rsidR="0064047F" w:rsidRPr="0064047F" w:rsidRDefault="0064047F" w:rsidP="0064047F">
      <w:pPr>
        <w:widowControl w:val="0"/>
        <w:numPr>
          <w:ilvl w:val="1"/>
          <w:numId w:val="9"/>
        </w:numPr>
        <w:tabs>
          <w:tab w:val="left" w:pos="1071"/>
        </w:tabs>
        <w:autoSpaceDE w:val="0"/>
        <w:autoSpaceDN w:val="0"/>
        <w:ind w:right="219"/>
        <w:rPr>
          <w:rFonts w:cs="Arial"/>
          <w:lang w:val="en-GB" w:eastAsia="en-GB" w:bidi="en-GB"/>
        </w:rPr>
      </w:pPr>
      <w:r w:rsidRPr="0064047F">
        <w:rPr>
          <w:rFonts w:cs="Arial"/>
          <w:lang w:val="en-GB" w:eastAsia="en-GB" w:bidi="en-GB"/>
        </w:rPr>
        <w:t xml:space="preserve">To facilitate international trade by using harmonised certification procedures, crop inspection techniques and use of control plots. The varietal purity standards for the appropriate species </w:t>
      </w:r>
      <w:proofErr w:type="gramStart"/>
      <w:r w:rsidRPr="0064047F">
        <w:rPr>
          <w:rFonts w:cs="Arial"/>
          <w:lang w:val="en-GB" w:eastAsia="en-GB" w:bidi="en-GB"/>
        </w:rPr>
        <w:t>are also agreed and standardised by all member states</w:t>
      </w:r>
      <w:proofErr w:type="gramEnd"/>
      <w:r w:rsidRPr="0064047F">
        <w:rPr>
          <w:rFonts w:cs="Arial"/>
          <w:lang w:val="en-GB" w:eastAsia="en-GB" w:bidi="en-GB"/>
        </w:rPr>
        <w:t>.</w:t>
      </w:r>
    </w:p>
    <w:p w:rsidR="0064047F" w:rsidRPr="0064047F" w:rsidRDefault="0064047F" w:rsidP="0064047F">
      <w:pPr>
        <w:widowControl w:val="0"/>
        <w:numPr>
          <w:ilvl w:val="1"/>
          <w:numId w:val="9"/>
        </w:numPr>
        <w:tabs>
          <w:tab w:val="left" w:pos="1069"/>
          <w:tab w:val="left" w:pos="1071"/>
        </w:tabs>
        <w:autoSpaceDE w:val="0"/>
        <w:autoSpaceDN w:val="0"/>
        <w:ind w:hanging="410"/>
        <w:jc w:val="left"/>
        <w:rPr>
          <w:rFonts w:cs="Arial"/>
          <w:lang w:val="en-GB" w:eastAsia="en-GB" w:bidi="en-GB"/>
        </w:rPr>
      </w:pPr>
      <w:r w:rsidRPr="0064047F">
        <w:rPr>
          <w:rFonts w:cs="Arial"/>
          <w:lang w:val="en-GB" w:eastAsia="en-GB" w:bidi="en-GB"/>
        </w:rPr>
        <w:t>To provide a framework to develop seed production with other countries or</w:t>
      </w:r>
      <w:r w:rsidRPr="0064047F">
        <w:rPr>
          <w:rFonts w:cs="Arial"/>
          <w:spacing w:val="-12"/>
          <w:lang w:val="en-GB" w:eastAsia="en-GB" w:bidi="en-GB"/>
        </w:rPr>
        <w:t xml:space="preserve"> </w:t>
      </w:r>
      <w:r w:rsidRPr="0064047F">
        <w:rPr>
          <w:rFonts w:cs="Arial"/>
          <w:lang w:val="en-GB" w:eastAsia="en-GB" w:bidi="en-GB"/>
        </w:rPr>
        <w:t>companies.</w:t>
      </w:r>
    </w:p>
    <w:p w:rsidR="0064047F" w:rsidRPr="0064047F" w:rsidRDefault="0064047F" w:rsidP="0064047F">
      <w:pPr>
        <w:widowControl w:val="0"/>
        <w:numPr>
          <w:ilvl w:val="1"/>
          <w:numId w:val="9"/>
        </w:numPr>
        <w:tabs>
          <w:tab w:val="left" w:pos="1069"/>
          <w:tab w:val="left" w:pos="1071"/>
        </w:tabs>
        <w:autoSpaceDE w:val="0"/>
        <w:autoSpaceDN w:val="0"/>
        <w:ind w:hanging="410"/>
        <w:jc w:val="left"/>
        <w:rPr>
          <w:rFonts w:cs="Arial"/>
          <w:lang w:val="en-GB" w:eastAsia="en-GB" w:bidi="en-GB"/>
        </w:rPr>
      </w:pPr>
      <w:r w:rsidRPr="0064047F">
        <w:rPr>
          <w:rFonts w:cs="Arial"/>
          <w:lang w:val="en-GB" w:eastAsia="en-GB" w:bidi="en-GB"/>
        </w:rPr>
        <w:t>To participate in the elaboration of international rules for seed</w:t>
      </w:r>
      <w:r w:rsidRPr="0064047F">
        <w:rPr>
          <w:rFonts w:cs="Arial"/>
          <w:spacing w:val="-15"/>
          <w:lang w:val="en-GB" w:eastAsia="en-GB" w:bidi="en-GB"/>
        </w:rPr>
        <w:t xml:space="preserve"> </w:t>
      </w:r>
      <w:r w:rsidRPr="0064047F">
        <w:rPr>
          <w:rFonts w:cs="Arial"/>
          <w:lang w:val="en-GB" w:eastAsia="en-GB" w:bidi="en-GB"/>
        </w:rPr>
        <w:t>certification.</w:t>
      </w:r>
    </w:p>
    <w:p w:rsidR="0064047F" w:rsidRPr="0064047F" w:rsidRDefault="0064047F" w:rsidP="0064047F">
      <w:pPr>
        <w:widowControl w:val="0"/>
        <w:numPr>
          <w:ilvl w:val="1"/>
          <w:numId w:val="9"/>
        </w:numPr>
        <w:tabs>
          <w:tab w:val="left" w:pos="1069"/>
          <w:tab w:val="left" w:pos="1071"/>
        </w:tabs>
        <w:autoSpaceDE w:val="0"/>
        <w:autoSpaceDN w:val="0"/>
        <w:ind w:hanging="410"/>
        <w:jc w:val="left"/>
        <w:rPr>
          <w:rFonts w:cs="Arial"/>
          <w:lang w:val="en-GB" w:eastAsia="en-GB" w:bidi="en-GB"/>
        </w:rPr>
      </w:pPr>
      <w:r w:rsidRPr="0064047F">
        <w:rPr>
          <w:rFonts w:cs="Arial"/>
          <w:lang w:val="en-GB" w:eastAsia="en-GB" w:bidi="en-GB"/>
        </w:rPr>
        <w:t>To develop collaboration between the public and private</w:t>
      </w:r>
      <w:r w:rsidRPr="0064047F">
        <w:rPr>
          <w:rFonts w:cs="Arial"/>
          <w:spacing w:val="-10"/>
          <w:lang w:val="en-GB" w:eastAsia="en-GB" w:bidi="en-GB"/>
        </w:rPr>
        <w:t xml:space="preserve"> </w:t>
      </w:r>
      <w:r w:rsidRPr="0064047F">
        <w:rPr>
          <w:rFonts w:cs="Arial"/>
          <w:lang w:val="en-GB" w:eastAsia="en-GB" w:bidi="en-GB"/>
        </w:rPr>
        <w:t>sectors.</w:t>
      </w:r>
    </w:p>
    <w:p w:rsidR="0064047F" w:rsidRPr="0064047F" w:rsidRDefault="0064047F" w:rsidP="0064047F">
      <w:pPr>
        <w:widowControl w:val="0"/>
        <w:numPr>
          <w:ilvl w:val="1"/>
          <w:numId w:val="9"/>
        </w:numPr>
        <w:tabs>
          <w:tab w:val="left" w:pos="1071"/>
        </w:tabs>
        <w:autoSpaceDE w:val="0"/>
        <w:autoSpaceDN w:val="0"/>
        <w:ind w:right="225"/>
        <w:rPr>
          <w:rFonts w:cs="Arial"/>
          <w:lang w:val="en-GB" w:eastAsia="en-GB" w:bidi="en-GB"/>
        </w:rPr>
      </w:pPr>
      <w:r w:rsidRPr="0064047F">
        <w:rPr>
          <w:rFonts w:cs="Arial"/>
          <w:lang w:val="en-GB" w:eastAsia="en-GB" w:bidi="en-GB"/>
        </w:rPr>
        <w:t>To benefit from regular exchanges of information with other national certification agencies and Observer organisations.</w:t>
      </w:r>
    </w:p>
    <w:p w:rsidR="0064047F" w:rsidRPr="0064047F" w:rsidRDefault="0064047F" w:rsidP="0064047F">
      <w:pPr>
        <w:spacing w:before="5"/>
        <w:rPr>
          <w:rFonts w:cs="Arial"/>
        </w:rPr>
      </w:pPr>
    </w:p>
    <w:p w:rsidR="0064047F" w:rsidRPr="0064047F" w:rsidRDefault="0064047F" w:rsidP="0064047F">
      <w:pPr>
        <w:rPr>
          <w:i/>
        </w:rPr>
      </w:pPr>
      <w:bookmarkStart w:id="55" w:name="Annual_List_of_Varieties"/>
      <w:bookmarkEnd w:id="55"/>
      <w:r w:rsidRPr="0064047F">
        <w:rPr>
          <w:i/>
        </w:rPr>
        <w:t>Annual List of Varieties</w:t>
      </w:r>
    </w:p>
    <w:p w:rsidR="0064047F" w:rsidRPr="0064047F" w:rsidRDefault="0064047F" w:rsidP="0064047F">
      <w:pPr>
        <w:spacing w:before="4"/>
        <w:rPr>
          <w:rFonts w:cs="Arial"/>
          <w:b/>
        </w:rPr>
      </w:pPr>
    </w:p>
    <w:p w:rsidR="0064047F" w:rsidRPr="0064047F" w:rsidRDefault="0064047F" w:rsidP="0064047F">
      <w:pPr>
        <w:widowControl w:val="0"/>
        <w:tabs>
          <w:tab w:val="left" w:pos="1127"/>
          <w:tab w:val="left" w:pos="1128"/>
        </w:tabs>
        <w:autoSpaceDE w:val="0"/>
        <w:autoSpaceDN w:val="0"/>
        <w:ind w:right="216"/>
        <w:rPr>
          <w:rFonts w:cs="Arial"/>
          <w:lang w:val="en-GB" w:eastAsia="en-GB" w:bidi="en-GB"/>
        </w:rPr>
      </w:pPr>
      <w:r w:rsidRPr="0064047F">
        <w:rPr>
          <w:rFonts w:cs="Arial"/>
          <w:w w:val="105"/>
          <w:lang w:val="en-GB" w:eastAsia="en-GB" w:bidi="en-GB"/>
        </w:rPr>
        <w:t xml:space="preserve">The Annual List of Varieties eligible for OECD certification includes </w:t>
      </w:r>
      <w:proofErr w:type="gramStart"/>
      <w:r w:rsidRPr="0064047F">
        <w:rPr>
          <w:rFonts w:cs="Arial"/>
          <w:w w:val="105"/>
          <w:lang w:val="en-GB" w:eastAsia="en-GB" w:bidi="en-GB"/>
        </w:rPr>
        <w:t>varieties which</w:t>
      </w:r>
      <w:proofErr w:type="gramEnd"/>
      <w:r w:rsidRPr="0064047F">
        <w:rPr>
          <w:rFonts w:cs="Arial"/>
          <w:w w:val="105"/>
          <w:lang w:val="en-GB" w:eastAsia="en-GB" w:bidi="en-GB"/>
        </w:rPr>
        <w:t xml:space="preserve"> are officially recognized as distinct, uniform and stable, and possess an acceptable value in one or more participating country. The List contains the seed varieties internationally traded using the OECD seed Schemes. The number of varieties included has grown steadily over the last thirty years. Currently, the number of listed varieties amounts to over 62 000, corresponding to 200 species. The List is available online and updated</w:t>
      </w:r>
      <w:r w:rsidRPr="0064047F">
        <w:rPr>
          <w:rFonts w:cs="Arial"/>
          <w:spacing w:val="16"/>
          <w:w w:val="105"/>
          <w:lang w:val="en-GB" w:eastAsia="en-GB" w:bidi="en-GB"/>
        </w:rPr>
        <w:t xml:space="preserve"> </w:t>
      </w:r>
      <w:r w:rsidRPr="0064047F">
        <w:rPr>
          <w:rFonts w:cs="Arial"/>
          <w:w w:val="105"/>
          <w:lang w:val="en-GB" w:eastAsia="en-GB" w:bidi="en-GB"/>
        </w:rPr>
        <w:t>frequently.</w:t>
      </w:r>
    </w:p>
    <w:p w:rsidR="0064047F" w:rsidRPr="0064047F" w:rsidRDefault="0064047F" w:rsidP="0064047F">
      <w:pPr>
        <w:spacing w:before="4"/>
        <w:rPr>
          <w:rFonts w:cs="Arial"/>
        </w:rPr>
      </w:pPr>
    </w:p>
    <w:p w:rsidR="0064047F" w:rsidRPr="0064047F" w:rsidRDefault="0064047F" w:rsidP="0064047F">
      <w:pPr>
        <w:rPr>
          <w:i/>
        </w:rPr>
      </w:pPr>
      <w:bookmarkStart w:id="56" w:name="Outlook"/>
      <w:bookmarkEnd w:id="56"/>
      <w:r w:rsidRPr="0064047F">
        <w:rPr>
          <w:i/>
        </w:rPr>
        <w:t>Outlook</w:t>
      </w:r>
    </w:p>
    <w:p w:rsidR="0064047F" w:rsidRPr="0064047F" w:rsidRDefault="0064047F" w:rsidP="0064047F">
      <w:pPr>
        <w:spacing w:before="6"/>
        <w:rPr>
          <w:rFonts w:cs="Arial"/>
          <w:b/>
        </w:rPr>
      </w:pPr>
    </w:p>
    <w:p w:rsidR="0064047F" w:rsidRPr="0064047F" w:rsidRDefault="0064047F" w:rsidP="0064047F">
      <w:pPr>
        <w:widowControl w:val="0"/>
        <w:tabs>
          <w:tab w:val="left" w:pos="1069"/>
          <w:tab w:val="left" w:pos="1071"/>
        </w:tabs>
        <w:autoSpaceDE w:val="0"/>
        <w:autoSpaceDN w:val="0"/>
        <w:spacing w:before="1"/>
        <w:ind w:right="223"/>
        <w:rPr>
          <w:rFonts w:cs="Arial"/>
          <w:lang w:val="en-GB" w:eastAsia="en-GB" w:bidi="en-GB"/>
        </w:rPr>
      </w:pPr>
      <w:r w:rsidRPr="0064047F">
        <w:rPr>
          <w:rFonts w:cs="Arial"/>
          <w:lang w:val="en-GB" w:eastAsia="en-GB" w:bidi="en-GB"/>
        </w:rPr>
        <w:t>As seed “consumers” become more demanding, there are greater needs for uniform seed standards, while at the same time public financial resources for regulation and quality control are</w:t>
      </w:r>
      <w:r w:rsidRPr="0064047F">
        <w:rPr>
          <w:rFonts w:cs="Arial"/>
          <w:spacing w:val="-9"/>
          <w:lang w:val="en-GB" w:eastAsia="en-GB" w:bidi="en-GB"/>
        </w:rPr>
        <w:t xml:space="preserve"> </w:t>
      </w:r>
      <w:r w:rsidRPr="0064047F">
        <w:rPr>
          <w:rFonts w:cs="Arial"/>
          <w:lang w:val="en-GB" w:eastAsia="en-GB" w:bidi="en-GB"/>
        </w:rPr>
        <w:t>limited.</w:t>
      </w:r>
    </w:p>
    <w:p w:rsidR="0064047F" w:rsidRPr="0064047F" w:rsidRDefault="0064047F" w:rsidP="0064047F">
      <w:pPr>
        <w:spacing w:before="8"/>
        <w:rPr>
          <w:rFonts w:cs="Arial"/>
        </w:rPr>
      </w:pPr>
    </w:p>
    <w:p w:rsidR="0064047F" w:rsidRPr="0064047F" w:rsidRDefault="0064047F" w:rsidP="0064047F">
      <w:pPr>
        <w:widowControl w:val="0"/>
        <w:tabs>
          <w:tab w:val="left" w:pos="1069"/>
          <w:tab w:val="left" w:pos="1071"/>
        </w:tabs>
        <w:autoSpaceDE w:val="0"/>
        <w:autoSpaceDN w:val="0"/>
        <w:ind w:right="214"/>
        <w:rPr>
          <w:rFonts w:cs="Arial"/>
          <w:lang w:val="en-GB" w:eastAsia="en-GB" w:bidi="en-GB"/>
        </w:rPr>
      </w:pPr>
      <w:r w:rsidRPr="0064047F">
        <w:rPr>
          <w:rFonts w:cs="Arial"/>
          <w:lang w:val="en-GB" w:eastAsia="en-GB" w:bidi="en-GB"/>
        </w:rPr>
        <w:t>Co-operation among countries and stakeholders in the framework of the Schemes is a response to the concern for a market-responsive regulatory approach</w:t>
      </w:r>
      <w:r w:rsidRPr="0064047F">
        <w:rPr>
          <w:rFonts w:cs="Arial"/>
          <w:i/>
          <w:lang w:val="en-GB" w:eastAsia="en-GB" w:bidi="en-GB"/>
        </w:rPr>
        <w:t xml:space="preserve">. </w:t>
      </w:r>
      <w:r w:rsidRPr="0064047F">
        <w:rPr>
          <w:rFonts w:cs="Arial"/>
          <w:lang w:val="en-GB" w:eastAsia="en-GB" w:bidi="en-GB"/>
        </w:rPr>
        <w:t xml:space="preserve">Every country is confronted with a different legal framework, institutional barriers and trade relations whilst the different approaches must remain consistent between countries </w:t>
      </w:r>
      <w:proofErr w:type="gramStart"/>
      <w:r w:rsidRPr="0064047F">
        <w:rPr>
          <w:rFonts w:cs="Arial"/>
          <w:lang w:val="en-GB" w:eastAsia="en-GB" w:bidi="en-GB"/>
        </w:rPr>
        <w:t>entering  international</w:t>
      </w:r>
      <w:proofErr w:type="gramEnd"/>
      <w:r w:rsidRPr="0064047F">
        <w:rPr>
          <w:rFonts w:cs="Arial"/>
          <w:lang w:val="en-GB" w:eastAsia="en-GB" w:bidi="en-GB"/>
        </w:rPr>
        <w:t xml:space="preserve"> markets as importers or exporters of</w:t>
      </w:r>
      <w:r w:rsidRPr="0064047F">
        <w:rPr>
          <w:rFonts w:cs="Arial"/>
          <w:spacing w:val="-6"/>
          <w:lang w:val="en-GB" w:eastAsia="en-GB" w:bidi="en-GB"/>
        </w:rPr>
        <w:t xml:space="preserve"> </w:t>
      </w:r>
      <w:r w:rsidRPr="0064047F">
        <w:rPr>
          <w:rFonts w:cs="Arial"/>
          <w:lang w:val="en-GB" w:eastAsia="en-GB" w:bidi="en-GB"/>
        </w:rPr>
        <w:t>seed.</w:t>
      </w:r>
    </w:p>
    <w:p w:rsidR="0064047F" w:rsidRPr="0064047F" w:rsidRDefault="0064047F" w:rsidP="0064047F">
      <w:pPr>
        <w:spacing w:before="10"/>
        <w:rPr>
          <w:rFonts w:cs="Arial"/>
        </w:rPr>
      </w:pPr>
    </w:p>
    <w:p w:rsidR="0064047F" w:rsidRPr="0064047F" w:rsidRDefault="0064047F" w:rsidP="0064047F">
      <w:pPr>
        <w:widowControl w:val="0"/>
        <w:tabs>
          <w:tab w:val="left" w:pos="1069"/>
          <w:tab w:val="left" w:pos="1071"/>
        </w:tabs>
        <w:autoSpaceDE w:val="0"/>
        <w:autoSpaceDN w:val="0"/>
        <w:spacing w:before="1"/>
        <w:ind w:right="217"/>
        <w:rPr>
          <w:rFonts w:cs="Arial"/>
          <w:lang w:val="en-GB" w:eastAsia="en-GB" w:bidi="en-GB"/>
        </w:rPr>
      </w:pPr>
      <w:r w:rsidRPr="0064047F">
        <w:rPr>
          <w:rFonts w:cs="Arial"/>
          <w:lang w:val="en-GB" w:eastAsia="en-GB" w:bidi="en-GB"/>
        </w:rPr>
        <w:t xml:space="preserve">Maintainers and seed companies are responsible for ensuring their varieties remain pure and true to the description and the definitive sample (which is the ‘living description’ of the variety) not only domestically, but also across borders. However, there is a need for minimum criteria to be commonly </w:t>
      </w:r>
      <w:proofErr w:type="gramStart"/>
      <w:r w:rsidRPr="0064047F">
        <w:rPr>
          <w:rFonts w:cs="Arial"/>
          <w:lang w:val="en-GB" w:eastAsia="en-GB" w:bidi="en-GB"/>
        </w:rPr>
        <w:t>defined</w:t>
      </w:r>
      <w:proofErr w:type="gramEnd"/>
      <w:r w:rsidRPr="0064047F">
        <w:rPr>
          <w:rFonts w:cs="Arial"/>
          <w:lang w:val="en-GB" w:eastAsia="en-GB" w:bidi="en-GB"/>
        </w:rPr>
        <w:t>, endorsed and enforced when multiplying seed in large quantities for the trade. The OECD Seed Schemes provide this legal framework at international level.</w:t>
      </w:r>
    </w:p>
    <w:p w:rsidR="0064047F" w:rsidRPr="0064047F" w:rsidRDefault="0064047F" w:rsidP="0064047F">
      <w:pPr>
        <w:widowControl w:val="0"/>
        <w:tabs>
          <w:tab w:val="left" w:pos="1069"/>
          <w:tab w:val="left" w:pos="1071"/>
        </w:tabs>
        <w:autoSpaceDE w:val="0"/>
        <w:autoSpaceDN w:val="0"/>
        <w:spacing w:before="1"/>
        <w:ind w:left="220" w:right="217"/>
        <w:rPr>
          <w:rFonts w:cs="Arial"/>
          <w:lang w:val="en-GB" w:eastAsia="en-GB" w:bidi="en-GB"/>
        </w:rPr>
      </w:pPr>
    </w:p>
    <w:p w:rsidR="0064047F" w:rsidRPr="0064047F" w:rsidRDefault="0064047F" w:rsidP="0064047F">
      <w:pPr>
        <w:rPr>
          <w:i/>
        </w:rPr>
      </w:pPr>
      <w:r w:rsidRPr="0064047F">
        <w:rPr>
          <w:i/>
          <w:lang w:val="en-GB"/>
        </w:rPr>
        <w:t xml:space="preserve">Status of Biochemical and Molecular Techniques </w:t>
      </w:r>
      <w:r w:rsidRPr="0064047F">
        <w:rPr>
          <w:i/>
          <w:spacing w:val="-3"/>
        </w:rPr>
        <w:t xml:space="preserve">(BMT) </w:t>
      </w:r>
      <w:r w:rsidRPr="0064047F">
        <w:rPr>
          <w:i/>
        </w:rPr>
        <w:t>in the OECD Seed Schemes</w:t>
      </w:r>
    </w:p>
    <w:p w:rsidR="0064047F" w:rsidRPr="0064047F" w:rsidRDefault="0064047F" w:rsidP="0064047F">
      <w:pPr>
        <w:ind w:right="556"/>
      </w:pPr>
    </w:p>
    <w:p w:rsidR="0064047F" w:rsidRPr="0064047F" w:rsidRDefault="0064047F" w:rsidP="0064047F">
      <w:pPr>
        <w:spacing w:line="247" w:lineRule="exact"/>
      </w:pPr>
      <w:r w:rsidRPr="0064047F">
        <w:t xml:space="preserve">The OECD Seed Schemes do not specifically endorse any laboratory method for determining varietal identity or for determining varietal purity. The traditional OECD methods of using field inspection techniques together with pre- and post- control plots are to </w:t>
      </w:r>
      <w:proofErr w:type="gramStart"/>
      <w:r w:rsidRPr="0064047F">
        <w:t>be regarded</w:t>
      </w:r>
      <w:proofErr w:type="gramEnd"/>
      <w:r w:rsidRPr="0064047F">
        <w:t xml:space="preserve"> as the required methods of determining varietal identity and varietal purity.</w:t>
      </w:r>
    </w:p>
    <w:p w:rsidR="0064047F" w:rsidRPr="0064047F" w:rsidRDefault="0064047F" w:rsidP="0064047F">
      <w:pPr>
        <w:spacing w:line="247" w:lineRule="exact"/>
      </w:pPr>
    </w:p>
    <w:p w:rsidR="0064047F" w:rsidRPr="0064047F" w:rsidRDefault="0064047F" w:rsidP="0064047F">
      <w:pPr>
        <w:ind w:right="102"/>
      </w:pPr>
      <w:r w:rsidRPr="0064047F">
        <w:t xml:space="preserve">However, the OECD Seed Schemes do </w:t>
      </w:r>
      <w:proofErr w:type="spellStart"/>
      <w:r w:rsidRPr="0064047F">
        <w:t>recognise</w:t>
      </w:r>
      <w:proofErr w:type="spellEnd"/>
      <w:r w:rsidRPr="0064047F">
        <w:t xml:space="preserve"> that there are occasions where these traditional methods limit the certainty of the varietal determination, and in some </w:t>
      </w:r>
      <w:proofErr w:type="gramStart"/>
      <w:r w:rsidRPr="0064047F">
        <w:t>cases</w:t>
      </w:r>
      <w:proofErr w:type="gramEnd"/>
      <w:r w:rsidRPr="0064047F">
        <w:t xml:space="preserve"> varieties of some species cannot be identified with certainty using these traditional methods. In these specific circumstances, it might be beneficial to use non-field based techniques such as BMT, which </w:t>
      </w:r>
      <w:proofErr w:type="gramStart"/>
      <w:r w:rsidRPr="0064047F">
        <w:t>must be seen</w:t>
      </w:r>
      <w:proofErr w:type="gramEnd"/>
      <w:r w:rsidRPr="0064047F">
        <w:t xml:space="preserve"> as supplementing and not replacing the more traditional methods.</w:t>
      </w:r>
    </w:p>
    <w:p w:rsidR="0064047F" w:rsidRPr="0064047F" w:rsidRDefault="0064047F" w:rsidP="0064047F">
      <w:pPr>
        <w:spacing w:before="8"/>
      </w:pPr>
    </w:p>
    <w:p w:rsidR="0064047F" w:rsidRPr="0064047F" w:rsidRDefault="0064047F" w:rsidP="0064047F">
      <w:pPr>
        <w:spacing w:before="1"/>
        <w:rPr>
          <w:b/>
        </w:rPr>
      </w:pPr>
      <w:r w:rsidRPr="0064047F">
        <w:t xml:space="preserve">For more information on the OECD Seed Schemes see: </w:t>
      </w:r>
      <w:hyperlink r:id="rId13">
        <w:r w:rsidRPr="0064047F">
          <w:rPr>
            <w:b/>
          </w:rPr>
          <w:t>www.oecd.org/tad</w:t>
        </w:r>
        <w:r w:rsidRPr="0064047F">
          <w:t>/</w:t>
        </w:r>
        <w:r w:rsidRPr="0064047F">
          <w:rPr>
            <w:b/>
          </w:rPr>
          <w:t>seed</w:t>
        </w:r>
      </w:hyperlink>
    </w:p>
    <w:p w:rsidR="0064047F" w:rsidRPr="0064047F" w:rsidRDefault="0064047F" w:rsidP="0064047F"/>
    <w:p w:rsidR="0064047F" w:rsidRPr="0064047F" w:rsidRDefault="0064047F" w:rsidP="0064047F"/>
    <w:p w:rsidR="0064047F" w:rsidRPr="0064047F" w:rsidRDefault="0064047F" w:rsidP="0064047F">
      <w:pPr>
        <w:rPr>
          <w:bCs/>
          <w:u w:val="single"/>
        </w:rPr>
      </w:pPr>
      <w:r w:rsidRPr="0064047F">
        <w:rPr>
          <w:bCs/>
          <w:u w:val="single"/>
        </w:rPr>
        <w:t>International Union for the Protection of New Varieties of Plants (UPOV)</w:t>
      </w:r>
    </w:p>
    <w:p w:rsidR="0064047F" w:rsidRPr="0064047F" w:rsidRDefault="0064047F" w:rsidP="0064047F"/>
    <w:p w:rsidR="0064047F" w:rsidRPr="0064047F" w:rsidRDefault="0064047F" w:rsidP="0064047F">
      <w:r w:rsidRPr="0064047F">
        <w:rPr>
          <w:bCs/>
        </w:rPr>
        <w:t xml:space="preserve">Type of Organization: </w:t>
      </w:r>
      <w:r w:rsidRPr="0064047F">
        <w:t>Intergovernmental</w:t>
      </w:r>
    </w:p>
    <w:p w:rsidR="0064047F" w:rsidRPr="0064047F" w:rsidRDefault="0064047F" w:rsidP="0064047F">
      <w:r w:rsidRPr="0064047F">
        <w:t> </w:t>
      </w:r>
    </w:p>
    <w:p w:rsidR="0064047F" w:rsidRPr="0064047F" w:rsidRDefault="0064047F" w:rsidP="0064047F">
      <w:pPr>
        <w:rPr>
          <w:bCs/>
        </w:rPr>
      </w:pPr>
      <w:r w:rsidRPr="0064047F">
        <w:rPr>
          <w:bCs/>
        </w:rPr>
        <w:t>Membership</w:t>
      </w:r>
    </w:p>
    <w:p w:rsidR="0064047F" w:rsidRPr="0064047F" w:rsidRDefault="003C3475" w:rsidP="0064047F">
      <w:hyperlink r:id="rId14" w:history="1">
        <w:r w:rsidR="0064047F" w:rsidRPr="0064047F">
          <w:rPr>
            <w:color w:val="0000FF"/>
            <w:u w:val="single"/>
          </w:rPr>
          <w:t>List of UPOV members</w:t>
        </w:r>
      </w:hyperlink>
      <w:r w:rsidR="0064047F" w:rsidRPr="0064047F">
        <w:t xml:space="preserve">  / </w:t>
      </w:r>
      <w:hyperlink r:id="rId15" w:history="1">
        <w:r w:rsidR="0064047F" w:rsidRPr="0064047F">
          <w:rPr>
            <w:color w:val="0000FF"/>
            <w:u w:val="single"/>
          </w:rPr>
          <w:t>Situation in UPOV</w:t>
        </w:r>
      </w:hyperlink>
    </w:p>
    <w:p w:rsidR="0064047F" w:rsidRPr="0064047F" w:rsidRDefault="0064047F" w:rsidP="0064047F">
      <w:r w:rsidRPr="0064047F">
        <w:t> </w:t>
      </w:r>
    </w:p>
    <w:p w:rsidR="0064047F" w:rsidRPr="0064047F" w:rsidRDefault="0064047F" w:rsidP="0064047F">
      <w:pPr>
        <w:rPr>
          <w:bCs/>
          <w:i/>
        </w:rPr>
      </w:pPr>
      <w:r w:rsidRPr="0064047F">
        <w:rPr>
          <w:bCs/>
          <w:i/>
        </w:rPr>
        <w:t>What is UPOV?</w:t>
      </w:r>
    </w:p>
    <w:p w:rsidR="0064047F" w:rsidRPr="0064047F" w:rsidRDefault="0064047F" w:rsidP="0064047F">
      <w:pPr>
        <w:rPr>
          <w:bCs/>
        </w:rPr>
      </w:pPr>
    </w:p>
    <w:p w:rsidR="0064047F" w:rsidRPr="0064047F" w:rsidRDefault="0064047F" w:rsidP="0064047F">
      <w:r w:rsidRPr="0064047F">
        <w:t xml:space="preserve">The International Union for the Protection of New Varieties of Plants (UPOV) is an intergovernmental organization based in Geneva, Switzerland. </w:t>
      </w:r>
      <w:proofErr w:type="gramStart"/>
      <w:r w:rsidRPr="0064047F">
        <w:t>UPOV was established in 1961 by the International Convention</w:t>
      </w:r>
      <w:proofErr w:type="gramEnd"/>
      <w:r w:rsidRPr="0064047F">
        <w:t xml:space="preserve"> for the Protection of New Varieties of Plants (the "UPOV Convention").</w:t>
      </w:r>
    </w:p>
    <w:p w:rsidR="0064047F" w:rsidRPr="0064047F" w:rsidRDefault="0064047F" w:rsidP="0064047F">
      <w:r w:rsidRPr="0064047F">
        <w:t xml:space="preserve">The </w:t>
      </w:r>
      <w:r w:rsidRPr="0064047F">
        <w:rPr>
          <w:bCs/>
        </w:rPr>
        <w:t>mission</w:t>
      </w:r>
      <w:r w:rsidRPr="0064047F">
        <w:t xml:space="preserve"> of UPOV is to provide and promote an effective system of plant variety protection, with the aim of encouraging the development of new varieties of plants, for the benefit of society.</w:t>
      </w:r>
    </w:p>
    <w:p w:rsidR="0064047F" w:rsidRPr="0064047F" w:rsidRDefault="0064047F" w:rsidP="0064047F">
      <w:r w:rsidRPr="0064047F">
        <w:t>The UPOV Convention provides the basis for members to encourage plant breeding by granting breeders of new plant varieties an intellectual property right: the breeder’s right.</w:t>
      </w:r>
    </w:p>
    <w:p w:rsidR="0064047F" w:rsidRPr="0064047F" w:rsidRDefault="0064047F" w:rsidP="0064047F">
      <w:r w:rsidRPr="0064047F">
        <w:t> </w:t>
      </w:r>
    </w:p>
    <w:p w:rsidR="0064047F" w:rsidRPr="0064047F" w:rsidRDefault="0064047F" w:rsidP="0064047F">
      <w:pPr>
        <w:rPr>
          <w:bCs/>
          <w:i/>
        </w:rPr>
      </w:pPr>
      <w:r w:rsidRPr="0064047F">
        <w:rPr>
          <w:bCs/>
          <w:i/>
        </w:rPr>
        <w:t>What does UPOV do?</w:t>
      </w:r>
    </w:p>
    <w:p w:rsidR="0064047F" w:rsidRPr="0064047F" w:rsidRDefault="0064047F" w:rsidP="0064047F">
      <w:pPr>
        <w:rPr>
          <w:bCs/>
        </w:rPr>
      </w:pPr>
    </w:p>
    <w:p w:rsidR="0064047F" w:rsidRPr="0064047F" w:rsidRDefault="0064047F" w:rsidP="0064047F">
      <w:r w:rsidRPr="0064047F">
        <w:t>UPOV’s mission is to provide and promote an effective system of plant variety protection, with the aim of encouraging the development of new varieties of plants, for the benefit of society. The main objectives of UPOV are, in accordance with the UPOV Convention, to:</w:t>
      </w:r>
    </w:p>
    <w:p w:rsidR="0064047F" w:rsidRPr="0064047F" w:rsidRDefault="0064047F" w:rsidP="0064047F">
      <w:pPr>
        <w:numPr>
          <w:ilvl w:val="0"/>
          <w:numId w:val="6"/>
        </w:numPr>
      </w:pPr>
      <w:r w:rsidRPr="0064047F">
        <w:t>provide and develop the legal, administrative and technical basis for international cooperation in plant variety protection;</w:t>
      </w:r>
    </w:p>
    <w:p w:rsidR="0064047F" w:rsidRPr="0064047F" w:rsidRDefault="0064047F" w:rsidP="0064047F">
      <w:pPr>
        <w:numPr>
          <w:ilvl w:val="0"/>
          <w:numId w:val="6"/>
        </w:numPr>
      </w:pPr>
      <w:r w:rsidRPr="0064047F">
        <w:t>assist States and organizations in the development of legislation and the implementation of an effective plant variety protection system; and</w:t>
      </w:r>
    </w:p>
    <w:p w:rsidR="0064047F" w:rsidRPr="0064047F" w:rsidRDefault="0064047F" w:rsidP="0064047F">
      <w:pPr>
        <w:numPr>
          <w:ilvl w:val="0"/>
          <w:numId w:val="6"/>
        </w:numPr>
      </w:pPr>
      <w:proofErr w:type="gramStart"/>
      <w:r w:rsidRPr="0064047F">
        <w:t>enhance</w:t>
      </w:r>
      <w:proofErr w:type="gramEnd"/>
      <w:r w:rsidRPr="0064047F">
        <w:t xml:space="preserve"> public awareness and understanding of the UPOV system of plant variety protection.</w:t>
      </w:r>
    </w:p>
    <w:p w:rsidR="0064047F" w:rsidRPr="0064047F" w:rsidRDefault="0064047F" w:rsidP="0064047F">
      <w:r w:rsidRPr="0064047F">
        <w:rPr>
          <w:bCs/>
        </w:rPr>
        <w:t> </w:t>
      </w:r>
    </w:p>
    <w:p w:rsidR="0064047F" w:rsidRPr="0064047F" w:rsidRDefault="0064047F" w:rsidP="0064047F">
      <w:pPr>
        <w:rPr>
          <w:bCs/>
          <w:i/>
        </w:rPr>
      </w:pPr>
      <w:r w:rsidRPr="0064047F">
        <w:rPr>
          <w:bCs/>
          <w:i/>
        </w:rPr>
        <w:t>What are the benefits of plant variety protection and UPOV membership?</w:t>
      </w:r>
    </w:p>
    <w:p w:rsidR="0064047F" w:rsidRPr="0064047F" w:rsidRDefault="0064047F" w:rsidP="0064047F">
      <w:pPr>
        <w:rPr>
          <w:bCs/>
        </w:rPr>
      </w:pPr>
    </w:p>
    <w:p w:rsidR="0064047F" w:rsidRPr="0064047F" w:rsidRDefault="0064047F" w:rsidP="0064047F">
      <w:r w:rsidRPr="0064047F">
        <w:t xml:space="preserve">The UPOV Report on the Impact of Plant Variety Protection demonstrated that in order to enjoy the full benefits which plant variety protection is able to generate, both implementation of the UPOV Convention and membership of UPOV are important. The introduction of the UPOV system of plant variety protection and UPOV membership </w:t>
      </w:r>
      <w:proofErr w:type="gramStart"/>
      <w:r w:rsidRPr="0064047F">
        <w:t>were found to be associated</w:t>
      </w:r>
      <w:proofErr w:type="gramEnd"/>
      <w:r w:rsidRPr="0064047F">
        <w:t xml:space="preserve"> with:</w:t>
      </w:r>
    </w:p>
    <w:p w:rsidR="0064047F" w:rsidRPr="0064047F" w:rsidRDefault="0064047F" w:rsidP="0064047F"/>
    <w:p w:rsidR="0064047F" w:rsidRPr="0064047F" w:rsidRDefault="0064047F" w:rsidP="0064047F">
      <w:r w:rsidRPr="0064047F">
        <w:t>(</w:t>
      </w:r>
      <w:proofErr w:type="gramStart"/>
      <w:r w:rsidRPr="0064047F">
        <w:t>a</w:t>
      </w:r>
      <w:proofErr w:type="gramEnd"/>
      <w:r w:rsidRPr="0064047F">
        <w:t>) increased breeding activities,</w:t>
      </w:r>
    </w:p>
    <w:p w:rsidR="0064047F" w:rsidRPr="0064047F" w:rsidRDefault="0064047F" w:rsidP="0064047F">
      <w:r w:rsidRPr="0064047F">
        <w:t xml:space="preserve">(b) </w:t>
      </w:r>
      <w:proofErr w:type="gramStart"/>
      <w:r w:rsidRPr="0064047F">
        <w:t>greater</w:t>
      </w:r>
      <w:proofErr w:type="gramEnd"/>
      <w:r w:rsidRPr="0064047F">
        <w:t xml:space="preserve"> availability of improved varieties,</w:t>
      </w:r>
    </w:p>
    <w:p w:rsidR="0064047F" w:rsidRPr="0064047F" w:rsidRDefault="0064047F" w:rsidP="0064047F">
      <w:r w:rsidRPr="0064047F">
        <w:t>(</w:t>
      </w:r>
      <w:proofErr w:type="gramStart"/>
      <w:r w:rsidRPr="0064047F">
        <w:t>c</w:t>
      </w:r>
      <w:proofErr w:type="gramEnd"/>
      <w:r w:rsidRPr="0064047F">
        <w:t>) increased number of new varieties,</w:t>
      </w:r>
    </w:p>
    <w:p w:rsidR="0064047F" w:rsidRPr="0064047F" w:rsidRDefault="0064047F" w:rsidP="0064047F">
      <w:r w:rsidRPr="0064047F">
        <w:t xml:space="preserve">(d) </w:t>
      </w:r>
      <w:proofErr w:type="gramStart"/>
      <w:r w:rsidRPr="0064047F">
        <w:t>diversification</w:t>
      </w:r>
      <w:proofErr w:type="gramEnd"/>
      <w:r w:rsidRPr="0064047F">
        <w:t xml:space="preserve"> of types of breeders (e.g. private breeders, researchers),</w:t>
      </w:r>
    </w:p>
    <w:p w:rsidR="0064047F" w:rsidRPr="0064047F" w:rsidRDefault="0064047F" w:rsidP="0064047F">
      <w:r w:rsidRPr="0064047F">
        <w:t>(</w:t>
      </w:r>
      <w:proofErr w:type="gramStart"/>
      <w:r w:rsidRPr="0064047F">
        <w:t>e</w:t>
      </w:r>
      <w:proofErr w:type="gramEnd"/>
      <w:r w:rsidRPr="0064047F">
        <w:t>) increased number of foreign new varieties,</w:t>
      </w:r>
    </w:p>
    <w:p w:rsidR="0064047F" w:rsidRPr="0064047F" w:rsidRDefault="0064047F" w:rsidP="0064047F">
      <w:r w:rsidRPr="0064047F">
        <w:t xml:space="preserve">(f) </w:t>
      </w:r>
      <w:proofErr w:type="gramStart"/>
      <w:r w:rsidRPr="0064047F">
        <w:t>encouraging</w:t>
      </w:r>
      <w:proofErr w:type="gramEnd"/>
      <w:r w:rsidRPr="0064047F">
        <w:t xml:space="preserve"> the development of a new industry competitiveness on foreign markets, and</w:t>
      </w:r>
    </w:p>
    <w:p w:rsidR="0064047F" w:rsidRPr="0064047F" w:rsidRDefault="0064047F" w:rsidP="0064047F">
      <w:r w:rsidRPr="0064047F">
        <w:t xml:space="preserve">(g) </w:t>
      </w:r>
      <w:proofErr w:type="gramStart"/>
      <w:r w:rsidRPr="0064047F">
        <w:t>improved</w:t>
      </w:r>
      <w:proofErr w:type="gramEnd"/>
      <w:r w:rsidRPr="0064047F">
        <w:t xml:space="preserve"> access to foreign plant varieties and enhanced domestic breeding programs.</w:t>
      </w:r>
    </w:p>
    <w:p w:rsidR="0064047F" w:rsidRPr="0064047F" w:rsidRDefault="0064047F" w:rsidP="0064047F">
      <w:r w:rsidRPr="0064047F">
        <w:t>In order to become a UPOV member the advice of the UPOV Council in respect of the conformity of the law of a future member with the provisions of the UPOV Convention is required. This procedure leads, in itself, to a high degree of harmony in those laws, thus facilitating cooperation between members in the implementation of the system.</w:t>
      </w:r>
    </w:p>
    <w:p w:rsidR="0064047F" w:rsidRPr="0064047F" w:rsidRDefault="0064047F" w:rsidP="0064047F">
      <w:pPr>
        <w:keepNext/>
        <w:rPr>
          <w:i/>
        </w:rPr>
      </w:pPr>
    </w:p>
    <w:p w:rsidR="0064047F" w:rsidRPr="0064047F" w:rsidRDefault="0064047F" w:rsidP="0064047F">
      <w:pPr>
        <w:keepNext/>
        <w:rPr>
          <w:i/>
          <w:lang w:val="en-GB"/>
        </w:rPr>
      </w:pPr>
      <w:r w:rsidRPr="0064047F">
        <w:rPr>
          <w:i/>
          <w:lang w:val="en-GB"/>
        </w:rPr>
        <w:t>Does UPOV allow molecular techniques (DNA profiles) in the examination of Distinctness, Uniformity and Stability (“DUS”)?</w:t>
      </w:r>
    </w:p>
    <w:p w:rsidR="0064047F" w:rsidRPr="0064047F" w:rsidRDefault="0064047F" w:rsidP="0064047F">
      <w:pPr>
        <w:keepNext/>
        <w:rPr>
          <w:lang w:val="en-GB"/>
        </w:rPr>
      </w:pPr>
    </w:p>
    <w:p w:rsidR="0064047F" w:rsidRPr="0064047F" w:rsidRDefault="0064047F" w:rsidP="0064047F">
      <w:pPr>
        <w:keepNext/>
        <w:rPr>
          <w:lang w:val="en-GB"/>
        </w:rPr>
      </w:pPr>
      <w:r w:rsidRPr="0064047F">
        <w:rPr>
          <w:lang w:val="en-GB"/>
        </w:rPr>
        <w:t xml:space="preserve">It is important to note that, in some </w:t>
      </w:r>
      <w:proofErr w:type="gramStart"/>
      <w:r w:rsidRPr="0064047F">
        <w:rPr>
          <w:lang w:val="en-GB"/>
        </w:rPr>
        <w:t>cases,</w:t>
      </w:r>
      <w:proofErr w:type="gramEnd"/>
      <w:r w:rsidRPr="0064047F">
        <w:rPr>
          <w:lang w:val="en-GB"/>
        </w:rPr>
        <w:t xml:space="preserve"> varieties may have a different DNA profile but be phenotypically identical, whilst, in other cases, varieties which have a large phenotypic difference may have the same DNA profile for a particular set of molecular markers (e.g. some mutations).</w:t>
      </w:r>
    </w:p>
    <w:p w:rsidR="0064047F" w:rsidRPr="0064047F" w:rsidRDefault="0064047F" w:rsidP="0064047F">
      <w:pPr>
        <w:rPr>
          <w:lang w:val="en-GB"/>
        </w:rPr>
      </w:pPr>
    </w:p>
    <w:p w:rsidR="0064047F" w:rsidRPr="0064047F" w:rsidRDefault="0064047F" w:rsidP="0064047F">
      <w:pPr>
        <w:rPr>
          <w:lang w:val="en-GB"/>
        </w:rPr>
      </w:pPr>
      <w:r w:rsidRPr="0064047F">
        <w:rPr>
          <w:lang w:val="en-GB"/>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64047F" w:rsidRPr="0064047F" w:rsidRDefault="0064047F" w:rsidP="0064047F">
      <w:pPr>
        <w:rPr>
          <w:lang w:val="en-GB"/>
        </w:rPr>
      </w:pPr>
    </w:p>
    <w:p w:rsidR="0064047F" w:rsidRPr="0064047F" w:rsidRDefault="0064047F" w:rsidP="0064047F">
      <w:pPr>
        <w:rPr>
          <w:lang w:val="en-GB"/>
        </w:rPr>
      </w:pPr>
      <w:r w:rsidRPr="0064047F">
        <w:rPr>
          <w:lang w:val="en-GB"/>
        </w:rPr>
        <w:t>On the above basis, UPOV has agreed the following uses of molecular markers in relation to DUS examination:</w:t>
      </w:r>
    </w:p>
    <w:p w:rsidR="0064047F" w:rsidRPr="0064047F" w:rsidRDefault="0064047F" w:rsidP="0064047F">
      <w:pPr>
        <w:rPr>
          <w:lang w:val="en-GB"/>
        </w:rPr>
      </w:pPr>
    </w:p>
    <w:p w:rsidR="0064047F" w:rsidRPr="0064047F" w:rsidRDefault="0064047F" w:rsidP="0064047F">
      <w:pPr>
        <w:rPr>
          <w:lang w:val="en-GB"/>
        </w:rPr>
      </w:pPr>
      <w:r w:rsidRPr="0064047F">
        <w:rPr>
          <w:lang w:val="en-GB"/>
        </w:rPr>
        <w:t xml:space="preserve">(a)   Molecular markers </w:t>
      </w:r>
      <w:proofErr w:type="gramStart"/>
      <w:r w:rsidRPr="0064047F">
        <w:rPr>
          <w:lang w:val="en-GB"/>
        </w:rPr>
        <w:t>can be used</w:t>
      </w:r>
      <w:proofErr w:type="gramEnd"/>
      <w:r w:rsidRPr="0064047F">
        <w:rPr>
          <w:lang w:val="en-GB"/>
        </w:rPr>
        <w:t xml:space="preserve"> as a method of examining DUS characteristics that satisfy the criteria for characteristics set out in the General Introduction if there is a reliable link between the marker and the characteristic.</w:t>
      </w:r>
    </w:p>
    <w:p w:rsidR="0064047F" w:rsidRPr="0064047F" w:rsidRDefault="0064047F" w:rsidP="0064047F">
      <w:pPr>
        <w:rPr>
          <w:lang w:val="en-GB"/>
        </w:rPr>
      </w:pPr>
    </w:p>
    <w:p w:rsidR="0064047F" w:rsidRPr="0064047F" w:rsidRDefault="0064047F" w:rsidP="0064047F">
      <w:pPr>
        <w:rPr>
          <w:lang w:val="en-GB"/>
        </w:rPr>
      </w:pPr>
      <w:proofErr w:type="gramStart"/>
      <w:r w:rsidRPr="0064047F">
        <w:rPr>
          <w:lang w:val="en-GB"/>
        </w:rPr>
        <w:t>(b)    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roofErr w:type="gramEnd"/>
    </w:p>
    <w:p w:rsidR="0064047F" w:rsidRPr="0064047F" w:rsidRDefault="0064047F" w:rsidP="0064047F">
      <w:pPr>
        <w:rPr>
          <w:lang w:val="en-GB"/>
        </w:rPr>
      </w:pPr>
    </w:p>
    <w:p w:rsidR="0064047F" w:rsidRPr="0064047F" w:rsidRDefault="0064047F" w:rsidP="0064047F">
      <w:pPr>
        <w:rPr>
          <w:lang w:val="en-GB"/>
        </w:rPr>
      </w:pPr>
      <w:r w:rsidRPr="0064047F">
        <w:rPr>
          <w:lang w:val="en-GB"/>
        </w:rPr>
        <w:t xml:space="preserve">The situation in UPOV </w:t>
      </w:r>
      <w:proofErr w:type="gramStart"/>
      <w:r w:rsidRPr="0064047F">
        <w:rPr>
          <w:lang w:val="en-GB"/>
        </w:rPr>
        <w:t>is explained</w:t>
      </w:r>
      <w:proofErr w:type="gramEnd"/>
      <w:r w:rsidRPr="0064047F">
        <w:rPr>
          <w:lang w:val="en-GB"/>
        </w:rPr>
        <w:t xml:space="preserve"> in documents TGP/15 “Guidance on the Use of Biochemical and Molecular Markers in the Examination of Distinctness, Uniformity and Stability (DUS)” and UPOV/INF/18 “Possible use of Molecular Markers in the Examination of Distinctness, Uniformity and Stability (DUS)”.</w:t>
      </w:r>
    </w:p>
    <w:p w:rsidR="0064047F" w:rsidRPr="0064047F" w:rsidRDefault="0064047F" w:rsidP="0064047F">
      <w:pPr>
        <w:rPr>
          <w:lang w:val="en-GB"/>
        </w:rPr>
      </w:pPr>
    </w:p>
    <w:p w:rsidR="0064047F" w:rsidRPr="0064047F" w:rsidRDefault="003C3475" w:rsidP="0064047F">
      <w:pPr>
        <w:rPr>
          <w:lang w:val="en-GB"/>
        </w:rPr>
      </w:pPr>
      <w:hyperlink r:id="rId16" w:anchor="QB80" w:history="1">
        <w:r w:rsidR="0064047F" w:rsidRPr="0064047F">
          <w:rPr>
            <w:color w:val="0000FF"/>
            <w:u w:val="single"/>
            <w:lang w:val="en-GB"/>
          </w:rPr>
          <w:t>https://www.upov.int/about/en/faq.html#QB80</w:t>
        </w:r>
      </w:hyperlink>
    </w:p>
    <w:p w:rsidR="0064047F" w:rsidRPr="0064047F" w:rsidRDefault="0064047F" w:rsidP="0064047F">
      <w:pPr>
        <w:rPr>
          <w:lang w:val="en-GB"/>
        </w:rPr>
      </w:pPr>
    </w:p>
    <w:p w:rsidR="0064047F" w:rsidRPr="0064047F" w:rsidRDefault="0064047F" w:rsidP="0064047F">
      <w:pPr>
        <w:rPr>
          <w:lang w:val="en-GB"/>
        </w:rPr>
      </w:pPr>
    </w:p>
    <w:p w:rsidR="0064047F" w:rsidRPr="0064047F" w:rsidRDefault="0064047F" w:rsidP="0064047F"/>
    <w:p w:rsidR="0064047F" w:rsidRPr="0064047F" w:rsidRDefault="0064047F" w:rsidP="0064047F">
      <w:pPr>
        <w:rPr>
          <w:bCs/>
          <w:u w:val="single"/>
        </w:rPr>
      </w:pPr>
      <w:r w:rsidRPr="0064047F">
        <w:rPr>
          <w:bCs/>
          <w:u w:val="single"/>
        </w:rPr>
        <w:t>International Seed Testing Association (ISTA)</w:t>
      </w:r>
    </w:p>
    <w:p w:rsidR="0064047F" w:rsidRPr="0064047F" w:rsidRDefault="0064047F" w:rsidP="0064047F"/>
    <w:p w:rsidR="0064047F" w:rsidRPr="0064047F" w:rsidRDefault="0064047F" w:rsidP="0064047F">
      <w:pPr>
        <w:rPr>
          <w:rFonts w:eastAsia="Calibri"/>
        </w:rPr>
      </w:pPr>
      <w:r w:rsidRPr="0064047F">
        <w:rPr>
          <w:rFonts w:eastAsia="Calibri"/>
        </w:rPr>
        <w:t>ISTA’S VISION: UNIFORMITY IN SEED TESTING</w:t>
      </w:r>
    </w:p>
    <w:p w:rsidR="0064047F" w:rsidRPr="0064047F" w:rsidRDefault="0064047F" w:rsidP="0064047F">
      <w:pPr>
        <w:rPr>
          <w:rFonts w:eastAsia="Calibri"/>
        </w:rPr>
      </w:pPr>
    </w:p>
    <w:p w:rsidR="0064047F" w:rsidRPr="0064047F" w:rsidRDefault="0064047F" w:rsidP="0064047F">
      <w:pPr>
        <w:spacing w:after="160" w:line="259" w:lineRule="auto"/>
        <w:rPr>
          <w:rFonts w:eastAsia="Calibri" w:cs="Arial"/>
          <w:color w:val="000000"/>
          <w:shd w:val="clear" w:color="auto" w:fill="FFFFFF"/>
        </w:rPr>
      </w:pPr>
      <w:r w:rsidRPr="0064047F">
        <w:rPr>
          <w:rFonts w:eastAsia="Calibri" w:cs="Arial"/>
          <w:color w:val="000000"/>
          <w:shd w:val="clear" w:color="auto" w:fill="FFFFFF"/>
        </w:rPr>
        <w:t xml:space="preserve">Founded in 1924, with the aim to develop and publish standard procedures in the field of seed testing, ISTA </w:t>
      </w:r>
      <w:proofErr w:type="gramStart"/>
      <w:r w:rsidRPr="0064047F">
        <w:rPr>
          <w:rFonts w:eastAsia="Calibri" w:cs="Arial"/>
          <w:color w:val="000000"/>
          <w:shd w:val="clear" w:color="auto" w:fill="FFFFFF"/>
        </w:rPr>
        <w:t>is inextricably linked</w:t>
      </w:r>
      <w:proofErr w:type="gramEnd"/>
      <w:r w:rsidRPr="0064047F">
        <w:rPr>
          <w:rFonts w:eastAsia="Calibri" w:cs="Arial"/>
          <w:color w:val="000000"/>
          <w:shd w:val="clear" w:color="auto" w:fill="FFFFFF"/>
        </w:rPr>
        <w:t xml:space="preserve"> with the history of seed testing. With member laboratories in over 80 countries/distinct economies worldwide, ISTA membership is truly a global network.</w:t>
      </w:r>
    </w:p>
    <w:p w:rsidR="0064047F" w:rsidRPr="0064047F" w:rsidRDefault="0064047F" w:rsidP="0064047F">
      <w:pPr>
        <w:spacing w:after="160" w:line="259" w:lineRule="auto"/>
        <w:rPr>
          <w:rFonts w:eastAsia="Calibri" w:cs="Arial"/>
          <w:color w:val="000000"/>
          <w:shd w:val="clear" w:color="auto" w:fill="FFFFFF"/>
        </w:rPr>
      </w:pPr>
      <w:r w:rsidRPr="0064047F">
        <w:rPr>
          <w:rFonts w:eastAsia="Calibri" w:cs="Arial"/>
          <w:color w:val="000000"/>
          <w:shd w:val="clear" w:color="auto" w:fill="FFFFFF"/>
        </w:rPr>
        <w:t>Our association produces internationally agreed rules for seed sampling and testing, accredits laboratories, promotes research, provides international seed analysis certificates and training, and disseminates knowledge in seed science and technology on behalf of our membership and governed by its member countries/distinct economies. This facilitates seed trading nationally and internationally, and therefore contributes to food security.</w:t>
      </w:r>
    </w:p>
    <w:p w:rsidR="0064047F" w:rsidRPr="0064047F" w:rsidRDefault="0064047F" w:rsidP="0064047F">
      <w:pPr>
        <w:spacing w:after="160" w:line="259" w:lineRule="auto"/>
        <w:jc w:val="left"/>
        <w:rPr>
          <w:rFonts w:eastAsia="Calibri" w:cs="Arial"/>
          <w:bCs/>
        </w:rPr>
      </w:pPr>
      <w:r w:rsidRPr="0064047F">
        <w:rPr>
          <w:rFonts w:eastAsia="Calibri" w:cs="Arial"/>
          <w:bCs/>
        </w:rPr>
        <w:t>ISTA’S MEMBERSHIP 2019</w:t>
      </w:r>
    </w:p>
    <w:p w:rsidR="0064047F" w:rsidRPr="0064047F" w:rsidRDefault="0064047F" w:rsidP="0064047F">
      <w:pPr>
        <w:spacing w:after="160" w:line="259" w:lineRule="auto"/>
        <w:rPr>
          <w:rFonts w:eastAsia="Calibri" w:cs="Arial"/>
        </w:rPr>
      </w:pPr>
      <w:r w:rsidRPr="0064047F">
        <w:rPr>
          <w:rFonts w:eastAsia="Calibri" w:cs="Arial"/>
        </w:rPr>
        <w:t>With member laboratories in 82 countries/distinct economies worldwide, ISTA membership is a truly global network. Currently, ISTA membership consists of:</w:t>
      </w:r>
    </w:p>
    <w:p w:rsidR="0064047F" w:rsidRPr="0064047F" w:rsidRDefault="0064047F" w:rsidP="0064047F">
      <w:pPr>
        <w:autoSpaceDE w:val="0"/>
        <w:autoSpaceDN w:val="0"/>
        <w:adjustRightInd w:val="0"/>
        <w:jc w:val="left"/>
        <w:rPr>
          <w:rFonts w:eastAsia="Calibri" w:cs="Arial"/>
          <w:strike/>
          <w:color w:val="C00000"/>
        </w:rPr>
      </w:pPr>
    </w:p>
    <w:p w:rsidR="0064047F" w:rsidRPr="0064047F" w:rsidRDefault="0064047F" w:rsidP="0064047F">
      <w:pPr>
        <w:numPr>
          <w:ilvl w:val="0"/>
          <w:numId w:val="8"/>
        </w:numPr>
        <w:autoSpaceDE w:val="0"/>
        <w:autoSpaceDN w:val="0"/>
        <w:adjustRightInd w:val="0"/>
        <w:spacing w:after="278" w:line="259" w:lineRule="auto"/>
        <w:jc w:val="left"/>
        <w:rPr>
          <w:rFonts w:eastAsia="Calibri" w:cs="Arial"/>
          <w:color w:val="000000"/>
        </w:rPr>
      </w:pPr>
      <w:r w:rsidRPr="0064047F">
        <w:rPr>
          <w:rFonts w:eastAsia="Calibri" w:cs="Arial"/>
          <w:color w:val="000000"/>
        </w:rPr>
        <w:t xml:space="preserve">235 Member Laboratories, out of which 136 are ISTA accredited </w:t>
      </w:r>
    </w:p>
    <w:p w:rsidR="0064047F" w:rsidRPr="0064047F" w:rsidRDefault="0064047F" w:rsidP="0064047F">
      <w:pPr>
        <w:numPr>
          <w:ilvl w:val="0"/>
          <w:numId w:val="8"/>
        </w:numPr>
        <w:autoSpaceDE w:val="0"/>
        <w:autoSpaceDN w:val="0"/>
        <w:adjustRightInd w:val="0"/>
        <w:spacing w:after="278" w:line="259" w:lineRule="auto"/>
        <w:jc w:val="left"/>
        <w:rPr>
          <w:rFonts w:eastAsia="Calibri" w:cs="Arial"/>
          <w:color w:val="000000"/>
        </w:rPr>
      </w:pPr>
      <w:r w:rsidRPr="0064047F">
        <w:rPr>
          <w:rFonts w:eastAsia="Calibri" w:cs="Arial"/>
          <w:color w:val="000000"/>
        </w:rPr>
        <w:t>63   Associate Members</w:t>
      </w:r>
    </w:p>
    <w:p w:rsidR="0064047F" w:rsidRPr="0064047F" w:rsidRDefault="0064047F" w:rsidP="0064047F">
      <w:pPr>
        <w:numPr>
          <w:ilvl w:val="0"/>
          <w:numId w:val="8"/>
        </w:numPr>
        <w:autoSpaceDE w:val="0"/>
        <w:autoSpaceDN w:val="0"/>
        <w:adjustRightInd w:val="0"/>
        <w:spacing w:after="278" w:line="259" w:lineRule="auto"/>
        <w:jc w:val="left"/>
        <w:rPr>
          <w:rFonts w:eastAsia="Calibri" w:cs="Arial"/>
          <w:color w:val="000000"/>
        </w:rPr>
      </w:pPr>
      <w:r w:rsidRPr="0064047F">
        <w:rPr>
          <w:rFonts w:eastAsia="Calibri" w:cs="Arial"/>
          <w:color w:val="000000"/>
        </w:rPr>
        <w:t>39   Personal Members</w:t>
      </w:r>
    </w:p>
    <w:p w:rsidR="0064047F" w:rsidRPr="0064047F" w:rsidRDefault="0064047F" w:rsidP="0064047F">
      <w:pPr>
        <w:autoSpaceDE w:val="0"/>
        <w:autoSpaceDN w:val="0"/>
        <w:adjustRightInd w:val="0"/>
        <w:jc w:val="left"/>
        <w:rPr>
          <w:rFonts w:eastAsia="Calibri" w:cs="Arial"/>
          <w:bCs/>
        </w:rPr>
      </w:pPr>
      <w:r w:rsidRPr="0064047F">
        <w:rPr>
          <w:rFonts w:eastAsia="Calibri" w:cs="Arial"/>
          <w:bCs/>
        </w:rPr>
        <w:t>ISTA</w:t>
      </w:r>
      <w:r w:rsidRPr="0064047F">
        <w:rPr>
          <w:rFonts w:eastAsia="Calibri" w:cs="Arial"/>
          <w:bCs/>
          <w:color w:val="000000"/>
        </w:rPr>
        <w:t>’</w:t>
      </w:r>
      <w:r w:rsidRPr="0064047F">
        <w:rPr>
          <w:rFonts w:eastAsia="Calibri" w:cs="Arial"/>
          <w:bCs/>
        </w:rPr>
        <w:t>S TECHNICAL WORK</w:t>
      </w:r>
    </w:p>
    <w:p w:rsidR="0064047F" w:rsidRPr="0064047F" w:rsidRDefault="0064047F" w:rsidP="0064047F">
      <w:pPr>
        <w:autoSpaceDE w:val="0"/>
        <w:autoSpaceDN w:val="0"/>
        <w:adjustRightInd w:val="0"/>
        <w:jc w:val="left"/>
        <w:rPr>
          <w:rFonts w:eastAsia="Calibri" w:cs="Arial"/>
          <w:b/>
          <w:bCs/>
        </w:rPr>
      </w:pPr>
    </w:p>
    <w:p w:rsidR="0064047F" w:rsidRPr="0064047F" w:rsidRDefault="0064047F" w:rsidP="0064047F">
      <w:pPr>
        <w:autoSpaceDE w:val="0"/>
        <w:autoSpaceDN w:val="0"/>
        <w:adjustRightInd w:val="0"/>
        <w:rPr>
          <w:rFonts w:eastAsia="Calibri" w:cs="Arial"/>
          <w:color w:val="000000"/>
        </w:rPr>
      </w:pPr>
      <w:r w:rsidRPr="0064047F">
        <w:rPr>
          <w:rFonts w:eastAsia="Calibri" w:cs="Arial"/>
          <w:color w:val="000000"/>
        </w:rPr>
        <w:t xml:space="preserve">The principle objective of ISTA Technical Committees is to develop, </w:t>
      </w:r>
      <w:proofErr w:type="spellStart"/>
      <w:r w:rsidRPr="0064047F">
        <w:rPr>
          <w:rFonts w:eastAsia="Calibri" w:cs="Arial"/>
          <w:color w:val="000000"/>
        </w:rPr>
        <w:t>standardise</w:t>
      </w:r>
      <w:proofErr w:type="spellEnd"/>
      <w:r w:rsidRPr="0064047F">
        <w:rPr>
          <w:rFonts w:eastAsia="Calibri" w:cs="Arial"/>
          <w:color w:val="000000"/>
        </w:rPr>
        <w:t xml:space="preserve"> and validate methods for sampling and testing of seed quality, using the best scientific knowledge available. They enhance the </w:t>
      </w:r>
      <w:r w:rsidRPr="0064047F">
        <w:rPr>
          <w:rFonts w:eastAsia="Calibri" w:cs="Arial"/>
          <w:b/>
          <w:bCs/>
          <w:color w:val="000000"/>
        </w:rPr>
        <w:t xml:space="preserve">ISTA ‘International Rules for Seed Testing’ </w:t>
      </w:r>
      <w:r w:rsidRPr="0064047F">
        <w:rPr>
          <w:rFonts w:eastAsia="Calibri" w:cs="Arial"/>
          <w:color w:val="000000"/>
        </w:rPr>
        <w:t xml:space="preserve">and develop ISTA Handbooks on seed methods including sampling and testing. </w:t>
      </w:r>
      <w:proofErr w:type="gramStart"/>
      <w:r w:rsidRPr="0064047F">
        <w:rPr>
          <w:rFonts w:eastAsia="Calibri" w:cs="Arial"/>
          <w:color w:val="000000"/>
        </w:rPr>
        <w:t>Further</w:t>
      </w:r>
      <w:proofErr w:type="gramEnd"/>
      <w:r w:rsidRPr="0064047F">
        <w:rPr>
          <w:rFonts w:eastAsia="Calibri" w:cs="Arial"/>
          <w:color w:val="000000"/>
        </w:rPr>
        <w:t xml:space="preserve"> they are responsible for the </w:t>
      </w:r>
      <w:proofErr w:type="spellStart"/>
      <w:r w:rsidRPr="0064047F">
        <w:rPr>
          <w:rFonts w:eastAsia="Calibri" w:cs="Arial"/>
          <w:color w:val="000000"/>
        </w:rPr>
        <w:t>organisation</w:t>
      </w:r>
      <w:proofErr w:type="spellEnd"/>
      <w:r w:rsidRPr="0064047F">
        <w:rPr>
          <w:rFonts w:eastAsia="Calibri" w:cs="Arial"/>
          <w:color w:val="000000"/>
        </w:rPr>
        <w:t xml:space="preserve"> of Symposia, Seminars and Workshops. ISTA Technical Committees regularly hold </w:t>
      </w:r>
      <w:proofErr w:type="gramStart"/>
      <w:r w:rsidRPr="0064047F">
        <w:rPr>
          <w:rFonts w:eastAsia="Calibri" w:cs="Arial"/>
          <w:color w:val="000000"/>
        </w:rPr>
        <w:t>workshops which</w:t>
      </w:r>
      <w:proofErr w:type="gramEnd"/>
      <w:r w:rsidRPr="0064047F">
        <w:rPr>
          <w:rFonts w:eastAsia="Calibri" w:cs="Arial"/>
          <w:color w:val="000000"/>
        </w:rPr>
        <w:t xml:space="preserve"> provide a platform for training as well as the exchange of information, experience and ideas.</w:t>
      </w:r>
    </w:p>
    <w:p w:rsidR="0064047F" w:rsidRPr="0064047F" w:rsidRDefault="0064047F" w:rsidP="0064047F">
      <w:pPr>
        <w:autoSpaceDE w:val="0"/>
        <w:autoSpaceDN w:val="0"/>
        <w:adjustRightInd w:val="0"/>
        <w:jc w:val="left"/>
        <w:rPr>
          <w:rFonts w:eastAsia="Calibri" w:cs="Arial"/>
          <w:color w:val="000000"/>
        </w:rPr>
      </w:pPr>
    </w:p>
    <w:p w:rsidR="0064047F" w:rsidRPr="0064047F" w:rsidRDefault="0064047F" w:rsidP="0064047F">
      <w:pPr>
        <w:autoSpaceDE w:val="0"/>
        <w:autoSpaceDN w:val="0"/>
        <w:adjustRightInd w:val="0"/>
        <w:jc w:val="left"/>
        <w:rPr>
          <w:rFonts w:eastAsia="Calibri" w:cs="Arial"/>
          <w:color w:val="000000"/>
        </w:rPr>
      </w:pPr>
      <w:r w:rsidRPr="0064047F">
        <w:rPr>
          <w:rFonts w:eastAsia="Calibri" w:cs="Arial"/>
          <w:color w:val="000000"/>
        </w:rPr>
        <w:t>There are 20 Technical Committees in ISTA:</w:t>
      </w:r>
    </w:p>
    <w:p w:rsidR="0064047F" w:rsidRPr="0064047F" w:rsidRDefault="0064047F" w:rsidP="0064047F">
      <w:pPr>
        <w:autoSpaceDE w:val="0"/>
        <w:autoSpaceDN w:val="0"/>
        <w:adjustRightInd w:val="0"/>
        <w:jc w:val="left"/>
        <w:rPr>
          <w:rFonts w:eastAsia="Calibri" w:cs="Arial"/>
          <w:color w:val="000000"/>
        </w:rPr>
      </w:pPr>
    </w:p>
    <w:tbl>
      <w:tblPr>
        <w:tblStyle w:val="TableGrid1"/>
        <w:tblW w:w="0" w:type="auto"/>
        <w:tblLook w:val="04A0" w:firstRow="1" w:lastRow="0" w:firstColumn="1" w:lastColumn="0" w:noHBand="0" w:noVBand="1"/>
      </w:tblPr>
      <w:tblGrid>
        <w:gridCol w:w="495"/>
        <w:gridCol w:w="5312"/>
      </w:tblGrid>
      <w:tr w:rsidR="0064047F" w:rsidRPr="0064047F" w:rsidTr="0064047F">
        <w:trPr>
          <w:trHeight w:val="474"/>
        </w:trPr>
        <w:tc>
          <w:tcPr>
            <w:tcW w:w="495" w:type="dxa"/>
          </w:tcPr>
          <w:p w:rsidR="0064047F" w:rsidRPr="003C3475" w:rsidRDefault="0064047F" w:rsidP="0064047F">
            <w:pPr>
              <w:autoSpaceDE w:val="0"/>
              <w:autoSpaceDN w:val="0"/>
              <w:adjustRightInd w:val="0"/>
              <w:jc w:val="left"/>
              <w:rPr>
                <w:rFonts w:ascii="Calibri" w:hAnsi="Calibri" w:cs="Arial"/>
                <w:lang w:val="en-US"/>
              </w:rPr>
            </w:pPr>
          </w:p>
        </w:tc>
        <w:tc>
          <w:tcPr>
            <w:tcW w:w="5312" w:type="dxa"/>
          </w:tcPr>
          <w:p w:rsidR="0064047F" w:rsidRPr="003C3475" w:rsidRDefault="0064047F" w:rsidP="0064047F">
            <w:pPr>
              <w:autoSpaceDE w:val="0"/>
              <w:autoSpaceDN w:val="0"/>
              <w:adjustRightInd w:val="0"/>
              <w:jc w:val="left"/>
              <w:rPr>
                <w:rFonts w:ascii="Calibri" w:hAnsi="Calibri" w:cs="Arial"/>
                <w:b/>
                <w:bCs/>
                <w:lang w:val="en-US"/>
              </w:rPr>
            </w:pPr>
          </w:p>
          <w:p w:rsidR="0064047F" w:rsidRPr="0064047F" w:rsidRDefault="0064047F" w:rsidP="0064047F">
            <w:pPr>
              <w:autoSpaceDE w:val="0"/>
              <w:autoSpaceDN w:val="0"/>
              <w:adjustRightInd w:val="0"/>
              <w:jc w:val="left"/>
              <w:rPr>
                <w:rFonts w:ascii="Calibri" w:hAnsi="Calibri" w:cs="Arial"/>
                <w:b/>
                <w:bCs/>
                <w:color w:val="000000"/>
              </w:rPr>
            </w:pPr>
            <w:r w:rsidRPr="0064047F">
              <w:rPr>
                <w:rFonts w:ascii="Calibri" w:hAnsi="Calibri" w:cs="Arial"/>
                <w:color w:val="000000"/>
              </w:rPr>
              <w:t xml:space="preserve">Technical </w:t>
            </w:r>
            <w:proofErr w:type="spellStart"/>
            <w:r w:rsidRPr="0064047F">
              <w:rPr>
                <w:rFonts w:ascii="Calibri" w:hAnsi="Calibri" w:cs="Arial"/>
                <w:color w:val="000000"/>
              </w:rPr>
              <w:t>Committees</w:t>
            </w:r>
            <w:proofErr w:type="spellEnd"/>
          </w:p>
          <w:p w:rsidR="0064047F" w:rsidRPr="0064047F" w:rsidRDefault="0064047F" w:rsidP="0064047F">
            <w:pPr>
              <w:autoSpaceDE w:val="0"/>
              <w:autoSpaceDN w:val="0"/>
              <w:adjustRightInd w:val="0"/>
              <w:jc w:val="left"/>
              <w:rPr>
                <w:rFonts w:ascii="Calibri" w:hAnsi="Calibri" w:cs="Arial"/>
              </w:rPr>
            </w:pPr>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1.</w:t>
            </w:r>
          </w:p>
        </w:tc>
        <w:tc>
          <w:tcPr>
            <w:tcW w:w="5312" w:type="dxa"/>
          </w:tcPr>
          <w:p w:rsidR="0064047F" w:rsidRPr="0064047F" w:rsidRDefault="0064047F" w:rsidP="0064047F">
            <w:pPr>
              <w:autoSpaceDE w:val="0"/>
              <w:autoSpaceDN w:val="0"/>
              <w:adjustRightInd w:val="0"/>
              <w:jc w:val="left"/>
              <w:rPr>
                <w:rFonts w:ascii="Calibri" w:hAnsi="Calibri" w:cs="Arial"/>
              </w:rPr>
            </w:pPr>
            <w:proofErr w:type="spellStart"/>
            <w:r w:rsidRPr="0064047F">
              <w:rPr>
                <w:rFonts w:ascii="Calibri" w:hAnsi="Calibri" w:cs="Arial"/>
              </w:rPr>
              <w:t>Advanced</w:t>
            </w:r>
            <w:proofErr w:type="spellEnd"/>
            <w:r w:rsidRPr="0064047F">
              <w:rPr>
                <w:rFonts w:ascii="Calibri" w:hAnsi="Calibri" w:cs="Arial"/>
              </w:rPr>
              <w:t xml:space="preserve"> Technologies </w:t>
            </w:r>
            <w:proofErr w:type="spellStart"/>
            <w:r w:rsidRPr="0064047F">
              <w:rPr>
                <w:rFonts w:ascii="Calibri" w:hAnsi="Calibri" w:cs="Arial"/>
              </w:rPr>
              <w:t>Committee</w:t>
            </w:r>
            <w:proofErr w:type="spellEnd"/>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2.</w:t>
            </w:r>
          </w:p>
        </w:tc>
        <w:tc>
          <w:tcPr>
            <w:tcW w:w="5312" w:type="dxa"/>
          </w:tcPr>
          <w:p w:rsidR="0064047F" w:rsidRPr="0064047F" w:rsidRDefault="0064047F" w:rsidP="0064047F">
            <w:pPr>
              <w:autoSpaceDE w:val="0"/>
              <w:autoSpaceDN w:val="0"/>
              <w:adjustRightInd w:val="0"/>
              <w:jc w:val="left"/>
              <w:rPr>
                <w:rFonts w:ascii="Calibri" w:hAnsi="Calibri" w:cs="Arial"/>
              </w:rPr>
            </w:pPr>
            <w:proofErr w:type="spellStart"/>
            <w:r w:rsidRPr="0064047F">
              <w:rPr>
                <w:rFonts w:ascii="Calibri" w:hAnsi="Calibri" w:cs="Arial"/>
              </w:rPr>
              <w:t>Bulking</w:t>
            </w:r>
            <w:proofErr w:type="spellEnd"/>
            <w:r w:rsidRPr="0064047F">
              <w:rPr>
                <w:rFonts w:ascii="Calibri" w:hAnsi="Calibri" w:cs="Arial"/>
              </w:rPr>
              <w:t xml:space="preserve"> </w:t>
            </w:r>
            <w:proofErr w:type="spellStart"/>
            <w:r w:rsidRPr="0064047F">
              <w:rPr>
                <w:rFonts w:ascii="Calibri" w:hAnsi="Calibri" w:cs="Arial"/>
              </w:rPr>
              <w:t>and</w:t>
            </w:r>
            <w:proofErr w:type="spellEnd"/>
            <w:r w:rsidRPr="0064047F">
              <w:rPr>
                <w:rFonts w:ascii="Calibri" w:hAnsi="Calibri" w:cs="Arial"/>
              </w:rPr>
              <w:t xml:space="preserve"> Sampling </w:t>
            </w:r>
            <w:proofErr w:type="spellStart"/>
            <w:r w:rsidRPr="0064047F">
              <w:rPr>
                <w:rFonts w:ascii="Calibri" w:hAnsi="Calibri" w:cs="Arial"/>
              </w:rPr>
              <w:t>Committee</w:t>
            </w:r>
            <w:proofErr w:type="spellEnd"/>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3.</w:t>
            </w:r>
          </w:p>
        </w:tc>
        <w:tc>
          <w:tcPr>
            <w:tcW w:w="5312" w:type="dxa"/>
          </w:tcPr>
          <w:p w:rsidR="0064047F" w:rsidRPr="003C3475" w:rsidRDefault="0064047F" w:rsidP="0064047F">
            <w:pPr>
              <w:autoSpaceDE w:val="0"/>
              <w:autoSpaceDN w:val="0"/>
              <w:adjustRightInd w:val="0"/>
              <w:jc w:val="left"/>
              <w:rPr>
                <w:rFonts w:ascii="Calibri" w:hAnsi="Calibri" w:cs="Arial"/>
                <w:lang w:val="en-US"/>
              </w:rPr>
            </w:pPr>
            <w:r w:rsidRPr="003C3475">
              <w:rPr>
                <w:rFonts w:ascii="Calibri" w:hAnsi="Calibri" w:cs="Arial"/>
                <w:lang w:val="en-US"/>
              </w:rPr>
              <w:t>Editorial Board of Seed Science and Technology</w:t>
            </w:r>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4.</w:t>
            </w:r>
          </w:p>
        </w:tc>
        <w:tc>
          <w:tcPr>
            <w:tcW w:w="5312" w:type="dxa"/>
          </w:tcPr>
          <w:p w:rsidR="0064047F" w:rsidRPr="0064047F" w:rsidRDefault="0064047F" w:rsidP="0064047F">
            <w:pPr>
              <w:autoSpaceDE w:val="0"/>
              <w:autoSpaceDN w:val="0"/>
              <w:adjustRightInd w:val="0"/>
              <w:jc w:val="left"/>
              <w:rPr>
                <w:rFonts w:ascii="Calibri" w:hAnsi="Calibri" w:cs="Arial"/>
              </w:rPr>
            </w:pPr>
            <w:proofErr w:type="spellStart"/>
            <w:r w:rsidRPr="0064047F">
              <w:rPr>
                <w:rFonts w:ascii="Calibri" w:hAnsi="Calibri" w:cs="Arial"/>
              </w:rPr>
              <w:t>Flower</w:t>
            </w:r>
            <w:proofErr w:type="spellEnd"/>
            <w:r w:rsidRPr="0064047F">
              <w:rPr>
                <w:rFonts w:ascii="Calibri" w:hAnsi="Calibri" w:cs="Arial"/>
              </w:rPr>
              <w:t xml:space="preserve"> </w:t>
            </w:r>
            <w:proofErr w:type="spellStart"/>
            <w:r w:rsidRPr="0064047F">
              <w:rPr>
                <w:rFonts w:ascii="Calibri" w:hAnsi="Calibri" w:cs="Arial"/>
              </w:rPr>
              <w:t>Seed</w:t>
            </w:r>
            <w:proofErr w:type="spellEnd"/>
            <w:r w:rsidRPr="0064047F">
              <w:rPr>
                <w:rFonts w:ascii="Calibri" w:hAnsi="Calibri" w:cs="Arial"/>
              </w:rPr>
              <w:t xml:space="preserve"> </w:t>
            </w:r>
            <w:proofErr w:type="spellStart"/>
            <w:r w:rsidRPr="0064047F">
              <w:rPr>
                <w:rFonts w:ascii="Calibri" w:hAnsi="Calibri" w:cs="Arial"/>
              </w:rPr>
              <w:t>Testing</w:t>
            </w:r>
            <w:proofErr w:type="spellEnd"/>
            <w:r w:rsidRPr="0064047F">
              <w:rPr>
                <w:rFonts w:ascii="Calibri" w:hAnsi="Calibri" w:cs="Arial"/>
              </w:rPr>
              <w:t xml:space="preserve"> </w:t>
            </w:r>
            <w:proofErr w:type="spellStart"/>
            <w:r w:rsidRPr="0064047F">
              <w:rPr>
                <w:rFonts w:ascii="Calibri" w:hAnsi="Calibri" w:cs="Arial"/>
              </w:rPr>
              <w:t>Committee</w:t>
            </w:r>
            <w:proofErr w:type="spellEnd"/>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 xml:space="preserve">5. </w:t>
            </w:r>
          </w:p>
        </w:tc>
        <w:tc>
          <w:tcPr>
            <w:tcW w:w="5312" w:type="dxa"/>
          </w:tcPr>
          <w:p w:rsidR="0064047F" w:rsidRPr="003C3475" w:rsidRDefault="0064047F" w:rsidP="0064047F">
            <w:pPr>
              <w:autoSpaceDE w:val="0"/>
              <w:autoSpaceDN w:val="0"/>
              <w:adjustRightInd w:val="0"/>
              <w:jc w:val="left"/>
              <w:rPr>
                <w:rFonts w:ascii="Calibri" w:hAnsi="Calibri" w:cs="Arial"/>
                <w:lang w:val="en-US"/>
              </w:rPr>
            </w:pPr>
            <w:r w:rsidRPr="003C3475">
              <w:rPr>
                <w:rFonts w:ascii="Calibri" w:hAnsi="Calibri" w:cs="Arial"/>
                <w:lang w:val="en-US"/>
              </w:rPr>
              <w:t>Forest Tree and Shrub Seed Committee</w:t>
            </w:r>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6.</w:t>
            </w:r>
          </w:p>
        </w:tc>
        <w:tc>
          <w:tcPr>
            <w:tcW w:w="5312"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 xml:space="preserve">Germination </w:t>
            </w:r>
            <w:proofErr w:type="spellStart"/>
            <w:r w:rsidRPr="0064047F">
              <w:rPr>
                <w:rFonts w:ascii="Calibri" w:hAnsi="Calibri" w:cs="Arial"/>
              </w:rPr>
              <w:t>Committee</w:t>
            </w:r>
            <w:proofErr w:type="spellEnd"/>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7.</w:t>
            </w:r>
          </w:p>
        </w:tc>
        <w:tc>
          <w:tcPr>
            <w:tcW w:w="5312"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 xml:space="preserve">GMO </w:t>
            </w:r>
            <w:proofErr w:type="spellStart"/>
            <w:r w:rsidRPr="0064047F">
              <w:rPr>
                <w:rFonts w:ascii="Calibri" w:hAnsi="Calibri" w:cs="Arial"/>
              </w:rPr>
              <w:t>Committee</w:t>
            </w:r>
            <w:proofErr w:type="spellEnd"/>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8.</w:t>
            </w:r>
          </w:p>
        </w:tc>
        <w:tc>
          <w:tcPr>
            <w:tcW w:w="5312" w:type="dxa"/>
          </w:tcPr>
          <w:p w:rsidR="0064047F" w:rsidRPr="0064047F" w:rsidRDefault="0064047F" w:rsidP="0064047F">
            <w:pPr>
              <w:autoSpaceDE w:val="0"/>
              <w:autoSpaceDN w:val="0"/>
              <w:adjustRightInd w:val="0"/>
              <w:jc w:val="left"/>
              <w:rPr>
                <w:rFonts w:ascii="Calibri" w:hAnsi="Calibri" w:cs="Arial"/>
              </w:rPr>
            </w:pPr>
            <w:proofErr w:type="spellStart"/>
            <w:r w:rsidRPr="0064047F">
              <w:rPr>
                <w:rFonts w:ascii="Calibri" w:hAnsi="Calibri" w:cs="Arial"/>
              </w:rPr>
              <w:t>Moisture</w:t>
            </w:r>
            <w:proofErr w:type="spellEnd"/>
            <w:r w:rsidRPr="0064047F">
              <w:rPr>
                <w:rFonts w:ascii="Calibri" w:hAnsi="Calibri" w:cs="Arial"/>
              </w:rPr>
              <w:t xml:space="preserve"> </w:t>
            </w:r>
            <w:proofErr w:type="spellStart"/>
            <w:r w:rsidRPr="0064047F">
              <w:rPr>
                <w:rFonts w:ascii="Calibri" w:hAnsi="Calibri" w:cs="Arial"/>
              </w:rPr>
              <w:t>Committee</w:t>
            </w:r>
            <w:proofErr w:type="spellEnd"/>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9.</w:t>
            </w:r>
          </w:p>
        </w:tc>
        <w:tc>
          <w:tcPr>
            <w:tcW w:w="5312" w:type="dxa"/>
          </w:tcPr>
          <w:p w:rsidR="0064047F" w:rsidRPr="0064047F" w:rsidRDefault="0064047F" w:rsidP="0064047F">
            <w:pPr>
              <w:autoSpaceDE w:val="0"/>
              <w:autoSpaceDN w:val="0"/>
              <w:adjustRightInd w:val="0"/>
              <w:jc w:val="left"/>
              <w:rPr>
                <w:rFonts w:ascii="Calibri" w:hAnsi="Calibri" w:cs="Arial"/>
              </w:rPr>
            </w:pPr>
            <w:proofErr w:type="spellStart"/>
            <w:r w:rsidRPr="0064047F">
              <w:rPr>
                <w:rFonts w:ascii="Calibri" w:hAnsi="Calibri" w:cs="Arial"/>
              </w:rPr>
              <w:t>Nomenclature</w:t>
            </w:r>
            <w:proofErr w:type="spellEnd"/>
            <w:r w:rsidRPr="0064047F">
              <w:rPr>
                <w:rFonts w:ascii="Calibri" w:hAnsi="Calibri" w:cs="Arial"/>
              </w:rPr>
              <w:t xml:space="preserve"> </w:t>
            </w:r>
            <w:proofErr w:type="spellStart"/>
            <w:r w:rsidRPr="0064047F">
              <w:rPr>
                <w:rFonts w:ascii="Calibri" w:hAnsi="Calibri" w:cs="Arial"/>
              </w:rPr>
              <w:t>Committee</w:t>
            </w:r>
            <w:proofErr w:type="spellEnd"/>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10.</w:t>
            </w:r>
          </w:p>
        </w:tc>
        <w:tc>
          <w:tcPr>
            <w:tcW w:w="5312" w:type="dxa"/>
          </w:tcPr>
          <w:p w:rsidR="0064047F" w:rsidRPr="0064047F" w:rsidRDefault="0064047F" w:rsidP="0064047F">
            <w:pPr>
              <w:autoSpaceDE w:val="0"/>
              <w:autoSpaceDN w:val="0"/>
              <w:adjustRightInd w:val="0"/>
              <w:jc w:val="left"/>
              <w:rPr>
                <w:rFonts w:ascii="Calibri" w:hAnsi="Calibri" w:cs="Arial"/>
              </w:rPr>
            </w:pPr>
            <w:proofErr w:type="spellStart"/>
            <w:r w:rsidRPr="0064047F">
              <w:rPr>
                <w:rFonts w:ascii="Calibri" w:hAnsi="Calibri" w:cs="Arial"/>
              </w:rPr>
              <w:t>Proficiency</w:t>
            </w:r>
            <w:proofErr w:type="spellEnd"/>
            <w:r w:rsidRPr="0064047F">
              <w:rPr>
                <w:rFonts w:ascii="Calibri" w:hAnsi="Calibri" w:cs="Arial"/>
              </w:rPr>
              <w:t xml:space="preserve"> Test </w:t>
            </w:r>
            <w:proofErr w:type="spellStart"/>
            <w:r w:rsidRPr="0064047F">
              <w:rPr>
                <w:rFonts w:ascii="Calibri" w:hAnsi="Calibri" w:cs="Arial"/>
              </w:rPr>
              <w:t>Committee</w:t>
            </w:r>
            <w:proofErr w:type="spellEnd"/>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11.</w:t>
            </w:r>
          </w:p>
        </w:tc>
        <w:tc>
          <w:tcPr>
            <w:tcW w:w="5312" w:type="dxa"/>
          </w:tcPr>
          <w:p w:rsidR="0064047F" w:rsidRPr="0064047F" w:rsidRDefault="0064047F" w:rsidP="0064047F">
            <w:pPr>
              <w:autoSpaceDE w:val="0"/>
              <w:autoSpaceDN w:val="0"/>
              <w:adjustRightInd w:val="0"/>
              <w:jc w:val="left"/>
              <w:rPr>
                <w:rFonts w:ascii="Calibri" w:hAnsi="Calibri" w:cs="Arial"/>
              </w:rPr>
            </w:pPr>
            <w:proofErr w:type="spellStart"/>
            <w:r w:rsidRPr="0064047F">
              <w:rPr>
                <w:rFonts w:ascii="Calibri" w:hAnsi="Calibri" w:cs="Arial"/>
              </w:rPr>
              <w:t>Purity</w:t>
            </w:r>
            <w:proofErr w:type="spellEnd"/>
            <w:r w:rsidRPr="0064047F">
              <w:rPr>
                <w:rFonts w:ascii="Calibri" w:hAnsi="Calibri" w:cs="Arial"/>
              </w:rPr>
              <w:t xml:space="preserve"> </w:t>
            </w:r>
            <w:proofErr w:type="spellStart"/>
            <w:r w:rsidRPr="0064047F">
              <w:rPr>
                <w:rFonts w:ascii="Calibri" w:hAnsi="Calibri" w:cs="Arial"/>
              </w:rPr>
              <w:t>Committee</w:t>
            </w:r>
            <w:proofErr w:type="spellEnd"/>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12.</w:t>
            </w:r>
          </w:p>
        </w:tc>
        <w:tc>
          <w:tcPr>
            <w:tcW w:w="5312"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 xml:space="preserve">Rules </w:t>
            </w:r>
            <w:proofErr w:type="spellStart"/>
            <w:r w:rsidRPr="0064047F">
              <w:rPr>
                <w:rFonts w:ascii="Calibri" w:hAnsi="Calibri" w:cs="Arial"/>
              </w:rPr>
              <w:t>Committee</w:t>
            </w:r>
            <w:proofErr w:type="spellEnd"/>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13.</w:t>
            </w:r>
          </w:p>
        </w:tc>
        <w:tc>
          <w:tcPr>
            <w:tcW w:w="5312" w:type="dxa"/>
          </w:tcPr>
          <w:p w:rsidR="0064047F" w:rsidRPr="0064047F" w:rsidRDefault="0064047F" w:rsidP="0064047F">
            <w:pPr>
              <w:autoSpaceDE w:val="0"/>
              <w:autoSpaceDN w:val="0"/>
              <w:adjustRightInd w:val="0"/>
              <w:jc w:val="left"/>
              <w:rPr>
                <w:rFonts w:ascii="Calibri" w:hAnsi="Calibri" w:cs="Arial"/>
              </w:rPr>
            </w:pPr>
            <w:proofErr w:type="spellStart"/>
            <w:r w:rsidRPr="0064047F">
              <w:rPr>
                <w:rFonts w:ascii="Calibri" w:hAnsi="Calibri" w:cs="Arial"/>
              </w:rPr>
              <w:t>Seed</w:t>
            </w:r>
            <w:proofErr w:type="spellEnd"/>
            <w:r w:rsidRPr="0064047F">
              <w:rPr>
                <w:rFonts w:ascii="Calibri" w:hAnsi="Calibri" w:cs="Arial"/>
              </w:rPr>
              <w:t xml:space="preserve"> </w:t>
            </w:r>
            <w:proofErr w:type="spellStart"/>
            <w:r w:rsidRPr="0064047F">
              <w:rPr>
                <w:rFonts w:ascii="Calibri" w:hAnsi="Calibri" w:cs="Arial"/>
              </w:rPr>
              <w:t>Health</w:t>
            </w:r>
            <w:proofErr w:type="spellEnd"/>
            <w:r w:rsidRPr="0064047F">
              <w:rPr>
                <w:rFonts w:ascii="Calibri" w:hAnsi="Calibri" w:cs="Arial"/>
              </w:rPr>
              <w:t xml:space="preserve"> </w:t>
            </w:r>
            <w:proofErr w:type="spellStart"/>
            <w:r w:rsidRPr="0064047F">
              <w:rPr>
                <w:rFonts w:ascii="Calibri" w:hAnsi="Calibri" w:cs="Arial"/>
              </w:rPr>
              <w:t>Committee</w:t>
            </w:r>
            <w:proofErr w:type="spellEnd"/>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14.</w:t>
            </w:r>
          </w:p>
        </w:tc>
        <w:tc>
          <w:tcPr>
            <w:tcW w:w="5312" w:type="dxa"/>
          </w:tcPr>
          <w:p w:rsidR="0064047F" w:rsidRPr="0064047F" w:rsidRDefault="0064047F" w:rsidP="0064047F">
            <w:pPr>
              <w:autoSpaceDE w:val="0"/>
              <w:autoSpaceDN w:val="0"/>
              <w:adjustRightInd w:val="0"/>
              <w:jc w:val="left"/>
              <w:rPr>
                <w:rFonts w:ascii="Calibri" w:hAnsi="Calibri" w:cs="Arial"/>
              </w:rPr>
            </w:pPr>
            <w:proofErr w:type="spellStart"/>
            <w:r w:rsidRPr="0064047F">
              <w:rPr>
                <w:rFonts w:ascii="Calibri" w:hAnsi="Calibri" w:cs="Arial"/>
              </w:rPr>
              <w:t>Seed</w:t>
            </w:r>
            <w:proofErr w:type="spellEnd"/>
            <w:r w:rsidRPr="0064047F">
              <w:rPr>
                <w:rFonts w:ascii="Calibri" w:hAnsi="Calibri" w:cs="Arial"/>
              </w:rPr>
              <w:t xml:space="preserve"> Science Advisory Group</w:t>
            </w:r>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15.</w:t>
            </w:r>
          </w:p>
        </w:tc>
        <w:tc>
          <w:tcPr>
            <w:tcW w:w="5312" w:type="dxa"/>
          </w:tcPr>
          <w:p w:rsidR="0064047F" w:rsidRPr="0064047F" w:rsidRDefault="0064047F" w:rsidP="0064047F">
            <w:pPr>
              <w:autoSpaceDE w:val="0"/>
              <w:autoSpaceDN w:val="0"/>
              <w:adjustRightInd w:val="0"/>
              <w:jc w:val="left"/>
              <w:rPr>
                <w:rFonts w:ascii="Calibri" w:hAnsi="Calibri" w:cs="Arial"/>
              </w:rPr>
            </w:pPr>
            <w:proofErr w:type="spellStart"/>
            <w:r w:rsidRPr="0064047F">
              <w:rPr>
                <w:rFonts w:ascii="Calibri" w:hAnsi="Calibri" w:cs="Arial"/>
              </w:rPr>
              <w:t>Statistics</w:t>
            </w:r>
            <w:proofErr w:type="spellEnd"/>
            <w:r w:rsidRPr="0064047F">
              <w:rPr>
                <w:rFonts w:ascii="Calibri" w:hAnsi="Calibri" w:cs="Arial"/>
              </w:rPr>
              <w:t xml:space="preserve"> </w:t>
            </w:r>
            <w:proofErr w:type="spellStart"/>
            <w:r w:rsidRPr="0064047F">
              <w:rPr>
                <w:rFonts w:ascii="Calibri" w:hAnsi="Calibri" w:cs="Arial"/>
              </w:rPr>
              <w:t>Committee</w:t>
            </w:r>
            <w:proofErr w:type="spellEnd"/>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16.</w:t>
            </w:r>
          </w:p>
        </w:tc>
        <w:tc>
          <w:tcPr>
            <w:tcW w:w="5312" w:type="dxa"/>
          </w:tcPr>
          <w:p w:rsidR="0064047F" w:rsidRPr="0064047F" w:rsidRDefault="0064047F" w:rsidP="0064047F">
            <w:pPr>
              <w:autoSpaceDE w:val="0"/>
              <w:autoSpaceDN w:val="0"/>
              <w:adjustRightInd w:val="0"/>
              <w:jc w:val="left"/>
              <w:rPr>
                <w:rFonts w:ascii="Calibri" w:hAnsi="Calibri" w:cs="Arial"/>
              </w:rPr>
            </w:pPr>
            <w:proofErr w:type="spellStart"/>
            <w:r w:rsidRPr="0064047F">
              <w:rPr>
                <w:rFonts w:ascii="Calibri" w:hAnsi="Calibri" w:cs="Arial"/>
              </w:rPr>
              <w:t>Seed</w:t>
            </w:r>
            <w:proofErr w:type="spellEnd"/>
            <w:r w:rsidRPr="0064047F">
              <w:rPr>
                <w:rFonts w:ascii="Calibri" w:hAnsi="Calibri" w:cs="Arial"/>
              </w:rPr>
              <w:t xml:space="preserve"> Storage </w:t>
            </w:r>
            <w:proofErr w:type="spellStart"/>
            <w:r w:rsidRPr="0064047F">
              <w:rPr>
                <w:rFonts w:ascii="Calibri" w:hAnsi="Calibri" w:cs="Arial"/>
              </w:rPr>
              <w:t>Committee</w:t>
            </w:r>
            <w:proofErr w:type="spellEnd"/>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17.</w:t>
            </w:r>
          </w:p>
        </w:tc>
        <w:tc>
          <w:tcPr>
            <w:tcW w:w="5312" w:type="dxa"/>
          </w:tcPr>
          <w:p w:rsidR="0064047F" w:rsidRPr="0064047F" w:rsidRDefault="0064047F" w:rsidP="0064047F">
            <w:pPr>
              <w:autoSpaceDE w:val="0"/>
              <w:autoSpaceDN w:val="0"/>
              <w:adjustRightInd w:val="0"/>
              <w:jc w:val="left"/>
              <w:rPr>
                <w:rFonts w:ascii="Calibri" w:hAnsi="Calibri" w:cs="Arial"/>
              </w:rPr>
            </w:pPr>
            <w:proofErr w:type="spellStart"/>
            <w:r w:rsidRPr="0064047F">
              <w:rPr>
                <w:rFonts w:ascii="Calibri" w:hAnsi="Calibri" w:cs="Arial"/>
              </w:rPr>
              <w:t>Tetrazolium</w:t>
            </w:r>
            <w:proofErr w:type="spellEnd"/>
            <w:r w:rsidRPr="0064047F">
              <w:rPr>
                <w:rFonts w:ascii="Calibri" w:hAnsi="Calibri" w:cs="Arial"/>
              </w:rPr>
              <w:t xml:space="preserve"> </w:t>
            </w:r>
            <w:proofErr w:type="spellStart"/>
            <w:r w:rsidRPr="0064047F">
              <w:rPr>
                <w:rFonts w:ascii="Calibri" w:hAnsi="Calibri" w:cs="Arial"/>
              </w:rPr>
              <w:t>Committee</w:t>
            </w:r>
            <w:proofErr w:type="spellEnd"/>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18.</w:t>
            </w:r>
          </w:p>
        </w:tc>
        <w:tc>
          <w:tcPr>
            <w:tcW w:w="5312" w:type="dxa"/>
          </w:tcPr>
          <w:p w:rsidR="0064047F" w:rsidRPr="0064047F" w:rsidRDefault="0064047F" w:rsidP="0064047F">
            <w:pPr>
              <w:autoSpaceDE w:val="0"/>
              <w:autoSpaceDN w:val="0"/>
              <w:adjustRightInd w:val="0"/>
              <w:jc w:val="left"/>
              <w:rPr>
                <w:rFonts w:ascii="Calibri" w:hAnsi="Calibri" w:cs="Arial"/>
              </w:rPr>
            </w:pPr>
            <w:proofErr w:type="spellStart"/>
            <w:r w:rsidRPr="0064047F">
              <w:rPr>
                <w:rFonts w:ascii="Calibri" w:hAnsi="Calibri" w:cs="Arial"/>
              </w:rPr>
              <w:t>Variety</w:t>
            </w:r>
            <w:proofErr w:type="spellEnd"/>
            <w:r w:rsidRPr="0064047F">
              <w:rPr>
                <w:rFonts w:ascii="Calibri" w:hAnsi="Calibri" w:cs="Arial"/>
              </w:rPr>
              <w:t xml:space="preserve"> </w:t>
            </w:r>
            <w:proofErr w:type="spellStart"/>
            <w:r w:rsidRPr="0064047F">
              <w:rPr>
                <w:rFonts w:ascii="Calibri" w:hAnsi="Calibri" w:cs="Arial"/>
              </w:rPr>
              <w:t>Committee</w:t>
            </w:r>
            <w:proofErr w:type="spellEnd"/>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19.</w:t>
            </w:r>
          </w:p>
        </w:tc>
        <w:tc>
          <w:tcPr>
            <w:tcW w:w="5312" w:type="dxa"/>
          </w:tcPr>
          <w:p w:rsidR="0064047F" w:rsidRPr="0064047F" w:rsidRDefault="0064047F" w:rsidP="0064047F">
            <w:pPr>
              <w:autoSpaceDE w:val="0"/>
              <w:autoSpaceDN w:val="0"/>
              <w:adjustRightInd w:val="0"/>
              <w:jc w:val="left"/>
              <w:rPr>
                <w:rFonts w:ascii="Calibri" w:hAnsi="Calibri" w:cs="Arial"/>
              </w:rPr>
            </w:pPr>
            <w:proofErr w:type="spellStart"/>
            <w:r w:rsidRPr="0064047F">
              <w:rPr>
                <w:rFonts w:ascii="Calibri" w:hAnsi="Calibri" w:cs="Arial"/>
              </w:rPr>
              <w:t>Vigour</w:t>
            </w:r>
            <w:proofErr w:type="spellEnd"/>
            <w:r w:rsidRPr="0064047F">
              <w:rPr>
                <w:rFonts w:ascii="Calibri" w:hAnsi="Calibri" w:cs="Arial"/>
              </w:rPr>
              <w:t xml:space="preserve"> </w:t>
            </w:r>
            <w:proofErr w:type="spellStart"/>
            <w:r w:rsidRPr="0064047F">
              <w:rPr>
                <w:rFonts w:ascii="Calibri" w:hAnsi="Calibri" w:cs="Arial"/>
              </w:rPr>
              <w:t>Committee</w:t>
            </w:r>
            <w:proofErr w:type="spellEnd"/>
          </w:p>
        </w:tc>
      </w:tr>
      <w:tr w:rsidR="0064047F" w:rsidRPr="0064047F" w:rsidTr="0064047F">
        <w:tc>
          <w:tcPr>
            <w:tcW w:w="495"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20.</w:t>
            </w:r>
          </w:p>
        </w:tc>
        <w:tc>
          <w:tcPr>
            <w:tcW w:w="5312" w:type="dxa"/>
          </w:tcPr>
          <w:p w:rsidR="0064047F" w:rsidRPr="0064047F" w:rsidRDefault="0064047F" w:rsidP="0064047F">
            <w:pPr>
              <w:autoSpaceDE w:val="0"/>
              <w:autoSpaceDN w:val="0"/>
              <w:adjustRightInd w:val="0"/>
              <w:jc w:val="left"/>
              <w:rPr>
                <w:rFonts w:ascii="Calibri" w:hAnsi="Calibri" w:cs="Arial"/>
              </w:rPr>
            </w:pPr>
            <w:r w:rsidRPr="0064047F">
              <w:rPr>
                <w:rFonts w:ascii="Calibri" w:hAnsi="Calibri" w:cs="Arial"/>
              </w:rPr>
              <w:t xml:space="preserve">Wild </w:t>
            </w:r>
            <w:proofErr w:type="spellStart"/>
            <w:r w:rsidRPr="0064047F">
              <w:rPr>
                <w:rFonts w:ascii="Calibri" w:hAnsi="Calibri" w:cs="Arial"/>
              </w:rPr>
              <w:t>Species</w:t>
            </w:r>
            <w:proofErr w:type="spellEnd"/>
            <w:r w:rsidRPr="0064047F">
              <w:rPr>
                <w:rFonts w:ascii="Calibri" w:hAnsi="Calibri" w:cs="Arial"/>
              </w:rPr>
              <w:t xml:space="preserve"> Working Group</w:t>
            </w:r>
          </w:p>
        </w:tc>
      </w:tr>
    </w:tbl>
    <w:p w:rsidR="0064047F" w:rsidRPr="0064047F" w:rsidRDefault="0064047F" w:rsidP="0064047F">
      <w:pPr>
        <w:spacing w:after="160" w:line="259" w:lineRule="auto"/>
        <w:jc w:val="left"/>
        <w:rPr>
          <w:rFonts w:ascii="Calibri" w:eastAsia="Calibri" w:hAnsi="Calibri"/>
          <w:b/>
          <w:bCs/>
          <w:sz w:val="22"/>
          <w:szCs w:val="22"/>
        </w:rPr>
      </w:pPr>
    </w:p>
    <w:p w:rsidR="0064047F" w:rsidRPr="0064047F" w:rsidRDefault="0064047F" w:rsidP="0064047F">
      <w:pPr>
        <w:spacing w:after="160" w:line="259" w:lineRule="auto"/>
        <w:jc w:val="left"/>
        <w:rPr>
          <w:rFonts w:ascii="Calibri" w:eastAsia="Calibri" w:hAnsi="Calibri"/>
          <w:bCs/>
          <w:sz w:val="22"/>
          <w:szCs w:val="22"/>
        </w:rPr>
      </w:pPr>
      <w:r w:rsidRPr="0064047F">
        <w:rPr>
          <w:rFonts w:ascii="Calibri" w:eastAsia="Calibri" w:hAnsi="Calibri"/>
          <w:bCs/>
          <w:sz w:val="22"/>
          <w:szCs w:val="22"/>
        </w:rPr>
        <w:t>ISTA ACCREDITATION PROGRAMME:</w:t>
      </w:r>
    </w:p>
    <w:p w:rsidR="0064047F" w:rsidRPr="0064047F" w:rsidRDefault="0064047F" w:rsidP="0064047F">
      <w:pPr>
        <w:rPr>
          <w:rFonts w:eastAsia="Calibri" w:cs="Arial"/>
          <w:color w:val="000000"/>
        </w:rPr>
      </w:pPr>
      <w:r w:rsidRPr="0064047F">
        <w:rPr>
          <w:rFonts w:eastAsia="Calibri" w:cs="Arial"/>
          <w:color w:val="000000"/>
        </w:rPr>
        <w:t>ISTA Accreditation verifies whether a laboratory is technically competent to carry out seed sampling and testing procedures in accordance with the </w:t>
      </w:r>
      <w:hyperlink r:id="rId17" w:history="1">
        <w:r w:rsidRPr="0064047F">
          <w:rPr>
            <w:rFonts w:eastAsia="Calibri" w:cs="Arial"/>
            <w:color w:val="000000"/>
          </w:rPr>
          <w:t>ISTA International Rules for Seed Testing</w:t>
        </w:r>
      </w:hyperlink>
      <w:r w:rsidRPr="0064047F">
        <w:rPr>
          <w:rFonts w:eastAsia="Calibri" w:cs="Arial"/>
          <w:color w:val="000000"/>
        </w:rPr>
        <w:t>. Accredited laboratories must run a quality assurance system, fulfilling the requirements of the </w:t>
      </w:r>
      <w:hyperlink r:id="rId18" w:history="1">
        <w:r w:rsidRPr="0064047F">
          <w:rPr>
            <w:rFonts w:eastAsia="Calibri" w:cs="Arial"/>
            <w:color w:val="000000"/>
          </w:rPr>
          <w:t>ISTA Accreditation Standard</w:t>
        </w:r>
      </w:hyperlink>
      <w:r w:rsidRPr="0064047F">
        <w:rPr>
          <w:rFonts w:eastAsia="Calibri" w:cs="Arial"/>
          <w:color w:val="000000"/>
        </w:rPr>
        <w:t xml:space="preserve">. Accreditation </w:t>
      </w:r>
      <w:proofErr w:type="gramStart"/>
      <w:r w:rsidRPr="0064047F">
        <w:rPr>
          <w:rFonts w:eastAsia="Calibri" w:cs="Arial"/>
          <w:color w:val="000000"/>
        </w:rPr>
        <w:t>can be granted</w:t>
      </w:r>
      <w:proofErr w:type="gramEnd"/>
      <w:r w:rsidRPr="0064047F">
        <w:rPr>
          <w:rFonts w:eastAsia="Calibri" w:cs="Arial"/>
          <w:color w:val="000000"/>
        </w:rPr>
        <w:t xml:space="preserve"> for:</w:t>
      </w:r>
    </w:p>
    <w:p w:rsidR="0064047F" w:rsidRPr="0064047F" w:rsidRDefault="0064047F" w:rsidP="0064047F">
      <w:pPr>
        <w:numPr>
          <w:ilvl w:val="0"/>
          <w:numId w:val="7"/>
        </w:numPr>
        <w:shd w:val="clear" w:color="auto" w:fill="FFFFFF"/>
        <w:spacing w:before="100" w:beforeAutospacing="1" w:after="100" w:afterAutospacing="1" w:line="259" w:lineRule="auto"/>
        <w:jc w:val="left"/>
        <w:rPr>
          <w:rFonts w:eastAsia="Calibri" w:cs="Arial"/>
          <w:color w:val="000000"/>
          <w:lang w:val="de-CH"/>
        </w:rPr>
      </w:pPr>
      <w:proofErr w:type="spellStart"/>
      <w:r w:rsidRPr="0064047F">
        <w:rPr>
          <w:rFonts w:eastAsia="Calibri" w:cs="Arial"/>
          <w:color w:val="000000"/>
          <w:lang w:val="de-CH"/>
        </w:rPr>
        <w:t>entities</w:t>
      </w:r>
      <w:proofErr w:type="spellEnd"/>
      <w:r w:rsidRPr="0064047F">
        <w:rPr>
          <w:rFonts w:eastAsia="Calibri" w:cs="Arial"/>
          <w:color w:val="000000"/>
          <w:lang w:val="de-CH"/>
        </w:rPr>
        <w:t xml:space="preserve"> </w:t>
      </w:r>
      <w:proofErr w:type="spellStart"/>
      <w:r w:rsidRPr="0064047F">
        <w:rPr>
          <w:rFonts w:eastAsia="Calibri" w:cs="Arial"/>
          <w:color w:val="000000"/>
          <w:lang w:val="de-CH"/>
        </w:rPr>
        <w:t>performing</w:t>
      </w:r>
      <w:proofErr w:type="spellEnd"/>
      <w:r w:rsidRPr="0064047F">
        <w:rPr>
          <w:rFonts w:eastAsia="Calibri" w:cs="Arial"/>
          <w:color w:val="000000"/>
          <w:lang w:val="de-CH"/>
        </w:rPr>
        <w:t xml:space="preserve"> </w:t>
      </w:r>
      <w:proofErr w:type="spellStart"/>
      <w:r w:rsidRPr="0064047F">
        <w:rPr>
          <w:rFonts w:eastAsia="Calibri" w:cs="Arial"/>
          <w:color w:val="000000"/>
          <w:lang w:val="de-CH"/>
        </w:rPr>
        <w:t>sampling</w:t>
      </w:r>
      <w:proofErr w:type="spellEnd"/>
      <w:r w:rsidRPr="0064047F">
        <w:rPr>
          <w:rFonts w:eastAsia="Calibri" w:cs="Arial"/>
          <w:color w:val="000000"/>
          <w:lang w:val="de-CH"/>
        </w:rPr>
        <w:t xml:space="preserve"> </w:t>
      </w:r>
      <w:proofErr w:type="spellStart"/>
      <w:r w:rsidRPr="0064047F">
        <w:rPr>
          <w:rFonts w:eastAsia="Calibri" w:cs="Arial"/>
          <w:color w:val="000000"/>
          <w:lang w:val="de-CH"/>
        </w:rPr>
        <w:t>only</w:t>
      </w:r>
      <w:proofErr w:type="spellEnd"/>
      <w:r w:rsidRPr="0064047F">
        <w:rPr>
          <w:rFonts w:eastAsia="Calibri" w:cs="Arial"/>
          <w:color w:val="000000"/>
          <w:lang w:val="de-CH"/>
        </w:rPr>
        <w:br/>
      </w:r>
    </w:p>
    <w:p w:rsidR="0064047F" w:rsidRPr="0064047F" w:rsidRDefault="0064047F" w:rsidP="0064047F">
      <w:pPr>
        <w:numPr>
          <w:ilvl w:val="0"/>
          <w:numId w:val="7"/>
        </w:numPr>
        <w:shd w:val="clear" w:color="auto" w:fill="FFFFFF"/>
        <w:spacing w:before="100" w:beforeAutospacing="1" w:after="100" w:afterAutospacing="1" w:line="259" w:lineRule="auto"/>
        <w:jc w:val="left"/>
        <w:rPr>
          <w:rFonts w:eastAsia="Calibri" w:cs="Arial"/>
          <w:color w:val="000000"/>
          <w:lang w:val="de-CH"/>
        </w:rPr>
      </w:pPr>
      <w:proofErr w:type="spellStart"/>
      <w:r w:rsidRPr="0064047F">
        <w:rPr>
          <w:rFonts w:eastAsia="Calibri" w:cs="Arial"/>
          <w:color w:val="000000"/>
          <w:lang w:val="de-CH"/>
        </w:rPr>
        <w:t>laboratories</w:t>
      </w:r>
      <w:proofErr w:type="spellEnd"/>
      <w:r w:rsidRPr="0064047F">
        <w:rPr>
          <w:rFonts w:eastAsia="Calibri" w:cs="Arial"/>
          <w:color w:val="000000"/>
          <w:lang w:val="de-CH"/>
        </w:rPr>
        <w:t xml:space="preserve"> </w:t>
      </w:r>
      <w:proofErr w:type="spellStart"/>
      <w:r w:rsidRPr="0064047F">
        <w:rPr>
          <w:rFonts w:eastAsia="Calibri" w:cs="Arial"/>
          <w:color w:val="000000"/>
          <w:lang w:val="de-CH"/>
        </w:rPr>
        <w:t>performing</w:t>
      </w:r>
      <w:proofErr w:type="spellEnd"/>
      <w:r w:rsidRPr="0064047F">
        <w:rPr>
          <w:rFonts w:eastAsia="Calibri" w:cs="Arial"/>
          <w:color w:val="000000"/>
          <w:lang w:val="de-CH"/>
        </w:rPr>
        <w:t xml:space="preserve"> </w:t>
      </w:r>
      <w:proofErr w:type="spellStart"/>
      <w:r w:rsidRPr="0064047F">
        <w:rPr>
          <w:rFonts w:eastAsia="Calibri" w:cs="Arial"/>
          <w:color w:val="000000"/>
          <w:lang w:val="de-CH"/>
        </w:rPr>
        <w:t>testing</w:t>
      </w:r>
      <w:proofErr w:type="spellEnd"/>
      <w:r w:rsidRPr="0064047F">
        <w:rPr>
          <w:rFonts w:eastAsia="Calibri" w:cs="Arial"/>
          <w:color w:val="000000"/>
          <w:lang w:val="de-CH"/>
        </w:rPr>
        <w:t xml:space="preserve"> </w:t>
      </w:r>
      <w:proofErr w:type="spellStart"/>
      <w:r w:rsidRPr="0064047F">
        <w:rPr>
          <w:rFonts w:eastAsia="Calibri" w:cs="Arial"/>
          <w:color w:val="000000"/>
          <w:lang w:val="de-CH"/>
        </w:rPr>
        <w:t>only</w:t>
      </w:r>
      <w:proofErr w:type="spellEnd"/>
      <w:r w:rsidRPr="0064047F">
        <w:rPr>
          <w:rFonts w:eastAsia="Calibri" w:cs="Arial"/>
          <w:color w:val="000000"/>
          <w:lang w:val="de-CH"/>
        </w:rPr>
        <w:br/>
      </w:r>
    </w:p>
    <w:p w:rsidR="0064047F" w:rsidRPr="0064047F" w:rsidRDefault="0064047F" w:rsidP="0064047F">
      <w:pPr>
        <w:numPr>
          <w:ilvl w:val="0"/>
          <w:numId w:val="7"/>
        </w:numPr>
        <w:shd w:val="clear" w:color="auto" w:fill="FFFFFF"/>
        <w:spacing w:before="100" w:beforeAutospacing="1" w:after="100" w:afterAutospacing="1" w:line="259" w:lineRule="auto"/>
        <w:jc w:val="left"/>
        <w:rPr>
          <w:rFonts w:eastAsia="Calibri" w:cs="Arial"/>
          <w:color w:val="000000"/>
        </w:rPr>
      </w:pPr>
      <w:proofErr w:type="gramStart"/>
      <w:r w:rsidRPr="0064047F">
        <w:rPr>
          <w:rFonts w:eastAsia="Calibri" w:cs="Arial"/>
          <w:color w:val="000000"/>
        </w:rPr>
        <w:t>laboratories</w:t>
      </w:r>
      <w:proofErr w:type="gramEnd"/>
      <w:r w:rsidRPr="0064047F">
        <w:rPr>
          <w:rFonts w:eastAsia="Calibri" w:cs="Arial"/>
          <w:color w:val="000000"/>
        </w:rPr>
        <w:t xml:space="preserve"> performing sampling and testing.</w:t>
      </w:r>
    </w:p>
    <w:p w:rsidR="0064047F" w:rsidRPr="0064047F" w:rsidRDefault="0064047F" w:rsidP="0064047F">
      <w:pPr>
        <w:spacing w:after="160" w:line="259" w:lineRule="auto"/>
        <w:jc w:val="left"/>
        <w:rPr>
          <w:rFonts w:ascii="Calibri" w:eastAsia="Calibri" w:hAnsi="Calibri"/>
          <w:bCs/>
          <w:sz w:val="22"/>
          <w:szCs w:val="22"/>
        </w:rPr>
      </w:pPr>
      <w:r w:rsidRPr="0064047F">
        <w:rPr>
          <w:rFonts w:ascii="Calibri" w:eastAsia="Calibri" w:hAnsi="Calibri"/>
          <w:bCs/>
          <w:sz w:val="22"/>
          <w:szCs w:val="22"/>
        </w:rPr>
        <w:t>ISTA CERTIFICATES: PASSPORT FOR INTERNATIONAL SEED TRADING</w:t>
      </w:r>
    </w:p>
    <w:p w:rsidR="0064047F" w:rsidRPr="0064047F" w:rsidRDefault="0064047F" w:rsidP="0064047F">
      <w:pPr>
        <w:spacing w:after="160" w:line="259" w:lineRule="auto"/>
        <w:rPr>
          <w:rFonts w:eastAsia="Calibri" w:cs="Arial"/>
          <w:color w:val="000000"/>
        </w:rPr>
      </w:pPr>
      <w:r w:rsidRPr="0064047F">
        <w:rPr>
          <w:rFonts w:eastAsia="Calibri" w:cs="Arial"/>
          <w:color w:val="000000"/>
        </w:rPr>
        <w:t xml:space="preserve">Only ISTA-accredited laboratories are </w:t>
      </w:r>
      <w:proofErr w:type="spellStart"/>
      <w:r w:rsidRPr="0064047F">
        <w:rPr>
          <w:rFonts w:eastAsia="Calibri" w:cs="Arial"/>
          <w:color w:val="000000"/>
        </w:rPr>
        <w:t>authorised</w:t>
      </w:r>
      <w:proofErr w:type="spellEnd"/>
      <w:r w:rsidRPr="0064047F">
        <w:rPr>
          <w:rFonts w:eastAsia="Calibri" w:cs="Arial"/>
          <w:color w:val="000000"/>
        </w:rPr>
        <w:t xml:space="preserve"> to issue ISTA certificates for seed analysis.</w:t>
      </w:r>
    </w:p>
    <w:p w:rsidR="0064047F" w:rsidRPr="0064047F" w:rsidRDefault="0064047F" w:rsidP="0064047F">
      <w:pPr>
        <w:spacing w:after="160" w:line="259" w:lineRule="auto"/>
        <w:rPr>
          <w:rFonts w:eastAsia="Calibri" w:cs="Arial"/>
          <w:color w:val="000000"/>
        </w:rPr>
      </w:pPr>
      <w:r w:rsidRPr="0064047F">
        <w:rPr>
          <w:rFonts w:eastAsia="Calibri" w:cs="Arial"/>
          <w:color w:val="000000"/>
        </w:rPr>
        <w:t xml:space="preserve">By reporting seed test results on ISTA Certificates, the issuing laboratory assures that the sampling and testing </w:t>
      </w:r>
      <w:proofErr w:type="gramStart"/>
      <w:r w:rsidRPr="0064047F">
        <w:rPr>
          <w:rFonts w:eastAsia="Calibri" w:cs="Arial"/>
          <w:color w:val="000000"/>
        </w:rPr>
        <w:t>has been carried out</w:t>
      </w:r>
      <w:proofErr w:type="gramEnd"/>
      <w:r w:rsidRPr="0064047F">
        <w:rPr>
          <w:rFonts w:eastAsia="Calibri" w:cs="Arial"/>
          <w:color w:val="000000"/>
        </w:rPr>
        <w:t xml:space="preserve"> in accordance with the ISTA Rules. ISTA Certificates are accepted by most authorities and are mentioned in the seed Acts of several countries.</w:t>
      </w:r>
    </w:p>
    <w:p w:rsidR="0064047F" w:rsidRPr="0064047F" w:rsidRDefault="0064047F" w:rsidP="0064047F">
      <w:pPr>
        <w:spacing w:after="160" w:line="259" w:lineRule="auto"/>
        <w:rPr>
          <w:rFonts w:eastAsia="Calibri" w:cs="Arial"/>
          <w:color w:val="000000"/>
        </w:rPr>
      </w:pPr>
      <w:r w:rsidRPr="0064047F">
        <w:rPr>
          <w:rFonts w:eastAsia="Calibri" w:cs="Arial"/>
          <w:color w:val="000000"/>
        </w:rPr>
        <w:t>The ISTA certificates are assuring that the results are reproducible, true and represent the quality of the seed.</w:t>
      </w:r>
    </w:p>
    <w:p w:rsidR="0064047F" w:rsidRPr="0064047F" w:rsidRDefault="0064047F" w:rsidP="0064047F">
      <w:pPr>
        <w:tabs>
          <w:tab w:val="left" w:pos="6104"/>
        </w:tabs>
        <w:spacing w:after="160" w:line="259" w:lineRule="auto"/>
        <w:jc w:val="left"/>
        <w:rPr>
          <w:rFonts w:ascii="Calibri" w:eastAsia="Calibri" w:hAnsi="Calibri"/>
          <w:sz w:val="22"/>
          <w:szCs w:val="22"/>
        </w:rPr>
      </w:pPr>
      <w:r w:rsidRPr="0064047F">
        <w:rPr>
          <w:rFonts w:eastAsia="Calibri" w:cs="Arial"/>
          <w:noProof/>
          <w:color w:val="000000"/>
        </w:rPr>
        <w:drawing>
          <wp:anchor distT="0" distB="0" distL="114300" distR="114300" simplePos="0" relativeHeight="251659264" behindDoc="0" locked="0" layoutInCell="1" allowOverlap="1" wp14:anchorId="0BE5A9E6" wp14:editId="04B39820">
            <wp:simplePos x="0" y="0"/>
            <wp:positionH relativeFrom="margin">
              <wp:posOffset>760040</wp:posOffset>
            </wp:positionH>
            <wp:positionV relativeFrom="paragraph">
              <wp:posOffset>12175</wp:posOffset>
            </wp:positionV>
            <wp:extent cx="4126727" cy="1741336"/>
            <wp:effectExtent l="0" t="0" r="45720"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r w:rsidRPr="0064047F">
        <w:rPr>
          <w:rFonts w:ascii="Calibri" w:eastAsia="Calibri" w:hAnsi="Calibri"/>
          <w:sz w:val="22"/>
          <w:szCs w:val="22"/>
        </w:rPr>
        <w:tab/>
      </w:r>
    </w:p>
    <w:p w:rsidR="0064047F" w:rsidRPr="0064047F" w:rsidRDefault="0064047F" w:rsidP="0064047F">
      <w:pPr>
        <w:tabs>
          <w:tab w:val="left" w:pos="2434"/>
          <w:tab w:val="left" w:pos="6871"/>
        </w:tabs>
        <w:spacing w:after="160" w:line="259" w:lineRule="auto"/>
        <w:jc w:val="left"/>
        <w:rPr>
          <w:rFonts w:ascii="Calibri" w:eastAsia="Calibri" w:hAnsi="Calibri"/>
          <w:sz w:val="22"/>
          <w:szCs w:val="22"/>
        </w:rPr>
      </w:pPr>
      <w:r w:rsidRPr="0064047F">
        <w:rPr>
          <w:rFonts w:ascii="Calibri" w:eastAsia="Calibri" w:hAnsi="Calibri"/>
          <w:sz w:val="22"/>
          <w:szCs w:val="22"/>
        </w:rPr>
        <w:tab/>
      </w:r>
      <w:r w:rsidRPr="0064047F">
        <w:rPr>
          <w:rFonts w:ascii="Calibri" w:eastAsia="Calibri" w:hAnsi="Calibri"/>
          <w:sz w:val="22"/>
          <w:szCs w:val="22"/>
        </w:rPr>
        <w:tab/>
      </w:r>
    </w:p>
    <w:p w:rsidR="0064047F" w:rsidRPr="0064047F" w:rsidRDefault="0064047F" w:rsidP="0064047F">
      <w:pPr>
        <w:tabs>
          <w:tab w:val="left" w:pos="1702"/>
        </w:tabs>
        <w:spacing w:after="160" w:line="259" w:lineRule="auto"/>
        <w:jc w:val="left"/>
        <w:rPr>
          <w:rFonts w:ascii="Calibri" w:eastAsia="Calibri" w:hAnsi="Calibri"/>
          <w:sz w:val="22"/>
          <w:szCs w:val="22"/>
        </w:rPr>
      </w:pPr>
      <w:r w:rsidRPr="0064047F">
        <w:rPr>
          <w:rFonts w:ascii="Calibri" w:eastAsia="Calibri" w:hAnsi="Calibri"/>
          <w:sz w:val="22"/>
          <w:szCs w:val="22"/>
        </w:rPr>
        <w:tab/>
      </w:r>
    </w:p>
    <w:p w:rsidR="0064047F" w:rsidRPr="0064047F" w:rsidRDefault="0064047F" w:rsidP="0064047F">
      <w:pPr>
        <w:spacing w:after="160" w:line="259" w:lineRule="auto"/>
        <w:jc w:val="left"/>
        <w:rPr>
          <w:rFonts w:ascii="Calibri" w:eastAsia="Calibri" w:hAnsi="Calibri"/>
          <w:sz w:val="22"/>
          <w:szCs w:val="22"/>
        </w:rPr>
      </w:pPr>
    </w:p>
    <w:p w:rsidR="0064047F" w:rsidRPr="0064047F" w:rsidRDefault="0064047F" w:rsidP="0064047F">
      <w:pPr>
        <w:spacing w:after="160" w:line="259" w:lineRule="auto"/>
        <w:jc w:val="left"/>
        <w:rPr>
          <w:rFonts w:ascii="Calibri" w:eastAsia="Calibri" w:hAnsi="Calibri"/>
          <w:sz w:val="22"/>
          <w:szCs w:val="22"/>
        </w:rPr>
      </w:pPr>
    </w:p>
    <w:p w:rsidR="0064047F" w:rsidRPr="0064047F" w:rsidRDefault="0064047F" w:rsidP="0064047F">
      <w:pPr>
        <w:tabs>
          <w:tab w:val="left" w:pos="3102"/>
          <w:tab w:val="left" w:pos="6961"/>
        </w:tabs>
        <w:spacing w:after="160" w:line="259" w:lineRule="auto"/>
        <w:jc w:val="left"/>
        <w:rPr>
          <w:rFonts w:ascii="Calibri" w:eastAsia="Calibri" w:hAnsi="Calibri"/>
          <w:sz w:val="22"/>
          <w:szCs w:val="22"/>
        </w:rPr>
      </w:pPr>
      <w:r w:rsidRPr="0064047F">
        <w:rPr>
          <w:rFonts w:ascii="Calibri" w:eastAsia="Calibri" w:hAnsi="Calibri"/>
          <w:sz w:val="22"/>
          <w:szCs w:val="22"/>
        </w:rPr>
        <w:tab/>
      </w:r>
      <w:r w:rsidRPr="0064047F">
        <w:rPr>
          <w:rFonts w:ascii="Calibri" w:eastAsia="Calibri" w:hAnsi="Calibri"/>
          <w:sz w:val="22"/>
          <w:szCs w:val="22"/>
        </w:rPr>
        <w:tab/>
      </w:r>
    </w:p>
    <w:p w:rsidR="0064047F" w:rsidRPr="0064047F" w:rsidRDefault="0064047F" w:rsidP="0064047F">
      <w:pPr>
        <w:tabs>
          <w:tab w:val="left" w:pos="7433"/>
        </w:tabs>
        <w:spacing w:after="160" w:line="259" w:lineRule="auto"/>
        <w:jc w:val="left"/>
        <w:rPr>
          <w:rFonts w:ascii="Calibri" w:eastAsia="Calibri" w:hAnsi="Calibri"/>
          <w:sz w:val="22"/>
          <w:szCs w:val="22"/>
        </w:rPr>
      </w:pPr>
      <w:r w:rsidRPr="0064047F">
        <w:rPr>
          <w:rFonts w:ascii="Calibri" w:eastAsia="Calibri" w:hAnsi="Calibri"/>
          <w:sz w:val="22"/>
          <w:szCs w:val="22"/>
        </w:rPr>
        <w:tab/>
      </w:r>
    </w:p>
    <w:p w:rsidR="0064047F" w:rsidRPr="0064047F" w:rsidRDefault="0064047F" w:rsidP="0064047F">
      <w:pPr>
        <w:spacing w:after="160" w:line="259" w:lineRule="auto"/>
        <w:rPr>
          <w:rFonts w:eastAsia="Calibri" w:cs="Arial"/>
        </w:rPr>
      </w:pPr>
      <w:r w:rsidRPr="0064047F">
        <w:rPr>
          <w:rFonts w:eastAsia="Calibri" w:cs="Arial"/>
        </w:rPr>
        <w:t>More than 200,000 ISTA Orange and Blue Certificates are issued every year, facilitating trading of seed internationally.</w:t>
      </w:r>
    </w:p>
    <w:p w:rsidR="0064047F" w:rsidRPr="0064047F" w:rsidRDefault="0064047F" w:rsidP="0064047F">
      <w:pPr>
        <w:spacing w:line="259" w:lineRule="auto"/>
        <w:rPr>
          <w:rFonts w:eastAsia="Calibri" w:cs="Arial"/>
        </w:rPr>
      </w:pPr>
    </w:p>
    <w:p w:rsidR="0064047F" w:rsidRPr="0064047F" w:rsidRDefault="0064047F" w:rsidP="0064047F">
      <w:pPr>
        <w:spacing w:after="160" w:line="259" w:lineRule="auto"/>
        <w:rPr>
          <w:rFonts w:eastAsia="Calibri" w:cs="Arial"/>
          <w:b/>
          <w:bCs/>
        </w:rPr>
      </w:pPr>
      <w:r w:rsidRPr="0064047F">
        <w:rPr>
          <w:rFonts w:eastAsia="Calibri" w:cs="Arial"/>
          <w:b/>
          <w:bCs/>
        </w:rPr>
        <w:t>THE STATUS OF BIOCHEMICAL AND MOLECULAR TECHNIQUE (BMT) IN ISTA.</w:t>
      </w:r>
    </w:p>
    <w:p w:rsidR="0064047F" w:rsidRPr="0064047F" w:rsidRDefault="0064047F" w:rsidP="0064047F">
      <w:pPr>
        <w:rPr>
          <w:rFonts w:eastAsia="Calibri" w:cs="Arial"/>
          <w:color w:val="000000"/>
        </w:rPr>
      </w:pPr>
      <w:r w:rsidRPr="0064047F">
        <w:rPr>
          <w:rFonts w:eastAsia="Calibri" w:cs="Arial"/>
          <w:color w:val="000000"/>
        </w:rPr>
        <w:t xml:space="preserve">The ISTA International Rules for Seed Testing have included BMTs for many years. For example, BMTs are acceptable for GMO testing under a "performance-based approach"; methods that are frequently used include qualitative and quantitative protein detection analyses and various DNA-based methods.  BMTs </w:t>
      </w:r>
      <w:proofErr w:type="gramStart"/>
      <w:r w:rsidRPr="0064047F">
        <w:rPr>
          <w:rFonts w:eastAsia="Calibri" w:cs="Arial"/>
          <w:color w:val="000000"/>
        </w:rPr>
        <w:t>are used</w:t>
      </w:r>
      <w:proofErr w:type="gramEnd"/>
      <w:r w:rsidRPr="0064047F">
        <w:rPr>
          <w:rFonts w:eastAsia="Calibri" w:cs="Arial"/>
          <w:color w:val="000000"/>
        </w:rPr>
        <w:t xml:space="preserve"> as diagnostic and quantitative assessment tools in seed health testing methods. Testing for species and varieties verification also makes use of BMTs by </w:t>
      </w:r>
      <w:proofErr w:type="spellStart"/>
      <w:r w:rsidRPr="0064047F">
        <w:rPr>
          <w:rFonts w:eastAsia="Calibri" w:cs="Arial"/>
          <w:color w:val="000000"/>
        </w:rPr>
        <w:t>analysing</w:t>
      </w:r>
      <w:proofErr w:type="spellEnd"/>
      <w:r w:rsidRPr="0064047F">
        <w:rPr>
          <w:rFonts w:eastAsia="Calibri" w:cs="Arial"/>
          <w:color w:val="000000"/>
        </w:rPr>
        <w:t xml:space="preserve"> storage protein profiles for sunflower, maize, oat, barley, wheat, rye grass and pea or by DNA fingerprint using molecular markers for maize and wheat. As the versatility of these methods increases and the cost of utilizing </w:t>
      </w:r>
      <w:proofErr w:type="gramStart"/>
      <w:r w:rsidRPr="0064047F">
        <w:rPr>
          <w:rFonts w:eastAsia="Calibri" w:cs="Arial"/>
          <w:color w:val="000000"/>
        </w:rPr>
        <w:t>them</w:t>
      </w:r>
      <w:proofErr w:type="gramEnd"/>
      <w:r w:rsidRPr="0064047F">
        <w:rPr>
          <w:rFonts w:eastAsia="Calibri" w:cs="Arial"/>
          <w:color w:val="000000"/>
        </w:rPr>
        <w:t xml:space="preserve"> decreases, they may in the future play an even larger role in seed testing.</w:t>
      </w:r>
    </w:p>
    <w:p w:rsidR="0064047F" w:rsidRPr="0064047F" w:rsidRDefault="0064047F" w:rsidP="0064047F">
      <w:pPr>
        <w:spacing w:after="160" w:line="259" w:lineRule="auto"/>
        <w:jc w:val="left"/>
        <w:rPr>
          <w:rFonts w:eastAsia="Calibri" w:cs="Arial"/>
          <w:color w:val="000000"/>
        </w:rPr>
      </w:pPr>
    </w:p>
    <w:p w:rsidR="0064047F" w:rsidRPr="0064047F" w:rsidRDefault="0064047F" w:rsidP="0064047F">
      <w:pPr>
        <w:spacing w:after="160" w:line="259" w:lineRule="auto"/>
        <w:jc w:val="left"/>
        <w:rPr>
          <w:rFonts w:eastAsia="Calibri" w:cs="Arial"/>
          <w:color w:val="000000"/>
        </w:rPr>
      </w:pPr>
      <w:r w:rsidRPr="0064047F">
        <w:rPr>
          <w:rFonts w:eastAsia="Calibri" w:cs="Arial"/>
          <w:color w:val="000000"/>
        </w:rPr>
        <w:t xml:space="preserve">To learn more about ISTA, visit our website: </w:t>
      </w:r>
      <w:hyperlink r:id="rId24" w:history="1">
        <w:r w:rsidRPr="0064047F">
          <w:rPr>
            <w:rFonts w:eastAsia="Calibri" w:cs="Arial"/>
            <w:color w:val="000000"/>
          </w:rPr>
          <w:t>www.seedtest.org</w:t>
        </w:r>
      </w:hyperlink>
    </w:p>
    <w:p w:rsidR="0064047F" w:rsidRPr="0064047F" w:rsidRDefault="0064047F" w:rsidP="0064047F">
      <w:pPr>
        <w:rPr>
          <w:lang w:val="en-GB"/>
        </w:rPr>
      </w:pPr>
    </w:p>
    <w:p w:rsidR="0064047F" w:rsidRPr="0064047F" w:rsidRDefault="0064047F" w:rsidP="0064047F">
      <w:pPr>
        <w:jc w:val="left"/>
      </w:pPr>
    </w:p>
    <w:p w:rsidR="0064047F" w:rsidRPr="0064047F" w:rsidRDefault="0064047F" w:rsidP="0064047F"/>
    <w:p w:rsidR="0064047F" w:rsidRPr="0064047F" w:rsidRDefault="0064047F" w:rsidP="0064047F">
      <w:pPr>
        <w:jc w:val="right"/>
      </w:pPr>
      <w:r w:rsidRPr="0064047F">
        <w:t>[End of Annex and of document]</w:t>
      </w:r>
    </w:p>
    <w:p w:rsidR="00903264" w:rsidRDefault="00903264">
      <w:pPr>
        <w:jc w:val="left"/>
      </w:pPr>
    </w:p>
    <w:p w:rsidR="00050E16" w:rsidRPr="00C5280D" w:rsidRDefault="00050E16" w:rsidP="009B440E">
      <w:pPr>
        <w:jc w:val="left"/>
      </w:pPr>
    </w:p>
    <w:sectPr w:rsidR="00050E16" w:rsidRPr="00C5280D" w:rsidSect="005E7466">
      <w:headerReference w:type="default" r:id="rId25"/>
      <w:headerReference w:type="first" r:id="rId2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812" w:rsidRDefault="00A67812" w:rsidP="006655D3">
      <w:r>
        <w:separator/>
      </w:r>
    </w:p>
    <w:p w:rsidR="00A67812" w:rsidRDefault="00A67812" w:rsidP="006655D3"/>
    <w:p w:rsidR="00A67812" w:rsidRDefault="00A67812" w:rsidP="006655D3"/>
  </w:endnote>
  <w:endnote w:type="continuationSeparator" w:id="0">
    <w:p w:rsidR="00A67812" w:rsidRDefault="00A67812" w:rsidP="006655D3">
      <w:r>
        <w:separator/>
      </w:r>
    </w:p>
    <w:p w:rsidR="00A67812" w:rsidRPr="00294751" w:rsidRDefault="00A67812">
      <w:pPr>
        <w:pStyle w:val="Footer"/>
        <w:spacing w:after="60"/>
        <w:rPr>
          <w:sz w:val="18"/>
          <w:lang w:val="fr-FR"/>
        </w:rPr>
      </w:pPr>
      <w:r w:rsidRPr="00294751">
        <w:rPr>
          <w:sz w:val="18"/>
          <w:lang w:val="fr-FR"/>
        </w:rPr>
        <w:t>[Suite de la note de la page précédente]</w:t>
      </w:r>
    </w:p>
    <w:p w:rsidR="00A67812" w:rsidRPr="00294751" w:rsidRDefault="00A67812" w:rsidP="006655D3">
      <w:pPr>
        <w:rPr>
          <w:lang w:val="fr-FR"/>
        </w:rPr>
      </w:pPr>
    </w:p>
    <w:p w:rsidR="00A67812" w:rsidRPr="00294751" w:rsidRDefault="00A67812" w:rsidP="006655D3">
      <w:pPr>
        <w:rPr>
          <w:lang w:val="fr-FR"/>
        </w:rPr>
      </w:pPr>
    </w:p>
  </w:endnote>
  <w:endnote w:type="continuationNotice" w:id="1">
    <w:p w:rsidR="00A67812" w:rsidRPr="00294751" w:rsidRDefault="00A67812" w:rsidP="006655D3">
      <w:pPr>
        <w:rPr>
          <w:lang w:val="fr-FR"/>
        </w:rPr>
      </w:pPr>
      <w:r w:rsidRPr="00294751">
        <w:rPr>
          <w:lang w:val="fr-FR"/>
        </w:rPr>
        <w:t>[Suite de la note page suivante]</w:t>
      </w:r>
    </w:p>
    <w:p w:rsidR="00A67812" w:rsidRPr="00294751" w:rsidRDefault="00A67812" w:rsidP="006655D3">
      <w:pPr>
        <w:rPr>
          <w:lang w:val="fr-FR"/>
        </w:rPr>
      </w:pPr>
    </w:p>
    <w:p w:rsidR="00A67812" w:rsidRPr="00294751" w:rsidRDefault="00A6781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812" w:rsidRDefault="00A67812" w:rsidP="006655D3">
      <w:r>
        <w:separator/>
      </w:r>
    </w:p>
  </w:footnote>
  <w:footnote w:type="continuationSeparator" w:id="0">
    <w:p w:rsidR="00A67812" w:rsidRDefault="00A67812" w:rsidP="006655D3">
      <w:r>
        <w:separator/>
      </w:r>
    </w:p>
  </w:footnote>
  <w:footnote w:type="continuationNotice" w:id="1">
    <w:p w:rsidR="00A67812" w:rsidRPr="00AB530F" w:rsidRDefault="00A67812" w:rsidP="00AB530F">
      <w:pPr>
        <w:pStyle w:val="Footer"/>
      </w:pPr>
    </w:p>
  </w:footnote>
  <w:footnote w:id="2">
    <w:p w:rsidR="00A67812" w:rsidRPr="00A5329B" w:rsidRDefault="00A67812">
      <w:pPr>
        <w:pStyle w:val="FootnoteText"/>
      </w:pPr>
      <w:r>
        <w:rPr>
          <w:rStyle w:val="FootnoteReference"/>
        </w:rPr>
        <w:footnoteRef/>
      </w:r>
      <w:r>
        <w:t xml:space="preserve"> held in Geneva, on October 29 and 30, 2018 </w:t>
      </w:r>
    </w:p>
  </w:footnote>
  <w:footnote w:id="3">
    <w:p w:rsidR="00A67812" w:rsidRDefault="00A67812" w:rsidP="00A5329B">
      <w:pPr>
        <w:pStyle w:val="FootnoteText"/>
      </w:pPr>
      <w:r>
        <w:rPr>
          <w:rStyle w:val="FootnoteReference"/>
        </w:rPr>
        <w:footnoteRef/>
      </w:r>
      <w:r>
        <w:t xml:space="preserve"> hosted by Turkey and held via electronic means, from May 3 to 7, 2021</w:t>
      </w:r>
    </w:p>
  </w:footnote>
  <w:footnote w:id="4">
    <w:p w:rsidR="00A67812" w:rsidRDefault="00A67812" w:rsidP="007C0514">
      <w:pPr>
        <w:pStyle w:val="FootnoteText"/>
      </w:pPr>
      <w:r>
        <w:rPr>
          <w:rStyle w:val="FootnoteReference"/>
        </w:rPr>
        <w:footnoteRef/>
      </w:r>
      <w:r>
        <w:t xml:space="preserve"> hosted by the United Republic of Tanzania and held via electronic means, from June 21 to 25, 2021</w:t>
      </w:r>
    </w:p>
  </w:footnote>
  <w:footnote w:id="5">
    <w:p w:rsidR="00A67812" w:rsidRDefault="00A67812" w:rsidP="007C0514">
      <w:pPr>
        <w:pStyle w:val="FootnoteText"/>
      </w:pPr>
      <w:r>
        <w:rPr>
          <w:rStyle w:val="FootnoteReference"/>
        </w:rPr>
        <w:footnoteRef/>
      </w:r>
      <w:r>
        <w:t xml:space="preserve"> hosted by China and held via electronic means, from July 12 to 16, 2021</w:t>
      </w:r>
    </w:p>
  </w:footnote>
  <w:footnote w:id="6">
    <w:p w:rsidR="00A67812" w:rsidRPr="007C0514" w:rsidRDefault="00A67812">
      <w:pPr>
        <w:pStyle w:val="FootnoteText"/>
      </w:pPr>
      <w:r>
        <w:rPr>
          <w:rStyle w:val="FootnoteReference"/>
        </w:rPr>
        <w:footnoteRef/>
      </w:r>
      <w:r>
        <w:t xml:space="preserve"> </w:t>
      </w:r>
      <w:r w:rsidRPr="00FA4478">
        <w:rPr>
          <w:rFonts w:cs="Arial"/>
        </w:rPr>
        <w:t>hosted by the United States of America and organized by electronic means, from September 22 to 24, 2021</w:t>
      </w:r>
    </w:p>
  </w:footnote>
  <w:footnote w:id="7">
    <w:p w:rsidR="00A67812" w:rsidRDefault="00A67812" w:rsidP="0064047F">
      <w:pPr>
        <w:pStyle w:val="FootnoteText"/>
      </w:pPr>
      <w:r>
        <w:rPr>
          <w:rStyle w:val="FootnoteReference"/>
        </w:rPr>
        <w:footnoteRef/>
      </w:r>
      <w:r>
        <w:t xml:space="preserve"> </w:t>
      </w:r>
      <w:r w:rsidRPr="00294CB7">
        <w:rPr>
          <w:rFonts w:eastAsiaTheme="minorEastAsia"/>
          <w:lang w:eastAsia="ja-JP"/>
        </w:rPr>
        <w:t>held in Geneva, on October 29 and 30, 2018</w:t>
      </w:r>
    </w:p>
  </w:footnote>
  <w:footnote w:id="8">
    <w:p w:rsidR="00A67812" w:rsidRDefault="00A67812" w:rsidP="0064047F">
      <w:pPr>
        <w:pStyle w:val="FootnoteText"/>
      </w:pPr>
      <w:r>
        <w:rPr>
          <w:rStyle w:val="FootnoteReference"/>
        </w:rPr>
        <w:footnoteRef/>
      </w:r>
      <w:r>
        <w:t xml:space="preserve"> </w:t>
      </w:r>
      <w:r w:rsidRPr="00294CB7">
        <w:rPr>
          <w:rFonts w:eastAsiaTheme="minorEastAsia"/>
          <w:lang w:eastAsia="ja-JP"/>
        </w:rPr>
        <w:t xml:space="preserve">held in Geneva, on October </w:t>
      </w:r>
      <w:r>
        <w:rPr>
          <w:rFonts w:eastAsiaTheme="minorEastAsia"/>
          <w:lang w:eastAsia="ja-JP"/>
        </w:rPr>
        <w:t>28</w:t>
      </w:r>
      <w:r w:rsidRPr="00294CB7">
        <w:rPr>
          <w:rFonts w:eastAsiaTheme="minorEastAsia"/>
          <w:lang w:eastAsia="ja-JP"/>
        </w:rPr>
        <w:t xml:space="preserve"> and </w:t>
      </w:r>
      <w:r>
        <w:rPr>
          <w:rFonts w:eastAsiaTheme="minorEastAsia"/>
          <w:lang w:eastAsia="ja-JP"/>
        </w:rPr>
        <w:t>29</w:t>
      </w:r>
      <w:r w:rsidRPr="00294CB7">
        <w:rPr>
          <w:rFonts w:eastAsiaTheme="minorEastAsia"/>
          <w:lang w:eastAsia="ja-JP"/>
        </w:rPr>
        <w:t>, 201</w:t>
      </w:r>
      <w:r>
        <w:rPr>
          <w:rFonts w:eastAsiaTheme="minorEastAsia"/>
          <w:lang w:eastAsia="ja-JP"/>
        </w:rPr>
        <w:t>9</w:t>
      </w:r>
    </w:p>
  </w:footnote>
  <w:footnote w:id="9">
    <w:p w:rsidR="00A67812" w:rsidRDefault="00A67812">
      <w:pPr>
        <w:pStyle w:val="FootnoteText"/>
      </w:pPr>
      <w:r>
        <w:rPr>
          <w:rStyle w:val="FootnoteReference"/>
        </w:rPr>
        <w:footnoteRef/>
      </w:r>
      <w:r>
        <w:t xml:space="preserve"> Held via electronic means on October 26 and 27, 2021</w:t>
      </w:r>
    </w:p>
  </w:footnote>
  <w:footnote w:id="10">
    <w:p w:rsidR="00A67812" w:rsidRPr="007C0514" w:rsidRDefault="00A67812">
      <w:pPr>
        <w:pStyle w:val="FootnoteText"/>
      </w:pPr>
      <w:r>
        <w:rPr>
          <w:rStyle w:val="FootnoteReference"/>
        </w:rPr>
        <w:footnoteRef/>
      </w:r>
      <w:r>
        <w:t xml:space="preserve"> </w:t>
      </w:r>
      <w:r w:rsidRPr="007C0514">
        <w:t>Held in Geneva on October 28 and 29, 2019</w:t>
      </w:r>
    </w:p>
  </w:footnote>
  <w:footnote w:id="11">
    <w:p w:rsidR="00A67812" w:rsidRDefault="00A67812" w:rsidP="0051095D">
      <w:pPr>
        <w:pStyle w:val="FootnoteText"/>
      </w:pPr>
      <w:r>
        <w:rPr>
          <w:rStyle w:val="FootnoteReference"/>
        </w:rPr>
        <w:footnoteRef/>
      </w:r>
      <w:r>
        <w:t xml:space="preserve"> “Breeders day”</w:t>
      </w:r>
    </w:p>
  </w:footnote>
  <w:footnote w:id="12">
    <w:p w:rsidR="00CE6928" w:rsidRDefault="00CE6928" w:rsidP="00CE6928">
      <w:pPr>
        <w:pStyle w:val="FootnoteText"/>
      </w:pPr>
      <w:r>
        <w:rPr>
          <w:rStyle w:val="FootnoteReference"/>
        </w:rPr>
        <w:footnoteRef/>
      </w:r>
      <w:r>
        <w:t xml:space="preserve"> hosted by Turkey and held via electronic means, from May 3 to 7, 2021</w:t>
      </w:r>
    </w:p>
  </w:footnote>
  <w:footnote w:id="13">
    <w:p w:rsidR="00CE6928" w:rsidRDefault="00CE6928">
      <w:pPr>
        <w:pStyle w:val="FootnoteText"/>
      </w:pPr>
      <w:r>
        <w:rPr>
          <w:rStyle w:val="FootnoteReference"/>
        </w:rPr>
        <w:footnoteRef/>
      </w:r>
      <w:r>
        <w:t xml:space="preserve"> hosted by the Netherlands and held via electronic means from June 7 to 11, 2021</w:t>
      </w:r>
    </w:p>
  </w:footnote>
  <w:footnote w:id="14">
    <w:p w:rsidR="00CE6928" w:rsidRDefault="00CE6928" w:rsidP="00CE6928">
      <w:pPr>
        <w:pStyle w:val="FootnoteText"/>
      </w:pPr>
      <w:r>
        <w:rPr>
          <w:rStyle w:val="FootnoteReference"/>
        </w:rPr>
        <w:footnoteRef/>
      </w:r>
      <w:r>
        <w:t xml:space="preserve"> hosted by the United Republic of Tanzania and held via electronic means, from June 21 to 25, 2021</w:t>
      </w:r>
    </w:p>
  </w:footnote>
  <w:footnote w:id="15">
    <w:p w:rsidR="00CE6928" w:rsidRDefault="00CE6928" w:rsidP="00CE6928">
      <w:pPr>
        <w:pStyle w:val="FootnoteText"/>
      </w:pPr>
      <w:r>
        <w:rPr>
          <w:rStyle w:val="FootnoteReference"/>
        </w:rPr>
        <w:footnoteRef/>
      </w:r>
      <w:r>
        <w:t xml:space="preserve"> hosted by China and held via electronic means, from July 12 to 16, 2021</w:t>
      </w:r>
    </w:p>
  </w:footnote>
  <w:footnote w:id="16">
    <w:p w:rsidR="00CE6928" w:rsidRPr="007C0514" w:rsidRDefault="00CE6928" w:rsidP="00CE6928">
      <w:pPr>
        <w:pStyle w:val="FootnoteText"/>
      </w:pPr>
      <w:r>
        <w:rPr>
          <w:rStyle w:val="FootnoteReference"/>
        </w:rPr>
        <w:footnoteRef/>
      </w:r>
      <w:r>
        <w:t xml:space="preserve"> </w:t>
      </w:r>
      <w:r w:rsidRPr="00FA4478">
        <w:rPr>
          <w:rFonts w:cs="Arial"/>
        </w:rPr>
        <w:t>hosted by the United States of America and organized by electronic means, from September 22 to 24, 2021</w:t>
      </w:r>
    </w:p>
  </w:footnote>
  <w:footnote w:id="17">
    <w:p w:rsidR="00CE6928" w:rsidRPr="007C0514" w:rsidRDefault="00CE6928" w:rsidP="00CE6928">
      <w:pPr>
        <w:pStyle w:val="FootnoteText"/>
      </w:pPr>
      <w:r>
        <w:rPr>
          <w:rStyle w:val="FootnoteReference"/>
        </w:rPr>
        <w:footnoteRef/>
      </w:r>
      <w:r>
        <w:t xml:space="preserve"> </w:t>
      </w:r>
      <w:r w:rsidRPr="00FA4478">
        <w:rPr>
          <w:rFonts w:cs="Arial"/>
        </w:rPr>
        <w:t>hosted by the United States of America and organized by electronic means, from September 22 to 24,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12" w:rsidRPr="00C5280D" w:rsidRDefault="00423732" w:rsidP="00EB048E">
    <w:pPr>
      <w:pStyle w:val="Header"/>
      <w:rPr>
        <w:rStyle w:val="PageNumber"/>
        <w:lang w:val="en-US"/>
      </w:rPr>
    </w:pPr>
    <w:r>
      <w:rPr>
        <w:rStyle w:val="PageNumber"/>
        <w:lang w:val="en-US"/>
      </w:rPr>
      <w:t>TWP/6/7</w:t>
    </w:r>
  </w:p>
  <w:p w:rsidR="00A67812" w:rsidRPr="00C5280D" w:rsidRDefault="00A6781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C3475">
      <w:rPr>
        <w:rStyle w:val="PageNumber"/>
        <w:noProof/>
        <w:lang w:val="en-US"/>
      </w:rPr>
      <w:t>9</w:t>
    </w:r>
    <w:r w:rsidRPr="00C5280D">
      <w:rPr>
        <w:rStyle w:val="PageNumber"/>
        <w:lang w:val="en-US"/>
      </w:rPr>
      <w:fldChar w:fldCharType="end"/>
    </w:r>
  </w:p>
  <w:p w:rsidR="00A67812" w:rsidRPr="00C5280D" w:rsidRDefault="00A67812"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12" w:rsidRPr="0004198B" w:rsidRDefault="00A67812"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12" w:rsidRPr="00C5280D" w:rsidRDefault="00A67812" w:rsidP="00EB048E">
    <w:pPr>
      <w:pStyle w:val="Header"/>
      <w:rPr>
        <w:rStyle w:val="PageNumber"/>
        <w:lang w:val="en-US"/>
      </w:rPr>
    </w:pPr>
    <w:r>
      <w:rPr>
        <w:rStyle w:val="PageNumber"/>
        <w:lang w:val="en-US"/>
      </w:rPr>
      <w:t>TWP/6/7</w:t>
    </w:r>
  </w:p>
  <w:p w:rsidR="00A67812" w:rsidRPr="00C5280D" w:rsidRDefault="00CF1E5B" w:rsidP="00EB048E">
    <w:pPr>
      <w:pStyle w:val="Header"/>
      <w:rPr>
        <w:lang w:val="en-US"/>
      </w:rPr>
    </w:pPr>
    <w:r>
      <w:rPr>
        <w:lang w:val="en-US"/>
      </w:rPr>
      <w:t xml:space="preserve">Annex, </w:t>
    </w:r>
    <w:r w:rsidR="00A67812" w:rsidRPr="00C5280D">
      <w:rPr>
        <w:lang w:val="en-US"/>
      </w:rPr>
      <w:t xml:space="preserve">page </w:t>
    </w:r>
    <w:r w:rsidR="00A67812" w:rsidRPr="00C5280D">
      <w:rPr>
        <w:rStyle w:val="PageNumber"/>
        <w:lang w:val="en-US"/>
      </w:rPr>
      <w:fldChar w:fldCharType="begin"/>
    </w:r>
    <w:r w:rsidR="00A67812" w:rsidRPr="00C5280D">
      <w:rPr>
        <w:rStyle w:val="PageNumber"/>
        <w:lang w:val="en-US"/>
      </w:rPr>
      <w:instrText xml:space="preserve"> PAGE </w:instrText>
    </w:r>
    <w:r w:rsidR="00A67812" w:rsidRPr="00C5280D">
      <w:rPr>
        <w:rStyle w:val="PageNumber"/>
        <w:lang w:val="en-US"/>
      </w:rPr>
      <w:fldChar w:fldCharType="separate"/>
    </w:r>
    <w:r w:rsidR="003C3475">
      <w:rPr>
        <w:rStyle w:val="PageNumber"/>
        <w:noProof/>
        <w:lang w:val="en-US"/>
      </w:rPr>
      <w:t>2</w:t>
    </w:r>
    <w:r w:rsidR="00A67812" w:rsidRPr="00C5280D">
      <w:rPr>
        <w:rStyle w:val="PageNumber"/>
        <w:lang w:val="en-US"/>
      </w:rPr>
      <w:fldChar w:fldCharType="end"/>
    </w:r>
  </w:p>
  <w:p w:rsidR="00A67812" w:rsidRPr="00C5280D" w:rsidRDefault="00A67812" w:rsidP="006655D3"/>
  <w:p w:rsidR="00A67812" w:rsidRDefault="00A6781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12" w:rsidRDefault="00CF1E5B" w:rsidP="0004198B">
    <w:pPr>
      <w:pStyle w:val="Header"/>
      <w:rPr>
        <w:lang w:val="en-US"/>
      </w:rPr>
    </w:pPr>
    <w:r>
      <w:rPr>
        <w:lang w:val="en-US"/>
      </w:rPr>
      <w:t>TWP/6/7</w:t>
    </w:r>
  </w:p>
  <w:p w:rsidR="00CF1E5B" w:rsidRDefault="00CF1E5B" w:rsidP="0004198B">
    <w:pPr>
      <w:pStyle w:val="Header"/>
      <w:rPr>
        <w:lang w:val="en-US"/>
      </w:rPr>
    </w:pPr>
  </w:p>
  <w:p w:rsidR="00CF1E5B" w:rsidRPr="00CF1E5B" w:rsidRDefault="00CF1E5B" w:rsidP="0004198B">
    <w:pPr>
      <w:pStyle w:val="Header"/>
      <w:rPr>
        <w:lang w:val="en-US"/>
      </w:rPr>
    </w:pPr>
    <w:r>
      <w:rPr>
        <w:lang w:val="en-US"/>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2" w15:restartNumberingAfterBreak="0">
    <w:nsid w:val="2A4435BD"/>
    <w:multiLevelType w:val="hybridMultilevel"/>
    <w:tmpl w:val="16F635F0"/>
    <w:lvl w:ilvl="0" w:tplc="4B50B3FA">
      <w:start w:val="1"/>
      <w:numFmt w:val="lowerLetter"/>
      <w:lvlText w:val="(%1)"/>
      <w:lvlJc w:val="left"/>
      <w:pPr>
        <w:ind w:left="5440" w:hanging="360"/>
      </w:pPr>
      <w:rPr>
        <w:rFonts w:hint="default"/>
      </w:rPr>
    </w:lvl>
    <w:lvl w:ilvl="1" w:tplc="04090019">
      <w:start w:val="1"/>
      <w:numFmt w:val="lowerLetter"/>
      <w:lvlText w:val="%2."/>
      <w:lvlJc w:val="left"/>
      <w:pPr>
        <w:ind w:left="6160" w:hanging="360"/>
      </w:pPr>
    </w:lvl>
    <w:lvl w:ilvl="2" w:tplc="0409001B" w:tentative="1">
      <w:start w:val="1"/>
      <w:numFmt w:val="lowerRoman"/>
      <w:lvlText w:val="%3."/>
      <w:lvlJc w:val="right"/>
      <w:pPr>
        <w:ind w:left="6880" w:hanging="180"/>
      </w:pPr>
    </w:lvl>
    <w:lvl w:ilvl="3" w:tplc="0409000F" w:tentative="1">
      <w:start w:val="1"/>
      <w:numFmt w:val="decimal"/>
      <w:lvlText w:val="%4."/>
      <w:lvlJc w:val="left"/>
      <w:pPr>
        <w:ind w:left="7600" w:hanging="360"/>
      </w:pPr>
    </w:lvl>
    <w:lvl w:ilvl="4" w:tplc="04090019" w:tentative="1">
      <w:start w:val="1"/>
      <w:numFmt w:val="lowerLetter"/>
      <w:lvlText w:val="%5."/>
      <w:lvlJc w:val="left"/>
      <w:pPr>
        <w:ind w:left="8320" w:hanging="360"/>
      </w:pPr>
    </w:lvl>
    <w:lvl w:ilvl="5" w:tplc="0409001B" w:tentative="1">
      <w:start w:val="1"/>
      <w:numFmt w:val="lowerRoman"/>
      <w:lvlText w:val="%6."/>
      <w:lvlJc w:val="right"/>
      <w:pPr>
        <w:ind w:left="9040" w:hanging="180"/>
      </w:pPr>
    </w:lvl>
    <w:lvl w:ilvl="6" w:tplc="0409000F" w:tentative="1">
      <w:start w:val="1"/>
      <w:numFmt w:val="decimal"/>
      <w:lvlText w:val="%7."/>
      <w:lvlJc w:val="left"/>
      <w:pPr>
        <w:ind w:left="9760" w:hanging="360"/>
      </w:pPr>
    </w:lvl>
    <w:lvl w:ilvl="7" w:tplc="04090019" w:tentative="1">
      <w:start w:val="1"/>
      <w:numFmt w:val="lowerLetter"/>
      <w:lvlText w:val="%8."/>
      <w:lvlJc w:val="left"/>
      <w:pPr>
        <w:ind w:left="10480" w:hanging="360"/>
      </w:pPr>
    </w:lvl>
    <w:lvl w:ilvl="8" w:tplc="0409001B" w:tentative="1">
      <w:start w:val="1"/>
      <w:numFmt w:val="lowerRoman"/>
      <w:lvlText w:val="%9."/>
      <w:lvlJc w:val="right"/>
      <w:pPr>
        <w:ind w:left="11200" w:hanging="180"/>
      </w:pPr>
    </w:lvl>
  </w:abstractNum>
  <w:abstractNum w:abstractNumId="3" w15:restartNumberingAfterBreak="0">
    <w:nsid w:val="31B073DB"/>
    <w:multiLevelType w:val="multilevel"/>
    <w:tmpl w:val="8D3CD76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418" w:hanging="567"/>
      </w:pPr>
      <w:rPr>
        <w:rFonts w:hint="default"/>
      </w:r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4" w15:restartNumberingAfterBreak="0">
    <w:nsid w:val="35110F16"/>
    <w:multiLevelType w:val="hybridMultilevel"/>
    <w:tmpl w:val="F4282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A06518E"/>
    <w:multiLevelType w:val="hybridMultilevel"/>
    <w:tmpl w:val="85A0CB58"/>
    <w:lvl w:ilvl="0" w:tplc="3CE8F4F8">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9"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5239DE"/>
    <w:multiLevelType w:val="hybridMultilevel"/>
    <w:tmpl w:val="1DA0FF64"/>
    <w:lvl w:ilvl="0" w:tplc="E286ECEE">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6"/>
  </w:num>
  <w:num w:numId="2">
    <w:abstractNumId w:val="0"/>
  </w:num>
  <w:num w:numId="3">
    <w:abstractNumId w:val="10"/>
  </w:num>
  <w:num w:numId="4">
    <w:abstractNumId w:val="8"/>
  </w:num>
  <w:num w:numId="5">
    <w:abstractNumId w:val="3"/>
  </w:num>
  <w:num w:numId="6">
    <w:abstractNumId w:val="5"/>
  </w:num>
  <w:num w:numId="7">
    <w:abstractNumId w:val="9"/>
  </w:num>
  <w:num w:numId="8">
    <w:abstractNumId w:val="7"/>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DF"/>
    <w:rsid w:val="00010CF3"/>
    <w:rsid w:val="00011A5C"/>
    <w:rsid w:val="00011E27"/>
    <w:rsid w:val="000148BC"/>
    <w:rsid w:val="00024AB8"/>
    <w:rsid w:val="00030854"/>
    <w:rsid w:val="00036028"/>
    <w:rsid w:val="0004198B"/>
    <w:rsid w:val="00044642"/>
    <w:rsid w:val="000446B9"/>
    <w:rsid w:val="00047939"/>
    <w:rsid w:val="00047E21"/>
    <w:rsid w:val="00050E16"/>
    <w:rsid w:val="00061D55"/>
    <w:rsid w:val="00076628"/>
    <w:rsid w:val="00085505"/>
    <w:rsid w:val="00086306"/>
    <w:rsid w:val="000C4E25"/>
    <w:rsid w:val="000C7021"/>
    <w:rsid w:val="000D6BBC"/>
    <w:rsid w:val="000D7780"/>
    <w:rsid w:val="000E636A"/>
    <w:rsid w:val="000F1377"/>
    <w:rsid w:val="000F2F11"/>
    <w:rsid w:val="00100A5F"/>
    <w:rsid w:val="00105929"/>
    <w:rsid w:val="00110BED"/>
    <w:rsid w:val="00110C36"/>
    <w:rsid w:val="001131D5"/>
    <w:rsid w:val="00114547"/>
    <w:rsid w:val="001361E2"/>
    <w:rsid w:val="00141DB8"/>
    <w:rsid w:val="0015419B"/>
    <w:rsid w:val="00170B28"/>
    <w:rsid w:val="00172084"/>
    <w:rsid w:val="0017474A"/>
    <w:rsid w:val="001758C6"/>
    <w:rsid w:val="00182B99"/>
    <w:rsid w:val="00197A66"/>
    <w:rsid w:val="001C1525"/>
    <w:rsid w:val="00200F51"/>
    <w:rsid w:val="00210782"/>
    <w:rsid w:val="0021332C"/>
    <w:rsid w:val="00213982"/>
    <w:rsid w:val="0023239F"/>
    <w:rsid w:val="0023793E"/>
    <w:rsid w:val="00243E02"/>
    <w:rsid w:val="0024416D"/>
    <w:rsid w:val="00255B9C"/>
    <w:rsid w:val="00256135"/>
    <w:rsid w:val="00264435"/>
    <w:rsid w:val="00271911"/>
    <w:rsid w:val="00273068"/>
    <w:rsid w:val="00273187"/>
    <w:rsid w:val="00275EDF"/>
    <w:rsid w:val="002800A0"/>
    <w:rsid w:val="002801B3"/>
    <w:rsid w:val="00281060"/>
    <w:rsid w:val="00283B4C"/>
    <w:rsid w:val="00284050"/>
    <w:rsid w:val="00285BD0"/>
    <w:rsid w:val="002940E8"/>
    <w:rsid w:val="00294751"/>
    <w:rsid w:val="002A6E50"/>
    <w:rsid w:val="002B4298"/>
    <w:rsid w:val="002B4CD0"/>
    <w:rsid w:val="002B69D1"/>
    <w:rsid w:val="002B7A36"/>
    <w:rsid w:val="002C256A"/>
    <w:rsid w:val="002D5226"/>
    <w:rsid w:val="002F37C0"/>
    <w:rsid w:val="00305A7F"/>
    <w:rsid w:val="00310A60"/>
    <w:rsid w:val="00314EE1"/>
    <w:rsid w:val="003152FE"/>
    <w:rsid w:val="00327436"/>
    <w:rsid w:val="00344BD6"/>
    <w:rsid w:val="0035528D"/>
    <w:rsid w:val="003562B0"/>
    <w:rsid w:val="00361821"/>
    <w:rsid w:val="00361E9E"/>
    <w:rsid w:val="003747BD"/>
    <w:rsid w:val="003753EE"/>
    <w:rsid w:val="003810C2"/>
    <w:rsid w:val="003A0835"/>
    <w:rsid w:val="003A5AAF"/>
    <w:rsid w:val="003B700A"/>
    <w:rsid w:val="003C3475"/>
    <w:rsid w:val="003C7FBE"/>
    <w:rsid w:val="003D227C"/>
    <w:rsid w:val="003D2B4D"/>
    <w:rsid w:val="003F37F5"/>
    <w:rsid w:val="0041119E"/>
    <w:rsid w:val="00423732"/>
    <w:rsid w:val="00425A52"/>
    <w:rsid w:val="004379C0"/>
    <w:rsid w:val="00444A88"/>
    <w:rsid w:val="00447B2C"/>
    <w:rsid w:val="00474DA4"/>
    <w:rsid w:val="00476B4D"/>
    <w:rsid w:val="004805FA"/>
    <w:rsid w:val="004868D6"/>
    <w:rsid w:val="004935D2"/>
    <w:rsid w:val="004A6793"/>
    <w:rsid w:val="004B1215"/>
    <w:rsid w:val="004D047D"/>
    <w:rsid w:val="004D30AA"/>
    <w:rsid w:val="004E63A3"/>
    <w:rsid w:val="004F1E9E"/>
    <w:rsid w:val="004F305A"/>
    <w:rsid w:val="0051095D"/>
    <w:rsid w:val="00512164"/>
    <w:rsid w:val="00520297"/>
    <w:rsid w:val="005338F9"/>
    <w:rsid w:val="00533D15"/>
    <w:rsid w:val="0054281C"/>
    <w:rsid w:val="00544581"/>
    <w:rsid w:val="0055268D"/>
    <w:rsid w:val="00555CCA"/>
    <w:rsid w:val="00557F31"/>
    <w:rsid w:val="005600DB"/>
    <w:rsid w:val="005630FA"/>
    <w:rsid w:val="00575DE2"/>
    <w:rsid w:val="00576BE4"/>
    <w:rsid w:val="005779DB"/>
    <w:rsid w:val="005871D9"/>
    <w:rsid w:val="0059008E"/>
    <w:rsid w:val="00592DC3"/>
    <w:rsid w:val="005A0252"/>
    <w:rsid w:val="005A2A67"/>
    <w:rsid w:val="005A400A"/>
    <w:rsid w:val="005B269D"/>
    <w:rsid w:val="005E7466"/>
    <w:rsid w:val="005F3698"/>
    <w:rsid w:val="005F4025"/>
    <w:rsid w:val="005F7B92"/>
    <w:rsid w:val="006031A6"/>
    <w:rsid w:val="00612379"/>
    <w:rsid w:val="006153B6"/>
    <w:rsid w:val="0061555F"/>
    <w:rsid w:val="006245ED"/>
    <w:rsid w:val="0063000D"/>
    <w:rsid w:val="00636CA6"/>
    <w:rsid w:val="0064047F"/>
    <w:rsid w:val="00641200"/>
    <w:rsid w:val="00645CA8"/>
    <w:rsid w:val="006655D3"/>
    <w:rsid w:val="00667404"/>
    <w:rsid w:val="00687EB4"/>
    <w:rsid w:val="00695C56"/>
    <w:rsid w:val="006A5CDE"/>
    <w:rsid w:val="006A644A"/>
    <w:rsid w:val="006B17D2"/>
    <w:rsid w:val="006B6267"/>
    <w:rsid w:val="006C224E"/>
    <w:rsid w:val="006D780A"/>
    <w:rsid w:val="006E4755"/>
    <w:rsid w:val="00704ECF"/>
    <w:rsid w:val="0071271E"/>
    <w:rsid w:val="00732DEC"/>
    <w:rsid w:val="00735BD5"/>
    <w:rsid w:val="007451EC"/>
    <w:rsid w:val="00745A8C"/>
    <w:rsid w:val="00751613"/>
    <w:rsid w:val="00753EE9"/>
    <w:rsid w:val="00754F18"/>
    <w:rsid w:val="007556F6"/>
    <w:rsid w:val="00760EEF"/>
    <w:rsid w:val="00763178"/>
    <w:rsid w:val="00777EE5"/>
    <w:rsid w:val="00784836"/>
    <w:rsid w:val="0079023E"/>
    <w:rsid w:val="007963EF"/>
    <w:rsid w:val="007A2854"/>
    <w:rsid w:val="007C0514"/>
    <w:rsid w:val="007C1D92"/>
    <w:rsid w:val="007C4CB9"/>
    <w:rsid w:val="007D0B9D"/>
    <w:rsid w:val="007D19B0"/>
    <w:rsid w:val="007F498F"/>
    <w:rsid w:val="0080679D"/>
    <w:rsid w:val="008108B0"/>
    <w:rsid w:val="00811B20"/>
    <w:rsid w:val="00812609"/>
    <w:rsid w:val="008147F5"/>
    <w:rsid w:val="008211B5"/>
    <w:rsid w:val="0082296E"/>
    <w:rsid w:val="00824099"/>
    <w:rsid w:val="00846D7C"/>
    <w:rsid w:val="00862AA7"/>
    <w:rsid w:val="00867AC1"/>
    <w:rsid w:val="008751DE"/>
    <w:rsid w:val="008837DA"/>
    <w:rsid w:val="00890DF8"/>
    <w:rsid w:val="008A0ADE"/>
    <w:rsid w:val="008A743F"/>
    <w:rsid w:val="008C0970"/>
    <w:rsid w:val="008D0BC5"/>
    <w:rsid w:val="008D2CF7"/>
    <w:rsid w:val="00900C26"/>
    <w:rsid w:val="0090197F"/>
    <w:rsid w:val="00903264"/>
    <w:rsid w:val="00906DDC"/>
    <w:rsid w:val="00922264"/>
    <w:rsid w:val="00925146"/>
    <w:rsid w:val="00934E09"/>
    <w:rsid w:val="00936253"/>
    <w:rsid w:val="00940D46"/>
    <w:rsid w:val="009413F1"/>
    <w:rsid w:val="00951234"/>
    <w:rsid w:val="00952DD4"/>
    <w:rsid w:val="009561F4"/>
    <w:rsid w:val="00965AE7"/>
    <w:rsid w:val="00970FED"/>
    <w:rsid w:val="009814D4"/>
    <w:rsid w:val="00992D82"/>
    <w:rsid w:val="00997029"/>
    <w:rsid w:val="009A7339"/>
    <w:rsid w:val="009B440E"/>
    <w:rsid w:val="009B481D"/>
    <w:rsid w:val="009D690D"/>
    <w:rsid w:val="009E65B6"/>
    <w:rsid w:val="009F0A51"/>
    <w:rsid w:val="009F77CF"/>
    <w:rsid w:val="00A17AC2"/>
    <w:rsid w:val="00A22737"/>
    <w:rsid w:val="00A24C10"/>
    <w:rsid w:val="00A27ECF"/>
    <w:rsid w:val="00A42AC3"/>
    <w:rsid w:val="00A430CF"/>
    <w:rsid w:val="00A5329B"/>
    <w:rsid w:val="00A54309"/>
    <w:rsid w:val="00A610A9"/>
    <w:rsid w:val="00A67812"/>
    <w:rsid w:val="00A71427"/>
    <w:rsid w:val="00A73EAB"/>
    <w:rsid w:val="00A80F2A"/>
    <w:rsid w:val="00A90CAF"/>
    <w:rsid w:val="00A96223"/>
    <w:rsid w:val="00A96C33"/>
    <w:rsid w:val="00AB2B93"/>
    <w:rsid w:val="00AB530F"/>
    <w:rsid w:val="00AB7E5B"/>
    <w:rsid w:val="00AC2883"/>
    <w:rsid w:val="00AE0EF1"/>
    <w:rsid w:val="00AE2937"/>
    <w:rsid w:val="00B07301"/>
    <w:rsid w:val="00B11F3E"/>
    <w:rsid w:val="00B151D3"/>
    <w:rsid w:val="00B224DE"/>
    <w:rsid w:val="00B324D4"/>
    <w:rsid w:val="00B46575"/>
    <w:rsid w:val="00B57F80"/>
    <w:rsid w:val="00B61777"/>
    <w:rsid w:val="00B622E6"/>
    <w:rsid w:val="00B83E82"/>
    <w:rsid w:val="00B84BBD"/>
    <w:rsid w:val="00B872E8"/>
    <w:rsid w:val="00BA43FB"/>
    <w:rsid w:val="00BB66A8"/>
    <w:rsid w:val="00BC127D"/>
    <w:rsid w:val="00BC1FE6"/>
    <w:rsid w:val="00BD4E32"/>
    <w:rsid w:val="00BE4CF4"/>
    <w:rsid w:val="00C061B6"/>
    <w:rsid w:val="00C2446C"/>
    <w:rsid w:val="00C36AE5"/>
    <w:rsid w:val="00C41F17"/>
    <w:rsid w:val="00C437A3"/>
    <w:rsid w:val="00C527FA"/>
    <w:rsid w:val="00C5280D"/>
    <w:rsid w:val="00C53EB3"/>
    <w:rsid w:val="00C54DAD"/>
    <w:rsid w:val="00C56144"/>
    <w:rsid w:val="00C5791C"/>
    <w:rsid w:val="00C66290"/>
    <w:rsid w:val="00C7072A"/>
    <w:rsid w:val="00C72B7A"/>
    <w:rsid w:val="00C76C98"/>
    <w:rsid w:val="00C973F2"/>
    <w:rsid w:val="00CA304C"/>
    <w:rsid w:val="00CA774A"/>
    <w:rsid w:val="00CB4921"/>
    <w:rsid w:val="00CC11B0"/>
    <w:rsid w:val="00CC2841"/>
    <w:rsid w:val="00CC7F66"/>
    <w:rsid w:val="00CE6928"/>
    <w:rsid w:val="00CF1330"/>
    <w:rsid w:val="00CF1E5B"/>
    <w:rsid w:val="00CF5657"/>
    <w:rsid w:val="00CF7E36"/>
    <w:rsid w:val="00D0106A"/>
    <w:rsid w:val="00D05C7C"/>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480"/>
    <w:rsid w:val="00DF7E99"/>
    <w:rsid w:val="00E02920"/>
    <w:rsid w:val="00E07D87"/>
    <w:rsid w:val="00E249C8"/>
    <w:rsid w:val="00E32F7E"/>
    <w:rsid w:val="00E33FBC"/>
    <w:rsid w:val="00E5267B"/>
    <w:rsid w:val="00E559F0"/>
    <w:rsid w:val="00E63C0E"/>
    <w:rsid w:val="00E702E7"/>
    <w:rsid w:val="00E72D49"/>
    <w:rsid w:val="00E7593C"/>
    <w:rsid w:val="00E7678A"/>
    <w:rsid w:val="00E931C0"/>
    <w:rsid w:val="00E935F1"/>
    <w:rsid w:val="00E94A81"/>
    <w:rsid w:val="00EA1FFB"/>
    <w:rsid w:val="00EB048E"/>
    <w:rsid w:val="00EB4E9C"/>
    <w:rsid w:val="00EE34DF"/>
    <w:rsid w:val="00EF2F89"/>
    <w:rsid w:val="00F03E98"/>
    <w:rsid w:val="00F1237A"/>
    <w:rsid w:val="00F22CBD"/>
    <w:rsid w:val="00F23157"/>
    <w:rsid w:val="00F231C5"/>
    <w:rsid w:val="00F272F1"/>
    <w:rsid w:val="00F31412"/>
    <w:rsid w:val="00F45372"/>
    <w:rsid w:val="00F45D80"/>
    <w:rsid w:val="00F560F7"/>
    <w:rsid w:val="00F6334D"/>
    <w:rsid w:val="00F63599"/>
    <w:rsid w:val="00F64EB6"/>
    <w:rsid w:val="00F71781"/>
    <w:rsid w:val="00F95768"/>
    <w:rsid w:val="00FA49AB"/>
    <w:rsid w:val="00FC5BA3"/>
    <w:rsid w:val="00FC5FD0"/>
    <w:rsid w:val="00FE39C7"/>
    <w:rsid w:val="00FE5EE1"/>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2FD3F7"/>
  <w15:docId w15:val="{ECBE0E57-4816-478F-90E3-66702608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aliases w:val="COMMON NAME,common"/>
    <w:next w:val="Normal"/>
    <w:link w:val="Heading1Char"/>
    <w:autoRedefine/>
    <w:qFormat/>
    <w:rsid w:val="00C437A3"/>
    <w:pPr>
      <w:keepNext/>
      <w:jc w:val="both"/>
      <w:outlineLvl w:val="0"/>
    </w:pPr>
    <w:rPr>
      <w:rFonts w:ascii="Arial" w:hAnsi="Arial"/>
      <w:caps/>
    </w:rPr>
  </w:style>
  <w:style w:type="paragraph" w:styleId="Heading2">
    <w:name w:val="heading 2"/>
    <w:aliases w:val="VARIETY,variety"/>
    <w:next w:val="Normal"/>
    <w:link w:val="Heading2Char"/>
    <w:autoRedefine/>
    <w:qFormat/>
    <w:rsid w:val="00C437A3"/>
    <w:pPr>
      <w:keepNext/>
      <w:jc w:val="both"/>
      <w:outlineLvl w:val="1"/>
    </w:pPr>
    <w:rPr>
      <w:rFonts w:ascii="Arial" w:hAnsi="Arial"/>
      <w:u w:val="single"/>
    </w:rPr>
  </w:style>
  <w:style w:type="paragraph" w:styleId="Heading3">
    <w:name w:val="heading 3"/>
    <w:next w:val="Normal"/>
    <w:link w:val="Heading3Char"/>
    <w:autoRedefine/>
    <w:qFormat/>
    <w:rsid w:val="00C437A3"/>
    <w:pPr>
      <w:keepNext/>
      <w:jc w:val="both"/>
      <w:outlineLvl w:val="2"/>
    </w:pPr>
    <w:rPr>
      <w:rFonts w:ascii="Arial" w:hAnsi="Arial"/>
      <w:i/>
    </w:rPr>
  </w:style>
  <w:style w:type="paragraph" w:styleId="Heading4">
    <w:name w:val="heading 4"/>
    <w:next w:val="Normal"/>
    <w:link w:val="Heading4Char"/>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uiPriority w:val="99"/>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1Char">
    <w:name w:val="Heading 1 Char"/>
    <w:aliases w:val="COMMON NAME Char,common Char"/>
    <w:basedOn w:val="DefaultParagraphFont"/>
    <w:link w:val="Heading1"/>
    <w:rsid w:val="0064047F"/>
    <w:rPr>
      <w:rFonts w:ascii="Arial" w:hAnsi="Arial"/>
      <w:caps/>
    </w:rPr>
  </w:style>
  <w:style w:type="character" w:customStyle="1" w:styleId="Heading2Char">
    <w:name w:val="Heading 2 Char"/>
    <w:aliases w:val="VARIETY Char,variety Char"/>
    <w:link w:val="Heading2"/>
    <w:locked/>
    <w:rsid w:val="0064047F"/>
    <w:rPr>
      <w:rFonts w:ascii="Arial" w:hAnsi="Arial"/>
      <w:u w:val="single"/>
    </w:rPr>
  </w:style>
  <w:style w:type="character" w:customStyle="1" w:styleId="Heading3Char">
    <w:name w:val="Heading 3 Char"/>
    <w:basedOn w:val="DefaultParagraphFont"/>
    <w:link w:val="Heading3"/>
    <w:rsid w:val="0064047F"/>
    <w:rPr>
      <w:rFonts w:ascii="Arial" w:hAnsi="Arial"/>
      <w:i/>
    </w:rPr>
  </w:style>
  <w:style w:type="character" w:customStyle="1" w:styleId="FootnoteTextChar">
    <w:name w:val="Footnote Text Char"/>
    <w:basedOn w:val="DefaultParagraphFont"/>
    <w:link w:val="FootnoteText"/>
    <w:rsid w:val="0064047F"/>
    <w:rPr>
      <w:rFonts w:ascii="Arial" w:hAnsi="Arial"/>
      <w:sz w:val="16"/>
    </w:rPr>
  </w:style>
  <w:style w:type="paragraph" w:styleId="ListParagraph">
    <w:name w:val="List Paragraph"/>
    <w:aliases w:val="auto_list_(i),List Paragraph1"/>
    <w:basedOn w:val="Normal"/>
    <w:link w:val="ListParagraphChar"/>
    <w:uiPriority w:val="34"/>
    <w:qFormat/>
    <w:rsid w:val="0064047F"/>
    <w:pPr>
      <w:ind w:left="720"/>
      <w:contextualSpacing/>
    </w:pPr>
  </w:style>
  <w:style w:type="table" w:styleId="TableGrid">
    <w:name w:val="Table Grid"/>
    <w:basedOn w:val="TableNormal"/>
    <w:uiPriority w:val="39"/>
    <w:rsid w:val="0064047F"/>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047F"/>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51095D"/>
    <w:rPr>
      <w:rFonts w:ascii="Arial" w:hAnsi="Arial"/>
      <w:u w:val="single"/>
      <w:lang w:val="fr-FR"/>
    </w:rPr>
  </w:style>
  <w:style w:type="character" w:customStyle="1" w:styleId="ListParagraphChar">
    <w:name w:val="List Paragraph Char"/>
    <w:aliases w:val="auto_list_(i) Char,List Paragraph1 Char"/>
    <w:basedOn w:val="DefaultParagraphFont"/>
    <w:link w:val="ListParagraph"/>
    <w:uiPriority w:val="34"/>
    <w:locked/>
    <w:rsid w:val="0051095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23924">
      <w:bodyDiv w:val="1"/>
      <w:marLeft w:val="0"/>
      <w:marRight w:val="0"/>
      <w:marTop w:val="0"/>
      <w:marBottom w:val="0"/>
      <w:divBdr>
        <w:top w:val="none" w:sz="0" w:space="0" w:color="auto"/>
        <w:left w:val="none" w:sz="0" w:space="0" w:color="auto"/>
        <w:bottom w:val="none" w:sz="0" w:space="0" w:color="auto"/>
        <w:right w:val="none" w:sz="0" w:space="0" w:color="auto"/>
      </w:divBdr>
    </w:div>
    <w:div w:id="702705650">
      <w:bodyDiv w:val="1"/>
      <w:marLeft w:val="0"/>
      <w:marRight w:val="0"/>
      <w:marTop w:val="0"/>
      <w:marBottom w:val="0"/>
      <w:divBdr>
        <w:top w:val="none" w:sz="0" w:space="0" w:color="auto"/>
        <w:left w:val="none" w:sz="0" w:space="0" w:color="auto"/>
        <w:bottom w:val="none" w:sz="0" w:space="0" w:color="auto"/>
        <w:right w:val="none" w:sz="0" w:space="0" w:color="auto"/>
      </w:divBdr>
    </w:div>
    <w:div w:id="718558507">
      <w:bodyDiv w:val="1"/>
      <w:marLeft w:val="0"/>
      <w:marRight w:val="0"/>
      <w:marTop w:val="0"/>
      <w:marBottom w:val="0"/>
      <w:divBdr>
        <w:top w:val="none" w:sz="0" w:space="0" w:color="auto"/>
        <w:left w:val="none" w:sz="0" w:space="0" w:color="auto"/>
        <w:bottom w:val="none" w:sz="0" w:space="0" w:color="auto"/>
        <w:right w:val="none" w:sz="0" w:space="0" w:color="auto"/>
      </w:divBdr>
    </w:div>
    <w:div w:id="893927624">
      <w:bodyDiv w:val="1"/>
      <w:marLeft w:val="0"/>
      <w:marRight w:val="0"/>
      <w:marTop w:val="0"/>
      <w:marBottom w:val="0"/>
      <w:divBdr>
        <w:top w:val="none" w:sz="0" w:space="0" w:color="auto"/>
        <w:left w:val="none" w:sz="0" w:space="0" w:color="auto"/>
        <w:bottom w:val="none" w:sz="0" w:space="0" w:color="auto"/>
        <w:right w:val="none" w:sz="0" w:space="0" w:color="auto"/>
      </w:divBdr>
    </w:div>
    <w:div w:id="999043159">
      <w:bodyDiv w:val="1"/>
      <w:marLeft w:val="0"/>
      <w:marRight w:val="0"/>
      <w:marTop w:val="0"/>
      <w:marBottom w:val="0"/>
      <w:divBdr>
        <w:top w:val="none" w:sz="0" w:space="0" w:color="auto"/>
        <w:left w:val="none" w:sz="0" w:space="0" w:color="auto"/>
        <w:bottom w:val="none" w:sz="0" w:space="0" w:color="auto"/>
        <w:right w:val="none" w:sz="0" w:space="0" w:color="auto"/>
      </w:divBdr>
    </w:div>
    <w:div w:id="1280261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ecd.org/tad/seed" TargetMode="External"/><Relationship Id="rId18" Type="http://schemas.openxmlformats.org/officeDocument/2006/relationships/hyperlink" Target="https://www.seedtest.org/upload/cms/user/ISTAAccreditationStandardforSeedTestingandSeedSamplingV6.11.pdf"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seedtest.org/en/international-rules-for-seed-testing-2019-_content---1--1083--1065.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upov.int/about/en/faq.html"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seedtest.org" TargetMode="External"/><Relationship Id="rId5" Type="http://schemas.openxmlformats.org/officeDocument/2006/relationships/webSettings" Target="webSettings.xml"/><Relationship Id="rId15" Type="http://schemas.openxmlformats.org/officeDocument/2006/relationships/hyperlink" Target="http://www.upov.int/export/sites/upov/images/worldmap_en.jpg" TargetMode="External"/><Relationship Id="rId23" Type="http://schemas.microsoft.com/office/2007/relationships/diagramDrawing" Target="diagrams/drawing1.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upov.int/meetings/en/doc_details.jsp?meeting_id=60596&amp;doc_id=542712" TargetMode="External"/><Relationship Id="rId14" Type="http://schemas.openxmlformats.org/officeDocument/2006/relationships/hyperlink" Target="http://www.upov.int/export/sites/upov/members/en/pdf/pub423.pdf" TargetMode="External"/><Relationship Id="rId22" Type="http://schemas.openxmlformats.org/officeDocument/2006/relationships/diagramColors" Target="diagrams/colors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6\template\routing_slip_with_doc_twp_6.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52CA9-C758-47E0-8313-93B1F913A98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de-CH"/>
        </a:p>
      </dgm:t>
    </dgm:pt>
    <dgm:pt modelId="{D9C435B6-CA06-41AF-87DD-21B230F0E89E}">
      <dgm:prSet phldrT="[Text]" custT="1"/>
      <dgm: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Orange International Seed</a:t>
          </a:r>
          <a:br>
            <a:rPr lang="de-CH" sz="1000">
              <a:solidFill>
                <a:sysClr val="window" lastClr="FFFFFF"/>
              </a:solidFill>
              <a:latin typeface="Arial" panose="020B0604020202020204" pitchFamily="34" charset="0"/>
              <a:ea typeface="+mn-ea"/>
              <a:cs typeface="Arial" panose="020B0604020202020204" pitchFamily="34" charset="0"/>
            </a:rPr>
          </a:br>
          <a:r>
            <a:rPr lang="de-CH" sz="1000">
              <a:solidFill>
                <a:sysClr val="window" lastClr="FFFFFF"/>
              </a:solidFill>
              <a:latin typeface="Arial" panose="020B0604020202020204" pitchFamily="34" charset="0"/>
              <a:ea typeface="+mn-ea"/>
              <a:cs typeface="Arial" panose="020B0604020202020204" pitchFamily="34" charset="0"/>
            </a:rPr>
            <a:t>Lot Certificate         </a:t>
          </a:r>
        </a:p>
      </dgm:t>
    </dgm:pt>
    <dgm:pt modelId="{60F0F445-5A1F-466E-A879-552C6E220B91}" type="parTrans" cxnId="{BBD38531-A795-4472-A241-14040624A61C}">
      <dgm:prSet/>
      <dgm:spPr/>
      <dgm:t>
        <a:bodyPr/>
        <a:lstStyle/>
        <a:p>
          <a:endParaRPr lang="de-CH"/>
        </a:p>
      </dgm:t>
    </dgm:pt>
    <dgm:pt modelId="{F434DDCD-BE05-4BB0-B100-B26C93922D6B}" type="sibTrans" cxnId="{BBD38531-A795-4472-A241-14040624A61C}">
      <dgm:prSet/>
      <dgm:spPr/>
      <dgm:t>
        <a:bodyPr/>
        <a:lstStyle/>
        <a:p>
          <a:endParaRPr lang="de-CH"/>
        </a:p>
      </dgm:t>
    </dgm:pt>
    <dgm:pt modelId="{4E0612E4-7DE3-44E1-8880-3956F30B1785}">
      <dgm:prSet phldrT="[Text]"/>
      <dgm: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gm:spPr>
      <dgm:t>
        <a:bodyPr/>
        <a:lstStyle/>
        <a:p>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both sampling from the lot and testing of the sample are carried out under the ressponsibility of an ISTA Accredited Seed Testing Laboratory.</a:t>
          </a:r>
        </a:p>
      </dgm:t>
    </dgm:pt>
    <dgm:pt modelId="{076A0B1D-E446-4335-AE64-FDABA5C77E38}" type="parTrans" cxnId="{6CFC5D1C-D684-46B9-97C6-67593215A77D}">
      <dgm:prSet>
        <dgm:style>
          <a:lnRef idx="1">
            <a:schemeClr val="accent2"/>
          </a:lnRef>
          <a:fillRef idx="0">
            <a:schemeClr val="accent2"/>
          </a:fillRef>
          <a:effectRef idx="0">
            <a:schemeClr val="accent2"/>
          </a:effectRef>
          <a:fontRef idx="minor">
            <a:schemeClr val="tx1"/>
          </a:fontRef>
        </dgm:style>
      </dgm:prSet>
      <dgm: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gm:spPr>
      <dgm:t>
        <a:bodyPr/>
        <a:lstStyle/>
        <a:p>
          <a:endParaRPr lang="de-CH"/>
        </a:p>
      </dgm:t>
    </dgm:pt>
    <dgm:pt modelId="{E0BB8903-8419-4644-B34B-FDAF75049E5F}" type="sibTrans" cxnId="{6CFC5D1C-D684-46B9-97C6-67593215A77D}">
      <dgm:prSet/>
      <dgm:spPr/>
      <dgm:t>
        <a:bodyPr/>
        <a:lstStyle/>
        <a:p>
          <a:endParaRPr lang="de-CH"/>
        </a:p>
      </dgm:t>
    </dgm:pt>
    <dgm:pt modelId="{955721B5-58CA-4695-8D31-B7D79B661D4C}">
      <dgm:prSet phldrT="[Text]" custT="1"/>
      <dgm: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Blue International Seed Sample Certificate</a:t>
          </a:r>
        </a:p>
      </dgm:t>
    </dgm:pt>
    <dgm:pt modelId="{A7F5E5F9-EC3D-4825-A194-DBFAAC55B49C}" type="parTrans" cxnId="{31C28D41-F13C-4891-9DEE-2EB2CED64D01}">
      <dgm:prSet/>
      <dgm:spPr/>
      <dgm:t>
        <a:bodyPr/>
        <a:lstStyle/>
        <a:p>
          <a:endParaRPr lang="de-CH"/>
        </a:p>
      </dgm:t>
    </dgm:pt>
    <dgm:pt modelId="{321BE7A8-357B-4AC9-A61B-9966AF862E5F}" type="sibTrans" cxnId="{31C28D41-F13C-4891-9DEE-2EB2CED64D01}">
      <dgm:prSet/>
      <dgm:spPr/>
      <dgm:t>
        <a:bodyPr/>
        <a:lstStyle/>
        <a:p>
          <a:endParaRPr lang="de-CH"/>
        </a:p>
      </dgm:t>
    </dgm:pt>
    <dgm:pt modelId="{00850504-3439-4058-A245-665152206831}">
      <dgm:prSet phldrT="[Text]"/>
      <dgm: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gm:spPr>
      <dgm:t>
        <a:bodyPr/>
        <a:lstStyle/>
        <a:p>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sampling from the lot is not under the responsibility of an ISTA-accredited laboratory. Therefore, the results obtained by the ISTA-accredited laboratory apply only to the sample and not to the seed sample the sample was taken from.</a:t>
          </a:r>
        </a:p>
      </dgm:t>
    </dgm:pt>
    <dgm:pt modelId="{A54E6803-71BC-4123-9179-1A77314244FC}" type="parTrans" cxnId="{A4FD51F1-B7FE-4139-B878-784FDD951FC9}">
      <dgm:prSet/>
      <dgm: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gm:spPr>
      <dgm:t>
        <a:bodyPr/>
        <a:lstStyle/>
        <a:p>
          <a:endParaRPr lang="de-CH"/>
        </a:p>
      </dgm:t>
    </dgm:pt>
    <dgm:pt modelId="{CDD9A283-4ACE-4179-9AC9-377E2482305B}" type="sibTrans" cxnId="{A4FD51F1-B7FE-4139-B878-784FDD951FC9}">
      <dgm:prSet/>
      <dgm:spPr/>
      <dgm:t>
        <a:bodyPr/>
        <a:lstStyle/>
        <a:p>
          <a:endParaRPr lang="de-CH"/>
        </a:p>
      </dgm:t>
    </dgm:pt>
    <dgm:pt modelId="{310A1E43-F36E-4A87-9425-43095855FC1C}" type="pres">
      <dgm:prSet presAssocID="{03952CA9-C758-47E0-8313-93B1F913A98D}" presName="diagram" presStyleCnt="0">
        <dgm:presLayoutVars>
          <dgm:chPref val="1"/>
          <dgm:dir/>
          <dgm:animOne val="branch"/>
          <dgm:animLvl val="lvl"/>
          <dgm:resizeHandles/>
        </dgm:presLayoutVars>
      </dgm:prSet>
      <dgm:spPr/>
      <dgm:t>
        <a:bodyPr/>
        <a:lstStyle/>
        <a:p>
          <a:endParaRPr lang="en-US"/>
        </a:p>
      </dgm:t>
    </dgm:pt>
    <dgm:pt modelId="{EE8568D5-56BE-4C5E-B521-55C2960B5C7E}" type="pres">
      <dgm:prSet presAssocID="{D9C435B6-CA06-41AF-87DD-21B230F0E89E}" presName="root" presStyleCnt="0"/>
      <dgm:spPr/>
    </dgm:pt>
    <dgm:pt modelId="{42D807D9-08C7-442A-9E44-4F0BC0A41562}" type="pres">
      <dgm:prSet presAssocID="{D9C435B6-CA06-41AF-87DD-21B230F0E89E}" presName="rootComposite" presStyleCnt="0"/>
      <dgm:spPr/>
    </dgm:pt>
    <dgm:pt modelId="{48E9BA03-7739-4D6F-A1C0-DF79115C6FDE}" type="pres">
      <dgm:prSet presAssocID="{D9C435B6-CA06-41AF-87DD-21B230F0E89E}" presName="rootText" presStyleLbl="node1" presStyleIdx="0" presStyleCnt="2" custScaleY="40791"/>
      <dgm:spPr/>
      <dgm:t>
        <a:bodyPr/>
        <a:lstStyle/>
        <a:p>
          <a:endParaRPr lang="en-US"/>
        </a:p>
      </dgm:t>
    </dgm:pt>
    <dgm:pt modelId="{283657B9-F591-4BA6-A67D-314150D7B551}" type="pres">
      <dgm:prSet presAssocID="{D9C435B6-CA06-41AF-87DD-21B230F0E89E}" presName="rootConnector" presStyleLbl="node1" presStyleIdx="0" presStyleCnt="2"/>
      <dgm:spPr/>
      <dgm:t>
        <a:bodyPr/>
        <a:lstStyle/>
        <a:p>
          <a:endParaRPr lang="en-US"/>
        </a:p>
      </dgm:t>
    </dgm:pt>
    <dgm:pt modelId="{998D10DC-E806-42AE-A6B6-D17C71BCE90D}" type="pres">
      <dgm:prSet presAssocID="{D9C435B6-CA06-41AF-87DD-21B230F0E89E}" presName="childShape" presStyleCnt="0"/>
      <dgm:spPr/>
    </dgm:pt>
    <dgm:pt modelId="{9716A20C-CD2C-4073-8675-311BA46592F5}" type="pres">
      <dgm:prSet presAssocID="{076A0B1D-E446-4335-AE64-FDABA5C77E38}" presName="Name13" presStyleLbl="parChTrans1D2" presStyleIdx="0" presStyleCnt="2"/>
      <dgm:spPr/>
      <dgm:t>
        <a:bodyPr/>
        <a:lstStyle/>
        <a:p>
          <a:endParaRPr lang="en-US"/>
        </a:p>
      </dgm:t>
    </dgm:pt>
    <dgm:pt modelId="{7BE9336B-A08B-4FD0-87A7-703A2A8906C8}" type="pres">
      <dgm:prSet presAssocID="{4E0612E4-7DE3-44E1-8880-3956F30B1785}" presName="childText" presStyleLbl="bgAcc1" presStyleIdx="0" presStyleCnt="2">
        <dgm:presLayoutVars>
          <dgm:bulletEnabled val="1"/>
        </dgm:presLayoutVars>
      </dgm:prSet>
      <dgm:spPr/>
      <dgm:t>
        <a:bodyPr/>
        <a:lstStyle/>
        <a:p>
          <a:endParaRPr lang="en-US"/>
        </a:p>
      </dgm:t>
    </dgm:pt>
    <dgm:pt modelId="{9AD994E1-EF94-4A0C-B097-38F4E436903B}" type="pres">
      <dgm:prSet presAssocID="{955721B5-58CA-4695-8D31-B7D79B661D4C}" presName="root" presStyleCnt="0"/>
      <dgm:spPr/>
    </dgm:pt>
    <dgm:pt modelId="{81FCE613-3A14-46D7-8271-F171F93F7E79}" type="pres">
      <dgm:prSet presAssocID="{955721B5-58CA-4695-8D31-B7D79B661D4C}" presName="rootComposite" presStyleCnt="0"/>
      <dgm:spPr/>
    </dgm:pt>
    <dgm:pt modelId="{9E23BC41-006F-43C3-B525-B187D23D71C7}" type="pres">
      <dgm:prSet presAssocID="{955721B5-58CA-4695-8D31-B7D79B661D4C}" presName="rootText" presStyleLbl="node1" presStyleIdx="1" presStyleCnt="2" custScaleY="41183"/>
      <dgm:spPr/>
      <dgm:t>
        <a:bodyPr/>
        <a:lstStyle/>
        <a:p>
          <a:endParaRPr lang="en-US"/>
        </a:p>
      </dgm:t>
    </dgm:pt>
    <dgm:pt modelId="{FBCDD0BF-8055-49CF-8D9E-6C440A9D31CC}" type="pres">
      <dgm:prSet presAssocID="{955721B5-58CA-4695-8D31-B7D79B661D4C}" presName="rootConnector" presStyleLbl="node1" presStyleIdx="1" presStyleCnt="2"/>
      <dgm:spPr/>
      <dgm:t>
        <a:bodyPr/>
        <a:lstStyle/>
        <a:p>
          <a:endParaRPr lang="en-US"/>
        </a:p>
      </dgm:t>
    </dgm:pt>
    <dgm:pt modelId="{0D3BC009-24AA-448B-8AAA-7D23793AB5C2}" type="pres">
      <dgm:prSet presAssocID="{955721B5-58CA-4695-8D31-B7D79B661D4C}" presName="childShape" presStyleCnt="0"/>
      <dgm:spPr/>
    </dgm:pt>
    <dgm:pt modelId="{1967C7AE-0426-4D3C-90E0-E227DFA0551B}" type="pres">
      <dgm:prSet presAssocID="{A54E6803-71BC-4123-9179-1A77314244FC}" presName="Name13" presStyleLbl="parChTrans1D2" presStyleIdx="1" presStyleCnt="2"/>
      <dgm:spPr/>
      <dgm:t>
        <a:bodyPr/>
        <a:lstStyle/>
        <a:p>
          <a:endParaRPr lang="en-US"/>
        </a:p>
      </dgm:t>
    </dgm:pt>
    <dgm:pt modelId="{324828C7-EE9E-44F7-B1DA-9F9F3CE0E904}" type="pres">
      <dgm:prSet presAssocID="{00850504-3439-4058-A245-665152206831}" presName="childText" presStyleLbl="bgAcc1" presStyleIdx="1" presStyleCnt="2">
        <dgm:presLayoutVars>
          <dgm:bulletEnabled val="1"/>
        </dgm:presLayoutVars>
      </dgm:prSet>
      <dgm:spPr/>
      <dgm:t>
        <a:bodyPr/>
        <a:lstStyle/>
        <a:p>
          <a:endParaRPr lang="en-US"/>
        </a:p>
      </dgm:t>
    </dgm:pt>
  </dgm:ptLst>
  <dgm:cxnLst>
    <dgm:cxn modelId="{A7CDB1CA-ACBF-461B-9BC5-F4DC6FC468D6}" type="presOf" srcId="{00850504-3439-4058-A245-665152206831}" destId="{324828C7-EE9E-44F7-B1DA-9F9F3CE0E904}" srcOrd="0" destOrd="0" presId="urn:microsoft.com/office/officeart/2005/8/layout/hierarchy3"/>
    <dgm:cxn modelId="{C731B5A3-AA98-4873-BA40-0A14986DEB3E}" type="presOf" srcId="{D9C435B6-CA06-41AF-87DD-21B230F0E89E}" destId="{283657B9-F591-4BA6-A67D-314150D7B551}" srcOrd="1" destOrd="0" presId="urn:microsoft.com/office/officeart/2005/8/layout/hierarchy3"/>
    <dgm:cxn modelId="{07B328F2-412D-4369-A6A8-EC2295A03B72}" type="presOf" srcId="{4E0612E4-7DE3-44E1-8880-3956F30B1785}" destId="{7BE9336B-A08B-4FD0-87A7-703A2A8906C8}" srcOrd="0" destOrd="0" presId="urn:microsoft.com/office/officeart/2005/8/layout/hierarchy3"/>
    <dgm:cxn modelId="{E375CB72-3239-42DA-8487-E5C77B789947}" type="presOf" srcId="{076A0B1D-E446-4335-AE64-FDABA5C77E38}" destId="{9716A20C-CD2C-4073-8675-311BA46592F5}" srcOrd="0" destOrd="0" presId="urn:microsoft.com/office/officeart/2005/8/layout/hierarchy3"/>
    <dgm:cxn modelId="{C4F29238-B107-4D64-A2B2-8654863A30C3}" type="presOf" srcId="{A54E6803-71BC-4123-9179-1A77314244FC}" destId="{1967C7AE-0426-4D3C-90E0-E227DFA0551B}" srcOrd="0" destOrd="0" presId="urn:microsoft.com/office/officeart/2005/8/layout/hierarchy3"/>
    <dgm:cxn modelId="{F65A8743-57C3-48EB-9DC5-0882D2B69F00}" type="presOf" srcId="{D9C435B6-CA06-41AF-87DD-21B230F0E89E}" destId="{48E9BA03-7739-4D6F-A1C0-DF79115C6FDE}" srcOrd="0" destOrd="0" presId="urn:microsoft.com/office/officeart/2005/8/layout/hierarchy3"/>
    <dgm:cxn modelId="{D917AB6A-E480-43CE-9D8B-866592999D58}" type="presOf" srcId="{955721B5-58CA-4695-8D31-B7D79B661D4C}" destId="{9E23BC41-006F-43C3-B525-B187D23D71C7}" srcOrd="0" destOrd="0" presId="urn:microsoft.com/office/officeart/2005/8/layout/hierarchy3"/>
    <dgm:cxn modelId="{6CFC5D1C-D684-46B9-97C6-67593215A77D}" srcId="{D9C435B6-CA06-41AF-87DD-21B230F0E89E}" destId="{4E0612E4-7DE3-44E1-8880-3956F30B1785}" srcOrd="0" destOrd="0" parTransId="{076A0B1D-E446-4335-AE64-FDABA5C77E38}" sibTransId="{E0BB8903-8419-4644-B34B-FDAF75049E5F}"/>
    <dgm:cxn modelId="{A29250E1-2425-4C41-B047-85BC47B242D5}" type="presOf" srcId="{955721B5-58CA-4695-8D31-B7D79B661D4C}" destId="{FBCDD0BF-8055-49CF-8D9E-6C440A9D31CC}" srcOrd="1" destOrd="0" presId="urn:microsoft.com/office/officeart/2005/8/layout/hierarchy3"/>
    <dgm:cxn modelId="{A4FD51F1-B7FE-4139-B878-784FDD951FC9}" srcId="{955721B5-58CA-4695-8D31-B7D79B661D4C}" destId="{00850504-3439-4058-A245-665152206831}" srcOrd="0" destOrd="0" parTransId="{A54E6803-71BC-4123-9179-1A77314244FC}" sibTransId="{CDD9A283-4ACE-4179-9AC9-377E2482305B}"/>
    <dgm:cxn modelId="{BBD38531-A795-4472-A241-14040624A61C}" srcId="{03952CA9-C758-47E0-8313-93B1F913A98D}" destId="{D9C435B6-CA06-41AF-87DD-21B230F0E89E}" srcOrd="0" destOrd="0" parTransId="{60F0F445-5A1F-466E-A879-552C6E220B91}" sibTransId="{F434DDCD-BE05-4BB0-B100-B26C93922D6B}"/>
    <dgm:cxn modelId="{A9C42219-0CEF-46DE-A833-CDE87FD32C4C}" type="presOf" srcId="{03952CA9-C758-47E0-8313-93B1F913A98D}" destId="{310A1E43-F36E-4A87-9425-43095855FC1C}" srcOrd="0" destOrd="0" presId="urn:microsoft.com/office/officeart/2005/8/layout/hierarchy3"/>
    <dgm:cxn modelId="{31C28D41-F13C-4891-9DEE-2EB2CED64D01}" srcId="{03952CA9-C758-47E0-8313-93B1F913A98D}" destId="{955721B5-58CA-4695-8D31-B7D79B661D4C}" srcOrd="1" destOrd="0" parTransId="{A7F5E5F9-EC3D-4825-A194-DBFAAC55B49C}" sibTransId="{321BE7A8-357B-4AC9-A61B-9966AF862E5F}"/>
    <dgm:cxn modelId="{E11EB6E8-7F9A-408D-B7FA-A7D14681782E}" type="presParOf" srcId="{310A1E43-F36E-4A87-9425-43095855FC1C}" destId="{EE8568D5-56BE-4C5E-B521-55C2960B5C7E}" srcOrd="0" destOrd="0" presId="urn:microsoft.com/office/officeart/2005/8/layout/hierarchy3"/>
    <dgm:cxn modelId="{3A0A4C4E-1FD5-47C2-A0A5-ACD9DCCACA03}" type="presParOf" srcId="{EE8568D5-56BE-4C5E-B521-55C2960B5C7E}" destId="{42D807D9-08C7-442A-9E44-4F0BC0A41562}" srcOrd="0" destOrd="0" presId="urn:microsoft.com/office/officeart/2005/8/layout/hierarchy3"/>
    <dgm:cxn modelId="{A78831E5-4CC8-4EF5-8D37-9B3837E3633B}" type="presParOf" srcId="{42D807D9-08C7-442A-9E44-4F0BC0A41562}" destId="{48E9BA03-7739-4D6F-A1C0-DF79115C6FDE}" srcOrd="0" destOrd="0" presId="urn:microsoft.com/office/officeart/2005/8/layout/hierarchy3"/>
    <dgm:cxn modelId="{D603F253-2A3A-4A5F-B975-B80AC89DB824}" type="presParOf" srcId="{42D807D9-08C7-442A-9E44-4F0BC0A41562}" destId="{283657B9-F591-4BA6-A67D-314150D7B551}" srcOrd="1" destOrd="0" presId="urn:microsoft.com/office/officeart/2005/8/layout/hierarchy3"/>
    <dgm:cxn modelId="{38C48861-1E66-45D0-AC68-8D0903957700}" type="presParOf" srcId="{EE8568D5-56BE-4C5E-B521-55C2960B5C7E}" destId="{998D10DC-E806-42AE-A6B6-D17C71BCE90D}" srcOrd="1" destOrd="0" presId="urn:microsoft.com/office/officeart/2005/8/layout/hierarchy3"/>
    <dgm:cxn modelId="{F04DFCE7-1654-4B29-B632-B0F81B941451}" type="presParOf" srcId="{998D10DC-E806-42AE-A6B6-D17C71BCE90D}" destId="{9716A20C-CD2C-4073-8675-311BA46592F5}" srcOrd="0" destOrd="0" presId="urn:microsoft.com/office/officeart/2005/8/layout/hierarchy3"/>
    <dgm:cxn modelId="{865CBF95-80A5-46B5-A2B6-D4B97CED11F4}" type="presParOf" srcId="{998D10DC-E806-42AE-A6B6-D17C71BCE90D}" destId="{7BE9336B-A08B-4FD0-87A7-703A2A8906C8}" srcOrd="1" destOrd="0" presId="urn:microsoft.com/office/officeart/2005/8/layout/hierarchy3"/>
    <dgm:cxn modelId="{1FBFE64A-815C-48E2-AC8C-7DBCA65E29A1}" type="presParOf" srcId="{310A1E43-F36E-4A87-9425-43095855FC1C}" destId="{9AD994E1-EF94-4A0C-B097-38F4E436903B}" srcOrd="1" destOrd="0" presId="urn:microsoft.com/office/officeart/2005/8/layout/hierarchy3"/>
    <dgm:cxn modelId="{E3EB5465-9773-480C-BFD4-A9CBF66DB9D7}" type="presParOf" srcId="{9AD994E1-EF94-4A0C-B097-38F4E436903B}" destId="{81FCE613-3A14-46D7-8271-F171F93F7E79}" srcOrd="0" destOrd="0" presId="urn:microsoft.com/office/officeart/2005/8/layout/hierarchy3"/>
    <dgm:cxn modelId="{CC657B23-E5C9-45B6-9885-478585FA3F30}" type="presParOf" srcId="{81FCE613-3A14-46D7-8271-F171F93F7E79}" destId="{9E23BC41-006F-43C3-B525-B187D23D71C7}" srcOrd="0" destOrd="0" presId="urn:microsoft.com/office/officeart/2005/8/layout/hierarchy3"/>
    <dgm:cxn modelId="{0283453D-EB96-4310-9670-17C2CDD962A1}" type="presParOf" srcId="{81FCE613-3A14-46D7-8271-F171F93F7E79}" destId="{FBCDD0BF-8055-49CF-8D9E-6C440A9D31CC}" srcOrd="1" destOrd="0" presId="urn:microsoft.com/office/officeart/2005/8/layout/hierarchy3"/>
    <dgm:cxn modelId="{787B80C5-9A9B-4F0C-876E-0D38B806CB0A}" type="presParOf" srcId="{9AD994E1-EF94-4A0C-B097-38F4E436903B}" destId="{0D3BC009-24AA-448B-8AAA-7D23793AB5C2}" srcOrd="1" destOrd="0" presId="urn:microsoft.com/office/officeart/2005/8/layout/hierarchy3"/>
    <dgm:cxn modelId="{82EDE219-79C1-479C-A14B-CC6C5CE21540}" type="presParOf" srcId="{0D3BC009-24AA-448B-8AAA-7D23793AB5C2}" destId="{1967C7AE-0426-4D3C-90E0-E227DFA0551B}" srcOrd="0" destOrd="0" presId="urn:microsoft.com/office/officeart/2005/8/layout/hierarchy3"/>
    <dgm:cxn modelId="{3E72FAE8-7A30-4306-BBE4-9CA201A608E5}" type="presParOf" srcId="{0D3BC009-24AA-448B-8AAA-7D23793AB5C2}" destId="{324828C7-EE9E-44F7-B1DA-9F9F3CE0E904}" srcOrd="1"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9BA03-7739-4D6F-A1C0-DF79115C6FDE}">
      <dsp:nvSpPr>
        <dsp:cNvPr id="0" name=""/>
        <dsp:cNvSpPr/>
      </dsp:nvSpPr>
      <dsp: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Orange International Seed</a:t>
          </a:r>
          <a:br>
            <a:rPr lang="de-CH" sz="1000" kern="1200">
              <a:solidFill>
                <a:sysClr val="window" lastClr="FFFFFF"/>
              </a:solidFill>
              <a:latin typeface="Arial" panose="020B0604020202020204" pitchFamily="34" charset="0"/>
              <a:ea typeface="+mn-ea"/>
              <a:cs typeface="Arial" panose="020B0604020202020204" pitchFamily="34" charset="0"/>
            </a:rPr>
          </a:br>
          <a:r>
            <a:rPr lang="de-CH" sz="1000" kern="1200">
              <a:solidFill>
                <a:sysClr val="window" lastClr="FFFFFF"/>
              </a:solidFill>
              <a:latin typeface="Arial" panose="020B0604020202020204" pitchFamily="34" charset="0"/>
              <a:ea typeface="+mn-ea"/>
              <a:cs typeface="Arial" panose="020B0604020202020204" pitchFamily="34" charset="0"/>
            </a:rPr>
            <a:t>Lot Certificate         </a:t>
          </a:r>
        </a:p>
      </dsp:txBody>
      <dsp:txXfrm>
        <a:off x="11457" y="119817"/>
        <a:ext cx="1811745" cy="352074"/>
      </dsp:txXfrm>
    </dsp:sp>
    <dsp:sp modelId="{9716A20C-CD2C-4073-8675-311BA46592F5}">
      <dsp:nvSpPr>
        <dsp:cNvPr id="0" name=""/>
        <dsp:cNvSpPr/>
      </dsp:nvSpPr>
      <dsp: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sp:spPr>
      <dsp:style>
        <a:lnRef idx="1">
          <a:schemeClr val="accent2"/>
        </a:lnRef>
        <a:fillRef idx="0">
          <a:schemeClr val="accent2"/>
        </a:fillRef>
        <a:effectRef idx="0">
          <a:schemeClr val="accent2"/>
        </a:effectRef>
        <a:fontRef idx="minor">
          <a:schemeClr val="tx1"/>
        </a:fontRef>
      </dsp:style>
    </dsp:sp>
    <dsp:sp modelId="{7BE9336B-A08B-4FD0-87A7-703A2A8906C8}">
      <dsp:nvSpPr>
        <dsp:cNvPr id="0" name=""/>
        <dsp:cNvSpPr/>
      </dsp:nvSpPr>
      <dsp: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both sampling from the lot and testing of the sample are carried out under the ressponsibility of an ISTA Accredited Seed Testing Laboratory.</a:t>
          </a:r>
        </a:p>
      </dsp:txBody>
      <dsp:txXfrm>
        <a:off x="394087" y="738905"/>
        <a:ext cx="1413216" cy="863120"/>
      </dsp:txXfrm>
    </dsp:sp>
    <dsp:sp modelId="{9E23BC41-006F-43C3-B525-B187D23D71C7}">
      <dsp:nvSpPr>
        <dsp:cNvPr id="0" name=""/>
        <dsp:cNvSpPr/>
      </dsp:nvSpPr>
      <dsp: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Blue International Seed Sample Certificate</a:t>
          </a:r>
        </a:p>
      </dsp:txBody>
      <dsp:txXfrm>
        <a:off x="2303629" y="119922"/>
        <a:ext cx="1811535" cy="355458"/>
      </dsp:txXfrm>
    </dsp:sp>
    <dsp:sp modelId="{1967C7AE-0426-4D3C-90E0-E227DFA0551B}">
      <dsp:nvSpPr>
        <dsp:cNvPr id="0" name=""/>
        <dsp:cNvSpPr/>
      </dsp:nvSpPr>
      <dsp: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24828C7-EE9E-44F7-B1DA-9F9F3CE0E904}">
      <dsp:nvSpPr>
        <dsp:cNvPr id="0" name=""/>
        <dsp:cNvSpPr/>
      </dsp:nvSpPr>
      <dsp: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sampling from the lot is not under the responsibility of an ISTA-accredited laboratory. Therefore, the results obtained by the ISTA-accredited laboratory apply only to the sample and not to the seed sample the sample was taken from.</a:t>
          </a:r>
        </a:p>
      </dsp:txBody>
      <dsp:txXfrm>
        <a:off x="2686153" y="742499"/>
        <a:ext cx="1413216" cy="863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BD62A-FEF5-4F48-9D40-E20E21BC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routing_slip_with_doc_twp_6</Template>
  <TotalTime>0</TotalTime>
  <Pages>16</Pages>
  <Words>6354</Words>
  <Characters>37892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TWP/6</vt:lpstr>
    </vt:vector>
  </TitlesOfParts>
  <Company>UPOV</Company>
  <LinksUpToDate>false</LinksUpToDate>
  <CharactersWithSpaces>44158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TWP/6</dc:title>
  <dc:creator>MAY Jessica</dc:creator>
  <cp:lastModifiedBy>MAY Jessica</cp:lastModifiedBy>
  <cp:revision>4</cp:revision>
  <cp:lastPrinted>2016-11-22T15:41:00Z</cp:lastPrinted>
  <dcterms:created xsi:type="dcterms:W3CDTF">2022-03-11T16:44:00Z</dcterms:created>
  <dcterms:modified xsi:type="dcterms:W3CDTF">2022-03-15T13:54:00Z</dcterms:modified>
</cp:coreProperties>
</file>