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C437A3" w:rsidRPr="00365DC1" w:rsidRDefault="00C437A3" w:rsidP="00C437A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437A3" w:rsidRPr="00C5280D" w:rsidTr="00B96F0E">
        <w:tc>
          <w:tcPr>
            <w:tcW w:w="6512" w:type="dxa"/>
          </w:tcPr>
          <w:p w:rsidR="00C437A3" w:rsidRDefault="00C437A3" w:rsidP="00B96F0E">
            <w:pPr>
              <w:pStyle w:val="Sessiontwp"/>
            </w:pPr>
            <w:r>
              <w:t>Technical Working Party for Vegetables</w:t>
            </w:r>
          </w:p>
          <w:p w:rsidR="00C437A3" w:rsidRPr="00F66083" w:rsidRDefault="00C437A3" w:rsidP="00B96F0E">
            <w:pPr>
              <w:pStyle w:val="Sessiontwpplacedate"/>
            </w:pPr>
            <w:r w:rsidRPr="00F66083">
              <w:t>Fifty-</w:t>
            </w:r>
            <w:r>
              <w:t>Fifth</w:t>
            </w:r>
            <w:r w:rsidRPr="00F66083">
              <w:t xml:space="preserve"> Session</w:t>
            </w:r>
          </w:p>
          <w:p w:rsidR="00C437A3" w:rsidRDefault="00C437A3" w:rsidP="00B96F0E">
            <w:pPr>
              <w:pStyle w:val="Sessiontwpplacedate"/>
            </w:pPr>
            <w:r>
              <w:t>Antalya, Turkey</w:t>
            </w:r>
            <w:r w:rsidRPr="00F66083">
              <w:t xml:space="preserve">, </w:t>
            </w:r>
            <w:r>
              <w:t>May 3</w:t>
            </w:r>
            <w:r w:rsidRPr="00C22DEA">
              <w:t xml:space="preserve"> to </w:t>
            </w:r>
            <w:r>
              <w:t>7, 2021</w:t>
            </w:r>
          </w:p>
          <w:p w:rsidR="00C437A3" w:rsidRPr="00C82A14" w:rsidRDefault="00C437A3" w:rsidP="00B96F0E"/>
          <w:p w:rsidR="00C437A3" w:rsidRPr="006756EA" w:rsidRDefault="00C437A3" w:rsidP="00B96F0E">
            <w:pPr>
              <w:pStyle w:val="Sessiontwp"/>
            </w:pPr>
            <w:r w:rsidRPr="006756EA">
              <w:t>Technical Working Party for Ornamental Plants and Forest Trees</w:t>
            </w:r>
          </w:p>
          <w:p w:rsidR="00C437A3" w:rsidRPr="006756EA" w:rsidRDefault="00C437A3" w:rsidP="00B96F0E">
            <w:pPr>
              <w:pStyle w:val="Sessiontwpplacedate"/>
            </w:pPr>
            <w:r w:rsidRPr="006756EA">
              <w:t>Fifty-</w:t>
            </w:r>
            <w:r>
              <w:t>Third</w:t>
            </w:r>
            <w:r w:rsidRPr="006756EA">
              <w:t xml:space="preserve"> Session</w:t>
            </w:r>
          </w:p>
          <w:p w:rsidR="00C437A3" w:rsidRDefault="00C437A3" w:rsidP="00B96F0E">
            <w:proofErr w:type="spellStart"/>
            <w:r>
              <w:t>Roelofarendsveen</w:t>
            </w:r>
            <w:proofErr w:type="spellEnd"/>
            <w:r>
              <w:t>, Netherlands</w:t>
            </w:r>
            <w:r w:rsidRPr="006756EA">
              <w:t xml:space="preserve">, </w:t>
            </w:r>
            <w:r>
              <w:t>June 7 to 11</w:t>
            </w:r>
            <w:r w:rsidRPr="006756EA">
              <w:t>, 20</w:t>
            </w:r>
            <w:r>
              <w:t>21</w:t>
            </w:r>
          </w:p>
          <w:p w:rsidR="00C437A3" w:rsidRPr="00DC6797" w:rsidRDefault="00C437A3" w:rsidP="00B96F0E"/>
          <w:p w:rsidR="00C437A3" w:rsidRPr="00F875E6" w:rsidRDefault="00C437A3" w:rsidP="00B96F0E">
            <w:pPr>
              <w:pStyle w:val="Sessiontwp"/>
            </w:pPr>
            <w:r w:rsidRPr="00E70039">
              <w:t>Technical Working Party for Agricultural Crops</w:t>
            </w:r>
          </w:p>
          <w:p w:rsidR="00C437A3" w:rsidRPr="00F875E6" w:rsidRDefault="00C437A3" w:rsidP="00B96F0E">
            <w:pPr>
              <w:pStyle w:val="Sessiontwpplacedate"/>
            </w:pPr>
            <w:r>
              <w:t>Fiftieth</w:t>
            </w:r>
            <w:r w:rsidRPr="00F875E6">
              <w:t xml:space="preserve"> Session</w:t>
            </w:r>
          </w:p>
          <w:p w:rsidR="00C437A3" w:rsidRDefault="00C437A3" w:rsidP="00B96F0E">
            <w:pPr>
              <w:pStyle w:val="Sessiontwpplacedate"/>
            </w:pPr>
            <w:r>
              <w:t>Arusha, United Republic of Tanzania, June 21 to 25, 2021</w:t>
            </w:r>
          </w:p>
          <w:p w:rsidR="00C437A3" w:rsidRPr="00C82A14" w:rsidRDefault="00C437A3" w:rsidP="00B96F0E"/>
          <w:p w:rsidR="00C437A3" w:rsidRDefault="00C437A3" w:rsidP="00B96F0E">
            <w:pPr>
              <w:pStyle w:val="Sessiontwp"/>
            </w:pPr>
            <w:r>
              <w:t>Technical Working Party for Fruit Crops</w:t>
            </w:r>
          </w:p>
          <w:p w:rsidR="00C437A3" w:rsidRPr="00F66083" w:rsidRDefault="00C437A3" w:rsidP="00B96F0E">
            <w:pPr>
              <w:pStyle w:val="Sessiontwpplacedate"/>
            </w:pPr>
            <w:r>
              <w:t xml:space="preserve">Fifty-Second </w:t>
            </w:r>
            <w:r w:rsidRPr="00F66083">
              <w:t>Session</w:t>
            </w:r>
          </w:p>
          <w:p w:rsidR="00C437A3" w:rsidRDefault="00C437A3" w:rsidP="00B96F0E">
            <w:r>
              <w:t>Zhengzhou, China, July 12 to 16, 2021</w:t>
            </w:r>
          </w:p>
          <w:p w:rsidR="00C437A3" w:rsidRDefault="00C437A3" w:rsidP="00B96F0E"/>
          <w:p w:rsidR="00C437A3" w:rsidRDefault="00C437A3" w:rsidP="00B96F0E">
            <w:pPr>
              <w:pStyle w:val="Sessiontwp"/>
            </w:pPr>
            <w:r>
              <w:t>Technical Working Party on Automation and Computer Programs</w:t>
            </w:r>
          </w:p>
          <w:p w:rsidR="00C437A3" w:rsidRPr="00F66083" w:rsidRDefault="00C437A3" w:rsidP="00B96F0E">
            <w:pPr>
              <w:pStyle w:val="Sessiontwpplacedate"/>
            </w:pPr>
            <w:r w:rsidRPr="00F66083">
              <w:t>Thirty-</w:t>
            </w:r>
            <w:r>
              <w:t>Ninth</w:t>
            </w:r>
            <w:r w:rsidRPr="00F66083">
              <w:t xml:space="preserve"> Session</w:t>
            </w:r>
          </w:p>
          <w:p w:rsidR="00C437A3" w:rsidRDefault="00C437A3" w:rsidP="00B96F0E">
            <w:r>
              <w:t>Alexandria, United States of America</w:t>
            </w:r>
            <w:r w:rsidRPr="00F66083">
              <w:t xml:space="preserve">, </w:t>
            </w:r>
            <w:r w:rsidRPr="00702A38">
              <w:t>September 2</w:t>
            </w:r>
            <w:r>
              <w:t>0</w:t>
            </w:r>
            <w:r w:rsidRPr="00702A38">
              <w:t xml:space="preserve"> to 2</w:t>
            </w:r>
            <w:r>
              <w:t>2</w:t>
            </w:r>
            <w:r w:rsidRPr="00702A38">
              <w:t>,</w:t>
            </w:r>
            <w:r>
              <w:t xml:space="preserve"> 2021</w:t>
            </w:r>
          </w:p>
          <w:p w:rsidR="00C437A3" w:rsidRPr="00F66083" w:rsidRDefault="00C437A3" w:rsidP="00B96F0E"/>
        </w:tc>
        <w:tc>
          <w:tcPr>
            <w:tcW w:w="3127" w:type="dxa"/>
          </w:tcPr>
          <w:p w:rsidR="00C437A3" w:rsidRPr="00F875E6" w:rsidRDefault="00A72B85" w:rsidP="00B96F0E">
            <w:pPr>
              <w:pStyle w:val="Doccode"/>
            </w:pPr>
            <w:r>
              <w:t>TWP/5/1</w:t>
            </w:r>
          </w:p>
          <w:p w:rsidR="00C437A3" w:rsidRPr="003C7FBE" w:rsidRDefault="00C437A3" w:rsidP="00B96F0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C437A3" w:rsidRPr="007C1D92" w:rsidRDefault="00C437A3" w:rsidP="0058379E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</w:t>
            </w:r>
            <w:r w:rsidR="00B96F0E">
              <w:rPr>
                <w:b w:val="0"/>
                <w:spacing w:val="0"/>
              </w:rPr>
              <w:t xml:space="preserve"> </w:t>
            </w:r>
            <w:r w:rsidR="00092390" w:rsidRPr="0058379E">
              <w:rPr>
                <w:b w:val="0"/>
                <w:spacing w:val="0"/>
              </w:rPr>
              <w:t xml:space="preserve">March </w:t>
            </w:r>
            <w:r w:rsidR="0058379E" w:rsidRPr="0058379E">
              <w:rPr>
                <w:b w:val="0"/>
                <w:spacing w:val="0"/>
              </w:rPr>
              <w:t>12</w:t>
            </w:r>
            <w:r w:rsidR="00B96F0E" w:rsidRPr="0058379E">
              <w:rPr>
                <w:b w:val="0"/>
                <w:spacing w:val="0"/>
              </w:rPr>
              <w:t>, 2021</w:t>
            </w:r>
          </w:p>
        </w:tc>
      </w:tr>
    </w:tbl>
    <w:p w:rsidR="00A05D06" w:rsidRPr="00DF214E" w:rsidRDefault="00A05D06" w:rsidP="00A05D06">
      <w:pPr>
        <w:spacing w:before="600" w:after="240"/>
        <w:jc w:val="left"/>
        <w:rPr>
          <w:b/>
          <w:caps/>
        </w:rPr>
      </w:pPr>
      <w:r w:rsidRPr="00DF214E">
        <w:rPr>
          <w:b/>
          <w:caps/>
        </w:rPr>
        <w:t>DEVELOPMENT OF GUIDANCE AND INFORMATION MATERIALS</w:t>
      </w:r>
    </w:p>
    <w:p w:rsidR="00A05D06" w:rsidRPr="00DF214E" w:rsidRDefault="00A05D06" w:rsidP="00A05D06">
      <w:pPr>
        <w:spacing w:after="240"/>
        <w:jc w:val="left"/>
        <w:rPr>
          <w:i/>
          <w:iCs/>
        </w:rPr>
      </w:pPr>
      <w:bookmarkStart w:id="0" w:name="Prepared"/>
      <w:bookmarkEnd w:id="0"/>
      <w:r w:rsidRPr="00DF214E">
        <w:rPr>
          <w:i/>
          <w:iCs/>
        </w:rPr>
        <w:t>Document prepared by the Office of the Union</w:t>
      </w:r>
    </w:p>
    <w:p w:rsidR="00A05D06" w:rsidRPr="00DF214E" w:rsidRDefault="00A05D06" w:rsidP="00A05D06">
      <w:pPr>
        <w:spacing w:after="600"/>
        <w:jc w:val="left"/>
        <w:rPr>
          <w:i/>
          <w:iCs/>
          <w:color w:val="A6A6A6" w:themeColor="background1" w:themeShade="A6"/>
        </w:rPr>
      </w:pPr>
      <w:r w:rsidRPr="00DF214E">
        <w:rPr>
          <w:i/>
          <w:iCs/>
          <w:color w:val="A6A6A6" w:themeColor="background1" w:themeShade="A6"/>
        </w:rPr>
        <w:t>Disclaimer:  this document does not represent UPOV policies or guidance</w:t>
      </w:r>
    </w:p>
    <w:p w:rsidR="00A05D06" w:rsidRPr="00DF214E" w:rsidRDefault="00A05D06" w:rsidP="00A05D06">
      <w:pPr>
        <w:keepNext/>
        <w:outlineLvl w:val="0"/>
        <w:rPr>
          <w:caps/>
          <w:snapToGrid w:val="0"/>
        </w:rPr>
      </w:pPr>
      <w:bookmarkStart w:id="1" w:name="_Toc481744310"/>
      <w:bookmarkStart w:id="2" w:name="_Toc65839433"/>
      <w:r w:rsidRPr="00DF214E">
        <w:rPr>
          <w:caps/>
          <w:snapToGrid w:val="0"/>
        </w:rPr>
        <w:t>EXECUTIVE SUMMARY</w:t>
      </w:r>
      <w:bookmarkEnd w:id="1"/>
      <w:bookmarkEnd w:id="2"/>
    </w:p>
    <w:p w:rsidR="00A05D06" w:rsidRPr="00DF214E" w:rsidRDefault="00A05D06" w:rsidP="00A05D06"/>
    <w:p w:rsidR="00A05D06" w:rsidRDefault="00A05D06" w:rsidP="00A05D06">
      <w:pPr>
        <w:rPr>
          <w:rFonts w:cs="Arial"/>
        </w:rPr>
      </w:pPr>
      <w:r w:rsidRPr="00DF214E">
        <w:fldChar w:fldCharType="begin"/>
      </w:r>
      <w:r w:rsidRPr="00DF214E">
        <w:instrText xml:space="preserve"> AUTONUM  </w:instrText>
      </w:r>
      <w:r w:rsidRPr="00DF214E">
        <w:fldChar w:fldCharType="end"/>
      </w:r>
      <w:r w:rsidRPr="00DF214E">
        <w:tab/>
        <w:t>The purpose of this document is</w:t>
      </w:r>
      <w:r w:rsidRPr="00DF214E">
        <w:rPr>
          <w:snapToGrid w:val="0"/>
        </w:rPr>
        <w:t xml:space="preserve"> </w:t>
      </w:r>
      <w:r w:rsidRPr="00DF214E">
        <w:t>to provide an overview o</w:t>
      </w:r>
      <w:r>
        <w:t>f</w:t>
      </w:r>
      <w:r w:rsidRPr="00DF214E">
        <w:t xml:space="preserve"> the development of </w:t>
      </w:r>
      <w:r>
        <w:t>guidance and information materials.</w:t>
      </w:r>
    </w:p>
    <w:p w:rsidR="00A05D06" w:rsidRDefault="00A05D06" w:rsidP="00A05D06">
      <w:pPr>
        <w:rPr>
          <w:spacing w:val="-2"/>
        </w:rPr>
      </w:pPr>
    </w:p>
    <w:p w:rsidR="00A05D06" w:rsidRPr="00DF214E" w:rsidRDefault="00A05D06" w:rsidP="00A05D06">
      <w:pPr>
        <w:rPr>
          <w:spacing w:val="-2"/>
        </w:rPr>
      </w:pPr>
    </w:p>
    <w:p w:rsidR="00A05D06" w:rsidRPr="00DF214E" w:rsidRDefault="00A05D06" w:rsidP="00A05D06">
      <w:pPr>
        <w:keepNext/>
        <w:tabs>
          <w:tab w:val="left" w:pos="567"/>
          <w:tab w:val="left" w:pos="1134"/>
          <w:tab w:val="left" w:pos="5387"/>
          <w:tab w:val="left" w:pos="5954"/>
        </w:tabs>
        <w:rPr>
          <w:u w:val="single"/>
        </w:rPr>
      </w:pPr>
      <w:r w:rsidRPr="00DF214E">
        <w:rPr>
          <w:u w:val="single"/>
        </w:rPr>
        <w:t>Program for the development of guidance and relevant information materials</w:t>
      </w:r>
    </w:p>
    <w:p w:rsidR="00A05D06" w:rsidRPr="00DF214E" w:rsidRDefault="00A05D06" w:rsidP="00A05D06"/>
    <w:p w:rsidR="00A05D06" w:rsidRDefault="00A05D06" w:rsidP="00A05D06">
      <w:r w:rsidRPr="003F7A05">
        <w:fldChar w:fldCharType="begin"/>
      </w:r>
      <w:r w:rsidRPr="003F7A05">
        <w:instrText xml:space="preserve"> AUTONUM  </w:instrText>
      </w:r>
      <w:r w:rsidRPr="003F7A05">
        <w:fldChar w:fldCharType="end"/>
      </w:r>
      <w:r w:rsidRPr="003F7A05">
        <w:tab/>
        <w:t>Th</w:t>
      </w:r>
      <w:r w:rsidRPr="00004A40">
        <w:t xml:space="preserve">e TWPs are invited to note the program for the development of relevant guidance and information materials, as set out </w:t>
      </w:r>
      <w:r w:rsidRPr="0058379E">
        <w:t xml:space="preserve">in Annexes </w:t>
      </w:r>
      <w:proofErr w:type="gramStart"/>
      <w:r w:rsidRPr="0058379E">
        <w:t>I</w:t>
      </w:r>
      <w:proofErr w:type="gramEnd"/>
      <w:r w:rsidRPr="0058379E">
        <w:t xml:space="preserve"> and II to this document</w:t>
      </w:r>
      <w:r w:rsidRPr="00004A40">
        <w:t>.</w:t>
      </w:r>
    </w:p>
    <w:p w:rsidR="00A05D06" w:rsidRDefault="00A05D06" w:rsidP="00A05D06"/>
    <w:p w:rsidR="00A05D06" w:rsidRPr="00004A40" w:rsidRDefault="00A05D06" w:rsidP="00A05D06"/>
    <w:p w:rsidR="00A05D06" w:rsidRPr="00C2190A" w:rsidRDefault="00A05D06" w:rsidP="00A05D06">
      <w:pPr>
        <w:keepNext/>
        <w:outlineLvl w:val="1"/>
        <w:rPr>
          <w:u w:val="single"/>
        </w:rPr>
      </w:pPr>
      <w:bookmarkStart w:id="3" w:name="_Toc65839434"/>
      <w:r>
        <w:rPr>
          <w:u w:val="single"/>
        </w:rPr>
        <w:t xml:space="preserve">Documents for </w:t>
      </w:r>
      <w:r w:rsidRPr="00C2190A">
        <w:rPr>
          <w:u w:val="single"/>
        </w:rPr>
        <w:t>adoption in 2021</w:t>
      </w:r>
      <w:bookmarkEnd w:id="3"/>
    </w:p>
    <w:p w:rsidR="00A05D06" w:rsidRPr="00C2190A" w:rsidRDefault="00A05D06" w:rsidP="00A05D06">
      <w:pPr>
        <w:rPr>
          <w:spacing w:val="-2"/>
        </w:rPr>
      </w:pPr>
    </w:p>
    <w:p w:rsidR="00A05D06" w:rsidRDefault="00A05D06" w:rsidP="00A05D06">
      <w:r w:rsidRPr="00C2190A">
        <w:fldChar w:fldCharType="begin"/>
      </w:r>
      <w:r w:rsidRPr="00C2190A">
        <w:instrText xml:space="preserve"> AUTONUM  </w:instrText>
      </w:r>
      <w:r w:rsidRPr="00C2190A">
        <w:fldChar w:fldCharType="end"/>
      </w:r>
      <w:r w:rsidRPr="00C2190A">
        <w:tab/>
        <w:t xml:space="preserve">The TWPs </w:t>
      </w:r>
      <w:proofErr w:type="gramStart"/>
      <w:r w:rsidRPr="00C2190A">
        <w:t>are invited</w:t>
      </w:r>
      <w:proofErr w:type="gramEnd"/>
      <w:r w:rsidRPr="00C2190A">
        <w:t xml:space="preserve"> to note</w:t>
      </w:r>
      <w:r>
        <w:t xml:space="preserve"> that:</w:t>
      </w:r>
    </w:p>
    <w:p w:rsidR="00A05D06" w:rsidRDefault="00A05D06" w:rsidP="00A05D06"/>
    <w:p w:rsidR="003E55BE" w:rsidRDefault="00A05D06" w:rsidP="00A05D06">
      <w:pPr>
        <w:tabs>
          <w:tab w:val="left" w:pos="567"/>
          <w:tab w:val="left" w:pos="1134"/>
          <w:tab w:val="left" w:pos="5387"/>
        </w:tabs>
      </w:pPr>
      <w:r>
        <w:tab/>
        <w:t>(a)</w:t>
      </w:r>
      <w:r>
        <w:tab/>
      </w:r>
      <w:proofErr w:type="gramStart"/>
      <w:r w:rsidR="003E55BE" w:rsidRPr="003E55BE">
        <w:t>matters</w:t>
      </w:r>
      <w:proofErr w:type="gramEnd"/>
      <w:r w:rsidR="003E55BE" w:rsidRPr="003E55BE">
        <w:t xml:space="preserve"> concerning the revision of document UPOV/INF/12 “Explanatory Notes on Variety Denominations under the UPOV Convention” a</w:t>
      </w:r>
      <w:r w:rsidR="003E55BE">
        <w:t>re reported in document TWP/5/6.</w:t>
      </w:r>
    </w:p>
    <w:p w:rsidR="003E55BE" w:rsidRDefault="003E55BE" w:rsidP="00A05D06">
      <w:pPr>
        <w:tabs>
          <w:tab w:val="left" w:pos="567"/>
          <w:tab w:val="left" w:pos="1134"/>
          <w:tab w:val="left" w:pos="5387"/>
        </w:tabs>
      </w:pPr>
    </w:p>
    <w:p w:rsidR="00A05D06" w:rsidRPr="003915D7" w:rsidRDefault="003E55BE" w:rsidP="00A05D06">
      <w:pPr>
        <w:tabs>
          <w:tab w:val="left" w:pos="567"/>
          <w:tab w:val="left" w:pos="1134"/>
          <w:tab w:val="left" w:pos="5387"/>
        </w:tabs>
      </w:pPr>
      <w:r>
        <w:tab/>
        <w:t>(b)</w:t>
      </w:r>
      <w:r>
        <w:tab/>
      </w:r>
      <w:proofErr w:type="gramStart"/>
      <w:r w:rsidR="00A05D06" w:rsidRPr="003915D7">
        <w:t>matters</w:t>
      </w:r>
      <w:proofErr w:type="gramEnd"/>
      <w:r w:rsidR="00A05D06" w:rsidRPr="003915D7">
        <w:t xml:space="preserve"> concerning the </w:t>
      </w:r>
      <w:r w:rsidR="00A05D06">
        <w:t>revision</w:t>
      </w:r>
      <w:r w:rsidR="00A05D06" w:rsidRPr="003915D7">
        <w:t xml:space="preserve"> of document UPOV/INF/17 “Guidelines for DNA-Profiling: Molecular Marker Selection and Database Construction (‘BMT Guidelines’)” are </w:t>
      </w:r>
      <w:r>
        <w:t>considered</w:t>
      </w:r>
      <w:r w:rsidR="00A05D06" w:rsidRPr="003915D7">
        <w:t xml:space="preserve"> in documents UPOV/INF/17/2 Draft 5 and TWP/5/7.</w:t>
      </w:r>
    </w:p>
    <w:p w:rsidR="00A05D06" w:rsidRPr="003915D7" w:rsidRDefault="00A05D06" w:rsidP="00A05D06">
      <w:pPr>
        <w:tabs>
          <w:tab w:val="left" w:pos="567"/>
          <w:tab w:val="left" w:pos="1134"/>
          <w:tab w:val="left" w:pos="5387"/>
        </w:tabs>
      </w:pPr>
    </w:p>
    <w:p w:rsidR="00A05D06" w:rsidRPr="003915D7" w:rsidRDefault="00A05D06" w:rsidP="00A05D06">
      <w:pPr>
        <w:tabs>
          <w:tab w:val="left" w:pos="567"/>
          <w:tab w:val="left" w:pos="1134"/>
          <w:tab w:val="left" w:pos="5387"/>
        </w:tabs>
      </w:pPr>
      <w:r>
        <w:tab/>
        <w:t>(</w:t>
      </w:r>
      <w:r w:rsidR="003E55BE">
        <w:t>c</w:t>
      </w:r>
      <w:r>
        <w:t>)</w:t>
      </w:r>
      <w:r>
        <w:tab/>
      </w:r>
      <w:proofErr w:type="gramStart"/>
      <w:r w:rsidRPr="003915D7">
        <w:t>matters</w:t>
      </w:r>
      <w:proofErr w:type="gramEnd"/>
      <w:r w:rsidRPr="003915D7">
        <w:t xml:space="preserve"> concerning the revision of document UPOV/INF/22 “Software and Equipment Used by Members of the Union” are </w:t>
      </w:r>
      <w:r w:rsidR="003E55BE">
        <w:t>considered</w:t>
      </w:r>
      <w:r w:rsidRPr="003915D7">
        <w:t xml:space="preserve"> in document TWP/5/5.</w:t>
      </w:r>
    </w:p>
    <w:p w:rsidR="00A05D06" w:rsidRPr="003915D7" w:rsidRDefault="00A05D06" w:rsidP="00A05D06">
      <w:pPr>
        <w:tabs>
          <w:tab w:val="left" w:pos="567"/>
          <w:tab w:val="left" w:pos="1134"/>
          <w:tab w:val="left" w:pos="5387"/>
        </w:tabs>
      </w:pPr>
    </w:p>
    <w:p w:rsidR="00A05D06" w:rsidRPr="0031067E" w:rsidRDefault="00A05D06" w:rsidP="00A05D06">
      <w:pPr>
        <w:tabs>
          <w:tab w:val="left" w:pos="567"/>
          <w:tab w:val="left" w:pos="1134"/>
          <w:tab w:val="left" w:pos="5387"/>
        </w:tabs>
        <w:rPr>
          <w:i/>
        </w:rPr>
      </w:pPr>
      <w:r>
        <w:tab/>
        <w:t>(</w:t>
      </w:r>
      <w:r w:rsidR="003E55BE">
        <w:t>d</w:t>
      </w:r>
      <w:r>
        <w:t>)</w:t>
      </w:r>
      <w:r>
        <w:tab/>
      </w:r>
      <w:r w:rsidRPr="003915D7">
        <w:t xml:space="preserve">matters concerning the </w:t>
      </w:r>
      <w:r w:rsidRPr="003915D7">
        <w:rPr>
          <w:snapToGrid w:val="0"/>
        </w:rPr>
        <w:t xml:space="preserve">development of document UPOV/INF/23 “UPOV Code System” will be </w:t>
      </w:r>
      <w:r w:rsidR="003E55BE">
        <w:rPr>
          <w:snapToGrid w:val="0"/>
        </w:rPr>
        <w:t>considered</w:t>
      </w:r>
      <w:r w:rsidRPr="003915D7">
        <w:rPr>
          <w:snapToGrid w:val="0"/>
        </w:rPr>
        <w:t xml:space="preserve"> in document TWP/5/4 “UPOV information and databases”.</w:t>
      </w:r>
    </w:p>
    <w:p w:rsidR="00A05D06" w:rsidRPr="00DF214E" w:rsidRDefault="00A05D06" w:rsidP="00A05D06">
      <w:pPr>
        <w:rPr>
          <w:spacing w:val="-2"/>
        </w:rPr>
      </w:pPr>
    </w:p>
    <w:p w:rsidR="00A05D06" w:rsidRPr="00DF214E" w:rsidRDefault="00A05D06" w:rsidP="00A05D06">
      <w:pPr>
        <w:rPr>
          <w:spacing w:val="-2"/>
        </w:rPr>
      </w:pPr>
    </w:p>
    <w:p w:rsidR="00A05D06" w:rsidRPr="00DF214E" w:rsidRDefault="00A05D06" w:rsidP="00A05D06">
      <w:pPr>
        <w:keepNext/>
        <w:tabs>
          <w:tab w:val="left" w:pos="567"/>
          <w:tab w:val="left" w:pos="1134"/>
          <w:tab w:val="left" w:pos="5387"/>
        </w:tabs>
        <w:rPr>
          <w:u w:val="single"/>
        </w:rPr>
      </w:pPr>
      <w:r>
        <w:rPr>
          <w:u w:val="single"/>
        </w:rPr>
        <w:lastRenderedPageBreak/>
        <w:t xml:space="preserve">Documents for </w:t>
      </w:r>
      <w:r w:rsidRPr="00C2190A">
        <w:rPr>
          <w:u w:val="single"/>
        </w:rPr>
        <w:t xml:space="preserve">adoption </w:t>
      </w:r>
      <w:r>
        <w:rPr>
          <w:u w:val="single"/>
        </w:rPr>
        <w:t>after 2021</w:t>
      </w:r>
    </w:p>
    <w:p w:rsidR="00A05D06" w:rsidRPr="00DF214E" w:rsidRDefault="00A05D06" w:rsidP="00A05D06">
      <w:pPr>
        <w:keepNext/>
        <w:tabs>
          <w:tab w:val="left" w:pos="567"/>
          <w:tab w:val="left" w:pos="1134"/>
          <w:tab w:val="left" w:pos="5387"/>
        </w:tabs>
      </w:pPr>
    </w:p>
    <w:p w:rsidR="00420C9B" w:rsidRDefault="00A05D06" w:rsidP="00D4081A">
      <w:pPr>
        <w:keepNext/>
        <w:tabs>
          <w:tab w:val="left" w:pos="567"/>
          <w:tab w:val="left" w:pos="1134"/>
          <w:tab w:val="left" w:pos="5387"/>
        </w:tabs>
      </w:pPr>
      <w:r w:rsidRPr="00C2190A">
        <w:fldChar w:fldCharType="begin"/>
      </w:r>
      <w:r w:rsidRPr="00C2190A">
        <w:instrText xml:space="preserve"> AUTONUM  </w:instrText>
      </w:r>
      <w:r w:rsidRPr="00C2190A">
        <w:fldChar w:fldCharType="end"/>
      </w:r>
      <w:r w:rsidRPr="00C2190A">
        <w:tab/>
      </w:r>
      <w:r w:rsidR="00D4081A" w:rsidRPr="00D4081A">
        <w:t xml:space="preserve">The TWPs </w:t>
      </w:r>
      <w:proofErr w:type="gramStart"/>
      <w:r w:rsidR="00D4081A" w:rsidRPr="00D4081A">
        <w:t>are invited</w:t>
      </w:r>
      <w:proofErr w:type="gramEnd"/>
      <w:r w:rsidR="00D4081A" w:rsidRPr="00D4081A">
        <w:t xml:space="preserve"> to note that matters concerning the revision of document TGP/5 Section 6 “UPOV Report on Technical Examination and UPOV Variety Description” are </w:t>
      </w:r>
      <w:r w:rsidR="005A3F31">
        <w:t>considered</w:t>
      </w:r>
      <w:r w:rsidR="00D4081A" w:rsidRPr="00D4081A">
        <w:t xml:space="preserve"> in document TWP/5/14.</w:t>
      </w:r>
    </w:p>
    <w:p w:rsidR="00D4081A" w:rsidRDefault="00D4081A" w:rsidP="00D4081A">
      <w:pPr>
        <w:keepNext/>
        <w:tabs>
          <w:tab w:val="left" w:pos="567"/>
          <w:tab w:val="left" w:pos="1134"/>
          <w:tab w:val="left" w:pos="5387"/>
        </w:tabs>
      </w:pPr>
    </w:p>
    <w:p w:rsidR="00A05D06" w:rsidRPr="000E3EDE" w:rsidRDefault="00420C9B" w:rsidP="00420C9B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TWPs are invited to </w:t>
      </w:r>
      <w:r w:rsidR="00A05D06">
        <w:t xml:space="preserve">note that </w:t>
      </w:r>
      <w:r w:rsidR="00A05D06" w:rsidRPr="00C2190A">
        <w:t>matters concerning a possible future revision of document TGP/8 are considered in documents TWP/5/10 and TWP/5/11</w:t>
      </w:r>
      <w:r w:rsidR="00A05D06">
        <w:t>;</w:t>
      </w:r>
    </w:p>
    <w:p w:rsidR="00A05D06" w:rsidRDefault="00A05D06" w:rsidP="00A05D06">
      <w:pPr>
        <w:rPr>
          <w:i/>
        </w:rPr>
      </w:pPr>
    </w:p>
    <w:p w:rsidR="00A05D06" w:rsidRPr="00DF214E" w:rsidRDefault="00A05D06" w:rsidP="00A05D06"/>
    <w:p w:rsidR="00A05D06" w:rsidRPr="00DF214E" w:rsidRDefault="00A05D06" w:rsidP="00A05D06">
      <w:pPr>
        <w:spacing w:after="240"/>
        <w:rPr>
          <w:rFonts w:cs="Arial"/>
        </w:rPr>
      </w:pPr>
      <w:r w:rsidRPr="00DF214E">
        <w:rPr>
          <w:rFonts w:cs="Arial"/>
        </w:rPr>
        <w:fldChar w:fldCharType="begin"/>
      </w:r>
      <w:r w:rsidRPr="00DF214E">
        <w:rPr>
          <w:rFonts w:cs="Arial"/>
        </w:rPr>
        <w:instrText xml:space="preserve"> AUTONUM  </w:instrText>
      </w:r>
      <w:r w:rsidRPr="00DF214E">
        <w:rPr>
          <w:rFonts w:cs="Arial"/>
        </w:rPr>
        <w:fldChar w:fldCharType="end"/>
      </w:r>
      <w:r w:rsidRPr="00DF214E">
        <w:rPr>
          <w:rFonts w:cs="Arial"/>
        </w:rPr>
        <w:tab/>
        <w:t>The structure of this document is as follows:</w:t>
      </w:r>
    </w:p>
    <w:p w:rsidR="007C3D67" w:rsidRDefault="00A05D06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r w:rsidRPr="00DF214E">
        <w:rPr>
          <w:snapToGrid w:val="0"/>
          <w:highlight w:val="yellow"/>
        </w:rPr>
        <w:fldChar w:fldCharType="begin"/>
      </w:r>
      <w:r w:rsidRPr="00DF214E">
        <w:rPr>
          <w:snapToGrid w:val="0"/>
          <w:highlight w:val="yellow"/>
        </w:rPr>
        <w:instrText xml:space="preserve"> TOC \o "1-4" \h \z \u </w:instrText>
      </w:r>
      <w:r w:rsidRPr="00DF214E">
        <w:rPr>
          <w:snapToGrid w:val="0"/>
          <w:highlight w:val="yellow"/>
        </w:rPr>
        <w:fldChar w:fldCharType="separate"/>
      </w:r>
      <w:hyperlink w:anchor="_Toc65839433" w:history="1">
        <w:r w:rsidR="007C3D67" w:rsidRPr="00FF306B">
          <w:rPr>
            <w:rStyle w:val="Hyperlink"/>
            <w:snapToGrid w:val="0"/>
          </w:rPr>
          <w:t>EXECUTIVE SUMMARY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_Toc65839433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1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5839434" w:history="1">
        <w:r w:rsidR="007C3D67" w:rsidRPr="00FF306B">
          <w:rPr>
            <w:rStyle w:val="Hyperlink"/>
          </w:rPr>
          <w:t>Documents for adoption in 2021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_Toc65839434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1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65839435" w:history="1">
        <w:r w:rsidR="007C3D67" w:rsidRPr="00FF306B">
          <w:rPr>
            <w:rStyle w:val="Hyperlink"/>
          </w:rPr>
          <w:t>BACKGROUND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_Toc65839435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2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65839436" w:history="1">
        <w:r w:rsidR="007C3D67" w:rsidRPr="00FF306B">
          <w:rPr>
            <w:rStyle w:val="Hyperlink"/>
          </w:rPr>
          <w:t>Program for the development of relevant guidance and information materials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_Toc65839436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3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65839437" w:history="1">
        <w:r w:rsidR="007C3D67" w:rsidRPr="00FF306B">
          <w:rPr>
            <w:rStyle w:val="Hyperlink"/>
          </w:rPr>
          <w:t>Documents for adoption in 2021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_Toc65839437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3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5839438" w:history="1">
        <w:r w:rsidR="007C3D67" w:rsidRPr="00FF306B">
          <w:rPr>
            <w:rStyle w:val="Hyperlink"/>
          </w:rPr>
          <w:t>Review of document UPOV/INF/12 “Explanatory Notes on Variety Denominations under the UPOV Convention”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_Toc65839438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3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5839439" w:history="1">
        <w:r w:rsidR="007C3D67" w:rsidRPr="00FF306B">
          <w:rPr>
            <w:rStyle w:val="Hyperlink"/>
          </w:rPr>
          <w:t>Revision of document UPOV/INF/17 “Guidelines for DNA-Profiling: Molecular Marker Selection and Database Construction (‘BMT Guidelines’)”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_Toc65839439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3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5839440" w:history="1">
        <w:r w:rsidR="007C3D67" w:rsidRPr="00FF306B">
          <w:rPr>
            <w:rStyle w:val="Hyperlink"/>
          </w:rPr>
          <w:t>Revision of document UPOV/INF/22 “Software and Equipment Used by Members of the Union”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_Toc65839440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3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5839441" w:history="1">
        <w:r w:rsidR="007C3D67" w:rsidRPr="00FF306B">
          <w:rPr>
            <w:rStyle w:val="Hyperlink"/>
          </w:rPr>
          <w:t>Development</w:t>
        </w:r>
        <w:r w:rsidR="007C3D67" w:rsidRPr="00FF306B">
          <w:rPr>
            <w:rStyle w:val="Hyperlink"/>
            <w:snapToGrid w:val="0"/>
          </w:rPr>
          <w:t xml:space="preserve"> of document UPOV/INF/23 “</w:t>
        </w:r>
        <w:r w:rsidR="007C3D67" w:rsidRPr="00FF306B">
          <w:rPr>
            <w:rStyle w:val="Hyperlink"/>
          </w:rPr>
          <w:t>UPOV Code System”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_Toc65839441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3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</w:rPr>
      </w:pPr>
      <w:hyperlink w:anchor="_Toc65839442" w:history="1">
        <w:r w:rsidR="007C3D67" w:rsidRPr="00FF306B">
          <w:rPr>
            <w:rStyle w:val="Hyperlink"/>
          </w:rPr>
          <w:t>documents for adoption after 2021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_Toc65839442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4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5839443" w:history="1">
        <w:r w:rsidR="007C3D67" w:rsidRPr="00FF306B">
          <w:rPr>
            <w:rStyle w:val="Hyperlink"/>
          </w:rPr>
          <w:t>TGP/5 Section 6:  UPOV Report on Technical Examination and UPOV Variety Description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_Toc65839443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4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5839444" w:history="1">
        <w:r w:rsidR="007C3D67" w:rsidRPr="00FF306B">
          <w:rPr>
            <w:rStyle w:val="Hyperlink"/>
          </w:rPr>
          <w:t>Additional information to be included in DUS test reports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_Toc65839444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4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5839445" w:history="1">
        <w:r w:rsidR="007C3D67" w:rsidRPr="00FF306B">
          <w:rPr>
            <w:rStyle w:val="Hyperlink"/>
          </w:rPr>
          <w:t>Testing facility and location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_Toc65839445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4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65839446" w:history="1">
        <w:r w:rsidR="007C3D67" w:rsidRPr="00FF306B">
          <w:rPr>
            <w:rStyle w:val="Hyperlink"/>
          </w:rPr>
          <w:t>Document TGP/8:  Trial Design and Techniques Used in the Examination of Distinctness, Uniformity and Stability (Revision)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_Toc65839446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4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5839447" w:history="1">
        <w:r w:rsidR="007C3D67" w:rsidRPr="00FF306B">
          <w:rPr>
            <w:rStyle w:val="Hyperlink"/>
            <w:rFonts w:eastAsia="MS Mincho"/>
          </w:rPr>
          <w:t>Data processing for the production of variety descriptions for measured quantitative characteristics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_Toc65839447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4</w:t>
        </w:r>
        <w:r w:rsidR="007C3D67">
          <w:rPr>
            <w:webHidden/>
          </w:rPr>
          <w:fldChar w:fldCharType="end"/>
        </w:r>
      </w:hyperlink>
    </w:p>
    <w:p w:rsidR="007C3D67" w:rsidRDefault="0058379E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65839448" w:history="1">
        <w:r w:rsidR="007C3D67" w:rsidRPr="00FF306B">
          <w:rPr>
            <w:rStyle w:val="Hyperlink"/>
            <w:rFonts w:eastAsia="MS Mincho"/>
          </w:rPr>
          <w:t>The Combined-Over-Years Uniformity Criterion (COYU)</w:t>
        </w:r>
        <w:r w:rsidR="007C3D67">
          <w:rPr>
            <w:webHidden/>
          </w:rPr>
          <w:tab/>
        </w:r>
        <w:r w:rsidR="007C3D67">
          <w:rPr>
            <w:webHidden/>
          </w:rPr>
          <w:fldChar w:fldCharType="begin"/>
        </w:r>
        <w:r w:rsidR="007C3D67">
          <w:rPr>
            <w:webHidden/>
          </w:rPr>
          <w:instrText xml:space="preserve"> PAGEREF _Toc65839448 \h </w:instrText>
        </w:r>
        <w:r w:rsidR="007C3D67">
          <w:rPr>
            <w:webHidden/>
          </w:rPr>
        </w:r>
        <w:r w:rsidR="007C3D67">
          <w:rPr>
            <w:webHidden/>
          </w:rPr>
          <w:fldChar w:fldCharType="separate"/>
        </w:r>
        <w:r w:rsidR="007C3D67">
          <w:rPr>
            <w:webHidden/>
          </w:rPr>
          <w:t>4</w:t>
        </w:r>
        <w:r w:rsidR="007C3D67">
          <w:rPr>
            <w:webHidden/>
          </w:rPr>
          <w:fldChar w:fldCharType="end"/>
        </w:r>
      </w:hyperlink>
    </w:p>
    <w:p w:rsidR="00A05D06" w:rsidRPr="00DF214E" w:rsidRDefault="00A05D06" w:rsidP="00A05D06">
      <w:pPr>
        <w:spacing w:after="120"/>
        <w:rPr>
          <w:noProof/>
          <w:snapToGrid w:val="0"/>
          <w:sz w:val="12"/>
        </w:rPr>
      </w:pPr>
      <w:r w:rsidRPr="00DF214E">
        <w:rPr>
          <w:noProof/>
          <w:snapToGrid w:val="0"/>
          <w:highlight w:val="yellow"/>
        </w:rPr>
        <w:fldChar w:fldCharType="end"/>
      </w:r>
      <w:bookmarkStart w:id="4" w:name="_Toc386185971"/>
      <w:bookmarkStart w:id="5" w:name="_Toc419124859"/>
    </w:p>
    <w:p w:rsidR="00A05D06" w:rsidRPr="00DF214E" w:rsidRDefault="00A05D06" w:rsidP="00A05D06">
      <w:pPr>
        <w:spacing w:after="120"/>
        <w:rPr>
          <w:sz w:val="18"/>
        </w:rPr>
      </w:pPr>
      <w:r w:rsidRPr="00DF214E">
        <w:rPr>
          <w:sz w:val="18"/>
        </w:rPr>
        <w:t xml:space="preserve">ANNEX </w:t>
      </w:r>
      <w:proofErr w:type="gramStart"/>
      <w:r w:rsidRPr="00DF214E">
        <w:rPr>
          <w:sz w:val="18"/>
        </w:rPr>
        <w:t>I</w:t>
      </w:r>
      <w:proofErr w:type="gramEnd"/>
      <w:r w:rsidRPr="00DF214E">
        <w:rPr>
          <w:sz w:val="18"/>
        </w:rPr>
        <w:t>:</w:t>
      </w:r>
      <w:r w:rsidRPr="00DF214E">
        <w:rPr>
          <w:sz w:val="18"/>
        </w:rPr>
        <w:tab/>
        <w:t xml:space="preserve">Program for the development of TGP documents </w:t>
      </w:r>
    </w:p>
    <w:p w:rsidR="00A05D06" w:rsidRPr="00DF214E" w:rsidRDefault="00A05D06" w:rsidP="00A05D06">
      <w:pPr>
        <w:ind w:left="1134" w:hanging="1134"/>
        <w:rPr>
          <w:sz w:val="18"/>
        </w:rPr>
      </w:pPr>
      <w:r w:rsidRPr="00DF214E">
        <w:rPr>
          <w:sz w:val="18"/>
        </w:rPr>
        <w:t>ANNEX II:</w:t>
      </w:r>
      <w:r w:rsidRPr="00DF214E">
        <w:rPr>
          <w:sz w:val="18"/>
        </w:rPr>
        <w:tab/>
        <w:t xml:space="preserve">Program for the development of information </w:t>
      </w:r>
      <w:r>
        <w:rPr>
          <w:sz w:val="18"/>
        </w:rPr>
        <w:t>materials</w:t>
      </w:r>
    </w:p>
    <w:p w:rsidR="00A05D06" w:rsidRDefault="00A05D06" w:rsidP="00A05D06">
      <w:pPr>
        <w:ind w:left="1134" w:hanging="1134"/>
        <w:rPr>
          <w:sz w:val="18"/>
          <w:highlight w:val="yellow"/>
        </w:rPr>
      </w:pPr>
    </w:p>
    <w:p w:rsidR="007E397F" w:rsidRPr="00DF214E" w:rsidRDefault="007E397F" w:rsidP="00A05D06">
      <w:pPr>
        <w:ind w:left="1134" w:hanging="1134"/>
        <w:rPr>
          <w:sz w:val="18"/>
          <w:highlight w:val="yellow"/>
        </w:rPr>
      </w:pPr>
    </w:p>
    <w:p w:rsidR="00A05D06" w:rsidRPr="00DF214E" w:rsidRDefault="00A05D06" w:rsidP="00A05D06">
      <w:pPr>
        <w:keepNext/>
        <w:rPr>
          <w:rFonts w:cs="Arial"/>
        </w:rPr>
      </w:pPr>
      <w:r w:rsidRPr="00DF214E">
        <w:rPr>
          <w:rFonts w:cs="Arial"/>
        </w:rPr>
        <w:fldChar w:fldCharType="begin"/>
      </w:r>
      <w:r w:rsidRPr="00DF214E">
        <w:rPr>
          <w:rFonts w:cs="Arial"/>
        </w:rPr>
        <w:instrText xml:space="preserve"> AUTONUM  </w:instrText>
      </w:r>
      <w:r w:rsidRPr="00DF214E">
        <w:rPr>
          <w:rFonts w:cs="Arial"/>
        </w:rPr>
        <w:fldChar w:fldCharType="end"/>
      </w:r>
      <w:r w:rsidRPr="00DF214E">
        <w:rPr>
          <w:rFonts w:cs="Arial"/>
        </w:rPr>
        <w:tab/>
        <w:t xml:space="preserve">The following abbreviations </w:t>
      </w:r>
      <w:proofErr w:type="gramStart"/>
      <w:r w:rsidRPr="00DF214E">
        <w:rPr>
          <w:rFonts w:cs="Arial"/>
        </w:rPr>
        <w:t>are used</w:t>
      </w:r>
      <w:proofErr w:type="gramEnd"/>
      <w:r w:rsidRPr="00DF214E">
        <w:rPr>
          <w:rFonts w:cs="Arial"/>
        </w:rPr>
        <w:t xml:space="preserve"> in this document:</w:t>
      </w:r>
    </w:p>
    <w:p w:rsidR="00A05D06" w:rsidRPr="00DF214E" w:rsidRDefault="00A05D06" w:rsidP="00A05D06">
      <w:pPr>
        <w:keepNext/>
        <w:ind w:left="1701" w:hanging="1134"/>
        <w:rPr>
          <w:rFonts w:cs="Arial"/>
        </w:rPr>
      </w:pPr>
    </w:p>
    <w:p w:rsidR="00A05D06" w:rsidRPr="00DF214E" w:rsidRDefault="00A05D06" w:rsidP="00A05D06">
      <w:pPr>
        <w:keepNext/>
        <w:ind w:left="1701" w:hanging="1134"/>
        <w:rPr>
          <w:rFonts w:cs="Arial"/>
        </w:rPr>
      </w:pPr>
      <w:r w:rsidRPr="00DF214E">
        <w:rPr>
          <w:rFonts w:cs="Arial"/>
        </w:rPr>
        <w:t xml:space="preserve">BMT: </w:t>
      </w:r>
      <w:r w:rsidRPr="00DF214E">
        <w:rPr>
          <w:rFonts w:cs="Arial"/>
        </w:rPr>
        <w:tab/>
        <w:t>Working Group on Biochemical and Molecular Techniques and DNA-Profiling in Particular</w:t>
      </w:r>
    </w:p>
    <w:p w:rsidR="00A05D06" w:rsidRPr="00DF214E" w:rsidRDefault="00A05D06" w:rsidP="00A05D06">
      <w:pPr>
        <w:keepNext/>
        <w:ind w:left="1701" w:hanging="1134"/>
        <w:rPr>
          <w:rFonts w:cs="Arial"/>
        </w:rPr>
      </w:pPr>
      <w:r w:rsidRPr="00DF214E">
        <w:rPr>
          <w:rFonts w:cs="Arial"/>
        </w:rPr>
        <w:t>CAJ:</w:t>
      </w:r>
      <w:r w:rsidRPr="00DF214E">
        <w:rPr>
          <w:rFonts w:cs="Arial"/>
        </w:rPr>
        <w:tab/>
        <w:t>Administrative and Legal Committee</w:t>
      </w:r>
    </w:p>
    <w:p w:rsidR="00A05D06" w:rsidRPr="00DF214E" w:rsidRDefault="00A05D06" w:rsidP="00A05D06">
      <w:pPr>
        <w:keepNext/>
        <w:ind w:left="1701" w:hanging="1134"/>
        <w:rPr>
          <w:rFonts w:cs="Arial"/>
        </w:rPr>
      </w:pPr>
      <w:r w:rsidRPr="00DF214E">
        <w:rPr>
          <w:rFonts w:cs="Arial"/>
        </w:rPr>
        <w:t xml:space="preserve">TC:  </w:t>
      </w:r>
      <w:r w:rsidRPr="00DF214E">
        <w:rPr>
          <w:rFonts w:cs="Arial"/>
        </w:rPr>
        <w:tab/>
        <w:t>Technical Committee</w:t>
      </w:r>
    </w:p>
    <w:p w:rsidR="00A05D06" w:rsidRPr="00DF214E" w:rsidRDefault="00A05D06" w:rsidP="00A05D06">
      <w:pPr>
        <w:ind w:left="1701" w:hanging="1134"/>
        <w:rPr>
          <w:rFonts w:cs="Arial"/>
        </w:rPr>
      </w:pPr>
      <w:r w:rsidRPr="00DF214E">
        <w:rPr>
          <w:rFonts w:cs="Arial"/>
        </w:rPr>
        <w:t xml:space="preserve">TC-EDC:  </w:t>
      </w:r>
      <w:r w:rsidRPr="00DF214E">
        <w:rPr>
          <w:rFonts w:cs="Arial"/>
        </w:rPr>
        <w:tab/>
        <w:t>Enlarged Editorial Committee</w:t>
      </w:r>
    </w:p>
    <w:p w:rsidR="00A05D06" w:rsidRPr="00DF214E" w:rsidRDefault="00A05D06" w:rsidP="00A05D06">
      <w:pPr>
        <w:ind w:left="1701" w:hanging="1134"/>
        <w:rPr>
          <w:rFonts w:cs="Arial"/>
        </w:rPr>
      </w:pPr>
      <w:r w:rsidRPr="00DF214E">
        <w:rPr>
          <w:rFonts w:cs="Arial"/>
        </w:rPr>
        <w:t xml:space="preserve">TWA:  </w:t>
      </w:r>
      <w:r w:rsidRPr="00DF214E">
        <w:rPr>
          <w:rFonts w:cs="Arial"/>
        </w:rPr>
        <w:tab/>
        <w:t>Technical Working Party for Agricultural Crops</w:t>
      </w:r>
    </w:p>
    <w:p w:rsidR="00A05D06" w:rsidRPr="00DF214E" w:rsidRDefault="00A05D06" w:rsidP="00A05D06">
      <w:pPr>
        <w:ind w:left="1701" w:hanging="1134"/>
        <w:rPr>
          <w:rFonts w:cs="Arial"/>
        </w:rPr>
      </w:pPr>
      <w:r w:rsidRPr="00DF214E">
        <w:rPr>
          <w:rFonts w:cs="Arial"/>
        </w:rPr>
        <w:t xml:space="preserve">TWC:  </w:t>
      </w:r>
      <w:r w:rsidRPr="00DF214E">
        <w:rPr>
          <w:rFonts w:cs="Arial"/>
        </w:rPr>
        <w:tab/>
        <w:t>Technical Working Party on Automation and Computer Programs</w:t>
      </w:r>
    </w:p>
    <w:p w:rsidR="00A05D06" w:rsidRPr="00DF214E" w:rsidRDefault="00A05D06" w:rsidP="00A05D06">
      <w:pPr>
        <w:ind w:left="1701" w:hanging="1134"/>
        <w:rPr>
          <w:rFonts w:cs="Arial"/>
        </w:rPr>
      </w:pPr>
      <w:r w:rsidRPr="00DF214E">
        <w:rPr>
          <w:rFonts w:cs="Arial"/>
        </w:rPr>
        <w:t xml:space="preserve">TWF:  </w:t>
      </w:r>
      <w:r w:rsidRPr="00DF214E">
        <w:rPr>
          <w:rFonts w:cs="Arial"/>
        </w:rPr>
        <w:tab/>
        <w:t xml:space="preserve">Technical Working Party for Fruit Crops </w:t>
      </w:r>
    </w:p>
    <w:p w:rsidR="00A05D06" w:rsidRPr="00DF214E" w:rsidRDefault="00A05D06" w:rsidP="00A05D06">
      <w:pPr>
        <w:ind w:left="1701" w:hanging="1134"/>
        <w:rPr>
          <w:rFonts w:cs="Arial"/>
        </w:rPr>
      </w:pPr>
      <w:r w:rsidRPr="00DF214E">
        <w:rPr>
          <w:rFonts w:cs="Arial"/>
        </w:rPr>
        <w:t xml:space="preserve">TWO:  </w:t>
      </w:r>
      <w:r w:rsidRPr="00DF214E">
        <w:rPr>
          <w:rFonts w:cs="Arial"/>
        </w:rPr>
        <w:tab/>
        <w:t xml:space="preserve">Technical Working Party for Ornamental Plants and Forest Trees </w:t>
      </w:r>
    </w:p>
    <w:p w:rsidR="00A05D06" w:rsidRPr="00DF214E" w:rsidRDefault="00A05D06" w:rsidP="00A05D06">
      <w:pPr>
        <w:ind w:left="1701" w:hanging="1134"/>
        <w:rPr>
          <w:rFonts w:cs="Arial"/>
        </w:rPr>
      </w:pPr>
      <w:r w:rsidRPr="00DF214E">
        <w:rPr>
          <w:rFonts w:cs="Arial"/>
        </w:rPr>
        <w:t xml:space="preserve">TWV:  </w:t>
      </w:r>
      <w:r w:rsidRPr="00DF214E">
        <w:rPr>
          <w:rFonts w:cs="Arial"/>
        </w:rPr>
        <w:tab/>
        <w:t>Technical Working Party for Vegetables</w:t>
      </w:r>
    </w:p>
    <w:p w:rsidR="00A05D06" w:rsidRPr="00DF214E" w:rsidRDefault="00A05D06" w:rsidP="00A05D06">
      <w:pPr>
        <w:ind w:left="1701" w:hanging="1134"/>
        <w:rPr>
          <w:rFonts w:cs="Arial"/>
          <w:color w:val="000000"/>
        </w:rPr>
      </w:pPr>
      <w:r w:rsidRPr="00DF214E">
        <w:rPr>
          <w:rFonts w:cs="Arial"/>
          <w:color w:val="000000"/>
        </w:rPr>
        <w:t>TWPs:</w:t>
      </w:r>
      <w:r w:rsidRPr="00DF214E">
        <w:rPr>
          <w:rFonts w:cs="Arial"/>
          <w:color w:val="000000"/>
        </w:rPr>
        <w:tab/>
        <w:t xml:space="preserve">Technical Working Parties </w:t>
      </w:r>
      <w:bookmarkStart w:id="6" w:name="_Toc352678045"/>
      <w:bookmarkStart w:id="7" w:name="_Toc353797725"/>
      <w:bookmarkStart w:id="8" w:name="_Toc386185970"/>
      <w:bookmarkStart w:id="9" w:name="_Toc419124858"/>
    </w:p>
    <w:p w:rsidR="00A05D06" w:rsidRDefault="00A05D06" w:rsidP="00A05D06">
      <w:pPr>
        <w:jc w:val="left"/>
        <w:rPr>
          <w:rFonts w:cs="Arial"/>
          <w:color w:val="000000"/>
        </w:rPr>
      </w:pPr>
    </w:p>
    <w:p w:rsidR="00A05D06" w:rsidRPr="00DF214E" w:rsidRDefault="00A05D06" w:rsidP="00A05D06">
      <w:pPr>
        <w:jc w:val="left"/>
        <w:rPr>
          <w:rFonts w:cs="Arial"/>
          <w:color w:val="000000"/>
        </w:rPr>
      </w:pPr>
    </w:p>
    <w:p w:rsidR="00A05D06" w:rsidRPr="00DF214E" w:rsidRDefault="00A05D06" w:rsidP="00A05D06">
      <w:pPr>
        <w:keepNext/>
        <w:keepLines/>
        <w:outlineLvl w:val="0"/>
        <w:rPr>
          <w:caps/>
        </w:rPr>
      </w:pPr>
      <w:bookmarkStart w:id="10" w:name="_Toc65839435"/>
      <w:r w:rsidRPr="00DF214E">
        <w:rPr>
          <w:caps/>
        </w:rPr>
        <w:t>BACKGROUND</w:t>
      </w:r>
      <w:bookmarkEnd w:id="6"/>
      <w:bookmarkEnd w:id="7"/>
      <w:bookmarkEnd w:id="8"/>
      <w:bookmarkEnd w:id="9"/>
      <w:bookmarkEnd w:id="10"/>
    </w:p>
    <w:p w:rsidR="00A05D06" w:rsidRPr="00DF214E" w:rsidRDefault="00A05D06" w:rsidP="00A05D06">
      <w:pPr>
        <w:keepNext/>
      </w:pPr>
    </w:p>
    <w:p w:rsidR="00A05D06" w:rsidRPr="00DF214E" w:rsidRDefault="00A05D06" w:rsidP="00A05D06">
      <w:pPr>
        <w:rPr>
          <w:rFonts w:cs="Arial"/>
        </w:rPr>
      </w:pPr>
      <w:r w:rsidRPr="00DF214E">
        <w:rPr>
          <w:rFonts w:cs="Arial"/>
        </w:rPr>
        <w:fldChar w:fldCharType="begin"/>
      </w:r>
      <w:r w:rsidRPr="00DF214E">
        <w:rPr>
          <w:rFonts w:cs="Arial"/>
        </w:rPr>
        <w:instrText xml:space="preserve"> AUTONUM  </w:instrText>
      </w:r>
      <w:r w:rsidRPr="00DF214E">
        <w:rPr>
          <w:rFonts w:cs="Arial"/>
        </w:rPr>
        <w:fldChar w:fldCharType="end"/>
      </w:r>
      <w:r w:rsidRPr="00DF214E">
        <w:rPr>
          <w:rFonts w:cs="Arial"/>
          <w:color w:val="000000"/>
        </w:rPr>
        <w:tab/>
      </w:r>
      <w:r w:rsidRPr="00DF214E">
        <w:rPr>
          <w:rFonts w:cs="Arial"/>
          <w:spacing w:val="-2"/>
        </w:rPr>
        <w:t xml:space="preserve">The approved guidance and information materials </w:t>
      </w:r>
      <w:proofErr w:type="gramStart"/>
      <w:r w:rsidRPr="00DF214E">
        <w:rPr>
          <w:rFonts w:cs="Arial"/>
          <w:spacing w:val="-2"/>
        </w:rPr>
        <w:t>are published</w:t>
      </w:r>
      <w:proofErr w:type="gramEnd"/>
      <w:r w:rsidRPr="00DF214E">
        <w:rPr>
          <w:rFonts w:cs="Arial"/>
          <w:spacing w:val="-2"/>
        </w:rPr>
        <w:t xml:space="preserve"> on the UPOV website at</w:t>
      </w:r>
      <w:r w:rsidRPr="00DF214E">
        <w:rPr>
          <w:rFonts w:cs="Arial"/>
        </w:rPr>
        <w:t xml:space="preserve"> </w:t>
      </w:r>
      <w:hyperlink r:id="rId9" w:history="1">
        <w:r w:rsidRPr="00DF214E">
          <w:rPr>
            <w:rFonts w:cs="Arial"/>
            <w:color w:val="0000FF"/>
            <w:u w:val="single"/>
          </w:rPr>
          <w:t>http://www.upov.int/upov_collection/en/</w:t>
        </w:r>
      </w:hyperlink>
      <w:r w:rsidRPr="00DF214E">
        <w:rPr>
          <w:rFonts w:cs="Arial"/>
        </w:rPr>
        <w:t>.</w:t>
      </w:r>
    </w:p>
    <w:bookmarkEnd w:id="4"/>
    <w:bookmarkEnd w:id="5"/>
    <w:p w:rsidR="00A05D06" w:rsidRPr="00DF214E" w:rsidRDefault="00A05D06" w:rsidP="00A05D06"/>
    <w:p w:rsidR="00A05D06" w:rsidRDefault="00A05D06" w:rsidP="00A05D06"/>
    <w:p w:rsidR="00A05D06" w:rsidRPr="00DF214E" w:rsidRDefault="00A05D06" w:rsidP="007E397F">
      <w:pPr>
        <w:keepNext/>
        <w:keepLines/>
        <w:outlineLvl w:val="0"/>
        <w:rPr>
          <w:caps/>
        </w:rPr>
      </w:pPr>
      <w:bookmarkStart w:id="11" w:name="_Toc65839436"/>
      <w:r w:rsidRPr="00DF214E">
        <w:rPr>
          <w:caps/>
        </w:rPr>
        <w:t xml:space="preserve">Program for the development of relevant </w:t>
      </w:r>
      <w:r>
        <w:rPr>
          <w:caps/>
        </w:rPr>
        <w:t xml:space="preserve">guidance and </w:t>
      </w:r>
      <w:r w:rsidRPr="00DF214E">
        <w:rPr>
          <w:caps/>
        </w:rPr>
        <w:t>information materials</w:t>
      </w:r>
      <w:bookmarkEnd w:id="11"/>
      <w:r w:rsidRPr="00DF214E">
        <w:rPr>
          <w:caps/>
        </w:rPr>
        <w:t xml:space="preserve"> </w:t>
      </w:r>
    </w:p>
    <w:p w:rsidR="00A05D06" w:rsidRPr="00DF214E" w:rsidRDefault="00A05D06" w:rsidP="007E397F">
      <w:pPr>
        <w:keepNext/>
        <w:keepLines/>
      </w:pPr>
    </w:p>
    <w:p w:rsidR="00A05D06" w:rsidRPr="0058379E" w:rsidRDefault="00A05D06" w:rsidP="007E397F">
      <w:pPr>
        <w:keepNext/>
        <w:keepLines/>
      </w:pPr>
      <w:r w:rsidRPr="00DF214E">
        <w:fldChar w:fldCharType="begin"/>
      </w:r>
      <w:r w:rsidRPr="00DF214E">
        <w:instrText xml:space="preserve"> AUTONUM  </w:instrText>
      </w:r>
      <w:r w:rsidRPr="00DF214E">
        <w:fldChar w:fldCharType="end"/>
      </w:r>
      <w:r w:rsidRPr="00DF214E">
        <w:tab/>
      </w:r>
      <w:r>
        <w:t>The TC, at its fifty-sixth session, and the CAJ, at its seventy-seventh session</w:t>
      </w:r>
      <w:r>
        <w:rPr>
          <w:rStyle w:val="FootnoteReference"/>
        </w:rPr>
        <w:footnoteReference w:id="2"/>
      </w:r>
      <w:r>
        <w:t xml:space="preserve">, agreed the program for the development of TGP documents, as set out in </w:t>
      </w:r>
      <w:r w:rsidRPr="0058379E">
        <w:t>Annexes I and II to this document (see document TC/56/23 “Report”, paragraphs 42 to 44, and document CAJ/77/9 “Outcome of consideration of documents by correspondence”, paragraphs 32 and 33).</w:t>
      </w:r>
    </w:p>
    <w:p w:rsidR="00A05D06" w:rsidRPr="0058379E" w:rsidRDefault="00A05D06" w:rsidP="00A05D06"/>
    <w:p w:rsidR="00A05D06" w:rsidRPr="00DF214E" w:rsidRDefault="00A05D06" w:rsidP="00A05D06">
      <w:pPr>
        <w:keepNext/>
        <w:tabs>
          <w:tab w:val="left" w:pos="5387"/>
        </w:tabs>
        <w:ind w:left="4820"/>
        <w:rPr>
          <w:i/>
        </w:rPr>
      </w:pPr>
      <w:r w:rsidRPr="0058379E">
        <w:rPr>
          <w:i/>
        </w:rPr>
        <w:fldChar w:fldCharType="begin"/>
      </w:r>
      <w:r w:rsidRPr="0058379E">
        <w:rPr>
          <w:i/>
        </w:rPr>
        <w:instrText xml:space="preserve"> AUTONUM  </w:instrText>
      </w:r>
      <w:r w:rsidRPr="0058379E">
        <w:rPr>
          <w:i/>
        </w:rPr>
        <w:fldChar w:fldCharType="end"/>
      </w:r>
      <w:r w:rsidRPr="0058379E">
        <w:rPr>
          <w:i/>
        </w:rPr>
        <w:tab/>
        <w:t xml:space="preserve">The TWPs are invited to note the program for the development of relevant guidance and information materials, as set out in Annexes </w:t>
      </w:r>
      <w:proofErr w:type="gramStart"/>
      <w:r w:rsidRPr="0058379E">
        <w:rPr>
          <w:i/>
        </w:rPr>
        <w:t>I</w:t>
      </w:r>
      <w:proofErr w:type="gramEnd"/>
      <w:r w:rsidRPr="0058379E">
        <w:rPr>
          <w:i/>
        </w:rPr>
        <w:t xml:space="preserve"> and II</w:t>
      </w:r>
      <w:bookmarkStart w:id="12" w:name="_GoBack"/>
      <w:bookmarkEnd w:id="12"/>
      <w:r>
        <w:rPr>
          <w:i/>
        </w:rPr>
        <w:t xml:space="preserve"> to this document</w:t>
      </w:r>
      <w:r w:rsidRPr="007331F9">
        <w:rPr>
          <w:i/>
        </w:rPr>
        <w:t>.</w:t>
      </w:r>
    </w:p>
    <w:p w:rsidR="00A05D06" w:rsidRPr="00DF214E" w:rsidRDefault="00A05D06" w:rsidP="00A05D06"/>
    <w:p w:rsidR="00A05D06" w:rsidRPr="00DF214E" w:rsidRDefault="00A05D06" w:rsidP="00A05D06"/>
    <w:p w:rsidR="00A05D06" w:rsidRPr="00DF214E" w:rsidRDefault="00A05D06" w:rsidP="00A05D06">
      <w:pPr>
        <w:keepNext/>
        <w:outlineLvl w:val="0"/>
        <w:rPr>
          <w:caps/>
        </w:rPr>
      </w:pPr>
      <w:bookmarkStart w:id="13" w:name="_Toc889243"/>
      <w:bookmarkStart w:id="14" w:name="_Toc37165238"/>
      <w:bookmarkStart w:id="15" w:name="_Toc65839437"/>
      <w:r>
        <w:rPr>
          <w:caps/>
        </w:rPr>
        <w:t>Documents</w:t>
      </w:r>
      <w:r w:rsidRPr="00DF214E">
        <w:rPr>
          <w:caps/>
        </w:rPr>
        <w:t xml:space="preserve"> for adoption in 20</w:t>
      </w:r>
      <w:bookmarkEnd w:id="13"/>
      <w:r w:rsidRPr="00DF214E">
        <w:rPr>
          <w:caps/>
        </w:rPr>
        <w:t>2</w:t>
      </w:r>
      <w:bookmarkEnd w:id="14"/>
      <w:r>
        <w:rPr>
          <w:caps/>
        </w:rPr>
        <w:t>1</w:t>
      </w:r>
      <w:bookmarkEnd w:id="15"/>
    </w:p>
    <w:p w:rsidR="00A05D06" w:rsidRPr="00DF214E" w:rsidRDefault="00A05D06" w:rsidP="00A05D06">
      <w:pPr>
        <w:rPr>
          <w:highlight w:val="yellow"/>
        </w:rPr>
      </w:pPr>
    </w:p>
    <w:p w:rsidR="00A05D06" w:rsidRPr="00DF214E" w:rsidRDefault="00A05D06" w:rsidP="00A05D06">
      <w:pPr>
        <w:rPr>
          <w:spacing w:val="-2"/>
        </w:rPr>
      </w:pPr>
      <w:r w:rsidRPr="00DF214E">
        <w:fldChar w:fldCharType="begin"/>
      </w:r>
      <w:r w:rsidRPr="00DF214E">
        <w:instrText xml:space="preserve"> AUTONUM  </w:instrText>
      </w:r>
      <w:r w:rsidRPr="00DF214E">
        <w:fldChar w:fldCharType="end"/>
      </w:r>
      <w:r w:rsidRPr="00DF214E">
        <w:tab/>
        <w:t xml:space="preserve">The following </w:t>
      </w:r>
      <w:r>
        <w:t>guidance and information materials</w:t>
      </w:r>
      <w:r w:rsidRPr="00DF214E">
        <w:t xml:space="preserve"> </w:t>
      </w:r>
      <w:proofErr w:type="gramStart"/>
      <w:r w:rsidRPr="00DF214E">
        <w:t>were agreed to be proposed</w:t>
      </w:r>
      <w:proofErr w:type="gramEnd"/>
      <w:r w:rsidRPr="00DF214E">
        <w:t xml:space="preserve"> for adoption by the Council at its fifty</w:t>
      </w:r>
      <w:r w:rsidRPr="00DF214E">
        <w:noBreakHyphen/>
      </w:r>
      <w:r>
        <w:t>fifth</w:t>
      </w:r>
      <w:r w:rsidRPr="00DF214E">
        <w:t xml:space="preserve"> ordinary session, to be held in Geneva on October </w:t>
      </w:r>
      <w:r>
        <w:t>29</w:t>
      </w:r>
      <w:r w:rsidRPr="00DF214E">
        <w:t>, 202</w:t>
      </w:r>
      <w:r>
        <w:t>1</w:t>
      </w:r>
      <w:r w:rsidRPr="00DF214E">
        <w:t>, subject to approval by the CAJ, at its seventy</w:t>
      </w:r>
      <w:r w:rsidRPr="00DF214E">
        <w:noBreakHyphen/>
      </w:r>
      <w:r>
        <w:t>eighth</w:t>
      </w:r>
      <w:r w:rsidRPr="00DF214E">
        <w:t xml:space="preserve"> session, to be held in Geneva on October 2</w:t>
      </w:r>
      <w:r>
        <w:t>7</w:t>
      </w:r>
      <w:r w:rsidRPr="00DF214E">
        <w:t>, 202</w:t>
      </w:r>
      <w:r>
        <w:t>1:</w:t>
      </w:r>
    </w:p>
    <w:p w:rsidR="00A05D06" w:rsidRPr="00A732A2" w:rsidRDefault="00A05D06" w:rsidP="00A05D06"/>
    <w:p w:rsidR="00A05D06" w:rsidRDefault="00A05D06" w:rsidP="00A05D06">
      <w:pPr>
        <w:pStyle w:val="Heading2"/>
      </w:pPr>
      <w:bookmarkStart w:id="16" w:name="_Toc65839438"/>
      <w:r w:rsidRPr="00A732A2">
        <w:t>Review of document UPOV/INF/12 “Explanatory Notes on Variety Denominations under the UPOV Convention”</w:t>
      </w:r>
      <w:bookmarkEnd w:id="16"/>
      <w:r w:rsidRPr="00A732A2">
        <w:t xml:space="preserve"> </w:t>
      </w:r>
    </w:p>
    <w:p w:rsidR="00A05D06" w:rsidRPr="00A732A2" w:rsidRDefault="00A05D06" w:rsidP="00A05D06">
      <w:pPr>
        <w:pStyle w:val="Heading2"/>
      </w:pPr>
    </w:p>
    <w:p w:rsidR="00A05D06" w:rsidRPr="00A732A2" w:rsidRDefault="00A05D06" w:rsidP="00A05D06">
      <w:pPr>
        <w:ind w:left="1134" w:hanging="567"/>
      </w:pPr>
      <w:r>
        <w:tab/>
      </w:r>
      <w:r>
        <w:tab/>
        <w:t xml:space="preserve">See document </w:t>
      </w:r>
      <w:r w:rsidRPr="00A732A2">
        <w:t>TWP/5/6</w:t>
      </w:r>
      <w:r w:rsidR="00204AC7">
        <w:t xml:space="preserve"> “Variety denominations”</w:t>
      </w:r>
      <w:r w:rsidRPr="00A732A2">
        <w:t>.</w:t>
      </w:r>
    </w:p>
    <w:p w:rsidR="00A05D06" w:rsidRPr="00A732A2" w:rsidRDefault="00A05D06" w:rsidP="00A05D06"/>
    <w:p w:rsidR="00A05D06" w:rsidRPr="00DF214E" w:rsidRDefault="00A05D06" w:rsidP="00A05D06">
      <w:pPr>
        <w:tabs>
          <w:tab w:val="left" w:pos="5387"/>
          <w:tab w:val="left" w:pos="5954"/>
        </w:tabs>
        <w:ind w:left="4820"/>
        <w:rPr>
          <w:i/>
        </w:rPr>
      </w:pPr>
      <w:r w:rsidRPr="00A732A2">
        <w:rPr>
          <w:i/>
        </w:rPr>
        <w:fldChar w:fldCharType="begin"/>
      </w:r>
      <w:r w:rsidRPr="00A732A2">
        <w:rPr>
          <w:i/>
        </w:rPr>
        <w:instrText xml:space="preserve"> AUTONUM  </w:instrText>
      </w:r>
      <w:r w:rsidRPr="00A732A2">
        <w:rPr>
          <w:i/>
        </w:rPr>
        <w:fldChar w:fldCharType="end"/>
      </w:r>
      <w:r w:rsidRPr="00A732A2">
        <w:rPr>
          <w:i/>
        </w:rPr>
        <w:tab/>
        <w:t xml:space="preserve">The TWPs </w:t>
      </w:r>
      <w:proofErr w:type="gramStart"/>
      <w:r w:rsidRPr="00A732A2">
        <w:rPr>
          <w:i/>
        </w:rPr>
        <w:t>are invited</w:t>
      </w:r>
      <w:proofErr w:type="gramEnd"/>
      <w:r w:rsidRPr="00A732A2">
        <w:rPr>
          <w:i/>
        </w:rPr>
        <w:t xml:space="preserve"> to note that matters concerning </w:t>
      </w:r>
      <w:r>
        <w:rPr>
          <w:i/>
        </w:rPr>
        <w:t xml:space="preserve">the revision of </w:t>
      </w:r>
      <w:r w:rsidRPr="00A87C64">
        <w:rPr>
          <w:i/>
        </w:rPr>
        <w:t>document UPOV/INF/12 “Explanatory Notes on Variety Denominations under the UPOV Convention”</w:t>
      </w:r>
      <w:r w:rsidRPr="00A732A2">
        <w:rPr>
          <w:i/>
        </w:rPr>
        <w:t xml:space="preserve"> are reported in document TWP/5/6.</w:t>
      </w:r>
    </w:p>
    <w:p w:rsidR="00A05D06" w:rsidRDefault="00A05D06" w:rsidP="00A05D06">
      <w:pPr>
        <w:ind w:left="1134" w:hanging="567"/>
      </w:pPr>
    </w:p>
    <w:p w:rsidR="00A05D06" w:rsidRPr="00DF214E" w:rsidRDefault="00A05D06" w:rsidP="00A05D06">
      <w:pPr>
        <w:ind w:left="1134" w:hanging="567"/>
      </w:pPr>
    </w:p>
    <w:p w:rsidR="00A05D06" w:rsidRDefault="00A05D06" w:rsidP="00A05D06">
      <w:pPr>
        <w:pStyle w:val="Heading2"/>
      </w:pPr>
      <w:bookmarkStart w:id="17" w:name="_Toc65839439"/>
      <w:r>
        <w:t xml:space="preserve">Revision of document </w:t>
      </w:r>
      <w:r w:rsidRPr="007E6AE4">
        <w:t>UPOV/INF/17 “Guidelines for DNA-Profiling: Molecular Marker Selection and Database Construction (‘BMT Guidelines’)”</w:t>
      </w:r>
      <w:bookmarkEnd w:id="17"/>
    </w:p>
    <w:p w:rsidR="00A05D06" w:rsidRDefault="00A05D06" w:rsidP="00A05D06">
      <w:pPr>
        <w:ind w:left="1134" w:hanging="567"/>
      </w:pPr>
    </w:p>
    <w:p w:rsidR="00A05D06" w:rsidRPr="00DF214E" w:rsidRDefault="00A05D06" w:rsidP="00A05D06">
      <w:pPr>
        <w:ind w:left="1134" w:hanging="567"/>
      </w:pPr>
      <w:r>
        <w:tab/>
      </w:r>
      <w:r>
        <w:tab/>
        <w:t xml:space="preserve">See documents </w:t>
      </w:r>
      <w:r w:rsidRPr="008D0013">
        <w:t>UPOV/INF/17/2 Draft 5</w:t>
      </w:r>
      <w:r>
        <w:t xml:space="preserve"> and TWP/5/7 “Molecular Techniques”.</w:t>
      </w:r>
    </w:p>
    <w:p w:rsidR="00A05D06" w:rsidRDefault="00A05D06" w:rsidP="00A05D06">
      <w:pPr>
        <w:ind w:left="1134" w:hanging="567"/>
      </w:pPr>
    </w:p>
    <w:p w:rsidR="00A05D06" w:rsidRPr="0031067E" w:rsidRDefault="00A05D06" w:rsidP="00A05D06">
      <w:pPr>
        <w:tabs>
          <w:tab w:val="left" w:pos="5387"/>
        </w:tabs>
        <w:ind w:left="4820"/>
        <w:rPr>
          <w:i/>
        </w:rPr>
      </w:pPr>
      <w:r w:rsidRPr="0031067E">
        <w:rPr>
          <w:i/>
        </w:rPr>
        <w:fldChar w:fldCharType="begin"/>
      </w:r>
      <w:r w:rsidRPr="0031067E">
        <w:rPr>
          <w:i/>
        </w:rPr>
        <w:instrText xml:space="preserve"> AUTONUM  </w:instrText>
      </w:r>
      <w:r w:rsidRPr="0031067E">
        <w:rPr>
          <w:i/>
        </w:rPr>
        <w:fldChar w:fldCharType="end"/>
      </w:r>
      <w:r w:rsidRPr="0031067E">
        <w:rPr>
          <w:i/>
        </w:rPr>
        <w:tab/>
        <w:t xml:space="preserve">The TWPs are invited to note that matters </w:t>
      </w:r>
      <w:r>
        <w:rPr>
          <w:i/>
        </w:rPr>
        <w:t>concerning</w:t>
      </w:r>
      <w:r w:rsidRPr="0031067E">
        <w:rPr>
          <w:i/>
        </w:rPr>
        <w:t xml:space="preserve"> the Revision of document UPOV/INF/17 “Guidelines for DNA-Profiling: Molecular Marker Selection and Database Construction (‘BMT Guidelines’)” are </w:t>
      </w:r>
      <w:r w:rsidR="003E55BE">
        <w:rPr>
          <w:i/>
        </w:rPr>
        <w:t>considered</w:t>
      </w:r>
      <w:r w:rsidRPr="0031067E">
        <w:rPr>
          <w:i/>
        </w:rPr>
        <w:t xml:space="preserve"> in documents</w:t>
      </w:r>
      <w:r>
        <w:rPr>
          <w:i/>
        </w:rPr>
        <w:t> </w:t>
      </w:r>
      <w:r w:rsidRPr="0031067E">
        <w:rPr>
          <w:i/>
        </w:rPr>
        <w:t>UPOV/INF/17/2 Draft 5 and TWP/5/7.</w:t>
      </w:r>
    </w:p>
    <w:p w:rsidR="00A05D06" w:rsidRDefault="00A05D06" w:rsidP="00A05D06">
      <w:pPr>
        <w:ind w:left="1134" w:hanging="567"/>
      </w:pPr>
    </w:p>
    <w:p w:rsidR="00A05D06" w:rsidRPr="00DF214E" w:rsidRDefault="00A05D06" w:rsidP="00A05D06">
      <w:pPr>
        <w:ind w:left="1134" w:hanging="567"/>
      </w:pPr>
    </w:p>
    <w:p w:rsidR="00A05D06" w:rsidRDefault="00A05D06" w:rsidP="00A05D06">
      <w:pPr>
        <w:pStyle w:val="Heading2"/>
      </w:pPr>
      <w:bookmarkStart w:id="18" w:name="_Toc65839440"/>
      <w:r w:rsidRPr="00DF214E">
        <w:t>Revision of document UPOV/INF/22 “Software and Equipment Used by Members of the Union”</w:t>
      </w:r>
      <w:bookmarkEnd w:id="18"/>
    </w:p>
    <w:p w:rsidR="00A05D06" w:rsidRDefault="00A05D06" w:rsidP="00A05D06">
      <w:pPr>
        <w:ind w:left="1134" w:hanging="567"/>
      </w:pPr>
    </w:p>
    <w:p w:rsidR="00A05D06" w:rsidRDefault="00A05D06" w:rsidP="00A05D06">
      <w:pPr>
        <w:ind w:left="1134" w:hanging="567"/>
      </w:pPr>
      <w:r>
        <w:tab/>
      </w:r>
      <w:r>
        <w:tab/>
        <w:t>See document TWP/5/5 “Exchange and use of software and equipment”.</w:t>
      </w:r>
    </w:p>
    <w:p w:rsidR="00A05D06" w:rsidRDefault="00A05D06" w:rsidP="00A05D06">
      <w:pPr>
        <w:ind w:left="1134" w:hanging="567"/>
      </w:pPr>
    </w:p>
    <w:p w:rsidR="00A05D06" w:rsidRPr="0031067E" w:rsidRDefault="00A05D06" w:rsidP="00A05D06">
      <w:pPr>
        <w:tabs>
          <w:tab w:val="left" w:pos="5387"/>
        </w:tabs>
        <w:ind w:left="4820"/>
        <w:rPr>
          <w:i/>
        </w:rPr>
      </w:pPr>
      <w:r w:rsidRPr="0031067E">
        <w:rPr>
          <w:i/>
        </w:rPr>
        <w:fldChar w:fldCharType="begin"/>
      </w:r>
      <w:r w:rsidRPr="0031067E">
        <w:rPr>
          <w:i/>
        </w:rPr>
        <w:instrText xml:space="preserve"> AUTONUM  </w:instrText>
      </w:r>
      <w:r w:rsidRPr="0031067E">
        <w:rPr>
          <w:i/>
        </w:rPr>
        <w:fldChar w:fldCharType="end"/>
      </w:r>
      <w:r w:rsidRPr="0031067E">
        <w:rPr>
          <w:i/>
        </w:rPr>
        <w:tab/>
        <w:t xml:space="preserve">The TWPs </w:t>
      </w:r>
      <w:proofErr w:type="gramStart"/>
      <w:r w:rsidRPr="0031067E">
        <w:rPr>
          <w:i/>
        </w:rPr>
        <w:t>are invited</w:t>
      </w:r>
      <w:proofErr w:type="gramEnd"/>
      <w:r w:rsidRPr="0031067E">
        <w:rPr>
          <w:i/>
        </w:rPr>
        <w:t xml:space="preserve"> to note that matters </w:t>
      </w:r>
      <w:r>
        <w:rPr>
          <w:i/>
        </w:rPr>
        <w:t>concerning</w:t>
      </w:r>
      <w:r w:rsidRPr="0031067E">
        <w:rPr>
          <w:i/>
        </w:rPr>
        <w:t xml:space="preserve"> the revision of document UPOV/INF/22 “Software and Equipment Used by Members of the Union” are </w:t>
      </w:r>
      <w:r w:rsidR="003E55BE">
        <w:rPr>
          <w:i/>
        </w:rPr>
        <w:t>considered</w:t>
      </w:r>
      <w:r w:rsidRPr="0031067E">
        <w:rPr>
          <w:i/>
        </w:rPr>
        <w:t xml:space="preserve"> in document TWP/5/5.</w:t>
      </w:r>
    </w:p>
    <w:p w:rsidR="00A05D06" w:rsidRDefault="00A05D06" w:rsidP="00A05D06">
      <w:pPr>
        <w:ind w:left="1134" w:hanging="567"/>
      </w:pPr>
    </w:p>
    <w:p w:rsidR="00A05D06" w:rsidRDefault="00A05D06" w:rsidP="00A05D06">
      <w:pPr>
        <w:ind w:left="1134" w:hanging="567"/>
      </w:pPr>
    </w:p>
    <w:p w:rsidR="00A05D06" w:rsidRPr="00DF214E" w:rsidRDefault="00A05D06" w:rsidP="00A05D06">
      <w:pPr>
        <w:pStyle w:val="Heading2"/>
      </w:pPr>
      <w:bookmarkStart w:id="19" w:name="_Toc37165259"/>
      <w:bookmarkStart w:id="20" w:name="_Toc65839441"/>
      <w:r w:rsidRPr="00DF214E">
        <w:t>Development</w:t>
      </w:r>
      <w:r w:rsidRPr="00DF214E">
        <w:rPr>
          <w:snapToGrid w:val="0"/>
        </w:rPr>
        <w:t xml:space="preserve"> of document UPOV/INF/23 “</w:t>
      </w:r>
      <w:r w:rsidRPr="00DF214E">
        <w:t>UPOV Code System”</w:t>
      </w:r>
      <w:bookmarkEnd w:id="19"/>
      <w:bookmarkEnd w:id="20"/>
    </w:p>
    <w:p w:rsidR="00A05D06" w:rsidRDefault="00A05D06" w:rsidP="00A05D06"/>
    <w:p w:rsidR="00A05D06" w:rsidRDefault="00A05D06" w:rsidP="00A05D0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CAJ, at its seventy-seventh session, approved the “Guide to the UPOV Code System”, </w:t>
      </w:r>
      <w:proofErr w:type="gramStart"/>
      <w:r>
        <w:t>on the basis of</w:t>
      </w:r>
      <w:proofErr w:type="gramEnd"/>
      <w:r>
        <w:t xml:space="preserve"> document UPOV/INF/23/1 Draft 1.  The CAJ proposed that the TC consider a new draft of document UPOV/INF/23/1 “Guide to the UPOV Code System” in 2021 (see document CAJ/77/9 “Outcome of consideration of documents by correspondence”, paragraphs 26 and 27).</w:t>
      </w:r>
    </w:p>
    <w:p w:rsidR="00A05D06" w:rsidRPr="00DF214E" w:rsidRDefault="00A05D06" w:rsidP="00A05D06"/>
    <w:p w:rsidR="00A05D06" w:rsidRDefault="00A05D06" w:rsidP="00A05D06">
      <w:r w:rsidRPr="00A732A2">
        <w:fldChar w:fldCharType="begin"/>
      </w:r>
      <w:r w:rsidRPr="00A732A2">
        <w:instrText xml:space="preserve"> AUTONUM  </w:instrText>
      </w:r>
      <w:r w:rsidRPr="00A732A2">
        <w:fldChar w:fldCharType="end"/>
      </w:r>
      <w:r w:rsidRPr="00A732A2">
        <w:tab/>
      </w:r>
      <w:r>
        <w:rPr>
          <w:lang w:eastAsia="ja-JP"/>
        </w:rPr>
        <w:t xml:space="preserve">The TWPs, at their sessions in 2021, </w:t>
      </w:r>
      <w:proofErr w:type="gramStart"/>
      <w:r>
        <w:rPr>
          <w:lang w:eastAsia="ja-JP"/>
        </w:rPr>
        <w:t>will be invited</w:t>
      </w:r>
      <w:proofErr w:type="gramEnd"/>
      <w:r>
        <w:rPr>
          <w:lang w:eastAsia="ja-JP"/>
        </w:rPr>
        <w:t xml:space="preserve"> to consider a draft of </w:t>
      </w:r>
      <w:r w:rsidRPr="008A6B9F">
        <w:t>document</w:t>
      </w:r>
      <w:r>
        <w:t> </w:t>
      </w:r>
      <w:r w:rsidRPr="008A6B9F">
        <w:t>UPOV/INF/23/1 “Guide to the UPOV Code System”</w:t>
      </w:r>
      <w:r>
        <w:t>.  Further matters regarding the UPOV code system are presented in document TWP/5/4 “UPOV information and databases”.</w:t>
      </w:r>
    </w:p>
    <w:p w:rsidR="00A05D06" w:rsidRPr="00DF214E" w:rsidRDefault="00A05D06" w:rsidP="00A05D06">
      <w:pPr>
        <w:rPr>
          <w:lang w:eastAsia="ja-JP"/>
        </w:rPr>
      </w:pPr>
    </w:p>
    <w:p w:rsidR="00A05D06" w:rsidRPr="00DF214E" w:rsidRDefault="00A05D06" w:rsidP="00A05D06">
      <w:pPr>
        <w:keepLines/>
        <w:tabs>
          <w:tab w:val="left" w:pos="5387"/>
        </w:tabs>
        <w:ind w:left="4820"/>
        <w:rPr>
          <w:i/>
          <w:snapToGrid w:val="0"/>
        </w:rPr>
      </w:pPr>
      <w:r w:rsidRPr="00286067">
        <w:rPr>
          <w:i/>
          <w:snapToGrid w:val="0"/>
        </w:rPr>
        <w:fldChar w:fldCharType="begin"/>
      </w:r>
      <w:r w:rsidRPr="00286067">
        <w:rPr>
          <w:i/>
          <w:snapToGrid w:val="0"/>
        </w:rPr>
        <w:instrText xml:space="preserve"> AUTONUM  </w:instrText>
      </w:r>
      <w:r w:rsidRPr="00286067">
        <w:rPr>
          <w:i/>
          <w:snapToGrid w:val="0"/>
        </w:rPr>
        <w:fldChar w:fldCharType="end"/>
      </w:r>
      <w:r w:rsidRPr="00286067">
        <w:rPr>
          <w:i/>
          <w:snapToGrid w:val="0"/>
        </w:rPr>
        <w:tab/>
      </w:r>
      <w:r w:rsidRPr="0031067E">
        <w:rPr>
          <w:i/>
        </w:rPr>
        <w:t xml:space="preserve">The TWPs are invited to note that matters </w:t>
      </w:r>
      <w:r>
        <w:rPr>
          <w:i/>
        </w:rPr>
        <w:t>concerning</w:t>
      </w:r>
      <w:r w:rsidRPr="0031067E">
        <w:rPr>
          <w:i/>
        </w:rPr>
        <w:t xml:space="preserve"> the </w:t>
      </w:r>
      <w:r w:rsidRPr="00286067">
        <w:rPr>
          <w:i/>
          <w:snapToGrid w:val="0"/>
        </w:rPr>
        <w:t xml:space="preserve">development of document UPOV/INF/23 “UPOV Code System” will be </w:t>
      </w:r>
      <w:r w:rsidR="005A3F31">
        <w:rPr>
          <w:i/>
          <w:snapToGrid w:val="0"/>
        </w:rPr>
        <w:t>considered</w:t>
      </w:r>
      <w:r w:rsidR="005A3F31" w:rsidRPr="00286067">
        <w:rPr>
          <w:i/>
          <w:snapToGrid w:val="0"/>
        </w:rPr>
        <w:t xml:space="preserve"> </w:t>
      </w:r>
      <w:r w:rsidRPr="00286067">
        <w:rPr>
          <w:i/>
          <w:snapToGrid w:val="0"/>
        </w:rPr>
        <w:t>in document</w:t>
      </w:r>
      <w:r>
        <w:rPr>
          <w:i/>
          <w:snapToGrid w:val="0"/>
        </w:rPr>
        <w:t> </w:t>
      </w:r>
      <w:r w:rsidRPr="00286067">
        <w:rPr>
          <w:i/>
          <w:snapToGrid w:val="0"/>
        </w:rPr>
        <w:t>TWP/5/4 “UPOV information and databases”.</w:t>
      </w:r>
    </w:p>
    <w:p w:rsidR="00A05D06" w:rsidRPr="00DF214E" w:rsidRDefault="00A05D06" w:rsidP="00A05D06">
      <w:pPr>
        <w:ind w:left="567" w:hanging="567"/>
        <w:jc w:val="left"/>
      </w:pPr>
    </w:p>
    <w:p w:rsidR="00A05D06" w:rsidRPr="00DF214E" w:rsidRDefault="00A05D06" w:rsidP="00A05D06">
      <w:pPr>
        <w:ind w:left="567" w:hanging="567"/>
        <w:jc w:val="left"/>
      </w:pPr>
    </w:p>
    <w:p w:rsidR="00A05D06" w:rsidRPr="00DF214E" w:rsidRDefault="00A05D06" w:rsidP="00A05D06">
      <w:pPr>
        <w:keepNext/>
        <w:outlineLvl w:val="0"/>
        <w:rPr>
          <w:caps/>
        </w:rPr>
      </w:pPr>
      <w:bookmarkStart w:id="21" w:name="_Toc65839442"/>
      <w:r>
        <w:rPr>
          <w:caps/>
        </w:rPr>
        <w:t>documents for adoption after 2021</w:t>
      </w:r>
      <w:bookmarkEnd w:id="21"/>
    </w:p>
    <w:p w:rsidR="00A05D06" w:rsidRPr="00DF214E" w:rsidRDefault="00A05D06" w:rsidP="00A05D06">
      <w:pPr>
        <w:keepNext/>
      </w:pPr>
    </w:p>
    <w:p w:rsidR="00A05D06" w:rsidRPr="00DF214E" w:rsidRDefault="00A05D06" w:rsidP="00A05D06">
      <w:pPr>
        <w:keepNext/>
        <w:outlineLvl w:val="1"/>
        <w:rPr>
          <w:u w:val="single"/>
        </w:rPr>
      </w:pPr>
      <w:bookmarkStart w:id="22" w:name="_Toc65839443"/>
      <w:r w:rsidRPr="00DF214E">
        <w:rPr>
          <w:u w:val="single"/>
        </w:rPr>
        <w:t>TGP/5 Section 6:  UPOV Report on Technical Examination and UPOV Variety Description</w:t>
      </w:r>
      <w:bookmarkEnd w:id="22"/>
    </w:p>
    <w:p w:rsidR="00A05D06" w:rsidRDefault="00A05D06" w:rsidP="00A05D06">
      <w:pPr>
        <w:tabs>
          <w:tab w:val="left" w:pos="567"/>
          <w:tab w:val="left" w:pos="1134"/>
          <w:tab w:val="left" w:pos="1701"/>
          <w:tab w:val="left" w:pos="5954"/>
        </w:tabs>
      </w:pPr>
    </w:p>
    <w:p w:rsidR="00616830" w:rsidRDefault="00616830" w:rsidP="00616830">
      <w:pPr>
        <w:pStyle w:val="Heading3"/>
      </w:pPr>
      <w:bookmarkStart w:id="23" w:name="_Toc65839444"/>
      <w:r>
        <w:t>Additional information to be included in DUS test reports</w:t>
      </w:r>
      <w:bookmarkEnd w:id="23"/>
    </w:p>
    <w:p w:rsidR="00616830" w:rsidRDefault="00616830" w:rsidP="00A05D06">
      <w:pPr>
        <w:tabs>
          <w:tab w:val="left" w:pos="567"/>
          <w:tab w:val="left" w:pos="1134"/>
          <w:tab w:val="left" w:pos="1701"/>
          <w:tab w:val="left" w:pos="5954"/>
        </w:tabs>
      </w:pPr>
    </w:p>
    <w:p w:rsidR="00092390" w:rsidRDefault="00092390" w:rsidP="00092390">
      <w:pPr>
        <w:ind w:left="1134" w:hanging="567"/>
      </w:pPr>
      <w:r>
        <w:tab/>
      </w:r>
      <w:r>
        <w:tab/>
        <w:t>See document TWP/5/14 “Revision of document TGP/5 Section 6 “</w:t>
      </w:r>
      <w:r w:rsidRPr="00092390">
        <w:t>UPOV Report on Technical Examination and UPOV Variety Description</w:t>
      </w:r>
      <w:r>
        <w:t>”.</w:t>
      </w:r>
    </w:p>
    <w:p w:rsidR="00616830" w:rsidRDefault="00616830" w:rsidP="00616830"/>
    <w:p w:rsidR="00616830" w:rsidRDefault="00616830" w:rsidP="00616830">
      <w:pPr>
        <w:pStyle w:val="Heading3"/>
      </w:pPr>
      <w:bookmarkStart w:id="24" w:name="_Toc65839445"/>
      <w:r>
        <w:t>Testing facility and location</w:t>
      </w:r>
      <w:bookmarkEnd w:id="24"/>
    </w:p>
    <w:p w:rsidR="00616830" w:rsidRDefault="00616830" w:rsidP="00616830">
      <w:pPr>
        <w:tabs>
          <w:tab w:val="left" w:pos="567"/>
          <w:tab w:val="left" w:pos="1134"/>
          <w:tab w:val="left" w:pos="1701"/>
          <w:tab w:val="left" w:pos="5954"/>
        </w:tabs>
      </w:pPr>
    </w:p>
    <w:p w:rsidR="00616830" w:rsidRDefault="00616830" w:rsidP="00616830">
      <w:pPr>
        <w:ind w:left="1134" w:hanging="567"/>
      </w:pPr>
      <w:r>
        <w:tab/>
      </w:r>
      <w:r>
        <w:tab/>
        <w:t>See document TWP/5/14 “Revision of document TGP/5 Section 6 “</w:t>
      </w:r>
      <w:r w:rsidRPr="00092390">
        <w:t>UPOV Report on Technical Examination and UPOV Variety Description</w:t>
      </w:r>
      <w:r>
        <w:t>”.</w:t>
      </w:r>
    </w:p>
    <w:p w:rsidR="00092390" w:rsidRDefault="00092390" w:rsidP="00092390">
      <w:pPr>
        <w:ind w:left="1134" w:hanging="567"/>
      </w:pPr>
    </w:p>
    <w:p w:rsidR="00092390" w:rsidRPr="0031067E" w:rsidRDefault="00092390" w:rsidP="00092390">
      <w:pPr>
        <w:tabs>
          <w:tab w:val="left" w:pos="5387"/>
        </w:tabs>
        <w:ind w:left="4820"/>
        <w:rPr>
          <w:i/>
        </w:rPr>
      </w:pPr>
      <w:r w:rsidRPr="0031067E">
        <w:rPr>
          <w:i/>
        </w:rPr>
        <w:fldChar w:fldCharType="begin"/>
      </w:r>
      <w:r w:rsidRPr="0031067E">
        <w:rPr>
          <w:i/>
        </w:rPr>
        <w:instrText xml:space="preserve"> AUTONUM  </w:instrText>
      </w:r>
      <w:r w:rsidRPr="0031067E">
        <w:rPr>
          <w:i/>
        </w:rPr>
        <w:fldChar w:fldCharType="end"/>
      </w:r>
      <w:r w:rsidRPr="0031067E">
        <w:rPr>
          <w:i/>
        </w:rPr>
        <w:tab/>
        <w:t xml:space="preserve">The TWPs </w:t>
      </w:r>
      <w:proofErr w:type="gramStart"/>
      <w:r w:rsidRPr="0031067E">
        <w:rPr>
          <w:i/>
        </w:rPr>
        <w:t>are invited</w:t>
      </w:r>
      <w:proofErr w:type="gramEnd"/>
      <w:r w:rsidRPr="0031067E">
        <w:rPr>
          <w:i/>
        </w:rPr>
        <w:t xml:space="preserve"> to note that matters </w:t>
      </w:r>
      <w:r>
        <w:rPr>
          <w:i/>
        </w:rPr>
        <w:t>concerning</w:t>
      </w:r>
      <w:r w:rsidRPr="0031067E">
        <w:rPr>
          <w:i/>
        </w:rPr>
        <w:t xml:space="preserve"> the revision of document </w:t>
      </w:r>
      <w:r w:rsidR="003E3F79" w:rsidRPr="003E3F79">
        <w:rPr>
          <w:i/>
        </w:rPr>
        <w:t>TGP/5 Section 6 “UPOV Report on Technical Examination and UPOV Variety Description”</w:t>
      </w:r>
      <w:r w:rsidRPr="0031067E">
        <w:rPr>
          <w:i/>
        </w:rPr>
        <w:t xml:space="preserve"> are </w:t>
      </w:r>
      <w:r w:rsidR="005A3F31">
        <w:rPr>
          <w:i/>
        </w:rPr>
        <w:t>considered</w:t>
      </w:r>
      <w:r w:rsidR="005A3F31" w:rsidRPr="0031067E">
        <w:rPr>
          <w:i/>
        </w:rPr>
        <w:t xml:space="preserve"> </w:t>
      </w:r>
      <w:r w:rsidRPr="0031067E">
        <w:rPr>
          <w:i/>
        </w:rPr>
        <w:t>in document</w:t>
      </w:r>
      <w:r w:rsidR="003E3F79">
        <w:rPr>
          <w:i/>
        </w:rPr>
        <w:t> </w:t>
      </w:r>
      <w:r w:rsidRPr="0031067E">
        <w:rPr>
          <w:i/>
        </w:rPr>
        <w:t>TWP/5/</w:t>
      </w:r>
      <w:r w:rsidR="003E3F79">
        <w:rPr>
          <w:i/>
        </w:rPr>
        <w:t>14</w:t>
      </w:r>
      <w:r w:rsidRPr="0031067E">
        <w:rPr>
          <w:i/>
        </w:rPr>
        <w:t>.</w:t>
      </w:r>
    </w:p>
    <w:p w:rsidR="00092390" w:rsidRDefault="00092390" w:rsidP="00A05D06">
      <w:pPr>
        <w:tabs>
          <w:tab w:val="left" w:pos="567"/>
          <w:tab w:val="left" w:pos="1134"/>
          <w:tab w:val="left" w:pos="1701"/>
          <w:tab w:val="left" w:pos="5954"/>
        </w:tabs>
      </w:pPr>
    </w:p>
    <w:p w:rsidR="00A05D06" w:rsidRPr="00DF214E" w:rsidRDefault="00A05D06" w:rsidP="00A05D06">
      <w:pPr>
        <w:keepNext/>
      </w:pPr>
    </w:p>
    <w:p w:rsidR="00A05D06" w:rsidRPr="00A732A2" w:rsidRDefault="00A05D06" w:rsidP="00A05D06">
      <w:pPr>
        <w:keepNext/>
        <w:outlineLvl w:val="1"/>
        <w:rPr>
          <w:u w:val="single"/>
        </w:rPr>
      </w:pPr>
      <w:bookmarkStart w:id="25" w:name="_Toc65839446"/>
      <w:r w:rsidRPr="00A732A2">
        <w:rPr>
          <w:u w:val="single"/>
        </w:rPr>
        <w:t>Document TGP/8:  Trial Design and Techniques Used in the Examination of Distinctness, Uniformity and Stability (Revision)</w:t>
      </w:r>
      <w:bookmarkEnd w:id="25"/>
    </w:p>
    <w:p w:rsidR="00A05D06" w:rsidRPr="00A732A2" w:rsidRDefault="00A05D06" w:rsidP="00A05D06">
      <w:pPr>
        <w:keepNext/>
      </w:pPr>
    </w:p>
    <w:p w:rsidR="00A05D06" w:rsidRPr="00A732A2" w:rsidRDefault="00A05D06" w:rsidP="00A05D06">
      <w:pPr>
        <w:keepNext/>
      </w:pPr>
      <w:r w:rsidRPr="00A732A2">
        <w:fldChar w:fldCharType="begin"/>
      </w:r>
      <w:r w:rsidRPr="00A732A2">
        <w:instrText xml:space="preserve"> AUTONUM  </w:instrText>
      </w:r>
      <w:r w:rsidRPr="00A732A2">
        <w:fldChar w:fldCharType="end"/>
      </w:r>
      <w:r w:rsidRPr="00A732A2">
        <w:tab/>
        <w:t xml:space="preserve">Matters concerning a possible future revision of document TGP/8 </w:t>
      </w:r>
      <w:proofErr w:type="gramStart"/>
      <w:r w:rsidRPr="00A732A2">
        <w:t>are considered</w:t>
      </w:r>
      <w:proofErr w:type="gramEnd"/>
      <w:r w:rsidRPr="00A732A2">
        <w:t xml:space="preserve"> in the following documents:</w:t>
      </w:r>
    </w:p>
    <w:p w:rsidR="00A05D06" w:rsidRPr="00A732A2" w:rsidRDefault="00A05D06" w:rsidP="00A05D06"/>
    <w:p w:rsidR="00A05D06" w:rsidRPr="00A732A2" w:rsidRDefault="00A05D06" w:rsidP="00A05D06">
      <w:pPr>
        <w:keepNext/>
        <w:outlineLvl w:val="2"/>
        <w:rPr>
          <w:rFonts w:eastAsia="MS Mincho"/>
          <w:i/>
        </w:rPr>
      </w:pPr>
      <w:bookmarkStart w:id="26" w:name="_Toc65839447"/>
      <w:r w:rsidRPr="00A732A2">
        <w:rPr>
          <w:rFonts w:eastAsia="MS Mincho"/>
          <w:i/>
        </w:rPr>
        <w:t>Data processing for the production of variety descriptions for measured quantitative characteristics</w:t>
      </w:r>
      <w:bookmarkEnd w:id="26"/>
    </w:p>
    <w:p w:rsidR="00A05D06" w:rsidRPr="00A732A2" w:rsidRDefault="00A05D06" w:rsidP="00A05D06">
      <w:pPr>
        <w:keepNext/>
        <w:ind w:left="1276"/>
        <w:rPr>
          <w:rFonts w:eastAsia="MS Mincho"/>
        </w:rPr>
      </w:pPr>
    </w:p>
    <w:p w:rsidR="00A05D06" w:rsidRPr="00A732A2" w:rsidRDefault="00A05D06" w:rsidP="00A05D06">
      <w:pPr>
        <w:ind w:left="1276"/>
        <w:rPr>
          <w:rFonts w:eastAsia="MS Mincho"/>
        </w:rPr>
      </w:pPr>
      <w:r w:rsidRPr="00A732A2">
        <w:rPr>
          <w:rFonts w:eastAsia="MS Mincho"/>
        </w:rPr>
        <w:t xml:space="preserve">See document TWP/5/10 </w:t>
      </w:r>
    </w:p>
    <w:p w:rsidR="00A05D06" w:rsidRPr="00A732A2" w:rsidRDefault="00A05D06" w:rsidP="00A05D06"/>
    <w:p w:rsidR="00A05D06" w:rsidRPr="00A732A2" w:rsidRDefault="00A05D06" w:rsidP="00A05D06">
      <w:pPr>
        <w:keepNext/>
        <w:outlineLvl w:val="2"/>
        <w:rPr>
          <w:i/>
        </w:rPr>
      </w:pPr>
      <w:bookmarkStart w:id="27" w:name="_Toc65839448"/>
      <w:r w:rsidRPr="00A732A2">
        <w:rPr>
          <w:rFonts w:eastAsia="MS Mincho"/>
          <w:i/>
        </w:rPr>
        <w:t>The Combined-Over-Years Uniformity Criterion (COYU)</w:t>
      </w:r>
      <w:bookmarkEnd w:id="27"/>
    </w:p>
    <w:p w:rsidR="00A05D06" w:rsidRPr="00A732A2" w:rsidRDefault="00A05D06" w:rsidP="00A05D06">
      <w:pPr>
        <w:ind w:left="1276"/>
        <w:rPr>
          <w:rFonts w:eastAsia="MS Mincho"/>
        </w:rPr>
      </w:pPr>
    </w:p>
    <w:p w:rsidR="00A05D06" w:rsidRPr="00A732A2" w:rsidRDefault="00A05D06" w:rsidP="00A05D06">
      <w:pPr>
        <w:ind w:left="1276"/>
        <w:rPr>
          <w:rFonts w:eastAsia="MS Mincho"/>
        </w:rPr>
      </w:pPr>
      <w:r w:rsidRPr="00A732A2">
        <w:rPr>
          <w:rFonts w:eastAsia="MS Mincho"/>
        </w:rPr>
        <w:t xml:space="preserve">See document TWP/5/11 </w:t>
      </w:r>
    </w:p>
    <w:p w:rsidR="00A05D06" w:rsidRPr="00A732A2" w:rsidRDefault="00A05D06" w:rsidP="00A05D06"/>
    <w:p w:rsidR="00A05D06" w:rsidRPr="00A732A2" w:rsidRDefault="00A05D06" w:rsidP="00A05D06">
      <w:pPr>
        <w:tabs>
          <w:tab w:val="left" w:pos="5387"/>
          <w:tab w:val="left" w:pos="5954"/>
        </w:tabs>
        <w:ind w:left="4820"/>
        <w:rPr>
          <w:i/>
        </w:rPr>
      </w:pPr>
      <w:r w:rsidRPr="00A732A2">
        <w:rPr>
          <w:i/>
        </w:rPr>
        <w:fldChar w:fldCharType="begin"/>
      </w:r>
      <w:r w:rsidRPr="00A732A2">
        <w:rPr>
          <w:i/>
        </w:rPr>
        <w:instrText xml:space="preserve"> AUTONUM  </w:instrText>
      </w:r>
      <w:r w:rsidRPr="00A732A2">
        <w:rPr>
          <w:i/>
        </w:rPr>
        <w:fldChar w:fldCharType="end"/>
      </w:r>
      <w:r w:rsidRPr="00A732A2">
        <w:rPr>
          <w:i/>
        </w:rPr>
        <w:tab/>
        <w:t xml:space="preserve">The TWPs </w:t>
      </w:r>
      <w:proofErr w:type="gramStart"/>
      <w:r w:rsidRPr="00A732A2">
        <w:rPr>
          <w:i/>
        </w:rPr>
        <w:t>are invited</w:t>
      </w:r>
      <w:proofErr w:type="gramEnd"/>
      <w:r w:rsidRPr="00A732A2">
        <w:rPr>
          <w:i/>
        </w:rPr>
        <w:t xml:space="preserve"> to note that matters concerning a possible future revision of document TGP/8 are considered in documents TWP/5/10 and TWP/5/11.</w:t>
      </w:r>
    </w:p>
    <w:p w:rsidR="00A05D06" w:rsidRPr="00DF214E" w:rsidRDefault="00A05D06" w:rsidP="00A05D06">
      <w:pPr>
        <w:rPr>
          <w:rFonts w:eastAsia="MS Mincho"/>
        </w:rPr>
      </w:pPr>
    </w:p>
    <w:p w:rsidR="00A05D06" w:rsidRPr="00DF214E" w:rsidRDefault="00A05D06" w:rsidP="00A05D06"/>
    <w:p w:rsidR="00A05D06" w:rsidRPr="00DF214E" w:rsidRDefault="00A05D06" w:rsidP="00A05D06"/>
    <w:p w:rsidR="00A05D06" w:rsidRPr="00DF214E" w:rsidRDefault="00A05D06" w:rsidP="00A05D06">
      <w:pPr>
        <w:jc w:val="right"/>
      </w:pPr>
      <w:r w:rsidRPr="00DF214E">
        <w:t>[Annexes follow]</w:t>
      </w:r>
    </w:p>
    <w:p w:rsidR="00B96F0E" w:rsidRPr="00DF214E" w:rsidRDefault="00B96F0E" w:rsidP="00B96F0E">
      <w:pPr>
        <w:jc w:val="right"/>
        <w:sectPr w:rsidR="00B96F0E" w:rsidRPr="00DF214E" w:rsidSect="00B96F0E">
          <w:headerReference w:type="default" r:id="rId10"/>
          <w:pgSz w:w="11907" w:h="16840" w:code="9"/>
          <w:pgMar w:top="510" w:right="1134" w:bottom="993" w:left="1134" w:header="510" w:footer="680" w:gutter="0"/>
          <w:pgNumType w:start="1"/>
          <w:cols w:space="720"/>
          <w:titlePg/>
        </w:sectPr>
      </w:pPr>
    </w:p>
    <w:p w:rsidR="00B96F0E" w:rsidRPr="00DF214E" w:rsidRDefault="00B96F0E" w:rsidP="00B96F0E">
      <w:pPr>
        <w:jc w:val="center"/>
      </w:pPr>
      <w:r w:rsidRPr="00E419A9">
        <w:rPr>
          <w:noProof/>
        </w:rPr>
        <w:drawing>
          <wp:inline distT="0" distB="0" distL="0" distR="0" wp14:anchorId="0EEADB9C" wp14:editId="62F79783">
            <wp:extent cx="9919335" cy="5881657"/>
            <wp:effectExtent l="0" t="0" r="571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335" cy="5881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0E" w:rsidRDefault="00B96F0E" w:rsidP="00B96F0E">
      <w:pPr>
        <w:spacing w:before="120"/>
        <w:jc w:val="right"/>
        <w:sectPr w:rsidR="00B96F0E" w:rsidSect="00B96F0E">
          <w:headerReference w:type="default" r:id="rId12"/>
          <w:headerReference w:type="first" r:id="rId13"/>
          <w:pgSz w:w="16840" w:h="11907" w:orient="landscape" w:code="9"/>
          <w:pgMar w:top="510" w:right="567" w:bottom="567" w:left="567" w:header="510" w:footer="680" w:gutter="0"/>
          <w:pgNumType w:start="1"/>
          <w:cols w:space="720"/>
          <w:titlePg/>
          <w:docGrid w:linePitch="272"/>
        </w:sectPr>
      </w:pPr>
      <w:r>
        <w:t>[Annex II follows]</w:t>
      </w:r>
    </w:p>
    <w:p w:rsidR="00B96F0E" w:rsidRPr="00DF214E" w:rsidRDefault="00B96F0E" w:rsidP="00B96F0E">
      <w:pPr>
        <w:jc w:val="center"/>
      </w:pPr>
      <w:r w:rsidRPr="00E419A9">
        <w:rPr>
          <w:noProof/>
        </w:rPr>
        <w:drawing>
          <wp:inline distT="0" distB="0" distL="0" distR="0" wp14:anchorId="4F7C768E" wp14:editId="74DCFC33">
            <wp:extent cx="9828000" cy="3157200"/>
            <wp:effectExtent l="0" t="0" r="190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8000" cy="31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F0E" w:rsidRDefault="00B96F0E" w:rsidP="00B96F0E">
      <w:pPr>
        <w:jc w:val="left"/>
      </w:pPr>
    </w:p>
    <w:p w:rsidR="00B96F0E" w:rsidRDefault="00B96F0E" w:rsidP="00B96F0E">
      <w:pPr>
        <w:jc w:val="left"/>
      </w:pPr>
    </w:p>
    <w:p w:rsidR="00B96F0E" w:rsidRPr="00DF214E" w:rsidRDefault="00B96F0E" w:rsidP="00B96F0E">
      <w:pPr>
        <w:jc w:val="left"/>
      </w:pPr>
    </w:p>
    <w:p w:rsidR="00B96F0E" w:rsidRPr="00DF214E" w:rsidRDefault="00B96F0E" w:rsidP="00B96F0E">
      <w:pPr>
        <w:ind w:right="170"/>
        <w:jc w:val="right"/>
      </w:pPr>
      <w:r w:rsidRPr="00DF214E">
        <w:t>[End of Annex II and of document]</w:t>
      </w:r>
    </w:p>
    <w:p w:rsidR="00050E16" w:rsidRPr="00C5280D" w:rsidRDefault="00050E16" w:rsidP="009B440E">
      <w:pPr>
        <w:jc w:val="left"/>
      </w:pPr>
    </w:p>
    <w:sectPr w:rsidR="00050E16" w:rsidRPr="00C5280D" w:rsidSect="00B96F0E">
      <w:headerReference w:type="default" r:id="rId15"/>
      <w:headerReference w:type="first" r:id="rId16"/>
      <w:pgSz w:w="16840" w:h="11907" w:orient="landscape" w:code="9"/>
      <w:pgMar w:top="510" w:right="567" w:bottom="1134" w:left="567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86" w:rsidRDefault="00D40486" w:rsidP="006655D3">
      <w:r>
        <w:separator/>
      </w:r>
    </w:p>
    <w:p w:rsidR="00D40486" w:rsidRDefault="00D40486" w:rsidP="006655D3"/>
    <w:p w:rsidR="00D40486" w:rsidRDefault="00D40486" w:rsidP="006655D3"/>
  </w:endnote>
  <w:endnote w:type="continuationSeparator" w:id="0">
    <w:p w:rsidR="00D40486" w:rsidRDefault="00D40486" w:rsidP="006655D3">
      <w:r>
        <w:separator/>
      </w:r>
    </w:p>
    <w:p w:rsidR="00D40486" w:rsidRPr="00294751" w:rsidRDefault="00D4048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40486" w:rsidRPr="00294751" w:rsidRDefault="00D40486" w:rsidP="006655D3">
      <w:pPr>
        <w:rPr>
          <w:lang w:val="fr-FR"/>
        </w:rPr>
      </w:pPr>
    </w:p>
    <w:p w:rsidR="00D40486" w:rsidRPr="00294751" w:rsidRDefault="00D40486" w:rsidP="006655D3">
      <w:pPr>
        <w:rPr>
          <w:lang w:val="fr-FR"/>
        </w:rPr>
      </w:pPr>
    </w:p>
  </w:endnote>
  <w:endnote w:type="continuationNotice" w:id="1">
    <w:p w:rsidR="00D40486" w:rsidRPr="00294751" w:rsidRDefault="00D4048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40486" w:rsidRPr="00294751" w:rsidRDefault="00D40486" w:rsidP="006655D3">
      <w:pPr>
        <w:rPr>
          <w:lang w:val="fr-FR"/>
        </w:rPr>
      </w:pPr>
    </w:p>
    <w:p w:rsidR="00D40486" w:rsidRPr="00294751" w:rsidRDefault="00D4048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86" w:rsidRDefault="00D40486" w:rsidP="006655D3">
      <w:r>
        <w:separator/>
      </w:r>
    </w:p>
  </w:footnote>
  <w:footnote w:type="continuationSeparator" w:id="0">
    <w:p w:rsidR="00D40486" w:rsidRDefault="00D40486" w:rsidP="006655D3">
      <w:r>
        <w:separator/>
      </w:r>
    </w:p>
  </w:footnote>
  <w:footnote w:type="continuationNotice" w:id="1">
    <w:p w:rsidR="00D40486" w:rsidRPr="00AB530F" w:rsidRDefault="00D40486" w:rsidP="00AB530F">
      <w:pPr>
        <w:pStyle w:val="Footer"/>
      </w:pPr>
    </w:p>
  </w:footnote>
  <w:footnote w:id="2">
    <w:p w:rsidR="00A05D06" w:rsidRDefault="00A05D06" w:rsidP="00A05D06">
      <w:pPr>
        <w:pStyle w:val="FootnoteText"/>
      </w:pPr>
      <w:r>
        <w:rPr>
          <w:rStyle w:val="FootnoteReference"/>
        </w:rPr>
        <w:footnoteRef/>
      </w:r>
      <w:r>
        <w:t xml:space="preserve"> Held via electronic means on October 28, 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0E" w:rsidRPr="00C5280D" w:rsidRDefault="00B96F0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TWP/5/1</w:t>
    </w:r>
  </w:p>
  <w:p w:rsidR="00B96F0E" w:rsidRPr="002E1B40" w:rsidRDefault="00B96F0E" w:rsidP="00B96F0E">
    <w:pPr>
      <w:jc w:val="center"/>
      <w:rPr>
        <w:lang w:val="pt-BR"/>
      </w:rPr>
    </w:pPr>
    <w:r w:rsidRPr="002E1B40">
      <w:rPr>
        <w:lang w:val="pt-BR"/>
      </w:rPr>
      <w:t xml:space="preserve">page </w:t>
    </w:r>
    <w:r w:rsidRPr="00C5280D">
      <w:fldChar w:fldCharType="begin"/>
    </w:r>
    <w:r w:rsidRPr="002E1B40">
      <w:rPr>
        <w:lang w:val="pt-BR"/>
      </w:rPr>
      <w:instrText xml:space="preserve"> PAGE </w:instrText>
    </w:r>
    <w:r w:rsidRPr="00C5280D">
      <w:fldChar w:fldCharType="separate"/>
    </w:r>
    <w:r w:rsidR="0058379E">
      <w:rPr>
        <w:noProof/>
        <w:lang w:val="pt-BR"/>
      </w:rPr>
      <w:t>4</w:t>
    </w:r>
    <w:r w:rsidRPr="00C5280D">
      <w:fldChar w:fldCharType="end"/>
    </w:r>
  </w:p>
  <w:p w:rsidR="00B96F0E" w:rsidRPr="00C5280D" w:rsidRDefault="00B96F0E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0E" w:rsidRPr="00C5280D" w:rsidRDefault="00B96F0E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TWP/5/1</w:t>
    </w:r>
  </w:p>
  <w:p w:rsidR="00B96F0E" w:rsidRPr="00C5280D" w:rsidRDefault="00B96F0E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96F0E" w:rsidRPr="00C5280D" w:rsidRDefault="00B96F0E" w:rsidP="006655D3"/>
  <w:p w:rsidR="00B96F0E" w:rsidRDefault="00B96F0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0E" w:rsidRDefault="00B96F0E" w:rsidP="00B96F0E">
    <w:pPr>
      <w:pStyle w:val="Header"/>
      <w:spacing w:after="120"/>
      <w:rPr>
        <w:lang w:val="en-US"/>
      </w:rPr>
    </w:pPr>
    <w:r>
      <w:rPr>
        <w:lang w:val="en-US"/>
      </w:rPr>
      <w:t>TWP/5/1</w:t>
    </w:r>
  </w:p>
  <w:p w:rsidR="00B96F0E" w:rsidRDefault="00B96F0E" w:rsidP="00B96F0E">
    <w:pPr>
      <w:pStyle w:val="Header"/>
      <w:spacing w:after="120"/>
      <w:rPr>
        <w:lang w:val="en-US"/>
      </w:rPr>
    </w:pPr>
    <w:r>
      <w:rPr>
        <w:lang w:val="en-US"/>
      </w:rPr>
      <w:t>ANNEX I</w:t>
    </w:r>
  </w:p>
  <w:p w:rsidR="00B96F0E" w:rsidRDefault="00B96F0E" w:rsidP="00B96F0E">
    <w:pPr>
      <w:pStyle w:val="Header"/>
      <w:spacing w:after="120"/>
      <w:rPr>
        <w:lang w:val="en-US"/>
      </w:rPr>
    </w:pPr>
    <w:r>
      <w:rPr>
        <w:lang w:val="en-US"/>
      </w:rPr>
      <w:t>PROGRAM FOR THE DEVELOPMENT OF TGP DOCUMENTS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A72B8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TWP/5/1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96F0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  <w:p w:rsidR="00D82472" w:rsidRDefault="00D8247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F0E" w:rsidRDefault="00B96F0E" w:rsidP="00B96F0E">
    <w:pPr>
      <w:pStyle w:val="Header"/>
      <w:spacing w:after="120"/>
      <w:rPr>
        <w:lang w:val="en-US"/>
      </w:rPr>
    </w:pPr>
    <w:r>
      <w:rPr>
        <w:lang w:val="en-US"/>
      </w:rPr>
      <w:t>TWP/5/1</w:t>
    </w:r>
  </w:p>
  <w:p w:rsidR="00B96F0E" w:rsidRDefault="00B96F0E" w:rsidP="00B96F0E">
    <w:pPr>
      <w:pStyle w:val="Header"/>
      <w:spacing w:after="120"/>
      <w:rPr>
        <w:lang w:val="en-US"/>
      </w:rPr>
    </w:pPr>
    <w:r>
      <w:rPr>
        <w:lang w:val="en-US"/>
      </w:rPr>
      <w:t>ANNEX II</w:t>
    </w:r>
  </w:p>
  <w:p w:rsidR="00B96F0E" w:rsidRPr="000F6179" w:rsidRDefault="00B96F0E" w:rsidP="00B96F0E">
    <w:pPr>
      <w:pStyle w:val="Header"/>
      <w:spacing w:after="120"/>
      <w:rPr>
        <w:lang w:val="en-US"/>
      </w:rPr>
    </w:pPr>
    <w:r>
      <w:rPr>
        <w:lang w:val="en-US"/>
      </w:rPr>
      <w:t>PROGRAM FOR THE DEVELOPMENT OF RELEVANT INFORMATION MATERIALS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B66"/>
    <w:multiLevelType w:val="hybridMultilevel"/>
    <w:tmpl w:val="F19E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8286D"/>
    <w:multiLevelType w:val="hybridMultilevel"/>
    <w:tmpl w:val="3174B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86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92390"/>
    <w:rsid w:val="000C4E25"/>
    <w:rsid w:val="000C7021"/>
    <w:rsid w:val="000D0BCC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00F06"/>
    <w:rsid w:val="00204AC7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3EB3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578D"/>
    <w:rsid w:val="003C7FBE"/>
    <w:rsid w:val="003D227C"/>
    <w:rsid w:val="003D2B4D"/>
    <w:rsid w:val="003E3F79"/>
    <w:rsid w:val="003E4649"/>
    <w:rsid w:val="003E55BE"/>
    <w:rsid w:val="003F37F5"/>
    <w:rsid w:val="00420C9B"/>
    <w:rsid w:val="00444A88"/>
    <w:rsid w:val="00474DA4"/>
    <w:rsid w:val="00476B4D"/>
    <w:rsid w:val="004805FA"/>
    <w:rsid w:val="00487228"/>
    <w:rsid w:val="004935D2"/>
    <w:rsid w:val="004B1215"/>
    <w:rsid w:val="004C4D76"/>
    <w:rsid w:val="004D047D"/>
    <w:rsid w:val="004D0EB1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379E"/>
    <w:rsid w:val="005A2A67"/>
    <w:rsid w:val="005A3812"/>
    <w:rsid w:val="005A3F31"/>
    <w:rsid w:val="005A400A"/>
    <w:rsid w:val="005B269D"/>
    <w:rsid w:val="005E7466"/>
    <w:rsid w:val="005F7B92"/>
    <w:rsid w:val="00612379"/>
    <w:rsid w:val="006153B6"/>
    <w:rsid w:val="0061555F"/>
    <w:rsid w:val="00616830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1CD2"/>
    <w:rsid w:val="00704ECF"/>
    <w:rsid w:val="0071271E"/>
    <w:rsid w:val="00732829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3D67"/>
    <w:rsid w:val="007C4CB9"/>
    <w:rsid w:val="007D0B9D"/>
    <w:rsid w:val="007D19B0"/>
    <w:rsid w:val="007E397F"/>
    <w:rsid w:val="007F498F"/>
    <w:rsid w:val="0080679D"/>
    <w:rsid w:val="00806C4A"/>
    <w:rsid w:val="008108B0"/>
    <w:rsid w:val="00811B20"/>
    <w:rsid w:val="00812609"/>
    <w:rsid w:val="00820B69"/>
    <w:rsid w:val="008211B5"/>
    <w:rsid w:val="0082296E"/>
    <w:rsid w:val="00824099"/>
    <w:rsid w:val="00843A47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772A3"/>
    <w:rsid w:val="00992D82"/>
    <w:rsid w:val="00997029"/>
    <w:rsid w:val="009A7339"/>
    <w:rsid w:val="009B440E"/>
    <w:rsid w:val="009D690D"/>
    <w:rsid w:val="009E65B6"/>
    <w:rsid w:val="009F0A51"/>
    <w:rsid w:val="009F77CF"/>
    <w:rsid w:val="00A05D06"/>
    <w:rsid w:val="00A24C10"/>
    <w:rsid w:val="00A42AC3"/>
    <w:rsid w:val="00A430CF"/>
    <w:rsid w:val="00A54309"/>
    <w:rsid w:val="00A610A9"/>
    <w:rsid w:val="00A72B85"/>
    <w:rsid w:val="00A80F2A"/>
    <w:rsid w:val="00A96C33"/>
    <w:rsid w:val="00AB2B93"/>
    <w:rsid w:val="00AB530F"/>
    <w:rsid w:val="00AB6048"/>
    <w:rsid w:val="00AB7E5B"/>
    <w:rsid w:val="00AC2883"/>
    <w:rsid w:val="00AE0EF1"/>
    <w:rsid w:val="00AE2937"/>
    <w:rsid w:val="00B07301"/>
    <w:rsid w:val="00B11F3E"/>
    <w:rsid w:val="00B1227D"/>
    <w:rsid w:val="00B224DE"/>
    <w:rsid w:val="00B324D4"/>
    <w:rsid w:val="00B46575"/>
    <w:rsid w:val="00B467DB"/>
    <w:rsid w:val="00B61777"/>
    <w:rsid w:val="00B622E6"/>
    <w:rsid w:val="00B67769"/>
    <w:rsid w:val="00B83E82"/>
    <w:rsid w:val="00B84BBD"/>
    <w:rsid w:val="00B96F0E"/>
    <w:rsid w:val="00BA43FB"/>
    <w:rsid w:val="00BC127D"/>
    <w:rsid w:val="00BC1FE6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343C9"/>
    <w:rsid w:val="00D3708D"/>
    <w:rsid w:val="00D40426"/>
    <w:rsid w:val="00D40486"/>
    <w:rsid w:val="00D4081A"/>
    <w:rsid w:val="00D57C96"/>
    <w:rsid w:val="00D57D18"/>
    <w:rsid w:val="00D70E65"/>
    <w:rsid w:val="00D82472"/>
    <w:rsid w:val="00D87369"/>
    <w:rsid w:val="00D91203"/>
    <w:rsid w:val="00D95174"/>
    <w:rsid w:val="00DA4973"/>
    <w:rsid w:val="00DA6F36"/>
    <w:rsid w:val="00DB382C"/>
    <w:rsid w:val="00DB54AC"/>
    <w:rsid w:val="00DB596E"/>
    <w:rsid w:val="00DB7773"/>
    <w:rsid w:val="00DC00EA"/>
    <w:rsid w:val="00DC3802"/>
    <w:rsid w:val="00DD201E"/>
    <w:rsid w:val="00DD6208"/>
    <w:rsid w:val="00DF7E99"/>
    <w:rsid w:val="00E07D87"/>
    <w:rsid w:val="00E249C8"/>
    <w:rsid w:val="00E31470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4157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14892088"/>
  <w15:docId w15:val="{C5BB1D38-94D2-4B9D-B0CB-288310C2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A3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C437A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C437A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437A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C437A3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437A3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37A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437A3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C437A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37A3"/>
    <w:rPr>
      <w:rFonts w:ascii="Arial" w:hAnsi="Arial"/>
      <w:sz w:val="20"/>
    </w:rPr>
  </w:style>
  <w:style w:type="paragraph" w:styleId="Title">
    <w:name w:val="Title"/>
    <w:basedOn w:val="Normal"/>
    <w:qFormat/>
    <w:rsid w:val="00C437A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C437A3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437A3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C437A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C437A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C437A3"/>
    <w:rPr>
      <w:vertAlign w:val="superscript"/>
    </w:rPr>
  </w:style>
  <w:style w:type="paragraph" w:styleId="Closing">
    <w:name w:val="Closing"/>
    <w:basedOn w:val="Normal"/>
    <w:rsid w:val="00C437A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437A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437A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437A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C43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C437A3"/>
    <w:pPr>
      <w:ind w:left="4536"/>
      <w:jc w:val="center"/>
    </w:pPr>
  </w:style>
  <w:style w:type="character" w:customStyle="1" w:styleId="Doclang">
    <w:name w:val="Doc_lang"/>
    <w:basedOn w:val="DefaultParagraphFont"/>
    <w:rsid w:val="00C437A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C437A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C437A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C437A3"/>
  </w:style>
  <w:style w:type="paragraph" w:customStyle="1" w:styleId="Disclaimer">
    <w:name w:val="Disclaimer"/>
    <w:next w:val="Normal"/>
    <w:qFormat/>
    <w:rsid w:val="00C437A3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C437A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C437A3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437A3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C437A3"/>
  </w:style>
  <w:style w:type="paragraph" w:styleId="EndnoteText">
    <w:name w:val="endnote text"/>
    <w:basedOn w:val="Normal"/>
    <w:semiHidden/>
    <w:rsid w:val="00C437A3"/>
  </w:style>
  <w:style w:type="character" w:styleId="EndnoteReference">
    <w:name w:val="endnote reference"/>
    <w:basedOn w:val="DefaultParagraphFont"/>
    <w:semiHidden/>
    <w:rsid w:val="00C437A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437A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C437A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C437A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437A3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437A3"/>
    <w:pPr>
      <w:spacing w:before="60" w:after="480"/>
      <w:jc w:val="center"/>
    </w:pPr>
  </w:style>
  <w:style w:type="paragraph" w:customStyle="1" w:styleId="Lettrine">
    <w:name w:val="Lettrine"/>
    <w:basedOn w:val="Normal"/>
    <w:rsid w:val="00C437A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437A3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437A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437A3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437A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C437A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C437A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437A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437A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437A3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437A3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437A3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C437A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437A3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C437A3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C437A3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C437A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437A3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C437A3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C437A3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4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7A3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C437A3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FootnoteTextChar">
    <w:name w:val="Footnote Text Char"/>
    <w:basedOn w:val="DefaultParagraphFont"/>
    <w:link w:val="FootnoteText"/>
    <w:rsid w:val="003E4649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rsid w:val="00B96F0E"/>
    <w:rPr>
      <w:rFonts w:ascii="Arial" w:hAnsi="Arial"/>
      <w:lang w:val="fr-FR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B96F0E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B96F0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upov_collection/en/" TargetMode="Externa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6747F-04BF-4C6F-8104-E43F26DB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1252</Words>
  <Characters>8680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TWP/5/1</vt:lpstr>
    </vt:vector>
  </TitlesOfParts>
  <Company>UPOV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TWP/5/1</dc:title>
  <dc:subject/>
  <dc:creator>SANCHEZ VIZCAINO GOMEZ Rosa Maria</dc:creator>
  <cp:keywords/>
  <dc:description/>
  <cp:lastModifiedBy>MAY Jessica</cp:lastModifiedBy>
  <cp:revision>3</cp:revision>
  <cp:lastPrinted>2016-11-22T15:41:00Z</cp:lastPrinted>
  <dcterms:created xsi:type="dcterms:W3CDTF">2021-03-15T14:55:00Z</dcterms:created>
  <dcterms:modified xsi:type="dcterms:W3CDTF">2021-03-15T14:56:00Z</dcterms:modified>
</cp:coreProperties>
</file>