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962C45" w:rsidP="006655D3">
            <w:pPr>
              <w:pStyle w:val="LogoUPOV"/>
            </w:pPr>
            <w:r>
              <w:rPr>
                <w:noProof/>
                <w:lang w:eastAsia="zh-CN"/>
              </w:rPr>
              <w:drawing>
                <wp:inline distT="0" distB="0" distL="0" distR="0" wp14:anchorId="0E509AB1" wp14:editId="454B273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CE63BA">
              <w:t>9</w:t>
            </w:r>
            <w:r>
              <w:t>/</w:t>
            </w:r>
            <w:bookmarkStart w:id="0" w:name="Code"/>
            <w:bookmarkEnd w:id="0"/>
            <w:r w:rsidR="006A3656">
              <w:t>27</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6A3656">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B01483" w:rsidRPr="00B01483">
              <w:rPr>
                <w:rStyle w:val="StyleDocoriginalNotBold1"/>
                <w:spacing w:val="0"/>
              </w:rPr>
              <w:t>May 20</w:t>
            </w:r>
            <w:r w:rsidR="00CE63BA" w:rsidRPr="00B01483">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CE63BA">
        <w:t xml:space="preserve">Ninth </w:t>
      </w:r>
      <w:r w:rsidRPr="00C5280D">
        <w:t>S</w:t>
      </w:r>
      <w:r w:rsidR="00867AC1" w:rsidRPr="00C5280D">
        <w:t>ession</w:t>
      </w:r>
      <w:r w:rsidR="00361821" w:rsidRPr="00C5280D">
        <w:br/>
      </w:r>
      <w:r w:rsidR="00CE63BA">
        <w:rPr>
          <w:rFonts w:cs="Arial"/>
        </w:rPr>
        <w:t>Angers</w:t>
      </w:r>
      <w:r w:rsidR="0018780B" w:rsidRPr="00C5280D">
        <w:t>,</w:t>
      </w:r>
      <w:r w:rsidR="00CE63BA">
        <w:t xml:space="preserve"> France,</w:t>
      </w:r>
      <w:r w:rsidR="0018780B">
        <w:t xml:space="preserve"> </w:t>
      </w:r>
      <w:r w:rsidR="00CC5597">
        <w:t>June</w:t>
      </w:r>
      <w:r w:rsidR="006C7423">
        <w:t xml:space="preserve"> </w:t>
      </w:r>
      <w:r w:rsidR="00CE63BA">
        <w:t>15</w:t>
      </w:r>
      <w:r w:rsidR="006C7423">
        <w:t xml:space="preserve"> to </w:t>
      </w:r>
      <w:r w:rsidR="00CE63BA">
        <w:t>19</w:t>
      </w:r>
      <w:r w:rsidR="0018780B">
        <w:t>, 201</w:t>
      </w:r>
      <w:r w:rsidR="00CE63BA">
        <w:t>5</w:t>
      </w:r>
    </w:p>
    <w:p w:rsidR="003776C3" w:rsidRPr="00C5280D" w:rsidRDefault="0064785B" w:rsidP="003776C3">
      <w:pPr>
        <w:pStyle w:val="Titleofdoc0"/>
      </w:pPr>
      <w:bookmarkStart w:id="3" w:name="TitleOfDoc"/>
      <w:bookmarkEnd w:id="3"/>
      <w:r>
        <w:t xml:space="preserve">Partial Revision of the Test Guidelines for Tomato </w:t>
      </w:r>
      <w:proofErr w:type="gramStart"/>
      <w:r>
        <w:t>Rootstocks</w:t>
      </w:r>
      <w:proofErr w:type="gramEnd"/>
      <w:r>
        <w:br/>
        <w:t>(Document TG/294/1)</w:t>
      </w:r>
    </w:p>
    <w:p w:rsidR="003776C3" w:rsidRPr="00C5280D" w:rsidRDefault="003776C3" w:rsidP="003776C3">
      <w:pPr>
        <w:pStyle w:val="preparedby1"/>
      </w:pPr>
      <w:bookmarkStart w:id="4" w:name="Prepared"/>
      <w:bookmarkEnd w:id="4"/>
      <w:r w:rsidRPr="0064785B">
        <w:t>Document prepared</w:t>
      </w:r>
      <w:r w:rsidRPr="00C5280D">
        <w:t xml:space="preserve"> by </w:t>
      </w:r>
      <w:r w:rsidR="00174CDA">
        <w:t>an expert from the European Union</w:t>
      </w:r>
      <w:r>
        <w:br/>
      </w:r>
      <w:r>
        <w:br/>
      </w:r>
      <w:r>
        <w:rPr>
          <w:color w:val="A6A6A6" w:themeColor="background1" w:themeShade="A6"/>
        </w:rPr>
        <w:t>Disclaimer:  this document does not represent UPOV policies or guidance</w:t>
      </w:r>
    </w:p>
    <w:p w:rsidR="00174CDA" w:rsidRPr="003D458C" w:rsidRDefault="00B5519E" w:rsidP="009F3D4B">
      <w:pPr>
        <w:rPr>
          <w:snapToGrid w:val="0"/>
        </w:rPr>
      </w:pPr>
      <w:r w:rsidRPr="009D6974">
        <w:rPr>
          <w:snapToGrid w:val="0"/>
        </w:rPr>
        <w:fldChar w:fldCharType="begin"/>
      </w:r>
      <w:r w:rsidRPr="009D6974">
        <w:rPr>
          <w:snapToGrid w:val="0"/>
        </w:rPr>
        <w:instrText xml:space="preserve"> AUTONUM  </w:instrText>
      </w:r>
      <w:r w:rsidRPr="009D6974">
        <w:rPr>
          <w:snapToGrid w:val="0"/>
        </w:rPr>
        <w:fldChar w:fldCharType="end"/>
      </w:r>
      <w:r w:rsidRPr="009D6974">
        <w:rPr>
          <w:snapToGrid w:val="0"/>
        </w:rPr>
        <w:tab/>
      </w:r>
      <w:r w:rsidR="00174CDA" w:rsidRPr="003D458C">
        <w:rPr>
          <w:rFonts w:cs="Arial"/>
          <w:snapToGrid w:val="0"/>
        </w:rPr>
        <w:t xml:space="preserve">The </w:t>
      </w:r>
      <w:r w:rsidR="00174CDA" w:rsidRPr="003D458C">
        <w:rPr>
          <w:rFonts w:cs="Arial"/>
        </w:rPr>
        <w:t xml:space="preserve">Technical Working Party for Vegetables (TWV), at its forty-eighth session, held in Paestum, Italy, from June 23 to 27, 2014, agreed that the </w:t>
      </w:r>
      <w:r w:rsidR="00174CDA" w:rsidRPr="003D458C">
        <w:t xml:space="preserve">Test Guidelines for Tomato Rootstocks (document TG/294/1) </w:t>
      </w:r>
      <w:r w:rsidR="00174CDA" w:rsidRPr="003D458C">
        <w:rPr>
          <w:rFonts w:cs="Arial"/>
        </w:rPr>
        <w:t>be partially revised for disease resistance characteristics (see document TWV/48/43, Annex IV).</w:t>
      </w:r>
    </w:p>
    <w:p w:rsidR="00174CDA" w:rsidRPr="003D458C" w:rsidRDefault="00174CDA" w:rsidP="009F3D4B">
      <w:pPr>
        <w:rPr>
          <w:snapToGrid w:val="0"/>
        </w:rPr>
      </w:pPr>
    </w:p>
    <w:p w:rsidR="00B5519E" w:rsidRPr="003D458C" w:rsidRDefault="00174CDA" w:rsidP="009F3D4B">
      <w:r w:rsidRPr="003D458C">
        <w:fldChar w:fldCharType="begin"/>
      </w:r>
      <w:r w:rsidRPr="003D458C">
        <w:instrText xml:space="preserve"> AUTONUM  </w:instrText>
      </w:r>
      <w:r w:rsidRPr="003D458C">
        <w:fldChar w:fldCharType="end"/>
      </w:r>
      <w:r w:rsidRPr="003D458C">
        <w:tab/>
      </w:r>
      <w:r w:rsidR="009F3D4B" w:rsidRPr="003D458C">
        <w:t xml:space="preserve">The purpose of this document is to present a proposal for a partial revision </w:t>
      </w:r>
      <w:r w:rsidR="00B5519E" w:rsidRPr="003D458C">
        <w:t>that the Test Guidelines for Tomato Rootstocks (document TG/294/1</w:t>
      </w:r>
      <w:r w:rsidR="009F3D4B" w:rsidRPr="003D458C">
        <w:t>)</w:t>
      </w:r>
      <w:r w:rsidR="00B5519E" w:rsidRPr="003D458C">
        <w:t>.</w:t>
      </w:r>
    </w:p>
    <w:p w:rsidR="00B5519E" w:rsidRPr="003D458C" w:rsidRDefault="00B5519E" w:rsidP="009F3D4B">
      <w:pPr>
        <w:rPr>
          <w:rFonts w:cs="Arial"/>
        </w:rPr>
      </w:pPr>
    </w:p>
    <w:p w:rsidR="00B5519E" w:rsidRPr="003D458C" w:rsidRDefault="00B5519E" w:rsidP="009F3D4B">
      <w:pPr>
        <w:rPr>
          <w:rFonts w:cs="Arial"/>
        </w:rPr>
      </w:pPr>
      <w:r w:rsidRPr="003D458C">
        <w:rPr>
          <w:rFonts w:cs="Arial"/>
        </w:rPr>
        <w:fldChar w:fldCharType="begin"/>
      </w:r>
      <w:r w:rsidRPr="003D458C">
        <w:rPr>
          <w:rFonts w:cs="Arial"/>
        </w:rPr>
        <w:instrText xml:space="preserve"> AUTONUM  </w:instrText>
      </w:r>
      <w:r w:rsidRPr="003D458C">
        <w:rPr>
          <w:rFonts w:cs="Arial"/>
        </w:rPr>
        <w:fldChar w:fldCharType="end"/>
      </w:r>
      <w:r w:rsidRPr="003D458C">
        <w:rPr>
          <w:rFonts w:cs="Arial"/>
        </w:rPr>
        <w:tab/>
        <w:t>The following changes are proposed:</w:t>
      </w:r>
    </w:p>
    <w:p w:rsidR="00B5519E" w:rsidRPr="003D458C" w:rsidRDefault="00B5519E" w:rsidP="009F3D4B">
      <w:pPr>
        <w:rPr>
          <w:rFonts w:cs="Arial"/>
        </w:rPr>
      </w:pPr>
    </w:p>
    <w:p w:rsidR="00B5519E" w:rsidRDefault="00B5519E" w:rsidP="009F3D4B">
      <w:pPr>
        <w:pStyle w:val="ListParagraph"/>
        <w:numPr>
          <w:ilvl w:val="0"/>
          <w:numId w:val="11"/>
        </w:numPr>
        <w:rPr>
          <w:rFonts w:cs="Arial"/>
        </w:rPr>
      </w:pPr>
      <w:r w:rsidRPr="003D458C">
        <w:rPr>
          <w:rFonts w:cs="Arial"/>
        </w:rPr>
        <w:t>Deletion of asterisk from Characteristic 23 “Resistance</w:t>
      </w:r>
      <w:r w:rsidRPr="00B5519E">
        <w:rPr>
          <w:rFonts w:cs="Arial"/>
        </w:rPr>
        <w:t xml:space="preserve"> to </w:t>
      </w:r>
      <w:proofErr w:type="spellStart"/>
      <w:r w:rsidRPr="00B5519E">
        <w:rPr>
          <w:rFonts w:cs="Arial"/>
          <w:i/>
        </w:rPr>
        <w:t>Verticillium</w:t>
      </w:r>
      <w:proofErr w:type="spellEnd"/>
      <w:r w:rsidRPr="00B5519E">
        <w:rPr>
          <w:rFonts w:cs="Arial"/>
          <w:i/>
        </w:rPr>
        <w:t xml:space="preserve"> </w:t>
      </w:r>
      <w:r w:rsidRPr="00B5519E">
        <w:rPr>
          <w:rFonts w:cs="Arial"/>
        </w:rPr>
        <w:t>sp. (</w:t>
      </w:r>
      <w:proofErr w:type="spellStart"/>
      <w:r w:rsidRPr="00B5519E">
        <w:rPr>
          <w:rFonts w:cs="Arial"/>
        </w:rPr>
        <w:t>Va</w:t>
      </w:r>
      <w:proofErr w:type="spellEnd"/>
      <w:r w:rsidRPr="00B5519E">
        <w:rPr>
          <w:rFonts w:cs="Arial"/>
        </w:rPr>
        <w:t xml:space="preserve"> and </w:t>
      </w:r>
      <w:proofErr w:type="spellStart"/>
      <w:r w:rsidRPr="00B5519E">
        <w:rPr>
          <w:rFonts w:cs="Arial"/>
        </w:rPr>
        <w:t>Vd</w:t>
      </w:r>
      <w:proofErr w:type="spellEnd"/>
      <w:r w:rsidRPr="00B5519E">
        <w:rPr>
          <w:rFonts w:cs="Arial"/>
        </w:rPr>
        <w:t>) – Race 0</w:t>
      </w:r>
      <w:r>
        <w:rPr>
          <w:rFonts w:cs="Arial"/>
        </w:rPr>
        <w:t>”</w:t>
      </w:r>
    </w:p>
    <w:p w:rsidR="00B5519E" w:rsidRDefault="00B5519E" w:rsidP="009F3D4B">
      <w:pPr>
        <w:pStyle w:val="ListParagraph"/>
        <w:numPr>
          <w:ilvl w:val="0"/>
          <w:numId w:val="11"/>
        </w:numPr>
        <w:rPr>
          <w:rFonts w:cs="Arial"/>
        </w:rPr>
      </w:pPr>
      <w:r w:rsidRPr="00B5519E">
        <w:rPr>
          <w:rFonts w:cs="Arial"/>
        </w:rPr>
        <w:t>Deletion of asterisk from Characteristic</w:t>
      </w:r>
      <w:r>
        <w:rPr>
          <w:rFonts w:cs="Arial"/>
        </w:rPr>
        <w:t xml:space="preserve"> 28 “</w:t>
      </w:r>
      <w:r w:rsidRPr="00B5519E">
        <w:rPr>
          <w:rFonts w:cs="Arial"/>
        </w:rPr>
        <w:t xml:space="preserve">Resistance to </w:t>
      </w:r>
      <w:proofErr w:type="spellStart"/>
      <w:r w:rsidRPr="00F0041B">
        <w:rPr>
          <w:rFonts w:cs="Arial"/>
          <w:i/>
        </w:rPr>
        <w:t>Pyrenochaeta</w:t>
      </w:r>
      <w:proofErr w:type="spellEnd"/>
      <w:r w:rsidRPr="00F0041B">
        <w:rPr>
          <w:rFonts w:cs="Arial"/>
          <w:i/>
        </w:rPr>
        <w:t xml:space="preserve"> </w:t>
      </w:r>
      <w:proofErr w:type="spellStart"/>
      <w:r w:rsidRPr="00F0041B">
        <w:rPr>
          <w:rFonts w:cs="Arial"/>
          <w:i/>
        </w:rPr>
        <w:t>lycopersici</w:t>
      </w:r>
      <w:proofErr w:type="spellEnd"/>
      <w:r w:rsidRPr="00B5519E">
        <w:rPr>
          <w:rFonts w:cs="Arial"/>
        </w:rPr>
        <w:t xml:space="preserve"> (Pl)</w:t>
      </w:r>
      <w:r>
        <w:rPr>
          <w:rFonts w:cs="Arial"/>
        </w:rPr>
        <w:t>”</w:t>
      </w:r>
    </w:p>
    <w:p w:rsidR="00B5519E" w:rsidRDefault="00B5519E" w:rsidP="009F3D4B">
      <w:pPr>
        <w:rPr>
          <w:rFonts w:cs="Arial"/>
        </w:rPr>
      </w:pPr>
    </w:p>
    <w:p w:rsidR="00B5519E" w:rsidRDefault="006F791A" w:rsidP="009F3D4B">
      <w:pPr>
        <w:pStyle w:val="Default"/>
        <w:jc w:val="both"/>
        <w:rPr>
          <w:sz w:val="20"/>
          <w:szCs w:val="20"/>
        </w:rPr>
      </w:pPr>
      <w:r w:rsidRPr="006F791A">
        <w:rPr>
          <w:sz w:val="20"/>
          <w:szCs w:val="20"/>
        </w:rPr>
        <w:fldChar w:fldCharType="begin"/>
      </w:r>
      <w:r w:rsidRPr="006F791A">
        <w:rPr>
          <w:sz w:val="20"/>
          <w:szCs w:val="20"/>
        </w:rPr>
        <w:instrText xml:space="preserve"> AUTONUM  </w:instrText>
      </w:r>
      <w:r w:rsidRPr="006F791A">
        <w:rPr>
          <w:sz w:val="20"/>
          <w:szCs w:val="20"/>
        </w:rPr>
        <w:fldChar w:fldCharType="end"/>
      </w:r>
      <w:r w:rsidRPr="006F791A">
        <w:rPr>
          <w:sz w:val="20"/>
          <w:szCs w:val="20"/>
        </w:rPr>
        <w:tab/>
      </w:r>
      <w:r>
        <w:rPr>
          <w:sz w:val="20"/>
          <w:szCs w:val="20"/>
        </w:rPr>
        <w:t xml:space="preserve">The changes to Characteristics 23 and 28 are presented in highlight and </w:t>
      </w:r>
      <w:proofErr w:type="spellStart"/>
      <w:r w:rsidRPr="006F791A">
        <w:rPr>
          <w:strike/>
          <w:sz w:val="20"/>
          <w:szCs w:val="20"/>
          <w:highlight w:val="lightGray"/>
        </w:rPr>
        <w:t>strikthrough</w:t>
      </w:r>
      <w:proofErr w:type="spellEnd"/>
      <w:r>
        <w:rPr>
          <w:sz w:val="20"/>
          <w:szCs w:val="20"/>
        </w:rPr>
        <w:t xml:space="preserve"> (deletion)</w:t>
      </w:r>
      <w:r w:rsidR="009F3D4B">
        <w:rPr>
          <w:sz w:val="20"/>
          <w:szCs w:val="20"/>
        </w:rPr>
        <w:t xml:space="preserve"> </w:t>
      </w:r>
      <w:r>
        <w:rPr>
          <w:sz w:val="20"/>
          <w:szCs w:val="20"/>
        </w:rPr>
        <w:t>in Annex I to this document</w:t>
      </w:r>
      <w:r w:rsidR="009F3D4B">
        <w:rPr>
          <w:sz w:val="20"/>
          <w:szCs w:val="20"/>
        </w:rPr>
        <w:t xml:space="preserve">, in conjunction with comments by the Leading Expert, Mr. Sergio </w:t>
      </w:r>
      <w:proofErr w:type="spellStart"/>
      <w:r w:rsidR="009F3D4B">
        <w:rPr>
          <w:sz w:val="20"/>
          <w:szCs w:val="20"/>
        </w:rPr>
        <w:t>Semon</w:t>
      </w:r>
      <w:proofErr w:type="spellEnd"/>
      <w:r w:rsidR="009F3D4B">
        <w:rPr>
          <w:sz w:val="20"/>
          <w:szCs w:val="20"/>
        </w:rPr>
        <w:t xml:space="preserve">, </w:t>
      </w:r>
      <w:proofErr w:type="gramStart"/>
      <w:r w:rsidR="009F3D4B">
        <w:rPr>
          <w:sz w:val="20"/>
          <w:szCs w:val="20"/>
        </w:rPr>
        <w:t>European</w:t>
      </w:r>
      <w:proofErr w:type="gramEnd"/>
      <w:r w:rsidR="009F3D4B">
        <w:rPr>
          <w:sz w:val="20"/>
          <w:szCs w:val="20"/>
        </w:rPr>
        <w:t xml:space="preserve"> Union</w:t>
      </w:r>
      <w:r>
        <w:rPr>
          <w:sz w:val="20"/>
          <w:szCs w:val="20"/>
        </w:rPr>
        <w:t>.</w:t>
      </w:r>
    </w:p>
    <w:p w:rsidR="006F791A" w:rsidRDefault="006F791A" w:rsidP="009F3D4B">
      <w:pPr>
        <w:pStyle w:val="Default"/>
        <w:jc w:val="both"/>
        <w:rPr>
          <w:sz w:val="20"/>
          <w:szCs w:val="20"/>
        </w:rPr>
      </w:pPr>
    </w:p>
    <w:p w:rsidR="006F791A" w:rsidRPr="006F791A" w:rsidRDefault="006F791A" w:rsidP="009F3D4B">
      <w:pPr>
        <w:pStyle w:val="Default"/>
        <w:jc w:val="both"/>
        <w:rPr>
          <w:sz w:val="20"/>
          <w:szCs w:val="20"/>
        </w:rPr>
      </w:pPr>
      <w:r>
        <w:rPr>
          <w:sz w:val="20"/>
          <w:szCs w:val="20"/>
        </w:rPr>
        <w:fldChar w:fldCharType="begin"/>
      </w:r>
      <w:r>
        <w:rPr>
          <w:sz w:val="20"/>
          <w:szCs w:val="20"/>
        </w:rPr>
        <w:instrText xml:space="preserve"> AUTONUM  </w:instrText>
      </w:r>
      <w:r>
        <w:rPr>
          <w:sz w:val="20"/>
          <w:szCs w:val="20"/>
        </w:rPr>
        <w:fldChar w:fldCharType="end"/>
      </w:r>
      <w:r>
        <w:rPr>
          <w:sz w:val="20"/>
          <w:szCs w:val="20"/>
        </w:rPr>
        <w:tab/>
        <w:t>Comments received on the proposed changes by the Subgroup of Interested Experts are presented in Annex II to this document.</w:t>
      </w:r>
    </w:p>
    <w:p w:rsidR="00900C26" w:rsidRDefault="00900C26" w:rsidP="009F3D4B">
      <w:pPr>
        <w:rPr>
          <w:snapToGrid w:val="0"/>
        </w:rPr>
      </w:pPr>
    </w:p>
    <w:p w:rsidR="006F791A" w:rsidRDefault="006F791A" w:rsidP="00AB530F">
      <w:pPr>
        <w:rPr>
          <w:snapToGrid w:val="0"/>
        </w:rPr>
      </w:pPr>
    </w:p>
    <w:p w:rsidR="006F791A" w:rsidRDefault="006F791A" w:rsidP="00AB530F">
      <w:pPr>
        <w:rPr>
          <w:snapToGrid w:val="0"/>
        </w:rPr>
      </w:pPr>
    </w:p>
    <w:p w:rsidR="006F791A" w:rsidRPr="006F791A" w:rsidRDefault="006F791A" w:rsidP="006F791A">
      <w:pPr>
        <w:jc w:val="right"/>
        <w:rPr>
          <w:snapToGrid w:val="0"/>
        </w:rPr>
      </w:pPr>
      <w:r>
        <w:rPr>
          <w:snapToGrid w:val="0"/>
        </w:rPr>
        <w:t>[Annex I follows]</w:t>
      </w:r>
    </w:p>
    <w:p w:rsidR="006F791A" w:rsidRDefault="006F791A" w:rsidP="00AB530F">
      <w:pPr>
        <w:rPr>
          <w:snapToGrid w:val="0"/>
        </w:rPr>
        <w:sectPr w:rsidR="006F791A" w:rsidSect="00906DDC">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cols w:space="720"/>
          <w:titlePg/>
        </w:sectPr>
      </w:pPr>
    </w:p>
    <w:p w:rsidR="006F791A" w:rsidRPr="006F791A" w:rsidRDefault="006F791A" w:rsidP="006F791A">
      <w:pPr>
        <w:pStyle w:val="Heading2"/>
      </w:pPr>
      <w:r w:rsidRPr="006F791A">
        <w:rPr>
          <w:snapToGrid w:val="0"/>
        </w:rPr>
        <w:lastRenderedPageBreak/>
        <w:t xml:space="preserve">Changes Proposed to Characteristic 23 </w:t>
      </w:r>
      <w:r w:rsidRPr="006F791A">
        <w:t xml:space="preserve">“Resistance to </w:t>
      </w:r>
      <w:proofErr w:type="spellStart"/>
      <w:r w:rsidRPr="006F791A">
        <w:rPr>
          <w:i/>
        </w:rPr>
        <w:t>Verticillium</w:t>
      </w:r>
      <w:proofErr w:type="spellEnd"/>
      <w:r w:rsidRPr="006F791A">
        <w:rPr>
          <w:i/>
        </w:rPr>
        <w:t xml:space="preserve"> </w:t>
      </w:r>
      <w:r w:rsidRPr="006F791A">
        <w:t>sp. (</w:t>
      </w:r>
      <w:proofErr w:type="spellStart"/>
      <w:proofErr w:type="gramStart"/>
      <w:r w:rsidRPr="006F791A">
        <w:t>Va</w:t>
      </w:r>
      <w:proofErr w:type="spellEnd"/>
      <w:proofErr w:type="gramEnd"/>
      <w:r w:rsidRPr="006F791A">
        <w:t xml:space="preserve"> and </w:t>
      </w:r>
      <w:proofErr w:type="spellStart"/>
      <w:r w:rsidRPr="006F791A">
        <w:t>Vd</w:t>
      </w:r>
      <w:proofErr w:type="spellEnd"/>
      <w:r w:rsidRPr="006F791A">
        <w:t>) – Race 0”</w:t>
      </w:r>
    </w:p>
    <w:p w:rsidR="00DF474C" w:rsidRDefault="00DF474C" w:rsidP="00AB530F">
      <w:pPr>
        <w:rPr>
          <w:snapToGrid w:val="0"/>
        </w:rPr>
      </w:pPr>
    </w:p>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6F791A" w:rsidRPr="00BC05A4" w:rsidTr="006F791A">
        <w:trPr>
          <w:cantSplit/>
          <w:jc w:val="center"/>
        </w:trPr>
        <w:tc>
          <w:tcPr>
            <w:tcW w:w="589" w:type="dxa"/>
            <w:tcBorders>
              <w:top w:val="single" w:sz="4" w:space="0" w:color="auto"/>
              <w:left w:val="nil"/>
              <w:bottom w:val="nil"/>
            </w:tcBorders>
          </w:tcPr>
          <w:p w:rsidR="006F791A" w:rsidRPr="006F791A" w:rsidRDefault="006F791A" w:rsidP="006F791A">
            <w:pPr>
              <w:pStyle w:val="Normaltb"/>
              <w:rPr>
                <w:rFonts w:cs="Arial"/>
                <w:szCs w:val="16"/>
              </w:rPr>
            </w:pPr>
          </w:p>
        </w:tc>
        <w:tc>
          <w:tcPr>
            <w:tcW w:w="454" w:type="dxa"/>
            <w:tcBorders>
              <w:top w:val="single" w:sz="4" w:space="0" w:color="auto"/>
              <w:bottom w:val="nil"/>
            </w:tcBorders>
          </w:tcPr>
          <w:p w:rsidR="006F791A" w:rsidRPr="00F0041B" w:rsidRDefault="006F791A" w:rsidP="00425364">
            <w:pPr>
              <w:pStyle w:val="Normaltb"/>
              <w:jc w:val="center"/>
              <w:rPr>
                <w:rFonts w:cs="Arial"/>
                <w:szCs w:val="16"/>
              </w:rPr>
            </w:pPr>
          </w:p>
        </w:tc>
        <w:tc>
          <w:tcPr>
            <w:tcW w:w="1886" w:type="dxa"/>
            <w:tcBorders>
              <w:top w:val="single" w:sz="4" w:space="0" w:color="auto"/>
              <w:bottom w:val="nil"/>
            </w:tcBorders>
          </w:tcPr>
          <w:p w:rsidR="006F791A" w:rsidRPr="006F791A" w:rsidRDefault="006F791A" w:rsidP="006F791A">
            <w:pPr>
              <w:pStyle w:val="Normaltb"/>
            </w:pPr>
            <w:r w:rsidRPr="006F791A">
              <w:br/>
              <w:t>English</w:t>
            </w:r>
          </w:p>
        </w:tc>
        <w:tc>
          <w:tcPr>
            <w:tcW w:w="2013" w:type="dxa"/>
            <w:tcBorders>
              <w:top w:val="single" w:sz="4" w:space="0" w:color="auto"/>
              <w:bottom w:val="nil"/>
            </w:tcBorders>
          </w:tcPr>
          <w:p w:rsidR="006F791A" w:rsidRPr="006F791A" w:rsidRDefault="006F791A" w:rsidP="006F791A">
            <w:pPr>
              <w:pStyle w:val="Normaltb"/>
              <w:rPr>
                <w:lang w:val="fr-FR"/>
              </w:rPr>
            </w:pPr>
            <w:r w:rsidRPr="006F791A">
              <w:rPr>
                <w:lang w:val="fr-FR"/>
              </w:rPr>
              <w:br/>
              <w:t>français</w:t>
            </w:r>
          </w:p>
        </w:tc>
        <w:tc>
          <w:tcPr>
            <w:tcW w:w="1813" w:type="dxa"/>
            <w:tcBorders>
              <w:top w:val="single" w:sz="4" w:space="0" w:color="auto"/>
              <w:bottom w:val="nil"/>
            </w:tcBorders>
          </w:tcPr>
          <w:p w:rsidR="006F791A" w:rsidRPr="00BC05A4" w:rsidRDefault="006F791A" w:rsidP="006F791A">
            <w:pPr>
              <w:pStyle w:val="Normaltb"/>
              <w:rPr>
                <w:szCs w:val="24"/>
                <w:lang w:val="de-DE"/>
              </w:rPr>
            </w:pPr>
            <w:r w:rsidRPr="00BC05A4">
              <w:rPr>
                <w:szCs w:val="24"/>
                <w:lang w:val="de-DE"/>
              </w:rPr>
              <w:br/>
              <w:t>deutsch</w:t>
            </w:r>
          </w:p>
        </w:tc>
        <w:tc>
          <w:tcPr>
            <w:tcW w:w="1813" w:type="dxa"/>
            <w:tcBorders>
              <w:top w:val="single" w:sz="4" w:space="0" w:color="auto"/>
              <w:bottom w:val="nil"/>
            </w:tcBorders>
          </w:tcPr>
          <w:p w:rsidR="006F791A" w:rsidRPr="006F791A" w:rsidRDefault="006F791A" w:rsidP="006F791A">
            <w:pPr>
              <w:pStyle w:val="Normaltb"/>
              <w:rPr>
                <w:lang w:val="es-ES"/>
              </w:rPr>
            </w:pPr>
            <w:r w:rsidRPr="006F791A">
              <w:rPr>
                <w:lang w:val="es-ES"/>
              </w:rPr>
              <w:br/>
              <w:t>español</w:t>
            </w:r>
          </w:p>
        </w:tc>
        <w:tc>
          <w:tcPr>
            <w:tcW w:w="2063" w:type="dxa"/>
            <w:tcBorders>
              <w:top w:val="single" w:sz="4" w:space="0" w:color="auto"/>
              <w:bottom w:val="nil"/>
            </w:tcBorders>
          </w:tcPr>
          <w:p w:rsidR="006F791A" w:rsidRPr="006F791A" w:rsidRDefault="006F791A" w:rsidP="006F791A">
            <w:pPr>
              <w:pStyle w:val="Normaltb"/>
              <w:rPr>
                <w:lang w:val="fr-FR"/>
              </w:rPr>
            </w:pPr>
            <w:proofErr w:type="spellStart"/>
            <w:r w:rsidRPr="006F791A">
              <w:rPr>
                <w:lang w:val="fr-FR"/>
              </w:rPr>
              <w:t>Example</w:t>
            </w:r>
            <w:proofErr w:type="spellEnd"/>
            <w:r w:rsidRPr="006F791A">
              <w:rPr>
                <w:lang w:val="fr-FR"/>
              </w:rPr>
              <w:t xml:space="preserve"> </w:t>
            </w:r>
            <w:proofErr w:type="spellStart"/>
            <w:r w:rsidRPr="006F791A">
              <w:rPr>
                <w:lang w:val="fr-FR"/>
              </w:rPr>
              <w:t>Varieties</w:t>
            </w:r>
            <w:proofErr w:type="spellEnd"/>
            <w:r w:rsidRPr="006F791A">
              <w:rPr>
                <w:lang w:val="fr-FR"/>
              </w:rPr>
              <w:br/>
              <w:t>Exemples</w:t>
            </w:r>
            <w:r w:rsidRPr="006F791A">
              <w:rPr>
                <w:lang w:val="fr-FR"/>
              </w:rPr>
              <w:br/>
            </w:r>
            <w:proofErr w:type="spellStart"/>
            <w:r w:rsidRPr="006F791A">
              <w:rPr>
                <w:lang w:val="fr-FR"/>
              </w:rPr>
              <w:t>Beispielssorten</w:t>
            </w:r>
            <w:proofErr w:type="spellEnd"/>
            <w:r w:rsidRPr="006F791A">
              <w:rPr>
                <w:lang w:val="fr-FR"/>
              </w:rPr>
              <w:br/>
            </w:r>
            <w:proofErr w:type="spellStart"/>
            <w:r w:rsidRPr="006F791A">
              <w:rPr>
                <w:lang w:val="fr-FR"/>
              </w:rPr>
              <w:t>Variedades</w:t>
            </w:r>
            <w:proofErr w:type="spellEnd"/>
            <w:r w:rsidRPr="006F791A">
              <w:rPr>
                <w:lang w:val="fr-FR"/>
              </w:rPr>
              <w:t xml:space="preserve"> </w:t>
            </w:r>
            <w:proofErr w:type="spellStart"/>
            <w:r w:rsidRPr="006F791A">
              <w:rPr>
                <w:lang w:val="fr-FR"/>
              </w:rPr>
              <w:t>ejemplo</w:t>
            </w:r>
            <w:proofErr w:type="spellEnd"/>
          </w:p>
        </w:tc>
        <w:tc>
          <w:tcPr>
            <w:tcW w:w="589" w:type="dxa"/>
            <w:tcBorders>
              <w:top w:val="single" w:sz="4" w:space="0" w:color="auto"/>
              <w:bottom w:val="nil"/>
              <w:right w:val="nil"/>
            </w:tcBorders>
          </w:tcPr>
          <w:p w:rsidR="006F791A" w:rsidRPr="006F791A" w:rsidRDefault="006F791A" w:rsidP="006F791A">
            <w:pPr>
              <w:pStyle w:val="Normaltb"/>
              <w:rPr>
                <w:rFonts w:cs="Arial"/>
                <w:szCs w:val="16"/>
                <w:lang w:val="fr-FR"/>
              </w:rPr>
            </w:pPr>
            <w:r w:rsidRPr="006F791A">
              <w:rPr>
                <w:rFonts w:cs="Arial"/>
                <w:szCs w:val="16"/>
                <w:lang w:val="fr-FR"/>
              </w:rPr>
              <w:br/>
              <w:t>Note/</w:t>
            </w:r>
            <w:r w:rsidRPr="006F791A">
              <w:rPr>
                <w:rFonts w:cs="Arial"/>
                <w:szCs w:val="16"/>
                <w:lang w:val="fr-FR"/>
              </w:rPr>
              <w:br/>
              <w:t>Nota</w:t>
            </w:r>
          </w:p>
        </w:tc>
      </w:tr>
      <w:tr w:rsidR="006F791A" w:rsidRPr="00BC05A4" w:rsidTr="00425364">
        <w:trPr>
          <w:cantSplit/>
          <w:jc w:val="center"/>
        </w:trPr>
        <w:tc>
          <w:tcPr>
            <w:tcW w:w="589" w:type="dxa"/>
            <w:tcBorders>
              <w:top w:val="single" w:sz="4" w:space="0" w:color="auto"/>
              <w:left w:val="nil"/>
              <w:bottom w:val="nil"/>
            </w:tcBorders>
          </w:tcPr>
          <w:p w:rsidR="006F791A" w:rsidRPr="00BC05A4" w:rsidRDefault="006F791A" w:rsidP="00425364">
            <w:pPr>
              <w:pStyle w:val="Normaltb"/>
              <w:jc w:val="center"/>
              <w:rPr>
                <w:rFonts w:cs="Arial"/>
                <w:szCs w:val="16"/>
              </w:rPr>
            </w:pPr>
            <w:r w:rsidRPr="00BC05A4">
              <w:rPr>
                <w:rFonts w:cs="Arial"/>
                <w:szCs w:val="16"/>
              </w:rPr>
              <w:t>23.</w:t>
            </w:r>
            <w:r w:rsidRPr="00BC05A4">
              <w:rPr>
                <w:rFonts w:cs="Arial"/>
                <w:szCs w:val="16"/>
              </w:rPr>
              <w:br/>
            </w:r>
            <w:r w:rsidRPr="006F791A">
              <w:rPr>
                <w:rFonts w:cs="Arial"/>
                <w:strike/>
                <w:szCs w:val="16"/>
                <w:highlight w:val="lightGray"/>
              </w:rPr>
              <w:t>(*)</w:t>
            </w:r>
            <w:r w:rsidRPr="00BC05A4">
              <w:rPr>
                <w:rFonts w:cs="Arial"/>
                <w:szCs w:val="16"/>
              </w:rPr>
              <w:br/>
              <w:t>(+)</w:t>
            </w:r>
          </w:p>
        </w:tc>
        <w:tc>
          <w:tcPr>
            <w:tcW w:w="454" w:type="dxa"/>
            <w:tcBorders>
              <w:top w:val="single" w:sz="4" w:space="0" w:color="auto"/>
              <w:bottom w:val="nil"/>
            </w:tcBorders>
          </w:tcPr>
          <w:p w:rsidR="006F791A" w:rsidRPr="00BC05A4" w:rsidRDefault="006F791A" w:rsidP="00425364">
            <w:pPr>
              <w:pStyle w:val="Normaltb"/>
              <w:jc w:val="center"/>
              <w:rPr>
                <w:rFonts w:cs="Arial"/>
                <w:szCs w:val="16"/>
              </w:rPr>
            </w:pPr>
            <w:r w:rsidRPr="00BC05A4">
              <w:rPr>
                <w:rFonts w:cs="Arial"/>
                <w:szCs w:val="16"/>
                <w:lang w:val="es-ES_tradnl"/>
              </w:rPr>
              <w:t>VG</w:t>
            </w:r>
          </w:p>
        </w:tc>
        <w:tc>
          <w:tcPr>
            <w:tcW w:w="1886" w:type="dxa"/>
            <w:tcBorders>
              <w:top w:val="single" w:sz="4" w:space="0" w:color="auto"/>
              <w:bottom w:val="nil"/>
            </w:tcBorders>
          </w:tcPr>
          <w:p w:rsidR="006F791A" w:rsidRPr="00BC05A4" w:rsidRDefault="006F791A" w:rsidP="00425364">
            <w:pPr>
              <w:pStyle w:val="Normaltb"/>
              <w:rPr>
                <w:i/>
              </w:rPr>
            </w:pPr>
            <w:r w:rsidRPr="00BC05A4">
              <w:t xml:space="preserve">Resistance to </w:t>
            </w:r>
            <w:proofErr w:type="spellStart"/>
            <w:r w:rsidRPr="00BC05A4">
              <w:rPr>
                <w:i/>
              </w:rPr>
              <w:t>Verticillium</w:t>
            </w:r>
            <w:proofErr w:type="spellEnd"/>
            <w:r w:rsidRPr="00BC05A4">
              <w:t xml:space="preserve"> sp.</w:t>
            </w:r>
            <w:r w:rsidRPr="00BC05A4">
              <w:br/>
              <w:t>(</w:t>
            </w:r>
            <w:proofErr w:type="spellStart"/>
            <w:r w:rsidRPr="00BC05A4">
              <w:t>Va</w:t>
            </w:r>
            <w:proofErr w:type="spellEnd"/>
            <w:r w:rsidRPr="00BC05A4">
              <w:t xml:space="preserve"> and </w:t>
            </w:r>
            <w:proofErr w:type="spellStart"/>
            <w:r w:rsidRPr="00BC05A4">
              <w:t>Vd</w:t>
            </w:r>
            <w:proofErr w:type="spellEnd"/>
            <w:r w:rsidRPr="00BC05A4">
              <w:t>)</w:t>
            </w:r>
          </w:p>
          <w:p w:rsidR="006F791A" w:rsidRPr="00BC05A4" w:rsidRDefault="006F791A" w:rsidP="00425364">
            <w:pPr>
              <w:pStyle w:val="Normaltb"/>
            </w:pPr>
            <w:r w:rsidRPr="00BC05A4">
              <w:t>– Race 0</w:t>
            </w:r>
          </w:p>
        </w:tc>
        <w:tc>
          <w:tcPr>
            <w:tcW w:w="2013" w:type="dxa"/>
            <w:tcBorders>
              <w:top w:val="single" w:sz="4" w:space="0" w:color="auto"/>
              <w:bottom w:val="nil"/>
            </w:tcBorders>
          </w:tcPr>
          <w:p w:rsidR="006F791A" w:rsidRPr="00BC05A4" w:rsidRDefault="006F791A" w:rsidP="00425364">
            <w:pPr>
              <w:pStyle w:val="Normaltb"/>
              <w:rPr>
                <w:i/>
                <w:lang w:val="fr-FR"/>
              </w:rPr>
            </w:pPr>
            <w:r w:rsidRPr="00BC05A4">
              <w:rPr>
                <w:lang w:val="fr-FR"/>
              </w:rPr>
              <w:t xml:space="preserve">Résistance à </w:t>
            </w:r>
            <w:proofErr w:type="spellStart"/>
            <w:r w:rsidRPr="00BC05A4">
              <w:rPr>
                <w:i/>
                <w:lang w:val="fr-FR"/>
              </w:rPr>
              <w:t>Verticillium</w:t>
            </w:r>
            <w:proofErr w:type="spellEnd"/>
            <w:r w:rsidRPr="00BC05A4">
              <w:rPr>
                <w:i/>
                <w:lang w:val="fr-FR"/>
              </w:rPr>
              <w:t xml:space="preserve"> </w:t>
            </w:r>
            <w:proofErr w:type="spellStart"/>
            <w:r w:rsidRPr="00BC05A4">
              <w:rPr>
                <w:lang w:val="fr-FR"/>
              </w:rPr>
              <w:t>sp</w:t>
            </w:r>
            <w:proofErr w:type="spellEnd"/>
            <w:r w:rsidRPr="00BC05A4">
              <w:rPr>
                <w:lang w:val="fr-FR"/>
              </w:rPr>
              <w:t xml:space="preserve">. (Va et </w:t>
            </w:r>
            <w:proofErr w:type="spellStart"/>
            <w:r w:rsidRPr="00BC05A4">
              <w:rPr>
                <w:lang w:val="fr-FR"/>
              </w:rPr>
              <w:t>Vd</w:t>
            </w:r>
            <w:proofErr w:type="spellEnd"/>
            <w:r w:rsidRPr="00BC05A4">
              <w:rPr>
                <w:lang w:val="fr-FR"/>
              </w:rPr>
              <w:t>)</w:t>
            </w:r>
          </w:p>
          <w:p w:rsidR="006F791A" w:rsidRPr="00BC05A4" w:rsidRDefault="006F791A" w:rsidP="00425364">
            <w:pPr>
              <w:pStyle w:val="Normaltb"/>
              <w:rPr>
                <w:lang w:val="fr-FR"/>
              </w:rPr>
            </w:pPr>
            <w:r w:rsidRPr="00BC05A4">
              <w:rPr>
                <w:lang w:val="fr-FR"/>
              </w:rPr>
              <w:br/>
              <w:t xml:space="preserve">– </w:t>
            </w:r>
            <w:proofErr w:type="spellStart"/>
            <w:r w:rsidRPr="00BC05A4">
              <w:rPr>
                <w:lang w:val="fr-FR"/>
              </w:rPr>
              <w:t>Pathotype</w:t>
            </w:r>
            <w:proofErr w:type="spellEnd"/>
            <w:r w:rsidRPr="00BC05A4">
              <w:rPr>
                <w:lang w:val="fr-FR"/>
              </w:rPr>
              <w:t xml:space="preserve"> 0</w:t>
            </w:r>
          </w:p>
        </w:tc>
        <w:tc>
          <w:tcPr>
            <w:tcW w:w="1813" w:type="dxa"/>
            <w:tcBorders>
              <w:top w:val="single" w:sz="4" w:space="0" w:color="auto"/>
              <w:bottom w:val="nil"/>
            </w:tcBorders>
          </w:tcPr>
          <w:p w:rsidR="006F791A" w:rsidRPr="006F791A" w:rsidRDefault="006F791A" w:rsidP="00425364">
            <w:pPr>
              <w:pStyle w:val="Normaltb"/>
              <w:rPr>
                <w:i/>
                <w:szCs w:val="24"/>
                <w:lang w:val="de-DE"/>
              </w:rPr>
            </w:pPr>
            <w:r w:rsidRPr="006F791A">
              <w:rPr>
                <w:szCs w:val="24"/>
                <w:lang w:val="de-DE"/>
              </w:rPr>
              <w:t xml:space="preserve">Resistenz gegen </w:t>
            </w:r>
            <w:r w:rsidRPr="006F791A">
              <w:rPr>
                <w:i/>
                <w:szCs w:val="24"/>
                <w:lang w:val="de-DE"/>
              </w:rPr>
              <w:t xml:space="preserve">Verticillium </w:t>
            </w:r>
            <w:r w:rsidRPr="006F791A">
              <w:rPr>
                <w:szCs w:val="24"/>
                <w:lang w:val="de-DE"/>
              </w:rPr>
              <w:t xml:space="preserve">sp. </w:t>
            </w:r>
            <w:r w:rsidRPr="006F791A">
              <w:rPr>
                <w:szCs w:val="24"/>
                <w:lang w:val="de-DE"/>
              </w:rPr>
              <w:br/>
            </w:r>
            <w:r w:rsidRPr="006F791A">
              <w:rPr>
                <w:lang w:val="de-DE"/>
              </w:rPr>
              <w:t>(Va und Vd)</w:t>
            </w:r>
          </w:p>
          <w:p w:rsidR="006F791A" w:rsidRPr="00B01483" w:rsidRDefault="006F791A" w:rsidP="00425364">
            <w:pPr>
              <w:pStyle w:val="Normaltb"/>
              <w:rPr>
                <w:szCs w:val="24"/>
              </w:rPr>
            </w:pPr>
            <w:r w:rsidRPr="00B01483">
              <w:rPr>
                <w:noProof/>
                <w:szCs w:val="24"/>
              </w:rPr>
              <w:t>– Pathotyp 0</w:t>
            </w:r>
          </w:p>
        </w:tc>
        <w:tc>
          <w:tcPr>
            <w:tcW w:w="1813" w:type="dxa"/>
            <w:tcBorders>
              <w:top w:val="single" w:sz="4" w:space="0" w:color="auto"/>
              <w:bottom w:val="nil"/>
            </w:tcBorders>
          </w:tcPr>
          <w:p w:rsidR="006F791A" w:rsidRPr="006F791A" w:rsidRDefault="006F791A" w:rsidP="00425364">
            <w:pPr>
              <w:pStyle w:val="Normaltb"/>
              <w:rPr>
                <w:i/>
                <w:lang w:val="es-ES"/>
              </w:rPr>
            </w:pPr>
            <w:r w:rsidRPr="006F791A">
              <w:rPr>
                <w:lang w:val="es-ES"/>
              </w:rPr>
              <w:t xml:space="preserve">Resistencia a </w:t>
            </w:r>
            <w:proofErr w:type="spellStart"/>
            <w:r w:rsidRPr="006F791A">
              <w:rPr>
                <w:i/>
                <w:lang w:val="es-ES"/>
              </w:rPr>
              <w:t>Verticillium</w:t>
            </w:r>
            <w:proofErr w:type="spellEnd"/>
            <w:r w:rsidRPr="006F791A">
              <w:rPr>
                <w:i/>
                <w:lang w:val="es-ES"/>
              </w:rPr>
              <w:t xml:space="preserve"> </w:t>
            </w:r>
            <w:proofErr w:type="spellStart"/>
            <w:r w:rsidRPr="006F791A">
              <w:rPr>
                <w:lang w:val="es-ES"/>
              </w:rPr>
              <w:t>sp</w:t>
            </w:r>
            <w:proofErr w:type="spellEnd"/>
            <w:r w:rsidRPr="006F791A">
              <w:rPr>
                <w:lang w:val="es-ES"/>
              </w:rPr>
              <w:t>.</w:t>
            </w:r>
            <w:r w:rsidRPr="006F791A">
              <w:rPr>
                <w:lang w:val="es-ES"/>
              </w:rPr>
              <w:br/>
              <w:t xml:space="preserve">(Va y </w:t>
            </w:r>
            <w:proofErr w:type="spellStart"/>
            <w:r w:rsidRPr="006F791A">
              <w:rPr>
                <w:lang w:val="es-ES"/>
              </w:rPr>
              <w:t>Vd</w:t>
            </w:r>
            <w:proofErr w:type="spellEnd"/>
            <w:r w:rsidRPr="006F791A">
              <w:rPr>
                <w:lang w:val="es-ES"/>
              </w:rPr>
              <w:t>)</w:t>
            </w:r>
          </w:p>
          <w:p w:rsidR="006F791A" w:rsidRPr="00BC05A4" w:rsidRDefault="006F791A" w:rsidP="00425364">
            <w:pPr>
              <w:pStyle w:val="Normaltb"/>
              <w:rPr>
                <w:lang w:val="fr-FR"/>
              </w:rPr>
            </w:pPr>
            <w:r w:rsidRPr="00BC05A4">
              <w:rPr>
                <w:lang w:val="fr-FR"/>
              </w:rPr>
              <w:t xml:space="preserve">– </w:t>
            </w:r>
            <w:proofErr w:type="spellStart"/>
            <w:r w:rsidRPr="00BC05A4">
              <w:rPr>
                <w:lang w:val="fr-FR"/>
              </w:rPr>
              <w:t>Raza</w:t>
            </w:r>
            <w:proofErr w:type="spellEnd"/>
            <w:r w:rsidRPr="00BC05A4">
              <w:rPr>
                <w:lang w:val="fr-FR"/>
              </w:rPr>
              <w:t xml:space="preserve"> 0</w:t>
            </w:r>
          </w:p>
        </w:tc>
        <w:tc>
          <w:tcPr>
            <w:tcW w:w="2063" w:type="dxa"/>
            <w:tcBorders>
              <w:top w:val="single" w:sz="4" w:space="0" w:color="auto"/>
              <w:bottom w:val="nil"/>
            </w:tcBorders>
          </w:tcPr>
          <w:p w:rsidR="006F791A" w:rsidRPr="00BC05A4" w:rsidRDefault="006F791A" w:rsidP="00425364">
            <w:pPr>
              <w:pStyle w:val="Normaltb"/>
              <w:rPr>
                <w:lang w:val="fr-FR"/>
              </w:rPr>
            </w:pPr>
          </w:p>
        </w:tc>
        <w:tc>
          <w:tcPr>
            <w:tcW w:w="589" w:type="dxa"/>
            <w:tcBorders>
              <w:top w:val="single" w:sz="4" w:space="0" w:color="auto"/>
              <w:bottom w:val="nil"/>
              <w:right w:val="nil"/>
            </w:tcBorders>
          </w:tcPr>
          <w:p w:rsidR="006F791A" w:rsidRPr="00BC05A4" w:rsidRDefault="006F791A" w:rsidP="00425364">
            <w:pPr>
              <w:pStyle w:val="Normaltb"/>
              <w:jc w:val="center"/>
              <w:rPr>
                <w:rFonts w:cs="Arial"/>
                <w:szCs w:val="16"/>
                <w:lang w:val="fr-FR"/>
              </w:rPr>
            </w:pPr>
          </w:p>
        </w:tc>
      </w:tr>
      <w:tr w:rsidR="006F791A" w:rsidRPr="00BC05A4" w:rsidTr="00425364">
        <w:trPr>
          <w:cantSplit/>
          <w:jc w:val="center"/>
        </w:trPr>
        <w:tc>
          <w:tcPr>
            <w:tcW w:w="589" w:type="dxa"/>
            <w:tcBorders>
              <w:top w:val="nil"/>
              <w:left w:val="nil"/>
              <w:bottom w:val="nil"/>
            </w:tcBorders>
          </w:tcPr>
          <w:p w:rsidR="006F791A" w:rsidRPr="00BC05A4" w:rsidRDefault="006F791A" w:rsidP="00425364">
            <w:pPr>
              <w:pStyle w:val="Normalt"/>
              <w:jc w:val="center"/>
              <w:rPr>
                <w:rFonts w:cs="Arial"/>
                <w:b/>
                <w:szCs w:val="16"/>
                <w:lang w:val="fr-FR"/>
              </w:rPr>
            </w:pPr>
            <w:r w:rsidRPr="00BC05A4">
              <w:rPr>
                <w:rFonts w:cs="Arial"/>
                <w:b/>
                <w:szCs w:val="16"/>
                <w:lang w:val="fr-FR"/>
              </w:rPr>
              <w:t>QL</w:t>
            </w:r>
          </w:p>
        </w:tc>
        <w:tc>
          <w:tcPr>
            <w:tcW w:w="454" w:type="dxa"/>
            <w:tcBorders>
              <w:top w:val="nil"/>
              <w:bottom w:val="nil"/>
            </w:tcBorders>
          </w:tcPr>
          <w:p w:rsidR="006F791A" w:rsidRPr="00BC05A4" w:rsidRDefault="006F791A" w:rsidP="00425364">
            <w:pPr>
              <w:pStyle w:val="Normaltb"/>
              <w:jc w:val="center"/>
              <w:rPr>
                <w:rFonts w:cs="Arial"/>
                <w:szCs w:val="16"/>
                <w:lang w:val="fr-FR"/>
              </w:rPr>
            </w:pPr>
          </w:p>
        </w:tc>
        <w:tc>
          <w:tcPr>
            <w:tcW w:w="1886" w:type="dxa"/>
            <w:tcBorders>
              <w:top w:val="nil"/>
              <w:bottom w:val="nil"/>
            </w:tcBorders>
          </w:tcPr>
          <w:p w:rsidR="006F791A" w:rsidRPr="00BC05A4" w:rsidRDefault="006F791A" w:rsidP="00425364">
            <w:pPr>
              <w:pStyle w:val="Normalt"/>
              <w:rPr>
                <w:lang w:val="fr-FR"/>
              </w:rPr>
            </w:pPr>
            <w:r w:rsidRPr="00BC05A4">
              <w:rPr>
                <w:lang w:val="fr-FR"/>
              </w:rPr>
              <w:t>absent</w:t>
            </w:r>
          </w:p>
        </w:tc>
        <w:tc>
          <w:tcPr>
            <w:tcW w:w="2013" w:type="dxa"/>
            <w:tcBorders>
              <w:top w:val="nil"/>
              <w:bottom w:val="nil"/>
            </w:tcBorders>
          </w:tcPr>
          <w:p w:rsidR="006F791A" w:rsidRPr="00BC05A4" w:rsidRDefault="006F791A" w:rsidP="00425364">
            <w:pPr>
              <w:pStyle w:val="Normalt"/>
              <w:rPr>
                <w:lang w:val="fr-FR"/>
              </w:rPr>
            </w:pPr>
            <w:r w:rsidRPr="00BC05A4">
              <w:rPr>
                <w:lang w:val="fr-FR"/>
              </w:rPr>
              <w:t>absente</w:t>
            </w:r>
          </w:p>
        </w:tc>
        <w:tc>
          <w:tcPr>
            <w:tcW w:w="1813" w:type="dxa"/>
            <w:tcBorders>
              <w:top w:val="nil"/>
              <w:bottom w:val="nil"/>
            </w:tcBorders>
          </w:tcPr>
          <w:p w:rsidR="006F791A" w:rsidRPr="00BC05A4" w:rsidRDefault="006F791A" w:rsidP="00425364">
            <w:pPr>
              <w:pStyle w:val="Normalt"/>
              <w:rPr>
                <w:szCs w:val="24"/>
                <w:lang w:val="fr-FR"/>
              </w:rPr>
            </w:pPr>
            <w:r w:rsidRPr="00BC05A4">
              <w:rPr>
                <w:noProof/>
                <w:szCs w:val="24"/>
                <w:lang w:val="fr-FR"/>
              </w:rPr>
              <w:t>fehlend</w:t>
            </w:r>
          </w:p>
        </w:tc>
        <w:tc>
          <w:tcPr>
            <w:tcW w:w="1813" w:type="dxa"/>
            <w:tcBorders>
              <w:top w:val="nil"/>
              <w:bottom w:val="nil"/>
            </w:tcBorders>
          </w:tcPr>
          <w:p w:rsidR="006F791A" w:rsidRPr="00BC05A4" w:rsidRDefault="006F791A" w:rsidP="00425364">
            <w:pPr>
              <w:pStyle w:val="Normalt"/>
              <w:rPr>
                <w:lang w:val="fr-FR"/>
              </w:rPr>
            </w:pPr>
            <w:proofErr w:type="spellStart"/>
            <w:r w:rsidRPr="00BC05A4">
              <w:rPr>
                <w:lang w:val="fr-FR"/>
              </w:rPr>
              <w:t>ausente</w:t>
            </w:r>
            <w:proofErr w:type="spellEnd"/>
          </w:p>
        </w:tc>
        <w:tc>
          <w:tcPr>
            <w:tcW w:w="2063" w:type="dxa"/>
            <w:tcBorders>
              <w:top w:val="nil"/>
              <w:bottom w:val="nil"/>
            </w:tcBorders>
          </w:tcPr>
          <w:p w:rsidR="006F791A" w:rsidRPr="00BC05A4" w:rsidRDefault="006F791A" w:rsidP="00425364">
            <w:pPr>
              <w:pStyle w:val="Normalt"/>
              <w:rPr>
                <w:lang w:val="fr-FR"/>
              </w:rPr>
            </w:pPr>
            <w:r w:rsidRPr="00BC05A4">
              <w:rPr>
                <w:lang w:val="fr-FR"/>
              </w:rPr>
              <w:t xml:space="preserve"> </w:t>
            </w:r>
          </w:p>
        </w:tc>
        <w:tc>
          <w:tcPr>
            <w:tcW w:w="589" w:type="dxa"/>
            <w:tcBorders>
              <w:top w:val="nil"/>
              <w:bottom w:val="nil"/>
              <w:right w:val="nil"/>
            </w:tcBorders>
          </w:tcPr>
          <w:p w:rsidR="006F791A" w:rsidRPr="00BC05A4" w:rsidRDefault="006F791A" w:rsidP="00425364">
            <w:pPr>
              <w:pStyle w:val="Normalt"/>
              <w:jc w:val="center"/>
              <w:rPr>
                <w:rFonts w:cs="Arial"/>
                <w:szCs w:val="16"/>
                <w:lang w:val="fr-FR"/>
              </w:rPr>
            </w:pPr>
            <w:r w:rsidRPr="00BC05A4">
              <w:rPr>
                <w:rFonts w:cs="Arial"/>
                <w:szCs w:val="16"/>
                <w:lang w:val="fr-FR"/>
              </w:rPr>
              <w:t>1</w:t>
            </w:r>
          </w:p>
        </w:tc>
      </w:tr>
      <w:tr w:rsidR="006F791A" w:rsidRPr="00BC05A4" w:rsidTr="00425364">
        <w:trPr>
          <w:cantSplit/>
          <w:jc w:val="center"/>
        </w:trPr>
        <w:tc>
          <w:tcPr>
            <w:tcW w:w="589" w:type="dxa"/>
            <w:tcBorders>
              <w:top w:val="nil"/>
              <w:left w:val="nil"/>
              <w:bottom w:val="single" w:sz="4" w:space="0" w:color="auto"/>
            </w:tcBorders>
          </w:tcPr>
          <w:p w:rsidR="006F791A" w:rsidRPr="00BC05A4" w:rsidRDefault="006F791A" w:rsidP="00425364">
            <w:pPr>
              <w:pStyle w:val="Normalt"/>
              <w:jc w:val="center"/>
              <w:rPr>
                <w:rFonts w:cs="Arial"/>
                <w:b/>
                <w:szCs w:val="16"/>
                <w:lang w:val="fr-FR"/>
              </w:rPr>
            </w:pPr>
          </w:p>
        </w:tc>
        <w:tc>
          <w:tcPr>
            <w:tcW w:w="454" w:type="dxa"/>
            <w:tcBorders>
              <w:top w:val="nil"/>
              <w:bottom w:val="single" w:sz="4" w:space="0" w:color="auto"/>
            </w:tcBorders>
          </w:tcPr>
          <w:p w:rsidR="006F791A" w:rsidRPr="00BC05A4" w:rsidRDefault="006F791A" w:rsidP="00425364">
            <w:pPr>
              <w:pStyle w:val="Normaltb"/>
              <w:jc w:val="center"/>
              <w:rPr>
                <w:rFonts w:cs="Arial"/>
                <w:szCs w:val="16"/>
                <w:lang w:val="fr-FR"/>
              </w:rPr>
            </w:pPr>
          </w:p>
        </w:tc>
        <w:tc>
          <w:tcPr>
            <w:tcW w:w="1886" w:type="dxa"/>
            <w:tcBorders>
              <w:top w:val="nil"/>
              <w:bottom w:val="single" w:sz="4" w:space="0" w:color="auto"/>
            </w:tcBorders>
          </w:tcPr>
          <w:p w:rsidR="006F791A" w:rsidRPr="00BC05A4" w:rsidRDefault="006F791A" w:rsidP="00425364">
            <w:pPr>
              <w:pStyle w:val="Normalt"/>
              <w:rPr>
                <w:lang w:val="fr-FR"/>
              </w:rPr>
            </w:pPr>
            <w:proofErr w:type="spellStart"/>
            <w:r w:rsidRPr="00BC05A4">
              <w:rPr>
                <w:lang w:val="fr-FR"/>
              </w:rPr>
              <w:t>present</w:t>
            </w:r>
            <w:proofErr w:type="spellEnd"/>
          </w:p>
        </w:tc>
        <w:tc>
          <w:tcPr>
            <w:tcW w:w="2013" w:type="dxa"/>
            <w:tcBorders>
              <w:top w:val="nil"/>
              <w:bottom w:val="single" w:sz="4" w:space="0" w:color="auto"/>
            </w:tcBorders>
          </w:tcPr>
          <w:p w:rsidR="006F791A" w:rsidRPr="00BC05A4" w:rsidRDefault="006F791A" w:rsidP="00425364">
            <w:pPr>
              <w:pStyle w:val="Normalt"/>
              <w:rPr>
                <w:lang w:val="fr-FR"/>
              </w:rPr>
            </w:pPr>
            <w:r w:rsidRPr="00BC05A4">
              <w:rPr>
                <w:lang w:val="fr-FR"/>
              </w:rPr>
              <w:t>présente</w:t>
            </w:r>
          </w:p>
        </w:tc>
        <w:tc>
          <w:tcPr>
            <w:tcW w:w="1813" w:type="dxa"/>
            <w:tcBorders>
              <w:top w:val="nil"/>
              <w:bottom w:val="single" w:sz="4" w:space="0" w:color="auto"/>
            </w:tcBorders>
          </w:tcPr>
          <w:p w:rsidR="006F791A" w:rsidRPr="00BC05A4" w:rsidRDefault="006F791A" w:rsidP="00425364">
            <w:pPr>
              <w:pStyle w:val="Normalt"/>
              <w:rPr>
                <w:szCs w:val="24"/>
                <w:lang w:val="fr-FR"/>
              </w:rPr>
            </w:pPr>
            <w:r w:rsidRPr="00BC05A4">
              <w:rPr>
                <w:noProof/>
                <w:szCs w:val="24"/>
                <w:lang w:val="fr-FR"/>
              </w:rPr>
              <w:t>vorhanden</w:t>
            </w:r>
          </w:p>
        </w:tc>
        <w:tc>
          <w:tcPr>
            <w:tcW w:w="1813" w:type="dxa"/>
            <w:tcBorders>
              <w:top w:val="nil"/>
              <w:bottom w:val="single" w:sz="4" w:space="0" w:color="auto"/>
            </w:tcBorders>
          </w:tcPr>
          <w:p w:rsidR="006F791A" w:rsidRPr="00BC05A4" w:rsidRDefault="006F791A" w:rsidP="00425364">
            <w:pPr>
              <w:pStyle w:val="Normalt"/>
              <w:rPr>
                <w:lang w:val="fr-FR"/>
              </w:rPr>
            </w:pPr>
            <w:proofErr w:type="spellStart"/>
            <w:r w:rsidRPr="00BC05A4">
              <w:rPr>
                <w:lang w:val="fr-FR"/>
              </w:rPr>
              <w:t>presente</w:t>
            </w:r>
            <w:proofErr w:type="spellEnd"/>
          </w:p>
        </w:tc>
        <w:tc>
          <w:tcPr>
            <w:tcW w:w="2063" w:type="dxa"/>
            <w:tcBorders>
              <w:top w:val="nil"/>
              <w:bottom w:val="single" w:sz="4" w:space="0" w:color="auto"/>
            </w:tcBorders>
          </w:tcPr>
          <w:p w:rsidR="006F791A" w:rsidRPr="00BC05A4" w:rsidRDefault="006F791A" w:rsidP="00425364">
            <w:pPr>
              <w:pStyle w:val="Normalt"/>
            </w:pPr>
            <w:proofErr w:type="spellStart"/>
            <w:r w:rsidRPr="00BC05A4">
              <w:rPr>
                <w:lang w:val="fr-FR"/>
              </w:rPr>
              <w:t>Big</w:t>
            </w:r>
            <w:proofErr w:type="spellEnd"/>
            <w:r w:rsidRPr="00BC05A4">
              <w:rPr>
                <w:lang w:val="fr-FR"/>
              </w:rPr>
              <w:t xml:space="preserve"> </w:t>
            </w:r>
            <w:r w:rsidRPr="00BC05A4">
              <w:t>Power</w:t>
            </w:r>
          </w:p>
        </w:tc>
        <w:tc>
          <w:tcPr>
            <w:tcW w:w="589" w:type="dxa"/>
            <w:tcBorders>
              <w:top w:val="nil"/>
              <w:bottom w:val="single" w:sz="4" w:space="0" w:color="auto"/>
              <w:right w:val="nil"/>
            </w:tcBorders>
          </w:tcPr>
          <w:p w:rsidR="006F791A" w:rsidRPr="00BC05A4" w:rsidRDefault="006F791A" w:rsidP="00425364">
            <w:pPr>
              <w:pStyle w:val="Normalt"/>
              <w:jc w:val="center"/>
              <w:rPr>
                <w:rFonts w:cs="Arial"/>
                <w:szCs w:val="16"/>
              </w:rPr>
            </w:pPr>
            <w:r w:rsidRPr="00BC05A4">
              <w:rPr>
                <w:rFonts w:cs="Arial"/>
                <w:szCs w:val="16"/>
              </w:rPr>
              <w:t>9</w:t>
            </w:r>
          </w:p>
        </w:tc>
      </w:tr>
    </w:tbl>
    <w:p w:rsidR="006F791A" w:rsidRDefault="006F791A" w:rsidP="00AB530F">
      <w:pPr>
        <w:rPr>
          <w:snapToGrid w:val="0"/>
        </w:rPr>
      </w:pPr>
    </w:p>
    <w:p w:rsidR="00F0041B" w:rsidRDefault="00F0041B" w:rsidP="00F0041B">
      <w:pPr>
        <w:pStyle w:val="Heading3"/>
        <w:rPr>
          <w:snapToGrid w:val="0"/>
        </w:rPr>
      </w:pPr>
      <w:r>
        <w:rPr>
          <w:snapToGrid w:val="0"/>
        </w:rPr>
        <w:t xml:space="preserve">Comment by the Leading Expert, Mr. Sergio </w:t>
      </w:r>
      <w:proofErr w:type="spellStart"/>
      <w:r>
        <w:rPr>
          <w:snapToGrid w:val="0"/>
        </w:rPr>
        <w:t>Semon</w:t>
      </w:r>
      <w:proofErr w:type="spellEnd"/>
      <w:r>
        <w:rPr>
          <w:snapToGrid w:val="0"/>
        </w:rPr>
        <w:t xml:space="preserve">, </w:t>
      </w:r>
      <w:proofErr w:type="gramStart"/>
      <w:r>
        <w:rPr>
          <w:snapToGrid w:val="0"/>
        </w:rPr>
        <w:t>European</w:t>
      </w:r>
      <w:proofErr w:type="gramEnd"/>
      <w:r>
        <w:rPr>
          <w:snapToGrid w:val="0"/>
        </w:rPr>
        <w:t xml:space="preserve"> Union:</w:t>
      </w:r>
    </w:p>
    <w:p w:rsidR="00F0041B" w:rsidRDefault="00F0041B" w:rsidP="00F0041B"/>
    <w:p w:rsidR="00F0041B" w:rsidRPr="005276E8" w:rsidRDefault="00F0041B" w:rsidP="00F0041B">
      <w:r w:rsidRPr="005276E8">
        <w:t xml:space="preserve">In the current UPOV </w:t>
      </w:r>
      <w:r w:rsidR="002711F9" w:rsidRPr="005276E8">
        <w:t>Test Guidelines</w:t>
      </w:r>
      <w:r w:rsidRPr="005276E8">
        <w:t xml:space="preserve"> this characteristic appears with an asterisk (*), which means that it should always be examined for DUS and included in the variety description by all members of the Union.</w:t>
      </w:r>
    </w:p>
    <w:p w:rsidR="00F0041B" w:rsidRPr="005276E8" w:rsidRDefault="00F0041B" w:rsidP="00F0041B"/>
    <w:p w:rsidR="00F0041B" w:rsidRPr="005276E8" w:rsidRDefault="00F0041B" w:rsidP="00F0041B">
      <w:r w:rsidRPr="005276E8">
        <w:t>In recent discussions between examination authorities within the European Union, there was the opinion that this characteristic may not be sufficiently useful to observe in a systematic way for each candidate tomato rootstock variety. Furthermore, not all examination authorities have the capability to test for this disease in tomato rootstock. The group of European Union experts therefore concluded that the asterisk should be removed from this characteristic.</w:t>
      </w:r>
    </w:p>
    <w:p w:rsidR="00F0041B" w:rsidRPr="005276E8" w:rsidRDefault="00F0041B" w:rsidP="00F0041B"/>
    <w:p w:rsidR="00F0041B" w:rsidRDefault="00F0041B" w:rsidP="00F0041B">
      <w:r w:rsidRPr="005276E8">
        <w:t>Proposal: To remove the asterisk from Characteristic 23 of the Test Guidelines for Tomato Rootstocks</w:t>
      </w:r>
      <w:r w:rsidR="002711F9" w:rsidRPr="005276E8">
        <w:t>.</w:t>
      </w:r>
    </w:p>
    <w:p w:rsidR="00F0041B" w:rsidRDefault="00F0041B" w:rsidP="00F0041B"/>
    <w:p w:rsidR="002711F9" w:rsidRDefault="002711F9" w:rsidP="00F0041B"/>
    <w:p w:rsidR="00F0041B" w:rsidRDefault="00F0041B" w:rsidP="00F0041B">
      <w:pPr>
        <w:pStyle w:val="Heading2"/>
      </w:pPr>
      <w:r w:rsidRPr="006F791A">
        <w:rPr>
          <w:snapToGrid w:val="0"/>
        </w:rPr>
        <w:t>Changes Proposed to Characteristic</w:t>
      </w:r>
      <w:r>
        <w:rPr>
          <w:snapToGrid w:val="0"/>
        </w:rPr>
        <w:t xml:space="preserve"> </w:t>
      </w:r>
      <w:r>
        <w:t>28 “</w:t>
      </w:r>
      <w:r w:rsidRPr="00B5519E">
        <w:t xml:space="preserve">Resistance to </w:t>
      </w:r>
      <w:proofErr w:type="spellStart"/>
      <w:r w:rsidRPr="00F0041B">
        <w:rPr>
          <w:i/>
        </w:rPr>
        <w:t>Pyrenochaeta</w:t>
      </w:r>
      <w:proofErr w:type="spellEnd"/>
      <w:r w:rsidRPr="00F0041B">
        <w:rPr>
          <w:i/>
        </w:rPr>
        <w:t xml:space="preserve"> </w:t>
      </w:r>
      <w:proofErr w:type="spellStart"/>
      <w:r w:rsidRPr="00F0041B">
        <w:rPr>
          <w:i/>
        </w:rPr>
        <w:t>lycopersici</w:t>
      </w:r>
      <w:proofErr w:type="spellEnd"/>
      <w:r w:rsidRPr="00B5519E">
        <w:t xml:space="preserve"> (Pl)</w:t>
      </w:r>
      <w:r>
        <w:t>”</w:t>
      </w:r>
    </w:p>
    <w:p w:rsidR="00F0041B" w:rsidRDefault="00F0041B" w:rsidP="00F0041B"/>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F0041B" w:rsidRPr="006F791A" w:rsidTr="00F0041B">
        <w:trPr>
          <w:cantSplit/>
          <w:jc w:val="center"/>
        </w:trPr>
        <w:tc>
          <w:tcPr>
            <w:tcW w:w="589" w:type="dxa"/>
            <w:tcBorders>
              <w:top w:val="single" w:sz="4" w:space="0" w:color="auto"/>
              <w:left w:val="nil"/>
              <w:bottom w:val="single" w:sz="4" w:space="0" w:color="auto"/>
            </w:tcBorders>
          </w:tcPr>
          <w:p w:rsidR="00F0041B" w:rsidRPr="006F791A" w:rsidRDefault="00F0041B" w:rsidP="00425364">
            <w:pPr>
              <w:pStyle w:val="Normaltb"/>
              <w:rPr>
                <w:rFonts w:cs="Arial"/>
                <w:szCs w:val="16"/>
              </w:rPr>
            </w:pPr>
          </w:p>
        </w:tc>
        <w:tc>
          <w:tcPr>
            <w:tcW w:w="454" w:type="dxa"/>
            <w:tcBorders>
              <w:top w:val="single" w:sz="4" w:space="0" w:color="auto"/>
              <w:bottom w:val="single" w:sz="4" w:space="0" w:color="auto"/>
            </w:tcBorders>
          </w:tcPr>
          <w:p w:rsidR="00F0041B" w:rsidRPr="00F0041B" w:rsidRDefault="00F0041B" w:rsidP="00425364">
            <w:pPr>
              <w:pStyle w:val="Normaltb"/>
              <w:jc w:val="center"/>
              <w:rPr>
                <w:rFonts w:cs="Arial"/>
                <w:szCs w:val="16"/>
              </w:rPr>
            </w:pPr>
          </w:p>
        </w:tc>
        <w:tc>
          <w:tcPr>
            <w:tcW w:w="1886" w:type="dxa"/>
            <w:tcBorders>
              <w:top w:val="single" w:sz="4" w:space="0" w:color="auto"/>
              <w:bottom w:val="single" w:sz="4" w:space="0" w:color="auto"/>
            </w:tcBorders>
          </w:tcPr>
          <w:p w:rsidR="00F0041B" w:rsidRPr="006F791A" w:rsidRDefault="00F0041B" w:rsidP="00425364">
            <w:pPr>
              <w:pStyle w:val="Normaltb"/>
            </w:pPr>
            <w:r w:rsidRPr="006F791A">
              <w:br/>
              <w:t>English</w:t>
            </w:r>
          </w:p>
        </w:tc>
        <w:tc>
          <w:tcPr>
            <w:tcW w:w="2013" w:type="dxa"/>
            <w:tcBorders>
              <w:top w:val="single" w:sz="4" w:space="0" w:color="auto"/>
              <w:bottom w:val="single" w:sz="4" w:space="0" w:color="auto"/>
            </w:tcBorders>
          </w:tcPr>
          <w:p w:rsidR="00F0041B" w:rsidRPr="006F791A" w:rsidRDefault="00F0041B" w:rsidP="00425364">
            <w:pPr>
              <w:pStyle w:val="Normaltb"/>
              <w:rPr>
                <w:lang w:val="fr-FR"/>
              </w:rPr>
            </w:pPr>
            <w:r w:rsidRPr="006F791A">
              <w:rPr>
                <w:lang w:val="fr-FR"/>
              </w:rPr>
              <w:br/>
              <w:t>français</w:t>
            </w:r>
          </w:p>
        </w:tc>
        <w:tc>
          <w:tcPr>
            <w:tcW w:w="1813" w:type="dxa"/>
            <w:tcBorders>
              <w:top w:val="single" w:sz="4" w:space="0" w:color="auto"/>
              <w:bottom w:val="single" w:sz="4" w:space="0" w:color="auto"/>
            </w:tcBorders>
          </w:tcPr>
          <w:p w:rsidR="00F0041B" w:rsidRPr="00BC05A4" w:rsidRDefault="00F0041B" w:rsidP="00425364">
            <w:pPr>
              <w:pStyle w:val="Normaltb"/>
              <w:rPr>
                <w:szCs w:val="24"/>
                <w:lang w:val="de-DE"/>
              </w:rPr>
            </w:pPr>
            <w:r w:rsidRPr="00BC05A4">
              <w:rPr>
                <w:szCs w:val="24"/>
                <w:lang w:val="de-DE"/>
              </w:rPr>
              <w:br/>
              <w:t>deutsch</w:t>
            </w:r>
          </w:p>
        </w:tc>
        <w:tc>
          <w:tcPr>
            <w:tcW w:w="1813" w:type="dxa"/>
            <w:tcBorders>
              <w:top w:val="single" w:sz="4" w:space="0" w:color="auto"/>
              <w:bottom w:val="single" w:sz="4" w:space="0" w:color="auto"/>
            </w:tcBorders>
          </w:tcPr>
          <w:p w:rsidR="00F0041B" w:rsidRPr="006F791A" w:rsidRDefault="00F0041B" w:rsidP="00425364">
            <w:pPr>
              <w:pStyle w:val="Normaltb"/>
              <w:rPr>
                <w:lang w:val="es-ES"/>
              </w:rPr>
            </w:pPr>
            <w:r w:rsidRPr="006F791A">
              <w:rPr>
                <w:lang w:val="es-ES"/>
              </w:rPr>
              <w:br/>
              <w:t>español</w:t>
            </w:r>
          </w:p>
        </w:tc>
        <w:tc>
          <w:tcPr>
            <w:tcW w:w="2063" w:type="dxa"/>
            <w:tcBorders>
              <w:top w:val="single" w:sz="4" w:space="0" w:color="auto"/>
              <w:bottom w:val="single" w:sz="4" w:space="0" w:color="auto"/>
            </w:tcBorders>
          </w:tcPr>
          <w:p w:rsidR="00F0041B" w:rsidRPr="006F791A" w:rsidRDefault="00F0041B" w:rsidP="00425364">
            <w:pPr>
              <w:pStyle w:val="Normaltb"/>
              <w:rPr>
                <w:lang w:val="fr-FR"/>
              </w:rPr>
            </w:pPr>
            <w:proofErr w:type="spellStart"/>
            <w:r w:rsidRPr="006F791A">
              <w:rPr>
                <w:lang w:val="fr-FR"/>
              </w:rPr>
              <w:t>Example</w:t>
            </w:r>
            <w:proofErr w:type="spellEnd"/>
            <w:r w:rsidRPr="006F791A">
              <w:rPr>
                <w:lang w:val="fr-FR"/>
              </w:rPr>
              <w:t xml:space="preserve"> </w:t>
            </w:r>
            <w:proofErr w:type="spellStart"/>
            <w:r w:rsidRPr="006F791A">
              <w:rPr>
                <w:lang w:val="fr-FR"/>
              </w:rPr>
              <w:t>Varieties</w:t>
            </w:r>
            <w:proofErr w:type="spellEnd"/>
            <w:r w:rsidRPr="006F791A">
              <w:rPr>
                <w:lang w:val="fr-FR"/>
              </w:rPr>
              <w:br/>
              <w:t>Exemples</w:t>
            </w:r>
            <w:r w:rsidRPr="006F791A">
              <w:rPr>
                <w:lang w:val="fr-FR"/>
              </w:rPr>
              <w:br/>
            </w:r>
            <w:proofErr w:type="spellStart"/>
            <w:r w:rsidRPr="006F791A">
              <w:rPr>
                <w:lang w:val="fr-FR"/>
              </w:rPr>
              <w:t>Beispielssorten</w:t>
            </w:r>
            <w:proofErr w:type="spellEnd"/>
            <w:r w:rsidRPr="006F791A">
              <w:rPr>
                <w:lang w:val="fr-FR"/>
              </w:rPr>
              <w:br/>
            </w:r>
            <w:proofErr w:type="spellStart"/>
            <w:r w:rsidRPr="006F791A">
              <w:rPr>
                <w:lang w:val="fr-FR"/>
              </w:rPr>
              <w:t>Variedades</w:t>
            </w:r>
            <w:proofErr w:type="spellEnd"/>
            <w:r w:rsidRPr="006F791A">
              <w:rPr>
                <w:lang w:val="fr-FR"/>
              </w:rPr>
              <w:t xml:space="preserve"> </w:t>
            </w:r>
            <w:proofErr w:type="spellStart"/>
            <w:r w:rsidRPr="006F791A">
              <w:rPr>
                <w:lang w:val="fr-FR"/>
              </w:rPr>
              <w:t>ejemplo</w:t>
            </w:r>
            <w:proofErr w:type="spellEnd"/>
          </w:p>
        </w:tc>
        <w:tc>
          <w:tcPr>
            <w:tcW w:w="589" w:type="dxa"/>
            <w:tcBorders>
              <w:top w:val="single" w:sz="4" w:space="0" w:color="auto"/>
              <w:bottom w:val="single" w:sz="4" w:space="0" w:color="auto"/>
              <w:right w:val="nil"/>
            </w:tcBorders>
          </w:tcPr>
          <w:p w:rsidR="00F0041B" w:rsidRPr="006F791A" w:rsidRDefault="00F0041B" w:rsidP="002711F9">
            <w:pPr>
              <w:pStyle w:val="Normaltb"/>
              <w:jc w:val="center"/>
              <w:rPr>
                <w:rFonts w:cs="Arial"/>
                <w:szCs w:val="16"/>
                <w:lang w:val="fr-FR"/>
              </w:rPr>
            </w:pPr>
            <w:r w:rsidRPr="006F791A">
              <w:rPr>
                <w:rFonts w:cs="Arial"/>
                <w:szCs w:val="16"/>
                <w:lang w:val="fr-FR"/>
              </w:rPr>
              <w:br/>
              <w:t>Note/</w:t>
            </w:r>
            <w:r w:rsidRPr="006F791A">
              <w:rPr>
                <w:rFonts w:cs="Arial"/>
                <w:szCs w:val="16"/>
                <w:lang w:val="fr-FR"/>
              </w:rPr>
              <w:br/>
              <w:t>Nota</w:t>
            </w:r>
          </w:p>
        </w:tc>
      </w:tr>
      <w:tr w:rsidR="00F0041B" w:rsidRPr="004902FD" w:rsidTr="00F0041B">
        <w:trPr>
          <w:cantSplit/>
          <w:jc w:val="center"/>
        </w:trPr>
        <w:tc>
          <w:tcPr>
            <w:tcW w:w="589" w:type="dxa"/>
            <w:tcBorders>
              <w:top w:val="single" w:sz="4" w:space="0" w:color="auto"/>
              <w:left w:val="nil"/>
              <w:bottom w:val="nil"/>
            </w:tcBorders>
          </w:tcPr>
          <w:p w:rsidR="00F0041B" w:rsidRPr="00BC05A4" w:rsidRDefault="00F0041B" w:rsidP="00F0041B">
            <w:pPr>
              <w:pStyle w:val="Normaltb"/>
              <w:jc w:val="center"/>
              <w:rPr>
                <w:rFonts w:cs="Arial"/>
                <w:szCs w:val="16"/>
              </w:rPr>
            </w:pPr>
            <w:r w:rsidRPr="00BC05A4">
              <w:rPr>
                <w:rFonts w:cs="Arial"/>
                <w:szCs w:val="16"/>
              </w:rPr>
              <w:t>28.</w:t>
            </w:r>
            <w:r w:rsidRPr="00BC05A4">
              <w:rPr>
                <w:rFonts w:cs="Arial"/>
                <w:szCs w:val="16"/>
              </w:rPr>
              <w:br/>
            </w:r>
            <w:r w:rsidRPr="002711F9">
              <w:rPr>
                <w:rFonts w:cs="Arial"/>
                <w:strike/>
                <w:szCs w:val="16"/>
                <w:highlight w:val="lightGray"/>
              </w:rPr>
              <w:t>(*)</w:t>
            </w:r>
            <w:r w:rsidRPr="00BC05A4">
              <w:rPr>
                <w:rFonts w:cs="Arial"/>
                <w:szCs w:val="16"/>
              </w:rPr>
              <w:br/>
              <w:t>(+)</w:t>
            </w:r>
          </w:p>
        </w:tc>
        <w:tc>
          <w:tcPr>
            <w:tcW w:w="454" w:type="dxa"/>
            <w:tcBorders>
              <w:top w:val="single" w:sz="4" w:space="0" w:color="auto"/>
              <w:bottom w:val="nil"/>
            </w:tcBorders>
          </w:tcPr>
          <w:p w:rsidR="00F0041B" w:rsidRPr="00BC05A4" w:rsidRDefault="00F0041B" w:rsidP="00F0041B">
            <w:pPr>
              <w:pStyle w:val="Normaltb"/>
              <w:jc w:val="center"/>
              <w:rPr>
                <w:rFonts w:cs="Arial"/>
                <w:szCs w:val="16"/>
              </w:rPr>
            </w:pPr>
            <w:r w:rsidRPr="00BC05A4">
              <w:rPr>
                <w:rFonts w:cs="Arial"/>
                <w:szCs w:val="16"/>
              </w:rPr>
              <w:t>VG</w:t>
            </w:r>
          </w:p>
        </w:tc>
        <w:tc>
          <w:tcPr>
            <w:tcW w:w="1886" w:type="dxa"/>
            <w:tcBorders>
              <w:top w:val="single" w:sz="4" w:space="0" w:color="auto"/>
              <w:bottom w:val="nil"/>
            </w:tcBorders>
          </w:tcPr>
          <w:p w:rsidR="00F0041B" w:rsidRPr="00F0041B" w:rsidRDefault="00F0041B" w:rsidP="00425364">
            <w:pPr>
              <w:pStyle w:val="Normaltb"/>
            </w:pPr>
            <w:r w:rsidRPr="00F0041B">
              <w:t xml:space="preserve">Resistance to </w:t>
            </w:r>
            <w:proofErr w:type="spellStart"/>
            <w:r w:rsidRPr="00F0041B">
              <w:t>Pyrenochaeta</w:t>
            </w:r>
            <w:proofErr w:type="spellEnd"/>
            <w:r w:rsidRPr="00F0041B">
              <w:t xml:space="preserve"> </w:t>
            </w:r>
            <w:proofErr w:type="spellStart"/>
            <w:r w:rsidRPr="00F0041B">
              <w:t>lycopersici</w:t>
            </w:r>
            <w:proofErr w:type="spellEnd"/>
            <w:r w:rsidRPr="00F0041B">
              <w:t xml:space="preserve"> (Pl)</w:t>
            </w:r>
          </w:p>
        </w:tc>
        <w:tc>
          <w:tcPr>
            <w:tcW w:w="2013" w:type="dxa"/>
            <w:tcBorders>
              <w:top w:val="single" w:sz="4" w:space="0" w:color="auto"/>
              <w:bottom w:val="nil"/>
            </w:tcBorders>
          </w:tcPr>
          <w:p w:rsidR="00F0041B" w:rsidRPr="00BC05A4" w:rsidRDefault="00F0041B" w:rsidP="00425364">
            <w:pPr>
              <w:pStyle w:val="Normaltb"/>
              <w:rPr>
                <w:lang w:val="fr-FR"/>
              </w:rPr>
            </w:pPr>
            <w:r w:rsidRPr="00BC05A4">
              <w:rPr>
                <w:lang w:val="fr-FR"/>
              </w:rPr>
              <w:t>Résistance au </w:t>
            </w:r>
            <w:proofErr w:type="spellStart"/>
            <w:r w:rsidRPr="00F0041B">
              <w:rPr>
                <w:lang w:val="fr-FR"/>
              </w:rPr>
              <w:t>Pyrenochaeta</w:t>
            </w:r>
            <w:proofErr w:type="spellEnd"/>
            <w:r w:rsidRPr="00F0041B">
              <w:rPr>
                <w:lang w:val="fr-FR"/>
              </w:rPr>
              <w:t xml:space="preserve"> </w:t>
            </w:r>
            <w:proofErr w:type="spellStart"/>
            <w:r w:rsidRPr="00F0041B">
              <w:rPr>
                <w:lang w:val="fr-FR"/>
              </w:rPr>
              <w:t>lycopersici</w:t>
            </w:r>
            <w:proofErr w:type="spellEnd"/>
            <w:r w:rsidRPr="00F0041B">
              <w:rPr>
                <w:lang w:val="fr-FR"/>
              </w:rPr>
              <w:t xml:space="preserve"> (Pl)</w:t>
            </w:r>
          </w:p>
        </w:tc>
        <w:tc>
          <w:tcPr>
            <w:tcW w:w="1813" w:type="dxa"/>
            <w:tcBorders>
              <w:top w:val="single" w:sz="4" w:space="0" w:color="auto"/>
              <w:bottom w:val="nil"/>
            </w:tcBorders>
          </w:tcPr>
          <w:p w:rsidR="00F0041B" w:rsidRPr="00BC05A4" w:rsidRDefault="00F0041B" w:rsidP="00425364">
            <w:pPr>
              <w:pStyle w:val="Normaltb"/>
              <w:rPr>
                <w:szCs w:val="24"/>
                <w:lang w:val="de-DE"/>
              </w:rPr>
            </w:pPr>
            <w:r w:rsidRPr="00BC05A4">
              <w:rPr>
                <w:szCs w:val="24"/>
                <w:lang w:val="de-DE"/>
              </w:rPr>
              <w:t xml:space="preserve">Resistenz gegen </w:t>
            </w:r>
            <w:r w:rsidRPr="00F0041B">
              <w:rPr>
                <w:szCs w:val="24"/>
                <w:lang w:val="de-DE"/>
              </w:rPr>
              <w:t>Pyrenochaeta lycopersici (Pl)</w:t>
            </w:r>
          </w:p>
        </w:tc>
        <w:tc>
          <w:tcPr>
            <w:tcW w:w="1813" w:type="dxa"/>
            <w:tcBorders>
              <w:top w:val="single" w:sz="4" w:space="0" w:color="auto"/>
              <w:bottom w:val="nil"/>
            </w:tcBorders>
          </w:tcPr>
          <w:p w:rsidR="00F0041B" w:rsidRPr="00BC05A4" w:rsidRDefault="00F0041B" w:rsidP="00425364">
            <w:pPr>
              <w:pStyle w:val="Normaltb"/>
              <w:rPr>
                <w:lang w:val="es-ES"/>
              </w:rPr>
            </w:pPr>
            <w:r w:rsidRPr="00BC05A4">
              <w:rPr>
                <w:lang w:val="es-ES"/>
              </w:rPr>
              <w:t xml:space="preserve">Resistencia a </w:t>
            </w:r>
            <w:proofErr w:type="spellStart"/>
            <w:r w:rsidRPr="00F0041B">
              <w:rPr>
                <w:lang w:val="es-ES"/>
              </w:rPr>
              <w:t>Pyrenochaeta</w:t>
            </w:r>
            <w:proofErr w:type="spellEnd"/>
            <w:r w:rsidRPr="00F0041B">
              <w:rPr>
                <w:lang w:val="es-ES"/>
              </w:rPr>
              <w:t xml:space="preserve"> </w:t>
            </w:r>
            <w:proofErr w:type="spellStart"/>
            <w:r w:rsidRPr="00F0041B">
              <w:rPr>
                <w:lang w:val="es-ES"/>
              </w:rPr>
              <w:t>lycopersici</w:t>
            </w:r>
            <w:proofErr w:type="spellEnd"/>
            <w:r w:rsidRPr="00F0041B">
              <w:rPr>
                <w:lang w:val="es-ES"/>
              </w:rPr>
              <w:t xml:space="preserve"> (</w:t>
            </w:r>
            <w:proofErr w:type="spellStart"/>
            <w:r w:rsidRPr="00F0041B">
              <w:rPr>
                <w:lang w:val="es-ES"/>
              </w:rPr>
              <w:t>Pl</w:t>
            </w:r>
            <w:proofErr w:type="spellEnd"/>
            <w:r w:rsidRPr="00F0041B">
              <w:rPr>
                <w:lang w:val="es-ES"/>
              </w:rPr>
              <w:t>)</w:t>
            </w:r>
          </w:p>
        </w:tc>
        <w:tc>
          <w:tcPr>
            <w:tcW w:w="2063" w:type="dxa"/>
            <w:tcBorders>
              <w:top w:val="single" w:sz="4" w:space="0" w:color="auto"/>
              <w:bottom w:val="nil"/>
            </w:tcBorders>
          </w:tcPr>
          <w:p w:rsidR="00F0041B" w:rsidRPr="00F0041B" w:rsidRDefault="00F0041B" w:rsidP="00425364">
            <w:pPr>
              <w:pStyle w:val="Normaltb"/>
              <w:rPr>
                <w:lang w:val="es-ES"/>
              </w:rPr>
            </w:pPr>
          </w:p>
        </w:tc>
        <w:tc>
          <w:tcPr>
            <w:tcW w:w="589" w:type="dxa"/>
            <w:tcBorders>
              <w:top w:val="single" w:sz="4" w:space="0" w:color="auto"/>
              <w:bottom w:val="nil"/>
              <w:right w:val="nil"/>
            </w:tcBorders>
          </w:tcPr>
          <w:p w:rsidR="00F0041B" w:rsidRPr="00F0041B" w:rsidRDefault="00F0041B" w:rsidP="002711F9">
            <w:pPr>
              <w:pStyle w:val="Normaltb"/>
              <w:jc w:val="center"/>
              <w:rPr>
                <w:rFonts w:cs="Arial"/>
                <w:szCs w:val="16"/>
                <w:lang w:val="es-ES"/>
              </w:rPr>
            </w:pPr>
          </w:p>
        </w:tc>
      </w:tr>
      <w:tr w:rsidR="00F0041B" w:rsidRPr="00BC05A4" w:rsidTr="00F0041B">
        <w:trPr>
          <w:cantSplit/>
          <w:jc w:val="center"/>
        </w:trPr>
        <w:tc>
          <w:tcPr>
            <w:tcW w:w="589" w:type="dxa"/>
            <w:tcBorders>
              <w:top w:val="nil"/>
              <w:left w:val="nil"/>
              <w:bottom w:val="nil"/>
            </w:tcBorders>
          </w:tcPr>
          <w:p w:rsidR="00F0041B" w:rsidRPr="00F0041B" w:rsidRDefault="00F0041B" w:rsidP="00F0041B">
            <w:pPr>
              <w:pStyle w:val="Normaltb"/>
              <w:jc w:val="center"/>
              <w:rPr>
                <w:rFonts w:cs="Arial"/>
                <w:szCs w:val="16"/>
              </w:rPr>
            </w:pPr>
            <w:r w:rsidRPr="00F0041B">
              <w:rPr>
                <w:rFonts w:cs="Arial"/>
                <w:szCs w:val="16"/>
              </w:rPr>
              <w:t>QL</w:t>
            </w:r>
          </w:p>
        </w:tc>
        <w:tc>
          <w:tcPr>
            <w:tcW w:w="454" w:type="dxa"/>
            <w:tcBorders>
              <w:top w:val="nil"/>
              <w:bottom w:val="nil"/>
            </w:tcBorders>
          </w:tcPr>
          <w:p w:rsidR="00F0041B" w:rsidRPr="00BC05A4" w:rsidRDefault="00F0041B" w:rsidP="00F0041B">
            <w:pPr>
              <w:pStyle w:val="Normaltb"/>
              <w:jc w:val="center"/>
              <w:rPr>
                <w:rFonts w:cs="Arial"/>
                <w:szCs w:val="16"/>
              </w:rPr>
            </w:pPr>
          </w:p>
        </w:tc>
        <w:tc>
          <w:tcPr>
            <w:tcW w:w="1886" w:type="dxa"/>
            <w:tcBorders>
              <w:top w:val="nil"/>
              <w:bottom w:val="nil"/>
            </w:tcBorders>
          </w:tcPr>
          <w:p w:rsidR="00F0041B" w:rsidRPr="00F0041B" w:rsidRDefault="00F0041B" w:rsidP="00F0041B">
            <w:pPr>
              <w:pStyle w:val="Normaltb"/>
              <w:rPr>
                <w:b w:val="0"/>
              </w:rPr>
            </w:pPr>
            <w:r w:rsidRPr="00F0041B">
              <w:rPr>
                <w:b w:val="0"/>
              </w:rPr>
              <w:t>absent</w:t>
            </w:r>
          </w:p>
        </w:tc>
        <w:tc>
          <w:tcPr>
            <w:tcW w:w="2013" w:type="dxa"/>
            <w:tcBorders>
              <w:top w:val="nil"/>
              <w:bottom w:val="nil"/>
            </w:tcBorders>
          </w:tcPr>
          <w:p w:rsidR="00F0041B" w:rsidRPr="00F0041B" w:rsidRDefault="00F0041B" w:rsidP="00F0041B">
            <w:pPr>
              <w:pStyle w:val="Normaltb"/>
              <w:rPr>
                <w:b w:val="0"/>
                <w:lang w:val="fr-FR"/>
              </w:rPr>
            </w:pPr>
            <w:r w:rsidRPr="00F0041B">
              <w:rPr>
                <w:b w:val="0"/>
                <w:lang w:val="fr-FR"/>
              </w:rPr>
              <w:t>absente</w:t>
            </w:r>
          </w:p>
        </w:tc>
        <w:tc>
          <w:tcPr>
            <w:tcW w:w="1813" w:type="dxa"/>
            <w:tcBorders>
              <w:top w:val="nil"/>
              <w:bottom w:val="nil"/>
            </w:tcBorders>
          </w:tcPr>
          <w:p w:rsidR="00F0041B" w:rsidRPr="00F0041B" w:rsidRDefault="00F0041B" w:rsidP="00F0041B">
            <w:pPr>
              <w:pStyle w:val="Normaltb"/>
              <w:rPr>
                <w:b w:val="0"/>
                <w:szCs w:val="24"/>
                <w:lang w:val="de-DE"/>
              </w:rPr>
            </w:pPr>
            <w:r w:rsidRPr="00F0041B">
              <w:rPr>
                <w:b w:val="0"/>
                <w:szCs w:val="24"/>
                <w:lang w:val="de-DE"/>
              </w:rPr>
              <w:t>fehlend</w:t>
            </w:r>
          </w:p>
        </w:tc>
        <w:tc>
          <w:tcPr>
            <w:tcW w:w="1813" w:type="dxa"/>
            <w:tcBorders>
              <w:top w:val="nil"/>
              <w:bottom w:val="nil"/>
            </w:tcBorders>
          </w:tcPr>
          <w:p w:rsidR="00F0041B" w:rsidRPr="00F0041B" w:rsidRDefault="00F0041B" w:rsidP="00F0041B">
            <w:pPr>
              <w:pStyle w:val="Normaltb"/>
              <w:rPr>
                <w:b w:val="0"/>
                <w:lang w:val="es-ES"/>
              </w:rPr>
            </w:pPr>
            <w:r w:rsidRPr="00F0041B">
              <w:rPr>
                <w:b w:val="0"/>
                <w:lang w:val="es-ES"/>
              </w:rPr>
              <w:t>ausente</w:t>
            </w:r>
          </w:p>
        </w:tc>
        <w:tc>
          <w:tcPr>
            <w:tcW w:w="2063" w:type="dxa"/>
            <w:tcBorders>
              <w:top w:val="nil"/>
              <w:bottom w:val="nil"/>
            </w:tcBorders>
          </w:tcPr>
          <w:p w:rsidR="00F0041B" w:rsidRPr="00F0041B" w:rsidRDefault="00F0041B" w:rsidP="00F0041B">
            <w:pPr>
              <w:pStyle w:val="Normaltb"/>
              <w:rPr>
                <w:b w:val="0"/>
                <w:lang w:val="fr-FR"/>
              </w:rPr>
            </w:pPr>
            <w:proofErr w:type="spellStart"/>
            <w:r w:rsidRPr="00F0041B">
              <w:rPr>
                <w:b w:val="0"/>
                <w:lang w:val="fr-FR"/>
              </w:rPr>
              <w:t>Zaralto</w:t>
            </w:r>
            <w:proofErr w:type="spellEnd"/>
          </w:p>
        </w:tc>
        <w:tc>
          <w:tcPr>
            <w:tcW w:w="589" w:type="dxa"/>
            <w:tcBorders>
              <w:top w:val="nil"/>
              <w:bottom w:val="nil"/>
              <w:right w:val="nil"/>
            </w:tcBorders>
          </w:tcPr>
          <w:p w:rsidR="00F0041B" w:rsidRPr="00F0041B" w:rsidRDefault="00F0041B" w:rsidP="002711F9">
            <w:pPr>
              <w:pStyle w:val="Normaltb"/>
              <w:jc w:val="center"/>
              <w:rPr>
                <w:rFonts w:cs="Arial"/>
                <w:b w:val="0"/>
                <w:szCs w:val="16"/>
                <w:lang w:val="fr-FR"/>
              </w:rPr>
            </w:pPr>
            <w:r w:rsidRPr="00F0041B">
              <w:rPr>
                <w:rFonts w:cs="Arial"/>
                <w:b w:val="0"/>
                <w:szCs w:val="16"/>
                <w:lang w:val="fr-FR"/>
              </w:rPr>
              <w:t>1</w:t>
            </w:r>
          </w:p>
        </w:tc>
      </w:tr>
      <w:tr w:rsidR="00F0041B" w:rsidRPr="00BC05A4" w:rsidTr="00F0041B">
        <w:trPr>
          <w:cantSplit/>
          <w:jc w:val="center"/>
        </w:trPr>
        <w:tc>
          <w:tcPr>
            <w:tcW w:w="589" w:type="dxa"/>
            <w:tcBorders>
              <w:top w:val="nil"/>
              <w:left w:val="nil"/>
              <w:bottom w:val="single" w:sz="4" w:space="0" w:color="auto"/>
            </w:tcBorders>
          </w:tcPr>
          <w:p w:rsidR="00F0041B" w:rsidRPr="00F0041B" w:rsidRDefault="00F0041B" w:rsidP="00F0041B">
            <w:pPr>
              <w:pStyle w:val="Normaltb"/>
              <w:jc w:val="center"/>
              <w:rPr>
                <w:rFonts w:cs="Arial"/>
                <w:szCs w:val="16"/>
              </w:rPr>
            </w:pPr>
          </w:p>
        </w:tc>
        <w:tc>
          <w:tcPr>
            <w:tcW w:w="454" w:type="dxa"/>
            <w:tcBorders>
              <w:top w:val="nil"/>
              <w:bottom w:val="single" w:sz="4" w:space="0" w:color="auto"/>
            </w:tcBorders>
          </w:tcPr>
          <w:p w:rsidR="00F0041B" w:rsidRPr="00BC05A4" w:rsidRDefault="00F0041B" w:rsidP="00F0041B">
            <w:pPr>
              <w:pStyle w:val="Normaltb"/>
              <w:jc w:val="center"/>
              <w:rPr>
                <w:rFonts w:cs="Arial"/>
                <w:szCs w:val="16"/>
              </w:rPr>
            </w:pPr>
          </w:p>
        </w:tc>
        <w:tc>
          <w:tcPr>
            <w:tcW w:w="1886" w:type="dxa"/>
            <w:tcBorders>
              <w:top w:val="nil"/>
              <w:bottom w:val="single" w:sz="4" w:space="0" w:color="auto"/>
            </w:tcBorders>
          </w:tcPr>
          <w:p w:rsidR="00F0041B" w:rsidRPr="00F0041B" w:rsidRDefault="00F0041B" w:rsidP="00F0041B">
            <w:pPr>
              <w:pStyle w:val="Normaltb"/>
              <w:rPr>
                <w:b w:val="0"/>
              </w:rPr>
            </w:pPr>
            <w:r w:rsidRPr="00F0041B">
              <w:rPr>
                <w:b w:val="0"/>
              </w:rPr>
              <w:t>present</w:t>
            </w:r>
          </w:p>
        </w:tc>
        <w:tc>
          <w:tcPr>
            <w:tcW w:w="2013" w:type="dxa"/>
            <w:tcBorders>
              <w:top w:val="nil"/>
              <w:bottom w:val="single" w:sz="4" w:space="0" w:color="auto"/>
            </w:tcBorders>
          </w:tcPr>
          <w:p w:rsidR="00F0041B" w:rsidRPr="00F0041B" w:rsidRDefault="00F0041B" w:rsidP="00F0041B">
            <w:pPr>
              <w:pStyle w:val="Normaltb"/>
              <w:rPr>
                <w:b w:val="0"/>
                <w:lang w:val="fr-FR"/>
              </w:rPr>
            </w:pPr>
            <w:r w:rsidRPr="00F0041B">
              <w:rPr>
                <w:b w:val="0"/>
                <w:lang w:val="fr-FR"/>
              </w:rPr>
              <w:t>présente</w:t>
            </w:r>
          </w:p>
        </w:tc>
        <w:tc>
          <w:tcPr>
            <w:tcW w:w="1813" w:type="dxa"/>
            <w:tcBorders>
              <w:top w:val="nil"/>
              <w:bottom w:val="single" w:sz="4" w:space="0" w:color="auto"/>
            </w:tcBorders>
          </w:tcPr>
          <w:p w:rsidR="00F0041B" w:rsidRPr="00F0041B" w:rsidRDefault="00F0041B" w:rsidP="00F0041B">
            <w:pPr>
              <w:pStyle w:val="Normaltb"/>
              <w:rPr>
                <w:b w:val="0"/>
                <w:szCs w:val="24"/>
                <w:lang w:val="de-DE"/>
              </w:rPr>
            </w:pPr>
            <w:r w:rsidRPr="00F0041B">
              <w:rPr>
                <w:b w:val="0"/>
                <w:szCs w:val="24"/>
                <w:lang w:val="de-DE"/>
              </w:rPr>
              <w:t>vorhanden</w:t>
            </w:r>
          </w:p>
        </w:tc>
        <w:tc>
          <w:tcPr>
            <w:tcW w:w="1813" w:type="dxa"/>
            <w:tcBorders>
              <w:top w:val="nil"/>
              <w:bottom w:val="single" w:sz="4" w:space="0" w:color="auto"/>
            </w:tcBorders>
          </w:tcPr>
          <w:p w:rsidR="00F0041B" w:rsidRPr="00F0041B" w:rsidRDefault="00F0041B" w:rsidP="00F0041B">
            <w:pPr>
              <w:pStyle w:val="Normaltb"/>
              <w:rPr>
                <w:b w:val="0"/>
                <w:lang w:val="es-ES"/>
              </w:rPr>
            </w:pPr>
            <w:r w:rsidRPr="00F0041B">
              <w:rPr>
                <w:b w:val="0"/>
                <w:lang w:val="es-ES"/>
              </w:rPr>
              <w:t>presente</w:t>
            </w:r>
          </w:p>
        </w:tc>
        <w:tc>
          <w:tcPr>
            <w:tcW w:w="2063" w:type="dxa"/>
            <w:tcBorders>
              <w:top w:val="nil"/>
              <w:bottom w:val="single" w:sz="4" w:space="0" w:color="auto"/>
            </w:tcBorders>
          </w:tcPr>
          <w:p w:rsidR="00F0041B" w:rsidRPr="00F0041B" w:rsidRDefault="00F0041B" w:rsidP="00F0041B">
            <w:pPr>
              <w:pStyle w:val="Normaltb"/>
              <w:rPr>
                <w:b w:val="0"/>
                <w:lang w:val="fr-FR"/>
              </w:rPr>
            </w:pPr>
            <w:proofErr w:type="spellStart"/>
            <w:r w:rsidRPr="00F0041B">
              <w:rPr>
                <w:b w:val="0"/>
                <w:lang w:val="fr-FR"/>
              </w:rPr>
              <w:t>Emperador</w:t>
            </w:r>
            <w:proofErr w:type="spellEnd"/>
          </w:p>
        </w:tc>
        <w:tc>
          <w:tcPr>
            <w:tcW w:w="589" w:type="dxa"/>
            <w:tcBorders>
              <w:top w:val="nil"/>
              <w:bottom w:val="single" w:sz="4" w:space="0" w:color="auto"/>
              <w:right w:val="nil"/>
            </w:tcBorders>
          </w:tcPr>
          <w:p w:rsidR="00F0041B" w:rsidRPr="00F0041B" w:rsidRDefault="00F0041B" w:rsidP="002711F9">
            <w:pPr>
              <w:pStyle w:val="Normaltb"/>
              <w:jc w:val="center"/>
              <w:rPr>
                <w:rFonts w:cs="Arial"/>
                <w:b w:val="0"/>
                <w:szCs w:val="16"/>
                <w:lang w:val="fr-FR"/>
              </w:rPr>
            </w:pPr>
            <w:r w:rsidRPr="00F0041B">
              <w:rPr>
                <w:rFonts w:cs="Arial"/>
                <w:b w:val="0"/>
                <w:szCs w:val="16"/>
                <w:lang w:val="fr-FR"/>
              </w:rPr>
              <w:t>9</w:t>
            </w:r>
          </w:p>
        </w:tc>
      </w:tr>
    </w:tbl>
    <w:p w:rsidR="00F0041B" w:rsidRDefault="00F0041B" w:rsidP="00F0041B"/>
    <w:p w:rsidR="002711F9" w:rsidRDefault="002711F9" w:rsidP="002711F9">
      <w:pPr>
        <w:pStyle w:val="Heading3"/>
        <w:rPr>
          <w:snapToGrid w:val="0"/>
        </w:rPr>
      </w:pPr>
      <w:r>
        <w:rPr>
          <w:snapToGrid w:val="0"/>
        </w:rPr>
        <w:t xml:space="preserve">Comment by the Leading Expert, Mr. Sergio </w:t>
      </w:r>
      <w:proofErr w:type="spellStart"/>
      <w:r>
        <w:rPr>
          <w:snapToGrid w:val="0"/>
        </w:rPr>
        <w:t>Semon</w:t>
      </w:r>
      <w:proofErr w:type="spellEnd"/>
      <w:r>
        <w:rPr>
          <w:snapToGrid w:val="0"/>
        </w:rPr>
        <w:t xml:space="preserve">, </w:t>
      </w:r>
      <w:proofErr w:type="gramStart"/>
      <w:r>
        <w:rPr>
          <w:snapToGrid w:val="0"/>
        </w:rPr>
        <w:t>European</w:t>
      </w:r>
      <w:proofErr w:type="gramEnd"/>
      <w:r>
        <w:rPr>
          <w:snapToGrid w:val="0"/>
        </w:rPr>
        <w:t xml:space="preserve"> Union:</w:t>
      </w:r>
    </w:p>
    <w:p w:rsidR="00F0041B" w:rsidRDefault="00F0041B" w:rsidP="002711F9"/>
    <w:p w:rsidR="002711F9" w:rsidRPr="005276E8" w:rsidRDefault="002711F9" w:rsidP="002711F9">
      <w:r w:rsidRPr="005276E8">
        <w:t>In the current UPOV Test Guidelines this characteristic appears with an asterisk (*), which means that it should always be examined for DUS and included in the variety description by all members of the Union.</w:t>
      </w:r>
    </w:p>
    <w:p w:rsidR="002711F9" w:rsidRPr="005276E8" w:rsidRDefault="002711F9" w:rsidP="002711F9"/>
    <w:p w:rsidR="002711F9" w:rsidRPr="005276E8" w:rsidRDefault="002711F9" w:rsidP="002711F9">
      <w:r w:rsidRPr="005276E8">
        <w:t xml:space="preserve">In recent discussions between examination authorities within the European Union, several examination authorities expressed that the methodology outlined under Ad.28 in section 8.2 of the guideline was not fully mastered by them. The results of a test for </w:t>
      </w:r>
      <w:proofErr w:type="spellStart"/>
      <w:r w:rsidRPr="005276E8">
        <w:rPr>
          <w:i/>
        </w:rPr>
        <w:t>Pyrenochaeta</w:t>
      </w:r>
      <w:proofErr w:type="spellEnd"/>
      <w:r w:rsidRPr="005276E8">
        <w:rPr>
          <w:i/>
        </w:rPr>
        <w:t xml:space="preserve"> </w:t>
      </w:r>
      <w:proofErr w:type="spellStart"/>
      <w:r w:rsidRPr="005276E8">
        <w:rPr>
          <w:i/>
        </w:rPr>
        <w:t>lycopersici</w:t>
      </w:r>
      <w:proofErr w:type="spellEnd"/>
      <w:r w:rsidRPr="005276E8">
        <w:t xml:space="preserve"> (Pl) could thus not be guaranteed, and as such, some of the examination authorities opted not to undertake testing for this particular disease resistance characteristic. An improved methodology is currently being investigated by a couple of examination authorities. In the meantime though, the group of European Union experts concluded that the asterisk should be removed from this characteristic.</w:t>
      </w:r>
    </w:p>
    <w:p w:rsidR="002711F9" w:rsidRPr="005276E8" w:rsidRDefault="002711F9" w:rsidP="002711F9"/>
    <w:p w:rsidR="002711F9" w:rsidRDefault="002711F9" w:rsidP="002711F9">
      <w:r w:rsidRPr="005276E8">
        <w:t>Proposal: To remove the asterisk from Characteristic 28 of the Test Guidelines for Tomato Rootstocks.</w:t>
      </w:r>
    </w:p>
    <w:p w:rsidR="002711F9" w:rsidRDefault="002711F9" w:rsidP="002711F9"/>
    <w:p w:rsidR="002711F9" w:rsidRDefault="002711F9" w:rsidP="002711F9"/>
    <w:p w:rsidR="002711F9" w:rsidRPr="002711F9" w:rsidRDefault="002711F9" w:rsidP="002711F9"/>
    <w:p w:rsidR="009F3D4B" w:rsidRDefault="00DF474C" w:rsidP="009F3D4B">
      <w:pPr>
        <w:pStyle w:val="endofdoc"/>
        <w:rPr>
          <w:snapToGrid w:val="0"/>
        </w:rPr>
      </w:pPr>
      <w:r>
        <w:rPr>
          <w:snapToGrid w:val="0"/>
        </w:rPr>
        <w:t>[</w:t>
      </w:r>
      <w:r w:rsidR="002711F9">
        <w:rPr>
          <w:snapToGrid w:val="0"/>
        </w:rPr>
        <w:t>Annex II follows</w:t>
      </w:r>
      <w:r>
        <w:rPr>
          <w:snapToGrid w:val="0"/>
        </w:rPr>
        <w:t>]</w:t>
      </w:r>
    </w:p>
    <w:p w:rsidR="009F3D4B" w:rsidRDefault="009F3D4B" w:rsidP="009F3D4B">
      <w:pPr>
        <w:pStyle w:val="Header"/>
      </w:pPr>
    </w:p>
    <w:p w:rsidR="009F3D4B" w:rsidRPr="009F3D4B" w:rsidRDefault="009F3D4B" w:rsidP="009F3D4B">
      <w:pPr>
        <w:pStyle w:val="Header"/>
        <w:sectPr w:rsidR="009F3D4B" w:rsidRPr="009F3D4B" w:rsidSect="00906DDC">
          <w:headerReference w:type="first" r:id="rId15"/>
          <w:pgSz w:w="11907" w:h="16840" w:code="9"/>
          <w:pgMar w:top="510" w:right="1134" w:bottom="1134" w:left="1134" w:header="510" w:footer="680" w:gutter="0"/>
          <w:cols w:space="720"/>
          <w:titlePg/>
        </w:sectPr>
      </w:pPr>
    </w:p>
    <w:p w:rsidR="00DF474C" w:rsidRDefault="009F3D4B" w:rsidP="009F3D4B">
      <w:pPr>
        <w:pStyle w:val="Heading2"/>
        <w:rPr>
          <w:snapToGrid w:val="0"/>
        </w:rPr>
      </w:pPr>
      <w:r>
        <w:rPr>
          <w:snapToGrid w:val="0"/>
        </w:rPr>
        <w:lastRenderedPageBreak/>
        <w:t>Comments by Interested Experts</w:t>
      </w:r>
    </w:p>
    <w:p w:rsidR="006F6CB3" w:rsidRDefault="006F6CB3" w:rsidP="009F3D4B"/>
    <w:p w:rsidR="006F6CB3" w:rsidRDefault="006F6CB3" w:rsidP="006F6CB3">
      <w:pPr>
        <w:pStyle w:val="Heading3"/>
      </w:pPr>
      <w:r>
        <w:t>France</w:t>
      </w:r>
    </w:p>
    <w:p w:rsidR="006F6CB3" w:rsidRDefault="006F6CB3" w:rsidP="006F6CB3"/>
    <w:p w:rsidR="006F6CB3" w:rsidRDefault="006F6CB3" w:rsidP="006F6CB3">
      <w:r>
        <w:t xml:space="preserve">- </w:t>
      </w:r>
      <w:r w:rsidRPr="006F791A">
        <w:rPr>
          <w:snapToGrid w:val="0"/>
        </w:rPr>
        <w:t xml:space="preserve">Characteristic 23 </w:t>
      </w:r>
      <w:r w:rsidRPr="006F791A">
        <w:t xml:space="preserve">“Resistance to </w:t>
      </w:r>
      <w:proofErr w:type="spellStart"/>
      <w:r w:rsidRPr="006F791A">
        <w:rPr>
          <w:i/>
        </w:rPr>
        <w:t>Verticillium</w:t>
      </w:r>
      <w:proofErr w:type="spellEnd"/>
      <w:r w:rsidRPr="006F791A">
        <w:rPr>
          <w:i/>
        </w:rPr>
        <w:t xml:space="preserve"> </w:t>
      </w:r>
      <w:r w:rsidRPr="006F791A">
        <w:t>sp. (</w:t>
      </w:r>
      <w:proofErr w:type="spellStart"/>
      <w:proofErr w:type="gramStart"/>
      <w:r w:rsidRPr="006F791A">
        <w:t>Va</w:t>
      </w:r>
      <w:proofErr w:type="spellEnd"/>
      <w:proofErr w:type="gramEnd"/>
      <w:r w:rsidRPr="006F791A">
        <w:t xml:space="preserve"> and </w:t>
      </w:r>
      <w:proofErr w:type="spellStart"/>
      <w:r w:rsidRPr="006F791A">
        <w:t>Vd</w:t>
      </w:r>
      <w:proofErr w:type="spellEnd"/>
      <w:r w:rsidRPr="006F791A">
        <w:t>) – Race 0”</w:t>
      </w:r>
      <w:r w:rsidRPr="006F6CB3">
        <w:t>:</w:t>
      </w:r>
    </w:p>
    <w:p w:rsidR="006F6CB3" w:rsidRPr="006F6CB3" w:rsidRDefault="006F6CB3" w:rsidP="006F6CB3"/>
    <w:p w:rsidR="006F6CB3" w:rsidRPr="005276E8" w:rsidRDefault="006F6CB3" w:rsidP="006F6CB3">
      <w:r w:rsidRPr="005276E8">
        <w:t>In the current UPOV Test Guidelines this characteristic appears with an asterisk (*), which means that it should always be examined for DUS and included in the variety description by all members of the Union.</w:t>
      </w:r>
    </w:p>
    <w:p w:rsidR="006F6CB3" w:rsidRPr="005276E8" w:rsidRDefault="006F6CB3" w:rsidP="006F6CB3"/>
    <w:p w:rsidR="006F6CB3" w:rsidRPr="005276E8" w:rsidRDefault="006F6CB3" w:rsidP="006F6CB3">
      <w:r w:rsidRPr="005276E8">
        <w:t xml:space="preserve">This characteristic is a high topic and basic breeding trait for tomato rootstock. Any EO </w:t>
      </w:r>
      <w:proofErr w:type="spellStart"/>
      <w:r w:rsidRPr="005276E8">
        <w:t>accreditated</w:t>
      </w:r>
      <w:proofErr w:type="spellEnd"/>
      <w:r w:rsidRPr="005276E8">
        <w:t xml:space="preserve"> for tomato rootstock have the capability to test for this disease in tomato rootstock or to cooperate to get a result from another EO. GEVES concludes that the asterisk should be for this characteristic. The test is harmonized between EO at EU level.</w:t>
      </w:r>
    </w:p>
    <w:p w:rsidR="006F6CB3" w:rsidRPr="005276E8" w:rsidRDefault="006F6CB3" w:rsidP="006F6CB3"/>
    <w:p w:rsidR="006F6CB3" w:rsidRPr="006F6CB3" w:rsidRDefault="006F6CB3" w:rsidP="006F6CB3">
      <w:r w:rsidRPr="005276E8">
        <w:t>Proposal: To maintain the asterisk from Characteristic 23 of the Test Guidelines for Tomato Rootstocks.</w:t>
      </w:r>
    </w:p>
    <w:p w:rsidR="006F6CB3" w:rsidRDefault="006F6CB3" w:rsidP="006F6CB3"/>
    <w:p w:rsidR="006F6CB3" w:rsidRDefault="006F6CB3" w:rsidP="006F6CB3"/>
    <w:p w:rsidR="006F6CB3" w:rsidRPr="006F6CB3" w:rsidRDefault="006F6CB3" w:rsidP="006F6CB3">
      <w:r w:rsidRPr="006F6CB3">
        <w:t>-</w:t>
      </w:r>
      <w:r w:rsidRPr="006F6CB3">
        <w:rPr>
          <w:snapToGrid w:val="0"/>
        </w:rPr>
        <w:t xml:space="preserve"> </w:t>
      </w:r>
      <w:r w:rsidRPr="006F791A">
        <w:rPr>
          <w:snapToGrid w:val="0"/>
        </w:rPr>
        <w:t>Characteristic</w:t>
      </w:r>
      <w:r>
        <w:rPr>
          <w:snapToGrid w:val="0"/>
        </w:rPr>
        <w:t xml:space="preserve"> </w:t>
      </w:r>
      <w:r>
        <w:t>28 “</w:t>
      </w:r>
      <w:r w:rsidRPr="00B5519E">
        <w:t xml:space="preserve">Resistance to </w:t>
      </w:r>
      <w:proofErr w:type="spellStart"/>
      <w:r w:rsidRPr="00F0041B">
        <w:rPr>
          <w:i/>
        </w:rPr>
        <w:t>Pyrenochaeta</w:t>
      </w:r>
      <w:proofErr w:type="spellEnd"/>
      <w:r w:rsidRPr="00F0041B">
        <w:rPr>
          <w:i/>
        </w:rPr>
        <w:t xml:space="preserve"> </w:t>
      </w:r>
      <w:proofErr w:type="spellStart"/>
      <w:r w:rsidRPr="00F0041B">
        <w:rPr>
          <w:i/>
        </w:rPr>
        <w:t>lycopersici</w:t>
      </w:r>
      <w:proofErr w:type="spellEnd"/>
      <w:r w:rsidRPr="00B5519E">
        <w:t xml:space="preserve"> (Pl)</w:t>
      </w:r>
      <w:r>
        <w:t>”</w:t>
      </w:r>
      <w:r w:rsidRPr="006F6CB3">
        <w:t>:</w:t>
      </w:r>
    </w:p>
    <w:p w:rsidR="006F6CB3" w:rsidRDefault="006F6CB3" w:rsidP="006F6CB3"/>
    <w:p w:rsidR="006F6CB3" w:rsidRPr="005276E8" w:rsidRDefault="006F6CB3" w:rsidP="006F6CB3">
      <w:r w:rsidRPr="005276E8">
        <w:t>In the current UPOV Test Guidelines this characteristic appears with an asterisk (*), which means that it should always be examined for DUS and included in the variety description by all members of the Union.</w:t>
      </w:r>
    </w:p>
    <w:p w:rsidR="006F6CB3" w:rsidRPr="005276E8" w:rsidRDefault="006F6CB3" w:rsidP="006F6CB3">
      <w:r w:rsidRPr="005276E8">
        <w:t xml:space="preserve">This characteristic is a high topic and basic breeding trait for tomato rootstock. Any EO </w:t>
      </w:r>
      <w:proofErr w:type="spellStart"/>
      <w:r w:rsidR="00B01483" w:rsidRPr="005276E8">
        <w:t>accredit</w:t>
      </w:r>
      <w:r w:rsidR="00B01483">
        <w:t>at</w:t>
      </w:r>
      <w:r w:rsidR="00B01483" w:rsidRPr="005276E8">
        <w:t>ed</w:t>
      </w:r>
      <w:proofErr w:type="spellEnd"/>
      <w:r w:rsidRPr="005276E8">
        <w:t xml:space="preserve"> for tomato rootstock have the capability to test for this disease in tomato rootstock or to co</w:t>
      </w:r>
      <w:r w:rsidR="00B01483">
        <w:t>operate to get a result from an</w:t>
      </w:r>
      <w:bookmarkStart w:id="5" w:name="_GoBack"/>
      <w:bookmarkEnd w:id="5"/>
      <w:r w:rsidRPr="005276E8">
        <w:t>other EO. GEVES conclud</w:t>
      </w:r>
      <w:r w:rsidR="00E340D7">
        <w:t>e</w:t>
      </w:r>
      <w:r w:rsidRPr="005276E8">
        <w:t>s that the asterisk should be for this characteristic.</w:t>
      </w:r>
    </w:p>
    <w:p w:rsidR="006F6CB3" w:rsidRPr="005276E8" w:rsidRDefault="006F6CB3" w:rsidP="006F6CB3"/>
    <w:p w:rsidR="006F6CB3" w:rsidRPr="005276E8" w:rsidRDefault="006F6CB3" w:rsidP="006F6CB3">
      <w:r w:rsidRPr="005276E8">
        <w:t>Bio test methodologies have been developed by INRA from the 70’s and have been improved by seed companies. Recently, improved methodology is currently being investigated by a couple of examination authorities to permit a better harmonization between the EO’s and seed companies.</w:t>
      </w:r>
    </w:p>
    <w:p w:rsidR="006F6CB3" w:rsidRPr="005276E8" w:rsidRDefault="006F6CB3" w:rsidP="006F6CB3"/>
    <w:p w:rsidR="006F6CB3" w:rsidRPr="005276E8" w:rsidRDefault="006F6CB3" w:rsidP="006F6CB3">
      <w:r w:rsidRPr="005276E8">
        <w:t>These characteristics are suitable and</w:t>
      </w:r>
      <w:r w:rsidR="00B01483" w:rsidRPr="005276E8">
        <w:t> necessary</w:t>
      </w:r>
      <w:r w:rsidRPr="005276E8">
        <w:t xml:space="preserve"> to group varieties for DUS examination. </w:t>
      </w:r>
    </w:p>
    <w:p w:rsidR="006F6CB3" w:rsidRPr="005276E8" w:rsidRDefault="006F6CB3" w:rsidP="006F6CB3"/>
    <w:p w:rsidR="006F6CB3" w:rsidRPr="005276E8" w:rsidRDefault="006F6CB3" w:rsidP="006F6CB3">
      <w:r w:rsidRPr="005276E8">
        <w:t xml:space="preserve">In the frame work of the EU catalogue and the demonstration of sustainable agriculture, the breeding and control of the genetic disease resistance of tomato rootstock, especially </w:t>
      </w:r>
      <w:proofErr w:type="spellStart"/>
      <w:r w:rsidRPr="005276E8">
        <w:rPr>
          <w:i/>
        </w:rPr>
        <w:t>Verticillium</w:t>
      </w:r>
      <w:proofErr w:type="spellEnd"/>
      <w:r w:rsidRPr="005276E8">
        <w:t xml:space="preserve"> and </w:t>
      </w:r>
      <w:proofErr w:type="spellStart"/>
      <w:r w:rsidRPr="005276E8">
        <w:rPr>
          <w:i/>
        </w:rPr>
        <w:t>Pyrenochaeta</w:t>
      </w:r>
      <w:proofErr w:type="spellEnd"/>
      <w:r w:rsidRPr="005276E8">
        <w:t>, is essential.</w:t>
      </w:r>
    </w:p>
    <w:p w:rsidR="006F6CB3" w:rsidRPr="005276E8" w:rsidRDefault="006F6CB3" w:rsidP="006F6CB3"/>
    <w:p w:rsidR="006F6CB3" w:rsidRPr="006F6CB3" w:rsidRDefault="006F6CB3" w:rsidP="006F6CB3">
      <w:r w:rsidRPr="005276E8">
        <w:t xml:space="preserve">Proposal: To </w:t>
      </w:r>
      <w:r w:rsidR="00B01483" w:rsidRPr="005276E8">
        <w:t>maintain</w:t>
      </w:r>
      <w:r w:rsidRPr="005276E8">
        <w:t xml:space="preserve"> the asterisk from characteristic 28 of the Test Guidelines for Tomato Rootstocks.</w:t>
      </w:r>
    </w:p>
    <w:p w:rsidR="006F6CB3" w:rsidRDefault="006F6CB3" w:rsidP="006F6CB3"/>
    <w:p w:rsidR="003136BD" w:rsidRDefault="003136BD" w:rsidP="006F6CB3"/>
    <w:p w:rsidR="003136BD" w:rsidRDefault="003136BD" w:rsidP="003136BD">
      <w:pPr>
        <w:pStyle w:val="Heading3"/>
      </w:pPr>
      <w:r>
        <w:t>Netherlands</w:t>
      </w:r>
    </w:p>
    <w:p w:rsidR="003136BD" w:rsidRDefault="003136BD" w:rsidP="003136BD"/>
    <w:p w:rsidR="003136BD" w:rsidRDefault="003136BD" w:rsidP="003136BD">
      <w:pPr>
        <w:rPr>
          <w:lang w:val="en-GB"/>
        </w:rPr>
      </w:pPr>
      <w:r w:rsidRPr="00A84F8E">
        <w:rPr>
          <w:lang w:val="en-GB"/>
        </w:rPr>
        <w:t>We agree with your proposal to delete some of the asterisks in the tomato rootstock guideline.</w:t>
      </w:r>
    </w:p>
    <w:p w:rsidR="003136BD" w:rsidRPr="003136BD" w:rsidRDefault="003136BD" w:rsidP="006F6CB3">
      <w:pPr>
        <w:rPr>
          <w:lang w:val="en-GB"/>
        </w:rPr>
      </w:pPr>
    </w:p>
    <w:p w:rsidR="004205E4" w:rsidRDefault="004205E4" w:rsidP="006F6CB3"/>
    <w:p w:rsidR="004205E4" w:rsidRDefault="00A84F8E" w:rsidP="00A84F8E">
      <w:pPr>
        <w:pStyle w:val="Heading3"/>
      </w:pPr>
      <w:r>
        <w:t>Spain</w:t>
      </w:r>
    </w:p>
    <w:p w:rsidR="00A84F8E" w:rsidRDefault="00A84F8E" w:rsidP="00A84F8E"/>
    <w:p w:rsidR="00A84F8E" w:rsidRDefault="00A84F8E" w:rsidP="00A84F8E">
      <w:proofErr w:type="gramStart"/>
      <w:r>
        <w:t>Only a pair of comments about the possible revision of asterisks in tomato rootstock guideline at next UPOV meeting.</w:t>
      </w:r>
      <w:proofErr w:type="gramEnd"/>
    </w:p>
    <w:p w:rsidR="00A84F8E" w:rsidRDefault="00A84F8E" w:rsidP="00A84F8E"/>
    <w:p w:rsidR="00A84F8E" w:rsidRDefault="00A84F8E" w:rsidP="00A84F8E">
      <w:r>
        <w:t>In the meeting of vegetable experts in Angers in December of 2013, it was decided to open this discussion at level of UPOV TWV. (See paragraph 121 of the minutes).</w:t>
      </w:r>
    </w:p>
    <w:p w:rsidR="00A84F8E" w:rsidRDefault="00A84F8E" w:rsidP="00A84F8E"/>
    <w:p w:rsidR="00A84F8E" w:rsidRDefault="00A84F8E" w:rsidP="00A84F8E">
      <w:r>
        <w:t xml:space="preserve">The origin of the proposal was different for both diseases. For </w:t>
      </w:r>
      <w:proofErr w:type="spellStart"/>
      <w:r w:rsidRPr="00A84F8E">
        <w:rPr>
          <w:i/>
        </w:rPr>
        <w:t>Verticillum</w:t>
      </w:r>
      <w:proofErr w:type="spellEnd"/>
      <w:r>
        <w:t xml:space="preserve"> it was more to simplify a bit the technical </w:t>
      </w:r>
      <w:proofErr w:type="gramStart"/>
      <w:r>
        <w:t>examination avoiding the obligation of test</w:t>
      </w:r>
      <w:proofErr w:type="gramEnd"/>
      <w:r>
        <w:t xml:space="preserve"> officially the candidate varieties because the characteristic was seen as not discriminating.</w:t>
      </w:r>
    </w:p>
    <w:p w:rsidR="00A84F8E" w:rsidRDefault="00A84F8E" w:rsidP="00A84F8E"/>
    <w:p w:rsidR="00A84F8E" w:rsidRDefault="00A84F8E" w:rsidP="00A84F8E">
      <w:r>
        <w:t xml:space="preserve">In the case of </w:t>
      </w:r>
      <w:proofErr w:type="spellStart"/>
      <w:r w:rsidRPr="00A84F8E">
        <w:rPr>
          <w:i/>
        </w:rPr>
        <w:t>Pyrenochaeta</w:t>
      </w:r>
      <w:proofErr w:type="spellEnd"/>
      <w:r>
        <w:t xml:space="preserve"> the reason was that the actual test protocol was found not appropriate by NL and ES, and indirectly also by FR, renouncing to perform the test for the CPVO R&amp;D project of priming seeds in the last year. (We accepted the asterisk for </w:t>
      </w:r>
      <w:proofErr w:type="spellStart"/>
      <w:r w:rsidRPr="00A84F8E">
        <w:rPr>
          <w:i/>
        </w:rPr>
        <w:t>Pyrenochaeta</w:t>
      </w:r>
      <w:proofErr w:type="spellEnd"/>
      <w:r>
        <w:t xml:space="preserve"> in the first protocol, with the wrong confidence of be appropriate)</w:t>
      </w:r>
    </w:p>
    <w:p w:rsidR="00A84F8E" w:rsidRDefault="00A84F8E" w:rsidP="00A84F8E"/>
    <w:p w:rsidR="00A84F8E" w:rsidRDefault="00A84F8E" w:rsidP="00A84F8E">
      <w:r>
        <w:lastRenderedPageBreak/>
        <w:t xml:space="preserve">My opinion is that in the case of </w:t>
      </w:r>
      <w:proofErr w:type="spellStart"/>
      <w:r w:rsidRPr="00A84F8E">
        <w:rPr>
          <w:i/>
        </w:rPr>
        <w:t>Verticillium</w:t>
      </w:r>
      <w:proofErr w:type="spellEnd"/>
      <w:r>
        <w:t xml:space="preserve"> the decision may be reconsidered, but in the case of </w:t>
      </w:r>
      <w:proofErr w:type="spellStart"/>
      <w:r w:rsidRPr="00A84F8E">
        <w:rPr>
          <w:i/>
        </w:rPr>
        <w:t>Pyrenochaeta</w:t>
      </w:r>
      <w:proofErr w:type="spellEnd"/>
      <w:r>
        <w:t xml:space="preserve">, the asterisk must be deleted until a new test protocol be proposed, checked in </w:t>
      </w:r>
      <w:proofErr w:type="gramStart"/>
      <w:r>
        <w:t>their own</w:t>
      </w:r>
      <w:proofErr w:type="gramEnd"/>
      <w:r>
        <w:t xml:space="preserve"> laboratories by the entrusted offices and accepted. This is the actual way in the CPVO.</w:t>
      </w:r>
    </w:p>
    <w:p w:rsidR="00A84F8E" w:rsidRDefault="00A84F8E" w:rsidP="00A84F8E"/>
    <w:p w:rsidR="00A84F8E" w:rsidRDefault="00A84F8E" w:rsidP="00A84F8E">
      <w:r>
        <w:t>Obviously delete the asterisk doesn't mean delete the characteristic, so it will not create a big problem for breeders.</w:t>
      </w:r>
    </w:p>
    <w:p w:rsidR="00A84F8E" w:rsidRDefault="00A84F8E" w:rsidP="00A84F8E"/>
    <w:p w:rsidR="00A84F8E" w:rsidRDefault="00A84F8E" w:rsidP="00A84F8E">
      <w:pPr>
        <w:rPr>
          <w:lang w:val="en-GB"/>
        </w:rPr>
      </w:pPr>
    </w:p>
    <w:p w:rsidR="003136BD" w:rsidRPr="009F3D4B" w:rsidRDefault="003136BD" w:rsidP="003136BD">
      <w:pPr>
        <w:pStyle w:val="Heading3"/>
      </w:pPr>
      <w:r w:rsidRPr="009F3D4B">
        <w:t>European Seed Association (ESA)</w:t>
      </w:r>
    </w:p>
    <w:p w:rsidR="003136BD" w:rsidRDefault="003136BD" w:rsidP="003136BD"/>
    <w:p w:rsidR="003136BD" w:rsidRDefault="003136BD" w:rsidP="003136BD">
      <w:r w:rsidRPr="009F3D4B">
        <w:t xml:space="preserve">ESA does not support the proposal. Disease resistance characteristics are considered as important by most of the </w:t>
      </w:r>
      <w:proofErr w:type="gramStart"/>
      <w:r w:rsidRPr="009F3D4B">
        <w:t>companies</w:t>
      </w:r>
      <w:proofErr w:type="gramEnd"/>
      <w:r w:rsidRPr="009F3D4B">
        <w:t xml:space="preserve"> active in breeding of vegetable species. Indeed in the European Union we have discussed the obligatory use of disease resistance characteristics and decided to introduce a phasing in period of x years when introducing a new asterisk (*). At the same time it was agreed not to alter the current asterisks unless specifically required. ESA members active in breeding of tomato rootstocks insist on maintaining the asterisk for resistance to </w:t>
      </w:r>
      <w:proofErr w:type="spellStart"/>
      <w:r w:rsidRPr="009F3D4B">
        <w:t>Verticillium</w:t>
      </w:r>
      <w:proofErr w:type="spellEnd"/>
      <w:r w:rsidRPr="009F3D4B">
        <w:t>.  We therefore do not support the proposal.</w:t>
      </w:r>
    </w:p>
    <w:p w:rsidR="003136BD" w:rsidRDefault="003136BD" w:rsidP="003136BD"/>
    <w:p w:rsidR="00A84F8E" w:rsidRDefault="00A84F8E" w:rsidP="00A84F8E">
      <w:pPr>
        <w:rPr>
          <w:lang w:val="en-GB"/>
        </w:rPr>
      </w:pPr>
    </w:p>
    <w:p w:rsidR="00A84F8E" w:rsidRPr="00A84F8E" w:rsidRDefault="00A84F8E" w:rsidP="00A84F8E">
      <w:pPr>
        <w:rPr>
          <w:lang w:val="en-GB"/>
        </w:rPr>
      </w:pPr>
    </w:p>
    <w:p w:rsidR="004205E4" w:rsidRPr="006F6CB3" w:rsidRDefault="004205E4" w:rsidP="004205E4">
      <w:pPr>
        <w:jc w:val="right"/>
      </w:pPr>
      <w:r>
        <w:t>[End of Annex II and of document]</w:t>
      </w:r>
    </w:p>
    <w:sectPr w:rsidR="004205E4" w:rsidRPr="006F6CB3" w:rsidSect="004902FD">
      <w:headerReference w:type="default" r:id="rId16"/>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532" w:rsidRDefault="004D6532" w:rsidP="006655D3">
      <w:r>
        <w:separator/>
      </w:r>
    </w:p>
    <w:p w:rsidR="004D6532" w:rsidRDefault="004D6532" w:rsidP="006655D3"/>
    <w:p w:rsidR="004D6532" w:rsidRDefault="004D6532" w:rsidP="006655D3"/>
  </w:endnote>
  <w:endnote w:type="continuationSeparator" w:id="0">
    <w:p w:rsidR="004D6532" w:rsidRDefault="004D6532" w:rsidP="006655D3">
      <w:r>
        <w:separator/>
      </w:r>
    </w:p>
    <w:p w:rsidR="004D6532" w:rsidRPr="00CC5597" w:rsidRDefault="004D6532">
      <w:pPr>
        <w:pStyle w:val="Footer"/>
        <w:spacing w:after="60"/>
        <w:rPr>
          <w:sz w:val="18"/>
          <w:lang w:val="fr-CH"/>
        </w:rPr>
      </w:pPr>
      <w:r w:rsidRPr="00CC5597">
        <w:rPr>
          <w:sz w:val="18"/>
          <w:lang w:val="fr-CH"/>
        </w:rPr>
        <w:t>[Suite de la note de la page précédente]</w:t>
      </w:r>
    </w:p>
    <w:p w:rsidR="004D6532" w:rsidRPr="00CC5597" w:rsidRDefault="004D6532" w:rsidP="006655D3">
      <w:pPr>
        <w:rPr>
          <w:lang w:val="fr-CH"/>
        </w:rPr>
      </w:pPr>
    </w:p>
    <w:p w:rsidR="004D6532" w:rsidRPr="00CC5597" w:rsidRDefault="004D6532" w:rsidP="006655D3">
      <w:pPr>
        <w:rPr>
          <w:lang w:val="fr-CH"/>
        </w:rPr>
      </w:pPr>
    </w:p>
  </w:endnote>
  <w:endnote w:type="continuationNotice" w:id="1">
    <w:p w:rsidR="004D6532" w:rsidRPr="00CC5597" w:rsidRDefault="004D6532" w:rsidP="006655D3">
      <w:pPr>
        <w:rPr>
          <w:lang w:val="fr-CH"/>
        </w:rPr>
      </w:pPr>
      <w:r w:rsidRPr="00CC5597">
        <w:rPr>
          <w:lang w:val="fr-CH"/>
        </w:rPr>
        <w:t>[Suite de la note page suivante]</w:t>
      </w:r>
    </w:p>
    <w:p w:rsidR="004D6532" w:rsidRPr="00CC5597" w:rsidRDefault="004D6532" w:rsidP="006655D3">
      <w:pPr>
        <w:rPr>
          <w:lang w:val="fr-CH"/>
        </w:rPr>
      </w:pPr>
    </w:p>
    <w:p w:rsidR="004D6532" w:rsidRPr="00CC5597" w:rsidRDefault="004D653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68" w:rsidRDefault="00F70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68" w:rsidRDefault="00F703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68" w:rsidRDefault="00F70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532" w:rsidRDefault="004D6532" w:rsidP="006655D3">
      <w:r>
        <w:separator/>
      </w:r>
    </w:p>
  </w:footnote>
  <w:footnote w:type="continuationSeparator" w:id="0">
    <w:p w:rsidR="004D6532" w:rsidRDefault="004D6532" w:rsidP="006655D3">
      <w:r>
        <w:separator/>
      </w:r>
    </w:p>
  </w:footnote>
  <w:footnote w:type="continuationNotice" w:id="1">
    <w:p w:rsidR="004D6532" w:rsidRPr="00AB530F" w:rsidRDefault="004D653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68" w:rsidRDefault="00F703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FD51B6">
      <w:t>V/4</w:t>
    </w:r>
    <w:r w:rsidR="00CE63BA">
      <w:t>9</w:t>
    </w:r>
    <w:r w:rsidR="006C7423">
      <w:t>/</w:t>
    </w:r>
    <w:r w:rsidR="00F70368">
      <w:t>27</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4902FD">
      <w:rPr>
        <w:noProof/>
      </w:rPr>
      <w:t>4</w:t>
    </w:r>
    <w:r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68" w:rsidRDefault="00F703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BE" w:rsidRDefault="00ED1DBE" w:rsidP="00ED1DBE">
    <w:pPr>
      <w:pStyle w:val="Header"/>
    </w:pPr>
    <w:r>
      <w:t>TWV/49/</w:t>
    </w:r>
    <w:r w:rsidR="006A3656">
      <w:t>27</w:t>
    </w:r>
  </w:p>
  <w:p w:rsidR="00ED1DBE" w:rsidRDefault="00ED1DBE" w:rsidP="00ED1DBE">
    <w:pPr>
      <w:pStyle w:val="Header"/>
    </w:pPr>
  </w:p>
  <w:p w:rsidR="00ED1DBE" w:rsidRDefault="00ED1DBE" w:rsidP="00ED1DBE">
    <w:pPr>
      <w:pStyle w:val="Header"/>
    </w:pPr>
    <w:r>
      <w:t xml:space="preserve">ANNEX I </w:t>
    </w:r>
  </w:p>
  <w:p w:rsidR="00ED1DBE" w:rsidRPr="00ED1DBE" w:rsidRDefault="00ED1DBE" w:rsidP="00ED1DB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FD" w:rsidRPr="00832298" w:rsidRDefault="004902FD" w:rsidP="00832298">
    <w:pPr>
      <w:pStyle w:val="Header"/>
    </w:pPr>
    <w:r w:rsidRPr="00832298">
      <w:t>TW</w:t>
    </w:r>
    <w:r>
      <w:t>V/49/27</w:t>
    </w:r>
  </w:p>
  <w:p w:rsidR="004902FD" w:rsidRPr="00C5280D" w:rsidRDefault="004902FD" w:rsidP="00EB048E">
    <w:pPr>
      <w:pStyle w:val="Header"/>
    </w:pPr>
    <w:r>
      <w:t xml:space="preserve">Annex II, </w:t>
    </w:r>
    <w:r w:rsidRPr="00C5280D">
      <w:t xml:space="preserve">page </w:t>
    </w:r>
    <w:r w:rsidRPr="00832298">
      <w:fldChar w:fldCharType="begin"/>
    </w:r>
    <w:r w:rsidRPr="00832298">
      <w:instrText xml:space="preserve"> PAGE </w:instrText>
    </w:r>
    <w:r w:rsidRPr="00832298">
      <w:fldChar w:fldCharType="separate"/>
    </w:r>
    <w:r w:rsidR="00E340D7">
      <w:rPr>
        <w:noProof/>
      </w:rPr>
      <w:t>2</w:t>
    </w:r>
    <w:r w:rsidRPr="00832298">
      <w:fldChar w:fldCharType="end"/>
    </w:r>
  </w:p>
  <w:p w:rsidR="004902FD" w:rsidRPr="00C5280D" w:rsidRDefault="004902FD" w:rsidP="008322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BE" w:rsidRDefault="00ED1DBE" w:rsidP="00ED1DBE">
    <w:pPr>
      <w:pStyle w:val="Header"/>
    </w:pPr>
    <w:r>
      <w:t>TWV/49/</w:t>
    </w:r>
    <w:r w:rsidR="00F70368">
      <w:t>27</w:t>
    </w:r>
  </w:p>
  <w:p w:rsidR="00ED1DBE" w:rsidRDefault="00ED1DBE" w:rsidP="00ED1DBE">
    <w:pPr>
      <w:pStyle w:val="Header"/>
    </w:pPr>
  </w:p>
  <w:p w:rsidR="00ED1DBE" w:rsidRDefault="00ED1DBE" w:rsidP="00ED1DBE">
    <w:pPr>
      <w:pStyle w:val="Header"/>
    </w:pPr>
    <w:r>
      <w:t xml:space="preserve">ANNEX II </w:t>
    </w:r>
  </w:p>
  <w:p w:rsidR="00ED1DBE" w:rsidRPr="00ED1DBE" w:rsidRDefault="00ED1DBE" w:rsidP="00ED1D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3BB5A21"/>
    <w:multiLevelType w:val="hybridMultilevel"/>
    <w:tmpl w:val="D47C2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32"/>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322D2"/>
    <w:rsid w:val="00141DB8"/>
    <w:rsid w:val="0017474A"/>
    <w:rsid w:val="00174CDA"/>
    <w:rsid w:val="001758C6"/>
    <w:rsid w:val="00182B99"/>
    <w:rsid w:val="0018780B"/>
    <w:rsid w:val="0021332C"/>
    <w:rsid w:val="00213982"/>
    <w:rsid w:val="002249B2"/>
    <w:rsid w:val="0024416D"/>
    <w:rsid w:val="002711F9"/>
    <w:rsid w:val="002800A0"/>
    <w:rsid w:val="002801B3"/>
    <w:rsid w:val="00281060"/>
    <w:rsid w:val="002940E8"/>
    <w:rsid w:val="002A6E50"/>
    <w:rsid w:val="002C256A"/>
    <w:rsid w:val="00305A7F"/>
    <w:rsid w:val="003136BD"/>
    <w:rsid w:val="003152FE"/>
    <w:rsid w:val="00327436"/>
    <w:rsid w:val="00344BD6"/>
    <w:rsid w:val="0035528D"/>
    <w:rsid w:val="00361821"/>
    <w:rsid w:val="00375D51"/>
    <w:rsid w:val="003776C3"/>
    <w:rsid w:val="003B3894"/>
    <w:rsid w:val="003D227C"/>
    <w:rsid w:val="003D2B4D"/>
    <w:rsid w:val="003D458C"/>
    <w:rsid w:val="004205E4"/>
    <w:rsid w:val="00444A88"/>
    <w:rsid w:val="00474DA4"/>
    <w:rsid w:val="00476B4D"/>
    <w:rsid w:val="004805FA"/>
    <w:rsid w:val="004902FD"/>
    <w:rsid w:val="004967C7"/>
    <w:rsid w:val="004D047D"/>
    <w:rsid w:val="004D6532"/>
    <w:rsid w:val="004F305A"/>
    <w:rsid w:val="00512164"/>
    <w:rsid w:val="00520297"/>
    <w:rsid w:val="005276E8"/>
    <w:rsid w:val="005338F9"/>
    <w:rsid w:val="0054281C"/>
    <w:rsid w:val="0055268D"/>
    <w:rsid w:val="00576BE4"/>
    <w:rsid w:val="0057736E"/>
    <w:rsid w:val="005A400A"/>
    <w:rsid w:val="005F4849"/>
    <w:rsid w:val="00612379"/>
    <w:rsid w:val="0061555F"/>
    <w:rsid w:val="00633FD4"/>
    <w:rsid w:val="00641200"/>
    <w:rsid w:val="0064785B"/>
    <w:rsid w:val="006655D3"/>
    <w:rsid w:val="00667404"/>
    <w:rsid w:val="00685222"/>
    <w:rsid w:val="00687EB4"/>
    <w:rsid w:val="006A3656"/>
    <w:rsid w:val="006B17D2"/>
    <w:rsid w:val="006C224E"/>
    <w:rsid w:val="006C7423"/>
    <w:rsid w:val="006D780A"/>
    <w:rsid w:val="006E1436"/>
    <w:rsid w:val="006F6CB3"/>
    <w:rsid w:val="006F791A"/>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34E09"/>
    <w:rsid w:val="00936253"/>
    <w:rsid w:val="00952DD4"/>
    <w:rsid w:val="00962C45"/>
    <w:rsid w:val="00970FED"/>
    <w:rsid w:val="00997029"/>
    <w:rsid w:val="009D690D"/>
    <w:rsid w:val="009E65B6"/>
    <w:rsid w:val="009F3D4B"/>
    <w:rsid w:val="00A24C10"/>
    <w:rsid w:val="00A42AC3"/>
    <w:rsid w:val="00A430CF"/>
    <w:rsid w:val="00A54309"/>
    <w:rsid w:val="00A84F8E"/>
    <w:rsid w:val="00AB2B93"/>
    <w:rsid w:val="00AB530F"/>
    <w:rsid w:val="00AB7E5B"/>
    <w:rsid w:val="00AE0EF1"/>
    <w:rsid w:val="00AE2937"/>
    <w:rsid w:val="00B01483"/>
    <w:rsid w:val="00B07301"/>
    <w:rsid w:val="00B224DE"/>
    <w:rsid w:val="00B46575"/>
    <w:rsid w:val="00B5519E"/>
    <w:rsid w:val="00B71144"/>
    <w:rsid w:val="00B75B90"/>
    <w:rsid w:val="00B7780B"/>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C5597"/>
    <w:rsid w:val="00CE63BA"/>
    <w:rsid w:val="00CF7E36"/>
    <w:rsid w:val="00D3708D"/>
    <w:rsid w:val="00D37732"/>
    <w:rsid w:val="00D40426"/>
    <w:rsid w:val="00D57C96"/>
    <w:rsid w:val="00D91203"/>
    <w:rsid w:val="00D95174"/>
    <w:rsid w:val="00DA6F36"/>
    <w:rsid w:val="00DB596E"/>
    <w:rsid w:val="00DB7773"/>
    <w:rsid w:val="00DC00EA"/>
    <w:rsid w:val="00DF474C"/>
    <w:rsid w:val="00E30ACD"/>
    <w:rsid w:val="00E32F7E"/>
    <w:rsid w:val="00E340D7"/>
    <w:rsid w:val="00E72D49"/>
    <w:rsid w:val="00E7593C"/>
    <w:rsid w:val="00E7678A"/>
    <w:rsid w:val="00E935F1"/>
    <w:rsid w:val="00E94A81"/>
    <w:rsid w:val="00EA1FFB"/>
    <w:rsid w:val="00EB048E"/>
    <w:rsid w:val="00ED1DBE"/>
    <w:rsid w:val="00EE34DF"/>
    <w:rsid w:val="00EF2F89"/>
    <w:rsid w:val="00F0041B"/>
    <w:rsid w:val="00F1237A"/>
    <w:rsid w:val="00F22CBD"/>
    <w:rsid w:val="00F45372"/>
    <w:rsid w:val="00F560F7"/>
    <w:rsid w:val="00F6334D"/>
    <w:rsid w:val="00F70368"/>
    <w:rsid w:val="00FA49AB"/>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9F3D4B"/>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B5519E"/>
    <w:pPr>
      <w:ind w:left="720"/>
      <w:contextualSpacing/>
    </w:pPr>
  </w:style>
  <w:style w:type="paragraph" w:customStyle="1" w:styleId="Default">
    <w:name w:val="Default"/>
    <w:rsid w:val="006F791A"/>
    <w:pPr>
      <w:autoSpaceDE w:val="0"/>
      <w:autoSpaceDN w:val="0"/>
      <w:adjustRightInd w:val="0"/>
    </w:pPr>
    <w:rPr>
      <w:rFonts w:ascii="Arial" w:hAnsi="Arial" w:cs="Arial"/>
      <w:color w:val="000000"/>
      <w:sz w:val="24"/>
      <w:szCs w:val="24"/>
    </w:rPr>
  </w:style>
  <w:style w:type="paragraph" w:customStyle="1" w:styleId="Normalt">
    <w:name w:val="Normalt"/>
    <w:basedOn w:val="Normal"/>
    <w:rsid w:val="006F791A"/>
    <w:pPr>
      <w:spacing w:before="80" w:after="80"/>
      <w:jc w:val="left"/>
    </w:pPr>
    <w:rPr>
      <w:sz w:val="16"/>
    </w:rPr>
  </w:style>
  <w:style w:type="paragraph" w:customStyle="1" w:styleId="Normaltb">
    <w:name w:val="Normaltb"/>
    <w:basedOn w:val="Normalt"/>
    <w:rsid w:val="006F791A"/>
    <w:pPr>
      <w:keepNext/>
    </w:pPr>
    <w:rPr>
      <w:b/>
      <w:bCs/>
    </w:rPr>
  </w:style>
  <w:style w:type="character" w:customStyle="1" w:styleId="HeaderChar">
    <w:name w:val="Header Char"/>
    <w:basedOn w:val="DefaultParagraphFont"/>
    <w:link w:val="Header"/>
    <w:uiPriority w:val="99"/>
    <w:rsid w:val="00ED1DBE"/>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9F3D4B"/>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B5519E"/>
    <w:pPr>
      <w:ind w:left="720"/>
      <w:contextualSpacing/>
    </w:pPr>
  </w:style>
  <w:style w:type="paragraph" w:customStyle="1" w:styleId="Default">
    <w:name w:val="Default"/>
    <w:rsid w:val="006F791A"/>
    <w:pPr>
      <w:autoSpaceDE w:val="0"/>
      <w:autoSpaceDN w:val="0"/>
      <w:adjustRightInd w:val="0"/>
    </w:pPr>
    <w:rPr>
      <w:rFonts w:ascii="Arial" w:hAnsi="Arial" w:cs="Arial"/>
      <w:color w:val="000000"/>
      <w:sz w:val="24"/>
      <w:szCs w:val="24"/>
    </w:rPr>
  </w:style>
  <w:style w:type="paragraph" w:customStyle="1" w:styleId="Normalt">
    <w:name w:val="Normalt"/>
    <w:basedOn w:val="Normal"/>
    <w:rsid w:val="006F791A"/>
    <w:pPr>
      <w:spacing w:before="80" w:after="80"/>
      <w:jc w:val="left"/>
    </w:pPr>
    <w:rPr>
      <w:sz w:val="16"/>
    </w:rPr>
  </w:style>
  <w:style w:type="paragraph" w:customStyle="1" w:styleId="Normaltb">
    <w:name w:val="Normaltb"/>
    <w:basedOn w:val="Normalt"/>
    <w:rsid w:val="006F791A"/>
    <w:pPr>
      <w:keepNext/>
    </w:pPr>
    <w:rPr>
      <w:b/>
      <w:bCs/>
    </w:rPr>
  </w:style>
  <w:style w:type="character" w:customStyle="1" w:styleId="HeaderChar">
    <w:name w:val="Header Char"/>
    <w:basedOn w:val="DefaultParagraphFont"/>
    <w:link w:val="Header"/>
    <w:uiPriority w:val="99"/>
    <w:rsid w:val="00ED1DB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5673">
      <w:bodyDiv w:val="1"/>
      <w:marLeft w:val="0"/>
      <w:marRight w:val="0"/>
      <w:marTop w:val="0"/>
      <w:marBottom w:val="0"/>
      <w:divBdr>
        <w:top w:val="none" w:sz="0" w:space="0" w:color="auto"/>
        <w:left w:val="none" w:sz="0" w:space="0" w:color="auto"/>
        <w:bottom w:val="none" w:sz="0" w:space="0" w:color="auto"/>
        <w:right w:val="none" w:sz="0" w:space="0" w:color="auto"/>
      </w:divBdr>
    </w:div>
    <w:div w:id="798572506">
      <w:bodyDiv w:val="1"/>
      <w:marLeft w:val="0"/>
      <w:marRight w:val="0"/>
      <w:marTop w:val="0"/>
      <w:marBottom w:val="0"/>
      <w:divBdr>
        <w:top w:val="none" w:sz="0" w:space="0" w:color="auto"/>
        <w:left w:val="none" w:sz="0" w:space="0" w:color="auto"/>
        <w:bottom w:val="none" w:sz="0" w:space="0" w:color="auto"/>
        <w:right w:val="none" w:sz="0" w:space="0" w:color="auto"/>
      </w:divBdr>
    </w:div>
    <w:div w:id="1278289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twv_49</Template>
  <TotalTime>130</TotalTime>
  <Pages>4</Pages>
  <Words>1310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PASIEKA Allie</cp:lastModifiedBy>
  <cp:revision>15</cp:revision>
  <cp:lastPrinted>2015-05-14T07:40:00Z</cp:lastPrinted>
  <dcterms:created xsi:type="dcterms:W3CDTF">2015-05-05T08:37:00Z</dcterms:created>
  <dcterms:modified xsi:type="dcterms:W3CDTF">2015-05-21T07:50:00Z</dcterms:modified>
</cp:coreProperties>
</file>