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3C947ADB" wp14:editId="273A0558">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00001E" w:rsidP="00091A7D">
            <w:pPr>
              <w:pStyle w:val="Docoriginal"/>
            </w:pPr>
            <w:r>
              <w:t>TW</w:t>
            </w:r>
            <w:r w:rsidR="00597EE7">
              <w:t>V</w:t>
            </w:r>
            <w:r>
              <w:t>/4</w:t>
            </w:r>
            <w:r w:rsidR="005F4830">
              <w:t>8</w:t>
            </w:r>
            <w:r w:rsidR="00F54D9F">
              <w:t>/</w:t>
            </w:r>
            <w:r w:rsidR="003A3C3C">
              <w:t>20</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4E535F">
            <w:pPr>
              <w:pStyle w:val="Docoriginal"/>
            </w:pPr>
            <w:r w:rsidRPr="00222D5B">
              <w:rPr>
                <w:spacing w:val="0"/>
              </w:rPr>
              <w:t xml:space="preserve">DATE: </w:t>
            </w:r>
            <w:r w:rsidRPr="00222D5B">
              <w:rPr>
                <w:rStyle w:val="StyleDocoriginalNotBold1"/>
                <w:spacing w:val="0"/>
              </w:rPr>
              <w:t xml:space="preserve"> </w:t>
            </w:r>
            <w:r w:rsidR="003A3C3C" w:rsidRPr="004E535F">
              <w:rPr>
                <w:rStyle w:val="StyleDocoriginalNotBold1"/>
                <w:spacing w:val="0"/>
              </w:rPr>
              <w:t xml:space="preserve">May </w:t>
            </w:r>
            <w:r w:rsidR="004E535F" w:rsidRPr="004E535F">
              <w:rPr>
                <w:rStyle w:val="StyleDocoriginalNotBold1"/>
                <w:spacing w:val="0"/>
              </w:rPr>
              <w:t>27</w:t>
            </w:r>
            <w:r w:rsidRPr="004E535F">
              <w:rPr>
                <w:b w:val="0"/>
                <w:spacing w:val="0"/>
              </w:rPr>
              <w:t>, 2014</w:t>
            </w:r>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3A3C3C" w:rsidRDefault="0000001E" w:rsidP="003A3C3C">
      <w:pPr>
        <w:pStyle w:val="Sessiontcplacedate"/>
      </w:pPr>
      <w:r w:rsidRPr="00C5280D">
        <w:t xml:space="preserve">TECHNICAL </w:t>
      </w:r>
      <w:r>
        <w:t xml:space="preserve">WORKING PARTY FOR </w:t>
      </w:r>
      <w:r w:rsidR="005F4830">
        <w:t>VEGETABLES</w:t>
      </w:r>
    </w:p>
    <w:p w:rsidR="003A3C3C" w:rsidRPr="00C5280D" w:rsidRDefault="003A3C3C" w:rsidP="003A3C3C">
      <w:pPr>
        <w:pStyle w:val="Sessiontcplacedate"/>
      </w:pPr>
      <w:r w:rsidRPr="00C5280D">
        <w:t>Forty-</w:t>
      </w:r>
      <w:r w:rsidR="005F4830">
        <w:t>Eigh</w:t>
      </w:r>
      <w:r>
        <w:t>th</w:t>
      </w:r>
      <w:r w:rsidRPr="00C5280D">
        <w:t xml:space="preserve"> Session</w:t>
      </w:r>
      <w:bookmarkStart w:id="0" w:name="_GoBack"/>
      <w:bookmarkEnd w:id="0"/>
      <w:r w:rsidR="00123C9D">
        <w:br/>
      </w:r>
      <w:r w:rsidR="005F4830">
        <w:t>Paestum</w:t>
      </w:r>
      <w:r w:rsidR="005F4830" w:rsidRPr="009B2506">
        <w:t xml:space="preserve">, </w:t>
      </w:r>
      <w:r w:rsidR="005F4830">
        <w:t>Italy</w:t>
      </w:r>
      <w:r w:rsidR="005F4830" w:rsidRPr="009B2506">
        <w:t xml:space="preserve">, from </w:t>
      </w:r>
      <w:r w:rsidR="005F4830">
        <w:t>June 23</w:t>
      </w:r>
      <w:r w:rsidR="005F4830" w:rsidRPr="009B2506">
        <w:t xml:space="preserve"> to </w:t>
      </w:r>
      <w:r w:rsidR="005F4830">
        <w:t>27</w:t>
      </w:r>
      <w:r w:rsidR="005F4830" w:rsidRPr="009B2506">
        <w:t>, 2014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TWO:</w:t>
      </w:r>
      <w:r w:rsidRPr="005A7AC6">
        <w:rPr>
          <w:rFonts w:eastAsia="PMingLiU"/>
          <w:szCs w:val="24"/>
        </w:rPr>
        <w:tab/>
        <w:t>Technical Working Party for Ornamental Plants and Forest Trees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TWPs:</w:t>
      </w:r>
      <w:r w:rsidRPr="005A7AC6">
        <w:rPr>
          <w:rFonts w:eastAsia="PMingLiU"/>
          <w:szCs w:val="24"/>
        </w:rPr>
        <w:tab/>
        <w:t>Technical Working Parties</w:t>
      </w:r>
    </w:p>
    <w:p w:rsidR="00FF19FA" w:rsidRDefault="00FF19FA" w:rsidP="00FF19FA"/>
    <w:p w:rsidR="00FF19FA" w:rsidRPr="00FC6ABF" w:rsidRDefault="00FF19FA" w:rsidP="00FF19FA">
      <w:r>
        <w:fldChar w:fldCharType="begin"/>
      </w:r>
      <w:r>
        <w:instrText xml:space="preserve"> AUTONUM  </w:instrText>
      </w:r>
      <w:r>
        <w:fldChar w:fldCharType="end"/>
      </w:r>
      <w:r w:rsidRPr="00FC6ABF">
        <w:tab/>
        <w:t xml:space="preserve">The </w:t>
      </w:r>
      <w:r>
        <w:t>T</w:t>
      </w:r>
      <w:r w:rsidRPr="00FC6ABF">
        <w:t xml:space="preserve">WC, at its thirtieth session, </w:t>
      </w:r>
      <w:r>
        <w:t xml:space="preserve">held in Chisinau, Republic of Moldova, from </w:t>
      </w:r>
      <w:r w:rsidRPr="005B1AF4">
        <w:t>June 26 to June 29,</w:t>
      </w:r>
      <w:r>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FF19FA" w:rsidRDefault="00FF19FA" w:rsidP="00FF19FA"/>
    <w:p w:rsidR="00FF19FA" w:rsidRPr="00B11BB7" w:rsidRDefault="00FF19FA" w:rsidP="00FF19FA">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Pr>
          <w:i w:val="0"/>
          <w:iCs w:val="0"/>
        </w:rPr>
        <w:t>teristics Using Image Analysis”.</w:t>
      </w:r>
    </w:p>
    <w:p w:rsidR="00FF19FA" w:rsidRDefault="00FF19FA" w:rsidP="00FF19FA"/>
    <w:p w:rsidR="00FF19FA" w:rsidRDefault="00FF19FA" w:rsidP="00FF19FA">
      <w:pPr>
        <w:keepNext/>
        <w:tabs>
          <w:tab w:val="left" w:pos="567"/>
          <w:tab w:val="left" w:pos="1701"/>
        </w:tabs>
        <w:rPr>
          <w:rFonts w:eastAsia="PMingLiU"/>
          <w:szCs w:val="24"/>
        </w:rPr>
      </w:pPr>
      <w:r w:rsidRPr="00701977">
        <w:rPr>
          <w:i/>
          <w:iCs/>
        </w:rPr>
        <w:fldChar w:fldCharType="begin"/>
      </w:r>
      <w:r w:rsidRPr="00701977">
        <w:instrText xml:space="preserve"> AUTONUM  </w:instrText>
      </w:r>
      <w:r w:rsidRPr="00701977">
        <w:rPr>
          <w:i/>
          <w:iCs/>
        </w:rPr>
        <w:fldChar w:fldCharType="end"/>
      </w:r>
      <w:r w:rsidRPr="00701977">
        <w:tab/>
        <w:t>The experts from the Netherlands and the European Union responsible for drafting the new section proposed that the first draft be pr</w:t>
      </w:r>
      <w:r>
        <w:t>esented only to the TWC in 2013.</w:t>
      </w:r>
    </w:p>
    <w:p w:rsidR="0070434E" w:rsidRDefault="00692359" w:rsidP="005B20AF">
      <w:pPr>
        <w:keepNext/>
        <w:tabs>
          <w:tab w:val="left" w:pos="567"/>
          <w:tab w:val="left" w:pos="1701"/>
        </w:tabs>
      </w:pPr>
      <w:r w:rsidRPr="005A7AC6">
        <w:rPr>
          <w:rFonts w:eastAsia="PMingLiU"/>
          <w:szCs w:val="24"/>
        </w:rPr>
        <w:tab/>
      </w: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w:t>
      </w:r>
      <w:r w:rsidR="00154AA8">
        <w:rPr>
          <w:rFonts w:cs="Arial"/>
        </w:rPr>
        <w:t xml:space="preserve">held </w:t>
      </w:r>
      <w:r w:rsidR="00234214">
        <w:rPr>
          <w:rFonts w:cs="Arial"/>
        </w:rPr>
        <w:t xml:space="preserve">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w:t>
      </w:r>
      <w:r w:rsidR="00154AA8">
        <w:rPr>
          <w:rFonts w:cs="Arial"/>
        </w:rPr>
        <w:t xml:space="preserve">the </w:t>
      </w:r>
      <w:r w:rsidRPr="007950A4">
        <w:rPr>
          <w:rFonts w:cs="Arial"/>
        </w:rPr>
        <w:t>Annex to document TWC/31/20 Add.</w:t>
      </w:r>
      <w:r w:rsidR="00154AA8">
        <w:rPr>
          <w:rFonts w:cs="Arial"/>
        </w:rPr>
        <w:t>,</w:t>
      </w:r>
      <w:r w:rsidRPr="007950A4">
        <w:rPr>
          <w:rFonts w:cs="Arial"/>
        </w:rPr>
        <w:t xml:space="preserve"> as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92359" w:rsidRDefault="00692359" w:rsidP="005B1AF4">
      <w:pPr>
        <w:autoSpaceDE w:val="0"/>
        <w:autoSpaceDN w:val="0"/>
        <w:adjustRightInd w:val="0"/>
        <w:rPr>
          <w:rFonts w:cs="Arial"/>
          <w:color w:val="000000"/>
        </w:rPr>
      </w:pPr>
    </w:p>
    <w:p w:rsidR="00154AA8" w:rsidRDefault="00154AA8" w:rsidP="00154AA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fiftieth session, </w:t>
      </w:r>
      <w:r w:rsidR="00A57BA8">
        <w:rPr>
          <w:rFonts w:cs="Arial"/>
        </w:rPr>
        <w:t>h</w:t>
      </w:r>
      <w:r>
        <w:rPr>
          <w:rFonts w:cs="Arial"/>
        </w:rPr>
        <w:t>eld in Geneva, from April 7 to 9, 2014, considered document TC/50/27.</w:t>
      </w:r>
    </w:p>
    <w:p w:rsidR="00154AA8" w:rsidRDefault="00154AA8" w:rsidP="00154AA8">
      <w:pPr>
        <w:rPr>
          <w:rFonts w:cs="Arial"/>
        </w:rPr>
      </w:pPr>
    </w:p>
    <w:p w:rsidR="00154AA8" w:rsidRPr="002509C6" w:rsidRDefault="00154AA8" w:rsidP="00154AA8">
      <w:r w:rsidRPr="002509C6">
        <w:lastRenderedPageBreak/>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xml:space="preserve">, </w:t>
      </w:r>
      <w:r w:rsidR="003329D2">
        <w:t xml:space="preserve">reproduced as Annex to this document, </w:t>
      </w:r>
      <w:r>
        <w:t>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154AA8" w:rsidRDefault="00154AA8" w:rsidP="00154AA8">
      <w:pPr>
        <w:tabs>
          <w:tab w:val="left" w:pos="913"/>
        </w:tabs>
        <w:spacing w:line="360" w:lineRule="auto"/>
      </w:pPr>
    </w:p>
    <w:p w:rsidR="00154AA8" w:rsidRPr="007F63CD" w:rsidRDefault="00154AA8" w:rsidP="00154AA8">
      <w:pPr>
        <w:keepNext/>
        <w:ind w:left="446"/>
        <w:outlineLvl w:val="1"/>
        <w:rPr>
          <w:rFonts w:cs="Arial"/>
          <w:sz w:val="18"/>
          <w:szCs w:val="16"/>
        </w:rPr>
      </w:pPr>
      <w:bookmarkStart w:id="1" w:name="_Toc222280950"/>
      <w:r w:rsidRPr="007F63CD">
        <w:rPr>
          <w:rFonts w:cs="Arial"/>
          <w:sz w:val="18"/>
          <w:szCs w:val="16"/>
        </w:rPr>
        <w:t>“1.     Introduction</w:t>
      </w:r>
      <w:bookmarkEnd w:id="1"/>
    </w:p>
    <w:p w:rsidR="00154AA8" w:rsidRPr="007F63CD" w:rsidRDefault="00154AA8" w:rsidP="00154AA8">
      <w:pPr>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154AA8" w:rsidRPr="007F63CD" w:rsidRDefault="00154AA8" w:rsidP="00154AA8">
      <w:pPr>
        <w:ind w:left="446" w:right="459"/>
        <w:rPr>
          <w:rFonts w:cs="Arial"/>
          <w:strike/>
          <w:sz w:val="18"/>
          <w:szCs w:val="16"/>
        </w:rPr>
      </w:pPr>
    </w:p>
    <w:p w:rsidR="00154AA8" w:rsidRPr="007F63CD" w:rsidRDefault="00154AA8" w:rsidP="00154AA8">
      <w:pPr>
        <w:keepNext/>
        <w:ind w:left="446"/>
        <w:outlineLvl w:val="1"/>
        <w:rPr>
          <w:rFonts w:cs="Arial"/>
          <w:sz w:val="18"/>
          <w:szCs w:val="16"/>
        </w:rPr>
      </w:pPr>
      <w:bookmarkStart w:id="2" w:name="_Toc222280951"/>
      <w:r w:rsidRPr="007F63CD">
        <w:rPr>
          <w:rFonts w:cs="Arial"/>
          <w:sz w:val="18"/>
          <w:szCs w:val="16"/>
        </w:rPr>
        <w:t>“2.     Combined characteristics</w:t>
      </w:r>
      <w:bookmarkEnd w:id="2"/>
    </w:p>
    <w:p w:rsidR="00154AA8" w:rsidRPr="007F63CD" w:rsidRDefault="00154AA8" w:rsidP="00154AA8">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154AA8" w:rsidRPr="007F63CD" w:rsidRDefault="00154AA8" w:rsidP="00154AA8">
      <w:pPr>
        <w:ind w:left="446" w:right="459"/>
        <w:rPr>
          <w:rFonts w:cs="Arial"/>
          <w:sz w:val="18"/>
          <w:szCs w:val="16"/>
        </w:rPr>
      </w:pPr>
    </w:p>
    <w:p w:rsidR="00154AA8" w:rsidRPr="007F63CD" w:rsidRDefault="00154AA8" w:rsidP="00154AA8">
      <w:pPr>
        <w:ind w:left="871" w:right="459"/>
        <w:rPr>
          <w:rFonts w:cs="Arial"/>
          <w:sz w:val="18"/>
          <w:szCs w:val="16"/>
        </w:rPr>
      </w:pPr>
      <w:bookmarkStart w:id="3" w:name="_Toc498319779"/>
      <w:bookmarkStart w:id="4" w:name="_Toc498511329"/>
      <w:bookmarkStart w:id="5"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3"/>
      <w:bookmarkEnd w:id="4"/>
      <w:bookmarkEnd w:id="5"/>
    </w:p>
    <w:p w:rsidR="00154AA8" w:rsidRPr="007F63CD" w:rsidRDefault="00154AA8" w:rsidP="00154AA8">
      <w:pPr>
        <w:ind w:left="871" w:right="459"/>
        <w:rPr>
          <w:rFonts w:cs="Arial"/>
          <w:sz w:val="18"/>
          <w:szCs w:val="16"/>
        </w:rPr>
      </w:pPr>
    </w:p>
    <w:p w:rsidR="00154AA8" w:rsidRPr="007F63CD" w:rsidRDefault="00154AA8" w:rsidP="00154AA8">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54AA8" w:rsidRPr="007F63CD" w:rsidRDefault="00154AA8" w:rsidP="00154AA8">
      <w:pPr>
        <w:tabs>
          <w:tab w:val="left" w:pos="1985"/>
        </w:tabs>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57771" w:rsidRDefault="00157771" w:rsidP="00157771">
      <w:pPr>
        <w:autoSpaceDE w:val="0"/>
        <w:autoSpaceDN w:val="0"/>
        <w:adjustRightInd w:val="0"/>
        <w:rPr>
          <w:rFonts w:cs="Arial"/>
          <w:color w:val="000000"/>
        </w:rPr>
      </w:pPr>
    </w:p>
    <w:p w:rsidR="006F152D" w:rsidRPr="00E233DF" w:rsidRDefault="00F46079" w:rsidP="00F46079">
      <w:pPr>
        <w:rPr>
          <w:rFonts w:cs="Arial"/>
        </w:rPr>
      </w:pPr>
      <w:r w:rsidRPr="00E233DF">
        <w:fldChar w:fldCharType="begin"/>
      </w:r>
      <w:r w:rsidRPr="00E233DF">
        <w:instrText xml:space="preserve"> AUTONUM  </w:instrText>
      </w:r>
      <w:r w:rsidRPr="00E233DF">
        <w:fldChar w:fldCharType="end"/>
      </w:r>
      <w:r w:rsidRPr="00E233DF">
        <w:tab/>
      </w:r>
      <w:r w:rsidR="006F152D" w:rsidRPr="00E233DF">
        <w:rPr>
          <w:rFonts w:cs="Arial"/>
        </w:rPr>
        <w:t xml:space="preserve">The expert from the European Union has informed the Office of the Union that, given the need for extensive redrafting of the text, it will not be possible to </w:t>
      </w:r>
      <w:r w:rsidR="00E233DF" w:rsidRPr="00E233DF">
        <w:rPr>
          <w:rFonts w:cs="Arial"/>
        </w:rPr>
        <w:t>produce a text for consideration</w:t>
      </w:r>
      <w:r w:rsidR="006F152D" w:rsidRPr="00E233DF">
        <w:rPr>
          <w:rFonts w:cs="Arial"/>
        </w:rPr>
        <w:t xml:space="preserve"> by the TWPs in 2014.  It is propos</w:t>
      </w:r>
      <w:r w:rsidR="00A00A58">
        <w:rPr>
          <w:rFonts w:cs="Arial"/>
        </w:rPr>
        <w:t xml:space="preserve">ed that a new draft </w:t>
      </w:r>
      <w:r w:rsidR="006F152D" w:rsidRPr="00E233DF">
        <w:rPr>
          <w:rFonts w:cs="Arial"/>
        </w:rPr>
        <w:t>be prepared for consideration by the TC and TWPs in 2015.  In order to facilitate the con</w:t>
      </w:r>
      <w:r w:rsidRPr="00E233DF">
        <w:rPr>
          <w:rFonts w:cs="Arial"/>
        </w:rPr>
        <w:t>sideration</w:t>
      </w:r>
      <w:r w:rsidR="006F152D" w:rsidRPr="00E233DF">
        <w:rPr>
          <w:rFonts w:cs="Arial"/>
        </w:rPr>
        <w:t xml:space="preserve"> by the TC</w:t>
      </w:r>
      <w:r w:rsidRPr="00E233DF">
        <w:rPr>
          <w:rFonts w:cs="Arial"/>
        </w:rPr>
        <w:t>,</w:t>
      </w:r>
      <w:r w:rsidR="00A00A58">
        <w:rPr>
          <w:rFonts w:cs="Arial"/>
        </w:rPr>
        <w:t xml:space="preserve"> at its fifty-first session,</w:t>
      </w:r>
      <w:r w:rsidRPr="00E233DF">
        <w:rPr>
          <w:rFonts w:cs="Arial"/>
        </w:rPr>
        <w:t xml:space="preserve"> </w:t>
      </w:r>
      <w:r w:rsidR="006F152D" w:rsidRPr="00E233DF">
        <w:rPr>
          <w:rFonts w:cs="Arial"/>
        </w:rPr>
        <w:t>it is further prop</w:t>
      </w:r>
      <w:r w:rsidRPr="00E233DF">
        <w:rPr>
          <w:rFonts w:cs="Arial"/>
        </w:rPr>
        <w:t xml:space="preserve">osed that an </w:t>
      </w:r>
      <w:r w:rsidR="00E233DF" w:rsidRPr="00E233DF">
        <w:rPr>
          <w:rFonts w:cs="Arial"/>
        </w:rPr>
        <w:t>initial</w:t>
      </w:r>
      <w:r w:rsidR="006F152D" w:rsidRPr="00E233DF">
        <w:rPr>
          <w:rFonts w:cs="Arial"/>
        </w:rPr>
        <w:t xml:space="preserve"> draft be prepared for consideration by the TC-EDC</w:t>
      </w:r>
      <w:r w:rsidRPr="00E233DF">
        <w:rPr>
          <w:rFonts w:cs="Arial"/>
        </w:rPr>
        <w:t xml:space="preserve"> at its meeting in January</w:t>
      </w:r>
      <w:r w:rsidR="00A00A58">
        <w:rPr>
          <w:rFonts w:cs="Arial"/>
        </w:rPr>
        <w:t xml:space="preserve"> 7 and 8,</w:t>
      </w:r>
      <w:r w:rsidRPr="00E233DF">
        <w:rPr>
          <w:rFonts w:cs="Arial"/>
        </w:rPr>
        <w:t xml:space="preserve"> 2015</w:t>
      </w:r>
    </w:p>
    <w:p w:rsidR="006F152D" w:rsidRPr="00E233DF" w:rsidRDefault="006F152D" w:rsidP="00157771">
      <w:pPr>
        <w:autoSpaceDE w:val="0"/>
        <w:autoSpaceDN w:val="0"/>
        <w:adjustRightInd w:val="0"/>
        <w:rPr>
          <w:rFonts w:cs="Arial"/>
        </w:rPr>
      </w:pPr>
    </w:p>
    <w:p w:rsidR="008F5C46" w:rsidRDefault="008F5C46" w:rsidP="000353DA">
      <w:pPr>
        <w:autoSpaceDE w:val="0"/>
        <w:autoSpaceDN w:val="0"/>
        <w:adjustRightInd w:val="0"/>
        <w:rPr>
          <w:rFonts w:cs="Arial"/>
          <w:color w:val="000000"/>
        </w:rPr>
      </w:pPr>
    </w:p>
    <w:p w:rsidR="00157771" w:rsidRPr="00A00A58" w:rsidRDefault="00234214" w:rsidP="00A00A58">
      <w:pPr>
        <w:pStyle w:val="DecisionParagraphs"/>
        <w:tabs>
          <w:tab w:val="left" w:pos="5490"/>
        </w:tabs>
        <w:ind w:left="4820"/>
        <w:rPr>
          <w:iCs/>
          <w:spacing w:val="-4"/>
          <w:sz w:val="20"/>
        </w:rPr>
      </w:pPr>
      <w:r w:rsidRPr="00157771">
        <w:rPr>
          <w:sz w:val="20"/>
        </w:rPr>
        <w:fldChar w:fldCharType="begin"/>
      </w:r>
      <w:r w:rsidRPr="00157771">
        <w:rPr>
          <w:sz w:val="20"/>
        </w:rPr>
        <w:instrText xml:space="preserve"> AUTONUM  </w:instrText>
      </w:r>
      <w:r w:rsidRPr="00157771">
        <w:rPr>
          <w:sz w:val="20"/>
        </w:rPr>
        <w:fldChar w:fldCharType="end"/>
      </w:r>
      <w:r w:rsidR="003369DA" w:rsidRPr="00157771">
        <w:rPr>
          <w:sz w:val="20"/>
        </w:rPr>
        <w:tab/>
      </w:r>
      <w:r w:rsidR="005F25B6" w:rsidRPr="00157771">
        <w:rPr>
          <w:iCs/>
          <w:spacing w:val="-4"/>
          <w:sz w:val="20"/>
        </w:rPr>
        <w:t xml:space="preserve">The </w:t>
      </w:r>
      <w:r w:rsidR="003749EB">
        <w:rPr>
          <w:iCs/>
          <w:spacing w:val="-4"/>
          <w:sz w:val="20"/>
        </w:rPr>
        <w:t>TW</w:t>
      </w:r>
      <w:r w:rsidR="00912C27">
        <w:rPr>
          <w:iCs/>
          <w:spacing w:val="-4"/>
          <w:sz w:val="20"/>
        </w:rPr>
        <w:t>V</w:t>
      </w:r>
      <w:r w:rsidR="005F25B6" w:rsidRPr="00157771">
        <w:rPr>
          <w:iCs/>
          <w:spacing w:val="-4"/>
          <w:sz w:val="20"/>
        </w:rPr>
        <w:t xml:space="preserve"> </w:t>
      </w:r>
      <w:r w:rsidRPr="00157771">
        <w:rPr>
          <w:iCs/>
          <w:spacing w:val="-4"/>
          <w:sz w:val="20"/>
        </w:rPr>
        <w:t xml:space="preserve">is invited </w:t>
      </w:r>
      <w:r w:rsidR="00964EC5" w:rsidRPr="00157771">
        <w:rPr>
          <w:iCs/>
          <w:spacing w:val="-4"/>
          <w:sz w:val="20"/>
        </w:rPr>
        <w:t>to</w:t>
      </w:r>
      <w:r w:rsidR="00F46079">
        <w:rPr>
          <w:iCs/>
          <w:spacing w:val="-4"/>
          <w:sz w:val="20"/>
        </w:rPr>
        <w:t xml:space="preserve"> note </w:t>
      </w:r>
      <w:r w:rsidR="00157771">
        <w:rPr>
          <w:rFonts w:cs="Arial"/>
          <w:color w:val="000000"/>
          <w:sz w:val="20"/>
        </w:rPr>
        <w:t xml:space="preserve">the proposal from the </w:t>
      </w:r>
      <w:r w:rsidR="00E233DF">
        <w:rPr>
          <w:rFonts w:cs="Arial"/>
          <w:color w:val="000000"/>
          <w:sz w:val="20"/>
        </w:rPr>
        <w:t xml:space="preserve">expert from the </w:t>
      </w:r>
      <w:r w:rsidR="00F46079">
        <w:rPr>
          <w:rFonts w:cs="Arial"/>
          <w:color w:val="000000"/>
          <w:sz w:val="20"/>
        </w:rPr>
        <w:t>European Union</w:t>
      </w:r>
      <w:r w:rsidR="00157771">
        <w:rPr>
          <w:rFonts w:cs="Arial"/>
          <w:color w:val="000000"/>
          <w:sz w:val="20"/>
        </w:rPr>
        <w:t xml:space="preserve"> </w:t>
      </w:r>
      <w:r w:rsidR="00E233DF">
        <w:rPr>
          <w:rFonts w:cs="Arial"/>
          <w:color w:val="000000"/>
          <w:sz w:val="20"/>
        </w:rPr>
        <w:t xml:space="preserve">to prepare a new draft for consideration by the TC and </w:t>
      </w:r>
      <w:r w:rsidR="00157771">
        <w:rPr>
          <w:rFonts w:cs="Arial"/>
          <w:color w:val="000000"/>
          <w:sz w:val="20"/>
        </w:rPr>
        <w:t xml:space="preserve">the </w:t>
      </w:r>
      <w:r w:rsidR="00F46079">
        <w:rPr>
          <w:rFonts w:cs="Arial"/>
          <w:color w:val="000000"/>
          <w:sz w:val="20"/>
        </w:rPr>
        <w:t>TWPs at their sessions in 2015.</w:t>
      </w: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3749EB" w:rsidP="00EB048E">
    <w:pPr>
      <w:pStyle w:val="Header"/>
      <w:rPr>
        <w:rStyle w:val="PageNumber"/>
        <w:lang w:val="en-US"/>
      </w:rPr>
    </w:pPr>
    <w:r>
      <w:rPr>
        <w:rStyle w:val="PageNumber"/>
        <w:lang w:val="en-US"/>
      </w:rPr>
      <w:t>T</w:t>
    </w:r>
    <w:r w:rsidR="00BB7E9C">
      <w:rPr>
        <w:rStyle w:val="PageNumber"/>
        <w:lang w:val="en-US"/>
      </w:rPr>
      <w:t>WV</w:t>
    </w:r>
    <w:r>
      <w:rPr>
        <w:rStyle w:val="PageNumber"/>
        <w:lang w:val="en-US"/>
      </w:rPr>
      <w:t>/4</w:t>
    </w:r>
    <w:r w:rsidR="00BB7E9C">
      <w:rPr>
        <w:rStyle w:val="PageNumber"/>
        <w:lang w:val="en-US"/>
      </w:rPr>
      <w:t>8</w:t>
    </w:r>
    <w:r w:rsidR="00D944CB" w:rsidRPr="00C5280D">
      <w:rPr>
        <w:rStyle w:val="PageNumber"/>
        <w:lang w:val="en-US"/>
      </w:rPr>
      <w:t>/</w:t>
    </w:r>
    <w:r w:rsidR="003A3C3C">
      <w:rPr>
        <w:rStyle w:val="PageNumber"/>
        <w:lang w:val="en-US"/>
      </w:rPr>
      <w:t>20</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535F">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3749EB" w:rsidP="00234214">
    <w:pPr>
      <w:pStyle w:val="Header"/>
    </w:pPr>
    <w:r>
      <w:t>TW</w:t>
    </w:r>
    <w:r w:rsidR="00BB7E9C">
      <w:t>V</w:t>
    </w:r>
    <w:r>
      <w:t>/4</w:t>
    </w:r>
    <w:r w:rsidR="00BB7E9C">
      <w:t>8</w:t>
    </w:r>
    <w:r w:rsidR="005F25B6">
      <w:t>/2</w:t>
    </w:r>
    <w:r w:rsidR="003A3C3C">
      <w:t>0</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3749EB" w:rsidP="00234214">
    <w:pPr>
      <w:pStyle w:val="Header"/>
    </w:pPr>
    <w:r>
      <w:t>TW</w:t>
    </w:r>
    <w:r w:rsidR="00BB7E9C">
      <w:t>V</w:t>
    </w:r>
    <w:r>
      <w:t>/4</w:t>
    </w:r>
    <w:r w:rsidR="00BB7E9C">
      <w:t>8</w:t>
    </w:r>
    <w:r w:rsidR="00671AA6">
      <w:t>/2</w:t>
    </w:r>
    <w:r w:rsidR="003A3C3C">
      <w:t>0</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4E535F">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749EB" w:rsidP="00EB048E">
    <w:pPr>
      <w:pStyle w:val="Header"/>
      <w:rPr>
        <w:rStyle w:val="PageNumber"/>
        <w:lang w:val="en-US"/>
      </w:rPr>
    </w:pPr>
    <w:r>
      <w:rPr>
        <w:rStyle w:val="PageNumber"/>
        <w:lang w:val="en-US"/>
      </w:rPr>
      <w:t>TW</w:t>
    </w:r>
    <w:r w:rsidR="00BB7E9C">
      <w:rPr>
        <w:rStyle w:val="PageNumber"/>
        <w:lang w:val="en-US"/>
      </w:rPr>
      <w:t>V</w:t>
    </w:r>
    <w:r>
      <w:rPr>
        <w:rStyle w:val="PageNumber"/>
        <w:lang w:val="en-US"/>
      </w:rPr>
      <w:t>/4</w:t>
    </w:r>
    <w:r w:rsidR="00BB7E9C">
      <w:rPr>
        <w:rStyle w:val="PageNumber"/>
        <w:lang w:val="en-US"/>
      </w:rPr>
      <w:t>8</w:t>
    </w:r>
    <w:r w:rsidR="003C55A4" w:rsidRPr="00C5280D">
      <w:rPr>
        <w:rStyle w:val="PageNumber"/>
        <w:lang w:val="en-US"/>
      </w:rPr>
      <w:t>/</w:t>
    </w:r>
    <w:r w:rsidR="00671AA6">
      <w:rPr>
        <w:rStyle w:val="PageNumber"/>
        <w:lang w:val="en-US"/>
      </w:rPr>
      <w:t>2</w:t>
    </w:r>
    <w:r w:rsidR="003A3C3C">
      <w:rPr>
        <w:rStyle w:val="PageNumber"/>
        <w:lang w:val="en-US"/>
      </w:rPr>
      <w:t>0</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535F">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001E"/>
    <w:rsid w:val="000036DA"/>
    <w:rsid w:val="00007B0A"/>
    <w:rsid w:val="00010CF3"/>
    <w:rsid w:val="00011E27"/>
    <w:rsid w:val="000148BC"/>
    <w:rsid w:val="00024AB8"/>
    <w:rsid w:val="00030854"/>
    <w:rsid w:val="00031601"/>
    <w:rsid w:val="000353DA"/>
    <w:rsid w:val="00036028"/>
    <w:rsid w:val="00044642"/>
    <w:rsid w:val="000446B9"/>
    <w:rsid w:val="00047E21"/>
    <w:rsid w:val="00067F62"/>
    <w:rsid w:val="00083EE0"/>
    <w:rsid w:val="00085505"/>
    <w:rsid w:val="000C7021"/>
    <w:rsid w:val="000D6BBC"/>
    <w:rsid w:val="000D7780"/>
    <w:rsid w:val="00105929"/>
    <w:rsid w:val="001131D5"/>
    <w:rsid w:val="00123C9D"/>
    <w:rsid w:val="00125EFC"/>
    <w:rsid w:val="00141DB8"/>
    <w:rsid w:val="0014327F"/>
    <w:rsid w:val="00154AA8"/>
    <w:rsid w:val="00157771"/>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B43"/>
    <w:rsid w:val="00305A7F"/>
    <w:rsid w:val="00311399"/>
    <w:rsid w:val="003152FE"/>
    <w:rsid w:val="00327436"/>
    <w:rsid w:val="003329D2"/>
    <w:rsid w:val="003369DA"/>
    <w:rsid w:val="00344BD6"/>
    <w:rsid w:val="0035528D"/>
    <w:rsid w:val="00361821"/>
    <w:rsid w:val="003749EB"/>
    <w:rsid w:val="003A3C3C"/>
    <w:rsid w:val="003C55A4"/>
    <w:rsid w:val="003D227C"/>
    <w:rsid w:val="003D2B4D"/>
    <w:rsid w:val="003D620E"/>
    <w:rsid w:val="003E174C"/>
    <w:rsid w:val="00444A88"/>
    <w:rsid w:val="00474DA4"/>
    <w:rsid w:val="00476B4D"/>
    <w:rsid w:val="004805FA"/>
    <w:rsid w:val="004B6E39"/>
    <w:rsid w:val="004C7AEF"/>
    <w:rsid w:val="004D047D"/>
    <w:rsid w:val="004D3B68"/>
    <w:rsid w:val="004E535F"/>
    <w:rsid w:val="004F305A"/>
    <w:rsid w:val="00503C50"/>
    <w:rsid w:val="00512164"/>
    <w:rsid w:val="00520297"/>
    <w:rsid w:val="005227E6"/>
    <w:rsid w:val="005338F9"/>
    <w:rsid w:val="00541184"/>
    <w:rsid w:val="0054281C"/>
    <w:rsid w:val="0055268D"/>
    <w:rsid w:val="005651DA"/>
    <w:rsid w:val="00576BE4"/>
    <w:rsid w:val="00597EE7"/>
    <w:rsid w:val="005A400A"/>
    <w:rsid w:val="005A7AC6"/>
    <w:rsid w:val="005B1AF4"/>
    <w:rsid w:val="005B20AF"/>
    <w:rsid w:val="005F25B6"/>
    <w:rsid w:val="005F4830"/>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6F152D"/>
    <w:rsid w:val="0070434E"/>
    <w:rsid w:val="00731154"/>
    <w:rsid w:val="00732DEC"/>
    <w:rsid w:val="00734DE5"/>
    <w:rsid w:val="00735BD5"/>
    <w:rsid w:val="007556F6"/>
    <w:rsid w:val="00760EEF"/>
    <w:rsid w:val="00761C95"/>
    <w:rsid w:val="0077020F"/>
    <w:rsid w:val="00777EE5"/>
    <w:rsid w:val="00784836"/>
    <w:rsid w:val="0079023E"/>
    <w:rsid w:val="007906B7"/>
    <w:rsid w:val="007950A4"/>
    <w:rsid w:val="007A2854"/>
    <w:rsid w:val="007D07C4"/>
    <w:rsid w:val="007D0B9D"/>
    <w:rsid w:val="007D19B0"/>
    <w:rsid w:val="007E262F"/>
    <w:rsid w:val="007E3926"/>
    <w:rsid w:val="007F498F"/>
    <w:rsid w:val="0080679D"/>
    <w:rsid w:val="008108B0"/>
    <w:rsid w:val="00811B20"/>
    <w:rsid w:val="0082296E"/>
    <w:rsid w:val="00824099"/>
    <w:rsid w:val="00867AC1"/>
    <w:rsid w:val="0089251E"/>
    <w:rsid w:val="008A743F"/>
    <w:rsid w:val="008C0970"/>
    <w:rsid w:val="008C52A3"/>
    <w:rsid w:val="008C7DCD"/>
    <w:rsid w:val="008D2CF7"/>
    <w:rsid w:val="008D39C5"/>
    <w:rsid w:val="008D64AF"/>
    <w:rsid w:val="008F5C46"/>
    <w:rsid w:val="00900C26"/>
    <w:rsid w:val="0090197F"/>
    <w:rsid w:val="00906DDC"/>
    <w:rsid w:val="00911B1B"/>
    <w:rsid w:val="00912C27"/>
    <w:rsid w:val="00934E09"/>
    <w:rsid w:val="00936253"/>
    <w:rsid w:val="00937B4D"/>
    <w:rsid w:val="00952DD4"/>
    <w:rsid w:val="00960D19"/>
    <w:rsid w:val="00964EC5"/>
    <w:rsid w:val="00970FED"/>
    <w:rsid w:val="00982238"/>
    <w:rsid w:val="00997029"/>
    <w:rsid w:val="009A0C21"/>
    <w:rsid w:val="009D690D"/>
    <w:rsid w:val="009E65B6"/>
    <w:rsid w:val="00A00A58"/>
    <w:rsid w:val="00A42AC3"/>
    <w:rsid w:val="00A430CF"/>
    <w:rsid w:val="00A54309"/>
    <w:rsid w:val="00A57BA8"/>
    <w:rsid w:val="00A63CBC"/>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B7E9C"/>
    <w:rsid w:val="00BC127D"/>
    <w:rsid w:val="00BC1FE6"/>
    <w:rsid w:val="00C00D9D"/>
    <w:rsid w:val="00C01157"/>
    <w:rsid w:val="00C01AEA"/>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1065C"/>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233DF"/>
    <w:rsid w:val="00E32F7E"/>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42A17"/>
    <w:rsid w:val="00F45372"/>
    <w:rsid w:val="00F46079"/>
    <w:rsid w:val="00F54D9F"/>
    <w:rsid w:val="00F560F7"/>
    <w:rsid w:val="00F6027A"/>
    <w:rsid w:val="00F6334D"/>
    <w:rsid w:val="00F77AB9"/>
    <w:rsid w:val="00FA49AB"/>
    <w:rsid w:val="00FA636C"/>
    <w:rsid w:val="00FC3378"/>
    <w:rsid w:val="00FD533E"/>
    <w:rsid w:val="00FE39C7"/>
    <w:rsid w:val="00FE6F5A"/>
    <w:rsid w:val="00FF19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BB9D-0C0E-4FEF-B014-E9817A56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2589</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16282</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8</cp:revision>
  <cp:lastPrinted>2014-05-22T14:04:00Z</cp:lastPrinted>
  <dcterms:created xsi:type="dcterms:W3CDTF">2014-05-21T09:59:00Z</dcterms:created>
  <dcterms:modified xsi:type="dcterms:W3CDTF">2014-05-28T08:16:00Z</dcterms:modified>
</cp:coreProperties>
</file>