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C740F7">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F646A">
            <w:pPr>
              <w:pStyle w:val="Docoriginal"/>
            </w:pPr>
            <w:r w:rsidRPr="00B46575">
              <w:rPr>
                <w:spacing w:val="0"/>
              </w:rPr>
              <w:t>DATE</w:t>
            </w:r>
            <w:r w:rsidRPr="00AF646A">
              <w:rPr>
                <w:spacing w:val="0"/>
              </w:rPr>
              <w:t>:</w:t>
            </w:r>
            <w:r w:rsidRPr="00AF646A">
              <w:rPr>
                <w:rStyle w:val="StyleDocoriginalNotBold1"/>
                <w:spacing w:val="0"/>
              </w:rPr>
              <w:t xml:space="preserve"> </w:t>
            </w:r>
            <w:bookmarkStart w:id="2" w:name="Date"/>
            <w:bookmarkEnd w:id="2"/>
            <w:r w:rsidR="00876C58" w:rsidRPr="00AF646A">
              <w:rPr>
                <w:rStyle w:val="StyleDocoriginalNotBold1"/>
                <w:spacing w:val="0"/>
              </w:rPr>
              <w:t xml:space="preserve"> </w:t>
            </w:r>
            <w:r w:rsidR="00AF646A" w:rsidRPr="00AF646A">
              <w:rPr>
                <w:rStyle w:val="StyleDocoriginalNotBold1"/>
                <w:spacing w:val="0"/>
              </w:rPr>
              <w:t>May 2</w:t>
            </w:r>
            <w:r w:rsidR="00C740F7" w:rsidRPr="00AF646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D812BC" w:rsidRDefault="00D812BC" w:rsidP="00D812BC">
      <w:pPr>
        <w:pStyle w:val="Titleofdoc0"/>
      </w:pPr>
      <w:bookmarkStart w:id="3" w:name="TitleOfDoc"/>
      <w:bookmarkEnd w:id="3"/>
      <w:r>
        <w:t>molecular techniques</w:t>
      </w:r>
    </w:p>
    <w:p w:rsidR="00D812BC" w:rsidRDefault="00D812BC" w:rsidP="00D812BC">
      <w:pPr>
        <w:pStyle w:val="preparedby1"/>
      </w:pPr>
      <w:bookmarkStart w:id="4" w:name="Prepared"/>
      <w:bookmarkEnd w:id="4"/>
      <w:r>
        <w:t>Document prepared by the Office of the Union</w:t>
      </w:r>
    </w:p>
    <w:p w:rsidR="00D812BC" w:rsidRDefault="00D812BC" w:rsidP="00D812BC">
      <w:pPr>
        <w:rPr>
          <w:snapToGrid w:val="0"/>
        </w:rPr>
      </w:pPr>
      <w:r>
        <w:fldChar w:fldCharType="begin"/>
      </w:r>
      <w:r>
        <w:instrText xml:space="preserve"> AUTONUM  </w:instrText>
      </w:r>
      <w:r>
        <w:fldChar w:fldCharType="end"/>
      </w:r>
      <w:r>
        <w:tab/>
        <w:t xml:space="preserve">The purpose of this document is to report on developments concerning the: </w:t>
      </w:r>
    </w:p>
    <w:p w:rsidR="00D812BC" w:rsidRDefault="00D812BC" w:rsidP="00D812BC"/>
    <w:p w:rsidR="00D812BC" w:rsidRDefault="00D812BC" w:rsidP="00D812BC">
      <w:pPr>
        <w:ind w:left="1134" w:hanging="567"/>
      </w:pPr>
      <w:r>
        <w:t>(a)</w:t>
      </w:r>
      <w:r>
        <w:tab/>
      </w:r>
      <w:proofErr w:type="gramStart"/>
      <w:r>
        <w:t>use</w:t>
      </w:r>
      <w:proofErr w:type="gramEnd"/>
      <w:r>
        <w:t xml:space="preserve"> of biochemical and molecular markers in the examination of Distinctness, Uniformity and Stability (DUS); </w:t>
      </w:r>
    </w:p>
    <w:p w:rsidR="00D812BC" w:rsidRDefault="00D812BC" w:rsidP="00D812BC">
      <w:pPr>
        <w:ind w:left="1134" w:hanging="567"/>
      </w:pPr>
    </w:p>
    <w:p w:rsidR="00D812BC" w:rsidRDefault="00D812BC" w:rsidP="00D812BC">
      <w:pPr>
        <w:ind w:left="1134" w:hanging="567"/>
      </w:pPr>
      <w:r>
        <w:t>(b)</w:t>
      </w:r>
      <w:r>
        <w:tab/>
      </w:r>
      <w:proofErr w:type="gramStart"/>
      <w:r>
        <w:t>discussions</w:t>
      </w:r>
      <w:proofErr w:type="gramEnd"/>
      <w:r>
        <w:t xml:space="preserve"> on molecular techniques at the forty-ninth session of the Technical Committee (TC) on:</w:t>
      </w:r>
    </w:p>
    <w:p w:rsidR="00D812BC" w:rsidRDefault="00D812BC" w:rsidP="00D812BC">
      <w:pPr>
        <w:ind w:left="1134" w:hanging="567"/>
      </w:pPr>
    </w:p>
    <w:p w:rsidR="00D812BC" w:rsidRDefault="00D812BC" w:rsidP="00D812BC">
      <w:pPr>
        <w:ind w:left="1134" w:hanging="567"/>
      </w:pPr>
      <w:r>
        <w:tab/>
        <w:t>(</w:t>
      </w:r>
      <w:proofErr w:type="spellStart"/>
      <w:r>
        <w:t>i</w:t>
      </w:r>
      <w:proofErr w:type="spellEnd"/>
      <w:r>
        <w:t>)</w:t>
      </w:r>
      <w:r>
        <w:tab/>
      </w:r>
      <w:proofErr w:type="gramStart"/>
      <w:r>
        <w:t>application</w:t>
      </w:r>
      <w:proofErr w:type="gramEnd"/>
      <w:r>
        <w:t xml:space="preserve"> of models by members of the Union</w:t>
      </w:r>
    </w:p>
    <w:p w:rsidR="00D812BC" w:rsidRDefault="00D812BC" w:rsidP="00D812BC">
      <w:pPr>
        <w:ind w:left="1134" w:hanging="567"/>
      </w:pPr>
    </w:p>
    <w:p w:rsidR="00D812BC" w:rsidRDefault="00D812BC" w:rsidP="00D812BC">
      <w:pPr>
        <w:ind w:left="1134" w:hanging="567"/>
        <w:rPr>
          <w:snapToGrid w:val="0"/>
        </w:rPr>
      </w:pPr>
      <w:r>
        <w:tab/>
        <w:t>(ii)</w:t>
      </w:r>
      <w:r>
        <w:tab/>
      </w:r>
      <w:proofErr w:type="gramStart"/>
      <w:r>
        <w:t>the</w:t>
      </w:r>
      <w:proofErr w:type="gramEnd"/>
      <w:r>
        <w:t xml:space="preserve"> situation with regard to molecular techniques in other international organizations  </w:t>
      </w:r>
    </w:p>
    <w:p w:rsidR="00D812BC" w:rsidRDefault="00D812BC" w:rsidP="00D812BC">
      <w:pPr>
        <w:ind w:left="1134" w:hanging="567"/>
      </w:pPr>
    </w:p>
    <w:p w:rsidR="00D812BC" w:rsidRDefault="00D812BC" w:rsidP="00D812BC">
      <w:pPr>
        <w:ind w:left="1134" w:hanging="567"/>
      </w:pPr>
      <w:r>
        <w:t>(c)</w:t>
      </w:r>
      <w:r>
        <w:tab/>
        <w:t>Working Group on Biochemical and Molecular Techniques, and DNA-Profiling in Particular (BMT).</w:t>
      </w:r>
    </w:p>
    <w:p w:rsidR="00D812BC" w:rsidRDefault="00D812BC" w:rsidP="00D812BC">
      <w:pPr>
        <w:ind w:left="567"/>
      </w:pPr>
    </w:p>
    <w:p w:rsidR="00D812BC" w:rsidRDefault="00D812BC" w:rsidP="00D812BC">
      <w:pPr>
        <w:rPr>
          <w:color w:val="000000"/>
        </w:rPr>
      </w:pPr>
      <w:r>
        <w:fldChar w:fldCharType="begin"/>
      </w:r>
      <w:r>
        <w:instrText xml:space="preserve"> AUTONUM  </w:instrText>
      </w:r>
      <w:r>
        <w:fldChar w:fldCharType="end"/>
      </w:r>
      <w:r>
        <w:tab/>
        <w:t xml:space="preserve">An overview of the UPOV bodies involved in the consideration of biochemical and molecular techniques is provided on the UPOV </w:t>
      </w:r>
      <w:r>
        <w:rPr>
          <w:color w:val="000000"/>
        </w:rPr>
        <w:t xml:space="preserve">website at </w:t>
      </w:r>
      <w:hyperlink r:id="rId9" w:history="1">
        <w:r>
          <w:rPr>
            <w:rStyle w:val="Hyperlink"/>
            <w:color w:val="000000"/>
          </w:rPr>
          <w:t>http://www.upov.int/about/en/pdf/upov_structure_bmt.pdf</w:t>
        </w:r>
      </w:hyperlink>
      <w:r>
        <w:rPr>
          <w:color w:val="000000"/>
        </w:rPr>
        <w:t xml:space="preserve">.  </w:t>
      </w:r>
    </w:p>
    <w:p w:rsidR="00D812BC" w:rsidRDefault="00D812BC" w:rsidP="00D812BC"/>
    <w:p w:rsidR="00D812BC" w:rsidRDefault="00D812BC" w:rsidP="00D812BC">
      <w:r>
        <w:fldChar w:fldCharType="begin"/>
      </w:r>
      <w:r>
        <w:instrText xml:space="preserve"> AUTONUM  </w:instrText>
      </w:r>
      <w:r>
        <w:fldChar w:fldCharType="end"/>
      </w:r>
      <w:r>
        <w:tab/>
        <w:t>The following abbreviations are used in this document:</w:t>
      </w:r>
    </w:p>
    <w:p w:rsidR="00D812BC" w:rsidRDefault="00D812BC" w:rsidP="00D812BC">
      <w:pPr>
        <w:keepNext/>
        <w:rPr>
          <w:color w:val="000000"/>
        </w:rPr>
      </w:pPr>
    </w:p>
    <w:p w:rsidR="00D812BC" w:rsidRDefault="00D812BC" w:rsidP="00D812BC">
      <w:pPr>
        <w:keepNext/>
        <w:ind w:left="1800" w:hanging="1233"/>
        <w:rPr>
          <w:color w:val="000000"/>
        </w:rPr>
      </w:pPr>
      <w:r>
        <w:rPr>
          <w:color w:val="000000"/>
        </w:rPr>
        <w:t>CAJ:</w:t>
      </w:r>
      <w:r>
        <w:rPr>
          <w:color w:val="000000"/>
        </w:rPr>
        <w:tab/>
        <w:t xml:space="preserve">Administrative and Legal Committee </w:t>
      </w:r>
    </w:p>
    <w:p w:rsidR="00D812BC" w:rsidRDefault="00D812BC" w:rsidP="00D812BC">
      <w:pPr>
        <w:keepNext/>
        <w:ind w:left="1800" w:hanging="1233"/>
        <w:rPr>
          <w:color w:val="000000"/>
        </w:rPr>
      </w:pPr>
      <w:r>
        <w:rPr>
          <w:color w:val="000000"/>
        </w:rPr>
        <w:t>TC:</w:t>
      </w:r>
      <w:r>
        <w:rPr>
          <w:color w:val="000000"/>
        </w:rPr>
        <w:tab/>
        <w:t>Technical Committee</w:t>
      </w:r>
    </w:p>
    <w:p w:rsidR="00D812BC" w:rsidRDefault="00D812BC" w:rsidP="00D812BC">
      <w:pPr>
        <w:ind w:left="1800" w:hanging="1233"/>
        <w:rPr>
          <w:color w:val="000000"/>
        </w:rPr>
      </w:pPr>
      <w:r>
        <w:rPr>
          <w:color w:val="000000"/>
        </w:rPr>
        <w:t>TC-EDC:</w:t>
      </w:r>
      <w:r>
        <w:rPr>
          <w:color w:val="000000"/>
        </w:rPr>
        <w:tab/>
        <w:t>Enlarged Editorial Committee</w:t>
      </w:r>
    </w:p>
    <w:p w:rsidR="00D812BC" w:rsidRDefault="00D812BC" w:rsidP="00D812BC">
      <w:pPr>
        <w:keepNext/>
        <w:ind w:left="1800" w:hanging="1233"/>
        <w:rPr>
          <w:color w:val="000000"/>
        </w:rPr>
      </w:pPr>
      <w:r>
        <w:rPr>
          <w:color w:val="000000"/>
        </w:rPr>
        <w:t>TWA:</w:t>
      </w:r>
      <w:r>
        <w:rPr>
          <w:color w:val="000000"/>
        </w:rPr>
        <w:tab/>
        <w:t>Technical Working Party for Agricultural Crops</w:t>
      </w:r>
    </w:p>
    <w:p w:rsidR="00D812BC" w:rsidRDefault="00D812BC" w:rsidP="00D812BC">
      <w:pPr>
        <w:keepNext/>
        <w:ind w:left="1800" w:hanging="1233"/>
        <w:rPr>
          <w:color w:val="000000"/>
        </w:rPr>
      </w:pPr>
      <w:r>
        <w:rPr>
          <w:color w:val="000000"/>
        </w:rPr>
        <w:t>TWC:</w:t>
      </w:r>
      <w:r>
        <w:rPr>
          <w:color w:val="000000"/>
        </w:rPr>
        <w:tab/>
        <w:t>Technical Working Party on Automation and Computer Programs</w:t>
      </w:r>
    </w:p>
    <w:p w:rsidR="00D812BC" w:rsidRDefault="00D812BC" w:rsidP="00D812BC">
      <w:pPr>
        <w:keepNext/>
        <w:ind w:left="1800" w:hanging="1233"/>
        <w:rPr>
          <w:color w:val="000000"/>
        </w:rPr>
      </w:pPr>
      <w:r>
        <w:rPr>
          <w:color w:val="000000"/>
        </w:rPr>
        <w:t xml:space="preserve">TWF: </w:t>
      </w:r>
      <w:r>
        <w:rPr>
          <w:color w:val="000000"/>
        </w:rPr>
        <w:tab/>
        <w:t>Technical Working Party for Fruit Crops</w:t>
      </w:r>
    </w:p>
    <w:p w:rsidR="00D812BC" w:rsidRDefault="00D812BC" w:rsidP="00D812BC">
      <w:pPr>
        <w:keepNext/>
        <w:ind w:left="1800" w:hanging="1233"/>
        <w:rPr>
          <w:color w:val="000000"/>
        </w:rPr>
      </w:pPr>
      <w:r>
        <w:rPr>
          <w:color w:val="000000"/>
        </w:rPr>
        <w:t>TWO:</w:t>
      </w:r>
      <w:r>
        <w:rPr>
          <w:color w:val="000000"/>
        </w:rPr>
        <w:tab/>
        <w:t>Technical Working Party for Ornamental Plants and Forest Trees</w:t>
      </w:r>
    </w:p>
    <w:p w:rsidR="00D812BC" w:rsidRDefault="00D812BC" w:rsidP="00D812BC">
      <w:pPr>
        <w:keepNext/>
        <w:ind w:left="1800" w:hanging="1233"/>
        <w:rPr>
          <w:color w:val="000000"/>
        </w:rPr>
      </w:pPr>
      <w:r>
        <w:rPr>
          <w:color w:val="000000"/>
        </w:rPr>
        <w:t>TWV:</w:t>
      </w:r>
      <w:r>
        <w:rPr>
          <w:color w:val="000000"/>
        </w:rPr>
        <w:tab/>
        <w:t xml:space="preserve">Technical Working Party for Vegetables </w:t>
      </w:r>
    </w:p>
    <w:p w:rsidR="00D812BC" w:rsidRDefault="00D812BC" w:rsidP="00D812BC">
      <w:pPr>
        <w:keepNext/>
        <w:ind w:left="1800" w:hanging="1233"/>
        <w:rPr>
          <w:color w:val="000000"/>
        </w:rPr>
      </w:pPr>
      <w:r>
        <w:rPr>
          <w:color w:val="000000"/>
        </w:rPr>
        <w:t>TWP(s):</w:t>
      </w:r>
      <w:r>
        <w:rPr>
          <w:color w:val="000000"/>
        </w:rPr>
        <w:tab/>
        <w:t xml:space="preserve">Technical Working </w:t>
      </w:r>
      <w:proofErr w:type="gramStart"/>
      <w:r>
        <w:rPr>
          <w:color w:val="000000"/>
        </w:rPr>
        <w:t>Party(</w:t>
      </w:r>
      <w:proofErr w:type="spellStart"/>
      <w:proofErr w:type="gramEnd"/>
      <w:r>
        <w:rPr>
          <w:color w:val="000000"/>
        </w:rPr>
        <w:t>ies</w:t>
      </w:r>
      <w:proofErr w:type="spellEnd"/>
      <w:r>
        <w:rPr>
          <w:color w:val="000000"/>
        </w:rPr>
        <w:t>)</w:t>
      </w:r>
    </w:p>
    <w:p w:rsidR="00D812BC" w:rsidRDefault="00D812BC" w:rsidP="00D812BC">
      <w:pPr>
        <w:pStyle w:val="BodyTextIndent3"/>
        <w:ind w:left="1800" w:hanging="1233"/>
        <w:rPr>
          <w:rFonts w:ascii="Arial" w:hAnsi="Arial" w:cs="Arial"/>
          <w:sz w:val="20"/>
          <w:szCs w:val="20"/>
        </w:rPr>
      </w:pPr>
      <w:r>
        <w:rPr>
          <w:rFonts w:ascii="Arial" w:hAnsi="Arial" w:cs="Arial"/>
          <w:sz w:val="20"/>
          <w:szCs w:val="20"/>
        </w:rPr>
        <w:t>BMT:</w:t>
      </w:r>
      <w:r>
        <w:rPr>
          <w:rFonts w:ascii="Arial" w:hAnsi="Arial" w:cs="Arial"/>
          <w:sz w:val="20"/>
          <w:szCs w:val="20"/>
        </w:rPr>
        <w:tab/>
        <w:t xml:space="preserve">Working Group on Biochemical and Molecular Techniques, and DNA-Profiling in Particular </w:t>
      </w:r>
    </w:p>
    <w:p w:rsidR="00D812BC" w:rsidRDefault="00D812BC" w:rsidP="00D812BC">
      <w:pPr>
        <w:pStyle w:val="Heading1"/>
        <w:rPr>
          <w:caps w:val="0"/>
        </w:rPr>
      </w:pPr>
      <w:r>
        <w:rPr>
          <w:caps w:val="0"/>
        </w:rPr>
        <w:br w:type="page"/>
      </w:r>
      <w:bookmarkStart w:id="5" w:name="_Toc346896196"/>
    </w:p>
    <w:p w:rsidR="00D812BC" w:rsidRDefault="00D812BC" w:rsidP="00D812BC">
      <w:pPr>
        <w:pStyle w:val="Heading1"/>
        <w:rPr>
          <w:caps w:val="0"/>
        </w:rPr>
      </w:pPr>
    </w:p>
    <w:p w:rsidR="00D812BC" w:rsidRDefault="00D812BC" w:rsidP="00D812BC">
      <w:pPr>
        <w:pStyle w:val="Heading1"/>
      </w:pPr>
      <w:r>
        <w:t>Use of biochemical and molecular markers in the examination of Distinctness, Uniformity and Stability (DUS)</w:t>
      </w:r>
      <w:bookmarkEnd w:id="5"/>
    </w:p>
    <w:p w:rsidR="00D812BC" w:rsidRDefault="00D812BC" w:rsidP="00D812BC"/>
    <w:p w:rsidR="00D812BC" w:rsidRDefault="00D812BC" w:rsidP="00D812BC">
      <w:pPr>
        <w:pStyle w:val="Heading2"/>
        <w:keepNext w:val="0"/>
      </w:pPr>
      <w:bookmarkStart w:id="6" w:name="_Toc346896197"/>
      <w:r>
        <w:t>Document UPOV/INF/18/1 “Possible Use of Molecular Markers in the Examination of Distinctness, Uniformity and Stability (DUS)”</w:t>
      </w:r>
      <w:bookmarkEnd w:id="6"/>
    </w:p>
    <w:p w:rsidR="00D812BC" w:rsidRDefault="00D812BC" w:rsidP="00D812BC">
      <w:pPr>
        <w:autoSpaceDE w:val="0"/>
        <w:autoSpaceDN w:val="0"/>
        <w:adjustRightInd w:val="0"/>
        <w:rPr>
          <w:rFonts w:cs="Arial"/>
          <w:szCs w:val="24"/>
        </w:rPr>
      </w:pPr>
    </w:p>
    <w:p w:rsidR="00D812BC" w:rsidRDefault="00D812BC" w:rsidP="00D812BC">
      <w:r>
        <w:fldChar w:fldCharType="begin"/>
      </w:r>
      <w:r>
        <w:instrText xml:space="preserve"> AUTONUM  </w:instrText>
      </w:r>
      <w:r>
        <w:fldChar w:fldCharType="end"/>
      </w:r>
      <w:r>
        <w:tab/>
        <w:t>The Council, at its forty-fifth ordinary session, held in Geneva on October 20, 2011, adopted document UPOV/INF/18/1 “Possible Use of Molecular Markers in the Examination of Distinctness, Uniformity and Stability (DUS)” on the basis of document BMT/DUS/1 Draft 6 (see document C/45/18 “Report”, paragraph 23).</w:t>
      </w:r>
    </w:p>
    <w:p w:rsidR="00D812BC" w:rsidRDefault="00D812BC" w:rsidP="00D812BC">
      <w:pPr>
        <w:rPr>
          <w:rFonts w:cs="Arial"/>
          <w:lang w:eastAsia="ja-JP"/>
        </w:rPr>
      </w:pPr>
    </w:p>
    <w:p w:rsidR="00D812BC" w:rsidRDefault="00D812BC" w:rsidP="00D812BC">
      <w:pPr>
        <w:pStyle w:val="Heading2"/>
        <w:keepNext w:val="0"/>
      </w:pPr>
      <w:bookmarkStart w:id="7" w:name="_Toc346896198"/>
      <w:r>
        <w:rPr>
          <w:rFonts w:cs="Arial"/>
        </w:rPr>
        <w:t>Document TGP/15/1 “Guidance on the Use of Biochemical and Molecular Markers in the Examination of Distinctness, Uniformity and Stability (DUS)”</w:t>
      </w:r>
      <w:bookmarkEnd w:id="7"/>
    </w:p>
    <w:p w:rsidR="00D812BC" w:rsidRDefault="00D812BC" w:rsidP="00D812BC">
      <w:pPr>
        <w:pStyle w:val="Heading2"/>
        <w:keepNext w:val="0"/>
        <w:rPr>
          <w:rFonts w:cs="Arial"/>
          <w:lang w:eastAsia="ja-JP"/>
        </w:rPr>
      </w:pPr>
    </w:p>
    <w:p w:rsidR="00D812BC" w:rsidRDefault="00D812BC" w:rsidP="00D812BC">
      <w:pPr>
        <w:rPr>
          <w:iCs/>
          <w:snapToGrid w:val="0"/>
        </w:rPr>
      </w:pPr>
      <w:r>
        <w:rPr>
          <w:rFonts w:cs="Arial"/>
        </w:rPr>
        <w:fldChar w:fldCharType="begin"/>
      </w:r>
      <w:r>
        <w:rPr>
          <w:rFonts w:cs="Arial"/>
        </w:rPr>
        <w:instrText xml:space="preserve"> AUTONUM  </w:instrText>
      </w:r>
      <w:r>
        <w:rPr>
          <w:rFonts w:cs="Arial"/>
        </w:rPr>
        <w:fldChar w:fldCharType="end"/>
      </w:r>
      <w:r>
        <w:rPr>
          <w:rFonts w:cs="Arial"/>
        </w:rPr>
        <w:tab/>
      </w:r>
      <w:r>
        <w:rPr>
          <w:color w:val="000000"/>
        </w:rPr>
        <w:t>The TC, at its forty-ninth session, held in Geneva, from March 18 to 20, 2013,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t>(see document TC/49/41 “Report on the conclusions”, paragraph 27).</w:t>
      </w:r>
    </w:p>
    <w:p w:rsidR="00D812BC" w:rsidRDefault="00D812BC" w:rsidP="00D812BC"/>
    <w:p w:rsidR="00D812BC" w:rsidRDefault="00D812BC" w:rsidP="00D812BC">
      <w:r>
        <w:fldChar w:fldCharType="begin"/>
      </w:r>
      <w:r>
        <w:instrText xml:space="preserve"> AUTONUM  </w:instrText>
      </w:r>
      <w:r>
        <w:fldChar w:fldCharType="end"/>
      </w:r>
      <w:r>
        <w:tab/>
        <w:t>In agreement with the conclusions of the TC at its forty-ninth session, the CAJ, at its sixty-seventh session, held in Geneva, on March 21, 2013, approved document TGP/15/1 Draft 4 as the basis for the adoption of document TGP/15/1 by the Council at its forty-seventh ordinary session to be held in Geneva on October 24, 2013 (see document CAJ/67/14 “Report on the conclusions”, paragraph 30).</w:t>
      </w:r>
    </w:p>
    <w:p w:rsidR="00D812BC" w:rsidRDefault="00D812BC" w:rsidP="00D812BC">
      <w:pPr>
        <w:rPr>
          <w:color w:val="000000"/>
        </w:rPr>
      </w:pPr>
    </w:p>
    <w:p w:rsidR="00D812BC" w:rsidRDefault="00D812BC" w:rsidP="00D812BC">
      <w:pPr>
        <w:rPr>
          <w:color w:val="000000"/>
        </w:rPr>
      </w:pPr>
      <w:r>
        <w:fldChar w:fldCharType="begin"/>
      </w:r>
      <w:r>
        <w:instrText xml:space="preserve"> AUTONUM  </w:instrText>
      </w:r>
      <w:r>
        <w:fldChar w:fldCharType="end"/>
      </w:r>
      <w:r>
        <w:tab/>
      </w:r>
      <w:r>
        <w:rPr>
          <w:rFonts w:cs="Arial"/>
          <w:snapToGrid w:val="0"/>
        </w:rPr>
        <w:t xml:space="preserve">The TC, </w:t>
      </w:r>
      <w:r>
        <w:rPr>
          <w:color w:val="000000"/>
        </w:rPr>
        <w:t>at its forty-ninth session</w:t>
      </w:r>
      <w:r>
        <w:rPr>
          <w:rFonts w:cs="Arial"/>
          <w:snapToGrid w:val="0"/>
        </w:rPr>
        <w:t xml:space="preserve">, and the CAJ, </w:t>
      </w:r>
      <w:r>
        <w:rPr>
          <w:iCs/>
          <w:snapToGrid w:val="0"/>
        </w:rPr>
        <w:t>at its sixty-seventh session</w:t>
      </w:r>
      <w:r>
        <w:rPr>
          <w:rFonts w:cs="Arial"/>
          <w:snapToGrid w:val="0"/>
        </w:rPr>
        <w:t>, noted that t</w:t>
      </w:r>
      <w:r>
        <w:t>he editing of the original English text and the French, German and Spanish translations would be checked by the relevant members of the TC-EDC prior to submission of the draft of document TGP/15/1 to the Council (see documents TC/49/41 “Report on the conclusions”, paragraph 27, and CAJ/67/14 “Report on the conclusions”, paragraph 31).</w:t>
      </w:r>
    </w:p>
    <w:p w:rsidR="00D812BC" w:rsidRDefault="00D812BC" w:rsidP="00D812BC">
      <w:pPr>
        <w:rPr>
          <w:rFonts w:cs="Arial"/>
          <w:snapToGrid w:val="0"/>
        </w:rPr>
      </w:pPr>
    </w:p>
    <w:p w:rsidR="00D812BC" w:rsidRDefault="00D812BC" w:rsidP="00D812BC">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They also noted </w:t>
      </w:r>
      <w:r>
        <w:rPr>
          <w:rFonts w:cs="Arial"/>
        </w:rPr>
        <w:t xml:space="preserve">that document TGP/15/1 could be revised in the future, for instance to incorporate additional examples for the models </w:t>
      </w:r>
      <w:r>
        <w:t>(see document TC/49/41 “Report on the conclusions”, paragraph 28, and CAJ/67/14 “Report on the conclusions”, paragraph 32).</w:t>
      </w:r>
    </w:p>
    <w:p w:rsidR="00D812BC" w:rsidRDefault="00D812BC" w:rsidP="00D812BC"/>
    <w:p w:rsidR="00D812BC" w:rsidRDefault="00D812BC" w:rsidP="00D812BC">
      <w:pPr>
        <w:pStyle w:val="DecisionParagraphs"/>
      </w:pPr>
      <w:r>
        <w:fldChar w:fldCharType="begin"/>
      </w:r>
      <w:r>
        <w:instrText xml:space="preserve"> AUTONUM  </w:instrText>
      </w:r>
      <w:r>
        <w:fldChar w:fldCharType="end"/>
      </w:r>
      <w:r>
        <w:tab/>
        <w:t>Th</w:t>
      </w:r>
      <w:r w:rsidRPr="000357F1">
        <w:t>e TW</w:t>
      </w:r>
      <w:r w:rsidR="00C740F7" w:rsidRPr="000357F1">
        <w:t>V</w:t>
      </w:r>
      <w:r w:rsidRPr="000357F1">
        <w:t xml:space="preserve"> is invited to note the program for the adoption of d</w:t>
      </w:r>
      <w:r>
        <w:t>ocument TGP/15/1, as set out in paragraphs 5 to 7 of this document.</w:t>
      </w:r>
    </w:p>
    <w:p w:rsidR="00D812BC" w:rsidRDefault="00D812BC" w:rsidP="00D812BC"/>
    <w:p w:rsidR="00D812BC" w:rsidRDefault="00D812BC" w:rsidP="00D812BC"/>
    <w:p w:rsidR="00D812BC" w:rsidRDefault="00D812BC" w:rsidP="00D812BC">
      <w:pPr>
        <w:pStyle w:val="Heading1"/>
      </w:pPr>
      <w:r>
        <w:t>Discussion on Molecular techniques at the technical committee</w:t>
      </w:r>
    </w:p>
    <w:p w:rsidR="00D812BC" w:rsidRDefault="00D812BC" w:rsidP="00D812BC"/>
    <w:p w:rsidR="00D812BC" w:rsidRDefault="00D812BC" w:rsidP="00D812BC">
      <w:r>
        <w:rPr>
          <w:u w:val="single"/>
        </w:rPr>
        <w:t>Application of Models by Members of the Union</w:t>
      </w:r>
    </w:p>
    <w:p w:rsidR="00D812BC" w:rsidRDefault="00D812BC" w:rsidP="00D812BC">
      <w:pPr>
        <w:rPr>
          <w:i/>
          <w:snapToGrid w:val="0"/>
        </w:rPr>
      </w:pPr>
    </w:p>
    <w:p w:rsidR="00D812BC" w:rsidRDefault="00D812BC" w:rsidP="00D812BC">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members of the Union (see document TC/49/41 “Report on the conclusions”, paragraphs 127 to 130), copies of which are posted on the UPOV website at </w:t>
      </w:r>
      <w:hyperlink r:id="rId10" w:history="1">
        <w:r>
          <w:rPr>
            <w:rStyle w:val="Hyperlink"/>
          </w:rPr>
          <w:t>http://upov.int/meetings/en/details.jsp?meeting_id=28343</w:t>
        </w:r>
      </w:hyperlink>
      <w:r>
        <w:t xml:space="preserve"> :</w:t>
      </w:r>
    </w:p>
    <w:p w:rsidR="00D812BC" w:rsidRDefault="00D812BC" w:rsidP="00D812BC">
      <w:pPr>
        <w:keepNext/>
      </w:pPr>
    </w:p>
    <w:tbl>
      <w:tblPr>
        <w:tblStyle w:val="TableGrid"/>
        <w:tblW w:w="9033" w:type="dxa"/>
        <w:tblInd w:w="675" w:type="dxa"/>
        <w:tblLook w:val="01E0" w:firstRow="1" w:lastRow="1" w:firstColumn="1" w:lastColumn="1" w:noHBand="0" w:noVBand="0"/>
      </w:tblPr>
      <w:tblGrid>
        <w:gridCol w:w="6345"/>
        <w:gridCol w:w="2688"/>
      </w:tblGrid>
      <w:tr w:rsidR="00D812BC" w:rsidTr="004424CE">
        <w:tc>
          <w:tcPr>
            <w:tcW w:w="6345"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Introduction to the use of biochemical and molecular markers in the DUS examination</w:t>
            </w:r>
          </w:p>
        </w:tc>
        <w:tc>
          <w:tcPr>
            <w:tcW w:w="2688"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pPr>
            <w:r>
              <w:t xml:space="preserve">The Office of the Union </w:t>
            </w:r>
          </w:p>
        </w:tc>
      </w:tr>
      <w:tr w:rsidR="00D812BC" w:rsidTr="004424CE">
        <w:tc>
          <w:tcPr>
            <w:tcW w:w="6345"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Use of characteristic specific molecular markers to assess seasonal type in Barley</w:t>
            </w:r>
          </w:p>
        </w:tc>
        <w:tc>
          <w:tcPr>
            <w:tcW w:w="2688"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pPr>
            <w:r>
              <w:t>Mr. Andrew Mitchell     (United Kingdom)</w:t>
            </w:r>
          </w:p>
        </w:tc>
      </w:tr>
      <w:tr w:rsidR="00D812BC" w:rsidTr="004424CE">
        <w:tc>
          <w:tcPr>
            <w:tcW w:w="6345"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Applications of molecular data in DUS testing</w:t>
            </w:r>
          </w:p>
        </w:tc>
        <w:tc>
          <w:tcPr>
            <w:tcW w:w="2688"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pPr>
            <w:r>
              <w:t xml:space="preserve">Mr. Joel </w:t>
            </w:r>
            <w:proofErr w:type="spellStart"/>
            <w:r>
              <w:t>Guiard</w:t>
            </w:r>
            <w:proofErr w:type="spellEnd"/>
            <w:r>
              <w:t xml:space="preserve"> (France)</w:t>
            </w:r>
          </w:p>
        </w:tc>
      </w:tr>
      <w:tr w:rsidR="00D812BC" w:rsidTr="004424CE">
        <w:tc>
          <w:tcPr>
            <w:tcW w:w="6345"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Use of molecular techniques in the renewal of reference material</w:t>
            </w:r>
          </w:p>
        </w:tc>
        <w:tc>
          <w:tcPr>
            <w:tcW w:w="2688"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rPr>
                <w:lang w:val="nl-NL"/>
              </w:rPr>
            </w:pPr>
            <w:r>
              <w:rPr>
                <w:lang w:val="nl-NL"/>
              </w:rPr>
              <w:t>Mr. Kees van Ettekoven (Netherlands)</w:t>
            </w:r>
          </w:p>
        </w:tc>
      </w:tr>
      <w:tr w:rsidR="00D812BC" w:rsidTr="004424CE">
        <w:tc>
          <w:tcPr>
            <w:tcW w:w="6345"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 xml:space="preserve">Use of molecular techniques in Brazil  </w:t>
            </w:r>
          </w:p>
        </w:tc>
        <w:tc>
          <w:tcPr>
            <w:tcW w:w="2688"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pPr>
            <w:r>
              <w:t xml:space="preserve">Mr. </w:t>
            </w:r>
            <w:proofErr w:type="spellStart"/>
            <w:r>
              <w:t>Fabricio</w:t>
            </w:r>
            <w:proofErr w:type="spellEnd"/>
            <w:r>
              <w:t xml:space="preserve"> Santana Santos (Brazil)</w:t>
            </w:r>
          </w:p>
        </w:tc>
      </w:tr>
    </w:tbl>
    <w:p w:rsidR="00D812BC" w:rsidRDefault="00D812BC" w:rsidP="00D812BC"/>
    <w:p w:rsidR="00D812BC" w:rsidRDefault="00D812BC" w:rsidP="00D812BC">
      <w:pPr>
        <w:keepNext/>
        <w:rPr>
          <w:iCs/>
          <w:u w:val="single"/>
        </w:rPr>
      </w:pPr>
      <w:r>
        <w:rPr>
          <w:iCs/>
          <w:u w:val="single"/>
        </w:rPr>
        <w:lastRenderedPageBreak/>
        <w:t>Presentation of the Situation with Regard to Molecular Techniques in other International Organizations</w:t>
      </w:r>
    </w:p>
    <w:p w:rsidR="00D812BC" w:rsidRDefault="00D812BC" w:rsidP="00D812BC">
      <w:pPr>
        <w:keepNext/>
        <w:rPr>
          <w:snapToGrid w:val="0"/>
        </w:rPr>
      </w:pPr>
    </w:p>
    <w:p w:rsidR="00D812BC" w:rsidRDefault="00D812BC" w:rsidP="00D812BC">
      <w:pPr>
        <w:keepNext/>
      </w:pPr>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relevant international organizations (see document TC/49/41 “Report on the conclusions”, paragraphs 131 to 133), copies of which are posted on the UPOV website </w:t>
      </w:r>
      <w:proofErr w:type="gramStart"/>
      <w:r>
        <w:t xml:space="preserve">at  </w:t>
      </w:r>
      <w:proofErr w:type="gramEnd"/>
      <w:r>
        <w:fldChar w:fldCharType="begin"/>
      </w:r>
      <w:r>
        <w:instrText xml:space="preserve"> HYPERLINK "http://upov.int/meetings/en/details.jsp?meeting_id=28343" </w:instrText>
      </w:r>
      <w:r>
        <w:fldChar w:fldCharType="separate"/>
      </w:r>
      <w:r>
        <w:rPr>
          <w:rStyle w:val="Hyperlink"/>
        </w:rPr>
        <w:t>http://upov.int/meetings/en/details.jsp?meeting_id=28343</w:t>
      </w:r>
      <w:r>
        <w:fldChar w:fldCharType="end"/>
      </w:r>
      <w:r>
        <w:t xml:space="preserve"> :</w:t>
      </w:r>
    </w:p>
    <w:p w:rsidR="00D812BC" w:rsidRDefault="00D812BC" w:rsidP="00D812BC"/>
    <w:tbl>
      <w:tblPr>
        <w:tblStyle w:val="TableGrid"/>
        <w:tblW w:w="9033" w:type="dxa"/>
        <w:tblInd w:w="675" w:type="dxa"/>
        <w:tblLook w:val="01E0" w:firstRow="1" w:lastRow="1" w:firstColumn="1" w:lastColumn="1" w:noHBand="0" w:noVBand="0"/>
      </w:tblPr>
      <w:tblGrid>
        <w:gridCol w:w="6379"/>
        <w:gridCol w:w="2654"/>
      </w:tblGrid>
      <w:tr w:rsidR="00D812BC" w:rsidTr="004424CE">
        <w:tc>
          <w:tcPr>
            <w:tcW w:w="6379"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 xml:space="preserve">Situation with regard to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jc w:val="left"/>
            </w:pPr>
            <w:r>
              <w:t xml:space="preserve">Presented by Mr. Paul </w:t>
            </w:r>
            <w:proofErr w:type="spellStart"/>
            <w:r>
              <w:t>Zankowski</w:t>
            </w:r>
            <w:proofErr w:type="spellEnd"/>
            <w:r>
              <w:t xml:space="preserve"> (United States of America) </w:t>
            </w:r>
          </w:p>
          <w:p w:rsidR="00D812BC" w:rsidRDefault="00D812BC" w:rsidP="004424CE">
            <w:pPr>
              <w:spacing w:before="60" w:after="60"/>
              <w:jc w:val="left"/>
            </w:pPr>
            <w:r>
              <w:t xml:space="preserve">(Prepared by Mr. Michael </w:t>
            </w:r>
            <w:proofErr w:type="spellStart"/>
            <w:r>
              <w:t>Sussman</w:t>
            </w:r>
            <w:proofErr w:type="spellEnd"/>
            <w:r>
              <w:t xml:space="preserve"> (ISO))</w:t>
            </w:r>
          </w:p>
        </w:tc>
      </w:tr>
      <w:tr w:rsidR="00D812BC" w:rsidTr="004424CE">
        <w:tc>
          <w:tcPr>
            <w:tcW w:w="6379"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Situation with regard to use of molecular techniques  in the International Seed Association (ISTA)</w:t>
            </w:r>
          </w:p>
        </w:tc>
        <w:tc>
          <w:tcPr>
            <w:tcW w:w="2654"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rPr>
                <w:lang w:val="it-IT"/>
              </w:rPr>
            </w:pPr>
            <w:r>
              <w:rPr>
                <w:lang w:val="it-IT"/>
              </w:rPr>
              <w:t>Ms. Rita Zecchinelli (ISTA)</w:t>
            </w:r>
          </w:p>
        </w:tc>
      </w:tr>
      <w:tr w:rsidR="00D812BC" w:rsidTr="004424CE">
        <w:tc>
          <w:tcPr>
            <w:tcW w:w="6379"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 xml:space="preserve">Situation with regard to use of molecular techniques in the </w:t>
            </w:r>
            <w:proofErr w:type="spellStart"/>
            <w:r>
              <w:rPr>
                <w:snapToGrid w:val="0"/>
              </w:rPr>
              <w:t>Organisation</w:t>
            </w:r>
            <w:proofErr w:type="spellEnd"/>
            <w:r>
              <w:rPr>
                <w:snapToGrid w:val="0"/>
              </w:rPr>
              <w:t xml:space="preserve"> for Economic Co</w:t>
            </w:r>
            <w:r>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D812BC" w:rsidRDefault="00D812BC" w:rsidP="004424CE">
            <w:pPr>
              <w:spacing w:before="60" w:after="60"/>
            </w:pPr>
            <w:r>
              <w:t>Mr. Michael Ryan (OECD)</w:t>
            </w:r>
          </w:p>
        </w:tc>
      </w:tr>
    </w:tbl>
    <w:p w:rsidR="00D812BC" w:rsidRDefault="00D812BC" w:rsidP="00D812BC"/>
    <w:p w:rsidR="00D812BC" w:rsidRDefault="00D812BC" w:rsidP="00D812BC">
      <w:pPr>
        <w:keepNext/>
      </w:pPr>
      <w:r>
        <w:fldChar w:fldCharType="begin"/>
      </w:r>
      <w:r>
        <w:instrText xml:space="preserve"> AUTONUM  </w:instrText>
      </w:r>
      <w:r>
        <w:fldChar w:fldCharType="end"/>
      </w:r>
      <w:r>
        <w:tab/>
        <w:t>The TC recalled that the BMT is a group open to DUS experts, biochemical and molecular specialists and plant breeders, whose role is to:</w:t>
      </w:r>
    </w:p>
    <w:p w:rsidR="00D812BC" w:rsidRDefault="00D812BC" w:rsidP="00D812BC">
      <w:pPr>
        <w:ind w:left="567"/>
      </w:pPr>
    </w:p>
    <w:p w:rsidR="00D812BC" w:rsidRDefault="00D812BC" w:rsidP="00D812BC">
      <w:pPr>
        <w:ind w:left="567"/>
      </w:pPr>
      <w:r>
        <w:t>(</w:t>
      </w:r>
      <w:proofErr w:type="spellStart"/>
      <w:proofErr w:type="gramStart"/>
      <w:r>
        <w:t>i</w:t>
      </w:r>
      <w:proofErr w:type="spellEnd"/>
      <w:proofErr w:type="gramEnd"/>
      <w:r>
        <w:t>) Review general developments in biochemical and molecular techniques;</w:t>
      </w:r>
    </w:p>
    <w:p w:rsidR="00D812BC" w:rsidRDefault="00D812BC" w:rsidP="00D812BC">
      <w:pPr>
        <w:ind w:left="567"/>
      </w:pPr>
    </w:p>
    <w:p w:rsidR="00D812BC" w:rsidRDefault="00D812BC" w:rsidP="00D812BC">
      <w:pPr>
        <w:ind w:left="567"/>
      </w:pPr>
      <w:r>
        <w:t>(ii) Maintain an awareness of relevant applications of biochemical and molecular techniques in plant breeding;</w:t>
      </w:r>
    </w:p>
    <w:p w:rsidR="00D812BC" w:rsidRDefault="00D812BC" w:rsidP="00D812BC">
      <w:pPr>
        <w:ind w:left="567"/>
      </w:pPr>
    </w:p>
    <w:p w:rsidR="00D812BC" w:rsidRDefault="00D812BC" w:rsidP="00D812BC">
      <w:pPr>
        <w:ind w:left="567"/>
      </w:pPr>
      <w:r>
        <w:t>(iii) Consider the possible application of biochemical and molecular techniques in DUS testing and report its considerations to the TC;</w:t>
      </w:r>
    </w:p>
    <w:p w:rsidR="00D812BC" w:rsidRDefault="00D812BC" w:rsidP="00D812BC">
      <w:pPr>
        <w:ind w:left="567"/>
      </w:pPr>
    </w:p>
    <w:p w:rsidR="00D812BC" w:rsidRDefault="00D812BC" w:rsidP="00D812BC">
      <w:pPr>
        <w:ind w:left="567"/>
      </w:pPr>
      <w:proofErr w:type="gramStart"/>
      <w:r>
        <w:t>(iv) If</w:t>
      </w:r>
      <w:proofErr w:type="gramEnd"/>
      <w:r>
        <w:t xml:space="preserve">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D812BC" w:rsidRDefault="00D812BC" w:rsidP="00D812BC">
      <w:pPr>
        <w:ind w:left="567"/>
      </w:pPr>
    </w:p>
    <w:p w:rsidR="00D812BC" w:rsidRDefault="00D812BC" w:rsidP="00D812BC">
      <w:pPr>
        <w:ind w:left="567"/>
      </w:pPr>
      <w:r>
        <w:t>(v) Consider initiatives from TWPs, for the establishment of crop specific subgroups, taking into account available information and the need for biochemical and molecular methods;</w:t>
      </w:r>
    </w:p>
    <w:p w:rsidR="00D812BC" w:rsidRDefault="00D812BC" w:rsidP="00D812BC">
      <w:pPr>
        <w:ind w:left="567"/>
      </w:pPr>
    </w:p>
    <w:p w:rsidR="00D812BC" w:rsidRDefault="00D812BC" w:rsidP="00D812BC">
      <w:pPr>
        <w:ind w:left="567"/>
      </w:pPr>
      <w:proofErr w:type="gramStart"/>
      <w:r>
        <w:t>(vi) Develop</w:t>
      </w:r>
      <w:proofErr w:type="gramEnd"/>
      <w:r>
        <w:t xml:space="preserve"> guidelines regarding the management and harmonization of databases of biochemical and molecular information, in conjunction with the TWC;</w:t>
      </w:r>
    </w:p>
    <w:p w:rsidR="00D812BC" w:rsidRDefault="00D812BC" w:rsidP="00D812BC">
      <w:pPr>
        <w:ind w:left="567"/>
      </w:pPr>
    </w:p>
    <w:p w:rsidR="00D812BC" w:rsidRDefault="00D812BC" w:rsidP="00D812BC">
      <w:pPr>
        <w:ind w:left="567"/>
      </w:pPr>
      <w:r>
        <w:t>(vii) Receive reports from Crop Subgroups and the BMT Review Group;</w:t>
      </w:r>
    </w:p>
    <w:p w:rsidR="00D812BC" w:rsidRDefault="00D812BC" w:rsidP="00D812BC">
      <w:pPr>
        <w:ind w:left="567"/>
      </w:pPr>
    </w:p>
    <w:p w:rsidR="00D812BC" w:rsidRDefault="00D812BC" w:rsidP="00D812BC">
      <w:pPr>
        <w:ind w:left="567"/>
      </w:pPr>
      <w:r>
        <w:t>(viii) Provide a forum for discussion on the use of biochemical and molecular techniques in the consideration of essential derivation and variety identification.</w:t>
      </w:r>
    </w:p>
    <w:p w:rsidR="00D812BC" w:rsidRDefault="00D812BC" w:rsidP="00D812BC"/>
    <w:p w:rsidR="00D812BC" w:rsidRDefault="00D812BC" w:rsidP="00D812BC">
      <w:r>
        <w:fldChar w:fldCharType="begin"/>
      </w:r>
      <w:r>
        <w:instrText xml:space="preserve"> AUTONUM  </w:instrText>
      </w:r>
      <w:r>
        <w:fldChar w:fldCharType="end"/>
      </w:r>
      <w:r>
        <w:tab/>
        <w:t>In that regard, it endorsed the initiative for a joint meeting with ISO, ISTA and OECD and including breeders, as a means of supporting the role of the BMT in relation to (</w:t>
      </w:r>
      <w:proofErr w:type="spellStart"/>
      <w:r>
        <w:t>i</w:t>
      </w:r>
      <w:proofErr w:type="spellEnd"/>
      <w:r>
        <w:t>), (ii), (</w:t>
      </w:r>
      <w:proofErr w:type="gramStart"/>
      <w:r>
        <w:t>iv</w:t>
      </w:r>
      <w:proofErr w:type="gramEnd"/>
      <w:r>
        <w:t xml:space="preserve">), (vi) and particularly (viii) above.  </w:t>
      </w:r>
    </w:p>
    <w:p w:rsidR="00D812BC" w:rsidRDefault="00D812BC" w:rsidP="00D812BC"/>
    <w:p w:rsidR="00D812BC" w:rsidRPr="000357F1" w:rsidRDefault="00D812BC" w:rsidP="00D812BC">
      <w:r>
        <w:fldChar w:fldCharType="begin"/>
      </w:r>
      <w:r>
        <w:instrText xml:space="preserve"> AUTONUM  </w:instrText>
      </w:r>
      <w:r>
        <w:fldChar w:fldCharType="end"/>
      </w:r>
      <w:r>
        <w:tab/>
        <w:t>The TC agreed that there was a need to provide suitable information on the situation in UPOV with regard to the use of molecular techniques to a wider audience, incl</w:t>
      </w:r>
      <w:r w:rsidRPr="000357F1">
        <w:t xml:space="preserve">uding breeders and the public in general.  That information should explain the potential advantages and disadvantages of the techniques, and the relationship between genotype and phenotype, which lay behind the situation in UPOV.   </w:t>
      </w:r>
    </w:p>
    <w:p w:rsidR="00D812BC" w:rsidRPr="000357F1" w:rsidRDefault="00D812BC" w:rsidP="00D812BC"/>
    <w:p w:rsidR="00D812BC" w:rsidRDefault="00D812BC" w:rsidP="00D812BC">
      <w:pPr>
        <w:pStyle w:val="DecisionParagraphs"/>
      </w:pPr>
      <w:r w:rsidRPr="000357F1">
        <w:rPr>
          <w:iCs/>
        </w:rPr>
        <w:fldChar w:fldCharType="begin"/>
      </w:r>
      <w:r w:rsidRPr="000357F1">
        <w:rPr>
          <w:iCs/>
        </w:rPr>
        <w:instrText xml:space="preserve"> AUTONUM  </w:instrText>
      </w:r>
      <w:r w:rsidRPr="000357F1">
        <w:rPr>
          <w:iCs/>
        </w:rPr>
        <w:fldChar w:fldCharType="end"/>
      </w:r>
      <w:r w:rsidRPr="000357F1">
        <w:tab/>
        <w:t>The TW</w:t>
      </w:r>
      <w:r w:rsidR="00C740F7" w:rsidRPr="000357F1">
        <w:t>V</w:t>
      </w:r>
      <w:r w:rsidRPr="000357F1">
        <w:t xml:space="preserve"> is invited to note the discussion on molecular techn</w:t>
      </w:r>
      <w:r>
        <w:t>iques at the forty-ninth session of the TC, as set out in paragraphs 10 and 11 of this document.</w:t>
      </w:r>
    </w:p>
    <w:p w:rsidR="00D812BC" w:rsidRDefault="00D812BC" w:rsidP="00D812BC">
      <w:pPr>
        <w:pStyle w:val="DecisionParagraphs"/>
        <w:rPr>
          <w:highlight w:val="yellow"/>
        </w:rPr>
      </w:pPr>
    </w:p>
    <w:p w:rsidR="00D812BC" w:rsidRDefault="00D812BC" w:rsidP="00D812BC">
      <w:r>
        <w:br w:type="page"/>
      </w:r>
    </w:p>
    <w:p w:rsidR="00D812BC" w:rsidRDefault="00D812BC" w:rsidP="00D812BC">
      <w:pPr>
        <w:pStyle w:val="Heading1"/>
      </w:pPr>
      <w:bookmarkStart w:id="8" w:name="_Toc346896200"/>
      <w:r>
        <w:lastRenderedPageBreak/>
        <w:t>WORKING GROUP ON BIOCHEMICAL AND MOLECULAR TECHNIQUES, AND DNA-PROFILING IN PARTICULAR (BMT)</w:t>
      </w:r>
      <w:bookmarkEnd w:id="8"/>
    </w:p>
    <w:p w:rsidR="00D812BC" w:rsidRDefault="00D812BC" w:rsidP="00D812BC"/>
    <w:p w:rsidR="00D812BC" w:rsidRDefault="00D812BC" w:rsidP="00D812BC">
      <w:r>
        <w:fldChar w:fldCharType="begin"/>
      </w:r>
      <w:r>
        <w:instrText xml:space="preserve"> AUTONUM  </w:instrText>
      </w:r>
      <w:r>
        <w:fldChar w:fldCharType="end"/>
      </w:r>
      <w:r>
        <w:tab/>
        <w:t xml:space="preserve">The TC, at its forty-eighth session, </w:t>
      </w:r>
      <w:r>
        <w:rPr>
          <w:rFonts w:cs="Arial"/>
          <w:lang w:eastAsia="ja-JP"/>
        </w:rPr>
        <w:t xml:space="preserve">approved </w:t>
      </w:r>
      <w:r>
        <w:t>the program for the fourteenth session of the BMT, including the dedication of a particular date (“Breeders’ Day”), for the items on the use of molecular techniques in the consideration of essential derivation and in variety identification</w:t>
      </w:r>
      <w:r>
        <w:rPr>
          <w:lang w:eastAsia="ja-JP"/>
        </w:rPr>
        <w:t xml:space="preserve"> (see document TC/48/22 “Report on the Conclusions”, paragraph 86)</w:t>
      </w:r>
      <w:r>
        <w:t>.</w:t>
      </w:r>
    </w:p>
    <w:p w:rsidR="00D812BC" w:rsidRDefault="00D812BC" w:rsidP="00D812BC"/>
    <w:p w:rsidR="00D812BC" w:rsidRDefault="00D812BC" w:rsidP="00D812BC">
      <w:pPr>
        <w:rPr>
          <w:snapToGrid w:val="0"/>
        </w:rPr>
      </w:pPr>
      <w:r>
        <w:fldChar w:fldCharType="begin"/>
      </w:r>
      <w:r>
        <w:instrText xml:space="preserve"> AUTONUM  </w:instrText>
      </w:r>
      <w:r>
        <w:fldChar w:fldCharType="end"/>
      </w:r>
      <w:r>
        <w:tab/>
        <w:t>The TC, at its forty-eighth session</w:t>
      </w:r>
      <w:r>
        <w:rPr>
          <w:rFonts w:cs="Arial"/>
          <w:lang w:eastAsia="ja-JP"/>
        </w:rPr>
        <w:t xml:space="preserve">, agreed that it would be appropriate for the Office of the Union to investigate the </w:t>
      </w:r>
      <w:r>
        <w:rPr>
          <w:rFonts w:cs="Arial"/>
        </w:rPr>
        <w:t xml:space="preserve">possibility of a coordinated meeting of the BMT and the Working Group on DNA Methods of the Variety Committee of the </w:t>
      </w:r>
      <w:r>
        <w:t>International Seed Testing Association (ISTA)</w:t>
      </w:r>
      <w:r>
        <w:rPr>
          <w:rFonts w:cs="Arial"/>
          <w:lang w:eastAsia="ja-JP"/>
        </w:rPr>
        <w:t>,</w:t>
      </w:r>
      <w:r>
        <w:rPr>
          <w:rFonts w:cs="Arial"/>
        </w:rPr>
        <w:t xml:space="preserve"> for the fourteenth session of the BMT</w:t>
      </w:r>
      <w:r>
        <w:rPr>
          <w:rFonts w:cs="Arial"/>
          <w:lang w:eastAsia="ja-JP"/>
        </w:rPr>
        <w:t xml:space="preserve"> </w:t>
      </w:r>
      <w:r>
        <w:t>(</w:t>
      </w:r>
      <w:r>
        <w:rPr>
          <w:snapToGrid w:val="0"/>
        </w:rPr>
        <w:t>see document TC/48/22 “Report on the Conclusions”, paragraph 85).</w:t>
      </w:r>
    </w:p>
    <w:p w:rsidR="00D812BC" w:rsidRDefault="00D812BC" w:rsidP="00D812BC">
      <w:pPr>
        <w:rPr>
          <w:snapToGrid w:val="0"/>
        </w:rPr>
      </w:pPr>
    </w:p>
    <w:p w:rsidR="00D812BC" w:rsidRDefault="00D812BC" w:rsidP="00D812BC">
      <w:r>
        <w:rPr>
          <w:color w:val="000000"/>
        </w:rPr>
        <w:fldChar w:fldCharType="begin"/>
      </w:r>
      <w:r>
        <w:rPr>
          <w:color w:val="000000"/>
        </w:rPr>
        <w:instrText xml:space="preserve"> AUTONUM  </w:instrText>
      </w:r>
      <w:r>
        <w:rPr>
          <w:color w:val="000000"/>
        </w:rPr>
        <w:fldChar w:fldCharType="end"/>
      </w:r>
      <w:r>
        <w:rPr>
          <w:color w:val="000000"/>
        </w:rPr>
        <w:tab/>
      </w:r>
      <w:r>
        <w:rPr>
          <w:rFonts w:cs="Arial"/>
          <w:color w:val="000000"/>
        </w:rPr>
        <w:t xml:space="preserve">The TC, </w:t>
      </w:r>
      <w:r>
        <w:t>at its forty-ninth session, held in Geneva, from March 18 to 20, 2013,</w:t>
      </w:r>
      <w:r>
        <w:rPr>
          <w:rFonts w:cs="Arial"/>
          <w:color w:val="000000"/>
        </w:rPr>
        <w:t xml:space="preserve"> agreed to propose to hold a coordinated meeting of the fourteenth session of the BMT </w:t>
      </w:r>
      <w:r>
        <w:rPr>
          <w:color w:val="000000"/>
        </w:rPr>
        <w:t xml:space="preserve">with meetings of other relevant international organizations in 2014, </w:t>
      </w:r>
      <w:r>
        <w:rPr>
          <w:rFonts w:cs="Arial"/>
          <w:color w:val="000000"/>
          <w:lang w:eastAsia="ja-JP"/>
        </w:rPr>
        <w:t>as set out in paragraph 14 of this document.  It also agreed that, if it was not possible to organize a joint meeting with other organizations in 2014, a meeting of the BMT should be organized in the meantime (</w:t>
      </w:r>
      <w:r>
        <w:t>see document TC/49/41 “Report on the conclusions”, paragraph 126).</w:t>
      </w:r>
    </w:p>
    <w:p w:rsidR="00D812BC" w:rsidRDefault="00D812BC" w:rsidP="00D812BC"/>
    <w:p w:rsidR="00D812BC" w:rsidRPr="000357F1" w:rsidRDefault="00D812BC" w:rsidP="00D812BC">
      <w:r>
        <w:rPr>
          <w:iCs/>
          <w:snapToGrid w:val="0"/>
        </w:rPr>
        <w:fldChar w:fldCharType="begin"/>
      </w:r>
      <w:r>
        <w:rPr>
          <w:iCs/>
          <w:snapToGrid w:val="0"/>
        </w:rPr>
        <w:instrText xml:space="preserve"> AUTONUM  </w:instrText>
      </w:r>
      <w:r>
        <w:rPr>
          <w:iCs/>
          <w:snapToGrid w:val="0"/>
        </w:rPr>
        <w:fldChar w:fldCharType="end"/>
      </w:r>
      <w:r>
        <w:rPr>
          <w:iCs/>
          <w:snapToGrid w:val="0"/>
        </w:rPr>
        <w:tab/>
      </w:r>
      <w:r>
        <w:t xml:space="preserve">The CAJ, at its sixty-seventh session, held in Geneva, on March 21, 2013, noted that the TC had agreed to </w:t>
      </w:r>
      <w:r>
        <w:rPr>
          <w:lang w:eastAsia="ja-JP"/>
        </w:rPr>
        <w:t xml:space="preserve">the </w:t>
      </w:r>
      <w:r>
        <w:t>possibility of holding a coordinated meeting of the fourteenth session of the BMT with meetings of other relevant international organizations</w:t>
      </w:r>
      <w:r>
        <w:rPr>
          <w:lang w:eastAsia="ja-JP"/>
        </w:rPr>
        <w:t xml:space="preserve"> (see </w:t>
      </w:r>
      <w:r>
        <w:t>docu</w:t>
      </w:r>
      <w:r w:rsidRPr="000357F1">
        <w:t>ment CAJ/67/14 “Report on the conclusions”, paragraph 42).</w:t>
      </w:r>
    </w:p>
    <w:p w:rsidR="00D812BC" w:rsidRPr="000357F1" w:rsidRDefault="00D812BC" w:rsidP="00D812BC">
      <w:pPr>
        <w:rPr>
          <w:rStyle w:val="Strong"/>
          <w:rFonts w:cs="Arial"/>
          <w:b w:val="0"/>
        </w:rPr>
      </w:pPr>
    </w:p>
    <w:p w:rsidR="00D812BC" w:rsidRPr="000357F1" w:rsidRDefault="00D812BC" w:rsidP="00D812BC">
      <w:pPr>
        <w:pStyle w:val="DecisionParagraphs"/>
      </w:pPr>
      <w:r w:rsidRPr="000357F1">
        <w:rPr>
          <w:rFonts w:cs="Arial"/>
        </w:rPr>
        <w:fldChar w:fldCharType="begin"/>
      </w:r>
      <w:r w:rsidRPr="000357F1">
        <w:rPr>
          <w:rFonts w:cs="Arial"/>
        </w:rPr>
        <w:instrText xml:space="preserve"> AUTONUM  </w:instrText>
      </w:r>
      <w:r w:rsidRPr="000357F1">
        <w:rPr>
          <w:rFonts w:cs="Arial"/>
        </w:rPr>
        <w:fldChar w:fldCharType="end"/>
      </w:r>
      <w:r w:rsidRPr="000357F1">
        <w:rPr>
          <w:rFonts w:cs="Arial"/>
        </w:rPr>
        <w:tab/>
      </w:r>
      <w:r w:rsidRPr="000357F1">
        <w:t>The TW</w:t>
      </w:r>
      <w:r w:rsidR="00C740F7" w:rsidRPr="000357F1">
        <w:t>V</w:t>
      </w:r>
      <w:r w:rsidRPr="000357F1">
        <w:t xml:space="preserve"> is invited to note that:</w:t>
      </w:r>
    </w:p>
    <w:p w:rsidR="00D812BC" w:rsidRPr="000357F1" w:rsidRDefault="00D812BC" w:rsidP="00D812BC">
      <w:pPr>
        <w:pStyle w:val="DecisionParagraphs"/>
      </w:pPr>
    </w:p>
    <w:p w:rsidR="00D812BC" w:rsidRDefault="00D812BC" w:rsidP="00D812BC">
      <w:pPr>
        <w:pStyle w:val="DecisionParagraphs"/>
        <w:tabs>
          <w:tab w:val="left" w:pos="5954"/>
        </w:tabs>
      </w:pPr>
      <w:r w:rsidRPr="000357F1">
        <w:tab/>
        <w:t>(a)</w:t>
      </w:r>
      <w:bookmarkStart w:id="9" w:name="_GoBack"/>
      <w:bookmarkEnd w:id="9"/>
      <w:r>
        <w:tab/>
      </w:r>
      <w:proofErr w:type="gramStart"/>
      <w:r>
        <w:t>the</w:t>
      </w:r>
      <w:proofErr w:type="gramEnd"/>
      <w:r>
        <w:t xml:space="preserve"> TC proposed to hold </w:t>
      </w:r>
      <w:r>
        <w:rPr>
          <w:rFonts w:cs="Arial"/>
          <w:color w:val="000000"/>
        </w:rPr>
        <w:t xml:space="preserve">a coordinated meeting of the BMT </w:t>
      </w:r>
      <w:r>
        <w:rPr>
          <w:color w:val="000000"/>
        </w:rPr>
        <w:t xml:space="preserve">with ISO, </w:t>
      </w:r>
      <w:r>
        <w:t xml:space="preserve">ISTA and OECD and including breeders; and that </w:t>
      </w:r>
    </w:p>
    <w:p w:rsidR="00D812BC" w:rsidRDefault="00D812BC" w:rsidP="00D812BC">
      <w:pPr>
        <w:pStyle w:val="DecisionParagraphs"/>
        <w:rPr>
          <w:rFonts w:cs="Arial"/>
          <w:lang w:eastAsia="ja-JP"/>
        </w:rPr>
      </w:pPr>
    </w:p>
    <w:p w:rsidR="00D812BC" w:rsidRDefault="00D812BC" w:rsidP="00D812BC">
      <w:pPr>
        <w:pStyle w:val="DecisionParagraphs"/>
        <w:tabs>
          <w:tab w:val="left" w:pos="5954"/>
        </w:tabs>
        <w:rPr>
          <w:rFonts w:cs="Arial"/>
          <w:lang w:eastAsia="ja-JP"/>
        </w:rPr>
      </w:pPr>
      <w:r>
        <w:rPr>
          <w:rFonts w:cs="Arial"/>
          <w:lang w:eastAsia="ja-JP"/>
        </w:rPr>
        <w:tab/>
        <w:t>(b)</w:t>
      </w:r>
      <w:r>
        <w:rPr>
          <w:rFonts w:cs="Arial"/>
          <w:lang w:eastAsia="ja-JP"/>
        </w:rPr>
        <w:tab/>
      </w:r>
      <w:proofErr w:type="gramStart"/>
      <w:r>
        <w:rPr>
          <w:rFonts w:cs="Arial"/>
          <w:color w:val="000000"/>
          <w:lang w:eastAsia="ja-JP"/>
        </w:rPr>
        <w:t>if</w:t>
      </w:r>
      <w:proofErr w:type="gramEnd"/>
      <w:r>
        <w:rPr>
          <w:rFonts w:cs="Arial"/>
          <w:color w:val="000000"/>
          <w:lang w:eastAsia="ja-JP"/>
        </w:rPr>
        <w:t xml:space="preserve"> it was not possible to organize a coordinated meeting in 2014, a meeting of the BMT would be organized in the meantime, </w:t>
      </w:r>
      <w:r>
        <w:rPr>
          <w:rFonts w:cs="Arial"/>
          <w:lang w:eastAsia="ja-JP"/>
        </w:rPr>
        <w:t>as set out in paragraph 18 of this document.</w:t>
      </w:r>
    </w:p>
    <w:p w:rsidR="00D812BC" w:rsidRDefault="00D812BC" w:rsidP="00D812BC">
      <w:pPr>
        <w:pStyle w:val="DecisionParagraphs"/>
        <w:rPr>
          <w:rFonts w:cs="Arial"/>
          <w:lang w:eastAsia="ja-JP"/>
        </w:rPr>
      </w:pPr>
    </w:p>
    <w:p w:rsidR="00D812BC" w:rsidRDefault="00D812BC" w:rsidP="00D812BC">
      <w:pPr>
        <w:rPr>
          <w:highlight w:val="yellow"/>
          <w:lang w:eastAsia="ja-JP"/>
        </w:rPr>
      </w:pPr>
    </w:p>
    <w:p w:rsidR="00D812BC" w:rsidRDefault="00D812BC" w:rsidP="00D812BC">
      <w:pPr>
        <w:rPr>
          <w:highlight w:val="yellow"/>
          <w:lang w:eastAsia="ja-JP"/>
        </w:rPr>
      </w:pPr>
    </w:p>
    <w:p w:rsidR="00D812BC" w:rsidRDefault="00D812BC" w:rsidP="00D812BC">
      <w:pPr>
        <w:jc w:val="right"/>
        <w:rPr>
          <w:snapToGrid w:val="0"/>
        </w:rPr>
      </w:pPr>
      <w:r>
        <w:rPr>
          <w:snapToGrid w:val="0"/>
        </w:rPr>
        <w:t xml:space="preserve">[End of </w:t>
      </w:r>
      <w:r w:rsidRPr="00694CDD">
        <w:t>document</w:t>
      </w:r>
      <w:r>
        <w:rPr>
          <w:snapToGrid w:val="0"/>
        </w:rPr>
        <w:t>]</w:t>
      </w:r>
    </w:p>
    <w:p w:rsidR="00DF474C" w:rsidRDefault="00DF474C" w:rsidP="00D812BC">
      <w:pPr>
        <w:pStyle w:val="endofdoc"/>
        <w:jc w:val="center"/>
        <w:rPr>
          <w:snapToGrid w:val="0"/>
        </w:rPr>
      </w:pPr>
    </w:p>
    <w:sectPr w:rsidR="00DF474C"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BC" w:rsidRDefault="00D812BC" w:rsidP="006655D3">
      <w:r>
        <w:separator/>
      </w:r>
    </w:p>
    <w:p w:rsidR="00D812BC" w:rsidRDefault="00D812BC" w:rsidP="006655D3"/>
    <w:p w:rsidR="00D812BC" w:rsidRDefault="00D812BC" w:rsidP="006655D3"/>
  </w:endnote>
  <w:endnote w:type="continuationSeparator" w:id="0">
    <w:p w:rsidR="00D812BC" w:rsidRDefault="00D812BC" w:rsidP="006655D3">
      <w:r>
        <w:separator/>
      </w:r>
    </w:p>
    <w:p w:rsidR="00D812BC" w:rsidRPr="00C740F7" w:rsidRDefault="00D812BC">
      <w:pPr>
        <w:pStyle w:val="Footer"/>
        <w:spacing w:after="60"/>
        <w:rPr>
          <w:sz w:val="18"/>
          <w:lang w:val="fr-CH"/>
        </w:rPr>
      </w:pPr>
      <w:r w:rsidRPr="00C740F7">
        <w:rPr>
          <w:sz w:val="18"/>
          <w:lang w:val="fr-CH"/>
        </w:rPr>
        <w:t>[Suite de la note de la page précédente]</w:t>
      </w:r>
    </w:p>
    <w:p w:rsidR="00D812BC" w:rsidRPr="00C740F7" w:rsidRDefault="00D812BC" w:rsidP="006655D3">
      <w:pPr>
        <w:rPr>
          <w:lang w:val="fr-CH"/>
        </w:rPr>
      </w:pPr>
    </w:p>
    <w:p w:rsidR="00D812BC" w:rsidRPr="00C740F7" w:rsidRDefault="00D812BC" w:rsidP="006655D3">
      <w:pPr>
        <w:rPr>
          <w:lang w:val="fr-CH"/>
        </w:rPr>
      </w:pPr>
    </w:p>
  </w:endnote>
  <w:endnote w:type="continuationNotice" w:id="1">
    <w:p w:rsidR="00D812BC" w:rsidRPr="00C740F7" w:rsidRDefault="00D812BC" w:rsidP="006655D3">
      <w:pPr>
        <w:rPr>
          <w:lang w:val="fr-CH"/>
        </w:rPr>
      </w:pPr>
      <w:r w:rsidRPr="00C740F7">
        <w:rPr>
          <w:lang w:val="fr-CH"/>
        </w:rPr>
        <w:t>[Suite de la note page suivante]</w:t>
      </w:r>
    </w:p>
    <w:p w:rsidR="00D812BC" w:rsidRPr="00C740F7" w:rsidRDefault="00D812BC" w:rsidP="006655D3">
      <w:pPr>
        <w:rPr>
          <w:lang w:val="fr-CH"/>
        </w:rPr>
      </w:pPr>
    </w:p>
    <w:p w:rsidR="00D812BC" w:rsidRPr="00C740F7" w:rsidRDefault="00D812B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82" w:rsidRDefault="00552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82" w:rsidRDefault="00552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552682" w:rsidRDefault="00903656" w:rsidP="00552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BC" w:rsidRDefault="00D812BC" w:rsidP="006655D3">
      <w:r>
        <w:separator/>
      </w:r>
    </w:p>
  </w:footnote>
  <w:footnote w:type="continuationSeparator" w:id="0">
    <w:p w:rsidR="00D812BC" w:rsidRDefault="00D812BC" w:rsidP="006655D3">
      <w:r>
        <w:separator/>
      </w:r>
    </w:p>
  </w:footnote>
  <w:footnote w:type="continuationNotice" w:id="1">
    <w:p w:rsidR="00D812BC" w:rsidRPr="00AB530F" w:rsidRDefault="00D812B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82" w:rsidRDefault="00552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C740F7">
      <w:t>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357F1">
      <w:rPr>
        <w:noProof/>
      </w:rPr>
      <w:t>4</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82" w:rsidRDefault="00552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BC"/>
    <w:rsid w:val="00010CF3"/>
    <w:rsid w:val="00011E27"/>
    <w:rsid w:val="000148BC"/>
    <w:rsid w:val="00024AB8"/>
    <w:rsid w:val="00030854"/>
    <w:rsid w:val="000357F1"/>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2"/>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F646A"/>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740F7"/>
    <w:rsid w:val="00C973F2"/>
    <w:rsid w:val="00CA304C"/>
    <w:rsid w:val="00CA774A"/>
    <w:rsid w:val="00CC11B0"/>
    <w:rsid w:val="00CF7E36"/>
    <w:rsid w:val="00D3708D"/>
    <w:rsid w:val="00D40426"/>
    <w:rsid w:val="00D57C96"/>
    <w:rsid w:val="00D812BC"/>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D812BC"/>
    <w:rPr>
      <w:rFonts w:ascii="Arial" w:hAnsi="Arial"/>
      <w:caps/>
    </w:rPr>
  </w:style>
  <w:style w:type="character" w:customStyle="1" w:styleId="Heading2Char">
    <w:name w:val="Heading 2 Char"/>
    <w:link w:val="Heading2"/>
    <w:rsid w:val="00D812BC"/>
    <w:rPr>
      <w:rFonts w:ascii="Arial" w:hAnsi="Arial"/>
      <w:u w:val="single"/>
    </w:rPr>
  </w:style>
  <w:style w:type="character" w:styleId="Strong">
    <w:name w:val="Strong"/>
    <w:qFormat/>
    <w:rsid w:val="00D812BC"/>
    <w:rPr>
      <w:rFonts w:ascii="Times New Roman" w:hAnsi="Times New Roman" w:cs="Times New Roman" w:hint="default"/>
      <w:b/>
      <w:bCs/>
    </w:rPr>
  </w:style>
  <w:style w:type="paragraph" w:styleId="BodyTextIndent3">
    <w:name w:val="Body Text Indent 3"/>
    <w:basedOn w:val="Normal"/>
    <w:link w:val="BodyTextIndent3Char"/>
    <w:unhideWhenUsed/>
    <w:rsid w:val="00D812BC"/>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D812BC"/>
    <w:rPr>
      <w:rFonts w:cs="Angsana New"/>
      <w:color w:val="000000"/>
      <w:sz w:val="24"/>
      <w:szCs w:val="24"/>
      <w:lang w:eastAsia="ja-JP" w:bidi="th-TH"/>
    </w:rPr>
  </w:style>
  <w:style w:type="table" w:styleId="TableGrid">
    <w:name w:val="Table Grid"/>
    <w:basedOn w:val="TableNormal"/>
    <w:rsid w:val="00D812B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D812BC"/>
    <w:rPr>
      <w:rFonts w:ascii="Arial" w:hAnsi="Arial"/>
      <w:caps/>
    </w:rPr>
  </w:style>
  <w:style w:type="character" w:customStyle="1" w:styleId="Heading2Char">
    <w:name w:val="Heading 2 Char"/>
    <w:link w:val="Heading2"/>
    <w:rsid w:val="00D812BC"/>
    <w:rPr>
      <w:rFonts w:ascii="Arial" w:hAnsi="Arial"/>
      <w:u w:val="single"/>
    </w:rPr>
  </w:style>
  <w:style w:type="character" w:styleId="Strong">
    <w:name w:val="Strong"/>
    <w:qFormat/>
    <w:rsid w:val="00D812BC"/>
    <w:rPr>
      <w:rFonts w:ascii="Times New Roman" w:hAnsi="Times New Roman" w:cs="Times New Roman" w:hint="default"/>
      <w:b/>
      <w:bCs/>
    </w:rPr>
  </w:style>
  <w:style w:type="paragraph" w:styleId="BodyTextIndent3">
    <w:name w:val="Body Text Indent 3"/>
    <w:basedOn w:val="Normal"/>
    <w:link w:val="BodyTextIndent3Char"/>
    <w:unhideWhenUsed/>
    <w:rsid w:val="00D812BC"/>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D812BC"/>
    <w:rPr>
      <w:rFonts w:cs="Angsana New"/>
      <w:color w:val="000000"/>
      <w:sz w:val="24"/>
      <w:szCs w:val="24"/>
      <w:lang w:eastAsia="ja-JP" w:bidi="th-TH"/>
    </w:rPr>
  </w:style>
  <w:style w:type="table" w:styleId="TableGrid">
    <w:name w:val="Table Grid"/>
    <w:basedOn w:val="TableNormal"/>
    <w:rsid w:val="00D812B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pov.int/meetings/en/details.jsp?meeting_id=28343" TargetMode="External"/><Relationship Id="rId4" Type="http://schemas.openxmlformats.org/officeDocument/2006/relationships/settings" Target="settings.xml"/><Relationship Id="rId9" Type="http://schemas.openxmlformats.org/officeDocument/2006/relationships/hyperlink" Target="http://www.upov.int/about/en/pdf/upov_structure_bmt.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7</TotalTime>
  <Pages>4</Pages>
  <Words>1515</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2013-04-25T11:20:00Z</dcterms:created>
  <dcterms:modified xsi:type="dcterms:W3CDTF">2013-05-03T09:26:00Z</dcterms:modified>
</cp:coreProperties>
</file>